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3965F" w14:textId="3C65AAFC" w:rsidR="00002990" w:rsidRPr="003072C6" w:rsidRDefault="00965081" w:rsidP="00A55989">
      <w:pPr>
        <w:pStyle w:val="DHHSbodynospace"/>
      </w:pPr>
      <w:bookmarkStart w:id="0" w:name="_GoBack"/>
      <w:bookmarkEnd w:id="0"/>
      <w:r w:rsidRPr="00965081">
        <w:rPr>
          <w:noProof/>
          <w:lang w:eastAsia="en-AU"/>
        </w:rPr>
        <w:drawing>
          <wp:anchor distT="0" distB="0" distL="114300" distR="114300" simplePos="0" relativeHeight="251672576" behindDoc="1" locked="1" layoutInCell="0" allowOverlap="1" wp14:anchorId="235D4790" wp14:editId="495BF870">
            <wp:simplePos x="0" y="0"/>
            <wp:positionH relativeFrom="page">
              <wp:posOffset>3810</wp:posOffset>
            </wp:positionH>
            <wp:positionV relativeFrom="page">
              <wp:posOffset>4014470</wp:posOffset>
            </wp:positionV>
            <wp:extent cx="7563485" cy="5657215"/>
            <wp:effectExtent l="0" t="0" r="0" b="635"/>
            <wp:wrapNone/>
            <wp:docPr id="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7563485" cy="56572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5081">
        <w:rPr>
          <w:noProof/>
          <w:lang w:eastAsia="en-AU"/>
        </w:rPr>
        <w:drawing>
          <wp:anchor distT="0" distB="0" distL="114300" distR="114300" simplePos="0" relativeHeight="251673600" behindDoc="1" locked="1" layoutInCell="0" allowOverlap="1" wp14:anchorId="27F5FF60" wp14:editId="600FBFFA">
            <wp:simplePos x="0" y="0"/>
            <wp:positionH relativeFrom="page">
              <wp:posOffset>3810</wp:posOffset>
            </wp:positionH>
            <wp:positionV relativeFrom="page">
              <wp:posOffset>-31750</wp:posOffset>
            </wp:positionV>
            <wp:extent cx="7563485" cy="4202430"/>
            <wp:effectExtent l="0" t="0" r="0" b="7620"/>
            <wp:wrapNone/>
            <wp:docPr id="8" name="Picture 9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7563485" cy="42024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258" w:type="dxa"/>
        <w:tblInd w:w="113" w:type="dxa"/>
        <w:tblCellMar>
          <w:left w:w="0" w:type="dxa"/>
          <w:right w:w="0" w:type="dxa"/>
        </w:tblCellMar>
        <w:tblLook w:val="04A0" w:firstRow="1" w:lastRow="0" w:firstColumn="1" w:lastColumn="0" w:noHBand="0" w:noVBand="1"/>
      </w:tblPr>
      <w:tblGrid>
        <w:gridCol w:w="7258"/>
      </w:tblGrid>
      <w:tr w:rsidR="001817CD" w:rsidRPr="003072C6" w14:paraId="3386FF42" w14:textId="77777777" w:rsidTr="00126787">
        <w:trPr>
          <w:trHeight w:val="2851"/>
        </w:trPr>
        <w:tc>
          <w:tcPr>
            <w:tcW w:w="7258" w:type="dxa"/>
            <w:shd w:val="clear" w:color="auto" w:fill="auto"/>
            <w:vAlign w:val="center"/>
          </w:tcPr>
          <w:p w14:paraId="65CCB2B2" w14:textId="5B5614BD" w:rsidR="00C41A45" w:rsidRPr="00871F0C" w:rsidRDefault="00C41A45" w:rsidP="00C41A45">
            <w:pPr>
              <w:pStyle w:val="VHHSBSustainability"/>
            </w:pPr>
            <w:r>
              <w:t>WASTE EDUCATION IN HEALTHCARE</w:t>
            </w:r>
          </w:p>
          <w:p w14:paraId="78F03DFD" w14:textId="00578703" w:rsidR="00444D82" w:rsidRPr="00D84C4D" w:rsidRDefault="009A75C7" w:rsidP="00C41A45">
            <w:pPr>
              <w:pStyle w:val="DHHSreportsubtitlewhite"/>
            </w:pPr>
            <w:r>
              <w:t>Summary report</w:t>
            </w:r>
          </w:p>
        </w:tc>
      </w:tr>
      <w:tr w:rsidR="003822A7" w:rsidRPr="003072C6" w14:paraId="30BE5A9E" w14:textId="77777777" w:rsidTr="00126787">
        <w:tc>
          <w:tcPr>
            <w:tcW w:w="7258" w:type="dxa"/>
            <w:shd w:val="clear" w:color="auto" w:fill="auto"/>
          </w:tcPr>
          <w:p w14:paraId="5CFB537A" w14:textId="77777777" w:rsidR="003822A7" w:rsidRPr="003072C6" w:rsidRDefault="003822A7" w:rsidP="003822A7">
            <w:pPr>
              <w:pStyle w:val="DHHSbody"/>
            </w:pPr>
          </w:p>
        </w:tc>
      </w:tr>
    </w:tbl>
    <w:p w14:paraId="11A73D70" w14:textId="14391711" w:rsidR="0069374A" w:rsidRPr="00B2614A" w:rsidRDefault="001F062A" w:rsidP="00B2614A">
      <w:pPr>
        <w:pStyle w:val="DHHSbody"/>
      </w:pPr>
      <w:r>
        <w:rPr>
          <w:noProof/>
          <w:lang w:eastAsia="en-AU"/>
        </w:rPr>
        <w:drawing>
          <wp:anchor distT="0" distB="0" distL="114300" distR="114300" simplePos="0" relativeHeight="251676672" behindDoc="1" locked="0" layoutInCell="1" allowOverlap="1" wp14:anchorId="3473F82E" wp14:editId="043A66D5">
            <wp:simplePos x="0" y="0"/>
            <wp:positionH relativeFrom="column">
              <wp:posOffset>1550035</wp:posOffset>
            </wp:positionH>
            <wp:positionV relativeFrom="paragraph">
              <wp:posOffset>5607050</wp:posOffset>
            </wp:positionV>
            <wp:extent cx="1434465" cy="700405"/>
            <wp:effectExtent l="0" t="0" r="0" b="0"/>
            <wp:wrapTight wrapText="bothSides">
              <wp:wrapPolygon edited="0">
                <wp:start x="2008" y="2937"/>
                <wp:lineTo x="1721" y="5287"/>
                <wp:lineTo x="1721" y="13512"/>
                <wp:lineTo x="4876" y="17037"/>
                <wp:lineTo x="5163" y="18212"/>
                <wp:lineTo x="6884" y="18212"/>
                <wp:lineTo x="7745" y="13512"/>
                <wp:lineTo x="20367" y="13512"/>
                <wp:lineTo x="20367" y="4700"/>
                <wp:lineTo x="6598" y="2937"/>
                <wp:lineTo x="2008" y="2937"/>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Lockup_Pos_GreenBlack_RGB.png"/>
                    <pic:cNvPicPr/>
                  </pic:nvPicPr>
                  <pic:blipFill rotWithShape="1">
                    <a:blip r:embed="rId15">
                      <a:extLst>
                        <a:ext uri="{28A0092B-C50C-407E-A947-70E740481C1C}">
                          <a14:useLocalDpi xmlns:a14="http://schemas.microsoft.com/office/drawing/2010/main" val="0"/>
                        </a:ext>
                      </a:extLst>
                    </a:blip>
                    <a:srcRect r="39446"/>
                    <a:stretch/>
                  </pic:blipFill>
                  <pic:spPr bwMode="auto">
                    <a:xfrm>
                      <a:off x="0" y="0"/>
                      <a:ext cx="1434465" cy="700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65081" w:rsidRPr="003B33FA">
        <w:rPr>
          <w:noProof/>
          <w:lang w:eastAsia="en-AU"/>
        </w:rPr>
        <w:drawing>
          <wp:anchor distT="0" distB="0" distL="114300" distR="114300" simplePos="0" relativeHeight="251675648" behindDoc="1" locked="1" layoutInCell="0" allowOverlap="1" wp14:anchorId="28B8179D" wp14:editId="23330B0A">
            <wp:simplePos x="0" y="0"/>
            <wp:positionH relativeFrom="page">
              <wp:posOffset>3810</wp:posOffset>
            </wp:positionH>
            <wp:positionV relativeFrom="page">
              <wp:posOffset>8691880</wp:posOffset>
            </wp:positionV>
            <wp:extent cx="7563485" cy="2055495"/>
            <wp:effectExtent l="0" t="0" r="0" b="1905"/>
            <wp:wrapNone/>
            <wp:docPr id="289" name="Picture 289" descr="Victoria State Government - Victorian Health and Human Services Building Authority - Sustainability in Health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HHSBA Health report cover background bottom.png"/>
                    <pic:cNvPicPr/>
                  </pic:nvPicPr>
                  <pic:blipFill>
                    <a:blip r:embed="rId16">
                      <a:extLst>
                        <a:ext uri="{28A0092B-C50C-407E-A947-70E740481C1C}">
                          <a14:useLocalDpi xmlns:a14="http://schemas.microsoft.com/office/drawing/2010/main" val="0"/>
                        </a:ext>
                      </a:extLst>
                    </a:blip>
                    <a:stretch>
                      <a:fillRect/>
                    </a:stretch>
                  </pic:blipFill>
                  <pic:spPr>
                    <a:xfrm>
                      <a:off x="0" y="0"/>
                      <a:ext cx="7563485" cy="2055495"/>
                    </a:xfrm>
                    <a:prstGeom prst="rect">
                      <a:avLst/>
                    </a:prstGeom>
                  </pic:spPr>
                </pic:pic>
              </a:graphicData>
            </a:graphic>
            <wp14:sizeRelH relativeFrom="margin">
              <wp14:pctWidth>0</wp14:pctWidth>
            </wp14:sizeRelH>
            <wp14:sizeRelV relativeFrom="margin">
              <wp14:pctHeight>0</wp14:pctHeight>
            </wp14:sizeRelV>
          </wp:anchor>
        </w:drawing>
      </w:r>
    </w:p>
    <w:p w14:paraId="57ECA397" w14:textId="77777777" w:rsidR="00C51B1C" w:rsidRPr="00B2614A" w:rsidRDefault="00C51B1C" w:rsidP="00B2614A">
      <w:pPr>
        <w:pStyle w:val="DHHSbody"/>
        <w:sectPr w:rsidR="00C51B1C" w:rsidRPr="00B2614A" w:rsidSect="007B14AA">
          <w:footerReference w:type="even" r:id="rId17"/>
          <w:type w:val="oddPage"/>
          <w:pgSz w:w="11906" w:h="16838"/>
          <w:pgMar w:top="3175" w:right="1304" w:bottom="55" w:left="1928" w:header="454" w:footer="567" w:gutter="0"/>
          <w:cols w:space="720"/>
          <w:docGrid w:linePitch="360"/>
        </w:sectPr>
      </w:pPr>
    </w:p>
    <w:p w14:paraId="4F82B6F0" w14:textId="72504B1B" w:rsidR="000E125C" w:rsidRPr="003072C6" w:rsidRDefault="000E125C" w:rsidP="000E125C">
      <w:pPr>
        <w:pStyle w:val="DHHSbodynospace"/>
      </w:pPr>
    </w:p>
    <w:tbl>
      <w:tblPr>
        <w:tblW w:w="0" w:type="auto"/>
        <w:tblCellMar>
          <w:top w:w="113" w:type="dxa"/>
          <w:left w:w="0" w:type="dxa"/>
          <w:bottom w:w="57" w:type="dxa"/>
          <w:right w:w="0" w:type="dxa"/>
        </w:tblCellMar>
        <w:tblLook w:val="00A0" w:firstRow="1" w:lastRow="0" w:firstColumn="1" w:lastColumn="0" w:noHBand="0" w:noVBand="0"/>
      </w:tblPr>
      <w:tblGrid>
        <w:gridCol w:w="9026"/>
      </w:tblGrid>
      <w:tr w:rsidR="000E125C" w:rsidRPr="003072C6" w14:paraId="492E4955" w14:textId="77777777" w:rsidTr="009C4EEB">
        <w:trPr>
          <w:trHeight w:val="4313"/>
        </w:trPr>
        <w:tc>
          <w:tcPr>
            <w:tcW w:w="9401" w:type="dxa"/>
          </w:tcPr>
          <w:p w14:paraId="72F20171" w14:textId="24F133F9" w:rsidR="000E125C" w:rsidRPr="00605B5B" w:rsidRDefault="000E125C" w:rsidP="009C4EEB">
            <w:pPr>
              <w:pStyle w:val="DHHSbody"/>
              <w:rPr>
                <w:i/>
                <w:color w:val="008950"/>
                <w:sz w:val="26"/>
                <w:szCs w:val="26"/>
              </w:rPr>
            </w:pPr>
          </w:p>
        </w:tc>
      </w:tr>
      <w:tr w:rsidR="000E125C" w:rsidRPr="007B14AA" w14:paraId="3D9BD5A8" w14:textId="77777777" w:rsidTr="009C4EEB">
        <w:trPr>
          <w:trHeight w:val="6336"/>
        </w:trPr>
        <w:tc>
          <w:tcPr>
            <w:tcW w:w="9401" w:type="dxa"/>
            <w:vAlign w:val="bottom"/>
          </w:tcPr>
          <w:p w14:paraId="0FC01055" w14:textId="72DCCF26" w:rsidR="000E125C" w:rsidRPr="007B14AA" w:rsidRDefault="000E125C" w:rsidP="009C4EEB">
            <w:pPr>
              <w:spacing w:after="200" w:line="300" w:lineRule="atLeast"/>
              <w:rPr>
                <w:rFonts w:ascii="Arial" w:eastAsia="Times" w:hAnsi="Arial"/>
                <w:sz w:val="24"/>
                <w:szCs w:val="19"/>
              </w:rPr>
            </w:pPr>
            <w:r w:rsidRPr="007B14AA">
              <w:rPr>
                <w:rFonts w:ascii="Arial" w:eastAsia="Times" w:hAnsi="Arial"/>
                <w:sz w:val="24"/>
                <w:szCs w:val="19"/>
              </w:rPr>
              <w:t>To receive this publication in an accessible format</w:t>
            </w:r>
            <w:r w:rsidR="006B0436">
              <w:rPr>
                <w:rFonts w:ascii="Arial" w:eastAsia="Times" w:hAnsi="Arial"/>
                <w:sz w:val="24"/>
                <w:szCs w:val="19"/>
              </w:rPr>
              <w:t xml:space="preserve">, email </w:t>
            </w:r>
            <w:r w:rsidRPr="007B14AA">
              <w:rPr>
                <w:rFonts w:ascii="Arial" w:eastAsia="Times" w:hAnsi="Arial"/>
                <w:sz w:val="24"/>
                <w:szCs w:val="19"/>
              </w:rPr>
              <w:t>&lt;</w:t>
            </w:r>
            <w:r w:rsidR="009C4EEB" w:rsidRPr="007B14AA">
              <w:rPr>
                <w:rFonts w:ascii="Arial" w:eastAsia="Times" w:hAnsi="Arial"/>
                <w:sz w:val="24"/>
                <w:szCs w:val="19"/>
              </w:rPr>
              <w:t>rachel.mcconville@dhhs.vic.gov.au</w:t>
            </w:r>
            <w:r w:rsidRPr="007B14AA">
              <w:rPr>
                <w:rFonts w:ascii="Arial" w:eastAsia="Times" w:hAnsi="Arial"/>
                <w:sz w:val="24"/>
                <w:szCs w:val="19"/>
              </w:rPr>
              <w:t>&gt;</w:t>
            </w:r>
          </w:p>
          <w:p w14:paraId="563F472C" w14:textId="77777777" w:rsidR="000E125C" w:rsidRPr="007B14AA" w:rsidRDefault="000E125C" w:rsidP="009C4EEB">
            <w:pPr>
              <w:spacing w:after="120" w:line="270" w:lineRule="atLeast"/>
              <w:rPr>
                <w:rFonts w:ascii="Arial" w:eastAsia="Times" w:hAnsi="Arial"/>
              </w:rPr>
            </w:pPr>
            <w:r w:rsidRPr="007B14AA">
              <w:rPr>
                <w:rFonts w:ascii="Arial" w:eastAsia="Times" w:hAnsi="Arial"/>
              </w:rPr>
              <w:t>Authorised and published by the Victorian Government, 1 Treasury Place, Melbourne.</w:t>
            </w:r>
          </w:p>
          <w:p w14:paraId="549A48F6" w14:textId="066714E4" w:rsidR="000E125C" w:rsidRPr="007B14AA" w:rsidRDefault="000E125C" w:rsidP="009C4EEB">
            <w:pPr>
              <w:spacing w:after="120" w:line="270" w:lineRule="atLeast"/>
              <w:rPr>
                <w:rFonts w:ascii="Arial" w:eastAsia="Times" w:hAnsi="Arial"/>
              </w:rPr>
            </w:pPr>
            <w:r w:rsidRPr="007B14AA">
              <w:rPr>
                <w:rFonts w:ascii="Arial" w:eastAsia="Times" w:hAnsi="Arial"/>
              </w:rPr>
              <w:t>© State of Victoria, Department of Health and Human Services, October 2018.</w:t>
            </w:r>
          </w:p>
          <w:p w14:paraId="2FF74EEE" w14:textId="1792FA5C" w:rsidR="000E125C" w:rsidRPr="00EB4CF8" w:rsidRDefault="000E125C" w:rsidP="006B0436">
            <w:pPr>
              <w:spacing w:after="120" w:line="270" w:lineRule="atLeast"/>
              <w:rPr>
                <w:rFonts w:ascii="Arial" w:eastAsia="Times" w:hAnsi="Arial"/>
                <w:szCs w:val="19"/>
              </w:rPr>
            </w:pPr>
            <w:r w:rsidRPr="00EB4CF8">
              <w:rPr>
                <w:rFonts w:ascii="Arial" w:eastAsia="Times" w:hAnsi="Arial"/>
                <w:szCs w:val="19"/>
              </w:rPr>
              <w:t xml:space="preserve">Available at </w:t>
            </w:r>
            <w:r w:rsidR="00EB4CF8" w:rsidRPr="00EB4CF8">
              <w:rPr>
                <w:rFonts w:ascii="Arial" w:eastAsia="Times" w:hAnsi="Arial"/>
              </w:rPr>
              <w:t xml:space="preserve">the </w:t>
            </w:r>
            <w:hyperlink r:id="rId18" w:history="1">
              <w:r w:rsidR="006B0436" w:rsidRPr="006B0436">
                <w:rPr>
                  <w:rStyle w:val="Hyperlink"/>
                  <w:rFonts w:ascii="Arial" w:eastAsia="Times" w:hAnsi="Arial"/>
                </w:rPr>
                <w:t xml:space="preserve">Department of Health and Human Services </w:t>
              </w:r>
              <w:r w:rsidR="00EB4CF8" w:rsidRPr="006B0436">
                <w:rPr>
                  <w:rStyle w:val="Hyperlink"/>
                  <w:rFonts w:ascii="Arial" w:eastAsia="Times" w:hAnsi="Arial"/>
                </w:rPr>
                <w:t>website</w:t>
              </w:r>
            </w:hyperlink>
            <w:r w:rsidR="00EB4CF8" w:rsidRPr="00EB4CF8">
              <w:rPr>
                <w:rFonts w:ascii="Arial" w:eastAsia="Times" w:hAnsi="Arial"/>
              </w:rPr>
              <w:t xml:space="preserve"> &lt;</w:t>
            </w:r>
            <w:r w:rsidR="006B0436">
              <w:rPr>
                <w:rFonts w:ascii="Helv" w:hAnsi="Helv" w:cs="Helv"/>
                <w:color w:val="000000"/>
                <w:lang w:eastAsia="en-AU"/>
              </w:rPr>
              <w:t>https://www2.health.vic.gov.au/hospitals-and-health-services/planning-infrastructure/sustainability/waste</w:t>
            </w:r>
            <w:r w:rsidR="00EB4CF8" w:rsidRPr="00EB4CF8">
              <w:rPr>
                <w:rFonts w:ascii="Arial" w:eastAsia="Times" w:hAnsi="Arial"/>
              </w:rPr>
              <w:t>&gt;</w:t>
            </w:r>
            <w:r w:rsidR="006B0436">
              <w:rPr>
                <w:rFonts w:ascii="Arial" w:eastAsia="Times" w:hAnsi="Arial"/>
              </w:rPr>
              <w:t xml:space="preserve"> </w:t>
            </w:r>
          </w:p>
        </w:tc>
      </w:tr>
      <w:tr w:rsidR="000E125C" w:rsidRPr="003072C6" w14:paraId="70C3271B" w14:textId="77777777" w:rsidTr="009C4EEB">
        <w:tc>
          <w:tcPr>
            <w:tcW w:w="9401" w:type="dxa"/>
            <w:vAlign w:val="bottom"/>
          </w:tcPr>
          <w:p w14:paraId="1E6055AA" w14:textId="77777777" w:rsidR="000E125C" w:rsidRPr="003072C6" w:rsidRDefault="000E125C" w:rsidP="009C4EEB">
            <w:pPr>
              <w:pStyle w:val="DHHSbody"/>
            </w:pPr>
          </w:p>
        </w:tc>
      </w:tr>
    </w:tbl>
    <w:p w14:paraId="09C03A89" w14:textId="77777777" w:rsidR="000E125C" w:rsidRPr="003072C6" w:rsidRDefault="000E125C" w:rsidP="000E125C">
      <w:pPr>
        <w:pStyle w:val="DHHSbody"/>
      </w:pPr>
    </w:p>
    <w:p w14:paraId="2AE35F10" w14:textId="77777777" w:rsidR="00FE6B89" w:rsidRDefault="00FE6B89">
      <w:r>
        <w:br w:type="page"/>
      </w:r>
    </w:p>
    <w:tbl>
      <w:tblPr>
        <w:tblW w:w="0" w:type="auto"/>
        <w:tblInd w:w="1701" w:type="dxa"/>
        <w:tblCellMar>
          <w:left w:w="0" w:type="dxa"/>
          <w:right w:w="0" w:type="dxa"/>
        </w:tblCellMar>
        <w:tblLook w:val="04A0" w:firstRow="1" w:lastRow="0" w:firstColumn="1" w:lastColumn="0" w:noHBand="0" w:noVBand="1"/>
      </w:tblPr>
      <w:tblGrid>
        <w:gridCol w:w="7325"/>
      </w:tblGrid>
      <w:tr w:rsidR="00F3541D" w:rsidRPr="003072C6" w14:paraId="3E09613D" w14:textId="77777777" w:rsidTr="00FE6B89">
        <w:trPr>
          <w:trHeight w:val="7402"/>
        </w:trPr>
        <w:tc>
          <w:tcPr>
            <w:tcW w:w="7325" w:type="dxa"/>
            <w:shd w:val="clear" w:color="auto" w:fill="auto"/>
            <w:vAlign w:val="center"/>
          </w:tcPr>
          <w:p w14:paraId="15218D26" w14:textId="56A024EA" w:rsidR="00F3541D" w:rsidRPr="00711B0C" w:rsidRDefault="00F3541D" w:rsidP="00282D74">
            <w:pPr>
              <w:pStyle w:val="DHHSreportmaintitle"/>
            </w:pPr>
            <w:r>
              <w:lastRenderedPageBreak/>
              <w:t xml:space="preserve">WASTE EDUCATION </w:t>
            </w:r>
            <w:r w:rsidR="007B14AA">
              <w:br/>
            </w:r>
            <w:r>
              <w:t>IN HEALTHCARE</w:t>
            </w:r>
          </w:p>
          <w:p w14:paraId="4330B12A" w14:textId="1BC24436" w:rsidR="00F3541D" w:rsidRPr="003072C6" w:rsidRDefault="009A75C7" w:rsidP="00282D74">
            <w:pPr>
              <w:pStyle w:val="DHHSreportsubtitle"/>
            </w:pPr>
            <w:r>
              <w:t>Summary report</w:t>
            </w:r>
          </w:p>
        </w:tc>
      </w:tr>
      <w:tr w:rsidR="00F3541D" w:rsidRPr="003072C6" w14:paraId="363F861B" w14:textId="77777777" w:rsidTr="00FE6B89">
        <w:tc>
          <w:tcPr>
            <w:tcW w:w="7325" w:type="dxa"/>
            <w:shd w:val="clear" w:color="auto" w:fill="auto"/>
            <w:vAlign w:val="center"/>
          </w:tcPr>
          <w:p w14:paraId="08E437DB" w14:textId="77777777" w:rsidR="00F3541D" w:rsidRPr="003072C6" w:rsidRDefault="00F3541D" w:rsidP="00282D74">
            <w:pPr>
              <w:pStyle w:val="DHHSbody"/>
            </w:pPr>
          </w:p>
        </w:tc>
      </w:tr>
    </w:tbl>
    <w:p w14:paraId="3E088077" w14:textId="77777777" w:rsidR="00F3541D" w:rsidRPr="003072C6" w:rsidRDefault="00F3541D" w:rsidP="00F3541D">
      <w:pPr>
        <w:pStyle w:val="DHHSbodynospace"/>
      </w:pPr>
      <w:r w:rsidRPr="003072C6">
        <w:br w:type="page"/>
      </w:r>
    </w:p>
    <w:sdt>
      <w:sdtPr>
        <w:rPr>
          <w:rFonts w:asciiTheme="minorHAnsi" w:eastAsiaTheme="minorHAnsi" w:hAnsiTheme="minorHAnsi" w:cstheme="minorBidi"/>
          <w:b w:val="0"/>
          <w:bCs w:val="0"/>
          <w:color w:val="auto"/>
          <w:sz w:val="22"/>
          <w:szCs w:val="22"/>
        </w:rPr>
        <w:id w:val="2109536846"/>
        <w:docPartObj>
          <w:docPartGallery w:val="Table of Contents"/>
          <w:docPartUnique/>
        </w:docPartObj>
      </w:sdtPr>
      <w:sdtEndPr>
        <w:rPr>
          <w:rFonts w:ascii="Arial" w:eastAsia="Times" w:hAnsi="Arial" w:cs="Times New Roman"/>
          <w:noProof/>
          <w:sz w:val="20"/>
          <w:szCs w:val="20"/>
        </w:rPr>
      </w:sdtEndPr>
      <w:sdtContent>
        <w:p w14:paraId="67353A15" w14:textId="2647EBAA" w:rsidR="00C41A45" w:rsidRPr="000A72BF" w:rsidRDefault="00C41A45" w:rsidP="00C41A45">
          <w:pPr>
            <w:pStyle w:val="TOCHeading"/>
            <w:rPr>
              <w:rFonts w:ascii="Arial" w:hAnsi="Arial" w:cs="Arial"/>
              <w:b w:val="0"/>
              <w:sz w:val="36"/>
            </w:rPr>
          </w:pPr>
          <w:r w:rsidRPr="000A72BF">
            <w:rPr>
              <w:rFonts w:ascii="Arial" w:hAnsi="Arial" w:cs="Arial"/>
              <w:b w:val="0"/>
              <w:sz w:val="36"/>
            </w:rPr>
            <w:t>Contents</w:t>
          </w:r>
        </w:p>
        <w:p w14:paraId="2364EFD5" w14:textId="77777777" w:rsidR="00C51DC9" w:rsidRDefault="00C41A45">
          <w:pPr>
            <w:pStyle w:val="TOC1"/>
            <w:rPr>
              <w:rFonts w:asciiTheme="minorHAnsi" w:eastAsiaTheme="minorEastAsia" w:hAnsiTheme="minorHAnsi" w:cstheme="minorBidi"/>
              <w:b w:val="0"/>
              <w:sz w:val="22"/>
              <w:szCs w:val="22"/>
              <w:lang w:eastAsia="en-AU"/>
            </w:rPr>
          </w:pPr>
          <w:r>
            <w:rPr>
              <w:b w:val="0"/>
              <w:noProof w:val="0"/>
            </w:rPr>
            <w:fldChar w:fldCharType="begin"/>
          </w:r>
          <w:r>
            <w:instrText xml:space="preserve"> TOC \o "1-3" \h \z \u </w:instrText>
          </w:r>
          <w:r>
            <w:rPr>
              <w:b w:val="0"/>
              <w:noProof w:val="0"/>
            </w:rPr>
            <w:fldChar w:fldCharType="separate"/>
          </w:r>
          <w:hyperlink w:anchor="_Toc528239295" w:history="1">
            <w:r w:rsidR="00C51DC9" w:rsidRPr="0022573D">
              <w:rPr>
                <w:rStyle w:val="Hyperlink"/>
              </w:rPr>
              <w:t>Executive summary</w:t>
            </w:r>
            <w:r w:rsidR="00C51DC9">
              <w:rPr>
                <w:webHidden/>
              </w:rPr>
              <w:tab/>
            </w:r>
            <w:r w:rsidR="00C51DC9">
              <w:rPr>
                <w:webHidden/>
              </w:rPr>
              <w:fldChar w:fldCharType="begin"/>
            </w:r>
            <w:r w:rsidR="00C51DC9">
              <w:rPr>
                <w:webHidden/>
              </w:rPr>
              <w:instrText xml:space="preserve"> PAGEREF _Toc528239295 \h </w:instrText>
            </w:r>
            <w:r w:rsidR="00C51DC9">
              <w:rPr>
                <w:webHidden/>
              </w:rPr>
            </w:r>
            <w:r w:rsidR="00C51DC9">
              <w:rPr>
                <w:webHidden/>
              </w:rPr>
              <w:fldChar w:fldCharType="separate"/>
            </w:r>
            <w:r w:rsidR="00C51DC9">
              <w:rPr>
                <w:webHidden/>
              </w:rPr>
              <w:t>3</w:t>
            </w:r>
            <w:r w:rsidR="00C51DC9">
              <w:rPr>
                <w:webHidden/>
              </w:rPr>
              <w:fldChar w:fldCharType="end"/>
            </w:r>
          </w:hyperlink>
        </w:p>
        <w:p w14:paraId="725185C8" w14:textId="77777777" w:rsidR="00C51DC9" w:rsidRDefault="00A14A2D">
          <w:pPr>
            <w:pStyle w:val="TOC1"/>
            <w:rPr>
              <w:rFonts w:asciiTheme="minorHAnsi" w:eastAsiaTheme="minorEastAsia" w:hAnsiTheme="minorHAnsi" w:cstheme="minorBidi"/>
              <w:b w:val="0"/>
              <w:sz w:val="22"/>
              <w:szCs w:val="22"/>
              <w:lang w:eastAsia="en-AU"/>
            </w:rPr>
          </w:pPr>
          <w:hyperlink w:anchor="_Toc528239296" w:history="1">
            <w:r w:rsidR="00C51DC9" w:rsidRPr="0022573D">
              <w:rPr>
                <w:rStyle w:val="Hyperlink"/>
              </w:rPr>
              <w:t>Introduction</w:t>
            </w:r>
            <w:r w:rsidR="00C51DC9">
              <w:rPr>
                <w:webHidden/>
              </w:rPr>
              <w:tab/>
            </w:r>
            <w:r w:rsidR="00C51DC9">
              <w:rPr>
                <w:webHidden/>
              </w:rPr>
              <w:fldChar w:fldCharType="begin"/>
            </w:r>
            <w:r w:rsidR="00C51DC9">
              <w:rPr>
                <w:webHidden/>
              </w:rPr>
              <w:instrText xml:space="preserve"> PAGEREF _Toc528239296 \h </w:instrText>
            </w:r>
            <w:r w:rsidR="00C51DC9">
              <w:rPr>
                <w:webHidden/>
              </w:rPr>
            </w:r>
            <w:r w:rsidR="00C51DC9">
              <w:rPr>
                <w:webHidden/>
              </w:rPr>
              <w:fldChar w:fldCharType="separate"/>
            </w:r>
            <w:r w:rsidR="00C51DC9">
              <w:rPr>
                <w:webHidden/>
              </w:rPr>
              <w:t>4</w:t>
            </w:r>
            <w:r w:rsidR="00C51DC9">
              <w:rPr>
                <w:webHidden/>
              </w:rPr>
              <w:fldChar w:fldCharType="end"/>
            </w:r>
          </w:hyperlink>
        </w:p>
        <w:p w14:paraId="3C864DD5" w14:textId="77777777" w:rsidR="00C51DC9" w:rsidRDefault="00A14A2D">
          <w:pPr>
            <w:pStyle w:val="TOC2"/>
            <w:rPr>
              <w:rFonts w:asciiTheme="minorHAnsi" w:eastAsiaTheme="minorEastAsia" w:hAnsiTheme="minorHAnsi" w:cstheme="minorBidi"/>
              <w:sz w:val="22"/>
              <w:szCs w:val="22"/>
              <w:lang w:eastAsia="en-AU"/>
            </w:rPr>
          </w:pPr>
          <w:hyperlink w:anchor="_Toc528239297" w:history="1">
            <w:r w:rsidR="00C51DC9" w:rsidRPr="0022573D">
              <w:rPr>
                <w:rStyle w:val="Hyperlink"/>
              </w:rPr>
              <w:t>Objectives</w:t>
            </w:r>
            <w:r w:rsidR="00C51DC9">
              <w:rPr>
                <w:webHidden/>
              </w:rPr>
              <w:tab/>
            </w:r>
            <w:r w:rsidR="00C51DC9">
              <w:rPr>
                <w:webHidden/>
              </w:rPr>
              <w:fldChar w:fldCharType="begin"/>
            </w:r>
            <w:r w:rsidR="00C51DC9">
              <w:rPr>
                <w:webHidden/>
              </w:rPr>
              <w:instrText xml:space="preserve"> PAGEREF _Toc528239297 \h </w:instrText>
            </w:r>
            <w:r w:rsidR="00C51DC9">
              <w:rPr>
                <w:webHidden/>
              </w:rPr>
            </w:r>
            <w:r w:rsidR="00C51DC9">
              <w:rPr>
                <w:webHidden/>
              </w:rPr>
              <w:fldChar w:fldCharType="separate"/>
            </w:r>
            <w:r w:rsidR="00C51DC9">
              <w:rPr>
                <w:webHidden/>
              </w:rPr>
              <w:t>4</w:t>
            </w:r>
            <w:r w:rsidR="00C51DC9">
              <w:rPr>
                <w:webHidden/>
              </w:rPr>
              <w:fldChar w:fldCharType="end"/>
            </w:r>
          </w:hyperlink>
        </w:p>
        <w:p w14:paraId="0764A7BE" w14:textId="77777777" w:rsidR="00C51DC9" w:rsidRDefault="00A14A2D">
          <w:pPr>
            <w:pStyle w:val="TOC2"/>
            <w:rPr>
              <w:rFonts w:asciiTheme="minorHAnsi" w:eastAsiaTheme="minorEastAsia" w:hAnsiTheme="minorHAnsi" w:cstheme="minorBidi"/>
              <w:sz w:val="22"/>
              <w:szCs w:val="22"/>
              <w:lang w:eastAsia="en-AU"/>
            </w:rPr>
          </w:pPr>
          <w:hyperlink w:anchor="_Toc528239298" w:history="1">
            <w:r w:rsidR="00C51DC9" w:rsidRPr="0022573D">
              <w:rPr>
                <w:rStyle w:val="Hyperlink"/>
              </w:rPr>
              <w:t>Project advisers</w:t>
            </w:r>
            <w:r w:rsidR="00C51DC9">
              <w:rPr>
                <w:webHidden/>
              </w:rPr>
              <w:tab/>
            </w:r>
            <w:r w:rsidR="00C51DC9">
              <w:rPr>
                <w:webHidden/>
              </w:rPr>
              <w:fldChar w:fldCharType="begin"/>
            </w:r>
            <w:r w:rsidR="00C51DC9">
              <w:rPr>
                <w:webHidden/>
              </w:rPr>
              <w:instrText xml:space="preserve"> PAGEREF _Toc528239298 \h </w:instrText>
            </w:r>
            <w:r w:rsidR="00C51DC9">
              <w:rPr>
                <w:webHidden/>
              </w:rPr>
            </w:r>
            <w:r w:rsidR="00C51DC9">
              <w:rPr>
                <w:webHidden/>
              </w:rPr>
              <w:fldChar w:fldCharType="separate"/>
            </w:r>
            <w:r w:rsidR="00C51DC9">
              <w:rPr>
                <w:webHidden/>
              </w:rPr>
              <w:t>4</w:t>
            </w:r>
            <w:r w:rsidR="00C51DC9">
              <w:rPr>
                <w:webHidden/>
              </w:rPr>
              <w:fldChar w:fldCharType="end"/>
            </w:r>
          </w:hyperlink>
        </w:p>
        <w:p w14:paraId="3B83E2D0" w14:textId="77777777" w:rsidR="00C51DC9" w:rsidRDefault="00A14A2D">
          <w:pPr>
            <w:pStyle w:val="TOC1"/>
            <w:rPr>
              <w:rFonts w:asciiTheme="minorHAnsi" w:eastAsiaTheme="minorEastAsia" w:hAnsiTheme="minorHAnsi" w:cstheme="minorBidi"/>
              <w:b w:val="0"/>
              <w:sz w:val="22"/>
              <w:szCs w:val="22"/>
              <w:lang w:eastAsia="en-AU"/>
            </w:rPr>
          </w:pPr>
          <w:hyperlink w:anchor="_Toc528239299" w:history="1">
            <w:r w:rsidR="00C51DC9" w:rsidRPr="0022573D">
              <w:rPr>
                <w:rStyle w:val="Hyperlink"/>
              </w:rPr>
              <w:t>Project methodology</w:t>
            </w:r>
            <w:r w:rsidR="00C51DC9">
              <w:rPr>
                <w:webHidden/>
              </w:rPr>
              <w:tab/>
            </w:r>
            <w:r w:rsidR="00C51DC9">
              <w:rPr>
                <w:webHidden/>
              </w:rPr>
              <w:fldChar w:fldCharType="begin"/>
            </w:r>
            <w:r w:rsidR="00C51DC9">
              <w:rPr>
                <w:webHidden/>
              </w:rPr>
              <w:instrText xml:space="preserve"> PAGEREF _Toc528239299 \h </w:instrText>
            </w:r>
            <w:r w:rsidR="00C51DC9">
              <w:rPr>
                <w:webHidden/>
              </w:rPr>
            </w:r>
            <w:r w:rsidR="00C51DC9">
              <w:rPr>
                <w:webHidden/>
              </w:rPr>
              <w:fldChar w:fldCharType="separate"/>
            </w:r>
            <w:r w:rsidR="00C51DC9">
              <w:rPr>
                <w:webHidden/>
              </w:rPr>
              <w:t>5</w:t>
            </w:r>
            <w:r w:rsidR="00C51DC9">
              <w:rPr>
                <w:webHidden/>
              </w:rPr>
              <w:fldChar w:fldCharType="end"/>
            </w:r>
          </w:hyperlink>
        </w:p>
        <w:p w14:paraId="4DA127A5" w14:textId="77777777" w:rsidR="00C51DC9" w:rsidRDefault="00A14A2D">
          <w:pPr>
            <w:pStyle w:val="TOC2"/>
            <w:rPr>
              <w:rFonts w:asciiTheme="minorHAnsi" w:eastAsiaTheme="minorEastAsia" w:hAnsiTheme="minorHAnsi" w:cstheme="minorBidi"/>
              <w:sz w:val="22"/>
              <w:szCs w:val="22"/>
              <w:lang w:eastAsia="en-AU"/>
            </w:rPr>
          </w:pPr>
          <w:hyperlink w:anchor="_Toc528239300" w:history="1">
            <w:r w:rsidR="00C51DC9" w:rsidRPr="0022573D">
              <w:rPr>
                <w:rStyle w:val="Hyperlink"/>
              </w:rPr>
              <w:t>Phase 1: Research</w:t>
            </w:r>
            <w:r w:rsidR="00C51DC9">
              <w:rPr>
                <w:webHidden/>
              </w:rPr>
              <w:tab/>
            </w:r>
            <w:r w:rsidR="00C51DC9">
              <w:rPr>
                <w:webHidden/>
              </w:rPr>
              <w:fldChar w:fldCharType="begin"/>
            </w:r>
            <w:r w:rsidR="00C51DC9">
              <w:rPr>
                <w:webHidden/>
              </w:rPr>
              <w:instrText xml:space="preserve"> PAGEREF _Toc528239300 \h </w:instrText>
            </w:r>
            <w:r w:rsidR="00C51DC9">
              <w:rPr>
                <w:webHidden/>
              </w:rPr>
            </w:r>
            <w:r w:rsidR="00C51DC9">
              <w:rPr>
                <w:webHidden/>
              </w:rPr>
              <w:fldChar w:fldCharType="separate"/>
            </w:r>
            <w:r w:rsidR="00C51DC9">
              <w:rPr>
                <w:webHidden/>
              </w:rPr>
              <w:t>5</w:t>
            </w:r>
            <w:r w:rsidR="00C51DC9">
              <w:rPr>
                <w:webHidden/>
              </w:rPr>
              <w:fldChar w:fldCharType="end"/>
            </w:r>
          </w:hyperlink>
        </w:p>
        <w:p w14:paraId="3A7AB5DD" w14:textId="77777777" w:rsidR="00C51DC9" w:rsidRDefault="00A14A2D">
          <w:pPr>
            <w:pStyle w:val="TOC2"/>
            <w:rPr>
              <w:rFonts w:asciiTheme="minorHAnsi" w:eastAsiaTheme="minorEastAsia" w:hAnsiTheme="minorHAnsi" w:cstheme="minorBidi"/>
              <w:sz w:val="22"/>
              <w:szCs w:val="22"/>
              <w:lang w:eastAsia="en-AU"/>
            </w:rPr>
          </w:pPr>
          <w:hyperlink w:anchor="_Toc528239301" w:history="1">
            <w:r w:rsidR="00C51DC9" w:rsidRPr="0022573D">
              <w:rPr>
                <w:rStyle w:val="Hyperlink"/>
              </w:rPr>
              <w:t>Phase 2: Implementation</w:t>
            </w:r>
            <w:r w:rsidR="00C51DC9">
              <w:rPr>
                <w:webHidden/>
              </w:rPr>
              <w:tab/>
            </w:r>
            <w:r w:rsidR="00C51DC9">
              <w:rPr>
                <w:webHidden/>
              </w:rPr>
              <w:fldChar w:fldCharType="begin"/>
            </w:r>
            <w:r w:rsidR="00C51DC9">
              <w:rPr>
                <w:webHidden/>
              </w:rPr>
              <w:instrText xml:space="preserve"> PAGEREF _Toc528239301 \h </w:instrText>
            </w:r>
            <w:r w:rsidR="00C51DC9">
              <w:rPr>
                <w:webHidden/>
              </w:rPr>
            </w:r>
            <w:r w:rsidR="00C51DC9">
              <w:rPr>
                <w:webHidden/>
              </w:rPr>
              <w:fldChar w:fldCharType="separate"/>
            </w:r>
            <w:r w:rsidR="00C51DC9">
              <w:rPr>
                <w:webHidden/>
              </w:rPr>
              <w:t>5</w:t>
            </w:r>
            <w:r w:rsidR="00C51DC9">
              <w:rPr>
                <w:webHidden/>
              </w:rPr>
              <w:fldChar w:fldCharType="end"/>
            </w:r>
          </w:hyperlink>
        </w:p>
        <w:p w14:paraId="109FBFB9" w14:textId="77777777" w:rsidR="00C51DC9" w:rsidRDefault="00A14A2D">
          <w:pPr>
            <w:pStyle w:val="TOC1"/>
            <w:rPr>
              <w:rFonts w:asciiTheme="minorHAnsi" w:eastAsiaTheme="minorEastAsia" w:hAnsiTheme="minorHAnsi" w:cstheme="minorBidi"/>
              <w:b w:val="0"/>
              <w:sz w:val="22"/>
              <w:szCs w:val="22"/>
              <w:lang w:eastAsia="en-AU"/>
            </w:rPr>
          </w:pPr>
          <w:hyperlink w:anchor="_Toc528239302" w:history="1">
            <w:r w:rsidR="00C51DC9" w:rsidRPr="0022573D">
              <w:rPr>
                <w:rStyle w:val="Hyperlink"/>
              </w:rPr>
              <w:t>Phase 1: Findings and recommendations</w:t>
            </w:r>
            <w:r w:rsidR="00C51DC9">
              <w:rPr>
                <w:webHidden/>
              </w:rPr>
              <w:tab/>
            </w:r>
            <w:r w:rsidR="00C51DC9">
              <w:rPr>
                <w:webHidden/>
              </w:rPr>
              <w:fldChar w:fldCharType="begin"/>
            </w:r>
            <w:r w:rsidR="00C51DC9">
              <w:rPr>
                <w:webHidden/>
              </w:rPr>
              <w:instrText xml:space="preserve"> PAGEREF _Toc528239302 \h </w:instrText>
            </w:r>
            <w:r w:rsidR="00C51DC9">
              <w:rPr>
                <w:webHidden/>
              </w:rPr>
            </w:r>
            <w:r w:rsidR="00C51DC9">
              <w:rPr>
                <w:webHidden/>
              </w:rPr>
              <w:fldChar w:fldCharType="separate"/>
            </w:r>
            <w:r w:rsidR="00C51DC9">
              <w:rPr>
                <w:webHidden/>
              </w:rPr>
              <w:t>6</w:t>
            </w:r>
            <w:r w:rsidR="00C51DC9">
              <w:rPr>
                <w:webHidden/>
              </w:rPr>
              <w:fldChar w:fldCharType="end"/>
            </w:r>
          </w:hyperlink>
        </w:p>
        <w:p w14:paraId="5B8AC6EA" w14:textId="77777777" w:rsidR="00C51DC9" w:rsidRDefault="00A14A2D">
          <w:pPr>
            <w:pStyle w:val="TOC2"/>
            <w:rPr>
              <w:rFonts w:asciiTheme="minorHAnsi" w:eastAsiaTheme="minorEastAsia" w:hAnsiTheme="minorHAnsi" w:cstheme="minorBidi"/>
              <w:sz w:val="22"/>
              <w:szCs w:val="22"/>
              <w:lang w:eastAsia="en-AU"/>
            </w:rPr>
          </w:pPr>
          <w:hyperlink w:anchor="_Toc528239303" w:history="1">
            <w:r w:rsidR="00C51DC9" w:rsidRPr="0022573D">
              <w:rPr>
                <w:rStyle w:val="Hyperlink"/>
              </w:rPr>
              <w:t>Preliminary insights</w:t>
            </w:r>
            <w:r w:rsidR="00C51DC9">
              <w:rPr>
                <w:webHidden/>
              </w:rPr>
              <w:tab/>
            </w:r>
            <w:r w:rsidR="00C51DC9">
              <w:rPr>
                <w:webHidden/>
              </w:rPr>
              <w:fldChar w:fldCharType="begin"/>
            </w:r>
            <w:r w:rsidR="00C51DC9">
              <w:rPr>
                <w:webHidden/>
              </w:rPr>
              <w:instrText xml:space="preserve"> PAGEREF _Toc528239303 \h </w:instrText>
            </w:r>
            <w:r w:rsidR="00C51DC9">
              <w:rPr>
                <w:webHidden/>
              </w:rPr>
            </w:r>
            <w:r w:rsidR="00C51DC9">
              <w:rPr>
                <w:webHidden/>
              </w:rPr>
              <w:fldChar w:fldCharType="separate"/>
            </w:r>
            <w:r w:rsidR="00C51DC9">
              <w:rPr>
                <w:webHidden/>
              </w:rPr>
              <w:t>6</w:t>
            </w:r>
            <w:r w:rsidR="00C51DC9">
              <w:rPr>
                <w:webHidden/>
              </w:rPr>
              <w:fldChar w:fldCharType="end"/>
            </w:r>
          </w:hyperlink>
        </w:p>
        <w:p w14:paraId="75FDED60" w14:textId="77777777" w:rsidR="00C51DC9" w:rsidRDefault="00A14A2D">
          <w:pPr>
            <w:pStyle w:val="TOC3"/>
            <w:rPr>
              <w:rFonts w:asciiTheme="minorHAnsi" w:eastAsiaTheme="minorEastAsia" w:hAnsiTheme="minorHAnsi" w:cstheme="minorBidi"/>
              <w:noProof/>
              <w:sz w:val="22"/>
              <w:szCs w:val="22"/>
              <w:lang w:eastAsia="en-AU"/>
            </w:rPr>
          </w:pPr>
          <w:hyperlink w:anchor="_Toc528239304" w:history="1">
            <w:r w:rsidR="00C51DC9" w:rsidRPr="0022573D">
              <w:rPr>
                <w:rStyle w:val="Hyperlink"/>
                <w:noProof/>
              </w:rPr>
              <w:t>Infection control</w:t>
            </w:r>
            <w:r w:rsidR="00C51DC9">
              <w:rPr>
                <w:noProof/>
                <w:webHidden/>
              </w:rPr>
              <w:tab/>
            </w:r>
            <w:r w:rsidR="00C51DC9">
              <w:rPr>
                <w:noProof/>
                <w:webHidden/>
              </w:rPr>
              <w:fldChar w:fldCharType="begin"/>
            </w:r>
            <w:r w:rsidR="00C51DC9">
              <w:rPr>
                <w:noProof/>
                <w:webHidden/>
              </w:rPr>
              <w:instrText xml:space="preserve"> PAGEREF _Toc528239304 \h </w:instrText>
            </w:r>
            <w:r w:rsidR="00C51DC9">
              <w:rPr>
                <w:noProof/>
                <w:webHidden/>
              </w:rPr>
            </w:r>
            <w:r w:rsidR="00C51DC9">
              <w:rPr>
                <w:noProof/>
                <w:webHidden/>
              </w:rPr>
              <w:fldChar w:fldCharType="separate"/>
            </w:r>
            <w:r w:rsidR="00C51DC9">
              <w:rPr>
                <w:noProof/>
                <w:webHidden/>
              </w:rPr>
              <w:t>6</w:t>
            </w:r>
            <w:r w:rsidR="00C51DC9">
              <w:rPr>
                <w:noProof/>
                <w:webHidden/>
              </w:rPr>
              <w:fldChar w:fldCharType="end"/>
            </w:r>
          </w:hyperlink>
        </w:p>
        <w:p w14:paraId="29886B12" w14:textId="77777777" w:rsidR="00C51DC9" w:rsidRDefault="00A14A2D">
          <w:pPr>
            <w:pStyle w:val="TOC3"/>
            <w:rPr>
              <w:rFonts w:asciiTheme="minorHAnsi" w:eastAsiaTheme="minorEastAsia" w:hAnsiTheme="minorHAnsi" w:cstheme="minorBidi"/>
              <w:noProof/>
              <w:sz w:val="22"/>
              <w:szCs w:val="22"/>
              <w:lang w:eastAsia="en-AU"/>
            </w:rPr>
          </w:pPr>
          <w:hyperlink w:anchor="_Toc528239305" w:history="1">
            <w:r w:rsidR="00C51DC9" w:rsidRPr="0022573D">
              <w:rPr>
                <w:rStyle w:val="Hyperlink"/>
                <w:noProof/>
              </w:rPr>
              <w:t>Procurement</w:t>
            </w:r>
            <w:r w:rsidR="00C51DC9">
              <w:rPr>
                <w:noProof/>
                <w:webHidden/>
              </w:rPr>
              <w:tab/>
            </w:r>
            <w:r w:rsidR="00C51DC9">
              <w:rPr>
                <w:noProof/>
                <w:webHidden/>
              </w:rPr>
              <w:fldChar w:fldCharType="begin"/>
            </w:r>
            <w:r w:rsidR="00C51DC9">
              <w:rPr>
                <w:noProof/>
                <w:webHidden/>
              </w:rPr>
              <w:instrText xml:space="preserve"> PAGEREF _Toc528239305 \h </w:instrText>
            </w:r>
            <w:r w:rsidR="00C51DC9">
              <w:rPr>
                <w:noProof/>
                <w:webHidden/>
              </w:rPr>
            </w:r>
            <w:r w:rsidR="00C51DC9">
              <w:rPr>
                <w:noProof/>
                <w:webHidden/>
              </w:rPr>
              <w:fldChar w:fldCharType="separate"/>
            </w:r>
            <w:r w:rsidR="00C51DC9">
              <w:rPr>
                <w:noProof/>
                <w:webHidden/>
              </w:rPr>
              <w:t>7</w:t>
            </w:r>
            <w:r w:rsidR="00C51DC9">
              <w:rPr>
                <w:noProof/>
                <w:webHidden/>
              </w:rPr>
              <w:fldChar w:fldCharType="end"/>
            </w:r>
          </w:hyperlink>
        </w:p>
        <w:p w14:paraId="71805A4B" w14:textId="77777777" w:rsidR="00C51DC9" w:rsidRDefault="00A14A2D">
          <w:pPr>
            <w:pStyle w:val="TOC2"/>
            <w:rPr>
              <w:rFonts w:asciiTheme="minorHAnsi" w:eastAsiaTheme="minorEastAsia" w:hAnsiTheme="minorHAnsi" w:cstheme="minorBidi"/>
              <w:sz w:val="22"/>
              <w:szCs w:val="22"/>
              <w:lang w:eastAsia="en-AU"/>
            </w:rPr>
          </w:pPr>
          <w:hyperlink w:anchor="_Toc528239306" w:history="1">
            <w:r w:rsidR="00C51DC9" w:rsidRPr="0022573D">
              <w:rPr>
                <w:rStyle w:val="Hyperlink"/>
              </w:rPr>
              <w:t>Survey findings</w:t>
            </w:r>
            <w:r w:rsidR="00C51DC9">
              <w:rPr>
                <w:webHidden/>
              </w:rPr>
              <w:tab/>
            </w:r>
            <w:r w:rsidR="00C51DC9">
              <w:rPr>
                <w:webHidden/>
              </w:rPr>
              <w:fldChar w:fldCharType="begin"/>
            </w:r>
            <w:r w:rsidR="00C51DC9">
              <w:rPr>
                <w:webHidden/>
              </w:rPr>
              <w:instrText xml:space="preserve"> PAGEREF _Toc528239306 \h </w:instrText>
            </w:r>
            <w:r w:rsidR="00C51DC9">
              <w:rPr>
                <w:webHidden/>
              </w:rPr>
            </w:r>
            <w:r w:rsidR="00C51DC9">
              <w:rPr>
                <w:webHidden/>
              </w:rPr>
              <w:fldChar w:fldCharType="separate"/>
            </w:r>
            <w:r w:rsidR="00C51DC9">
              <w:rPr>
                <w:webHidden/>
              </w:rPr>
              <w:t>7</w:t>
            </w:r>
            <w:r w:rsidR="00C51DC9">
              <w:rPr>
                <w:webHidden/>
              </w:rPr>
              <w:fldChar w:fldCharType="end"/>
            </w:r>
          </w:hyperlink>
        </w:p>
        <w:p w14:paraId="6414D765" w14:textId="77777777" w:rsidR="00C51DC9" w:rsidRDefault="00A14A2D">
          <w:pPr>
            <w:pStyle w:val="TOC2"/>
            <w:rPr>
              <w:rFonts w:asciiTheme="minorHAnsi" w:eastAsiaTheme="minorEastAsia" w:hAnsiTheme="minorHAnsi" w:cstheme="minorBidi"/>
              <w:sz w:val="22"/>
              <w:szCs w:val="22"/>
              <w:lang w:eastAsia="en-AU"/>
            </w:rPr>
          </w:pPr>
          <w:hyperlink w:anchor="_Toc528239307" w:history="1">
            <w:r w:rsidR="00C51DC9" w:rsidRPr="0022573D">
              <w:rPr>
                <w:rStyle w:val="Hyperlink"/>
              </w:rPr>
              <w:t>Recommended intervention areas</w:t>
            </w:r>
            <w:r w:rsidR="00C51DC9">
              <w:rPr>
                <w:webHidden/>
              </w:rPr>
              <w:tab/>
            </w:r>
            <w:r w:rsidR="00C51DC9">
              <w:rPr>
                <w:webHidden/>
              </w:rPr>
              <w:fldChar w:fldCharType="begin"/>
            </w:r>
            <w:r w:rsidR="00C51DC9">
              <w:rPr>
                <w:webHidden/>
              </w:rPr>
              <w:instrText xml:space="preserve"> PAGEREF _Toc528239307 \h </w:instrText>
            </w:r>
            <w:r w:rsidR="00C51DC9">
              <w:rPr>
                <w:webHidden/>
              </w:rPr>
            </w:r>
            <w:r w:rsidR="00C51DC9">
              <w:rPr>
                <w:webHidden/>
              </w:rPr>
              <w:fldChar w:fldCharType="separate"/>
            </w:r>
            <w:r w:rsidR="00C51DC9">
              <w:rPr>
                <w:webHidden/>
              </w:rPr>
              <w:t>7</w:t>
            </w:r>
            <w:r w:rsidR="00C51DC9">
              <w:rPr>
                <w:webHidden/>
              </w:rPr>
              <w:fldChar w:fldCharType="end"/>
            </w:r>
          </w:hyperlink>
        </w:p>
        <w:p w14:paraId="0E9829F7" w14:textId="77777777" w:rsidR="00C51DC9" w:rsidRDefault="00A14A2D">
          <w:pPr>
            <w:pStyle w:val="TOC3"/>
            <w:rPr>
              <w:rFonts w:asciiTheme="minorHAnsi" w:eastAsiaTheme="minorEastAsia" w:hAnsiTheme="minorHAnsi" w:cstheme="minorBidi"/>
              <w:noProof/>
              <w:sz w:val="22"/>
              <w:szCs w:val="22"/>
              <w:lang w:eastAsia="en-AU"/>
            </w:rPr>
          </w:pPr>
          <w:hyperlink w:anchor="_Toc528239308" w:history="1">
            <w:r w:rsidR="00C51DC9" w:rsidRPr="0022573D">
              <w:rPr>
                <w:rStyle w:val="Hyperlink"/>
                <w:noProof/>
              </w:rPr>
              <w:t>Summary of factors contributing to better waste management outcomes</w:t>
            </w:r>
            <w:r w:rsidR="00C51DC9">
              <w:rPr>
                <w:noProof/>
                <w:webHidden/>
              </w:rPr>
              <w:tab/>
            </w:r>
            <w:r w:rsidR="00C51DC9">
              <w:rPr>
                <w:noProof/>
                <w:webHidden/>
              </w:rPr>
              <w:fldChar w:fldCharType="begin"/>
            </w:r>
            <w:r w:rsidR="00C51DC9">
              <w:rPr>
                <w:noProof/>
                <w:webHidden/>
              </w:rPr>
              <w:instrText xml:space="preserve"> PAGEREF _Toc528239308 \h </w:instrText>
            </w:r>
            <w:r w:rsidR="00C51DC9">
              <w:rPr>
                <w:noProof/>
                <w:webHidden/>
              </w:rPr>
            </w:r>
            <w:r w:rsidR="00C51DC9">
              <w:rPr>
                <w:noProof/>
                <w:webHidden/>
              </w:rPr>
              <w:fldChar w:fldCharType="separate"/>
            </w:r>
            <w:r w:rsidR="00C51DC9">
              <w:rPr>
                <w:noProof/>
                <w:webHidden/>
              </w:rPr>
              <w:t>8</w:t>
            </w:r>
            <w:r w:rsidR="00C51DC9">
              <w:rPr>
                <w:noProof/>
                <w:webHidden/>
              </w:rPr>
              <w:fldChar w:fldCharType="end"/>
            </w:r>
          </w:hyperlink>
        </w:p>
        <w:p w14:paraId="7E8EAE43" w14:textId="77777777" w:rsidR="00C51DC9" w:rsidRDefault="00A14A2D">
          <w:pPr>
            <w:pStyle w:val="TOC1"/>
            <w:rPr>
              <w:rFonts w:asciiTheme="minorHAnsi" w:eastAsiaTheme="minorEastAsia" w:hAnsiTheme="minorHAnsi" w:cstheme="minorBidi"/>
              <w:b w:val="0"/>
              <w:sz w:val="22"/>
              <w:szCs w:val="22"/>
              <w:lang w:eastAsia="en-AU"/>
            </w:rPr>
          </w:pPr>
          <w:hyperlink w:anchor="_Toc528239309" w:history="1">
            <w:r w:rsidR="00C51DC9" w:rsidRPr="0022573D">
              <w:rPr>
                <w:rStyle w:val="Hyperlink"/>
              </w:rPr>
              <w:t>Phase 2: Intervention development</w:t>
            </w:r>
            <w:r w:rsidR="00C51DC9">
              <w:rPr>
                <w:webHidden/>
              </w:rPr>
              <w:tab/>
            </w:r>
            <w:r w:rsidR="00C51DC9">
              <w:rPr>
                <w:webHidden/>
              </w:rPr>
              <w:fldChar w:fldCharType="begin"/>
            </w:r>
            <w:r w:rsidR="00C51DC9">
              <w:rPr>
                <w:webHidden/>
              </w:rPr>
              <w:instrText xml:space="preserve"> PAGEREF _Toc528239309 \h </w:instrText>
            </w:r>
            <w:r w:rsidR="00C51DC9">
              <w:rPr>
                <w:webHidden/>
              </w:rPr>
            </w:r>
            <w:r w:rsidR="00C51DC9">
              <w:rPr>
                <w:webHidden/>
              </w:rPr>
              <w:fldChar w:fldCharType="separate"/>
            </w:r>
            <w:r w:rsidR="00C51DC9">
              <w:rPr>
                <w:webHidden/>
              </w:rPr>
              <w:t>10</w:t>
            </w:r>
            <w:r w:rsidR="00C51DC9">
              <w:rPr>
                <w:webHidden/>
              </w:rPr>
              <w:fldChar w:fldCharType="end"/>
            </w:r>
          </w:hyperlink>
        </w:p>
        <w:p w14:paraId="42C02FC2" w14:textId="77777777" w:rsidR="00C51DC9" w:rsidRDefault="00A14A2D">
          <w:pPr>
            <w:pStyle w:val="TOC2"/>
            <w:rPr>
              <w:rFonts w:asciiTheme="minorHAnsi" w:eastAsiaTheme="minorEastAsia" w:hAnsiTheme="minorHAnsi" w:cstheme="minorBidi"/>
              <w:sz w:val="22"/>
              <w:szCs w:val="22"/>
              <w:lang w:eastAsia="en-AU"/>
            </w:rPr>
          </w:pPr>
          <w:hyperlink w:anchor="_Toc528239310" w:history="1">
            <w:r w:rsidR="00C51DC9" w:rsidRPr="0022573D">
              <w:rPr>
                <w:rStyle w:val="Hyperlink"/>
              </w:rPr>
              <w:t>Intervention 1: Waste audit guidelines</w:t>
            </w:r>
            <w:r w:rsidR="00C51DC9">
              <w:rPr>
                <w:webHidden/>
              </w:rPr>
              <w:tab/>
            </w:r>
            <w:r w:rsidR="00C51DC9">
              <w:rPr>
                <w:webHidden/>
              </w:rPr>
              <w:fldChar w:fldCharType="begin"/>
            </w:r>
            <w:r w:rsidR="00C51DC9">
              <w:rPr>
                <w:webHidden/>
              </w:rPr>
              <w:instrText xml:space="preserve"> PAGEREF _Toc528239310 \h </w:instrText>
            </w:r>
            <w:r w:rsidR="00C51DC9">
              <w:rPr>
                <w:webHidden/>
              </w:rPr>
            </w:r>
            <w:r w:rsidR="00C51DC9">
              <w:rPr>
                <w:webHidden/>
              </w:rPr>
              <w:fldChar w:fldCharType="separate"/>
            </w:r>
            <w:r w:rsidR="00C51DC9">
              <w:rPr>
                <w:webHidden/>
              </w:rPr>
              <w:t>10</w:t>
            </w:r>
            <w:r w:rsidR="00C51DC9">
              <w:rPr>
                <w:webHidden/>
              </w:rPr>
              <w:fldChar w:fldCharType="end"/>
            </w:r>
          </w:hyperlink>
        </w:p>
        <w:p w14:paraId="61F50336" w14:textId="77777777" w:rsidR="00C51DC9" w:rsidRDefault="00A14A2D">
          <w:pPr>
            <w:pStyle w:val="TOC2"/>
            <w:rPr>
              <w:rFonts w:asciiTheme="minorHAnsi" w:eastAsiaTheme="minorEastAsia" w:hAnsiTheme="minorHAnsi" w:cstheme="minorBidi"/>
              <w:sz w:val="22"/>
              <w:szCs w:val="22"/>
              <w:lang w:eastAsia="en-AU"/>
            </w:rPr>
          </w:pPr>
          <w:hyperlink w:anchor="_Toc528239311" w:history="1">
            <w:r w:rsidR="00C51DC9" w:rsidRPr="0022573D">
              <w:rPr>
                <w:rStyle w:val="Hyperlink"/>
              </w:rPr>
              <w:t>Intervention 2: Clinical waste guidelines clarification and FAQs</w:t>
            </w:r>
            <w:r w:rsidR="00C51DC9">
              <w:rPr>
                <w:webHidden/>
              </w:rPr>
              <w:tab/>
            </w:r>
            <w:r w:rsidR="00C51DC9">
              <w:rPr>
                <w:webHidden/>
              </w:rPr>
              <w:fldChar w:fldCharType="begin"/>
            </w:r>
            <w:r w:rsidR="00C51DC9">
              <w:rPr>
                <w:webHidden/>
              </w:rPr>
              <w:instrText xml:space="preserve"> PAGEREF _Toc528239311 \h </w:instrText>
            </w:r>
            <w:r w:rsidR="00C51DC9">
              <w:rPr>
                <w:webHidden/>
              </w:rPr>
            </w:r>
            <w:r w:rsidR="00C51DC9">
              <w:rPr>
                <w:webHidden/>
              </w:rPr>
              <w:fldChar w:fldCharType="separate"/>
            </w:r>
            <w:r w:rsidR="00C51DC9">
              <w:rPr>
                <w:webHidden/>
              </w:rPr>
              <w:t>10</w:t>
            </w:r>
            <w:r w:rsidR="00C51DC9">
              <w:rPr>
                <w:webHidden/>
              </w:rPr>
              <w:fldChar w:fldCharType="end"/>
            </w:r>
          </w:hyperlink>
        </w:p>
        <w:p w14:paraId="0F891160" w14:textId="77777777" w:rsidR="00C51DC9" w:rsidRDefault="00A14A2D">
          <w:pPr>
            <w:pStyle w:val="TOC2"/>
            <w:rPr>
              <w:rFonts w:asciiTheme="minorHAnsi" w:eastAsiaTheme="minorEastAsia" w:hAnsiTheme="minorHAnsi" w:cstheme="minorBidi"/>
              <w:sz w:val="22"/>
              <w:szCs w:val="22"/>
              <w:lang w:eastAsia="en-AU"/>
            </w:rPr>
          </w:pPr>
          <w:hyperlink w:anchor="_Toc528239312" w:history="1">
            <w:r w:rsidR="00C51DC9" w:rsidRPr="0022573D">
              <w:rPr>
                <w:rStyle w:val="Hyperlink"/>
              </w:rPr>
              <w:t>Intervention 3: E-waste to landfill ban</w:t>
            </w:r>
            <w:r w:rsidR="00C51DC9">
              <w:rPr>
                <w:webHidden/>
              </w:rPr>
              <w:tab/>
            </w:r>
            <w:r w:rsidR="00C51DC9">
              <w:rPr>
                <w:webHidden/>
              </w:rPr>
              <w:fldChar w:fldCharType="begin"/>
            </w:r>
            <w:r w:rsidR="00C51DC9">
              <w:rPr>
                <w:webHidden/>
              </w:rPr>
              <w:instrText xml:space="preserve"> PAGEREF _Toc528239312 \h </w:instrText>
            </w:r>
            <w:r w:rsidR="00C51DC9">
              <w:rPr>
                <w:webHidden/>
              </w:rPr>
            </w:r>
            <w:r w:rsidR="00C51DC9">
              <w:rPr>
                <w:webHidden/>
              </w:rPr>
              <w:fldChar w:fldCharType="separate"/>
            </w:r>
            <w:r w:rsidR="00C51DC9">
              <w:rPr>
                <w:webHidden/>
              </w:rPr>
              <w:t>11</w:t>
            </w:r>
            <w:r w:rsidR="00C51DC9">
              <w:rPr>
                <w:webHidden/>
              </w:rPr>
              <w:fldChar w:fldCharType="end"/>
            </w:r>
          </w:hyperlink>
        </w:p>
        <w:p w14:paraId="186C52CA" w14:textId="77777777" w:rsidR="00C51DC9" w:rsidRDefault="00A14A2D">
          <w:pPr>
            <w:pStyle w:val="TOC2"/>
            <w:rPr>
              <w:rFonts w:asciiTheme="minorHAnsi" w:eastAsiaTheme="minorEastAsia" w:hAnsiTheme="minorHAnsi" w:cstheme="minorBidi"/>
              <w:sz w:val="22"/>
              <w:szCs w:val="22"/>
              <w:lang w:eastAsia="en-AU"/>
            </w:rPr>
          </w:pPr>
          <w:hyperlink w:anchor="_Toc528239313" w:history="1">
            <w:r w:rsidR="00C51DC9" w:rsidRPr="0022573D">
              <w:rPr>
                <w:rStyle w:val="Hyperlink"/>
              </w:rPr>
              <w:t>Intervention 4: Piloting waste segregation in theatre</w:t>
            </w:r>
            <w:r w:rsidR="00C51DC9">
              <w:rPr>
                <w:webHidden/>
              </w:rPr>
              <w:tab/>
            </w:r>
            <w:r w:rsidR="00C51DC9">
              <w:rPr>
                <w:webHidden/>
              </w:rPr>
              <w:fldChar w:fldCharType="begin"/>
            </w:r>
            <w:r w:rsidR="00C51DC9">
              <w:rPr>
                <w:webHidden/>
              </w:rPr>
              <w:instrText xml:space="preserve"> PAGEREF _Toc528239313 \h </w:instrText>
            </w:r>
            <w:r w:rsidR="00C51DC9">
              <w:rPr>
                <w:webHidden/>
              </w:rPr>
            </w:r>
            <w:r w:rsidR="00C51DC9">
              <w:rPr>
                <w:webHidden/>
              </w:rPr>
              <w:fldChar w:fldCharType="separate"/>
            </w:r>
            <w:r w:rsidR="00C51DC9">
              <w:rPr>
                <w:webHidden/>
              </w:rPr>
              <w:t>11</w:t>
            </w:r>
            <w:r w:rsidR="00C51DC9">
              <w:rPr>
                <w:webHidden/>
              </w:rPr>
              <w:fldChar w:fldCharType="end"/>
            </w:r>
          </w:hyperlink>
        </w:p>
        <w:p w14:paraId="0EB0CABB" w14:textId="77777777" w:rsidR="00C51DC9" w:rsidRDefault="00A14A2D">
          <w:pPr>
            <w:pStyle w:val="TOC2"/>
            <w:rPr>
              <w:rFonts w:asciiTheme="minorHAnsi" w:eastAsiaTheme="minorEastAsia" w:hAnsiTheme="minorHAnsi" w:cstheme="minorBidi"/>
              <w:sz w:val="22"/>
              <w:szCs w:val="22"/>
              <w:lang w:eastAsia="en-AU"/>
            </w:rPr>
          </w:pPr>
          <w:hyperlink w:anchor="_Toc528239314" w:history="1">
            <w:r w:rsidR="00C51DC9" w:rsidRPr="0022573D">
              <w:rPr>
                <w:rStyle w:val="Hyperlink"/>
              </w:rPr>
              <w:t>Intervention 5: PVC recycling</w:t>
            </w:r>
            <w:r w:rsidR="00C51DC9">
              <w:rPr>
                <w:webHidden/>
              </w:rPr>
              <w:tab/>
            </w:r>
            <w:r w:rsidR="00C51DC9">
              <w:rPr>
                <w:webHidden/>
              </w:rPr>
              <w:fldChar w:fldCharType="begin"/>
            </w:r>
            <w:r w:rsidR="00C51DC9">
              <w:rPr>
                <w:webHidden/>
              </w:rPr>
              <w:instrText xml:space="preserve"> PAGEREF _Toc528239314 \h </w:instrText>
            </w:r>
            <w:r w:rsidR="00C51DC9">
              <w:rPr>
                <w:webHidden/>
              </w:rPr>
            </w:r>
            <w:r w:rsidR="00C51DC9">
              <w:rPr>
                <w:webHidden/>
              </w:rPr>
              <w:fldChar w:fldCharType="separate"/>
            </w:r>
            <w:r w:rsidR="00C51DC9">
              <w:rPr>
                <w:webHidden/>
              </w:rPr>
              <w:t>11</w:t>
            </w:r>
            <w:r w:rsidR="00C51DC9">
              <w:rPr>
                <w:webHidden/>
              </w:rPr>
              <w:fldChar w:fldCharType="end"/>
            </w:r>
          </w:hyperlink>
        </w:p>
        <w:p w14:paraId="2F5E1604" w14:textId="77777777" w:rsidR="00C51DC9" w:rsidRDefault="00A14A2D">
          <w:pPr>
            <w:pStyle w:val="TOC2"/>
            <w:rPr>
              <w:rFonts w:asciiTheme="minorHAnsi" w:eastAsiaTheme="minorEastAsia" w:hAnsiTheme="minorHAnsi" w:cstheme="minorBidi"/>
              <w:sz w:val="22"/>
              <w:szCs w:val="22"/>
              <w:lang w:eastAsia="en-AU"/>
            </w:rPr>
          </w:pPr>
          <w:hyperlink w:anchor="_Toc528239315" w:history="1">
            <w:r w:rsidR="00C51DC9" w:rsidRPr="0022573D">
              <w:rPr>
                <w:rStyle w:val="Hyperlink"/>
              </w:rPr>
              <w:t>Intervention 6: Single-use metal recycling</w:t>
            </w:r>
            <w:r w:rsidR="00C51DC9">
              <w:rPr>
                <w:webHidden/>
              </w:rPr>
              <w:tab/>
            </w:r>
            <w:r w:rsidR="00C51DC9">
              <w:rPr>
                <w:webHidden/>
              </w:rPr>
              <w:fldChar w:fldCharType="begin"/>
            </w:r>
            <w:r w:rsidR="00C51DC9">
              <w:rPr>
                <w:webHidden/>
              </w:rPr>
              <w:instrText xml:space="preserve"> PAGEREF _Toc528239315 \h </w:instrText>
            </w:r>
            <w:r w:rsidR="00C51DC9">
              <w:rPr>
                <w:webHidden/>
              </w:rPr>
            </w:r>
            <w:r w:rsidR="00C51DC9">
              <w:rPr>
                <w:webHidden/>
              </w:rPr>
              <w:fldChar w:fldCharType="separate"/>
            </w:r>
            <w:r w:rsidR="00C51DC9">
              <w:rPr>
                <w:webHidden/>
              </w:rPr>
              <w:t>12</w:t>
            </w:r>
            <w:r w:rsidR="00C51DC9">
              <w:rPr>
                <w:webHidden/>
              </w:rPr>
              <w:fldChar w:fldCharType="end"/>
            </w:r>
          </w:hyperlink>
        </w:p>
        <w:p w14:paraId="477F6621" w14:textId="77777777" w:rsidR="00C51DC9" w:rsidRDefault="00A14A2D">
          <w:pPr>
            <w:pStyle w:val="TOC2"/>
            <w:rPr>
              <w:rFonts w:asciiTheme="minorHAnsi" w:eastAsiaTheme="minorEastAsia" w:hAnsiTheme="minorHAnsi" w:cstheme="minorBidi"/>
              <w:sz w:val="22"/>
              <w:szCs w:val="22"/>
              <w:lang w:eastAsia="en-AU"/>
            </w:rPr>
          </w:pPr>
          <w:hyperlink w:anchor="_Toc528239316" w:history="1">
            <w:r w:rsidR="00C51DC9" w:rsidRPr="0022573D">
              <w:rPr>
                <w:rStyle w:val="Hyperlink"/>
              </w:rPr>
              <w:t>Intervention 7: Mentoring workshops</w:t>
            </w:r>
            <w:r w:rsidR="00C51DC9">
              <w:rPr>
                <w:webHidden/>
              </w:rPr>
              <w:tab/>
            </w:r>
            <w:r w:rsidR="00C51DC9">
              <w:rPr>
                <w:webHidden/>
              </w:rPr>
              <w:fldChar w:fldCharType="begin"/>
            </w:r>
            <w:r w:rsidR="00C51DC9">
              <w:rPr>
                <w:webHidden/>
              </w:rPr>
              <w:instrText xml:space="preserve"> PAGEREF _Toc528239316 \h </w:instrText>
            </w:r>
            <w:r w:rsidR="00C51DC9">
              <w:rPr>
                <w:webHidden/>
              </w:rPr>
            </w:r>
            <w:r w:rsidR="00C51DC9">
              <w:rPr>
                <w:webHidden/>
              </w:rPr>
              <w:fldChar w:fldCharType="separate"/>
            </w:r>
            <w:r w:rsidR="00C51DC9">
              <w:rPr>
                <w:webHidden/>
              </w:rPr>
              <w:t>12</w:t>
            </w:r>
            <w:r w:rsidR="00C51DC9">
              <w:rPr>
                <w:webHidden/>
              </w:rPr>
              <w:fldChar w:fldCharType="end"/>
            </w:r>
          </w:hyperlink>
        </w:p>
        <w:p w14:paraId="7D7DCF2F" w14:textId="77777777" w:rsidR="00C51DC9" w:rsidRDefault="00A14A2D">
          <w:pPr>
            <w:pStyle w:val="TOC2"/>
            <w:rPr>
              <w:rFonts w:asciiTheme="minorHAnsi" w:eastAsiaTheme="minorEastAsia" w:hAnsiTheme="minorHAnsi" w:cstheme="minorBidi"/>
              <w:sz w:val="22"/>
              <w:szCs w:val="22"/>
              <w:lang w:eastAsia="en-AU"/>
            </w:rPr>
          </w:pPr>
          <w:hyperlink w:anchor="_Toc528239317" w:history="1">
            <w:r w:rsidR="00C51DC9" w:rsidRPr="0022573D">
              <w:rPr>
                <w:rStyle w:val="Hyperlink"/>
              </w:rPr>
              <w:t>Intervention 8: Online education resource</w:t>
            </w:r>
            <w:r w:rsidR="00C51DC9">
              <w:rPr>
                <w:webHidden/>
              </w:rPr>
              <w:tab/>
            </w:r>
            <w:r w:rsidR="00C51DC9">
              <w:rPr>
                <w:webHidden/>
              </w:rPr>
              <w:fldChar w:fldCharType="begin"/>
            </w:r>
            <w:r w:rsidR="00C51DC9">
              <w:rPr>
                <w:webHidden/>
              </w:rPr>
              <w:instrText xml:space="preserve"> PAGEREF _Toc528239317 \h </w:instrText>
            </w:r>
            <w:r w:rsidR="00C51DC9">
              <w:rPr>
                <w:webHidden/>
              </w:rPr>
            </w:r>
            <w:r w:rsidR="00C51DC9">
              <w:rPr>
                <w:webHidden/>
              </w:rPr>
              <w:fldChar w:fldCharType="separate"/>
            </w:r>
            <w:r w:rsidR="00C51DC9">
              <w:rPr>
                <w:webHidden/>
              </w:rPr>
              <w:t>12</w:t>
            </w:r>
            <w:r w:rsidR="00C51DC9">
              <w:rPr>
                <w:webHidden/>
              </w:rPr>
              <w:fldChar w:fldCharType="end"/>
            </w:r>
          </w:hyperlink>
        </w:p>
        <w:p w14:paraId="5E823E0D" w14:textId="77777777" w:rsidR="00C51DC9" w:rsidRDefault="00A14A2D">
          <w:pPr>
            <w:pStyle w:val="TOC2"/>
            <w:rPr>
              <w:rFonts w:asciiTheme="minorHAnsi" w:eastAsiaTheme="minorEastAsia" w:hAnsiTheme="minorHAnsi" w:cstheme="minorBidi"/>
              <w:sz w:val="22"/>
              <w:szCs w:val="22"/>
              <w:lang w:eastAsia="en-AU"/>
            </w:rPr>
          </w:pPr>
          <w:hyperlink w:anchor="_Toc528239318" w:history="1">
            <w:r w:rsidR="00C51DC9" w:rsidRPr="0022573D">
              <w:rPr>
                <w:rStyle w:val="Hyperlink"/>
              </w:rPr>
              <w:t>Recommendations from phase 1 beyond the scope of the project</w:t>
            </w:r>
            <w:r w:rsidR="00C51DC9">
              <w:rPr>
                <w:webHidden/>
              </w:rPr>
              <w:tab/>
            </w:r>
            <w:r w:rsidR="00C51DC9">
              <w:rPr>
                <w:webHidden/>
              </w:rPr>
              <w:fldChar w:fldCharType="begin"/>
            </w:r>
            <w:r w:rsidR="00C51DC9">
              <w:rPr>
                <w:webHidden/>
              </w:rPr>
              <w:instrText xml:space="preserve"> PAGEREF _Toc528239318 \h </w:instrText>
            </w:r>
            <w:r w:rsidR="00C51DC9">
              <w:rPr>
                <w:webHidden/>
              </w:rPr>
            </w:r>
            <w:r w:rsidR="00C51DC9">
              <w:rPr>
                <w:webHidden/>
              </w:rPr>
              <w:fldChar w:fldCharType="separate"/>
            </w:r>
            <w:r w:rsidR="00C51DC9">
              <w:rPr>
                <w:webHidden/>
              </w:rPr>
              <w:t>13</w:t>
            </w:r>
            <w:r w:rsidR="00C51DC9">
              <w:rPr>
                <w:webHidden/>
              </w:rPr>
              <w:fldChar w:fldCharType="end"/>
            </w:r>
          </w:hyperlink>
        </w:p>
        <w:p w14:paraId="45935BDA" w14:textId="77777777" w:rsidR="00C51DC9" w:rsidRDefault="00A14A2D">
          <w:pPr>
            <w:pStyle w:val="TOC1"/>
            <w:rPr>
              <w:rFonts w:asciiTheme="minorHAnsi" w:eastAsiaTheme="minorEastAsia" w:hAnsiTheme="minorHAnsi" w:cstheme="minorBidi"/>
              <w:b w:val="0"/>
              <w:sz w:val="22"/>
              <w:szCs w:val="22"/>
              <w:lang w:eastAsia="en-AU"/>
            </w:rPr>
          </w:pPr>
          <w:hyperlink w:anchor="_Toc528239319" w:history="1">
            <w:r w:rsidR="00C51DC9" w:rsidRPr="0022573D">
              <w:rPr>
                <w:rStyle w:val="Hyperlink"/>
                <w:rFonts w:eastAsia="Times"/>
              </w:rPr>
              <w:t>Appendix: Survey findings</w:t>
            </w:r>
            <w:r w:rsidR="00C51DC9">
              <w:rPr>
                <w:webHidden/>
              </w:rPr>
              <w:tab/>
            </w:r>
            <w:r w:rsidR="00C51DC9">
              <w:rPr>
                <w:webHidden/>
              </w:rPr>
              <w:fldChar w:fldCharType="begin"/>
            </w:r>
            <w:r w:rsidR="00C51DC9">
              <w:rPr>
                <w:webHidden/>
              </w:rPr>
              <w:instrText xml:space="preserve"> PAGEREF _Toc528239319 \h </w:instrText>
            </w:r>
            <w:r w:rsidR="00C51DC9">
              <w:rPr>
                <w:webHidden/>
              </w:rPr>
            </w:r>
            <w:r w:rsidR="00C51DC9">
              <w:rPr>
                <w:webHidden/>
              </w:rPr>
              <w:fldChar w:fldCharType="separate"/>
            </w:r>
            <w:r w:rsidR="00C51DC9">
              <w:rPr>
                <w:webHidden/>
              </w:rPr>
              <w:t>14</w:t>
            </w:r>
            <w:r w:rsidR="00C51DC9">
              <w:rPr>
                <w:webHidden/>
              </w:rPr>
              <w:fldChar w:fldCharType="end"/>
            </w:r>
          </w:hyperlink>
        </w:p>
        <w:p w14:paraId="41379FF3" w14:textId="77777777" w:rsidR="00C51DC9" w:rsidRDefault="00A14A2D">
          <w:pPr>
            <w:pStyle w:val="TOC2"/>
            <w:rPr>
              <w:rFonts w:asciiTheme="minorHAnsi" w:eastAsiaTheme="minorEastAsia" w:hAnsiTheme="minorHAnsi" w:cstheme="minorBidi"/>
              <w:sz w:val="22"/>
              <w:szCs w:val="22"/>
              <w:lang w:eastAsia="en-AU"/>
            </w:rPr>
          </w:pPr>
          <w:hyperlink w:anchor="_Toc528239320" w:history="1">
            <w:r w:rsidR="00C51DC9" w:rsidRPr="0022573D">
              <w:rPr>
                <w:rStyle w:val="Hyperlink"/>
              </w:rPr>
              <w:t>Priority waste streams</w:t>
            </w:r>
            <w:r w:rsidR="00C51DC9">
              <w:rPr>
                <w:webHidden/>
              </w:rPr>
              <w:tab/>
            </w:r>
            <w:r w:rsidR="00C51DC9">
              <w:rPr>
                <w:webHidden/>
              </w:rPr>
              <w:fldChar w:fldCharType="begin"/>
            </w:r>
            <w:r w:rsidR="00C51DC9">
              <w:rPr>
                <w:webHidden/>
              </w:rPr>
              <w:instrText xml:space="preserve"> PAGEREF _Toc528239320 \h </w:instrText>
            </w:r>
            <w:r w:rsidR="00C51DC9">
              <w:rPr>
                <w:webHidden/>
              </w:rPr>
            </w:r>
            <w:r w:rsidR="00C51DC9">
              <w:rPr>
                <w:webHidden/>
              </w:rPr>
              <w:fldChar w:fldCharType="separate"/>
            </w:r>
            <w:r w:rsidR="00C51DC9">
              <w:rPr>
                <w:webHidden/>
              </w:rPr>
              <w:t>14</w:t>
            </w:r>
            <w:r w:rsidR="00C51DC9">
              <w:rPr>
                <w:webHidden/>
              </w:rPr>
              <w:fldChar w:fldCharType="end"/>
            </w:r>
          </w:hyperlink>
        </w:p>
        <w:p w14:paraId="0DFFFA62" w14:textId="77777777" w:rsidR="00C51DC9" w:rsidRDefault="00A14A2D">
          <w:pPr>
            <w:pStyle w:val="TOC2"/>
            <w:rPr>
              <w:rFonts w:asciiTheme="minorHAnsi" w:eastAsiaTheme="minorEastAsia" w:hAnsiTheme="minorHAnsi" w:cstheme="minorBidi"/>
              <w:sz w:val="22"/>
              <w:szCs w:val="22"/>
              <w:lang w:eastAsia="en-AU"/>
            </w:rPr>
          </w:pPr>
          <w:hyperlink w:anchor="_Toc528239321" w:history="1">
            <w:r w:rsidR="00C51DC9" w:rsidRPr="0022573D">
              <w:rPr>
                <w:rStyle w:val="Hyperlink"/>
              </w:rPr>
              <w:t>Priority locations</w:t>
            </w:r>
            <w:r w:rsidR="00C51DC9">
              <w:rPr>
                <w:webHidden/>
              </w:rPr>
              <w:tab/>
            </w:r>
            <w:r w:rsidR="00C51DC9">
              <w:rPr>
                <w:webHidden/>
              </w:rPr>
              <w:fldChar w:fldCharType="begin"/>
            </w:r>
            <w:r w:rsidR="00C51DC9">
              <w:rPr>
                <w:webHidden/>
              </w:rPr>
              <w:instrText xml:space="preserve"> PAGEREF _Toc528239321 \h </w:instrText>
            </w:r>
            <w:r w:rsidR="00C51DC9">
              <w:rPr>
                <w:webHidden/>
              </w:rPr>
            </w:r>
            <w:r w:rsidR="00C51DC9">
              <w:rPr>
                <w:webHidden/>
              </w:rPr>
              <w:fldChar w:fldCharType="separate"/>
            </w:r>
            <w:r w:rsidR="00C51DC9">
              <w:rPr>
                <w:webHidden/>
              </w:rPr>
              <w:t>14</w:t>
            </w:r>
            <w:r w:rsidR="00C51DC9">
              <w:rPr>
                <w:webHidden/>
              </w:rPr>
              <w:fldChar w:fldCharType="end"/>
            </w:r>
          </w:hyperlink>
        </w:p>
        <w:p w14:paraId="3035318F" w14:textId="77777777" w:rsidR="00C51DC9" w:rsidRDefault="00A14A2D">
          <w:pPr>
            <w:pStyle w:val="TOC2"/>
            <w:rPr>
              <w:rFonts w:asciiTheme="minorHAnsi" w:eastAsiaTheme="minorEastAsia" w:hAnsiTheme="minorHAnsi" w:cstheme="minorBidi"/>
              <w:sz w:val="22"/>
              <w:szCs w:val="22"/>
              <w:lang w:eastAsia="en-AU"/>
            </w:rPr>
          </w:pPr>
          <w:hyperlink w:anchor="_Toc528239322" w:history="1">
            <w:r w:rsidR="00C51DC9" w:rsidRPr="0022573D">
              <w:rPr>
                <w:rStyle w:val="Hyperlink"/>
              </w:rPr>
              <w:t>Results based on geography</w:t>
            </w:r>
            <w:r w:rsidR="00C51DC9">
              <w:rPr>
                <w:webHidden/>
              </w:rPr>
              <w:tab/>
            </w:r>
            <w:r w:rsidR="00C51DC9">
              <w:rPr>
                <w:webHidden/>
              </w:rPr>
              <w:fldChar w:fldCharType="begin"/>
            </w:r>
            <w:r w:rsidR="00C51DC9">
              <w:rPr>
                <w:webHidden/>
              </w:rPr>
              <w:instrText xml:space="preserve"> PAGEREF _Toc528239322 \h </w:instrText>
            </w:r>
            <w:r w:rsidR="00C51DC9">
              <w:rPr>
                <w:webHidden/>
              </w:rPr>
            </w:r>
            <w:r w:rsidR="00C51DC9">
              <w:rPr>
                <w:webHidden/>
              </w:rPr>
              <w:fldChar w:fldCharType="separate"/>
            </w:r>
            <w:r w:rsidR="00C51DC9">
              <w:rPr>
                <w:webHidden/>
              </w:rPr>
              <w:t>15</w:t>
            </w:r>
            <w:r w:rsidR="00C51DC9">
              <w:rPr>
                <w:webHidden/>
              </w:rPr>
              <w:fldChar w:fldCharType="end"/>
            </w:r>
          </w:hyperlink>
        </w:p>
        <w:p w14:paraId="37F2449E" w14:textId="77777777" w:rsidR="00C41A45" w:rsidRDefault="00C41A45" w:rsidP="000A72BF">
          <w:pPr>
            <w:pStyle w:val="DHHSbody"/>
          </w:pPr>
          <w:r>
            <w:rPr>
              <w:b/>
              <w:bCs/>
              <w:noProof/>
            </w:rPr>
            <w:fldChar w:fldCharType="end"/>
          </w:r>
        </w:p>
      </w:sdtContent>
    </w:sdt>
    <w:p w14:paraId="74CF7A92" w14:textId="77777777" w:rsidR="00C41A45" w:rsidRDefault="00C41A45" w:rsidP="000A72BF">
      <w:pPr>
        <w:pStyle w:val="DHHSbody"/>
      </w:pPr>
      <w:r>
        <w:br w:type="page"/>
      </w:r>
    </w:p>
    <w:p w14:paraId="569E1BF0" w14:textId="77777777" w:rsidR="00D544BA" w:rsidRDefault="00D544BA" w:rsidP="00121BBD">
      <w:pPr>
        <w:pStyle w:val="Heading1"/>
      </w:pPr>
      <w:bookmarkStart w:id="1" w:name="_Toc528239295"/>
      <w:r>
        <w:lastRenderedPageBreak/>
        <w:t>Executive summary</w:t>
      </w:r>
      <w:bookmarkEnd w:id="1"/>
    </w:p>
    <w:p w14:paraId="0AA2AB6B" w14:textId="03BAF805" w:rsidR="00D544BA" w:rsidRDefault="009853D1" w:rsidP="0095670D">
      <w:pPr>
        <w:pStyle w:val="DHHSbody"/>
      </w:pPr>
      <w:r>
        <w:t>Sustainability Victoria</w:t>
      </w:r>
      <w:r w:rsidR="00D63C3A">
        <w:t xml:space="preserve"> </w:t>
      </w:r>
      <w:r w:rsidR="00184584">
        <w:t>(</w:t>
      </w:r>
      <w:r w:rsidR="00184584" w:rsidRPr="009B240E">
        <w:t>a Victorian Government agency with a statutory objective to facilitate and promote environmental sustainability in the use of resources</w:t>
      </w:r>
      <w:r w:rsidR="00184584">
        <w:t xml:space="preserve">), </w:t>
      </w:r>
      <w:r w:rsidR="00D63C3A">
        <w:t xml:space="preserve">in partnership with </w:t>
      </w:r>
      <w:r w:rsidR="009A75C7">
        <w:t xml:space="preserve">the </w:t>
      </w:r>
      <w:r w:rsidR="00D63C3A">
        <w:t>Department of Health and Human Services</w:t>
      </w:r>
      <w:r w:rsidR="00754AF4">
        <w:t>,</w:t>
      </w:r>
      <w:r w:rsidR="00C9608A">
        <w:t xml:space="preserve"> </w:t>
      </w:r>
      <w:r w:rsidR="00715C15">
        <w:t>identif</w:t>
      </w:r>
      <w:r w:rsidR="00ED68CE">
        <w:t>ied</w:t>
      </w:r>
      <w:r w:rsidR="00711627">
        <w:t xml:space="preserve"> </w:t>
      </w:r>
      <w:r w:rsidR="00715C15">
        <w:t xml:space="preserve">priority procedures, locations and waste materials for a two-year </w:t>
      </w:r>
      <w:r w:rsidR="000E1CEB">
        <w:t xml:space="preserve">behaviour change </w:t>
      </w:r>
      <w:r w:rsidR="00715C15">
        <w:t>intervention program to achieve environmental and financial benefits within waste management in the public hospital system.</w:t>
      </w:r>
    </w:p>
    <w:p w14:paraId="1D96EA8F" w14:textId="77777777" w:rsidR="00715C15" w:rsidRDefault="00715C15" w:rsidP="0095670D">
      <w:pPr>
        <w:pStyle w:val="DHHSbody"/>
      </w:pPr>
      <w:r>
        <w:t>The research identified the following priorities for immediate intervention based on time, cost and effectiveness</w:t>
      </w:r>
      <w:r w:rsidR="008C6D10">
        <w:t>:</w:t>
      </w:r>
      <w:r w:rsidR="00A50437">
        <w:t xml:space="preserve">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454"/>
      </w:tblGrid>
      <w:tr w:rsidR="00AD4222" w14:paraId="079D4320" w14:textId="77777777" w:rsidTr="00C9608A">
        <w:trPr>
          <w:cnfStyle w:val="100000000000" w:firstRow="1" w:lastRow="0" w:firstColumn="0" w:lastColumn="0" w:oddVBand="0" w:evenVBand="0" w:oddHBand="0" w:evenHBand="0" w:firstRowFirstColumn="0" w:firstRowLastColumn="0" w:lastRowFirstColumn="0" w:lastRowLastColumn="0"/>
          <w:tblHeader/>
        </w:trPr>
        <w:tc>
          <w:tcPr>
            <w:tcW w:w="4454" w:type="dxa"/>
            <w:shd w:val="clear" w:color="auto" w:fill="auto"/>
          </w:tcPr>
          <w:p w14:paraId="7538606A" w14:textId="79C7CA63" w:rsidR="00AD4222" w:rsidRPr="00AD4222" w:rsidRDefault="00AD4222" w:rsidP="00AD4222">
            <w:pPr>
              <w:pStyle w:val="DHHStablecolhead"/>
              <w:rPr>
                <w:color w:val="auto"/>
              </w:rPr>
            </w:pPr>
            <w:r w:rsidRPr="00AD4222">
              <w:rPr>
                <w:color w:val="auto"/>
              </w:rPr>
              <w:t>Materials</w:t>
            </w:r>
          </w:p>
        </w:tc>
        <w:tc>
          <w:tcPr>
            <w:tcW w:w="4454" w:type="dxa"/>
            <w:shd w:val="clear" w:color="auto" w:fill="auto"/>
          </w:tcPr>
          <w:p w14:paraId="0ED7CB41" w14:textId="00AC3AB8" w:rsidR="00AD4222" w:rsidRPr="00AD4222" w:rsidRDefault="00AD4222" w:rsidP="00AD4222">
            <w:pPr>
              <w:pStyle w:val="DHHStablecolhead"/>
              <w:rPr>
                <w:color w:val="auto"/>
              </w:rPr>
            </w:pPr>
            <w:r w:rsidRPr="00AD4222">
              <w:rPr>
                <w:color w:val="auto"/>
              </w:rPr>
              <w:t>Locations</w:t>
            </w:r>
          </w:p>
        </w:tc>
      </w:tr>
      <w:tr w:rsidR="00AD4222" w14:paraId="467DB78D" w14:textId="77777777" w:rsidTr="00C9608A">
        <w:tc>
          <w:tcPr>
            <w:tcW w:w="4454" w:type="dxa"/>
          </w:tcPr>
          <w:p w14:paraId="3724D32E" w14:textId="6B014D25" w:rsidR="00AD4222" w:rsidRDefault="00AD4222" w:rsidP="00C9608A">
            <w:pPr>
              <w:pStyle w:val="DHHStablebullet1"/>
              <w:spacing w:before="40" w:after="40"/>
            </w:pPr>
            <w:r>
              <w:rPr>
                <w:lang w:eastAsia="en-AU"/>
              </w:rPr>
              <w:t xml:space="preserve">Food </w:t>
            </w:r>
            <w:r>
              <w:t xml:space="preserve">waste </w:t>
            </w:r>
          </w:p>
        </w:tc>
        <w:tc>
          <w:tcPr>
            <w:tcW w:w="4454" w:type="dxa"/>
          </w:tcPr>
          <w:p w14:paraId="1AC65A2A" w14:textId="7E8C1195" w:rsidR="00AD4222" w:rsidRDefault="00C9608A" w:rsidP="00615469">
            <w:pPr>
              <w:pStyle w:val="DHHStablebullet1"/>
              <w:spacing w:before="40" w:after="40"/>
            </w:pPr>
            <w:r>
              <w:t>Café</w:t>
            </w:r>
            <w:r w:rsidR="00AD4222">
              <w:t xml:space="preserve">s and cafeterias </w:t>
            </w:r>
          </w:p>
        </w:tc>
      </w:tr>
      <w:tr w:rsidR="00AD4222" w14:paraId="0FC911BA" w14:textId="77777777" w:rsidTr="00C9608A">
        <w:tc>
          <w:tcPr>
            <w:tcW w:w="4454" w:type="dxa"/>
          </w:tcPr>
          <w:p w14:paraId="5FF78233" w14:textId="6B33E864" w:rsidR="00AD4222" w:rsidRDefault="00AD4222" w:rsidP="00C9608A">
            <w:pPr>
              <w:pStyle w:val="DHHStablebullet1"/>
              <w:spacing w:before="40" w:after="40"/>
            </w:pPr>
            <w:r>
              <w:t>Commingled recycling</w:t>
            </w:r>
          </w:p>
        </w:tc>
        <w:tc>
          <w:tcPr>
            <w:tcW w:w="4454" w:type="dxa"/>
          </w:tcPr>
          <w:p w14:paraId="354AC089" w14:textId="19D65425" w:rsidR="00AD4222" w:rsidRDefault="00AD4222" w:rsidP="00C9608A">
            <w:pPr>
              <w:pStyle w:val="DHHStablebullet1"/>
              <w:spacing w:before="40" w:after="40"/>
            </w:pPr>
            <w:r>
              <w:t>Public</w:t>
            </w:r>
            <w:r>
              <w:rPr>
                <w:lang w:eastAsia="en-AU"/>
              </w:rPr>
              <w:t xml:space="preserve"> spaces</w:t>
            </w:r>
          </w:p>
        </w:tc>
      </w:tr>
      <w:tr w:rsidR="00AD4222" w14:paraId="0FBE58AA" w14:textId="77777777" w:rsidTr="00C9608A">
        <w:tc>
          <w:tcPr>
            <w:tcW w:w="4454" w:type="dxa"/>
          </w:tcPr>
          <w:p w14:paraId="2FB9CAC3" w14:textId="71A8939D" w:rsidR="00AD4222" w:rsidRDefault="00AD4222" w:rsidP="00C9608A">
            <w:pPr>
              <w:pStyle w:val="DHHStablebullet1"/>
              <w:spacing w:before="40" w:after="40"/>
            </w:pPr>
            <w:r>
              <w:t>PVC items</w:t>
            </w:r>
          </w:p>
        </w:tc>
        <w:tc>
          <w:tcPr>
            <w:tcW w:w="4454" w:type="dxa"/>
          </w:tcPr>
          <w:p w14:paraId="05A46B8B" w14:textId="4E66BD72" w:rsidR="00AD4222" w:rsidRDefault="00AD4222" w:rsidP="00C9608A">
            <w:pPr>
              <w:pStyle w:val="DHHStablebullet1"/>
              <w:spacing w:before="40" w:after="40"/>
            </w:pPr>
            <w:r>
              <w:rPr>
                <w:lang w:eastAsia="en-AU"/>
              </w:rPr>
              <w:t>Theatre departments</w:t>
            </w:r>
          </w:p>
        </w:tc>
      </w:tr>
      <w:tr w:rsidR="00AD4222" w14:paraId="7AA2EFBB" w14:textId="77777777" w:rsidTr="00C9608A">
        <w:tc>
          <w:tcPr>
            <w:tcW w:w="4454" w:type="dxa"/>
          </w:tcPr>
          <w:p w14:paraId="145C28D5" w14:textId="61DB7899" w:rsidR="00AD4222" w:rsidRDefault="00AD4222" w:rsidP="00C9608A">
            <w:pPr>
              <w:pStyle w:val="DHHStablebullet1"/>
              <w:spacing w:before="40" w:after="40"/>
            </w:pPr>
            <w:r>
              <w:t>Single</w:t>
            </w:r>
            <w:r w:rsidR="00C9608A">
              <w:t>-</w:t>
            </w:r>
            <w:r>
              <w:t xml:space="preserve">use metals </w:t>
            </w:r>
          </w:p>
        </w:tc>
        <w:tc>
          <w:tcPr>
            <w:tcW w:w="4454" w:type="dxa"/>
          </w:tcPr>
          <w:p w14:paraId="2E973A43" w14:textId="567EAC7C" w:rsidR="00AD4222" w:rsidRDefault="00AD4222" w:rsidP="00C9608A">
            <w:pPr>
              <w:pStyle w:val="DHHStablebullet1"/>
              <w:spacing w:before="40" w:after="40"/>
            </w:pPr>
            <w:r>
              <w:rPr>
                <w:lang w:eastAsia="en-AU"/>
              </w:rPr>
              <w:t xml:space="preserve">Emergency departments </w:t>
            </w:r>
          </w:p>
        </w:tc>
      </w:tr>
      <w:tr w:rsidR="00AD4222" w14:paraId="7FF7090F" w14:textId="77777777" w:rsidTr="00C9608A">
        <w:tc>
          <w:tcPr>
            <w:tcW w:w="4454" w:type="dxa"/>
          </w:tcPr>
          <w:p w14:paraId="57D3DF81" w14:textId="55E362C9" w:rsidR="00AD4222" w:rsidRDefault="00AD4222" w:rsidP="00C9608A">
            <w:pPr>
              <w:pStyle w:val="DHHStablebullet1"/>
              <w:spacing w:before="40" w:after="40"/>
            </w:pPr>
            <w:r>
              <w:t>Polystyrene</w:t>
            </w:r>
          </w:p>
        </w:tc>
        <w:tc>
          <w:tcPr>
            <w:tcW w:w="4454" w:type="dxa"/>
          </w:tcPr>
          <w:p w14:paraId="76323A64" w14:textId="3BAE6AE3" w:rsidR="00AD4222" w:rsidRDefault="00AD4222" w:rsidP="00C9608A">
            <w:pPr>
              <w:pStyle w:val="DHHStablebullet1"/>
              <w:spacing w:before="40" w:after="40"/>
            </w:pPr>
            <w:r>
              <w:rPr>
                <w:lang w:eastAsia="en-AU"/>
              </w:rPr>
              <w:t xml:space="preserve">Intensive </w:t>
            </w:r>
            <w:r w:rsidR="00C9608A">
              <w:rPr>
                <w:lang w:eastAsia="en-AU"/>
              </w:rPr>
              <w:t>c</w:t>
            </w:r>
            <w:r>
              <w:rPr>
                <w:lang w:eastAsia="en-AU"/>
              </w:rPr>
              <w:t>are units</w:t>
            </w:r>
          </w:p>
        </w:tc>
      </w:tr>
      <w:tr w:rsidR="00AD4222" w14:paraId="1F3F991C" w14:textId="77777777" w:rsidTr="00C9608A">
        <w:tc>
          <w:tcPr>
            <w:tcW w:w="4454" w:type="dxa"/>
          </w:tcPr>
          <w:p w14:paraId="432372AB" w14:textId="77777777" w:rsidR="00AD4222" w:rsidRDefault="00AD4222" w:rsidP="00C9608A">
            <w:pPr>
              <w:pStyle w:val="DHHStablebullet1"/>
              <w:numPr>
                <w:ilvl w:val="0"/>
                <w:numId w:val="0"/>
              </w:numPr>
              <w:spacing w:before="40" w:after="40"/>
              <w:ind w:left="227"/>
            </w:pPr>
          </w:p>
        </w:tc>
        <w:tc>
          <w:tcPr>
            <w:tcW w:w="4454" w:type="dxa"/>
          </w:tcPr>
          <w:p w14:paraId="41F2EB74" w14:textId="2898C590" w:rsidR="00AD4222" w:rsidRDefault="00AD4222" w:rsidP="00C9608A">
            <w:pPr>
              <w:pStyle w:val="DHHStablebullet1"/>
              <w:spacing w:before="40" w:after="40"/>
            </w:pPr>
            <w:r>
              <w:rPr>
                <w:lang w:eastAsia="en-AU"/>
              </w:rPr>
              <w:t>Dialysis units</w:t>
            </w:r>
          </w:p>
        </w:tc>
      </w:tr>
    </w:tbl>
    <w:p w14:paraId="3EB3509C" w14:textId="49EAD32C" w:rsidR="00715C15" w:rsidRPr="005D05F3" w:rsidRDefault="009C439B" w:rsidP="00AD4222">
      <w:pPr>
        <w:pStyle w:val="DHHSbodyaftertablefigure"/>
      </w:pPr>
      <w:r>
        <w:t xml:space="preserve">The </w:t>
      </w:r>
      <w:r w:rsidRPr="005D05F3">
        <w:t>key learnings from those implementing successful waste management initiatives were</w:t>
      </w:r>
      <w:r w:rsidR="007C19E5" w:rsidRPr="005D05F3">
        <w:t xml:space="preserve"> as follows</w:t>
      </w:r>
      <w:r w:rsidR="009A75C7">
        <w:t>:</w:t>
      </w:r>
    </w:p>
    <w:p w14:paraId="0028395B" w14:textId="77777777" w:rsidR="00843D49" w:rsidRPr="005D05F3" w:rsidRDefault="00E24B69" w:rsidP="00184584">
      <w:pPr>
        <w:pStyle w:val="DHHSbody"/>
        <w:spacing w:after="0"/>
        <w:rPr>
          <w:b/>
        </w:rPr>
      </w:pPr>
      <w:r w:rsidRPr="005D05F3">
        <w:rPr>
          <w:b/>
        </w:rPr>
        <w:t>Executive priority and support</w:t>
      </w:r>
    </w:p>
    <w:p w14:paraId="222D12E1" w14:textId="360304E1" w:rsidR="002A0023" w:rsidRPr="005D05F3" w:rsidRDefault="002A0023" w:rsidP="005D05F3">
      <w:pPr>
        <w:pStyle w:val="DHHSbody"/>
      </w:pPr>
      <w:r w:rsidRPr="005D05F3">
        <w:t xml:space="preserve">Executive support </w:t>
      </w:r>
      <w:r w:rsidR="00D63C3A" w:rsidRPr="005D05F3">
        <w:t xml:space="preserve">of projects </w:t>
      </w:r>
      <w:r w:rsidRPr="005D05F3">
        <w:t>validates the work being done</w:t>
      </w:r>
      <w:r w:rsidR="00FA1CFC" w:rsidRPr="005D05F3">
        <w:t xml:space="preserve"> by health service staff and</w:t>
      </w:r>
      <w:r w:rsidRPr="005D05F3">
        <w:t xml:space="preserve"> increas</w:t>
      </w:r>
      <w:r w:rsidR="00486FC9" w:rsidRPr="005D05F3">
        <w:t>es</w:t>
      </w:r>
      <w:r w:rsidRPr="005D05F3">
        <w:t xml:space="preserve"> the likelihood of </w:t>
      </w:r>
      <w:r w:rsidR="00D63C3A" w:rsidRPr="005D05F3">
        <w:t xml:space="preserve">project </w:t>
      </w:r>
      <w:r w:rsidRPr="005D05F3">
        <w:t>success.</w:t>
      </w:r>
    </w:p>
    <w:p w14:paraId="6BE2581C" w14:textId="77777777" w:rsidR="00E24B69" w:rsidRPr="005D05F3" w:rsidRDefault="00E24B69" w:rsidP="00184584">
      <w:pPr>
        <w:pStyle w:val="DHHSbody"/>
        <w:spacing w:after="0"/>
        <w:rPr>
          <w:b/>
        </w:rPr>
      </w:pPr>
      <w:r w:rsidRPr="005D05F3">
        <w:rPr>
          <w:b/>
        </w:rPr>
        <w:t>Internal engagement and buy-in, especially fr</w:t>
      </w:r>
      <w:r w:rsidR="00843D49" w:rsidRPr="005D05F3">
        <w:rPr>
          <w:b/>
        </w:rPr>
        <w:t>om</w:t>
      </w:r>
      <w:r w:rsidRPr="005D05F3">
        <w:rPr>
          <w:b/>
        </w:rPr>
        <w:t xml:space="preserve"> infection control, procurement, </w:t>
      </w:r>
      <w:r w:rsidR="00843D49" w:rsidRPr="005D05F3">
        <w:rPr>
          <w:b/>
        </w:rPr>
        <w:t>environment</w:t>
      </w:r>
      <w:r w:rsidR="00D63C3A" w:rsidRPr="005D05F3">
        <w:rPr>
          <w:b/>
        </w:rPr>
        <w:t xml:space="preserve">al services </w:t>
      </w:r>
      <w:r w:rsidRPr="005D05F3">
        <w:rPr>
          <w:b/>
        </w:rPr>
        <w:t>and facilities managers</w:t>
      </w:r>
    </w:p>
    <w:p w14:paraId="655B1851" w14:textId="2D47501F" w:rsidR="00FA1CFC" w:rsidRPr="005D05F3" w:rsidRDefault="00FA1CFC" w:rsidP="005D05F3">
      <w:pPr>
        <w:pStyle w:val="DHHSbody"/>
      </w:pPr>
      <w:r w:rsidRPr="005D05F3">
        <w:t xml:space="preserve">Engagement of a range of stakeholders </w:t>
      </w:r>
      <w:r w:rsidR="00486FC9" w:rsidRPr="005D05F3">
        <w:t xml:space="preserve">within health services </w:t>
      </w:r>
      <w:r w:rsidRPr="005D05F3">
        <w:t>allows collabo</w:t>
      </w:r>
      <w:r w:rsidR="00486FC9" w:rsidRPr="005D05F3">
        <w:t xml:space="preserve">ration and the sharing of ideas, </w:t>
      </w:r>
      <w:r w:rsidRPr="005D05F3">
        <w:t xml:space="preserve">experiences </w:t>
      </w:r>
      <w:r w:rsidR="00486FC9" w:rsidRPr="005D05F3">
        <w:t xml:space="preserve">and values, </w:t>
      </w:r>
      <w:r w:rsidRPr="005D05F3">
        <w:t>strengthen</w:t>
      </w:r>
      <w:r w:rsidR="00D63C3A" w:rsidRPr="005D05F3">
        <w:t>ing</w:t>
      </w:r>
      <w:r w:rsidR="00754AF4">
        <w:t xml:space="preserve"> the</w:t>
      </w:r>
      <w:r w:rsidR="00D63C3A" w:rsidRPr="005D05F3">
        <w:t xml:space="preserve"> </w:t>
      </w:r>
      <w:r w:rsidRPr="005D05F3">
        <w:t xml:space="preserve">likelihood of </w:t>
      </w:r>
      <w:r w:rsidR="00754AF4">
        <w:t xml:space="preserve">project </w:t>
      </w:r>
      <w:r w:rsidRPr="005D05F3">
        <w:t>success.</w:t>
      </w:r>
    </w:p>
    <w:p w14:paraId="66080299" w14:textId="17BE1BA4" w:rsidR="00E24B69" w:rsidRPr="005D05F3" w:rsidRDefault="00E24B69" w:rsidP="00184584">
      <w:pPr>
        <w:pStyle w:val="DHHSbody"/>
        <w:spacing w:after="0"/>
        <w:rPr>
          <w:b/>
        </w:rPr>
      </w:pPr>
      <w:r w:rsidRPr="005D05F3">
        <w:rPr>
          <w:b/>
        </w:rPr>
        <w:t>Clear</w:t>
      </w:r>
      <w:r w:rsidR="00754AF4">
        <w:rPr>
          <w:b/>
        </w:rPr>
        <w:t>,</w:t>
      </w:r>
      <w:r w:rsidRPr="005D05F3">
        <w:rPr>
          <w:b/>
        </w:rPr>
        <w:t xml:space="preserve"> consistent support from the state and in regional Victoria </w:t>
      </w:r>
    </w:p>
    <w:p w14:paraId="5C588E9B" w14:textId="31C92C28" w:rsidR="00486FC9" w:rsidRPr="005D05F3" w:rsidRDefault="00486FC9" w:rsidP="005D05F3">
      <w:pPr>
        <w:pStyle w:val="DHHSbody"/>
      </w:pPr>
      <w:r w:rsidRPr="005D05F3">
        <w:t xml:space="preserve">Departmental support sends a clear message to health service executives, staff and the general public that sustainability, and particularly effective waste management, is </w:t>
      </w:r>
      <w:r w:rsidR="00D63C3A" w:rsidRPr="005D05F3">
        <w:t>a</w:t>
      </w:r>
      <w:r w:rsidRPr="005D05F3">
        <w:t xml:space="preserve"> priority that</w:t>
      </w:r>
      <w:r w:rsidR="00D63C3A" w:rsidRPr="005D05F3">
        <w:t xml:space="preserve"> must be integrated into </w:t>
      </w:r>
      <w:r w:rsidR="00B61E68">
        <w:t xml:space="preserve">the </w:t>
      </w:r>
      <w:r w:rsidR="00D63C3A" w:rsidRPr="005D05F3">
        <w:t>day-to-</w:t>
      </w:r>
      <w:r w:rsidRPr="005D05F3">
        <w:t>day operations of Victorian public health services.</w:t>
      </w:r>
    </w:p>
    <w:p w14:paraId="2ADBB36E" w14:textId="77777777" w:rsidR="009C439B" w:rsidRPr="005D05F3" w:rsidRDefault="00E24B69" w:rsidP="00184584">
      <w:pPr>
        <w:pStyle w:val="DHHSbody"/>
        <w:spacing w:after="0"/>
        <w:rPr>
          <w:b/>
        </w:rPr>
      </w:pPr>
      <w:r w:rsidRPr="005D05F3">
        <w:rPr>
          <w:b/>
        </w:rPr>
        <w:t>Regulatory certainty and consistent requirements</w:t>
      </w:r>
    </w:p>
    <w:p w14:paraId="497F4665" w14:textId="23D97DF2" w:rsidR="00D63C3A" w:rsidRPr="005D05F3" w:rsidRDefault="00D63C3A" w:rsidP="005D05F3">
      <w:pPr>
        <w:pStyle w:val="DHHSbody"/>
      </w:pPr>
      <w:r w:rsidRPr="005D05F3">
        <w:t>There is a lack of consistent definitions across different regulations, codes of practice and guidelines used by hospitals and their waste services. Ambiguous terminology relating to waste items, and a lack of clarity regarding the definition of infectious, hazardous, clinical or related waste, results in confusion for health service staff.</w:t>
      </w:r>
    </w:p>
    <w:p w14:paraId="32BC7CD0" w14:textId="10360C19" w:rsidR="00E24B69" w:rsidRDefault="00B61E68" w:rsidP="005D05F3">
      <w:pPr>
        <w:pStyle w:val="DHHSbody"/>
      </w:pPr>
      <w:r>
        <w:t>From 2018 to 2020 t</w:t>
      </w:r>
      <w:r w:rsidR="00E24B69" w:rsidRPr="005D05F3">
        <w:t>he</w:t>
      </w:r>
      <w:r>
        <w:t xml:space="preserve"> </w:t>
      </w:r>
      <w:r w:rsidRPr="003F7EE1">
        <w:t>Victorian Health and Human Services Building Authority</w:t>
      </w:r>
      <w:r>
        <w:t xml:space="preserve"> will deliver the</w:t>
      </w:r>
      <w:r w:rsidR="00E24B69" w:rsidRPr="005D05F3">
        <w:t xml:space="preserve"> following interventions</w:t>
      </w:r>
      <w:r w:rsidR="00D63C3A" w:rsidRPr="005D05F3">
        <w:t>,</w:t>
      </w:r>
      <w:r w:rsidR="00E24B69" w:rsidRPr="005D05F3">
        <w:t xml:space="preserve"> with support from a </w:t>
      </w:r>
      <w:r w:rsidR="004D60A7">
        <w:t>p</w:t>
      </w:r>
      <w:r w:rsidR="00E24B69" w:rsidRPr="005D05F3">
        <w:t xml:space="preserve">roject </w:t>
      </w:r>
      <w:r w:rsidR="004D60A7">
        <w:t>w</w:t>
      </w:r>
      <w:r w:rsidR="00E24B69" w:rsidRPr="005D05F3">
        <w:t xml:space="preserve">orking </w:t>
      </w:r>
      <w:r w:rsidR="004D60A7">
        <w:t>g</w:t>
      </w:r>
      <w:r w:rsidR="00E24B69" w:rsidRPr="005D05F3">
        <w:t>roup</w:t>
      </w:r>
      <w:r w:rsidR="00E24B69">
        <w:t>:</w:t>
      </w:r>
    </w:p>
    <w:p w14:paraId="040D1587" w14:textId="1AA3985F" w:rsidR="00E24B69" w:rsidRDefault="007C19E5" w:rsidP="005D05F3">
      <w:pPr>
        <w:pStyle w:val="DHHSbullet1"/>
      </w:pPr>
      <w:r>
        <w:t>Intervention 1: Waste a</w:t>
      </w:r>
      <w:r w:rsidR="00E24B69">
        <w:t xml:space="preserve">udit </w:t>
      </w:r>
      <w:r w:rsidR="00ED68CE">
        <w:t>guidelines</w:t>
      </w:r>
    </w:p>
    <w:p w14:paraId="04FF86FB" w14:textId="047AD275" w:rsidR="00E24B69" w:rsidRDefault="007C19E5" w:rsidP="005D05F3">
      <w:pPr>
        <w:pStyle w:val="DHHSbullet1"/>
      </w:pPr>
      <w:r>
        <w:t>Intervention 2: Clinical w</w:t>
      </w:r>
      <w:r w:rsidR="00E24B69">
        <w:t xml:space="preserve">aste </w:t>
      </w:r>
      <w:r>
        <w:t>g</w:t>
      </w:r>
      <w:r w:rsidR="00E24B69">
        <w:t xml:space="preserve">uidelines </w:t>
      </w:r>
      <w:r>
        <w:t>c</w:t>
      </w:r>
      <w:r w:rsidR="00E24B69">
        <w:t>larification and FAQs</w:t>
      </w:r>
    </w:p>
    <w:p w14:paraId="59EA01BB" w14:textId="3FEE43D2" w:rsidR="00E24B69" w:rsidRDefault="007C19E5" w:rsidP="005D05F3">
      <w:pPr>
        <w:pStyle w:val="DHHSbullet1"/>
      </w:pPr>
      <w:r>
        <w:t>Intervention 3: E-waste to l</w:t>
      </w:r>
      <w:r w:rsidR="00E24B69">
        <w:t xml:space="preserve">andfill </w:t>
      </w:r>
      <w:r w:rsidR="00ED68CE">
        <w:t>ban</w:t>
      </w:r>
    </w:p>
    <w:p w14:paraId="015145C5" w14:textId="69D17D96" w:rsidR="00E24B69" w:rsidRDefault="00FA1CFC" w:rsidP="005D05F3">
      <w:pPr>
        <w:pStyle w:val="DHHSbullet1"/>
      </w:pPr>
      <w:r>
        <w:t>Intervention 4</w:t>
      </w:r>
      <w:r w:rsidR="007C19E5">
        <w:t>: Piloting waste s</w:t>
      </w:r>
      <w:r w:rsidR="00E24B69">
        <w:t xml:space="preserve">egregation </w:t>
      </w:r>
      <w:r w:rsidR="0062351A">
        <w:t>in theatre</w:t>
      </w:r>
    </w:p>
    <w:p w14:paraId="25EE3A16" w14:textId="7AB09623" w:rsidR="00E24B69" w:rsidRDefault="007C19E5" w:rsidP="005D05F3">
      <w:pPr>
        <w:pStyle w:val="DHHSbullet1"/>
      </w:pPr>
      <w:r>
        <w:t xml:space="preserve">Intervention 5: PVC </w:t>
      </w:r>
      <w:r w:rsidR="00ED68CE">
        <w:t>recycling</w:t>
      </w:r>
    </w:p>
    <w:p w14:paraId="3F371537" w14:textId="76E88EE5" w:rsidR="00E24B69" w:rsidRDefault="00D63C3A" w:rsidP="005D05F3">
      <w:pPr>
        <w:pStyle w:val="DHHSbullet1"/>
      </w:pPr>
      <w:r>
        <w:t>I</w:t>
      </w:r>
      <w:r w:rsidR="00E24B69">
        <w:t>ntervention 6: Single</w:t>
      </w:r>
      <w:r w:rsidR="00C9608A">
        <w:t>-</w:t>
      </w:r>
      <w:r w:rsidR="007C19E5">
        <w:t>u</w:t>
      </w:r>
      <w:r w:rsidR="00E24B69">
        <w:t xml:space="preserve">se </w:t>
      </w:r>
      <w:r w:rsidR="007C19E5">
        <w:t>m</w:t>
      </w:r>
      <w:r w:rsidR="00E24B69">
        <w:t xml:space="preserve">etal </w:t>
      </w:r>
      <w:r w:rsidR="00ED68CE">
        <w:t>recycling</w:t>
      </w:r>
    </w:p>
    <w:p w14:paraId="3F35BF4D" w14:textId="58B5EDBE" w:rsidR="00E24B69" w:rsidRDefault="00E24B69" w:rsidP="005D05F3">
      <w:pPr>
        <w:pStyle w:val="DHHSbullet1"/>
      </w:pPr>
      <w:r>
        <w:t xml:space="preserve">Intervention 7: </w:t>
      </w:r>
      <w:r w:rsidR="007C19E5">
        <w:t xml:space="preserve">Mentoring </w:t>
      </w:r>
      <w:r w:rsidR="00ED68CE">
        <w:t>workshops</w:t>
      </w:r>
    </w:p>
    <w:p w14:paraId="68508DE6" w14:textId="00131A78" w:rsidR="00B61E68" w:rsidRDefault="007C19E5" w:rsidP="005D05F3">
      <w:pPr>
        <w:pStyle w:val="DHHSbullet1"/>
        <w:sectPr w:rsidR="00B61E68" w:rsidSect="007B14AA">
          <w:footerReference w:type="default" r:id="rId19"/>
          <w:pgSz w:w="11906" w:h="16838"/>
          <w:pgMar w:top="1440" w:right="1440" w:bottom="1276" w:left="1440" w:header="708" w:footer="708" w:gutter="0"/>
          <w:pgNumType w:start="0"/>
          <w:cols w:space="708"/>
          <w:titlePg/>
          <w:docGrid w:linePitch="360"/>
        </w:sectPr>
      </w:pPr>
      <w:r>
        <w:t>Intervention 8: Online e</w:t>
      </w:r>
      <w:r w:rsidR="00E24B69">
        <w:t xml:space="preserve">ducation </w:t>
      </w:r>
      <w:r w:rsidR="00ED68CE">
        <w:t>resource</w:t>
      </w:r>
      <w:r w:rsidR="005D05F3">
        <w:t>.</w:t>
      </w:r>
    </w:p>
    <w:p w14:paraId="4C203630" w14:textId="77777777" w:rsidR="00C41A45" w:rsidRPr="00287BD9" w:rsidRDefault="00C41A45" w:rsidP="009A75C7">
      <w:pPr>
        <w:pStyle w:val="Heading1"/>
        <w:spacing w:before="0" w:line="240" w:lineRule="auto"/>
      </w:pPr>
      <w:bookmarkStart w:id="2" w:name="_Toc528239296"/>
      <w:r w:rsidRPr="00287BD9">
        <w:lastRenderedPageBreak/>
        <w:t>Introduction</w:t>
      </w:r>
      <w:bookmarkEnd w:id="2"/>
    </w:p>
    <w:p w14:paraId="0ACB9DAB" w14:textId="12A25062" w:rsidR="00C41A45" w:rsidRDefault="00C41A45" w:rsidP="00C41A45">
      <w:pPr>
        <w:pStyle w:val="DHHSbody"/>
      </w:pPr>
      <w:r>
        <w:t>In 2016</w:t>
      </w:r>
      <w:r w:rsidR="006B0436">
        <w:t>,</w:t>
      </w:r>
      <w:r>
        <w:t xml:space="preserve"> </w:t>
      </w:r>
      <w:r w:rsidR="00184584">
        <w:t>Sustainability Victoria</w:t>
      </w:r>
      <w:r>
        <w:t xml:space="preserve"> released the </w:t>
      </w:r>
      <w:r w:rsidRPr="00EA7B80">
        <w:rPr>
          <w:i/>
        </w:rPr>
        <w:t xml:space="preserve">Victorian </w:t>
      </w:r>
      <w:r w:rsidR="00FC647C">
        <w:rPr>
          <w:i/>
        </w:rPr>
        <w:t>w</w:t>
      </w:r>
      <w:r w:rsidRPr="00EA7B80">
        <w:rPr>
          <w:i/>
        </w:rPr>
        <w:t xml:space="preserve">aste </w:t>
      </w:r>
      <w:r w:rsidR="00FC647C">
        <w:rPr>
          <w:i/>
        </w:rPr>
        <w:t>e</w:t>
      </w:r>
      <w:r w:rsidRPr="00EA7B80">
        <w:rPr>
          <w:i/>
        </w:rPr>
        <w:t xml:space="preserve">ducation </w:t>
      </w:r>
      <w:r w:rsidR="00FC647C">
        <w:rPr>
          <w:i/>
        </w:rPr>
        <w:t>s</w:t>
      </w:r>
      <w:r w:rsidRPr="00EA7B80">
        <w:rPr>
          <w:i/>
        </w:rPr>
        <w:t>trategy</w:t>
      </w:r>
      <w:r>
        <w:t xml:space="preserve"> with the aim to increase the awareness of the environmental and economic impacts of waste management and </w:t>
      </w:r>
      <w:r w:rsidR="00F77E78">
        <w:t xml:space="preserve">to </w:t>
      </w:r>
      <w:r>
        <w:t xml:space="preserve">establish consistent approaches to waste education for </w:t>
      </w:r>
      <w:r w:rsidR="00F77E78">
        <w:t xml:space="preserve">business and </w:t>
      </w:r>
      <w:r>
        <w:t>the community.</w:t>
      </w:r>
    </w:p>
    <w:p w14:paraId="406C4E83" w14:textId="2472C551" w:rsidR="00C41A45" w:rsidRDefault="005E46CA" w:rsidP="00C41A45">
      <w:pPr>
        <w:pStyle w:val="DHHSbody"/>
      </w:pPr>
      <w:r>
        <w:t xml:space="preserve">Based on </w:t>
      </w:r>
      <w:r w:rsidR="00ED68CE">
        <w:t>available</w:t>
      </w:r>
      <w:r w:rsidR="00F77E78">
        <w:t xml:space="preserve"> data</w:t>
      </w:r>
      <w:r w:rsidR="00FE51ED">
        <w:t>,</w:t>
      </w:r>
      <w:r w:rsidR="00C41A45">
        <w:t xml:space="preserve"> </w:t>
      </w:r>
      <w:r>
        <w:t xml:space="preserve">in </w:t>
      </w:r>
      <w:r w:rsidR="00C41A45">
        <w:t>2017</w:t>
      </w:r>
      <w:r w:rsidR="00FC647C">
        <w:t>–</w:t>
      </w:r>
      <w:r w:rsidR="00C41A45">
        <w:t xml:space="preserve">18 Victorian public </w:t>
      </w:r>
      <w:r>
        <w:t xml:space="preserve">health services </w:t>
      </w:r>
      <w:r w:rsidR="00C41A45">
        <w:t>generated approximately 35,060 tonnes of solid waste. Around 7,551 tonnes o</w:t>
      </w:r>
      <w:r w:rsidR="00053BD0">
        <w:t>f this was recycled</w:t>
      </w:r>
      <w:r w:rsidR="00C41A45">
        <w:t xml:space="preserve">, 4,566 tonnes was clinical waste and the remainder was classified as general waste. Disposal costs were close </w:t>
      </w:r>
      <w:r w:rsidR="00C41A45" w:rsidRPr="00620786">
        <w:t>to $1</w:t>
      </w:r>
      <w:r w:rsidR="00620786" w:rsidRPr="00620786">
        <w:t>7</w:t>
      </w:r>
      <w:r w:rsidR="00C41A45" w:rsidRPr="00620786">
        <w:t xml:space="preserve"> million, of which half was for treat</w:t>
      </w:r>
      <w:r w:rsidR="00F77E78">
        <w:t>ing</w:t>
      </w:r>
      <w:r w:rsidR="00C41A45" w:rsidRPr="00620786">
        <w:t xml:space="preserve"> and dispos</w:t>
      </w:r>
      <w:r w:rsidR="00F77E78">
        <w:t>ing</w:t>
      </w:r>
      <w:r w:rsidR="00C41A45" w:rsidRPr="00620786">
        <w:t xml:space="preserve"> of clinical waste.</w:t>
      </w:r>
    </w:p>
    <w:p w14:paraId="160CC392" w14:textId="20EFC588" w:rsidR="00C41A45" w:rsidRDefault="00C41A45" w:rsidP="00FE51ED">
      <w:pPr>
        <w:pStyle w:val="DHHSbody"/>
      </w:pPr>
      <w:r>
        <w:t xml:space="preserve">Working to </w:t>
      </w:r>
      <w:r w:rsidR="00184584">
        <w:t xml:space="preserve">achieve </w:t>
      </w:r>
      <w:r>
        <w:t xml:space="preserve">the </w:t>
      </w:r>
      <w:r w:rsidR="00184584" w:rsidRPr="00F12B5A">
        <w:rPr>
          <w:i/>
        </w:rPr>
        <w:t xml:space="preserve">Victorian </w:t>
      </w:r>
      <w:r w:rsidR="00F12B5A" w:rsidRPr="00F12B5A">
        <w:rPr>
          <w:i/>
        </w:rPr>
        <w:t>waste education strategy</w:t>
      </w:r>
      <w:r w:rsidRPr="00F12B5A">
        <w:rPr>
          <w:i/>
        </w:rPr>
        <w:t>,</w:t>
      </w:r>
      <w:r w:rsidR="00C9608A">
        <w:t xml:space="preserve"> the Department of Health and Human Services</w:t>
      </w:r>
      <w:r>
        <w:t xml:space="preserve"> </w:t>
      </w:r>
      <w:r w:rsidR="00C9608A">
        <w:t>(‘</w:t>
      </w:r>
      <w:r w:rsidR="005E46CA">
        <w:t>the department</w:t>
      </w:r>
      <w:r w:rsidR="00C9608A">
        <w:t>’)</w:t>
      </w:r>
      <w:r w:rsidR="005E46CA">
        <w:t xml:space="preserve"> </w:t>
      </w:r>
      <w:r>
        <w:t>and S</w:t>
      </w:r>
      <w:r w:rsidR="005E46CA">
        <w:t xml:space="preserve">ustainability </w:t>
      </w:r>
      <w:r>
        <w:t>V</w:t>
      </w:r>
      <w:r w:rsidR="005E46CA">
        <w:t>ictoria</w:t>
      </w:r>
      <w:r>
        <w:t xml:space="preserve"> are </w:t>
      </w:r>
      <w:r w:rsidR="00711627">
        <w:t>undertaking a two</w:t>
      </w:r>
      <w:r w:rsidR="00F77E78">
        <w:t>-</w:t>
      </w:r>
      <w:r w:rsidR="00711627">
        <w:t xml:space="preserve">year project </w:t>
      </w:r>
      <w:r w:rsidR="00F77E78">
        <w:t xml:space="preserve">to </w:t>
      </w:r>
      <w:r>
        <w:t>explor</w:t>
      </w:r>
      <w:r w:rsidR="00F77E78">
        <w:t>e</w:t>
      </w:r>
      <w:r>
        <w:t xml:space="preserve"> waste avoidance and resource recovery education opportunities in the public healthcare system.</w:t>
      </w:r>
    </w:p>
    <w:p w14:paraId="02B77290" w14:textId="77777777" w:rsidR="00C41A45" w:rsidRDefault="00C41A45" w:rsidP="00225788">
      <w:pPr>
        <w:pStyle w:val="Heading2"/>
      </w:pPr>
      <w:bookmarkStart w:id="3" w:name="_Toc517960667"/>
      <w:bookmarkStart w:id="4" w:name="_Toc528239297"/>
      <w:r>
        <w:t>Objectives</w:t>
      </w:r>
      <w:bookmarkEnd w:id="3"/>
      <w:bookmarkEnd w:id="4"/>
    </w:p>
    <w:p w14:paraId="52B2AC78" w14:textId="35DD4BD4" w:rsidR="00C41A45" w:rsidRPr="00770D9C" w:rsidRDefault="00C41A45" w:rsidP="00C41A45">
      <w:pPr>
        <w:pStyle w:val="DHHSbody"/>
      </w:pPr>
      <w:r w:rsidRPr="00770D9C">
        <w:t xml:space="preserve">The main objectives of </w:t>
      </w:r>
      <w:bookmarkStart w:id="5" w:name="_Hlk511820056"/>
      <w:r w:rsidR="00FE51ED">
        <w:t>the</w:t>
      </w:r>
      <w:r w:rsidR="00ED68CE" w:rsidRPr="00770D9C">
        <w:t xml:space="preserve"> </w:t>
      </w:r>
      <w:r w:rsidRPr="00770D9C">
        <w:t>project are</w:t>
      </w:r>
      <w:r w:rsidR="00FC647C">
        <w:t xml:space="preserve"> to</w:t>
      </w:r>
      <w:r w:rsidRPr="00770D9C">
        <w:t>:</w:t>
      </w:r>
    </w:p>
    <w:p w14:paraId="2B8F4D3E" w14:textId="4D504CBF" w:rsidR="00C41A45" w:rsidRPr="005D05F3" w:rsidRDefault="00C41A45" w:rsidP="005D05F3">
      <w:pPr>
        <w:pStyle w:val="DHHSbullet1"/>
      </w:pPr>
      <w:r w:rsidRPr="00770D9C">
        <w:t xml:space="preserve">identify gaps, issues, barriers and opportunities and recommend potential intervention points </w:t>
      </w:r>
      <w:r w:rsidRPr="005D05F3">
        <w:t>through collecti</w:t>
      </w:r>
      <w:r w:rsidR="00F77E78">
        <w:t>ng</w:t>
      </w:r>
      <w:r w:rsidRPr="005D05F3">
        <w:t xml:space="preserve"> and analysi</w:t>
      </w:r>
      <w:r w:rsidR="00F77E78">
        <w:t>ng</w:t>
      </w:r>
      <w:r w:rsidRPr="005D05F3">
        <w:t xml:space="preserve"> a range of evidence</w:t>
      </w:r>
      <w:r w:rsidR="00141B8C" w:rsidRPr="005D05F3">
        <w:t xml:space="preserve"> (</w:t>
      </w:r>
      <w:r w:rsidR="00FC647C">
        <w:t>p</w:t>
      </w:r>
      <w:r w:rsidR="00141B8C" w:rsidRPr="005D05F3">
        <w:t>hase 1)</w:t>
      </w:r>
    </w:p>
    <w:p w14:paraId="3392FF3E" w14:textId="254C15F4" w:rsidR="00C41A45" w:rsidRDefault="00C41A45" w:rsidP="005D05F3">
      <w:pPr>
        <w:pStyle w:val="DHHSbullet1"/>
      </w:pPr>
      <w:r w:rsidRPr="005D05F3">
        <w:t>as</w:t>
      </w:r>
      <w:r w:rsidRPr="00770D9C">
        <w:t xml:space="preserve">sess, prioritise and </w:t>
      </w:r>
      <w:r w:rsidRPr="006F3E36">
        <w:t>recommend targeted intervention points</w:t>
      </w:r>
      <w:r>
        <w:t xml:space="preserve"> against </w:t>
      </w:r>
      <w:r w:rsidRPr="00770D9C">
        <w:t>set</w:t>
      </w:r>
      <w:r>
        <w:t>s</w:t>
      </w:r>
      <w:r w:rsidRPr="00770D9C">
        <w:t xml:space="preserve"> of criteria</w:t>
      </w:r>
      <w:r>
        <w:t xml:space="preserve"> (</w:t>
      </w:r>
      <w:r w:rsidRPr="00770D9C">
        <w:t xml:space="preserve">with oversight </w:t>
      </w:r>
      <w:r w:rsidR="00F77E78">
        <w:t>from a</w:t>
      </w:r>
      <w:r w:rsidRPr="00770D9C">
        <w:t xml:space="preserve"> </w:t>
      </w:r>
      <w:r w:rsidR="004D60A7">
        <w:t>p</w:t>
      </w:r>
      <w:r w:rsidR="004D60A7" w:rsidRPr="005D05F3">
        <w:t xml:space="preserve">roject </w:t>
      </w:r>
      <w:r w:rsidR="004D60A7">
        <w:t>w</w:t>
      </w:r>
      <w:r w:rsidR="004D60A7" w:rsidRPr="005D05F3">
        <w:t xml:space="preserve">orking </w:t>
      </w:r>
      <w:r w:rsidR="004D60A7">
        <w:t>g</w:t>
      </w:r>
      <w:r w:rsidR="004D60A7" w:rsidRPr="005D05F3">
        <w:t>roup</w:t>
      </w:r>
      <w:r w:rsidRPr="00770D9C">
        <w:t>)</w:t>
      </w:r>
      <w:r>
        <w:t xml:space="preserve"> to ultimately support the delivery of a successful behaviour change program carrying meaningful outcomes</w:t>
      </w:r>
      <w:r w:rsidR="00141B8C">
        <w:t xml:space="preserve"> (</w:t>
      </w:r>
      <w:r w:rsidR="00FC647C">
        <w:t>p</w:t>
      </w:r>
      <w:r w:rsidR="00141B8C">
        <w:t>hase 2)</w:t>
      </w:r>
      <w:r w:rsidRPr="00770D9C">
        <w:t>.</w:t>
      </w:r>
    </w:p>
    <w:bookmarkEnd w:id="5"/>
    <w:p w14:paraId="2956BE73" w14:textId="6FDB8D10" w:rsidR="00C41A45" w:rsidRPr="00770D9C" w:rsidRDefault="00C41A45" w:rsidP="00BF5C41">
      <w:pPr>
        <w:pStyle w:val="DHHSbodyafterbullets"/>
      </w:pPr>
      <w:r>
        <w:t xml:space="preserve">In implementing behaviour change programs </w:t>
      </w:r>
      <w:r w:rsidR="005E7393">
        <w:t xml:space="preserve">aimed </w:t>
      </w:r>
      <w:r>
        <w:t xml:space="preserve">at </w:t>
      </w:r>
      <w:r w:rsidR="005E7773">
        <w:t xml:space="preserve">addressing the findings from </w:t>
      </w:r>
      <w:r w:rsidR="00FC647C">
        <w:t>p</w:t>
      </w:r>
      <w:r w:rsidR="00711627">
        <w:t xml:space="preserve">hase </w:t>
      </w:r>
      <w:r w:rsidR="005E7773">
        <w:t>1</w:t>
      </w:r>
      <w:r w:rsidRPr="00770D9C">
        <w:t xml:space="preserve">, the project will </w:t>
      </w:r>
      <w:r w:rsidR="005E7773">
        <w:t>assist</w:t>
      </w:r>
      <w:r w:rsidRPr="00770D9C">
        <w:t xml:space="preserve"> public hospitals to </w:t>
      </w:r>
      <w:r w:rsidR="0054124D">
        <w:t>implement</w:t>
      </w:r>
      <w:r w:rsidRPr="00770D9C">
        <w:t xml:space="preserve"> effective, efficient and consistent waste management systems that ultimately: </w:t>
      </w:r>
    </w:p>
    <w:p w14:paraId="7FD4FBD8" w14:textId="38A8DDE0" w:rsidR="00C41A45" w:rsidRPr="005D05F3" w:rsidRDefault="00FC647C" w:rsidP="005D05F3">
      <w:pPr>
        <w:pStyle w:val="DHHSbullet1"/>
      </w:pPr>
      <w:r>
        <w:t>r</w:t>
      </w:r>
      <w:r w:rsidR="00C41A45" w:rsidRPr="00770D9C">
        <w:t xml:space="preserve">educe the </w:t>
      </w:r>
      <w:r w:rsidR="00C41A45" w:rsidRPr="0017508B">
        <w:rPr>
          <w:b/>
        </w:rPr>
        <w:t>environmental impact</w:t>
      </w:r>
      <w:r w:rsidR="00C41A45" w:rsidRPr="00770D9C">
        <w:t xml:space="preserve"> of the healthcare sector through a reduction </w:t>
      </w:r>
      <w:r w:rsidR="005E7393">
        <w:t>in</w:t>
      </w:r>
      <w:r w:rsidR="005E7393" w:rsidRPr="00770D9C">
        <w:t xml:space="preserve"> </w:t>
      </w:r>
      <w:r w:rsidR="00C41A45" w:rsidRPr="00770D9C">
        <w:t xml:space="preserve">waste </w:t>
      </w:r>
      <w:r w:rsidR="00C41A45" w:rsidRPr="005D05F3">
        <w:t>generation and recoverable resources going to landfill</w:t>
      </w:r>
    </w:p>
    <w:p w14:paraId="28CE84E8" w14:textId="2B0E5104" w:rsidR="00C41A45" w:rsidRPr="00770D9C" w:rsidRDefault="00FC647C" w:rsidP="005D05F3">
      <w:pPr>
        <w:pStyle w:val="DHHSbullet1"/>
      </w:pPr>
      <w:r>
        <w:t>r</w:t>
      </w:r>
      <w:r w:rsidR="00C41A45" w:rsidRPr="005D05F3">
        <w:t>e</w:t>
      </w:r>
      <w:r w:rsidR="00C41A45" w:rsidRPr="00770D9C">
        <w:t xml:space="preserve">duce the </w:t>
      </w:r>
      <w:r w:rsidR="00C41A45" w:rsidRPr="0017508B">
        <w:rPr>
          <w:b/>
        </w:rPr>
        <w:t>cost of waste management</w:t>
      </w:r>
      <w:r w:rsidR="00C41A45" w:rsidRPr="0017508B">
        <w:t xml:space="preserve"> </w:t>
      </w:r>
      <w:r w:rsidR="00C41A45" w:rsidRPr="00770D9C">
        <w:t>(</w:t>
      </w:r>
      <w:r>
        <w:t>for example,</w:t>
      </w:r>
      <w:r w:rsidR="00C41A45" w:rsidRPr="00770D9C">
        <w:t xml:space="preserve"> via correct use of clinical waste bin</w:t>
      </w:r>
      <w:r w:rsidR="005E7393">
        <w:t>s</w:t>
      </w:r>
      <w:r w:rsidR="00C41A45" w:rsidRPr="00770D9C">
        <w:t>) to the Victorian public healthcare system.</w:t>
      </w:r>
    </w:p>
    <w:p w14:paraId="15CD804A" w14:textId="5F46E11D" w:rsidR="00C41A45" w:rsidRDefault="00C41A45" w:rsidP="00225788">
      <w:pPr>
        <w:pStyle w:val="Heading2"/>
      </w:pPr>
      <w:bookmarkStart w:id="6" w:name="_Toc517960669"/>
      <w:bookmarkStart w:id="7" w:name="_Toc528239298"/>
      <w:r>
        <w:t xml:space="preserve">Project </w:t>
      </w:r>
      <w:bookmarkEnd w:id="6"/>
      <w:r w:rsidR="00FC647C">
        <w:t>a</w:t>
      </w:r>
      <w:r w:rsidR="0094273F">
        <w:t>dvisers</w:t>
      </w:r>
      <w:bookmarkEnd w:id="7"/>
    </w:p>
    <w:p w14:paraId="07BF5FB8" w14:textId="6D38D9FC" w:rsidR="00C41A45" w:rsidRDefault="00C41A45" w:rsidP="00C41A45">
      <w:pPr>
        <w:pStyle w:val="DHHSbody"/>
      </w:pPr>
      <w:r>
        <w:t xml:space="preserve">This project is </w:t>
      </w:r>
      <w:r w:rsidR="0094273F">
        <w:t xml:space="preserve">supported </w:t>
      </w:r>
      <w:r>
        <w:t xml:space="preserve">by a </w:t>
      </w:r>
      <w:r w:rsidR="005E7393">
        <w:t>p</w:t>
      </w:r>
      <w:r>
        <w:t xml:space="preserve">roject </w:t>
      </w:r>
      <w:r w:rsidR="005E7393">
        <w:t>w</w:t>
      </w:r>
      <w:r>
        <w:t xml:space="preserve">orking </w:t>
      </w:r>
      <w:r w:rsidR="005E7393">
        <w:t>g</w:t>
      </w:r>
      <w:r>
        <w:t>roup comp</w:t>
      </w:r>
      <w:r w:rsidR="008737CF">
        <w:t>ris</w:t>
      </w:r>
      <w:r w:rsidR="00FC647C">
        <w:t>ing:</w:t>
      </w:r>
    </w:p>
    <w:p w14:paraId="53C7B83C" w14:textId="3F011F6A" w:rsidR="00C41A45" w:rsidRDefault="00A14A2D" w:rsidP="00F12B5A">
      <w:pPr>
        <w:pStyle w:val="DHHSbullet1"/>
      </w:pPr>
      <w:hyperlink r:id="rId20" w:history="1">
        <w:r w:rsidR="00C41A45" w:rsidRPr="00F12B5A">
          <w:rPr>
            <w:rStyle w:val="Hyperlink"/>
          </w:rPr>
          <w:t>S</w:t>
        </w:r>
        <w:r w:rsidR="005E46CA" w:rsidRPr="00F12B5A">
          <w:rPr>
            <w:rStyle w:val="Hyperlink"/>
          </w:rPr>
          <w:t xml:space="preserve">ustainability </w:t>
        </w:r>
        <w:r w:rsidR="00C41A45" w:rsidRPr="00F12B5A">
          <w:rPr>
            <w:rStyle w:val="Hyperlink"/>
          </w:rPr>
          <w:t>V</w:t>
        </w:r>
        <w:r w:rsidR="005E46CA" w:rsidRPr="00F12B5A">
          <w:rPr>
            <w:rStyle w:val="Hyperlink"/>
          </w:rPr>
          <w:t>ictoria</w:t>
        </w:r>
      </w:hyperlink>
      <w:r w:rsidR="00184584">
        <w:t xml:space="preserve"> </w:t>
      </w:r>
      <w:r w:rsidR="00F12B5A">
        <w:t>&lt;</w:t>
      </w:r>
      <w:r w:rsidR="00F12B5A" w:rsidRPr="00F12B5A">
        <w:t>https://www.sustainability.vic.gov.au/</w:t>
      </w:r>
      <w:r w:rsidR="00F12B5A">
        <w:t xml:space="preserve">&gt; </w:t>
      </w:r>
    </w:p>
    <w:p w14:paraId="2FF3BDF3" w14:textId="24D72159" w:rsidR="00C41A45" w:rsidRDefault="005E46CA" w:rsidP="005D05F3">
      <w:pPr>
        <w:pStyle w:val="DHHSbullet1"/>
      </w:pPr>
      <w:r>
        <w:t>Department of Health and Human Services</w:t>
      </w:r>
    </w:p>
    <w:p w14:paraId="34CAD930" w14:textId="6C270695" w:rsidR="00C41A45" w:rsidRDefault="00C41A45" w:rsidP="005D05F3">
      <w:pPr>
        <w:pStyle w:val="DHHSbullet1"/>
      </w:pPr>
      <w:r>
        <w:t>Australian Nursing and Midwifery Federation</w:t>
      </w:r>
      <w:r w:rsidR="005E46CA">
        <w:t xml:space="preserve"> (Victorian Branch)</w:t>
      </w:r>
    </w:p>
    <w:p w14:paraId="64FACBF8" w14:textId="30346543" w:rsidR="00C41A45" w:rsidRDefault="00C41A45" w:rsidP="005D05F3">
      <w:pPr>
        <w:pStyle w:val="DHHSbullet1"/>
      </w:pPr>
      <w:r>
        <w:t xml:space="preserve">Health Purchasing Victoria </w:t>
      </w:r>
    </w:p>
    <w:p w14:paraId="046FD884" w14:textId="77777777" w:rsidR="00C41A45" w:rsidRDefault="00C41A45" w:rsidP="005D05F3">
      <w:pPr>
        <w:pStyle w:val="DHHSbullet1"/>
      </w:pPr>
      <w:r>
        <w:t>Barwon Health</w:t>
      </w:r>
    </w:p>
    <w:p w14:paraId="51D1F740" w14:textId="77777777" w:rsidR="00C41A45" w:rsidRDefault="00C41A45" w:rsidP="005D05F3">
      <w:pPr>
        <w:pStyle w:val="DHHSbullet1"/>
      </w:pPr>
      <w:r>
        <w:t>Western Health</w:t>
      </w:r>
    </w:p>
    <w:p w14:paraId="7F072E09" w14:textId="77777777" w:rsidR="00C41A45" w:rsidRDefault="00C41A45" w:rsidP="005D05F3">
      <w:pPr>
        <w:pStyle w:val="DHHSbullet1"/>
      </w:pPr>
      <w:r>
        <w:t>East Grampians Health Service</w:t>
      </w:r>
    </w:p>
    <w:p w14:paraId="517DFCAA" w14:textId="77777777" w:rsidR="007C19E5" w:rsidRDefault="007C19E5" w:rsidP="005D05F3">
      <w:pPr>
        <w:pStyle w:val="DHHSbullet1"/>
      </w:pPr>
      <w:r>
        <w:t>Mercy Health</w:t>
      </w:r>
    </w:p>
    <w:p w14:paraId="6952E716" w14:textId="23B20A7B" w:rsidR="0094273F" w:rsidRDefault="0094273F" w:rsidP="005D05F3">
      <w:pPr>
        <w:pStyle w:val="DHHSbullet1"/>
      </w:pPr>
      <w:r>
        <w:t>Environment Protection Authority</w:t>
      </w:r>
      <w:r w:rsidR="005E7393">
        <w:t xml:space="preserve"> (EPA)</w:t>
      </w:r>
      <w:r>
        <w:t xml:space="preserve"> Victoria</w:t>
      </w:r>
      <w:r w:rsidR="00FA1CFC">
        <w:t xml:space="preserve"> </w:t>
      </w:r>
    </w:p>
    <w:p w14:paraId="2C783553" w14:textId="77B5A62F" w:rsidR="0094273F" w:rsidRDefault="0094273F" w:rsidP="005D05F3">
      <w:pPr>
        <w:pStyle w:val="DHHSbullet1"/>
      </w:pPr>
      <w:r>
        <w:t>Tandem Solutions Pty Ltd, waste data and healthcare expertise</w:t>
      </w:r>
      <w:r w:rsidR="00FC647C">
        <w:t>.</w:t>
      </w:r>
    </w:p>
    <w:p w14:paraId="1AA26E12" w14:textId="77777777" w:rsidR="007D37AF" w:rsidRDefault="007D37AF" w:rsidP="000A72BF">
      <w:pPr>
        <w:pStyle w:val="DHHSbody"/>
        <w:rPr>
          <w:color w:val="D03061" w:themeColor="text2"/>
          <w:sz w:val="44"/>
          <w:szCs w:val="44"/>
        </w:rPr>
      </w:pPr>
      <w:r>
        <w:br w:type="page"/>
      </w:r>
    </w:p>
    <w:p w14:paraId="646575DD" w14:textId="67CB3956" w:rsidR="00C41A45" w:rsidRPr="00287BD9" w:rsidRDefault="005E7773" w:rsidP="00121BBD">
      <w:pPr>
        <w:pStyle w:val="Heading1"/>
      </w:pPr>
      <w:bookmarkStart w:id="8" w:name="_Toc528239299"/>
      <w:r>
        <w:lastRenderedPageBreak/>
        <w:t xml:space="preserve">Project </w:t>
      </w:r>
      <w:r w:rsidR="0054124D">
        <w:t>m</w:t>
      </w:r>
      <w:r w:rsidR="00C41A45" w:rsidRPr="00287BD9">
        <w:t>ethodology</w:t>
      </w:r>
      <w:bookmarkEnd w:id="8"/>
    </w:p>
    <w:p w14:paraId="23678A82" w14:textId="0418795F" w:rsidR="008737CF" w:rsidRDefault="008737CF" w:rsidP="00225788">
      <w:pPr>
        <w:pStyle w:val="Heading2"/>
      </w:pPr>
      <w:bookmarkStart w:id="9" w:name="_Toc528239300"/>
      <w:r>
        <w:t>Phase 1</w:t>
      </w:r>
      <w:r w:rsidR="00FC647C">
        <w:t>:</w:t>
      </w:r>
      <w:r w:rsidR="005E7773">
        <w:t xml:space="preserve"> </w:t>
      </w:r>
      <w:r w:rsidR="00FC647C">
        <w:t>R</w:t>
      </w:r>
      <w:r w:rsidR="005E7773">
        <w:t>esearch</w:t>
      </w:r>
      <w:bookmarkEnd w:id="9"/>
    </w:p>
    <w:p w14:paraId="5639744B" w14:textId="43502164" w:rsidR="00C41A45" w:rsidRDefault="00C41A45" w:rsidP="00C41A45">
      <w:pPr>
        <w:pStyle w:val="DHHSbody"/>
      </w:pPr>
      <w:r>
        <w:t>The research aim was to create an evidence base to determine a set of priority interventi</w:t>
      </w:r>
      <w:r w:rsidR="008737CF">
        <w:t>on points (</w:t>
      </w:r>
      <w:r>
        <w:t>materi</w:t>
      </w:r>
      <w:r w:rsidR="008737CF">
        <w:t>als, processes, wards/units</w:t>
      </w:r>
      <w:r w:rsidR="005E7393">
        <w:t>,</w:t>
      </w:r>
      <w:r w:rsidR="008737CF">
        <w:t xml:space="preserve"> etc</w:t>
      </w:r>
      <w:r w:rsidR="005E7393">
        <w:t>.</w:t>
      </w:r>
      <w:r w:rsidR="008737CF">
        <w:t>)</w:t>
      </w:r>
      <w:r>
        <w:t xml:space="preserve"> that would be the focus of a behaviour change program intended to improve waste management practice</w:t>
      </w:r>
      <w:r w:rsidR="0054124D">
        <w:t>s</w:t>
      </w:r>
      <w:r>
        <w:t xml:space="preserve">. </w:t>
      </w:r>
    </w:p>
    <w:p w14:paraId="752F3DA1" w14:textId="77777777" w:rsidR="00C41A45" w:rsidRPr="00E83C92" w:rsidRDefault="00C41A45" w:rsidP="00615469">
      <w:pPr>
        <w:spacing w:after="120"/>
        <w:rPr>
          <w:rFonts w:ascii="Arial" w:eastAsia="Times" w:hAnsi="Arial"/>
        </w:rPr>
      </w:pPr>
      <w:r w:rsidRPr="00E83C92">
        <w:rPr>
          <w:rFonts w:ascii="Arial" w:eastAsia="Times" w:hAnsi="Arial"/>
        </w:rPr>
        <w:t>The following stages were carried out</w:t>
      </w:r>
      <w:r w:rsidR="005E46CA">
        <w:rPr>
          <w:rFonts w:ascii="Arial" w:eastAsia="Times" w:hAnsi="Arial"/>
        </w:rPr>
        <w:t xml:space="preserve"> by a specialist waste consultancy</w:t>
      </w:r>
      <w:r w:rsidRPr="00E83C92">
        <w:rPr>
          <w:rFonts w:ascii="Arial" w:eastAsia="Times" w:hAnsi="Arial"/>
        </w:rPr>
        <w:t>:</w:t>
      </w:r>
    </w:p>
    <w:p w14:paraId="305C4845" w14:textId="0149D1BF" w:rsidR="00C41A45" w:rsidRDefault="005E7393" w:rsidP="00615469">
      <w:pPr>
        <w:pStyle w:val="DHHSnumberdigit"/>
      </w:pPr>
      <w:r>
        <w:t>p</w:t>
      </w:r>
      <w:r w:rsidR="00C41A45">
        <w:t xml:space="preserve">reliminary investigation through </w:t>
      </w:r>
      <w:r>
        <w:t xml:space="preserve">a </w:t>
      </w:r>
      <w:r w:rsidR="00C41A45">
        <w:t xml:space="preserve">desktop literature review, data review and site visits to metropolitan regional and rural </w:t>
      </w:r>
      <w:r w:rsidR="008737CF">
        <w:t>public health services</w:t>
      </w:r>
    </w:p>
    <w:p w14:paraId="5F4D3F6E" w14:textId="0800347A" w:rsidR="00C41A45" w:rsidRDefault="005E7393" w:rsidP="00615469">
      <w:pPr>
        <w:pStyle w:val="DHHSnumberdigit"/>
      </w:pPr>
      <w:r>
        <w:t>c</w:t>
      </w:r>
      <w:r w:rsidR="00C41A45">
        <w:t>ollect</w:t>
      </w:r>
      <w:r w:rsidR="005E46CA">
        <w:t>ing</w:t>
      </w:r>
      <w:r w:rsidR="00C41A45">
        <w:t xml:space="preserve"> data on systems, materials and social behaviours through an online survey and interviews</w:t>
      </w:r>
    </w:p>
    <w:p w14:paraId="318739ED" w14:textId="0DD01571" w:rsidR="00C41A45" w:rsidRDefault="005E7393" w:rsidP="00615469">
      <w:pPr>
        <w:pStyle w:val="DHHSnumberdigit"/>
      </w:pPr>
      <w:r>
        <w:t>a</w:t>
      </w:r>
      <w:r w:rsidR="00C41A45">
        <w:t>pply</w:t>
      </w:r>
      <w:r w:rsidR="005E46CA">
        <w:t>ing</w:t>
      </w:r>
      <w:r w:rsidR="00C41A45">
        <w:t xml:space="preserve"> a set of criteria</w:t>
      </w:r>
      <w:r w:rsidR="008737CF">
        <w:t xml:space="preserve"> based on data, ease of implementation, demonstrated need</w:t>
      </w:r>
      <w:r>
        <w:t xml:space="preserve"> and</w:t>
      </w:r>
      <w:r w:rsidR="008737CF">
        <w:t xml:space="preserve"> replicability </w:t>
      </w:r>
      <w:r w:rsidR="00C41A45">
        <w:t xml:space="preserve">to identify the priority points of intervention </w:t>
      </w:r>
    </w:p>
    <w:p w14:paraId="2BC60035" w14:textId="02D33778" w:rsidR="00C41A45" w:rsidRDefault="005E7393" w:rsidP="00615469">
      <w:pPr>
        <w:pStyle w:val="DHHSnumberdigit"/>
      </w:pPr>
      <w:r>
        <w:t>m</w:t>
      </w:r>
      <w:r w:rsidR="005E46CA">
        <w:t xml:space="preserve">aking </w:t>
      </w:r>
      <w:r w:rsidR="00C41A45">
        <w:t xml:space="preserve">recommendations to </w:t>
      </w:r>
      <w:r w:rsidR="005E46CA">
        <w:t xml:space="preserve">the department </w:t>
      </w:r>
      <w:r w:rsidR="00C41A45">
        <w:t>and S</w:t>
      </w:r>
      <w:r w:rsidR="005E46CA">
        <w:t xml:space="preserve">ustainability </w:t>
      </w:r>
      <w:r w:rsidR="00C41A45">
        <w:t>V</w:t>
      </w:r>
      <w:r w:rsidR="005E46CA">
        <w:t>ictoria</w:t>
      </w:r>
      <w:r w:rsidR="00C41A45">
        <w:t xml:space="preserve"> to develop a behaviour change program. </w:t>
      </w:r>
    </w:p>
    <w:p w14:paraId="6602B330" w14:textId="30FFA47A" w:rsidR="008737CF" w:rsidRDefault="008737CF" w:rsidP="00225788">
      <w:pPr>
        <w:pStyle w:val="Heading2"/>
      </w:pPr>
      <w:bookmarkStart w:id="10" w:name="_Toc528239301"/>
      <w:r>
        <w:t>Phase 2</w:t>
      </w:r>
      <w:r w:rsidR="00FC647C">
        <w:t>:</w:t>
      </w:r>
      <w:r w:rsidR="005E7773">
        <w:t xml:space="preserve"> </w:t>
      </w:r>
      <w:r w:rsidR="00FC647C">
        <w:t>I</w:t>
      </w:r>
      <w:r w:rsidR="005E7773">
        <w:t>mplementation</w:t>
      </w:r>
      <w:bookmarkEnd w:id="10"/>
    </w:p>
    <w:p w14:paraId="10A132A6" w14:textId="38FCDAB1" w:rsidR="00C41A45" w:rsidRDefault="00FC647C" w:rsidP="00C41A45">
      <w:pPr>
        <w:pStyle w:val="DHHSbody"/>
      </w:pPr>
      <w:r>
        <w:t>The department engaged a</w:t>
      </w:r>
      <w:r w:rsidR="005E7773">
        <w:t xml:space="preserve"> </w:t>
      </w:r>
      <w:r>
        <w:t>w</w:t>
      </w:r>
      <w:r w:rsidR="005E7773">
        <w:t xml:space="preserve">aste </w:t>
      </w:r>
      <w:r>
        <w:t>e</w:t>
      </w:r>
      <w:r w:rsidR="005E7773">
        <w:t xml:space="preserve">ducation </w:t>
      </w:r>
      <w:r>
        <w:t>o</w:t>
      </w:r>
      <w:r w:rsidR="005E7773">
        <w:t>fficer. The</w:t>
      </w:r>
      <w:r w:rsidR="005E7393">
        <w:t xml:space="preserve"> waste education officer’s</w:t>
      </w:r>
      <w:r w:rsidR="005E7773">
        <w:t xml:space="preserve"> role was to </w:t>
      </w:r>
      <w:r w:rsidR="00711627">
        <w:t xml:space="preserve">use the report findings from </w:t>
      </w:r>
      <w:r>
        <w:t>p</w:t>
      </w:r>
      <w:r w:rsidR="00711627">
        <w:t xml:space="preserve">hase 1, as well as the input from the </w:t>
      </w:r>
      <w:r w:rsidR="004D60A7">
        <w:t>p</w:t>
      </w:r>
      <w:r w:rsidR="004D60A7" w:rsidRPr="005D05F3">
        <w:t xml:space="preserve">roject </w:t>
      </w:r>
      <w:r w:rsidR="004D60A7">
        <w:t>w</w:t>
      </w:r>
      <w:r w:rsidR="004D60A7" w:rsidRPr="005D05F3">
        <w:t xml:space="preserve">orking </w:t>
      </w:r>
      <w:r w:rsidR="004D60A7">
        <w:t>g</w:t>
      </w:r>
      <w:r w:rsidR="004D60A7" w:rsidRPr="005D05F3">
        <w:t>roup</w:t>
      </w:r>
      <w:r w:rsidR="00711627">
        <w:t xml:space="preserve">, </w:t>
      </w:r>
      <w:r w:rsidR="00C41A45">
        <w:t>to identify a series of intervention projects that, if delivered effectively, could meet the project</w:t>
      </w:r>
      <w:r w:rsidR="005E7393">
        <w:t>’s</w:t>
      </w:r>
      <w:r w:rsidR="00C41A45">
        <w:t xml:space="preserve"> objectives.</w:t>
      </w:r>
    </w:p>
    <w:p w14:paraId="1320C799" w14:textId="77777777" w:rsidR="00C41A45" w:rsidRDefault="00C41A45" w:rsidP="00C41A45">
      <w:pPr>
        <w:pStyle w:val="DHHSbody"/>
      </w:pPr>
      <w:r>
        <w:t xml:space="preserve">These interventions were prioritised using a series of weighted criteria. These criteria included alignment with project objectives, whether the intervention was educational or would result in behaviour change and whether the intervention would be sustainable beyond the </w:t>
      </w:r>
      <w:r w:rsidR="005E46CA">
        <w:t>p</w:t>
      </w:r>
      <w:r>
        <w:t>roject.</w:t>
      </w:r>
    </w:p>
    <w:p w14:paraId="6B960262" w14:textId="575E806B" w:rsidR="00C41A45" w:rsidRDefault="00C41A45" w:rsidP="00C41A45">
      <w:pPr>
        <w:pStyle w:val="DHHSbody"/>
      </w:pPr>
      <w:r>
        <w:t>This process provided a</w:t>
      </w:r>
      <w:r w:rsidR="008737CF">
        <w:t>n</w:t>
      </w:r>
      <w:r>
        <w:t xml:space="preserve"> unbiased framework </w:t>
      </w:r>
      <w:r w:rsidR="0054124D">
        <w:t>from</w:t>
      </w:r>
      <w:r w:rsidR="005E7393">
        <w:t xml:space="preserve"> which</w:t>
      </w:r>
      <w:r w:rsidR="0054124D">
        <w:t xml:space="preserve"> </w:t>
      </w:r>
      <w:r w:rsidR="00711627">
        <w:t xml:space="preserve">eight intervention </w:t>
      </w:r>
      <w:r>
        <w:t xml:space="preserve">projects were selected </w:t>
      </w:r>
      <w:r w:rsidR="0054124D">
        <w:t>to</w:t>
      </w:r>
      <w:r>
        <w:t xml:space="preserve"> be developed and delivered over the course of the </w:t>
      </w:r>
      <w:r w:rsidR="005E46CA">
        <w:t>p</w:t>
      </w:r>
      <w:r>
        <w:t>roject.</w:t>
      </w:r>
    </w:p>
    <w:p w14:paraId="0C029FC4" w14:textId="77777777" w:rsidR="007B13DA" w:rsidRDefault="007B13DA" w:rsidP="000A72BF">
      <w:pPr>
        <w:pStyle w:val="DHHSbody"/>
        <w:rPr>
          <w:color w:val="D03061" w:themeColor="text2"/>
          <w:sz w:val="44"/>
          <w:szCs w:val="44"/>
        </w:rPr>
      </w:pPr>
      <w:r>
        <w:br w:type="page"/>
      </w:r>
    </w:p>
    <w:p w14:paraId="45FA3B12" w14:textId="5F716F5F" w:rsidR="008737CF" w:rsidRDefault="008737CF" w:rsidP="00620786">
      <w:pPr>
        <w:pStyle w:val="Heading1"/>
        <w:spacing w:before="0" w:after="360"/>
      </w:pPr>
      <w:bookmarkStart w:id="11" w:name="_Toc528239302"/>
      <w:r>
        <w:lastRenderedPageBreak/>
        <w:t>Phase 1</w:t>
      </w:r>
      <w:r w:rsidR="00121BBD">
        <w:t xml:space="preserve">: Findings and </w:t>
      </w:r>
      <w:r w:rsidR="00FC647C">
        <w:t>r</w:t>
      </w:r>
      <w:r w:rsidR="00121BBD">
        <w:t>ecommendations</w:t>
      </w:r>
      <w:bookmarkEnd w:id="11"/>
    </w:p>
    <w:p w14:paraId="2BB8EC65" w14:textId="1DCA7BEF" w:rsidR="00C41A45" w:rsidRDefault="00C41A45" w:rsidP="00D9173F">
      <w:pPr>
        <w:pStyle w:val="Heading2"/>
      </w:pPr>
      <w:bookmarkStart w:id="12" w:name="_Toc528239303"/>
      <w:r>
        <w:t xml:space="preserve">Preliminary </w:t>
      </w:r>
      <w:r w:rsidR="00FC647C">
        <w:t>i</w:t>
      </w:r>
      <w:r>
        <w:t>nsights</w:t>
      </w:r>
      <w:bookmarkEnd w:id="12"/>
    </w:p>
    <w:p w14:paraId="7051A3C6" w14:textId="5EE6D532" w:rsidR="00EA0D24" w:rsidRPr="007D37AF" w:rsidRDefault="00D52144" w:rsidP="00C41A45">
      <w:pPr>
        <w:pStyle w:val="DHHSbody"/>
      </w:pPr>
      <w:r>
        <w:t>S</w:t>
      </w:r>
      <w:r w:rsidR="00C41A45">
        <w:t xml:space="preserve">ite visits </w:t>
      </w:r>
      <w:r w:rsidR="007F367D">
        <w:t xml:space="preserve">identified </w:t>
      </w:r>
      <w:r w:rsidR="00C41A45">
        <w:t xml:space="preserve">the need for health services to have confidence in affordable and reliable waste management services. </w:t>
      </w:r>
      <w:r w:rsidR="00BB163E">
        <w:t>T</w:t>
      </w:r>
      <w:r w:rsidR="00C41A45">
        <w:t>h</w:t>
      </w:r>
      <w:r w:rsidR="001541E3">
        <w:t>is confidence has</w:t>
      </w:r>
      <w:r w:rsidR="00C41A45">
        <w:t xml:space="preserve"> a direct bearing on what recycling outcomes each health service can achieve. </w:t>
      </w:r>
    </w:p>
    <w:p w14:paraId="0704CEE8" w14:textId="588DC7D6" w:rsidR="00C41A45" w:rsidRDefault="00EA0D24" w:rsidP="00C41A45">
      <w:pPr>
        <w:pStyle w:val="DHHSbody"/>
      </w:pPr>
      <w:r>
        <w:t>In some instances, particularly in regional and rural locations, there is a perception that recycling small volumes of waste, or specialist streams, is cost</w:t>
      </w:r>
      <w:r w:rsidR="00BB163E">
        <w:t>-</w:t>
      </w:r>
      <w:r>
        <w:t>prohibitive or that the hospital is too isolated from existing services and infrastructure.</w:t>
      </w:r>
    </w:p>
    <w:p w14:paraId="5E824404" w14:textId="77777777" w:rsidR="00C41A45" w:rsidRDefault="00EE4957" w:rsidP="00C41A45">
      <w:pPr>
        <w:pStyle w:val="DHHSbody"/>
      </w:pPr>
      <w:r>
        <w:t>He</w:t>
      </w:r>
      <w:r w:rsidR="00C41A45">
        <w:t>alth service staff</w:t>
      </w:r>
      <w:r>
        <w:t xml:space="preserve"> </w:t>
      </w:r>
      <w:r w:rsidR="00C41A45">
        <w:t xml:space="preserve">raised the need for greater regulatory clarity regarding the management of wastes. </w:t>
      </w:r>
      <w:r w:rsidR="00EA0D24">
        <w:t>S</w:t>
      </w:r>
      <w:r w:rsidR="00C41A45">
        <w:t>ome hospital representative</w:t>
      </w:r>
      <w:r>
        <w:t xml:space="preserve">s reported </w:t>
      </w:r>
      <w:r w:rsidR="00C41A45">
        <w:t xml:space="preserve">that it </w:t>
      </w:r>
      <w:r>
        <w:t>is</w:t>
      </w:r>
      <w:r w:rsidR="00C41A45">
        <w:t xml:space="preserve"> </w:t>
      </w:r>
      <w:r>
        <w:t xml:space="preserve">sometimes </w:t>
      </w:r>
      <w:r w:rsidR="00C41A45">
        <w:t xml:space="preserve">difficult to come to a common view with their waste service providers </w:t>
      </w:r>
      <w:r>
        <w:t>regarding</w:t>
      </w:r>
      <w:r w:rsidR="00C41A45">
        <w:t xml:space="preserve"> whether an item should be designated clinical, general or recyclable</w:t>
      </w:r>
      <w:r>
        <w:t xml:space="preserve"> waste</w:t>
      </w:r>
      <w:r w:rsidR="00C41A45">
        <w:t xml:space="preserve">. Various underlying causes </w:t>
      </w:r>
      <w:r>
        <w:t xml:space="preserve">for this </w:t>
      </w:r>
      <w:r w:rsidR="00EA0D24">
        <w:t>are</w:t>
      </w:r>
      <w:r>
        <w:t xml:space="preserve"> identified as</w:t>
      </w:r>
      <w:r w:rsidR="00C41A45">
        <w:t>:</w:t>
      </w:r>
    </w:p>
    <w:p w14:paraId="46782DF6" w14:textId="5E53A8C4" w:rsidR="00C41A45" w:rsidRDefault="005E7393" w:rsidP="005D05F3">
      <w:pPr>
        <w:pStyle w:val="DHHSbullet1"/>
      </w:pPr>
      <w:r>
        <w:t>a</w:t>
      </w:r>
      <w:r w:rsidR="00C41A45">
        <w:t xml:space="preserve"> lack of consistent definitions across different regulations, codes of practice and guidelines used by hospitals and their waste services</w:t>
      </w:r>
    </w:p>
    <w:p w14:paraId="0B880E69" w14:textId="6B32B667" w:rsidR="00C41A45" w:rsidRDefault="005E7393" w:rsidP="005D05F3">
      <w:pPr>
        <w:pStyle w:val="DHHSbullet1"/>
      </w:pPr>
      <w:r>
        <w:t>t</w:t>
      </w:r>
      <w:r w:rsidR="00C41A45">
        <w:t xml:space="preserve">he use of ambiguous terminology relating to waste items and </w:t>
      </w:r>
      <w:r w:rsidR="00EE4957">
        <w:t xml:space="preserve">a lack of clarity regarding the definition </w:t>
      </w:r>
      <w:r w:rsidR="00C41A45">
        <w:t xml:space="preserve">of infectious, hazardous, clinical or </w:t>
      </w:r>
      <w:r w:rsidR="00EE4957">
        <w:t>related waste and therefore requiring specialist treatment</w:t>
      </w:r>
    </w:p>
    <w:p w14:paraId="7D9D9607" w14:textId="7B7A91E4" w:rsidR="00C41A45" w:rsidRDefault="005E7393" w:rsidP="005D05F3">
      <w:pPr>
        <w:pStyle w:val="DHHSbullet1"/>
      </w:pPr>
      <w:r>
        <w:t>c</w:t>
      </w:r>
      <w:r w:rsidR="00C41A45">
        <w:t>onfusion regarding which regulatory article</w:t>
      </w:r>
      <w:r w:rsidR="00EE4957">
        <w:t xml:space="preserve">s carry </w:t>
      </w:r>
      <w:r w:rsidR="00C41A45">
        <w:t xml:space="preserve">primacy given multiple directives </w:t>
      </w:r>
      <w:r w:rsidR="00EE4957">
        <w:t>from</w:t>
      </w:r>
      <w:r w:rsidR="00C41A45">
        <w:t xml:space="preserve"> state environmental regulation and guidelines, industry codes of practice, national standards and other statutory and non-statutory documents </w:t>
      </w:r>
      <w:r w:rsidR="00BB163E">
        <w:t xml:space="preserve">that </w:t>
      </w:r>
      <w:r w:rsidR="00C41A45">
        <w:t>may be cited in contracts and servic</w:t>
      </w:r>
      <w:r w:rsidR="00141B8C">
        <w:t>e agreements.</w:t>
      </w:r>
    </w:p>
    <w:p w14:paraId="21917A1D" w14:textId="77777777" w:rsidR="00C41A45" w:rsidRDefault="00C41A45" w:rsidP="00BF5C41">
      <w:pPr>
        <w:pStyle w:val="DHHSbodyafterbullets"/>
      </w:pPr>
      <w:r>
        <w:t xml:space="preserve">Health service staff shared details of the level of support and leadership that they </w:t>
      </w:r>
      <w:r w:rsidR="0094273F">
        <w:t>can</w:t>
      </w:r>
      <w:r w:rsidR="00C119AA">
        <w:t xml:space="preserve"> call on to introduce</w:t>
      </w:r>
      <w:r>
        <w:t xml:space="preserve"> new waste management services and practices. </w:t>
      </w:r>
      <w:r w:rsidR="00C119AA">
        <w:t>T</w:t>
      </w:r>
      <w:r>
        <w:t>here appear</w:t>
      </w:r>
      <w:r w:rsidR="00C119AA">
        <w:t>s to be</w:t>
      </w:r>
      <w:r>
        <w:t xml:space="preserve"> a direct relationship between the level of leadership across the health service hierarchy and the </w:t>
      </w:r>
      <w:r w:rsidR="005E46CA">
        <w:t xml:space="preserve">support </w:t>
      </w:r>
      <w:r>
        <w:t xml:space="preserve">that waste management staff and champions </w:t>
      </w:r>
      <w:r w:rsidR="00C119AA">
        <w:t>have</w:t>
      </w:r>
      <w:r>
        <w:t xml:space="preserve"> in pursuing improved waste management</w:t>
      </w:r>
      <w:r w:rsidR="00C119AA">
        <w:t xml:space="preserve"> </w:t>
      </w:r>
      <w:r w:rsidR="00AA44AC">
        <w:t>practices</w:t>
      </w:r>
      <w:r>
        <w:t xml:space="preserve">. </w:t>
      </w:r>
    </w:p>
    <w:p w14:paraId="65066FD8" w14:textId="19FB46BE" w:rsidR="00C41A45" w:rsidRDefault="00BB163E" w:rsidP="00C41A45">
      <w:pPr>
        <w:pStyle w:val="DHHSbody"/>
      </w:pPr>
      <w:r>
        <w:t>T</w:t>
      </w:r>
      <w:r w:rsidR="00AA44AC">
        <w:t xml:space="preserve">he </w:t>
      </w:r>
      <w:r w:rsidR="00C41A45">
        <w:t xml:space="preserve">site visits and literature review </w:t>
      </w:r>
      <w:r>
        <w:t xml:space="preserve">both </w:t>
      </w:r>
      <w:r w:rsidR="00C41A45">
        <w:t>identified</w:t>
      </w:r>
      <w:r w:rsidR="0021405F">
        <w:t xml:space="preserve"> </w:t>
      </w:r>
      <w:r w:rsidR="0094273F">
        <w:t>i</w:t>
      </w:r>
      <w:r w:rsidR="00AA44AC">
        <w:t xml:space="preserve">nfection </w:t>
      </w:r>
      <w:r w:rsidR="005E46CA">
        <w:t xml:space="preserve">control </w:t>
      </w:r>
      <w:r w:rsidR="00AA44AC">
        <w:t xml:space="preserve">and </w:t>
      </w:r>
      <w:r w:rsidR="005E46CA">
        <w:t xml:space="preserve">procurement </w:t>
      </w:r>
      <w:r w:rsidR="00AA44AC">
        <w:t xml:space="preserve">as areas of the health service </w:t>
      </w:r>
      <w:r w:rsidR="00C41A45">
        <w:t xml:space="preserve">that, depending on individual health service arrangements, </w:t>
      </w:r>
      <w:r w:rsidR="00AA44AC">
        <w:t>often</w:t>
      </w:r>
      <w:r w:rsidR="00C41A45">
        <w:t xml:space="preserve"> have substantial bearing on the success of waste management practices </w:t>
      </w:r>
      <w:r w:rsidR="00AA44AC">
        <w:t xml:space="preserve">both in </w:t>
      </w:r>
      <w:r w:rsidR="00C41A45">
        <w:t xml:space="preserve">diverting material </w:t>
      </w:r>
      <w:r w:rsidR="00AA44AC">
        <w:t>from</w:t>
      </w:r>
      <w:r w:rsidR="00C41A45">
        <w:t xml:space="preserve"> clinical and </w:t>
      </w:r>
      <w:r w:rsidR="00AA44AC">
        <w:t>landfill streams</w:t>
      </w:r>
      <w:r w:rsidR="00C41A45">
        <w:t xml:space="preserve"> and </w:t>
      </w:r>
      <w:r w:rsidR="00AA44AC">
        <w:t>adopting</w:t>
      </w:r>
      <w:r w:rsidR="00C41A45">
        <w:t xml:space="preserve"> waste avoidance </w:t>
      </w:r>
      <w:r w:rsidR="00AA44AC">
        <w:t>measures</w:t>
      </w:r>
      <w:r w:rsidR="00C41A45">
        <w:t>.</w:t>
      </w:r>
    </w:p>
    <w:p w14:paraId="42FD8BFB" w14:textId="57D5AF8E" w:rsidR="00AA44AC" w:rsidRDefault="00C41A45" w:rsidP="00225788">
      <w:pPr>
        <w:pStyle w:val="Heading3"/>
      </w:pPr>
      <w:bookmarkStart w:id="13" w:name="_Toc528239304"/>
      <w:r>
        <w:t xml:space="preserve">Infection </w:t>
      </w:r>
      <w:r w:rsidR="00FC647C">
        <w:t>c</w:t>
      </w:r>
      <w:r>
        <w:t>ontrol</w:t>
      </w:r>
      <w:bookmarkEnd w:id="13"/>
    </w:p>
    <w:p w14:paraId="13F00636" w14:textId="77777777" w:rsidR="00142810" w:rsidRDefault="00AA44AC" w:rsidP="00DD67DA">
      <w:pPr>
        <w:pStyle w:val="DHHSbody"/>
      </w:pPr>
      <w:r>
        <w:t>P</w:t>
      </w:r>
      <w:r w:rsidR="00C41A45">
        <w:t>atient care outcomes and infection management fall within the co</w:t>
      </w:r>
      <w:r>
        <w:t xml:space="preserve">re business of health services. </w:t>
      </w:r>
      <w:r w:rsidR="00C41A45">
        <w:t xml:space="preserve">Given the primacy of these functions, waste management procedures that </w:t>
      </w:r>
      <w:r w:rsidR="006C4557">
        <w:t xml:space="preserve">are perceived as contributing to </w:t>
      </w:r>
      <w:r w:rsidR="00C41A45">
        <w:t xml:space="preserve">the spread of infection </w:t>
      </w:r>
      <w:r w:rsidR="00DD67DA">
        <w:t xml:space="preserve">are </w:t>
      </w:r>
      <w:r w:rsidR="006C4557">
        <w:t>not supported.</w:t>
      </w:r>
      <w:r w:rsidR="00142810">
        <w:t xml:space="preserve"> </w:t>
      </w:r>
    </w:p>
    <w:p w14:paraId="7A2AF9EA" w14:textId="3BBCADD5" w:rsidR="00C41A45" w:rsidRDefault="006C4557" w:rsidP="00DD67DA">
      <w:pPr>
        <w:pStyle w:val="DHHSbody"/>
      </w:pPr>
      <w:r>
        <w:t>When</w:t>
      </w:r>
      <w:r w:rsidR="00C41A45">
        <w:t xml:space="preserve"> medical staff have limited time and attention to inspect waste items for possible contamination</w:t>
      </w:r>
      <w:r w:rsidR="00BB163E">
        <w:t>,</w:t>
      </w:r>
      <w:r w:rsidR="00C41A45">
        <w:t xml:space="preserve"> standard practice </w:t>
      </w:r>
      <w:r>
        <w:t xml:space="preserve">is often </w:t>
      </w:r>
      <w:r w:rsidR="00C41A45">
        <w:t xml:space="preserve">to treat most items as </w:t>
      </w:r>
      <w:r>
        <w:t>an infection risk</w:t>
      </w:r>
      <w:r w:rsidR="00C41A45">
        <w:t>, irrespective of the</w:t>
      </w:r>
      <w:r>
        <w:t>ir actual</w:t>
      </w:r>
      <w:r w:rsidR="00C41A45">
        <w:t xml:space="preserve"> level of </w:t>
      </w:r>
      <w:r>
        <w:t>risk</w:t>
      </w:r>
      <w:r w:rsidR="00C41A45">
        <w:t>.</w:t>
      </w:r>
      <w:r>
        <w:t xml:space="preserve"> T</w:t>
      </w:r>
      <w:r w:rsidR="00C41A45">
        <w:t>he tr</w:t>
      </w:r>
      <w:r>
        <w:t xml:space="preserve">end towards </w:t>
      </w:r>
      <w:r w:rsidR="00DD67DA">
        <w:t xml:space="preserve">using </w:t>
      </w:r>
      <w:r>
        <w:t>single</w:t>
      </w:r>
      <w:r w:rsidR="00BB163E">
        <w:t>-</w:t>
      </w:r>
      <w:r>
        <w:t xml:space="preserve">use items </w:t>
      </w:r>
      <w:r w:rsidR="00DD67DA">
        <w:t>in health service</w:t>
      </w:r>
      <w:r w:rsidR="00BB163E">
        <w:t>s</w:t>
      </w:r>
      <w:r w:rsidR="00DD67DA">
        <w:t xml:space="preserve"> </w:t>
      </w:r>
      <w:r w:rsidR="00C41A45">
        <w:t>may be reinforced by the perception that the reduced handling and sterilisation re</w:t>
      </w:r>
      <w:r>
        <w:t>quirements of disposable items prevents infection and simplifies</w:t>
      </w:r>
      <w:r w:rsidR="00C41A45">
        <w:t xml:space="preserve"> workflows.</w:t>
      </w:r>
    </w:p>
    <w:p w14:paraId="5DC27DF7" w14:textId="5F784807" w:rsidR="00C41A45" w:rsidRDefault="00C41A45" w:rsidP="00C41A45">
      <w:pPr>
        <w:pStyle w:val="DHHSbody"/>
      </w:pPr>
      <w:r>
        <w:t>Anecdotal insights</w:t>
      </w:r>
      <w:r w:rsidR="007C30A0">
        <w:t xml:space="preserve">, such as the work currently being done </w:t>
      </w:r>
      <w:r w:rsidR="00486FC9">
        <w:t xml:space="preserve">by East Grampians Health, </w:t>
      </w:r>
      <w:r>
        <w:t>show that</w:t>
      </w:r>
      <w:r w:rsidR="00486FC9">
        <w:t xml:space="preserve"> </w:t>
      </w:r>
      <w:r>
        <w:t xml:space="preserve">working </w:t>
      </w:r>
      <w:r w:rsidR="00486FC9">
        <w:t xml:space="preserve">with infection control staff </w:t>
      </w:r>
      <w:r>
        <w:t xml:space="preserve">to </w:t>
      </w:r>
      <w:r w:rsidR="006C4557">
        <w:t>introduce</w:t>
      </w:r>
      <w:r>
        <w:t xml:space="preserve"> re</w:t>
      </w:r>
      <w:r w:rsidR="00486FC9">
        <w:t xml:space="preserve">cycling practices </w:t>
      </w:r>
      <w:r>
        <w:t>ensure</w:t>
      </w:r>
      <w:r w:rsidR="00486FC9">
        <w:t>s</w:t>
      </w:r>
      <w:r>
        <w:t xml:space="preserve"> that their responsibilities </w:t>
      </w:r>
      <w:r w:rsidR="006C4557">
        <w:t>are accounted for</w:t>
      </w:r>
      <w:r w:rsidR="00BB163E">
        <w:t>,</w:t>
      </w:r>
      <w:r w:rsidR="006C4557">
        <w:t xml:space="preserve"> and</w:t>
      </w:r>
      <w:r w:rsidR="00486FC9">
        <w:t xml:space="preserve"> these staff are</w:t>
      </w:r>
      <w:r w:rsidR="006C4557">
        <w:t xml:space="preserve"> therefore more supportive of</w:t>
      </w:r>
      <w:r>
        <w:t xml:space="preserve"> new waste management arrangements.</w:t>
      </w:r>
      <w:r w:rsidR="006C4557">
        <w:t xml:space="preserve"> Health services that have little</w:t>
      </w:r>
      <w:r>
        <w:t xml:space="preserve"> success in</w:t>
      </w:r>
      <w:r w:rsidR="006C4557">
        <w:t xml:space="preserve"> introducing</w:t>
      </w:r>
      <w:r>
        <w:t xml:space="preserve"> recycling streams </w:t>
      </w:r>
      <w:r w:rsidR="006C4557">
        <w:t>to</w:t>
      </w:r>
      <w:r>
        <w:t xml:space="preserve"> procedural locations</w:t>
      </w:r>
      <w:r w:rsidR="006C4557">
        <w:t xml:space="preserve"> often have </w:t>
      </w:r>
      <w:r>
        <w:t>limited connection</w:t>
      </w:r>
      <w:r w:rsidR="00DD67DA">
        <w:t>s</w:t>
      </w:r>
      <w:r>
        <w:t xml:space="preserve"> between waste management and infection control </w:t>
      </w:r>
      <w:r w:rsidR="006C4557">
        <w:t>staff</w:t>
      </w:r>
      <w:r>
        <w:t xml:space="preserve">. </w:t>
      </w:r>
    </w:p>
    <w:p w14:paraId="09676598" w14:textId="77777777" w:rsidR="00C41A45" w:rsidRDefault="00C41A45" w:rsidP="00225788">
      <w:pPr>
        <w:pStyle w:val="Heading3"/>
      </w:pPr>
      <w:bookmarkStart w:id="14" w:name="_Toc528239305"/>
      <w:r>
        <w:lastRenderedPageBreak/>
        <w:t>Procurement</w:t>
      </w:r>
      <w:bookmarkEnd w:id="14"/>
      <w:r>
        <w:t xml:space="preserve"> </w:t>
      </w:r>
    </w:p>
    <w:p w14:paraId="5EB12B2B" w14:textId="506596A6" w:rsidR="00C41A45" w:rsidRDefault="00C41A45" w:rsidP="00C41A45">
      <w:pPr>
        <w:pStyle w:val="DHHSbody"/>
      </w:pPr>
      <w:r>
        <w:t xml:space="preserve">Waste management staff and various champions </w:t>
      </w:r>
      <w:r w:rsidR="006A1314">
        <w:t>are</w:t>
      </w:r>
      <w:r>
        <w:t xml:space="preserve"> aware that </w:t>
      </w:r>
      <w:r w:rsidR="006A1314">
        <w:t>procurement decisions, both within health service</w:t>
      </w:r>
      <w:r w:rsidR="00BB163E">
        <w:t>s</w:t>
      </w:r>
      <w:r w:rsidR="006A1314">
        <w:t xml:space="preserve"> and </w:t>
      </w:r>
      <w:r w:rsidR="00BB163E">
        <w:t>Health Purchasing Victoria</w:t>
      </w:r>
      <w:r w:rsidR="006A1314">
        <w:t xml:space="preserve">, can </w:t>
      </w:r>
      <w:r>
        <w:t xml:space="preserve">have a significant bearing on what </w:t>
      </w:r>
      <w:r w:rsidR="006A1314">
        <w:t>can</w:t>
      </w:r>
      <w:r>
        <w:t xml:space="preserve"> be recycled</w:t>
      </w:r>
      <w:r w:rsidR="006A1314">
        <w:t>. Despite this</w:t>
      </w:r>
      <w:r w:rsidR="00DD67DA">
        <w:t xml:space="preserve">, within health services, </w:t>
      </w:r>
      <w:r w:rsidR="006A1314">
        <w:t>procurement is</w:t>
      </w:r>
      <w:r>
        <w:t xml:space="preserve"> seldom factored into </w:t>
      </w:r>
      <w:r w:rsidR="006A1314">
        <w:t xml:space="preserve">waste management </w:t>
      </w:r>
      <w:r>
        <w:t xml:space="preserve">decisions. </w:t>
      </w:r>
    </w:p>
    <w:p w14:paraId="4DD1FE3E" w14:textId="1D6D57E3" w:rsidR="00C41A45" w:rsidRDefault="006A1314" w:rsidP="006A1314">
      <w:pPr>
        <w:pStyle w:val="DHHSbody"/>
      </w:pPr>
      <w:r>
        <w:t>Pr</w:t>
      </w:r>
      <w:r w:rsidR="00C41A45">
        <w:t>ocurement teams could have a role</w:t>
      </w:r>
      <w:r>
        <w:t xml:space="preserve"> in waste reduction</w:t>
      </w:r>
      <w:r w:rsidR="00BB163E">
        <w:t xml:space="preserve"> –</w:t>
      </w:r>
      <w:r w:rsidR="00C41A45">
        <w:t xml:space="preserve"> for example</w:t>
      </w:r>
      <w:r w:rsidR="00BB163E">
        <w:t>,</w:t>
      </w:r>
      <w:r>
        <w:t xml:space="preserve"> through </w:t>
      </w:r>
      <w:r w:rsidR="00C41A45">
        <w:t xml:space="preserve">ensuring </w:t>
      </w:r>
      <w:r>
        <w:t xml:space="preserve">that </w:t>
      </w:r>
      <w:r w:rsidR="00C41A45">
        <w:t xml:space="preserve">reusable items </w:t>
      </w:r>
      <w:r>
        <w:t>are</w:t>
      </w:r>
      <w:r w:rsidR="00C41A45">
        <w:t xml:space="preserve"> given sufficient prominence as an alternative to single</w:t>
      </w:r>
      <w:r w:rsidR="00BB163E">
        <w:t>-</w:t>
      </w:r>
      <w:r w:rsidR="00C41A45">
        <w:t>use items, and in prefe</w:t>
      </w:r>
      <w:r>
        <w:t>rentially purchasing items that are able to be recycled</w:t>
      </w:r>
      <w:r w:rsidR="004E7F29">
        <w:t>.</w:t>
      </w:r>
    </w:p>
    <w:p w14:paraId="5E65F4A8" w14:textId="06D16E38" w:rsidR="006A1314" w:rsidRDefault="006A1314" w:rsidP="006A1314">
      <w:pPr>
        <w:pStyle w:val="Heading2"/>
      </w:pPr>
      <w:bookmarkStart w:id="15" w:name="_Toc528239306"/>
      <w:r>
        <w:t xml:space="preserve">Survey </w:t>
      </w:r>
      <w:r w:rsidR="00FC647C">
        <w:t>f</w:t>
      </w:r>
      <w:r>
        <w:t>indings</w:t>
      </w:r>
      <w:bookmarkEnd w:id="15"/>
    </w:p>
    <w:p w14:paraId="0867B570" w14:textId="2B7E0A26" w:rsidR="006A1314" w:rsidRDefault="003C66C8" w:rsidP="006A1314">
      <w:pPr>
        <w:pStyle w:val="DHHSbody"/>
      </w:pPr>
      <w:r>
        <w:t xml:space="preserve">A </w:t>
      </w:r>
      <w:r w:rsidR="00E95F01">
        <w:t>s</w:t>
      </w:r>
      <w:r w:rsidR="006A1314">
        <w:t>urvey was released to health service staff in May 2018. This survey gather</w:t>
      </w:r>
      <w:r>
        <w:t>ed</w:t>
      </w:r>
      <w:r w:rsidR="006A1314">
        <w:t xml:space="preserve"> data on health service needs regarding w</w:t>
      </w:r>
      <w:r>
        <w:t>aste management practice,</w:t>
      </w:r>
      <w:r w:rsidR="006A1314">
        <w:t xml:space="preserve"> inform</w:t>
      </w:r>
      <w:r>
        <w:t>ing</w:t>
      </w:r>
      <w:r w:rsidR="006A1314">
        <w:t xml:space="preserve"> the prioritisation process and other planning activities scheduled for </w:t>
      </w:r>
      <w:r w:rsidR="00FC647C">
        <w:t>p</w:t>
      </w:r>
      <w:r w:rsidR="006A1314">
        <w:t xml:space="preserve">hase 2 of the </w:t>
      </w:r>
      <w:r w:rsidR="00E95F01">
        <w:t>project</w:t>
      </w:r>
      <w:r w:rsidR="006A1314">
        <w:t>.</w:t>
      </w:r>
    </w:p>
    <w:p w14:paraId="0DA84C74" w14:textId="5A352C1D" w:rsidR="004E7F29" w:rsidRDefault="006A1314" w:rsidP="007626C4">
      <w:pPr>
        <w:pStyle w:val="DHHSbody"/>
      </w:pPr>
      <w:r>
        <w:t>The survey received 470 responses from 63 health service</w:t>
      </w:r>
      <w:r w:rsidR="003C66C8">
        <w:t xml:space="preserve">s. </w:t>
      </w:r>
      <w:r w:rsidR="00A50437">
        <w:t>Most</w:t>
      </w:r>
      <w:r w:rsidR="003C66C8">
        <w:t xml:space="preserve"> </w:t>
      </w:r>
      <w:r>
        <w:t>responses</w:t>
      </w:r>
      <w:r w:rsidR="003C66C8">
        <w:t xml:space="preserve"> came </w:t>
      </w:r>
      <w:r w:rsidRPr="00A83DE2">
        <w:t>from nursing and midwifery</w:t>
      </w:r>
      <w:r w:rsidR="003C66C8">
        <w:t xml:space="preserve"> staff</w:t>
      </w:r>
      <w:r w:rsidR="00BB163E">
        <w:t>;</w:t>
      </w:r>
      <w:r w:rsidR="00142810">
        <w:t xml:space="preserve"> however</w:t>
      </w:r>
      <w:r w:rsidR="00BB163E">
        <w:t>,</w:t>
      </w:r>
      <w:r w:rsidR="00142810">
        <w:t xml:space="preserve"> there was also a stro</w:t>
      </w:r>
      <w:r w:rsidR="003C66C8">
        <w:t xml:space="preserve">ng response from </w:t>
      </w:r>
      <w:r w:rsidR="00142810">
        <w:t xml:space="preserve">management, support services, engineering </w:t>
      </w:r>
      <w:r w:rsidRPr="00A83DE2">
        <w:t xml:space="preserve">and administration </w:t>
      </w:r>
      <w:r w:rsidR="003C66C8">
        <w:t>staff</w:t>
      </w:r>
      <w:r w:rsidRPr="007810A7">
        <w:t>.</w:t>
      </w:r>
    </w:p>
    <w:p w14:paraId="0C89AB8D" w14:textId="4D7E3A2F" w:rsidR="00225788" w:rsidRDefault="00225788" w:rsidP="007626C4">
      <w:pPr>
        <w:pStyle w:val="DHHSbody"/>
        <w:rPr>
          <w:lang w:eastAsia="en-AU"/>
        </w:rPr>
      </w:pPr>
      <w:r>
        <w:rPr>
          <w:lang w:eastAsia="en-AU"/>
        </w:rPr>
        <w:t xml:space="preserve">Respondents were asked to identify waste streams and health service locations </w:t>
      </w:r>
      <w:r w:rsidR="00BB163E">
        <w:rPr>
          <w:lang w:eastAsia="en-AU"/>
        </w:rPr>
        <w:t xml:space="preserve">that </w:t>
      </w:r>
      <w:r>
        <w:rPr>
          <w:lang w:eastAsia="en-AU"/>
        </w:rPr>
        <w:t xml:space="preserve">they perceived to be important to focus on and </w:t>
      </w:r>
      <w:r w:rsidR="00BB163E">
        <w:rPr>
          <w:lang w:eastAsia="en-AU"/>
        </w:rPr>
        <w:t xml:space="preserve">those that </w:t>
      </w:r>
      <w:r>
        <w:rPr>
          <w:lang w:eastAsia="en-AU"/>
        </w:rPr>
        <w:t>posed difficulty in terms of correct waste management. The priority waste streams identified from the survey are food waste, commingled recycling, PVC items, single</w:t>
      </w:r>
      <w:r w:rsidR="00BB163E">
        <w:rPr>
          <w:lang w:eastAsia="en-AU"/>
        </w:rPr>
        <w:t>-</w:t>
      </w:r>
      <w:r>
        <w:rPr>
          <w:lang w:eastAsia="en-AU"/>
        </w:rPr>
        <w:t xml:space="preserve">use metals and polystyrene. Priority locations are </w:t>
      </w:r>
      <w:r w:rsidR="00BB163E">
        <w:rPr>
          <w:lang w:eastAsia="en-AU"/>
        </w:rPr>
        <w:t>café</w:t>
      </w:r>
      <w:r>
        <w:rPr>
          <w:lang w:eastAsia="en-AU"/>
        </w:rPr>
        <w:t xml:space="preserve">s and cafeterias, public spaces, theatre, </w:t>
      </w:r>
      <w:r w:rsidR="0010141A">
        <w:rPr>
          <w:lang w:eastAsia="en-AU"/>
        </w:rPr>
        <w:t xml:space="preserve">emergency departments </w:t>
      </w:r>
      <w:r>
        <w:rPr>
          <w:lang w:eastAsia="en-AU"/>
        </w:rPr>
        <w:t xml:space="preserve">and </w:t>
      </w:r>
      <w:r w:rsidR="0010141A">
        <w:rPr>
          <w:lang w:eastAsia="en-AU"/>
        </w:rPr>
        <w:t>intensive care units</w:t>
      </w:r>
      <w:r>
        <w:rPr>
          <w:lang w:eastAsia="en-AU"/>
        </w:rPr>
        <w:t>.</w:t>
      </w:r>
    </w:p>
    <w:p w14:paraId="1886F68C" w14:textId="1D53A0EC" w:rsidR="00225788" w:rsidRDefault="00225788" w:rsidP="007626C4">
      <w:pPr>
        <w:pStyle w:val="DHHSbody"/>
        <w:rPr>
          <w:lang w:eastAsia="en-AU"/>
        </w:rPr>
      </w:pPr>
      <w:r>
        <w:rPr>
          <w:lang w:eastAsia="en-AU"/>
        </w:rPr>
        <w:t xml:space="preserve">Responses differed between regional, rural and public health services, with aged care and non-clinical areas such as public spaces and </w:t>
      </w:r>
      <w:r w:rsidR="00B40CFC">
        <w:rPr>
          <w:lang w:eastAsia="en-AU"/>
        </w:rPr>
        <w:t>café</w:t>
      </w:r>
      <w:r>
        <w:rPr>
          <w:lang w:eastAsia="en-AU"/>
        </w:rPr>
        <w:t>s being prioritised by rural and regional health services more than metropolitan services. There was</w:t>
      </w:r>
      <w:r w:rsidR="00B40CFC">
        <w:rPr>
          <w:lang w:eastAsia="en-AU"/>
        </w:rPr>
        <w:t>,</w:t>
      </w:r>
      <w:r>
        <w:rPr>
          <w:lang w:eastAsia="en-AU"/>
        </w:rPr>
        <w:t xml:space="preserve"> however</w:t>
      </w:r>
      <w:r w:rsidR="00B40CFC">
        <w:rPr>
          <w:lang w:eastAsia="en-AU"/>
        </w:rPr>
        <w:t>,</w:t>
      </w:r>
      <w:r>
        <w:rPr>
          <w:lang w:eastAsia="en-AU"/>
        </w:rPr>
        <w:t xml:space="preserve"> consensus from all areas in prioritising emergency departments and operating theatres.</w:t>
      </w:r>
    </w:p>
    <w:p w14:paraId="0CAD26CA" w14:textId="36496ECC" w:rsidR="00225788" w:rsidRDefault="00225788" w:rsidP="007626C4">
      <w:pPr>
        <w:pStyle w:val="DHHSbody"/>
        <w:rPr>
          <w:lang w:eastAsia="en-AU"/>
        </w:rPr>
      </w:pPr>
      <w:r>
        <w:rPr>
          <w:lang w:eastAsia="en-AU"/>
        </w:rPr>
        <w:t xml:space="preserve">Further detail regarding survey findings can be found in </w:t>
      </w:r>
      <w:r w:rsidR="00B40CFC">
        <w:rPr>
          <w:lang w:eastAsia="en-AU"/>
        </w:rPr>
        <w:t>the a</w:t>
      </w:r>
      <w:r>
        <w:rPr>
          <w:lang w:eastAsia="en-AU"/>
        </w:rPr>
        <w:t>ppendix.</w:t>
      </w:r>
    </w:p>
    <w:p w14:paraId="7D10BDCC" w14:textId="77777777" w:rsidR="007626C4" w:rsidRPr="00287BD9" w:rsidRDefault="007626C4" w:rsidP="007626C4">
      <w:pPr>
        <w:pStyle w:val="Heading2"/>
      </w:pPr>
      <w:bookmarkStart w:id="16" w:name="_Toc528239307"/>
      <w:r w:rsidRPr="00287BD9">
        <w:t xml:space="preserve">Recommended intervention </w:t>
      </w:r>
      <w:r w:rsidR="00AD43B1">
        <w:t>areas</w:t>
      </w:r>
      <w:bookmarkEnd w:id="16"/>
    </w:p>
    <w:p w14:paraId="0A787E15" w14:textId="12711133" w:rsidR="00B40CFC" w:rsidRDefault="007626C4" w:rsidP="0001558A">
      <w:pPr>
        <w:pStyle w:val="DHHSbody"/>
      </w:pPr>
      <w:r>
        <w:t xml:space="preserve">Eleven clinical and non-clinical streams were recommended </w:t>
      </w:r>
      <w:r w:rsidR="00B40CFC">
        <w:t>to include</w:t>
      </w:r>
      <w:r>
        <w:t xml:space="preserve"> in the program, as set out in Table </w:t>
      </w:r>
      <w:r w:rsidR="00225788">
        <w:t>1</w:t>
      </w:r>
      <w:r>
        <w:t xml:space="preserve">. Early deployment priorities could be those items where a program could realistically be rolled out in the first </w:t>
      </w:r>
      <w:r w:rsidR="003B017C">
        <w:t xml:space="preserve">12 </w:t>
      </w:r>
      <w:r>
        <w:t xml:space="preserve">months; and later deployment priorities could be deployed in the second </w:t>
      </w:r>
      <w:r w:rsidR="00B40CFC">
        <w:t xml:space="preserve">12 </w:t>
      </w:r>
      <w:r>
        <w:t>months, following more involved research and engagement. These timeframes are suggestions only.</w:t>
      </w:r>
      <w:r w:rsidR="00825B15" w:rsidRPr="00825B15">
        <w:t xml:space="preserve"> </w:t>
      </w:r>
    </w:p>
    <w:p w14:paraId="1E3F1FA5" w14:textId="6A7DEFD4" w:rsidR="00825B15" w:rsidRDefault="00825B15" w:rsidP="00825B15">
      <w:pPr>
        <w:pStyle w:val="DHHStablecaption"/>
      </w:pPr>
      <w:r w:rsidRPr="00FD2338">
        <w:t xml:space="preserve">Table </w:t>
      </w:r>
      <w:r>
        <w:t>1</w:t>
      </w:r>
      <w:r w:rsidRPr="00FD2338">
        <w:t xml:space="preserve">: </w:t>
      </w:r>
      <w:r>
        <w:t xml:space="preserve">Priority waste streams </w:t>
      </w:r>
    </w:p>
    <w:p w14:paraId="299F6B29" w14:textId="63DEC977" w:rsidR="00AE4BA7" w:rsidRPr="00AE4BA7" w:rsidRDefault="00AE4BA7" w:rsidP="00AE4BA7">
      <w:pPr>
        <w:pStyle w:val="DHHStablecaption"/>
      </w:pPr>
      <w:r>
        <w:t>Early deployment</w:t>
      </w:r>
    </w:p>
    <w:tbl>
      <w:tblPr>
        <w:tblStyle w:val="TableGrid"/>
        <w:tblW w:w="0" w:type="auto"/>
        <w:tblBorders>
          <w:top w:val="single" w:sz="4" w:space="0" w:color="D03061"/>
          <w:left w:val="single" w:sz="4" w:space="0" w:color="D03061"/>
          <w:bottom w:val="single" w:sz="4" w:space="0" w:color="D03061"/>
          <w:right w:val="single" w:sz="4" w:space="0" w:color="D03061"/>
          <w:insideH w:val="single" w:sz="4" w:space="0" w:color="D03061"/>
          <w:insideV w:val="single" w:sz="4" w:space="0" w:color="D03061"/>
        </w:tblBorders>
        <w:tblLook w:val="04A0" w:firstRow="1" w:lastRow="0" w:firstColumn="1" w:lastColumn="0" w:noHBand="0" w:noVBand="1"/>
      </w:tblPr>
      <w:tblGrid>
        <w:gridCol w:w="4703"/>
        <w:gridCol w:w="4703"/>
      </w:tblGrid>
      <w:tr w:rsidR="000A1B09" w14:paraId="65F808ED" w14:textId="77777777" w:rsidTr="000A1B09">
        <w:trPr>
          <w:cnfStyle w:val="100000000000" w:firstRow="1" w:lastRow="0" w:firstColumn="0" w:lastColumn="0" w:oddVBand="0" w:evenVBand="0" w:oddHBand="0" w:evenHBand="0" w:firstRowFirstColumn="0" w:firstRowLastColumn="0" w:lastRowFirstColumn="0" w:lastRowLastColumn="0"/>
        </w:trPr>
        <w:tc>
          <w:tcPr>
            <w:tcW w:w="4703" w:type="dxa"/>
            <w:shd w:val="clear" w:color="auto" w:fill="auto"/>
          </w:tcPr>
          <w:p w14:paraId="623A3033" w14:textId="77777777" w:rsidR="00AE4BA7" w:rsidRPr="00AE4BA7" w:rsidRDefault="00AE4BA7" w:rsidP="00035802">
            <w:pPr>
              <w:pStyle w:val="DHHStablecolhead"/>
              <w:rPr>
                <w:color w:val="D03061"/>
              </w:rPr>
            </w:pPr>
            <w:r>
              <w:rPr>
                <w:color w:val="D03061"/>
              </w:rPr>
              <w:t>Higher importance</w:t>
            </w:r>
          </w:p>
        </w:tc>
        <w:tc>
          <w:tcPr>
            <w:tcW w:w="4703" w:type="dxa"/>
            <w:shd w:val="clear" w:color="auto" w:fill="auto"/>
          </w:tcPr>
          <w:p w14:paraId="6D580D02" w14:textId="77777777" w:rsidR="00AE4BA7" w:rsidRPr="00AE4BA7" w:rsidRDefault="00AE4BA7" w:rsidP="00035802">
            <w:pPr>
              <w:pStyle w:val="DHHStablecolhead"/>
              <w:rPr>
                <w:color w:val="D03061"/>
              </w:rPr>
            </w:pPr>
            <w:r>
              <w:rPr>
                <w:color w:val="D03061"/>
              </w:rPr>
              <w:t>Lesser importance</w:t>
            </w:r>
          </w:p>
        </w:tc>
      </w:tr>
      <w:tr w:rsidR="00AE4BA7" w14:paraId="6DE2D493" w14:textId="77777777" w:rsidTr="000A1B09">
        <w:tc>
          <w:tcPr>
            <w:tcW w:w="4703" w:type="dxa"/>
          </w:tcPr>
          <w:p w14:paraId="36E8FCB0" w14:textId="62CDA90B" w:rsidR="00AE4BA7" w:rsidRDefault="00AE4BA7" w:rsidP="00AE4BA7">
            <w:pPr>
              <w:pStyle w:val="DHHStabletext"/>
            </w:pPr>
            <w:r w:rsidRPr="005F6CF2">
              <w:t>Commingled recycling</w:t>
            </w:r>
          </w:p>
        </w:tc>
        <w:tc>
          <w:tcPr>
            <w:tcW w:w="4703" w:type="dxa"/>
          </w:tcPr>
          <w:p w14:paraId="2332C601" w14:textId="0139A629" w:rsidR="00AE4BA7" w:rsidRDefault="00AE4BA7" w:rsidP="00AE4BA7">
            <w:pPr>
              <w:pStyle w:val="DHHStabletext"/>
            </w:pPr>
            <w:r w:rsidRPr="00DF394C">
              <w:t>Polystyrene foam (metropolitan only)</w:t>
            </w:r>
          </w:p>
        </w:tc>
      </w:tr>
      <w:tr w:rsidR="00AE4BA7" w14:paraId="229D5D46" w14:textId="77777777" w:rsidTr="000A1B09">
        <w:tc>
          <w:tcPr>
            <w:tcW w:w="4703" w:type="dxa"/>
          </w:tcPr>
          <w:p w14:paraId="3201FECB" w14:textId="06DAE43D" w:rsidR="00AE4BA7" w:rsidRDefault="00AE4BA7" w:rsidP="00AE4BA7">
            <w:pPr>
              <w:pStyle w:val="DHHStabletext"/>
            </w:pPr>
            <w:r w:rsidRPr="005F6CF2">
              <w:t>Paper and board (and confidential paper)</w:t>
            </w:r>
          </w:p>
        </w:tc>
        <w:tc>
          <w:tcPr>
            <w:tcW w:w="4703" w:type="dxa"/>
          </w:tcPr>
          <w:p w14:paraId="11988119" w14:textId="1BA8125E" w:rsidR="00AE4BA7" w:rsidRDefault="00AE4BA7" w:rsidP="00AE4BA7">
            <w:pPr>
              <w:pStyle w:val="DHHStabletext"/>
            </w:pPr>
            <w:r w:rsidRPr="00DF394C">
              <w:t>Sterilisation wrap</w:t>
            </w:r>
          </w:p>
        </w:tc>
      </w:tr>
      <w:tr w:rsidR="00AE4BA7" w14:paraId="0BD1D681" w14:textId="77777777" w:rsidTr="000A1B09">
        <w:tc>
          <w:tcPr>
            <w:tcW w:w="4703" w:type="dxa"/>
          </w:tcPr>
          <w:p w14:paraId="0A0FFAF5" w14:textId="1672B874" w:rsidR="00AE4BA7" w:rsidRDefault="00AE4BA7" w:rsidP="00AE4BA7">
            <w:pPr>
              <w:pStyle w:val="DHHStabletext"/>
            </w:pPr>
            <w:r w:rsidRPr="005F6CF2">
              <w:t>Single</w:t>
            </w:r>
            <w:r>
              <w:t>-</w:t>
            </w:r>
            <w:r w:rsidRPr="005F6CF2">
              <w:t>use medical PVC items</w:t>
            </w:r>
          </w:p>
        </w:tc>
        <w:tc>
          <w:tcPr>
            <w:tcW w:w="4703" w:type="dxa"/>
          </w:tcPr>
          <w:p w14:paraId="221B4925" w14:textId="19D55EB8" w:rsidR="00AE4BA7" w:rsidRDefault="00AE4BA7" w:rsidP="00AE4BA7">
            <w:pPr>
              <w:pStyle w:val="DHHStabletext"/>
            </w:pPr>
            <w:r w:rsidRPr="00DF394C">
              <w:t>Continence pads/aids</w:t>
            </w:r>
          </w:p>
        </w:tc>
      </w:tr>
      <w:tr w:rsidR="00AE4BA7" w14:paraId="22F4597A" w14:textId="77777777" w:rsidTr="000A1B09">
        <w:tc>
          <w:tcPr>
            <w:tcW w:w="4703" w:type="dxa"/>
          </w:tcPr>
          <w:p w14:paraId="0C1EBFF9" w14:textId="4A1AE7C6" w:rsidR="00AE4BA7" w:rsidRDefault="00AE4BA7" w:rsidP="00AE4BA7">
            <w:pPr>
              <w:pStyle w:val="DHHStabletext"/>
            </w:pPr>
            <w:r w:rsidRPr="005F6CF2">
              <w:t>Single</w:t>
            </w:r>
            <w:r>
              <w:t>-</w:t>
            </w:r>
            <w:r w:rsidRPr="005F6CF2">
              <w:t>use metal instruments</w:t>
            </w:r>
          </w:p>
        </w:tc>
        <w:tc>
          <w:tcPr>
            <w:tcW w:w="4703" w:type="dxa"/>
          </w:tcPr>
          <w:p w14:paraId="12B77446" w14:textId="77777777" w:rsidR="00AE4BA7" w:rsidRDefault="00AE4BA7" w:rsidP="00AE4BA7">
            <w:pPr>
              <w:pStyle w:val="DHHStabletext"/>
            </w:pPr>
          </w:p>
        </w:tc>
      </w:tr>
      <w:tr w:rsidR="00AE4BA7" w14:paraId="0BAF4081" w14:textId="77777777" w:rsidTr="000A1B09">
        <w:tc>
          <w:tcPr>
            <w:tcW w:w="4703" w:type="dxa"/>
          </w:tcPr>
          <w:p w14:paraId="13197211" w14:textId="053A6229" w:rsidR="00AE4BA7" w:rsidRDefault="00AE4BA7" w:rsidP="00AE4BA7">
            <w:pPr>
              <w:pStyle w:val="DHHStabletext"/>
            </w:pPr>
            <w:r w:rsidRPr="005F6CF2">
              <w:t>Small electrical items and consumables</w:t>
            </w:r>
          </w:p>
        </w:tc>
        <w:tc>
          <w:tcPr>
            <w:tcW w:w="4703" w:type="dxa"/>
          </w:tcPr>
          <w:p w14:paraId="5239BA5C" w14:textId="77777777" w:rsidR="00AE4BA7" w:rsidRDefault="00AE4BA7" w:rsidP="00AE4BA7">
            <w:pPr>
              <w:pStyle w:val="DHHStabletext"/>
            </w:pPr>
          </w:p>
        </w:tc>
      </w:tr>
      <w:tr w:rsidR="00AE4BA7" w14:paraId="6B259C52" w14:textId="77777777" w:rsidTr="000A1B09">
        <w:tc>
          <w:tcPr>
            <w:tcW w:w="4703" w:type="dxa"/>
          </w:tcPr>
          <w:p w14:paraId="5D4A499D" w14:textId="2BD48075" w:rsidR="00AE4BA7" w:rsidRDefault="00AE4BA7" w:rsidP="00AE4BA7">
            <w:pPr>
              <w:pStyle w:val="DHHStabletext"/>
            </w:pPr>
            <w:r w:rsidRPr="005F6CF2">
              <w:t>Food organics (existing services)</w:t>
            </w:r>
          </w:p>
        </w:tc>
        <w:tc>
          <w:tcPr>
            <w:tcW w:w="4703" w:type="dxa"/>
          </w:tcPr>
          <w:p w14:paraId="05F6E115" w14:textId="77777777" w:rsidR="00AE4BA7" w:rsidRDefault="00AE4BA7" w:rsidP="00AE4BA7">
            <w:pPr>
              <w:pStyle w:val="DHHStabletext"/>
            </w:pPr>
          </w:p>
        </w:tc>
      </w:tr>
    </w:tbl>
    <w:p w14:paraId="74E3B9F3" w14:textId="5F618E18" w:rsidR="00AE4BA7" w:rsidRDefault="00AE4BA7" w:rsidP="00AE4BA7">
      <w:pPr>
        <w:pStyle w:val="DHHStablecaption"/>
      </w:pPr>
      <w:r>
        <w:lastRenderedPageBreak/>
        <w:t>Later deployment</w:t>
      </w:r>
    </w:p>
    <w:tbl>
      <w:tblPr>
        <w:tblStyle w:val="TableGrid"/>
        <w:tblW w:w="0" w:type="auto"/>
        <w:tblBorders>
          <w:top w:val="single" w:sz="4" w:space="0" w:color="D03061"/>
          <w:left w:val="single" w:sz="4" w:space="0" w:color="D03061"/>
          <w:bottom w:val="single" w:sz="4" w:space="0" w:color="D03061"/>
          <w:right w:val="single" w:sz="4" w:space="0" w:color="D03061"/>
          <w:insideH w:val="single" w:sz="4" w:space="0" w:color="D03061"/>
          <w:insideV w:val="single" w:sz="4" w:space="0" w:color="D03061"/>
        </w:tblBorders>
        <w:tblLook w:val="04A0" w:firstRow="1" w:lastRow="0" w:firstColumn="1" w:lastColumn="0" w:noHBand="0" w:noVBand="1"/>
      </w:tblPr>
      <w:tblGrid>
        <w:gridCol w:w="4703"/>
        <w:gridCol w:w="4703"/>
      </w:tblGrid>
      <w:tr w:rsidR="000A1B09" w14:paraId="05156B17" w14:textId="77777777" w:rsidTr="000A1B09">
        <w:trPr>
          <w:cnfStyle w:val="100000000000" w:firstRow="1" w:lastRow="0" w:firstColumn="0" w:lastColumn="0" w:oddVBand="0" w:evenVBand="0" w:oddHBand="0" w:evenHBand="0" w:firstRowFirstColumn="0" w:firstRowLastColumn="0" w:lastRowFirstColumn="0" w:lastRowLastColumn="0"/>
        </w:trPr>
        <w:tc>
          <w:tcPr>
            <w:tcW w:w="4703" w:type="dxa"/>
            <w:shd w:val="clear" w:color="auto" w:fill="auto"/>
          </w:tcPr>
          <w:p w14:paraId="3F7F1ACC" w14:textId="77777777" w:rsidR="000A1B09" w:rsidRPr="00AE4BA7" w:rsidRDefault="000A1B09" w:rsidP="00035802">
            <w:pPr>
              <w:pStyle w:val="DHHStablecolhead"/>
              <w:rPr>
                <w:color w:val="D03061"/>
              </w:rPr>
            </w:pPr>
            <w:r>
              <w:rPr>
                <w:color w:val="D03061"/>
              </w:rPr>
              <w:t>Higher importance</w:t>
            </w:r>
          </w:p>
        </w:tc>
        <w:tc>
          <w:tcPr>
            <w:tcW w:w="4703" w:type="dxa"/>
            <w:shd w:val="clear" w:color="auto" w:fill="auto"/>
          </w:tcPr>
          <w:p w14:paraId="0A33ECF0" w14:textId="77777777" w:rsidR="000A1B09" w:rsidRPr="00AE4BA7" w:rsidRDefault="000A1B09" w:rsidP="00035802">
            <w:pPr>
              <w:pStyle w:val="DHHStablecolhead"/>
              <w:rPr>
                <w:color w:val="D03061"/>
              </w:rPr>
            </w:pPr>
            <w:r>
              <w:rPr>
                <w:color w:val="D03061"/>
              </w:rPr>
              <w:t>Lesser importance</w:t>
            </w:r>
          </w:p>
        </w:tc>
      </w:tr>
      <w:tr w:rsidR="00AE4BA7" w14:paraId="593022D4" w14:textId="77777777" w:rsidTr="000A1B09">
        <w:tc>
          <w:tcPr>
            <w:tcW w:w="4703" w:type="dxa"/>
            <w:shd w:val="clear" w:color="auto" w:fill="auto"/>
          </w:tcPr>
          <w:p w14:paraId="1CEAF0C0" w14:textId="1862A90B" w:rsidR="00AE4BA7" w:rsidRPr="000A1B09" w:rsidRDefault="000A1B09" w:rsidP="000A1B09">
            <w:pPr>
              <w:pStyle w:val="DHHStabletext"/>
            </w:pPr>
            <w:r>
              <w:t>Food organics (new services)</w:t>
            </w:r>
          </w:p>
        </w:tc>
        <w:tc>
          <w:tcPr>
            <w:tcW w:w="4703" w:type="dxa"/>
            <w:shd w:val="clear" w:color="auto" w:fill="auto"/>
          </w:tcPr>
          <w:p w14:paraId="7C22AC12" w14:textId="5B0D67C6" w:rsidR="00AE4BA7" w:rsidRPr="00AE4BA7" w:rsidRDefault="000A1B09" w:rsidP="000A1B09">
            <w:pPr>
              <w:pStyle w:val="DHHStabletext"/>
              <w:rPr>
                <w:color w:val="D03061"/>
              </w:rPr>
            </w:pPr>
            <w:r w:rsidRPr="00282D74">
              <w:t xml:space="preserve">Medical plastics </w:t>
            </w:r>
            <w:r>
              <w:t>and</w:t>
            </w:r>
            <w:r w:rsidRPr="00282D74">
              <w:t xml:space="preserve"> hollowware</w:t>
            </w:r>
          </w:p>
        </w:tc>
      </w:tr>
      <w:tr w:rsidR="000A1B09" w14:paraId="1AEBD3BD" w14:textId="77777777" w:rsidTr="000A1B09">
        <w:tc>
          <w:tcPr>
            <w:tcW w:w="4703" w:type="dxa"/>
            <w:shd w:val="clear" w:color="auto" w:fill="auto"/>
          </w:tcPr>
          <w:p w14:paraId="179CBF2D" w14:textId="3A542ED2" w:rsidR="000A1B09" w:rsidRDefault="000A1B09" w:rsidP="000A1B09">
            <w:pPr>
              <w:pStyle w:val="DHHStabletext"/>
            </w:pPr>
            <w:r w:rsidRPr="00282D74">
              <w:t>Larger electrical equipment</w:t>
            </w:r>
          </w:p>
        </w:tc>
        <w:tc>
          <w:tcPr>
            <w:tcW w:w="4703" w:type="dxa"/>
            <w:shd w:val="clear" w:color="auto" w:fill="auto"/>
          </w:tcPr>
          <w:p w14:paraId="735EE7B4" w14:textId="77777777" w:rsidR="000A1B09" w:rsidRPr="00AE4BA7" w:rsidRDefault="000A1B09" w:rsidP="00AE4BA7">
            <w:pPr>
              <w:pStyle w:val="DHHStablecolhead"/>
              <w:rPr>
                <w:color w:val="D03061"/>
              </w:rPr>
            </w:pPr>
          </w:p>
        </w:tc>
      </w:tr>
    </w:tbl>
    <w:p w14:paraId="43B2F8FC" w14:textId="77777777" w:rsidR="00B40CFC" w:rsidRDefault="00B40CFC" w:rsidP="00615469">
      <w:pPr>
        <w:pStyle w:val="DHHSbodyaftertablefigure"/>
      </w:pPr>
      <w:r w:rsidRPr="00990244">
        <w:t xml:space="preserve">Table </w:t>
      </w:r>
      <w:r>
        <w:t>2 shows the clinical and non-clinical locations in order of priority.</w:t>
      </w:r>
    </w:p>
    <w:p w14:paraId="1286B048" w14:textId="54256889" w:rsidR="009A75C7" w:rsidRDefault="009A75C7" w:rsidP="009A75C7">
      <w:pPr>
        <w:pStyle w:val="DHHStablecaption"/>
      </w:pPr>
      <w:r w:rsidRPr="00215863">
        <w:t xml:space="preserve">Table </w:t>
      </w:r>
      <w:r>
        <w:t>2</w:t>
      </w:r>
      <w:r w:rsidRPr="00215863">
        <w:t>: Prioritisation of streams, based on importance and practicality of including in earlier and later deployment</w:t>
      </w:r>
    </w:p>
    <w:tbl>
      <w:tblPr>
        <w:tblStyle w:val="TableGrid"/>
        <w:tblW w:w="0" w:type="auto"/>
        <w:tblBorders>
          <w:top w:val="single" w:sz="4" w:space="0" w:color="D03061"/>
          <w:left w:val="single" w:sz="4" w:space="0" w:color="D03061"/>
          <w:bottom w:val="single" w:sz="4" w:space="0" w:color="D03061"/>
          <w:right w:val="single" w:sz="4" w:space="0" w:color="D03061"/>
          <w:insideH w:val="single" w:sz="4" w:space="0" w:color="D03061"/>
          <w:insideV w:val="single" w:sz="4" w:space="0" w:color="D03061"/>
        </w:tblBorders>
        <w:tblLook w:val="04A0" w:firstRow="1" w:lastRow="0" w:firstColumn="1" w:lastColumn="0" w:noHBand="0" w:noVBand="1"/>
      </w:tblPr>
      <w:tblGrid>
        <w:gridCol w:w="4703"/>
        <w:gridCol w:w="4703"/>
      </w:tblGrid>
      <w:tr w:rsidR="000A1B09" w:rsidRPr="000A1B09" w14:paraId="28CA8A38" w14:textId="77777777" w:rsidTr="000A1B09">
        <w:trPr>
          <w:cnfStyle w:val="100000000000" w:firstRow="1" w:lastRow="0" w:firstColumn="0" w:lastColumn="0" w:oddVBand="0" w:evenVBand="0" w:oddHBand="0" w:evenHBand="0" w:firstRowFirstColumn="0" w:firstRowLastColumn="0" w:lastRowFirstColumn="0" w:lastRowLastColumn="0"/>
        </w:trPr>
        <w:tc>
          <w:tcPr>
            <w:tcW w:w="4703" w:type="dxa"/>
            <w:shd w:val="clear" w:color="auto" w:fill="auto"/>
          </w:tcPr>
          <w:p w14:paraId="3D090E0C" w14:textId="02588F90" w:rsidR="009A75C7" w:rsidRPr="000A1B09" w:rsidRDefault="009A75C7" w:rsidP="009A75C7">
            <w:pPr>
              <w:pStyle w:val="DHHStablecolhead"/>
              <w:rPr>
                <w:color w:val="D03061"/>
              </w:rPr>
            </w:pPr>
            <w:r w:rsidRPr="000A1B09">
              <w:rPr>
                <w:color w:val="D03061"/>
                <w:lang w:eastAsia="en-AU"/>
              </w:rPr>
              <w:t>Non-clinical locations</w:t>
            </w:r>
          </w:p>
        </w:tc>
        <w:tc>
          <w:tcPr>
            <w:tcW w:w="4703" w:type="dxa"/>
            <w:shd w:val="clear" w:color="auto" w:fill="auto"/>
          </w:tcPr>
          <w:p w14:paraId="1F6CB78E" w14:textId="3EEAC420" w:rsidR="009A75C7" w:rsidRPr="000A1B09" w:rsidRDefault="009A75C7" w:rsidP="009A75C7">
            <w:pPr>
              <w:pStyle w:val="DHHStablecolhead"/>
              <w:rPr>
                <w:color w:val="D03061"/>
              </w:rPr>
            </w:pPr>
            <w:r w:rsidRPr="000A1B09">
              <w:rPr>
                <w:color w:val="D03061"/>
                <w:lang w:eastAsia="en-AU"/>
              </w:rPr>
              <w:t>Clinical locations</w:t>
            </w:r>
          </w:p>
        </w:tc>
      </w:tr>
      <w:tr w:rsidR="009A75C7" w14:paraId="54BE5075" w14:textId="77777777" w:rsidTr="000A1B09">
        <w:tc>
          <w:tcPr>
            <w:tcW w:w="4703" w:type="dxa"/>
          </w:tcPr>
          <w:p w14:paraId="7D2552B1" w14:textId="28FA5B60" w:rsidR="009A75C7" w:rsidRDefault="009A75C7" w:rsidP="00245A29">
            <w:pPr>
              <w:pStyle w:val="DHHStabletext"/>
            </w:pPr>
            <w:r>
              <w:rPr>
                <w:lang w:eastAsia="en-AU"/>
              </w:rPr>
              <w:t>Café</w:t>
            </w:r>
            <w:r w:rsidRPr="00FC647C">
              <w:rPr>
                <w:lang w:eastAsia="en-AU"/>
              </w:rPr>
              <w:t>s and staff cafeterias</w:t>
            </w:r>
          </w:p>
        </w:tc>
        <w:tc>
          <w:tcPr>
            <w:tcW w:w="4703" w:type="dxa"/>
          </w:tcPr>
          <w:p w14:paraId="1BE25407" w14:textId="27903C35" w:rsidR="009A75C7" w:rsidRDefault="009A75C7" w:rsidP="00245A29">
            <w:pPr>
              <w:pStyle w:val="DHHStabletext"/>
            </w:pPr>
            <w:r w:rsidRPr="00627F78">
              <w:rPr>
                <w:lang w:eastAsia="en-AU"/>
              </w:rPr>
              <w:t>Theatre (</w:t>
            </w:r>
            <w:r>
              <w:rPr>
                <w:lang w:eastAsia="en-AU"/>
              </w:rPr>
              <w:t>s</w:t>
            </w:r>
            <w:r w:rsidRPr="00627F78">
              <w:rPr>
                <w:lang w:eastAsia="en-AU"/>
              </w:rPr>
              <w:t>urgery)</w:t>
            </w:r>
          </w:p>
        </w:tc>
      </w:tr>
      <w:tr w:rsidR="009A75C7" w14:paraId="12A3795C" w14:textId="77777777" w:rsidTr="000A1B09">
        <w:tc>
          <w:tcPr>
            <w:tcW w:w="4703" w:type="dxa"/>
          </w:tcPr>
          <w:p w14:paraId="24217006" w14:textId="636277EC" w:rsidR="009A75C7" w:rsidRDefault="009A75C7" w:rsidP="00245A29">
            <w:pPr>
              <w:pStyle w:val="DHHStabletext"/>
            </w:pPr>
            <w:r w:rsidRPr="00FC647C">
              <w:rPr>
                <w:lang w:eastAsia="en-AU"/>
              </w:rPr>
              <w:t>Public spaces (</w:t>
            </w:r>
            <w:r>
              <w:rPr>
                <w:lang w:eastAsia="en-AU"/>
              </w:rPr>
              <w:t xml:space="preserve">for example, </w:t>
            </w:r>
            <w:r w:rsidRPr="00FC647C">
              <w:rPr>
                <w:lang w:eastAsia="en-AU"/>
              </w:rPr>
              <w:t>foyers)</w:t>
            </w:r>
          </w:p>
        </w:tc>
        <w:tc>
          <w:tcPr>
            <w:tcW w:w="4703" w:type="dxa"/>
          </w:tcPr>
          <w:p w14:paraId="31D34FA7" w14:textId="539F7B30" w:rsidR="009A75C7" w:rsidRDefault="009A75C7" w:rsidP="00245A29">
            <w:pPr>
              <w:pStyle w:val="DHHStabletext"/>
            </w:pPr>
            <w:r w:rsidRPr="00627F78">
              <w:rPr>
                <w:lang w:eastAsia="en-AU"/>
              </w:rPr>
              <w:t>Emergency</w:t>
            </w:r>
          </w:p>
        </w:tc>
      </w:tr>
      <w:tr w:rsidR="009A75C7" w14:paraId="2BB95660" w14:textId="77777777" w:rsidTr="000A1B09">
        <w:tc>
          <w:tcPr>
            <w:tcW w:w="4703" w:type="dxa"/>
          </w:tcPr>
          <w:p w14:paraId="24738109" w14:textId="2845D434" w:rsidR="009A75C7" w:rsidRDefault="009A75C7" w:rsidP="00245A29">
            <w:pPr>
              <w:pStyle w:val="DHHStabletext"/>
            </w:pPr>
            <w:r w:rsidRPr="00FC647C">
              <w:rPr>
                <w:lang w:eastAsia="en-AU"/>
              </w:rPr>
              <w:t>Kitchen and catering</w:t>
            </w:r>
          </w:p>
        </w:tc>
        <w:tc>
          <w:tcPr>
            <w:tcW w:w="4703" w:type="dxa"/>
          </w:tcPr>
          <w:p w14:paraId="7E29FC19" w14:textId="19EA9AB9" w:rsidR="009A75C7" w:rsidRDefault="009A75C7" w:rsidP="00245A29">
            <w:pPr>
              <w:pStyle w:val="DHHStabletext"/>
            </w:pPr>
            <w:r w:rsidRPr="00627F78">
              <w:rPr>
                <w:lang w:eastAsia="en-AU"/>
              </w:rPr>
              <w:t>Intensive care</w:t>
            </w:r>
          </w:p>
        </w:tc>
      </w:tr>
      <w:tr w:rsidR="009A75C7" w14:paraId="432C83ED" w14:textId="77777777" w:rsidTr="000A1B09">
        <w:tc>
          <w:tcPr>
            <w:tcW w:w="4703" w:type="dxa"/>
          </w:tcPr>
          <w:p w14:paraId="00336E21" w14:textId="583E57CA" w:rsidR="009A75C7" w:rsidRDefault="009A75C7" w:rsidP="00245A29">
            <w:pPr>
              <w:pStyle w:val="DHHStabletext"/>
            </w:pPr>
            <w:r w:rsidRPr="00FC647C">
              <w:rPr>
                <w:lang w:eastAsia="en-AU"/>
              </w:rPr>
              <w:t>Aged care</w:t>
            </w:r>
          </w:p>
        </w:tc>
        <w:tc>
          <w:tcPr>
            <w:tcW w:w="4703" w:type="dxa"/>
          </w:tcPr>
          <w:p w14:paraId="5014A5E1" w14:textId="6ABABD24" w:rsidR="009A75C7" w:rsidRDefault="009A75C7" w:rsidP="00245A29">
            <w:pPr>
              <w:pStyle w:val="DHHStabletext"/>
            </w:pPr>
            <w:r w:rsidRPr="00627F78">
              <w:rPr>
                <w:lang w:eastAsia="en-AU"/>
              </w:rPr>
              <w:t>Medical/surgical wards</w:t>
            </w:r>
          </w:p>
        </w:tc>
      </w:tr>
      <w:tr w:rsidR="009A75C7" w14:paraId="6C387725" w14:textId="77777777" w:rsidTr="000A1B09">
        <w:tc>
          <w:tcPr>
            <w:tcW w:w="4703" w:type="dxa"/>
          </w:tcPr>
          <w:p w14:paraId="1DCE0580" w14:textId="18F70956" w:rsidR="009A75C7" w:rsidRDefault="009A75C7" w:rsidP="00245A29">
            <w:pPr>
              <w:pStyle w:val="DHHStabletext"/>
            </w:pPr>
            <w:r w:rsidRPr="00FC647C">
              <w:rPr>
                <w:lang w:eastAsia="en-AU"/>
              </w:rPr>
              <w:t>Administration</w:t>
            </w:r>
          </w:p>
        </w:tc>
        <w:tc>
          <w:tcPr>
            <w:tcW w:w="4703" w:type="dxa"/>
          </w:tcPr>
          <w:p w14:paraId="03B5B048" w14:textId="582DFA5D" w:rsidR="009A75C7" w:rsidRDefault="009A75C7" w:rsidP="00245A29">
            <w:pPr>
              <w:pStyle w:val="DHHStabletext"/>
            </w:pPr>
            <w:r w:rsidRPr="00627F78">
              <w:rPr>
                <w:lang w:eastAsia="en-AU"/>
              </w:rPr>
              <w:t>Acute ward</w:t>
            </w:r>
          </w:p>
        </w:tc>
      </w:tr>
      <w:tr w:rsidR="009A75C7" w14:paraId="20529963" w14:textId="77777777" w:rsidTr="000A1B09">
        <w:tc>
          <w:tcPr>
            <w:tcW w:w="4703" w:type="dxa"/>
          </w:tcPr>
          <w:p w14:paraId="4D3FC119" w14:textId="76EA9E9E" w:rsidR="009A75C7" w:rsidRDefault="009A75C7" w:rsidP="00245A29">
            <w:pPr>
              <w:pStyle w:val="DHHStabletext"/>
            </w:pPr>
            <w:r w:rsidRPr="00FC647C">
              <w:rPr>
                <w:lang w:eastAsia="en-AU"/>
              </w:rPr>
              <w:t>Pharmacy</w:t>
            </w:r>
          </w:p>
        </w:tc>
        <w:tc>
          <w:tcPr>
            <w:tcW w:w="4703" w:type="dxa"/>
          </w:tcPr>
          <w:p w14:paraId="21DFC343" w14:textId="21D415A0" w:rsidR="009A75C7" w:rsidRDefault="009A75C7" w:rsidP="00245A29">
            <w:pPr>
              <w:pStyle w:val="DHHStabletext"/>
            </w:pPr>
            <w:r w:rsidRPr="00627F78">
              <w:rPr>
                <w:lang w:eastAsia="en-AU"/>
              </w:rPr>
              <w:t>Dialysis</w:t>
            </w:r>
          </w:p>
        </w:tc>
      </w:tr>
      <w:tr w:rsidR="009A75C7" w14:paraId="397F880D" w14:textId="77777777" w:rsidTr="000A1B09">
        <w:tc>
          <w:tcPr>
            <w:tcW w:w="4703" w:type="dxa"/>
          </w:tcPr>
          <w:p w14:paraId="1BD33FB6" w14:textId="604E6920" w:rsidR="009A75C7" w:rsidRDefault="009A75C7" w:rsidP="00245A29">
            <w:pPr>
              <w:pStyle w:val="DHHStabletext"/>
            </w:pPr>
            <w:r w:rsidRPr="00FC647C">
              <w:rPr>
                <w:lang w:eastAsia="en-AU"/>
              </w:rPr>
              <w:t>Environmental services, engineering and supply</w:t>
            </w:r>
          </w:p>
        </w:tc>
        <w:tc>
          <w:tcPr>
            <w:tcW w:w="4703" w:type="dxa"/>
          </w:tcPr>
          <w:p w14:paraId="123FED4E" w14:textId="77777777" w:rsidR="009A75C7" w:rsidRDefault="009A75C7" w:rsidP="00245A29">
            <w:pPr>
              <w:pStyle w:val="DHHStabletext"/>
            </w:pPr>
          </w:p>
        </w:tc>
      </w:tr>
    </w:tbl>
    <w:p w14:paraId="0918A176" w14:textId="619F00A4" w:rsidR="005D05F3" w:rsidRDefault="005D05F3" w:rsidP="004D60A7">
      <w:pPr>
        <w:pStyle w:val="Heading3"/>
      </w:pPr>
      <w:bookmarkStart w:id="17" w:name="_Toc528239308"/>
      <w:r w:rsidRPr="007810A7">
        <w:t>Summary of factors contributing to better waste management outcomes</w:t>
      </w:r>
      <w:bookmarkEnd w:id="17"/>
      <w:r w:rsidRPr="007810A7">
        <w:t xml:space="preserve"> </w:t>
      </w:r>
    </w:p>
    <w:p w14:paraId="78243DFE" w14:textId="287CA3B0" w:rsidR="0032300D" w:rsidRPr="00577F04" w:rsidRDefault="0032300D" w:rsidP="00AD4222">
      <w:pPr>
        <w:pStyle w:val="Heading4"/>
        <w:rPr>
          <w:rFonts w:cs="Arial"/>
        </w:rPr>
      </w:pPr>
      <w:r w:rsidRPr="00C41A45">
        <w:t>1. Executive priority</w:t>
      </w:r>
    </w:p>
    <w:p w14:paraId="216B2C97" w14:textId="2BE88FD0" w:rsidR="0032300D" w:rsidRPr="00AD4222" w:rsidRDefault="0032300D" w:rsidP="00AD4222">
      <w:pPr>
        <w:pStyle w:val="DHHSbullet1"/>
      </w:pPr>
      <w:r w:rsidRPr="00AD4222">
        <w:t>Executive accountability (</w:t>
      </w:r>
      <w:r w:rsidR="00776E74">
        <w:t>key performance indicators</w:t>
      </w:r>
      <w:r w:rsidRPr="00AD4222">
        <w:t>, evaluation, reporting)</w:t>
      </w:r>
    </w:p>
    <w:p w14:paraId="37754A5D" w14:textId="77777777" w:rsidR="000239E3" w:rsidRPr="00AD4222" w:rsidRDefault="0032300D" w:rsidP="00AD4222">
      <w:pPr>
        <w:pStyle w:val="DHHSbullet1"/>
      </w:pPr>
      <w:r w:rsidRPr="00AD4222">
        <w:t>Active and authorised committee and action plans</w:t>
      </w:r>
    </w:p>
    <w:p w14:paraId="692D7A56" w14:textId="447221B0" w:rsidR="0032300D" w:rsidRPr="00AD4222" w:rsidRDefault="0032300D" w:rsidP="00AD4222">
      <w:pPr>
        <w:pStyle w:val="DHHSbullet1"/>
      </w:pPr>
      <w:r w:rsidRPr="00AD4222">
        <w:t>Financial and resourcing recognition</w:t>
      </w:r>
    </w:p>
    <w:p w14:paraId="10BB3200" w14:textId="698336D9" w:rsidR="0032300D" w:rsidRPr="00AD4222" w:rsidRDefault="0032300D" w:rsidP="00AD4222">
      <w:pPr>
        <w:pStyle w:val="DHHSbullet1"/>
      </w:pPr>
      <w:r w:rsidRPr="00AD4222">
        <w:t>Methods and pathways to lodge the case for action</w:t>
      </w:r>
    </w:p>
    <w:p w14:paraId="7879EE08" w14:textId="69DC21D5" w:rsidR="0032300D" w:rsidRPr="00AD4222" w:rsidRDefault="0032300D" w:rsidP="00AD4222">
      <w:pPr>
        <w:pStyle w:val="DHHSbullet1"/>
      </w:pPr>
      <w:r w:rsidRPr="00AD4222">
        <w:t>Improvement-driven measurement and audit regimes</w:t>
      </w:r>
    </w:p>
    <w:p w14:paraId="78ADA668" w14:textId="0CF7CB1F" w:rsidR="0032300D" w:rsidRPr="00AD4222" w:rsidRDefault="0032300D" w:rsidP="00AD4222">
      <w:pPr>
        <w:pStyle w:val="DHHSbullet1"/>
      </w:pPr>
      <w:r w:rsidRPr="00AD4222">
        <w:t xml:space="preserve">Formal ties with </w:t>
      </w:r>
      <w:r w:rsidR="00AD4222">
        <w:t>p</w:t>
      </w:r>
      <w:r w:rsidRPr="00AD4222">
        <w:t xml:space="preserve">rocurement, </w:t>
      </w:r>
      <w:r w:rsidR="00AD4222">
        <w:t>i</w:t>
      </w:r>
      <w:r w:rsidRPr="00AD4222">
        <w:t xml:space="preserve">nfection </w:t>
      </w:r>
      <w:r w:rsidR="00AD4222">
        <w:t>c</w:t>
      </w:r>
      <w:r w:rsidRPr="00AD4222">
        <w:t>ontrol</w:t>
      </w:r>
      <w:r w:rsidR="00AD4222">
        <w:t xml:space="preserve"> and</w:t>
      </w:r>
      <w:r w:rsidRPr="00AD4222">
        <w:t xml:space="preserve"> </w:t>
      </w:r>
      <w:r w:rsidR="00AD4222">
        <w:t>c</w:t>
      </w:r>
      <w:r w:rsidRPr="00AD4222">
        <w:t>linicians</w:t>
      </w:r>
    </w:p>
    <w:p w14:paraId="38D5ED93" w14:textId="65DA15B0" w:rsidR="0032300D" w:rsidRPr="00AD4222" w:rsidRDefault="0032300D" w:rsidP="00AD4222">
      <w:pPr>
        <w:pStyle w:val="DHHSbullet1"/>
      </w:pPr>
      <w:r w:rsidRPr="00AD4222">
        <w:t>Consultation/input during major works and renovations</w:t>
      </w:r>
    </w:p>
    <w:p w14:paraId="57875E1B" w14:textId="1B6037E4" w:rsidR="0032300D" w:rsidRDefault="0032300D" w:rsidP="00AD4222">
      <w:pPr>
        <w:pStyle w:val="Heading4"/>
      </w:pPr>
      <w:r w:rsidRPr="00C41A45">
        <w:t xml:space="preserve">2. Internal engagement </w:t>
      </w:r>
      <w:r w:rsidR="00AD4222">
        <w:t>and</w:t>
      </w:r>
      <w:r w:rsidRPr="00C41A45">
        <w:t xml:space="preserve"> buy</w:t>
      </w:r>
      <w:r w:rsidR="00AD4222">
        <w:t>-</w:t>
      </w:r>
      <w:r w:rsidRPr="00C41A45">
        <w:t>in</w:t>
      </w:r>
    </w:p>
    <w:p w14:paraId="7F322904" w14:textId="7996C8E0" w:rsidR="0032300D" w:rsidRPr="00AD4222" w:rsidRDefault="0032300D" w:rsidP="00AD4222">
      <w:pPr>
        <w:pStyle w:val="DHHSbullet1"/>
      </w:pPr>
      <w:r w:rsidRPr="00AD4222">
        <w:t>Close relationship with infection control</w:t>
      </w:r>
    </w:p>
    <w:p w14:paraId="425C7E48" w14:textId="4481C087" w:rsidR="0032300D" w:rsidRPr="00AD4222" w:rsidRDefault="000239E3" w:rsidP="00AD4222">
      <w:pPr>
        <w:pStyle w:val="DHHSbullet1"/>
      </w:pPr>
      <w:r w:rsidRPr="00AD4222">
        <w:t>Effective induction and education, training and feedback</w:t>
      </w:r>
    </w:p>
    <w:p w14:paraId="40C3D196" w14:textId="6DF61894" w:rsidR="000239E3" w:rsidRPr="00AD4222" w:rsidRDefault="000239E3" w:rsidP="00AD4222">
      <w:pPr>
        <w:pStyle w:val="DHHSbullet1"/>
      </w:pPr>
      <w:r w:rsidRPr="00AD4222">
        <w:t>Clarity and consistency on disposal outcomes arising from different practices</w:t>
      </w:r>
    </w:p>
    <w:p w14:paraId="334C3977" w14:textId="441AEBE1" w:rsidR="000239E3" w:rsidRPr="00AD4222" w:rsidRDefault="000239E3" w:rsidP="00AD4222">
      <w:pPr>
        <w:pStyle w:val="DHHSbullet1"/>
      </w:pPr>
      <w:r w:rsidRPr="00AD4222">
        <w:t>Effective bins, signage, manuals, protocols</w:t>
      </w:r>
    </w:p>
    <w:p w14:paraId="0E455922" w14:textId="573FFDF7" w:rsidR="000239E3" w:rsidRPr="00AD4222" w:rsidRDefault="000239E3" w:rsidP="00AD4222">
      <w:pPr>
        <w:pStyle w:val="DHHSbullet1"/>
      </w:pPr>
      <w:r w:rsidRPr="00AD4222">
        <w:t>Leadership across hospital departments</w:t>
      </w:r>
    </w:p>
    <w:p w14:paraId="15792B18" w14:textId="58A7D052" w:rsidR="000239E3" w:rsidRPr="00AD4222" w:rsidRDefault="000239E3" w:rsidP="00AD4222">
      <w:pPr>
        <w:pStyle w:val="DHHSbullet1"/>
      </w:pPr>
      <w:r w:rsidRPr="00AD4222">
        <w:t>Clear pathways to act on initiatives proposed by champions and other staff</w:t>
      </w:r>
    </w:p>
    <w:p w14:paraId="647704F8" w14:textId="0B1DB367" w:rsidR="000239E3" w:rsidRPr="00AD4222" w:rsidRDefault="000239E3" w:rsidP="00AD4222">
      <w:pPr>
        <w:pStyle w:val="DHHSbullet1"/>
      </w:pPr>
      <w:r w:rsidRPr="00AD4222">
        <w:t>Internal examples to show what can be achieved</w:t>
      </w:r>
    </w:p>
    <w:p w14:paraId="0207FBBE" w14:textId="0183E824" w:rsidR="0032300D" w:rsidRPr="00577F04" w:rsidRDefault="0032300D" w:rsidP="00AD4222">
      <w:pPr>
        <w:pStyle w:val="Heading4"/>
        <w:rPr>
          <w:rFonts w:cs="Arial"/>
        </w:rPr>
      </w:pPr>
      <w:r w:rsidRPr="00C41A45">
        <w:t>3. State/regional support</w:t>
      </w:r>
    </w:p>
    <w:p w14:paraId="07516B9D" w14:textId="2420BA9C" w:rsidR="0032300D" w:rsidRPr="00AD4222" w:rsidRDefault="0032300D" w:rsidP="00AD4222">
      <w:pPr>
        <w:pStyle w:val="DHHSbullet1"/>
      </w:pPr>
      <w:r w:rsidRPr="00AD4222">
        <w:t xml:space="preserve">Support for how to get </w:t>
      </w:r>
      <w:r w:rsidR="00A63A16">
        <w:t xml:space="preserve">the </w:t>
      </w:r>
      <w:r w:rsidRPr="00AD4222">
        <w:t>best results from contractors</w:t>
      </w:r>
    </w:p>
    <w:p w14:paraId="599A135E" w14:textId="10E77A4F" w:rsidR="0032300D" w:rsidRPr="00AD4222" w:rsidRDefault="0032300D" w:rsidP="00AD4222">
      <w:pPr>
        <w:pStyle w:val="DHHSbullet1"/>
      </w:pPr>
      <w:r w:rsidRPr="00AD4222">
        <w:t>Guidance in catalogues on suitability for recycling and composition</w:t>
      </w:r>
    </w:p>
    <w:p w14:paraId="06E5E9DD" w14:textId="49047171" w:rsidR="0032300D" w:rsidRPr="00AD4222" w:rsidRDefault="0032300D" w:rsidP="00AD4222">
      <w:pPr>
        <w:pStyle w:val="DHHSbullet1"/>
      </w:pPr>
      <w:r w:rsidRPr="00AD4222">
        <w:t>Guidance on single</w:t>
      </w:r>
      <w:r w:rsidR="00A63A16">
        <w:t>-</w:t>
      </w:r>
      <w:r w:rsidRPr="00AD4222">
        <w:t>use v</w:t>
      </w:r>
      <w:r w:rsidR="00A63A16">
        <w:t>ersu</w:t>
      </w:r>
      <w:r w:rsidRPr="00AD4222">
        <w:t xml:space="preserve">s reusable items (for example, </w:t>
      </w:r>
      <w:r w:rsidR="00A63A16">
        <w:t>life-cycle assessments</w:t>
      </w:r>
      <w:r w:rsidR="00A63A16" w:rsidRPr="00AD4222">
        <w:t xml:space="preserve"> </w:t>
      </w:r>
      <w:r w:rsidRPr="00AD4222">
        <w:t>and cost-benefit analyses)</w:t>
      </w:r>
    </w:p>
    <w:p w14:paraId="3D497CFB" w14:textId="4B3B9A23" w:rsidR="0032300D" w:rsidRPr="00AD4222" w:rsidRDefault="0032300D" w:rsidP="00AD4222">
      <w:pPr>
        <w:pStyle w:val="DHHSbullet1"/>
      </w:pPr>
      <w:r w:rsidRPr="00AD4222">
        <w:t>Funding for initiatives, beyond capital expenditure</w:t>
      </w:r>
    </w:p>
    <w:p w14:paraId="474C7DC7" w14:textId="5D8C195A" w:rsidR="0032300D" w:rsidRPr="00AD4222" w:rsidRDefault="0032300D" w:rsidP="00AD4222">
      <w:pPr>
        <w:pStyle w:val="DHHSbullet1"/>
        <w:rPr>
          <w:rFonts w:cs="Arial"/>
        </w:rPr>
      </w:pPr>
      <w:r w:rsidRPr="00AD4222">
        <w:lastRenderedPageBreak/>
        <w:t>Engagement and incentives for clinical specialists to adopt waste minimisation</w:t>
      </w:r>
    </w:p>
    <w:p w14:paraId="5C8217E7" w14:textId="1C6AB21C" w:rsidR="0032300D" w:rsidRPr="00AD4222" w:rsidRDefault="0032300D" w:rsidP="00AD4222">
      <w:pPr>
        <w:pStyle w:val="DHHSbullet1"/>
      </w:pPr>
      <w:r w:rsidRPr="00AD4222">
        <w:t>Support for building regional economies of scale</w:t>
      </w:r>
    </w:p>
    <w:p w14:paraId="05DBE63E" w14:textId="443FA9F3" w:rsidR="0032300D" w:rsidRPr="00AD4222" w:rsidRDefault="0032300D" w:rsidP="00AD4222">
      <w:pPr>
        <w:pStyle w:val="DHHSbullet1"/>
      </w:pPr>
      <w:r w:rsidRPr="00AD4222">
        <w:t>Support for regional networks of practice</w:t>
      </w:r>
    </w:p>
    <w:p w14:paraId="601C8C86" w14:textId="762F13D4" w:rsidR="0032300D" w:rsidRPr="00AD4222" w:rsidRDefault="0032300D" w:rsidP="00AD4222">
      <w:pPr>
        <w:pStyle w:val="DHHSbullet1"/>
      </w:pPr>
      <w:r w:rsidRPr="00AD4222">
        <w:t>Guidance to support consistent data gathering and management practices</w:t>
      </w:r>
    </w:p>
    <w:p w14:paraId="4247CCC4" w14:textId="59679795" w:rsidR="0032300D" w:rsidRDefault="000239E3" w:rsidP="00AD4222">
      <w:pPr>
        <w:pStyle w:val="Heading4"/>
      </w:pPr>
      <w:r>
        <w:t xml:space="preserve">4. </w:t>
      </w:r>
      <w:r w:rsidRPr="00AD4222">
        <w:t>Regulatory uncertainty</w:t>
      </w:r>
    </w:p>
    <w:p w14:paraId="5F364255" w14:textId="252D7E6A" w:rsidR="000239E3" w:rsidRDefault="000239E3" w:rsidP="00AD4222">
      <w:pPr>
        <w:pStyle w:val="DHHSbullet1"/>
      </w:pPr>
      <w:r w:rsidRPr="003F7EE1">
        <w:t xml:space="preserve">Clearer direction from EPA </w:t>
      </w:r>
      <w:r w:rsidR="00A63A16">
        <w:t xml:space="preserve">Victoria </w:t>
      </w:r>
      <w:r w:rsidRPr="003F7EE1">
        <w:t>on the regulatory status of each stream</w:t>
      </w:r>
    </w:p>
    <w:p w14:paraId="1C8AFA21" w14:textId="1AAA7E96" w:rsidR="000239E3" w:rsidRDefault="000239E3" w:rsidP="00AD4222">
      <w:pPr>
        <w:pStyle w:val="DHHSbullet1"/>
      </w:pPr>
      <w:r w:rsidRPr="003F7EE1">
        <w:t>More consistent definitions of prescribed, clinical, infectious and related wastes</w:t>
      </w:r>
    </w:p>
    <w:p w14:paraId="1F9D5DF1" w14:textId="77777777" w:rsidR="000239E3" w:rsidRPr="003F7EE1" w:rsidRDefault="000239E3" w:rsidP="00AD4222">
      <w:pPr>
        <w:pStyle w:val="DHHSbullet1"/>
      </w:pPr>
      <w:r w:rsidRPr="003F7EE1">
        <w:t>Contamination definitions that make it easier for staff to separate based on risk</w:t>
      </w:r>
    </w:p>
    <w:p w14:paraId="53AFF02A" w14:textId="33836517" w:rsidR="000239E3" w:rsidRDefault="000239E3" w:rsidP="00AD4222">
      <w:pPr>
        <w:pStyle w:val="DHHSbullet1"/>
      </w:pPr>
      <w:r w:rsidRPr="003F7EE1">
        <w:t>Additional guidance to minimise risks of disputes in interpretation</w:t>
      </w:r>
    </w:p>
    <w:p w14:paraId="52C9FC85" w14:textId="569AA714" w:rsidR="000239E3" w:rsidRPr="00AD4222" w:rsidRDefault="000239E3" w:rsidP="00AD4222">
      <w:pPr>
        <w:pStyle w:val="Heading4"/>
      </w:pPr>
      <w:r w:rsidRPr="00AD4222">
        <w:t>5</w:t>
      </w:r>
      <w:r w:rsidR="00AD4222">
        <w:t>.</w:t>
      </w:r>
      <w:r w:rsidRPr="00AD4222">
        <w:t xml:space="preserve"> Contract compliance</w:t>
      </w:r>
    </w:p>
    <w:p w14:paraId="29E95A00" w14:textId="5B687C88" w:rsidR="000239E3" w:rsidRPr="00AD4222" w:rsidRDefault="000239E3" w:rsidP="00AD4222">
      <w:pPr>
        <w:pStyle w:val="DHHSbullet1"/>
      </w:pPr>
      <w:r w:rsidRPr="00AD4222">
        <w:t>Contractors and waste teams working closely to divert more from landfill</w:t>
      </w:r>
    </w:p>
    <w:p w14:paraId="527E49F1" w14:textId="74014E2A" w:rsidR="000239E3" w:rsidRPr="00AD4222" w:rsidRDefault="000239E3" w:rsidP="00AD4222">
      <w:pPr>
        <w:pStyle w:val="DHHSbullet1"/>
      </w:pPr>
      <w:r w:rsidRPr="00AD4222">
        <w:t>Systems to measure and verify service delivery and correct underperformance</w:t>
      </w:r>
    </w:p>
    <w:p w14:paraId="51E788E7" w14:textId="4A80E447" w:rsidR="000239E3" w:rsidRPr="00AD4222" w:rsidRDefault="000239E3" w:rsidP="00AD4222">
      <w:pPr>
        <w:pStyle w:val="DHHSbullet1"/>
      </w:pPr>
      <w:r w:rsidRPr="00AD4222">
        <w:t xml:space="preserve">Recourse to report lapses to </w:t>
      </w:r>
      <w:r w:rsidR="00BB163E">
        <w:t>Health Purchasing Victoria</w:t>
      </w:r>
      <w:r w:rsidR="00BB163E" w:rsidRPr="00AD4222">
        <w:t xml:space="preserve"> </w:t>
      </w:r>
      <w:r w:rsidRPr="00AD4222">
        <w:t>as a clear means to drive improvement</w:t>
      </w:r>
    </w:p>
    <w:p w14:paraId="3A7BE467" w14:textId="6E2CCB58" w:rsidR="000239E3" w:rsidRPr="00AD4222" w:rsidRDefault="000239E3" w:rsidP="00AD4222">
      <w:pPr>
        <w:pStyle w:val="DHHSbullet1"/>
      </w:pPr>
      <w:r w:rsidRPr="00AD4222">
        <w:t>Low cost of opting out and seeking alternatives</w:t>
      </w:r>
    </w:p>
    <w:p w14:paraId="44588BE4" w14:textId="77777777" w:rsidR="00AD4222" w:rsidRPr="00D406A9" w:rsidRDefault="00AD4222" w:rsidP="00D406A9">
      <w:pPr>
        <w:pStyle w:val="DHHSbody"/>
      </w:pPr>
      <w:r w:rsidRPr="00D406A9">
        <w:br w:type="page"/>
      </w:r>
    </w:p>
    <w:p w14:paraId="1BA37389" w14:textId="016615A2" w:rsidR="005B07AC" w:rsidRDefault="005B07AC" w:rsidP="005B07AC">
      <w:pPr>
        <w:pStyle w:val="Heading1"/>
      </w:pPr>
      <w:bookmarkStart w:id="18" w:name="_Toc528239309"/>
      <w:r>
        <w:lastRenderedPageBreak/>
        <w:t xml:space="preserve">Phase 2: Intervention </w:t>
      </w:r>
      <w:r w:rsidR="0010141A">
        <w:t>development</w:t>
      </w:r>
      <w:bookmarkEnd w:id="18"/>
    </w:p>
    <w:p w14:paraId="68941B1F" w14:textId="30D13BE6" w:rsidR="005B07AC" w:rsidRDefault="00FA1CFC" w:rsidP="005B07AC">
      <w:pPr>
        <w:pStyle w:val="DHHSbody"/>
      </w:pPr>
      <w:r>
        <w:t xml:space="preserve">In consultation with the </w:t>
      </w:r>
      <w:r w:rsidR="004D60A7">
        <w:t>p</w:t>
      </w:r>
      <w:r w:rsidR="004D60A7" w:rsidRPr="005D05F3">
        <w:t xml:space="preserve">roject </w:t>
      </w:r>
      <w:r w:rsidR="004D60A7">
        <w:t>w</w:t>
      </w:r>
      <w:r w:rsidR="004D60A7" w:rsidRPr="005D05F3">
        <w:t xml:space="preserve">orking </w:t>
      </w:r>
      <w:r w:rsidR="004D60A7">
        <w:t>g</w:t>
      </w:r>
      <w:r w:rsidR="004D60A7" w:rsidRPr="005D05F3">
        <w:t>roup</w:t>
      </w:r>
      <w:r>
        <w:t>, t</w:t>
      </w:r>
      <w:r w:rsidR="00B80C92">
        <w:t xml:space="preserve">he findings from </w:t>
      </w:r>
      <w:r w:rsidR="00776E74">
        <w:t>p</w:t>
      </w:r>
      <w:r w:rsidR="00B80C92">
        <w:t>hase 1</w:t>
      </w:r>
      <w:r w:rsidR="005B07AC">
        <w:t xml:space="preserve"> were used to identify a series of intervention projects that, if delivered effectively, </w:t>
      </w:r>
      <w:r w:rsidR="0010141A">
        <w:t xml:space="preserve">would </w:t>
      </w:r>
      <w:r w:rsidR="005B07AC">
        <w:t xml:space="preserve">meet the </w:t>
      </w:r>
      <w:r w:rsidR="00E95F01">
        <w:t>project</w:t>
      </w:r>
      <w:r w:rsidR="00A63A16">
        <w:t>’s</w:t>
      </w:r>
      <w:r w:rsidR="00E95F01">
        <w:t xml:space="preserve"> </w:t>
      </w:r>
      <w:r w:rsidR="00FF2EC4">
        <w:t>objectives.</w:t>
      </w:r>
    </w:p>
    <w:p w14:paraId="14E151A0" w14:textId="1D989177" w:rsidR="005B07AC" w:rsidRDefault="005B07AC" w:rsidP="005B07AC">
      <w:pPr>
        <w:pStyle w:val="DHHSbody"/>
      </w:pPr>
      <w:r>
        <w:t xml:space="preserve">These interventions </w:t>
      </w:r>
      <w:r w:rsidR="0010141A">
        <w:t>we</w:t>
      </w:r>
      <w:r w:rsidR="00DD67DA">
        <w:t>re</w:t>
      </w:r>
      <w:r>
        <w:t xml:space="preserve"> prioritised using a series of weighted criteria, including alignment with</w:t>
      </w:r>
      <w:r w:rsidR="00A63A16">
        <w:t xml:space="preserve"> the</w:t>
      </w:r>
      <w:r>
        <w:t xml:space="preserve"> project</w:t>
      </w:r>
      <w:r w:rsidR="00A63A16">
        <w:t>’s</w:t>
      </w:r>
      <w:r>
        <w:t xml:space="preserve"> objectives, whether the intervention </w:t>
      </w:r>
      <w:r w:rsidR="00EB0A0F">
        <w:t>is</w:t>
      </w:r>
      <w:r>
        <w:t xml:space="preserve"> educational</w:t>
      </w:r>
      <w:r w:rsidR="00EB0A0F">
        <w:t>,</w:t>
      </w:r>
      <w:r>
        <w:t xml:space="preserve"> or </w:t>
      </w:r>
      <w:r w:rsidR="00DD67DA">
        <w:t>will</w:t>
      </w:r>
      <w:r>
        <w:t xml:space="preserve"> result in behaviour change</w:t>
      </w:r>
      <w:r w:rsidR="00EB0A0F">
        <w:t>,</w:t>
      </w:r>
      <w:r>
        <w:t xml:space="preserve"> and whether the intervention </w:t>
      </w:r>
      <w:r w:rsidR="00EB0A0F">
        <w:t>will</w:t>
      </w:r>
      <w:r>
        <w:t xml:space="preserve"> be sustainable beyond the project.</w:t>
      </w:r>
    </w:p>
    <w:p w14:paraId="2305270A" w14:textId="65F3AFFC" w:rsidR="005B07AC" w:rsidRDefault="005B07AC" w:rsidP="005B07AC">
      <w:pPr>
        <w:pStyle w:val="DHHSbody"/>
      </w:pPr>
      <w:r>
        <w:t>This process provided a</w:t>
      </w:r>
      <w:r w:rsidR="00E95F01">
        <w:t>n</w:t>
      </w:r>
      <w:r>
        <w:t xml:space="preserve"> unbiased framework t</w:t>
      </w:r>
      <w:r w:rsidR="00FF2EC4">
        <w:t>hrough which nine intervention</w:t>
      </w:r>
      <w:r w:rsidR="00A63A16">
        <w:t>s</w:t>
      </w:r>
      <w:r>
        <w:t xml:space="preserve"> were selected</w:t>
      </w:r>
      <w:r w:rsidR="00FF2EC4">
        <w:t xml:space="preserve">. The selected interventions </w:t>
      </w:r>
      <w:r w:rsidR="0010141A">
        <w:t xml:space="preserve">are </w:t>
      </w:r>
      <w:r>
        <w:t>be</w:t>
      </w:r>
      <w:r w:rsidR="0010141A">
        <w:t>ing</w:t>
      </w:r>
      <w:r>
        <w:t xml:space="preserve"> developed and </w:t>
      </w:r>
      <w:r w:rsidR="0010141A">
        <w:t xml:space="preserve">will be </w:t>
      </w:r>
      <w:r>
        <w:t xml:space="preserve">delivered </w:t>
      </w:r>
      <w:r w:rsidR="0010141A">
        <w:t>over</w:t>
      </w:r>
      <w:r w:rsidR="00FF2EC4">
        <w:t xml:space="preserve"> the duration of the project, concluding in March 2020</w:t>
      </w:r>
      <w:r>
        <w:t>.</w:t>
      </w:r>
    </w:p>
    <w:p w14:paraId="7608CBA3" w14:textId="2485E573" w:rsidR="00334A10" w:rsidRDefault="00334A10" w:rsidP="007626C4">
      <w:pPr>
        <w:pStyle w:val="Heading2"/>
      </w:pPr>
      <w:bookmarkStart w:id="19" w:name="_Toc519770596"/>
      <w:bookmarkStart w:id="20" w:name="_Toc521568277"/>
      <w:bookmarkStart w:id="21" w:name="_Toc528239310"/>
      <w:r w:rsidRPr="00E14C01">
        <w:t>Intervention 1:</w:t>
      </w:r>
      <w:r>
        <w:t xml:space="preserve"> Waste </w:t>
      </w:r>
      <w:r w:rsidR="0010141A">
        <w:t>audit guidelines</w:t>
      </w:r>
      <w:bookmarkEnd w:id="19"/>
      <w:bookmarkEnd w:id="20"/>
      <w:bookmarkEnd w:id="21"/>
    </w:p>
    <w:p w14:paraId="4A791244" w14:textId="3B7A0200" w:rsidR="003D0F6A" w:rsidRDefault="00A63A16" w:rsidP="00334A10">
      <w:pPr>
        <w:pStyle w:val="DHHSbody"/>
      </w:pPr>
      <w:r>
        <w:t>The department will develop w</w:t>
      </w:r>
      <w:r w:rsidR="003D0F6A">
        <w:t xml:space="preserve">aste </w:t>
      </w:r>
      <w:r w:rsidR="0010141A">
        <w:t>audit guidelines</w:t>
      </w:r>
      <w:r>
        <w:t>, making</w:t>
      </w:r>
      <w:r w:rsidR="003D0F6A">
        <w:t xml:space="preserve"> </w:t>
      </w:r>
      <w:r>
        <w:t xml:space="preserve">them </w:t>
      </w:r>
      <w:r w:rsidR="003D0F6A">
        <w:t xml:space="preserve">available to all health services. The purpose of the </w:t>
      </w:r>
      <w:r w:rsidR="0010141A">
        <w:t xml:space="preserve">guidelines </w:t>
      </w:r>
      <w:r w:rsidR="003D0F6A">
        <w:t>is twofold:</w:t>
      </w:r>
    </w:p>
    <w:p w14:paraId="21BEA3AE" w14:textId="18681268" w:rsidR="003D0F6A" w:rsidRDefault="00A63A16" w:rsidP="005D05F3">
      <w:pPr>
        <w:pStyle w:val="DHHSbullet1"/>
      </w:pPr>
      <w:r>
        <w:t>t</w:t>
      </w:r>
      <w:r w:rsidR="003D0F6A">
        <w:t xml:space="preserve">o provide a comprehensive approach to conducting waste audits </w:t>
      </w:r>
      <w:r w:rsidR="0010141A">
        <w:t>so</w:t>
      </w:r>
      <w:r w:rsidR="003D0F6A">
        <w:t xml:space="preserve"> health services </w:t>
      </w:r>
      <w:r w:rsidR="0010141A">
        <w:t>ar</w:t>
      </w:r>
      <w:r w:rsidR="003D0F6A">
        <w:t xml:space="preserve">e confident that the information they are receiving is able to </w:t>
      </w:r>
      <w:r w:rsidR="003D0F6A" w:rsidRPr="003D0F6A">
        <w:t xml:space="preserve">inform decisions regarding the management of waste and the associated costs, </w:t>
      </w:r>
      <w:r w:rsidR="003D0F6A">
        <w:t>resulting in improved</w:t>
      </w:r>
      <w:r w:rsidR="003D0F6A" w:rsidRPr="003D0F6A">
        <w:t xml:space="preserve"> recovery outcomes</w:t>
      </w:r>
    </w:p>
    <w:p w14:paraId="299A100C" w14:textId="6B96D01C" w:rsidR="00120819" w:rsidRDefault="00A63A16" w:rsidP="000E0D4C">
      <w:pPr>
        <w:pStyle w:val="DHHSbullet1"/>
        <w:spacing w:after="120"/>
      </w:pPr>
      <w:r>
        <w:t>t</w:t>
      </w:r>
      <w:r w:rsidR="00334A10">
        <w:t>o</w:t>
      </w:r>
      <w:r w:rsidR="003D0F6A">
        <w:t xml:space="preserve"> develop a comparable baseline of waste management for health services throughout the state. This will allow health service</w:t>
      </w:r>
      <w:r w:rsidR="00120819">
        <w:t>s</w:t>
      </w:r>
      <w:r w:rsidR="003D0F6A">
        <w:t xml:space="preserve"> to </w:t>
      </w:r>
      <w:r w:rsidR="00120819">
        <w:t xml:space="preserve">compare their own figures with those of other health services and </w:t>
      </w:r>
      <w:r w:rsidR="00EA6570">
        <w:t>the department</w:t>
      </w:r>
      <w:r w:rsidR="00120819">
        <w:t xml:space="preserve"> to assess the effectiveness of any waste programs being delivered</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D122C" w14:paraId="28EDF081"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644" w:type="dxa"/>
            <w:tcBorders>
              <w:top w:val="single" w:sz="4" w:space="0" w:color="auto"/>
            </w:tcBorders>
            <w:shd w:val="clear" w:color="auto" w:fill="auto"/>
          </w:tcPr>
          <w:p w14:paraId="0AC16ADF" w14:textId="3469A27A" w:rsidR="00FD122C" w:rsidRPr="00FD122C" w:rsidRDefault="00FD122C" w:rsidP="00FD122C">
            <w:pPr>
              <w:pStyle w:val="DHHStablecolhead"/>
              <w:rPr>
                <w:color w:val="auto"/>
              </w:rPr>
            </w:pPr>
            <w:r w:rsidRPr="00FD122C">
              <w:rPr>
                <w:color w:val="auto"/>
              </w:rPr>
              <w:t>Waste stream targeted</w:t>
            </w:r>
          </w:p>
        </w:tc>
        <w:tc>
          <w:tcPr>
            <w:tcW w:w="4644" w:type="dxa"/>
            <w:tcBorders>
              <w:top w:val="single" w:sz="4" w:space="0" w:color="auto"/>
            </w:tcBorders>
            <w:shd w:val="clear" w:color="auto" w:fill="auto"/>
          </w:tcPr>
          <w:p w14:paraId="392DB10C" w14:textId="1F7B0DCE" w:rsidR="00FD122C" w:rsidRPr="00FD122C" w:rsidRDefault="00FD122C" w:rsidP="00FD122C">
            <w:pPr>
              <w:pStyle w:val="DHHStablecolhead"/>
              <w:rPr>
                <w:color w:val="auto"/>
              </w:rPr>
            </w:pPr>
            <w:r w:rsidRPr="00FD122C">
              <w:rPr>
                <w:color w:val="auto"/>
              </w:rPr>
              <w:t xml:space="preserve">Ward/department targeted </w:t>
            </w:r>
          </w:p>
        </w:tc>
      </w:tr>
      <w:tr w:rsidR="00FD122C" w14:paraId="69208C4B" w14:textId="77777777" w:rsidTr="00E6173F">
        <w:tc>
          <w:tcPr>
            <w:tcW w:w="4644" w:type="dxa"/>
          </w:tcPr>
          <w:p w14:paraId="4B3041DB" w14:textId="6BF4EAC3" w:rsidR="00FD122C" w:rsidRDefault="00FD122C" w:rsidP="00BF5C41">
            <w:pPr>
              <w:pStyle w:val="DHHStablebullet1"/>
              <w:spacing w:before="40" w:after="40"/>
            </w:pPr>
            <w:r>
              <w:t>Clinical waste</w:t>
            </w:r>
          </w:p>
        </w:tc>
        <w:tc>
          <w:tcPr>
            <w:tcW w:w="4644" w:type="dxa"/>
          </w:tcPr>
          <w:p w14:paraId="155B42DB" w14:textId="4766C147" w:rsidR="00FD122C" w:rsidRDefault="00FD122C" w:rsidP="00BF5C41">
            <w:pPr>
              <w:pStyle w:val="DHHStablebullet1"/>
              <w:spacing w:before="40" w:after="40"/>
            </w:pPr>
            <w:r>
              <w:t>All health service locations</w:t>
            </w:r>
          </w:p>
        </w:tc>
      </w:tr>
      <w:tr w:rsidR="00FD122C" w14:paraId="2F3D32AB" w14:textId="77777777" w:rsidTr="00E6173F">
        <w:tc>
          <w:tcPr>
            <w:tcW w:w="4644" w:type="dxa"/>
          </w:tcPr>
          <w:p w14:paraId="20B3170E" w14:textId="55C23581" w:rsidR="00FD122C" w:rsidRDefault="00FD122C" w:rsidP="00BF5C41">
            <w:pPr>
              <w:pStyle w:val="DHHStablebullet1"/>
              <w:spacing w:before="40" w:after="40"/>
            </w:pPr>
            <w:r>
              <w:t>General waste</w:t>
            </w:r>
          </w:p>
        </w:tc>
        <w:tc>
          <w:tcPr>
            <w:tcW w:w="4644" w:type="dxa"/>
          </w:tcPr>
          <w:p w14:paraId="11882697" w14:textId="77777777" w:rsidR="00FD122C" w:rsidRDefault="00FD122C" w:rsidP="00BF5C41">
            <w:pPr>
              <w:pStyle w:val="DHHStablebullet1"/>
              <w:numPr>
                <w:ilvl w:val="0"/>
                <w:numId w:val="0"/>
              </w:numPr>
              <w:spacing w:before="40" w:after="40"/>
              <w:ind w:left="227"/>
            </w:pPr>
          </w:p>
        </w:tc>
      </w:tr>
      <w:tr w:rsidR="00FD122C" w14:paraId="1C3C9B77" w14:textId="77777777" w:rsidTr="00E6173F">
        <w:tc>
          <w:tcPr>
            <w:tcW w:w="4644" w:type="dxa"/>
            <w:tcBorders>
              <w:bottom w:val="single" w:sz="4" w:space="0" w:color="auto"/>
            </w:tcBorders>
          </w:tcPr>
          <w:p w14:paraId="59CD8C5B" w14:textId="1A613442" w:rsidR="00FD122C" w:rsidRDefault="00FD122C" w:rsidP="00BF5C41">
            <w:pPr>
              <w:pStyle w:val="DHHStablebullet1"/>
              <w:spacing w:before="40" w:after="40"/>
            </w:pPr>
            <w:r>
              <w:t>Commingled recycling</w:t>
            </w:r>
          </w:p>
        </w:tc>
        <w:tc>
          <w:tcPr>
            <w:tcW w:w="4644" w:type="dxa"/>
            <w:tcBorders>
              <w:bottom w:val="single" w:sz="4" w:space="0" w:color="auto"/>
            </w:tcBorders>
          </w:tcPr>
          <w:p w14:paraId="3D8E6EC7" w14:textId="77777777" w:rsidR="00FD122C" w:rsidRDefault="00FD122C" w:rsidP="00BF5C41">
            <w:pPr>
              <w:pStyle w:val="DHHStablebullet1"/>
              <w:numPr>
                <w:ilvl w:val="0"/>
                <w:numId w:val="0"/>
              </w:numPr>
              <w:spacing w:before="40" w:after="40"/>
              <w:ind w:left="227"/>
            </w:pPr>
          </w:p>
        </w:tc>
      </w:tr>
    </w:tbl>
    <w:p w14:paraId="575A70F5" w14:textId="13BAA215" w:rsidR="00334A10" w:rsidRDefault="00334A10" w:rsidP="007626C4">
      <w:pPr>
        <w:pStyle w:val="Heading2"/>
      </w:pPr>
      <w:bookmarkStart w:id="22" w:name="_Toc519770597"/>
      <w:bookmarkStart w:id="23" w:name="_Toc521568278"/>
      <w:bookmarkStart w:id="24" w:name="_Toc528239311"/>
      <w:r w:rsidRPr="00E14C01">
        <w:t>Intervention 2:</w:t>
      </w:r>
      <w:r>
        <w:t xml:space="preserve"> Clinical </w:t>
      </w:r>
      <w:r w:rsidR="0010141A">
        <w:t xml:space="preserve">waste guidelines clarification </w:t>
      </w:r>
      <w:r>
        <w:t>and FAQs</w:t>
      </w:r>
      <w:bookmarkEnd w:id="22"/>
      <w:bookmarkEnd w:id="23"/>
      <w:bookmarkEnd w:id="24"/>
    </w:p>
    <w:p w14:paraId="43AC5094" w14:textId="720BC35F" w:rsidR="00120819" w:rsidRDefault="00334A10" w:rsidP="0016784D">
      <w:pPr>
        <w:pStyle w:val="DHHSbody"/>
      </w:pPr>
      <w:r>
        <w:t xml:space="preserve">Both </w:t>
      </w:r>
      <w:r w:rsidR="0010141A">
        <w:t>clinical</w:t>
      </w:r>
      <w:r>
        <w:t xml:space="preserve"> and non-clinical health service staff often experience confusion when deciding whether an item is </w:t>
      </w:r>
      <w:r w:rsidR="00120819">
        <w:t>clinical or non-clinical waste</w:t>
      </w:r>
      <w:r w:rsidR="00D60470">
        <w:t>. A</w:t>
      </w:r>
      <w:r w:rsidR="00120819">
        <w:t xml:space="preserve"> </w:t>
      </w:r>
      <w:r>
        <w:t>key reason for this</w:t>
      </w:r>
      <w:r w:rsidR="00D60470">
        <w:t xml:space="preserve"> confusion </w:t>
      </w:r>
      <w:r w:rsidR="00A63A16">
        <w:t>is</w:t>
      </w:r>
      <w:r w:rsidR="00D60470">
        <w:t xml:space="preserve"> </w:t>
      </w:r>
      <w:r>
        <w:t xml:space="preserve">a lack of clarity </w:t>
      </w:r>
      <w:r w:rsidR="00120819">
        <w:t>within</w:t>
      </w:r>
      <w:r>
        <w:t xml:space="preserve"> EPA </w:t>
      </w:r>
      <w:r w:rsidR="00A63A16">
        <w:t xml:space="preserve">Victoria’s </w:t>
      </w:r>
      <w:r w:rsidRPr="0062351A">
        <w:rPr>
          <w:i/>
        </w:rPr>
        <w:t xml:space="preserve">Guidelines for </w:t>
      </w:r>
      <w:r w:rsidR="0032300D" w:rsidRPr="0062351A">
        <w:rPr>
          <w:i/>
        </w:rPr>
        <w:t>clinical and related wastes</w:t>
      </w:r>
      <w:r w:rsidR="0032300D">
        <w:t xml:space="preserve"> </w:t>
      </w:r>
      <w:r>
        <w:t>(IWRG612.1).</w:t>
      </w:r>
    </w:p>
    <w:p w14:paraId="449C14FB" w14:textId="3F600AB8" w:rsidR="002B2BCA" w:rsidRDefault="00D127C0" w:rsidP="0016784D">
      <w:pPr>
        <w:pStyle w:val="DHHSbody"/>
      </w:pPr>
      <w:r>
        <w:t xml:space="preserve">Different health services interpret the guidelines in </w:t>
      </w:r>
      <w:r w:rsidR="00334A10">
        <w:t xml:space="preserve">a range of </w:t>
      </w:r>
      <w:r>
        <w:t>ways</w:t>
      </w:r>
      <w:r w:rsidR="00334A10">
        <w:t>, leading to</w:t>
      </w:r>
      <w:r>
        <w:t xml:space="preserve"> variability</w:t>
      </w:r>
      <w:r w:rsidR="00334A10">
        <w:t xml:space="preserve"> </w:t>
      </w:r>
      <w:r>
        <w:t>in</w:t>
      </w:r>
      <w:r w:rsidR="00334A10">
        <w:t xml:space="preserve"> </w:t>
      </w:r>
      <w:r w:rsidR="0016784D">
        <w:t>clinical waste policies</w:t>
      </w:r>
      <w:r w:rsidR="00334A10">
        <w:t>.</w:t>
      </w:r>
      <w:r w:rsidR="00120819">
        <w:t xml:space="preserve"> T</w:t>
      </w:r>
      <w:r w:rsidR="00334A10">
        <w:t xml:space="preserve">his </w:t>
      </w:r>
      <w:r w:rsidR="00D60470">
        <w:t xml:space="preserve">lack of consistency </w:t>
      </w:r>
      <w:r w:rsidR="00334A10">
        <w:t xml:space="preserve">has resulted in many </w:t>
      </w:r>
      <w:r w:rsidR="00D60470">
        <w:t xml:space="preserve">clinical </w:t>
      </w:r>
      <w:r w:rsidR="00334A10">
        <w:t>staff adopting a ‘minimal risk’ approach</w:t>
      </w:r>
      <w:r w:rsidR="00120819">
        <w:t>,</w:t>
      </w:r>
      <w:r w:rsidR="00334A10">
        <w:t xml:space="preserve"> disposing of </w:t>
      </w:r>
      <w:r w:rsidR="00120819">
        <w:t>the majority of</w:t>
      </w:r>
      <w:r w:rsidR="00334A10">
        <w:t xml:space="preserve"> </w:t>
      </w:r>
      <w:r w:rsidR="00D60470">
        <w:t xml:space="preserve">waste </w:t>
      </w:r>
      <w:r w:rsidR="00334A10">
        <w:t>items</w:t>
      </w:r>
      <w:r w:rsidR="00D60470">
        <w:t xml:space="preserve"> generated </w:t>
      </w:r>
      <w:r w:rsidR="00334A10">
        <w:t>in</w:t>
      </w:r>
      <w:r w:rsidR="00120819">
        <w:t xml:space="preserve"> a </w:t>
      </w:r>
      <w:r w:rsidR="00334A10">
        <w:t xml:space="preserve">clinical setting into </w:t>
      </w:r>
      <w:r w:rsidR="00120819">
        <w:t xml:space="preserve">the </w:t>
      </w:r>
      <w:r w:rsidR="00334A10">
        <w:t xml:space="preserve">clinical waste </w:t>
      </w:r>
      <w:r w:rsidR="00120819">
        <w:t xml:space="preserve">stream. This has led to </w:t>
      </w:r>
      <w:r w:rsidR="0016784D">
        <w:t>high levels of contamination</w:t>
      </w:r>
      <w:r w:rsidR="00120819">
        <w:t xml:space="preserve"> and therefore cost, with the clinical waste </w:t>
      </w:r>
      <w:r w:rsidR="002B2BCA">
        <w:t>stream</w:t>
      </w:r>
      <w:r w:rsidR="00120819">
        <w:t xml:space="preserve"> costing </w:t>
      </w:r>
      <w:r w:rsidR="002B2BCA">
        <w:t>four times that of general waste.</w:t>
      </w:r>
    </w:p>
    <w:p w14:paraId="32DDCB82" w14:textId="18EA3E46" w:rsidR="00D60470" w:rsidRDefault="00D60470" w:rsidP="00D60470">
      <w:pPr>
        <w:pStyle w:val="DHHSbody"/>
      </w:pPr>
      <w:r>
        <w:t xml:space="preserve">The aim of this work will be </w:t>
      </w:r>
      <w:r w:rsidR="0010141A">
        <w:t>to provide</w:t>
      </w:r>
      <w:r>
        <w:t xml:space="preserve"> clear and consistent guidance to Victorian public health services </w:t>
      </w:r>
      <w:r w:rsidR="00D127C0">
        <w:t xml:space="preserve">about how to apply </w:t>
      </w:r>
      <w:r>
        <w:t xml:space="preserve">the </w:t>
      </w:r>
      <w:r w:rsidRPr="0062351A">
        <w:rPr>
          <w:i/>
        </w:rPr>
        <w:t xml:space="preserve">Clinical </w:t>
      </w:r>
      <w:r w:rsidR="0032300D" w:rsidRPr="0062351A">
        <w:rPr>
          <w:i/>
        </w:rPr>
        <w:t>and related waste guidelines</w:t>
      </w:r>
      <w:r w:rsidR="0032300D">
        <w:t xml:space="preserve"> </w:t>
      </w:r>
      <w:r>
        <w:t>(IWRG612.1).</w:t>
      </w:r>
    </w:p>
    <w:p w14:paraId="01D50A67" w14:textId="445A1247" w:rsidR="00D60470" w:rsidRDefault="00D60470" w:rsidP="0016784D">
      <w:pPr>
        <w:pStyle w:val="DHHSbody"/>
      </w:pPr>
      <w:r>
        <w:t xml:space="preserve">This will be achieved by making minor </w:t>
      </w:r>
      <w:r w:rsidR="00334A10">
        <w:t>changes to the wording</w:t>
      </w:r>
      <w:r>
        <w:t xml:space="preserve"> of the </w:t>
      </w:r>
      <w:r w:rsidR="0010141A">
        <w:t>guidelines</w:t>
      </w:r>
      <w:r>
        <w:t>, as well producing a</w:t>
      </w:r>
      <w:r w:rsidR="00D127C0">
        <w:t>n</w:t>
      </w:r>
      <w:r>
        <w:t xml:space="preserve"> </w:t>
      </w:r>
      <w:r w:rsidR="00334A10">
        <w:t>FAQ</w:t>
      </w:r>
      <w:r>
        <w:t xml:space="preserve"> document</w:t>
      </w:r>
      <w:r w:rsidR="0010141A">
        <w:t xml:space="preserve"> to assist in interpreting elements of the guidelines</w:t>
      </w:r>
      <w:r w:rsidR="00334A10">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97"/>
      </w:tblGrid>
      <w:tr w:rsidR="00FD122C" w14:paraId="7F5A7241"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583" w:type="dxa"/>
            <w:tcBorders>
              <w:top w:val="single" w:sz="4" w:space="0" w:color="auto"/>
            </w:tcBorders>
            <w:shd w:val="clear" w:color="auto" w:fill="auto"/>
          </w:tcPr>
          <w:p w14:paraId="5EFAE516" w14:textId="77777777" w:rsidR="00FD122C" w:rsidRPr="00FD122C" w:rsidRDefault="00FD122C" w:rsidP="00FD122C">
            <w:pPr>
              <w:pStyle w:val="DHHStablecolhead"/>
              <w:rPr>
                <w:color w:val="auto"/>
              </w:rPr>
            </w:pPr>
            <w:r w:rsidRPr="00FD122C">
              <w:rPr>
                <w:color w:val="auto"/>
              </w:rPr>
              <w:t>Waste stream targeted</w:t>
            </w:r>
          </w:p>
        </w:tc>
        <w:tc>
          <w:tcPr>
            <w:tcW w:w="4597" w:type="dxa"/>
            <w:tcBorders>
              <w:top w:val="single" w:sz="4" w:space="0" w:color="auto"/>
            </w:tcBorders>
            <w:shd w:val="clear" w:color="auto" w:fill="auto"/>
          </w:tcPr>
          <w:p w14:paraId="5A335BED"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6C09FA8D" w14:textId="77777777" w:rsidTr="00E6173F">
        <w:tc>
          <w:tcPr>
            <w:tcW w:w="4583" w:type="dxa"/>
            <w:tcBorders>
              <w:bottom w:val="single" w:sz="4" w:space="0" w:color="auto"/>
            </w:tcBorders>
          </w:tcPr>
          <w:p w14:paraId="4BDE1BAD" w14:textId="1508BFBA" w:rsidR="00FD122C" w:rsidRDefault="0010585A" w:rsidP="00BF5C41">
            <w:pPr>
              <w:pStyle w:val="DHHStablebullet1"/>
              <w:spacing w:before="40" w:after="40"/>
            </w:pPr>
            <w:r>
              <w:t>Clinical waste</w:t>
            </w:r>
          </w:p>
        </w:tc>
        <w:tc>
          <w:tcPr>
            <w:tcW w:w="4597" w:type="dxa"/>
            <w:tcBorders>
              <w:bottom w:val="single" w:sz="4" w:space="0" w:color="auto"/>
            </w:tcBorders>
          </w:tcPr>
          <w:p w14:paraId="22D8A3A0" w14:textId="66541AA6" w:rsidR="00FD122C" w:rsidRDefault="0010585A" w:rsidP="00BF5C41">
            <w:pPr>
              <w:pStyle w:val="DHHStablebullet1"/>
              <w:spacing w:before="40" w:after="40"/>
            </w:pPr>
            <w:r>
              <w:t>All clinical locations</w:t>
            </w:r>
          </w:p>
        </w:tc>
      </w:tr>
    </w:tbl>
    <w:p w14:paraId="39C5F354" w14:textId="77777777" w:rsidR="00245A29" w:rsidRDefault="00245A29" w:rsidP="007626C4">
      <w:pPr>
        <w:pStyle w:val="Heading2"/>
      </w:pPr>
    </w:p>
    <w:p w14:paraId="0466D6CA" w14:textId="77777777" w:rsidR="00245A29" w:rsidRDefault="00245A29">
      <w:pPr>
        <w:rPr>
          <w:rFonts w:ascii="Arial" w:hAnsi="Arial"/>
          <w:b/>
          <w:color w:val="D03061" w:themeColor="text2"/>
          <w:sz w:val="28"/>
          <w:szCs w:val="28"/>
        </w:rPr>
      </w:pPr>
      <w:r>
        <w:br w:type="page"/>
      </w:r>
    </w:p>
    <w:p w14:paraId="72B62B78" w14:textId="7A14A0B9" w:rsidR="00334A10" w:rsidRDefault="00334A10" w:rsidP="007626C4">
      <w:pPr>
        <w:pStyle w:val="Heading2"/>
      </w:pPr>
      <w:bookmarkStart w:id="25" w:name="_Toc528239312"/>
      <w:r w:rsidRPr="00334A10">
        <w:lastRenderedPageBreak/>
        <w:t xml:space="preserve">Intervention 3: E-waste to </w:t>
      </w:r>
      <w:r w:rsidR="00A82AB5">
        <w:t>l</w:t>
      </w:r>
      <w:r w:rsidR="00A82AB5" w:rsidRPr="00334A10">
        <w:t xml:space="preserve">andfill </w:t>
      </w:r>
      <w:r w:rsidR="00A82AB5">
        <w:t>b</w:t>
      </w:r>
      <w:r w:rsidR="00A82AB5" w:rsidRPr="00334A10">
        <w:t>an</w:t>
      </w:r>
      <w:bookmarkEnd w:id="25"/>
    </w:p>
    <w:p w14:paraId="51AE9F11" w14:textId="4592E34D" w:rsidR="00334A10" w:rsidRDefault="00D60470" w:rsidP="001F7CF9">
      <w:pPr>
        <w:pStyle w:val="DHHSbody"/>
      </w:pPr>
      <w:r>
        <w:t>In July 2019 t</w:t>
      </w:r>
      <w:r w:rsidR="00334A10">
        <w:t xml:space="preserve">he Victorian Government </w:t>
      </w:r>
      <w:r w:rsidR="0010141A">
        <w:t xml:space="preserve">is </w:t>
      </w:r>
      <w:r w:rsidR="00334A10">
        <w:t>introduc</w:t>
      </w:r>
      <w:r w:rsidR="0010141A">
        <w:t>ing</w:t>
      </w:r>
      <w:r w:rsidR="00334A10">
        <w:t xml:space="preserve"> a ban on e-waste</w:t>
      </w:r>
      <w:r>
        <w:t xml:space="preserve"> being sent to landfill.</w:t>
      </w:r>
    </w:p>
    <w:p w14:paraId="33192E69" w14:textId="77777777" w:rsidR="00334A10" w:rsidRDefault="00334A10" w:rsidP="001F7CF9">
      <w:pPr>
        <w:pStyle w:val="DHHSbody"/>
      </w:pPr>
      <w:r>
        <w:t xml:space="preserve">E-waste is defined as all electrical or electronic equipment with a power cord or battery where its parts have been discarded by the owner as waste without the intention of re-use. </w:t>
      </w:r>
    </w:p>
    <w:p w14:paraId="681646D0" w14:textId="286671AF" w:rsidR="00334A10" w:rsidRDefault="00D127C0" w:rsidP="001F7CF9">
      <w:pPr>
        <w:pStyle w:val="DHHSbody"/>
      </w:pPr>
      <w:r>
        <w:t xml:space="preserve">Because </w:t>
      </w:r>
      <w:r w:rsidR="00334A10">
        <w:t>health services generate large volumes o</w:t>
      </w:r>
      <w:r w:rsidR="00B101B8">
        <w:t>f e-waste it is important that support s</w:t>
      </w:r>
      <w:r w:rsidR="00334A10">
        <w:t xml:space="preserve">ervices are informed of the e-waste ban, how it will affect them and what can be done </w:t>
      </w:r>
      <w:r>
        <w:t>to prepare</w:t>
      </w:r>
      <w:r w:rsidR="00334A10">
        <w:t xml:space="preserve"> for its implementation.</w:t>
      </w:r>
    </w:p>
    <w:p w14:paraId="39A77D25" w14:textId="77777777" w:rsidR="00D60470" w:rsidRDefault="00D60470" w:rsidP="00D60470">
      <w:pPr>
        <w:pStyle w:val="DHHSbody"/>
        <w:rPr>
          <w:lang w:eastAsia="en-AU"/>
        </w:rPr>
      </w:pPr>
      <w:r>
        <w:rPr>
          <w:lang w:eastAsia="en-AU"/>
        </w:rPr>
        <w:t>The aims of this intervention will be to:</w:t>
      </w:r>
    </w:p>
    <w:p w14:paraId="6978B746" w14:textId="6B3EF3BC" w:rsidR="00D60470" w:rsidRDefault="00D127C0" w:rsidP="00615469">
      <w:pPr>
        <w:pStyle w:val="DHHSbullet1"/>
      </w:pPr>
      <w:r>
        <w:t>i</w:t>
      </w:r>
      <w:r w:rsidR="00B101B8">
        <w:t>nform h</w:t>
      </w:r>
      <w:r w:rsidR="00D60470">
        <w:t xml:space="preserve">ealth </w:t>
      </w:r>
      <w:r w:rsidR="00B101B8">
        <w:t>s</w:t>
      </w:r>
      <w:r w:rsidR="00D60470">
        <w:t>ervices of upcoming changes to regulatory measures and what they must do to comply</w:t>
      </w:r>
    </w:p>
    <w:p w14:paraId="571BF988" w14:textId="34D30513" w:rsidR="00D60470" w:rsidRDefault="00D127C0" w:rsidP="00615469">
      <w:pPr>
        <w:pStyle w:val="DHHSbullet1"/>
        <w:spacing w:after="120"/>
      </w:pPr>
      <w:r>
        <w:t>p</w:t>
      </w:r>
      <w:r w:rsidR="00D60470">
        <w:t>romote alternatives to dispos</w:t>
      </w:r>
      <w:r>
        <w:t>ing</w:t>
      </w:r>
      <w:r w:rsidR="00D60470">
        <w:t xml:space="preserve"> e-waste to landfill.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97"/>
      </w:tblGrid>
      <w:tr w:rsidR="00FD122C" w14:paraId="56C98001"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583" w:type="dxa"/>
            <w:tcBorders>
              <w:top w:val="single" w:sz="4" w:space="0" w:color="auto"/>
            </w:tcBorders>
            <w:shd w:val="clear" w:color="auto" w:fill="auto"/>
          </w:tcPr>
          <w:p w14:paraId="3626545A" w14:textId="77777777" w:rsidR="00FD122C" w:rsidRPr="00FD122C" w:rsidRDefault="00FD122C" w:rsidP="00FD122C">
            <w:pPr>
              <w:pStyle w:val="DHHStablecolhead"/>
              <w:rPr>
                <w:color w:val="auto"/>
              </w:rPr>
            </w:pPr>
            <w:r w:rsidRPr="00FD122C">
              <w:rPr>
                <w:color w:val="auto"/>
              </w:rPr>
              <w:t>Waste stream targeted</w:t>
            </w:r>
          </w:p>
        </w:tc>
        <w:tc>
          <w:tcPr>
            <w:tcW w:w="4597" w:type="dxa"/>
            <w:tcBorders>
              <w:top w:val="single" w:sz="4" w:space="0" w:color="auto"/>
            </w:tcBorders>
            <w:shd w:val="clear" w:color="auto" w:fill="auto"/>
          </w:tcPr>
          <w:p w14:paraId="777ECE9E"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76D27DC3" w14:textId="77777777" w:rsidTr="00E6173F">
        <w:tc>
          <w:tcPr>
            <w:tcW w:w="4583" w:type="dxa"/>
            <w:tcBorders>
              <w:bottom w:val="single" w:sz="4" w:space="0" w:color="auto"/>
            </w:tcBorders>
          </w:tcPr>
          <w:p w14:paraId="0B4082E7" w14:textId="707A8EAC" w:rsidR="00FD122C" w:rsidRDefault="0010585A" w:rsidP="00BF5C41">
            <w:pPr>
              <w:pStyle w:val="DHHStablebullet1"/>
              <w:spacing w:before="40" w:after="40"/>
            </w:pPr>
            <w:r>
              <w:t>E-waste</w:t>
            </w:r>
          </w:p>
        </w:tc>
        <w:tc>
          <w:tcPr>
            <w:tcW w:w="4597" w:type="dxa"/>
            <w:tcBorders>
              <w:bottom w:val="single" w:sz="4" w:space="0" w:color="auto"/>
            </w:tcBorders>
          </w:tcPr>
          <w:p w14:paraId="44EA97E8" w14:textId="35E2917F" w:rsidR="00FD122C" w:rsidRDefault="0010585A" w:rsidP="00BF5C41">
            <w:pPr>
              <w:pStyle w:val="DHHStablebullet1"/>
              <w:spacing w:before="40" w:after="40"/>
            </w:pPr>
            <w:r>
              <w:t>Various locations</w:t>
            </w:r>
          </w:p>
        </w:tc>
      </w:tr>
    </w:tbl>
    <w:p w14:paraId="68B1ABC5" w14:textId="02D022F9" w:rsidR="00334A10" w:rsidRPr="00477777" w:rsidRDefault="00121BBD" w:rsidP="007626C4">
      <w:pPr>
        <w:pStyle w:val="Heading2"/>
      </w:pPr>
      <w:bookmarkStart w:id="26" w:name="_Toc519770599"/>
      <w:bookmarkStart w:id="27" w:name="_Toc521568280"/>
      <w:bookmarkStart w:id="28" w:name="_Toc528239313"/>
      <w:r>
        <w:t>Intervention 4</w:t>
      </w:r>
      <w:r w:rsidR="00334A10" w:rsidRPr="00477777">
        <w:t xml:space="preserve">: Piloting </w:t>
      </w:r>
      <w:r w:rsidR="00A82AB5">
        <w:t>w</w:t>
      </w:r>
      <w:r w:rsidR="00A82AB5" w:rsidRPr="00477777">
        <w:t xml:space="preserve">aste </w:t>
      </w:r>
      <w:r w:rsidR="00A82AB5">
        <w:t>s</w:t>
      </w:r>
      <w:r w:rsidR="00A82AB5" w:rsidRPr="00477777">
        <w:t xml:space="preserve">egregation </w:t>
      </w:r>
      <w:bookmarkEnd w:id="26"/>
      <w:bookmarkEnd w:id="27"/>
      <w:r w:rsidR="0062351A">
        <w:t>in theatre</w:t>
      </w:r>
      <w:bookmarkEnd w:id="28"/>
    </w:p>
    <w:p w14:paraId="031797E3" w14:textId="1E7673DC" w:rsidR="00334A10" w:rsidRDefault="00334A10" w:rsidP="00334A10">
      <w:pPr>
        <w:pStyle w:val="DHHSbody"/>
      </w:pPr>
      <w:r>
        <w:t xml:space="preserve">A broad range of resource recovery </w:t>
      </w:r>
      <w:r w:rsidR="009C72BD">
        <w:t>opportunities</w:t>
      </w:r>
      <w:r>
        <w:t xml:space="preserve"> are </w:t>
      </w:r>
      <w:r w:rsidR="009C72BD">
        <w:t xml:space="preserve">currently </w:t>
      </w:r>
      <w:r>
        <w:t>available to health services in clinical areas</w:t>
      </w:r>
      <w:r w:rsidR="00D127C0">
        <w:t>;</w:t>
      </w:r>
      <w:r>
        <w:t xml:space="preserve"> however</w:t>
      </w:r>
      <w:r w:rsidR="00D127C0">
        <w:t>,</w:t>
      </w:r>
      <w:r>
        <w:t xml:space="preserve"> anecdotal evidence suggests that these collections are difficult to instigate and </w:t>
      </w:r>
      <w:r w:rsidR="00B101B8">
        <w:t xml:space="preserve">are </w:t>
      </w:r>
      <w:r>
        <w:t>often poor</w:t>
      </w:r>
      <w:r w:rsidR="00B101B8">
        <w:t>ly</w:t>
      </w:r>
      <w:r>
        <w:t xml:space="preserve"> use</w:t>
      </w:r>
      <w:r w:rsidR="00B101B8">
        <w:t>d</w:t>
      </w:r>
      <w:r>
        <w:t xml:space="preserve"> by staff. </w:t>
      </w:r>
    </w:p>
    <w:p w14:paraId="3B2A817C" w14:textId="33A546E5" w:rsidR="00334A10" w:rsidRDefault="00B101B8" w:rsidP="00334A10">
      <w:pPr>
        <w:pStyle w:val="DHHSbody"/>
      </w:pPr>
      <w:r>
        <w:t>The department</w:t>
      </w:r>
      <w:r w:rsidR="00334A10">
        <w:t xml:space="preserve"> will work with Behaviour Works, a social research enterprise within the Monash Sustainable Development Institute, to investigate the behavioural reasons behind waste stream contamination in </w:t>
      </w:r>
      <w:r w:rsidR="00A82AB5">
        <w:t xml:space="preserve">theatre </w:t>
      </w:r>
      <w:r>
        <w:t>departments</w:t>
      </w:r>
      <w:r w:rsidR="00334A10">
        <w:t xml:space="preserve"> and the causes of these behaviours.</w:t>
      </w:r>
    </w:p>
    <w:p w14:paraId="68B6375B" w14:textId="4846D0A9" w:rsidR="009C72BD" w:rsidRDefault="00334A10" w:rsidP="00334A10">
      <w:pPr>
        <w:pStyle w:val="DHHSbody"/>
      </w:pPr>
      <w:r>
        <w:t>The findings will be used to develop and test a series of interventions designed to modify the b</w:t>
      </w:r>
      <w:r w:rsidR="009C72BD">
        <w:t xml:space="preserve">ehaviours of staff so that </w:t>
      </w:r>
      <w:r>
        <w:t xml:space="preserve">waste streams </w:t>
      </w:r>
      <w:r w:rsidR="009C72BD">
        <w:t xml:space="preserve">are used </w:t>
      </w:r>
      <w:r>
        <w:t>more effectively, reducing contamination.</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78"/>
      </w:tblGrid>
      <w:tr w:rsidR="00FD122C" w14:paraId="3288FA82"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565" w:type="dxa"/>
            <w:tcBorders>
              <w:top w:val="single" w:sz="4" w:space="0" w:color="auto"/>
            </w:tcBorders>
            <w:shd w:val="clear" w:color="auto" w:fill="auto"/>
          </w:tcPr>
          <w:p w14:paraId="4C9E664A" w14:textId="77777777" w:rsidR="00FD122C" w:rsidRPr="00FD122C" w:rsidRDefault="00FD122C" w:rsidP="00FD122C">
            <w:pPr>
              <w:pStyle w:val="DHHStablecolhead"/>
              <w:rPr>
                <w:color w:val="auto"/>
              </w:rPr>
            </w:pPr>
            <w:r w:rsidRPr="00FD122C">
              <w:rPr>
                <w:color w:val="auto"/>
              </w:rPr>
              <w:t>Waste stream targeted</w:t>
            </w:r>
          </w:p>
        </w:tc>
        <w:tc>
          <w:tcPr>
            <w:tcW w:w="4678" w:type="dxa"/>
            <w:tcBorders>
              <w:top w:val="single" w:sz="4" w:space="0" w:color="auto"/>
            </w:tcBorders>
            <w:shd w:val="clear" w:color="auto" w:fill="auto"/>
          </w:tcPr>
          <w:p w14:paraId="73C6F3EF"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6A3825BC" w14:textId="77777777" w:rsidTr="00E6173F">
        <w:tc>
          <w:tcPr>
            <w:tcW w:w="4565" w:type="dxa"/>
          </w:tcPr>
          <w:p w14:paraId="4BFF093E" w14:textId="57B75847" w:rsidR="00FD122C" w:rsidRDefault="0010585A" w:rsidP="00BF5C41">
            <w:pPr>
              <w:pStyle w:val="DHHStablebullet1"/>
              <w:spacing w:before="40" w:after="40"/>
            </w:pPr>
            <w:r>
              <w:t>Commingled</w:t>
            </w:r>
          </w:p>
        </w:tc>
        <w:tc>
          <w:tcPr>
            <w:tcW w:w="4678" w:type="dxa"/>
          </w:tcPr>
          <w:p w14:paraId="12127C53" w14:textId="75DE23E2" w:rsidR="00FD122C" w:rsidRDefault="0010585A" w:rsidP="00BF5C41">
            <w:pPr>
              <w:pStyle w:val="DHHStablebullet1"/>
              <w:spacing w:before="40" w:after="40"/>
            </w:pPr>
            <w:r>
              <w:t>Theatre department</w:t>
            </w:r>
          </w:p>
        </w:tc>
      </w:tr>
      <w:tr w:rsidR="00FD122C" w14:paraId="68D596FA" w14:textId="77777777" w:rsidTr="00E6173F">
        <w:tc>
          <w:tcPr>
            <w:tcW w:w="4565" w:type="dxa"/>
          </w:tcPr>
          <w:p w14:paraId="070C963C" w14:textId="05ABEEC6" w:rsidR="00FD122C" w:rsidRDefault="0010585A" w:rsidP="00BF5C41">
            <w:pPr>
              <w:pStyle w:val="DHHStablebullet1"/>
              <w:spacing w:before="40" w:after="40"/>
            </w:pPr>
            <w:r>
              <w:t>Paper and cardboard</w:t>
            </w:r>
          </w:p>
        </w:tc>
        <w:tc>
          <w:tcPr>
            <w:tcW w:w="4678" w:type="dxa"/>
          </w:tcPr>
          <w:p w14:paraId="08EC35B8" w14:textId="77777777" w:rsidR="00FD122C" w:rsidRDefault="00FD122C" w:rsidP="00BF5C41">
            <w:pPr>
              <w:pStyle w:val="DHHStabletext"/>
              <w:spacing w:before="40" w:after="40"/>
            </w:pPr>
          </w:p>
        </w:tc>
      </w:tr>
      <w:tr w:rsidR="00FD122C" w14:paraId="45F46A94" w14:textId="77777777" w:rsidTr="00E6173F">
        <w:tc>
          <w:tcPr>
            <w:tcW w:w="4565" w:type="dxa"/>
          </w:tcPr>
          <w:p w14:paraId="650DEB6E" w14:textId="1D02220A" w:rsidR="00FD122C" w:rsidRDefault="0010585A" w:rsidP="00BF5C41">
            <w:pPr>
              <w:pStyle w:val="DHHStablebullet1"/>
              <w:spacing w:before="40" w:after="40"/>
            </w:pPr>
            <w:r>
              <w:t>Metals</w:t>
            </w:r>
          </w:p>
        </w:tc>
        <w:tc>
          <w:tcPr>
            <w:tcW w:w="4678" w:type="dxa"/>
          </w:tcPr>
          <w:p w14:paraId="620DC967" w14:textId="77777777" w:rsidR="00FD122C" w:rsidRDefault="00FD122C" w:rsidP="00BF5C41">
            <w:pPr>
              <w:pStyle w:val="DHHStabletext"/>
              <w:spacing w:before="40" w:after="40"/>
            </w:pPr>
          </w:p>
        </w:tc>
      </w:tr>
      <w:tr w:rsidR="0010585A" w14:paraId="198382BB" w14:textId="77777777" w:rsidTr="00E6173F">
        <w:tc>
          <w:tcPr>
            <w:tcW w:w="4565" w:type="dxa"/>
          </w:tcPr>
          <w:p w14:paraId="03F98A9B" w14:textId="23CF7A37" w:rsidR="0010585A" w:rsidRDefault="0010585A" w:rsidP="00BF5C41">
            <w:pPr>
              <w:pStyle w:val="DHHStablebullet1"/>
              <w:spacing w:before="40" w:after="40"/>
            </w:pPr>
            <w:r>
              <w:t>PVC</w:t>
            </w:r>
          </w:p>
        </w:tc>
        <w:tc>
          <w:tcPr>
            <w:tcW w:w="4678" w:type="dxa"/>
          </w:tcPr>
          <w:p w14:paraId="1746FDCE" w14:textId="77777777" w:rsidR="0010585A" w:rsidRDefault="0010585A" w:rsidP="00BF5C41">
            <w:pPr>
              <w:pStyle w:val="DHHStabletext"/>
              <w:spacing w:before="40" w:after="40"/>
            </w:pPr>
          </w:p>
        </w:tc>
      </w:tr>
      <w:tr w:rsidR="0010585A" w14:paraId="2A8FBDCE" w14:textId="77777777" w:rsidTr="00E6173F">
        <w:tc>
          <w:tcPr>
            <w:tcW w:w="4565" w:type="dxa"/>
          </w:tcPr>
          <w:p w14:paraId="3788283D" w14:textId="41477D1D" w:rsidR="0010585A" w:rsidRDefault="0010585A" w:rsidP="00BF5C41">
            <w:pPr>
              <w:pStyle w:val="DHHStablebullet1"/>
              <w:spacing w:before="40" w:after="40"/>
            </w:pPr>
            <w:r>
              <w:t>Sterili</w:t>
            </w:r>
            <w:r w:rsidR="0032300D">
              <w:t>s</w:t>
            </w:r>
            <w:r>
              <w:t>ation wrap</w:t>
            </w:r>
          </w:p>
        </w:tc>
        <w:tc>
          <w:tcPr>
            <w:tcW w:w="4678" w:type="dxa"/>
          </w:tcPr>
          <w:p w14:paraId="7D7C748A" w14:textId="77777777" w:rsidR="0010585A" w:rsidRDefault="0010585A" w:rsidP="00BF5C41">
            <w:pPr>
              <w:pStyle w:val="DHHStabletext"/>
              <w:spacing w:before="40" w:after="40"/>
            </w:pPr>
          </w:p>
        </w:tc>
      </w:tr>
      <w:tr w:rsidR="0010585A" w14:paraId="389A11A0" w14:textId="77777777" w:rsidTr="00E6173F">
        <w:tc>
          <w:tcPr>
            <w:tcW w:w="4565" w:type="dxa"/>
          </w:tcPr>
          <w:p w14:paraId="52CA199D" w14:textId="550679D5" w:rsidR="0010585A" w:rsidRDefault="0010585A" w:rsidP="00BF5C41">
            <w:pPr>
              <w:pStyle w:val="DHHStablebullet1"/>
              <w:spacing w:before="40" w:after="40"/>
            </w:pPr>
            <w:r>
              <w:t>Plastic and hollowware</w:t>
            </w:r>
          </w:p>
        </w:tc>
        <w:tc>
          <w:tcPr>
            <w:tcW w:w="4678" w:type="dxa"/>
          </w:tcPr>
          <w:p w14:paraId="2E456E02" w14:textId="77777777" w:rsidR="0010585A" w:rsidRDefault="0010585A" w:rsidP="00BF5C41">
            <w:pPr>
              <w:pStyle w:val="DHHStabletext"/>
              <w:spacing w:before="40" w:after="40"/>
            </w:pPr>
          </w:p>
        </w:tc>
      </w:tr>
      <w:tr w:rsidR="0010585A" w14:paraId="623EBAE7" w14:textId="77777777" w:rsidTr="00E6173F">
        <w:tc>
          <w:tcPr>
            <w:tcW w:w="4565" w:type="dxa"/>
          </w:tcPr>
          <w:p w14:paraId="4D7E54D4" w14:textId="77119C25" w:rsidR="0010585A" w:rsidRDefault="0010585A" w:rsidP="00BF5C41">
            <w:pPr>
              <w:pStyle w:val="DHHStablebullet1"/>
              <w:spacing w:before="40" w:after="40"/>
            </w:pPr>
            <w:r>
              <w:t>Continence aids</w:t>
            </w:r>
          </w:p>
        </w:tc>
        <w:tc>
          <w:tcPr>
            <w:tcW w:w="4678" w:type="dxa"/>
          </w:tcPr>
          <w:p w14:paraId="02892435" w14:textId="77777777" w:rsidR="0010585A" w:rsidRDefault="0010585A" w:rsidP="00BF5C41">
            <w:pPr>
              <w:pStyle w:val="DHHStabletext"/>
              <w:spacing w:before="40" w:after="40"/>
            </w:pPr>
          </w:p>
        </w:tc>
      </w:tr>
      <w:tr w:rsidR="0010585A" w14:paraId="11195D13" w14:textId="77777777" w:rsidTr="00E6173F">
        <w:tc>
          <w:tcPr>
            <w:tcW w:w="4565" w:type="dxa"/>
            <w:tcBorders>
              <w:bottom w:val="single" w:sz="4" w:space="0" w:color="auto"/>
            </w:tcBorders>
          </w:tcPr>
          <w:p w14:paraId="027A5E52" w14:textId="22E64FF1" w:rsidR="0010585A" w:rsidRDefault="0010585A" w:rsidP="00BF5C41">
            <w:pPr>
              <w:pStyle w:val="DHHStablebullet1"/>
              <w:spacing w:before="40" w:after="40"/>
            </w:pPr>
            <w:r>
              <w:t>Clinical waste</w:t>
            </w:r>
          </w:p>
        </w:tc>
        <w:tc>
          <w:tcPr>
            <w:tcW w:w="4678" w:type="dxa"/>
            <w:tcBorders>
              <w:bottom w:val="single" w:sz="4" w:space="0" w:color="auto"/>
            </w:tcBorders>
          </w:tcPr>
          <w:p w14:paraId="2B810E96" w14:textId="77777777" w:rsidR="0010585A" w:rsidRDefault="0010585A" w:rsidP="00BF5C41">
            <w:pPr>
              <w:pStyle w:val="DHHStabletext"/>
              <w:spacing w:before="40" w:after="40"/>
            </w:pPr>
          </w:p>
        </w:tc>
      </w:tr>
    </w:tbl>
    <w:p w14:paraId="17FBA81E" w14:textId="17262000" w:rsidR="00334A10" w:rsidRDefault="00334A10" w:rsidP="007626C4">
      <w:pPr>
        <w:pStyle w:val="Heading2"/>
      </w:pPr>
      <w:bookmarkStart w:id="29" w:name="_Toc528239314"/>
      <w:r w:rsidRPr="00334A10">
        <w:t xml:space="preserve">Intervention 5: PVC </w:t>
      </w:r>
      <w:r w:rsidR="00A82AB5">
        <w:t>r</w:t>
      </w:r>
      <w:r w:rsidR="00A82AB5" w:rsidRPr="00334A10">
        <w:t>ecycling</w:t>
      </w:r>
      <w:bookmarkEnd w:id="29"/>
    </w:p>
    <w:p w14:paraId="2C6D39DA" w14:textId="47D1D353" w:rsidR="00334A10" w:rsidRDefault="00334A10" w:rsidP="003F1585">
      <w:pPr>
        <w:pStyle w:val="DHHSbody"/>
      </w:pPr>
      <w:r>
        <w:t xml:space="preserve">Plastics make up a significant share of hospital general waste, of which PVC medical products </w:t>
      </w:r>
      <w:r w:rsidRPr="003F1585">
        <w:t xml:space="preserve">represent approximately 25 per cent. While an increasing number of health services are adopting PVC recycling collections, it is not </w:t>
      </w:r>
      <w:r w:rsidR="009C72BD">
        <w:t xml:space="preserve">currently </w:t>
      </w:r>
      <w:r w:rsidRPr="003F1585">
        <w:t xml:space="preserve">available </w:t>
      </w:r>
      <w:r w:rsidR="00C617F1">
        <w:t>in all areas</w:t>
      </w:r>
      <w:r w:rsidRPr="003F1585">
        <w:t xml:space="preserve"> where PVC waste is generated</w:t>
      </w:r>
      <w:r w:rsidR="00BE0BC5">
        <w:t>,</w:t>
      </w:r>
      <w:r w:rsidRPr="003F1585">
        <w:t xml:space="preserve"> and </w:t>
      </w:r>
      <w:r w:rsidR="00DE7755" w:rsidRPr="003F1585">
        <w:t>many</w:t>
      </w:r>
      <w:r w:rsidRPr="003F1585">
        <w:t xml:space="preserve"> Victorian public health services do not yet have a collection.</w:t>
      </w:r>
    </w:p>
    <w:p w14:paraId="75512773" w14:textId="6E480BBC" w:rsidR="00B51854" w:rsidRPr="00B51854" w:rsidRDefault="009C72BD" w:rsidP="00B51854">
      <w:pPr>
        <w:pStyle w:val="DHHSbody"/>
      </w:pPr>
      <w:r w:rsidRPr="00B51854">
        <w:t>The Vinyl Council</w:t>
      </w:r>
      <w:r w:rsidR="00C617F1">
        <w:t xml:space="preserve"> of Australia</w:t>
      </w:r>
      <w:r w:rsidRPr="00B51854">
        <w:t xml:space="preserve">, a peak organisation representing the Australian PVC value chain, delivers the PVC </w:t>
      </w:r>
      <w:r w:rsidR="00C617F1">
        <w:t>r</w:t>
      </w:r>
      <w:r w:rsidR="00C617F1" w:rsidRPr="00B51854">
        <w:t xml:space="preserve">ecycling </w:t>
      </w:r>
      <w:r w:rsidR="00BE0BC5" w:rsidRPr="00B51854">
        <w:t xml:space="preserve">program </w:t>
      </w:r>
      <w:r w:rsidRPr="00B51854">
        <w:t xml:space="preserve">in </w:t>
      </w:r>
      <w:r w:rsidR="00C617F1">
        <w:t>h</w:t>
      </w:r>
      <w:r w:rsidR="00C617F1" w:rsidRPr="00B51854">
        <w:t>ospitals</w:t>
      </w:r>
      <w:r w:rsidRPr="00B51854">
        <w:t xml:space="preserve">. </w:t>
      </w:r>
      <w:r w:rsidR="00B101B8">
        <w:t>The department</w:t>
      </w:r>
      <w:r w:rsidRPr="00B51854">
        <w:t xml:space="preserve"> will work with the</w:t>
      </w:r>
      <w:r w:rsidR="00B51854" w:rsidRPr="00B51854">
        <w:t xml:space="preserve"> Vinyl Council</w:t>
      </w:r>
      <w:r w:rsidR="00C617F1">
        <w:t xml:space="preserve"> of Australia</w:t>
      </w:r>
      <w:r w:rsidR="00B51854" w:rsidRPr="00B51854">
        <w:t xml:space="preserve"> to accelerate th</w:t>
      </w:r>
      <w:r w:rsidRPr="00B51854">
        <w:t>e</w:t>
      </w:r>
      <w:r w:rsidR="00B51854" w:rsidRPr="00B51854">
        <w:t xml:space="preserve"> </w:t>
      </w:r>
      <w:r w:rsidRPr="00B51854">
        <w:t>recovery of PVC from Victorian public health services.</w:t>
      </w:r>
    </w:p>
    <w:p w14:paraId="45635D04" w14:textId="77777777" w:rsidR="00B51854" w:rsidRPr="00B51854" w:rsidRDefault="00B51854" w:rsidP="00B51854">
      <w:pPr>
        <w:pStyle w:val="DHHSbody"/>
      </w:pPr>
      <w:r w:rsidRPr="00B51854">
        <w:t>The aims of this project will be to:</w:t>
      </w:r>
    </w:p>
    <w:p w14:paraId="0FF42E0F" w14:textId="5CF7250E" w:rsidR="00B51854" w:rsidRDefault="00BE0BC5" w:rsidP="00615469">
      <w:pPr>
        <w:pStyle w:val="DHHSbullet1"/>
      </w:pPr>
      <w:r>
        <w:t>i</w:t>
      </w:r>
      <w:r w:rsidR="00B51854">
        <w:t>ncrease the quantity and quality of PVC recovered from health services</w:t>
      </w:r>
    </w:p>
    <w:p w14:paraId="2597B37E" w14:textId="10556A5F" w:rsidR="00B51854" w:rsidRDefault="00BE0BC5" w:rsidP="00615469">
      <w:pPr>
        <w:pStyle w:val="DHHSbullet1"/>
        <w:spacing w:after="120"/>
      </w:pPr>
      <w:r>
        <w:t>p</w:t>
      </w:r>
      <w:r w:rsidR="00B51854">
        <w:t xml:space="preserve">rovide feedback to health services </w:t>
      </w:r>
      <w:r w:rsidR="00DE7755">
        <w:t>to</w:t>
      </w:r>
      <w:r w:rsidR="00B51854">
        <w:t xml:space="preserve"> support them in improving contamination levels.</w:t>
      </w:r>
    </w:p>
    <w:tbl>
      <w:tblPr>
        <w:tblStyle w:val="TableGrid"/>
        <w:tblW w:w="92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78"/>
      </w:tblGrid>
      <w:tr w:rsidR="00FD122C" w14:paraId="63DBAABD"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565" w:type="dxa"/>
            <w:tcBorders>
              <w:top w:val="single" w:sz="4" w:space="0" w:color="auto"/>
            </w:tcBorders>
            <w:shd w:val="clear" w:color="auto" w:fill="auto"/>
          </w:tcPr>
          <w:p w14:paraId="082ABF8A" w14:textId="77777777" w:rsidR="00FD122C" w:rsidRPr="00FD122C" w:rsidRDefault="00FD122C" w:rsidP="00FD122C">
            <w:pPr>
              <w:pStyle w:val="DHHStablecolhead"/>
              <w:rPr>
                <w:color w:val="auto"/>
              </w:rPr>
            </w:pPr>
            <w:r w:rsidRPr="00FD122C">
              <w:rPr>
                <w:color w:val="auto"/>
              </w:rPr>
              <w:lastRenderedPageBreak/>
              <w:t>Waste stream targeted</w:t>
            </w:r>
          </w:p>
        </w:tc>
        <w:tc>
          <w:tcPr>
            <w:tcW w:w="4678" w:type="dxa"/>
            <w:tcBorders>
              <w:top w:val="single" w:sz="4" w:space="0" w:color="auto"/>
            </w:tcBorders>
            <w:shd w:val="clear" w:color="auto" w:fill="auto"/>
          </w:tcPr>
          <w:p w14:paraId="6B02C20F"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3AD4FBA9" w14:textId="77777777" w:rsidTr="00E6173F">
        <w:tc>
          <w:tcPr>
            <w:tcW w:w="4565" w:type="dxa"/>
          </w:tcPr>
          <w:p w14:paraId="7D320712" w14:textId="329513A4" w:rsidR="00FD122C" w:rsidRDefault="0010585A" w:rsidP="00BF5C41">
            <w:pPr>
              <w:pStyle w:val="DHHStablebullet1"/>
              <w:spacing w:before="40" w:after="40"/>
            </w:pPr>
            <w:r>
              <w:t>PVC</w:t>
            </w:r>
          </w:p>
        </w:tc>
        <w:tc>
          <w:tcPr>
            <w:tcW w:w="4678" w:type="dxa"/>
          </w:tcPr>
          <w:p w14:paraId="03464BC2" w14:textId="666042C2" w:rsidR="00FD122C" w:rsidRDefault="0010585A" w:rsidP="00BF5C41">
            <w:pPr>
              <w:pStyle w:val="DHHStablebullet1"/>
              <w:spacing w:before="40" w:after="40"/>
            </w:pPr>
            <w:r>
              <w:t>ICU</w:t>
            </w:r>
          </w:p>
        </w:tc>
      </w:tr>
      <w:tr w:rsidR="00FD122C" w14:paraId="57CC9385" w14:textId="77777777" w:rsidTr="00E6173F">
        <w:tc>
          <w:tcPr>
            <w:tcW w:w="4565" w:type="dxa"/>
          </w:tcPr>
          <w:p w14:paraId="17C7665B" w14:textId="77777777" w:rsidR="00FD122C" w:rsidRDefault="00FD122C" w:rsidP="00BF5C41">
            <w:pPr>
              <w:pStyle w:val="DHHStabletext"/>
              <w:spacing w:before="40" w:after="40"/>
            </w:pPr>
          </w:p>
        </w:tc>
        <w:tc>
          <w:tcPr>
            <w:tcW w:w="4678" w:type="dxa"/>
          </w:tcPr>
          <w:p w14:paraId="57AE6103" w14:textId="78CB2618" w:rsidR="00FD122C" w:rsidRDefault="0010585A" w:rsidP="00BF5C41">
            <w:pPr>
              <w:pStyle w:val="DHHStablebullet1"/>
              <w:spacing w:before="40" w:after="40"/>
            </w:pPr>
            <w:r>
              <w:t>Theatre</w:t>
            </w:r>
          </w:p>
        </w:tc>
      </w:tr>
      <w:tr w:rsidR="00FD122C" w14:paraId="563FF734" w14:textId="77777777" w:rsidTr="00E6173F">
        <w:tc>
          <w:tcPr>
            <w:tcW w:w="4565" w:type="dxa"/>
            <w:tcBorders>
              <w:bottom w:val="single" w:sz="4" w:space="0" w:color="auto"/>
            </w:tcBorders>
          </w:tcPr>
          <w:p w14:paraId="5E443094" w14:textId="77777777" w:rsidR="00FD122C" w:rsidRDefault="00FD122C" w:rsidP="00BF5C41">
            <w:pPr>
              <w:pStyle w:val="DHHStabletext"/>
              <w:spacing w:before="40" w:after="40"/>
            </w:pPr>
          </w:p>
        </w:tc>
        <w:tc>
          <w:tcPr>
            <w:tcW w:w="4678" w:type="dxa"/>
            <w:tcBorders>
              <w:bottom w:val="single" w:sz="4" w:space="0" w:color="auto"/>
            </w:tcBorders>
          </w:tcPr>
          <w:p w14:paraId="790880BE" w14:textId="7CBDE5AC" w:rsidR="00FD122C" w:rsidRDefault="0010585A" w:rsidP="00BF5C41">
            <w:pPr>
              <w:pStyle w:val="DHHStablebullet1"/>
              <w:spacing w:before="40" w:after="40"/>
            </w:pPr>
            <w:r>
              <w:t>Dialysis</w:t>
            </w:r>
          </w:p>
        </w:tc>
      </w:tr>
    </w:tbl>
    <w:p w14:paraId="7A79DAAB" w14:textId="1A063514" w:rsidR="00F50CB5" w:rsidRPr="006C2328" w:rsidRDefault="00F50CB5" w:rsidP="007626C4">
      <w:pPr>
        <w:pStyle w:val="Heading2"/>
      </w:pPr>
      <w:bookmarkStart w:id="30" w:name="_Toc521568283"/>
      <w:bookmarkStart w:id="31" w:name="_Toc528239315"/>
      <w:r w:rsidRPr="00105289">
        <w:t>Intervention 6:</w:t>
      </w:r>
      <w:r>
        <w:t xml:space="preserve"> Single</w:t>
      </w:r>
      <w:r w:rsidR="00DE7755">
        <w:t>-</w:t>
      </w:r>
      <w:r w:rsidR="00C617F1">
        <w:t xml:space="preserve">use metal </w:t>
      </w:r>
      <w:bookmarkEnd w:id="30"/>
      <w:r w:rsidR="00C617F1">
        <w:t>recycling</w:t>
      </w:r>
      <w:bookmarkEnd w:id="31"/>
      <w:r w:rsidR="00C617F1">
        <w:t xml:space="preserve"> </w:t>
      </w:r>
    </w:p>
    <w:p w14:paraId="2FC6C86F" w14:textId="1BD20421" w:rsidR="00F50CB5" w:rsidRPr="007D1512" w:rsidRDefault="00BE0BC5" w:rsidP="00F50CB5">
      <w:pPr>
        <w:pStyle w:val="DHHSbody"/>
      </w:pPr>
      <w:r>
        <w:t>Health services are increasingly adopting s</w:t>
      </w:r>
      <w:r w:rsidR="00F50CB5" w:rsidRPr="007D1512">
        <w:t>ingle</w:t>
      </w:r>
      <w:r w:rsidR="00DE7755">
        <w:t>-</w:t>
      </w:r>
      <w:r w:rsidR="00C617F1">
        <w:t>u</w:t>
      </w:r>
      <w:r w:rsidR="00C617F1" w:rsidRPr="007D1512">
        <w:t xml:space="preserve">se </w:t>
      </w:r>
      <w:r w:rsidR="00C617F1">
        <w:t>m</w:t>
      </w:r>
      <w:r w:rsidR="00C617F1" w:rsidRPr="007D1512">
        <w:t>etals</w:t>
      </w:r>
      <w:r w:rsidR="00F50CB5" w:rsidRPr="007D1512">
        <w:t xml:space="preserve"> s</w:t>
      </w:r>
      <w:r w:rsidR="00F50CB5">
        <w:t>uch as tweezers, scissors and clamps</w:t>
      </w:r>
      <w:r w:rsidR="00F50CB5" w:rsidRPr="007D1512">
        <w:t xml:space="preserve"> due to the low </w:t>
      </w:r>
      <w:r w:rsidR="00B51854">
        <w:t xml:space="preserve">infection </w:t>
      </w:r>
      <w:r w:rsidR="00F50CB5" w:rsidRPr="007D1512">
        <w:t>risk the</w:t>
      </w:r>
      <w:r w:rsidR="00F50CB5">
        <w:t>y</w:t>
      </w:r>
      <w:r w:rsidR="00F50CB5" w:rsidRPr="007D1512">
        <w:t xml:space="preserve"> pose </w:t>
      </w:r>
      <w:r w:rsidR="00B51854">
        <w:t>when</w:t>
      </w:r>
      <w:r w:rsidR="00F50CB5" w:rsidRPr="007D1512">
        <w:t xml:space="preserve"> compared with reusable metal instruments.</w:t>
      </w:r>
    </w:p>
    <w:p w14:paraId="78041CF8" w14:textId="77777777" w:rsidR="00443EE5" w:rsidRDefault="00F50CB5" w:rsidP="00F50CB5">
      <w:pPr>
        <w:pStyle w:val="DHHSbody"/>
      </w:pPr>
      <w:r>
        <w:t xml:space="preserve">In </w:t>
      </w:r>
      <w:r w:rsidR="00DE7755">
        <w:t>most</w:t>
      </w:r>
      <w:r>
        <w:t xml:space="preserve"> health services t</w:t>
      </w:r>
      <w:r w:rsidRPr="007D1512">
        <w:t>hese</w:t>
      </w:r>
      <w:r>
        <w:t xml:space="preserve"> </w:t>
      </w:r>
      <w:r w:rsidRPr="007D1512">
        <w:t>items are disposed of in general or clinical waste streams, despite being recyclable</w:t>
      </w:r>
      <w:r>
        <w:t xml:space="preserve">. </w:t>
      </w:r>
    </w:p>
    <w:p w14:paraId="50D83D58" w14:textId="62F5174A" w:rsidR="00B51854" w:rsidRDefault="00AF3602" w:rsidP="00F50CB5">
      <w:pPr>
        <w:pStyle w:val="DHHSbody"/>
      </w:pPr>
      <w:r>
        <w:t xml:space="preserve">The department </w:t>
      </w:r>
      <w:r w:rsidR="00B51854">
        <w:t>will work with a pil</w:t>
      </w:r>
      <w:r>
        <w:t>ot health service to develop a s</w:t>
      </w:r>
      <w:r w:rsidR="00B51854">
        <w:t>ingle</w:t>
      </w:r>
      <w:r w:rsidR="00DE7755">
        <w:t>-</w:t>
      </w:r>
      <w:r>
        <w:t>u</w:t>
      </w:r>
      <w:r w:rsidR="00B51854">
        <w:t xml:space="preserve">se </w:t>
      </w:r>
      <w:r>
        <w:t>m</w:t>
      </w:r>
      <w:r w:rsidR="00B51854">
        <w:t xml:space="preserve">etals recycling program. The learnings from this pilot will be used to support health services </w:t>
      </w:r>
      <w:r w:rsidR="00B101B8">
        <w:t>statewide</w:t>
      </w:r>
      <w:r>
        <w:t xml:space="preserve"> to recover s</w:t>
      </w:r>
      <w:r w:rsidR="00B51854">
        <w:t>ingle</w:t>
      </w:r>
      <w:r w:rsidR="00DE7755">
        <w:t>-</w:t>
      </w:r>
      <w:r>
        <w:t>use m</w:t>
      </w:r>
      <w:r w:rsidR="00B51854">
        <w:t>etals from the general and clinical waste streams.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0"/>
        <w:gridCol w:w="4600"/>
      </w:tblGrid>
      <w:tr w:rsidR="00FD122C" w14:paraId="0ACC0D03"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580" w:type="dxa"/>
            <w:tcBorders>
              <w:top w:val="single" w:sz="4" w:space="0" w:color="auto"/>
            </w:tcBorders>
            <w:shd w:val="clear" w:color="auto" w:fill="auto"/>
          </w:tcPr>
          <w:p w14:paraId="49E3F468" w14:textId="77777777" w:rsidR="00FD122C" w:rsidRPr="00FD122C" w:rsidRDefault="00FD122C" w:rsidP="00FD122C">
            <w:pPr>
              <w:pStyle w:val="DHHStablecolhead"/>
              <w:rPr>
                <w:color w:val="auto"/>
              </w:rPr>
            </w:pPr>
            <w:r w:rsidRPr="00FD122C">
              <w:rPr>
                <w:color w:val="auto"/>
              </w:rPr>
              <w:t>Waste stream targeted</w:t>
            </w:r>
          </w:p>
        </w:tc>
        <w:tc>
          <w:tcPr>
            <w:tcW w:w="4600" w:type="dxa"/>
            <w:tcBorders>
              <w:top w:val="single" w:sz="4" w:space="0" w:color="auto"/>
            </w:tcBorders>
            <w:shd w:val="clear" w:color="auto" w:fill="auto"/>
          </w:tcPr>
          <w:p w14:paraId="492425D4"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50B9BB2C" w14:textId="77777777" w:rsidTr="00E6173F">
        <w:tc>
          <w:tcPr>
            <w:tcW w:w="4580" w:type="dxa"/>
            <w:tcBorders>
              <w:bottom w:val="single" w:sz="4" w:space="0" w:color="auto"/>
            </w:tcBorders>
          </w:tcPr>
          <w:p w14:paraId="511BDB25" w14:textId="6723247A" w:rsidR="00FD122C" w:rsidRDefault="0010585A" w:rsidP="00BF5C41">
            <w:pPr>
              <w:pStyle w:val="DHHStablebullet1"/>
              <w:spacing w:before="40" w:after="40"/>
            </w:pPr>
            <w:r>
              <w:t>Single-use metals</w:t>
            </w:r>
          </w:p>
        </w:tc>
        <w:tc>
          <w:tcPr>
            <w:tcW w:w="4600" w:type="dxa"/>
            <w:tcBorders>
              <w:bottom w:val="single" w:sz="4" w:space="0" w:color="auto"/>
            </w:tcBorders>
          </w:tcPr>
          <w:p w14:paraId="34B2F6FB" w14:textId="4254C316" w:rsidR="00FD122C" w:rsidRDefault="0010585A" w:rsidP="00BF5C41">
            <w:pPr>
              <w:pStyle w:val="DHHStablebullet1"/>
              <w:spacing w:before="40" w:after="40"/>
            </w:pPr>
            <w:r>
              <w:t>All clinical wards/departments</w:t>
            </w:r>
          </w:p>
        </w:tc>
      </w:tr>
    </w:tbl>
    <w:p w14:paraId="591F16E9" w14:textId="1AB31A7D" w:rsidR="00F50CB5" w:rsidRDefault="00F50CB5" w:rsidP="007626C4">
      <w:pPr>
        <w:pStyle w:val="Heading2"/>
      </w:pPr>
      <w:bookmarkStart w:id="32" w:name="_Toc528239316"/>
      <w:r w:rsidRPr="00F50CB5">
        <w:t xml:space="preserve">Intervention 7: Mentoring </w:t>
      </w:r>
      <w:r w:rsidR="00C617F1">
        <w:t>w</w:t>
      </w:r>
      <w:r w:rsidR="00C617F1" w:rsidRPr="00F50CB5">
        <w:t>orkshops</w:t>
      </w:r>
      <w:bookmarkEnd w:id="32"/>
    </w:p>
    <w:p w14:paraId="18BEE075" w14:textId="32674D4B" w:rsidR="00F50CB5" w:rsidRDefault="00C617F1" w:rsidP="00105289">
      <w:pPr>
        <w:pStyle w:val="DHHSbody"/>
      </w:pPr>
      <w:r>
        <w:t>Clinician</w:t>
      </w:r>
      <w:r w:rsidR="00F50CB5">
        <w:t>s are</w:t>
      </w:r>
      <w:r>
        <w:t xml:space="preserve"> often</w:t>
      </w:r>
      <w:r w:rsidR="00F50CB5">
        <w:t xml:space="preserve"> working to introduce new</w:t>
      </w:r>
      <w:r w:rsidR="00E662A7">
        <w:t>,</w:t>
      </w:r>
      <w:r w:rsidR="00F50CB5">
        <w:t xml:space="preserve"> or </w:t>
      </w:r>
      <w:r w:rsidR="00BE0BC5">
        <w:t xml:space="preserve">to </w:t>
      </w:r>
      <w:r w:rsidR="00F50CB5">
        <w:t>improve existing</w:t>
      </w:r>
      <w:r w:rsidR="00E662A7">
        <w:t xml:space="preserve">, recycling </w:t>
      </w:r>
      <w:r w:rsidR="00633D70">
        <w:t>collections</w:t>
      </w:r>
      <w:r w:rsidR="00F50CB5">
        <w:t>.</w:t>
      </w:r>
      <w:r w:rsidR="00E662A7">
        <w:t xml:space="preserve"> A</w:t>
      </w:r>
      <w:r w:rsidR="00F50CB5">
        <w:t>s</w:t>
      </w:r>
      <w:r w:rsidR="00E662A7">
        <w:t xml:space="preserve"> clinicians are often time poor</w:t>
      </w:r>
      <w:r w:rsidR="00633D70">
        <w:t>,</w:t>
      </w:r>
      <w:r w:rsidR="00E662A7">
        <w:t xml:space="preserve"> and un</w:t>
      </w:r>
      <w:r w:rsidR="00F50CB5">
        <w:t xml:space="preserve">aware </w:t>
      </w:r>
      <w:r w:rsidR="00AF3602">
        <w:t xml:space="preserve">of </w:t>
      </w:r>
      <w:r w:rsidR="00F50CB5">
        <w:t xml:space="preserve">best practice </w:t>
      </w:r>
      <w:r w:rsidR="00E662A7">
        <w:t xml:space="preserve">waste </w:t>
      </w:r>
      <w:r w:rsidR="00633D70">
        <w:t>management</w:t>
      </w:r>
      <w:r w:rsidR="00E662A7">
        <w:t xml:space="preserve"> </w:t>
      </w:r>
      <w:r w:rsidR="00F50CB5">
        <w:t xml:space="preserve">or </w:t>
      </w:r>
      <w:r w:rsidR="00E662A7">
        <w:t xml:space="preserve">implementation </w:t>
      </w:r>
      <w:r w:rsidR="00F50CB5">
        <w:t>strategies</w:t>
      </w:r>
      <w:r w:rsidR="00E662A7">
        <w:t>,</w:t>
      </w:r>
      <w:r w:rsidR="00F50CB5">
        <w:t xml:space="preserve"> delivering an effective project can be time consuming</w:t>
      </w:r>
      <w:r w:rsidR="00633D70">
        <w:t>.</w:t>
      </w:r>
    </w:p>
    <w:p w14:paraId="6DB5ACFC" w14:textId="17EC7064" w:rsidR="00F50CB5" w:rsidRDefault="00F50CB5" w:rsidP="00105289">
      <w:pPr>
        <w:pStyle w:val="DHHSbody"/>
      </w:pPr>
      <w:r>
        <w:t>Six mentoring workshops will be held throughout Victoria</w:t>
      </w:r>
      <w:r w:rsidR="00633D70">
        <w:t xml:space="preserve"> during which</w:t>
      </w:r>
      <w:r>
        <w:t xml:space="preserve"> nurses and other </w:t>
      </w:r>
      <w:r w:rsidR="00633D70">
        <w:t xml:space="preserve">health service </w:t>
      </w:r>
      <w:r>
        <w:t xml:space="preserve">stakeholders will work with a facilitator and the </w:t>
      </w:r>
      <w:r w:rsidR="00BE0BC5">
        <w:t>w</w:t>
      </w:r>
      <w:r>
        <w:t xml:space="preserve">aste </w:t>
      </w:r>
      <w:r w:rsidR="00BE0BC5">
        <w:t>e</w:t>
      </w:r>
      <w:r>
        <w:t xml:space="preserve">ducation </w:t>
      </w:r>
      <w:r w:rsidR="00BE0BC5">
        <w:t>o</w:t>
      </w:r>
      <w:r>
        <w:t>fficer to develop a project plan to either introduce a new</w:t>
      </w:r>
      <w:r w:rsidR="00633D70">
        <w:t xml:space="preserve"> recycling </w:t>
      </w:r>
      <w:r>
        <w:t xml:space="preserve">collection or </w:t>
      </w:r>
      <w:r w:rsidR="00BE0BC5">
        <w:t xml:space="preserve">to </w:t>
      </w:r>
      <w:r>
        <w:t xml:space="preserve">improve an existing system. </w:t>
      </w:r>
    </w:p>
    <w:p w14:paraId="6DBA407F" w14:textId="276141FF" w:rsidR="00633D70" w:rsidRDefault="00F50CB5" w:rsidP="00633D70">
      <w:pPr>
        <w:pStyle w:val="DHHSbody"/>
      </w:pPr>
      <w:r>
        <w:t xml:space="preserve">The </w:t>
      </w:r>
      <w:r w:rsidR="0032300D">
        <w:t>w</w:t>
      </w:r>
      <w:r>
        <w:t xml:space="preserve">aste </w:t>
      </w:r>
      <w:r w:rsidR="0032300D">
        <w:t>e</w:t>
      </w:r>
      <w:r>
        <w:t xml:space="preserve">ducation </w:t>
      </w:r>
      <w:r w:rsidR="0032300D">
        <w:t>o</w:t>
      </w:r>
      <w:r>
        <w:t>fficer will then provide ongoing support to workshop attendees as they</w:t>
      </w:r>
      <w:r w:rsidR="00633D70">
        <w:t xml:space="preserve"> implement their project plans.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3"/>
        <w:gridCol w:w="4597"/>
      </w:tblGrid>
      <w:tr w:rsidR="00FD122C" w14:paraId="51CCC646"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583" w:type="dxa"/>
            <w:tcBorders>
              <w:top w:val="single" w:sz="4" w:space="0" w:color="auto"/>
            </w:tcBorders>
            <w:shd w:val="clear" w:color="auto" w:fill="auto"/>
          </w:tcPr>
          <w:p w14:paraId="1F18B4E1" w14:textId="77777777" w:rsidR="00FD122C" w:rsidRPr="00FD122C" w:rsidRDefault="00FD122C" w:rsidP="00FD122C">
            <w:pPr>
              <w:pStyle w:val="DHHStablecolhead"/>
              <w:rPr>
                <w:color w:val="auto"/>
              </w:rPr>
            </w:pPr>
            <w:r w:rsidRPr="00FD122C">
              <w:rPr>
                <w:color w:val="auto"/>
              </w:rPr>
              <w:t>Waste stream targeted</w:t>
            </w:r>
          </w:p>
        </w:tc>
        <w:tc>
          <w:tcPr>
            <w:tcW w:w="4597" w:type="dxa"/>
            <w:tcBorders>
              <w:top w:val="single" w:sz="4" w:space="0" w:color="auto"/>
            </w:tcBorders>
            <w:shd w:val="clear" w:color="auto" w:fill="auto"/>
          </w:tcPr>
          <w:p w14:paraId="11DFCD1F"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35340D45" w14:textId="77777777" w:rsidTr="00E6173F">
        <w:tc>
          <w:tcPr>
            <w:tcW w:w="4583" w:type="dxa"/>
            <w:tcBorders>
              <w:bottom w:val="single" w:sz="4" w:space="0" w:color="auto"/>
            </w:tcBorders>
          </w:tcPr>
          <w:p w14:paraId="37DF451F" w14:textId="547751F7" w:rsidR="00FD122C" w:rsidRDefault="0010585A" w:rsidP="00BF5C41">
            <w:pPr>
              <w:pStyle w:val="DHHStablebullet1"/>
              <w:spacing w:before="40" w:after="40"/>
            </w:pPr>
            <w:r>
              <w:t>All waste streams</w:t>
            </w:r>
          </w:p>
        </w:tc>
        <w:tc>
          <w:tcPr>
            <w:tcW w:w="4597" w:type="dxa"/>
            <w:tcBorders>
              <w:bottom w:val="single" w:sz="4" w:space="0" w:color="auto"/>
            </w:tcBorders>
          </w:tcPr>
          <w:p w14:paraId="0B6B7A00" w14:textId="6640FDCA" w:rsidR="00FD122C" w:rsidRDefault="0010585A" w:rsidP="00BF5C41">
            <w:pPr>
              <w:pStyle w:val="DHHStablebullet1"/>
              <w:spacing w:before="40" w:after="40"/>
            </w:pPr>
            <w:r>
              <w:t>All wards/departments/areas</w:t>
            </w:r>
          </w:p>
        </w:tc>
      </w:tr>
    </w:tbl>
    <w:p w14:paraId="25FB6C73" w14:textId="2FF7F32D" w:rsidR="009343EF" w:rsidRDefault="009343EF" w:rsidP="007626C4">
      <w:pPr>
        <w:pStyle w:val="Heading2"/>
      </w:pPr>
      <w:bookmarkStart w:id="33" w:name="_Toc521568285"/>
      <w:bookmarkStart w:id="34" w:name="_Toc528239317"/>
      <w:r w:rsidRPr="00105289">
        <w:t>Intervention 8:</w:t>
      </w:r>
      <w:r>
        <w:t xml:space="preserve"> Online </w:t>
      </w:r>
      <w:r w:rsidR="00C617F1">
        <w:t xml:space="preserve">education </w:t>
      </w:r>
      <w:bookmarkEnd w:id="33"/>
      <w:r w:rsidR="00C617F1">
        <w:t>resource</w:t>
      </w:r>
      <w:bookmarkEnd w:id="34"/>
      <w:r>
        <w:t xml:space="preserve"> </w:t>
      </w:r>
    </w:p>
    <w:p w14:paraId="397C433B" w14:textId="61234E32" w:rsidR="009343EF" w:rsidRDefault="009343EF" w:rsidP="00620786">
      <w:pPr>
        <w:pStyle w:val="DHHSbody"/>
      </w:pPr>
      <w:r>
        <w:t xml:space="preserve">Health </w:t>
      </w:r>
      <w:r w:rsidR="00C617F1">
        <w:t>service</w:t>
      </w:r>
      <w:r>
        <w:t xml:space="preserve"> employees are reporting that they are not </w:t>
      </w:r>
      <w:r w:rsidR="00C5612F">
        <w:t>able to access</w:t>
      </w:r>
      <w:r>
        <w:t xml:space="preserve"> the information </w:t>
      </w:r>
      <w:r w:rsidR="00C5612F">
        <w:t>required</w:t>
      </w:r>
      <w:r>
        <w:t xml:space="preserve"> to effectively and efficiently improve waste management within their health service.</w:t>
      </w:r>
    </w:p>
    <w:p w14:paraId="6F2C04E6" w14:textId="51ACE3E8" w:rsidR="009343EF" w:rsidRDefault="00C5612F" w:rsidP="00620786">
      <w:pPr>
        <w:pStyle w:val="DHHSbody"/>
      </w:pPr>
      <w:r>
        <w:t>A</w:t>
      </w:r>
      <w:r w:rsidR="009343EF">
        <w:t xml:space="preserve">n online education platform will be developed </w:t>
      </w:r>
      <w:r w:rsidR="00C617F1">
        <w:t>to</w:t>
      </w:r>
      <w:r w:rsidR="009343EF">
        <w:t xml:space="preserve"> </w:t>
      </w:r>
      <w:r>
        <w:t>provide</w:t>
      </w:r>
      <w:r w:rsidR="009343EF">
        <w:t xml:space="preserve"> Victorian health service employees </w:t>
      </w:r>
      <w:r>
        <w:t>with</w:t>
      </w:r>
      <w:r w:rsidR="009343EF">
        <w:t xml:space="preserve"> information, guidance and tools </w:t>
      </w:r>
      <w:r>
        <w:t>to</w:t>
      </w:r>
      <w:r w:rsidR="009343EF">
        <w:t xml:space="preserve"> </w:t>
      </w:r>
      <w:r w:rsidR="00BE0BC5">
        <w:t xml:space="preserve">help </w:t>
      </w:r>
      <w:r w:rsidR="009343EF">
        <w:t>them implement</w:t>
      </w:r>
      <w:r>
        <w:t>,</w:t>
      </w:r>
      <w:r w:rsidR="009343EF">
        <w:t xml:space="preserve"> or improve</w:t>
      </w:r>
      <w:r>
        <w:t>, waste management programs.</w:t>
      </w:r>
    </w:p>
    <w:p w14:paraId="06C4DCED" w14:textId="2E4C7641" w:rsidR="009343EF" w:rsidRDefault="009343EF" w:rsidP="00620786">
      <w:pPr>
        <w:pStyle w:val="DHHSbody"/>
      </w:pPr>
      <w:r>
        <w:t xml:space="preserve">The resource will provide </w:t>
      </w:r>
      <w:r w:rsidR="00C5612F">
        <w:t xml:space="preserve">tailored </w:t>
      </w:r>
      <w:r>
        <w:t xml:space="preserve">guidance for each priority </w:t>
      </w:r>
      <w:r w:rsidR="00C5612F">
        <w:t xml:space="preserve">waste stream identified in </w:t>
      </w:r>
      <w:r w:rsidR="00BE0BC5">
        <w:t>p</w:t>
      </w:r>
      <w:r w:rsidR="00C5612F">
        <w:t xml:space="preserve">hase 1, with the </w:t>
      </w:r>
      <w:r>
        <w:t xml:space="preserve">information expected to include: </w:t>
      </w:r>
    </w:p>
    <w:p w14:paraId="495C1CD4" w14:textId="466165DE" w:rsidR="009343EF" w:rsidRDefault="0032300D" w:rsidP="00121BBD">
      <w:pPr>
        <w:pStyle w:val="DHHStablebullet1"/>
      </w:pPr>
      <w:r>
        <w:t>w</w:t>
      </w:r>
      <w:r w:rsidR="009343EF">
        <w:t>aste assessment guidelines for clinical staff</w:t>
      </w:r>
    </w:p>
    <w:p w14:paraId="6DCADBB6" w14:textId="218DCFB7" w:rsidR="009343EF" w:rsidRDefault="0032300D" w:rsidP="00121BBD">
      <w:pPr>
        <w:pStyle w:val="DHHStablebullet1"/>
      </w:pPr>
      <w:r>
        <w:t>c</w:t>
      </w:r>
      <w:r w:rsidR="009343EF">
        <w:t>ase studies of health services that have introduced successful program</w:t>
      </w:r>
      <w:r w:rsidR="00C617F1">
        <w:t>s</w:t>
      </w:r>
    </w:p>
    <w:p w14:paraId="1A5BC822" w14:textId="58665FB1" w:rsidR="009343EF" w:rsidRDefault="0032300D" w:rsidP="00121BBD">
      <w:pPr>
        <w:pStyle w:val="DHHStablebullet1"/>
      </w:pPr>
      <w:r>
        <w:t>k</w:t>
      </w:r>
      <w:r w:rsidR="009343EF">
        <w:t>ey contacts including collection contractors, auditors, support and trainin</w:t>
      </w:r>
      <w:r w:rsidR="00FA1CFC">
        <w:t>g</w:t>
      </w:r>
    </w:p>
    <w:p w14:paraId="4E19934C" w14:textId="6A71FCB0" w:rsidR="009343EF" w:rsidRDefault="0032300D" w:rsidP="00121BBD">
      <w:pPr>
        <w:pStyle w:val="DHHStablebullet1"/>
      </w:pPr>
      <w:r>
        <w:t>s</w:t>
      </w:r>
      <w:r w:rsidR="009343EF">
        <w:t>tep-by-step guides to implement best practice waste diversion programs</w:t>
      </w:r>
    </w:p>
    <w:p w14:paraId="4634A75F" w14:textId="31F7E1A7" w:rsidR="009343EF" w:rsidRDefault="0032300D" w:rsidP="00121BBD">
      <w:pPr>
        <w:pStyle w:val="DHHStablebullet1"/>
      </w:pPr>
      <w:r>
        <w:t>g</w:t>
      </w:r>
      <w:r w:rsidR="009343EF">
        <w:t>uidelines regarding bin colours, bin placement, signage and technical and regulatory guidance</w:t>
      </w:r>
    </w:p>
    <w:p w14:paraId="6D05BC67" w14:textId="2F2DA073" w:rsidR="009343EF" w:rsidRDefault="0032300D" w:rsidP="00121BBD">
      <w:pPr>
        <w:pStyle w:val="DHHStablebullet1"/>
      </w:pPr>
      <w:r>
        <w:t>g</w:t>
      </w:r>
      <w:r w:rsidR="009343EF">
        <w:t xml:space="preserve">eneral information regarding the environmental, financial and social benefits of introducing a program, what happens to the waste after has been collected, alternative products </w:t>
      </w:r>
      <w:r w:rsidR="00BE0BC5">
        <w:t>and so on</w:t>
      </w:r>
    </w:p>
    <w:p w14:paraId="5B8B60FF" w14:textId="0C414225" w:rsidR="00FD122C" w:rsidRDefault="0032300D" w:rsidP="000E0D4C">
      <w:pPr>
        <w:pStyle w:val="DHHStablebullet1"/>
        <w:spacing w:after="120"/>
      </w:pPr>
      <w:r>
        <w:t>c</w:t>
      </w:r>
      <w:r w:rsidR="009343EF">
        <w:t xml:space="preserve">lear pathways to funding including business cases to present to </w:t>
      </w:r>
      <w:r w:rsidR="00C5612F">
        <w:t>finance departments.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D122C" w14:paraId="7787EC58" w14:textId="77777777" w:rsidTr="00E6173F">
        <w:trPr>
          <w:cnfStyle w:val="100000000000" w:firstRow="1" w:lastRow="0" w:firstColumn="0" w:lastColumn="0" w:oddVBand="0" w:evenVBand="0" w:oddHBand="0" w:evenHBand="0" w:firstRowFirstColumn="0" w:firstRowLastColumn="0" w:lastRowFirstColumn="0" w:lastRowLastColumn="0"/>
          <w:tblHeader/>
        </w:trPr>
        <w:tc>
          <w:tcPr>
            <w:tcW w:w="4644" w:type="dxa"/>
            <w:tcBorders>
              <w:top w:val="single" w:sz="4" w:space="0" w:color="auto"/>
            </w:tcBorders>
            <w:shd w:val="clear" w:color="auto" w:fill="auto"/>
          </w:tcPr>
          <w:p w14:paraId="0D14EC95" w14:textId="77777777" w:rsidR="00FD122C" w:rsidRPr="00FD122C" w:rsidRDefault="00FD122C" w:rsidP="00FD122C">
            <w:pPr>
              <w:pStyle w:val="DHHStablecolhead"/>
              <w:rPr>
                <w:color w:val="auto"/>
              </w:rPr>
            </w:pPr>
            <w:r w:rsidRPr="00FD122C">
              <w:rPr>
                <w:color w:val="auto"/>
              </w:rPr>
              <w:lastRenderedPageBreak/>
              <w:t>Waste stream targeted</w:t>
            </w:r>
          </w:p>
        </w:tc>
        <w:tc>
          <w:tcPr>
            <w:tcW w:w="4644" w:type="dxa"/>
            <w:tcBorders>
              <w:top w:val="single" w:sz="4" w:space="0" w:color="auto"/>
            </w:tcBorders>
            <w:shd w:val="clear" w:color="auto" w:fill="auto"/>
          </w:tcPr>
          <w:p w14:paraId="76C4D0B7" w14:textId="77777777" w:rsidR="00FD122C" w:rsidRPr="00FD122C" w:rsidRDefault="00FD122C" w:rsidP="00FD122C">
            <w:pPr>
              <w:pStyle w:val="DHHStablecolhead"/>
              <w:rPr>
                <w:color w:val="auto"/>
              </w:rPr>
            </w:pPr>
            <w:r w:rsidRPr="00FD122C">
              <w:rPr>
                <w:color w:val="auto"/>
              </w:rPr>
              <w:t xml:space="preserve">Ward/department targeted </w:t>
            </w:r>
          </w:p>
        </w:tc>
      </w:tr>
      <w:tr w:rsidR="00FD122C" w14:paraId="00C7E095" w14:textId="77777777" w:rsidTr="00E6173F">
        <w:tc>
          <w:tcPr>
            <w:tcW w:w="4644" w:type="dxa"/>
          </w:tcPr>
          <w:p w14:paraId="3482F384" w14:textId="0398DA0D" w:rsidR="00FD122C" w:rsidRDefault="0010585A" w:rsidP="00BF5C41">
            <w:pPr>
              <w:pStyle w:val="DHHStablebullet1"/>
              <w:spacing w:before="40" w:after="40"/>
            </w:pPr>
            <w:r>
              <w:t>Commingled recycling</w:t>
            </w:r>
          </w:p>
        </w:tc>
        <w:tc>
          <w:tcPr>
            <w:tcW w:w="4644" w:type="dxa"/>
          </w:tcPr>
          <w:p w14:paraId="1EC4D90F" w14:textId="56E7CE04" w:rsidR="00FD122C" w:rsidRDefault="0010585A" w:rsidP="00BF5C41">
            <w:pPr>
              <w:pStyle w:val="DHHStablebullet1"/>
              <w:spacing w:before="40" w:after="40"/>
            </w:pPr>
            <w:r>
              <w:t>All wards/departments/areas</w:t>
            </w:r>
          </w:p>
        </w:tc>
      </w:tr>
      <w:tr w:rsidR="00FD122C" w14:paraId="0FAF6972" w14:textId="77777777" w:rsidTr="00E6173F">
        <w:tc>
          <w:tcPr>
            <w:tcW w:w="4644" w:type="dxa"/>
          </w:tcPr>
          <w:p w14:paraId="0EFF5639" w14:textId="2781FAD0" w:rsidR="00FD122C" w:rsidRDefault="0010585A" w:rsidP="00BF5C41">
            <w:pPr>
              <w:pStyle w:val="DHHStablebullet1"/>
              <w:spacing w:before="40" w:after="40"/>
            </w:pPr>
            <w:r>
              <w:t>Food waste</w:t>
            </w:r>
          </w:p>
        </w:tc>
        <w:tc>
          <w:tcPr>
            <w:tcW w:w="4644" w:type="dxa"/>
          </w:tcPr>
          <w:p w14:paraId="749B94FB" w14:textId="77777777" w:rsidR="00FD122C" w:rsidRDefault="00FD122C" w:rsidP="00BF5C41">
            <w:pPr>
              <w:pStyle w:val="DHHStabletext"/>
              <w:spacing w:before="40" w:after="40"/>
            </w:pPr>
          </w:p>
        </w:tc>
      </w:tr>
      <w:tr w:rsidR="00FD122C" w14:paraId="593DC72A" w14:textId="77777777" w:rsidTr="00E6173F">
        <w:tc>
          <w:tcPr>
            <w:tcW w:w="4644" w:type="dxa"/>
          </w:tcPr>
          <w:p w14:paraId="576CE6D8" w14:textId="0E4CB5C4" w:rsidR="00FD122C" w:rsidRDefault="0010585A" w:rsidP="00BF5C41">
            <w:pPr>
              <w:pStyle w:val="DHHStablebullet1"/>
              <w:spacing w:before="40" w:after="40"/>
            </w:pPr>
            <w:r>
              <w:t>Paper and cardboard</w:t>
            </w:r>
          </w:p>
        </w:tc>
        <w:tc>
          <w:tcPr>
            <w:tcW w:w="4644" w:type="dxa"/>
          </w:tcPr>
          <w:p w14:paraId="07E0E1A9" w14:textId="77777777" w:rsidR="00FD122C" w:rsidRDefault="00FD122C" w:rsidP="00BF5C41">
            <w:pPr>
              <w:pStyle w:val="DHHStabletext"/>
              <w:spacing w:before="40" w:after="40"/>
            </w:pPr>
          </w:p>
        </w:tc>
      </w:tr>
      <w:tr w:rsidR="0010585A" w14:paraId="64F0CF2C" w14:textId="77777777" w:rsidTr="00E6173F">
        <w:tc>
          <w:tcPr>
            <w:tcW w:w="4644" w:type="dxa"/>
          </w:tcPr>
          <w:p w14:paraId="793F4855" w14:textId="201D83FA" w:rsidR="0010585A" w:rsidRDefault="0010585A" w:rsidP="00BF5C41">
            <w:pPr>
              <w:pStyle w:val="DHHStablebullet1"/>
              <w:spacing w:before="40" w:after="40"/>
            </w:pPr>
            <w:r>
              <w:t>Polystyrene</w:t>
            </w:r>
          </w:p>
        </w:tc>
        <w:tc>
          <w:tcPr>
            <w:tcW w:w="4644" w:type="dxa"/>
          </w:tcPr>
          <w:p w14:paraId="0BC6CE9B" w14:textId="77777777" w:rsidR="0010585A" w:rsidRDefault="0010585A" w:rsidP="00BF5C41">
            <w:pPr>
              <w:pStyle w:val="DHHStabletext"/>
              <w:spacing w:before="40" w:after="40"/>
            </w:pPr>
          </w:p>
        </w:tc>
      </w:tr>
      <w:tr w:rsidR="0010585A" w14:paraId="385E8BDE" w14:textId="77777777" w:rsidTr="00E6173F">
        <w:tc>
          <w:tcPr>
            <w:tcW w:w="4644" w:type="dxa"/>
          </w:tcPr>
          <w:p w14:paraId="27D0B559" w14:textId="0E3E5E36" w:rsidR="0010585A" w:rsidRDefault="0010585A" w:rsidP="00BF5C41">
            <w:pPr>
              <w:pStyle w:val="DHHStablebullet1"/>
              <w:spacing w:before="40" w:after="40"/>
            </w:pPr>
            <w:r>
              <w:t>E-waste</w:t>
            </w:r>
          </w:p>
        </w:tc>
        <w:tc>
          <w:tcPr>
            <w:tcW w:w="4644" w:type="dxa"/>
          </w:tcPr>
          <w:p w14:paraId="0CC9E4E3" w14:textId="77777777" w:rsidR="0010585A" w:rsidRDefault="0010585A" w:rsidP="00BF5C41">
            <w:pPr>
              <w:pStyle w:val="DHHStabletext"/>
              <w:spacing w:before="40" w:after="40"/>
            </w:pPr>
          </w:p>
        </w:tc>
      </w:tr>
      <w:tr w:rsidR="0010585A" w14:paraId="02103C5E" w14:textId="77777777" w:rsidTr="00E6173F">
        <w:tc>
          <w:tcPr>
            <w:tcW w:w="4644" w:type="dxa"/>
          </w:tcPr>
          <w:p w14:paraId="6DB0EF1A" w14:textId="31376B5A" w:rsidR="0010585A" w:rsidRDefault="0010585A" w:rsidP="00BF5C41">
            <w:pPr>
              <w:pStyle w:val="DHHStablebullet1"/>
              <w:spacing w:before="40" w:after="40"/>
            </w:pPr>
            <w:r>
              <w:t>Single-use metals</w:t>
            </w:r>
          </w:p>
        </w:tc>
        <w:tc>
          <w:tcPr>
            <w:tcW w:w="4644" w:type="dxa"/>
          </w:tcPr>
          <w:p w14:paraId="37D1AE15" w14:textId="77777777" w:rsidR="0010585A" w:rsidRDefault="0010585A" w:rsidP="00BF5C41">
            <w:pPr>
              <w:pStyle w:val="DHHStabletext"/>
              <w:spacing w:before="40" w:after="40"/>
            </w:pPr>
          </w:p>
        </w:tc>
      </w:tr>
      <w:tr w:rsidR="0010585A" w14:paraId="40629D13" w14:textId="77777777" w:rsidTr="00E6173F">
        <w:tc>
          <w:tcPr>
            <w:tcW w:w="4644" w:type="dxa"/>
          </w:tcPr>
          <w:p w14:paraId="6B98F099" w14:textId="713F4441" w:rsidR="0010585A" w:rsidRDefault="0010585A" w:rsidP="00BF5C41">
            <w:pPr>
              <w:pStyle w:val="DHHStablebullet1"/>
              <w:spacing w:before="40" w:after="40"/>
            </w:pPr>
            <w:r>
              <w:t>PVC</w:t>
            </w:r>
          </w:p>
        </w:tc>
        <w:tc>
          <w:tcPr>
            <w:tcW w:w="4644" w:type="dxa"/>
          </w:tcPr>
          <w:p w14:paraId="65531BE9" w14:textId="77777777" w:rsidR="0010585A" w:rsidRDefault="0010585A" w:rsidP="00BF5C41">
            <w:pPr>
              <w:pStyle w:val="DHHStabletext"/>
              <w:spacing w:before="40" w:after="40"/>
            </w:pPr>
          </w:p>
        </w:tc>
      </w:tr>
      <w:tr w:rsidR="0010585A" w14:paraId="4A5702D3" w14:textId="77777777" w:rsidTr="00E6173F">
        <w:tc>
          <w:tcPr>
            <w:tcW w:w="4644" w:type="dxa"/>
          </w:tcPr>
          <w:p w14:paraId="20AF16FA" w14:textId="3E932E21" w:rsidR="0010585A" w:rsidRDefault="0010585A" w:rsidP="00BF5C41">
            <w:pPr>
              <w:pStyle w:val="DHHStablebullet1"/>
              <w:spacing w:before="40" w:after="40"/>
            </w:pPr>
            <w:r>
              <w:t>Sterili</w:t>
            </w:r>
            <w:r w:rsidR="0032300D">
              <w:t>s</w:t>
            </w:r>
            <w:r>
              <w:t>ation wrap</w:t>
            </w:r>
          </w:p>
        </w:tc>
        <w:tc>
          <w:tcPr>
            <w:tcW w:w="4644" w:type="dxa"/>
          </w:tcPr>
          <w:p w14:paraId="78114A29" w14:textId="77777777" w:rsidR="0010585A" w:rsidRDefault="0010585A" w:rsidP="00BF5C41">
            <w:pPr>
              <w:pStyle w:val="DHHStabletext"/>
              <w:spacing w:before="40" w:after="40"/>
            </w:pPr>
          </w:p>
        </w:tc>
      </w:tr>
      <w:tr w:rsidR="0010585A" w14:paraId="4C7047FB" w14:textId="77777777" w:rsidTr="00E6173F">
        <w:tc>
          <w:tcPr>
            <w:tcW w:w="4644" w:type="dxa"/>
            <w:tcBorders>
              <w:bottom w:val="single" w:sz="4" w:space="0" w:color="auto"/>
            </w:tcBorders>
          </w:tcPr>
          <w:p w14:paraId="217F9F25" w14:textId="2F5D73AB" w:rsidR="0010585A" w:rsidRDefault="0010585A" w:rsidP="00BF5C41">
            <w:pPr>
              <w:pStyle w:val="DHHStablebullet1"/>
              <w:spacing w:before="40" w:after="40"/>
            </w:pPr>
            <w:r>
              <w:t xml:space="preserve">Continence </w:t>
            </w:r>
            <w:r w:rsidR="0032300D">
              <w:t>a</w:t>
            </w:r>
            <w:r>
              <w:t>ids</w:t>
            </w:r>
          </w:p>
        </w:tc>
        <w:tc>
          <w:tcPr>
            <w:tcW w:w="4644" w:type="dxa"/>
            <w:tcBorders>
              <w:bottom w:val="single" w:sz="4" w:space="0" w:color="auto"/>
            </w:tcBorders>
          </w:tcPr>
          <w:p w14:paraId="380900CB" w14:textId="77777777" w:rsidR="0010585A" w:rsidRDefault="0010585A" w:rsidP="00BF5C41">
            <w:pPr>
              <w:pStyle w:val="DHHStabletext"/>
              <w:spacing w:before="40" w:after="40"/>
            </w:pPr>
          </w:p>
        </w:tc>
      </w:tr>
    </w:tbl>
    <w:p w14:paraId="152AE063" w14:textId="2F2B2C22" w:rsidR="007626C4" w:rsidRDefault="007626C4" w:rsidP="0062351A">
      <w:pPr>
        <w:pStyle w:val="Heading2"/>
      </w:pPr>
      <w:bookmarkStart w:id="35" w:name="_Toc528239318"/>
      <w:r>
        <w:t xml:space="preserve">Recommendations from </w:t>
      </w:r>
      <w:r w:rsidR="0032300D">
        <w:t>p</w:t>
      </w:r>
      <w:r>
        <w:t xml:space="preserve">hase 1 beyond </w:t>
      </w:r>
      <w:r w:rsidR="00BE0BC5">
        <w:t xml:space="preserve">the </w:t>
      </w:r>
      <w:r>
        <w:t xml:space="preserve">scope of </w:t>
      </w:r>
      <w:r w:rsidR="00BE0BC5">
        <w:t xml:space="preserve">the </w:t>
      </w:r>
      <w:r w:rsidR="001478C5">
        <w:t>project</w:t>
      </w:r>
      <w:bookmarkEnd w:id="35"/>
    </w:p>
    <w:p w14:paraId="28EF0205" w14:textId="52D32E6B" w:rsidR="00F3541D" w:rsidRDefault="00F3541D" w:rsidP="00615469">
      <w:pPr>
        <w:pStyle w:val="DHHSbody"/>
      </w:pPr>
      <w:r>
        <w:t xml:space="preserve">The report made recommendations and identified potential interventions that did not fall within the scope of the </w:t>
      </w:r>
      <w:r w:rsidR="001478C5">
        <w:t>p</w:t>
      </w:r>
      <w:r>
        <w:t>roject. This was because they were infrastructure or systems</w:t>
      </w:r>
      <w:r w:rsidR="00211752">
        <w:t>-</w:t>
      </w:r>
      <w:r w:rsidR="00AF3602">
        <w:t>depend</w:t>
      </w:r>
      <w:r w:rsidR="00211752">
        <w:t>e</w:t>
      </w:r>
      <w:r w:rsidR="00AF3602">
        <w:t xml:space="preserve">nt and therefore not </w:t>
      </w:r>
      <w:r>
        <w:t xml:space="preserve">able to be addressed through education or behavioural interventions. </w:t>
      </w:r>
    </w:p>
    <w:p w14:paraId="0648EFBD" w14:textId="0AA8980A" w:rsidR="007626C4" w:rsidRDefault="007626C4" w:rsidP="00620786">
      <w:pPr>
        <w:pStyle w:val="DHHSbody"/>
      </w:pPr>
      <w:r>
        <w:t>These recommendations include:</w:t>
      </w:r>
    </w:p>
    <w:p w14:paraId="28042BDB" w14:textId="77777777" w:rsidR="007626C4" w:rsidRDefault="007626C4" w:rsidP="00EB0C4C">
      <w:pPr>
        <w:pStyle w:val="DHHSbullet1"/>
        <w:numPr>
          <w:ilvl w:val="0"/>
          <w:numId w:val="19"/>
        </w:numPr>
      </w:pPr>
      <w:r>
        <w:t>Establish food waste collection</w:t>
      </w:r>
      <w:r w:rsidR="00AF3602">
        <w:t>s at h</w:t>
      </w:r>
      <w:r>
        <w:t xml:space="preserve">ealth </w:t>
      </w:r>
      <w:r w:rsidR="00AF3602">
        <w:t>s</w:t>
      </w:r>
      <w:r>
        <w:t>ervice</w:t>
      </w:r>
      <w:r w:rsidR="00AF3602">
        <w:t>s.</w:t>
      </w:r>
    </w:p>
    <w:p w14:paraId="431331D2" w14:textId="5CFBE29B" w:rsidR="007626C4" w:rsidRDefault="007626C4" w:rsidP="00EB0C4C">
      <w:pPr>
        <w:pStyle w:val="DHHSbullet1"/>
        <w:numPr>
          <w:ilvl w:val="0"/>
          <w:numId w:val="19"/>
        </w:numPr>
      </w:pPr>
      <w:r>
        <w:t xml:space="preserve">Increase </w:t>
      </w:r>
      <w:r w:rsidR="00211752">
        <w:t xml:space="preserve">the </w:t>
      </w:r>
      <w:r>
        <w:t xml:space="preserve">scope of recycling contracts to increase </w:t>
      </w:r>
      <w:r w:rsidR="00211752">
        <w:t xml:space="preserve">the </w:t>
      </w:r>
      <w:r>
        <w:t>range of materials recovered.</w:t>
      </w:r>
      <w:r w:rsidR="00AF3602">
        <w:t xml:space="preserve"> This could include:</w:t>
      </w:r>
    </w:p>
    <w:p w14:paraId="526B2725" w14:textId="00DD70F5" w:rsidR="007626C4" w:rsidRDefault="0032300D" w:rsidP="007626C4">
      <w:pPr>
        <w:pStyle w:val="DHHSbullet2"/>
        <w:numPr>
          <w:ilvl w:val="1"/>
          <w:numId w:val="1"/>
        </w:numPr>
      </w:pPr>
      <w:r>
        <w:t>e</w:t>
      </w:r>
      <w:r w:rsidR="007626C4">
        <w:t>-waste</w:t>
      </w:r>
    </w:p>
    <w:p w14:paraId="73C998D2" w14:textId="0B199556" w:rsidR="007626C4" w:rsidRDefault="0032300D" w:rsidP="007626C4">
      <w:pPr>
        <w:pStyle w:val="DHHSbullet2"/>
        <w:numPr>
          <w:ilvl w:val="1"/>
          <w:numId w:val="1"/>
        </w:numPr>
      </w:pPr>
      <w:r>
        <w:t>s</w:t>
      </w:r>
      <w:r w:rsidR="007626C4">
        <w:t>terili</w:t>
      </w:r>
      <w:r>
        <w:t>s</w:t>
      </w:r>
      <w:r w:rsidR="007626C4">
        <w:t>ation wrap</w:t>
      </w:r>
    </w:p>
    <w:p w14:paraId="17F89D16" w14:textId="6F82AE6D" w:rsidR="007626C4" w:rsidRDefault="0032300D" w:rsidP="007626C4">
      <w:pPr>
        <w:pStyle w:val="DHHSbullet2"/>
        <w:numPr>
          <w:ilvl w:val="1"/>
          <w:numId w:val="1"/>
        </w:numPr>
      </w:pPr>
      <w:r>
        <w:t>m</w:t>
      </w:r>
      <w:r w:rsidR="007626C4">
        <w:t>etals</w:t>
      </w:r>
    </w:p>
    <w:p w14:paraId="37AF24F1" w14:textId="036A6F8E" w:rsidR="007626C4" w:rsidRDefault="0032300D" w:rsidP="007626C4">
      <w:pPr>
        <w:pStyle w:val="DHHSbullet2"/>
        <w:numPr>
          <w:ilvl w:val="1"/>
          <w:numId w:val="1"/>
        </w:numPr>
      </w:pPr>
      <w:r>
        <w:t>p</w:t>
      </w:r>
      <w:r w:rsidR="007626C4">
        <w:t>olystyrene</w:t>
      </w:r>
      <w:r>
        <w:t>.</w:t>
      </w:r>
    </w:p>
    <w:p w14:paraId="5529041F" w14:textId="1F0F022A" w:rsidR="007626C4" w:rsidRDefault="007626C4" w:rsidP="00EB0C4C">
      <w:pPr>
        <w:pStyle w:val="DHHSbullet2"/>
        <w:numPr>
          <w:ilvl w:val="0"/>
          <w:numId w:val="19"/>
        </w:numPr>
      </w:pPr>
      <w:r>
        <w:t xml:space="preserve">Introduce executive accountability for health services against their </w:t>
      </w:r>
      <w:r w:rsidR="0032300D">
        <w:t>e</w:t>
      </w:r>
      <w:r>
        <w:t xml:space="preserve">nvironmental </w:t>
      </w:r>
      <w:r w:rsidR="0032300D">
        <w:t>m</w:t>
      </w:r>
      <w:r>
        <w:t xml:space="preserve">anagement </w:t>
      </w:r>
      <w:r w:rsidR="0032300D">
        <w:t>p</w:t>
      </w:r>
      <w:r>
        <w:t>lans.</w:t>
      </w:r>
    </w:p>
    <w:p w14:paraId="218FF98C" w14:textId="4EC34509" w:rsidR="007626C4" w:rsidRDefault="00211752" w:rsidP="00EB0C4C">
      <w:pPr>
        <w:pStyle w:val="DHHSbullet1"/>
        <w:numPr>
          <w:ilvl w:val="0"/>
          <w:numId w:val="19"/>
        </w:numPr>
      </w:pPr>
      <w:r>
        <w:t>Engage w</w:t>
      </w:r>
      <w:r w:rsidR="007626C4">
        <w:t>aste management consultant</w:t>
      </w:r>
      <w:r w:rsidR="00AF3602">
        <w:t>s</w:t>
      </w:r>
      <w:r w:rsidR="007626C4">
        <w:t xml:space="preserve"> and health service staff during</w:t>
      </w:r>
      <w:r w:rsidR="00AF3602">
        <w:t xml:space="preserve"> major works or renovations </w:t>
      </w:r>
      <w:r>
        <w:t>to</w:t>
      </w:r>
      <w:r w:rsidR="00AF3602">
        <w:t xml:space="preserve"> health s</w:t>
      </w:r>
      <w:r w:rsidR="007626C4">
        <w:t>ervices to ensure waste management needs are integrated</w:t>
      </w:r>
      <w:r w:rsidR="00AF3602">
        <w:t xml:space="preserve"> into </w:t>
      </w:r>
      <w:r>
        <w:t xml:space="preserve">the </w:t>
      </w:r>
      <w:r w:rsidR="00AF3602">
        <w:t>design</w:t>
      </w:r>
      <w:r w:rsidR="007626C4">
        <w:t>.</w:t>
      </w:r>
    </w:p>
    <w:p w14:paraId="09ABCEA6" w14:textId="06783E93" w:rsidR="001478C5" w:rsidRDefault="00211752" w:rsidP="00BF5C41">
      <w:pPr>
        <w:pStyle w:val="DHHSbodyafterbullets"/>
      </w:pPr>
      <w:r>
        <w:t>A</w:t>
      </w:r>
      <w:r w:rsidR="001478C5">
        <w:t>dopti</w:t>
      </w:r>
      <w:r>
        <w:t>ng</w:t>
      </w:r>
      <w:r w:rsidR="001478C5">
        <w:t xml:space="preserve"> these interventions has the potential to improve waste management in health services. The department will consider these opportunities in its broader work on improving the environmental sustainability of the health system. For example, Health Purchasing Victoria is sourcing a food organics recycling service offer for metropolitan hospitals</w:t>
      </w:r>
      <w:r>
        <w:t>,</w:t>
      </w:r>
      <w:r w:rsidR="001478C5">
        <w:t xml:space="preserve"> and waste management will be considered in the review of the department’s sustainability guidelines for capital works.</w:t>
      </w:r>
    </w:p>
    <w:p w14:paraId="2B6532FF" w14:textId="77777777" w:rsidR="007626C4" w:rsidRDefault="007626C4" w:rsidP="000A72BF">
      <w:pPr>
        <w:pStyle w:val="DHHSbody"/>
        <w:rPr>
          <w:color w:val="D03061" w:themeColor="text2"/>
          <w:sz w:val="44"/>
          <w:szCs w:val="44"/>
        </w:rPr>
      </w:pPr>
      <w:r>
        <w:br w:type="page"/>
      </w:r>
    </w:p>
    <w:p w14:paraId="646230E2" w14:textId="3824259B" w:rsidR="0021405F" w:rsidRDefault="0021405F" w:rsidP="0021405F">
      <w:pPr>
        <w:pStyle w:val="Heading1"/>
        <w:rPr>
          <w:rFonts w:eastAsia="Times"/>
        </w:rPr>
      </w:pPr>
      <w:bookmarkStart w:id="36" w:name="_Toc528239319"/>
      <w:r>
        <w:rPr>
          <w:rFonts w:eastAsia="Times"/>
        </w:rPr>
        <w:lastRenderedPageBreak/>
        <w:t xml:space="preserve">Appendix: Survey </w:t>
      </w:r>
      <w:r w:rsidR="0032300D">
        <w:rPr>
          <w:rFonts w:eastAsia="Times"/>
        </w:rPr>
        <w:t>f</w:t>
      </w:r>
      <w:r>
        <w:rPr>
          <w:rFonts w:eastAsia="Times"/>
        </w:rPr>
        <w:t>indings</w:t>
      </w:r>
      <w:bookmarkEnd w:id="36"/>
    </w:p>
    <w:p w14:paraId="25FA3C8C" w14:textId="2D6DFBCB" w:rsidR="0021405F" w:rsidRDefault="0021405F" w:rsidP="001F062A">
      <w:pPr>
        <w:pStyle w:val="Heading2"/>
      </w:pPr>
      <w:bookmarkStart w:id="37" w:name="_Toc528239320"/>
      <w:r>
        <w:t xml:space="preserve">Priority </w:t>
      </w:r>
      <w:r w:rsidR="0032300D">
        <w:t>w</w:t>
      </w:r>
      <w:r>
        <w:t xml:space="preserve">aste </w:t>
      </w:r>
      <w:r w:rsidR="0032300D">
        <w:t>s</w:t>
      </w:r>
      <w:r>
        <w:t>treams</w:t>
      </w:r>
      <w:bookmarkEnd w:id="37"/>
    </w:p>
    <w:p w14:paraId="0BF196A9" w14:textId="77777777" w:rsidR="0021405F" w:rsidRDefault="0021405F" w:rsidP="0021405F">
      <w:pPr>
        <w:pStyle w:val="DHHSbody"/>
      </w:pPr>
      <w:r>
        <w:t>The survey asked respondents to identify waste streams they considered important to recycle but were presently unable to in their workplaces, and</w:t>
      </w:r>
      <w:r w:rsidRPr="00985A3A">
        <w:t xml:space="preserve"> which streams they were presently able</w:t>
      </w:r>
      <w:r>
        <w:t xml:space="preserve"> to recycle but found difficult to.</w:t>
      </w:r>
    </w:p>
    <w:p w14:paraId="4E2D9607" w14:textId="6F6166F2" w:rsidR="0021405F" w:rsidRDefault="004531C8" w:rsidP="0021405F">
      <w:pPr>
        <w:pStyle w:val="DHHSbody"/>
      </w:pPr>
      <w:r>
        <w:t xml:space="preserve">Table </w:t>
      </w:r>
      <w:r w:rsidR="00AD4222">
        <w:t>3</w:t>
      </w:r>
      <w:r w:rsidR="0021405F">
        <w:t xml:space="preserve"> </w:t>
      </w:r>
      <w:r w:rsidR="0021405F" w:rsidRPr="00487870">
        <w:t>presents</w:t>
      </w:r>
      <w:r w:rsidR="0021405F">
        <w:t xml:space="preserve"> average response rates from across the two questions and was used to quantify the demand component for improving the management of each waste stream.</w:t>
      </w:r>
    </w:p>
    <w:p w14:paraId="45E17311" w14:textId="7BD17402" w:rsidR="0021405F" w:rsidRDefault="0021405F" w:rsidP="0021405F">
      <w:pPr>
        <w:pStyle w:val="DHHSbody"/>
      </w:pPr>
      <w:r>
        <w:t>The items shaded in grey only showed modest recognition in the importance of and/or difficulty in recycling.</w:t>
      </w:r>
    </w:p>
    <w:p w14:paraId="6BB24B2F" w14:textId="40468C8C" w:rsidR="00FD122C" w:rsidRDefault="00FD122C" w:rsidP="00FD122C">
      <w:pPr>
        <w:pStyle w:val="DHHStablecaption"/>
      </w:pPr>
      <w:r w:rsidRPr="00487870">
        <w:t xml:space="preserve">Table </w:t>
      </w:r>
      <w:r w:rsidR="00AD4222">
        <w:t>3</w:t>
      </w:r>
      <w:r>
        <w:t>: C</w:t>
      </w:r>
      <w:r w:rsidRPr="00487870">
        <w:t>ombined scores for each stream, factoring importance and difficulty response rates</w:t>
      </w:r>
    </w:p>
    <w:tbl>
      <w:tblPr>
        <w:tblStyle w:val="TableGrid"/>
        <w:tblW w:w="0" w:type="auto"/>
        <w:tblBorders>
          <w:top w:val="single" w:sz="4" w:space="0" w:color="D03061"/>
          <w:left w:val="single" w:sz="4" w:space="0" w:color="D03061"/>
          <w:bottom w:val="single" w:sz="4" w:space="0" w:color="D03061"/>
          <w:right w:val="single" w:sz="4" w:space="0" w:color="D03061"/>
          <w:insideH w:val="single" w:sz="4" w:space="0" w:color="D03061"/>
          <w:insideV w:val="single" w:sz="4" w:space="0" w:color="D03061"/>
        </w:tblBorders>
        <w:tblLook w:val="04A0" w:firstRow="1" w:lastRow="0" w:firstColumn="1" w:lastColumn="0" w:noHBand="0" w:noVBand="1"/>
      </w:tblPr>
      <w:tblGrid>
        <w:gridCol w:w="2983"/>
        <w:gridCol w:w="845"/>
        <w:gridCol w:w="852"/>
        <w:gridCol w:w="2975"/>
        <w:gridCol w:w="875"/>
        <w:gridCol w:w="876"/>
      </w:tblGrid>
      <w:tr w:rsidR="000A1B09" w:rsidRPr="000A1B09" w14:paraId="584F4E34" w14:textId="77777777" w:rsidTr="000A1B09">
        <w:trPr>
          <w:cnfStyle w:val="100000000000" w:firstRow="1" w:lastRow="0" w:firstColumn="0" w:lastColumn="0" w:oddVBand="0" w:evenVBand="0" w:oddHBand="0" w:evenHBand="0" w:firstRowFirstColumn="0" w:firstRowLastColumn="0" w:lastRowFirstColumn="0" w:lastRowLastColumn="0"/>
        </w:trPr>
        <w:tc>
          <w:tcPr>
            <w:tcW w:w="2983" w:type="dxa"/>
            <w:shd w:val="clear" w:color="auto" w:fill="auto"/>
          </w:tcPr>
          <w:p w14:paraId="5746B691" w14:textId="583D6BEF" w:rsidR="00F12B5A" w:rsidRPr="000A1B09" w:rsidRDefault="00F12B5A" w:rsidP="00F12B5A">
            <w:pPr>
              <w:pStyle w:val="DHHStablecolhead"/>
              <w:rPr>
                <w:color w:val="D03061"/>
              </w:rPr>
            </w:pPr>
            <w:r w:rsidRPr="000A1B09">
              <w:rPr>
                <w:color w:val="D03061"/>
              </w:rPr>
              <w:t>Non-clinical items</w:t>
            </w:r>
          </w:p>
        </w:tc>
        <w:tc>
          <w:tcPr>
            <w:tcW w:w="845" w:type="dxa"/>
            <w:shd w:val="clear" w:color="auto" w:fill="auto"/>
          </w:tcPr>
          <w:p w14:paraId="4ED6AA1F" w14:textId="47629DAB" w:rsidR="00F12B5A" w:rsidRPr="000A1B09" w:rsidRDefault="00F12B5A" w:rsidP="00F12B5A">
            <w:pPr>
              <w:pStyle w:val="DHHStablecolhead"/>
              <w:rPr>
                <w:color w:val="D03061"/>
              </w:rPr>
            </w:pPr>
            <w:r w:rsidRPr="000A1B09">
              <w:rPr>
                <w:color w:val="D03061"/>
              </w:rPr>
              <w:t xml:space="preserve">% </w:t>
            </w:r>
            <w:proofErr w:type="spellStart"/>
            <w:r w:rsidRPr="000A1B09">
              <w:rPr>
                <w:color w:val="D03061"/>
              </w:rPr>
              <w:t>freq</w:t>
            </w:r>
            <w:proofErr w:type="spellEnd"/>
          </w:p>
        </w:tc>
        <w:tc>
          <w:tcPr>
            <w:tcW w:w="852" w:type="dxa"/>
            <w:shd w:val="clear" w:color="auto" w:fill="auto"/>
          </w:tcPr>
          <w:p w14:paraId="00FFFA37" w14:textId="2D478DE7" w:rsidR="00F12B5A" w:rsidRPr="000A1B09" w:rsidRDefault="00F12B5A" w:rsidP="00F12B5A">
            <w:pPr>
              <w:pStyle w:val="DHHStablecolhead"/>
              <w:rPr>
                <w:color w:val="D03061"/>
              </w:rPr>
            </w:pPr>
            <w:r w:rsidRPr="000A1B09">
              <w:rPr>
                <w:color w:val="D03061"/>
              </w:rPr>
              <w:t>Score</w:t>
            </w:r>
          </w:p>
        </w:tc>
        <w:tc>
          <w:tcPr>
            <w:tcW w:w="2975" w:type="dxa"/>
            <w:shd w:val="clear" w:color="auto" w:fill="auto"/>
          </w:tcPr>
          <w:p w14:paraId="3249AB56" w14:textId="2D1B9629" w:rsidR="00F12B5A" w:rsidRPr="000A1B09" w:rsidRDefault="00F12B5A" w:rsidP="00F12B5A">
            <w:pPr>
              <w:pStyle w:val="DHHStablecolhead"/>
              <w:rPr>
                <w:color w:val="D03061"/>
              </w:rPr>
            </w:pPr>
            <w:r w:rsidRPr="000A1B09">
              <w:rPr>
                <w:color w:val="D03061"/>
              </w:rPr>
              <w:t>Clinical items</w:t>
            </w:r>
          </w:p>
        </w:tc>
        <w:tc>
          <w:tcPr>
            <w:tcW w:w="875" w:type="dxa"/>
            <w:shd w:val="clear" w:color="auto" w:fill="auto"/>
            <w:vAlign w:val="center"/>
          </w:tcPr>
          <w:p w14:paraId="4F3EC8C0" w14:textId="165C6210" w:rsidR="00F12B5A" w:rsidRPr="000A1B09" w:rsidRDefault="00F12B5A" w:rsidP="00F12B5A">
            <w:pPr>
              <w:pStyle w:val="DHHStablecolhead"/>
              <w:jc w:val="center"/>
              <w:rPr>
                <w:color w:val="D03061"/>
              </w:rPr>
            </w:pPr>
            <w:r w:rsidRPr="000A1B09">
              <w:rPr>
                <w:color w:val="D03061"/>
              </w:rPr>
              <w:t xml:space="preserve">% </w:t>
            </w:r>
            <w:proofErr w:type="spellStart"/>
            <w:r w:rsidRPr="000A1B09">
              <w:rPr>
                <w:color w:val="D03061"/>
              </w:rPr>
              <w:t>freq</w:t>
            </w:r>
            <w:proofErr w:type="spellEnd"/>
          </w:p>
        </w:tc>
        <w:tc>
          <w:tcPr>
            <w:tcW w:w="876" w:type="dxa"/>
            <w:shd w:val="clear" w:color="auto" w:fill="auto"/>
            <w:vAlign w:val="center"/>
          </w:tcPr>
          <w:p w14:paraId="772EC52D" w14:textId="712AB802" w:rsidR="00F12B5A" w:rsidRPr="000A1B09" w:rsidRDefault="00F12B5A" w:rsidP="00F12B5A">
            <w:pPr>
              <w:pStyle w:val="DHHStablecolhead"/>
              <w:jc w:val="center"/>
              <w:rPr>
                <w:color w:val="D03061"/>
              </w:rPr>
            </w:pPr>
            <w:r w:rsidRPr="000A1B09">
              <w:rPr>
                <w:color w:val="D03061"/>
              </w:rPr>
              <w:t>Score</w:t>
            </w:r>
          </w:p>
        </w:tc>
      </w:tr>
      <w:tr w:rsidR="00F12B5A" w14:paraId="5FCE96F9" w14:textId="77777777" w:rsidTr="00317DD5">
        <w:tc>
          <w:tcPr>
            <w:tcW w:w="2983" w:type="dxa"/>
            <w:shd w:val="clear" w:color="auto" w:fill="auto"/>
            <w:vAlign w:val="center"/>
          </w:tcPr>
          <w:p w14:paraId="42F55701" w14:textId="07B2A197" w:rsidR="00F12B5A" w:rsidRPr="00F12B5A" w:rsidRDefault="00F12B5A" w:rsidP="00F12B5A">
            <w:pPr>
              <w:pStyle w:val="DHHStabletext"/>
            </w:pPr>
            <w:r w:rsidRPr="00F12B5A">
              <w:rPr>
                <w:lang w:eastAsia="en-AU"/>
              </w:rPr>
              <w:t>Food waste</w:t>
            </w:r>
          </w:p>
        </w:tc>
        <w:tc>
          <w:tcPr>
            <w:tcW w:w="845" w:type="dxa"/>
            <w:shd w:val="clear" w:color="auto" w:fill="auto"/>
            <w:vAlign w:val="center"/>
          </w:tcPr>
          <w:p w14:paraId="5917A385" w14:textId="4E52EDD5" w:rsidR="00F12B5A" w:rsidRDefault="00F12B5A" w:rsidP="00F12B5A">
            <w:pPr>
              <w:pStyle w:val="DHHStabletext"/>
              <w:jc w:val="center"/>
            </w:pPr>
            <w:r w:rsidRPr="00FD122C">
              <w:rPr>
                <w:lang w:eastAsia="en-AU"/>
              </w:rPr>
              <w:t>27.0</w:t>
            </w:r>
          </w:p>
        </w:tc>
        <w:tc>
          <w:tcPr>
            <w:tcW w:w="852" w:type="dxa"/>
            <w:shd w:val="clear" w:color="auto" w:fill="auto"/>
            <w:vAlign w:val="center"/>
          </w:tcPr>
          <w:p w14:paraId="7577F3AF" w14:textId="5E7AE39C" w:rsidR="00F12B5A" w:rsidRDefault="00F12B5A" w:rsidP="00F12B5A">
            <w:pPr>
              <w:pStyle w:val="DHHStabletext"/>
              <w:jc w:val="center"/>
            </w:pPr>
            <w:r w:rsidRPr="00FD122C">
              <w:rPr>
                <w:lang w:eastAsia="en-AU"/>
              </w:rPr>
              <w:t>1.00</w:t>
            </w:r>
          </w:p>
        </w:tc>
        <w:tc>
          <w:tcPr>
            <w:tcW w:w="2975" w:type="dxa"/>
            <w:shd w:val="clear" w:color="auto" w:fill="auto"/>
            <w:vAlign w:val="center"/>
          </w:tcPr>
          <w:p w14:paraId="46B0A372" w14:textId="2F8BC4EA" w:rsidR="00F12B5A" w:rsidRDefault="00F12B5A" w:rsidP="00F12B5A">
            <w:pPr>
              <w:pStyle w:val="DHHStabletext"/>
            </w:pPr>
            <w:r w:rsidRPr="00FD122C">
              <w:rPr>
                <w:lang w:eastAsia="en-AU"/>
              </w:rPr>
              <w:t>Single</w:t>
            </w:r>
            <w:r>
              <w:rPr>
                <w:lang w:eastAsia="en-AU"/>
              </w:rPr>
              <w:t>-</w:t>
            </w:r>
            <w:r w:rsidRPr="00FD122C">
              <w:rPr>
                <w:lang w:eastAsia="en-AU"/>
              </w:rPr>
              <w:t>use PVC items</w:t>
            </w:r>
          </w:p>
        </w:tc>
        <w:tc>
          <w:tcPr>
            <w:tcW w:w="875" w:type="dxa"/>
            <w:shd w:val="clear" w:color="auto" w:fill="auto"/>
            <w:vAlign w:val="center"/>
          </w:tcPr>
          <w:p w14:paraId="017B2A14" w14:textId="35399D82" w:rsidR="00F12B5A" w:rsidRDefault="00F12B5A" w:rsidP="00F12B5A">
            <w:pPr>
              <w:pStyle w:val="DHHStabletext"/>
              <w:jc w:val="center"/>
            </w:pPr>
            <w:r w:rsidRPr="00FD122C">
              <w:rPr>
                <w:lang w:eastAsia="en-AU"/>
              </w:rPr>
              <w:t>28.9</w:t>
            </w:r>
          </w:p>
        </w:tc>
        <w:tc>
          <w:tcPr>
            <w:tcW w:w="876" w:type="dxa"/>
            <w:shd w:val="clear" w:color="auto" w:fill="auto"/>
            <w:vAlign w:val="center"/>
          </w:tcPr>
          <w:p w14:paraId="15CC75C4" w14:textId="7E5C4CD4" w:rsidR="00F12B5A" w:rsidRDefault="00F12B5A" w:rsidP="00F12B5A">
            <w:pPr>
              <w:pStyle w:val="DHHStabletext"/>
              <w:jc w:val="center"/>
            </w:pPr>
            <w:r w:rsidRPr="00FD122C">
              <w:rPr>
                <w:lang w:eastAsia="en-AU"/>
              </w:rPr>
              <w:t>1.00</w:t>
            </w:r>
          </w:p>
        </w:tc>
      </w:tr>
      <w:tr w:rsidR="00F12B5A" w14:paraId="0A1DD6ED" w14:textId="77777777" w:rsidTr="00317DD5">
        <w:tc>
          <w:tcPr>
            <w:tcW w:w="2983" w:type="dxa"/>
            <w:shd w:val="clear" w:color="auto" w:fill="auto"/>
            <w:vAlign w:val="center"/>
          </w:tcPr>
          <w:p w14:paraId="5F8035E8" w14:textId="6AEDBFB9" w:rsidR="00F12B5A" w:rsidRPr="00F12B5A" w:rsidRDefault="00F12B5A" w:rsidP="00F12B5A">
            <w:pPr>
              <w:pStyle w:val="DHHStabletext"/>
            </w:pPr>
            <w:r w:rsidRPr="00F12B5A">
              <w:rPr>
                <w:lang w:eastAsia="en-AU"/>
              </w:rPr>
              <w:t>Commingled recycling</w:t>
            </w:r>
          </w:p>
        </w:tc>
        <w:tc>
          <w:tcPr>
            <w:tcW w:w="845" w:type="dxa"/>
            <w:shd w:val="clear" w:color="auto" w:fill="auto"/>
            <w:vAlign w:val="center"/>
          </w:tcPr>
          <w:p w14:paraId="54A0F273" w14:textId="2B7AD2B5" w:rsidR="00F12B5A" w:rsidRDefault="00F12B5A" w:rsidP="00F12B5A">
            <w:pPr>
              <w:pStyle w:val="DHHStabletext"/>
              <w:jc w:val="center"/>
            </w:pPr>
            <w:r w:rsidRPr="00FD122C">
              <w:rPr>
                <w:lang w:eastAsia="en-AU"/>
              </w:rPr>
              <w:t>26.9</w:t>
            </w:r>
          </w:p>
        </w:tc>
        <w:tc>
          <w:tcPr>
            <w:tcW w:w="852" w:type="dxa"/>
            <w:shd w:val="clear" w:color="auto" w:fill="auto"/>
            <w:vAlign w:val="center"/>
          </w:tcPr>
          <w:p w14:paraId="1382C632" w14:textId="21F226F9" w:rsidR="00F12B5A" w:rsidRDefault="00F12B5A" w:rsidP="00F12B5A">
            <w:pPr>
              <w:pStyle w:val="DHHStabletext"/>
              <w:jc w:val="center"/>
            </w:pPr>
            <w:r w:rsidRPr="00FD122C">
              <w:rPr>
                <w:lang w:eastAsia="en-AU"/>
              </w:rPr>
              <w:t>1.00</w:t>
            </w:r>
          </w:p>
        </w:tc>
        <w:tc>
          <w:tcPr>
            <w:tcW w:w="2975" w:type="dxa"/>
            <w:shd w:val="clear" w:color="auto" w:fill="auto"/>
            <w:vAlign w:val="center"/>
          </w:tcPr>
          <w:p w14:paraId="43E43B56" w14:textId="200DFF74" w:rsidR="00F12B5A" w:rsidRDefault="00F12B5A" w:rsidP="00F12B5A">
            <w:pPr>
              <w:pStyle w:val="DHHStabletext"/>
            </w:pPr>
            <w:r w:rsidRPr="00FD122C">
              <w:rPr>
                <w:lang w:eastAsia="en-AU"/>
              </w:rPr>
              <w:t>Single</w:t>
            </w:r>
            <w:r>
              <w:rPr>
                <w:lang w:eastAsia="en-AU"/>
              </w:rPr>
              <w:t>-</w:t>
            </w:r>
            <w:r w:rsidRPr="00FD122C">
              <w:rPr>
                <w:lang w:eastAsia="en-AU"/>
              </w:rPr>
              <w:t>use metal items</w:t>
            </w:r>
          </w:p>
        </w:tc>
        <w:tc>
          <w:tcPr>
            <w:tcW w:w="875" w:type="dxa"/>
            <w:shd w:val="clear" w:color="auto" w:fill="auto"/>
            <w:vAlign w:val="center"/>
          </w:tcPr>
          <w:p w14:paraId="25C51827" w14:textId="35FC6198" w:rsidR="00F12B5A" w:rsidRDefault="00F12B5A" w:rsidP="00F12B5A">
            <w:pPr>
              <w:pStyle w:val="DHHStabletext"/>
              <w:jc w:val="center"/>
            </w:pPr>
            <w:r w:rsidRPr="00FD122C">
              <w:rPr>
                <w:lang w:eastAsia="en-AU"/>
              </w:rPr>
              <w:t>25</w:t>
            </w:r>
          </w:p>
        </w:tc>
        <w:tc>
          <w:tcPr>
            <w:tcW w:w="876" w:type="dxa"/>
            <w:shd w:val="clear" w:color="auto" w:fill="auto"/>
            <w:vAlign w:val="center"/>
          </w:tcPr>
          <w:p w14:paraId="1AFA29AF" w14:textId="2E38D25F" w:rsidR="00F12B5A" w:rsidRDefault="00F12B5A" w:rsidP="00F12B5A">
            <w:pPr>
              <w:pStyle w:val="DHHStabletext"/>
              <w:jc w:val="center"/>
            </w:pPr>
            <w:r w:rsidRPr="00FD122C">
              <w:rPr>
                <w:lang w:eastAsia="en-AU"/>
              </w:rPr>
              <w:t>0.87</w:t>
            </w:r>
          </w:p>
        </w:tc>
      </w:tr>
      <w:tr w:rsidR="00F12B5A" w14:paraId="67F3DB08" w14:textId="77777777" w:rsidTr="00317DD5">
        <w:tc>
          <w:tcPr>
            <w:tcW w:w="2983" w:type="dxa"/>
            <w:shd w:val="clear" w:color="auto" w:fill="auto"/>
            <w:vAlign w:val="center"/>
          </w:tcPr>
          <w:p w14:paraId="79C172E4" w14:textId="3DE0F9F1" w:rsidR="00F12B5A" w:rsidRPr="00F12B5A" w:rsidRDefault="00F12B5A" w:rsidP="00F12B5A">
            <w:pPr>
              <w:pStyle w:val="DHHStabletext"/>
            </w:pPr>
            <w:r w:rsidRPr="00F12B5A">
              <w:rPr>
                <w:lang w:eastAsia="en-AU"/>
              </w:rPr>
              <w:t>Polystyrene foam</w:t>
            </w:r>
          </w:p>
        </w:tc>
        <w:tc>
          <w:tcPr>
            <w:tcW w:w="845" w:type="dxa"/>
            <w:shd w:val="clear" w:color="auto" w:fill="auto"/>
            <w:vAlign w:val="center"/>
          </w:tcPr>
          <w:p w14:paraId="0D617C88" w14:textId="61CDE14B" w:rsidR="00F12B5A" w:rsidRDefault="00F12B5A" w:rsidP="00F12B5A">
            <w:pPr>
              <w:pStyle w:val="DHHStabletext"/>
              <w:jc w:val="center"/>
            </w:pPr>
            <w:r w:rsidRPr="00FD122C">
              <w:rPr>
                <w:lang w:eastAsia="en-AU"/>
              </w:rPr>
              <w:t>23.7</w:t>
            </w:r>
          </w:p>
        </w:tc>
        <w:tc>
          <w:tcPr>
            <w:tcW w:w="852" w:type="dxa"/>
            <w:shd w:val="clear" w:color="auto" w:fill="auto"/>
            <w:vAlign w:val="center"/>
          </w:tcPr>
          <w:p w14:paraId="35CAE5FD" w14:textId="3248D4FC" w:rsidR="00F12B5A" w:rsidRDefault="00F12B5A" w:rsidP="00F12B5A">
            <w:pPr>
              <w:pStyle w:val="DHHStabletext"/>
              <w:jc w:val="center"/>
            </w:pPr>
            <w:r w:rsidRPr="00FD122C">
              <w:rPr>
                <w:lang w:eastAsia="en-AU"/>
              </w:rPr>
              <w:t>0.88</w:t>
            </w:r>
          </w:p>
        </w:tc>
        <w:tc>
          <w:tcPr>
            <w:tcW w:w="2975" w:type="dxa"/>
            <w:shd w:val="clear" w:color="auto" w:fill="auto"/>
            <w:vAlign w:val="center"/>
          </w:tcPr>
          <w:p w14:paraId="745AC3A1" w14:textId="540DD2B1" w:rsidR="00F12B5A" w:rsidRDefault="00F12B5A" w:rsidP="00F12B5A">
            <w:pPr>
              <w:pStyle w:val="DHHStabletext"/>
            </w:pPr>
            <w:r w:rsidRPr="00FD122C">
              <w:rPr>
                <w:lang w:eastAsia="en-AU"/>
              </w:rPr>
              <w:t>Single</w:t>
            </w:r>
            <w:r>
              <w:rPr>
                <w:lang w:eastAsia="en-AU"/>
              </w:rPr>
              <w:t>-</w:t>
            </w:r>
            <w:r w:rsidRPr="00FD122C">
              <w:rPr>
                <w:lang w:eastAsia="en-AU"/>
              </w:rPr>
              <w:t>use plastic items</w:t>
            </w:r>
          </w:p>
        </w:tc>
        <w:tc>
          <w:tcPr>
            <w:tcW w:w="875" w:type="dxa"/>
            <w:shd w:val="clear" w:color="auto" w:fill="auto"/>
            <w:vAlign w:val="center"/>
          </w:tcPr>
          <w:p w14:paraId="590FE781" w14:textId="54EB4B4C" w:rsidR="00F12B5A" w:rsidRDefault="00F12B5A" w:rsidP="00F12B5A">
            <w:pPr>
              <w:pStyle w:val="DHHStabletext"/>
              <w:jc w:val="center"/>
            </w:pPr>
            <w:r w:rsidRPr="00FD122C">
              <w:rPr>
                <w:lang w:eastAsia="en-AU"/>
              </w:rPr>
              <w:t>18.8</w:t>
            </w:r>
          </w:p>
        </w:tc>
        <w:tc>
          <w:tcPr>
            <w:tcW w:w="876" w:type="dxa"/>
            <w:shd w:val="clear" w:color="auto" w:fill="auto"/>
            <w:vAlign w:val="center"/>
          </w:tcPr>
          <w:p w14:paraId="43E5F4F9" w14:textId="61B472B5" w:rsidR="00F12B5A" w:rsidRDefault="00F12B5A" w:rsidP="00F12B5A">
            <w:pPr>
              <w:pStyle w:val="DHHStabletext"/>
              <w:jc w:val="center"/>
            </w:pPr>
            <w:r w:rsidRPr="00FD122C">
              <w:rPr>
                <w:lang w:eastAsia="en-AU"/>
              </w:rPr>
              <w:t>0.65</w:t>
            </w:r>
          </w:p>
        </w:tc>
      </w:tr>
      <w:tr w:rsidR="00F12B5A" w14:paraId="206CE58F" w14:textId="77777777" w:rsidTr="00317DD5">
        <w:tc>
          <w:tcPr>
            <w:tcW w:w="2983" w:type="dxa"/>
            <w:shd w:val="clear" w:color="auto" w:fill="auto"/>
            <w:vAlign w:val="center"/>
          </w:tcPr>
          <w:p w14:paraId="15C4D822" w14:textId="7AE17561" w:rsidR="00F12B5A" w:rsidRPr="00F12B5A" w:rsidRDefault="00F12B5A" w:rsidP="00F12B5A">
            <w:pPr>
              <w:pStyle w:val="DHHStabletext"/>
            </w:pPr>
            <w:r w:rsidRPr="00F12B5A">
              <w:rPr>
                <w:lang w:eastAsia="en-AU"/>
              </w:rPr>
              <w:t>Packaging films</w:t>
            </w:r>
          </w:p>
        </w:tc>
        <w:tc>
          <w:tcPr>
            <w:tcW w:w="845" w:type="dxa"/>
            <w:shd w:val="clear" w:color="auto" w:fill="auto"/>
            <w:vAlign w:val="center"/>
          </w:tcPr>
          <w:p w14:paraId="3BA448EC" w14:textId="2F1FA01D" w:rsidR="00F12B5A" w:rsidRDefault="00F12B5A" w:rsidP="00F12B5A">
            <w:pPr>
              <w:pStyle w:val="DHHStabletext"/>
              <w:jc w:val="center"/>
            </w:pPr>
            <w:r w:rsidRPr="00FD122C">
              <w:rPr>
                <w:lang w:eastAsia="en-AU"/>
              </w:rPr>
              <w:t>21.3</w:t>
            </w:r>
          </w:p>
        </w:tc>
        <w:tc>
          <w:tcPr>
            <w:tcW w:w="852" w:type="dxa"/>
            <w:shd w:val="clear" w:color="auto" w:fill="auto"/>
            <w:vAlign w:val="center"/>
          </w:tcPr>
          <w:p w14:paraId="1126B54D" w14:textId="6B4E46D5" w:rsidR="00F12B5A" w:rsidRDefault="00F12B5A" w:rsidP="00F12B5A">
            <w:pPr>
              <w:pStyle w:val="DHHStabletext"/>
              <w:jc w:val="center"/>
            </w:pPr>
            <w:r w:rsidRPr="00FD122C">
              <w:rPr>
                <w:lang w:eastAsia="en-AU"/>
              </w:rPr>
              <w:t>0.79</w:t>
            </w:r>
          </w:p>
        </w:tc>
        <w:tc>
          <w:tcPr>
            <w:tcW w:w="2975" w:type="dxa"/>
            <w:shd w:val="clear" w:color="auto" w:fill="auto"/>
            <w:vAlign w:val="center"/>
          </w:tcPr>
          <w:p w14:paraId="2A9875A5" w14:textId="3158AA11" w:rsidR="00F12B5A" w:rsidRDefault="00F12B5A" w:rsidP="00F12B5A">
            <w:pPr>
              <w:pStyle w:val="DHHStabletext"/>
            </w:pPr>
            <w:r w:rsidRPr="00FD122C">
              <w:rPr>
                <w:lang w:eastAsia="en-AU"/>
              </w:rPr>
              <w:t>Bowls, dishes and trays</w:t>
            </w:r>
          </w:p>
        </w:tc>
        <w:tc>
          <w:tcPr>
            <w:tcW w:w="875" w:type="dxa"/>
            <w:shd w:val="clear" w:color="auto" w:fill="auto"/>
            <w:vAlign w:val="center"/>
          </w:tcPr>
          <w:p w14:paraId="35E60486" w14:textId="62A16A42" w:rsidR="00F12B5A" w:rsidRDefault="00F12B5A" w:rsidP="00F12B5A">
            <w:pPr>
              <w:pStyle w:val="DHHStabletext"/>
              <w:jc w:val="center"/>
            </w:pPr>
            <w:r w:rsidRPr="00FD122C">
              <w:rPr>
                <w:lang w:eastAsia="en-AU"/>
              </w:rPr>
              <w:t>16.75</w:t>
            </w:r>
          </w:p>
        </w:tc>
        <w:tc>
          <w:tcPr>
            <w:tcW w:w="876" w:type="dxa"/>
            <w:shd w:val="clear" w:color="auto" w:fill="auto"/>
            <w:vAlign w:val="center"/>
          </w:tcPr>
          <w:p w14:paraId="1505F3F6" w14:textId="65766461" w:rsidR="00F12B5A" w:rsidRDefault="00F12B5A" w:rsidP="00F12B5A">
            <w:pPr>
              <w:pStyle w:val="DHHStabletext"/>
              <w:jc w:val="center"/>
            </w:pPr>
            <w:r w:rsidRPr="00FD122C">
              <w:rPr>
                <w:lang w:eastAsia="en-AU"/>
              </w:rPr>
              <w:t>0.58</w:t>
            </w:r>
          </w:p>
        </w:tc>
      </w:tr>
      <w:tr w:rsidR="00F12B5A" w14:paraId="638387EC" w14:textId="77777777" w:rsidTr="00317DD5">
        <w:tc>
          <w:tcPr>
            <w:tcW w:w="2983" w:type="dxa"/>
            <w:shd w:val="clear" w:color="auto" w:fill="auto"/>
            <w:vAlign w:val="center"/>
          </w:tcPr>
          <w:p w14:paraId="32B9759F" w14:textId="3660FA7B" w:rsidR="00F12B5A" w:rsidRPr="00F12B5A" w:rsidRDefault="00F12B5A" w:rsidP="00F12B5A">
            <w:pPr>
              <w:pStyle w:val="DHHStabletext"/>
            </w:pPr>
            <w:r w:rsidRPr="00F12B5A">
              <w:rPr>
                <w:lang w:eastAsia="en-AU"/>
              </w:rPr>
              <w:t>Batteries</w:t>
            </w:r>
          </w:p>
        </w:tc>
        <w:tc>
          <w:tcPr>
            <w:tcW w:w="845" w:type="dxa"/>
            <w:shd w:val="clear" w:color="auto" w:fill="auto"/>
            <w:vAlign w:val="center"/>
          </w:tcPr>
          <w:p w14:paraId="0FE22A42" w14:textId="35005277" w:rsidR="00F12B5A" w:rsidRDefault="00F12B5A" w:rsidP="00F12B5A">
            <w:pPr>
              <w:pStyle w:val="DHHStabletext"/>
              <w:jc w:val="center"/>
            </w:pPr>
            <w:r w:rsidRPr="00FD122C">
              <w:rPr>
                <w:lang w:eastAsia="en-AU"/>
              </w:rPr>
              <w:t>18.4</w:t>
            </w:r>
          </w:p>
        </w:tc>
        <w:tc>
          <w:tcPr>
            <w:tcW w:w="852" w:type="dxa"/>
            <w:shd w:val="clear" w:color="auto" w:fill="auto"/>
            <w:vAlign w:val="center"/>
          </w:tcPr>
          <w:p w14:paraId="0CAF537A" w14:textId="68686716" w:rsidR="00F12B5A" w:rsidRDefault="00F12B5A" w:rsidP="00F12B5A">
            <w:pPr>
              <w:pStyle w:val="DHHStabletext"/>
              <w:jc w:val="center"/>
            </w:pPr>
            <w:r w:rsidRPr="00FD122C">
              <w:rPr>
                <w:lang w:eastAsia="en-AU"/>
              </w:rPr>
              <w:t>0.68</w:t>
            </w:r>
          </w:p>
        </w:tc>
        <w:tc>
          <w:tcPr>
            <w:tcW w:w="2975" w:type="dxa"/>
            <w:shd w:val="clear" w:color="auto" w:fill="auto"/>
            <w:vAlign w:val="center"/>
          </w:tcPr>
          <w:p w14:paraId="1F1F2D2A" w14:textId="318118E1" w:rsidR="00F12B5A" w:rsidRDefault="00F12B5A" w:rsidP="00F12B5A">
            <w:pPr>
              <w:pStyle w:val="DHHStabletext"/>
            </w:pPr>
            <w:r w:rsidRPr="00FD122C">
              <w:rPr>
                <w:lang w:eastAsia="en-AU"/>
              </w:rPr>
              <w:t>Continence pads/aids</w:t>
            </w:r>
          </w:p>
        </w:tc>
        <w:tc>
          <w:tcPr>
            <w:tcW w:w="875" w:type="dxa"/>
            <w:shd w:val="clear" w:color="auto" w:fill="auto"/>
            <w:vAlign w:val="center"/>
          </w:tcPr>
          <w:p w14:paraId="0A145E7B" w14:textId="09F5C77D" w:rsidR="00F12B5A" w:rsidRDefault="00F12B5A" w:rsidP="00F12B5A">
            <w:pPr>
              <w:pStyle w:val="DHHStabletext"/>
              <w:jc w:val="center"/>
            </w:pPr>
            <w:r w:rsidRPr="00FD122C">
              <w:rPr>
                <w:lang w:eastAsia="en-AU"/>
              </w:rPr>
              <w:t>14.05</w:t>
            </w:r>
          </w:p>
        </w:tc>
        <w:tc>
          <w:tcPr>
            <w:tcW w:w="876" w:type="dxa"/>
            <w:shd w:val="clear" w:color="auto" w:fill="auto"/>
            <w:vAlign w:val="center"/>
          </w:tcPr>
          <w:p w14:paraId="3D222F76" w14:textId="34F2CF9E" w:rsidR="00F12B5A" w:rsidRDefault="00F12B5A" w:rsidP="00F12B5A">
            <w:pPr>
              <w:pStyle w:val="DHHStabletext"/>
              <w:jc w:val="center"/>
            </w:pPr>
            <w:r w:rsidRPr="00FD122C">
              <w:rPr>
                <w:lang w:eastAsia="en-AU"/>
              </w:rPr>
              <w:t>0.49</w:t>
            </w:r>
          </w:p>
        </w:tc>
      </w:tr>
      <w:tr w:rsidR="00F12B5A" w14:paraId="04E0F89C" w14:textId="77777777" w:rsidTr="00317DD5">
        <w:tc>
          <w:tcPr>
            <w:tcW w:w="2983" w:type="dxa"/>
            <w:shd w:val="clear" w:color="auto" w:fill="auto"/>
            <w:vAlign w:val="center"/>
          </w:tcPr>
          <w:p w14:paraId="72E7FCF8" w14:textId="41761E45" w:rsidR="00F12B5A" w:rsidRPr="00F12B5A" w:rsidRDefault="00F12B5A" w:rsidP="00F12B5A">
            <w:pPr>
              <w:pStyle w:val="DHHStabletext"/>
            </w:pPr>
            <w:r w:rsidRPr="00F12B5A">
              <w:rPr>
                <w:lang w:eastAsia="en-AU"/>
              </w:rPr>
              <w:t>Cardboard</w:t>
            </w:r>
          </w:p>
        </w:tc>
        <w:tc>
          <w:tcPr>
            <w:tcW w:w="845" w:type="dxa"/>
            <w:shd w:val="clear" w:color="auto" w:fill="auto"/>
            <w:vAlign w:val="center"/>
          </w:tcPr>
          <w:p w14:paraId="48E0B014" w14:textId="08479841" w:rsidR="00F12B5A" w:rsidRDefault="00F12B5A" w:rsidP="00F12B5A">
            <w:pPr>
              <w:pStyle w:val="DHHStabletext"/>
              <w:jc w:val="center"/>
            </w:pPr>
            <w:r w:rsidRPr="00FD122C">
              <w:rPr>
                <w:lang w:eastAsia="en-AU"/>
              </w:rPr>
              <w:t>15.7</w:t>
            </w:r>
          </w:p>
        </w:tc>
        <w:tc>
          <w:tcPr>
            <w:tcW w:w="852" w:type="dxa"/>
            <w:shd w:val="clear" w:color="auto" w:fill="auto"/>
            <w:vAlign w:val="center"/>
          </w:tcPr>
          <w:p w14:paraId="48026291" w14:textId="3DA8A03F" w:rsidR="00F12B5A" w:rsidRDefault="00F12B5A" w:rsidP="00F12B5A">
            <w:pPr>
              <w:pStyle w:val="DHHStabletext"/>
              <w:jc w:val="center"/>
            </w:pPr>
            <w:r w:rsidRPr="00FD122C">
              <w:rPr>
                <w:lang w:eastAsia="en-AU"/>
              </w:rPr>
              <w:t>0.58</w:t>
            </w:r>
          </w:p>
        </w:tc>
        <w:tc>
          <w:tcPr>
            <w:tcW w:w="2975" w:type="dxa"/>
            <w:shd w:val="clear" w:color="auto" w:fill="auto"/>
            <w:vAlign w:val="center"/>
          </w:tcPr>
          <w:p w14:paraId="2096A15F" w14:textId="40A44D40" w:rsidR="00F12B5A" w:rsidRDefault="00F12B5A" w:rsidP="00F12B5A">
            <w:pPr>
              <w:pStyle w:val="DHHStabletext"/>
            </w:pPr>
            <w:r w:rsidRPr="00FD122C">
              <w:rPr>
                <w:lang w:eastAsia="en-AU"/>
              </w:rPr>
              <w:t>Sterilisation wrap</w:t>
            </w:r>
          </w:p>
        </w:tc>
        <w:tc>
          <w:tcPr>
            <w:tcW w:w="875" w:type="dxa"/>
            <w:shd w:val="clear" w:color="auto" w:fill="auto"/>
            <w:vAlign w:val="center"/>
          </w:tcPr>
          <w:p w14:paraId="4DB970A9" w14:textId="6213A5A1" w:rsidR="00F12B5A" w:rsidRDefault="00F12B5A" w:rsidP="00F12B5A">
            <w:pPr>
              <w:pStyle w:val="DHHStabletext"/>
              <w:jc w:val="center"/>
            </w:pPr>
            <w:r w:rsidRPr="00FD122C">
              <w:rPr>
                <w:lang w:eastAsia="en-AU"/>
              </w:rPr>
              <w:t>13.6</w:t>
            </w:r>
          </w:p>
        </w:tc>
        <w:tc>
          <w:tcPr>
            <w:tcW w:w="876" w:type="dxa"/>
            <w:shd w:val="clear" w:color="auto" w:fill="auto"/>
            <w:vAlign w:val="center"/>
          </w:tcPr>
          <w:p w14:paraId="1E8C3BDB" w14:textId="26C60B66" w:rsidR="00F12B5A" w:rsidRDefault="00F12B5A" w:rsidP="00F12B5A">
            <w:pPr>
              <w:pStyle w:val="DHHStabletext"/>
              <w:jc w:val="center"/>
            </w:pPr>
            <w:r w:rsidRPr="00FD122C">
              <w:rPr>
                <w:lang w:eastAsia="en-AU"/>
              </w:rPr>
              <w:t>0.47</w:t>
            </w:r>
          </w:p>
        </w:tc>
      </w:tr>
      <w:tr w:rsidR="00317DD5" w14:paraId="05D32426" w14:textId="77777777" w:rsidTr="00317DD5">
        <w:tc>
          <w:tcPr>
            <w:tcW w:w="2983" w:type="dxa"/>
            <w:shd w:val="clear" w:color="auto" w:fill="auto"/>
            <w:vAlign w:val="center"/>
          </w:tcPr>
          <w:p w14:paraId="616411EE" w14:textId="6B7411E2" w:rsidR="00F12B5A" w:rsidRPr="00F12B5A" w:rsidRDefault="00F12B5A" w:rsidP="00F12B5A">
            <w:pPr>
              <w:pStyle w:val="DHHStabletext"/>
            </w:pPr>
            <w:r w:rsidRPr="00F12B5A">
              <w:rPr>
                <w:lang w:eastAsia="en-AU"/>
              </w:rPr>
              <w:t>Office paper</w:t>
            </w:r>
          </w:p>
        </w:tc>
        <w:tc>
          <w:tcPr>
            <w:tcW w:w="845" w:type="dxa"/>
            <w:shd w:val="clear" w:color="auto" w:fill="auto"/>
            <w:vAlign w:val="center"/>
          </w:tcPr>
          <w:p w14:paraId="5710D112" w14:textId="0918784B" w:rsidR="00F12B5A" w:rsidRDefault="00F12B5A" w:rsidP="00F12B5A">
            <w:pPr>
              <w:pStyle w:val="DHHStabletext"/>
              <w:jc w:val="center"/>
            </w:pPr>
            <w:r w:rsidRPr="00FD122C">
              <w:rPr>
                <w:lang w:eastAsia="en-AU"/>
              </w:rPr>
              <w:t>12.5</w:t>
            </w:r>
          </w:p>
        </w:tc>
        <w:tc>
          <w:tcPr>
            <w:tcW w:w="852" w:type="dxa"/>
            <w:shd w:val="clear" w:color="auto" w:fill="auto"/>
            <w:vAlign w:val="center"/>
          </w:tcPr>
          <w:p w14:paraId="45AE270D" w14:textId="0ACB7BD6" w:rsidR="00F12B5A" w:rsidRDefault="00F12B5A" w:rsidP="00F12B5A">
            <w:pPr>
              <w:pStyle w:val="DHHStabletext"/>
              <w:jc w:val="center"/>
            </w:pPr>
            <w:r w:rsidRPr="00FD122C">
              <w:rPr>
                <w:lang w:eastAsia="en-AU"/>
              </w:rPr>
              <w:t>0.46</w:t>
            </w:r>
          </w:p>
        </w:tc>
        <w:tc>
          <w:tcPr>
            <w:tcW w:w="2975" w:type="dxa"/>
            <w:shd w:val="clear" w:color="auto" w:fill="D9D9D9" w:themeFill="background1" w:themeFillShade="D9"/>
            <w:vAlign w:val="center"/>
          </w:tcPr>
          <w:p w14:paraId="2488FF8D" w14:textId="7A345E19" w:rsidR="00F12B5A" w:rsidRDefault="00F12B5A" w:rsidP="00F12B5A">
            <w:pPr>
              <w:pStyle w:val="DHHStabletext"/>
            </w:pPr>
            <w:r w:rsidRPr="00FD122C">
              <w:rPr>
                <w:lang w:eastAsia="en-AU"/>
              </w:rPr>
              <w:t>Single</w:t>
            </w:r>
            <w:r>
              <w:rPr>
                <w:lang w:eastAsia="en-AU"/>
              </w:rPr>
              <w:t>-</w:t>
            </w:r>
            <w:r w:rsidRPr="00FD122C">
              <w:rPr>
                <w:lang w:eastAsia="en-AU"/>
              </w:rPr>
              <w:t>use linen, blue towel</w:t>
            </w:r>
          </w:p>
        </w:tc>
        <w:tc>
          <w:tcPr>
            <w:tcW w:w="875" w:type="dxa"/>
            <w:shd w:val="clear" w:color="auto" w:fill="D9D9D9" w:themeFill="background1" w:themeFillShade="D9"/>
            <w:vAlign w:val="center"/>
          </w:tcPr>
          <w:p w14:paraId="36C091C6" w14:textId="16B00FD7" w:rsidR="00F12B5A" w:rsidRDefault="00F12B5A" w:rsidP="00F12B5A">
            <w:pPr>
              <w:pStyle w:val="DHHStabletext"/>
              <w:jc w:val="center"/>
            </w:pPr>
            <w:r w:rsidRPr="00FD122C">
              <w:rPr>
                <w:lang w:eastAsia="en-AU"/>
              </w:rPr>
              <w:t>10.7</w:t>
            </w:r>
          </w:p>
        </w:tc>
        <w:tc>
          <w:tcPr>
            <w:tcW w:w="876" w:type="dxa"/>
            <w:shd w:val="clear" w:color="auto" w:fill="D9D9D9" w:themeFill="background1" w:themeFillShade="D9"/>
            <w:vAlign w:val="center"/>
          </w:tcPr>
          <w:p w14:paraId="451D0845" w14:textId="7B5C5F07" w:rsidR="00F12B5A" w:rsidRDefault="00F12B5A" w:rsidP="00F12B5A">
            <w:pPr>
              <w:pStyle w:val="DHHStabletext"/>
              <w:jc w:val="center"/>
            </w:pPr>
            <w:r w:rsidRPr="00FD122C">
              <w:rPr>
                <w:lang w:eastAsia="en-AU"/>
              </w:rPr>
              <w:t>0.37</w:t>
            </w:r>
          </w:p>
        </w:tc>
      </w:tr>
      <w:tr w:rsidR="00F12B5A" w14:paraId="0117EA2F" w14:textId="77777777" w:rsidTr="00317DD5">
        <w:tc>
          <w:tcPr>
            <w:tcW w:w="2983" w:type="dxa"/>
            <w:shd w:val="clear" w:color="auto" w:fill="auto"/>
            <w:vAlign w:val="center"/>
          </w:tcPr>
          <w:p w14:paraId="1F411DAE" w14:textId="5EDEFC9E" w:rsidR="00F12B5A" w:rsidRPr="00F12B5A" w:rsidRDefault="00F12B5A" w:rsidP="00F12B5A">
            <w:pPr>
              <w:pStyle w:val="DHHStabletext"/>
            </w:pPr>
            <w:r w:rsidRPr="00F12B5A">
              <w:rPr>
                <w:lang w:eastAsia="en-AU"/>
              </w:rPr>
              <w:t>Mattresses</w:t>
            </w:r>
          </w:p>
        </w:tc>
        <w:tc>
          <w:tcPr>
            <w:tcW w:w="845" w:type="dxa"/>
            <w:shd w:val="clear" w:color="auto" w:fill="auto"/>
            <w:vAlign w:val="center"/>
          </w:tcPr>
          <w:p w14:paraId="201C5D07" w14:textId="3B5A8920" w:rsidR="00F12B5A" w:rsidRDefault="00F12B5A" w:rsidP="00F12B5A">
            <w:pPr>
              <w:pStyle w:val="DHHStabletext"/>
              <w:jc w:val="center"/>
            </w:pPr>
            <w:r w:rsidRPr="00FD122C">
              <w:rPr>
                <w:lang w:eastAsia="en-AU"/>
              </w:rPr>
              <w:t>10.8</w:t>
            </w:r>
          </w:p>
        </w:tc>
        <w:tc>
          <w:tcPr>
            <w:tcW w:w="852" w:type="dxa"/>
            <w:shd w:val="clear" w:color="auto" w:fill="auto"/>
            <w:vAlign w:val="center"/>
          </w:tcPr>
          <w:p w14:paraId="7B298D96" w14:textId="1B4B55F0" w:rsidR="00F12B5A" w:rsidRDefault="00F12B5A" w:rsidP="00F12B5A">
            <w:pPr>
              <w:pStyle w:val="DHHStabletext"/>
              <w:jc w:val="center"/>
            </w:pPr>
            <w:r w:rsidRPr="00FD122C">
              <w:rPr>
                <w:lang w:eastAsia="en-AU"/>
              </w:rPr>
              <w:t>0.40</w:t>
            </w:r>
          </w:p>
        </w:tc>
        <w:tc>
          <w:tcPr>
            <w:tcW w:w="2975" w:type="dxa"/>
            <w:shd w:val="clear" w:color="auto" w:fill="D9D9D9" w:themeFill="background1" w:themeFillShade="D9"/>
            <w:vAlign w:val="center"/>
          </w:tcPr>
          <w:p w14:paraId="0429AE9A" w14:textId="460ADAB8" w:rsidR="00F12B5A" w:rsidRDefault="00F12B5A" w:rsidP="00F12B5A">
            <w:pPr>
              <w:pStyle w:val="DHHStabletext"/>
            </w:pPr>
            <w:r w:rsidRPr="00FD122C">
              <w:rPr>
                <w:lang w:eastAsia="en-AU"/>
              </w:rPr>
              <w:t>Powered medical devices</w:t>
            </w:r>
          </w:p>
        </w:tc>
        <w:tc>
          <w:tcPr>
            <w:tcW w:w="875" w:type="dxa"/>
            <w:shd w:val="clear" w:color="auto" w:fill="D9D9D9" w:themeFill="background1" w:themeFillShade="D9"/>
            <w:vAlign w:val="center"/>
          </w:tcPr>
          <w:p w14:paraId="4E1C0E34" w14:textId="21B68B07" w:rsidR="00F12B5A" w:rsidRDefault="00F12B5A" w:rsidP="00F12B5A">
            <w:pPr>
              <w:pStyle w:val="DHHStabletext"/>
              <w:jc w:val="center"/>
            </w:pPr>
            <w:r w:rsidRPr="00FD122C">
              <w:rPr>
                <w:lang w:eastAsia="en-AU"/>
              </w:rPr>
              <w:t>8.75</w:t>
            </w:r>
          </w:p>
        </w:tc>
        <w:tc>
          <w:tcPr>
            <w:tcW w:w="876" w:type="dxa"/>
            <w:shd w:val="clear" w:color="auto" w:fill="D9D9D9" w:themeFill="background1" w:themeFillShade="D9"/>
            <w:vAlign w:val="center"/>
          </w:tcPr>
          <w:p w14:paraId="2559CCF0" w14:textId="73004C34" w:rsidR="00F12B5A" w:rsidRDefault="00F12B5A" w:rsidP="00F12B5A">
            <w:pPr>
              <w:pStyle w:val="DHHStabletext"/>
              <w:jc w:val="center"/>
            </w:pPr>
            <w:r w:rsidRPr="00FD122C">
              <w:rPr>
                <w:lang w:eastAsia="en-AU"/>
              </w:rPr>
              <w:t>0.30</w:t>
            </w:r>
          </w:p>
        </w:tc>
      </w:tr>
      <w:tr w:rsidR="00F12B5A" w14:paraId="68EE3711" w14:textId="77777777" w:rsidTr="00317DD5">
        <w:tc>
          <w:tcPr>
            <w:tcW w:w="2983" w:type="dxa"/>
            <w:shd w:val="clear" w:color="auto" w:fill="auto"/>
            <w:vAlign w:val="center"/>
          </w:tcPr>
          <w:p w14:paraId="4D4F9DA7" w14:textId="2B8E1A6F" w:rsidR="00F12B5A" w:rsidRPr="00F12B5A" w:rsidRDefault="00F12B5A" w:rsidP="00F12B5A">
            <w:pPr>
              <w:pStyle w:val="DHHStabletext"/>
            </w:pPr>
            <w:r w:rsidRPr="00F12B5A">
              <w:rPr>
                <w:lang w:eastAsia="en-AU"/>
              </w:rPr>
              <w:t>Computers/monitors/printers</w:t>
            </w:r>
          </w:p>
        </w:tc>
        <w:tc>
          <w:tcPr>
            <w:tcW w:w="845" w:type="dxa"/>
            <w:shd w:val="clear" w:color="auto" w:fill="auto"/>
            <w:vAlign w:val="center"/>
          </w:tcPr>
          <w:p w14:paraId="025FDDF9" w14:textId="342C8C57" w:rsidR="00F12B5A" w:rsidRDefault="00F12B5A" w:rsidP="00F12B5A">
            <w:pPr>
              <w:pStyle w:val="DHHStabletext"/>
              <w:jc w:val="center"/>
            </w:pPr>
            <w:r w:rsidRPr="00FD122C">
              <w:rPr>
                <w:lang w:eastAsia="en-AU"/>
              </w:rPr>
              <w:t>10.4</w:t>
            </w:r>
          </w:p>
        </w:tc>
        <w:tc>
          <w:tcPr>
            <w:tcW w:w="852" w:type="dxa"/>
            <w:shd w:val="clear" w:color="auto" w:fill="auto"/>
            <w:vAlign w:val="center"/>
          </w:tcPr>
          <w:p w14:paraId="32D345D1" w14:textId="2C10A944" w:rsidR="00F12B5A" w:rsidRDefault="00F12B5A" w:rsidP="00F12B5A">
            <w:pPr>
              <w:pStyle w:val="DHHStabletext"/>
              <w:jc w:val="center"/>
            </w:pPr>
            <w:r w:rsidRPr="00FD122C">
              <w:rPr>
                <w:lang w:eastAsia="en-AU"/>
              </w:rPr>
              <w:t>0.39</w:t>
            </w:r>
          </w:p>
        </w:tc>
        <w:tc>
          <w:tcPr>
            <w:tcW w:w="2975" w:type="dxa"/>
            <w:shd w:val="clear" w:color="auto" w:fill="auto"/>
          </w:tcPr>
          <w:p w14:paraId="6E2A2AC8" w14:textId="77777777" w:rsidR="00F12B5A" w:rsidRDefault="00F12B5A" w:rsidP="00F12B5A">
            <w:pPr>
              <w:pStyle w:val="DHHSbody"/>
            </w:pPr>
          </w:p>
        </w:tc>
        <w:tc>
          <w:tcPr>
            <w:tcW w:w="875" w:type="dxa"/>
            <w:shd w:val="clear" w:color="auto" w:fill="auto"/>
            <w:vAlign w:val="center"/>
          </w:tcPr>
          <w:p w14:paraId="62B832EA" w14:textId="77777777" w:rsidR="00F12B5A" w:rsidRPr="00FD122C" w:rsidRDefault="00F12B5A" w:rsidP="00F12B5A">
            <w:pPr>
              <w:pStyle w:val="DHHSbody"/>
              <w:jc w:val="center"/>
              <w:rPr>
                <w:lang w:eastAsia="en-AU"/>
              </w:rPr>
            </w:pPr>
          </w:p>
        </w:tc>
        <w:tc>
          <w:tcPr>
            <w:tcW w:w="876" w:type="dxa"/>
            <w:shd w:val="clear" w:color="auto" w:fill="auto"/>
            <w:vAlign w:val="center"/>
          </w:tcPr>
          <w:p w14:paraId="4F862960" w14:textId="77777777" w:rsidR="00F12B5A" w:rsidRPr="00FD122C" w:rsidRDefault="00F12B5A" w:rsidP="00F12B5A">
            <w:pPr>
              <w:pStyle w:val="DHHSbody"/>
              <w:jc w:val="center"/>
              <w:rPr>
                <w:lang w:eastAsia="en-AU"/>
              </w:rPr>
            </w:pPr>
          </w:p>
        </w:tc>
      </w:tr>
      <w:tr w:rsidR="00F12B5A" w14:paraId="44C9ED21" w14:textId="77777777" w:rsidTr="00317DD5">
        <w:tc>
          <w:tcPr>
            <w:tcW w:w="2983" w:type="dxa"/>
            <w:shd w:val="clear" w:color="auto" w:fill="auto"/>
            <w:vAlign w:val="center"/>
          </w:tcPr>
          <w:p w14:paraId="2CD3ED81" w14:textId="0598D06C" w:rsidR="00F12B5A" w:rsidRPr="00F12B5A" w:rsidRDefault="00F12B5A" w:rsidP="00F12B5A">
            <w:pPr>
              <w:pStyle w:val="DHHStabletext"/>
            </w:pPr>
            <w:r w:rsidRPr="00F12B5A">
              <w:rPr>
                <w:lang w:eastAsia="en-AU"/>
              </w:rPr>
              <w:t>Furniture</w:t>
            </w:r>
          </w:p>
        </w:tc>
        <w:tc>
          <w:tcPr>
            <w:tcW w:w="845" w:type="dxa"/>
            <w:shd w:val="clear" w:color="auto" w:fill="auto"/>
            <w:vAlign w:val="center"/>
          </w:tcPr>
          <w:p w14:paraId="594B34E5" w14:textId="163A705F" w:rsidR="00F12B5A" w:rsidRDefault="00F12B5A" w:rsidP="00F12B5A">
            <w:pPr>
              <w:pStyle w:val="DHHStabletext"/>
              <w:jc w:val="center"/>
            </w:pPr>
            <w:r w:rsidRPr="00FD122C">
              <w:rPr>
                <w:lang w:eastAsia="en-AU"/>
              </w:rPr>
              <w:t>9.8</w:t>
            </w:r>
          </w:p>
        </w:tc>
        <w:tc>
          <w:tcPr>
            <w:tcW w:w="852" w:type="dxa"/>
            <w:shd w:val="clear" w:color="auto" w:fill="auto"/>
            <w:vAlign w:val="center"/>
          </w:tcPr>
          <w:p w14:paraId="35391686" w14:textId="5AF597BE" w:rsidR="00F12B5A" w:rsidRDefault="00F12B5A" w:rsidP="00F12B5A">
            <w:pPr>
              <w:pStyle w:val="DHHStabletext"/>
              <w:jc w:val="center"/>
            </w:pPr>
            <w:r w:rsidRPr="00FD122C">
              <w:rPr>
                <w:lang w:eastAsia="en-AU"/>
              </w:rPr>
              <w:t>0.36</w:t>
            </w:r>
          </w:p>
        </w:tc>
        <w:tc>
          <w:tcPr>
            <w:tcW w:w="2975" w:type="dxa"/>
            <w:shd w:val="clear" w:color="auto" w:fill="auto"/>
          </w:tcPr>
          <w:p w14:paraId="6A21EAA5" w14:textId="77777777" w:rsidR="00F12B5A" w:rsidRDefault="00F12B5A" w:rsidP="00F12B5A">
            <w:pPr>
              <w:pStyle w:val="DHHSbody"/>
            </w:pPr>
          </w:p>
        </w:tc>
        <w:tc>
          <w:tcPr>
            <w:tcW w:w="875" w:type="dxa"/>
            <w:shd w:val="clear" w:color="auto" w:fill="auto"/>
            <w:vAlign w:val="center"/>
          </w:tcPr>
          <w:p w14:paraId="32339F39" w14:textId="77777777" w:rsidR="00F12B5A" w:rsidRPr="00FD122C" w:rsidRDefault="00F12B5A" w:rsidP="00F12B5A">
            <w:pPr>
              <w:pStyle w:val="DHHSbody"/>
              <w:jc w:val="center"/>
              <w:rPr>
                <w:lang w:eastAsia="en-AU"/>
              </w:rPr>
            </w:pPr>
          </w:p>
        </w:tc>
        <w:tc>
          <w:tcPr>
            <w:tcW w:w="876" w:type="dxa"/>
            <w:shd w:val="clear" w:color="auto" w:fill="auto"/>
            <w:vAlign w:val="center"/>
          </w:tcPr>
          <w:p w14:paraId="01701B0A" w14:textId="77777777" w:rsidR="00F12B5A" w:rsidRPr="00FD122C" w:rsidRDefault="00F12B5A" w:rsidP="00F12B5A">
            <w:pPr>
              <w:pStyle w:val="DHHSbody"/>
              <w:jc w:val="center"/>
              <w:rPr>
                <w:lang w:eastAsia="en-AU"/>
              </w:rPr>
            </w:pPr>
          </w:p>
        </w:tc>
      </w:tr>
      <w:tr w:rsidR="00F12B5A" w14:paraId="4ABA5135" w14:textId="77777777" w:rsidTr="00317DD5">
        <w:tc>
          <w:tcPr>
            <w:tcW w:w="2983" w:type="dxa"/>
            <w:shd w:val="clear" w:color="auto" w:fill="auto"/>
            <w:vAlign w:val="center"/>
          </w:tcPr>
          <w:p w14:paraId="7CB49202" w14:textId="52806645" w:rsidR="00F12B5A" w:rsidRPr="00F12B5A" w:rsidRDefault="00F12B5A" w:rsidP="00F12B5A">
            <w:pPr>
              <w:pStyle w:val="DHHStabletext"/>
            </w:pPr>
            <w:r w:rsidRPr="00F12B5A">
              <w:rPr>
                <w:lang w:eastAsia="en-AU"/>
              </w:rPr>
              <w:t>Toner and print cartridges</w:t>
            </w:r>
          </w:p>
        </w:tc>
        <w:tc>
          <w:tcPr>
            <w:tcW w:w="845" w:type="dxa"/>
            <w:shd w:val="clear" w:color="auto" w:fill="auto"/>
            <w:vAlign w:val="center"/>
          </w:tcPr>
          <w:p w14:paraId="36525FD9" w14:textId="1ACB4CCF" w:rsidR="00F12B5A" w:rsidRDefault="00F12B5A" w:rsidP="00F12B5A">
            <w:pPr>
              <w:pStyle w:val="DHHStabletext"/>
              <w:jc w:val="center"/>
            </w:pPr>
            <w:r w:rsidRPr="00FD122C">
              <w:rPr>
                <w:lang w:eastAsia="en-AU"/>
              </w:rPr>
              <w:t>9.5</w:t>
            </w:r>
          </w:p>
        </w:tc>
        <w:tc>
          <w:tcPr>
            <w:tcW w:w="852" w:type="dxa"/>
            <w:shd w:val="clear" w:color="auto" w:fill="auto"/>
            <w:vAlign w:val="center"/>
          </w:tcPr>
          <w:p w14:paraId="1133CABF" w14:textId="044E738D" w:rsidR="00F12B5A" w:rsidRDefault="00F12B5A" w:rsidP="00F12B5A">
            <w:pPr>
              <w:pStyle w:val="DHHStabletext"/>
              <w:jc w:val="center"/>
            </w:pPr>
            <w:r w:rsidRPr="00FD122C">
              <w:rPr>
                <w:lang w:eastAsia="en-AU"/>
              </w:rPr>
              <w:t>0.35</w:t>
            </w:r>
          </w:p>
        </w:tc>
        <w:tc>
          <w:tcPr>
            <w:tcW w:w="2975" w:type="dxa"/>
            <w:shd w:val="clear" w:color="auto" w:fill="auto"/>
          </w:tcPr>
          <w:p w14:paraId="0AF5BCBC" w14:textId="77777777" w:rsidR="00F12B5A" w:rsidRDefault="00F12B5A" w:rsidP="00F12B5A">
            <w:pPr>
              <w:pStyle w:val="DHHSbody"/>
            </w:pPr>
          </w:p>
        </w:tc>
        <w:tc>
          <w:tcPr>
            <w:tcW w:w="875" w:type="dxa"/>
            <w:shd w:val="clear" w:color="auto" w:fill="auto"/>
            <w:vAlign w:val="center"/>
          </w:tcPr>
          <w:p w14:paraId="10562662" w14:textId="77777777" w:rsidR="00F12B5A" w:rsidRPr="00FD122C" w:rsidRDefault="00F12B5A" w:rsidP="00F12B5A">
            <w:pPr>
              <w:pStyle w:val="DHHSbody"/>
              <w:jc w:val="center"/>
              <w:rPr>
                <w:lang w:eastAsia="en-AU"/>
              </w:rPr>
            </w:pPr>
          </w:p>
        </w:tc>
        <w:tc>
          <w:tcPr>
            <w:tcW w:w="876" w:type="dxa"/>
            <w:shd w:val="clear" w:color="auto" w:fill="auto"/>
            <w:vAlign w:val="center"/>
          </w:tcPr>
          <w:p w14:paraId="540B25E9" w14:textId="77777777" w:rsidR="00F12B5A" w:rsidRPr="00FD122C" w:rsidRDefault="00F12B5A" w:rsidP="00F12B5A">
            <w:pPr>
              <w:pStyle w:val="DHHSbody"/>
              <w:jc w:val="center"/>
              <w:rPr>
                <w:lang w:eastAsia="en-AU"/>
              </w:rPr>
            </w:pPr>
          </w:p>
        </w:tc>
      </w:tr>
      <w:tr w:rsidR="00F12B5A" w14:paraId="122A428F" w14:textId="77777777" w:rsidTr="00317DD5">
        <w:tc>
          <w:tcPr>
            <w:tcW w:w="2983" w:type="dxa"/>
            <w:shd w:val="clear" w:color="auto" w:fill="D9D9D9" w:themeFill="background1" w:themeFillShade="D9"/>
            <w:vAlign w:val="center"/>
          </w:tcPr>
          <w:p w14:paraId="76A62C03" w14:textId="22E05742" w:rsidR="00F12B5A" w:rsidRPr="00F12B5A" w:rsidRDefault="00F12B5A" w:rsidP="00F12B5A">
            <w:pPr>
              <w:pStyle w:val="DHHStabletext"/>
            </w:pPr>
            <w:r w:rsidRPr="00F12B5A">
              <w:rPr>
                <w:lang w:eastAsia="en-AU"/>
              </w:rPr>
              <w:t>Fluorescent tubes</w:t>
            </w:r>
          </w:p>
        </w:tc>
        <w:tc>
          <w:tcPr>
            <w:tcW w:w="845" w:type="dxa"/>
            <w:shd w:val="clear" w:color="auto" w:fill="D9D9D9" w:themeFill="background1" w:themeFillShade="D9"/>
            <w:vAlign w:val="center"/>
          </w:tcPr>
          <w:p w14:paraId="5FF378CE" w14:textId="50B38D3D" w:rsidR="00F12B5A" w:rsidRDefault="00F12B5A" w:rsidP="00F12B5A">
            <w:pPr>
              <w:pStyle w:val="DHHStabletext"/>
              <w:jc w:val="center"/>
            </w:pPr>
            <w:r w:rsidRPr="00FD122C">
              <w:rPr>
                <w:lang w:eastAsia="en-AU"/>
              </w:rPr>
              <w:t>6.8</w:t>
            </w:r>
          </w:p>
        </w:tc>
        <w:tc>
          <w:tcPr>
            <w:tcW w:w="852" w:type="dxa"/>
            <w:shd w:val="clear" w:color="auto" w:fill="D9D9D9" w:themeFill="background1" w:themeFillShade="D9"/>
            <w:vAlign w:val="center"/>
          </w:tcPr>
          <w:p w14:paraId="1A6E717F" w14:textId="133E2CAA" w:rsidR="00F12B5A" w:rsidRDefault="00F12B5A" w:rsidP="00F12B5A">
            <w:pPr>
              <w:pStyle w:val="DHHStabletext"/>
              <w:jc w:val="center"/>
            </w:pPr>
            <w:r w:rsidRPr="00FD122C">
              <w:rPr>
                <w:lang w:eastAsia="en-AU"/>
              </w:rPr>
              <w:t>0.25</w:t>
            </w:r>
          </w:p>
        </w:tc>
        <w:tc>
          <w:tcPr>
            <w:tcW w:w="2975" w:type="dxa"/>
            <w:shd w:val="clear" w:color="auto" w:fill="auto"/>
          </w:tcPr>
          <w:p w14:paraId="1A04D5E1" w14:textId="77777777" w:rsidR="00F12B5A" w:rsidRDefault="00F12B5A" w:rsidP="00F12B5A">
            <w:pPr>
              <w:pStyle w:val="DHHSbody"/>
            </w:pPr>
          </w:p>
        </w:tc>
        <w:tc>
          <w:tcPr>
            <w:tcW w:w="875" w:type="dxa"/>
            <w:shd w:val="clear" w:color="auto" w:fill="auto"/>
            <w:vAlign w:val="center"/>
          </w:tcPr>
          <w:p w14:paraId="468DC9D1" w14:textId="77777777" w:rsidR="00F12B5A" w:rsidRPr="00FD122C" w:rsidRDefault="00F12B5A" w:rsidP="00F12B5A">
            <w:pPr>
              <w:pStyle w:val="DHHSbody"/>
              <w:jc w:val="center"/>
              <w:rPr>
                <w:lang w:eastAsia="en-AU"/>
              </w:rPr>
            </w:pPr>
          </w:p>
        </w:tc>
        <w:tc>
          <w:tcPr>
            <w:tcW w:w="876" w:type="dxa"/>
            <w:shd w:val="clear" w:color="auto" w:fill="auto"/>
            <w:vAlign w:val="center"/>
          </w:tcPr>
          <w:p w14:paraId="48842FCA" w14:textId="77777777" w:rsidR="00F12B5A" w:rsidRPr="00FD122C" w:rsidRDefault="00F12B5A" w:rsidP="00F12B5A">
            <w:pPr>
              <w:pStyle w:val="DHHSbody"/>
              <w:jc w:val="center"/>
              <w:rPr>
                <w:lang w:eastAsia="en-AU"/>
              </w:rPr>
            </w:pPr>
          </w:p>
        </w:tc>
      </w:tr>
      <w:tr w:rsidR="00F12B5A" w14:paraId="58194AD2" w14:textId="77777777" w:rsidTr="00317DD5">
        <w:tc>
          <w:tcPr>
            <w:tcW w:w="2983" w:type="dxa"/>
            <w:shd w:val="clear" w:color="auto" w:fill="D9D9D9" w:themeFill="background1" w:themeFillShade="D9"/>
            <w:vAlign w:val="center"/>
          </w:tcPr>
          <w:p w14:paraId="0C5FFBB1" w14:textId="138051ED" w:rsidR="00F12B5A" w:rsidRPr="00F12B5A" w:rsidRDefault="00F12B5A" w:rsidP="00F12B5A">
            <w:pPr>
              <w:pStyle w:val="DHHStabletext"/>
            </w:pPr>
            <w:r w:rsidRPr="00F12B5A">
              <w:rPr>
                <w:lang w:eastAsia="en-AU"/>
              </w:rPr>
              <w:t>Confidential documents</w:t>
            </w:r>
          </w:p>
        </w:tc>
        <w:tc>
          <w:tcPr>
            <w:tcW w:w="845" w:type="dxa"/>
            <w:shd w:val="clear" w:color="auto" w:fill="D9D9D9" w:themeFill="background1" w:themeFillShade="D9"/>
            <w:vAlign w:val="center"/>
          </w:tcPr>
          <w:p w14:paraId="5947651B" w14:textId="53441E85" w:rsidR="00F12B5A" w:rsidRDefault="00F12B5A" w:rsidP="00F12B5A">
            <w:pPr>
              <w:pStyle w:val="DHHStabletext"/>
              <w:jc w:val="center"/>
            </w:pPr>
            <w:r w:rsidRPr="00FD122C">
              <w:rPr>
                <w:lang w:eastAsia="en-AU"/>
              </w:rPr>
              <w:t>6.2</w:t>
            </w:r>
          </w:p>
        </w:tc>
        <w:tc>
          <w:tcPr>
            <w:tcW w:w="852" w:type="dxa"/>
            <w:shd w:val="clear" w:color="auto" w:fill="D9D9D9" w:themeFill="background1" w:themeFillShade="D9"/>
            <w:vAlign w:val="center"/>
          </w:tcPr>
          <w:p w14:paraId="22FE924E" w14:textId="7753A6F6" w:rsidR="00F12B5A" w:rsidRDefault="00F12B5A" w:rsidP="00F12B5A">
            <w:pPr>
              <w:pStyle w:val="DHHStabletext"/>
              <w:jc w:val="center"/>
            </w:pPr>
            <w:r w:rsidRPr="00FD122C">
              <w:rPr>
                <w:lang w:eastAsia="en-AU"/>
              </w:rPr>
              <w:t>0.23</w:t>
            </w:r>
          </w:p>
        </w:tc>
        <w:tc>
          <w:tcPr>
            <w:tcW w:w="2975" w:type="dxa"/>
            <w:shd w:val="clear" w:color="auto" w:fill="auto"/>
          </w:tcPr>
          <w:p w14:paraId="1B3F777B" w14:textId="77777777" w:rsidR="00F12B5A" w:rsidRDefault="00F12B5A" w:rsidP="00F12B5A">
            <w:pPr>
              <w:pStyle w:val="DHHSbody"/>
            </w:pPr>
          </w:p>
        </w:tc>
        <w:tc>
          <w:tcPr>
            <w:tcW w:w="875" w:type="dxa"/>
            <w:shd w:val="clear" w:color="auto" w:fill="auto"/>
            <w:vAlign w:val="center"/>
          </w:tcPr>
          <w:p w14:paraId="6CD7658D" w14:textId="77777777" w:rsidR="00F12B5A" w:rsidRPr="00FD122C" w:rsidRDefault="00F12B5A" w:rsidP="00F12B5A">
            <w:pPr>
              <w:pStyle w:val="DHHSbody"/>
              <w:jc w:val="center"/>
              <w:rPr>
                <w:lang w:eastAsia="en-AU"/>
              </w:rPr>
            </w:pPr>
          </w:p>
        </w:tc>
        <w:tc>
          <w:tcPr>
            <w:tcW w:w="876" w:type="dxa"/>
            <w:shd w:val="clear" w:color="auto" w:fill="auto"/>
            <w:vAlign w:val="center"/>
          </w:tcPr>
          <w:p w14:paraId="1E5FB116" w14:textId="77777777" w:rsidR="00F12B5A" w:rsidRPr="00FD122C" w:rsidRDefault="00F12B5A" w:rsidP="00F12B5A">
            <w:pPr>
              <w:pStyle w:val="DHHSbody"/>
              <w:jc w:val="center"/>
              <w:rPr>
                <w:lang w:eastAsia="en-AU"/>
              </w:rPr>
            </w:pPr>
          </w:p>
        </w:tc>
      </w:tr>
      <w:tr w:rsidR="00F12B5A" w14:paraId="39FF9BC9" w14:textId="77777777" w:rsidTr="00317DD5">
        <w:tc>
          <w:tcPr>
            <w:tcW w:w="2983" w:type="dxa"/>
            <w:shd w:val="clear" w:color="auto" w:fill="D9D9D9" w:themeFill="background1" w:themeFillShade="D9"/>
            <w:vAlign w:val="center"/>
          </w:tcPr>
          <w:p w14:paraId="63439EF1" w14:textId="3CD3A77F" w:rsidR="00F12B5A" w:rsidRPr="00F12B5A" w:rsidRDefault="00F12B5A" w:rsidP="00F12B5A">
            <w:pPr>
              <w:pStyle w:val="DHHStabletext"/>
            </w:pPr>
            <w:r w:rsidRPr="00F12B5A">
              <w:rPr>
                <w:lang w:eastAsia="en-AU"/>
              </w:rPr>
              <w:t>Wood</w:t>
            </w:r>
          </w:p>
        </w:tc>
        <w:tc>
          <w:tcPr>
            <w:tcW w:w="845" w:type="dxa"/>
            <w:shd w:val="clear" w:color="auto" w:fill="D9D9D9" w:themeFill="background1" w:themeFillShade="D9"/>
            <w:vAlign w:val="center"/>
          </w:tcPr>
          <w:p w14:paraId="34355C58" w14:textId="5F39129E" w:rsidR="00F12B5A" w:rsidRDefault="00F12B5A" w:rsidP="00F12B5A">
            <w:pPr>
              <w:pStyle w:val="DHHStabletext"/>
              <w:jc w:val="center"/>
            </w:pPr>
            <w:r w:rsidRPr="00FD122C">
              <w:rPr>
                <w:lang w:eastAsia="en-AU"/>
              </w:rPr>
              <w:t>5.1</w:t>
            </w:r>
          </w:p>
        </w:tc>
        <w:tc>
          <w:tcPr>
            <w:tcW w:w="852" w:type="dxa"/>
            <w:shd w:val="clear" w:color="auto" w:fill="D9D9D9" w:themeFill="background1" w:themeFillShade="D9"/>
            <w:vAlign w:val="center"/>
          </w:tcPr>
          <w:p w14:paraId="7E2458CF" w14:textId="2B8C1CC7" w:rsidR="00F12B5A" w:rsidRDefault="00F12B5A" w:rsidP="00F12B5A">
            <w:pPr>
              <w:pStyle w:val="DHHStabletext"/>
              <w:jc w:val="center"/>
            </w:pPr>
            <w:r w:rsidRPr="00FD122C">
              <w:rPr>
                <w:lang w:eastAsia="en-AU"/>
              </w:rPr>
              <w:t>0.19</w:t>
            </w:r>
          </w:p>
        </w:tc>
        <w:tc>
          <w:tcPr>
            <w:tcW w:w="2975" w:type="dxa"/>
            <w:shd w:val="clear" w:color="auto" w:fill="auto"/>
          </w:tcPr>
          <w:p w14:paraId="536FE9EB" w14:textId="77777777" w:rsidR="00F12B5A" w:rsidRDefault="00F12B5A" w:rsidP="00F12B5A">
            <w:pPr>
              <w:pStyle w:val="DHHSbody"/>
            </w:pPr>
          </w:p>
        </w:tc>
        <w:tc>
          <w:tcPr>
            <w:tcW w:w="875" w:type="dxa"/>
            <w:shd w:val="clear" w:color="auto" w:fill="auto"/>
            <w:vAlign w:val="center"/>
          </w:tcPr>
          <w:p w14:paraId="076DCBCB" w14:textId="77777777" w:rsidR="00F12B5A" w:rsidRPr="00FD122C" w:rsidRDefault="00F12B5A" w:rsidP="00F12B5A">
            <w:pPr>
              <w:pStyle w:val="DHHSbody"/>
              <w:jc w:val="center"/>
              <w:rPr>
                <w:lang w:eastAsia="en-AU"/>
              </w:rPr>
            </w:pPr>
          </w:p>
        </w:tc>
        <w:tc>
          <w:tcPr>
            <w:tcW w:w="876" w:type="dxa"/>
            <w:shd w:val="clear" w:color="auto" w:fill="auto"/>
            <w:vAlign w:val="center"/>
          </w:tcPr>
          <w:p w14:paraId="1A2FE20C" w14:textId="77777777" w:rsidR="00F12B5A" w:rsidRPr="00FD122C" w:rsidRDefault="00F12B5A" w:rsidP="00F12B5A">
            <w:pPr>
              <w:pStyle w:val="DHHSbody"/>
              <w:jc w:val="center"/>
              <w:rPr>
                <w:lang w:eastAsia="en-AU"/>
              </w:rPr>
            </w:pPr>
          </w:p>
        </w:tc>
      </w:tr>
      <w:tr w:rsidR="00F12B5A" w14:paraId="1F70EE9B" w14:textId="77777777" w:rsidTr="00317DD5">
        <w:tc>
          <w:tcPr>
            <w:tcW w:w="2983" w:type="dxa"/>
            <w:shd w:val="clear" w:color="auto" w:fill="D9D9D9" w:themeFill="background1" w:themeFillShade="D9"/>
            <w:vAlign w:val="center"/>
          </w:tcPr>
          <w:p w14:paraId="36142BBC" w14:textId="1ECD8808" w:rsidR="00F12B5A" w:rsidRPr="00F12B5A" w:rsidRDefault="00F12B5A" w:rsidP="00F12B5A">
            <w:pPr>
              <w:pStyle w:val="DHHStabletext"/>
            </w:pPr>
            <w:r w:rsidRPr="00F12B5A">
              <w:rPr>
                <w:lang w:eastAsia="en-AU"/>
              </w:rPr>
              <w:t>Mobile phones / pagers</w:t>
            </w:r>
          </w:p>
        </w:tc>
        <w:tc>
          <w:tcPr>
            <w:tcW w:w="845" w:type="dxa"/>
            <w:shd w:val="clear" w:color="auto" w:fill="D9D9D9" w:themeFill="background1" w:themeFillShade="D9"/>
            <w:vAlign w:val="center"/>
          </w:tcPr>
          <w:p w14:paraId="3EDEA1B1" w14:textId="3938CEEB" w:rsidR="00F12B5A" w:rsidRDefault="00F12B5A" w:rsidP="00F12B5A">
            <w:pPr>
              <w:pStyle w:val="DHHStabletext"/>
              <w:jc w:val="center"/>
            </w:pPr>
            <w:r w:rsidRPr="00FD122C">
              <w:rPr>
                <w:lang w:eastAsia="en-AU"/>
              </w:rPr>
              <w:t>5.1</w:t>
            </w:r>
          </w:p>
        </w:tc>
        <w:tc>
          <w:tcPr>
            <w:tcW w:w="852" w:type="dxa"/>
            <w:shd w:val="clear" w:color="auto" w:fill="D9D9D9" w:themeFill="background1" w:themeFillShade="D9"/>
            <w:vAlign w:val="center"/>
          </w:tcPr>
          <w:p w14:paraId="7DEDC755" w14:textId="5366D1EE" w:rsidR="00F12B5A" w:rsidRDefault="00F12B5A" w:rsidP="00F12B5A">
            <w:pPr>
              <w:pStyle w:val="DHHStabletext"/>
              <w:jc w:val="center"/>
            </w:pPr>
            <w:r w:rsidRPr="00FD122C">
              <w:rPr>
                <w:lang w:eastAsia="en-AU"/>
              </w:rPr>
              <w:t>0.19</w:t>
            </w:r>
          </w:p>
        </w:tc>
        <w:tc>
          <w:tcPr>
            <w:tcW w:w="2975" w:type="dxa"/>
            <w:shd w:val="clear" w:color="auto" w:fill="auto"/>
          </w:tcPr>
          <w:p w14:paraId="26050563" w14:textId="77777777" w:rsidR="00F12B5A" w:rsidRDefault="00F12B5A" w:rsidP="00F12B5A">
            <w:pPr>
              <w:pStyle w:val="DHHSbody"/>
            </w:pPr>
          </w:p>
        </w:tc>
        <w:tc>
          <w:tcPr>
            <w:tcW w:w="875" w:type="dxa"/>
            <w:shd w:val="clear" w:color="auto" w:fill="auto"/>
            <w:vAlign w:val="center"/>
          </w:tcPr>
          <w:p w14:paraId="29AC6408" w14:textId="77777777" w:rsidR="00F12B5A" w:rsidRPr="00FD122C" w:rsidRDefault="00F12B5A" w:rsidP="00F12B5A">
            <w:pPr>
              <w:pStyle w:val="DHHSbody"/>
              <w:jc w:val="center"/>
              <w:rPr>
                <w:lang w:eastAsia="en-AU"/>
              </w:rPr>
            </w:pPr>
          </w:p>
        </w:tc>
        <w:tc>
          <w:tcPr>
            <w:tcW w:w="876" w:type="dxa"/>
            <w:shd w:val="clear" w:color="auto" w:fill="auto"/>
            <w:vAlign w:val="center"/>
          </w:tcPr>
          <w:p w14:paraId="5586622B" w14:textId="77777777" w:rsidR="00F12B5A" w:rsidRPr="00FD122C" w:rsidRDefault="00F12B5A" w:rsidP="00F12B5A">
            <w:pPr>
              <w:pStyle w:val="DHHSbody"/>
              <w:jc w:val="center"/>
              <w:rPr>
                <w:lang w:eastAsia="en-AU"/>
              </w:rPr>
            </w:pPr>
          </w:p>
        </w:tc>
      </w:tr>
      <w:tr w:rsidR="00F12B5A" w14:paraId="0DA0F1A4" w14:textId="77777777" w:rsidTr="00317DD5">
        <w:tc>
          <w:tcPr>
            <w:tcW w:w="2983" w:type="dxa"/>
            <w:shd w:val="clear" w:color="auto" w:fill="D9D9D9" w:themeFill="background1" w:themeFillShade="D9"/>
            <w:vAlign w:val="center"/>
          </w:tcPr>
          <w:p w14:paraId="7C434F0F" w14:textId="7262C6CA" w:rsidR="00F12B5A" w:rsidRPr="00F12B5A" w:rsidRDefault="00F12B5A" w:rsidP="00F12B5A">
            <w:pPr>
              <w:pStyle w:val="DHHStabletext"/>
              <w:rPr>
                <w:lang w:eastAsia="en-AU"/>
              </w:rPr>
            </w:pPr>
            <w:r w:rsidRPr="00F12B5A">
              <w:rPr>
                <w:lang w:eastAsia="en-AU"/>
              </w:rPr>
              <w:t>Garden organics</w:t>
            </w:r>
          </w:p>
        </w:tc>
        <w:tc>
          <w:tcPr>
            <w:tcW w:w="845" w:type="dxa"/>
            <w:shd w:val="clear" w:color="auto" w:fill="D9D9D9" w:themeFill="background1" w:themeFillShade="D9"/>
          </w:tcPr>
          <w:p w14:paraId="3D3CFEF1" w14:textId="73AD0DBF" w:rsidR="00F12B5A" w:rsidRPr="00FD122C" w:rsidRDefault="00F12B5A" w:rsidP="00F12B5A">
            <w:pPr>
              <w:pStyle w:val="DHHStabletext"/>
              <w:jc w:val="center"/>
              <w:rPr>
                <w:lang w:eastAsia="en-AU"/>
              </w:rPr>
            </w:pPr>
            <w:r w:rsidRPr="00FD122C">
              <w:rPr>
                <w:lang w:eastAsia="en-AU"/>
              </w:rPr>
              <w:t>3.9</w:t>
            </w:r>
          </w:p>
        </w:tc>
        <w:tc>
          <w:tcPr>
            <w:tcW w:w="852" w:type="dxa"/>
            <w:shd w:val="clear" w:color="auto" w:fill="D9D9D9" w:themeFill="background1" w:themeFillShade="D9"/>
          </w:tcPr>
          <w:p w14:paraId="680D2D34" w14:textId="50F554C4" w:rsidR="00F12B5A" w:rsidRPr="00FD122C" w:rsidRDefault="00F12B5A" w:rsidP="00F12B5A">
            <w:pPr>
              <w:pStyle w:val="DHHStabletext"/>
              <w:jc w:val="center"/>
              <w:rPr>
                <w:lang w:eastAsia="en-AU"/>
              </w:rPr>
            </w:pPr>
            <w:r w:rsidRPr="00FD122C">
              <w:rPr>
                <w:lang w:eastAsia="en-AU"/>
              </w:rPr>
              <w:t>0.14</w:t>
            </w:r>
          </w:p>
        </w:tc>
        <w:tc>
          <w:tcPr>
            <w:tcW w:w="2975" w:type="dxa"/>
            <w:shd w:val="clear" w:color="auto" w:fill="auto"/>
          </w:tcPr>
          <w:p w14:paraId="5C8C12EF" w14:textId="77777777" w:rsidR="00F12B5A" w:rsidRDefault="00F12B5A" w:rsidP="00F12B5A">
            <w:pPr>
              <w:pStyle w:val="DHHSbody"/>
            </w:pPr>
          </w:p>
        </w:tc>
        <w:tc>
          <w:tcPr>
            <w:tcW w:w="875" w:type="dxa"/>
            <w:shd w:val="clear" w:color="auto" w:fill="auto"/>
            <w:vAlign w:val="center"/>
          </w:tcPr>
          <w:p w14:paraId="04BF3C03" w14:textId="77777777" w:rsidR="00F12B5A" w:rsidRPr="00FD122C" w:rsidRDefault="00F12B5A" w:rsidP="00F12B5A">
            <w:pPr>
              <w:pStyle w:val="DHHSbody"/>
              <w:jc w:val="center"/>
              <w:rPr>
                <w:lang w:eastAsia="en-AU"/>
              </w:rPr>
            </w:pPr>
          </w:p>
        </w:tc>
        <w:tc>
          <w:tcPr>
            <w:tcW w:w="876" w:type="dxa"/>
            <w:shd w:val="clear" w:color="auto" w:fill="auto"/>
            <w:vAlign w:val="center"/>
          </w:tcPr>
          <w:p w14:paraId="376DE2C2" w14:textId="77777777" w:rsidR="00F12B5A" w:rsidRPr="00FD122C" w:rsidRDefault="00F12B5A" w:rsidP="00F12B5A">
            <w:pPr>
              <w:pStyle w:val="DHHSbody"/>
              <w:jc w:val="center"/>
              <w:rPr>
                <w:lang w:eastAsia="en-AU"/>
              </w:rPr>
            </w:pPr>
          </w:p>
        </w:tc>
      </w:tr>
    </w:tbl>
    <w:p w14:paraId="3A4E9CB9" w14:textId="14E1A60E" w:rsidR="0021405F" w:rsidRDefault="0021405F" w:rsidP="001F062A">
      <w:pPr>
        <w:pStyle w:val="Heading2"/>
      </w:pPr>
      <w:bookmarkStart w:id="38" w:name="_Toc528239321"/>
      <w:r>
        <w:t xml:space="preserve">Priority </w:t>
      </w:r>
      <w:r w:rsidR="0032300D">
        <w:t>l</w:t>
      </w:r>
      <w:r>
        <w:t>ocations</w:t>
      </w:r>
      <w:bookmarkEnd w:id="38"/>
    </w:p>
    <w:p w14:paraId="74DF2558" w14:textId="3D768C3D" w:rsidR="0021405F" w:rsidRDefault="0021405F" w:rsidP="0021405F">
      <w:pPr>
        <w:pStyle w:val="DHHSbody"/>
      </w:pPr>
      <w:r>
        <w:t xml:space="preserve">The survey asked respondents to indicate </w:t>
      </w:r>
      <w:r w:rsidR="00211752">
        <w:t xml:space="preserve">the </w:t>
      </w:r>
      <w:r>
        <w:t xml:space="preserve">locations </w:t>
      </w:r>
      <w:r w:rsidR="00211752">
        <w:t xml:space="preserve">where </w:t>
      </w:r>
      <w:r>
        <w:t xml:space="preserve">they considered </w:t>
      </w:r>
      <w:r w:rsidR="00211752">
        <w:t xml:space="preserve">it most </w:t>
      </w:r>
      <w:r>
        <w:t xml:space="preserve">important to have good waste separation and </w:t>
      </w:r>
      <w:r w:rsidR="00211752">
        <w:t>the</w:t>
      </w:r>
      <w:r>
        <w:t xml:space="preserve"> locations </w:t>
      </w:r>
      <w:r w:rsidR="00211752">
        <w:t xml:space="preserve">where </w:t>
      </w:r>
      <w:r>
        <w:t xml:space="preserve">they considered </w:t>
      </w:r>
      <w:r w:rsidR="00211752">
        <w:t xml:space="preserve">it </w:t>
      </w:r>
      <w:r>
        <w:t>difficult to embed good waste separation.</w:t>
      </w:r>
    </w:p>
    <w:p w14:paraId="2FA88D64" w14:textId="7E95591F" w:rsidR="0021405F" w:rsidRDefault="0021405F" w:rsidP="0021405F">
      <w:pPr>
        <w:pStyle w:val="DHHSbody"/>
      </w:pPr>
      <w:r>
        <w:t>In considering locations that may be the focus of a behaviour change program, locations that were seen as</w:t>
      </w:r>
      <w:r w:rsidRPr="00331EFC">
        <w:t xml:space="preserve"> important and</w:t>
      </w:r>
      <w:r>
        <w:t>/or</w:t>
      </w:r>
      <w:r w:rsidRPr="00331EFC">
        <w:t xml:space="preserve"> difficult</w:t>
      </w:r>
      <w:r>
        <w:t xml:space="preserve"> </w:t>
      </w:r>
      <w:r w:rsidR="00C01915">
        <w:t xml:space="preserve">places </w:t>
      </w:r>
      <w:r>
        <w:t xml:space="preserve">to embed good waste separation were considered relevant. </w:t>
      </w:r>
    </w:p>
    <w:p w14:paraId="704508DF" w14:textId="5BC8CB11" w:rsidR="0021405F" w:rsidRDefault="0021405F" w:rsidP="0021405F">
      <w:pPr>
        <w:pStyle w:val="DHHSbody"/>
      </w:pPr>
      <w:r>
        <w:t>For locations shaded in grey there was only modest recognition of the importance of and/or difficulty in recycling</w:t>
      </w:r>
      <w:r w:rsidR="00C01915">
        <w:t xml:space="preserve"> (see Table 4)</w:t>
      </w:r>
      <w:r>
        <w:t>.</w:t>
      </w:r>
    </w:p>
    <w:p w14:paraId="559FE83A" w14:textId="725EB5F6" w:rsidR="00FD122C" w:rsidRDefault="00FD122C" w:rsidP="00FD122C">
      <w:pPr>
        <w:pStyle w:val="DHHStablecaption"/>
      </w:pPr>
      <w:r w:rsidRPr="00BB5BD8">
        <w:lastRenderedPageBreak/>
        <w:t xml:space="preserve">Table </w:t>
      </w:r>
      <w:r w:rsidR="00C01915">
        <w:t>4</w:t>
      </w:r>
      <w:r w:rsidRPr="00BB5BD8">
        <w:t xml:space="preserve">: </w:t>
      </w:r>
      <w:r>
        <w:t>Combine</w:t>
      </w:r>
      <w:r w:rsidRPr="00BB5BD8">
        <w:t xml:space="preserve"> scores for each location, factoring importance and difficulty response</w:t>
      </w:r>
      <w:r>
        <w:t>s</w:t>
      </w:r>
    </w:p>
    <w:tbl>
      <w:tblPr>
        <w:tblStyle w:val="MediumShading1-Accent4"/>
        <w:tblW w:w="9033" w:type="dxa"/>
        <w:tblInd w:w="108" w:type="dxa"/>
        <w:tblBorders>
          <w:insideV w:val="single" w:sz="8" w:space="0" w:color="F3779E" w:themeColor="accent4" w:themeTint="BF"/>
        </w:tblBorders>
        <w:tblLayout w:type="fixed"/>
        <w:tblLook w:val="04A0" w:firstRow="1" w:lastRow="0" w:firstColumn="1" w:lastColumn="0" w:noHBand="0" w:noVBand="1"/>
      </w:tblPr>
      <w:tblGrid>
        <w:gridCol w:w="2977"/>
        <w:gridCol w:w="921"/>
        <w:gridCol w:w="922"/>
        <w:gridCol w:w="2410"/>
        <w:gridCol w:w="850"/>
        <w:gridCol w:w="953"/>
      </w:tblGrid>
      <w:tr w:rsidR="000A1B09" w:rsidRPr="000A1B09" w14:paraId="41DB4D01" w14:textId="77777777" w:rsidTr="00C51DC9">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977" w:type="dxa"/>
            <w:tcBorders>
              <w:top w:val="none" w:sz="0" w:space="0" w:color="auto"/>
              <w:left w:val="none" w:sz="0" w:space="0" w:color="auto"/>
              <w:bottom w:val="none" w:sz="0" w:space="0" w:color="auto"/>
              <w:right w:val="none" w:sz="0" w:space="0" w:color="auto"/>
            </w:tcBorders>
            <w:shd w:val="clear" w:color="auto" w:fill="auto"/>
            <w:noWrap/>
          </w:tcPr>
          <w:p w14:paraId="559507E8" w14:textId="77777777" w:rsidR="001E141F" w:rsidRPr="000A1B09" w:rsidRDefault="001E141F" w:rsidP="00D74544">
            <w:pPr>
              <w:pStyle w:val="DHHStablecolhead"/>
              <w:rPr>
                <w:b/>
                <w:color w:val="D03061"/>
                <w:lang w:eastAsia="en-AU"/>
              </w:rPr>
            </w:pPr>
            <w:r w:rsidRPr="000A1B09">
              <w:rPr>
                <w:b/>
                <w:color w:val="D03061"/>
                <w:lang w:eastAsia="en-AU"/>
              </w:rPr>
              <w:t>Non-clinical locations</w:t>
            </w:r>
          </w:p>
        </w:tc>
        <w:tc>
          <w:tcPr>
            <w:tcW w:w="921" w:type="dxa"/>
            <w:tcBorders>
              <w:top w:val="none" w:sz="0" w:space="0" w:color="auto"/>
              <w:left w:val="none" w:sz="0" w:space="0" w:color="auto"/>
              <w:bottom w:val="none" w:sz="0" w:space="0" w:color="auto"/>
              <w:right w:val="none" w:sz="0" w:space="0" w:color="auto"/>
            </w:tcBorders>
            <w:shd w:val="clear" w:color="auto" w:fill="auto"/>
            <w:noWrap/>
          </w:tcPr>
          <w:p w14:paraId="515D2633" w14:textId="77777777" w:rsidR="001E141F" w:rsidRPr="000A1B09" w:rsidRDefault="001E141F" w:rsidP="00D74544">
            <w:pPr>
              <w:pStyle w:val="DHHStablecolhead"/>
              <w:cnfStyle w:val="100000000000" w:firstRow="1" w:lastRow="0" w:firstColumn="0" w:lastColumn="0" w:oddVBand="0" w:evenVBand="0" w:oddHBand="0" w:evenHBand="0" w:firstRowFirstColumn="0" w:firstRowLastColumn="0" w:lastRowFirstColumn="0" w:lastRowLastColumn="0"/>
              <w:rPr>
                <w:b/>
                <w:color w:val="D03061"/>
                <w:lang w:eastAsia="en-AU"/>
              </w:rPr>
            </w:pPr>
            <w:r w:rsidRPr="000A1B09">
              <w:rPr>
                <w:b/>
                <w:color w:val="D03061"/>
                <w:lang w:eastAsia="en-AU"/>
              </w:rPr>
              <w:t xml:space="preserve">% </w:t>
            </w:r>
            <w:proofErr w:type="spellStart"/>
            <w:r w:rsidRPr="000A1B09">
              <w:rPr>
                <w:b/>
                <w:color w:val="D03061"/>
                <w:lang w:eastAsia="en-AU"/>
              </w:rPr>
              <w:t>freq</w:t>
            </w:r>
            <w:proofErr w:type="spellEnd"/>
          </w:p>
        </w:tc>
        <w:tc>
          <w:tcPr>
            <w:tcW w:w="922" w:type="dxa"/>
            <w:tcBorders>
              <w:top w:val="none" w:sz="0" w:space="0" w:color="auto"/>
              <w:left w:val="none" w:sz="0" w:space="0" w:color="auto"/>
              <w:bottom w:val="none" w:sz="0" w:space="0" w:color="auto"/>
              <w:right w:val="none" w:sz="0" w:space="0" w:color="auto"/>
            </w:tcBorders>
            <w:shd w:val="clear" w:color="auto" w:fill="auto"/>
            <w:noWrap/>
          </w:tcPr>
          <w:p w14:paraId="7D8F40F9" w14:textId="77777777" w:rsidR="001E141F" w:rsidRPr="000A1B09" w:rsidRDefault="001E141F" w:rsidP="00D74544">
            <w:pPr>
              <w:pStyle w:val="DHHStablecolhead"/>
              <w:cnfStyle w:val="100000000000" w:firstRow="1" w:lastRow="0" w:firstColumn="0" w:lastColumn="0" w:oddVBand="0" w:evenVBand="0" w:oddHBand="0" w:evenHBand="0" w:firstRowFirstColumn="0" w:firstRowLastColumn="0" w:lastRowFirstColumn="0" w:lastRowLastColumn="0"/>
              <w:rPr>
                <w:b/>
                <w:color w:val="D03061"/>
                <w:lang w:eastAsia="en-AU"/>
              </w:rPr>
            </w:pPr>
            <w:r w:rsidRPr="000A1B09">
              <w:rPr>
                <w:b/>
                <w:color w:val="D03061"/>
                <w:lang w:eastAsia="en-AU"/>
              </w:rPr>
              <w:t>Score</w:t>
            </w:r>
          </w:p>
        </w:tc>
        <w:tc>
          <w:tcPr>
            <w:tcW w:w="2410" w:type="dxa"/>
            <w:tcBorders>
              <w:top w:val="none" w:sz="0" w:space="0" w:color="auto"/>
              <w:left w:val="none" w:sz="0" w:space="0" w:color="auto"/>
              <w:bottom w:val="none" w:sz="0" w:space="0" w:color="auto"/>
              <w:right w:val="none" w:sz="0" w:space="0" w:color="auto"/>
            </w:tcBorders>
            <w:shd w:val="clear" w:color="auto" w:fill="auto"/>
            <w:noWrap/>
          </w:tcPr>
          <w:p w14:paraId="7BBC9779" w14:textId="77777777" w:rsidR="001E141F" w:rsidRPr="000A1B09" w:rsidRDefault="001E141F" w:rsidP="00D74544">
            <w:pPr>
              <w:pStyle w:val="DHHStablecolhead"/>
              <w:cnfStyle w:val="100000000000" w:firstRow="1" w:lastRow="0" w:firstColumn="0" w:lastColumn="0" w:oddVBand="0" w:evenVBand="0" w:oddHBand="0" w:evenHBand="0" w:firstRowFirstColumn="0" w:firstRowLastColumn="0" w:lastRowFirstColumn="0" w:lastRowLastColumn="0"/>
              <w:rPr>
                <w:b/>
                <w:bCs w:val="0"/>
                <w:color w:val="D03061"/>
                <w:lang w:eastAsia="en-AU"/>
              </w:rPr>
            </w:pPr>
            <w:r w:rsidRPr="000A1B09">
              <w:rPr>
                <w:b/>
                <w:color w:val="D03061"/>
                <w:lang w:eastAsia="en-AU"/>
              </w:rPr>
              <w:t>Clinical locations</w:t>
            </w:r>
          </w:p>
        </w:tc>
        <w:tc>
          <w:tcPr>
            <w:tcW w:w="850" w:type="dxa"/>
            <w:tcBorders>
              <w:top w:val="none" w:sz="0" w:space="0" w:color="auto"/>
              <w:left w:val="none" w:sz="0" w:space="0" w:color="auto"/>
              <w:bottom w:val="none" w:sz="0" w:space="0" w:color="auto"/>
              <w:right w:val="none" w:sz="0" w:space="0" w:color="auto"/>
            </w:tcBorders>
            <w:shd w:val="clear" w:color="auto" w:fill="auto"/>
          </w:tcPr>
          <w:p w14:paraId="0D0C0973" w14:textId="77777777" w:rsidR="001E141F" w:rsidRPr="000A1B09" w:rsidRDefault="001E141F" w:rsidP="00D74544">
            <w:pPr>
              <w:pStyle w:val="DHHStablecolhead"/>
              <w:cnfStyle w:val="100000000000" w:firstRow="1" w:lastRow="0" w:firstColumn="0" w:lastColumn="0" w:oddVBand="0" w:evenVBand="0" w:oddHBand="0" w:evenHBand="0" w:firstRowFirstColumn="0" w:firstRowLastColumn="0" w:lastRowFirstColumn="0" w:lastRowLastColumn="0"/>
              <w:rPr>
                <w:b/>
                <w:color w:val="D03061"/>
                <w:lang w:eastAsia="en-AU"/>
              </w:rPr>
            </w:pPr>
            <w:r w:rsidRPr="000A1B09">
              <w:rPr>
                <w:b/>
                <w:color w:val="D03061"/>
                <w:lang w:eastAsia="en-AU"/>
              </w:rPr>
              <w:t xml:space="preserve">% </w:t>
            </w:r>
            <w:proofErr w:type="spellStart"/>
            <w:r w:rsidRPr="000A1B09">
              <w:rPr>
                <w:b/>
                <w:color w:val="D03061"/>
                <w:lang w:eastAsia="en-AU"/>
              </w:rPr>
              <w:t>freq</w:t>
            </w:r>
            <w:proofErr w:type="spellEnd"/>
          </w:p>
        </w:tc>
        <w:tc>
          <w:tcPr>
            <w:tcW w:w="953" w:type="dxa"/>
            <w:tcBorders>
              <w:top w:val="none" w:sz="0" w:space="0" w:color="auto"/>
              <w:left w:val="none" w:sz="0" w:space="0" w:color="auto"/>
              <w:bottom w:val="none" w:sz="0" w:space="0" w:color="auto"/>
              <w:right w:val="none" w:sz="0" w:space="0" w:color="auto"/>
            </w:tcBorders>
            <w:shd w:val="clear" w:color="auto" w:fill="auto"/>
            <w:noWrap/>
          </w:tcPr>
          <w:p w14:paraId="21D34A6F" w14:textId="77777777" w:rsidR="001E141F" w:rsidRPr="000A1B09" w:rsidRDefault="001E141F" w:rsidP="00D74544">
            <w:pPr>
              <w:pStyle w:val="DHHStablecolhead"/>
              <w:cnfStyle w:val="100000000000" w:firstRow="1" w:lastRow="0" w:firstColumn="0" w:lastColumn="0" w:oddVBand="0" w:evenVBand="0" w:oddHBand="0" w:evenHBand="0" w:firstRowFirstColumn="0" w:firstRowLastColumn="0" w:lastRowFirstColumn="0" w:lastRowLastColumn="0"/>
              <w:rPr>
                <w:b/>
                <w:color w:val="D03061"/>
                <w:lang w:eastAsia="en-AU"/>
              </w:rPr>
            </w:pPr>
            <w:r w:rsidRPr="000A1B09">
              <w:rPr>
                <w:b/>
                <w:color w:val="D03061"/>
                <w:lang w:eastAsia="en-AU"/>
              </w:rPr>
              <w:t>Score</w:t>
            </w:r>
          </w:p>
        </w:tc>
      </w:tr>
      <w:tr w:rsidR="00D74544" w:rsidRPr="001E141F" w14:paraId="20447DAA" w14:textId="77777777" w:rsidTr="00C5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1526008C" w14:textId="77777777" w:rsidR="001E141F" w:rsidRPr="00245A29" w:rsidRDefault="001E141F" w:rsidP="00C51DC9">
            <w:pPr>
              <w:pStyle w:val="DHHStabletext"/>
              <w:rPr>
                <w:b w:val="0"/>
                <w:lang w:eastAsia="en-AU"/>
              </w:rPr>
            </w:pPr>
            <w:r w:rsidRPr="00245A29">
              <w:rPr>
                <w:b w:val="0"/>
                <w:lang w:eastAsia="en-AU"/>
              </w:rPr>
              <w:t>Cafés and staff cafeterias</w:t>
            </w:r>
          </w:p>
        </w:tc>
        <w:tc>
          <w:tcPr>
            <w:tcW w:w="921" w:type="dxa"/>
            <w:tcBorders>
              <w:left w:val="none" w:sz="0" w:space="0" w:color="auto"/>
              <w:right w:val="none" w:sz="0" w:space="0" w:color="auto"/>
            </w:tcBorders>
            <w:shd w:val="clear" w:color="auto" w:fill="FFFFFF" w:themeFill="background1"/>
            <w:noWrap/>
            <w:vAlign w:val="center"/>
            <w:hideMark/>
          </w:tcPr>
          <w:p w14:paraId="6DEFC4E3"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25.9</w:t>
            </w:r>
          </w:p>
        </w:tc>
        <w:tc>
          <w:tcPr>
            <w:tcW w:w="922" w:type="dxa"/>
            <w:tcBorders>
              <w:left w:val="none" w:sz="0" w:space="0" w:color="auto"/>
              <w:right w:val="none" w:sz="0" w:space="0" w:color="auto"/>
            </w:tcBorders>
            <w:shd w:val="clear" w:color="auto" w:fill="FFFFFF" w:themeFill="background1"/>
            <w:noWrap/>
            <w:vAlign w:val="center"/>
            <w:hideMark/>
          </w:tcPr>
          <w:p w14:paraId="226123FD"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1.00</w:t>
            </w:r>
          </w:p>
        </w:tc>
        <w:tc>
          <w:tcPr>
            <w:tcW w:w="2410" w:type="dxa"/>
            <w:tcBorders>
              <w:left w:val="none" w:sz="0" w:space="0" w:color="auto"/>
              <w:right w:val="none" w:sz="0" w:space="0" w:color="auto"/>
            </w:tcBorders>
            <w:shd w:val="clear" w:color="auto" w:fill="FFFFFF" w:themeFill="background1"/>
            <w:noWrap/>
            <w:hideMark/>
          </w:tcPr>
          <w:p w14:paraId="03AE6D91"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Theatre (surgery)</w:t>
            </w:r>
            <w:r w:rsidRPr="001E141F">
              <w:rPr>
                <w:lang w:eastAsia="en-AU"/>
              </w:rPr>
              <w:tab/>
            </w:r>
          </w:p>
        </w:tc>
        <w:tc>
          <w:tcPr>
            <w:tcW w:w="850" w:type="dxa"/>
            <w:tcBorders>
              <w:left w:val="none" w:sz="0" w:space="0" w:color="auto"/>
              <w:right w:val="none" w:sz="0" w:space="0" w:color="auto"/>
            </w:tcBorders>
            <w:shd w:val="clear" w:color="auto" w:fill="FFFFFF" w:themeFill="background1"/>
            <w:vAlign w:val="center"/>
          </w:tcPr>
          <w:p w14:paraId="55AE002F"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37.8</w:t>
            </w:r>
          </w:p>
        </w:tc>
        <w:tc>
          <w:tcPr>
            <w:tcW w:w="953" w:type="dxa"/>
            <w:tcBorders>
              <w:left w:val="none" w:sz="0" w:space="0" w:color="auto"/>
            </w:tcBorders>
            <w:shd w:val="clear" w:color="auto" w:fill="FFFFFF" w:themeFill="background1"/>
            <w:noWrap/>
            <w:vAlign w:val="center"/>
            <w:hideMark/>
          </w:tcPr>
          <w:p w14:paraId="0F49E0DF"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1.00</w:t>
            </w:r>
          </w:p>
        </w:tc>
      </w:tr>
      <w:tr w:rsidR="001E141F" w:rsidRPr="001E141F" w14:paraId="1639352D"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7E95B480" w14:textId="77777777" w:rsidR="001E141F" w:rsidRPr="00245A29" w:rsidRDefault="001E141F" w:rsidP="00C51DC9">
            <w:pPr>
              <w:pStyle w:val="DHHStabletext"/>
              <w:rPr>
                <w:b w:val="0"/>
                <w:lang w:eastAsia="en-AU"/>
              </w:rPr>
            </w:pPr>
            <w:r w:rsidRPr="00245A29">
              <w:rPr>
                <w:b w:val="0"/>
                <w:lang w:eastAsia="en-AU"/>
              </w:rPr>
              <w:t>Public spaces (such as foyers)</w:t>
            </w:r>
          </w:p>
        </w:tc>
        <w:tc>
          <w:tcPr>
            <w:tcW w:w="921" w:type="dxa"/>
            <w:tcBorders>
              <w:left w:val="none" w:sz="0" w:space="0" w:color="auto"/>
              <w:right w:val="none" w:sz="0" w:space="0" w:color="auto"/>
            </w:tcBorders>
            <w:shd w:val="clear" w:color="auto" w:fill="FFFFFF" w:themeFill="background1"/>
            <w:noWrap/>
            <w:vAlign w:val="center"/>
            <w:hideMark/>
          </w:tcPr>
          <w:p w14:paraId="503A9938"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23.45</w:t>
            </w:r>
          </w:p>
        </w:tc>
        <w:tc>
          <w:tcPr>
            <w:tcW w:w="922" w:type="dxa"/>
            <w:tcBorders>
              <w:left w:val="none" w:sz="0" w:space="0" w:color="auto"/>
              <w:right w:val="none" w:sz="0" w:space="0" w:color="auto"/>
            </w:tcBorders>
            <w:shd w:val="clear" w:color="auto" w:fill="FFFFFF" w:themeFill="background1"/>
            <w:noWrap/>
            <w:vAlign w:val="center"/>
            <w:hideMark/>
          </w:tcPr>
          <w:p w14:paraId="7314E9F5"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0.91</w:t>
            </w:r>
          </w:p>
        </w:tc>
        <w:tc>
          <w:tcPr>
            <w:tcW w:w="2410" w:type="dxa"/>
            <w:tcBorders>
              <w:left w:val="none" w:sz="0" w:space="0" w:color="auto"/>
              <w:right w:val="none" w:sz="0" w:space="0" w:color="auto"/>
            </w:tcBorders>
            <w:shd w:val="clear" w:color="auto" w:fill="FFFFFF" w:themeFill="background1"/>
            <w:noWrap/>
            <w:hideMark/>
          </w:tcPr>
          <w:p w14:paraId="04605C6F"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Emergency</w:t>
            </w:r>
          </w:p>
        </w:tc>
        <w:tc>
          <w:tcPr>
            <w:tcW w:w="850" w:type="dxa"/>
            <w:tcBorders>
              <w:left w:val="none" w:sz="0" w:space="0" w:color="auto"/>
              <w:right w:val="none" w:sz="0" w:space="0" w:color="auto"/>
            </w:tcBorders>
            <w:shd w:val="clear" w:color="auto" w:fill="FFFFFF" w:themeFill="background1"/>
            <w:noWrap/>
            <w:vAlign w:val="center"/>
            <w:hideMark/>
          </w:tcPr>
          <w:p w14:paraId="7FC6CEAF"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29.45</w:t>
            </w:r>
          </w:p>
        </w:tc>
        <w:tc>
          <w:tcPr>
            <w:tcW w:w="953" w:type="dxa"/>
            <w:tcBorders>
              <w:left w:val="none" w:sz="0" w:space="0" w:color="auto"/>
            </w:tcBorders>
            <w:shd w:val="clear" w:color="auto" w:fill="FFFFFF" w:themeFill="background1"/>
            <w:noWrap/>
            <w:vAlign w:val="center"/>
            <w:hideMark/>
          </w:tcPr>
          <w:p w14:paraId="08F410E7"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0.78</w:t>
            </w:r>
          </w:p>
        </w:tc>
      </w:tr>
      <w:tr w:rsidR="001E141F" w:rsidRPr="001E141F" w14:paraId="159E2922" w14:textId="77777777" w:rsidTr="00C5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2BB9CF39" w14:textId="77777777" w:rsidR="001E141F" w:rsidRPr="00245A29" w:rsidRDefault="001E141F" w:rsidP="00C51DC9">
            <w:pPr>
              <w:pStyle w:val="DHHStabletext"/>
              <w:rPr>
                <w:b w:val="0"/>
                <w:lang w:eastAsia="en-AU"/>
              </w:rPr>
            </w:pPr>
            <w:r w:rsidRPr="00245A29">
              <w:rPr>
                <w:b w:val="0"/>
                <w:lang w:eastAsia="en-AU"/>
              </w:rPr>
              <w:t>Kitchen and catering</w:t>
            </w:r>
          </w:p>
        </w:tc>
        <w:tc>
          <w:tcPr>
            <w:tcW w:w="921" w:type="dxa"/>
            <w:tcBorders>
              <w:left w:val="none" w:sz="0" w:space="0" w:color="auto"/>
              <w:right w:val="none" w:sz="0" w:space="0" w:color="auto"/>
            </w:tcBorders>
            <w:shd w:val="clear" w:color="auto" w:fill="FFFFFF" w:themeFill="background1"/>
            <w:noWrap/>
            <w:vAlign w:val="center"/>
            <w:hideMark/>
          </w:tcPr>
          <w:p w14:paraId="124F8950"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13.95</w:t>
            </w:r>
          </w:p>
        </w:tc>
        <w:tc>
          <w:tcPr>
            <w:tcW w:w="922" w:type="dxa"/>
            <w:tcBorders>
              <w:left w:val="none" w:sz="0" w:space="0" w:color="auto"/>
              <w:right w:val="none" w:sz="0" w:space="0" w:color="auto"/>
            </w:tcBorders>
            <w:shd w:val="clear" w:color="auto" w:fill="FFFFFF" w:themeFill="background1"/>
            <w:noWrap/>
            <w:vAlign w:val="center"/>
            <w:hideMark/>
          </w:tcPr>
          <w:p w14:paraId="1053801B"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0.54</w:t>
            </w:r>
          </w:p>
        </w:tc>
        <w:tc>
          <w:tcPr>
            <w:tcW w:w="2410" w:type="dxa"/>
            <w:tcBorders>
              <w:left w:val="none" w:sz="0" w:space="0" w:color="auto"/>
              <w:right w:val="none" w:sz="0" w:space="0" w:color="auto"/>
            </w:tcBorders>
            <w:shd w:val="clear" w:color="auto" w:fill="FFFFFF" w:themeFill="background1"/>
            <w:noWrap/>
            <w:hideMark/>
          </w:tcPr>
          <w:p w14:paraId="6E664E91"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Intensive care</w:t>
            </w:r>
          </w:p>
        </w:tc>
        <w:tc>
          <w:tcPr>
            <w:tcW w:w="850" w:type="dxa"/>
            <w:tcBorders>
              <w:left w:val="none" w:sz="0" w:space="0" w:color="auto"/>
              <w:right w:val="none" w:sz="0" w:space="0" w:color="auto"/>
            </w:tcBorders>
            <w:shd w:val="clear" w:color="auto" w:fill="FFFFFF" w:themeFill="background1"/>
            <w:noWrap/>
            <w:vAlign w:val="center"/>
            <w:hideMark/>
          </w:tcPr>
          <w:p w14:paraId="65E10ACF"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23.85</w:t>
            </w:r>
          </w:p>
        </w:tc>
        <w:tc>
          <w:tcPr>
            <w:tcW w:w="953" w:type="dxa"/>
            <w:tcBorders>
              <w:left w:val="none" w:sz="0" w:space="0" w:color="auto"/>
            </w:tcBorders>
            <w:shd w:val="clear" w:color="auto" w:fill="FFFFFF" w:themeFill="background1"/>
            <w:noWrap/>
            <w:vAlign w:val="center"/>
            <w:hideMark/>
          </w:tcPr>
          <w:p w14:paraId="0568840A"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0.63</w:t>
            </w:r>
          </w:p>
        </w:tc>
      </w:tr>
      <w:tr w:rsidR="001E141F" w:rsidRPr="001E141F" w14:paraId="65EE93D4"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6F9CCB59" w14:textId="77777777" w:rsidR="001E141F" w:rsidRPr="00245A29" w:rsidRDefault="001E141F" w:rsidP="00C51DC9">
            <w:pPr>
              <w:pStyle w:val="DHHStabletext"/>
              <w:rPr>
                <w:b w:val="0"/>
                <w:lang w:eastAsia="en-AU"/>
              </w:rPr>
            </w:pPr>
            <w:r w:rsidRPr="00245A29">
              <w:rPr>
                <w:b w:val="0"/>
                <w:lang w:eastAsia="en-AU"/>
              </w:rPr>
              <w:t>Aged care</w:t>
            </w:r>
          </w:p>
        </w:tc>
        <w:tc>
          <w:tcPr>
            <w:tcW w:w="921" w:type="dxa"/>
            <w:tcBorders>
              <w:left w:val="none" w:sz="0" w:space="0" w:color="auto"/>
              <w:right w:val="none" w:sz="0" w:space="0" w:color="auto"/>
            </w:tcBorders>
            <w:shd w:val="clear" w:color="auto" w:fill="FFFFFF" w:themeFill="background1"/>
            <w:noWrap/>
            <w:vAlign w:val="center"/>
            <w:hideMark/>
          </w:tcPr>
          <w:p w14:paraId="6D3218E7"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13.95</w:t>
            </w:r>
          </w:p>
        </w:tc>
        <w:tc>
          <w:tcPr>
            <w:tcW w:w="922" w:type="dxa"/>
            <w:tcBorders>
              <w:left w:val="none" w:sz="0" w:space="0" w:color="auto"/>
              <w:right w:val="none" w:sz="0" w:space="0" w:color="auto"/>
            </w:tcBorders>
            <w:shd w:val="clear" w:color="auto" w:fill="FFFFFF" w:themeFill="background1"/>
            <w:noWrap/>
            <w:vAlign w:val="center"/>
            <w:hideMark/>
          </w:tcPr>
          <w:p w14:paraId="35F2549F"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0.54</w:t>
            </w:r>
          </w:p>
        </w:tc>
        <w:tc>
          <w:tcPr>
            <w:tcW w:w="2410" w:type="dxa"/>
            <w:tcBorders>
              <w:left w:val="none" w:sz="0" w:space="0" w:color="auto"/>
              <w:right w:val="none" w:sz="0" w:space="0" w:color="auto"/>
            </w:tcBorders>
            <w:shd w:val="clear" w:color="auto" w:fill="FFFFFF" w:themeFill="background1"/>
            <w:noWrap/>
            <w:hideMark/>
          </w:tcPr>
          <w:p w14:paraId="2CA53799"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Medical/surgical wards</w:t>
            </w:r>
          </w:p>
        </w:tc>
        <w:tc>
          <w:tcPr>
            <w:tcW w:w="850" w:type="dxa"/>
            <w:tcBorders>
              <w:left w:val="none" w:sz="0" w:space="0" w:color="auto"/>
              <w:right w:val="none" w:sz="0" w:space="0" w:color="auto"/>
            </w:tcBorders>
            <w:shd w:val="clear" w:color="auto" w:fill="FFFFFF" w:themeFill="background1"/>
            <w:noWrap/>
            <w:vAlign w:val="center"/>
            <w:hideMark/>
          </w:tcPr>
          <w:p w14:paraId="5952A845"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21.8</w:t>
            </w:r>
          </w:p>
        </w:tc>
        <w:tc>
          <w:tcPr>
            <w:tcW w:w="953" w:type="dxa"/>
            <w:tcBorders>
              <w:left w:val="none" w:sz="0" w:space="0" w:color="auto"/>
            </w:tcBorders>
            <w:shd w:val="clear" w:color="auto" w:fill="FFFFFF" w:themeFill="background1"/>
            <w:noWrap/>
            <w:vAlign w:val="center"/>
            <w:hideMark/>
          </w:tcPr>
          <w:p w14:paraId="530E480A"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0.58</w:t>
            </w:r>
          </w:p>
        </w:tc>
      </w:tr>
      <w:tr w:rsidR="001E141F" w:rsidRPr="001E141F" w14:paraId="4741F1B2" w14:textId="77777777" w:rsidTr="00C5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0CAA10F3" w14:textId="77777777" w:rsidR="001E141F" w:rsidRPr="00245A29" w:rsidRDefault="001E141F" w:rsidP="00C51DC9">
            <w:pPr>
              <w:pStyle w:val="DHHStabletext"/>
              <w:rPr>
                <w:b w:val="0"/>
                <w:lang w:eastAsia="en-AU"/>
              </w:rPr>
            </w:pPr>
            <w:r w:rsidRPr="00245A29">
              <w:rPr>
                <w:b w:val="0"/>
                <w:lang w:eastAsia="en-AU"/>
              </w:rPr>
              <w:t>Administration</w:t>
            </w:r>
          </w:p>
        </w:tc>
        <w:tc>
          <w:tcPr>
            <w:tcW w:w="921" w:type="dxa"/>
            <w:tcBorders>
              <w:left w:val="none" w:sz="0" w:space="0" w:color="auto"/>
              <w:right w:val="none" w:sz="0" w:space="0" w:color="auto"/>
            </w:tcBorders>
            <w:shd w:val="clear" w:color="auto" w:fill="FFFFFF" w:themeFill="background1"/>
            <w:noWrap/>
            <w:vAlign w:val="center"/>
            <w:hideMark/>
          </w:tcPr>
          <w:p w14:paraId="7358E116"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13.05</w:t>
            </w:r>
          </w:p>
        </w:tc>
        <w:tc>
          <w:tcPr>
            <w:tcW w:w="922" w:type="dxa"/>
            <w:tcBorders>
              <w:left w:val="none" w:sz="0" w:space="0" w:color="auto"/>
              <w:right w:val="none" w:sz="0" w:space="0" w:color="auto"/>
            </w:tcBorders>
            <w:shd w:val="clear" w:color="auto" w:fill="FFFFFF" w:themeFill="background1"/>
            <w:noWrap/>
            <w:vAlign w:val="center"/>
            <w:hideMark/>
          </w:tcPr>
          <w:p w14:paraId="33C00CA4"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0.50</w:t>
            </w:r>
          </w:p>
        </w:tc>
        <w:tc>
          <w:tcPr>
            <w:tcW w:w="2410" w:type="dxa"/>
            <w:tcBorders>
              <w:left w:val="none" w:sz="0" w:space="0" w:color="auto"/>
              <w:right w:val="none" w:sz="0" w:space="0" w:color="auto"/>
            </w:tcBorders>
            <w:shd w:val="clear" w:color="auto" w:fill="FFFFFF" w:themeFill="background1"/>
            <w:noWrap/>
            <w:hideMark/>
          </w:tcPr>
          <w:p w14:paraId="69B1CEF6"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Acute ward</w:t>
            </w:r>
          </w:p>
        </w:tc>
        <w:tc>
          <w:tcPr>
            <w:tcW w:w="850" w:type="dxa"/>
            <w:tcBorders>
              <w:left w:val="none" w:sz="0" w:space="0" w:color="auto"/>
              <w:right w:val="none" w:sz="0" w:space="0" w:color="auto"/>
            </w:tcBorders>
            <w:shd w:val="clear" w:color="auto" w:fill="FFFFFF" w:themeFill="background1"/>
            <w:noWrap/>
            <w:vAlign w:val="center"/>
            <w:hideMark/>
          </w:tcPr>
          <w:p w14:paraId="655D95F9"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17.55</w:t>
            </w:r>
          </w:p>
        </w:tc>
        <w:tc>
          <w:tcPr>
            <w:tcW w:w="953" w:type="dxa"/>
            <w:tcBorders>
              <w:left w:val="none" w:sz="0" w:space="0" w:color="auto"/>
            </w:tcBorders>
            <w:shd w:val="clear" w:color="auto" w:fill="FFFFFF" w:themeFill="background1"/>
            <w:noWrap/>
            <w:vAlign w:val="center"/>
            <w:hideMark/>
          </w:tcPr>
          <w:p w14:paraId="524F4CCB"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0.46</w:t>
            </w:r>
          </w:p>
        </w:tc>
      </w:tr>
      <w:tr w:rsidR="001E141F" w:rsidRPr="001E141F" w14:paraId="3EAEE6E8"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47E20D5C" w14:textId="77777777" w:rsidR="001E141F" w:rsidRPr="00245A29" w:rsidRDefault="001E141F" w:rsidP="00C51DC9">
            <w:pPr>
              <w:pStyle w:val="DHHStabletext"/>
              <w:rPr>
                <w:b w:val="0"/>
                <w:lang w:eastAsia="en-AU"/>
              </w:rPr>
            </w:pPr>
            <w:r w:rsidRPr="00245A29">
              <w:rPr>
                <w:b w:val="0"/>
                <w:lang w:eastAsia="en-AU"/>
              </w:rPr>
              <w:t>Pharmacy</w:t>
            </w:r>
          </w:p>
        </w:tc>
        <w:tc>
          <w:tcPr>
            <w:tcW w:w="921" w:type="dxa"/>
            <w:tcBorders>
              <w:left w:val="none" w:sz="0" w:space="0" w:color="auto"/>
              <w:right w:val="none" w:sz="0" w:space="0" w:color="auto"/>
            </w:tcBorders>
            <w:shd w:val="clear" w:color="auto" w:fill="FFFFFF" w:themeFill="background1"/>
            <w:noWrap/>
            <w:vAlign w:val="center"/>
            <w:hideMark/>
          </w:tcPr>
          <w:p w14:paraId="46275824"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11.55</w:t>
            </w:r>
          </w:p>
        </w:tc>
        <w:tc>
          <w:tcPr>
            <w:tcW w:w="922" w:type="dxa"/>
            <w:tcBorders>
              <w:left w:val="none" w:sz="0" w:space="0" w:color="auto"/>
              <w:right w:val="none" w:sz="0" w:space="0" w:color="auto"/>
            </w:tcBorders>
            <w:shd w:val="clear" w:color="auto" w:fill="FFFFFF" w:themeFill="background1"/>
            <w:noWrap/>
            <w:vAlign w:val="center"/>
            <w:hideMark/>
          </w:tcPr>
          <w:p w14:paraId="6E6D2F1F"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0.45</w:t>
            </w:r>
          </w:p>
        </w:tc>
        <w:tc>
          <w:tcPr>
            <w:tcW w:w="2410" w:type="dxa"/>
            <w:tcBorders>
              <w:left w:val="none" w:sz="0" w:space="0" w:color="auto"/>
              <w:right w:val="none" w:sz="0" w:space="0" w:color="auto"/>
            </w:tcBorders>
            <w:shd w:val="clear" w:color="auto" w:fill="FFFFFF" w:themeFill="background1"/>
            <w:noWrap/>
            <w:hideMark/>
          </w:tcPr>
          <w:p w14:paraId="6DB5B47E"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Dialysis</w:t>
            </w:r>
          </w:p>
        </w:tc>
        <w:tc>
          <w:tcPr>
            <w:tcW w:w="850" w:type="dxa"/>
            <w:tcBorders>
              <w:left w:val="none" w:sz="0" w:space="0" w:color="auto"/>
              <w:right w:val="none" w:sz="0" w:space="0" w:color="auto"/>
            </w:tcBorders>
            <w:shd w:val="clear" w:color="auto" w:fill="FFFFFF" w:themeFill="background1"/>
            <w:noWrap/>
            <w:vAlign w:val="center"/>
            <w:hideMark/>
          </w:tcPr>
          <w:p w14:paraId="6EDA25E7"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15.3</w:t>
            </w:r>
          </w:p>
        </w:tc>
        <w:tc>
          <w:tcPr>
            <w:tcW w:w="953" w:type="dxa"/>
            <w:tcBorders>
              <w:left w:val="none" w:sz="0" w:space="0" w:color="auto"/>
            </w:tcBorders>
            <w:shd w:val="clear" w:color="auto" w:fill="FFFFFF" w:themeFill="background1"/>
            <w:noWrap/>
            <w:vAlign w:val="center"/>
            <w:hideMark/>
          </w:tcPr>
          <w:p w14:paraId="41ED10EB"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0.40</w:t>
            </w:r>
          </w:p>
        </w:tc>
      </w:tr>
      <w:tr w:rsidR="001E141F" w:rsidRPr="001E141F" w14:paraId="7F7566BB" w14:textId="77777777" w:rsidTr="00C5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vAlign w:val="center"/>
            <w:hideMark/>
          </w:tcPr>
          <w:p w14:paraId="56DD1C76" w14:textId="77777777" w:rsidR="001E141F" w:rsidRPr="00245A29" w:rsidRDefault="001E141F" w:rsidP="00C51DC9">
            <w:pPr>
              <w:pStyle w:val="DHHStabletext"/>
              <w:rPr>
                <w:b w:val="0"/>
                <w:lang w:eastAsia="en-AU"/>
              </w:rPr>
            </w:pPr>
            <w:r w:rsidRPr="00245A29">
              <w:rPr>
                <w:b w:val="0"/>
                <w:lang w:eastAsia="en-AU"/>
              </w:rPr>
              <w:t>Environmental services</w:t>
            </w:r>
          </w:p>
        </w:tc>
        <w:tc>
          <w:tcPr>
            <w:tcW w:w="921" w:type="dxa"/>
            <w:tcBorders>
              <w:left w:val="none" w:sz="0" w:space="0" w:color="auto"/>
              <w:right w:val="none" w:sz="0" w:space="0" w:color="auto"/>
            </w:tcBorders>
            <w:shd w:val="clear" w:color="auto" w:fill="FFFFFF" w:themeFill="background1"/>
            <w:noWrap/>
            <w:vAlign w:val="center"/>
            <w:hideMark/>
          </w:tcPr>
          <w:p w14:paraId="7B99ADF6"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10.25</w:t>
            </w:r>
          </w:p>
        </w:tc>
        <w:tc>
          <w:tcPr>
            <w:tcW w:w="922" w:type="dxa"/>
            <w:tcBorders>
              <w:left w:val="none" w:sz="0" w:space="0" w:color="auto"/>
              <w:right w:val="none" w:sz="0" w:space="0" w:color="auto"/>
            </w:tcBorders>
            <w:shd w:val="clear" w:color="auto" w:fill="FFFFFF" w:themeFill="background1"/>
            <w:noWrap/>
            <w:vAlign w:val="center"/>
            <w:hideMark/>
          </w:tcPr>
          <w:p w14:paraId="51B3A110"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0.40</w:t>
            </w:r>
          </w:p>
        </w:tc>
        <w:tc>
          <w:tcPr>
            <w:tcW w:w="2410" w:type="dxa"/>
            <w:tcBorders>
              <w:left w:val="none" w:sz="0" w:space="0" w:color="auto"/>
              <w:right w:val="none" w:sz="0" w:space="0" w:color="auto"/>
            </w:tcBorders>
            <w:shd w:val="clear" w:color="auto" w:fill="D9D9D9" w:themeFill="background1" w:themeFillShade="D9"/>
            <w:noWrap/>
            <w:hideMark/>
          </w:tcPr>
          <w:p w14:paraId="7336D5D3"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Oncology</w:t>
            </w:r>
          </w:p>
        </w:tc>
        <w:tc>
          <w:tcPr>
            <w:tcW w:w="850" w:type="dxa"/>
            <w:tcBorders>
              <w:left w:val="none" w:sz="0" w:space="0" w:color="auto"/>
              <w:right w:val="none" w:sz="0" w:space="0" w:color="auto"/>
            </w:tcBorders>
            <w:shd w:val="clear" w:color="auto" w:fill="D9D9D9" w:themeFill="background1" w:themeFillShade="D9"/>
            <w:noWrap/>
            <w:vAlign w:val="center"/>
            <w:hideMark/>
          </w:tcPr>
          <w:p w14:paraId="19B5F8E4"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5.4</w:t>
            </w:r>
          </w:p>
        </w:tc>
        <w:tc>
          <w:tcPr>
            <w:tcW w:w="953" w:type="dxa"/>
            <w:tcBorders>
              <w:left w:val="none" w:sz="0" w:space="0" w:color="auto"/>
            </w:tcBorders>
            <w:shd w:val="clear" w:color="auto" w:fill="D9D9D9" w:themeFill="background1" w:themeFillShade="D9"/>
            <w:noWrap/>
            <w:vAlign w:val="center"/>
            <w:hideMark/>
          </w:tcPr>
          <w:p w14:paraId="7519F268"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0.14</w:t>
            </w:r>
          </w:p>
        </w:tc>
      </w:tr>
      <w:tr w:rsidR="001E141F" w:rsidRPr="001E141F" w14:paraId="4845FB19"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D9D9D9" w:themeFill="background1" w:themeFillShade="D9"/>
            <w:noWrap/>
            <w:vAlign w:val="center"/>
            <w:hideMark/>
          </w:tcPr>
          <w:p w14:paraId="55F303F3" w14:textId="77777777" w:rsidR="001E141F" w:rsidRPr="00245A29" w:rsidRDefault="001E141F" w:rsidP="00C51DC9">
            <w:pPr>
              <w:pStyle w:val="DHHStabletext"/>
              <w:rPr>
                <w:b w:val="0"/>
                <w:lang w:eastAsia="en-AU"/>
              </w:rPr>
            </w:pPr>
            <w:r w:rsidRPr="00245A29">
              <w:rPr>
                <w:b w:val="0"/>
                <w:lang w:eastAsia="en-AU"/>
              </w:rPr>
              <w:t>Supply</w:t>
            </w:r>
          </w:p>
        </w:tc>
        <w:tc>
          <w:tcPr>
            <w:tcW w:w="921" w:type="dxa"/>
            <w:tcBorders>
              <w:left w:val="none" w:sz="0" w:space="0" w:color="auto"/>
              <w:right w:val="none" w:sz="0" w:space="0" w:color="auto"/>
            </w:tcBorders>
            <w:shd w:val="clear" w:color="auto" w:fill="D9D9D9" w:themeFill="background1" w:themeFillShade="D9"/>
            <w:noWrap/>
            <w:vAlign w:val="center"/>
            <w:hideMark/>
          </w:tcPr>
          <w:p w14:paraId="66EB7065"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8.05</w:t>
            </w:r>
          </w:p>
        </w:tc>
        <w:tc>
          <w:tcPr>
            <w:tcW w:w="922" w:type="dxa"/>
            <w:tcBorders>
              <w:left w:val="none" w:sz="0" w:space="0" w:color="auto"/>
              <w:right w:val="none" w:sz="0" w:space="0" w:color="auto"/>
            </w:tcBorders>
            <w:shd w:val="clear" w:color="auto" w:fill="D9D9D9" w:themeFill="background1" w:themeFillShade="D9"/>
            <w:noWrap/>
            <w:vAlign w:val="center"/>
            <w:hideMark/>
          </w:tcPr>
          <w:p w14:paraId="7143BAD7"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0.31</w:t>
            </w:r>
          </w:p>
        </w:tc>
        <w:tc>
          <w:tcPr>
            <w:tcW w:w="2410" w:type="dxa"/>
            <w:tcBorders>
              <w:left w:val="none" w:sz="0" w:space="0" w:color="auto"/>
              <w:right w:val="none" w:sz="0" w:space="0" w:color="auto"/>
            </w:tcBorders>
            <w:shd w:val="clear" w:color="auto" w:fill="D9D9D9" w:themeFill="background1" w:themeFillShade="D9"/>
            <w:noWrap/>
            <w:hideMark/>
          </w:tcPr>
          <w:p w14:paraId="4E63B660"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Maternity</w:t>
            </w:r>
          </w:p>
        </w:tc>
        <w:tc>
          <w:tcPr>
            <w:tcW w:w="850" w:type="dxa"/>
            <w:tcBorders>
              <w:left w:val="none" w:sz="0" w:space="0" w:color="auto"/>
              <w:right w:val="none" w:sz="0" w:space="0" w:color="auto"/>
            </w:tcBorders>
            <w:shd w:val="clear" w:color="auto" w:fill="D9D9D9" w:themeFill="background1" w:themeFillShade="D9"/>
            <w:noWrap/>
            <w:vAlign w:val="center"/>
            <w:hideMark/>
          </w:tcPr>
          <w:p w14:paraId="62586CD8"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3.75</w:t>
            </w:r>
          </w:p>
        </w:tc>
        <w:tc>
          <w:tcPr>
            <w:tcW w:w="953" w:type="dxa"/>
            <w:tcBorders>
              <w:left w:val="none" w:sz="0" w:space="0" w:color="auto"/>
            </w:tcBorders>
            <w:shd w:val="clear" w:color="auto" w:fill="D9D9D9" w:themeFill="background1" w:themeFillShade="D9"/>
            <w:noWrap/>
            <w:vAlign w:val="center"/>
            <w:hideMark/>
          </w:tcPr>
          <w:p w14:paraId="755490DA"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0.10</w:t>
            </w:r>
          </w:p>
        </w:tc>
      </w:tr>
      <w:tr w:rsidR="001E141F" w:rsidRPr="001E141F" w14:paraId="3818533C" w14:textId="77777777" w:rsidTr="00C51DC9">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D9D9D9" w:themeFill="background1" w:themeFillShade="D9"/>
            <w:noWrap/>
            <w:vAlign w:val="center"/>
            <w:hideMark/>
          </w:tcPr>
          <w:p w14:paraId="3FBECA52" w14:textId="77777777" w:rsidR="001E141F" w:rsidRPr="00245A29" w:rsidRDefault="001E141F" w:rsidP="00C51DC9">
            <w:pPr>
              <w:pStyle w:val="DHHStabletext"/>
              <w:rPr>
                <w:b w:val="0"/>
                <w:lang w:eastAsia="en-AU"/>
              </w:rPr>
            </w:pPr>
            <w:r w:rsidRPr="00245A29">
              <w:rPr>
                <w:b w:val="0"/>
                <w:lang w:eastAsia="en-AU"/>
              </w:rPr>
              <w:t>Engineering</w:t>
            </w:r>
          </w:p>
        </w:tc>
        <w:tc>
          <w:tcPr>
            <w:tcW w:w="921" w:type="dxa"/>
            <w:tcBorders>
              <w:left w:val="none" w:sz="0" w:space="0" w:color="auto"/>
              <w:right w:val="none" w:sz="0" w:space="0" w:color="auto"/>
            </w:tcBorders>
            <w:shd w:val="clear" w:color="auto" w:fill="D9D9D9" w:themeFill="background1" w:themeFillShade="D9"/>
            <w:noWrap/>
            <w:vAlign w:val="center"/>
            <w:hideMark/>
          </w:tcPr>
          <w:p w14:paraId="15647645"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4.65</w:t>
            </w:r>
          </w:p>
        </w:tc>
        <w:tc>
          <w:tcPr>
            <w:tcW w:w="922" w:type="dxa"/>
            <w:tcBorders>
              <w:left w:val="none" w:sz="0" w:space="0" w:color="auto"/>
              <w:right w:val="none" w:sz="0" w:space="0" w:color="auto"/>
            </w:tcBorders>
            <w:shd w:val="clear" w:color="auto" w:fill="D9D9D9" w:themeFill="background1" w:themeFillShade="D9"/>
            <w:noWrap/>
            <w:vAlign w:val="center"/>
            <w:hideMark/>
          </w:tcPr>
          <w:p w14:paraId="4A19FDAC"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0.18</w:t>
            </w:r>
          </w:p>
        </w:tc>
        <w:tc>
          <w:tcPr>
            <w:tcW w:w="2410" w:type="dxa"/>
            <w:tcBorders>
              <w:left w:val="none" w:sz="0" w:space="0" w:color="auto"/>
              <w:right w:val="none" w:sz="0" w:space="0" w:color="auto"/>
            </w:tcBorders>
            <w:shd w:val="clear" w:color="auto" w:fill="D9D9D9" w:themeFill="background1" w:themeFillShade="D9"/>
            <w:noWrap/>
            <w:hideMark/>
          </w:tcPr>
          <w:p w14:paraId="622589B2"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Outpatient</w:t>
            </w:r>
          </w:p>
        </w:tc>
        <w:tc>
          <w:tcPr>
            <w:tcW w:w="850" w:type="dxa"/>
            <w:tcBorders>
              <w:left w:val="none" w:sz="0" w:space="0" w:color="auto"/>
              <w:right w:val="none" w:sz="0" w:space="0" w:color="auto"/>
            </w:tcBorders>
            <w:shd w:val="clear" w:color="auto" w:fill="D9D9D9" w:themeFill="background1" w:themeFillShade="D9"/>
            <w:noWrap/>
            <w:vAlign w:val="center"/>
            <w:hideMark/>
          </w:tcPr>
          <w:p w14:paraId="5520662D"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3.75</w:t>
            </w:r>
          </w:p>
        </w:tc>
        <w:tc>
          <w:tcPr>
            <w:tcW w:w="953" w:type="dxa"/>
            <w:tcBorders>
              <w:left w:val="none" w:sz="0" w:space="0" w:color="auto"/>
            </w:tcBorders>
            <w:shd w:val="clear" w:color="auto" w:fill="D9D9D9" w:themeFill="background1" w:themeFillShade="D9"/>
            <w:noWrap/>
            <w:vAlign w:val="center"/>
            <w:hideMark/>
          </w:tcPr>
          <w:p w14:paraId="56FCB77E"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0.10</w:t>
            </w:r>
          </w:p>
        </w:tc>
      </w:tr>
      <w:tr w:rsidR="001E141F" w:rsidRPr="001E141F" w14:paraId="61AB23E9"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D9D9D9" w:themeFill="background1" w:themeFillShade="D9"/>
            <w:noWrap/>
            <w:vAlign w:val="center"/>
            <w:hideMark/>
          </w:tcPr>
          <w:p w14:paraId="183E054F" w14:textId="77777777" w:rsidR="001E141F" w:rsidRPr="00245A29" w:rsidRDefault="001E141F" w:rsidP="00C51DC9">
            <w:pPr>
              <w:pStyle w:val="DHHStabletext"/>
              <w:rPr>
                <w:b w:val="0"/>
                <w:lang w:eastAsia="en-AU"/>
              </w:rPr>
            </w:pPr>
            <w:r w:rsidRPr="00245A29">
              <w:rPr>
                <w:b w:val="0"/>
                <w:lang w:eastAsia="en-AU"/>
              </w:rPr>
              <w:t>Central sterile services department</w:t>
            </w:r>
          </w:p>
        </w:tc>
        <w:tc>
          <w:tcPr>
            <w:tcW w:w="921" w:type="dxa"/>
            <w:tcBorders>
              <w:left w:val="none" w:sz="0" w:space="0" w:color="auto"/>
              <w:right w:val="none" w:sz="0" w:space="0" w:color="auto"/>
            </w:tcBorders>
            <w:shd w:val="clear" w:color="auto" w:fill="D9D9D9" w:themeFill="background1" w:themeFillShade="D9"/>
            <w:noWrap/>
            <w:vAlign w:val="center"/>
            <w:hideMark/>
          </w:tcPr>
          <w:p w14:paraId="1E5E5961"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3.95</w:t>
            </w:r>
          </w:p>
        </w:tc>
        <w:tc>
          <w:tcPr>
            <w:tcW w:w="922" w:type="dxa"/>
            <w:tcBorders>
              <w:left w:val="none" w:sz="0" w:space="0" w:color="auto"/>
              <w:right w:val="none" w:sz="0" w:space="0" w:color="auto"/>
            </w:tcBorders>
            <w:shd w:val="clear" w:color="auto" w:fill="D9D9D9" w:themeFill="background1" w:themeFillShade="D9"/>
            <w:noWrap/>
            <w:vAlign w:val="center"/>
            <w:hideMark/>
          </w:tcPr>
          <w:p w14:paraId="2497A220"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0.15</w:t>
            </w:r>
          </w:p>
        </w:tc>
        <w:tc>
          <w:tcPr>
            <w:tcW w:w="2410" w:type="dxa"/>
            <w:tcBorders>
              <w:left w:val="none" w:sz="0" w:space="0" w:color="auto"/>
              <w:right w:val="none" w:sz="0" w:space="0" w:color="auto"/>
            </w:tcBorders>
            <w:shd w:val="clear" w:color="auto" w:fill="D9D9D9" w:themeFill="background1" w:themeFillShade="D9"/>
            <w:noWrap/>
            <w:hideMark/>
          </w:tcPr>
          <w:p w14:paraId="68336ED4"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Subacute ward</w:t>
            </w:r>
          </w:p>
        </w:tc>
        <w:tc>
          <w:tcPr>
            <w:tcW w:w="850" w:type="dxa"/>
            <w:tcBorders>
              <w:left w:val="none" w:sz="0" w:space="0" w:color="auto"/>
              <w:right w:val="none" w:sz="0" w:space="0" w:color="auto"/>
            </w:tcBorders>
            <w:shd w:val="clear" w:color="auto" w:fill="D9D9D9" w:themeFill="background1" w:themeFillShade="D9"/>
            <w:noWrap/>
            <w:vAlign w:val="center"/>
            <w:hideMark/>
          </w:tcPr>
          <w:p w14:paraId="182FA69E"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3.55</w:t>
            </w:r>
          </w:p>
        </w:tc>
        <w:tc>
          <w:tcPr>
            <w:tcW w:w="953" w:type="dxa"/>
            <w:tcBorders>
              <w:left w:val="none" w:sz="0" w:space="0" w:color="auto"/>
            </w:tcBorders>
            <w:shd w:val="clear" w:color="auto" w:fill="D9D9D9" w:themeFill="background1" w:themeFillShade="D9"/>
            <w:noWrap/>
            <w:vAlign w:val="center"/>
            <w:hideMark/>
          </w:tcPr>
          <w:p w14:paraId="7717A894"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0.09</w:t>
            </w:r>
          </w:p>
        </w:tc>
      </w:tr>
      <w:tr w:rsidR="001E141F" w:rsidRPr="001E141F" w14:paraId="404C8754" w14:textId="77777777" w:rsidTr="00C5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D9D9D9" w:themeFill="background1" w:themeFillShade="D9"/>
            <w:noWrap/>
            <w:vAlign w:val="center"/>
            <w:hideMark/>
          </w:tcPr>
          <w:p w14:paraId="7D8D7C14" w14:textId="77777777" w:rsidR="001E141F" w:rsidRPr="00245A29" w:rsidRDefault="001E141F" w:rsidP="00C51DC9">
            <w:pPr>
              <w:pStyle w:val="DHHStabletext"/>
              <w:rPr>
                <w:b w:val="0"/>
                <w:lang w:eastAsia="en-AU"/>
              </w:rPr>
            </w:pPr>
            <w:r w:rsidRPr="00245A29">
              <w:rPr>
                <w:b w:val="0"/>
                <w:lang w:eastAsia="en-AU"/>
              </w:rPr>
              <w:t>Laundries</w:t>
            </w:r>
          </w:p>
        </w:tc>
        <w:tc>
          <w:tcPr>
            <w:tcW w:w="921" w:type="dxa"/>
            <w:tcBorders>
              <w:left w:val="none" w:sz="0" w:space="0" w:color="auto"/>
              <w:right w:val="none" w:sz="0" w:space="0" w:color="auto"/>
            </w:tcBorders>
            <w:shd w:val="clear" w:color="auto" w:fill="D9D9D9" w:themeFill="background1" w:themeFillShade="D9"/>
            <w:noWrap/>
            <w:vAlign w:val="center"/>
            <w:hideMark/>
          </w:tcPr>
          <w:p w14:paraId="37DE14AF"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3.55</w:t>
            </w:r>
          </w:p>
        </w:tc>
        <w:tc>
          <w:tcPr>
            <w:tcW w:w="922" w:type="dxa"/>
            <w:tcBorders>
              <w:left w:val="none" w:sz="0" w:space="0" w:color="auto"/>
              <w:right w:val="none" w:sz="0" w:space="0" w:color="auto"/>
            </w:tcBorders>
            <w:shd w:val="clear" w:color="auto" w:fill="D9D9D9" w:themeFill="background1" w:themeFillShade="D9"/>
            <w:noWrap/>
            <w:vAlign w:val="center"/>
            <w:hideMark/>
          </w:tcPr>
          <w:p w14:paraId="5DCC5C82"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0.14</w:t>
            </w:r>
          </w:p>
        </w:tc>
        <w:tc>
          <w:tcPr>
            <w:tcW w:w="2410" w:type="dxa"/>
            <w:tcBorders>
              <w:left w:val="none" w:sz="0" w:space="0" w:color="auto"/>
              <w:right w:val="none" w:sz="0" w:space="0" w:color="auto"/>
            </w:tcBorders>
            <w:shd w:val="clear" w:color="auto" w:fill="D9D9D9" w:themeFill="background1" w:themeFillShade="D9"/>
            <w:noWrap/>
            <w:hideMark/>
          </w:tcPr>
          <w:p w14:paraId="0405C664"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Day procedure</w:t>
            </w:r>
          </w:p>
        </w:tc>
        <w:tc>
          <w:tcPr>
            <w:tcW w:w="850" w:type="dxa"/>
            <w:tcBorders>
              <w:left w:val="none" w:sz="0" w:space="0" w:color="auto"/>
              <w:right w:val="none" w:sz="0" w:space="0" w:color="auto"/>
            </w:tcBorders>
            <w:shd w:val="clear" w:color="auto" w:fill="D9D9D9" w:themeFill="background1" w:themeFillShade="D9"/>
            <w:noWrap/>
            <w:vAlign w:val="center"/>
            <w:hideMark/>
          </w:tcPr>
          <w:p w14:paraId="6C9891AA"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3.4</w:t>
            </w:r>
          </w:p>
        </w:tc>
        <w:tc>
          <w:tcPr>
            <w:tcW w:w="953" w:type="dxa"/>
            <w:tcBorders>
              <w:left w:val="none" w:sz="0" w:space="0" w:color="auto"/>
            </w:tcBorders>
            <w:shd w:val="clear" w:color="auto" w:fill="D9D9D9" w:themeFill="background1" w:themeFillShade="D9"/>
            <w:noWrap/>
            <w:vAlign w:val="center"/>
            <w:hideMark/>
          </w:tcPr>
          <w:p w14:paraId="34190E76"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0.09</w:t>
            </w:r>
          </w:p>
        </w:tc>
      </w:tr>
      <w:tr w:rsidR="001E141F" w:rsidRPr="001E141F" w14:paraId="21984D3F"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D9D9D9" w:themeFill="background1" w:themeFillShade="D9"/>
            <w:noWrap/>
            <w:vAlign w:val="center"/>
            <w:hideMark/>
          </w:tcPr>
          <w:p w14:paraId="52F07FC6" w14:textId="77777777" w:rsidR="001E141F" w:rsidRPr="00245A29" w:rsidRDefault="001E141F" w:rsidP="00C51DC9">
            <w:pPr>
              <w:pStyle w:val="DHHStabletext"/>
              <w:rPr>
                <w:b w:val="0"/>
                <w:lang w:eastAsia="en-AU"/>
              </w:rPr>
            </w:pPr>
            <w:r w:rsidRPr="00245A29">
              <w:rPr>
                <w:b w:val="0"/>
                <w:lang w:eastAsia="en-AU"/>
              </w:rPr>
              <w:t>Mental health</w:t>
            </w:r>
          </w:p>
        </w:tc>
        <w:tc>
          <w:tcPr>
            <w:tcW w:w="921" w:type="dxa"/>
            <w:tcBorders>
              <w:left w:val="none" w:sz="0" w:space="0" w:color="auto"/>
              <w:right w:val="none" w:sz="0" w:space="0" w:color="auto"/>
            </w:tcBorders>
            <w:shd w:val="clear" w:color="auto" w:fill="D9D9D9" w:themeFill="background1" w:themeFillShade="D9"/>
            <w:noWrap/>
            <w:vAlign w:val="center"/>
            <w:hideMark/>
          </w:tcPr>
          <w:p w14:paraId="6F62BC19"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3.35</w:t>
            </w:r>
          </w:p>
        </w:tc>
        <w:tc>
          <w:tcPr>
            <w:tcW w:w="922" w:type="dxa"/>
            <w:tcBorders>
              <w:left w:val="none" w:sz="0" w:space="0" w:color="auto"/>
              <w:right w:val="none" w:sz="0" w:space="0" w:color="auto"/>
            </w:tcBorders>
            <w:shd w:val="clear" w:color="auto" w:fill="D9D9D9" w:themeFill="background1" w:themeFillShade="D9"/>
            <w:noWrap/>
            <w:vAlign w:val="center"/>
            <w:hideMark/>
          </w:tcPr>
          <w:p w14:paraId="39D6FDDF"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0.13</w:t>
            </w:r>
          </w:p>
        </w:tc>
        <w:tc>
          <w:tcPr>
            <w:tcW w:w="2410" w:type="dxa"/>
            <w:tcBorders>
              <w:left w:val="none" w:sz="0" w:space="0" w:color="auto"/>
              <w:right w:val="none" w:sz="0" w:space="0" w:color="auto"/>
            </w:tcBorders>
            <w:shd w:val="clear" w:color="auto" w:fill="D9D9D9" w:themeFill="background1" w:themeFillShade="D9"/>
            <w:noWrap/>
            <w:hideMark/>
          </w:tcPr>
          <w:p w14:paraId="07D63858"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Radiology/x-ray</w:t>
            </w:r>
          </w:p>
        </w:tc>
        <w:tc>
          <w:tcPr>
            <w:tcW w:w="850" w:type="dxa"/>
            <w:tcBorders>
              <w:left w:val="none" w:sz="0" w:space="0" w:color="auto"/>
              <w:right w:val="none" w:sz="0" w:space="0" w:color="auto"/>
            </w:tcBorders>
            <w:shd w:val="clear" w:color="auto" w:fill="D9D9D9" w:themeFill="background1" w:themeFillShade="D9"/>
            <w:noWrap/>
            <w:vAlign w:val="center"/>
            <w:hideMark/>
          </w:tcPr>
          <w:p w14:paraId="403C43C3"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3.35</w:t>
            </w:r>
          </w:p>
        </w:tc>
        <w:tc>
          <w:tcPr>
            <w:tcW w:w="953" w:type="dxa"/>
            <w:tcBorders>
              <w:left w:val="none" w:sz="0" w:space="0" w:color="auto"/>
            </w:tcBorders>
            <w:shd w:val="clear" w:color="auto" w:fill="D9D9D9" w:themeFill="background1" w:themeFillShade="D9"/>
            <w:noWrap/>
            <w:vAlign w:val="center"/>
            <w:hideMark/>
          </w:tcPr>
          <w:p w14:paraId="630067BB"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0.09</w:t>
            </w:r>
          </w:p>
        </w:tc>
      </w:tr>
      <w:tr w:rsidR="001E141F" w:rsidRPr="001E141F" w14:paraId="6DCB42B7" w14:textId="77777777" w:rsidTr="00C51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hideMark/>
          </w:tcPr>
          <w:p w14:paraId="6AD83B55" w14:textId="77777777" w:rsidR="001E141F" w:rsidRPr="00245A29" w:rsidRDefault="001E141F" w:rsidP="00245A29">
            <w:pPr>
              <w:pStyle w:val="DHHStabletext"/>
              <w:rPr>
                <w:b w:val="0"/>
                <w:lang w:eastAsia="en-AU"/>
              </w:rPr>
            </w:pPr>
          </w:p>
        </w:tc>
        <w:tc>
          <w:tcPr>
            <w:tcW w:w="921" w:type="dxa"/>
            <w:tcBorders>
              <w:left w:val="none" w:sz="0" w:space="0" w:color="auto"/>
              <w:right w:val="none" w:sz="0" w:space="0" w:color="auto"/>
            </w:tcBorders>
            <w:shd w:val="clear" w:color="auto" w:fill="FFFFFF" w:themeFill="background1"/>
            <w:noWrap/>
            <w:hideMark/>
          </w:tcPr>
          <w:p w14:paraId="046916BB"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p>
        </w:tc>
        <w:tc>
          <w:tcPr>
            <w:tcW w:w="922" w:type="dxa"/>
            <w:tcBorders>
              <w:left w:val="none" w:sz="0" w:space="0" w:color="auto"/>
              <w:right w:val="none" w:sz="0" w:space="0" w:color="auto"/>
            </w:tcBorders>
            <w:shd w:val="clear" w:color="auto" w:fill="FFFFFF" w:themeFill="background1"/>
            <w:noWrap/>
            <w:hideMark/>
          </w:tcPr>
          <w:p w14:paraId="4E99B84F"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p>
        </w:tc>
        <w:tc>
          <w:tcPr>
            <w:tcW w:w="2410" w:type="dxa"/>
            <w:tcBorders>
              <w:left w:val="none" w:sz="0" w:space="0" w:color="auto"/>
              <w:right w:val="none" w:sz="0" w:space="0" w:color="auto"/>
            </w:tcBorders>
            <w:shd w:val="clear" w:color="auto" w:fill="D9D9D9" w:themeFill="background1" w:themeFillShade="D9"/>
            <w:noWrap/>
            <w:hideMark/>
          </w:tcPr>
          <w:p w14:paraId="7A408743" w14:textId="77777777" w:rsidR="001E141F" w:rsidRPr="001E141F" w:rsidRDefault="001E141F" w:rsidP="00245A29">
            <w:pPr>
              <w:pStyle w:val="DHHStabletext"/>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Pathology</w:t>
            </w:r>
          </w:p>
        </w:tc>
        <w:tc>
          <w:tcPr>
            <w:tcW w:w="850" w:type="dxa"/>
            <w:tcBorders>
              <w:left w:val="none" w:sz="0" w:space="0" w:color="auto"/>
              <w:right w:val="none" w:sz="0" w:space="0" w:color="auto"/>
            </w:tcBorders>
            <w:shd w:val="clear" w:color="auto" w:fill="D9D9D9" w:themeFill="background1" w:themeFillShade="D9"/>
            <w:noWrap/>
            <w:vAlign w:val="center"/>
            <w:hideMark/>
          </w:tcPr>
          <w:p w14:paraId="18920A02"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3</w:t>
            </w:r>
          </w:p>
        </w:tc>
        <w:tc>
          <w:tcPr>
            <w:tcW w:w="953" w:type="dxa"/>
            <w:tcBorders>
              <w:left w:val="none" w:sz="0" w:space="0" w:color="auto"/>
            </w:tcBorders>
            <w:shd w:val="clear" w:color="auto" w:fill="D9D9D9" w:themeFill="background1" w:themeFillShade="D9"/>
            <w:noWrap/>
            <w:vAlign w:val="center"/>
            <w:hideMark/>
          </w:tcPr>
          <w:p w14:paraId="35969B29" w14:textId="77777777" w:rsidR="001E141F" w:rsidRPr="001E141F" w:rsidRDefault="001E141F" w:rsidP="00C51DC9">
            <w:pPr>
              <w:pStyle w:val="DHHStabletext"/>
              <w:jc w:val="center"/>
              <w:cnfStyle w:val="000000100000" w:firstRow="0" w:lastRow="0" w:firstColumn="0" w:lastColumn="0" w:oddVBand="0" w:evenVBand="0" w:oddHBand="1" w:evenHBand="0" w:firstRowFirstColumn="0" w:firstRowLastColumn="0" w:lastRowFirstColumn="0" w:lastRowLastColumn="0"/>
              <w:rPr>
                <w:lang w:eastAsia="en-AU"/>
              </w:rPr>
            </w:pPr>
            <w:r w:rsidRPr="001E141F">
              <w:rPr>
                <w:lang w:eastAsia="en-AU"/>
              </w:rPr>
              <w:t>0.08</w:t>
            </w:r>
          </w:p>
        </w:tc>
      </w:tr>
      <w:tr w:rsidR="001E141F" w:rsidRPr="001E141F" w14:paraId="47992971" w14:textId="77777777" w:rsidTr="00C51DC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one" w:sz="0" w:space="0" w:color="auto"/>
            </w:tcBorders>
            <w:shd w:val="clear" w:color="auto" w:fill="FFFFFF" w:themeFill="background1"/>
            <w:noWrap/>
            <w:hideMark/>
          </w:tcPr>
          <w:p w14:paraId="29CB69FB" w14:textId="77777777" w:rsidR="001E141F" w:rsidRPr="00245A29" w:rsidRDefault="001E141F" w:rsidP="00245A29">
            <w:pPr>
              <w:pStyle w:val="DHHStabletext"/>
              <w:rPr>
                <w:b w:val="0"/>
                <w:lang w:eastAsia="en-AU"/>
              </w:rPr>
            </w:pPr>
          </w:p>
        </w:tc>
        <w:tc>
          <w:tcPr>
            <w:tcW w:w="921" w:type="dxa"/>
            <w:tcBorders>
              <w:left w:val="none" w:sz="0" w:space="0" w:color="auto"/>
              <w:right w:val="none" w:sz="0" w:space="0" w:color="auto"/>
            </w:tcBorders>
            <w:shd w:val="clear" w:color="auto" w:fill="FFFFFF" w:themeFill="background1"/>
            <w:noWrap/>
            <w:hideMark/>
          </w:tcPr>
          <w:p w14:paraId="7BAD93A1"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p>
        </w:tc>
        <w:tc>
          <w:tcPr>
            <w:tcW w:w="922" w:type="dxa"/>
            <w:tcBorders>
              <w:left w:val="none" w:sz="0" w:space="0" w:color="auto"/>
              <w:right w:val="none" w:sz="0" w:space="0" w:color="auto"/>
            </w:tcBorders>
            <w:shd w:val="clear" w:color="auto" w:fill="FFFFFF" w:themeFill="background1"/>
            <w:noWrap/>
            <w:hideMark/>
          </w:tcPr>
          <w:p w14:paraId="4D057256"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p>
        </w:tc>
        <w:tc>
          <w:tcPr>
            <w:tcW w:w="2410" w:type="dxa"/>
            <w:tcBorders>
              <w:left w:val="none" w:sz="0" w:space="0" w:color="auto"/>
              <w:right w:val="none" w:sz="0" w:space="0" w:color="auto"/>
            </w:tcBorders>
            <w:shd w:val="clear" w:color="auto" w:fill="D9D9D9" w:themeFill="background1" w:themeFillShade="D9"/>
            <w:noWrap/>
            <w:hideMark/>
          </w:tcPr>
          <w:p w14:paraId="650027FA" w14:textId="77777777" w:rsidR="001E141F" w:rsidRPr="001E141F" w:rsidRDefault="001E141F" w:rsidP="00245A29">
            <w:pPr>
              <w:pStyle w:val="DHHStabletext"/>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Paediatrics</w:t>
            </w:r>
          </w:p>
        </w:tc>
        <w:tc>
          <w:tcPr>
            <w:tcW w:w="850" w:type="dxa"/>
            <w:tcBorders>
              <w:left w:val="none" w:sz="0" w:space="0" w:color="auto"/>
              <w:right w:val="none" w:sz="0" w:space="0" w:color="auto"/>
            </w:tcBorders>
            <w:shd w:val="clear" w:color="auto" w:fill="D9D9D9" w:themeFill="background1" w:themeFillShade="D9"/>
            <w:noWrap/>
            <w:vAlign w:val="center"/>
            <w:hideMark/>
          </w:tcPr>
          <w:p w14:paraId="520AA0C0"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2.4</w:t>
            </w:r>
          </w:p>
        </w:tc>
        <w:tc>
          <w:tcPr>
            <w:tcW w:w="953" w:type="dxa"/>
            <w:tcBorders>
              <w:left w:val="none" w:sz="0" w:space="0" w:color="auto"/>
            </w:tcBorders>
            <w:shd w:val="clear" w:color="auto" w:fill="D9D9D9" w:themeFill="background1" w:themeFillShade="D9"/>
            <w:noWrap/>
            <w:vAlign w:val="center"/>
            <w:hideMark/>
          </w:tcPr>
          <w:p w14:paraId="7CC5B40C" w14:textId="77777777" w:rsidR="001E141F" w:rsidRPr="001E141F" w:rsidRDefault="001E141F" w:rsidP="00C51DC9">
            <w:pPr>
              <w:pStyle w:val="DHHStabletext"/>
              <w:jc w:val="center"/>
              <w:cnfStyle w:val="000000010000" w:firstRow="0" w:lastRow="0" w:firstColumn="0" w:lastColumn="0" w:oddVBand="0" w:evenVBand="0" w:oddHBand="0" w:evenHBand="1" w:firstRowFirstColumn="0" w:firstRowLastColumn="0" w:lastRowFirstColumn="0" w:lastRowLastColumn="0"/>
              <w:rPr>
                <w:lang w:eastAsia="en-AU"/>
              </w:rPr>
            </w:pPr>
            <w:r w:rsidRPr="001E141F">
              <w:rPr>
                <w:lang w:eastAsia="en-AU"/>
              </w:rPr>
              <w:t>0.06</w:t>
            </w:r>
          </w:p>
        </w:tc>
      </w:tr>
    </w:tbl>
    <w:p w14:paraId="6B3E2CDE" w14:textId="4CDB3C69" w:rsidR="0021405F" w:rsidRPr="001E141F" w:rsidRDefault="0021405F" w:rsidP="007B14AA">
      <w:pPr>
        <w:pStyle w:val="Heading2"/>
      </w:pPr>
      <w:bookmarkStart w:id="39" w:name="_Toc528239322"/>
      <w:r w:rsidRPr="001E141F">
        <w:t xml:space="preserve">Results based on </w:t>
      </w:r>
      <w:r w:rsidR="0032300D" w:rsidRPr="001E141F">
        <w:t>g</w:t>
      </w:r>
      <w:r w:rsidRPr="001E141F">
        <w:t>eography</w:t>
      </w:r>
      <w:bookmarkEnd w:id="39"/>
      <w:r w:rsidRPr="001E141F">
        <w:t xml:space="preserve"> </w:t>
      </w:r>
    </w:p>
    <w:p w14:paraId="4B4C2354" w14:textId="59C800BC" w:rsidR="0021405F" w:rsidRPr="001E141F" w:rsidRDefault="0021405F" w:rsidP="0021405F">
      <w:pPr>
        <w:pStyle w:val="DHHSbody"/>
        <w:rPr>
          <w:lang w:eastAsia="en-AU"/>
        </w:rPr>
      </w:pPr>
      <w:r w:rsidRPr="001E141F">
        <w:t xml:space="preserve">Responses were grouped according to whether </w:t>
      </w:r>
      <w:r w:rsidR="00AF3602" w:rsidRPr="001E141F">
        <w:t>respondents</w:t>
      </w:r>
      <w:r w:rsidR="00C01915" w:rsidRPr="001E141F">
        <w:t>’</w:t>
      </w:r>
      <w:r w:rsidR="00AF3602" w:rsidRPr="001E141F">
        <w:t xml:space="preserve"> </w:t>
      </w:r>
      <w:r w:rsidRPr="001E141F">
        <w:t>health service</w:t>
      </w:r>
      <w:r w:rsidR="00AF3602" w:rsidRPr="001E141F">
        <w:t>s</w:t>
      </w:r>
      <w:r w:rsidRPr="001E141F">
        <w:t xml:space="preserve"> predominantly operated in metropolitan Melbourne (136 responses), regional centres (35 responses) or smaller rural communities (68 responses). Results showed</w:t>
      </w:r>
      <w:r w:rsidRPr="001E141F">
        <w:rPr>
          <w:lang w:eastAsia="en-AU"/>
        </w:rPr>
        <w:t xml:space="preserve"> a high level of coherency between these groups and the statewide results.</w:t>
      </w:r>
    </w:p>
    <w:p w14:paraId="42F42FE6" w14:textId="37BF890C" w:rsidR="0021405F" w:rsidRPr="001E141F" w:rsidRDefault="0021405F" w:rsidP="0021405F">
      <w:pPr>
        <w:pStyle w:val="DHHSbody"/>
      </w:pPr>
      <w:r w:rsidRPr="001E141F">
        <w:t>Rural health service respondents displayed a substantially lesser interest in items associated with clinical and medical procedures and had a greater focus on more ‘generic’ items such as packaging, e-waste, food waste and obsolete furnishings.</w:t>
      </w:r>
    </w:p>
    <w:p w14:paraId="19FDF50F" w14:textId="201376F9" w:rsidR="00620786" w:rsidRPr="00620786" w:rsidRDefault="00AF3602" w:rsidP="00070829">
      <w:pPr>
        <w:pStyle w:val="DHHSbody"/>
      </w:pPr>
      <w:bookmarkStart w:id="40" w:name="_Ref517963374"/>
      <w:bookmarkStart w:id="41" w:name="_Ref517963533"/>
      <w:r w:rsidRPr="001E141F">
        <w:rPr>
          <w:lang w:eastAsia="en-AU"/>
        </w:rPr>
        <w:t>Priority l</w:t>
      </w:r>
      <w:r w:rsidR="0021405F" w:rsidRPr="001E141F">
        <w:rPr>
          <w:lang w:eastAsia="en-AU"/>
        </w:rPr>
        <w:t>ocations differed between regional, rural and public health services</w:t>
      </w:r>
      <w:r w:rsidRPr="001E141F">
        <w:rPr>
          <w:lang w:eastAsia="en-AU"/>
        </w:rPr>
        <w:t>. A</w:t>
      </w:r>
      <w:r w:rsidR="0021405F" w:rsidRPr="001E141F">
        <w:rPr>
          <w:lang w:eastAsia="en-AU"/>
        </w:rPr>
        <w:t xml:space="preserve">ged care and non-clinical areas, such as public spaces and </w:t>
      </w:r>
      <w:r w:rsidR="00C01915" w:rsidRPr="001E141F">
        <w:rPr>
          <w:lang w:eastAsia="en-AU"/>
        </w:rPr>
        <w:t>café</w:t>
      </w:r>
      <w:r w:rsidR="0021405F" w:rsidRPr="001E141F">
        <w:rPr>
          <w:lang w:eastAsia="en-AU"/>
        </w:rPr>
        <w:t xml:space="preserve">s, </w:t>
      </w:r>
      <w:r w:rsidRPr="001E141F">
        <w:rPr>
          <w:lang w:eastAsia="en-AU"/>
        </w:rPr>
        <w:t>were</w:t>
      </w:r>
      <w:r w:rsidR="0021405F" w:rsidRPr="001E141F">
        <w:rPr>
          <w:lang w:eastAsia="en-AU"/>
        </w:rPr>
        <w:t xml:space="preserve"> prioritised by rural and regional health services more than metropolitan services. There was, however</w:t>
      </w:r>
      <w:r w:rsidR="00C01915" w:rsidRPr="001E141F">
        <w:rPr>
          <w:lang w:eastAsia="en-AU"/>
        </w:rPr>
        <w:t>,</w:t>
      </w:r>
      <w:r w:rsidR="0021405F" w:rsidRPr="001E141F">
        <w:rPr>
          <w:lang w:eastAsia="en-AU"/>
        </w:rPr>
        <w:t xml:space="preserve"> consensus from all areas in prioritising emergency departments</w:t>
      </w:r>
      <w:r w:rsidR="0021405F">
        <w:rPr>
          <w:lang w:eastAsia="en-AU"/>
        </w:rPr>
        <w:t xml:space="preserve"> and operating theatres.</w:t>
      </w:r>
      <w:bookmarkEnd w:id="40"/>
      <w:bookmarkEnd w:id="41"/>
    </w:p>
    <w:sectPr w:rsidR="00620786" w:rsidRPr="00620786" w:rsidSect="007B14AA">
      <w:headerReference w:type="even" r:id="rId21"/>
      <w:headerReference w:type="default" r:id="rId22"/>
      <w:footerReference w:type="even" r:id="rId23"/>
      <w:footerReference w:type="first" r:id="rId24"/>
      <w:type w:val="continuous"/>
      <w:pgSz w:w="11906" w:h="16838"/>
      <w:pgMar w:top="1701" w:right="1304" w:bottom="1134" w:left="1304" w:header="454" w:footer="61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10D2B" w14:textId="77777777" w:rsidR="006B0436" w:rsidRDefault="006B0436">
      <w:r>
        <w:separator/>
      </w:r>
    </w:p>
  </w:endnote>
  <w:endnote w:type="continuationSeparator" w:id="0">
    <w:p w14:paraId="452ED995" w14:textId="77777777" w:rsidR="006B0436" w:rsidRDefault="006B0436">
      <w:r>
        <w:continuationSeparator/>
      </w:r>
    </w:p>
  </w:endnote>
  <w:endnote w:type="continuationNotice" w:id="1">
    <w:p w14:paraId="7FAA49FE" w14:textId="77777777" w:rsidR="006B0436" w:rsidRDefault="006B0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2961BD" w14:textId="049EAE47" w:rsidR="006B0436" w:rsidRDefault="006B0436" w:rsidP="007B14AA">
    <w:pPr>
      <w:pStyle w:val="DHHSfooter"/>
    </w:pPr>
    <w:r>
      <w:t>Waste education in healthcare: summary report</w:t>
    </w:r>
    <w:r w:rsidRPr="0031753A">
      <w:tab/>
      <w:t xml:space="preserve">Page </w:t>
    </w:r>
    <w:r w:rsidRPr="0031753A">
      <w:fldChar w:fldCharType="begin"/>
    </w:r>
    <w:r w:rsidRPr="0031753A">
      <w:instrText xml:space="preserve"> PAGE </w:instrText>
    </w:r>
    <w:r w:rsidRPr="0031753A">
      <w:fldChar w:fldCharType="separate"/>
    </w:r>
    <w:r w:rsidR="00A14A2D">
      <w:rPr>
        <w:noProof/>
      </w:rPr>
      <w:t>2</w:t>
    </w:r>
    <w:r w:rsidRPr="003175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BDA24E" w14:textId="27215F7D" w:rsidR="006B0436" w:rsidRPr="000A72BF" w:rsidRDefault="006B0436" w:rsidP="000A72BF">
    <w:pPr>
      <w:pStyle w:val="DHHSfooter"/>
    </w:pPr>
    <w:r w:rsidRPr="000A72BF">
      <w:t>Waste education in health care: summary report</w:t>
    </w:r>
    <w:r w:rsidRPr="0031753A">
      <w:tab/>
      <w:t xml:space="preserve">Page </w:t>
    </w:r>
    <w:r w:rsidRPr="0031753A">
      <w:fldChar w:fldCharType="begin"/>
    </w:r>
    <w:r w:rsidRPr="0031753A">
      <w:instrText xml:space="preserve"> PAGE </w:instrText>
    </w:r>
    <w:r w:rsidRPr="0031753A">
      <w:fldChar w:fldCharType="separate"/>
    </w:r>
    <w:r w:rsidR="00A14A2D">
      <w:rPr>
        <w:noProof/>
      </w:rPr>
      <w:t>15</w:t>
    </w:r>
    <w:r w:rsidRPr="0031753A">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EF361" w14:textId="6F19EAD1" w:rsidR="006B0436" w:rsidRPr="008114D1" w:rsidRDefault="006B0436" w:rsidP="00E969B1">
    <w:pPr>
      <w:pStyle w:val="DHHSfooter"/>
    </w:pPr>
    <w:r>
      <w:t xml:space="preserve">Page </w:t>
    </w:r>
    <w:r w:rsidRPr="005A39EC">
      <w:fldChar w:fldCharType="begin"/>
    </w:r>
    <w:r w:rsidRPr="005A39EC">
      <w:instrText xml:space="preserve"> PAGE </w:instrText>
    </w:r>
    <w:r w:rsidRPr="005A39EC">
      <w:fldChar w:fldCharType="separate"/>
    </w:r>
    <w:r w:rsidR="00A14A2D">
      <w:rPr>
        <w:noProof/>
      </w:rPr>
      <w:t>14</w:t>
    </w:r>
    <w:r w:rsidRPr="005A39EC">
      <w:fldChar w:fldCharType="end"/>
    </w:r>
    <w:r>
      <w:tab/>
    </w:r>
    <w:r w:rsidRPr="000A72BF">
      <w:t>Waste education in health care: summary report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A7499B" w14:textId="77777777" w:rsidR="006B0436" w:rsidRPr="001A7E04" w:rsidRDefault="006B0436" w:rsidP="00AC0C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26228F" w14:textId="77777777" w:rsidR="006B0436" w:rsidRDefault="006B0436">
      <w:r>
        <w:separator/>
      </w:r>
    </w:p>
  </w:footnote>
  <w:footnote w:type="continuationSeparator" w:id="0">
    <w:p w14:paraId="4F765F1F" w14:textId="77777777" w:rsidR="006B0436" w:rsidRDefault="006B0436">
      <w:r>
        <w:continuationSeparator/>
      </w:r>
    </w:p>
  </w:footnote>
  <w:footnote w:type="continuationNotice" w:id="1">
    <w:p w14:paraId="30F7E107" w14:textId="77777777" w:rsidR="006B0436" w:rsidRDefault="006B04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12DC4" w14:textId="77777777" w:rsidR="006B0436" w:rsidRPr="0069374A" w:rsidRDefault="006B0436" w:rsidP="00E969B1">
    <w:pPr>
      <w:pStyle w:val="DHHS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BE7B59" w14:textId="77777777" w:rsidR="006B0436" w:rsidRDefault="006B0436" w:rsidP="00E969B1">
    <w:pPr>
      <w:pStyle w:val="DHHS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12BD0F14"/>
    <w:multiLevelType w:val="multilevel"/>
    <w:tmpl w:val="AF54AC68"/>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1DB60C63"/>
    <w:multiLevelType w:val="hybridMultilevel"/>
    <w:tmpl w:val="ABB6E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03A193F"/>
    <w:multiLevelType w:val="multilevel"/>
    <w:tmpl w:val="5D40FA02"/>
    <w:lvl w:ilvl="0">
      <w:start w:val="1"/>
      <w:numFmt w:val="lowerLetter"/>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nsid w:val="28D51B47"/>
    <w:multiLevelType w:val="multilevel"/>
    <w:tmpl w:val="4B4E7622"/>
    <w:numStyleLink w:val="ZZNumbers"/>
  </w:abstractNum>
  <w:abstractNum w:abstractNumId="5">
    <w:nsid w:val="2A2F13B9"/>
    <w:multiLevelType w:val="multilevel"/>
    <w:tmpl w:val="AF54AC68"/>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nsid w:val="30736965"/>
    <w:multiLevelType w:val="hybridMultilevel"/>
    <w:tmpl w:val="A7249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54BA1E5A"/>
    <w:multiLevelType w:val="multilevel"/>
    <w:tmpl w:val="F1AE3C5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nsid w:val="5C2659D9"/>
    <w:multiLevelType w:val="multilevel"/>
    <w:tmpl w:val="5B0099D4"/>
    <w:lvl w:ilvl="0">
      <w:start w:val="1"/>
      <w:numFmt w:val="decimal"/>
      <w:lvlText w:val="%1."/>
      <w:lvlJc w:val="left"/>
      <w:pPr>
        <w:ind w:left="227" w:hanging="227"/>
      </w:pPr>
      <w:rPr>
        <w:rFont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680D0333"/>
    <w:multiLevelType w:val="multilevel"/>
    <w:tmpl w:val="A7E0B748"/>
    <w:lvl w:ilvl="0">
      <w:start w:val="1"/>
      <w:numFmt w:val="decimal"/>
      <w:lvlText w:val="%1."/>
      <w:lvlJc w:val="left"/>
      <w:pPr>
        <w:ind w:left="227" w:hanging="227"/>
      </w:pPr>
      <w:rPr>
        <w:rFonts w:hint="default"/>
      </w:rPr>
    </w:lvl>
    <w:lvl w:ilvl="1">
      <w:start w:val="1"/>
      <w:numFmt w:val="bullet"/>
      <w:lvlRestart w:val="0"/>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nsid w:val="69F470F2"/>
    <w:multiLevelType w:val="multilevel"/>
    <w:tmpl w:val="C39609B4"/>
    <w:lvl w:ilvl="0">
      <w:start w:val="1"/>
      <w:numFmt w:val="decimal"/>
      <w:lvlText w:val="%1."/>
      <w:lvlJc w:val="left"/>
      <w:pPr>
        <w:ind w:left="284" w:hanging="284"/>
      </w:pPr>
      <w:rPr>
        <w:rFonts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2"/>
  </w:num>
  <w:num w:numId="2">
    <w:abstractNumId w:val="9"/>
  </w:num>
  <w:num w:numId="3">
    <w:abstractNumId w:val="7"/>
  </w:num>
  <w:num w:numId="4">
    <w:abstractNumId w:val="0"/>
  </w:num>
  <w:num w:numId="5">
    <w:abstractNumId w:val="10"/>
  </w:num>
  <w:num w:numId="6">
    <w:abstractNumId w:val="14"/>
  </w:num>
  <w:num w:numId="7">
    <w:abstractNumId w:val="11"/>
  </w:num>
  <w:num w:numId="8">
    <w:abstractNumId w:val="9"/>
  </w:num>
  <w:num w:numId="9">
    <w:abstractNumId w:val="0"/>
  </w:num>
  <w:num w:numId="10">
    <w:abstractNumId w:val="14"/>
  </w:num>
  <w:num w:numId="11">
    <w:abstractNumId w:val="10"/>
  </w:num>
  <w:num w:numId="12">
    <w:abstractNumId w:val="3"/>
  </w:num>
  <w:num w:numId="13">
    <w:abstractNumId w:val="5"/>
  </w:num>
  <w:num w:numId="14">
    <w:abstractNumId w:val="1"/>
  </w:num>
  <w:num w:numId="15">
    <w:abstractNumId w:val="13"/>
  </w:num>
  <w:num w:numId="16">
    <w:abstractNumId w:val="15"/>
  </w:num>
  <w:num w:numId="17">
    <w:abstractNumId w:val="6"/>
  </w:num>
  <w:num w:numId="18">
    <w:abstractNumId w:val="2"/>
  </w:num>
  <w:num w:numId="19">
    <w:abstractNumId w:val="16"/>
  </w:num>
  <w:num w:numId="20">
    <w:abstractNumId w:val="12"/>
  </w:num>
  <w:num w:numId="21">
    <w:abstractNumId w:val="11"/>
  </w:num>
  <w:num w:numId="22">
    <w:abstractNumId w:val="12"/>
  </w:num>
  <w:num w:numId="23">
    <w:abstractNumId w:val="12"/>
  </w:num>
  <w:num w:numId="24">
    <w:abstractNumId w:val="12"/>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NotTrackFormatting/>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166"/>
    <w:rsid w:val="00002990"/>
    <w:rsid w:val="000048AC"/>
    <w:rsid w:val="00014FC4"/>
    <w:rsid w:val="0001558A"/>
    <w:rsid w:val="00020AAB"/>
    <w:rsid w:val="000223A4"/>
    <w:rsid w:val="00022E60"/>
    <w:rsid w:val="000239E3"/>
    <w:rsid w:val="00025DAE"/>
    <w:rsid w:val="00026C19"/>
    <w:rsid w:val="00031263"/>
    <w:rsid w:val="000476D1"/>
    <w:rsid w:val="00050C2F"/>
    <w:rsid w:val="00053BD0"/>
    <w:rsid w:val="0005587D"/>
    <w:rsid w:val="0005633B"/>
    <w:rsid w:val="00060E93"/>
    <w:rsid w:val="00064936"/>
    <w:rsid w:val="00070829"/>
    <w:rsid w:val="000734F8"/>
    <w:rsid w:val="000736B8"/>
    <w:rsid w:val="00076584"/>
    <w:rsid w:val="000817CB"/>
    <w:rsid w:val="000873EF"/>
    <w:rsid w:val="000906EB"/>
    <w:rsid w:val="000A1B09"/>
    <w:rsid w:val="000A72BF"/>
    <w:rsid w:val="000B3792"/>
    <w:rsid w:val="000B53F2"/>
    <w:rsid w:val="000C6242"/>
    <w:rsid w:val="000C68DB"/>
    <w:rsid w:val="000D2C32"/>
    <w:rsid w:val="000D4D9D"/>
    <w:rsid w:val="000E0D4C"/>
    <w:rsid w:val="000E125C"/>
    <w:rsid w:val="000E1CEB"/>
    <w:rsid w:val="000E6F72"/>
    <w:rsid w:val="000F0478"/>
    <w:rsid w:val="000F0A50"/>
    <w:rsid w:val="0010141A"/>
    <w:rsid w:val="00103D5E"/>
    <w:rsid w:val="00104EA7"/>
    <w:rsid w:val="00105289"/>
    <w:rsid w:val="0010585A"/>
    <w:rsid w:val="00105FAD"/>
    <w:rsid w:val="0011155B"/>
    <w:rsid w:val="00111A6A"/>
    <w:rsid w:val="00112003"/>
    <w:rsid w:val="00120819"/>
    <w:rsid w:val="00121BBD"/>
    <w:rsid w:val="00121BF1"/>
    <w:rsid w:val="00126787"/>
    <w:rsid w:val="00127A8B"/>
    <w:rsid w:val="00130B54"/>
    <w:rsid w:val="00134BE5"/>
    <w:rsid w:val="001412D1"/>
    <w:rsid w:val="00141B8C"/>
    <w:rsid w:val="001423E3"/>
    <w:rsid w:val="00142810"/>
    <w:rsid w:val="001475EA"/>
    <w:rsid w:val="001478C5"/>
    <w:rsid w:val="001504F5"/>
    <w:rsid w:val="001517BD"/>
    <w:rsid w:val="001541E3"/>
    <w:rsid w:val="0016784D"/>
    <w:rsid w:val="0017248D"/>
    <w:rsid w:val="00173626"/>
    <w:rsid w:val="0017614A"/>
    <w:rsid w:val="0018177B"/>
    <w:rsid w:val="001817CD"/>
    <w:rsid w:val="0018235E"/>
    <w:rsid w:val="00184584"/>
    <w:rsid w:val="0018768C"/>
    <w:rsid w:val="00192BA0"/>
    <w:rsid w:val="00193C44"/>
    <w:rsid w:val="00197303"/>
    <w:rsid w:val="001A17EA"/>
    <w:rsid w:val="001A1D17"/>
    <w:rsid w:val="001A22AA"/>
    <w:rsid w:val="001A635C"/>
    <w:rsid w:val="001A7A18"/>
    <w:rsid w:val="001B1565"/>
    <w:rsid w:val="001B166D"/>
    <w:rsid w:val="001B1A1E"/>
    <w:rsid w:val="001B28B5"/>
    <w:rsid w:val="001B2975"/>
    <w:rsid w:val="001C08A9"/>
    <w:rsid w:val="001C122D"/>
    <w:rsid w:val="001C17FC"/>
    <w:rsid w:val="001C475E"/>
    <w:rsid w:val="001D2A82"/>
    <w:rsid w:val="001D569B"/>
    <w:rsid w:val="001E0EA3"/>
    <w:rsid w:val="001E141F"/>
    <w:rsid w:val="001E4995"/>
    <w:rsid w:val="001E73E9"/>
    <w:rsid w:val="001E7A42"/>
    <w:rsid w:val="001F062A"/>
    <w:rsid w:val="001F09DC"/>
    <w:rsid w:val="001F43E6"/>
    <w:rsid w:val="001F7CF9"/>
    <w:rsid w:val="00211752"/>
    <w:rsid w:val="00213772"/>
    <w:rsid w:val="0021405F"/>
    <w:rsid w:val="00215D68"/>
    <w:rsid w:val="00220749"/>
    <w:rsid w:val="002218FB"/>
    <w:rsid w:val="0022422C"/>
    <w:rsid w:val="00225788"/>
    <w:rsid w:val="0022724E"/>
    <w:rsid w:val="00230666"/>
    <w:rsid w:val="00231153"/>
    <w:rsid w:val="0023252E"/>
    <w:rsid w:val="00236698"/>
    <w:rsid w:val="00241C31"/>
    <w:rsid w:val="00245A29"/>
    <w:rsid w:val="00256E7C"/>
    <w:rsid w:val="002679D5"/>
    <w:rsid w:val="00267A03"/>
    <w:rsid w:val="002714FD"/>
    <w:rsid w:val="00275F94"/>
    <w:rsid w:val="00281B9C"/>
    <w:rsid w:val="00282D74"/>
    <w:rsid w:val="00284C9B"/>
    <w:rsid w:val="00287185"/>
    <w:rsid w:val="00287C61"/>
    <w:rsid w:val="00290DEC"/>
    <w:rsid w:val="002A0023"/>
    <w:rsid w:val="002A141B"/>
    <w:rsid w:val="002A26B6"/>
    <w:rsid w:val="002A6A4E"/>
    <w:rsid w:val="002B2BCA"/>
    <w:rsid w:val="002B5A85"/>
    <w:rsid w:val="002B63A7"/>
    <w:rsid w:val="002C5139"/>
    <w:rsid w:val="002C5543"/>
    <w:rsid w:val="002D0F7F"/>
    <w:rsid w:val="002E0198"/>
    <w:rsid w:val="002E1D7C"/>
    <w:rsid w:val="002F449B"/>
    <w:rsid w:val="002F4D86"/>
    <w:rsid w:val="002F5D69"/>
    <w:rsid w:val="002F7C77"/>
    <w:rsid w:val="00300CB3"/>
    <w:rsid w:val="0030394B"/>
    <w:rsid w:val="003072C6"/>
    <w:rsid w:val="00310D8E"/>
    <w:rsid w:val="0031217C"/>
    <w:rsid w:val="00315BBD"/>
    <w:rsid w:val="0031753A"/>
    <w:rsid w:val="00317DD5"/>
    <w:rsid w:val="00320293"/>
    <w:rsid w:val="00322CC2"/>
    <w:rsid w:val="0032300D"/>
    <w:rsid w:val="003271DC"/>
    <w:rsid w:val="00334A10"/>
    <w:rsid w:val="00334B54"/>
    <w:rsid w:val="0033739E"/>
    <w:rsid w:val="00343733"/>
    <w:rsid w:val="00355886"/>
    <w:rsid w:val="00356814"/>
    <w:rsid w:val="00365F4F"/>
    <w:rsid w:val="00373A3E"/>
    <w:rsid w:val="003741AD"/>
    <w:rsid w:val="0038019F"/>
    <w:rsid w:val="00382071"/>
    <w:rsid w:val="003822A7"/>
    <w:rsid w:val="00396305"/>
    <w:rsid w:val="003A2458"/>
    <w:rsid w:val="003A2F25"/>
    <w:rsid w:val="003B017C"/>
    <w:rsid w:val="003B18B3"/>
    <w:rsid w:val="003B2300"/>
    <w:rsid w:val="003B2807"/>
    <w:rsid w:val="003B6166"/>
    <w:rsid w:val="003C66C8"/>
    <w:rsid w:val="003C68F2"/>
    <w:rsid w:val="003D0F6A"/>
    <w:rsid w:val="003D3982"/>
    <w:rsid w:val="003D58B8"/>
    <w:rsid w:val="003D5CFB"/>
    <w:rsid w:val="003E2636"/>
    <w:rsid w:val="003E2E12"/>
    <w:rsid w:val="003F1585"/>
    <w:rsid w:val="003F39CE"/>
    <w:rsid w:val="00401108"/>
    <w:rsid w:val="00402927"/>
    <w:rsid w:val="00407993"/>
    <w:rsid w:val="00410AFD"/>
    <w:rsid w:val="00411660"/>
    <w:rsid w:val="00411833"/>
    <w:rsid w:val="00412F64"/>
    <w:rsid w:val="0041547A"/>
    <w:rsid w:val="00417BEB"/>
    <w:rsid w:val="00417CC6"/>
    <w:rsid w:val="004324FF"/>
    <w:rsid w:val="00432A55"/>
    <w:rsid w:val="00436E78"/>
    <w:rsid w:val="004372B7"/>
    <w:rsid w:val="004401B3"/>
    <w:rsid w:val="0044260A"/>
    <w:rsid w:val="00443EE5"/>
    <w:rsid w:val="00444D82"/>
    <w:rsid w:val="004531C8"/>
    <w:rsid w:val="00453EBB"/>
    <w:rsid w:val="004564C6"/>
    <w:rsid w:val="004606F5"/>
    <w:rsid w:val="004610CC"/>
    <w:rsid w:val="00463CDC"/>
    <w:rsid w:val="00465464"/>
    <w:rsid w:val="00465E87"/>
    <w:rsid w:val="00477777"/>
    <w:rsid w:val="0047786A"/>
    <w:rsid w:val="00477A65"/>
    <w:rsid w:val="00482DB3"/>
    <w:rsid w:val="00486FC9"/>
    <w:rsid w:val="00494F83"/>
    <w:rsid w:val="004A0236"/>
    <w:rsid w:val="004A10D7"/>
    <w:rsid w:val="004A369A"/>
    <w:rsid w:val="004A3B3E"/>
    <w:rsid w:val="004C1B54"/>
    <w:rsid w:val="004C278E"/>
    <w:rsid w:val="004C5777"/>
    <w:rsid w:val="004D0173"/>
    <w:rsid w:val="004D1056"/>
    <w:rsid w:val="004D2B7B"/>
    <w:rsid w:val="004D3577"/>
    <w:rsid w:val="004D60A7"/>
    <w:rsid w:val="004E1EDE"/>
    <w:rsid w:val="004E21E2"/>
    <w:rsid w:val="004E293F"/>
    <w:rsid w:val="004E380D"/>
    <w:rsid w:val="004E7922"/>
    <w:rsid w:val="004E7F29"/>
    <w:rsid w:val="004F0DFC"/>
    <w:rsid w:val="004F3441"/>
    <w:rsid w:val="004F41B2"/>
    <w:rsid w:val="004F4AFC"/>
    <w:rsid w:val="004F52A5"/>
    <w:rsid w:val="00500C8C"/>
    <w:rsid w:val="00501375"/>
    <w:rsid w:val="00501D3B"/>
    <w:rsid w:val="005020BE"/>
    <w:rsid w:val="005022C9"/>
    <w:rsid w:val="00502B8F"/>
    <w:rsid w:val="0050779D"/>
    <w:rsid w:val="005139EA"/>
    <w:rsid w:val="00515D4C"/>
    <w:rsid w:val="00520BBB"/>
    <w:rsid w:val="00524310"/>
    <w:rsid w:val="00525456"/>
    <w:rsid w:val="00532236"/>
    <w:rsid w:val="005338EA"/>
    <w:rsid w:val="0054124D"/>
    <w:rsid w:val="00541DFE"/>
    <w:rsid w:val="00543E6C"/>
    <w:rsid w:val="00544184"/>
    <w:rsid w:val="00546FF4"/>
    <w:rsid w:val="00551789"/>
    <w:rsid w:val="005523D2"/>
    <w:rsid w:val="00553F68"/>
    <w:rsid w:val="005552FD"/>
    <w:rsid w:val="005600E5"/>
    <w:rsid w:val="00564E8F"/>
    <w:rsid w:val="005728A4"/>
    <w:rsid w:val="005763FC"/>
    <w:rsid w:val="00576EB4"/>
    <w:rsid w:val="00577B30"/>
    <w:rsid w:val="00582768"/>
    <w:rsid w:val="00583461"/>
    <w:rsid w:val="005856A4"/>
    <w:rsid w:val="00590730"/>
    <w:rsid w:val="005A3051"/>
    <w:rsid w:val="005A53FE"/>
    <w:rsid w:val="005A5491"/>
    <w:rsid w:val="005B07AC"/>
    <w:rsid w:val="005B7D22"/>
    <w:rsid w:val="005C029E"/>
    <w:rsid w:val="005D05F3"/>
    <w:rsid w:val="005E085D"/>
    <w:rsid w:val="005E3FA7"/>
    <w:rsid w:val="005E46CA"/>
    <w:rsid w:val="005E7393"/>
    <w:rsid w:val="005E7773"/>
    <w:rsid w:val="005E7963"/>
    <w:rsid w:val="005F218C"/>
    <w:rsid w:val="005F4523"/>
    <w:rsid w:val="00601D4D"/>
    <w:rsid w:val="006021B4"/>
    <w:rsid w:val="00605B5B"/>
    <w:rsid w:val="006062D8"/>
    <w:rsid w:val="00606827"/>
    <w:rsid w:val="00611DCA"/>
    <w:rsid w:val="00615469"/>
    <w:rsid w:val="00620262"/>
    <w:rsid w:val="00620786"/>
    <w:rsid w:val="00621B4C"/>
    <w:rsid w:val="0062351A"/>
    <w:rsid w:val="00627C52"/>
    <w:rsid w:val="00630937"/>
    <w:rsid w:val="00633D70"/>
    <w:rsid w:val="00653B84"/>
    <w:rsid w:val="00653C40"/>
    <w:rsid w:val="00653E0D"/>
    <w:rsid w:val="006742D7"/>
    <w:rsid w:val="006865C8"/>
    <w:rsid w:val="00686B48"/>
    <w:rsid w:val="00687038"/>
    <w:rsid w:val="0068714E"/>
    <w:rsid w:val="006872F5"/>
    <w:rsid w:val="0069101F"/>
    <w:rsid w:val="00691565"/>
    <w:rsid w:val="00692144"/>
    <w:rsid w:val="006929F7"/>
    <w:rsid w:val="0069374A"/>
    <w:rsid w:val="00694AB8"/>
    <w:rsid w:val="00694FE1"/>
    <w:rsid w:val="00695EF7"/>
    <w:rsid w:val="006964C0"/>
    <w:rsid w:val="0069699D"/>
    <w:rsid w:val="006A1314"/>
    <w:rsid w:val="006B0436"/>
    <w:rsid w:val="006B2C51"/>
    <w:rsid w:val="006B6361"/>
    <w:rsid w:val="006C4557"/>
    <w:rsid w:val="006D24CE"/>
    <w:rsid w:val="006D360C"/>
    <w:rsid w:val="006D5AC9"/>
    <w:rsid w:val="006D66ED"/>
    <w:rsid w:val="006E786B"/>
    <w:rsid w:val="006F3E0E"/>
    <w:rsid w:val="007002B1"/>
    <w:rsid w:val="00704EB7"/>
    <w:rsid w:val="00705742"/>
    <w:rsid w:val="007104FE"/>
    <w:rsid w:val="00711627"/>
    <w:rsid w:val="00711B0C"/>
    <w:rsid w:val="007121A2"/>
    <w:rsid w:val="00713981"/>
    <w:rsid w:val="00715C15"/>
    <w:rsid w:val="007176D6"/>
    <w:rsid w:val="007250F2"/>
    <w:rsid w:val="00727D54"/>
    <w:rsid w:val="00731EF2"/>
    <w:rsid w:val="007344C5"/>
    <w:rsid w:val="00734959"/>
    <w:rsid w:val="00735137"/>
    <w:rsid w:val="0073520D"/>
    <w:rsid w:val="00754AF4"/>
    <w:rsid w:val="00755611"/>
    <w:rsid w:val="007626C4"/>
    <w:rsid w:val="00776E74"/>
    <w:rsid w:val="00780226"/>
    <w:rsid w:val="00781AB4"/>
    <w:rsid w:val="00786696"/>
    <w:rsid w:val="007874C8"/>
    <w:rsid w:val="007923B7"/>
    <w:rsid w:val="00792616"/>
    <w:rsid w:val="007926BB"/>
    <w:rsid w:val="0079344C"/>
    <w:rsid w:val="007968AE"/>
    <w:rsid w:val="007A0283"/>
    <w:rsid w:val="007B13DA"/>
    <w:rsid w:val="007B14AA"/>
    <w:rsid w:val="007C02C7"/>
    <w:rsid w:val="007C19E5"/>
    <w:rsid w:val="007C21EE"/>
    <w:rsid w:val="007C30A0"/>
    <w:rsid w:val="007D37AF"/>
    <w:rsid w:val="007D3A2E"/>
    <w:rsid w:val="007D6652"/>
    <w:rsid w:val="007E245D"/>
    <w:rsid w:val="007E343D"/>
    <w:rsid w:val="007F367D"/>
    <w:rsid w:val="007F4383"/>
    <w:rsid w:val="007F5858"/>
    <w:rsid w:val="007F6862"/>
    <w:rsid w:val="00801601"/>
    <w:rsid w:val="0080169A"/>
    <w:rsid w:val="008036A7"/>
    <w:rsid w:val="00810991"/>
    <w:rsid w:val="00814A9B"/>
    <w:rsid w:val="00814F66"/>
    <w:rsid w:val="00817C43"/>
    <w:rsid w:val="00817C9E"/>
    <w:rsid w:val="008205AF"/>
    <w:rsid w:val="008222EB"/>
    <w:rsid w:val="008225E5"/>
    <w:rsid w:val="0082523D"/>
    <w:rsid w:val="00825B15"/>
    <w:rsid w:val="00831053"/>
    <w:rsid w:val="008314D2"/>
    <w:rsid w:val="0083254D"/>
    <w:rsid w:val="008338DA"/>
    <w:rsid w:val="00836249"/>
    <w:rsid w:val="00836F00"/>
    <w:rsid w:val="00840DD6"/>
    <w:rsid w:val="00843D49"/>
    <w:rsid w:val="00844B2C"/>
    <w:rsid w:val="00846192"/>
    <w:rsid w:val="00850806"/>
    <w:rsid w:val="008516B0"/>
    <w:rsid w:val="00856A1B"/>
    <w:rsid w:val="008621C3"/>
    <w:rsid w:val="00865486"/>
    <w:rsid w:val="008669BE"/>
    <w:rsid w:val="008700DE"/>
    <w:rsid w:val="00871D1D"/>
    <w:rsid w:val="00871F0C"/>
    <w:rsid w:val="008737CF"/>
    <w:rsid w:val="00873EE8"/>
    <w:rsid w:val="00876275"/>
    <w:rsid w:val="00882B99"/>
    <w:rsid w:val="00886121"/>
    <w:rsid w:val="008A295B"/>
    <w:rsid w:val="008A5B97"/>
    <w:rsid w:val="008A6604"/>
    <w:rsid w:val="008B1C73"/>
    <w:rsid w:val="008B5482"/>
    <w:rsid w:val="008C11F4"/>
    <w:rsid w:val="008C2BEC"/>
    <w:rsid w:val="008C5092"/>
    <w:rsid w:val="008C6523"/>
    <w:rsid w:val="008C6D0E"/>
    <w:rsid w:val="008C6D10"/>
    <w:rsid w:val="008D09D2"/>
    <w:rsid w:val="008D39C5"/>
    <w:rsid w:val="008E1D89"/>
    <w:rsid w:val="008E3E3E"/>
    <w:rsid w:val="008F5F87"/>
    <w:rsid w:val="00900A34"/>
    <w:rsid w:val="00906132"/>
    <w:rsid w:val="00907073"/>
    <w:rsid w:val="00913D72"/>
    <w:rsid w:val="0091423D"/>
    <w:rsid w:val="009208F5"/>
    <w:rsid w:val="00927D51"/>
    <w:rsid w:val="00932272"/>
    <w:rsid w:val="00932862"/>
    <w:rsid w:val="009343EF"/>
    <w:rsid w:val="00935D60"/>
    <w:rsid w:val="0094273F"/>
    <w:rsid w:val="009447BB"/>
    <w:rsid w:val="00944C48"/>
    <w:rsid w:val="0094592A"/>
    <w:rsid w:val="00946335"/>
    <w:rsid w:val="009513C4"/>
    <w:rsid w:val="00955E55"/>
    <w:rsid w:val="0095670D"/>
    <w:rsid w:val="00962200"/>
    <w:rsid w:val="00965081"/>
    <w:rsid w:val="00966F54"/>
    <w:rsid w:val="00975E61"/>
    <w:rsid w:val="00976E31"/>
    <w:rsid w:val="00977395"/>
    <w:rsid w:val="00977C63"/>
    <w:rsid w:val="00980087"/>
    <w:rsid w:val="00980C0B"/>
    <w:rsid w:val="0098524F"/>
    <w:rsid w:val="009853D1"/>
    <w:rsid w:val="009859D3"/>
    <w:rsid w:val="00987ABE"/>
    <w:rsid w:val="00990244"/>
    <w:rsid w:val="009906C7"/>
    <w:rsid w:val="009960C8"/>
    <w:rsid w:val="009963CD"/>
    <w:rsid w:val="009A75C7"/>
    <w:rsid w:val="009B214D"/>
    <w:rsid w:val="009B266D"/>
    <w:rsid w:val="009B5CBF"/>
    <w:rsid w:val="009C184A"/>
    <w:rsid w:val="009C2CA5"/>
    <w:rsid w:val="009C3F9D"/>
    <w:rsid w:val="009C439B"/>
    <w:rsid w:val="009C4EEB"/>
    <w:rsid w:val="009C6E49"/>
    <w:rsid w:val="009C72BD"/>
    <w:rsid w:val="009D3E45"/>
    <w:rsid w:val="009D75D0"/>
    <w:rsid w:val="009F351F"/>
    <w:rsid w:val="009F3F89"/>
    <w:rsid w:val="009F480E"/>
    <w:rsid w:val="00A022A2"/>
    <w:rsid w:val="00A02D15"/>
    <w:rsid w:val="00A11403"/>
    <w:rsid w:val="00A14A2D"/>
    <w:rsid w:val="00A26B0D"/>
    <w:rsid w:val="00A3735A"/>
    <w:rsid w:val="00A42F1B"/>
    <w:rsid w:val="00A43E10"/>
    <w:rsid w:val="00A44EBE"/>
    <w:rsid w:val="00A472C2"/>
    <w:rsid w:val="00A50437"/>
    <w:rsid w:val="00A546BC"/>
    <w:rsid w:val="00A55989"/>
    <w:rsid w:val="00A5694A"/>
    <w:rsid w:val="00A63A16"/>
    <w:rsid w:val="00A63DA4"/>
    <w:rsid w:val="00A74743"/>
    <w:rsid w:val="00A75CD5"/>
    <w:rsid w:val="00A763D5"/>
    <w:rsid w:val="00A82AB5"/>
    <w:rsid w:val="00A83DF3"/>
    <w:rsid w:val="00A85915"/>
    <w:rsid w:val="00A86270"/>
    <w:rsid w:val="00A952AB"/>
    <w:rsid w:val="00A9783D"/>
    <w:rsid w:val="00AA44AC"/>
    <w:rsid w:val="00AA45E6"/>
    <w:rsid w:val="00AA5A37"/>
    <w:rsid w:val="00AB489C"/>
    <w:rsid w:val="00AB50C1"/>
    <w:rsid w:val="00AB6936"/>
    <w:rsid w:val="00AC0C3B"/>
    <w:rsid w:val="00AC2D63"/>
    <w:rsid w:val="00AC66CD"/>
    <w:rsid w:val="00AD03D8"/>
    <w:rsid w:val="00AD0711"/>
    <w:rsid w:val="00AD4222"/>
    <w:rsid w:val="00AD43B1"/>
    <w:rsid w:val="00AD704E"/>
    <w:rsid w:val="00AE17D7"/>
    <w:rsid w:val="00AE4BA7"/>
    <w:rsid w:val="00AE5FE0"/>
    <w:rsid w:val="00AE60B7"/>
    <w:rsid w:val="00AF2AB7"/>
    <w:rsid w:val="00AF2B1C"/>
    <w:rsid w:val="00AF3602"/>
    <w:rsid w:val="00AF4D3F"/>
    <w:rsid w:val="00B0300B"/>
    <w:rsid w:val="00B03203"/>
    <w:rsid w:val="00B05457"/>
    <w:rsid w:val="00B057F5"/>
    <w:rsid w:val="00B101B8"/>
    <w:rsid w:val="00B128A0"/>
    <w:rsid w:val="00B20240"/>
    <w:rsid w:val="00B20624"/>
    <w:rsid w:val="00B23281"/>
    <w:rsid w:val="00B2614A"/>
    <w:rsid w:val="00B27571"/>
    <w:rsid w:val="00B33C41"/>
    <w:rsid w:val="00B356F0"/>
    <w:rsid w:val="00B40CFC"/>
    <w:rsid w:val="00B4164B"/>
    <w:rsid w:val="00B51854"/>
    <w:rsid w:val="00B5409A"/>
    <w:rsid w:val="00B55574"/>
    <w:rsid w:val="00B61E68"/>
    <w:rsid w:val="00B6525D"/>
    <w:rsid w:val="00B65ABA"/>
    <w:rsid w:val="00B67097"/>
    <w:rsid w:val="00B6790F"/>
    <w:rsid w:val="00B71B3B"/>
    <w:rsid w:val="00B76E06"/>
    <w:rsid w:val="00B773A1"/>
    <w:rsid w:val="00B80C92"/>
    <w:rsid w:val="00B84D7A"/>
    <w:rsid w:val="00B853DB"/>
    <w:rsid w:val="00B87D61"/>
    <w:rsid w:val="00B93948"/>
    <w:rsid w:val="00BA4BC7"/>
    <w:rsid w:val="00BA55B7"/>
    <w:rsid w:val="00BA5E47"/>
    <w:rsid w:val="00BA7D57"/>
    <w:rsid w:val="00BB156E"/>
    <w:rsid w:val="00BB163E"/>
    <w:rsid w:val="00BB3330"/>
    <w:rsid w:val="00BB47D7"/>
    <w:rsid w:val="00BB4A62"/>
    <w:rsid w:val="00BC01C1"/>
    <w:rsid w:val="00BC45A1"/>
    <w:rsid w:val="00BC5A34"/>
    <w:rsid w:val="00BD17F5"/>
    <w:rsid w:val="00BD6E05"/>
    <w:rsid w:val="00BE0BC5"/>
    <w:rsid w:val="00BE54D0"/>
    <w:rsid w:val="00BF36E8"/>
    <w:rsid w:val="00BF5C41"/>
    <w:rsid w:val="00BF6B6C"/>
    <w:rsid w:val="00BF7251"/>
    <w:rsid w:val="00BF7F28"/>
    <w:rsid w:val="00C01909"/>
    <w:rsid w:val="00C01915"/>
    <w:rsid w:val="00C05787"/>
    <w:rsid w:val="00C11871"/>
    <w:rsid w:val="00C119AA"/>
    <w:rsid w:val="00C13059"/>
    <w:rsid w:val="00C156D4"/>
    <w:rsid w:val="00C167A3"/>
    <w:rsid w:val="00C2181C"/>
    <w:rsid w:val="00C2657D"/>
    <w:rsid w:val="00C26A87"/>
    <w:rsid w:val="00C3745D"/>
    <w:rsid w:val="00C416E1"/>
    <w:rsid w:val="00C41A45"/>
    <w:rsid w:val="00C47BF8"/>
    <w:rsid w:val="00C51B1C"/>
    <w:rsid w:val="00C51DC9"/>
    <w:rsid w:val="00C53DCE"/>
    <w:rsid w:val="00C5612F"/>
    <w:rsid w:val="00C617F1"/>
    <w:rsid w:val="00C6469B"/>
    <w:rsid w:val="00C655F2"/>
    <w:rsid w:val="00C65B4C"/>
    <w:rsid w:val="00C65B61"/>
    <w:rsid w:val="00C668FD"/>
    <w:rsid w:val="00C70E53"/>
    <w:rsid w:val="00C72979"/>
    <w:rsid w:val="00C81529"/>
    <w:rsid w:val="00C81BA6"/>
    <w:rsid w:val="00C8377C"/>
    <w:rsid w:val="00C8602F"/>
    <w:rsid w:val="00C877CD"/>
    <w:rsid w:val="00C902E9"/>
    <w:rsid w:val="00C908B7"/>
    <w:rsid w:val="00C91D81"/>
    <w:rsid w:val="00C92A42"/>
    <w:rsid w:val="00C9608A"/>
    <w:rsid w:val="00CA18F2"/>
    <w:rsid w:val="00CA4871"/>
    <w:rsid w:val="00CA6140"/>
    <w:rsid w:val="00CA6722"/>
    <w:rsid w:val="00CA6D4E"/>
    <w:rsid w:val="00CA7B4B"/>
    <w:rsid w:val="00CB36A8"/>
    <w:rsid w:val="00CB4FC7"/>
    <w:rsid w:val="00CC139A"/>
    <w:rsid w:val="00CC1E7A"/>
    <w:rsid w:val="00CC4F64"/>
    <w:rsid w:val="00CC5B29"/>
    <w:rsid w:val="00CD058C"/>
    <w:rsid w:val="00CD3B98"/>
    <w:rsid w:val="00CD4216"/>
    <w:rsid w:val="00CD518C"/>
    <w:rsid w:val="00CD733F"/>
    <w:rsid w:val="00CD7C65"/>
    <w:rsid w:val="00CE0942"/>
    <w:rsid w:val="00CE7CA5"/>
    <w:rsid w:val="00CF1D81"/>
    <w:rsid w:val="00CF2DC9"/>
    <w:rsid w:val="00CF7CB6"/>
    <w:rsid w:val="00D127C0"/>
    <w:rsid w:val="00D14F11"/>
    <w:rsid w:val="00D311AB"/>
    <w:rsid w:val="00D32290"/>
    <w:rsid w:val="00D325A8"/>
    <w:rsid w:val="00D37CCE"/>
    <w:rsid w:val="00D406A9"/>
    <w:rsid w:val="00D442AD"/>
    <w:rsid w:val="00D44DA5"/>
    <w:rsid w:val="00D52144"/>
    <w:rsid w:val="00D544BA"/>
    <w:rsid w:val="00D5618A"/>
    <w:rsid w:val="00D5784B"/>
    <w:rsid w:val="00D60470"/>
    <w:rsid w:val="00D63C3A"/>
    <w:rsid w:val="00D63EFB"/>
    <w:rsid w:val="00D658AF"/>
    <w:rsid w:val="00D70A79"/>
    <w:rsid w:val="00D74544"/>
    <w:rsid w:val="00D817D4"/>
    <w:rsid w:val="00D83DE9"/>
    <w:rsid w:val="00D8450D"/>
    <w:rsid w:val="00D84C4D"/>
    <w:rsid w:val="00D9173F"/>
    <w:rsid w:val="00D93941"/>
    <w:rsid w:val="00D95AF9"/>
    <w:rsid w:val="00DA09C9"/>
    <w:rsid w:val="00DA1822"/>
    <w:rsid w:val="00DA2520"/>
    <w:rsid w:val="00DB3AA0"/>
    <w:rsid w:val="00DB5E1F"/>
    <w:rsid w:val="00DC19D8"/>
    <w:rsid w:val="00DC2613"/>
    <w:rsid w:val="00DC4512"/>
    <w:rsid w:val="00DD3691"/>
    <w:rsid w:val="00DD4B55"/>
    <w:rsid w:val="00DD67DA"/>
    <w:rsid w:val="00DE0094"/>
    <w:rsid w:val="00DE1E90"/>
    <w:rsid w:val="00DE24E6"/>
    <w:rsid w:val="00DE5C8A"/>
    <w:rsid w:val="00DE7755"/>
    <w:rsid w:val="00DF07AD"/>
    <w:rsid w:val="00DF3364"/>
    <w:rsid w:val="00E055BB"/>
    <w:rsid w:val="00E11988"/>
    <w:rsid w:val="00E15DA9"/>
    <w:rsid w:val="00E2095D"/>
    <w:rsid w:val="00E24B69"/>
    <w:rsid w:val="00E30414"/>
    <w:rsid w:val="00E35F14"/>
    <w:rsid w:val="00E40769"/>
    <w:rsid w:val="00E42E8B"/>
    <w:rsid w:val="00E43DAC"/>
    <w:rsid w:val="00E60F12"/>
    <w:rsid w:val="00E6173F"/>
    <w:rsid w:val="00E652FB"/>
    <w:rsid w:val="00E662A7"/>
    <w:rsid w:val="00E66C20"/>
    <w:rsid w:val="00E71C46"/>
    <w:rsid w:val="00E731B7"/>
    <w:rsid w:val="00E75ED2"/>
    <w:rsid w:val="00E8280C"/>
    <w:rsid w:val="00E83E4C"/>
    <w:rsid w:val="00E91933"/>
    <w:rsid w:val="00E92A81"/>
    <w:rsid w:val="00E95F01"/>
    <w:rsid w:val="00E969B1"/>
    <w:rsid w:val="00EA0D24"/>
    <w:rsid w:val="00EA6570"/>
    <w:rsid w:val="00EA7B80"/>
    <w:rsid w:val="00EB0A0F"/>
    <w:rsid w:val="00EB0C4C"/>
    <w:rsid w:val="00EB4CF8"/>
    <w:rsid w:val="00EB6552"/>
    <w:rsid w:val="00EC18E6"/>
    <w:rsid w:val="00EC1984"/>
    <w:rsid w:val="00EC234C"/>
    <w:rsid w:val="00ED3529"/>
    <w:rsid w:val="00ED4D17"/>
    <w:rsid w:val="00ED68CE"/>
    <w:rsid w:val="00EE25E7"/>
    <w:rsid w:val="00EE4957"/>
    <w:rsid w:val="00EE6CD3"/>
    <w:rsid w:val="00EF20D7"/>
    <w:rsid w:val="00EF3419"/>
    <w:rsid w:val="00EF4660"/>
    <w:rsid w:val="00EF7FEF"/>
    <w:rsid w:val="00F0119C"/>
    <w:rsid w:val="00F02BDB"/>
    <w:rsid w:val="00F0441B"/>
    <w:rsid w:val="00F07623"/>
    <w:rsid w:val="00F07D0B"/>
    <w:rsid w:val="00F12B5A"/>
    <w:rsid w:val="00F2073E"/>
    <w:rsid w:val="00F3136B"/>
    <w:rsid w:val="00F314F1"/>
    <w:rsid w:val="00F327EA"/>
    <w:rsid w:val="00F332AC"/>
    <w:rsid w:val="00F33641"/>
    <w:rsid w:val="00F3541D"/>
    <w:rsid w:val="00F36995"/>
    <w:rsid w:val="00F42842"/>
    <w:rsid w:val="00F43EE0"/>
    <w:rsid w:val="00F46E40"/>
    <w:rsid w:val="00F4760A"/>
    <w:rsid w:val="00F50CB5"/>
    <w:rsid w:val="00F529FE"/>
    <w:rsid w:val="00F52B13"/>
    <w:rsid w:val="00F52B8E"/>
    <w:rsid w:val="00F53CFD"/>
    <w:rsid w:val="00F54AF5"/>
    <w:rsid w:val="00F557E3"/>
    <w:rsid w:val="00F56042"/>
    <w:rsid w:val="00F61E78"/>
    <w:rsid w:val="00F635C5"/>
    <w:rsid w:val="00F736E3"/>
    <w:rsid w:val="00F7558D"/>
    <w:rsid w:val="00F767E8"/>
    <w:rsid w:val="00F77844"/>
    <w:rsid w:val="00F77E78"/>
    <w:rsid w:val="00F80458"/>
    <w:rsid w:val="00F83E1B"/>
    <w:rsid w:val="00F86A3F"/>
    <w:rsid w:val="00F91297"/>
    <w:rsid w:val="00F9133B"/>
    <w:rsid w:val="00F97730"/>
    <w:rsid w:val="00FA1CFC"/>
    <w:rsid w:val="00FB32A4"/>
    <w:rsid w:val="00FB385B"/>
    <w:rsid w:val="00FB3969"/>
    <w:rsid w:val="00FB594D"/>
    <w:rsid w:val="00FC3017"/>
    <w:rsid w:val="00FC49BB"/>
    <w:rsid w:val="00FC647C"/>
    <w:rsid w:val="00FD122C"/>
    <w:rsid w:val="00FD5655"/>
    <w:rsid w:val="00FD616B"/>
    <w:rsid w:val="00FE367F"/>
    <w:rsid w:val="00FE4A47"/>
    <w:rsid w:val="00FE51ED"/>
    <w:rsid w:val="00FE6B89"/>
    <w:rsid w:val="00FF29DC"/>
    <w:rsid w:val="00FF2EC4"/>
    <w:rsid w:val="00FF37A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8D0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1"/>
    <w:qFormat/>
    <w:rsid w:val="0062351A"/>
    <w:pPr>
      <w:keepNext/>
      <w:keepLines/>
      <w:spacing w:before="520" w:after="440" w:line="440" w:lineRule="atLeast"/>
      <w:outlineLvl w:val="0"/>
    </w:pPr>
    <w:rPr>
      <w:rFonts w:ascii="Arial" w:hAnsi="Arial"/>
      <w:bCs/>
      <w:color w:val="D03061" w:themeColor="text2"/>
      <w:sz w:val="44"/>
      <w:szCs w:val="44"/>
      <w:lang w:eastAsia="en-US"/>
    </w:rPr>
  </w:style>
  <w:style w:type="paragraph" w:styleId="Heading2">
    <w:name w:val="heading 2"/>
    <w:next w:val="DHHSbody"/>
    <w:link w:val="Heading2Char"/>
    <w:uiPriority w:val="1"/>
    <w:qFormat/>
    <w:rsid w:val="0062351A"/>
    <w:pPr>
      <w:keepNext/>
      <w:keepLines/>
      <w:spacing w:before="240" w:after="90" w:line="320" w:lineRule="atLeast"/>
      <w:outlineLvl w:val="1"/>
    </w:pPr>
    <w:rPr>
      <w:rFonts w:ascii="Arial" w:hAnsi="Arial"/>
      <w:b/>
      <w:color w:val="D03061" w:themeColor="text2"/>
      <w:sz w:val="28"/>
      <w:szCs w:val="28"/>
      <w:lang w:eastAsia="en-US"/>
    </w:rPr>
  </w:style>
  <w:style w:type="paragraph" w:styleId="Heading3">
    <w:name w:val="heading 3"/>
    <w:next w:val="DHHSbody"/>
    <w:link w:val="Heading3Char"/>
    <w:uiPriority w:val="1"/>
    <w:qFormat/>
    <w:rsid w:val="0062351A"/>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62351A"/>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62351A"/>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2351A"/>
    <w:rPr>
      <w:rFonts w:ascii="Arial" w:hAnsi="Arial"/>
      <w:bCs/>
      <w:color w:val="D03061" w:themeColor="text2"/>
      <w:sz w:val="44"/>
      <w:szCs w:val="44"/>
      <w:lang w:eastAsia="en-US"/>
    </w:rPr>
  </w:style>
  <w:style w:type="character" w:customStyle="1" w:styleId="Heading2Char">
    <w:name w:val="Heading 2 Char"/>
    <w:link w:val="Heading2"/>
    <w:uiPriority w:val="1"/>
    <w:rsid w:val="0062351A"/>
    <w:rPr>
      <w:rFonts w:ascii="Arial" w:hAnsi="Arial"/>
      <w:b/>
      <w:color w:val="D03061" w:themeColor="text2"/>
      <w:sz w:val="28"/>
      <w:szCs w:val="28"/>
      <w:lang w:eastAsia="en-US"/>
    </w:rPr>
  </w:style>
  <w:style w:type="character" w:customStyle="1" w:styleId="Heading3Char">
    <w:name w:val="Heading 3 Char"/>
    <w:link w:val="Heading3"/>
    <w:uiPriority w:val="1"/>
    <w:rsid w:val="0062351A"/>
    <w:rPr>
      <w:rFonts w:ascii="Arial" w:eastAsia="MS Gothic" w:hAnsi="Arial"/>
      <w:b/>
      <w:bCs/>
      <w:sz w:val="24"/>
      <w:szCs w:val="26"/>
    </w:rPr>
  </w:style>
  <w:style w:type="character" w:customStyle="1" w:styleId="Heading4Char">
    <w:name w:val="Heading 4 Char"/>
    <w:link w:val="Heading4"/>
    <w:uiPriority w:val="1"/>
    <w:rsid w:val="0062351A"/>
    <w:rPr>
      <w:rFonts w:ascii="Arial" w:eastAsia="MS Mincho" w:hAnsi="Arial"/>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62351A"/>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4606F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5"/>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D03061" w:themeColor="text2"/>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uiPriority w:val="9"/>
    <w:rsid w:val="0062351A"/>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62351A"/>
    <w:pPr>
      <w:spacing w:after="120" w:line="270" w:lineRule="atLeast"/>
    </w:pPr>
    <w:rPr>
      <w:rFonts w:ascii="Arial" w:eastAsia="Times" w:hAnsi="Arial"/>
      <w:lang w:eastAsia="en-US"/>
    </w:rPr>
  </w:style>
  <w:style w:type="paragraph" w:customStyle="1" w:styleId="DHHSbullet1">
    <w:name w:val="DHHS bullet 1"/>
    <w:basedOn w:val="DHHSbody"/>
    <w:qFormat/>
    <w:rsid w:val="0062351A"/>
    <w:pPr>
      <w:numPr>
        <w:numId w:val="20"/>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62351A"/>
    <w:pPr>
      <w:spacing w:before="80" w:after="60"/>
    </w:pPr>
    <w:rPr>
      <w:rFonts w:ascii="Arial" w:hAnsi="Arial"/>
      <w:lang w:eastAsia="en-US"/>
    </w:rPr>
  </w:style>
  <w:style w:type="paragraph" w:customStyle="1" w:styleId="DHHStablecaption">
    <w:name w:val="DHHS table caption"/>
    <w:next w:val="DHHSbody"/>
    <w:uiPriority w:val="3"/>
    <w:qFormat/>
    <w:rsid w:val="0062351A"/>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2351A"/>
    <w:pPr>
      <w:numPr>
        <w:ilvl w:val="1"/>
        <w:numId w:val="20"/>
      </w:numPr>
      <w:spacing w:after="40"/>
    </w:pPr>
  </w:style>
  <w:style w:type="paragraph" w:customStyle="1" w:styleId="DHHSheader">
    <w:name w:val="DHHS header"/>
    <w:basedOn w:val="DHHSfooter"/>
    <w:uiPriority w:val="11"/>
    <w:rsid w:val="00E969B1"/>
  </w:style>
  <w:style w:type="character" w:styleId="Strong">
    <w:name w:val="Strong"/>
    <w:uiPriority w:val="22"/>
    <w:qFormat/>
    <w:rsid w:val="0062351A"/>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62351A"/>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D03061"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62351A"/>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rsid w:val="0062351A"/>
    <w:rPr>
      <w:rFonts w:ascii="Calibri Light" w:hAnsi="Calibri Light"/>
      <w:sz w:val="24"/>
      <w:szCs w:val="24"/>
      <w:lang w:eastAsia="en-US"/>
    </w:rPr>
  </w:style>
  <w:style w:type="paragraph" w:styleId="Title">
    <w:name w:val="Title"/>
    <w:basedOn w:val="Normal"/>
    <w:next w:val="Normal"/>
    <w:link w:val="TitleChar"/>
    <w:uiPriority w:val="10"/>
    <w:qFormat/>
    <w:rsid w:val="0062351A"/>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62351A"/>
    <w:rPr>
      <w:rFonts w:ascii="Calibri Light" w:hAnsi="Calibri Light"/>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62351A"/>
    <w:pPr>
      <w:numPr>
        <w:numId w:val="21"/>
      </w:numPr>
    </w:pPr>
  </w:style>
  <w:style w:type="paragraph" w:customStyle="1" w:styleId="DHHStablebullet2">
    <w:name w:val="DHHS table bullet 2"/>
    <w:basedOn w:val="DHHStabletext"/>
    <w:uiPriority w:val="11"/>
    <w:rsid w:val="008669BE"/>
    <w:pPr>
      <w:numPr>
        <w:ilvl w:val="1"/>
        <w:numId w:val="21"/>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customStyle="1" w:styleId="VHHSBSustainability">
    <w:name w:val="VHHSB Sustainability"/>
    <w:basedOn w:val="DHHSreportmaintitlewhite"/>
    <w:link w:val="VHHSBSustainabilityChar"/>
    <w:rsid w:val="00C8602F"/>
  </w:style>
  <w:style w:type="character" w:customStyle="1" w:styleId="VHHSBSustainabilityChar">
    <w:name w:val="VHHSB Sustainability Char"/>
    <w:basedOn w:val="DefaultParagraphFont"/>
    <w:link w:val="VHHSBSustainability"/>
    <w:rsid w:val="00C8602F"/>
    <w:rPr>
      <w:rFonts w:ascii="Arial" w:hAnsi="Arial"/>
      <w:bCs/>
      <w:caps/>
      <w:color w:val="FFFFFF"/>
      <w:sz w:val="68"/>
      <w:szCs w:val="68"/>
      <w:lang w:eastAsia="en-US"/>
    </w:rPr>
  </w:style>
  <w:style w:type="paragraph" w:styleId="BalloonText">
    <w:name w:val="Balloon Text"/>
    <w:basedOn w:val="Normal"/>
    <w:link w:val="BalloonTextChar"/>
    <w:uiPriority w:val="99"/>
    <w:semiHidden/>
    <w:unhideWhenUsed/>
    <w:rsid w:val="003B6166"/>
    <w:rPr>
      <w:rFonts w:ascii="Tahoma" w:hAnsi="Tahoma" w:cs="Tahoma"/>
      <w:sz w:val="16"/>
      <w:szCs w:val="16"/>
    </w:rPr>
  </w:style>
  <w:style w:type="character" w:customStyle="1" w:styleId="BalloonTextChar">
    <w:name w:val="Balloon Text Char"/>
    <w:basedOn w:val="DefaultParagraphFont"/>
    <w:link w:val="BalloonText"/>
    <w:uiPriority w:val="99"/>
    <w:semiHidden/>
    <w:rsid w:val="003B6166"/>
    <w:rPr>
      <w:rFonts w:ascii="Tahoma" w:hAnsi="Tahoma" w:cs="Tahoma"/>
      <w:sz w:val="16"/>
      <w:szCs w:val="16"/>
      <w:lang w:eastAsia="en-US"/>
    </w:rPr>
  </w:style>
  <w:style w:type="character" w:styleId="CommentReference">
    <w:name w:val="annotation reference"/>
    <w:basedOn w:val="DefaultParagraphFont"/>
    <w:uiPriority w:val="99"/>
    <w:semiHidden/>
    <w:unhideWhenUsed/>
    <w:rsid w:val="00C41A45"/>
    <w:rPr>
      <w:sz w:val="16"/>
      <w:szCs w:val="16"/>
    </w:rPr>
  </w:style>
  <w:style w:type="paragraph" w:styleId="CommentText">
    <w:name w:val="annotation text"/>
    <w:basedOn w:val="Normal"/>
    <w:link w:val="CommentTextChar"/>
    <w:uiPriority w:val="99"/>
    <w:semiHidden/>
    <w:unhideWhenUsed/>
    <w:rsid w:val="00C41A45"/>
    <w:rPr>
      <w:rFonts w:ascii="Calibri" w:eastAsia="Calibri" w:hAnsi="Calibri"/>
    </w:rPr>
  </w:style>
  <w:style w:type="character" w:customStyle="1" w:styleId="CommentTextChar">
    <w:name w:val="Comment Text Char"/>
    <w:basedOn w:val="DefaultParagraphFont"/>
    <w:link w:val="CommentText"/>
    <w:uiPriority w:val="99"/>
    <w:semiHidden/>
    <w:rsid w:val="00C41A45"/>
    <w:rPr>
      <w:rFonts w:ascii="Calibri" w:eastAsia="Calibri" w:hAnsi="Calibri"/>
      <w:lang w:eastAsia="en-US"/>
    </w:rPr>
  </w:style>
  <w:style w:type="paragraph" w:styleId="ListParagraph">
    <w:name w:val="List Paragraph"/>
    <w:basedOn w:val="Normal"/>
    <w:uiPriority w:val="72"/>
    <w:semiHidden/>
    <w:qFormat/>
    <w:rsid w:val="00C41A45"/>
    <w:pPr>
      <w:ind w:left="720"/>
      <w:contextualSpacing/>
    </w:pPr>
    <w:rPr>
      <w:rFonts w:eastAsia="Calibri"/>
    </w:rPr>
  </w:style>
  <w:style w:type="paragraph" w:styleId="Caption">
    <w:name w:val="caption"/>
    <w:basedOn w:val="Normal"/>
    <w:next w:val="Normal"/>
    <w:uiPriority w:val="35"/>
    <w:unhideWhenUsed/>
    <w:qFormat/>
    <w:rsid w:val="00C41A45"/>
    <w:pPr>
      <w:spacing w:after="200"/>
    </w:pPr>
    <w:rPr>
      <w:rFonts w:eastAsia="Calibri"/>
      <w:b/>
      <w:bCs/>
      <w:color w:val="D03061" w:themeColor="accent1"/>
      <w:sz w:val="18"/>
      <w:szCs w:val="18"/>
    </w:rPr>
  </w:style>
  <w:style w:type="paragraph" w:styleId="TOCHeading">
    <w:name w:val="TOC Heading"/>
    <w:basedOn w:val="Heading1"/>
    <w:next w:val="Normal"/>
    <w:uiPriority w:val="71"/>
    <w:semiHidden/>
    <w:unhideWhenUsed/>
    <w:qFormat/>
    <w:rsid w:val="00C41A45"/>
    <w:pPr>
      <w:spacing w:before="480" w:after="0" w:line="240" w:lineRule="auto"/>
      <w:outlineLvl w:val="9"/>
    </w:pPr>
    <w:rPr>
      <w:rFonts w:asciiTheme="majorHAnsi" w:eastAsiaTheme="majorEastAsia" w:hAnsiTheme="majorHAnsi" w:cstheme="majorBidi"/>
      <w:b/>
      <w:color w:val="9C2348" w:themeColor="accent1" w:themeShade="BF"/>
      <w:sz w:val="28"/>
      <w:szCs w:val="28"/>
    </w:rPr>
  </w:style>
  <w:style w:type="character" w:customStyle="1" w:styleId="HeaderChar">
    <w:name w:val="Header Char"/>
    <w:basedOn w:val="DefaultParagraphFont"/>
    <w:link w:val="Header"/>
    <w:uiPriority w:val="99"/>
    <w:rsid w:val="00C41A45"/>
    <w:rPr>
      <w:rFonts w:ascii="Arial" w:hAnsi="Arial" w:cs="Arial"/>
      <w:sz w:val="18"/>
      <w:szCs w:val="18"/>
      <w:lang w:eastAsia="en-US"/>
    </w:rPr>
  </w:style>
  <w:style w:type="character" w:customStyle="1" w:styleId="FooterChar">
    <w:name w:val="Footer Char"/>
    <w:basedOn w:val="DefaultParagraphFont"/>
    <w:link w:val="Footer"/>
    <w:uiPriority w:val="99"/>
    <w:rsid w:val="00C41A45"/>
    <w:rPr>
      <w:rFonts w:ascii="Arial" w:hAnsi="Arial" w:cs="Arial"/>
      <w:sz w:val="18"/>
      <w:szCs w:val="18"/>
      <w:lang w:eastAsia="en-US"/>
    </w:rPr>
  </w:style>
  <w:style w:type="paragraph" w:styleId="CommentSubject">
    <w:name w:val="annotation subject"/>
    <w:basedOn w:val="CommentText"/>
    <w:next w:val="CommentText"/>
    <w:link w:val="CommentSubjectChar"/>
    <w:uiPriority w:val="99"/>
    <w:semiHidden/>
    <w:unhideWhenUsed/>
    <w:rsid w:val="00C41A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1A45"/>
    <w:rPr>
      <w:rFonts w:asciiTheme="minorHAnsi" w:eastAsiaTheme="minorHAnsi" w:hAnsiTheme="minorHAnsi" w:cstheme="minorBidi"/>
      <w:b/>
      <w:bCs/>
      <w:lang w:eastAsia="en-US"/>
    </w:rPr>
  </w:style>
  <w:style w:type="character" w:customStyle="1" w:styleId="FootnoteTextChar">
    <w:name w:val="Footnote Text Char"/>
    <w:basedOn w:val="DefaultParagraphFont"/>
    <w:link w:val="FootnoteText"/>
    <w:uiPriority w:val="99"/>
    <w:rsid w:val="00C41A45"/>
    <w:rPr>
      <w:rFonts w:ascii="Arial" w:eastAsia="MS Gothic" w:hAnsi="Arial" w:cs="Arial"/>
      <w:sz w:val="16"/>
      <w:szCs w:val="16"/>
      <w:lang w:eastAsia="en-US"/>
    </w:rPr>
  </w:style>
  <w:style w:type="table" w:styleId="MediumGrid3-Accent4">
    <w:name w:val="Medium Grid 3 Accent 4"/>
    <w:basedOn w:val="TableNormal"/>
    <w:uiPriority w:val="60"/>
    <w:rsid w:val="00C41A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4A7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4A7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4A7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4A7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4BE" w:themeFill="accent4" w:themeFillTint="7F"/>
      </w:tcPr>
    </w:tblStylePr>
  </w:style>
  <w:style w:type="table" w:styleId="MediumShading1-Accent4">
    <w:name w:val="Medium Shading 1 Accent 4"/>
    <w:basedOn w:val="TableNormal"/>
    <w:uiPriority w:val="68"/>
    <w:rsid w:val="00C41A45"/>
    <w:tblPr>
      <w:tblStyleRowBandSize w:val="1"/>
      <w:tblStyleColBandSize w:val="1"/>
      <w:tblBorders>
        <w:top w:val="single" w:sz="8" w:space="0" w:color="F3779E" w:themeColor="accent4" w:themeTint="BF"/>
        <w:left w:val="single" w:sz="8" w:space="0" w:color="F3779E" w:themeColor="accent4" w:themeTint="BF"/>
        <w:bottom w:val="single" w:sz="8" w:space="0" w:color="F3779E" w:themeColor="accent4" w:themeTint="BF"/>
        <w:right w:val="single" w:sz="8" w:space="0" w:color="F3779E" w:themeColor="accent4" w:themeTint="BF"/>
        <w:insideH w:val="single" w:sz="8" w:space="0" w:color="F3779E" w:themeColor="accent4" w:themeTint="BF"/>
      </w:tblBorders>
    </w:tblPr>
    <w:tblStylePr w:type="firstRow">
      <w:pPr>
        <w:spacing w:before="0" w:after="0" w:line="240" w:lineRule="auto"/>
      </w:pPr>
      <w:rPr>
        <w:b/>
        <w:bCs/>
        <w:color w:val="FFFFFF" w:themeColor="background1"/>
      </w:rPr>
      <w:tblPr/>
      <w:tcPr>
        <w:tcBorders>
          <w:top w:val="single" w:sz="8" w:space="0" w:color="F3779E" w:themeColor="accent4" w:themeTint="BF"/>
          <w:left w:val="single" w:sz="8" w:space="0" w:color="F3779E" w:themeColor="accent4" w:themeTint="BF"/>
          <w:bottom w:val="single" w:sz="8" w:space="0" w:color="F3779E" w:themeColor="accent4" w:themeTint="BF"/>
          <w:right w:val="single" w:sz="8" w:space="0" w:color="F3779E" w:themeColor="accent4" w:themeTint="BF"/>
          <w:insideH w:val="nil"/>
          <w:insideV w:val="nil"/>
        </w:tcBorders>
        <w:shd w:val="clear" w:color="auto" w:fill="EF4A7E" w:themeFill="accent4"/>
      </w:tcPr>
    </w:tblStylePr>
    <w:tblStylePr w:type="lastRow">
      <w:pPr>
        <w:spacing w:before="0" w:after="0" w:line="240" w:lineRule="auto"/>
      </w:pPr>
      <w:rPr>
        <w:b/>
        <w:bCs/>
      </w:rPr>
      <w:tblPr/>
      <w:tcPr>
        <w:tcBorders>
          <w:top w:val="double" w:sz="6" w:space="0" w:color="F3779E" w:themeColor="accent4" w:themeTint="BF"/>
          <w:left w:val="single" w:sz="8" w:space="0" w:color="F3779E" w:themeColor="accent4" w:themeTint="BF"/>
          <w:bottom w:val="single" w:sz="8" w:space="0" w:color="F3779E" w:themeColor="accent4" w:themeTint="BF"/>
          <w:right w:val="single" w:sz="8" w:space="0" w:color="F3779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1DE" w:themeFill="accent4" w:themeFillTint="3F"/>
      </w:tcPr>
    </w:tblStylePr>
    <w:tblStylePr w:type="band1Horz">
      <w:tblPr/>
      <w:tcPr>
        <w:tcBorders>
          <w:insideH w:val="nil"/>
          <w:insideV w:val="nil"/>
        </w:tcBorders>
        <w:shd w:val="clear" w:color="auto" w:fill="FBD1DE"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8"/>
    <w:rsid w:val="006742D7"/>
    <w:tblPr>
      <w:tblStyleRowBandSize w:val="1"/>
      <w:tblStyleColBandSize w:val="1"/>
      <w:tblBorders>
        <w:top w:val="single" w:sz="8" w:space="0" w:color="DB6388" w:themeColor="accent1" w:themeTint="BF"/>
        <w:left w:val="single" w:sz="8" w:space="0" w:color="DB6388" w:themeColor="accent1" w:themeTint="BF"/>
        <w:bottom w:val="single" w:sz="8" w:space="0" w:color="DB6388" w:themeColor="accent1" w:themeTint="BF"/>
        <w:right w:val="single" w:sz="8" w:space="0" w:color="DB6388" w:themeColor="accent1" w:themeTint="BF"/>
        <w:insideH w:val="single" w:sz="8" w:space="0" w:color="DB6388" w:themeColor="accent1" w:themeTint="BF"/>
      </w:tblBorders>
    </w:tblPr>
    <w:tblStylePr w:type="firstRow">
      <w:pPr>
        <w:spacing w:before="0" w:after="0" w:line="240" w:lineRule="auto"/>
      </w:pPr>
      <w:rPr>
        <w:b/>
        <w:bCs/>
        <w:color w:val="FFFFFF" w:themeColor="background1"/>
      </w:rPr>
      <w:tblPr/>
      <w:tcPr>
        <w:tcBorders>
          <w:top w:val="single" w:sz="8" w:space="0" w:color="DB6388" w:themeColor="accent1" w:themeTint="BF"/>
          <w:left w:val="single" w:sz="8" w:space="0" w:color="DB6388" w:themeColor="accent1" w:themeTint="BF"/>
          <w:bottom w:val="single" w:sz="8" w:space="0" w:color="DB6388" w:themeColor="accent1" w:themeTint="BF"/>
          <w:right w:val="single" w:sz="8" w:space="0" w:color="DB6388" w:themeColor="accent1" w:themeTint="BF"/>
          <w:insideH w:val="nil"/>
          <w:insideV w:val="nil"/>
        </w:tcBorders>
        <w:shd w:val="clear" w:color="auto" w:fill="D03061" w:themeFill="accent1"/>
      </w:tcPr>
    </w:tblStylePr>
    <w:tblStylePr w:type="lastRow">
      <w:pPr>
        <w:spacing w:before="0" w:after="0" w:line="240" w:lineRule="auto"/>
      </w:pPr>
      <w:rPr>
        <w:b/>
        <w:bCs/>
      </w:rPr>
      <w:tblPr/>
      <w:tcPr>
        <w:tcBorders>
          <w:top w:val="double" w:sz="6" w:space="0" w:color="DB6388" w:themeColor="accent1" w:themeTint="BF"/>
          <w:left w:val="single" w:sz="8" w:space="0" w:color="DB6388" w:themeColor="accent1" w:themeTint="BF"/>
          <w:bottom w:val="single" w:sz="8" w:space="0" w:color="DB6388" w:themeColor="accent1" w:themeTint="BF"/>
          <w:right w:val="single" w:sz="8" w:space="0" w:color="DB638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CBD7" w:themeFill="accent1" w:themeFillTint="3F"/>
      </w:tcPr>
    </w:tblStylePr>
    <w:tblStylePr w:type="band1Horz">
      <w:tblPr/>
      <w:tcPr>
        <w:tcBorders>
          <w:insideH w:val="nil"/>
          <w:insideV w:val="nil"/>
        </w:tcBorders>
        <w:shd w:val="clear" w:color="auto" w:fill="F3CBD7" w:themeFill="accent1" w:themeFillTint="3F"/>
      </w:tcPr>
    </w:tblStylePr>
    <w:tblStylePr w:type="band2Horz">
      <w:tblPr/>
      <w:tcPr>
        <w:tcBorders>
          <w:insideH w:val="nil"/>
          <w:insideV w:val="nil"/>
        </w:tcBorders>
      </w:tcPr>
    </w:tblStylePr>
  </w:style>
  <w:style w:type="table" w:customStyle="1" w:styleId="GridTable5Dark-Accent11">
    <w:name w:val="Grid Table 5 Dark - Accent 11"/>
    <w:basedOn w:val="TableNormal"/>
    <w:uiPriority w:val="50"/>
    <w:rsid w:val="005B0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30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30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30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3061" w:themeFill="accent1"/>
      </w:tcPr>
    </w:tblStylePr>
    <w:tblStylePr w:type="band1Vert">
      <w:tblPr/>
      <w:tcPr>
        <w:shd w:val="clear" w:color="auto" w:fill="ECACBF" w:themeFill="accent1" w:themeFillTint="66"/>
      </w:tcPr>
    </w:tblStylePr>
    <w:tblStylePr w:type="band1Horz">
      <w:tblPr/>
      <w:tcPr>
        <w:shd w:val="clear" w:color="auto" w:fill="ECACBF" w:themeFill="accent1" w:themeFillTint="66"/>
      </w:tcPr>
    </w:tblStylePr>
  </w:style>
  <w:style w:type="paragraph" w:styleId="Revision">
    <w:name w:val="Revision"/>
    <w:hidden/>
    <w:uiPriority w:val="71"/>
    <w:rsid w:val="00711627"/>
    <w:rPr>
      <w:rFonts w:ascii="Cambria" w:hAnsi="Cambria"/>
      <w:lang w:eastAsia="en-US"/>
    </w:rPr>
  </w:style>
  <w:style w:type="character" w:styleId="Emphasis">
    <w:name w:val="Emphasis"/>
    <w:basedOn w:val="DefaultParagraphFont"/>
    <w:uiPriority w:val="20"/>
    <w:qFormat/>
    <w:rsid w:val="00C9608A"/>
    <w:rPr>
      <w:i/>
      <w:iCs/>
    </w:rPr>
  </w:style>
  <w:style w:type="numbering" w:customStyle="1" w:styleId="ZZNumbers">
    <w:name w:val="ZZ Numbers"/>
    <w:rsid w:val="000E125C"/>
    <w:pPr>
      <w:numPr>
        <w:numId w:val="2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unhideWhenUsed="0"/>
    <w:lsdException w:name="TOC Heading" w:uiPriority="71" w:qFormat="1"/>
  </w:latentStyles>
  <w:style w:type="paragraph" w:default="1" w:styleId="Normal">
    <w:name w:val="Normal"/>
    <w:rsid w:val="00F52B13"/>
    <w:rPr>
      <w:rFonts w:ascii="Cambria" w:hAnsi="Cambria"/>
      <w:lang w:eastAsia="en-US"/>
    </w:rPr>
  </w:style>
  <w:style w:type="paragraph" w:styleId="Heading1">
    <w:name w:val="heading 1"/>
    <w:next w:val="DHHSbody"/>
    <w:link w:val="Heading1Char"/>
    <w:uiPriority w:val="1"/>
    <w:qFormat/>
    <w:rsid w:val="0062351A"/>
    <w:pPr>
      <w:keepNext/>
      <w:keepLines/>
      <w:spacing w:before="520" w:after="440" w:line="440" w:lineRule="atLeast"/>
      <w:outlineLvl w:val="0"/>
    </w:pPr>
    <w:rPr>
      <w:rFonts w:ascii="Arial" w:hAnsi="Arial"/>
      <w:bCs/>
      <w:color w:val="D03061" w:themeColor="text2"/>
      <w:sz w:val="44"/>
      <w:szCs w:val="44"/>
      <w:lang w:eastAsia="en-US"/>
    </w:rPr>
  </w:style>
  <w:style w:type="paragraph" w:styleId="Heading2">
    <w:name w:val="heading 2"/>
    <w:next w:val="DHHSbody"/>
    <w:link w:val="Heading2Char"/>
    <w:uiPriority w:val="1"/>
    <w:qFormat/>
    <w:rsid w:val="0062351A"/>
    <w:pPr>
      <w:keepNext/>
      <w:keepLines/>
      <w:spacing w:before="240" w:after="90" w:line="320" w:lineRule="atLeast"/>
      <w:outlineLvl w:val="1"/>
    </w:pPr>
    <w:rPr>
      <w:rFonts w:ascii="Arial" w:hAnsi="Arial"/>
      <w:b/>
      <w:color w:val="D03061" w:themeColor="text2"/>
      <w:sz w:val="28"/>
      <w:szCs w:val="28"/>
      <w:lang w:eastAsia="en-US"/>
    </w:rPr>
  </w:style>
  <w:style w:type="paragraph" w:styleId="Heading3">
    <w:name w:val="heading 3"/>
    <w:next w:val="DHHSbody"/>
    <w:link w:val="Heading3Char"/>
    <w:uiPriority w:val="1"/>
    <w:qFormat/>
    <w:rsid w:val="0062351A"/>
    <w:pPr>
      <w:keepNext/>
      <w:keepLines/>
      <w:spacing w:before="280" w:after="120" w:line="280" w:lineRule="atLeast"/>
      <w:outlineLvl w:val="2"/>
    </w:pPr>
    <w:rPr>
      <w:rFonts w:ascii="Arial" w:eastAsia="MS Gothic" w:hAnsi="Arial"/>
      <w:b/>
      <w:bCs/>
      <w:sz w:val="24"/>
      <w:szCs w:val="26"/>
    </w:rPr>
  </w:style>
  <w:style w:type="paragraph" w:styleId="Heading4">
    <w:name w:val="heading 4"/>
    <w:next w:val="DHHSbody"/>
    <w:link w:val="Heading4Char"/>
    <w:uiPriority w:val="1"/>
    <w:qFormat/>
    <w:rsid w:val="0062351A"/>
    <w:pPr>
      <w:keepNext/>
      <w:keepLines/>
      <w:spacing w:before="240" w:after="120" w:line="240" w:lineRule="atLeast"/>
      <w:outlineLvl w:val="3"/>
    </w:pPr>
    <w:rPr>
      <w:rFonts w:ascii="Arial" w:eastAsia="MS Mincho" w:hAnsi="Arial"/>
      <w:b/>
      <w:bCs/>
    </w:rPr>
  </w:style>
  <w:style w:type="paragraph" w:styleId="Heading5">
    <w:name w:val="heading 5"/>
    <w:next w:val="DHHSbody"/>
    <w:link w:val="Heading5Char"/>
    <w:uiPriority w:val="9"/>
    <w:qFormat/>
    <w:rsid w:val="0062351A"/>
    <w:pPr>
      <w:keepNext/>
      <w:keepLines/>
      <w:suppressAutoHyphens/>
      <w:spacing w:before="240" w:after="120" w:line="240" w:lineRule="atLeast"/>
      <w:outlineLvl w:val="4"/>
    </w:pPr>
    <w:rPr>
      <w:rFonts w:ascii="Arial" w:eastAsia="MS Mincho" w:hAnsi="Arial"/>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62351A"/>
    <w:rPr>
      <w:rFonts w:ascii="Arial" w:hAnsi="Arial"/>
      <w:bCs/>
      <w:color w:val="D03061" w:themeColor="text2"/>
      <w:sz w:val="44"/>
      <w:szCs w:val="44"/>
      <w:lang w:eastAsia="en-US"/>
    </w:rPr>
  </w:style>
  <w:style w:type="character" w:customStyle="1" w:styleId="Heading2Char">
    <w:name w:val="Heading 2 Char"/>
    <w:link w:val="Heading2"/>
    <w:uiPriority w:val="1"/>
    <w:rsid w:val="0062351A"/>
    <w:rPr>
      <w:rFonts w:ascii="Arial" w:hAnsi="Arial"/>
      <w:b/>
      <w:color w:val="D03061" w:themeColor="text2"/>
      <w:sz w:val="28"/>
      <w:szCs w:val="28"/>
      <w:lang w:eastAsia="en-US"/>
    </w:rPr>
  </w:style>
  <w:style w:type="character" w:customStyle="1" w:styleId="Heading3Char">
    <w:name w:val="Heading 3 Char"/>
    <w:link w:val="Heading3"/>
    <w:uiPriority w:val="1"/>
    <w:rsid w:val="0062351A"/>
    <w:rPr>
      <w:rFonts w:ascii="Arial" w:eastAsia="MS Gothic" w:hAnsi="Arial"/>
      <w:b/>
      <w:bCs/>
      <w:sz w:val="24"/>
      <w:szCs w:val="26"/>
    </w:rPr>
  </w:style>
  <w:style w:type="character" w:customStyle="1" w:styleId="Heading4Char">
    <w:name w:val="Heading 4 Char"/>
    <w:link w:val="Heading4"/>
    <w:uiPriority w:val="1"/>
    <w:rsid w:val="0062351A"/>
    <w:rPr>
      <w:rFonts w:ascii="Arial" w:eastAsia="MS Mincho" w:hAnsi="Arial"/>
      <w:b/>
      <w:bCs/>
    </w:rPr>
  </w:style>
  <w:style w:type="paragraph" w:styleId="Header">
    <w:name w:val="header"/>
    <w:basedOn w:val="DHHSheader"/>
    <w:link w:val="HeaderChar"/>
    <w:uiPriority w:val="99"/>
    <w:rsid w:val="004E380D"/>
  </w:style>
  <w:style w:type="paragraph" w:styleId="Footer">
    <w:name w:val="footer"/>
    <w:basedOn w:val="DHHSfooter"/>
    <w:link w:val="FooterChar"/>
    <w:uiPriority w:val="99"/>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qFormat/>
    <w:rsid w:val="0062351A"/>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uiPriority w:val="39"/>
    <w:rsid w:val="004606F5"/>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5"/>
      </w:tcPr>
    </w:tblStyle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4606F5"/>
    <w:pPr>
      <w:keepLines/>
      <w:spacing w:after="240" w:line="580" w:lineRule="atLeast"/>
    </w:pPr>
    <w:rPr>
      <w:rFonts w:ascii="Arial" w:hAnsi="Arial"/>
      <w:color w:val="D03061" w:themeColor="text2"/>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862D33"/>
    <w:pPr>
      <w:ind w:left="800"/>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white">
    <w:name w:val="DHHS report main title white"/>
    <w:uiPriority w:val="4"/>
    <w:rsid w:val="00871F0C"/>
    <w:pPr>
      <w:keepLines/>
      <w:spacing w:after="120" w:line="216" w:lineRule="auto"/>
    </w:pPr>
    <w:rPr>
      <w:rFonts w:ascii="Arial" w:hAnsi="Arial"/>
      <w:bCs/>
      <w:caps/>
      <w:color w:val="FFFFFF"/>
      <w:sz w:val="68"/>
      <w:szCs w:val="68"/>
      <w:lang w:eastAsia="en-US"/>
    </w:rPr>
  </w:style>
  <w:style w:type="paragraph" w:customStyle="1" w:styleId="DHHSreportsubtitlewhite">
    <w:name w:val="DHHS report subtitle white"/>
    <w:uiPriority w:val="4"/>
    <w:rsid w:val="00D84C4D"/>
    <w:pPr>
      <w:spacing w:after="120" w:line="380" w:lineRule="atLeast"/>
    </w:pPr>
    <w:rPr>
      <w:rFonts w:ascii="Arial" w:hAnsi="Arial"/>
      <w:b/>
      <w:bCs/>
      <w:color w:val="FFFFFF"/>
      <w:sz w:val="30"/>
      <w:szCs w:val="30"/>
      <w:lang w:eastAsia="en-US"/>
    </w:rPr>
  </w:style>
  <w:style w:type="paragraph" w:customStyle="1" w:styleId="Coverinstructions">
    <w:name w:val="Cover instructions"/>
    <w:rsid w:val="0005633B"/>
    <w:pPr>
      <w:spacing w:after="200" w:line="320" w:lineRule="atLeast"/>
    </w:pPr>
    <w:rPr>
      <w:rFonts w:ascii="Arial" w:hAnsi="Arial"/>
      <w:sz w:val="24"/>
      <w:lang w:eastAsia="en-US"/>
    </w:rPr>
  </w:style>
  <w:style w:type="character" w:customStyle="1" w:styleId="Heading5Char">
    <w:name w:val="Heading 5 Char"/>
    <w:link w:val="Heading5"/>
    <w:uiPriority w:val="9"/>
    <w:rsid w:val="0062351A"/>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qFormat/>
    <w:rsid w:val="0062351A"/>
    <w:pPr>
      <w:spacing w:after="120" w:line="270" w:lineRule="atLeast"/>
    </w:pPr>
    <w:rPr>
      <w:rFonts w:ascii="Arial" w:eastAsia="Times" w:hAnsi="Arial"/>
      <w:lang w:eastAsia="en-US"/>
    </w:rPr>
  </w:style>
  <w:style w:type="paragraph" w:customStyle="1" w:styleId="DHHSbullet1">
    <w:name w:val="DHHS bullet 1"/>
    <w:basedOn w:val="DHHSbody"/>
    <w:qFormat/>
    <w:rsid w:val="0062351A"/>
    <w:pPr>
      <w:numPr>
        <w:numId w:val="20"/>
      </w:numPr>
      <w:spacing w:after="40"/>
    </w:pPr>
  </w:style>
  <w:style w:type="paragraph" w:customStyle="1" w:styleId="DHHSnumberloweralpha">
    <w:name w:val="DHHS number lower alpha"/>
    <w:basedOn w:val="DHHSbody"/>
    <w:uiPriority w:val="3"/>
    <w:rsid w:val="008669BE"/>
    <w:pPr>
      <w:numPr>
        <w:numId w:val="9"/>
      </w:numPr>
    </w:pPr>
  </w:style>
  <w:style w:type="paragraph" w:customStyle="1" w:styleId="DHHSnumberloweralphaindent">
    <w:name w:val="DHHS number lower alpha indent"/>
    <w:basedOn w:val="DHHSbody"/>
    <w:uiPriority w:val="3"/>
    <w:rsid w:val="008669BE"/>
    <w:pPr>
      <w:numPr>
        <w:ilvl w:val="1"/>
        <w:numId w:val="9"/>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62351A"/>
    <w:pPr>
      <w:spacing w:before="80" w:after="60"/>
    </w:pPr>
    <w:rPr>
      <w:rFonts w:ascii="Arial" w:hAnsi="Arial"/>
      <w:lang w:eastAsia="en-US"/>
    </w:rPr>
  </w:style>
  <w:style w:type="paragraph" w:customStyle="1" w:styleId="DHHStablecaption">
    <w:name w:val="DHHS table caption"/>
    <w:next w:val="DHHSbody"/>
    <w:uiPriority w:val="3"/>
    <w:qFormat/>
    <w:rsid w:val="0062351A"/>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2351A"/>
    <w:pPr>
      <w:numPr>
        <w:ilvl w:val="1"/>
        <w:numId w:val="20"/>
      </w:numPr>
      <w:spacing w:after="40"/>
    </w:pPr>
  </w:style>
  <w:style w:type="paragraph" w:customStyle="1" w:styleId="DHHSheader">
    <w:name w:val="DHHS header"/>
    <w:basedOn w:val="DHHSfooter"/>
    <w:uiPriority w:val="11"/>
    <w:rsid w:val="00E969B1"/>
  </w:style>
  <w:style w:type="character" w:styleId="Strong">
    <w:name w:val="Strong"/>
    <w:uiPriority w:val="22"/>
    <w:qFormat/>
    <w:rsid w:val="0062351A"/>
    <w:rPr>
      <w:b/>
      <w:bCs/>
    </w:rPr>
  </w:style>
  <w:style w:type="paragraph" w:customStyle="1" w:styleId="DHHSnumberdigit">
    <w:name w:val="DHHS number digit"/>
    <w:basedOn w:val="DHHSbody"/>
    <w:uiPriority w:val="2"/>
    <w:rsid w:val="008669BE"/>
    <w:pPr>
      <w:numPr>
        <w:numId w:val="3"/>
      </w:numPr>
    </w:pPr>
  </w:style>
  <w:style w:type="paragraph" w:customStyle="1" w:styleId="DHHStablecolhead">
    <w:name w:val="DHHS table col head"/>
    <w:uiPriority w:val="3"/>
    <w:qFormat/>
    <w:rsid w:val="0062351A"/>
    <w:pPr>
      <w:spacing w:before="80" w:after="60"/>
    </w:pPr>
    <w:rPr>
      <w:rFonts w:ascii="Arial" w:hAnsi="Arial"/>
      <w:b/>
      <w:color w:val="FFFFFF"/>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4606F5"/>
    <w:pPr>
      <w:spacing w:before="0"/>
      <w:outlineLvl w:val="9"/>
    </w:pPr>
  </w:style>
  <w:style w:type="character" w:customStyle="1" w:styleId="DHHSTOCheadingreportChar">
    <w:name w:val="DHHS TOC heading report Char"/>
    <w:link w:val="DHHSTOCheadingreport"/>
    <w:uiPriority w:val="5"/>
    <w:rsid w:val="004606F5"/>
    <w:rPr>
      <w:rFonts w:ascii="Arial" w:hAnsi="Arial"/>
      <w:bCs/>
      <w:color w:val="D03061" w:themeColor="text2"/>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62351A"/>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1"/>
      </w:numPr>
    </w:pPr>
  </w:style>
  <w:style w:type="paragraph" w:customStyle="1" w:styleId="DHHSnumberlowerroman">
    <w:name w:val="DHHS number lower roman"/>
    <w:basedOn w:val="DHHSbody"/>
    <w:uiPriority w:val="3"/>
    <w:rsid w:val="008669BE"/>
    <w:pPr>
      <w:numPr>
        <w:numId w:val="11"/>
      </w:numPr>
    </w:pPr>
  </w:style>
  <w:style w:type="paragraph" w:customStyle="1" w:styleId="DHHSnumberlowerromanindent">
    <w:name w:val="DHHS number lower roman indent"/>
    <w:basedOn w:val="DHHSbody"/>
    <w:uiPriority w:val="3"/>
    <w:rsid w:val="008669BE"/>
    <w:pPr>
      <w:numPr>
        <w:ilvl w:val="1"/>
        <w:numId w:val="11"/>
      </w:numPr>
    </w:pPr>
  </w:style>
  <w:style w:type="paragraph" w:customStyle="1" w:styleId="DHHSnumberdigitindent">
    <w:name w:val="DHHS number digit indent"/>
    <w:basedOn w:val="DHHSnumberloweralphaindent"/>
    <w:uiPriority w:val="3"/>
    <w:rsid w:val="008669BE"/>
    <w:pPr>
      <w:numPr>
        <w:numId w:val="8"/>
      </w:numPr>
    </w:pPr>
  </w:style>
  <w:style w:type="character" w:customStyle="1" w:styleId="SubtitleChar">
    <w:name w:val="Subtitle Char"/>
    <w:link w:val="Subtitle"/>
    <w:uiPriority w:val="11"/>
    <w:rsid w:val="0062351A"/>
    <w:rPr>
      <w:rFonts w:ascii="Calibri Light" w:hAnsi="Calibri Light"/>
      <w:sz w:val="24"/>
      <w:szCs w:val="24"/>
      <w:lang w:eastAsia="en-US"/>
    </w:rPr>
  </w:style>
  <w:style w:type="paragraph" w:styleId="Title">
    <w:name w:val="Title"/>
    <w:basedOn w:val="Normal"/>
    <w:next w:val="Normal"/>
    <w:link w:val="TitleChar"/>
    <w:uiPriority w:val="10"/>
    <w:qFormat/>
    <w:rsid w:val="0062351A"/>
    <w:pPr>
      <w:spacing w:before="240" w:after="60"/>
      <w:jc w:val="center"/>
    </w:pPr>
    <w:rPr>
      <w:rFonts w:ascii="Calibri Light" w:hAnsi="Calibri Light"/>
      <w:b/>
      <w:bCs/>
      <w:kern w:val="28"/>
      <w:sz w:val="32"/>
      <w:szCs w:val="32"/>
    </w:rPr>
  </w:style>
  <w:style w:type="character" w:customStyle="1" w:styleId="TitleChar">
    <w:name w:val="Title Char"/>
    <w:link w:val="Title"/>
    <w:uiPriority w:val="10"/>
    <w:rsid w:val="0062351A"/>
    <w:rPr>
      <w:rFonts w:ascii="Calibri Light" w:hAnsi="Calibri Light"/>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8669BE"/>
    <w:pPr>
      <w:numPr>
        <w:ilvl w:val="2"/>
        <w:numId w:val="8"/>
      </w:numPr>
    </w:pPr>
  </w:style>
  <w:style w:type="paragraph" w:customStyle="1" w:styleId="DHHSbulletafternumbers2">
    <w:name w:val="DHHS bullet after numbers 2"/>
    <w:basedOn w:val="DHHSbody"/>
    <w:rsid w:val="008669BE"/>
    <w:pPr>
      <w:numPr>
        <w:ilvl w:val="3"/>
        <w:numId w:val="8"/>
      </w:numPr>
    </w:pPr>
  </w:style>
  <w:style w:type="paragraph" w:customStyle="1" w:styleId="DHHSquotebullet1">
    <w:name w:val="DHHS quote bullet 1"/>
    <w:basedOn w:val="DHHSquote"/>
    <w:rsid w:val="008669BE"/>
    <w:pPr>
      <w:numPr>
        <w:numId w:val="10"/>
      </w:numPr>
    </w:pPr>
  </w:style>
  <w:style w:type="paragraph" w:customStyle="1" w:styleId="DHHSquotebullet2">
    <w:name w:val="DHHS quote bullet 2"/>
    <w:basedOn w:val="DHHSquote"/>
    <w:rsid w:val="008669BE"/>
    <w:pPr>
      <w:numPr>
        <w:ilvl w:val="1"/>
        <w:numId w:val="10"/>
      </w:numPr>
    </w:pPr>
  </w:style>
  <w:style w:type="paragraph" w:customStyle="1" w:styleId="DHHStablebullet1">
    <w:name w:val="DHHS table bullet 1"/>
    <w:basedOn w:val="DHHStabletext"/>
    <w:uiPriority w:val="3"/>
    <w:qFormat/>
    <w:rsid w:val="0062351A"/>
    <w:pPr>
      <w:numPr>
        <w:numId w:val="21"/>
      </w:numPr>
    </w:pPr>
  </w:style>
  <w:style w:type="paragraph" w:customStyle="1" w:styleId="DHHStablebullet2">
    <w:name w:val="DHHS table bullet 2"/>
    <w:basedOn w:val="DHHStabletext"/>
    <w:uiPriority w:val="11"/>
    <w:rsid w:val="008669BE"/>
    <w:pPr>
      <w:numPr>
        <w:ilvl w:val="1"/>
        <w:numId w:val="21"/>
      </w:numPr>
    </w:pPr>
  </w:style>
  <w:style w:type="numbering" w:customStyle="1" w:styleId="ZZNumbersdigit">
    <w:name w:val="ZZ Numbers digit"/>
    <w:rsid w:val="008669BE"/>
    <w:pPr>
      <w:numPr>
        <w:numId w:val="2"/>
      </w:numPr>
    </w:pPr>
  </w:style>
  <w:style w:type="numbering" w:customStyle="1" w:styleId="ZZNumbersloweralpha">
    <w:name w:val="ZZ Numbers lower alpha"/>
    <w:basedOn w:val="NoList"/>
    <w:rsid w:val="008669BE"/>
    <w:pPr>
      <w:numPr>
        <w:numId w:val="4"/>
      </w:numPr>
    </w:pPr>
  </w:style>
  <w:style w:type="numbering" w:customStyle="1" w:styleId="ZZQuotebullets">
    <w:name w:val="ZZ Quote bullets"/>
    <w:basedOn w:val="ZZNumbersdigit"/>
    <w:rsid w:val="008669BE"/>
    <w:pPr>
      <w:numPr>
        <w:numId w:val="6"/>
      </w:numPr>
    </w:pPr>
  </w:style>
  <w:style w:type="numbering" w:customStyle="1" w:styleId="ZZNumberslowerroman">
    <w:name w:val="ZZ Numbers lower roman"/>
    <w:basedOn w:val="ZZQuotebullets"/>
    <w:rsid w:val="008669BE"/>
    <w:pPr>
      <w:numPr>
        <w:numId w:val="5"/>
      </w:numPr>
    </w:pPr>
  </w:style>
  <w:style w:type="numbering" w:customStyle="1" w:styleId="ZZTablebullets">
    <w:name w:val="ZZ Table bullets"/>
    <w:basedOn w:val="NoList"/>
    <w:rsid w:val="008669BE"/>
    <w:pPr>
      <w:numPr>
        <w:numId w:val="7"/>
      </w:numPr>
    </w:pPr>
  </w:style>
  <w:style w:type="paragraph" w:customStyle="1" w:styleId="VHHSBSustainability">
    <w:name w:val="VHHSB Sustainability"/>
    <w:basedOn w:val="DHHSreportmaintitlewhite"/>
    <w:link w:val="VHHSBSustainabilityChar"/>
    <w:rsid w:val="00C8602F"/>
  </w:style>
  <w:style w:type="character" w:customStyle="1" w:styleId="VHHSBSustainabilityChar">
    <w:name w:val="VHHSB Sustainability Char"/>
    <w:basedOn w:val="DefaultParagraphFont"/>
    <w:link w:val="VHHSBSustainability"/>
    <w:rsid w:val="00C8602F"/>
    <w:rPr>
      <w:rFonts w:ascii="Arial" w:hAnsi="Arial"/>
      <w:bCs/>
      <w:caps/>
      <w:color w:val="FFFFFF"/>
      <w:sz w:val="68"/>
      <w:szCs w:val="68"/>
      <w:lang w:eastAsia="en-US"/>
    </w:rPr>
  </w:style>
  <w:style w:type="paragraph" w:styleId="BalloonText">
    <w:name w:val="Balloon Text"/>
    <w:basedOn w:val="Normal"/>
    <w:link w:val="BalloonTextChar"/>
    <w:uiPriority w:val="99"/>
    <w:semiHidden/>
    <w:unhideWhenUsed/>
    <w:rsid w:val="003B6166"/>
    <w:rPr>
      <w:rFonts w:ascii="Tahoma" w:hAnsi="Tahoma" w:cs="Tahoma"/>
      <w:sz w:val="16"/>
      <w:szCs w:val="16"/>
    </w:rPr>
  </w:style>
  <w:style w:type="character" w:customStyle="1" w:styleId="BalloonTextChar">
    <w:name w:val="Balloon Text Char"/>
    <w:basedOn w:val="DefaultParagraphFont"/>
    <w:link w:val="BalloonText"/>
    <w:uiPriority w:val="99"/>
    <w:semiHidden/>
    <w:rsid w:val="003B6166"/>
    <w:rPr>
      <w:rFonts w:ascii="Tahoma" w:hAnsi="Tahoma" w:cs="Tahoma"/>
      <w:sz w:val="16"/>
      <w:szCs w:val="16"/>
      <w:lang w:eastAsia="en-US"/>
    </w:rPr>
  </w:style>
  <w:style w:type="character" w:styleId="CommentReference">
    <w:name w:val="annotation reference"/>
    <w:basedOn w:val="DefaultParagraphFont"/>
    <w:uiPriority w:val="99"/>
    <w:semiHidden/>
    <w:unhideWhenUsed/>
    <w:rsid w:val="00C41A45"/>
    <w:rPr>
      <w:sz w:val="16"/>
      <w:szCs w:val="16"/>
    </w:rPr>
  </w:style>
  <w:style w:type="paragraph" w:styleId="CommentText">
    <w:name w:val="annotation text"/>
    <w:basedOn w:val="Normal"/>
    <w:link w:val="CommentTextChar"/>
    <w:uiPriority w:val="99"/>
    <w:semiHidden/>
    <w:unhideWhenUsed/>
    <w:rsid w:val="00C41A45"/>
    <w:rPr>
      <w:rFonts w:ascii="Calibri" w:eastAsia="Calibri" w:hAnsi="Calibri"/>
    </w:rPr>
  </w:style>
  <w:style w:type="character" w:customStyle="1" w:styleId="CommentTextChar">
    <w:name w:val="Comment Text Char"/>
    <w:basedOn w:val="DefaultParagraphFont"/>
    <w:link w:val="CommentText"/>
    <w:uiPriority w:val="99"/>
    <w:semiHidden/>
    <w:rsid w:val="00C41A45"/>
    <w:rPr>
      <w:rFonts w:ascii="Calibri" w:eastAsia="Calibri" w:hAnsi="Calibri"/>
      <w:lang w:eastAsia="en-US"/>
    </w:rPr>
  </w:style>
  <w:style w:type="paragraph" w:styleId="ListParagraph">
    <w:name w:val="List Paragraph"/>
    <w:basedOn w:val="Normal"/>
    <w:uiPriority w:val="72"/>
    <w:semiHidden/>
    <w:qFormat/>
    <w:rsid w:val="00C41A45"/>
    <w:pPr>
      <w:ind w:left="720"/>
      <w:contextualSpacing/>
    </w:pPr>
    <w:rPr>
      <w:rFonts w:eastAsia="Calibri"/>
    </w:rPr>
  </w:style>
  <w:style w:type="paragraph" w:styleId="Caption">
    <w:name w:val="caption"/>
    <w:basedOn w:val="Normal"/>
    <w:next w:val="Normal"/>
    <w:uiPriority w:val="35"/>
    <w:unhideWhenUsed/>
    <w:qFormat/>
    <w:rsid w:val="00C41A45"/>
    <w:pPr>
      <w:spacing w:after="200"/>
    </w:pPr>
    <w:rPr>
      <w:rFonts w:eastAsia="Calibri"/>
      <w:b/>
      <w:bCs/>
      <w:color w:val="D03061" w:themeColor="accent1"/>
      <w:sz w:val="18"/>
      <w:szCs w:val="18"/>
    </w:rPr>
  </w:style>
  <w:style w:type="paragraph" w:styleId="TOCHeading">
    <w:name w:val="TOC Heading"/>
    <w:basedOn w:val="Heading1"/>
    <w:next w:val="Normal"/>
    <w:uiPriority w:val="71"/>
    <w:semiHidden/>
    <w:unhideWhenUsed/>
    <w:qFormat/>
    <w:rsid w:val="00C41A45"/>
    <w:pPr>
      <w:spacing w:before="480" w:after="0" w:line="240" w:lineRule="auto"/>
      <w:outlineLvl w:val="9"/>
    </w:pPr>
    <w:rPr>
      <w:rFonts w:asciiTheme="majorHAnsi" w:eastAsiaTheme="majorEastAsia" w:hAnsiTheme="majorHAnsi" w:cstheme="majorBidi"/>
      <w:b/>
      <w:color w:val="9C2348" w:themeColor="accent1" w:themeShade="BF"/>
      <w:sz w:val="28"/>
      <w:szCs w:val="28"/>
    </w:rPr>
  </w:style>
  <w:style w:type="character" w:customStyle="1" w:styleId="HeaderChar">
    <w:name w:val="Header Char"/>
    <w:basedOn w:val="DefaultParagraphFont"/>
    <w:link w:val="Header"/>
    <w:uiPriority w:val="99"/>
    <w:rsid w:val="00C41A45"/>
    <w:rPr>
      <w:rFonts w:ascii="Arial" w:hAnsi="Arial" w:cs="Arial"/>
      <w:sz w:val="18"/>
      <w:szCs w:val="18"/>
      <w:lang w:eastAsia="en-US"/>
    </w:rPr>
  </w:style>
  <w:style w:type="character" w:customStyle="1" w:styleId="FooterChar">
    <w:name w:val="Footer Char"/>
    <w:basedOn w:val="DefaultParagraphFont"/>
    <w:link w:val="Footer"/>
    <w:uiPriority w:val="99"/>
    <w:rsid w:val="00C41A45"/>
    <w:rPr>
      <w:rFonts w:ascii="Arial" w:hAnsi="Arial" w:cs="Arial"/>
      <w:sz w:val="18"/>
      <w:szCs w:val="18"/>
      <w:lang w:eastAsia="en-US"/>
    </w:rPr>
  </w:style>
  <w:style w:type="paragraph" w:styleId="CommentSubject">
    <w:name w:val="annotation subject"/>
    <w:basedOn w:val="CommentText"/>
    <w:next w:val="CommentText"/>
    <w:link w:val="CommentSubjectChar"/>
    <w:uiPriority w:val="99"/>
    <w:semiHidden/>
    <w:unhideWhenUsed/>
    <w:rsid w:val="00C41A4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41A45"/>
    <w:rPr>
      <w:rFonts w:asciiTheme="minorHAnsi" w:eastAsiaTheme="minorHAnsi" w:hAnsiTheme="minorHAnsi" w:cstheme="minorBidi"/>
      <w:b/>
      <w:bCs/>
      <w:lang w:eastAsia="en-US"/>
    </w:rPr>
  </w:style>
  <w:style w:type="character" w:customStyle="1" w:styleId="FootnoteTextChar">
    <w:name w:val="Footnote Text Char"/>
    <w:basedOn w:val="DefaultParagraphFont"/>
    <w:link w:val="FootnoteText"/>
    <w:uiPriority w:val="99"/>
    <w:rsid w:val="00C41A45"/>
    <w:rPr>
      <w:rFonts w:ascii="Arial" w:eastAsia="MS Gothic" w:hAnsi="Arial" w:cs="Arial"/>
      <w:sz w:val="16"/>
      <w:szCs w:val="16"/>
      <w:lang w:eastAsia="en-US"/>
    </w:rPr>
  </w:style>
  <w:style w:type="table" w:styleId="MediumGrid3-Accent4">
    <w:name w:val="Medium Grid 3 Accent 4"/>
    <w:basedOn w:val="TableNormal"/>
    <w:uiPriority w:val="60"/>
    <w:rsid w:val="00C41A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4A7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4A7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4A7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4A7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A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A4BE" w:themeFill="accent4" w:themeFillTint="7F"/>
      </w:tcPr>
    </w:tblStylePr>
  </w:style>
  <w:style w:type="table" w:styleId="MediumShading1-Accent4">
    <w:name w:val="Medium Shading 1 Accent 4"/>
    <w:basedOn w:val="TableNormal"/>
    <w:uiPriority w:val="68"/>
    <w:rsid w:val="00C41A45"/>
    <w:tblPr>
      <w:tblStyleRowBandSize w:val="1"/>
      <w:tblStyleColBandSize w:val="1"/>
      <w:tblBorders>
        <w:top w:val="single" w:sz="8" w:space="0" w:color="F3779E" w:themeColor="accent4" w:themeTint="BF"/>
        <w:left w:val="single" w:sz="8" w:space="0" w:color="F3779E" w:themeColor="accent4" w:themeTint="BF"/>
        <w:bottom w:val="single" w:sz="8" w:space="0" w:color="F3779E" w:themeColor="accent4" w:themeTint="BF"/>
        <w:right w:val="single" w:sz="8" w:space="0" w:color="F3779E" w:themeColor="accent4" w:themeTint="BF"/>
        <w:insideH w:val="single" w:sz="8" w:space="0" w:color="F3779E" w:themeColor="accent4" w:themeTint="BF"/>
      </w:tblBorders>
    </w:tblPr>
    <w:tblStylePr w:type="firstRow">
      <w:pPr>
        <w:spacing w:before="0" w:after="0" w:line="240" w:lineRule="auto"/>
      </w:pPr>
      <w:rPr>
        <w:b/>
        <w:bCs/>
        <w:color w:val="FFFFFF" w:themeColor="background1"/>
      </w:rPr>
      <w:tblPr/>
      <w:tcPr>
        <w:tcBorders>
          <w:top w:val="single" w:sz="8" w:space="0" w:color="F3779E" w:themeColor="accent4" w:themeTint="BF"/>
          <w:left w:val="single" w:sz="8" w:space="0" w:color="F3779E" w:themeColor="accent4" w:themeTint="BF"/>
          <w:bottom w:val="single" w:sz="8" w:space="0" w:color="F3779E" w:themeColor="accent4" w:themeTint="BF"/>
          <w:right w:val="single" w:sz="8" w:space="0" w:color="F3779E" w:themeColor="accent4" w:themeTint="BF"/>
          <w:insideH w:val="nil"/>
          <w:insideV w:val="nil"/>
        </w:tcBorders>
        <w:shd w:val="clear" w:color="auto" w:fill="EF4A7E" w:themeFill="accent4"/>
      </w:tcPr>
    </w:tblStylePr>
    <w:tblStylePr w:type="lastRow">
      <w:pPr>
        <w:spacing w:before="0" w:after="0" w:line="240" w:lineRule="auto"/>
      </w:pPr>
      <w:rPr>
        <w:b/>
        <w:bCs/>
      </w:rPr>
      <w:tblPr/>
      <w:tcPr>
        <w:tcBorders>
          <w:top w:val="double" w:sz="6" w:space="0" w:color="F3779E" w:themeColor="accent4" w:themeTint="BF"/>
          <w:left w:val="single" w:sz="8" w:space="0" w:color="F3779E" w:themeColor="accent4" w:themeTint="BF"/>
          <w:bottom w:val="single" w:sz="8" w:space="0" w:color="F3779E" w:themeColor="accent4" w:themeTint="BF"/>
          <w:right w:val="single" w:sz="8" w:space="0" w:color="F3779E"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1DE" w:themeFill="accent4" w:themeFillTint="3F"/>
      </w:tcPr>
    </w:tblStylePr>
    <w:tblStylePr w:type="band1Horz">
      <w:tblPr/>
      <w:tcPr>
        <w:tcBorders>
          <w:insideH w:val="nil"/>
          <w:insideV w:val="nil"/>
        </w:tcBorders>
        <w:shd w:val="clear" w:color="auto" w:fill="FBD1DE"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8"/>
    <w:rsid w:val="006742D7"/>
    <w:tblPr>
      <w:tblStyleRowBandSize w:val="1"/>
      <w:tblStyleColBandSize w:val="1"/>
      <w:tblBorders>
        <w:top w:val="single" w:sz="8" w:space="0" w:color="DB6388" w:themeColor="accent1" w:themeTint="BF"/>
        <w:left w:val="single" w:sz="8" w:space="0" w:color="DB6388" w:themeColor="accent1" w:themeTint="BF"/>
        <w:bottom w:val="single" w:sz="8" w:space="0" w:color="DB6388" w:themeColor="accent1" w:themeTint="BF"/>
        <w:right w:val="single" w:sz="8" w:space="0" w:color="DB6388" w:themeColor="accent1" w:themeTint="BF"/>
        <w:insideH w:val="single" w:sz="8" w:space="0" w:color="DB6388" w:themeColor="accent1" w:themeTint="BF"/>
      </w:tblBorders>
    </w:tblPr>
    <w:tblStylePr w:type="firstRow">
      <w:pPr>
        <w:spacing w:before="0" w:after="0" w:line="240" w:lineRule="auto"/>
      </w:pPr>
      <w:rPr>
        <w:b/>
        <w:bCs/>
        <w:color w:val="FFFFFF" w:themeColor="background1"/>
      </w:rPr>
      <w:tblPr/>
      <w:tcPr>
        <w:tcBorders>
          <w:top w:val="single" w:sz="8" w:space="0" w:color="DB6388" w:themeColor="accent1" w:themeTint="BF"/>
          <w:left w:val="single" w:sz="8" w:space="0" w:color="DB6388" w:themeColor="accent1" w:themeTint="BF"/>
          <w:bottom w:val="single" w:sz="8" w:space="0" w:color="DB6388" w:themeColor="accent1" w:themeTint="BF"/>
          <w:right w:val="single" w:sz="8" w:space="0" w:color="DB6388" w:themeColor="accent1" w:themeTint="BF"/>
          <w:insideH w:val="nil"/>
          <w:insideV w:val="nil"/>
        </w:tcBorders>
        <w:shd w:val="clear" w:color="auto" w:fill="D03061" w:themeFill="accent1"/>
      </w:tcPr>
    </w:tblStylePr>
    <w:tblStylePr w:type="lastRow">
      <w:pPr>
        <w:spacing w:before="0" w:after="0" w:line="240" w:lineRule="auto"/>
      </w:pPr>
      <w:rPr>
        <w:b/>
        <w:bCs/>
      </w:rPr>
      <w:tblPr/>
      <w:tcPr>
        <w:tcBorders>
          <w:top w:val="double" w:sz="6" w:space="0" w:color="DB6388" w:themeColor="accent1" w:themeTint="BF"/>
          <w:left w:val="single" w:sz="8" w:space="0" w:color="DB6388" w:themeColor="accent1" w:themeTint="BF"/>
          <w:bottom w:val="single" w:sz="8" w:space="0" w:color="DB6388" w:themeColor="accent1" w:themeTint="BF"/>
          <w:right w:val="single" w:sz="8" w:space="0" w:color="DB6388" w:themeColor="accent1" w:themeTint="BF"/>
          <w:insideH w:val="nil"/>
          <w:insideV w:val="nil"/>
        </w:tcBorders>
      </w:tcPr>
    </w:tblStylePr>
    <w:tblStylePr w:type="firstCol">
      <w:rPr>
        <w:b/>
        <w:bCs/>
      </w:rPr>
    </w:tblStylePr>
    <w:tblStylePr w:type="lastCol">
      <w:rPr>
        <w:b/>
        <w:bCs/>
      </w:rPr>
    </w:tblStylePr>
    <w:tblStylePr w:type="band1Vert">
      <w:tblPr/>
      <w:tcPr>
        <w:shd w:val="clear" w:color="auto" w:fill="F3CBD7" w:themeFill="accent1" w:themeFillTint="3F"/>
      </w:tcPr>
    </w:tblStylePr>
    <w:tblStylePr w:type="band1Horz">
      <w:tblPr/>
      <w:tcPr>
        <w:tcBorders>
          <w:insideH w:val="nil"/>
          <w:insideV w:val="nil"/>
        </w:tcBorders>
        <w:shd w:val="clear" w:color="auto" w:fill="F3CBD7" w:themeFill="accent1" w:themeFillTint="3F"/>
      </w:tcPr>
    </w:tblStylePr>
    <w:tblStylePr w:type="band2Horz">
      <w:tblPr/>
      <w:tcPr>
        <w:tcBorders>
          <w:insideH w:val="nil"/>
          <w:insideV w:val="nil"/>
        </w:tcBorders>
      </w:tcPr>
    </w:tblStylePr>
  </w:style>
  <w:style w:type="table" w:customStyle="1" w:styleId="GridTable5Dark-Accent11">
    <w:name w:val="Grid Table 5 Dark - Accent 11"/>
    <w:basedOn w:val="TableNormal"/>
    <w:uiPriority w:val="50"/>
    <w:rsid w:val="005B07A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306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306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306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3061" w:themeFill="accent1"/>
      </w:tcPr>
    </w:tblStylePr>
    <w:tblStylePr w:type="band1Vert">
      <w:tblPr/>
      <w:tcPr>
        <w:shd w:val="clear" w:color="auto" w:fill="ECACBF" w:themeFill="accent1" w:themeFillTint="66"/>
      </w:tcPr>
    </w:tblStylePr>
    <w:tblStylePr w:type="band1Horz">
      <w:tblPr/>
      <w:tcPr>
        <w:shd w:val="clear" w:color="auto" w:fill="ECACBF" w:themeFill="accent1" w:themeFillTint="66"/>
      </w:tcPr>
    </w:tblStylePr>
  </w:style>
  <w:style w:type="paragraph" w:styleId="Revision">
    <w:name w:val="Revision"/>
    <w:hidden/>
    <w:uiPriority w:val="71"/>
    <w:rsid w:val="00711627"/>
    <w:rPr>
      <w:rFonts w:ascii="Cambria" w:hAnsi="Cambria"/>
      <w:lang w:eastAsia="en-US"/>
    </w:rPr>
  </w:style>
  <w:style w:type="character" w:styleId="Emphasis">
    <w:name w:val="Emphasis"/>
    <w:basedOn w:val="DefaultParagraphFont"/>
    <w:uiPriority w:val="20"/>
    <w:qFormat/>
    <w:rsid w:val="00C9608A"/>
    <w:rPr>
      <w:i/>
      <w:iCs/>
    </w:rPr>
  </w:style>
  <w:style w:type="numbering" w:customStyle="1" w:styleId="ZZNumbers">
    <w:name w:val="ZZ Numbers"/>
    <w:rsid w:val="000E125C"/>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yperlink" Target="https://www2.health.vic.gov.au/hospitals-and-health-services/planning-infrastructure/sustainability/wast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sustainability.vic.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VHHSBA health">
      <a:dk1>
        <a:sysClr val="windowText" lastClr="000000"/>
      </a:dk1>
      <a:lt1>
        <a:sysClr val="window" lastClr="FFFFFF"/>
      </a:lt1>
      <a:dk2>
        <a:srgbClr val="D03061"/>
      </a:dk2>
      <a:lt2>
        <a:srgbClr val="FFFFFF"/>
      </a:lt2>
      <a:accent1>
        <a:srgbClr val="D03061"/>
      </a:accent1>
      <a:accent2>
        <a:srgbClr val="5BCBF5"/>
      </a:accent2>
      <a:accent3>
        <a:srgbClr val="414042"/>
      </a:accent3>
      <a:accent4>
        <a:srgbClr val="EF4A7E"/>
      </a:accent4>
      <a:accent5>
        <a:srgbClr val="0074BC"/>
      </a:accent5>
      <a:accent6>
        <a:srgbClr val="F79646"/>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elivery Document" ma:contentTypeID="0x01010099DDF8EDA320E543B1EC6B982B0C01211C00F352782142BFE34C838480019DEA5F11" ma:contentTypeVersion="5" ma:contentTypeDescription="" ma:contentTypeScope="" ma:versionID="924cdf4510339cd367776b16a7af6fa9">
  <xsd:schema xmlns:xsd="http://www.w3.org/2001/XMLSchema" xmlns:xs="http://www.w3.org/2001/XMLSchema" xmlns:p="http://schemas.microsoft.com/office/2006/metadata/properties" xmlns:ns2="66e2e438-3733-46d5-b64b-c512c6046b4e" targetNamespace="http://schemas.microsoft.com/office/2006/metadata/properties" ma:root="true" ma:fieldsID="6a103eab4cfb8326482090bb586cc604" ns2:_="">
    <xsd:import namespace="66e2e438-3733-46d5-b64b-c512c6046b4e"/>
    <xsd:element name="properties">
      <xsd:complexType>
        <xsd:sequence>
          <xsd:element name="documentManagement">
            <xsd:complexType>
              <xsd:all>
                <xsd:element ref="ns2:l19c03aba7cf4268b442a699abdd95c1" minOccurs="0"/>
                <xsd:element ref="ns2:TaxCatchAll" minOccurs="0"/>
                <xsd:element ref="ns2:TaxCatchAllLabel" minOccurs="0"/>
                <xsd:element ref="ns2:oa9ff634f432497fbe7a448b9e66b205" minOccurs="0"/>
                <xsd:element ref="ns2:f9a40e2d127043eaa3b18699b2fc7615" minOccurs="0"/>
                <xsd:element ref="ns2:LivelinkID" minOccurs="0"/>
                <xsd:element ref="ns2:Physical_x0020_Cop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2e438-3733-46d5-b64b-c512c6046b4e" elementFormDefault="qualified">
    <xsd:import namespace="http://schemas.microsoft.com/office/2006/documentManagement/types"/>
    <xsd:import namespace="http://schemas.microsoft.com/office/infopath/2007/PartnerControls"/>
    <xsd:element name="l19c03aba7cf4268b442a699abdd95c1" ma:index="8" ma:taxonomy="true" ma:internalName="l19c03aba7cf4268b442a699abdd95c1" ma:taxonomyFieldName="DM_x0020_Key_x0020_Word" ma:displayName="DM Key Word" ma:default="" ma:fieldId="{519c03ab-a7cf-4268-b442-a699abdd95c1}" ma:sspId="a2a80313-aeb0-43cb-af8b-51726a16eb99" ma:termSetId="5b46aed8-1fb6-4566-8825-d0f9ab16c4f5" ma:anchorId="11e0954f-3f44-48eb-a71e-1d4434efb686" ma:open="false" ma:isKeyword="false">
      <xsd:complexType>
        <xsd:sequence>
          <xsd:element ref="pc:Terms" minOccurs="0" maxOccurs="1"/>
        </xsd:sequence>
      </xsd:complexType>
    </xsd:element>
    <xsd:element name="TaxCatchAll" ma:index="9" nillable="true" ma:displayName="Taxonomy Catch All Column" ma:hidden="true" ma:list="{9576827e-cc6f-4d7c-bb92-f610bc75a59f}" ma:internalName="TaxCatchAll" ma:showField="CatchAllData" ma:web="66e2e438-3733-46d5-b64b-c512c6046b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576827e-cc6f-4d7c-bb92-f610bc75a59f}" ma:internalName="TaxCatchAllLabel" ma:readOnly="true" ma:showField="CatchAllDataLabel" ma:web="66e2e438-3733-46d5-b64b-c512c6046b4e">
      <xsd:complexType>
        <xsd:complexContent>
          <xsd:extension base="dms:MultiChoiceLookup">
            <xsd:sequence>
              <xsd:element name="Value" type="dms:Lookup" maxOccurs="unbounded" minOccurs="0" nillable="true"/>
            </xsd:sequence>
          </xsd:extension>
        </xsd:complexContent>
      </xsd:complexType>
    </xsd:element>
    <xsd:element name="oa9ff634f432497fbe7a448b9e66b205" ma:index="12" nillable="true" ma:taxonomy="true" ma:internalName="oa9ff634f432497fbe7a448b9e66b205" ma:taxonomyFieldName="Security_x0020_Classification" ma:displayName="Security Classification" ma:readOnly="false" ma:default="30;#Unclassified|a6f64896-ae48-4d38-9394-0168a9e18a35" ma:fieldId="{8a9ff634-f432-497f-be7a-448b9e66b205}" ma:sspId="a2a80313-aeb0-43cb-af8b-51726a16eb99" ma:termSetId="d16bce95-03fb-4cb9-88d5-15e906f2f9c4" ma:anchorId="00000000-0000-0000-0000-000000000000" ma:open="false" ma:isKeyword="false">
      <xsd:complexType>
        <xsd:sequence>
          <xsd:element ref="pc:Terms" minOccurs="0" maxOccurs="1"/>
        </xsd:sequence>
      </xsd:complexType>
    </xsd:element>
    <xsd:element name="f9a40e2d127043eaa3b18699b2fc7615" ma:index="14" ma:taxonomy="true" ma:internalName="f9a40e2d127043eaa3b18699b2fc7615" ma:taxonomyFieldName="Delivery_x0020_Type" ma:displayName="Project Delivery Activity" ma:readOnly="false" ma:default="" ma:fieldId="{f9a40e2d-1270-43ea-a3b1-8699b2fc7615}" ma:sspId="a2a80313-aeb0-43cb-af8b-51726a16eb99" ma:termSetId="bd75eb70-1319-4257-b9db-3d556ace5f5d" ma:anchorId="00000000-0000-0000-0000-000000000000" ma:open="false" ma:isKeyword="false">
      <xsd:complexType>
        <xsd:sequence>
          <xsd:element ref="pc:Terms" minOccurs="0" maxOccurs="1"/>
        </xsd:sequence>
      </xsd:complexType>
    </xsd:element>
    <xsd:element name="LivelinkID" ma:index="16" nillable="true" ma:displayName="LivelinkID" ma:internalName="LivelinkID">
      <xsd:simpleType>
        <xsd:restriction base="dms:Text">
          <xsd:maxLength value="255"/>
        </xsd:restriction>
      </xsd:simpleType>
    </xsd:element>
    <xsd:element name="Physical_x0020_Copy" ma:index="19" nillable="true" ma:displayName="Physical Copy" ma:default="0" ma:internalName="Physical_x0020_Cop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9a40e2d127043eaa3b18699b2fc7615 xmlns="66e2e438-3733-46d5-b64b-c512c6046b4e">
      <Terms xmlns="http://schemas.microsoft.com/office/infopath/2007/PartnerControls"/>
    </f9a40e2d127043eaa3b18699b2fc7615>
    <l19c03aba7cf4268b442a699abdd95c1 xmlns="66e2e438-3733-46d5-b64b-c512c6046b4e">
      <Terms xmlns="http://schemas.microsoft.com/office/infopath/2007/PartnerControls">
        <TermInfo xmlns="http://schemas.microsoft.com/office/infopath/2007/PartnerControls">
          <TermName xmlns="http://schemas.microsoft.com/office/infopath/2007/PartnerControls">Project Delivery</TermName>
          <TermId xmlns="http://schemas.microsoft.com/office/infopath/2007/PartnerControls">eb369edd-3252-405b-bf36-bb9ef294daba</TermId>
        </TermInfo>
      </Terms>
    </l19c03aba7cf4268b442a699abdd95c1>
    <oa9ff634f432497fbe7a448b9e66b205 xmlns="66e2e438-3733-46d5-b64b-c512c6046b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a6f64896-ae48-4d38-9394-0168a9e18a35</TermId>
        </TermInfo>
      </Terms>
    </oa9ff634f432497fbe7a448b9e66b205>
    <Physical_x0020_Copy xmlns="66e2e438-3733-46d5-b64b-c512c6046b4e">false</Physical_x0020_Copy>
    <TaxCatchAll xmlns="66e2e438-3733-46d5-b64b-c512c6046b4e">
      <Value>26</Value>
      <Value>30</Value>
      <Value>29</Value>
      <Value>10</Value>
      <Value>9</Value>
      <Value>22</Value>
      <Value>36</Value>
      <Value>1241</Value>
    </TaxCatchAll>
    <LivelinkID xmlns="66e2e438-3733-46d5-b64b-c512c6046b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D2EAC-33C8-4578-AB43-7BBB8D759F95}">
  <ds:schemaRefs>
    <ds:schemaRef ds:uri="http://schemas.microsoft.com/sharepoint/events"/>
  </ds:schemaRefs>
</ds:datastoreItem>
</file>

<file path=customXml/itemProps2.xml><?xml version="1.0" encoding="utf-8"?>
<ds:datastoreItem xmlns:ds="http://schemas.openxmlformats.org/officeDocument/2006/customXml" ds:itemID="{7C44501C-AAF8-4528-93B8-8AEB41EAD46A}">
  <ds:schemaRefs>
    <ds:schemaRef ds:uri="http://schemas.microsoft.com/sharepoint/v3/contenttype/forms"/>
  </ds:schemaRefs>
</ds:datastoreItem>
</file>

<file path=customXml/itemProps3.xml><?xml version="1.0" encoding="utf-8"?>
<ds:datastoreItem xmlns:ds="http://schemas.openxmlformats.org/officeDocument/2006/customXml" ds:itemID="{44027EA0-24FB-41F8-BB94-D0AA40977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2e438-3733-46d5-b64b-c512c604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8DCB83-3238-438A-82AF-D51F3BC59E62}">
  <ds:schemaRefs>
    <ds:schemaRef ds:uri="http://schemas.microsoft.com/office/infopath/2007/PartnerControls"/>
    <ds:schemaRef ds:uri="http://purl.org/dc/elements/1.1/"/>
    <ds:schemaRef ds:uri="http://schemas.microsoft.com/office/2006/metadata/properties"/>
    <ds:schemaRef ds:uri="http://purl.org/dc/terms/"/>
    <ds:schemaRef ds:uri="66e2e438-3733-46d5-b64b-c512c6046b4e"/>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A762CB2F-96E3-41C3-83BB-61447706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4282</Words>
  <Characters>28137</Characters>
  <Application>Microsoft Office Word</Application>
  <DocSecurity>0</DocSecurity>
  <Lines>234</Lines>
  <Paragraphs>64</Paragraphs>
  <ScaleCrop>false</ScaleCrop>
  <HeadingPairs>
    <vt:vector size="2" baseType="variant">
      <vt:variant>
        <vt:lpstr>Title</vt:lpstr>
      </vt:variant>
      <vt:variant>
        <vt:i4>1</vt:i4>
      </vt:variant>
    </vt:vector>
  </HeadingPairs>
  <TitlesOfParts>
    <vt:vector size="1" baseType="lpstr">
      <vt:lpstr>Waste education in health care: summary report</vt:lpstr>
    </vt:vector>
  </TitlesOfParts>
  <Company>Department of Health and Human Services</Company>
  <LinksUpToDate>false</LinksUpToDate>
  <CharactersWithSpaces>32355</CharactersWithSpaces>
  <SharedDoc>false</SharedDoc>
  <HyperlinkBase/>
  <HLinks>
    <vt:vector size="60" baseType="variant">
      <vt:variant>
        <vt:i4>7864376</vt:i4>
      </vt:variant>
      <vt:variant>
        <vt:i4>51</vt:i4>
      </vt:variant>
      <vt:variant>
        <vt:i4>0</vt:i4>
      </vt:variant>
      <vt:variant>
        <vt:i4>5</vt:i4>
      </vt:variant>
      <vt:variant>
        <vt:lpwstr>https://intranet.dhhs.vic.gov.au/templates-our-visual-style</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 education in health care: summary report</dc:title>
  <dc:subject>Waste education in health care: summary report</dc:subject>
  <dc:creator>Victorian Health and Human Services Building Authority</dc:creator>
  <cp:lastModifiedBy>Rachel L McConville (DHHS)</cp:lastModifiedBy>
  <cp:revision>2</cp:revision>
  <cp:lastPrinted>2017-07-07T00:32:00Z</cp:lastPrinted>
  <dcterms:created xsi:type="dcterms:W3CDTF">2018-10-25T05:17:00Z</dcterms:created>
  <dcterms:modified xsi:type="dcterms:W3CDTF">2018-10-25T05:17:00Z</dcterms:modified>
  <cp:category>Waste, health services, recycling, landfill</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0x01010099DDF8EDA320E543B1EC6B982B0C01211C00F352782142BFE34C838480019DEA5F11</vt:lpwstr>
  </property>
  <property fmtid="{D5CDD505-2E9C-101B-9397-08002B2CF9AE}" pid="4" name="b73968e9ce784ca4a391306e0a0a5f46">
    <vt:lpwstr>2015|87ad06d5-2837-46bf-8c9b-4cc852d4ada0</vt:lpwstr>
  </property>
  <property fmtid="{D5CDD505-2E9C-101B-9397-08002B2CF9AE}" pid="5" name="m2a46786ab4242859a6101eb70b9b150">
    <vt:lpwstr>Internal Report|a89eade3-a39a-496c-a215-f730206bee91</vt:lpwstr>
  </property>
  <property fmtid="{D5CDD505-2E9C-101B-9397-08002B2CF9AE}" pid="6" name="b597d033ab9a4eb5a9384d5125191b65">
    <vt:lpwstr>Brief|7a08c022-f9cf-4d47-b74d-3d54d3874e09</vt:lpwstr>
  </property>
  <property fmtid="{D5CDD505-2E9C-101B-9397-08002B2CF9AE}" pid="7" name="ndce0d0d55a349928d36ed823709dfec">
    <vt:lpwstr>Strategy ＆ Planning|a09bb204-cb20-4930-b164-850217409133</vt:lpwstr>
  </property>
  <property fmtid="{D5CDD505-2E9C-101B-9397-08002B2CF9AE}" pid="8" name="i4587b40dee642c5a1d5214f2c9eb308">
    <vt:lpwstr>Minutes|9a90a59b-df34-44af-b72f-b8fa25724038</vt:lpwstr>
  </property>
  <property fmtid="{D5CDD505-2E9C-101B-9397-08002B2CF9AE}" pid="9" name="f5f0b0297d954234b0859b6844c5fcc8">
    <vt:lpwstr>Contracts|710ae83e-9930-4287-8286-a40c95955d0e</vt:lpwstr>
  </property>
  <property fmtid="{D5CDD505-2E9C-101B-9397-08002B2CF9AE}" pid="10" name="Sub Project">
    <vt:lpwstr/>
  </property>
  <property fmtid="{D5CDD505-2E9C-101B-9397-08002B2CF9AE}" pid="11" name="DM Key Word">
    <vt:lpwstr>36;#Project Delivery|eb369edd-3252-405b-bf36-bb9ef294daba</vt:lpwstr>
  </property>
  <property fmtid="{D5CDD505-2E9C-101B-9397-08002B2CF9AE}" pid="12" name="Delivery Type">
    <vt:lpwstr/>
  </property>
  <property fmtid="{D5CDD505-2E9C-101B-9397-08002B2CF9AE}" pid="13" name="Calendar Year">
    <vt:lpwstr>10;#2015|87ad06d5-2837-46bf-8c9b-4cc852d4ada0</vt:lpwstr>
  </property>
  <property fmtid="{D5CDD505-2E9C-101B-9397-08002B2CF9AE}" pid="14" name="Security Classification">
    <vt:lpwstr>30;#Unclassified|a6f64896-ae48-4d38-9394-0168a9e18a35</vt:lpwstr>
  </property>
  <property fmtid="{D5CDD505-2E9C-101B-9397-08002B2CF9AE}" pid="15" name="he456946b27d4e93add52cbf6337b939">
    <vt:lpwstr/>
  </property>
  <property fmtid="{D5CDD505-2E9C-101B-9397-08002B2CF9AE}" pid="16" name="Meeting Type">
    <vt:lpwstr>26;#Minutes|9a90a59b-df34-44af-b72f-b8fa25724038</vt:lpwstr>
  </property>
  <property fmtid="{D5CDD505-2E9C-101B-9397-08002B2CF9AE}" pid="17" name="Report Type">
    <vt:lpwstr>29;#Internal Report|a89eade3-a39a-496c-a215-f730206bee91</vt:lpwstr>
  </property>
  <property fmtid="{D5CDD505-2E9C-101B-9397-08002B2CF9AE}" pid="18" name="Team1">
    <vt:lpwstr>1241;#Strategy ＆ Planning|a09bb204-cb20-4930-b164-850217409133</vt:lpwstr>
  </property>
  <property fmtid="{D5CDD505-2E9C-101B-9397-08002B2CF9AE}" pid="19" name="Contract type">
    <vt:lpwstr/>
  </property>
  <property fmtid="{D5CDD505-2E9C-101B-9397-08002B2CF9AE}" pid="20" name="Contract Document Type">
    <vt:lpwstr/>
  </property>
  <property fmtid="{D5CDD505-2E9C-101B-9397-08002B2CF9AE}" pid="21" name="j8d690aba18e46d99baa7d2bc10bdcb5">
    <vt:lpwstr/>
  </property>
  <property fmtid="{D5CDD505-2E9C-101B-9397-08002B2CF9AE}" pid="22" name="Communication document type">
    <vt:lpwstr>9;#Brief|7a08c022-f9cf-4d47-b74d-3d54d3874e09</vt:lpwstr>
  </property>
  <property fmtid="{D5CDD505-2E9C-101B-9397-08002B2CF9AE}" pid="23" name="k482e1eb40c441f791827f10a4279dbb">
    <vt:lpwstr/>
  </property>
  <property fmtid="{D5CDD505-2E9C-101B-9397-08002B2CF9AE}" pid="24" name="Legal Document Type">
    <vt:lpwstr>22;#Contracts|710ae83e-9930-4287-8286-a40c95955d0e</vt:lpwstr>
  </property>
</Properties>
</file>