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96E" w:rsidRPr="004C6EEE" w:rsidRDefault="00B5361A" w:rsidP="00AD784C">
      <w:pPr>
        <w:pStyle w:val="Spacerparatopoffirstpage"/>
      </w:pPr>
      <w:r>
        <w:rPr>
          <w:lang w:eastAsia="en-AU"/>
        </w:rPr>
        <w:drawing>
          <wp:anchor distT="0" distB="0" distL="114300" distR="114300" simplePos="0" relativeHeight="251640320" behindDoc="1" locked="1" layoutInCell="0" allowOverlap="1" wp14:anchorId="3799766A" wp14:editId="1560928F">
            <wp:simplePos x="0" y="0"/>
            <wp:positionH relativeFrom="page">
              <wp:posOffset>0</wp:posOffset>
            </wp:positionH>
            <wp:positionV relativeFrom="page">
              <wp:posOffset>0</wp:posOffset>
            </wp:positionV>
            <wp:extent cx="7563485" cy="2066925"/>
            <wp:effectExtent l="0" t="0" r="0" b="9525"/>
            <wp:wrapNone/>
            <wp:docPr id="31" name="Picture 31"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ecorativ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3485" cy="2066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2D44" w:rsidRPr="004C6EEE" w:rsidRDefault="00A62D44" w:rsidP="004C6EEE">
      <w:pPr>
        <w:pStyle w:val="Sectionbreakfirstpage"/>
        <w:sectPr w:rsidR="00A62D44" w:rsidRPr="004C6EEE" w:rsidSect="00AD784C">
          <w:footerReference w:type="default" r:id="rId10"/>
          <w:pgSz w:w="11906" w:h="16838" w:code="9"/>
          <w:pgMar w:top="567" w:right="851" w:bottom="1418" w:left="851" w:header="510" w:footer="510" w:gutter="0"/>
          <w:cols w:space="708"/>
          <w:docGrid w:linePitch="360"/>
        </w:sectPr>
      </w:pPr>
    </w:p>
    <w:tbl>
      <w:tblPr>
        <w:tblW w:w="0" w:type="auto"/>
        <w:tblLook w:val="04A0" w:firstRow="1" w:lastRow="0" w:firstColumn="1" w:lastColumn="0" w:noHBand="0" w:noVBand="1"/>
      </w:tblPr>
      <w:tblGrid>
        <w:gridCol w:w="8046"/>
      </w:tblGrid>
      <w:tr w:rsidR="00AD784C" w:rsidTr="001C277E">
        <w:trPr>
          <w:trHeight w:val="1247"/>
        </w:trPr>
        <w:tc>
          <w:tcPr>
            <w:tcW w:w="8046" w:type="dxa"/>
            <w:shd w:val="clear" w:color="auto" w:fill="auto"/>
            <w:vAlign w:val="bottom"/>
          </w:tcPr>
          <w:p w:rsidR="00AD784C" w:rsidRPr="00161AA0" w:rsidRDefault="009B1555" w:rsidP="00A91406">
            <w:pPr>
              <w:pStyle w:val="DHHSmainheading"/>
            </w:pPr>
            <w:r>
              <w:lastRenderedPageBreak/>
              <w:t>Victoria’s end of life and palliative care framework</w:t>
            </w:r>
          </w:p>
        </w:tc>
      </w:tr>
      <w:tr w:rsidR="00AD784C" w:rsidTr="00357B4E">
        <w:trPr>
          <w:trHeight w:hRule="exact" w:val="1162"/>
        </w:trPr>
        <w:tc>
          <w:tcPr>
            <w:tcW w:w="8046" w:type="dxa"/>
            <w:shd w:val="clear" w:color="auto" w:fill="auto"/>
            <w:tcMar>
              <w:top w:w="170" w:type="dxa"/>
              <w:bottom w:w="510" w:type="dxa"/>
            </w:tcMar>
          </w:tcPr>
          <w:p w:rsidR="00357B4E" w:rsidRPr="00AD784C" w:rsidRDefault="009B1555" w:rsidP="007B6E0F">
            <w:pPr>
              <w:pStyle w:val="DHHSmainsubheading"/>
              <w:rPr>
                <w:szCs w:val="28"/>
              </w:rPr>
            </w:pPr>
            <w:r>
              <w:rPr>
                <w:szCs w:val="28"/>
              </w:rPr>
              <w:t>Communique</w:t>
            </w:r>
            <w:r w:rsidR="004F10EE">
              <w:rPr>
                <w:szCs w:val="28"/>
              </w:rPr>
              <w:t xml:space="preserve"> no. </w:t>
            </w:r>
            <w:r w:rsidR="00FA240A">
              <w:rPr>
                <w:szCs w:val="28"/>
              </w:rPr>
              <w:t>6</w:t>
            </w:r>
            <w:r w:rsidR="00A85A70">
              <w:rPr>
                <w:szCs w:val="28"/>
              </w:rPr>
              <w:t xml:space="preserve"> </w:t>
            </w:r>
            <w:r w:rsidR="00C92C84">
              <w:rPr>
                <w:szCs w:val="28"/>
              </w:rPr>
              <w:t xml:space="preserve">– </w:t>
            </w:r>
            <w:r w:rsidR="00FA240A">
              <w:rPr>
                <w:szCs w:val="28"/>
              </w:rPr>
              <w:t xml:space="preserve">May </w:t>
            </w:r>
            <w:r w:rsidR="003A3427">
              <w:rPr>
                <w:szCs w:val="28"/>
              </w:rPr>
              <w:t>2018</w:t>
            </w:r>
            <w:r w:rsidR="00B53448">
              <w:rPr>
                <w:szCs w:val="28"/>
              </w:rPr>
              <w:t xml:space="preserve"> </w:t>
            </w:r>
            <w:r w:rsidR="00330005">
              <w:rPr>
                <w:szCs w:val="28"/>
              </w:rPr>
              <w:t xml:space="preserve"> </w:t>
            </w:r>
            <w:r w:rsidR="00EF0806">
              <w:rPr>
                <w:szCs w:val="28"/>
              </w:rPr>
              <w:br/>
            </w:r>
          </w:p>
        </w:tc>
      </w:tr>
    </w:tbl>
    <w:p w:rsidR="007173CA" w:rsidRDefault="007173CA" w:rsidP="007173CA">
      <w:pPr>
        <w:pStyle w:val="DHHSbody"/>
        <w:sectPr w:rsidR="007173CA" w:rsidSect="00F01E5F">
          <w:headerReference w:type="default" r:id="rId11"/>
          <w:footerReference w:type="default" r:id="rId12"/>
          <w:type w:val="continuous"/>
          <w:pgSz w:w="11906" w:h="16838" w:code="9"/>
          <w:pgMar w:top="1418" w:right="851" w:bottom="1134" w:left="851" w:header="567" w:footer="510" w:gutter="0"/>
          <w:cols w:space="340"/>
          <w:titlePg/>
          <w:docGrid w:linePitch="360"/>
        </w:sectPr>
      </w:pPr>
      <w:bookmarkStart w:id="0" w:name="_Toc440566508"/>
    </w:p>
    <w:p w:rsidR="00060D0B" w:rsidRPr="00B66339" w:rsidRDefault="004F10EE" w:rsidP="00B43F48">
      <w:pPr>
        <w:pStyle w:val="DHHSbody"/>
        <w:spacing w:line="240" w:lineRule="auto"/>
        <w:rPr>
          <w:rFonts w:eastAsia="Times New Roman" w:cs="Arial"/>
          <w:b/>
          <w:color w:val="A6A6A6" w:themeColor="background1" w:themeShade="A6"/>
          <w:lang w:eastAsia="en-AU"/>
        </w:rPr>
      </w:pPr>
      <w:bookmarkStart w:id="1" w:name="_Toc440566509"/>
      <w:bookmarkEnd w:id="0"/>
      <w:r>
        <w:lastRenderedPageBreak/>
        <w:t xml:space="preserve">This communique is issued by the Implementation Advisory Group </w:t>
      </w:r>
      <w:r w:rsidR="00BC0B59">
        <w:t xml:space="preserve">(the group) </w:t>
      </w:r>
      <w:r>
        <w:t>for</w:t>
      </w:r>
      <w:r w:rsidR="001C1476">
        <w:t xml:space="preserve"> </w:t>
      </w:r>
      <w:r w:rsidR="001C1476" w:rsidRPr="001C1476">
        <w:rPr>
          <w:i/>
        </w:rPr>
        <w:t>Victoria’s end of life and palliative care framework</w:t>
      </w:r>
      <w:r w:rsidR="001C1476">
        <w:rPr>
          <w:i/>
        </w:rPr>
        <w:t xml:space="preserve"> </w:t>
      </w:r>
      <w:r w:rsidR="00077B8F">
        <w:t>(the F</w:t>
      </w:r>
      <w:r w:rsidR="001C1476" w:rsidRPr="004F10EE">
        <w:t>ramework)</w:t>
      </w:r>
      <w:r w:rsidR="001C1476">
        <w:t xml:space="preserve"> </w:t>
      </w:r>
      <w:hyperlink r:id="rId13" w:history="1">
        <w:r w:rsidR="001C1476" w:rsidRPr="001C1476">
          <w:rPr>
            <w:rStyle w:val="Hyperlink"/>
          </w:rPr>
          <w:t>&lt;www2.health.vic.gov.au/palliative-care&gt;</w:t>
        </w:r>
      </w:hyperlink>
      <w:r w:rsidR="001C1476">
        <w:t xml:space="preserve"> </w:t>
      </w:r>
      <w:r w:rsidR="00C970DA">
        <w:t>released</w:t>
      </w:r>
      <w:r w:rsidR="00460A2F">
        <w:t xml:space="preserve"> in Ju</w:t>
      </w:r>
      <w:r w:rsidR="00C970DA">
        <w:t>ly</w:t>
      </w:r>
      <w:r w:rsidR="002F2615">
        <w:t xml:space="preserve"> </w:t>
      </w:r>
      <w:r w:rsidR="00460A2F">
        <w:t>2016</w:t>
      </w:r>
      <w:r>
        <w:t xml:space="preserve">. </w:t>
      </w:r>
      <w:r w:rsidR="00557D94">
        <w:t>It aims</w:t>
      </w:r>
      <w:r>
        <w:t xml:space="preserve"> to keep stakeholders and interested groups informed of progress and developments of activities under the framework</w:t>
      </w:r>
      <w:r w:rsidR="008753F2">
        <w:t xml:space="preserve"> priorities</w:t>
      </w:r>
      <w:r>
        <w:t>.</w:t>
      </w:r>
      <w:bookmarkEnd w:id="1"/>
      <w:r w:rsidR="00830997">
        <w:t xml:space="preserve"> </w:t>
      </w:r>
      <w:r w:rsidR="00C53DA4" w:rsidRPr="00830997">
        <w:t xml:space="preserve">This communique follows the group’s </w:t>
      </w:r>
      <w:r w:rsidR="00830997">
        <w:t>sixth quarterly</w:t>
      </w:r>
      <w:r w:rsidR="00C53DA4" w:rsidRPr="00830997">
        <w:t xml:space="preserve"> meeting.</w:t>
      </w:r>
    </w:p>
    <w:p w:rsidR="00FA240A" w:rsidRDefault="005D0F1A" w:rsidP="003A3427">
      <w:pPr>
        <w:pStyle w:val="DHHSbody"/>
        <w:spacing w:line="240" w:lineRule="auto"/>
        <w:rPr>
          <w:rStyle w:val="Heading3Char"/>
          <w:color w:val="660066"/>
        </w:rPr>
      </w:pPr>
      <w:r>
        <w:rPr>
          <w:rStyle w:val="Heading3Char"/>
          <w:color w:val="660066"/>
        </w:rPr>
        <w:t>End of life ancillary services g</w:t>
      </w:r>
      <w:r w:rsidR="00FA240A">
        <w:rPr>
          <w:rStyle w:val="Heading3Char"/>
          <w:color w:val="660066"/>
        </w:rPr>
        <w:t>rant</w:t>
      </w:r>
      <w:r>
        <w:rPr>
          <w:rStyle w:val="Heading3Char"/>
          <w:color w:val="660066"/>
        </w:rPr>
        <w:t>s</w:t>
      </w:r>
      <w:r w:rsidR="00E10E9C">
        <w:rPr>
          <w:rStyle w:val="Heading3Char"/>
          <w:color w:val="660066"/>
        </w:rPr>
        <w:t xml:space="preserve"> </w:t>
      </w:r>
    </w:p>
    <w:p w:rsidR="005D0F1A" w:rsidRPr="005D0F1A" w:rsidRDefault="00335E56" w:rsidP="005D0F1A">
      <w:pPr>
        <w:pStyle w:val="DHHSbody"/>
        <w:spacing w:line="240" w:lineRule="auto"/>
        <w:rPr>
          <w:rFonts w:eastAsia="Times New Roman" w:cs="Arial"/>
          <w:b/>
          <w:color w:val="000000"/>
          <w:lang w:eastAsia="en-AU"/>
        </w:rPr>
      </w:pPr>
      <w:r>
        <w:rPr>
          <w:rFonts w:eastAsia="MS Gothic"/>
          <w:b/>
          <w:bCs/>
          <w:noProof/>
          <w:color w:val="660066"/>
          <w:sz w:val="24"/>
          <w:szCs w:val="26"/>
          <w:lang w:eastAsia="en-AU"/>
        </w:rPr>
        <mc:AlternateContent>
          <mc:Choice Requires="wpg">
            <w:drawing>
              <wp:anchor distT="0" distB="0" distL="114300" distR="114300" simplePos="0" relativeHeight="251655168" behindDoc="0" locked="0" layoutInCell="1" allowOverlap="1" wp14:anchorId="6A35A118" wp14:editId="2672158C">
                <wp:simplePos x="0" y="0"/>
                <wp:positionH relativeFrom="column">
                  <wp:posOffset>-91811</wp:posOffset>
                </wp:positionH>
                <wp:positionV relativeFrom="paragraph">
                  <wp:posOffset>645543</wp:posOffset>
                </wp:positionV>
                <wp:extent cx="6564648" cy="1725283"/>
                <wp:effectExtent l="0" t="0" r="7620" b="8890"/>
                <wp:wrapNone/>
                <wp:docPr id="12" name="Group 12"/>
                <wp:cNvGraphicFramePr/>
                <a:graphic xmlns:a="http://schemas.openxmlformats.org/drawingml/2006/main">
                  <a:graphicData uri="http://schemas.microsoft.com/office/word/2010/wordprocessingGroup">
                    <wpg:wgp>
                      <wpg:cNvGrpSpPr/>
                      <wpg:grpSpPr>
                        <a:xfrm>
                          <a:off x="0" y="0"/>
                          <a:ext cx="6564648" cy="1725283"/>
                          <a:chOff x="-101783" y="-9759"/>
                          <a:chExt cx="6454678" cy="975628"/>
                        </a:xfrm>
                      </wpg:grpSpPr>
                      <wps:wsp>
                        <wps:cNvPr id="6" name="Text Box 2"/>
                        <wps:cNvSpPr txBox="1">
                          <a:spLocks noChangeArrowheads="1"/>
                        </wps:cNvSpPr>
                        <wps:spPr bwMode="auto">
                          <a:xfrm>
                            <a:off x="-101783" y="-5"/>
                            <a:ext cx="3214642" cy="936606"/>
                          </a:xfrm>
                          <a:prstGeom prst="rect">
                            <a:avLst/>
                          </a:prstGeom>
                          <a:solidFill>
                            <a:srgbClr val="FFFFFF"/>
                          </a:solidFill>
                          <a:ln w="9525">
                            <a:noFill/>
                            <a:miter lim="800000"/>
                            <a:headEnd/>
                            <a:tailEnd/>
                          </a:ln>
                        </wps:spPr>
                        <wps:txbx>
                          <w:txbxContent>
                            <w:p w:rsidR="009905C7" w:rsidRPr="00EF0806" w:rsidRDefault="009905C7" w:rsidP="009905C7">
                              <w:pPr>
                                <w:pStyle w:val="ListParagraph"/>
                                <w:numPr>
                                  <w:ilvl w:val="0"/>
                                  <w:numId w:val="24"/>
                                </w:numPr>
                                <w:spacing w:after="240" w:line="240" w:lineRule="auto"/>
                                <w:ind w:left="426" w:hanging="426"/>
                                <w:rPr>
                                  <w:rFonts w:ascii="Arial" w:hAnsi="Arial" w:cs="Arial"/>
                                  <w:sz w:val="20"/>
                                  <w:szCs w:val="20"/>
                                </w:rPr>
                              </w:pPr>
                              <w:proofErr w:type="spellStart"/>
                              <w:r w:rsidRPr="00EF0806">
                                <w:rPr>
                                  <w:rFonts w:ascii="Arial" w:hAnsi="Arial" w:cs="Arial"/>
                                  <w:sz w:val="20"/>
                                  <w:szCs w:val="20"/>
                                </w:rPr>
                                <w:t>Anam</w:t>
                              </w:r>
                              <w:proofErr w:type="spellEnd"/>
                              <w:r w:rsidRPr="00EF0806">
                                <w:rPr>
                                  <w:rFonts w:ascii="Arial" w:hAnsi="Arial" w:cs="Arial"/>
                                  <w:sz w:val="20"/>
                                  <w:szCs w:val="20"/>
                                </w:rPr>
                                <w:t xml:space="preserve"> Cara Colac</w:t>
                              </w:r>
                            </w:p>
                            <w:p w:rsidR="00F26D2A" w:rsidRPr="00EF0806" w:rsidRDefault="00F26D2A" w:rsidP="00F26D2A">
                              <w:pPr>
                                <w:pStyle w:val="ListParagraph"/>
                                <w:numPr>
                                  <w:ilvl w:val="0"/>
                                  <w:numId w:val="24"/>
                                </w:numPr>
                                <w:spacing w:after="240" w:line="240" w:lineRule="auto"/>
                                <w:ind w:left="426" w:hanging="426"/>
                                <w:rPr>
                                  <w:rFonts w:ascii="Arial" w:hAnsi="Arial" w:cs="Arial"/>
                                  <w:sz w:val="20"/>
                                  <w:szCs w:val="20"/>
                                </w:rPr>
                              </w:pPr>
                              <w:proofErr w:type="spellStart"/>
                              <w:r w:rsidRPr="00EF0806">
                                <w:rPr>
                                  <w:rFonts w:ascii="Arial" w:hAnsi="Arial" w:cs="Arial"/>
                                  <w:sz w:val="20"/>
                                  <w:szCs w:val="20"/>
                                </w:rPr>
                                <w:t>Anam</w:t>
                              </w:r>
                              <w:proofErr w:type="spellEnd"/>
                              <w:r w:rsidRPr="00EF0806">
                                <w:rPr>
                                  <w:rFonts w:ascii="Arial" w:hAnsi="Arial" w:cs="Arial"/>
                                  <w:sz w:val="20"/>
                                  <w:szCs w:val="20"/>
                                </w:rPr>
                                <w:t xml:space="preserve"> Cara Geelong</w:t>
                              </w:r>
                            </w:p>
                            <w:p w:rsidR="00F26D2A" w:rsidRPr="00EF0806" w:rsidRDefault="00F26D2A" w:rsidP="00F26D2A">
                              <w:pPr>
                                <w:pStyle w:val="ListParagraph"/>
                                <w:numPr>
                                  <w:ilvl w:val="0"/>
                                  <w:numId w:val="24"/>
                                </w:numPr>
                                <w:spacing w:after="240" w:line="240" w:lineRule="auto"/>
                                <w:ind w:left="426" w:hanging="426"/>
                                <w:rPr>
                                  <w:rFonts w:ascii="Arial" w:hAnsi="Arial" w:cs="Arial"/>
                                  <w:sz w:val="20"/>
                                  <w:szCs w:val="20"/>
                                </w:rPr>
                              </w:pPr>
                              <w:r w:rsidRPr="00EF0806">
                                <w:rPr>
                                  <w:rFonts w:ascii="Arial" w:hAnsi="Arial" w:cs="Arial"/>
                                  <w:sz w:val="20"/>
                                  <w:szCs w:val="20"/>
                                </w:rPr>
                                <w:t>Chinese Cancer and Chronic Illness Society of Victoria</w:t>
                              </w:r>
                            </w:p>
                            <w:p w:rsidR="009905C7" w:rsidRPr="00EF0806" w:rsidRDefault="009905C7" w:rsidP="009905C7">
                              <w:pPr>
                                <w:pStyle w:val="ListParagraph"/>
                                <w:numPr>
                                  <w:ilvl w:val="0"/>
                                  <w:numId w:val="24"/>
                                </w:numPr>
                                <w:spacing w:after="240" w:line="240" w:lineRule="auto"/>
                                <w:ind w:left="426" w:hanging="426"/>
                                <w:rPr>
                                  <w:rFonts w:ascii="Arial" w:hAnsi="Arial" w:cs="Arial"/>
                                  <w:sz w:val="20"/>
                                  <w:szCs w:val="20"/>
                                </w:rPr>
                              </w:pPr>
                              <w:r w:rsidRPr="00EF0806">
                                <w:rPr>
                                  <w:rFonts w:ascii="Arial" w:hAnsi="Arial" w:cs="Arial"/>
                                  <w:sz w:val="20"/>
                                  <w:szCs w:val="20"/>
                                </w:rPr>
                                <w:t>Community Houses Association of the Outer Eastern Suburbs Inc.</w:t>
                              </w:r>
                              <w:r w:rsidR="007B6E0F">
                                <w:rPr>
                                  <w:rFonts w:ascii="Arial" w:hAnsi="Arial" w:cs="Arial"/>
                                  <w:sz w:val="20"/>
                                  <w:szCs w:val="20"/>
                                </w:rPr>
                                <w:t xml:space="preserve"> (CHAOS)</w:t>
                              </w:r>
                            </w:p>
                            <w:p w:rsidR="009905C7" w:rsidRPr="00EF0806" w:rsidRDefault="009905C7" w:rsidP="009905C7">
                              <w:pPr>
                                <w:pStyle w:val="ListParagraph"/>
                                <w:numPr>
                                  <w:ilvl w:val="0"/>
                                  <w:numId w:val="24"/>
                                </w:numPr>
                                <w:spacing w:after="240" w:line="240" w:lineRule="auto"/>
                                <w:ind w:left="426" w:hanging="426"/>
                                <w:rPr>
                                  <w:rFonts w:ascii="Arial" w:hAnsi="Arial" w:cs="Arial"/>
                                  <w:sz w:val="20"/>
                                  <w:szCs w:val="20"/>
                                </w:rPr>
                              </w:pPr>
                              <w:proofErr w:type="spellStart"/>
                              <w:r w:rsidRPr="00EF0806">
                                <w:rPr>
                                  <w:rFonts w:ascii="Arial" w:hAnsi="Arial" w:cs="Arial"/>
                                  <w:sz w:val="20"/>
                                  <w:szCs w:val="20"/>
                                </w:rPr>
                                <w:t>Fernlea</w:t>
                              </w:r>
                              <w:proofErr w:type="spellEnd"/>
                              <w:r w:rsidRPr="00EF0806">
                                <w:rPr>
                                  <w:rFonts w:ascii="Arial" w:hAnsi="Arial" w:cs="Arial"/>
                                  <w:sz w:val="20"/>
                                  <w:szCs w:val="20"/>
                                </w:rPr>
                                <w:t xml:space="preserve"> House</w:t>
                              </w:r>
                            </w:p>
                            <w:p w:rsidR="009905C7" w:rsidRPr="00EF0806" w:rsidRDefault="009905C7" w:rsidP="009905C7">
                              <w:pPr>
                                <w:pStyle w:val="ListParagraph"/>
                                <w:numPr>
                                  <w:ilvl w:val="0"/>
                                  <w:numId w:val="24"/>
                                </w:numPr>
                                <w:spacing w:after="240" w:line="240" w:lineRule="auto"/>
                                <w:ind w:left="426" w:hanging="426"/>
                                <w:rPr>
                                  <w:rFonts w:ascii="Arial" w:hAnsi="Arial" w:cs="Arial"/>
                                  <w:sz w:val="20"/>
                                  <w:szCs w:val="20"/>
                                </w:rPr>
                              </w:pPr>
                              <w:r w:rsidRPr="00EF0806">
                                <w:rPr>
                                  <w:rFonts w:ascii="Arial" w:hAnsi="Arial" w:cs="Arial"/>
                                  <w:sz w:val="20"/>
                                  <w:szCs w:val="20"/>
                                </w:rPr>
                                <w:t xml:space="preserve">Link Community Transport </w:t>
                              </w:r>
                            </w:p>
                            <w:p w:rsidR="00F26D2A" w:rsidRPr="00EF0806" w:rsidRDefault="00F26D2A" w:rsidP="00F26D2A">
                              <w:pPr>
                                <w:pStyle w:val="ListParagraph"/>
                                <w:numPr>
                                  <w:ilvl w:val="0"/>
                                  <w:numId w:val="24"/>
                                </w:numPr>
                                <w:spacing w:after="240" w:line="240" w:lineRule="auto"/>
                                <w:ind w:left="426" w:hanging="426"/>
                                <w:rPr>
                                  <w:rFonts w:ascii="Arial" w:hAnsi="Arial" w:cs="Arial"/>
                                  <w:sz w:val="20"/>
                                  <w:szCs w:val="20"/>
                                </w:rPr>
                              </w:pPr>
                              <w:r w:rsidRPr="00EF0806">
                                <w:rPr>
                                  <w:rFonts w:ascii="Arial" w:hAnsi="Arial" w:cs="Arial"/>
                                  <w:sz w:val="20"/>
                                  <w:szCs w:val="20"/>
                                </w:rPr>
                                <w:t>Little Dreamers Australia</w:t>
                              </w:r>
                            </w:p>
                            <w:p w:rsidR="009905C7" w:rsidRPr="00EF0806" w:rsidRDefault="009905C7" w:rsidP="009905C7">
                              <w:pPr>
                                <w:pStyle w:val="ListParagraph"/>
                                <w:numPr>
                                  <w:ilvl w:val="0"/>
                                  <w:numId w:val="24"/>
                                </w:numPr>
                                <w:spacing w:after="240" w:line="240" w:lineRule="auto"/>
                                <w:ind w:left="426" w:hanging="426"/>
                                <w:rPr>
                                  <w:rFonts w:ascii="Arial" w:hAnsi="Arial" w:cs="Arial"/>
                                  <w:sz w:val="20"/>
                                  <w:szCs w:val="20"/>
                                </w:rPr>
                              </w:pPr>
                              <w:r w:rsidRPr="00EF0806">
                                <w:rPr>
                                  <w:rFonts w:ascii="Arial" w:hAnsi="Arial" w:cs="Arial"/>
                                  <w:sz w:val="20"/>
                                  <w:szCs w:val="20"/>
                                </w:rPr>
                                <w:t>Mallacoota District Health and Support Services</w:t>
                              </w:r>
                            </w:p>
                          </w:txbxContent>
                        </wps:txbx>
                        <wps:bodyPr rot="0" vert="horz" wrap="square" lIns="91440" tIns="45720" rIns="91440" bIns="45720" anchor="t" anchorCtr="0">
                          <a:noAutofit/>
                        </wps:bodyPr>
                      </wps:wsp>
                      <wps:wsp>
                        <wps:cNvPr id="7" name="Text Box 7"/>
                        <wps:cNvSpPr txBox="1">
                          <a:spLocks noChangeArrowheads="1"/>
                        </wps:cNvSpPr>
                        <wps:spPr bwMode="auto">
                          <a:xfrm>
                            <a:off x="3163390" y="-9759"/>
                            <a:ext cx="3189505" cy="975628"/>
                          </a:xfrm>
                          <a:prstGeom prst="rect">
                            <a:avLst/>
                          </a:prstGeom>
                          <a:solidFill>
                            <a:srgbClr val="FFFFFF"/>
                          </a:solidFill>
                          <a:ln w="9525">
                            <a:noFill/>
                            <a:miter lim="800000"/>
                            <a:headEnd/>
                            <a:tailEnd/>
                          </a:ln>
                        </wps:spPr>
                        <wps:txbx>
                          <w:txbxContent>
                            <w:p w:rsidR="00EC3624" w:rsidRPr="00EF0806" w:rsidRDefault="00EC3624" w:rsidP="00F26D2A">
                              <w:pPr>
                                <w:pStyle w:val="ListParagraph"/>
                                <w:numPr>
                                  <w:ilvl w:val="0"/>
                                  <w:numId w:val="24"/>
                                </w:numPr>
                                <w:spacing w:after="240" w:line="240" w:lineRule="auto"/>
                                <w:ind w:left="426" w:hanging="426"/>
                                <w:rPr>
                                  <w:rFonts w:ascii="Arial" w:hAnsi="Arial" w:cs="Arial"/>
                                  <w:sz w:val="20"/>
                                  <w:szCs w:val="20"/>
                                </w:rPr>
                              </w:pPr>
                              <w:r w:rsidRPr="00EF0806">
                                <w:rPr>
                                  <w:rFonts w:ascii="Arial" w:hAnsi="Arial" w:cs="Arial"/>
                                  <w:sz w:val="20"/>
                                  <w:szCs w:val="20"/>
                                </w:rPr>
                                <w:t>Multicultural Centre for Women’s Health</w:t>
                              </w:r>
                            </w:p>
                            <w:p w:rsidR="00EC3624" w:rsidRPr="00EF0806" w:rsidRDefault="00EC3624" w:rsidP="00F26D2A">
                              <w:pPr>
                                <w:pStyle w:val="ListParagraph"/>
                                <w:numPr>
                                  <w:ilvl w:val="0"/>
                                  <w:numId w:val="24"/>
                                </w:numPr>
                                <w:spacing w:after="240" w:line="240" w:lineRule="auto"/>
                                <w:ind w:left="426" w:hanging="426"/>
                                <w:rPr>
                                  <w:rFonts w:ascii="Arial" w:hAnsi="Arial" w:cs="Arial"/>
                                  <w:sz w:val="20"/>
                                  <w:szCs w:val="20"/>
                                </w:rPr>
                              </w:pPr>
                              <w:r w:rsidRPr="00EF0806">
                                <w:rPr>
                                  <w:rFonts w:ascii="Arial" w:hAnsi="Arial" w:cs="Arial"/>
                                  <w:sz w:val="20"/>
                                  <w:szCs w:val="20"/>
                                </w:rPr>
                                <w:t>Polish Community Council of Victoria</w:t>
                              </w:r>
                            </w:p>
                            <w:p w:rsidR="009905C7" w:rsidRPr="00EF0806" w:rsidRDefault="009905C7" w:rsidP="009905C7">
                              <w:pPr>
                                <w:pStyle w:val="ListParagraph"/>
                                <w:numPr>
                                  <w:ilvl w:val="0"/>
                                  <w:numId w:val="24"/>
                                </w:numPr>
                                <w:spacing w:after="240" w:line="240" w:lineRule="auto"/>
                                <w:ind w:left="426" w:hanging="426"/>
                                <w:rPr>
                                  <w:rFonts w:ascii="Arial" w:hAnsi="Arial" w:cs="Arial"/>
                                  <w:sz w:val="20"/>
                                  <w:szCs w:val="20"/>
                                </w:rPr>
                              </w:pPr>
                              <w:r w:rsidRPr="00EF0806">
                                <w:rPr>
                                  <w:rFonts w:ascii="Arial" w:hAnsi="Arial" w:cs="Arial"/>
                                  <w:sz w:val="20"/>
                                  <w:szCs w:val="20"/>
                                </w:rPr>
                                <w:t>Peace of Mind Foundation</w:t>
                              </w:r>
                            </w:p>
                            <w:p w:rsidR="00EC3624" w:rsidRPr="00EF0806" w:rsidRDefault="00EC3624" w:rsidP="00F26D2A">
                              <w:pPr>
                                <w:pStyle w:val="ListParagraph"/>
                                <w:numPr>
                                  <w:ilvl w:val="0"/>
                                  <w:numId w:val="24"/>
                                </w:numPr>
                                <w:spacing w:after="240" w:line="240" w:lineRule="auto"/>
                                <w:ind w:left="426" w:hanging="426"/>
                                <w:rPr>
                                  <w:rFonts w:ascii="Arial" w:hAnsi="Arial" w:cs="Arial"/>
                                  <w:sz w:val="20"/>
                                  <w:szCs w:val="20"/>
                                </w:rPr>
                              </w:pPr>
                              <w:r w:rsidRPr="00EF0806">
                                <w:rPr>
                                  <w:rFonts w:ascii="Arial" w:hAnsi="Arial" w:cs="Arial"/>
                                  <w:sz w:val="20"/>
                                  <w:szCs w:val="20"/>
                                </w:rPr>
                                <w:t>PRONIA (formerly Australian Greek Welfare Society)</w:t>
                              </w:r>
                            </w:p>
                            <w:p w:rsidR="00EC3624" w:rsidRPr="00EF0806" w:rsidRDefault="00EC3624" w:rsidP="00F26D2A">
                              <w:pPr>
                                <w:pStyle w:val="ListParagraph"/>
                                <w:numPr>
                                  <w:ilvl w:val="0"/>
                                  <w:numId w:val="24"/>
                                </w:numPr>
                                <w:spacing w:after="240" w:line="240" w:lineRule="auto"/>
                                <w:ind w:left="426" w:hanging="426"/>
                                <w:rPr>
                                  <w:rFonts w:ascii="Arial" w:hAnsi="Arial" w:cs="Arial"/>
                                  <w:sz w:val="20"/>
                                  <w:szCs w:val="20"/>
                                </w:rPr>
                              </w:pPr>
                              <w:r w:rsidRPr="00EF0806">
                                <w:rPr>
                                  <w:rFonts w:ascii="Arial" w:hAnsi="Arial" w:cs="Arial"/>
                                  <w:sz w:val="20"/>
                                  <w:szCs w:val="20"/>
                                </w:rPr>
                                <w:t>Russian Ethnic Representative Council</w:t>
                              </w:r>
                            </w:p>
                            <w:p w:rsidR="009905C7" w:rsidRPr="00EF0806" w:rsidRDefault="009905C7" w:rsidP="009905C7">
                              <w:pPr>
                                <w:pStyle w:val="ListParagraph"/>
                                <w:numPr>
                                  <w:ilvl w:val="0"/>
                                  <w:numId w:val="24"/>
                                </w:numPr>
                                <w:spacing w:after="240" w:line="240" w:lineRule="auto"/>
                                <w:ind w:left="426" w:hanging="426"/>
                                <w:rPr>
                                  <w:rFonts w:ascii="Arial" w:hAnsi="Arial" w:cs="Arial"/>
                                  <w:sz w:val="20"/>
                                  <w:szCs w:val="20"/>
                                </w:rPr>
                              </w:pPr>
                              <w:r w:rsidRPr="00EF0806">
                                <w:rPr>
                                  <w:rFonts w:ascii="Arial" w:hAnsi="Arial" w:cs="Arial"/>
                                  <w:sz w:val="20"/>
                                  <w:szCs w:val="20"/>
                                </w:rPr>
                                <w:t>Shannon’s Bridge</w:t>
                              </w:r>
                            </w:p>
                            <w:p w:rsidR="00EC3624" w:rsidRPr="00EF0806" w:rsidRDefault="00EC3624" w:rsidP="00F26D2A">
                              <w:pPr>
                                <w:pStyle w:val="ListParagraph"/>
                                <w:numPr>
                                  <w:ilvl w:val="0"/>
                                  <w:numId w:val="24"/>
                                </w:numPr>
                                <w:spacing w:after="240" w:line="240" w:lineRule="auto"/>
                                <w:ind w:left="426" w:hanging="426"/>
                                <w:rPr>
                                  <w:rFonts w:ascii="Arial" w:hAnsi="Arial" w:cs="Arial"/>
                                  <w:sz w:val="20"/>
                                  <w:szCs w:val="20"/>
                                </w:rPr>
                              </w:pPr>
                              <w:r w:rsidRPr="00EF0806">
                                <w:rPr>
                                  <w:rFonts w:ascii="Arial" w:hAnsi="Arial" w:cs="Arial"/>
                                  <w:sz w:val="20"/>
                                  <w:szCs w:val="20"/>
                                </w:rPr>
                                <w:t>Southern Migrant and Refugee Centre</w:t>
                              </w:r>
                            </w:p>
                            <w:p w:rsidR="00EC3624" w:rsidRPr="00EF0806" w:rsidRDefault="00EC3624" w:rsidP="00F26D2A">
                              <w:pPr>
                                <w:pStyle w:val="ListParagraph"/>
                                <w:numPr>
                                  <w:ilvl w:val="0"/>
                                  <w:numId w:val="24"/>
                                </w:numPr>
                                <w:spacing w:after="240" w:line="240" w:lineRule="auto"/>
                                <w:ind w:left="426" w:hanging="426"/>
                                <w:rPr>
                                  <w:rFonts w:ascii="Arial" w:hAnsi="Arial" w:cs="Arial"/>
                                  <w:sz w:val="20"/>
                                  <w:szCs w:val="20"/>
                                </w:rPr>
                              </w:pPr>
                              <w:r w:rsidRPr="00EF0806">
                                <w:rPr>
                                  <w:rFonts w:ascii="Arial" w:hAnsi="Arial" w:cs="Arial"/>
                                  <w:sz w:val="20"/>
                                  <w:szCs w:val="20"/>
                                </w:rPr>
                                <w:t>Victorian Arabic Social Services</w:t>
                              </w:r>
                            </w:p>
                            <w:p w:rsidR="009905C7" w:rsidRPr="00EF0806" w:rsidRDefault="009905C7" w:rsidP="009905C7">
                              <w:pPr>
                                <w:pStyle w:val="ListParagraph"/>
                                <w:numPr>
                                  <w:ilvl w:val="0"/>
                                  <w:numId w:val="24"/>
                                </w:numPr>
                                <w:spacing w:after="240" w:line="240" w:lineRule="auto"/>
                                <w:ind w:left="426" w:hanging="426"/>
                                <w:rPr>
                                  <w:rFonts w:ascii="Arial" w:hAnsi="Arial" w:cs="Arial"/>
                                  <w:sz w:val="20"/>
                                  <w:szCs w:val="20"/>
                                </w:rPr>
                              </w:pPr>
                              <w:r w:rsidRPr="00EF0806">
                                <w:rPr>
                                  <w:rFonts w:ascii="Arial" w:hAnsi="Arial" w:cs="Arial"/>
                                  <w:sz w:val="20"/>
                                  <w:szCs w:val="20"/>
                                </w:rPr>
                                <w:t>Warrnambool and District Community Hospice</w:t>
                              </w:r>
                            </w:p>
                            <w:p w:rsidR="009905C7" w:rsidRPr="004A411D" w:rsidRDefault="009905C7" w:rsidP="009905C7">
                              <w:pPr>
                                <w:pStyle w:val="ListParagraph"/>
                                <w:spacing w:after="240" w:line="240" w:lineRule="auto"/>
                                <w:ind w:left="426"/>
                                <w:rPr>
                                  <w:rFonts w:ascii="Arial" w:hAnsi="Arial" w:cs="Arial"/>
                                  <w:color w:val="FF0000"/>
                                  <w:sz w:val="20"/>
                                  <w:szCs w:val="20"/>
                                </w:rPr>
                              </w:pPr>
                            </w:p>
                            <w:p w:rsidR="00335E56" w:rsidRDefault="00335E56" w:rsidP="00F26D2A"/>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12" o:spid="_x0000_s1026" style="position:absolute;margin-left:-7.25pt;margin-top:50.85pt;width:516.9pt;height:135.85pt;z-index:251655168;mso-width-relative:margin;mso-height-relative:margin" coordorigin="-1017,-97" coordsize="64546,97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">
                <v:shapetype id="_x0000_t202" coordsize="21600,21600" o:spt="202" path="m,l,21600r21600,l21600,xe">
                  <v:stroke joinstyle="miter"/>
                  <v:path gradientshapeok="t" o:connecttype="rect"/>
                </v:shapetype>
                <v:shape id="_x0000_s1027" type="#_x0000_t202" style="position:absolute;left:-1017;width:32145;height:93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cLu8IA&#10;AADaAAAADwAAAGRycy9kb3ducmV2LnhtbESP3YrCMBSE7wXfIZwFb8SmylrdrlFWQfHWnwc4bY5t&#10;2eakNFlb394sCF4OM/MNs9r0phZ3al1lWcE0ikEQ51ZXXCi4XvaTJQjnkTXWlknBgxxs1sPBClNt&#10;Oz7R/ewLESDsUlRQet+kUrq8JIMusg1x8G62NeiDbAupW+wC3NRyFseJNFhxWCixoV1J+e/5zyi4&#10;Hbvx/KvLDv66OH0mW6wWmX0oNfrof75BeOr9O/xqH7WCBP6vhBs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wu7wgAAANoAAAAPAAAAAAAAAAAAAAAAAJgCAABkcnMvZG93&#10;bnJldi54bWxQSwUGAAAAAAQABAD1AAAAhwMAAAAA&#10;" stroked="f">
                  <v:textbox>
                    <w:txbxContent>
                      <w:p w:rsidR="009905C7" w:rsidRPr="00EF0806" w:rsidRDefault="009905C7" w:rsidP="009905C7">
                        <w:pPr>
                          <w:pStyle w:val="ListParagraph"/>
                          <w:numPr>
                            <w:ilvl w:val="0"/>
                            <w:numId w:val="24"/>
                          </w:numPr>
                          <w:spacing w:after="240" w:line="240" w:lineRule="auto"/>
                          <w:ind w:left="426" w:hanging="426"/>
                          <w:rPr>
                            <w:rFonts w:ascii="Arial" w:hAnsi="Arial" w:cs="Arial"/>
                            <w:sz w:val="20"/>
                            <w:szCs w:val="20"/>
                          </w:rPr>
                        </w:pPr>
                        <w:proofErr w:type="spellStart"/>
                        <w:r w:rsidRPr="00EF0806">
                          <w:rPr>
                            <w:rFonts w:ascii="Arial" w:hAnsi="Arial" w:cs="Arial"/>
                            <w:sz w:val="20"/>
                            <w:szCs w:val="20"/>
                          </w:rPr>
                          <w:t>Anam</w:t>
                        </w:r>
                        <w:proofErr w:type="spellEnd"/>
                        <w:r w:rsidRPr="00EF0806">
                          <w:rPr>
                            <w:rFonts w:ascii="Arial" w:hAnsi="Arial" w:cs="Arial"/>
                            <w:sz w:val="20"/>
                            <w:szCs w:val="20"/>
                          </w:rPr>
                          <w:t xml:space="preserve"> Cara Colac</w:t>
                        </w:r>
                      </w:p>
                      <w:p w:rsidR="00F26D2A" w:rsidRPr="00EF0806" w:rsidRDefault="00F26D2A" w:rsidP="00F26D2A">
                        <w:pPr>
                          <w:pStyle w:val="ListParagraph"/>
                          <w:numPr>
                            <w:ilvl w:val="0"/>
                            <w:numId w:val="24"/>
                          </w:numPr>
                          <w:spacing w:after="240" w:line="240" w:lineRule="auto"/>
                          <w:ind w:left="426" w:hanging="426"/>
                          <w:rPr>
                            <w:rFonts w:ascii="Arial" w:hAnsi="Arial" w:cs="Arial"/>
                            <w:sz w:val="20"/>
                            <w:szCs w:val="20"/>
                          </w:rPr>
                        </w:pPr>
                        <w:proofErr w:type="spellStart"/>
                        <w:r w:rsidRPr="00EF0806">
                          <w:rPr>
                            <w:rFonts w:ascii="Arial" w:hAnsi="Arial" w:cs="Arial"/>
                            <w:sz w:val="20"/>
                            <w:szCs w:val="20"/>
                          </w:rPr>
                          <w:t>Anam</w:t>
                        </w:r>
                        <w:proofErr w:type="spellEnd"/>
                        <w:r w:rsidRPr="00EF0806">
                          <w:rPr>
                            <w:rFonts w:ascii="Arial" w:hAnsi="Arial" w:cs="Arial"/>
                            <w:sz w:val="20"/>
                            <w:szCs w:val="20"/>
                          </w:rPr>
                          <w:t xml:space="preserve"> Cara Geelong</w:t>
                        </w:r>
                      </w:p>
                      <w:p w:rsidR="00F26D2A" w:rsidRPr="00EF0806" w:rsidRDefault="00F26D2A" w:rsidP="00F26D2A">
                        <w:pPr>
                          <w:pStyle w:val="ListParagraph"/>
                          <w:numPr>
                            <w:ilvl w:val="0"/>
                            <w:numId w:val="24"/>
                          </w:numPr>
                          <w:spacing w:after="240" w:line="240" w:lineRule="auto"/>
                          <w:ind w:left="426" w:hanging="426"/>
                          <w:rPr>
                            <w:rFonts w:ascii="Arial" w:hAnsi="Arial" w:cs="Arial"/>
                            <w:sz w:val="20"/>
                            <w:szCs w:val="20"/>
                          </w:rPr>
                        </w:pPr>
                        <w:r w:rsidRPr="00EF0806">
                          <w:rPr>
                            <w:rFonts w:ascii="Arial" w:hAnsi="Arial" w:cs="Arial"/>
                            <w:sz w:val="20"/>
                            <w:szCs w:val="20"/>
                          </w:rPr>
                          <w:t>Chinese Cancer and Chronic Illness Society of Victoria</w:t>
                        </w:r>
                      </w:p>
                      <w:p w:rsidR="009905C7" w:rsidRPr="00EF0806" w:rsidRDefault="009905C7" w:rsidP="009905C7">
                        <w:pPr>
                          <w:pStyle w:val="ListParagraph"/>
                          <w:numPr>
                            <w:ilvl w:val="0"/>
                            <w:numId w:val="24"/>
                          </w:numPr>
                          <w:spacing w:after="240" w:line="240" w:lineRule="auto"/>
                          <w:ind w:left="426" w:hanging="426"/>
                          <w:rPr>
                            <w:rFonts w:ascii="Arial" w:hAnsi="Arial" w:cs="Arial"/>
                            <w:sz w:val="20"/>
                            <w:szCs w:val="20"/>
                          </w:rPr>
                        </w:pPr>
                        <w:r w:rsidRPr="00EF0806">
                          <w:rPr>
                            <w:rFonts w:ascii="Arial" w:hAnsi="Arial" w:cs="Arial"/>
                            <w:sz w:val="20"/>
                            <w:szCs w:val="20"/>
                          </w:rPr>
                          <w:t>Community Houses Association of the Outer Eastern Suburbs Inc.</w:t>
                        </w:r>
                        <w:r w:rsidR="007B6E0F">
                          <w:rPr>
                            <w:rFonts w:ascii="Arial" w:hAnsi="Arial" w:cs="Arial"/>
                            <w:sz w:val="20"/>
                            <w:szCs w:val="20"/>
                          </w:rPr>
                          <w:t xml:space="preserve"> (CHAOS)</w:t>
                        </w:r>
                      </w:p>
                      <w:p w:rsidR="009905C7" w:rsidRPr="00EF0806" w:rsidRDefault="009905C7" w:rsidP="009905C7">
                        <w:pPr>
                          <w:pStyle w:val="ListParagraph"/>
                          <w:numPr>
                            <w:ilvl w:val="0"/>
                            <w:numId w:val="24"/>
                          </w:numPr>
                          <w:spacing w:after="240" w:line="240" w:lineRule="auto"/>
                          <w:ind w:left="426" w:hanging="426"/>
                          <w:rPr>
                            <w:rFonts w:ascii="Arial" w:hAnsi="Arial" w:cs="Arial"/>
                            <w:sz w:val="20"/>
                            <w:szCs w:val="20"/>
                          </w:rPr>
                        </w:pPr>
                        <w:proofErr w:type="spellStart"/>
                        <w:r w:rsidRPr="00EF0806">
                          <w:rPr>
                            <w:rFonts w:ascii="Arial" w:hAnsi="Arial" w:cs="Arial"/>
                            <w:sz w:val="20"/>
                            <w:szCs w:val="20"/>
                          </w:rPr>
                          <w:t>Fernlea</w:t>
                        </w:r>
                        <w:proofErr w:type="spellEnd"/>
                        <w:r w:rsidRPr="00EF0806">
                          <w:rPr>
                            <w:rFonts w:ascii="Arial" w:hAnsi="Arial" w:cs="Arial"/>
                            <w:sz w:val="20"/>
                            <w:szCs w:val="20"/>
                          </w:rPr>
                          <w:t xml:space="preserve"> House</w:t>
                        </w:r>
                      </w:p>
                      <w:p w:rsidR="009905C7" w:rsidRPr="00EF0806" w:rsidRDefault="009905C7" w:rsidP="009905C7">
                        <w:pPr>
                          <w:pStyle w:val="ListParagraph"/>
                          <w:numPr>
                            <w:ilvl w:val="0"/>
                            <w:numId w:val="24"/>
                          </w:numPr>
                          <w:spacing w:after="240" w:line="240" w:lineRule="auto"/>
                          <w:ind w:left="426" w:hanging="426"/>
                          <w:rPr>
                            <w:rFonts w:ascii="Arial" w:hAnsi="Arial" w:cs="Arial"/>
                            <w:sz w:val="20"/>
                            <w:szCs w:val="20"/>
                          </w:rPr>
                        </w:pPr>
                        <w:r w:rsidRPr="00EF0806">
                          <w:rPr>
                            <w:rFonts w:ascii="Arial" w:hAnsi="Arial" w:cs="Arial"/>
                            <w:sz w:val="20"/>
                            <w:szCs w:val="20"/>
                          </w:rPr>
                          <w:t xml:space="preserve">Link Community Transport </w:t>
                        </w:r>
                      </w:p>
                      <w:p w:rsidR="00F26D2A" w:rsidRPr="00EF0806" w:rsidRDefault="00F26D2A" w:rsidP="00F26D2A">
                        <w:pPr>
                          <w:pStyle w:val="ListParagraph"/>
                          <w:numPr>
                            <w:ilvl w:val="0"/>
                            <w:numId w:val="24"/>
                          </w:numPr>
                          <w:spacing w:after="240" w:line="240" w:lineRule="auto"/>
                          <w:ind w:left="426" w:hanging="426"/>
                          <w:rPr>
                            <w:rFonts w:ascii="Arial" w:hAnsi="Arial" w:cs="Arial"/>
                            <w:sz w:val="20"/>
                            <w:szCs w:val="20"/>
                          </w:rPr>
                        </w:pPr>
                        <w:r w:rsidRPr="00EF0806">
                          <w:rPr>
                            <w:rFonts w:ascii="Arial" w:hAnsi="Arial" w:cs="Arial"/>
                            <w:sz w:val="20"/>
                            <w:szCs w:val="20"/>
                          </w:rPr>
                          <w:t>Little Dreamers Australia</w:t>
                        </w:r>
                      </w:p>
                      <w:p w:rsidR="009905C7" w:rsidRPr="00EF0806" w:rsidRDefault="009905C7" w:rsidP="009905C7">
                        <w:pPr>
                          <w:pStyle w:val="ListParagraph"/>
                          <w:numPr>
                            <w:ilvl w:val="0"/>
                            <w:numId w:val="24"/>
                          </w:numPr>
                          <w:spacing w:after="240" w:line="240" w:lineRule="auto"/>
                          <w:ind w:left="426" w:hanging="426"/>
                          <w:rPr>
                            <w:rFonts w:ascii="Arial" w:hAnsi="Arial" w:cs="Arial"/>
                            <w:sz w:val="20"/>
                            <w:szCs w:val="20"/>
                          </w:rPr>
                        </w:pPr>
                        <w:r w:rsidRPr="00EF0806">
                          <w:rPr>
                            <w:rFonts w:ascii="Arial" w:hAnsi="Arial" w:cs="Arial"/>
                            <w:sz w:val="20"/>
                            <w:szCs w:val="20"/>
                          </w:rPr>
                          <w:t>Mallacoota District Health and Support Services</w:t>
                        </w:r>
                      </w:p>
                    </w:txbxContent>
                  </v:textbox>
                </v:shape>
                <v:shape id="Text Box 7" o:spid="_x0000_s1028" type="#_x0000_t202" style="position:absolute;left:31633;top:-97;width:31895;height:97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IMIA&#10;AADaAAAADwAAAGRycy9kb3ducmV2LnhtbESP3YrCMBSE7wXfIZwFb0RTZbVut1FWQfHWnwc4Nqc/&#10;bHNSmqytb28WBC+HmfmGSTe9qcWdWldZVjCbRiCIM6srLhRcL/vJCoTzyBpry6TgQQ426+EgxUTb&#10;jk90P/tCBAi7BBWU3jeJlC4ryaCb2oY4eLltDfog20LqFrsAN7WcR9FSGqw4LJTY0K6k7Pf8ZxTk&#10;x268+OpuB3+NT5/LLVbxzT6UGn30P98gPPX+HX61j1pBDP9Xwg2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664gwgAAANoAAAAPAAAAAAAAAAAAAAAAAJgCAABkcnMvZG93&#10;bnJldi54bWxQSwUGAAAAAAQABAD1AAAAhwMAAAAA&#10;" stroked="f">
                  <v:textbox>
                    <w:txbxContent>
                      <w:p w:rsidR="00EC3624" w:rsidRPr="00EF0806" w:rsidRDefault="00EC3624" w:rsidP="00F26D2A">
                        <w:pPr>
                          <w:pStyle w:val="ListParagraph"/>
                          <w:numPr>
                            <w:ilvl w:val="0"/>
                            <w:numId w:val="24"/>
                          </w:numPr>
                          <w:spacing w:after="240" w:line="240" w:lineRule="auto"/>
                          <w:ind w:left="426" w:hanging="426"/>
                          <w:rPr>
                            <w:rFonts w:ascii="Arial" w:hAnsi="Arial" w:cs="Arial"/>
                            <w:sz w:val="20"/>
                            <w:szCs w:val="20"/>
                          </w:rPr>
                        </w:pPr>
                        <w:r w:rsidRPr="00EF0806">
                          <w:rPr>
                            <w:rFonts w:ascii="Arial" w:hAnsi="Arial" w:cs="Arial"/>
                            <w:sz w:val="20"/>
                            <w:szCs w:val="20"/>
                          </w:rPr>
                          <w:t>Multicultural Centre for Women’s Health</w:t>
                        </w:r>
                      </w:p>
                      <w:p w:rsidR="00EC3624" w:rsidRPr="00EF0806" w:rsidRDefault="00EC3624" w:rsidP="00F26D2A">
                        <w:pPr>
                          <w:pStyle w:val="ListParagraph"/>
                          <w:numPr>
                            <w:ilvl w:val="0"/>
                            <w:numId w:val="24"/>
                          </w:numPr>
                          <w:spacing w:after="240" w:line="240" w:lineRule="auto"/>
                          <w:ind w:left="426" w:hanging="426"/>
                          <w:rPr>
                            <w:rFonts w:ascii="Arial" w:hAnsi="Arial" w:cs="Arial"/>
                            <w:sz w:val="20"/>
                            <w:szCs w:val="20"/>
                          </w:rPr>
                        </w:pPr>
                        <w:r w:rsidRPr="00EF0806">
                          <w:rPr>
                            <w:rFonts w:ascii="Arial" w:hAnsi="Arial" w:cs="Arial"/>
                            <w:sz w:val="20"/>
                            <w:szCs w:val="20"/>
                          </w:rPr>
                          <w:t>Polish Community Council of Victoria</w:t>
                        </w:r>
                      </w:p>
                      <w:p w:rsidR="009905C7" w:rsidRPr="00EF0806" w:rsidRDefault="009905C7" w:rsidP="009905C7">
                        <w:pPr>
                          <w:pStyle w:val="ListParagraph"/>
                          <w:numPr>
                            <w:ilvl w:val="0"/>
                            <w:numId w:val="24"/>
                          </w:numPr>
                          <w:spacing w:after="240" w:line="240" w:lineRule="auto"/>
                          <w:ind w:left="426" w:hanging="426"/>
                          <w:rPr>
                            <w:rFonts w:ascii="Arial" w:hAnsi="Arial" w:cs="Arial"/>
                            <w:sz w:val="20"/>
                            <w:szCs w:val="20"/>
                          </w:rPr>
                        </w:pPr>
                        <w:r w:rsidRPr="00EF0806">
                          <w:rPr>
                            <w:rFonts w:ascii="Arial" w:hAnsi="Arial" w:cs="Arial"/>
                            <w:sz w:val="20"/>
                            <w:szCs w:val="20"/>
                          </w:rPr>
                          <w:t>Peace of Mind Foundation</w:t>
                        </w:r>
                      </w:p>
                      <w:p w:rsidR="00EC3624" w:rsidRPr="00EF0806" w:rsidRDefault="00EC3624" w:rsidP="00F26D2A">
                        <w:pPr>
                          <w:pStyle w:val="ListParagraph"/>
                          <w:numPr>
                            <w:ilvl w:val="0"/>
                            <w:numId w:val="24"/>
                          </w:numPr>
                          <w:spacing w:after="240" w:line="240" w:lineRule="auto"/>
                          <w:ind w:left="426" w:hanging="426"/>
                          <w:rPr>
                            <w:rFonts w:ascii="Arial" w:hAnsi="Arial" w:cs="Arial"/>
                            <w:sz w:val="20"/>
                            <w:szCs w:val="20"/>
                          </w:rPr>
                        </w:pPr>
                        <w:r w:rsidRPr="00EF0806">
                          <w:rPr>
                            <w:rFonts w:ascii="Arial" w:hAnsi="Arial" w:cs="Arial"/>
                            <w:sz w:val="20"/>
                            <w:szCs w:val="20"/>
                          </w:rPr>
                          <w:t>PRONIA (formerly Australian Greek Welfare Society)</w:t>
                        </w:r>
                      </w:p>
                      <w:p w:rsidR="00EC3624" w:rsidRPr="00EF0806" w:rsidRDefault="00EC3624" w:rsidP="00F26D2A">
                        <w:pPr>
                          <w:pStyle w:val="ListParagraph"/>
                          <w:numPr>
                            <w:ilvl w:val="0"/>
                            <w:numId w:val="24"/>
                          </w:numPr>
                          <w:spacing w:after="240" w:line="240" w:lineRule="auto"/>
                          <w:ind w:left="426" w:hanging="426"/>
                          <w:rPr>
                            <w:rFonts w:ascii="Arial" w:hAnsi="Arial" w:cs="Arial"/>
                            <w:sz w:val="20"/>
                            <w:szCs w:val="20"/>
                          </w:rPr>
                        </w:pPr>
                        <w:r w:rsidRPr="00EF0806">
                          <w:rPr>
                            <w:rFonts w:ascii="Arial" w:hAnsi="Arial" w:cs="Arial"/>
                            <w:sz w:val="20"/>
                            <w:szCs w:val="20"/>
                          </w:rPr>
                          <w:t>Russian Ethnic Representative Council</w:t>
                        </w:r>
                      </w:p>
                      <w:p w:rsidR="009905C7" w:rsidRPr="00EF0806" w:rsidRDefault="009905C7" w:rsidP="009905C7">
                        <w:pPr>
                          <w:pStyle w:val="ListParagraph"/>
                          <w:numPr>
                            <w:ilvl w:val="0"/>
                            <w:numId w:val="24"/>
                          </w:numPr>
                          <w:spacing w:after="240" w:line="240" w:lineRule="auto"/>
                          <w:ind w:left="426" w:hanging="426"/>
                          <w:rPr>
                            <w:rFonts w:ascii="Arial" w:hAnsi="Arial" w:cs="Arial"/>
                            <w:sz w:val="20"/>
                            <w:szCs w:val="20"/>
                          </w:rPr>
                        </w:pPr>
                        <w:r w:rsidRPr="00EF0806">
                          <w:rPr>
                            <w:rFonts w:ascii="Arial" w:hAnsi="Arial" w:cs="Arial"/>
                            <w:sz w:val="20"/>
                            <w:szCs w:val="20"/>
                          </w:rPr>
                          <w:t>Shannon’s Bridge</w:t>
                        </w:r>
                      </w:p>
                      <w:p w:rsidR="00EC3624" w:rsidRPr="00EF0806" w:rsidRDefault="00EC3624" w:rsidP="00F26D2A">
                        <w:pPr>
                          <w:pStyle w:val="ListParagraph"/>
                          <w:numPr>
                            <w:ilvl w:val="0"/>
                            <w:numId w:val="24"/>
                          </w:numPr>
                          <w:spacing w:after="240" w:line="240" w:lineRule="auto"/>
                          <w:ind w:left="426" w:hanging="426"/>
                          <w:rPr>
                            <w:rFonts w:ascii="Arial" w:hAnsi="Arial" w:cs="Arial"/>
                            <w:sz w:val="20"/>
                            <w:szCs w:val="20"/>
                          </w:rPr>
                        </w:pPr>
                        <w:r w:rsidRPr="00EF0806">
                          <w:rPr>
                            <w:rFonts w:ascii="Arial" w:hAnsi="Arial" w:cs="Arial"/>
                            <w:sz w:val="20"/>
                            <w:szCs w:val="20"/>
                          </w:rPr>
                          <w:t>Southern Migrant and Refugee Centre</w:t>
                        </w:r>
                      </w:p>
                      <w:p w:rsidR="00EC3624" w:rsidRPr="00EF0806" w:rsidRDefault="00EC3624" w:rsidP="00F26D2A">
                        <w:pPr>
                          <w:pStyle w:val="ListParagraph"/>
                          <w:numPr>
                            <w:ilvl w:val="0"/>
                            <w:numId w:val="24"/>
                          </w:numPr>
                          <w:spacing w:after="240" w:line="240" w:lineRule="auto"/>
                          <w:ind w:left="426" w:hanging="426"/>
                          <w:rPr>
                            <w:rFonts w:ascii="Arial" w:hAnsi="Arial" w:cs="Arial"/>
                            <w:sz w:val="20"/>
                            <w:szCs w:val="20"/>
                          </w:rPr>
                        </w:pPr>
                        <w:r w:rsidRPr="00EF0806">
                          <w:rPr>
                            <w:rFonts w:ascii="Arial" w:hAnsi="Arial" w:cs="Arial"/>
                            <w:sz w:val="20"/>
                            <w:szCs w:val="20"/>
                          </w:rPr>
                          <w:t>Victorian Arabic Social Services</w:t>
                        </w:r>
                      </w:p>
                      <w:p w:rsidR="009905C7" w:rsidRPr="00EF0806" w:rsidRDefault="009905C7" w:rsidP="009905C7">
                        <w:pPr>
                          <w:pStyle w:val="ListParagraph"/>
                          <w:numPr>
                            <w:ilvl w:val="0"/>
                            <w:numId w:val="24"/>
                          </w:numPr>
                          <w:spacing w:after="240" w:line="240" w:lineRule="auto"/>
                          <w:ind w:left="426" w:hanging="426"/>
                          <w:rPr>
                            <w:rFonts w:ascii="Arial" w:hAnsi="Arial" w:cs="Arial"/>
                            <w:sz w:val="20"/>
                            <w:szCs w:val="20"/>
                          </w:rPr>
                        </w:pPr>
                        <w:r w:rsidRPr="00EF0806">
                          <w:rPr>
                            <w:rFonts w:ascii="Arial" w:hAnsi="Arial" w:cs="Arial"/>
                            <w:sz w:val="20"/>
                            <w:szCs w:val="20"/>
                          </w:rPr>
                          <w:t>Warrnambool and District Community Hospice</w:t>
                        </w:r>
                      </w:p>
                      <w:p w:rsidR="009905C7" w:rsidRPr="004A411D" w:rsidRDefault="009905C7" w:rsidP="009905C7">
                        <w:pPr>
                          <w:pStyle w:val="ListParagraph"/>
                          <w:spacing w:after="240" w:line="240" w:lineRule="auto"/>
                          <w:ind w:left="426"/>
                          <w:rPr>
                            <w:rFonts w:ascii="Arial" w:hAnsi="Arial" w:cs="Arial"/>
                            <w:color w:val="FF0000"/>
                            <w:sz w:val="20"/>
                            <w:szCs w:val="20"/>
                          </w:rPr>
                        </w:pPr>
                      </w:p>
                      <w:p w:rsidR="00335E56" w:rsidRDefault="00335E56" w:rsidP="00F26D2A"/>
                    </w:txbxContent>
                  </v:textbox>
                </v:shape>
              </v:group>
            </w:pict>
          </mc:Fallback>
        </mc:AlternateContent>
      </w:r>
      <w:r w:rsidR="005D0F1A">
        <w:t xml:space="preserve">A $10 million </w:t>
      </w:r>
      <w:r w:rsidR="005D0F1A" w:rsidRPr="005D0F1A">
        <w:t>grant</w:t>
      </w:r>
      <w:r w:rsidR="005D0F1A">
        <w:t xml:space="preserve"> program </w:t>
      </w:r>
      <w:r w:rsidR="005D0F1A" w:rsidRPr="005D0F1A">
        <w:t>for end of life ancillary support services</w:t>
      </w:r>
      <w:r w:rsidR="005D0F1A">
        <w:t xml:space="preserve"> was announced in November 2017 as part of </w:t>
      </w:r>
      <w:r w:rsidR="005D0F1A" w:rsidRPr="005D0F1A">
        <w:t>additional funding</w:t>
      </w:r>
      <w:r w:rsidR="005D0F1A">
        <w:t xml:space="preserve"> of </w:t>
      </w:r>
      <w:r w:rsidR="005D0F1A" w:rsidRPr="005D0F1A">
        <w:t>$62 million over the next five years</w:t>
      </w:r>
      <w:r w:rsidR="005D0F1A">
        <w:t>.</w:t>
      </w:r>
      <w:r w:rsidR="005D0F1A" w:rsidRPr="005D0F1A">
        <w:t xml:space="preserve"> </w:t>
      </w:r>
      <w:r w:rsidR="005D0F1A">
        <w:t xml:space="preserve">These </w:t>
      </w:r>
      <w:r w:rsidR="004A411D">
        <w:t xml:space="preserve">one-off </w:t>
      </w:r>
      <w:r w:rsidR="005D0F1A">
        <w:t>grants will</w:t>
      </w:r>
      <w:r w:rsidR="005D0F1A" w:rsidRPr="005D0F1A">
        <w:t xml:space="preserve"> assist people, families and carers to manage the day to day activities associated with caring for someone with a terminal illness at home</w:t>
      </w:r>
      <w:r w:rsidR="005D0F1A">
        <w:t>. Two rounds of grants resulted in the following organisations being successful:</w:t>
      </w:r>
      <w:r w:rsidR="005D0F1A">
        <w:br/>
        <w:t xml:space="preserve"> </w:t>
      </w:r>
    </w:p>
    <w:p w:rsidR="00FA240A" w:rsidRDefault="00FA240A" w:rsidP="003A3427">
      <w:pPr>
        <w:pStyle w:val="DHHSbody"/>
        <w:spacing w:line="240" w:lineRule="auto"/>
        <w:rPr>
          <w:rStyle w:val="Heading3Char"/>
          <w:color w:val="660066"/>
        </w:rPr>
      </w:pPr>
    </w:p>
    <w:p w:rsidR="00335E56" w:rsidRDefault="00335E56" w:rsidP="003A3427">
      <w:pPr>
        <w:pStyle w:val="DHHSbody"/>
        <w:spacing w:line="240" w:lineRule="auto"/>
        <w:rPr>
          <w:rStyle w:val="Heading3Char"/>
          <w:color w:val="660066"/>
        </w:rPr>
      </w:pPr>
    </w:p>
    <w:p w:rsidR="00335E56" w:rsidRDefault="00335E56" w:rsidP="003A3427">
      <w:pPr>
        <w:pStyle w:val="DHHSbody"/>
        <w:spacing w:line="240" w:lineRule="auto"/>
        <w:rPr>
          <w:rStyle w:val="Heading3Char"/>
          <w:color w:val="660066"/>
        </w:rPr>
      </w:pPr>
    </w:p>
    <w:p w:rsidR="005D0F1A" w:rsidRDefault="005D0F1A" w:rsidP="005D0F1A">
      <w:pPr>
        <w:pStyle w:val="DHHSbody"/>
        <w:spacing w:line="240" w:lineRule="auto"/>
        <w:rPr>
          <w:rFonts w:eastAsia="Times New Roman" w:cs="Arial"/>
          <w:highlight w:val="lightGray"/>
          <w:lang w:eastAsia="en-AU"/>
        </w:rPr>
      </w:pPr>
    </w:p>
    <w:p w:rsidR="005D0F1A" w:rsidRDefault="005D0F1A" w:rsidP="005D0F1A">
      <w:pPr>
        <w:pStyle w:val="DHHSbody"/>
        <w:spacing w:line="240" w:lineRule="auto"/>
        <w:rPr>
          <w:rFonts w:eastAsia="Times New Roman" w:cs="Arial"/>
          <w:highlight w:val="lightGray"/>
          <w:lang w:eastAsia="en-AU"/>
        </w:rPr>
      </w:pPr>
    </w:p>
    <w:p w:rsidR="00335E56" w:rsidRDefault="00335E56" w:rsidP="005D0F1A">
      <w:pPr>
        <w:pStyle w:val="DHHSbody"/>
        <w:spacing w:line="240" w:lineRule="auto"/>
        <w:rPr>
          <w:rFonts w:eastAsia="Times New Roman" w:cs="Arial"/>
          <w:highlight w:val="lightGray"/>
          <w:lang w:eastAsia="en-AU"/>
        </w:rPr>
      </w:pPr>
    </w:p>
    <w:p w:rsidR="00335E56" w:rsidRDefault="00335E56" w:rsidP="005D0F1A">
      <w:pPr>
        <w:pStyle w:val="DHHSbody"/>
        <w:spacing w:line="240" w:lineRule="auto"/>
        <w:rPr>
          <w:rFonts w:eastAsia="Times New Roman" w:cs="Arial"/>
          <w:highlight w:val="lightGray"/>
          <w:lang w:eastAsia="en-AU"/>
        </w:rPr>
      </w:pPr>
    </w:p>
    <w:p w:rsidR="005D0F1A" w:rsidRPr="002B159C" w:rsidRDefault="005D0F1A" w:rsidP="005D0F1A">
      <w:pPr>
        <w:pStyle w:val="DHHSbody"/>
        <w:spacing w:line="240" w:lineRule="auto"/>
        <w:rPr>
          <w:rFonts w:eastAsia="Times New Roman" w:cs="Arial"/>
          <w:lang w:eastAsia="en-AU"/>
        </w:rPr>
      </w:pPr>
      <w:r w:rsidRPr="004A411D">
        <w:rPr>
          <w:rFonts w:eastAsia="Times New Roman" w:cs="Arial"/>
          <w:lang w:eastAsia="en-AU"/>
        </w:rPr>
        <w:t xml:space="preserve">The </w:t>
      </w:r>
      <w:r w:rsidR="00F03CCE">
        <w:rPr>
          <w:rFonts w:eastAsia="Times New Roman" w:cs="Arial"/>
          <w:lang w:eastAsia="en-AU"/>
        </w:rPr>
        <w:t>grants</w:t>
      </w:r>
      <w:r w:rsidRPr="004A411D">
        <w:rPr>
          <w:rFonts w:eastAsia="Times New Roman" w:cs="Arial"/>
          <w:lang w:eastAsia="en-AU"/>
        </w:rPr>
        <w:t xml:space="preserve"> will assist ‘grassroots’ </w:t>
      </w:r>
      <w:r w:rsidR="00761BE6">
        <w:rPr>
          <w:rFonts w:eastAsia="Times New Roman" w:cs="Arial"/>
          <w:lang w:eastAsia="en-AU"/>
        </w:rPr>
        <w:t xml:space="preserve">community </w:t>
      </w:r>
      <w:r w:rsidRPr="004A411D">
        <w:rPr>
          <w:rFonts w:eastAsia="Times New Roman" w:cs="Arial"/>
          <w:lang w:eastAsia="en-AU"/>
        </w:rPr>
        <w:t>organisations to provide support to people with life-limiting illnesses.</w:t>
      </w:r>
      <w:r w:rsidR="004A411D" w:rsidRPr="004A411D">
        <w:rPr>
          <w:rFonts w:eastAsia="Times New Roman" w:cs="Arial"/>
          <w:lang w:eastAsia="en-AU"/>
        </w:rPr>
        <w:t xml:space="preserve"> </w:t>
      </w:r>
      <w:r w:rsidR="006A7FE1">
        <w:rPr>
          <w:rFonts w:eastAsia="Times New Roman" w:cs="Arial"/>
          <w:lang w:eastAsia="en-AU"/>
        </w:rPr>
        <w:t>Many of the</w:t>
      </w:r>
      <w:r w:rsidR="004A411D" w:rsidRPr="004A411D">
        <w:rPr>
          <w:rFonts w:eastAsia="Times New Roman" w:cs="Arial"/>
          <w:lang w:eastAsia="en-AU"/>
        </w:rPr>
        <w:t xml:space="preserve"> successful applicants highlight the </w:t>
      </w:r>
      <w:r w:rsidRPr="004A411D">
        <w:rPr>
          <w:rFonts w:eastAsia="Times New Roman" w:cs="Arial"/>
          <w:lang w:eastAsia="en-AU"/>
        </w:rPr>
        <w:t>importance of access for people from culturally and linguistically diverse communities.</w:t>
      </w:r>
    </w:p>
    <w:p w:rsidR="00CB6C85" w:rsidRPr="005D0F1A" w:rsidRDefault="00F03CCE" w:rsidP="00B43F48">
      <w:pPr>
        <w:pStyle w:val="DHHSbody"/>
        <w:spacing w:line="240" w:lineRule="auto"/>
        <w:rPr>
          <w:rFonts w:eastAsia="Times New Roman" w:cs="Arial"/>
          <w:color w:val="0070C0"/>
          <w:lang w:eastAsia="en-AU"/>
        </w:rPr>
      </w:pPr>
      <w:r>
        <w:rPr>
          <w:rFonts w:eastAsia="Times New Roman" w:cs="Arial"/>
          <w:color w:val="000000"/>
          <w:lang w:eastAsia="en-AU"/>
        </w:rPr>
        <w:t>Read the</w:t>
      </w:r>
      <w:r w:rsidR="007B6E0F">
        <w:rPr>
          <w:rFonts w:eastAsia="Times New Roman" w:cs="Arial"/>
          <w:color w:val="000000"/>
          <w:lang w:eastAsia="en-AU"/>
        </w:rPr>
        <w:t xml:space="preserve"> first</w:t>
      </w:r>
      <w:r>
        <w:rPr>
          <w:rFonts w:eastAsia="Times New Roman" w:cs="Arial"/>
          <w:color w:val="000000"/>
          <w:lang w:eastAsia="en-AU"/>
        </w:rPr>
        <w:t xml:space="preserve"> media release</w:t>
      </w:r>
      <w:r w:rsidR="004A411D">
        <w:rPr>
          <w:rFonts w:eastAsia="Times New Roman" w:cs="Arial"/>
          <w:color w:val="000000"/>
          <w:lang w:eastAsia="en-AU"/>
        </w:rPr>
        <w:t xml:space="preserve"> at </w:t>
      </w:r>
      <w:r w:rsidR="00CB6C85" w:rsidRPr="005D0F1A">
        <w:rPr>
          <w:rFonts w:eastAsia="Times New Roman" w:cs="Arial"/>
          <w:color w:val="000000"/>
          <w:lang w:eastAsia="en-AU"/>
        </w:rPr>
        <w:t xml:space="preserve"> </w:t>
      </w:r>
      <w:r w:rsidR="004A411D" w:rsidRPr="007B6E0F">
        <w:rPr>
          <w:rFonts w:eastAsia="Times New Roman" w:cs="Arial"/>
          <w:color w:val="00B0F0"/>
          <w:lang w:eastAsia="en-AU"/>
        </w:rPr>
        <w:t>&lt;</w:t>
      </w:r>
      <w:hyperlink r:id="rId14" w:history="1">
        <w:r w:rsidR="004A411D" w:rsidRPr="003A7D4A">
          <w:rPr>
            <w:rStyle w:val="Hyperlink"/>
          </w:rPr>
          <w:t>https://www.premier.vic.gov.au/supporting-families-of-terminally-ill-victorians/</w:t>
        </w:r>
      </w:hyperlink>
      <w:r w:rsidR="004A411D" w:rsidRPr="007B6E0F">
        <w:rPr>
          <w:color w:val="00B0F0"/>
        </w:rPr>
        <w:t>&gt;</w:t>
      </w:r>
      <w:r w:rsidR="00384918" w:rsidRPr="007B6E0F">
        <w:rPr>
          <w:color w:val="00B0F0"/>
        </w:rPr>
        <w:t>.</w:t>
      </w:r>
      <w:r w:rsidR="00384918">
        <w:br/>
      </w:r>
      <w:r w:rsidR="00384918" w:rsidRPr="00384918">
        <w:t xml:space="preserve">For more information visit </w:t>
      </w:r>
      <w:hyperlink r:id="rId15" w:history="1">
        <w:r w:rsidR="00384918" w:rsidRPr="00384918">
          <w:rPr>
            <w:rStyle w:val="Hyperlink"/>
          </w:rPr>
          <w:t>&lt;www2.health.vic.gov.au/hospitals-and-health-services/patient-care/end-of-life-care/palliative-care/end-of-life-ancillary-grant&gt;</w:t>
        </w:r>
      </w:hyperlink>
      <w:r w:rsidR="00384918">
        <w:rPr>
          <w:color w:val="00B0F0"/>
        </w:rPr>
        <w:t>.</w:t>
      </w:r>
      <w:r w:rsidR="00CA3E1F">
        <w:rPr>
          <w:color w:val="00B0F0"/>
        </w:rPr>
        <w:br/>
      </w:r>
    </w:p>
    <w:p w:rsidR="00CA3E1F" w:rsidRDefault="00CA3E1F" w:rsidP="00CA3E1F">
      <w:pPr>
        <w:pStyle w:val="DHHSbody"/>
        <w:spacing w:line="240" w:lineRule="auto"/>
        <w:rPr>
          <w:rStyle w:val="Heading4Char"/>
        </w:rPr>
      </w:pPr>
      <w:r w:rsidRPr="00761BE6">
        <w:rPr>
          <w:rStyle w:val="Heading3Char"/>
          <w:i/>
          <w:color w:val="660066"/>
        </w:rPr>
        <w:t>‘Living as well as possible, right to the end of life’</w:t>
      </w:r>
      <w:r w:rsidRPr="00761BE6">
        <w:rPr>
          <w:rStyle w:val="Heading3Char"/>
          <w:color w:val="660066"/>
        </w:rPr>
        <w:t xml:space="preserve"> </w:t>
      </w:r>
      <w:r>
        <w:rPr>
          <w:rStyle w:val="Heading3Char"/>
          <w:color w:val="660066"/>
        </w:rPr>
        <w:t xml:space="preserve">- Victorian Clinical Council </w:t>
      </w:r>
    </w:p>
    <w:p w:rsidR="00CA3E1F" w:rsidRDefault="00CA3E1F" w:rsidP="00CA3E1F">
      <w:pPr>
        <w:pStyle w:val="DHHSbody"/>
        <w:spacing w:line="240" w:lineRule="auto"/>
        <w:rPr>
          <w:rStyle w:val="Heading4Char"/>
          <w:b w:val="0"/>
        </w:rPr>
      </w:pPr>
      <w:r w:rsidRPr="00761BE6">
        <w:rPr>
          <w:rStyle w:val="Heading4Char"/>
          <w:b w:val="0"/>
        </w:rPr>
        <w:t>Assoc. Prof</w:t>
      </w:r>
      <w:r>
        <w:rPr>
          <w:rStyle w:val="Heading4Char"/>
          <w:b w:val="0"/>
        </w:rPr>
        <w:t>essor</w:t>
      </w:r>
      <w:r w:rsidRPr="00761BE6">
        <w:rPr>
          <w:rStyle w:val="Heading4Char"/>
          <w:b w:val="0"/>
        </w:rPr>
        <w:t xml:space="preserve"> Jill Sewell AM</w:t>
      </w:r>
      <w:r>
        <w:rPr>
          <w:rStyle w:val="Heading4Char"/>
          <w:b w:val="0"/>
        </w:rPr>
        <w:t>, Chair of the Victorian Clinical Council (VCC), provided an overview of the VCC to the group.</w:t>
      </w:r>
      <w:r w:rsidRPr="00761BE6">
        <w:t xml:space="preserve"> </w:t>
      </w:r>
      <w:r w:rsidRPr="00761BE6">
        <w:rPr>
          <w:rStyle w:val="Heading4Char"/>
          <w:b w:val="0"/>
        </w:rPr>
        <w:t>VCC was formed in March 2017 to provide independent clinical leadership and advice to the Government, the department and health services on how to make the system safer, provide better care and produce better health outcomes for all Victorians.</w:t>
      </w:r>
    </w:p>
    <w:p w:rsidR="00CA3E1F" w:rsidRDefault="00CA3E1F" w:rsidP="00CA3E1F">
      <w:pPr>
        <w:pStyle w:val="DHHSbody"/>
        <w:spacing w:afterLines="50" w:line="240" w:lineRule="auto"/>
      </w:pPr>
      <w:r>
        <w:rPr>
          <w:rStyle w:val="Heading4Char"/>
          <w:b w:val="0"/>
        </w:rPr>
        <w:t xml:space="preserve">The </w:t>
      </w:r>
      <w:r w:rsidR="00E23B75">
        <w:rPr>
          <w:rStyle w:val="Heading4Char"/>
          <w:b w:val="0"/>
        </w:rPr>
        <w:t xml:space="preserve">group discussed VCC’s </w:t>
      </w:r>
      <w:r w:rsidR="00625078">
        <w:rPr>
          <w:rStyle w:val="Heading4Char"/>
          <w:b w:val="0"/>
        </w:rPr>
        <w:t xml:space="preserve">December 2017 meeting </w:t>
      </w:r>
      <w:r w:rsidRPr="002D32C3">
        <w:rPr>
          <w:rStyle w:val="Heading4Char"/>
          <w:b w:val="0"/>
          <w:i/>
        </w:rPr>
        <w:t>‘Living as well as possible, right to the end of life’</w:t>
      </w:r>
      <w:r w:rsidRPr="002D32C3">
        <w:rPr>
          <w:rStyle w:val="Heading4Char"/>
          <w:b w:val="0"/>
        </w:rPr>
        <w:t xml:space="preserve"> </w:t>
      </w:r>
      <w:r w:rsidR="00E23B75">
        <w:rPr>
          <w:rStyle w:val="Heading4Char"/>
          <w:b w:val="0"/>
        </w:rPr>
        <w:t xml:space="preserve">that </w:t>
      </w:r>
      <w:r>
        <w:rPr>
          <w:rStyle w:val="Heading4Char"/>
          <w:b w:val="0"/>
        </w:rPr>
        <w:t xml:space="preserve">was </w:t>
      </w:r>
      <w:r>
        <w:t xml:space="preserve">attended by a wide range of clinicians and consumers, the Secretary of Department of Health and Human Services and senior staff. </w:t>
      </w:r>
      <w:r w:rsidRPr="006F2606">
        <w:t xml:space="preserve">The concept </w:t>
      </w:r>
      <w:r>
        <w:t>that</w:t>
      </w:r>
      <w:r w:rsidRPr="006F2606">
        <w:t xml:space="preserve"> </w:t>
      </w:r>
      <w:r>
        <w:t>‘</w:t>
      </w:r>
      <w:r w:rsidRPr="006F2606">
        <w:t xml:space="preserve">end of life care </w:t>
      </w:r>
      <w:r>
        <w:t>is</w:t>
      </w:r>
      <w:r w:rsidRPr="006F2606">
        <w:t xml:space="preserve"> everyone’s business’ was </w:t>
      </w:r>
      <w:r>
        <w:t xml:space="preserve">the basis for discussion, aligning with priority four of the framework. A final report considered by the </w:t>
      </w:r>
      <w:r w:rsidR="00625078">
        <w:t>Secretary</w:t>
      </w:r>
      <w:r>
        <w:t xml:space="preserve"> includes</w:t>
      </w:r>
      <w:r w:rsidR="00384918">
        <w:t xml:space="preserve"> </w:t>
      </w:r>
      <w:r>
        <w:t>f</w:t>
      </w:r>
      <w:r w:rsidR="00384918">
        <w:t>ive</w:t>
      </w:r>
      <w:r>
        <w:t xml:space="preserve"> recommendations:</w:t>
      </w:r>
    </w:p>
    <w:p w:rsidR="00CA3E1F" w:rsidRDefault="00CA3E1F" w:rsidP="00D23C11">
      <w:pPr>
        <w:pStyle w:val="DHHSbody"/>
        <w:spacing w:after="60" w:line="240" w:lineRule="auto"/>
        <w:ind w:left="720"/>
      </w:pPr>
      <w:r>
        <w:t xml:space="preserve">1. Develop an end of life and palliative care </w:t>
      </w:r>
      <w:r w:rsidR="00384918">
        <w:t xml:space="preserve">capability </w:t>
      </w:r>
      <w:r>
        <w:t>framework.</w:t>
      </w:r>
    </w:p>
    <w:p w:rsidR="00CA3E1F" w:rsidRDefault="00CA3E1F" w:rsidP="00D23C11">
      <w:pPr>
        <w:pStyle w:val="DHHSbody"/>
        <w:spacing w:after="60" w:line="240" w:lineRule="auto"/>
        <w:ind w:left="720"/>
      </w:pPr>
      <w:r>
        <w:t>2. Address critical workforce knowledge and skill gaps.</w:t>
      </w:r>
    </w:p>
    <w:p w:rsidR="00CA3E1F" w:rsidRDefault="00CA3E1F" w:rsidP="00D23C11">
      <w:pPr>
        <w:pStyle w:val="DHHSbody"/>
        <w:spacing w:after="60" w:line="240" w:lineRule="auto"/>
        <w:ind w:left="720"/>
      </w:pPr>
      <w:r>
        <w:t>3. Embed a culture that strives for better end of life care.</w:t>
      </w:r>
    </w:p>
    <w:p w:rsidR="00CA3E1F" w:rsidRDefault="00CA3E1F" w:rsidP="00D23C11">
      <w:pPr>
        <w:pStyle w:val="DHHSbody"/>
        <w:spacing w:after="60" w:line="240" w:lineRule="auto"/>
        <w:ind w:left="720"/>
      </w:pPr>
      <w:r>
        <w:t>4.</w:t>
      </w:r>
      <w:r w:rsidR="00D23C11">
        <w:t xml:space="preserve"> </w:t>
      </w:r>
      <w:r>
        <w:t>Develop metrics that ultimately support people to live well until the end.</w:t>
      </w:r>
    </w:p>
    <w:p w:rsidR="00D23C11" w:rsidRDefault="00D23C11" w:rsidP="00D23C11">
      <w:pPr>
        <w:pStyle w:val="DHHSbody"/>
        <w:spacing w:after="60" w:line="240" w:lineRule="auto"/>
        <w:ind w:left="720"/>
      </w:pPr>
      <w:r>
        <w:t>5. Implementation of council recommendations and the broader end of life and palliative care program.</w:t>
      </w:r>
    </w:p>
    <w:p w:rsidR="00CA3E1F" w:rsidRDefault="00CA3E1F" w:rsidP="00CA3E1F">
      <w:pPr>
        <w:pStyle w:val="DHHSbody"/>
        <w:spacing w:line="240" w:lineRule="auto"/>
        <w:rPr>
          <w:rStyle w:val="Heading3Char"/>
          <w:color w:val="660066"/>
        </w:rPr>
      </w:pPr>
      <w:r>
        <w:br/>
        <w:t>The advice report can be viewed at:</w:t>
      </w:r>
      <w:r w:rsidR="00384918">
        <w:br/>
      </w:r>
      <w:r w:rsidRPr="007B6E0F">
        <w:rPr>
          <w:color w:val="00B0F0"/>
        </w:rPr>
        <w:t>&lt;</w:t>
      </w:r>
      <w:hyperlink r:id="rId16" w:history="1">
        <w:r w:rsidRPr="00B05924">
          <w:rPr>
            <w:rStyle w:val="Hyperlink"/>
            <w:rFonts w:eastAsia="MS Mincho"/>
          </w:rPr>
          <w:t>bettersafercare.vic.gov.au/reports-and-publications/advice-end-of-life-care-services</w:t>
        </w:r>
      </w:hyperlink>
      <w:r w:rsidRPr="007B6E0F">
        <w:rPr>
          <w:rStyle w:val="Heading4Char"/>
          <w:b w:val="0"/>
          <w:color w:val="00B0F0"/>
        </w:rPr>
        <w:t>&gt;</w:t>
      </w:r>
      <w:r>
        <w:rPr>
          <w:rStyle w:val="Heading3Char"/>
          <w:color w:val="660066"/>
        </w:rPr>
        <w:br w:type="page"/>
      </w:r>
    </w:p>
    <w:p w:rsidR="00CA3E1F" w:rsidRDefault="003A3427" w:rsidP="00CA3E1F">
      <w:pPr>
        <w:pStyle w:val="DHHSbody"/>
        <w:spacing w:line="240" w:lineRule="auto"/>
        <w:rPr>
          <w:rStyle w:val="Heading3Char"/>
          <w:color w:val="660066"/>
        </w:rPr>
      </w:pPr>
      <w:r>
        <w:rPr>
          <w:rStyle w:val="Heading3Char"/>
          <w:color w:val="660066"/>
        </w:rPr>
        <w:lastRenderedPageBreak/>
        <w:t xml:space="preserve">Funding model review </w:t>
      </w:r>
      <w:r w:rsidR="00330005">
        <w:rPr>
          <w:rStyle w:val="Heading3Char"/>
          <w:color w:val="660066"/>
        </w:rPr>
        <w:br/>
      </w:r>
      <w:r w:rsidR="004A411D" w:rsidRPr="004A411D">
        <w:rPr>
          <w:rFonts w:eastAsia="Times New Roman" w:cs="Arial"/>
          <w:color w:val="000000"/>
          <w:lang w:eastAsia="en-AU"/>
        </w:rPr>
        <w:t>This</w:t>
      </w:r>
      <w:r w:rsidR="00403BBF" w:rsidRPr="004A411D">
        <w:rPr>
          <w:rFonts w:eastAsia="Times New Roman" w:cs="Arial"/>
          <w:color w:val="000000"/>
          <w:lang w:eastAsia="en-AU"/>
        </w:rPr>
        <w:t xml:space="preserve"> r</w:t>
      </w:r>
      <w:r w:rsidR="00E10E9C" w:rsidRPr="004A411D">
        <w:rPr>
          <w:rFonts w:eastAsia="Times New Roman" w:cs="Arial"/>
          <w:color w:val="000000"/>
          <w:lang w:eastAsia="en-AU"/>
        </w:rPr>
        <w:t xml:space="preserve">eview </w:t>
      </w:r>
      <w:r w:rsidR="00052A77">
        <w:rPr>
          <w:rFonts w:eastAsia="Times New Roman" w:cs="Arial"/>
          <w:color w:val="000000"/>
          <w:lang w:eastAsia="en-AU"/>
        </w:rPr>
        <w:t xml:space="preserve">by the Department of Health and Human Services was </w:t>
      </w:r>
      <w:r w:rsidR="004A411D" w:rsidRPr="004A411D">
        <w:rPr>
          <w:rFonts w:eastAsia="Times New Roman" w:cs="Arial"/>
          <w:color w:val="000000"/>
          <w:lang w:eastAsia="en-AU"/>
        </w:rPr>
        <w:t>announced in November 2017</w:t>
      </w:r>
      <w:r w:rsidR="00052A77">
        <w:rPr>
          <w:rFonts w:eastAsia="Times New Roman" w:cs="Arial"/>
          <w:color w:val="000000"/>
          <w:lang w:eastAsia="en-AU"/>
        </w:rPr>
        <w:t>. It</w:t>
      </w:r>
      <w:r w:rsidR="004A411D" w:rsidRPr="004A411D">
        <w:rPr>
          <w:rFonts w:eastAsia="Times New Roman" w:cs="Arial"/>
          <w:color w:val="000000"/>
          <w:lang w:eastAsia="en-AU"/>
        </w:rPr>
        <w:t xml:space="preserve"> aim</w:t>
      </w:r>
      <w:r w:rsidR="00052A77">
        <w:rPr>
          <w:rFonts w:eastAsia="Times New Roman" w:cs="Arial"/>
          <w:color w:val="000000"/>
          <w:lang w:eastAsia="en-AU"/>
        </w:rPr>
        <w:t>ed</w:t>
      </w:r>
      <w:r w:rsidR="004A411D" w:rsidRPr="004A411D">
        <w:rPr>
          <w:rFonts w:eastAsia="Times New Roman" w:cs="Arial"/>
          <w:color w:val="000000"/>
          <w:lang w:eastAsia="en-AU"/>
        </w:rPr>
        <w:t xml:space="preserve"> to</w:t>
      </w:r>
      <w:r w:rsidR="00445CF7" w:rsidRPr="004A411D">
        <w:rPr>
          <w:rFonts w:eastAsia="Times New Roman" w:cs="Arial"/>
          <w:color w:val="000000"/>
          <w:lang w:eastAsia="en-AU"/>
        </w:rPr>
        <w:t xml:space="preserve"> address any inequities that exist in the current </w:t>
      </w:r>
      <w:r w:rsidR="00830997">
        <w:rPr>
          <w:rFonts w:eastAsia="Times New Roman" w:cs="Arial"/>
          <w:color w:val="000000"/>
          <w:lang w:eastAsia="en-AU"/>
        </w:rPr>
        <w:t xml:space="preserve">palliative care </w:t>
      </w:r>
      <w:r w:rsidR="00247EFC" w:rsidRPr="004A411D">
        <w:rPr>
          <w:rFonts w:eastAsia="Times New Roman" w:cs="Arial"/>
          <w:color w:val="000000"/>
          <w:lang w:eastAsia="en-AU"/>
        </w:rPr>
        <w:t xml:space="preserve">funding </w:t>
      </w:r>
      <w:r w:rsidR="00445CF7" w:rsidRPr="004A411D">
        <w:rPr>
          <w:rFonts w:eastAsia="Times New Roman" w:cs="Arial"/>
          <w:color w:val="000000"/>
          <w:lang w:eastAsia="en-AU"/>
        </w:rPr>
        <w:t>model</w:t>
      </w:r>
      <w:r w:rsidR="004A411D" w:rsidRPr="004A411D">
        <w:rPr>
          <w:rFonts w:eastAsia="Times New Roman" w:cs="Arial"/>
          <w:color w:val="000000"/>
          <w:lang w:eastAsia="en-AU"/>
        </w:rPr>
        <w:t xml:space="preserve">. </w:t>
      </w:r>
      <w:r w:rsidR="004A411D" w:rsidRPr="00830997">
        <w:rPr>
          <w:rFonts w:eastAsia="Times New Roman" w:cs="Arial"/>
          <w:lang w:eastAsia="en-AU"/>
        </w:rPr>
        <w:t>The review</w:t>
      </w:r>
      <w:r w:rsidR="00E10E9C" w:rsidRPr="00830997">
        <w:rPr>
          <w:rFonts w:eastAsia="Times New Roman" w:cs="Arial"/>
          <w:lang w:eastAsia="en-AU"/>
        </w:rPr>
        <w:t xml:space="preserve"> </w:t>
      </w:r>
      <w:r w:rsidR="004A411D" w:rsidRPr="00830997">
        <w:rPr>
          <w:rFonts w:eastAsia="Times New Roman" w:cs="Arial"/>
          <w:lang w:eastAsia="en-AU"/>
        </w:rPr>
        <w:t xml:space="preserve">has </w:t>
      </w:r>
      <w:r w:rsidR="00022259" w:rsidRPr="00830997">
        <w:t>consider</w:t>
      </w:r>
      <w:r w:rsidR="004A411D" w:rsidRPr="00830997">
        <w:t>ed</w:t>
      </w:r>
      <w:r w:rsidR="00022259" w:rsidRPr="00830997">
        <w:t xml:space="preserve"> how to improve sustainability for palliative care services and </w:t>
      </w:r>
      <w:r w:rsidR="00E10E9C" w:rsidRPr="00830997">
        <w:t xml:space="preserve">improve </w:t>
      </w:r>
      <w:r w:rsidR="00022259" w:rsidRPr="00830997">
        <w:t>their capacity to deliver flexible patient-centred care.</w:t>
      </w:r>
      <w:r w:rsidR="004A411D" w:rsidRPr="00830997">
        <w:t xml:space="preserve"> The </w:t>
      </w:r>
      <w:r w:rsidR="00D23C11">
        <w:t xml:space="preserve">review </w:t>
      </w:r>
      <w:r w:rsidR="004A411D" w:rsidRPr="00830997">
        <w:t xml:space="preserve">has been completed and </w:t>
      </w:r>
      <w:r w:rsidR="00D23C11">
        <w:t>the final report has been submitted to the Minister for Health for consideration</w:t>
      </w:r>
      <w:r w:rsidR="00830997" w:rsidRPr="00830997">
        <w:t>.</w:t>
      </w:r>
      <w:r w:rsidR="00CA3E1F">
        <w:br/>
      </w:r>
      <w:r w:rsidR="00830997">
        <w:rPr>
          <w:rStyle w:val="Heading3Char"/>
          <w:i/>
          <w:color w:val="660066"/>
        </w:rPr>
        <w:br/>
      </w:r>
      <w:r w:rsidR="005323FE" w:rsidRPr="005323FE">
        <w:rPr>
          <w:rStyle w:val="Heading3Char"/>
          <w:i/>
          <w:color w:val="660066"/>
        </w:rPr>
        <w:t>Victorian Councils: Supporting Communities Around End of Life</w:t>
      </w:r>
    </w:p>
    <w:p w:rsidR="00CA3E1F" w:rsidRDefault="00384918" w:rsidP="0082120D">
      <w:pPr>
        <w:pStyle w:val="DHHSbody"/>
        <w:spacing w:line="240" w:lineRule="auto"/>
        <w:rPr>
          <w:rStyle w:val="Heading3Char"/>
          <w:i/>
          <w:color w:val="660066"/>
        </w:rPr>
      </w:pPr>
      <w:r>
        <w:t>The</w:t>
      </w:r>
      <w:r w:rsidR="005323FE">
        <w:t xml:space="preserve"> Municipality Association of Victoria (</w:t>
      </w:r>
      <w:r w:rsidR="00CA3E1F">
        <w:t>MAV</w:t>
      </w:r>
      <w:r w:rsidR="005323FE">
        <w:t>)</w:t>
      </w:r>
      <w:r w:rsidR="00CA3E1F">
        <w:t xml:space="preserve"> </w:t>
      </w:r>
      <w:r w:rsidR="005323FE">
        <w:t>and La Trobe University</w:t>
      </w:r>
      <w:r w:rsidR="00D23C11">
        <w:t xml:space="preserve"> conduct this project</w:t>
      </w:r>
      <w:r w:rsidR="005323FE">
        <w:t xml:space="preserve">. </w:t>
      </w:r>
      <w:r w:rsidR="00E23B75">
        <w:t>The group were advised of r</w:t>
      </w:r>
      <w:r w:rsidR="00CA3E1F">
        <w:t xml:space="preserve">esources </w:t>
      </w:r>
      <w:r w:rsidR="00052A77">
        <w:t xml:space="preserve">to assist councils </w:t>
      </w:r>
      <w:r w:rsidR="00CA3E1F">
        <w:t>includ</w:t>
      </w:r>
      <w:r w:rsidR="00052A77">
        <w:t xml:space="preserve">e </w:t>
      </w:r>
      <w:r w:rsidR="00CA3E1F">
        <w:t>video tutorials, strategies</w:t>
      </w:r>
      <w:r w:rsidR="00052A77">
        <w:t xml:space="preserve"> and material to build community strength and capacity to support people experiencing dying, death and bereavement.</w:t>
      </w:r>
      <w:r w:rsidR="00CA3E1F">
        <w:t xml:space="preserve"> </w:t>
      </w:r>
      <w:r w:rsidR="00052A77">
        <w:t>These</w:t>
      </w:r>
      <w:r w:rsidR="00CA3E1F">
        <w:t xml:space="preserve"> are available</w:t>
      </w:r>
      <w:r w:rsidR="00D23C11">
        <w:t xml:space="preserve"> from MAV</w:t>
      </w:r>
      <w:r w:rsidR="00CA3E1F">
        <w:t xml:space="preserve"> at</w:t>
      </w:r>
      <w:r>
        <w:t>:</w:t>
      </w:r>
      <w:r>
        <w:br/>
      </w:r>
      <w:r w:rsidR="00052A77" w:rsidRPr="007B6E0F">
        <w:rPr>
          <w:color w:val="00B0F0"/>
        </w:rPr>
        <w:t>&lt;</w:t>
      </w:r>
      <w:hyperlink r:id="rId17" w:history="1">
        <w:r w:rsidR="00052A77" w:rsidRPr="00B05924">
          <w:rPr>
            <w:rStyle w:val="Hyperlink"/>
          </w:rPr>
          <w:t>www.mav.asn.au/what-we-do/policy-advocacy/social-community/positive-ageing/end-of-life-project</w:t>
        </w:r>
      </w:hyperlink>
      <w:r w:rsidR="00052A77" w:rsidRPr="007B6E0F">
        <w:rPr>
          <w:color w:val="00B0F0"/>
        </w:rPr>
        <w:t>&gt;</w:t>
      </w:r>
    </w:p>
    <w:p w:rsidR="007244D2" w:rsidRPr="007244D2" w:rsidRDefault="00D23C11" w:rsidP="007244D2">
      <w:pPr>
        <w:pStyle w:val="DHHSbody"/>
        <w:rPr>
          <w:lang w:eastAsia="en-AU"/>
        </w:rPr>
      </w:pPr>
      <w:bookmarkStart w:id="2" w:name="_GoBack"/>
      <w:bookmarkEnd w:id="2"/>
      <w:r>
        <w:rPr>
          <w:noProof/>
          <w:lang w:eastAsia="en-AU"/>
        </w:rPr>
        <mc:AlternateContent>
          <mc:Choice Requires="wpg">
            <w:drawing>
              <wp:anchor distT="0" distB="0" distL="114300" distR="114300" simplePos="0" relativeHeight="251671552" behindDoc="0" locked="0" layoutInCell="1" allowOverlap="1" wp14:anchorId="6DC23318" wp14:editId="4E2F1355">
                <wp:simplePos x="0" y="0"/>
                <wp:positionH relativeFrom="column">
                  <wp:posOffset>1938655</wp:posOffset>
                </wp:positionH>
                <wp:positionV relativeFrom="paragraph">
                  <wp:posOffset>-5715</wp:posOffset>
                </wp:positionV>
                <wp:extent cx="2449195" cy="473710"/>
                <wp:effectExtent l="0" t="0" r="27305" b="21590"/>
                <wp:wrapNone/>
                <wp:docPr id="23" name="Group 23"/>
                <wp:cNvGraphicFramePr/>
                <a:graphic xmlns:a="http://schemas.openxmlformats.org/drawingml/2006/main">
                  <a:graphicData uri="http://schemas.microsoft.com/office/word/2010/wordprocessingGroup">
                    <wpg:wgp>
                      <wpg:cNvGrpSpPr/>
                      <wpg:grpSpPr>
                        <a:xfrm>
                          <a:off x="0" y="0"/>
                          <a:ext cx="2449195" cy="473710"/>
                          <a:chOff x="0" y="0"/>
                          <a:chExt cx="2449650" cy="473973"/>
                        </a:xfrm>
                      </wpg:grpSpPr>
                      <wps:wsp>
                        <wps:cNvPr id="8" name="Text Box 2"/>
                        <wps:cNvSpPr txBox="1">
                          <a:spLocks noChangeArrowheads="1"/>
                        </wps:cNvSpPr>
                        <wps:spPr bwMode="auto">
                          <a:xfrm>
                            <a:off x="0" y="0"/>
                            <a:ext cx="1189990" cy="473710"/>
                          </a:xfrm>
                          <a:prstGeom prst="rect">
                            <a:avLst/>
                          </a:prstGeom>
                          <a:solidFill>
                            <a:srgbClr val="FFFFFF"/>
                          </a:solidFill>
                          <a:ln w="9525">
                            <a:solidFill>
                              <a:srgbClr val="000000"/>
                            </a:solidFill>
                            <a:miter lim="800000"/>
                            <a:headEnd/>
                            <a:tailEnd/>
                          </a:ln>
                        </wps:spPr>
                        <wps:txbx>
                          <w:txbxContent>
                            <w:p w:rsidR="005323FE" w:rsidRDefault="005323FE">
                              <w:r>
                                <w:rPr>
                                  <w:noProof/>
                                  <w:lang w:eastAsia="en-AU"/>
                                </w:rPr>
                                <w:drawing>
                                  <wp:inline distT="0" distB="0" distL="0" distR="0" wp14:anchorId="4A7CD55F" wp14:editId="3212885C">
                                    <wp:extent cx="1035170" cy="452887"/>
                                    <wp:effectExtent l="0" t="0" r="0" b="4445"/>
                                    <wp:docPr id="16" name="Picture 16" descr="MAV logo" title="MAV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V.JPG"/>
                                            <pic:cNvPicPr/>
                                          </pic:nvPicPr>
                                          <pic:blipFill>
                                            <a:blip r:embed="rId18">
                                              <a:extLst>
                                                <a:ext uri="{28A0092B-C50C-407E-A947-70E740481C1C}">
                                                  <a14:useLocalDpi xmlns:a14="http://schemas.microsoft.com/office/drawing/2010/main" val="0"/>
                                                </a:ext>
                                              </a:extLst>
                                            </a:blip>
                                            <a:stretch>
                                              <a:fillRect/>
                                            </a:stretch>
                                          </pic:blipFill>
                                          <pic:spPr>
                                            <a:xfrm>
                                              <a:off x="0" y="0"/>
                                              <a:ext cx="1037617" cy="453958"/>
                                            </a:xfrm>
                                            <a:prstGeom prst="rect">
                                              <a:avLst/>
                                            </a:prstGeom>
                                          </pic:spPr>
                                        </pic:pic>
                                      </a:graphicData>
                                    </a:graphic>
                                  </wp:inline>
                                </w:drawing>
                              </w:r>
                            </w:p>
                          </w:txbxContent>
                        </wps:txbx>
                        <wps:bodyPr rot="0" vert="horz" wrap="square" lIns="91440" tIns="45720" rIns="91440" bIns="45720" anchor="t" anchorCtr="0">
                          <a:noAutofit/>
                        </wps:bodyPr>
                      </wps:wsp>
                      <wps:wsp>
                        <wps:cNvPr id="11" name="Text Box 2"/>
                        <wps:cNvSpPr txBox="1">
                          <a:spLocks noChangeArrowheads="1"/>
                        </wps:cNvSpPr>
                        <wps:spPr bwMode="auto">
                          <a:xfrm>
                            <a:off x="1190445" y="0"/>
                            <a:ext cx="1259205" cy="473973"/>
                          </a:xfrm>
                          <a:prstGeom prst="rect">
                            <a:avLst/>
                          </a:prstGeom>
                          <a:solidFill>
                            <a:srgbClr val="FFFFFF"/>
                          </a:solidFill>
                          <a:ln w="9525">
                            <a:solidFill>
                              <a:srgbClr val="000000"/>
                            </a:solidFill>
                            <a:miter lim="800000"/>
                            <a:headEnd/>
                            <a:tailEnd/>
                          </a:ln>
                        </wps:spPr>
                        <wps:txbx>
                          <w:txbxContent>
                            <w:p w:rsidR="005323FE" w:rsidRDefault="005323FE" w:rsidP="005323FE">
                              <w:r>
                                <w:rPr>
                                  <w:noProof/>
                                  <w:lang w:eastAsia="en-AU"/>
                                </w:rPr>
                                <w:drawing>
                                  <wp:inline distT="0" distB="0" distL="0" distR="0" wp14:anchorId="41A0FE63" wp14:editId="584BEDEF">
                                    <wp:extent cx="1045210" cy="391160"/>
                                    <wp:effectExtent l="0" t="0" r="2540" b="8890"/>
                                    <wp:docPr id="19" name="Picture 19" descr="La Trobe University"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Trobe.JPG"/>
                                            <pic:cNvPicPr/>
                                          </pic:nvPicPr>
                                          <pic:blipFill>
                                            <a:blip r:embed="rId19">
                                              <a:extLst>
                                                <a:ext uri="{28A0092B-C50C-407E-A947-70E740481C1C}">
                                                  <a14:useLocalDpi xmlns:a14="http://schemas.microsoft.com/office/drawing/2010/main" val="0"/>
                                                </a:ext>
                                              </a:extLst>
                                            </a:blip>
                                            <a:stretch>
                                              <a:fillRect/>
                                            </a:stretch>
                                          </pic:blipFill>
                                          <pic:spPr>
                                            <a:xfrm>
                                              <a:off x="0" y="0"/>
                                              <a:ext cx="1045210" cy="391160"/>
                                            </a:xfrm>
                                            <a:prstGeom prst="rect">
                                              <a:avLst/>
                                            </a:prstGeom>
                                          </pic:spPr>
                                        </pic:pic>
                                      </a:graphicData>
                                    </a:graphic>
                                  </wp:inline>
                                </w:drawing>
                              </w:r>
                            </w:p>
                          </w:txbxContent>
                        </wps:txbx>
                        <wps:bodyPr rot="0" vert="horz" wrap="square" lIns="91440" tIns="45720" rIns="91440" bIns="45720" anchor="t" anchorCtr="0">
                          <a:noAutofit/>
                        </wps:bodyPr>
                      </wps:wsp>
                    </wpg:wgp>
                  </a:graphicData>
                </a:graphic>
              </wp:anchor>
            </w:drawing>
          </mc:Choice>
          <mc:Fallback>
            <w:pict>
              <v:group id="Group 23" o:spid="_x0000_s1029" style="position:absolute;margin-left:152.65pt;margin-top:-.45pt;width:192.85pt;height:37.3pt;z-index:251671552" coordsize="24496,47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">
                <v:shapetype id="_x0000_t202" coordsize="21600,21600" o:spt="202" path="m,l,21600r21600,l21600,xe">
                  <v:stroke joinstyle="miter"/>
                  <v:path gradientshapeok="t" o:connecttype="rect"/>
                </v:shapetype>
                <v:shape id="_x0000_s1030" type="#_x0000_t202" style="position:absolute;width:11899;height:4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5323FE" w:rsidRDefault="005323FE">
                        <w:r>
                          <w:rPr>
                            <w:noProof/>
                            <w:lang w:eastAsia="en-AU"/>
                          </w:rPr>
                          <w:drawing>
                            <wp:inline distT="0" distB="0" distL="0" distR="0" wp14:anchorId="4A7CD55F" wp14:editId="3212885C">
                              <wp:extent cx="1035170" cy="452887"/>
                              <wp:effectExtent l="0" t="0" r="0" b="4445"/>
                              <wp:docPr id="16" name="Picture 16" descr="MAV logo" title="MAV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V.JPG"/>
                                      <pic:cNvPicPr/>
                                    </pic:nvPicPr>
                                    <pic:blipFill>
                                      <a:blip r:embed="rId18">
                                        <a:extLst>
                                          <a:ext uri="{28A0092B-C50C-407E-A947-70E740481C1C}">
                                            <a14:useLocalDpi xmlns:a14="http://schemas.microsoft.com/office/drawing/2010/main" val="0"/>
                                          </a:ext>
                                        </a:extLst>
                                      </a:blip>
                                      <a:stretch>
                                        <a:fillRect/>
                                      </a:stretch>
                                    </pic:blipFill>
                                    <pic:spPr>
                                      <a:xfrm>
                                        <a:off x="0" y="0"/>
                                        <a:ext cx="1037617" cy="453958"/>
                                      </a:xfrm>
                                      <a:prstGeom prst="rect">
                                        <a:avLst/>
                                      </a:prstGeom>
                                    </pic:spPr>
                                  </pic:pic>
                                </a:graphicData>
                              </a:graphic>
                            </wp:inline>
                          </w:drawing>
                        </w:r>
                      </w:p>
                    </w:txbxContent>
                  </v:textbox>
                </v:shape>
                <v:shape id="_x0000_s1031" type="#_x0000_t202" style="position:absolute;left:11904;width:12592;height:47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rsidR="005323FE" w:rsidRDefault="005323FE" w:rsidP="005323FE">
                        <w:r>
                          <w:rPr>
                            <w:noProof/>
                            <w:lang w:eastAsia="en-AU"/>
                          </w:rPr>
                          <w:drawing>
                            <wp:inline distT="0" distB="0" distL="0" distR="0" wp14:anchorId="41A0FE63" wp14:editId="584BEDEF">
                              <wp:extent cx="1045210" cy="391160"/>
                              <wp:effectExtent l="0" t="0" r="2540" b="8890"/>
                              <wp:docPr id="19" name="Picture 19" descr="La Trobe University"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Trobe.JPG"/>
                                      <pic:cNvPicPr/>
                                    </pic:nvPicPr>
                                    <pic:blipFill>
                                      <a:blip r:embed="rId19">
                                        <a:extLst>
                                          <a:ext uri="{28A0092B-C50C-407E-A947-70E740481C1C}">
                                            <a14:useLocalDpi xmlns:a14="http://schemas.microsoft.com/office/drawing/2010/main" val="0"/>
                                          </a:ext>
                                        </a:extLst>
                                      </a:blip>
                                      <a:stretch>
                                        <a:fillRect/>
                                      </a:stretch>
                                    </pic:blipFill>
                                    <pic:spPr>
                                      <a:xfrm>
                                        <a:off x="0" y="0"/>
                                        <a:ext cx="1045210" cy="391160"/>
                                      </a:xfrm>
                                      <a:prstGeom prst="rect">
                                        <a:avLst/>
                                      </a:prstGeom>
                                    </pic:spPr>
                                  </pic:pic>
                                </a:graphicData>
                              </a:graphic>
                            </wp:inline>
                          </w:drawing>
                        </w:r>
                      </w:p>
                    </w:txbxContent>
                  </v:textbox>
                </v:shape>
              </v:group>
            </w:pict>
          </mc:Fallback>
        </mc:AlternateContent>
      </w:r>
    </w:p>
    <w:p w:rsidR="007244D2" w:rsidRDefault="007244D2" w:rsidP="007244D2">
      <w:pPr>
        <w:pStyle w:val="DHHSbody"/>
        <w:rPr>
          <w:lang w:eastAsia="en-AU"/>
        </w:rPr>
      </w:pPr>
    </w:p>
    <w:p w:rsidR="007244D2" w:rsidRPr="007244D2" w:rsidRDefault="00D23C11" w:rsidP="007244D2">
      <w:pPr>
        <w:pStyle w:val="DHHSbody"/>
        <w:rPr>
          <w:lang w:eastAsia="en-AU"/>
        </w:rPr>
      </w:pPr>
      <w:r>
        <w:rPr>
          <w:noProof/>
          <w:lang w:eastAsia="en-AU"/>
        </w:rPr>
        <mc:AlternateContent>
          <mc:Choice Requires="wpg">
            <w:drawing>
              <wp:anchor distT="0" distB="0" distL="114300" distR="114300" simplePos="0" relativeHeight="251665408" behindDoc="0" locked="0" layoutInCell="1" allowOverlap="1" wp14:anchorId="4945531E" wp14:editId="0392842A">
                <wp:simplePos x="0" y="0"/>
                <wp:positionH relativeFrom="column">
                  <wp:posOffset>-74559</wp:posOffset>
                </wp:positionH>
                <wp:positionV relativeFrom="paragraph">
                  <wp:posOffset>52981</wp:posOffset>
                </wp:positionV>
                <wp:extent cx="6485255" cy="2208052"/>
                <wp:effectExtent l="0" t="0" r="0" b="1905"/>
                <wp:wrapNone/>
                <wp:docPr id="18" name="Group 18"/>
                <wp:cNvGraphicFramePr/>
                <a:graphic xmlns:a="http://schemas.openxmlformats.org/drawingml/2006/main">
                  <a:graphicData uri="http://schemas.microsoft.com/office/word/2010/wordprocessingGroup">
                    <wpg:wgp>
                      <wpg:cNvGrpSpPr/>
                      <wpg:grpSpPr>
                        <a:xfrm>
                          <a:off x="0" y="0"/>
                          <a:ext cx="6485255" cy="2208052"/>
                          <a:chOff x="-17252" y="101052"/>
                          <a:chExt cx="6485362" cy="2155565"/>
                        </a:xfrm>
                      </wpg:grpSpPr>
                      <wps:wsp>
                        <wps:cNvPr id="1" name="Text Box 2"/>
                        <wps:cNvSpPr txBox="1">
                          <a:spLocks noChangeArrowheads="1"/>
                        </wps:cNvSpPr>
                        <wps:spPr bwMode="auto">
                          <a:xfrm>
                            <a:off x="-8606" y="524633"/>
                            <a:ext cx="6142089" cy="788563"/>
                          </a:xfrm>
                          <a:prstGeom prst="rect">
                            <a:avLst/>
                          </a:prstGeom>
                          <a:solidFill>
                            <a:srgbClr val="FFFFFF"/>
                          </a:solidFill>
                          <a:ln w="9525">
                            <a:noFill/>
                            <a:miter lim="800000"/>
                            <a:headEnd/>
                            <a:tailEnd/>
                          </a:ln>
                        </wps:spPr>
                        <wps:txbx>
                          <w:txbxContent>
                            <w:p w:rsidR="00F33F5B" w:rsidRDefault="00E23B75" w:rsidP="001F7DCA">
                              <w:pPr>
                                <w:spacing w:after="120" w:line="240" w:lineRule="auto"/>
                                <w:rPr>
                                  <w:rFonts w:ascii="Arial" w:hAnsi="Arial" w:cs="Arial"/>
                                  <w:sz w:val="20"/>
                                  <w:szCs w:val="20"/>
                                </w:rPr>
                              </w:pPr>
                              <w:r>
                                <w:rPr>
                                  <w:rFonts w:ascii="Arial" w:hAnsi="Arial" w:cs="Arial"/>
                                  <w:sz w:val="20"/>
                                  <w:szCs w:val="20"/>
                                </w:rPr>
                                <w:t xml:space="preserve">This </w:t>
                              </w:r>
                              <w:r w:rsidR="00972B6B" w:rsidRPr="00844452">
                                <w:rPr>
                                  <w:rFonts w:ascii="Arial" w:hAnsi="Arial" w:cs="Arial"/>
                                  <w:sz w:val="20"/>
                                  <w:szCs w:val="20"/>
                                </w:rPr>
                                <w:t xml:space="preserve">new resource </w:t>
                              </w:r>
                              <w:r>
                                <w:rPr>
                                  <w:rFonts w:ascii="Arial" w:hAnsi="Arial" w:cs="Arial"/>
                                  <w:sz w:val="20"/>
                                  <w:szCs w:val="20"/>
                                </w:rPr>
                                <w:t xml:space="preserve">promoted to the group </w:t>
                              </w:r>
                              <w:r w:rsidR="00972B6B" w:rsidRPr="00844452">
                                <w:rPr>
                                  <w:rFonts w:ascii="Arial" w:hAnsi="Arial" w:cs="Arial"/>
                                  <w:sz w:val="20"/>
                                  <w:szCs w:val="20"/>
                                  <w:shd w:val="clear" w:color="auto" w:fill="FFFFFF"/>
                                </w:rPr>
                                <w:t xml:space="preserve">was created in partnership by COTA Victoria and Transgender Victoria. It </w:t>
                              </w:r>
                              <w:r w:rsidR="00972B6B" w:rsidRPr="00844452">
                                <w:rPr>
                                  <w:rFonts w:ascii="Arial" w:hAnsi="Arial" w:cs="Arial"/>
                                  <w:sz w:val="20"/>
                                  <w:szCs w:val="20"/>
                                </w:rPr>
                                <w:t>includes tips</w:t>
                              </w:r>
                              <w:r w:rsidR="007610D4">
                                <w:rPr>
                                  <w:rFonts w:ascii="Arial" w:hAnsi="Arial" w:cs="Arial"/>
                                  <w:sz w:val="20"/>
                                  <w:szCs w:val="20"/>
                                </w:rPr>
                                <w:t xml:space="preserve"> for LGBTI people</w:t>
                              </w:r>
                              <w:r w:rsidR="00972B6B" w:rsidRPr="00844452">
                                <w:rPr>
                                  <w:rFonts w:ascii="Arial" w:hAnsi="Arial" w:cs="Arial"/>
                                  <w:sz w:val="20"/>
                                  <w:szCs w:val="20"/>
                                </w:rPr>
                                <w:t xml:space="preserve"> on finding safe professionals; how to ensure that </w:t>
                              </w:r>
                              <w:r w:rsidR="007610D4">
                                <w:rPr>
                                  <w:rFonts w:ascii="Arial" w:hAnsi="Arial" w:cs="Arial"/>
                                  <w:sz w:val="20"/>
                                  <w:szCs w:val="20"/>
                                </w:rPr>
                                <w:t xml:space="preserve">their </w:t>
                              </w:r>
                              <w:r w:rsidR="00972B6B" w:rsidRPr="00844452">
                                <w:rPr>
                                  <w:rFonts w:ascii="Arial" w:hAnsi="Arial" w:cs="Arial"/>
                                  <w:sz w:val="20"/>
                                  <w:szCs w:val="20"/>
                                </w:rPr>
                                <w:t xml:space="preserve">relationships, partner and family of choice are respected; and end of life is exactly as </w:t>
                              </w:r>
                              <w:r w:rsidR="007610D4">
                                <w:rPr>
                                  <w:rFonts w:ascii="Arial" w:hAnsi="Arial" w:cs="Arial"/>
                                  <w:sz w:val="20"/>
                                  <w:szCs w:val="20"/>
                                </w:rPr>
                                <w:t xml:space="preserve">they </w:t>
                              </w:r>
                              <w:r w:rsidR="00972B6B" w:rsidRPr="00844452">
                                <w:rPr>
                                  <w:rFonts w:ascii="Arial" w:hAnsi="Arial" w:cs="Arial"/>
                                  <w:sz w:val="20"/>
                                  <w:szCs w:val="20"/>
                                </w:rPr>
                                <w:t>would like.</w:t>
                              </w:r>
                              <w:r w:rsidR="00844452" w:rsidRPr="00844452">
                                <w:rPr>
                                  <w:rFonts w:ascii="Arial" w:hAnsi="Arial" w:cs="Arial"/>
                                  <w:sz w:val="20"/>
                                  <w:szCs w:val="20"/>
                                </w:rPr>
                                <w:t xml:space="preserve"> </w:t>
                              </w:r>
                            </w:p>
                            <w:p w:rsidR="007244D2" w:rsidRPr="00972B6B" w:rsidRDefault="001F7DCA" w:rsidP="001F7DCA">
                              <w:pPr>
                                <w:spacing w:after="120" w:line="240" w:lineRule="auto"/>
                                <w:rPr>
                                  <w:rFonts w:ascii="Arial" w:hAnsi="Arial" w:cs="Arial"/>
                                  <w:i/>
                                  <w:sz w:val="20"/>
                                  <w:szCs w:val="20"/>
                                </w:rPr>
                              </w:pPr>
                              <w:r>
                                <w:rPr>
                                  <w:rFonts w:ascii="Arial" w:hAnsi="Arial" w:cs="Arial"/>
                                  <w:sz w:val="20"/>
                                  <w:szCs w:val="20"/>
                                </w:rPr>
                                <w:t>Download</w:t>
                              </w:r>
                              <w:r w:rsidR="00CA3E1F">
                                <w:rPr>
                                  <w:rFonts w:ascii="Arial" w:hAnsi="Arial" w:cs="Arial"/>
                                  <w:sz w:val="20"/>
                                  <w:szCs w:val="20"/>
                                </w:rPr>
                                <w:t xml:space="preserve"> the resource</w:t>
                              </w:r>
                              <w:r>
                                <w:rPr>
                                  <w:rFonts w:ascii="Arial" w:hAnsi="Arial" w:cs="Arial"/>
                                  <w:sz w:val="20"/>
                                  <w:szCs w:val="20"/>
                                </w:rPr>
                                <w:t xml:space="preserve"> at</w:t>
                              </w:r>
                              <w:r w:rsidR="00DD39EA">
                                <w:rPr>
                                  <w:rFonts w:ascii="Arial" w:hAnsi="Arial" w:cs="Arial"/>
                                  <w:sz w:val="20"/>
                                  <w:szCs w:val="20"/>
                                </w:rPr>
                                <w:t xml:space="preserve"> </w:t>
                              </w:r>
                              <w:hyperlink r:id="rId20" w:history="1">
                                <w:r w:rsidR="00DD39EA" w:rsidRPr="00DD39EA">
                                  <w:rPr>
                                    <w:rStyle w:val="Hyperlink"/>
                                    <w:rFonts w:ascii="Arial" w:hAnsi="Arial" w:cs="Arial"/>
                                    <w:sz w:val="20"/>
                                    <w:szCs w:val="20"/>
                                  </w:rPr>
                                  <w:t>&lt;cotavic.org.au/info/looking-for-information/lgbtiq-resources/&gt;</w:t>
                                </w:r>
                              </w:hyperlink>
                            </w:p>
                          </w:txbxContent>
                        </wps:txbx>
                        <wps:bodyPr rot="0" vert="horz" wrap="square" lIns="91440" tIns="45720" rIns="91440" bIns="45720" anchor="t" anchorCtr="0">
                          <a:noAutofit/>
                        </wps:bodyPr>
                      </wps:wsp>
                      <wps:wsp>
                        <wps:cNvPr id="10" name="Text Box 2"/>
                        <wps:cNvSpPr txBox="1">
                          <a:spLocks noChangeArrowheads="1"/>
                        </wps:cNvSpPr>
                        <wps:spPr bwMode="auto">
                          <a:xfrm>
                            <a:off x="-17252" y="101052"/>
                            <a:ext cx="6469021" cy="491706"/>
                          </a:xfrm>
                          <a:prstGeom prst="rect">
                            <a:avLst/>
                          </a:prstGeom>
                          <a:solidFill>
                            <a:srgbClr val="FFFFFF"/>
                          </a:solidFill>
                          <a:ln w="9525">
                            <a:noFill/>
                            <a:miter lim="800000"/>
                            <a:headEnd/>
                            <a:tailEnd/>
                          </a:ln>
                        </wps:spPr>
                        <wps:txbx>
                          <w:txbxContent>
                            <w:p w:rsidR="007244D2" w:rsidRPr="00052A77" w:rsidRDefault="007244D2" w:rsidP="00830997">
                              <w:pPr>
                                <w:rPr>
                                  <w:rFonts w:ascii="Arial" w:hAnsi="Arial" w:cs="Arial"/>
                                  <w:b/>
                                  <w:i/>
                                  <w:color w:val="660066"/>
                                  <w:sz w:val="28"/>
                                  <w:szCs w:val="28"/>
                                </w:rPr>
                              </w:pPr>
                              <w:r w:rsidRPr="00D23C11">
                                <w:rPr>
                                  <w:rFonts w:ascii="Arial" w:hAnsi="Arial" w:cs="Arial"/>
                                  <w:b/>
                                  <w:i/>
                                  <w:color w:val="660066"/>
                                  <w:sz w:val="24"/>
                                  <w:szCs w:val="24"/>
                                </w:rPr>
                                <w:t>Safeguarding the end of the rainbow</w:t>
                              </w:r>
                              <w:r w:rsidRPr="00052A77">
                                <w:rPr>
                                  <w:rFonts w:ascii="Arial" w:hAnsi="Arial" w:cs="Arial"/>
                                  <w:b/>
                                  <w:i/>
                                  <w:color w:val="660066"/>
                                  <w:sz w:val="28"/>
                                  <w:szCs w:val="28"/>
                                </w:rPr>
                                <w:br/>
                              </w:r>
                              <w:r w:rsidRPr="00052A77">
                                <w:rPr>
                                  <w:rFonts w:cs="Times New Roman"/>
                                  <w:color w:val="660066"/>
                                </w:rPr>
                                <w:t xml:space="preserve"> </w:t>
                              </w:r>
                              <w:r w:rsidRPr="00052A77">
                                <w:rPr>
                                  <w:rFonts w:ascii="Arial" w:hAnsi="Arial" w:cs="Arial"/>
                                  <w:b/>
                                  <w:bCs/>
                                  <w:iCs/>
                                  <w:color w:val="660066"/>
                                  <w:sz w:val="20"/>
                                  <w:szCs w:val="20"/>
                                </w:rPr>
                                <w:t>A guide to help LGBTI people to plan an end of life of their choice</w:t>
                              </w:r>
                            </w:p>
                          </w:txbxContent>
                        </wps:txbx>
                        <wps:bodyPr rot="0" vert="horz" wrap="square" lIns="91440" tIns="45720" rIns="91440" bIns="45720" anchor="t" anchorCtr="0">
                          <a:noAutofit/>
                        </wps:bodyPr>
                      </wps:wsp>
                      <wps:wsp>
                        <wps:cNvPr id="15" name="Text Box 2"/>
                        <wps:cNvSpPr txBox="1">
                          <a:spLocks noChangeArrowheads="1"/>
                        </wps:cNvSpPr>
                        <wps:spPr bwMode="auto">
                          <a:xfrm>
                            <a:off x="0" y="1313225"/>
                            <a:ext cx="6468110" cy="943392"/>
                          </a:xfrm>
                          <a:prstGeom prst="rect">
                            <a:avLst/>
                          </a:prstGeom>
                          <a:solidFill>
                            <a:srgbClr val="FFFFFF"/>
                          </a:solidFill>
                          <a:ln w="9525">
                            <a:noFill/>
                            <a:miter lim="800000"/>
                            <a:headEnd/>
                            <a:tailEnd/>
                          </a:ln>
                        </wps:spPr>
                        <wps:txbx>
                          <w:txbxContent>
                            <w:p w:rsidR="00844452" w:rsidRDefault="001F7DCA">
                              <w:r>
                                <w:rPr>
                                  <w:noProof/>
                                  <w:lang w:eastAsia="en-AU"/>
                                </w:rPr>
                                <w:drawing>
                                  <wp:inline distT="0" distB="0" distL="0" distR="0" wp14:anchorId="05919F26" wp14:editId="3E931C24">
                                    <wp:extent cx="6215942" cy="793630"/>
                                    <wp:effectExtent l="0" t="0" r="0" b="6985"/>
                                    <wp:docPr id="17" name="Picture 17" descr="Safeguarding the end of the rainbow" title="Graphic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inbow.JPG"/>
                                            <pic:cNvPicPr/>
                                          </pic:nvPicPr>
                                          <pic:blipFill>
                                            <a:blip r:embed="rId21">
                                              <a:extLst>
                                                <a:ext uri="{28A0092B-C50C-407E-A947-70E740481C1C}">
                                                  <a14:useLocalDpi xmlns:a14="http://schemas.microsoft.com/office/drawing/2010/main" val="0"/>
                                                </a:ext>
                                              </a:extLst>
                                            </a:blip>
                                            <a:stretch>
                                              <a:fillRect/>
                                            </a:stretch>
                                          </pic:blipFill>
                                          <pic:spPr>
                                            <a:xfrm>
                                              <a:off x="0" y="0"/>
                                              <a:ext cx="6216529" cy="793705"/>
                                            </a:xfrm>
                                            <a:prstGeom prst="rect">
                                              <a:avLst/>
                                            </a:prstGeom>
                                          </pic:spPr>
                                        </pic:pic>
                                      </a:graphicData>
                                    </a:graphic>
                                  </wp:inline>
                                </w:drawing>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18" o:spid="_x0000_s1032" style="position:absolute;margin-left:-5.85pt;margin-top:4.15pt;width:510.65pt;height:173.85pt;z-index:251665408;mso-width-relative:margin;mso-height-relative:margin" coordorigin="-172,1010" coordsize="64853,21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">
                <v:shape id="_x0000_s1033" type="#_x0000_t202" style="position:absolute;left:-86;top:5246;width:61420;height:78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6Tz8AA&#10;AADaAAAADwAAAGRycy9kb3ducmV2LnhtbERPzWqDQBC+B/oOyxRyCXVtSE1rskpbSMlVmwcY3YlK&#10;3Flxt9G8fTdQ6Gn4+H5nn8+mF1caXWdZwXMUgyCure64UXD6Pjy9gnAeWWNvmRTcyEGePSz2mGo7&#10;cUHX0jcihLBLUUHr/ZBK6eqWDLrIDsSBO9vRoA9wbKQecQrhppfrOE6kwY5DQ4sDfbZUX8ofo+B8&#10;nFYvb1P15U/bYpN8YLet7E2p5eP8vgPhafb/4j/3UYf5cH/lfmX2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6Tz8AAAADaAAAADwAAAAAAAAAAAAAAAACYAgAAZHJzL2Rvd25y&#10;ZXYueG1sUEsFBgAAAAAEAAQA9QAAAIUDAAAAAA==&#10;" stroked="f">
                  <v:textbox>
                    <w:txbxContent>
                      <w:p w:rsidR="00F33F5B" w:rsidRDefault="00E23B75" w:rsidP="001F7DCA">
                        <w:pPr>
                          <w:spacing w:after="120" w:line="240" w:lineRule="auto"/>
                          <w:rPr>
                            <w:rFonts w:ascii="Arial" w:hAnsi="Arial" w:cs="Arial"/>
                            <w:sz w:val="20"/>
                            <w:szCs w:val="20"/>
                          </w:rPr>
                        </w:pPr>
                        <w:r>
                          <w:rPr>
                            <w:rFonts w:ascii="Arial" w:hAnsi="Arial" w:cs="Arial"/>
                            <w:sz w:val="20"/>
                            <w:szCs w:val="20"/>
                          </w:rPr>
                          <w:t xml:space="preserve">This </w:t>
                        </w:r>
                        <w:r w:rsidR="00972B6B" w:rsidRPr="00844452">
                          <w:rPr>
                            <w:rFonts w:ascii="Arial" w:hAnsi="Arial" w:cs="Arial"/>
                            <w:sz w:val="20"/>
                            <w:szCs w:val="20"/>
                          </w:rPr>
                          <w:t xml:space="preserve">new resource </w:t>
                        </w:r>
                        <w:r>
                          <w:rPr>
                            <w:rFonts w:ascii="Arial" w:hAnsi="Arial" w:cs="Arial"/>
                            <w:sz w:val="20"/>
                            <w:szCs w:val="20"/>
                          </w:rPr>
                          <w:t xml:space="preserve">promoted to the group </w:t>
                        </w:r>
                        <w:r w:rsidR="00972B6B" w:rsidRPr="00844452">
                          <w:rPr>
                            <w:rFonts w:ascii="Arial" w:hAnsi="Arial" w:cs="Arial"/>
                            <w:sz w:val="20"/>
                            <w:szCs w:val="20"/>
                            <w:shd w:val="clear" w:color="auto" w:fill="FFFFFF"/>
                          </w:rPr>
                          <w:t xml:space="preserve">was created in partnership by COTA Victoria and Transgender Victoria. It </w:t>
                        </w:r>
                        <w:r w:rsidR="00972B6B" w:rsidRPr="00844452">
                          <w:rPr>
                            <w:rFonts w:ascii="Arial" w:hAnsi="Arial" w:cs="Arial"/>
                            <w:sz w:val="20"/>
                            <w:szCs w:val="20"/>
                          </w:rPr>
                          <w:t>includes tips</w:t>
                        </w:r>
                        <w:r w:rsidR="007610D4">
                          <w:rPr>
                            <w:rFonts w:ascii="Arial" w:hAnsi="Arial" w:cs="Arial"/>
                            <w:sz w:val="20"/>
                            <w:szCs w:val="20"/>
                          </w:rPr>
                          <w:t xml:space="preserve"> for LGBTI people</w:t>
                        </w:r>
                        <w:r w:rsidR="00972B6B" w:rsidRPr="00844452">
                          <w:rPr>
                            <w:rFonts w:ascii="Arial" w:hAnsi="Arial" w:cs="Arial"/>
                            <w:sz w:val="20"/>
                            <w:szCs w:val="20"/>
                          </w:rPr>
                          <w:t xml:space="preserve"> on finding safe professionals; how to ensure that </w:t>
                        </w:r>
                        <w:r w:rsidR="007610D4">
                          <w:rPr>
                            <w:rFonts w:ascii="Arial" w:hAnsi="Arial" w:cs="Arial"/>
                            <w:sz w:val="20"/>
                            <w:szCs w:val="20"/>
                          </w:rPr>
                          <w:t xml:space="preserve">their </w:t>
                        </w:r>
                        <w:r w:rsidR="00972B6B" w:rsidRPr="00844452">
                          <w:rPr>
                            <w:rFonts w:ascii="Arial" w:hAnsi="Arial" w:cs="Arial"/>
                            <w:sz w:val="20"/>
                            <w:szCs w:val="20"/>
                          </w:rPr>
                          <w:t xml:space="preserve">relationships, partner and family of choice are respected; and end of life is exactly as </w:t>
                        </w:r>
                        <w:r w:rsidR="007610D4">
                          <w:rPr>
                            <w:rFonts w:ascii="Arial" w:hAnsi="Arial" w:cs="Arial"/>
                            <w:sz w:val="20"/>
                            <w:szCs w:val="20"/>
                          </w:rPr>
                          <w:t xml:space="preserve">they </w:t>
                        </w:r>
                        <w:r w:rsidR="00972B6B" w:rsidRPr="00844452">
                          <w:rPr>
                            <w:rFonts w:ascii="Arial" w:hAnsi="Arial" w:cs="Arial"/>
                            <w:sz w:val="20"/>
                            <w:szCs w:val="20"/>
                          </w:rPr>
                          <w:t>would like.</w:t>
                        </w:r>
                        <w:r w:rsidR="00844452" w:rsidRPr="00844452">
                          <w:rPr>
                            <w:rFonts w:ascii="Arial" w:hAnsi="Arial" w:cs="Arial"/>
                            <w:sz w:val="20"/>
                            <w:szCs w:val="20"/>
                          </w:rPr>
                          <w:t xml:space="preserve"> </w:t>
                        </w:r>
                      </w:p>
                      <w:p w:rsidR="007244D2" w:rsidRPr="00972B6B" w:rsidRDefault="001F7DCA" w:rsidP="001F7DCA">
                        <w:pPr>
                          <w:spacing w:after="120" w:line="240" w:lineRule="auto"/>
                          <w:rPr>
                            <w:rFonts w:ascii="Arial" w:hAnsi="Arial" w:cs="Arial"/>
                            <w:i/>
                            <w:sz w:val="20"/>
                            <w:szCs w:val="20"/>
                          </w:rPr>
                        </w:pPr>
                        <w:r>
                          <w:rPr>
                            <w:rFonts w:ascii="Arial" w:hAnsi="Arial" w:cs="Arial"/>
                            <w:sz w:val="20"/>
                            <w:szCs w:val="20"/>
                          </w:rPr>
                          <w:t>Download</w:t>
                        </w:r>
                        <w:r w:rsidR="00CA3E1F">
                          <w:rPr>
                            <w:rFonts w:ascii="Arial" w:hAnsi="Arial" w:cs="Arial"/>
                            <w:sz w:val="20"/>
                            <w:szCs w:val="20"/>
                          </w:rPr>
                          <w:t xml:space="preserve"> the resource</w:t>
                        </w:r>
                        <w:r>
                          <w:rPr>
                            <w:rFonts w:ascii="Arial" w:hAnsi="Arial" w:cs="Arial"/>
                            <w:sz w:val="20"/>
                            <w:szCs w:val="20"/>
                          </w:rPr>
                          <w:t xml:space="preserve"> at</w:t>
                        </w:r>
                        <w:r w:rsidR="00DD39EA">
                          <w:rPr>
                            <w:rFonts w:ascii="Arial" w:hAnsi="Arial" w:cs="Arial"/>
                            <w:sz w:val="20"/>
                            <w:szCs w:val="20"/>
                          </w:rPr>
                          <w:t xml:space="preserve"> </w:t>
                        </w:r>
                        <w:hyperlink r:id="rId22" w:history="1">
                          <w:r w:rsidR="00DD39EA" w:rsidRPr="00DD39EA">
                            <w:rPr>
                              <w:rStyle w:val="Hyperlink"/>
                              <w:rFonts w:ascii="Arial" w:hAnsi="Arial" w:cs="Arial"/>
                              <w:sz w:val="20"/>
                              <w:szCs w:val="20"/>
                            </w:rPr>
                            <w:t>&lt;cotavic.org.au/info/looking-for-information/lgbtiq-resources/&gt;</w:t>
                          </w:r>
                        </w:hyperlink>
                      </w:p>
                    </w:txbxContent>
                  </v:textbox>
                </v:shape>
                <v:shape id="_x0000_s1034" type="#_x0000_t202" style="position:absolute;left:-172;top:1010;width:64689;height:49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7fcIA&#10;AADbAAAADwAAAGRycy9kb3ducmV2LnhtbESPzW7CQAyE70h9h5Ur9YJg04rfwIJaJBBXfh7AZE0S&#10;kfVG2S0Jb48PSNxszXjm83LduUrdqQmlZwPfwwQUceZtybmB82k7mIEKEdli5ZkMPCjAevXRW2Jq&#10;fcsHuh9jriSEQ4oGihjrVOuQFeQwDH1NLNrVNw6jrE2ubYOthLtK/yTJRDssWRoKrGlTUHY7/jsD&#10;133bH8/byy6ep4fR5A/L6cU/jPn67H4XoCJ18W1+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ft9wgAAANsAAAAPAAAAAAAAAAAAAAAAAJgCAABkcnMvZG93&#10;bnJldi54bWxQSwUGAAAAAAQABAD1AAAAhwMAAAAA&#10;" stroked="f">
                  <v:textbox>
                    <w:txbxContent>
                      <w:p w:rsidR="007244D2" w:rsidRPr="00052A77" w:rsidRDefault="007244D2" w:rsidP="00830997">
                        <w:pPr>
                          <w:rPr>
                            <w:rFonts w:ascii="Arial" w:hAnsi="Arial" w:cs="Arial"/>
                            <w:b/>
                            <w:i/>
                            <w:color w:val="660066"/>
                            <w:sz w:val="28"/>
                            <w:szCs w:val="28"/>
                          </w:rPr>
                        </w:pPr>
                        <w:r w:rsidRPr="00D23C11">
                          <w:rPr>
                            <w:rFonts w:ascii="Arial" w:hAnsi="Arial" w:cs="Arial"/>
                            <w:b/>
                            <w:i/>
                            <w:color w:val="660066"/>
                            <w:sz w:val="24"/>
                            <w:szCs w:val="24"/>
                          </w:rPr>
                          <w:t>Safeguarding the end of the rainbow</w:t>
                        </w:r>
                        <w:r w:rsidRPr="00052A77">
                          <w:rPr>
                            <w:rFonts w:ascii="Arial" w:hAnsi="Arial" w:cs="Arial"/>
                            <w:b/>
                            <w:i/>
                            <w:color w:val="660066"/>
                            <w:sz w:val="28"/>
                            <w:szCs w:val="28"/>
                          </w:rPr>
                          <w:br/>
                        </w:r>
                        <w:r w:rsidRPr="00052A77">
                          <w:rPr>
                            <w:rFonts w:cs="Times New Roman"/>
                            <w:color w:val="660066"/>
                          </w:rPr>
                          <w:t xml:space="preserve"> </w:t>
                        </w:r>
                        <w:r w:rsidRPr="00052A77">
                          <w:rPr>
                            <w:rFonts w:ascii="Arial" w:hAnsi="Arial" w:cs="Arial"/>
                            <w:b/>
                            <w:bCs/>
                            <w:iCs/>
                            <w:color w:val="660066"/>
                            <w:sz w:val="20"/>
                            <w:szCs w:val="20"/>
                          </w:rPr>
                          <w:t>A guide to help LGBTI people to plan an end of life of their choice</w:t>
                        </w:r>
                      </w:p>
                    </w:txbxContent>
                  </v:textbox>
                </v:shape>
                <v:shape id="_x0000_s1035" type="#_x0000_t202" style="position:absolute;top:13132;width:64681;height:94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ZY5cEA&#10;AADbAAAADwAAAGRycy9kb3ducmV2LnhtbERPzWrCQBC+F/oOyxS8lLqpaGyjm1ALitekPsCYHZNg&#10;djZkVxPfvisI3ubj+511NppWXKl3jWUFn9MIBHFpdcOVgsPf9uMLhPPIGlvLpOBGDrL09WWNibYD&#10;53QtfCVCCLsEFdTed4mUrqzJoJvajjhwJ9sb9AH2ldQ9DiHctHIWRbE02HBoqLGj35rKc3ExCk77&#10;4X3xPRx3/rDM5/EGm+XR3pSavI0/KxCeRv8UP9x7HeYv4P5LOEC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0WWOXBAAAA2wAAAA8AAAAAAAAAAAAAAAAAmAIAAGRycy9kb3du&#10;cmV2LnhtbFBLBQYAAAAABAAEAPUAAACGAwAAAAA=&#10;" stroked="f">
                  <v:textbox>
                    <w:txbxContent>
                      <w:p w:rsidR="00844452" w:rsidRDefault="001F7DCA">
                        <w:r>
                          <w:rPr>
                            <w:noProof/>
                            <w:lang w:eastAsia="en-AU"/>
                          </w:rPr>
                          <w:drawing>
                            <wp:inline distT="0" distB="0" distL="0" distR="0" wp14:anchorId="05919F26" wp14:editId="3E931C24">
                              <wp:extent cx="6215942" cy="793630"/>
                              <wp:effectExtent l="0" t="0" r="0" b="6985"/>
                              <wp:docPr id="17" name="Picture 17" descr="Safeguarding the end of the rainbow" title="Graphic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inbow.JPG"/>
                                      <pic:cNvPicPr/>
                                    </pic:nvPicPr>
                                    <pic:blipFill>
                                      <a:blip r:embed="rId21">
                                        <a:extLst>
                                          <a:ext uri="{28A0092B-C50C-407E-A947-70E740481C1C}">
                                            <a14:useLocalDpi xmlns:a14="http://schemas.microsoft.com/office/drawing/2010/main" val="0"/>
                                          </a:ext>
                                        </a:extLst>
                                      </a:blip>
                                      <a:stretch>
                                        <a:fillRect/>
                                      </a:stretch>
                                    </pic:blipFill>
                                    <pic:spPr>
                                      <a:xfrm>
                                        <a:off x="0" y="0"/>
                                        <a:ext cx="6216529" cy="793705"/>
                                      </a:xfrm>
                                      <a:prstGeom prst="rect">
                                        <a:avLst/>
                                      </a:prstGeom>
                                    </pic:spPr>
                                  </pic:pic>
                                </a:graphicData>
                              </a:graphic>
                            </wp:inline>
                          </w:drawing>
                        </w:r>
                      </w:p>
                    </w:txbxContent>
                  </v:textbox>
                </v:shape>
              </v:group>
            </w:pict>
          </mc:Fallback>
        </mc:AlternateContent>
      </w:r>
    </w:p>
    <w:p w:rsidR="007244D2" w:rsidRDefault="007244D2" w:rsidP="00FA240A">
      <w:pPr>
        <w:pStyle w:val="Heading3"/>
        <w:spacing w:before="0" w:line="240" w:lineRule="auto"/>
        <w:rPr>
          <w:color w:val="660066"/>
          <w:lang w:eastAsia="en-AU"/>
        </w:rPr>
      </w:pPr>
    </w:p>
    <w:p w:rsidR="001522C2" w:rsidRDefault="00052558" w:rsidP="00FA240A">
      <w:pPr>
        <w:pStyle w:val="Heading3"/>
        <w:spacing w:before="0" w:line="240" w:lineRule="auto"/>
        <w:rPr>
          <w:color w:val="0070C0"/>
          <w:lang w:eastAsia="en-AU"/>
        </w:rPr>
      </w:pPr>
      <w:r>
        <w:rPr>
          <w:color w:val="660066"/>
          <w:lang w:eastAsia="en-AU"/>
        </w:rPr>
        <w:br/>
      </w:r>
    </w:p>
    <w:p w:rsidR="00FA240A" w:rsidRDefault="00FA240A" w:rsidP="00FA240A">
      <w:pPr>
        <w:pStyle w:val="DHHSbody"/>
        <w:rPr>
          <w:lang w:eastAsia="en-AU"/>
        </w:rPr>
      </w:pPr>
    </w:p>
    <w:p w:rsidR="00FA240A" w:rsidRDefault="00FA240A" w:rsidP="00FA240A">
      <w:pPr>
        <w:pStyle w:val="DHHSbody"/>
        <w:rPr>
          <w:lang w:eastAsia="en-AU"/>
        </w:rPr>
      </w:pPr>
    </w:p>
    <w:p w:rsidR="00FA240A" w:rsidRDefault="00FA240A" w:rsidP="00FA240A">
      <w:pPr>
        <w:pStyle w:val="DHHSbody"/>
        <w:rPr>
          <w:lang w:eastAsia="en-AU"/>
        </w:rPr>
      </w:pPr>
    </w:p>
    <w:p w:rsidR="00FA240A" w:rsidRDefault="00FA240A" w:rsidP="00FA240A">
      <w:pPr>
        <w:pStyle w:val="DHHSbody"/>
        <w:rPr>
          <w:lang w:eastAsia="en-AU"/>
        </w:rPr>
      </w:pPr>
    </w:p>
    <w:p w:rsidR="00FA240A" w:rsidRDefault="00FA240A" w:rsidP="00FA240A">
      <w:pPr>
        <w:pStyle w:val="DHHSbody"/>
        <w:rPr>
          <w:lang w:eastAsia="en-AU"/>
        </w:rPr>
      </w:pPr>
    </w:p>
    <w:p w:rsidR="007244D2" w:rsidRDefault="005323FE" w:rsidP="00FA240A">
      <w:pPr>
        <w:pStyle w:val="DHHSbody"/>
        <w:rPr>
          <w:lang w:eastAsia="en-AU"/>
        </w:rPr>
      </w:pPr>
      <w:r>
        <w:rPr>
          <w:noProof/>
          <w:lang w:eastAsia="en-AU"/>
        </w:rPr>
        <mc:AlternateContent>
          <mc:Choice Requires="wpg">
            <w:drawing>
              <wp:anchor distT="0" distB="0" distL="114300" distR="114300" simplePos="0" relativeHeight="251667456" behindDoc="0" locked="0" layoutInCell="1" allowOverlap="1" wp14:anchorId="5801F1E1" wp14:editId="5DA920E6">
                <wp:simplePos x="0" y="0"/>
                <wp:positionH relativeFrom="column">
                  <wp:posOffset>8890</wp:posOffset>
                </wp:positionH>
                <wp:positionV relativeFrom="paragraph">
                  <wp:posOffset>27676</wp:posOffset>
                </wp:positionV>
                <wp:extent cx="6279515" cy="948055"/>
                <wp:effectExtent l="0" t="0" r="26035" b="23495"/>
                <wp:wrapNone/>
                <wp:docPr id="30" name="Group 30"/>
                <wp:cNvGraphicFramePr/>
                <a:graphic xmlns:a="http://schemas.openxmlformats.org/drawingml/2006/main">
                  <a:graphicData uri="http://schemas.microsoft.com/office/word/2010/wordprocessingGroup">
                    <wpg:wgp>
                      <wpg:cNvGrpSpPr/>
                      <wpg:grpSpPr>
                        <a:xfrm>
                          <a:off x="0" y="0"/>
                          <a:ext cx="6279515" cy="948055"/>
                          <a:chOff x="0" y="-1"/>
                          <a:chExt cx="6279516" cy="810884"/>
                        </a:xfrm>
                      </wpg:grpSpPr>
                      <wps:wsp>
                        <wps:cNvPr id="21" name="Text Box 21"/>
                        <wps:cNvSpPr txBox="1"/>
                        <wps:spPr>
                          <a:xfrm>
                            <a:off x="1302588" y="0"/>
                            <a:ext cx="3493701" cy="810260"/>
                          </a:xfrm>
                          <a:prstGeom prst="rect">
                            <a:avLst/>
                          </a:prstGeom>
                          <a:solidFill>
                            <a:sysClr val="window" lastClr="FFFFFF"/>
                          </a:solidFill>
                          <a:ln w="6350">
                            <a:solidFill>
                              <a:prstClr val="black"/>
                            </a:solidFill>
                          </a:ln>
                          <a:effectLst/>
                        </wps:spPr>
                        <wps:txbx>
                          <w:txbxContent>
                            <w:p w:rsidR="007244D2" w:rsidRPr="00E1791B" w:rsidRDefault="004A2885" w:rsidP="007244D2">
                              <w:pPr>
                                <w:spacing w:after="240" w:line="240" w:lineRule="auto"/>
                                <w:rPr>
                                  <w:rFonts w:ascii="Arial" w:hAnsi="Arial" w:cs="Arial"/>
                                  <w:sz w:val="20"/>
                                  <w:szCs w:val="20"/>
                                </w:rPr>
                              </w:pPr>
                              <w:hyperlink r:id="rId23" w:history="1">
                                <w:r w:rsidR="007244D2">
                                  <w:rPr>
                                    <w:rStyle w:val="Hyperlink"/>
                                    <w:rFonts w:ascii="Arial" w:hAnsi="Arial" w:cs="Arial"/>
                                    <w:sz w:val="20"/>
                                    <w:szCs w:val="20"/>
                                  </w:rPr>
                                  <w:t>Better Health Channel &lt;www.betterhealth.vic.gov.au/palliative&gt;</w:t>
                                </w:r>
                              </w:hyperlink>
                              <w:r w:rsidR="007244D2">
                                <w:rPr>
                                  <w:rStyle w:val="Hyperlink"/>
                                  <w:rFonts w:ascii="Arial" w:hAnsi="Arial" w:cs="Arial"/>
                                  <w:sz w:val="20"/>
                                  <w:szCs w:val="20"/>
                                </w:rPr>
                                <w:t xml:space="preserve"> </w:t>
                              </w:r>
                              <w:r w:rsidR="007244D2">
                                <w:rPr>
                                  <w:rStyle w:val="Hyperlink"/>
                                  <w:rFonts w:ascii="Arial" w:hAnsi="Arial" w:cs="Arial"/>
                                  <w:sz w:val="20"/>
                                  <w:szCs w:val="20"/>
                                </w:rPr>
                                <w:br/>
                              </w:r>
                              <w:r w:rsidR="007244D2" w:rsidRPr="001D0E91">
                                <w:rPr>
                                  <w:rFonts w:ascii="Arial" w:hAnsi="Arial" w:cs="Arial"/>
                                  <w:sz w:val="20"/>
                                  <w:szCs w:val="20"/>
                                </w:rPr>
                                <w:t xml:space="preserve">features </w:t>
                              </w:r>
                              <w:r w:rsidR="007244D2" w:rsidRPr="0092435F">
                                <w:rPr>
                                  <w:rFonts w:ascii="Arial" w:hAnsi="Arial" w:cs="Arial"/>
                                  <w:b/>
                                  <w:i/>
                                  <w:sz w:val="20"/>
                                  <w:szCs w:val="20"/>
                                </w:rPr>
                                <w:t>‘Palliative care for the LGBTI community’</w:t>
                              </w:r>
                              <w:r w:rsidR="007244D2" w:rsidRPr="001D0E91">
                                <w:rPr>
                                  <w:rFonts w:ascii="Arial" w:hAnsi="Arial" w:cs="Arial"/>
                                  <w:sz w:val="20"/>
                                  <w:szCs w:val="20"/>
                                </w:rPr>
                                <w:t xml:space="preserve"> under the tab </w:t>
                              </w:r>
                              <w:r w:rsidR="007244D2" w:rsidRPr="0092435F">
                                <w:rPr>
                                  <w:rFonts w:ascii="Arial" w:hAnsi="Arial" w:cs="Arial"/>
                                  <w:i/>
                                  <w:sz w:val="20"/>
                                  <w:szCs w:val="20"/>
                                </w:rPr>
                                <w:t>‘End of life and palliative care for all communities’</w:t>
                              </w:r>
                            </w:p>
                            <w:p w:rsidR="007244D2" w:rsidRDefault="007244D2" w:rsidP="007244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Text Box 2"/>
                        <wps:cNvSpPr txBox="1">
                          <a:spLocks noChangeArrowheads="1"/>
                        </wps:cNvSpPr>
                        <wps:spPr bwMode="auto">
                          <a:xfrm>
                            <a:off x="4796289" y="0"/>
                            <a:ext cx="1483227" cy="810883"/>
                          </a:xfrm>
                          <a:prstGeom prst="rect">
                            <a:avLst/>
                          </a:prstGeom>
                          <a:solidFill>
                            <a:srgbClr val="FFFFFF"/>
                          </a:solidFill>
                          <a:ln w="9525">
                            <a:solidFill>
                              <a:srgbClr val="000000"/>
                            </a:solidFill>
                            <a:miter lim="800000"/>
                            <a:headEnd/>
                            <a:tailEnd/>
                          </a:ln>
                        </wps:spPr>
                        <wps:txbx>
                          <w:txbxContent>
                            <w:p w:rsidR="007244D2" w:rsidRDefault="007610D4" w:rsidP="007244D2">
                              <w:r w:rsidRPr="007610D4">
                                <w:rPr>
                                  <w:noProof/>
                                  <w:lang w:eastAsia="en-AU"/>
                                </w:rPr>
                                <w:drawing>
                                  <wp:inline distT="0" distB="0" distL="0" distR="0" wp14:anchorId="0FA434B6" wp14:editId="2986E05E">
                                    <wp:extent cx="1277248" cy="836164"/>
                                    <wp:effectExtent l="0" t="0" r="0" b="2540"/>
                                    <wp:docPr id="288" name="Picture 288" title="Image two 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77045" cy="836031"/>
                                            </a:xfrm>
                                            <a:prstGeom prst="rect">
                                              <a:avLst/>
                                            </a:prstGeom>
                                            <a:noFill/>
                                            <a:ln>
                                              <a:noFill/>
                                            </a:ln>
                                          </pic:spPr>
                                        </pic:pic>
                                      </a:graphicData>
                                    </a:graphic>
                                  </wp:inline>
                                </w:drawing>
                              </w:r>
                            </w:p>
                          </w:txbxContent>
                        </wps:txbx>
                        <wps:bodyPr rot="0" vert="horz" wrap="square" lIns="91440" tIns="45720" rIns="91440" bIns="45720" anchor="t" anchorCtr="0">
                          <a:noAutofit/>
                        </wps:bodyPr>
                      </wps:wsp>
                      <wps:wsp>
                        <wps:cNvPr id="22" name="Text Box 2"/>
                        <wps:cNvSpPr txBox="1">
                          <a:spLocks noChangeArrowheads="1"/>
                        </wps:cNvSpPr>
                        <wps:spPr bwMode="auto">
                          <a:xfrm>
                            <a:off x="0" y="-1"/>
                            <a:ext cx="1354237" cy="809637"/>
                          </a:xfrm>
                          <a:prstGeom prst="rect">
                            <a:avLst/>
                          </a:prstGeom>
                          <a:solidFill>
                            <a:srgbClr val="FFFFFF"/>
                          </a:solidFill>
                          <a:ln w="9525">
                            <a:solidFill>
                              <a:srgbClr val="000000"/>
                            </a:solidFill>
                            <a:miter lim="800000"/>
                            <a:headEnd/>
                            <a:tailEnd/>
                          </a:ln>
                        </wps:spPr>
                        <wps:txbx>
                          <w:txbxContent>
                            <w:p w:rsidR="006C6A91" w:rsidRDefault="007610D4" w:rsidP="006A7FE1">
                              <w:pPr>
                                <w:jc w:val="center"/>
                              </w:pPr>
                              <w:r>
                                <w:rPr>
                                  <w:rFonts w:ascii="Arial" w:hAnsi="Arial" w:cs="Arial"/>
                                  <w:noProof/>
                                  <w:sz w:val="20"/>
                                  <w:szCs w:val="20"/>
                                  <w:lang w:eastAsia="en-AU"/>
                                </w:rPr>
                                <w:drawing>
                                  <wp:inline distT="0" distB="0" distL="0" distR="0" wp14:anchorId="413DE712" wp14:editId="7ED68071">
                                    <wp:extent cx="1213485" cy="557138"/>
                                    <wp:effectExtent l="0" t="0" r="5715" b="0"/>
                                    <wp:docPr id="289" name="Picture 289" descr="Better health channel logo" title="betterhealth.vic.gov.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tter_health_channel logo.PNG"/>
                                            <pic:cNvPicPr/>
                                          </pic:nvPicPr>
                                          <pic:blipFill>
                                            <a:blip r:embed="rId25">
                                              <a:extLst>
                                                <a:ext uri="{28A0092B-C50C-407E-A947-70E740481C1C}">
                                                  <a14:useLocalDpi xmlns:a14="http://schemas.microsoft.com/office/drawing/2010/main" val="0"/>
                                                </a:ext>
                                              </a:extLst>
                                            </a:blip>
                                            <a:stretch>
                                              <a:fillRect/>
                                            </a:stretch>
                                          </pic:blipFill>
                                          <pic:spPr>
                                            <a:xfrm>
                                              <a:off x="0" y="0"/>
                                              <a:ext cx="1213485" cy="557138"/>
                                            </a:xfrm>
                                            <a:prstGeom prst="rect">
                                              <a:avLst/>
                                            </a:prstGeom>
                                          </pic:spPr>
                                        </pic:pic>
                                      </a:graphicData>
                                    </a:graphic>
                                  </wp:inline>
                                </w:drawing>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30" o:spid="_x0000_s1036" style="position:absolute;margin-left:.7pt;margin-top:2.2pt;width:494.45pt;height:74.65pt;z-index:251667456;mso-width-relative:margin;mso-height-relative:margin" coordorigin="" coordsize="62795,8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">
                <v:shape id="Text Box 21" o:spid="_x0000_s1037" type="#_x0000_t202" style="position:absolute;left:13025;width:34937;height:81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rCEMIA&#10;AADbAAAADwAAAGRycy9kb3ducmV2LnhtbESPQWsCMRSE7wX/Q3iCt5rVg9jVKCIIXkTc9tDeHslz&#10;N7p5WTZxXf31plDocZiZb5jlune16KgN1rOCyTgDQay9sVwq+Prcvc9BhIhssPZMCh4UYL0avC0x&#10;N/7OJ+qKWIoE4ZCjgirGJpcy6IochrFviJN39q3DmGRbStPiPcFdLadZNpMOLaeFChvaVqSvxc0p&#10;MPztWf/Yw9Nyoe3H8zi/6E6p0bDfLEBE6uN/+K+9NwqmE/j9kn6AX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msIQwgAAANsAAAAPAAAAAAAAAAAAAAAAAJgCAABkcnMvZG93&#10;bnJldi54bWxQSwUGAAAAAAQABAD1AAAAhwMAAAAA&#10;" fillcolor="window" strokeweight=".5pt">
                  <v:textbox>
                    <w:txbxContent>
                      <w:p w:rsidR="007244D2" w:rsidRPr="00E1791B" w:rsidRDefault="004A2885" w:rsidP="007244D2">
                        <w:pPr>
                          <w:spacing w:after="240" w:line="240" w:lineRule="auto"/>
                          <w:rPr>
                            <w:rFonts w:ascii="Arial" w:hAnsi="Arial" w:cs="Arial"/>
                            <w:sz w:val="20"/>
                            <w:szCs w:val="20"/>
                          </w:rPr>
                        </w:pPr>
                        <w:hyperlink r:id="rId26" w:history="1">
                          <w:r w:rsidR="007244D2">
                            <w:rPr>
                              <w:rStyle w:val="Hyperlink"/>
                              <w:rFonts w:ascii="Arial" w:hAnsi="Arial" w:cs="Arial"/>
                              <w:sz w:val="20"/>
                              <w:szCs w:val="20"/>
                            </w:rPr>
                            <w:t>Better Health Channel &lt;www.betterhealth.vic.gov.au/palliative&gt;</w:t>
                          </w:r>
                        </w:hyperlink>
                        <w:r w:rsidR="007244D2">
                          <w:rPr>
                            <w:rStyle w:val="Hyperlink"/>
                            <w:rFonts w:ascii="Arial" w:hAnsi="Arial" w:cs="Arial"/>
                            <w:sz w:val="20"/>
                            <w:szCs w:val="20"/>
                          </w:rPr>
                          <w:t xml:space="preserve"> </w:t>
                        </w:r>
                        <w:r w:rsidR="007244D2">
                          <w:rPr>
                            <w:rStyle w:val="Hyperlink"/>
                            <w:rFonts w:ascii="Arial" w:hAnsi="Arial" w:cs="Arial"/>
                            <w:sz w:val="20"/>
                            <w:szCs w:val="20"/>
                          </w:rPr>
                          <w:br/>
                        </w:r>
                        <w:r w:rsidR="007244D2" w:rsidRPr="001D0E91">
                          <w:rPr>
                            <w:rFonts w:ascii="Arial" w:hAnsi="Arial" w:cs="Arial"/>
                            <w:sz w:val="20"/>
                            <w:szCs w:val="20"/>
                          </w:rPr>
                          <w:t xml:space="preserve">features </w:t>
                        </w:r>
                        <w:r w:rsidR="007244D2" w:rsidRPr="0092435F">
                          <w:rPr>
                            <w:rFonts w:ascii="Arial" w:hAnsi="Arial" w:cs="Arial"/>
                            <w:b/>
                            <w:i/>
                            <w:sz w:val="20"/>
                            <w:szCs w:val="20"/>
                          </w:rPr>
                          <w:t>‘Palliative care for the LGBTI community’</w:t>
                        </w:r>
                        <w:r w:rsidR="007244D2" w:rsidRPr="001D0E91">
                          <w:rPr>
                            <w:rFonts w:ascii="Arial" w:hAnsi="Arial" w:cs="Arial"/>
                            <w:sz w:val="20"/>
                            <w:szCs w:val="20"/>
                          </w:rPr>
                          <w:t xml:space="preserve"> under the tab </w:t>
                        </w:r>
                        <w:r w:rsidR="007244D2" w:rsidRPr="0092435F">
                          <w:rPr>
                            <w:rFonts w:ascii="Arial" w:hAnsi="Arial" w:cs="Arial"/>
                            <w:i/>
                            <w:sz w:val="20"/>
                            <w:szCs w:val="20"/>
                          </w:rPr>
                          <w:t>‘End of life and palliative care for all communities’</w:t>
                        </w:r>
                      </w:p>
                      <w:p w:rsidR="007244D2" w:rsidRDefault="007244D2" w:rsidP="007244D2"/>
                    </w:txbxContent>
                  </v:textbox>
                </v:shape>
                <v:shape id="_x0000_s1038" type="#_x0000_t202" style="position:absolute;left:47962;width:14833;height:8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7244D2" w:rsidRDefault="007610D4" w:rsidP="007244D2">
                        <w:r w:rsidRPr="007610D4">
                          <w:rPr>
                            <w:noProof/>
                            <w:lang w:eastAsia="en-AU"/>
                          </w:rPr>
                          <w:drawing>
                            <wp:inline distT="0" distB="0" distL="0" distR="0" wp14:anchorId="0FA434B6" wp14:editId="2986E05E">
                              <wp:extent cx="1277248" cy="836164"/>
                              <wp:effectExtent l="0" t="0" r="0" b="2540"/>
                              <wp:docPr id="288" name="Picture 288" title="Image two 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77045" cy="836031"/>
                                      </a:xfrm>
                                      <a:prstGeom prst="rect">
                                        <a:avLst/>
                                      </a:prstGeom>
                                      <a:noFill/>
                                      <a:ln>
                                        <a:noFill/>
                                      </a:ln>
                                    </pic:spPr>
                                  </pic:pic>
                                </a:graphicData>
                              </a:graphic>
                            </wp:inline>
                          </w:drawing>
                        </w:r>
                      </w:p>
                    </w:txbxContent>
                  </v:textbox>
                </v:shape>
                <v:shape id="_x0000_s1039" type="#_x0000_t202" style="position:absolute;width:13542;height:8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9h8UA&#10;AADbAAAADwAAAGRycy9kb3ducmV2LnhtbESPQWvCQBSE70L/w/IKvYhuGsXa1FWkoNibTUWvj+wz&#10;Cc2+jbtrTP99tyD0OMzMN8xi1ZtGdOR8bVnB8zgBQVxYXXOp4PC1Gc1B+ICssbFMCn7Iw2r5MFhg&#10;pu2NP6nLQykihH2GCqoQ2kxKX1Rk0I9tSxy9s3UGQ5SulNrhLcJNI9MkmUmDNceFClt6r6j4zq9G&#10;wXy6607+Y7I/FrNz8xqGL9324pR6euzXbyAC9eE/fG/vtII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X2HxQAAANsAAAAPAAAAAAAAAAAAAAAAAJgCAABkcnMv&#10;ZG93bnJldi54bWxQSwUGAAAAAAQABAD1AAAAigMAAAAA&#10;">
                  <v:textbox>
                    <w:txbxContent>
                      <w:p w:rsidR="006C6A91" w:rsidRDefault="007610D4" w:rsidP="006A7FE1">
                        <w:pPr>
                          <w:jc w:val="center"/>
                        </w:pPr>
                        <w:r>
                          <w:rPr>
                            <w:rFonts w:ascii="Arial" w:hAnsi="Arial" w:cs="Arial"/>
                            <w:noProof/>
                            <w:sz w:val="20"/>
                            <w:szCs w:val="20"/>
                            <w:lang w:eastAsia="en-AU"/>
                          </w:rPr>
                          <w:drawing>
                            <wp:inline distT="0" distB="0" distL="0" distR="0" wp14:anchorId="413DE712" wp14:editId="7ED68071">
                              <wp:extent cx="1213485" cy="557138"/>
                              <wp:effectExtent l="0" t="0" r="5715" b="0"/>
                              <wp:docPr id="289" name="Picture 289" descr="Better health channel logo" title="betterhealth.vic.gov.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tter_health_channel logo.PNG"/>
                                      <pic:cNvPicPr/>
                                    </pic:nvPicPr>
                                    <pic:blipFill>
                                      <a:blip r:embed="rId25">
                                        <a:extLst>
                                          <a:ext uri="{28A0092B-C50C-407E-A947-70E740481C1C}">
                                            <a14:useLocalDpi xmlns:a14="http://schemas.microsoft.com/office/drawing/2010/main" val="0"/>
                                          </a:ext>
                                        </a:extLst>
                                      </a:blip>
                                      <a:stretch>
                                        <a:fillRect/>
                                      </a:stretch>
                                    </pic:blipFill>
                                    <pic:spPr>
                                      <a:xfrm>
                                        <a:off x="0" y="0"/>
                                        <a:ext cx="1213485" cy="557138"/>
                                      </a:xfrm>
                                      <a:prstGeom prst="rect">
                                        <a:avLst/>
                                      </a:prstGeom>
                                    </pic:spPr>
                                  </pic:pic>
                                </a:graphicData>
                              </a:graphic>
                            </wp:inline>
                          </w:drawing>
                        </w:r>
                      </w:p>
                    </w:txbxContent>
                  </v:textbox>
                </v:shape>
              </v:group>
            </w:pict>
          </mc:Fallback>
        </mc:AlternateContent>
      </w:r>
    </w:p>
    <w:p w:rsidR="007244D2" w:rsidRDefault="007244D2" w:rsidP="00FA240A">
      <w:pPr>
        <w:pStyle w:val="DHHSbody"/>
        <w:rPr>
          <w:lang w:eastAsia="en-AU"/>
        </w:rPr>
      </w:pPr>
    </w:p>
    <w:p w:rsidR="00BF3632" w:rsidRDefault="00557D94" w:rsidP="005E4914">
      <w:pPr>
        <w:pStyle w:val="DHHSbody"/>
        <w:spacing w:before="100" w:beforeAutospacing="1" w:line="240" w:lineRule="auto"/>
        <w:rPr>
          <w:lang w:eastAsia="en-AU"/>
        </w:rPr>
      </w:pPr>
      <w:r>
        <w:rPr>
          <w:rFonts w:cs="Arial"/>
        </w:rPr>
        <w:t xml:space="preserve"> </w:t>
      </w:r>
    </w:p>
    <w:p w:rsidR="00BF3632" w:rsidRPr="00BF3632" w:rsidRDefault="00BF3632" w:rsidP="00BF3632">
      <w:pPr>
        <w:pStyle w:val="DHHSbody"/>
        <w:rPr>
          <w:lang w:eastAsia="en-AU"/>
        </w:rPr>
      </w:pPr>
    </w:p>
    <w:p w:rsidR="00BF3632" w:rsidRDefault="005323FE" w:rsidP="00F3122E">
      <w:pPr>
        <w:pStyle w:val="DHHSbody"/>
        <w:rPr>
          <w:b/>
          <w:color w:val="660066"/>
          <w:sz w:val="24"/>
          <w:szCs w:val="24"/>
        </w:rPr>
      </w:pPr>
      <w:r w:rsidRPr="00BF6A6F">
        <w:rPr>
          <w:b/>
          <w:noProof/>
          <w:color w:val="0070C0"/>
          <w:highlight w:val="lightGray"/>
          <w:lang w:eastAsia="en-AU"/>
        </w:rPr>
        <mc:AlternateContent>
          <mc:Choice Requires="wps">
            <w:drawing>
              <wp:anchor distT="0" distB="0" distL="114300" distR="114300" simplePos="0" relativeHeight="251642368" behindDoc="0" locked="0" layoutInCell="1" allowOverlap="1" wp14:anchorId="6A506833" wp14:editId="29BA6683">
                <wp:simplePos x="0" y="0"/>
                <wp:positionH relativeFrom="column">
                  <wp:posOffset>-5979</wp:posOffset>
                </wp:positionH>
                <wp:positionV relativeFrom="paragraph">
                  <wp:posOffset>49530</wp:posOffset>
                </wp:positionV>
                <wp:extent cx="6315075" cy="1345565"/>
                <wp:effectExtent l="0" t="0" r="28575" b="260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1345565"/>
                        </a:xfrm>
                        <a:prstGeom prst="rect">
                          <a:avLst/>
                        </a:prstGeom>
                        <a:solidFill>
                          <a:srgbClr val="FFFFFF"/>
                        </a:solidFill>
                        <a:ln w="9525">
                          <a:solidFill>
                            <a:srgbClr val="000000"/>
                          </a:solidFill>
                          <a:miter lim="800000"/>
                          <a:headEnd/>
                          <a:tailEnd/>
                        </a:ln>
                      </wps:spPr>
                      <wps:txbx>
                        <w:txbxContent>
                          <w:p w:rsidR="00BF3632" w:rsidRDefault="00BF3632" w:rsidP="005E4914">
                            <w:pPr>
                              <w:pStyle w:val="DHHSbody"/>
                              <w:spacing w:line="240" w:lineRule="auto"/>
                              <w:rPr>
                                <w:b/>
                                <w:color w:val="660066"/>
                              </w:rPr>
                            </w:pPr>
                            <w:r w:rsidRPr="00FA1292">
                              <w:rPr>
                                <w:rStyle w:val="Heading3Char"/>
                                <w:color w:val="660066"/>
                              </w:rPr>
                              <w:t>Implementation Advisory Group</w:t>
                            </w:r>
                            <w:r w:rsidRPr="00FA1292">
                              <w:rPr>
                                <w:b/>
                                <w:color w:val="660066"/>
                              </w:rPr>
                              <w:t xml:space="preserve"> </w:t>
                            </w:r>
                            <w:r>
                              <w:br/>
                            </w:r>
                            <w:r w:rsidRPr="005E4914">
                              <w:rPr>
                                <w:sz w:val="18"/>
                                <w:szCs w:val="18"/>
                              </w:rPr>
                              <w:t xml:space="preserve">The group provides an advisory, advocacy and leadership role to the department and relevant stakeholders on the implementation of activities to meet the framework’s aims. </w:t>
                            </w:r>
                            <w:r w:rsidRPr="005E4914">
                              <w:rPr>
                                <w:bCs/>
                                <w:sz w:val="18"/>
                                <w:szCs w:val="18"/>
                              </w:rPr>
                              <w:t>The</w:t>
                            </w:r>
                            <w:r w:rsidRPr="005E4914">
                              <w:rPr>
                                <w:sz w:val="18"/>
                                <w:szCs w:val="18"/>
                              </w:rPr>
                              <w:t xml:space="preserve"> group was established in late 2016. </w:t>
                            </w:r>
                            <w:r w:rsidR="005E4914" w:rsidRPr="005E4914">
                              <w:rPr>
                                <w:sz w:val="18"/>
                                <w:szCs w:val="18"/>
                              </w:rPr>
                              <w:br/>
                            </w:r>
                            <w:r w:rsidRPr="005E4914">
                              <w:rPr>
                                <w:sz w:val="18"/>
                                <w:szCs w:val="18"/>
                              </w:rPr>
                              <w:br/>
                              <w:t>Membership includes representatives of public, private and regional health services, metropolitan, regional and non-government palliative care services, Council of the Ageing, Leading Age Services Australia, Advanced Care Planning Australia, Victorian Disability Advisory Council, Municipality Association of Victoria, Carers Victoria, Palliative Care Victoria, Ethnic Communities Council Victoria, Victorian Aboriginal Community Controlled Health Organisation, Gay and Lesbian Health Victoria, Health Issues Centre, consumer representatives and Primary Health Networks representative.</w:t>
                            </w:r>
                          </w:p>
                          <w:p w:rsidR="00BF3632" w:rsidRDefault="00BF363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40" type="#_x0000_t202" style="position:absolute;margin-left:-.45pt;margin-top:3.9pt;width:497.25pt;height:105.9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">
                <v:textbox>
                  <w:txbxContent>
                    <w:p w:rsidR="00BF3632" w:rsidRDefault="00BF3632" w:rsidP="005E4914">
                      <w:pPr>
                        <w:pStyle w:val="DHHSbody"/>
                        <w:spacing w:line="240" w:lineRule="auto"/>
                        <w:rPr>
                          <w:b/>
                          <w:color w:val="660066"/>
                        </w:rPr>
                      </w:pPr>
                      <w:r w:rsidRPr="00FA1292">
                        <w:rPr>
                          <w:rStyle w:val="Heading3Char"/>
                          <w:color w:val="660066"/>
                        </w:rPr>
                        <w:t>Implementation Advisory Group</w:t>
                      </w:r>
                      <w:r w:rsidRPr="00FA1292">
                        <w:rPr>
                          <w:b/>
                          <w:color w:val="660066"/>
                        </w:rPr>
                        <w:t xml:space="preserve"> </w:t>
                      </w:r>
                      <w:r>
                        <w:br/>
                      </w:r>
                      <w:r w:rsidRPr="005E4914">
                        <w:rPr>
                          <w:sz w:val="18"/>
                          <w:szCs w:val="18"/>
                        </w:rPr>
                        <w:t xml:space="preserve">The group provides an advisory, advocacy and leadership role to the department and relevant stakeholders on the implementation of activities to meet the framework’s aims. </w:t>
                      </w:r>
                      <w:r w:rsidRPr="005E4914">
                        <w:rPr>
                          <w:bCs/>
                          <w:sz w:val="18"/>
                          <w:szCs w:val="18"/>
                        </w:rPr>
                        <w:t>The</w:t>
                      </w:r>
                      <w:r w:rsidRPr="005E4914">
                        <w:rPr>
                          <w:sz w:val="18"/>
                          <w:szCs w:val="18"/>
                        </w:rPr>
                        <w:t xml:space="preserve"> group was established in late 2016. </w:t>
                      </w:r>
                      <w:r w:rsidR="005E4914" w:rsidRPr="005E4914">
                        <w:rPr>
                          <w:sz w:val="18"/>
                          <w:szCs w:val="18"/>
                        </w:rPr>
                        <w:br/>
                      </w:r>
                      <w:r w:rsidRPr="005E4914">
                        <w:rPr>
                          <w:sz w:val="18"/>
                          <w:szCs w:val="18"/>
                        </w:rPr>
                        <w:br/>
                        <w:t>Membership includes representatives of public, private and regional health services, metropolitan, regional and non-government palliative care services, Council of the Ageing, Leading Age Services Australia, Advanced Care Planning Australia, Victorian Disability Advisory Council, Municipality Association of Victoria, Carers Victoria, Palliative Care Victoria, Ethnic Communities Council Victoria, Victorian Aboriginal Community Controlled Health Organisation, Gay and Lesbian Health Victoria, Health Issues Centre, consumer representatives and Primary Health Networks representative.</w:t>
                      </w:r>
                    </w:p>
                    <w:p w:rsidR="00BF3632" w:rsidRDefault="00BF3632"/>
                  </w:txbxContent>
                </v:textbox>
              </v:shape>
            </w:pict>
          </mc:Fallback>
        </mc:AlternateContent>
      </w:r>
    </w:p>
    <w:p w:rsidR="00BF3632" w:rsidRDefault="00BF3632" w:rsidP="00F3122E">
      <w:pPr>
        <w:pStyle w:val="DHHSbody"/>
        <w:rPr>
          <w:b/>
          <w:color w:val="660066"/>
          <w:sz w:val="24"/>
          <w:szCs w:val="24"/>
        </w:rPr>
      </w:pPr>
    </w:p>
    <w:p w:rsidR="00BF3632" w:rsidRDefault="00BF3632" w:rsidP="00F3122E">
      <w:pPr>
        <w:pStyle w:val="DHHSbody"/>
        <w:rPr>
          <w:b/>
          <w:color w:val="660066"/>
          <w:sz w:val="24"/>
          <w:szCs w:val="24"/>
        </w:rPr>
      </w:pPr>
    </w:p>
    <w:p w:rsidR="005323FE" w:rsidRDefault="005E4914" w:rsidP="005E4914">
      <w:pPr>
        <w:pStyle w:val="DHHSbody"/>
        <w:rPr>
          <w:b/>
          <w:color w:val="660066"/>
          <w:sz w:val="24"/>
          <w:szCs w:val="24"/>
        </w:rPr>
      </w:pPr>
      <w:r>
        <w:rPr>
          <w:b/>
          <w:color w:val="660066"/>
          <w:sz w:val="24"/>
          <w:szCs w:val="24"/>
        </w:rPr>
        <w:br/>
      </w:r>
    </w:p>
    <w:p w:rsidR="005323FE" w:rsidRDefault="005323FE" w:rsidP="005E4914">
      <w:pPr>
        <w:pStyle w:val="DHHSbody"/>
        <w:rPr>
          <w:b/>
          <w:color w:val="660066"/>
          <w:sz w:val="24"/>
          <w:szCs w:val="24"/>
        </w:rPr>
      </w:pPr>
    </w:p>
    <w:p w:rsidR="00F13AB7" w:rsidRDefault="00F13AB7" w:rsidP="005E4914">
      <w:pPr>
        <w:pStyle w:val="DHHSbody"/>
      </w:pPr>
      <w:r w:rsidRPr="00FA1292">
        <w:rPr>
          <w:b/>
          <w:color w:val="660066"/>
          <w:sz w:val="24"/>
          <w:szCs w:val="24"/>
        </w:rPr>
        <w:t>More information</w:t>
      </w:r>
      <w:r w:rsidR="005E4914">
        <w:rPr>
          <w:b/>
          <w:color w:val="660066"/>
          <w:sz w:val="24"/>
          <w:szCs w:val="24"/>
        </w:rPr>
        <w:br/>
      </w:r>
      <w:hyperlink r:id="rId27" w:history="1">
        <w:r w:rsidR="00DD3EDA">
          <w:rPr>
            <w:rStyle w:val="Hyperlink"/>
          </w:rPr>
          <w:t>&lt;</w:t>
        </w:r>
        <w:r w:rsidRPr="001D504F">
          <w:rPr>
            <w:rStyle w:val="Hyperlink"/>
          </w:rPr>
          <w:t>www2.health.vic.gov.au/palliative-care</w:t>
        </w:r>
      </w:hyperlink>
      <w:r w:rsidR="00DD3EDA">
        <w:rPr>
          <w:rStyle w:val="Hyperlink"/>
        </w:rPr>
        <w:t>&gt;</w:t>
      </w:r>
      <w:r>
        <w:t xml:space="preserve"> - for health, human service, social and community sectors</w:t>
      </w:r>
      <w:r w:rsidR="00FF6534">
        <w:t>.</w:t>
      </w:r>
      <w:r w:rsidR="0034416F">
        <w:br/>
      </w:r>
      <w:hyperlink r:id="rId28" w:history="1">
        <w:r w:rsidR="00DD3EDA">
          <w:rPr>
            <w:rStyle w:val="Hyperlink"/>
          </w:rPr>
          <w:t>&lt;</w:t>
        </w:r>
        <w:r w:rsidRPr="001D504F">
          <w:rPr>
            <w:rStyle w:val="Hyperlink"/>
          </w:rPr>
          <w:t>www.betterhealth.vic.gov.au/palliative</w:t>
        </w:r>
      </w:hyperlink>
      <w:r w:rsidR="00DD3EDA">
        <w:rPr>
          <w:rStyle w:val="Hyperlink"/>
        </w:rPr>
        <w:t>&gt;</w:t>
      </w:r>
      <w:r>
        <w:t xml:space="preserve"> - for consumers</w:t>
      </w:r>
      <w:r w:rsidR="00FF6534">
        <w:t>.</w:t>
      </w:r>
    </w:p>
    <w:p w:rsidR="00B2752E" w:rsidRDefault="00F13AB7" w:rsidP="00785098">
      <w:pPr>
        <w:pStyle w:val="DHHSbody"/>
        <w:spacing w:line="120" w:lineRule="atLeast"/>
        <w:rPr>
          <w:i/>
          <w:color w:val="D50032"/>
          <w:sz w:val="14"/>
          <w:szCs w:val="14"/>
        </w:rPr>
      </w:pPr>
      <w:r>
        <w:t>Implementation Advisory Group secretariat,</w:t>
      </w:r>
      <w:r w:rsidR="00C91FCD">
        <w:t xml:space="preserve"> </w:t>
      </w:r>
      <w:r w:rsidRPr="00FF6534">
        <w:rPr>
          <w:i/>
        </w:rPr>
        <w:t>Victoria’s end of li</w:t>
      </w:r>
      <w:r w:rsidR="009C781D">
        <w:rPr>
          <w:i/>
        </w:rPr>
        <w:t>fe and palliative care framework.</w:t>
      </w:r>
      <w:r w:rsidR="00ED3D9F">
        <w:br/>
        <w:t>Telep</w:t>
      </w:r>
      <w:r>
        <w:t>hone 03</w:t>
      </w:r>
      <w:r w:rsidR="005E5E3E">
        <w:t xml:space="preserve"> 9096</w:t>
      </w:r>
      <w:r>
        <w:t>-0509</w:t>
      </w:r>
      <w:r w:rsidR="00C91FCD">
        <w:t xml:space="preserve">, </w:t>
      </w:r>
      <w:r w:rsidR="00ED3D9F" w:rsidRPr="00853A15">
        <w:rPr>
          <w:color w:val="0070C0"/>
        </w:rPr>
        <w:t>&lt;</w:t>
      </w:r>
      <w:hyperlink r:id="rId29" w:history="1">
        <w:r w:rsidRPr="00F13AB7">
          <w:rPr>
            <w:rStyle w:val="Hyperlink"/>
          </w:rPr>
          <w:t>Theresa.Williamson@dhhs.vic.gov.au</w:t>
        </w:r>
      </w:hyperlink>
      <w:r w:rsidR="00ED3D9F">
        <w:rPr>
          <w:rStyle w:val="Hyperlink"/>
        </w:rPr>
        <w:t>&gt;</w:t>
      </w:r>
      <w:r w:rsidR="009C781D">
        <w:rPr>
          <w:rStyle w:val="Hyperlink"/>
        </w:rPr>
        <w:t>,</w:t>
      </w:r>
      <w:r w:rsidR="00DE3211">
        <w:rPr>
          <w:rStyle w:val="Hyperlink"/>
        </w:rPr>
        <w:t xml:space="preserve"> </w:t>
      </w:r>
      <w:r w:rsidR="00ED3D9F">
        <w:rPr>
          <w:rStyle w:val="Hyperlink"/>
        </w:rPr>
        <w:t>&lt;</w:t>
      </w:r>
      <w:hyperlink r:id="rId30" w:history="1">
        <w:r w:rsidRPr="00F13AB7">
          <w:rPr>
            <w:rStyle w:val="Hyperlink"/>
          </w:rPr>
          <w:t>John.Carson@dhhs.vic.gov.au</w:t>
        </w:r>
      </w:hyperlink>
      <w:r w:rsidR="00ED3D9F">
        <w:rPr>
          <w:rStyle w:val="Hyperlink"/>
        </w:rPr>
        <w:t>&gt;</w:t>
      </w:r>
      <w:r w:rsidR="00785098">
        <w:rPr>
          <w:rStyle w:val="Hyperlink"/>
        </w:rPr>
        <w:br/>
      </w:r>
      <w:r w:rsidR="00FF6534">
        <w:rPr>
          <w:rStyle w:val="Hyperlink"/>
        </w:rPr>
        <w:br/>
      </w:r>
      <w:r>
        <w:t xml:space="preserve">Gerard Mansour, </w:t>
      </w:r>
      <w:r w:rsidR="00653FAD">
        <w:br/>
      </w:r>
      <w:r w:rsidRPr="001411A9">
        <w:rPr>
          <w:b/>
        </w:rPr>
        <w:t>Chair</w:t>
      </w:r>
      <w:r w:rsidR="00653FAD">
        <w:rPr>
          <w:b/>
        </w:rPr>
        <w:t>, Implementation Advisory Group,</w:t>
      </w:r>
      <w:r w:rsidR="008338B3">
        <w:rPr>
          <w:b/>
        </w:rPr>
        <w:br/>
      </w:r>
      <w:r w:rsidR="001411A9" w:rsidRPr="001411A9">
        <w:rPr>
          <w:b/>
        </w:rPr>
        <w:t>Commissioner for Senior Victorians</w:t>
      </w:r>
      <w:r w:rsidR="00653FAD">
        <w:rPr>
          <w:b/>
        </w:rPr>
        <w:t>.</w:t>
      </w:r>
      <w:r w:rsidR="005E4914">
        <w:rPr>
          <w:b/>
        </w:rPr>
        <w:br/>
      </w:r>
      <w:r w:rsidR="00785098">
        <w:rPr>
          <w:sz w:val="14"/>
          <w:szCs w:val="14"/>
        </w:rPr>
        <w:br/>
      </w:r>
      <w:r w:rsidR="003077B5" w:rsidRPr="008A3C34">
        <w:rPr>
          <w:sz w:val="14"/>
          <w:szCs w:val="14"/>
        </w:rPr>
        <w:t>To receive this publication in an accessible format phone 03 9096-050</w:t>
      </w:r>
      <w:r w:rsidR="00950A04" w:rsidRPr="008A3C34">
        <w:rPr>
          <w:sz w:val="14"/>
          <w:szCs w:val="14"/>
        </w:rPr>
        <w:t>9</w:t>
      </w:r>
      <w:r w:rsidR="003077B5" w:rsidRPr="008A3C34">
        <w:rPr>
          <w:sz w:val="14"/>
          <w:szCs w:val="14"/>
        </w:rPr>
        <w:t xml:space="preserve"> using the National Relay Service 13 36 77 if required, or email </w:t>
      </w:r>
      <w:hyperlink r:id="rId31" w:history="1">
        <w:r w:rsidR="003077B5" w:rsidRPr="008A3C34">
          <w:rPr>
            <w:rStyle w:val="Hyperlink"/>
            <w:sz w:val="14"/>
            <w:szCs w:val="14"/>
          </w:rPr>
          <w:t>John.Carson@dhhs.vic.gov.au</w:t>
        </w:r>
      </w:hyperlink>
      <w:r w:rsidR="003077B5" w:rsidRPr="008A3C34">
        <w:rPr>
          <w:rStyle w:val="Hyperlink"/>
          <w:sz w:val="14"/>
          <w:szCs w:val="14"/>
        </w:rPr>
        <w:t xml:space="preserve">  </w:t>
      </w:r>
      <w:r w:rsidR="003077B5" w:rsidRPr="008A3C34">
        <w:rPr>
          <w:sz w:val="14"/>
          <w:szCs w:val="14"/>
        </w:rPr>
        <w:t>Authorised and published by the Victorian Government, 1 Treasury Place, Melbourne. © State of Victoria, Department of</w:t>
      </w:r>
      <w:r w:rsidR="006F1DF4">
        <w:rPr>
          <w:sz w:val="14"/>
          <w:szCs w:val="14"/>
        </w:rPr>
        <w:t xml:space="preserve"> Health and Human Services </w:t>
      </w:r>
      <w:r w:rsidR="00FA240A">
        <w:rPr>
          <w:sz w:val="14"/>
          <w:szCs w:val="14"/>
        </w:rPr>
        <w:t>May</w:t>
      </w:r>
      <w:r w:rsidR="003A3427">
        <w:rPr>
          <w:sz w:val="14"/>
          <w:szCs w:val="14"/>
        </w:rPr>
        <w:t xml:space="preserve"> 2018</w:t>
      </w:r>
      <w:r w:rsidR="003077B5" w:rsidRPr="00AD1140">
        <w:rPr>
          <w:sz w:val="14"/>
          <w:szCs w:val="14"/>
        </w:rPr>
        <w:t>. Where</w:t>
      </w:r>
      <w:r w:rsidR="003077B5" w:rsidRPr="008A3C34">
        <w:rPr>
          <w:sz w:val="14"/>
          <w:szCs w:val="14"/>
        </w:rPr>
        <w:t xml:space="preserve"> the term ‘Aboriginal’ is used it refers to both Aboriginal and Torres Strait Islander people. Indigenous is retained when it is part of the title of a report, program or quotation.</w:t>
      </w:r>
      <w:r w:rsidR="00653FAD" w:rsidRPr="008A3C34">
        <w:rPr>
          <w:i/>
          <w:color w:val="D50032"/>
          <w:sz w:val="14"/>
          <w:szCs w:val="14"/>
        </w:rPr>
        <w:t xml:space="preserve"> </w:t>
      </w:r>
    </w:p>
    <w:sectPr w:rsidR="00B2752E" w:rsidSect="00F01E5F">
      <w:type w:val="continuous"/>
      <w:pgSz w:w="11906" w:h="16838" w:code="9"/>
      <w:pgMar w:top="1418" w:right="851" w:bottom="1134" w:left="851" w:header="567" w:footer="510" w:gutter="0"/>
      <w:cols w:space="34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BEB" w:rsidRDefault="00081BEB">
      <w:r>
        <w:separator/>
      </w:r>
    </w:p>
  </w:endnote>
  <w:endnote w:type="continuationSeparator" w:id="0">
    <w:p w:rsidR="00081BEB" w:rsidRDefault="00081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VIC-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Pr="00F65AA9" w:rsidRDefault="00B5361A" w:rsidP="0051568D">
    <w:pPr>
      <w:pStyle w:val="DHHSfooter"/>
    </w:pPr>
    <w:r>
      <w:rPr>
        <w:noProof/>
        <w:lang w:eastAsia="en-AU"/>
      </w:rPr>
      <w:drawing>
        <wp:anchor distT="0" distB="0" distL="114300" distR="114300" simplePos="0" relativeHeight="251657216" behindDoc="0" locked="1" layoutInCell="0" allowOverlap="1" wp14:anchorId="1E3678B1" wp14:editId="2AC0EBB4">
          <wp:simplePos x="0" y="0"/>
          <wp:positionH relativeFrom="page">
            <wp:posOffset>0</wp:posOffset>
          </wp:positionH>
          <wp:positionV relativeFrom="page">
            <wp:posOffset>9901555</wp:posOffset>
          </wp:positionV>
          <wp:extent cx="7561580" cy="791210"/>
          <wp:effectExtent l="0" t="0" r="1270" b="889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Pr="00A11421" w:rsidRDefault="00C92C84" w:rsidP="0051568D">
    <w:pPr>
      <w:pStyle w:val="DHHSfooter"/>
    </w:pPr>
    <w:r>
      <w:t>Communique no.</w:t>
    </w:r>
    <w:r w:rsidR="00293058">
      <w:t xml:space="preserve"> </w:t>
    </w:r>
    <w:r w:rsidR="00FA240A">
      <w:t>6 - May</w:t>
    </w:r>
    <w:r w:rsidR="003A3427">
      <w:t xml:space="preserve"> 2018</w:t>
    </w:r>
    <w:r w:rsidR="009D70A4" w:rsidRPr="00A11421">
      <w:tab/>
    </w:r>
    <w:r w:rsidR="009D70A4" w:rsidRPr="00A11421">
      <w:fldChar w:fldCharType="begin"/>
    </w:r>
    <w:r w:rsidR="009D70A4" w:rsidRPr="00A11421">
      <w:instrText xml:space="preserve"> PAGE </w:instrText>
    </w:r>
    <w:r w:rsidR="009D70A4" w:rsidRPr="00A11421">
      <w:fldChar w:fldCharType="separate"/>
    </w:r>
    <w:r w:rsidR="004A2885">
      <w:rPr>
        <w:noProof/>
      </w:rPr>
      <w:t>2</w:t>
    </w:r>
    <w:r w:rsidR="009D70A4" w:rsidRPr="00A11421">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BEB" w:rsidRDefault="00081BEB" w:rsidP="002862F1">
      <w:pPr>
        <w:spacing w:before="120"/>
      </w:pPr>
      <w:r>
        <w:separator/>
      </w:r>
    </w:p>
  </w:footnote>
  <w:footnote w:type="continuationSeparator" w:id="0">
    <w:p w:rsidR="00081BEB" w:rsidRDefault="00081B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Pr="0051568D" w:rsidRDefault="009D70A4" w:rsidP="0051568D">
    <w:pPr>
      <w:pStyle w:val="DHHS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nsid w:val="0102470A"/>
    <w:multiLevelType w:val="hybridMultilevel"/>
    <w:tmpl w:val="B394D532"/>
    <w:lvl w:ilvl="0" w:tplc="95242774">
      <w:start w:val="1"/>
      <w:numFmt w:val="bullet"/>
      <w:lvlText w:val=""/>
      <w:lvlJc w:val="left"/>
      <w:pPr>
        <w:ind w:left="108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3">
    <w:nsid w:val="067C680E"/>
    <w:multiLevelType w:val="hybridMultilevel"/>
    <w:tmpl w:val="77AC88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6FF17B6"/>
    <w:multiLevelType w:val="hybridMultilevel"/>
    <w:tmpl w:val="C4F0D2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A5C1FC4"/>
    <w:multiLevelType w:val="hybridMultilevel"/>
    <w:tmpl w:val="A15CC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B8D43DB"/>
    <w:multiLevelType w:val="multilevel"/>
    <w:tmpl w:val="4B4E7622"/>
    <w:numStyleLink w:val="ZZNumbers"/>
  </w:abstractNum>
  <w:abstractNum w:abstractNumId="7">
    <w:nsid w:val="14D72F56"/>
    <w:multiLevelType w:val="hybridMultilevel"/>
    <w:tmpl w:val="A0E2B03A"/>
    <w:lvl w:ilvl="0" w:tplc="D6622B04">
      <w:start w:val="1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9440D54"/>
    <w:multiLevelType w:val="hybridMultilevel"/>
    <w:tmpl w:val="070813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C3C4F88"/>
    <w:multiLevelType w:val="hybridMultilevel"/>
    <w:tmpl w:val="A90E32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C4F02CE"/>
    <w:multiLevelType w:val="hybridMultilevel"/>
    <w:tmpl w:val="8E302E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37E75FEC"/>
    <w:multiLevelType w:val="hybridMultilevel"/>
    <w:tmpl w:val="68D4F6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B3F0EB0"/>
    <w:multiLevelType w:val="hybridMultilevel"/>
    <w:tmpl w:val="18BADB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4">
    <w:nsid w:val="52177CDE"/>
    <w:multiLevelType w:val="hybridMultilevel"/>
    <w:tmpl w:val="6E5A0C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6">
    <w:nsid w:val="56AB1ED1"/>
    <w:multiLevelType w:val="hybridMultilevel"/>
    <w:tmpl w:val="1AA21C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48764E3"/>
    <w:multiLevelType w:val="hybridMultilevel"/>
    <w:tmpl w:val="55AAEA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A31366B"/>
    <w:multiLevelType w:val="hybridMultilevel"/>
    <w:tmpl w:val="D8E67B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D4F4526"/>
    <w:multiLevelType w:val="hybridMultilevel"/>
    <w:tmpl w:val="7FFA18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751A4561"/>
    <w:multiLevelType w:val="hybridMultilevel"/>
    <w:tmpl w:val="6346D2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DC4211E"/>
    <w:multiLevelType w:val="hybridMultilevel"/>
    <w:tmpl w:val="A2C6F0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3"/>
  </w:num>
  <w:num w:numId="9">
    <w:abstractNumId w:val="12"/>
  </w:num>
  <w:num w:numId="10">
    <w:abstractNumId w:val="3"/>
  </w:num>
  <w:num w:numId="11">
    <w:abstractNumId w:val="20"/>
  </w:num>
  <w:num w:numId="12">
    <w:abstractNumId w:val="9"/>
  </w:num>
  <w:num w:numId="13">
    <w:abstractNumId w:val="21"/>
  </w:num>
  <w:num w:numId="14">
    <w:abstractNumId w:val="16"/>
  </w:num>
  <w:num w:numId="15">
    <w:abstractNumId w:val="17"/>
  </w:num>
  <w:num w:numId="16">
    <w:abstractNumId w:val="10"/>
  </w:num>
  <w:num w:numId="17">
    <w:abstractNumId w:val="19"/>
  </w:num>
  <w:num w:numId="18">
    <w:abstractNumId w:val="18"/>
  </w:num>
  <w:num w:numId="19">
    <w:abstractNumId w:val="11"/>
  </w:num>
  <w:num w:numId="20">
    <w:abstractNumId w:val="8"/>
  </w:num>
  <w:num w:numId="21">
    <w:abstractNumId w:val="1"/>
  </w:num>
  <w:num w:numId="22">
    <w:abstractNumId w:val="14"/>
  </w:num>
  <w:num w:numId="23">
    <w:abstractNumId w:val="7"/>
  </w:num>
  <w:num w:numId="24">
    <w:abstractNumId w:val="4"/>
  </w:num>
  <w:num w:numId="25">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61A"/>
    <w:rsid w:val="0000280D"/>
    <w:rsid w:val="000063D7"/>
    <w:rsid w:val="000072B6"/>
    <w:rsid w:val="0001021B"/>
    <w:rsid w:val="00011D89"/>
    <w:rsid w:val="0001421F"/>
    <w:rsid w:val="00022259"/>
    <w:rsid w:val="00024D89"/>
    <w:rsid w:val="000250B6"/>
    <w:rsid w:val="00032D0B"/>
    <w:rsid w:val="00033D81"/>
    <w:rsid w:val="00036D0F"/>
    <w:rsid w:val="00041BF0"/>
    <w:rsid w:val="0004536B"/>
    <w:rsid w:val="00046B68"/>
    <w:rsid w:val="000512B4"/>
    <w:rsid w:val="0005245A"/>
    <w:rsid w:val="00052558"/>
    <w:rsid w:val="000527DD"/>
    <w:rsid w:val="00052A77"/>
    <w:rsid w:val="0005581C"/>
    <w:rsid w:val="000578B2"/>
    <w:rsid w:val="00060959"/>
    <w:rsid w:val="00060D0B"/>
    <w:rsid w:val="00065497"/>
    <w:rsid w:val="000663CD"/>
    <w:rsid w:val="000727D1"/>
    <w:rsid w:val="000733FE"/>
    <w:rsid w:val="00074219"/>
    <w:rsid w:val="00074ED5"/>
    <w:rsid w:val="00077B8F"/>
    <w:rsid w:val="00077FF1"/>
    <w:rsid w:val="00081BEB"/>
    <w:rsid w:val="000859E2"/>
    <w:rsid w:val="0009113B"/>
    <w:rsid w:val="00094DA3"/>
    <w:rsid w:val="00096CD1"/>
    <w:rsid w:val="000A012C"/>
    <w:rsid w:val="000A0EB9"/>
    <w:rsid w:val="000A10D7"/>
    <w:rsid w:val="000A186C"/>
    <w:rsid w:val="000B4178"/>
    <w:rsid w:val="000B543D"/>
    <w:rsid w:val="000B5BF7"/>
    <w:rsid w:val="000B6BC8"/>
    <w:rsid w:val="000B77CC"/>
    <w:rsid w:val="000B7D26"/>
    <w:rsid w:val="000C42EA"/>
    <w:rsid w:val="000C4546"/>
    <w:rsid w:val="000C4966"/>
    <w:rsid w:val="000D1242"/>
    <w:rsid w:val="000D13F3"/>
    <w:rsid w:val="000D5AF3"/>
    <w:rsid w:val="000D5E76"/>
    <w:rsid w:val="000D670B"/>
    <w:rsid w:val="000D754E"/>
    <w:rsid w:val="000E1CF4"/>
    <w:rsid w:val="000E3CC7"/>
    <w:rsid w:val="000E69B1"/>
    <w:rsid w:val="000E6BD4"/>
    <w:rsid w:val="000F0CE0"/>
    <w:rsid w:val="000F1F1E"/>
    <w:rsid w:val="000F2259"/>
    <w:rsid w:val="000F5A43"/>
    <w:rsid w:val="0010392D"/>
    <w:rsid w:val="0010447F"/>
    <w:rsid w:val="00104FE3"/>
    <w:rsid w:val="00114633"/>
    <w:rsid w:val="00115227"/>
    <w:rsid w:val="00120BD3"/>
    <w:rsid w:val="00122FEA"/>
    <w:rsid w:val="001232BD"/>
    <w:rsid w:val="00124ED5"/>
    <w:rsid w:val="00124F71"/>
    <w:rsid w:val="00140825"/>
    <w:rsid w:val="001411A9"/>
    <w:rsid w:val="001447B3"/>
    <w:rsid w:val="00145847"/>
    <w:rsid w:val="00146848"/>
    <w:rsid w:val="00150309"/>
    <w:rsid w:val="00152073"/>
    <w:rsid w:val="001522C2"/>
    <w:rsid w:val="00161939"/>
    <w:rsid w:val="00161AA0"/>
    <w:rsid w:val="00162093"/>
    <w:rsid w:val="001771DD"/>
    <w:rsid w:val="00177995"/>
    <w:rsid w:val="00177A8C"/>
    <w:rsid w:val="00186589"/>
    <w:rsid w:val="001865D5"/>
    <w:rsid w:val="00186B33"/>
    <w:rsid w:val="00190471"/>
    <w:rsid w:val="00192F9D"/>
    <w:rsid w:val="00193713"/>
    <w:rsid w:val="00196EB8"/>
    <w:rsid w:val="00196EFB"/>
    <w:rsid w:val="001979FF"/>
    <w:rsid w:val="00197B17"/>
    <w:rsid w:val="001A1654"/>
    <w:rsid w:val="001A3ACE"/>
    <w:rsid w:val="001A5637"/>
    <w:rsid w:val="001B62DC"/>
    <w:rsid w:val="001C1476"/>
    <w:rsid w:val="001C277E"/>
    <w:rsid w:val="001C2A72"/>
    <w:rsid w:val="001C7C21"/>
    <w:rsid w:val="001D0B75"/>
    <w:rsid w:val="001D0E91"/>
    <w:rsid w:val="001D3C09"/>
    <w:rsid w:val="001D44E8"/>
    <w:rsid w:val="001D60EC"/>
    <w:rsid w:val="001D63D2"/>
    <w:rsid w:val="001E2C35"/>
    <w:rsid w:val="001E44DF"/>
    <w:rsid w:val="001E68A5"/>
    <w:rsid w:val="001E6BB0"/>
    <w:rsid w:val="001F3826"/>
    <w:rsid w:val="001F6C31"/>
    <w:rsid w:val="001F6E46"/>
    <w:rsid w:val="001F7C91"/>
    <w:rsid w:val="001F7DCA"/>
    <w:rsid w:val="00200982"/>
    <w:rsid w:val="0020317C"/>
    <w:rsid w:val="00206463"/>
    <w:rsid w:val="00206F2F"/>
    <w:rsid w:val="0021053D"/>
    <w:rsid w:val="00210A92"/>
    <w:rsid w:val="00212850"/>
    <w:rsid w:val="00216C03"/>
    <w:rsid w:val="0021798A"/>
    <w:rsid w:val="00220C04"/>
    <w:rsid w:val="0022278D"/>
    <w:rsid w:val="00226386"/>
    <w:rsid w:val="0022701F"/>
    <w:rsid w:val="002333F5"/>
    <w:rsid w:val="00233724"/>
    <w:rsid w:val="002358AD"/>
    <w:rsid w:val="0023647D"/>
    <w:rsid w:val="002432E1"/>
    <w:rsid w:val="00246207"/>
    <w:rsid w:val="00246C5E"/>
    <w:rsid w:val="00247EFC"/>
    <w:rsid w:val="00250C27"/>
    <w:rsid w:val="00251343"/>
    <w:rsid w:val="00251DA8"/>
    <w:rsid w:val="00254F58"/>
    <w:rsid w:val="002620BC"/>
    <w:rsid w:val="00262802"/>
    <w:rsid w:val="00263A90"/>
    <w:rsid w:val="0026408B"/>
    <w:rsid w:val="0026565F"/>
    <w:rsid w:val="0026721B"/>
    <w:rsid w:val="00267C3E"/>
    <w:rsid w:val="002709BB"/>
    <w:rsid w:val="00275BF3"/>
    <w:rsid w:val="002763B3"/>
    <w:rsid w:val="002802E3"/>
    <w:rsid w:val="0028033A"/>
    <w:rsid w:val="0028213D"/>
    <w:rsid w:val="002862F1"/>
    <w:rsid w:val="002864ED"/>
    <w:rsid w:val="00287FDA"/>
    <w:rsid w:val="00291373"/>
    <w:rsid w:val="00293058"/>
    <w:rsid w:val="0029597D"/>
    <w:rsid w:val="002962C3"/>
    <w:rsid w:val="0029752B"/>
    <w:rsid w:val="002A2EF8"/>
    <w:rsid w:val="002A483C"/>
    <w:rsid w:val="002A4AE4"/>
    <w:rsid w:val="002B02B1"/>
    <w:rsid w:val="002B0346"/>
    <w:rsid w:val="002B159C"/>
    <w:rsid w:val="002B1729"/>
    <w:rsid w:val="002B2CB6"/>
    <w:rsid w:val="002B36C7"/>
    <w:rsid w:val="002B460E"/>
    <w:rsid w:val="002B4DD4"/>
    <w:rsid w:val="002B5277"/>
    <w:rsid w:val="002B5375"/>
    <w:rsid w:val="002B573B"/>
    <w:rsid w:val="002B585E"/>
    <w:rsid w:val="002B77C1"/>
    <w:rsid w:val="002B7B08"/>
    <w:rsid w:val="002C2728"/>
    <w:rsid w:val="002C553E"/>
    <w:rsid w:val="002C6E7D"/>
    <w:rsid w:val="002D32C3"/>
    <w:rsid w:val="002D490D"/>
    <w:rsid w:val="002D5006"/>
    <w:rsid w:val="002E01D0"/>
    <w:rsid w:val="002E161D"/>
    <w:rsid w:val="002E3100"/>
    <w:rsid w:val="002E6C95"/>
    <w:rsid w:val="002E7C36"/>
    <w:rsid w:val="002F006B"/>
    <w:rsid w:val="002F2615"/>
    <w:rsid w:val="002F2DDD"/>
    <w:rsid w:val="002F5C9C"/>
    <w:rsid w:val="002F5F31"/>
    <w:rsid w:val="002F5F46"/>
    <w:rsid w:val="0030032A"/>
    <w:rsid w:val="0030128E"/>
    <w:rsid w:val="00302216"/>
    <w:rsid w:val="003026BC"/>
    <w:rsid w:val="003037C4"/>
    <w:rsid w:val="00303E53"/>
    <w:rsid w:val="00305F8E"/>
    <w:rsid w:val="00306E5F"/>
    <w:rsid w:val="003077B5"/>
    <w:rsid w:val="00307E14"/>
    <w:rsid w:val="00314054"/>
    <w:rsid w:val="00315F85"/>
    <w:rsid w:val="00316F27"/>
    <w:rsid w:val="003225B3"/>
    <w:rsid w:val="00323F78"/>
    <w:rsid w:val="00324BAB"/>
    <w:rsid w:val="00327870"/>
    <w:rsid w:val="00330005"/>
    <w:rsid w:val="00330A96"/>
    <w:rsid w:val="0033259D"/>
    <w:rsid w:val="003341AE"/>
    <w:rsid w:val="00335E56"/>
    <w:rsid w:val="003406C6"/>
    <w:rsid w:val="003418CC"/>
    <w:rsid w:val="0034416F"/>
    <w:rsid w:val="003455A0"/>
    <w:rsid w:val="003459BD"/>
    <w:rsid w:val="003502B3"/>
    <w:rsid w:val="00350D38"/>
    <w:rsid w:val="00351B36"/>
    <w:rsid w:val="0035295D"/>
    <w:rsid w:val="00356240"/>
    <w:rsid w:val="00357B4E"/>
    <w:rsid w:val="00360FF6"/>
    <w:rsid w:val="0036205A"/>
    <w:rsid w:val="003744CF"/>
    <w:rsid w:val="00374717"/>
    <w:rsid w:val="003755C9"/>
    <w:rsid w:val="00375B2C"/>
    <w:rsid w:val="0037676C"/>
    <w:rsid w:val="003829E5"/>
    <w:rsid w:val="00382B3E"/>
    <w:rsid w:val="00384918"/>
    <w:rsid w:val="00386400"/>
    <w:rsid w:val="003866E1"/>
    <w:rsid w:val="003956CC"/>
    <w:rsid w:val="00395C9A"/>
    <w:rsid w:val="003A0176"/>
    <w:rsid w:val="003A1DB1"/>
    <w:rsid w:val="003A3427"/>
    <w:rsid w:val="003A6B67"/>
    <w:rsid w:val="003B15E6"/>
    <w:rsid w:val="003B34D4"/>
    <w:rsid w:val="003B4CA3"/>
    <w:rsid w:val="003C2045"/>
    <w:rsid w:val="003C43A1"/>
    <w:rsid w:val="003C4FC0"/>
    <w:rsid w:val="003C550B"/>
    <w:rsid w:val="003C55F4"/>
    <w:rsid w:val="003C7A3F"/>
    <w:rsid w:val="003D2766"/>
    <w:rsid w:val="003D3E8F"/>
    <w:rsid w:val="003D6475"/>
    <w:rsid w:val="003E0E0D"/>
    <w:rsid w:val="003F0445"/>
    <w:rsid w:val="003F0CF0"/>
    <w:rsid w:val="003F14B1"/>
    <w:rsid w:val="003F2AEA"/>
    <w:rsid w:val="003F3289"/>
    <w:rsid w:val="00400C33"/>
    <w:rsid w:val="00401B7B"/>
    <w:rsid w:val="00401FCF"/>
    <w:rsid w:val="00403BBF"/>
    <w:rsid w:val="00406285"/>
    <w:rsid w:val="004136C6"/>
    <w:rsid w:val="004148F9"/>
    <w:rsid w:val="0041624C"/>
    <w:rsid w:val="0042084E"/>
    <w:rsid w:val="00421EEF"/>
    <w:rsid w:val="00422406"/>
    <w:rsid w:val="00424D65"/>
    <w:rsid w:val="00427780"/>
    <w:rsid w:val="00440CB6"/>
    <w:rsid w:val="00442C6C"/>
    <w:rsid w:val="00442E68"/>
    <w:rsid w:val="00443CBE"/>
    <w:rsid w:val="00443E8A"/>
    <w:rsid w:val="004441BC"/>
    <w:rsid w:val="00445CF7"/>
    <w:rsid w:val="004468B4"/>
    <w:rsid w:val="00447C85"/>
    <w:rsid w:val="0045230A"/>
    <w:rsid w:val="00457337"/>
    <w:rsid w:val="00460A2F"/>
    <w:rsid w:val="004613F9"/>
    <w:rsid w:val="00462107"/>
    <w:rsid w:val="004657D3"/>
    <w:rsid w:val="00467033"/>
    <w:rsid w:val="004675D8"/>
    <w:rsid w:val="0047243A"/>
    <w:rsid w:val="0047372D"/>
    <w:rsid w:val="004743DD"/>
    <w:rsid w:val="00474CEA"/>
    <w:rsid w:val="00476617"/>
    <w:rsid w:val="004805D5"/>
    <w:rsid w:val="00482F0B"/>
    <w:rsid w:val="00483968"/>
    <w:rsid w:val="00484F86"/>
    <w:rsid w:val="00486293"/>
    <w:rsid w:val="00490746"/>
    <w:rsid w:val="00490852"/>
    <w:rsid w:val="00490A9F"/>
    <w:rsid w:val="00492F30"/>
    <w:rsid w:val="004946F4"/>
    <w:rsid w:val="0049487E"/>
    <w:rsid w:val="004A160D"/>
    <w:rsid w:val="004A2885"/>
    <w:rsid w:val="004A3E81"/>
    <w:rsid w:val="004A411D"/>
    <w:rsid w:val="004A5C62"/>
    <w:rsid w:val="004A707D"/>
    <w:rsid w:val="004B04E8"/>
    <w:rsid w:val="004C063B"/>
    <w:rsid w:val="004C0EEE"/>
    <w:rsid w:val="004C253A"/>
    <w:rsid w:val="004C6EEE"/>
    <w:rsid w:val="004C702B"/>
    <w:rsid w:val="004D016B"/>
    <w:rsid w:val="004D1B22"/>
    <w:rsid w:val="004D26B5"/>
    <w:rsid w:val="004D2AC3"/>
    <w:rsid w:val="004D36F2"/>
    <w:rsid w:val="004D7069"/>
    <w:rsid w:val="004E138F"/>
    <w:rsid w:val="004E3870"/>
    <w:rsid w:val="004E4649"/>
    <w:rsid w:val="004E4F24"/>
    <w:rsid w:val="004E5C2B"/>
    <w:rsid w:val="004F00DD"/>
    <w:rsid w:val="004F10EE"/>
    <w:rsid w:val="004F2133"/>
    <w:rsid w:val="004F2D8E"/>
    <w:rsid w:val="004F55F1"/>
    <w:rsid w:val="004F6936"/>
    <w:rsid w:val="00503DC6"/>
    <w:rsid w:val="00505CBE"/>
    <w:rsid w:val="00506234"/>
    <w:rsid w:val="00506F5D"/>
    <w:rsid w:val="005126D0"/>
    <w:rsid w:val="0051568D"/>
    <w:rsid w:val="00520924"/>
    <w:rsid w:val="0052496C"/>
    <w:rsid w:val="00526C15"/>
    <w:rsid w:val="005323FE"/>
    <w:rsid w:val="005361C8"/>
    <w:rsid w:val="00536499"/>
    <w:rsid w:val="00543903"/>
    <w:rsid w:val="00543F11"/>
    <w:rsid w:val="00547A95"/>
    <w:rsid w:val="0055075E"/>
    <w:rsid w:val="00551EB6"/>
    <w:rsid w:val="00557D94"/>
    <w:rsid w:val="00563D44"/>
    <w:rsid w:val="00565279"/>
    <w:rsid w:val="005657DC"/>
    <w:rsid w:val="00572031"/>
    <w:rsid w:val="00575796"/>
    <w:rsid w:val="00576E84"/>
    <w:rsid w:val="00582552"/>
    <w:rsid w:val="00582B8C"/>
    <w:rsid w:val="0058757E"/>
    <w:rsid w:val="00596A4B"/>
    <w:rsid w:val="00597507"/>
    <w:rsid w:val="00597546"/>
    <w:rsid w:val="005A17A9"/>
    <w:rsid w:val="005B21B6"/>
    <w:rsid w:val="005B3A08"/>
    <w:rsid w:val="005B7A63"/>
    <w:rsid w:val="005C0955"/>
    <w:rsid w:val="005C3C0E"/>
    <w:rsid w:val="005C49DA"/>
    <w:rsid w:val="005C50F3"/>
    <w:rsid w:val="005C5D91"/>
    <w:rsid w:val="005D07B8"/>
    <w:rsid w:val="005D0F1A"/>
    <w:rsid w:val="005D6597"/>
    <w:rsid w:val="005D66CC"/>
    <w:rsid w:val="005E14E7"/>
    <w:rsid w:val="005E26A3"/>
    <w:rsid w:val="005E3CC9"/>
    <w:rsid w:val="005E447E"/>
    <w:rsid w:val="005E4914"/>
    <w:rsid w:val="005E564D"/>
    <w:rsid w:val="005E5E3E"/>
    <w:rsid w:val="005F0775"/>
    <w:rsid w:val="005F0CF5"/>
    <w:rsid w:val="005F21EB"/>
    <w:rsid w:val="006015E7"/>
    <w:rsid w:val="00605908"/>
    <w:rsid w:val="0060647A"/>
    <w:rsid w:val="00610D7C"/>
    <w:rsid w:val="00613414"/>
    <w:rsid w:val="00615F22"/>
    <w:rsid w:val="00616AE9"/>
    <w:rsid w:val="00620C08"/>
    <w:rsid w:val="0062408D"/>
    <w:rsid w:val="006240CC"/>
    <w:rsid w:val="00625078"/>
    <w:rsid w:val="00627DA7"/>
    <w:rsid w:val="006358B4"/>
    <w:rsid w:val="006373E6"/>
    <w:rsid w:val="00640CF6"/>
    <w:rsid w:val="006419AA"/>
    <w:rsid w:val="00644B7E"/>
    <w:rsid w:val="006454E6"/>
    <w:rsid w:val="00646A68"/>
    <w:rsid w:val="0065092E"/>
    <w:rsid w:val="00651D74"/>
    <w:rsid w:val="00653FAD"/>
    <w:rsid w:val="006557A7"/>
    <w:rsid w:val="00655C79"/>
    <w:rsid w:val="00656290"/>
    <w:rsid w:val="006621D7"/>
    <w:rsid w:val="0066302A"/>
    <w:rsid w:val="00664E09"/>
    <w:rsid w:val="006665FF"/>
    <w:rsid w:val="006674AA"/>
    <w:rsid w:val="00670597"/>
    <w:rsid w:val="006706D0"/>
    <w:rsid w:val="00677574"/>
    <w:rsid w:val="00677736"/>
    <w:rsid w:val="00682046"/>
    <w:rsid w:val="0068454C"/>
    <w:rsid w:val="00691B62"/>
    <w:rsid w:val="006933B5"/>
    <w:rsid w:val="006939E2"/>
    <w:rsid w:val="00693D14"/>
    <w:rsid w:val="00695B47"/>
    <w:rsid w:val="00696204"/>
    <w:rsid w:val="006A18C2"/>
    <w:rsid w:val="006A7DEB"/>
    <w:rsid w:val="006A7FE1"/>
    <w:rsid w:val="006B077C"/>
    <w:rsid w:val="006B2353"/>
    <w:rsid w:val="006B6803"/>
    <w:rsid w:val="006B6F6B"/>
    <w:rsid w:val="006C6A91"/>
    <w:rsid w:val="006D066F"/>
    <w:rsid w:val="006D1594"/>
    <w:rsid w:val="006D2A3F"/>
    <w:rsid w:val="006D2FBC"/>
    <w:rsid w:val="006D5F23"/>
    <w:rsid w:val="006E138B"/>
    <w:rsid w:val="006E343E"/>
    <w:rsid w:val="006E4BDD"/>
    <w:rsid w:val="006E5B31"/>
    <w:rsid w:val="006F1DF4"/>
    <w:rsid w:val="006F1FDC"/>
    <w:rsid w:val="006F2606"/>
    <w:rsid w:val="007013EF"/>
    <w:rsid w:val="007058E4"/>
    <w:rsid w:val="00710CCC"/>
    <w:rsid w:val="0071735B"/>
    <w:rsid w:val="007173CA"/>
    <w:rsid w:val="007216AA"/>
    <w:rsid w:val="00721AB5"/>
    <w:rsid w:val="00721DEF"/>
    <w:rsid w:val="007244D2"/>
    <w:rsid w:val="00724A43"/>
    <w:rsid w:val="007346E4"/>
    <w:rsid w:val="00734AA2"/>
    <w:rsid w:val="00740F22"/>
    <w:rsid w:val="00741F1A"/>
    <w:rsid w:val="007450F8"/>
    <w:rsid w:val="007467CA"/>
    <w:rsid w:val="0074696E"/>
    <w:rsid w:val="00750135"/>
    <w:rsid w:val="00750EC2"/>
    <w:rsid w:val="00752B28"/>
    <w:rsid w:val="00753703"/>
    <w:rsid w:val="0075455A"/>
    <w:rsid w:val="00754E36"/>
    <w:rsid w:val="007610D4"/>
    <w:rsid w:val="00761BE6"/>
    <w:rsid w:val="00763139"/>
    <w:rsid w:val="00763A3F"/>
    <w:rsid w:val="007644A6"/>
    <w:rsid w:val="00766AAC"/>
    <w:rsid w:val="00770495"/>
    <w:rsid w:val="00770F37"/>
    <w:rsid w:val="007711A0"/>
    <w:rsid w:val="00772D5E"/>
    <w:rsid w:val="007743E8"/>
    <w:rsid w:val="00776928"/>
    <w:rsid w:val="0078117B"/>
    <w:rsid w:val="00785098"/>
    <w:rsid w:val="00785677"/>
    <w:rsid w:val="00786F16"/>
    <w:rsid w:val="00795D2C"/>
    <w:rsid w:val="00796E20"/>
    <w:rsid w:val="007976F1"/>
    <w:rsid w:val="00797C32"/>
    <w:rsid w:val="007A0E6B"/>
    <w:rsid w:val="007B0914"/>
    <w:rsid w:val="007B1374"/>
    <w:rsid w:val="007B5495"/>
    <w:rsid w:val="007B589F"/>
    <w:rsid w:val="007B6186"/>
    <w:rsid w:val="007B6DB2"/>
    <w:rsid w:val="007B6E0F"/>
    <w:rsid w:val="007B73BC"/>
    <w:rsid w:val="007C0037"/>
    <w:rsid w:val="007C20B9"/>
    <w:rsid w:val="007C4C9F"/>
    <w:rsid w:val="007C7301"/>
    <w:rsid w:val="007C7859"/>
    <w:rsid w:val="007D0E4E"/>
    <w:rsid w:val="007D2BDE"/>
    <w:rsid w:val="007D2FB6"/>
    <w:rsid w:val="007D3B97"/>
    <w:rsid w:val="007E0DE2"/>
    <w:rsid w:val="007E3B98"/>
    <w:rsid w:val="007F22EE"/>
    <w:rsid w:val="007F31B6"/>
    <w:rsid w:val="007F546C"/>
    <w:rsid w:val="007F625F"/>
    <w:rsid w:val="007F665E"/>
    <w:rsid w:val="00800412"/>
    <w:rsid w:val="0080587B"/>
    <w:rsid w:val="00806468"/>
    <w:rsid w:val="008155F0"/>
    <w:rsid w:val="00816735"/>
    <w:rsid w:val="0081793D"/>
    <w:rsid w:val="00820141"/>
    <w:rsid w:val="00820E0C"/>
    <w:rsid w:val="0082120D"/>
    <w:rsid w:val="00821D5B"/>
    <w:rsid w:val="00824E57"/>
    <w:rsid w:val="00830997"/>
    <w:rsid w:val="008311FC"/>
    <w:rsid w:val="008338A2"/>
    <w:rsid w:val="008338B3"/>
    <w:rsid w:val="008341A9"/>
    <w:rsid w:val="00834CA4"/>
    <w:rsid w:val="00841293"/>
    <w:rsid w:val="00841AA9"/>
    <w:rsid w:val="0084226B"/>
    <w:rsid w:val="00844452"/>
    <w:rsid w:val="00853A15"/>
    <w:rsid w:val="00853E42"/>
    <w:rsid w:val="00853EE4"/>
    <w:rsid w:val="00855535"/>
    <w:rsid w:val="00860FDB"/>
    <w:rsid w:val="0086255E"/>
    <w:rsid w:val="008633F0"/>
    <w:rsid w:val="0086615B"/>
    <w:rsid w:val="00867D9D"/>
    <w:rsid w:val="00872E0A"/>
    <w:rsid w:val="00873489"/>
    <w:rsid w:val="00874E08"/>
    <w:rsid w:val="00875285"/>
    <w:rsid w:val="008753F2"/>
    <w:rsid w:val="00884B62"/>
    <w:rsid w:val="0088529C"/>
    <w:rsid w:val="00887903"/>
    <w:rsid w:val="0089270A"/>
    <w:rsid w:val="00893AF6"/>
    <w:rsid w:val="00894BC4"/>
    <w:rsid w:val="008A24D6"/>
    <w:rsid w:val="008A3C34"/>
    <w:rsid w:val="008A4DA0"/>
    <w:rsid w:val="008A5B32"/>
    <w:rsid w:val="008B0253"/>
    <w:rsid w:val="008B2EE4"/>
    <w:rsid w:val="008B460C"/>
    <w:rsid w:val="008B4D3D"/>
    <w:rsid w:val="008B57C7"/>
    <w:rsid w:val="008B642A"/>
    <w:rsid w:val="008B7B34"/>
    <w:rsid w:val="008C2F92"/>
    <w:rsid w:val="008D2846"/>
    <w:rsid w:val="008D4236"/>
    <w:rsid w:val="008D462F"/>
    <w:rsid w:val="008D6DCF"/>
    <w:rsid w:val="008E0091"/>
    <w:rsid w:val="008E4376"/>
    <w:rsid w:val="008E7A0A"/>
    <w:rsid w:val="008F10C4"/>
    <w:rsid w:val="00900719"/>
    <w:rsid w:val="009017AC"/>
    <w:rsid w:val="009025E2"/>
    <w:rsid w:val="00904A1C"/>
    <w:rsid w:val="00905030"/>
    <w:rsid w:val="00906490"/>
    <w:rsid w:val="0091004B"/>
    <w:rsid w:val="009111B2"/>
    <w:rsid w:val="0091623D"/>
    <w:rsid w:val="0092127F"/>
    <w:rsid w:val="0092435F"/>
    <w:rsid w:val="00924AE1"/>
    <w:rsid w:val="009269B1"/>
    <w:rsid w:val="0092724D"/>
    <w:rsid w:val="00936669"/>
    <w:rsid w:val="0093683F"/>
    <w:rsid w:val="00937BD9"/>
    <w:rsid w:val="00950A04"/>
    <w:rsid w:val="00950E2C"/>
    <w:rsid w:val="00951D50"/>
    <w:rsid w:val="009525EB"/>
    <w:rsid w:val="00954874"/>
    <w:rsid w:val="00961400"/>
    <w:rsid w:val="00963646"/>
    <w:rsid w:val="00963D24"/>
    <w:rsid w:val="00963F18"/>
    <w:rsid w:val="0097129E"/>
    <w:rsid w:val="00972B6B"/>
    <w:rsid w:val="009743A7"/>
    <w:rsid w:val="009745D7"/>
    <w:rsid w:val="00980E7C"/>
    <w:rsid w:val="009853E1"/>
    <w:rsid w:val="00986347"/>
    <w:rsid w:val="00986A60"/>
    <w:rsid w:val="00986E6B"/>
    <w:rsid w:val="00990583"/>
    <w:rsid w:val="009905C7"/>
    <w:rsid w:val="00991769"/>
    <w:rsid w:val="009921EA"/>
    <w:rsid w:val="00994386"/>
    <w:rsid w:val="009A0E1F"/>
    <w:rsid w:val="009A13D8"/>
    <w:rsid w:val="009A14F8"/>
    <w:rsid w:val="009A279E"/>
    <w:rsid w:val="009B0A6F"/>
    <w:rsid w:val="009B0A94"/>
    <w:rsid w:val="009B1555"/>
    <w:rsid w:val="009B59E9"/>
    <w:rsid w:val="009B70AA"/>
    <w:rsid w:val="009C5E77"/>
    <w:rsid w:val="009C781D"/>
    <w:rsid w:val="009C7A7E"/>
    <w:rsid w:val="009D02E8"/>
    <w:rsid w:val="009D51D0"/>
    <w:rsid w:val="009D70A4"/>
    <w:rsid w:val="009E08D1"/>
    <w:rsid w:val="009E1B95"/>
    <w:rsid w:val="009E2100"/>
    <w:rsid w:val="009E3F71"/>
    <w:rsid w:val="009E496F"/>
    <w:rsid w:val="009E4B0D"/>
    <w:rsid w:val="009E7F92"/>
    <w:rsid w:val="009F02A3"/>
    <w:rsid w:val="009F2F27"/>
    <w:rsid w:val="009F34AA"/>
    <w:rsid w:val="009F3F77"/>
    <w:rsid w:val="009F48A6"/>
    <w:rsid w:val="009F6BCB"/>
    <w:rsid w:val="009F6E5D"/>
    <w:rsid w:val="009F7004"/>
    <w:rsid w:val="009F7952"/>
    <w:rsid w:val="009F7B78"/>
    <w:rsid w:val="00A0057A"/>
    <w:rsid w:val="00A11421"/>
    <w:rsid w:val="00A14FC4"/>
    <w:rsid w:val="00A157B1"/>
    <w:rsid w:val="00A22229"/>
    <w:rsid w:val="00A227F3"/>
    <w:rsid w:val="00A23620"/>
    <w:rsid w:val="00A335D4"/>
    <w:rsid w:val="00A4042D"/>
    <w:rsid w:val="00A41442"/>
    <w:rsid w:val="00A41E33"/>
    <w:rsid w:val="00A44882"/>
    <w:rsid w:val="00A50EBB"/>
    <w:rsid w:val="00A50F91"/>
    <w:rsid w:val="00A510EC"/>
    <w:rsid w:val="00A54715"/>
    <w:rsid w:val="00A6061C"/>
    <w:rsid w:val="00A62D44"/>
    <w:rsid w:val="00A63AB4"/>
    <w:rsid w:val="00A63F41"/>
    <w:rsid w:val="00A6578F"/>
    <w:rsid w:val="00A67263"/>
    <w:rsid w:val="00A676DB"/>
    <w:rsid w:val="00A70AF7"/>
    <w:rsid w:val="00A7161C"/>
    <w:rsid w:val="00A774B5"/>
    <w:rsid w:val="00A77AA3"/>
    <w:rsid w:val="00A82DEB"/>
    <w:rsid w:val="00A854EB"/>
    <w:rsid w:val="00A85A70"/>
    <w:rsid w:val="00A872E5"/>
    <w:rsid w:val="00A91406"/>
    <w:rsid w:val="00A937EB"/>
    <w:rsid w:val="00A96E65"/>
    <w:rsid w:val="00A97C72"/>
    <w:rsid w:val="00AA5FE0"/>
    <w:rsid w:val="00AA63D4"/>
    <w:rsid w:val="00AB06E8"/>
    <w:rsid w:val="00AB1CD3"/>
    <w:rsid w:val="00AB352F"/>
    <w:rsid w:val="00AB520E"/>
    <w:rsid w:val="00AC274B"/>
    <w:rsid w:val="00AC2C42"/>
    <w:rsid w:val="00AC4764"/>
    <w:rsid w:val="00AC647C"/>
    <w:rsid w:val="00AC6D36"/>
    <w:rsid w:val="00AC7016"/>
    <w:rsid w:val="00AD0CBA"/>
    <w:rsid w:val="00AD1140"/>
    <w:rsid w:val="00AD1A0D"/>
    <w:rsid w:val="00AD26E2"/>
    <w:rsid w:val="00AD2974"/>
    <w:rsid w:val="00AD2EAE"/>
    <w:rsid w:val="00AD3AB7"/>
    <w:rsid w:val="00AD58FC"/>
    <w:rsid w:val="00AD784C"/>
    <w:rsid w:val="00AE126A"/>
    <w:rsid w:val="00AE3005"/>
    <w:rsid w:val="00AE3BD5"/>
    <w:rsid w:val="00AE59A0"/>
    <w:rsid w:val="00AE6789"/>
    <w:rsid w:val="00AF00E2"/>
    <w:rsid w:val="00AF0C57"/>
    <w:rsid w:val="00AF26F3"/>
    <w:rsid w:val="00AF5F04"/>
    <w:rsid w:val="00AF6AC9"/>
    <w:rsid w:val="00B00672"/>
    <w:rsid w:val="00B01B4D"/>
    <w:rsid w:val="00B06571"/>
    <w:rsid w:val="00B068BA"/>
    <w:rsid w:val="00B13851"/>
    <w:rsid w:val="00B13B1C"/>
    <w:rsid w:val="00B16889"/>
    <w:rsid w:val="00B22291"/>
    <w:rsid w:val="00B23F9A"/>
    <w:rsid w:val="00B2417B"/>
    <w:rsid w:val="00B24E6F"/>
    <w:rsid w:val="00B25A1A"/>
    <w:rsid w:val="00B26CB5"/>
    <w:rsid w:val="00B26FEA"/>
    <w:rsid w:val="00B2752E"/>
    <w:rsid w:val="00B307CC"/>
    <w:rsid w:val="00B326B7"/>
    <w:rsid w:val="00B419B7"/>
    <w:rsid w:val="00B431E8"/>
    <w:rsid w:val="00B43F48"/>
    <w:rsid w:val="00B45141"/>
    <w:rsid w:val="00B5273A"/>
    <w:rsid w:val="00B53448"/>
    <w:rsid w:val="00B5361A"/>
    <w:rsid w:val="00B57329"/>
    <w:rsid w:val="00B62B50"/>
    <w:rsid w:val="00B635B7"/>
    <w:rsid w:val="00B63AE8"/>
    <w:rsid w:val="00B65950"/>
    <w:rsid w:val="00B66339"/>
    <w:rsid w:val="00B66D83"/>
    <w:rsid w:val="00B672C0"/>
    <w:rsid w:val="00B75646"/>
    <w:rsid w:val="00B81065"/>
    <w:rsid w:val="00B84FAD"/>
    <w:rsid w:val="00B90729"/>
    <w:rsid w:val="00B907DA"/>
    <w:rsid w:val="00B930D8"/>
    <w:rsid w:val="00B950BC"/>
    <w:rsid w:val="00B9714C"/>
    <w:rsid w:val="00BA040E"/>
    <w:rsid w:val="00BA3F8D"/>
    <w:rsid w:val="00BB7A10"/>
    <w:rsid w:val="00BC0B59"/>
    <w:rsid w:val="00BC4CBF"/>
    <w:rsid w:val="00BC576E"/>
    <w:rsid w:val="00BC7468"/>
    <w:rsid w:val="00BC7D4F"/>
    <w:rsid w:val="00BC7ED7"/>
    <w:rsid w:val="00BD2850"/>
    <w:rsid w:val="00BD3A2D"/>
    <w:rsid w:val="00BD4FBD"/>
    <w:rsid w:val="00BD542F"/>
    <w:rsid w:val="00BD6BCF"/>
    <w:rsid w:val="00BD7471"/>
    <w:rsid w:val="00BE11DA"/>
    <w:rsid w:val="00BE28D2"/>
    <w:rsid w:val="00BE4A64"/>
    <w:rsid w:val="00BE5129"/>
    <w:rsid w:val="00BF1A43"/>
    <w:rsid w:val="00BF3632"/>
    <w:rsid w:val="00BF6A6F"/>
    <w:rsid w:val="00BF7F58"/>
    <w:rsid w:val="00C01381"/>
    <w:rsid w:val="00C029B2"/>
    <w:rsid w:val="00C079B8"/>
    <w:rsid w:val="00C11D28"/>
    <w:rsid w:val="00C123EA"/>
    <w:rsid w:val="00C12A49"/>
    <w:rsid w:val="00C133EE"/>
    <w:rsid w:val="00C13BF7"/>
    <w:rsid w:val="00C15949"/>
    <w:rsid w:val="00C17CCF"/>
    <w:rsid w:val="00C17CDD"/>
    <w:rsid w:val="00C220FD"/>
    <w:rsid w:val="00C2758D"/>
    <w:rsid w:val="00C27DE9"/>
    <w:rsid w:val="00C33146"/>
    <w:rsid w:val="00C33388"/>
    <w:rsid w:val="00C3494B"/>
    <w:rsid w:val="00C35484"/>
    <w:rsid w:val="00C36F25"/>
    <w:rsid w:val="00C37128"/>
    <w:rsid w:val="00C40C10"/>
    <w:rsid w:val="00C40C1A"/>
    <w:rsid w:val="00C4173A"/>
    <w:rsid w:val="00C469E5"/>
    <w:rsid w:val="00C47616"/>
    <w:rsid w:val="00C53DA4"/>
    <w:rsid w:val="00C602FF"/>
    <w:rsid w:val="00C61174"/>
    <w:rsid w:val="00C6148F"/>
    <w:rsid w:val="00C61ED7"/>
    <w:rsid w:val="00C62F7A"/>
    <w:rsid w:val="00C63935"/>
    <w:rsid w:val="00C63A4F"/>
    <w:rsid w:val="00C63B9C"/>
    <w:rsid w:val="00C662C5"/>
    <w:rsid w:val="00C66744"/>
    <w:rsid w:val="00C6682F"/>
    <w:rsid w:val="00C71D2D"/>
    <w:rsid w:val="00C7275E"/>
    <w:rsid w:val="00C742EE"/>
    <w:rsid w:val="00C74C5D"/>
    <w:rsid w:val="00C75564"/>
    <w:rsid w:val="00C863C4"/>
    <w:rsid w:val="00C91FCD"/>
    <w:rsid w:val="00C92C84"/>
    <w:rsid w:val="00C93C3E"/>
    <w:rsid w:val="00C970DA"/>
    <w:rsid w:val="00CA12E3"/>
    <w:rsid w:val="00CA3E1F"/>
    <w:rsid w:val="00CA4312"/>
    <w:rsid w:val="00CA4826"/>
    <w:rsid w:val="00CA6611"/>
    <w:rsid w:val="00CA6AE6"/>
    <w:rsid w:val="00CA782F"/>
    <w:rsid w:val="00CB1755"/>
    <w:rsid w:val="00CB3285"/>
    <w:rsid w:val="00CB6C85"/>
    <w:rsid w:val="00CC0C72"/>
    <w:rsid w:val="00CC2BFD"/>
    <w:rsid w:val="00CC50EC"/>
    <w:rsid w:val="00CC6B30"/>
    <w:rsid w:val="00CD0181"/>
    <w:rsid w:val="00CD3476"/>
    <w:rsid w:val="00CD64DF"/>
    <w:rsid w:val="00CD678A"/>
    <w:rsid w:val="00CF2F50"/>
    <w:rsid w:val="00CF379C"/>
    <w:rsid w:val="00CF3EAD"/>
    <w:rsid w:val="00CF48D8"/>
    <w:rsid w:val="00D02919"/>
    <w:rsid w:val="00D04C61"/>
    <w:rsid w:val="00D05B8D"/>
    <w:rsid w:val="00D065A2"/>
    <w:rsid w:val="00D07F00"/>
    <w:rsid w:val="00D1265C"/>
    <w:rsid w:val="00D16DBC"/>
    <w:rsid w:val="00D17B72"/>
    <w:rsid w:val="00D2296C"/>
    <w:rsid w:val="00D23C11"/>
    <w:rsid w:val="00D25BF7"/>
    <w:rsid w:val="00D30254"/>
    <w:rsid w:val="00D3185C"/>
    <w:rsid w:val="00D33E72"/>
    <w:rsid w:val="00D35BD6"/>
    <w:rsid w:val="00D361B5"/>
    <w:rsid w:val="00D40B39"/>
    <w:rsid w:val="00D411A2"/>
    <w:rsid w:val="00D41EA0"/>
    <w:rsid w:val="00D4560B"/>
    <w:rsid w:val="00D4606D"/>
    <w:rsid w:val="00D4710C"/>
    <w:rsid w:val="00D509C8"/>
    <w:rsid w:val="00D50B9C"/>
    <w:rsid w:val="00D51F59"/>
    <w:rsid w:val="00D52D73"/>
    <w:rsid w:val="00D52E58"/>
    <w:rsid w:val="00D554C0"/>
    <w:rsid w:val="00D62BCE"/>
    <w:rsid w:val="00D714CC"/>
    <w:rsid w:val="00D71E3E"/>
    <w:rsid w:val="00D75EA7"/>
    <w:rsid w:val="00D76DF6"/>
    <w:rsid w:val="00D81F21"/>
    <w:rsid w:val="00D93272"/>
    <w:rsid w:val="00D95470"/>
    <w:rsid w:val="00D958E3"/>
    <w:rsid w:val="00D96825"/>
    <w:rsid w:val="00DA2619"/>
    <w:rsid w:val="00DA4239"/>
    <w:rsid w:val="00DB0B61"/>
    <w:rsid w:val="00DC090B"/>
    <w:rsid w:val="00DC1679"/>
    <w:rsid w:val="00DC2566"/>
    <w:rsid w:val="00DC2CF1"/>
    <w:rsid w:val="00DC4FCF"/>
    <w:rsid w:val="00DC50E0"/>
    <w:rsid w:val="00DC6386"/>
    <w:rsid w:val="00DD1130"/>
    <w:rsid w:val="00DD1951"/>
    <w:rsid w:val="00DD3880"/>
    <w:rsid w:val="00DD39EA"/>
    <w:rsid w:val="00DD3EDA"/>
    <w:rsid w:val="00DD6628"/>
    <w:rsid w:val="00DE3211"/>
    <w:rsid w:val="00DE3250"/>
    <w:rsid w:val="00DE6028"/>
    <w:rsid w:val="00DE70AA"/>
    <w:rsid w:val="00DE78A3"/>
    <w:rsid w:val="00DF08BD"/>
    <w:rsid w:val="00DF1173"/>
    <w:rsid w:val="00DF1A71"/>
    <w:rsid w:val="00DF68C7"/>
    <w:rsid w:val="00DF731A"/>
    <w:rsid w:val="00E02C8C"/>
    <w:rsid w:val="00E10E9C"/>
    <w:rsid w:val="00E116D5"/>
    <w:rsid w:val="00E13E9B"/>
    <w:rsid w:val="00E14074"/>
    <w:rsid w:val="00E170DC"/>
    <w:rsid w:val="00E1791B"/>
    <w:rsid w:val="00E17CFB"/>
    <w:rsid w:val="00E17F80"/>
    <w:rsid w:val="00E201C6"/>
    <w:rsid w:val="00E219D9"/>
    <w:rsid w:val="00E23B75"/>
    <w:rsid w:val="00E26818"/>
    <w:rsid w:val="00E27FFC"/>
    <w:rsid w:val="00E30B15"/>
    <w:rsid w:val="00E40181"/>
    <w:rsid w:val="00E5318B"/>
    <w:rsid w:val="00E56A01"/>
    <w:rsid w:val="00E629A1"/>
    <w:rsid w:val="00E63A8E"/>
    <w:rsid w:val="00E64360"/>
    <w:rsid w:val="00E6439B"/>
    <w:rsid w:val="00E653A7"/>
    <w:rsid w:val="00E6794C"/>
    <w:rsid w:val="00E71591"/>
    <w:rsid w:val="00E80034"/>
    <w:rsid w:val="00E82C55"/>
    <w:rsid w:val="00E83E18"/>
    <w:rsid w:val="00E86B5B"/>
    <w:rsid w:val="00E90946"/>
    <w:rsid w:val="00E92AC3"/>
    <w:rsid w:val="00EA0198"/>
    <w:rsid w:val="00EA3717"/>
    <w:rsid w:val="00EB00E0"/>
    <w:rsid w:val="00EB0BE6"/>
    <w:rsid w:val="00EB278B"/>
    <w:rsid w:val="00EB7AFF"/>
    <w:rsid w:val="00EC059F"/>
    <w:rsid w:val="00EC1F24"/>
    <w:rsid w:val="00EC22F6"/>
    <w:rsid w:val="00EC3624"/>
    <w:rsid w:val="00EC36B8"/>
    <w:rsid w:val="00EC3889"/>
    <w:rsid w:val="00ED0E0C"/>
    <w:rsid w:val="00ED3D9F"/>
    <w:rsid w:val="00ED47F4"/>
    <w:rsid w:val="00ED5B9B"/>
    <w:rsid w:val="00ED6BAD"/>
    <w:rsid w:val="00ED6BEB"/>
    <w:rsid w:val="00ED7447"/>
    <w:rsid w:val="00EE01A8"/>
    <w:rsid w:val="00EE1488"/>
    <w:rsid w:val="00EE4D5D"/>
    <w:rsid w:val="00EE5131"/>
    <w:rsid w:val="00EF0806"/>
    <w:rsid w:val="00EF109B"/>
    <w:rsid w:val="00EF32B1"/>
    <w:rsid w:val="00EF36AF"/>
    <w:rsid w:val="00EF4C4C"/>
    <w:rsid w:val="00F00F9C"/>
    <w:rsid w:val="00F01464"/>
    <w:rsid w:val="00F01E5F"/>
    <w:rsid w:val="00F02ABA"/>
    <w:rsid w:val="00F03CCE"/>
    <w:rsid w:val="00F0437A"/>
    <w:rsid w:val="00F05DE8"/>
    <w:rsid w:val="00F11037"/>
    <w:rsid w:val="00F12635"/>
    <w:rsid w:val="00F13AB7"/>
    <w:rsid w:val="00F16F1B"/>
    <w:rsid w:val="00F213CA"/>
    <w:rsid w:val="00F250A9"/>
    <w:rsid w:val="00F25971"/>
    <w:rsid w:val="00F26D2A"/>
    <w:rsid w:val="00F30FF4"/>
    <w:rsid w:val="00F3122E"/>
    <w:rsid w:val="00F331AD"/>
    <w:rsid w:val="00F337B3"/>
    <w:rsid w:val="00F33F5B"/>
    <w:rsid w:val="00F35287"/>
    <w:rsid w:val="00F40DE3"/>
    <w:rsid w:val="00F43A37"/>
    <w:rsid w:val="00F4641B"/>
    <w:rsid w:val="00F46EB8"/>
    <w:rsid w:val="00F511E4"/>
    <w:rsid w:val="00F52D09"/>
    <w:rsid w:val="00F52E08"/>
    <w:rsid w:val="00F53484"/>
    <w:rsid w:val="00F5472E"/>
    <w:rsid w:val="00F55B21"/>
    <w:rsid w:val="00F56EF6"/>
    <w:rsid w:val="00F61A9F"/>
    <w:rsid w:val="00F61F5C"/>
    <w:rsid w:val="00F64696"/>
    <w:rsid w:val="00F6487F"/>
    <w:rsid w:val="00F65AA9"/>
    <w:rsid w:val="00F6768F"/>
    <w:rsid w:val="00F72C2C"/>
    <w:rsid w:val="00F75102"/>
    <w:rsid w:val="00F76CAB"/>
    <w:rsid w:val="00F772C6"/>
    <w:rsid w:val="00F8047B"/>
    <w:rsid w:val="00F815B5"/>
    <w:rsid w:val="00F83E6F"/>
    <w:rsid w:val="00F84036"/>
    <w:rsid w:val="00F85195"/>
    <w:rsid w:val="00F938BA"/>
    <w:rsid w:val="00F944E1"/>
    <w:rsid w:val="00FA0235"/>
    <w:rsid w:val="00FA1292"/>
    <w:rsid w:val="00FA1CD1"/>
    <w:rsid w:val="00FA240A"/>
    <w:rsid w:val="00FA2C46"/>
    <w:rsid w:val="00FA3525"/>
    <w:rsid w:val="00FA74F7"/>
    <w:rsid w:val="00FB1298"/>
    <w:rsid w:val="00FB4769"/>
    <w:rsid w:val="00FB4CDA"/>
    <w:rsid w:val="00FB6D95"/>
    <w:rsid w:val="00FC0F81"/>
    <w:rsid w:val="00FC100C"/>
    <w:rsid w:val="00FC395C"/>
    <w:rsid w:val="00FC6F1F"/>
    <w:rsid w:val="00FD03FF"/>
    <w:rsid w:val="00FD3766"/>
    <w:rsid w:val="00FD3C5F"/>
    <w:rsid w:val="00FD47C4"/>
    <w:rsid w:val="00FD569F"/>
    <w:rsid w:val="00FE21CF"/>
    <w:rsid w:val="00FE2DCF"/>
    <w:rsid w:val="00FE3D66"/>
    <w:rsid w:val="00FF04FE"/>
    <w:rsid w:val="00FF2FCE"/>
    <w:rsid w:val="00FF4F7D"/>
    <w:rsid w:val="00FF6534"/>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
    <w:lsdException w:name="caption" w:uiPriority="35" w:qFormat="1"/>
    <w:lsdException w:name="footnote reference" w:uiPriority="8"/>
    <w:lsdException w:name="Title" w:uiPriority="10" w:unhideWhenUsed="0" w:qFormat="1"/>
    <w:lsdException w:name="Default Paragraph Font" w:uiPriority="1"/>
    <w:lsdException w:name="Subtitle" w:uiPriority="11" w:unhideWhenUsed="0" w:qFormat="1"/>
    <w:lsdException w:name="FollowedHyperlink" w:semiHidden="0" w:unhideWhenUsed="0"/>
    <w:lsdException w:name="Strong" w:semiHidden="0" w:uiPriority="22" w:unhideWhenUsed="0" w:qFormat="1"/>
    <w:lsdException w:name="Emphasis" w:semiHidden="0" w:uiPriority="20" w:unhideWhenUsed="0"/>
    <w:lsdException w:name="Table Grid" w:semiHidden="0" w:uiPriority="59" w:unhideWhenUsed="0"/>
    <w:lsdException w:name="No Spacing"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uiPriority="72" w:unhideWhenUsed="0" w:qFormat="1"/>
    <w:lsdException w:name="Quote" w:uiPriority="73" w:unhideWhenUsed="0" w:qFormat="1"/>
    <w:lsdException w:name="Intense Quote"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uiPriority="65" w:unhideWhenUsed="0" w:qFormat="1"/>
    <w:lsdException w:name="Intense Emphasis" w:uiPriority="66" w:unhideWhenUsed="0" w:qFormat="1"/>
    <w:lsdException w:name="Subtle Reference"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uiPriority="71" w:qFormat="1"/>
  </w:latentStyles>
  <w:style w:type="paragraph" w:default="1" w:styleId="Normal">
    <w:name w:val="Normal"/>
    <w:qFormat/>
    <w:rsid w:val="00841293"/>
    <w:pPr>
      <w:spacing w:after="200" w:line="276" w:lineRule="auto"/>
    </w:pPr>
    <w:rPr>
      <w:rFonts w:asciiTheme="minorHAnsi" w:eastAsiaTheme="minorHAnsi" w:hAnsiTheme="minorHAnsi" w:cstheme="minorBidi"/>
      <w:sz w:val="22"/>
      <w:szCs w:val="22"/>
      <w:lang w:eastAsia="en-US"/>
    </w:rPr>
  </w:style>
  <w:style w:type="paragraph" w:styleId="Heading1">
    <w:name w:val="heading 1"/>
    <w:next w:val="DHHSbody"/>
    <w:link w:val="Heading1Char"/>
    <w:uiPriority w:val="1"/>
    <w:qFormat/>
    <w:rsid w:val="008E0091"/>
    <w:pPr>
      <w:keepNext/>
      <w:keepLines/>
      <w:spacing w:before="320" w:after="200" w:line="440" w:lineRule="atLeast"/>
      <w:outlineLvl w:val="0"/>
    </w:pPr>
    <w:rPr>
      <w:rFonts w:ascii="Arial" w:eastAsia="MS Gothic" w:hAnsi="Arial" w:cs="Arial"/>
      <w:bCs/>
      <w:color w:val="642667"/>
      <w:kern w:val="32"/>
      <w:sz w:val="36"/>
      <w:szCs w:val="40"/>
      <w:lang w:eastAsia="en-US"/>
    </w:rPr>
  </w:style>
  <w:style w:type="paragraph" w:styleId="Heading2">
    <w:name w:val="heading 2"/>
    <w:next w:val="DHHSbody"/>
    <w:link w:val="Heading2Char"/>
    <w:uiPriority w:val="1"/>
    <w:qFormat/>
    <w:rsid w:val="00990583"/>
    <w:pPr>
      <w:keepNext/>
      <w:keepLines/>
      <w:spacing w:before="240" w:after="90" w:line="320" w:lineRule="atLeast"/>
      <w:outlineLvl w:val="1"/>
    </w:pPr>
    <w:rPr>
      <w:rFonts w:ascii="Arial" w:hAnsi="Arial"/>
      <w:b/>
      <w:color w:val="642667"/>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line="240" w:lineRule="auto"/>
      <w:outlineLvl w:val="4"/>
    </w:pPr>
    <w:rPr>
      <w:rFonts w:ascii="Cambria" w:eastAsia="MS Mincho" w:hAnsi="Cambria"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8E0091"/>
    <w:rPr>
      <w:rFonts w:ascii="Arial" w:eastAsia="MS Gothic" w:hAnsi="Arial" w:cs="Arial"/>
      <w:bCs/>
      <w:color w:val="642667"/>
      <w:kern w:val="32"/>
      <w:sz w:val="36"/>
      <w:szCs w:val="40"/>
      <w:lang w:eastAsia="en-US"/>
    </w:rPr>
  </w:style>
  <w:style w:type="character" w:customStyle="1" w:styleId="Heading2Char">
    <w:name w:val="Heading 2 Char"/>
    <w:link w:val="Heading2"/>
    <w:uiPriority w:val="1"/>
    <w:rsid w:val="00990583"/>
    <w:rPr>
      <w:rFonts w:ascii="Arial" w:hAnsi="Arial"/>
      <w:b/>
      <w:color w:val="642667"/>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pPr>
      <w:spacing w:after="0" w:line="240" w:lineRule="auto"/>
    </w:pPr>
    <w:rPr>
      <w:rFonts w:ascii="Cambria" w:eastAsia="Times New Roman" w:hAnsi="Cambria" w:cs="Times New Roman"/>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pPr>
      <w:spacing w:after="0" w:line="240" w:lineRule="auto"/>
    </w:pPr>
    <w:rPr>
      <w:rFonts w:ascii="Lucida Grande" w:eastAsia="Times New Roman"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990583"/>
    <w:pPr>
      <w:spacing w:before="0" w:after="200"/>
      <w:outlineLvl w:val="9"/>
    </w:pPr>
  </w:style>
  <w:style w:type="character" w:customStyle="1" w:styleId="DHHSTOCheadingfactsheetChar">
    <w:name w:val="DHHS TOC heading fact sheet Char"/>
    <w:link w:val="DHHSTOCheadingfactsheet"/>
    <w:uiPriority w:val="4"/>
    <w:rsid w:val="00990583"/>
    <w:rPr>
      <w:rFonts w:ascii="Arial" w:hAnsi="Arial"/>
      <w:b/>
      <w:color w:val="642667"/>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spacing w:after="0" w:line="240" w:lineRule="auto"/>
      <w:ind w:left="800"/>
    </w:pPr>
    <w:rPr>
      <w:rFonts w:ascii="Cambria" w:eastAsia="Times New Roman" w:hAnsi="Cambria" w:cs="Times New Roman"/>
      <w:sz w:val="20"/>
      <w:szCs w:val="20"/>
    </w:rPr>
  </w:style>
  <w:style w:type="paragraph" w:styleId="TOC6">
    <w:name w:val="toc 6"/>
    <w:basedOn w:val="Normal"/>
    <w:next w:val="Normal"/>
    <w:autoRedefine/>
    <w:uiPriority w:val="39"/>
    <w:semiHidden/>
    <w:rsid w:val="0021053D"/>
    <w:pPr>
      <w:spacing w:after="0" w:line="240" w:lineRule="auto"/>
      <w:ind w:left="1000"/>
    </w:pPr>
    <w:rPr>
      <w:rFonts w:ascii="Cambria" w:eastAsia="Times New Roman" w:hAnsi="Cambria" w:cs="Times New Roman"/>
      <w:sz w:val="20"/>
      <w:szCs w:val="20"/>
    </w:rPr>
  </w:style>
  <w:style w:type="paragraph" w:styleId="TOC7">
    <w:name w:val="toc 7"/>
    <w:basedOn w:val="Normal"/>
    <w:next w:val="Normal"/>
    <w:autoRedefine/>
    <w:uiPriority w:val="39"/>
    <w:semiHidden/>
    <w:rsid w:val="0021053D"/>
    <w:pPr>
      <w:spacing w:after="0" w:line="240" w:lineRule="auto"/>
      <w:ind w:left="1200"/>
    </w:pPr>
    <w:rPr>
      <w:rFonts w:ascii="Cambria" w:eastAsia="Times New Roman" w:hAnsi="Cambria" w:cs="Times New Roman"/>
      <w:sz w:val="20"/>
      <w:szCs w:val="20"/>
    </w:rPr>
  </w:style>
  <w:style w:type="paragraph" w:styleId="TOC8">
    <w:name w:val="toc 8"/>
    <w:basedOn w:val="Normal"/>
    <w:next w:val="Normal"/>
    <w:autoRedefine/>
    <w:uiPriority w:val="39"/>
    <w:semiHidden/>
    <w:rsid w:val="0021053D"/>
    <w:pPr>
      <w:spacing w:after="0" w:line="240" w:lineRule="auto"/>
      <w:ind w:left="1400"/>
    </w:pPr>
    <w:rPr>
      <w:rFonts w:ascii="Cambria" w:eastAsia="Times New Roman" w:hAnsi="Cambria" w:cs="Times New Roman"/>
      <w:sz w:val="20"/>
      <w:szCs w:val="20"/>
    </w:rPr>
  </w:style>
  <w:style w:type="paragraph" w:styleId="TOC9">
    <w:name w:val="toc 9"/>
    <w:basedOn w:val="Normal"/>
    <w:next w:val="Normal"/>
    <w:autoRedefine/>
    <w:uiPriority w:val="39"/>
    <w:semiHidden/>
    <w:rsid w:val="0021053D"/>
    <w:pPr>
      <w:spacing w:after="0" w:line="240" w:lineRule="auto"/>
      <w:ind w:left="1600"/>
    </w:pPr>
    <w:rPr>
      <w:rFonts w:ascii="Cambria" w:eastAsia="Times New Roman" w:hAnsi="Cambria" w:cs="Times New Roman"/>
      <w:sz w:val="20"/>
      <w:szCs w:val="20"/>
    </w:rPr>
  </w:style>
  <w:style w:type="paragraph" w:styleId="Subtitle">
    <w:name w:val="Subtitle"/>
    <w:basedOn w:val="Normal"/>
    <w:next w:val="Normal"/>
    <w:link w:val="SubtitleChar"/>
    <w:uiPriority w:val="11"/>
    <w:semiHidden/>
    <w:qFormat/>
    <w:rsid w:val="00152073"/>
    <w:pPr>
      <w:spacing w:after="60" w:line="240" w:lineRule="auto"/>
      <w:jc w:val="center"/>
    </w:pPr>
    <w:rPr>
      <w:rFonts w:ascii="Calibri Light" w:eastAsia="Times New Roman" w:hAnsi="Calibri Light" w:cs="Times New Roman"/>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paragraph" w:styleId="BalloonText">
    <w:name w:val="Balloon Text"/>
    <w:basedOn w:val="Normal"/>
    <w:link w:val="BalloonTextChar"/>
    <w:uiPriority w:val="99"/>
    <w:semiHidden/>
    <w:unhideWhenUsed/>
    <w:rsid w:val="00B5361A"/>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B5361A"/>
    <w:rPr>
      <w:rFonts w:ascii="Tahoma" w:hAnsi="Tahoma" w:cs="Tahoma"/>
      <w:sz w:val="16"/>
      <w:szCs w:val="16"/>
      <w:lang w:eastAsia="en-US"/>
    </w:r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DHHStablecolhead">
    <w:name w:val="DHHS table col head"/>
    <w:uiPriority w:val="3"/>
    <w:qFormat/>
    <w:rsid w:val="00990583"/>
    <w:pPr>
      <w:spacing w:before="80" w:after="60"/>
    </w:pPr>
    <w:rPr>
      <w:rFonts w:ascii="Arial" w:hAnsi="Arial"/>
      <w:b/>
      <w:color w:val="642667"/>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line="240" w:lineRule="auto"/>
      <w:jc w:val="center"/>
    </w:pPr>
    <w:rPr>
      <w:rFonts w:ascii="Calibri Light" w:eastAsia="Times New Roman" w:hAnsi="Calibri Light" w:cs="Times New Roman"/>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character" w:customStyle="1" w:styleId="apple-converted-space">
    <w:name w:val="apple-converted-space"/>
    <w:basedOn w:val="DefaultParagraphFont"/>
    <w:rsid w:val="00077FF1"/>
  </w:style>
  <w:style w:type="character" w:customStyle="1" w:styleId="BodyItalicBodyIntertextStyles">
    <w:name w:val="Body Italic (Body Intertext Styles)"/>
    <w:uiPriority w:val="99"/>
    <w:rsid w:val="003225B3"/>
    <w:rPr>
      <w:rFonts w:ascii="VIC-Italic" w:hAnsi="VIC-Italic" w:cs="VIC-Italic"/>
      <w:i/>
      <w:iCs/>
    </w:rPr>
  </w:style>
  <w:style w:type="character" w:styleId="CommentReference">
    <w:name w:val="annotation reference"/>
    <w:basedOn w:val="DefaultParagraphFont"/>
    <w:uiPriority w:val="99"/>
    <w:semiHidden/>
    <w:unhideWhenUsed/>
    <w:rsid w:val="005E3CC9"/>
    <w:rPr>
      <w:sz w:val="16"/>
      <w:szCs w:val="16"/>
    </w:rPr>
  </w:style>
  <w:style w:type="paragraph" w:styleId="CommentText">
    <w:name w:val="annotation text"/>
    <w:basedOn w:val="Normal"/>
    <w:link w:val="CommentTextChar"/>
    <w:uiPriority w:val="99"/>
    <w:semiHidden/>
    <w:unhideWhenUsed/>
    <w:rsid w:val="005E3CC9"/>
    <w:pPr>
      <w:spacing w:line="240" w:lineRule="auto"/>
    </w:pPr>
    <w:rPr>
      <w:sz w:val="20"/>
      <w:szCs w:val="20"/>
    </w:rPr>
  </w:style>
  <w:style w:type="character" w:customStyle="1" w:styleId="CommentTextChar">
    <w:name w:val="Comment Text Char"/>
    <w:basedOn w:val="DefaultParagraphFont"/>
    <w:link w:val="CommentText"/>
    <w:uiPriority w:val="99"/>
    <w:semiHidden/>
    <w:rsid w:val="005E3CC9"/>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5E3CC9"/>
    <w:rPr>
      <w:b/>
      <w:bCs/>
    </w:rPr>
  </w:style>
  <w:style w:type="character" w:customStyle="1" w:styleId="CommentSubjectChar">
    <w:name w:val="Comment Subject Char"/>
    <w:basedOn w:val="CommentTextChar"/>
    <w:link w:val="CommentSubject"/>
    <w:uiPriority w:val="99"/>
    <w:semiHidden/>
    <w:rsid w:val="005E3CC9"/>
    <w:rPr>
      <w:rFonts w:asciiTheme="minorHAnsi" w:eastAsiaTheme="minorHAnsi" w:hAnsiTheme="minorHAnsi" w:cstheme="minorBidi"/>
      <w:b/>
      <w:bCs/>
      <w:lang w:eastAsia="en-US"/>
    </w:rPr>
  </w:style>
  <w:style w:type="paragraph" w:styleId="ListParagraph">
    <w:name w:val="List Paragraph"/>
    <w:basedOn w:val="Normal"/>
    <w:uiPriority w:val="72"/>
    <w:qFormat/>
    <w:rsid w:val="00BC4CBF"/>
    <w:pPr>
      <w:ind w:left="720"/>
      <w:contextualSpacing/>
    </w:pPr>
  </w:style>
  <w:style w:type="paragraph" w:customStyle="1" w:styleId="Default">
    <w:name w:val="Default"/>
    <w:rsid w:val="007244D2"/>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
    <w:lsdException w:name="caption" w:uiPriority="35" w:qFormat="1"/>
    <w:lsdException w:name="footnote reference" w:uiPriority="8"/>
    <w:lsdException w:name="Title" w:uiPriority="10" w:unhideWhenUsed="0" w:qFormat="1"/>
    <w:lsdException w:name="Default Paragraph Font" w:uiPriority="1"/>
    <w:lsdException w:name="Subtitle" w:uiPriority="11" w:unhideWhenUsed="0" w:qFormat="1"/>
    <w:lsdException w:name="FollowedHyperlink" w:semiHidden="0" w:unhideWhenUsed="0"/>
    <w:lsdException w:name="Strong" w:semiHidden="0" w:uiPriority="22" w:unhideWhenUsed="0" w:qFormat="1"/>
    <w:lsdException w:name="Emphasis" w:semiHidden="0" w:uiPriority="20" w:unhideWhenUsed="0"/>
    <w:lsdException w:name="Table Grid" w:semiHidden="0" w:uiPriority="59" w:unhideWhenUsed="0"/>
    <w:lsdException w:name="No Spacing"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uiPriority="72" w:unhideWhenUsed="0" w:qFormat="1"/>
    <w:lsdException w:name="Quote" w:uiPriority="73" w:unhideWhenUsed="0" w:qFormat="1"/>
    <w:lsdException w:name="Intense Quote"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uiPriority="65" w:unhideWhenUsed="0" w:qFormat="1"/>
    <w:lsdException w:name="Intense Emphasis" w:uiPriority="66" w:unhideWhenUsed="0" w:qFormat="1"/>
    <w:lsdException w:name="Subtle Reference"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uiPriority="71" w:qFormat="1"/>
  </w:latentStyles>
  <w:style w:type="paragraph" w:default="1" w:styleId="Normal">
    <w:name w:val="Normal"/>
    <w:qFormat/>
    <w:rsid w:val="00841293"/>
    <w:pPr>
      <w:spacing w:after="200" w:line="276" w:lineRule="auto"/>
    </w:pPr>
    <w:rPr>
      <w:rFonts w:asciiTheme="minorHAnsi" w:eastAsiaTheme="minorHAnsi" w:hAnsiTheme="minorHAnsi" w:cstheme="minorBidi"/>
      <w:sz w:val="22"/>
      <w:szCs w:val="22"/>
      <w:lang w:eastAsia="en-US"/>
    </w:rPr>
  </w:style>
  <w:style w:type="paragraph" w:styleId="Heading1">
    <w:name w:val="heading 1"/>
    <w:next w:val="DHHSbody"/>
    <w:link w:val="Heading1Char"/>
    <w:uiPriority w:val="1"/>
    <w:qFormat/>
    <w:rsid w:val="008E0091"/>
    <w:pPr>
      <w:keepNext/>
      <w:keepLines/>
      <w:spacing w:before="320" w:after="200" w:line="440" w:lineRule="atLeast"/>
      <w:outlineLvl w:val="0"/>
    </w:pPr>
    <w:rPr>
      <w:rFonts w:ascii="Arial" w:eastAsia="MS Gothic" w:hAnsi="Arial" w:cs="Arial"/>
      <w:bCs/>
      <w:color w:val="642667"/>
      <w:kern w:val="32"/>
      <w:sz w:val="36"/>
      <w:szCs w:val="40"/>
      <w:lang w:eastAsia="en-US"/>
    </w:rPr>
  </w:style>
  <w:style w:type="paragraph" w:styleId="Heading2">
    <w:name w:val="heading 2"/>
    <w:next w:val="DHHSbody"/>
    <w:link w:val="Heading2Char"/>
    <w:uiPriority w:val="1"/>
    <w:qFormat/>
    <w:rsid w:val="00990583"/>
    <w:pPr>
      <w:keepNext/>
      <w:keepLines/>
      <w:spacing w:before="240" w:after="90" w:line="320" w:lineRule="atLeast"/>
      <w:outlineLvl w:val="1"/>
    </w:pPr>
    <w:rPr>
      <w:rFonts w:ascii="Arial" w:hAnsi="Arial"/>
      <w:b/>
      <w:color w:val="642667"/>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line="240" w:lineRule="auto"/>
      <w:outlineLvl w:val="4"/>
    </w:pPr>
    <w:rPr>
      <w:rFonts w:ascii="Cambria" w:eastAsia="MS Mincho" w:hAnsi="Cambria"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8E0091"/>
    <w:rPr>
      <w:rFonts w:ascii="Arial" w:eastAsia="MS Gothic" w:hAnsi="Arial" w:cs="Arial"/>
      <w:bCs/>
      <w:color w:val="642667"/>
      <w:kern w:val="32"/>
      <w:sz w:val="36"/>
      <w:szCs w:val="40"/>
      <w:lang w:eastAsia="en-US"/>
    </w:rPr>
  </w:style>
  <w:style w:type="character" w:customStyle="1" w:styleId="Heading2Char">
    <w:name w:val="Heading 2 Char"/>
    <w:link w:val="Heading2"/>
    <w:uiPriority w:val="1"/>
    <w:rsid w:val="00990583"/>
    <w:rPr>
      <w:rFonts w:ascii="Arial" w:hAnsi="Arial"/>
      <w:b/>
      <w:color w:val="642667"/>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pPr>
      <w:spacing w:after="0" w:line="240" w:lineRule="auto"/>
    </w:pPr>
    <w:rPr>
      <w:rFonts w:ascii="Cambria" w:eastAsia="Times New Roman" w:hAnsi="Cambria" w:cs="Times New Roman"/>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pPr>
      <w:spacing w:after="0" w:line="240" w:lineRule="auto"/>
    </w:pPr>
    <w:rPr>
      <w:rFonts w:ascii="Lucida Grande" w:eastAsia="Times New Roman"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990583"/>
    <w:pPr>
      <w:spacing w:before="0" w:after="200"/>
      <w:outlineLvl w:val="9"/>
    </w:pPr>
  </w:style>
  <w:style w:type="character" w:customStyle="1" w:styleId="DHHSTOCheadingfactsheetChar">
    <w:name w:val="DHHS TOC heading fact sheet Char"/>
    <w:link w:val="DHHSTOCheadingfactsheet"/>
    <w:uiPriority w:val="4"/>
    <w:rsid w:val="00990583"/>
    <w:rPr>
      <w:rFonts w:ascii="Arial" w:hAnsi="Arial"/>
      <w:b/>
      <w:color w:val="642667"/>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spacing w:after="0" w:line="240" w:lineRule="auto"/>
      <w:ind w:left="800"/>
    </w:pPr>
    <w:rPr>
      <w:rFonts w:ascii="Cambria" w:eastAsia="Times New Roman" w:hAnsi="Cambria" w:cs="Times New Roman"/>
      <w:sz w:val="20"/>
      <w:szCs w:val="20"/>
    </w:rPr>
  </w:style>
  <w:style w:type="paragraph" w:styleId="TOC6">
    <w:name w:val="toc 6"/>
    <w:basedOn w:val="Normal"/>
    <w:next w:val="Normal"/>
    <w:autoRedefine/>
    <w:uiPriority w:val="39"/>
    <w:semiHidden/>
    <w:rsid w:val="0021053D"/>
    <w:pPr>
      <w:spacing w:after="0" w:line="240" w:lineRule="auto"/>
      <w:ind w:left="1000"/>
    </w:pPr>
    <w:rPr>
      <w:rFonts w:ascii="Cambria" w:eastAsia="Times New Roman" w:hAnsi="Cambria" w:cs="Times New Roman"/>
      <w:sz w:val="20"/>
      <w:szCs w:val="20"/>
    </w:rPr>
  </w:style>
  <w:style w:type="paragraph" w:styleId="TOC7">
    <w:name w:val="toc 7"/>
    <w:basedOn w:val="Normal"/>
    <w:next w:val="Normal"/>
    <w:autoRedefine/>
    <w:uiPriority w:val="39"/>
    <w:semiHidden/>
    <w:rsid w:val="0021053D"/>
    <w:pPr>
      <w:spacing w:after="0" w:line="240" w:lineRule="auto"/>
      <w:ind w:left="1200"/>
    </w:pPr>
    <w:rPr>
      <w:rFonts w:ascii="Cambria" w:eastAsia="Times New Roman" w:hAnsi="Cambria" w:cs="Times New Roman"/>
      <w:sz w:val="20"/>
      <w:szCs w:val="20"/>
    </w:rPr>
  </w:style>
  <w:style w:type="paragraph" w:styleId="TOC8">
    <w:name w:val="toc 8"/>
    <w:basedOn w:val="Normal"/>
    <w:next w:val="Normal"/>
    <w:autoRedefine/>
    <w:uiPriority w:val="39"/>
    <w:semiHidden/>
    <w:rsid w:val="0021053D"/>
    <w:pPr>
      <w:spacing w:after="0" w:line="240" w:lineRule="auto"/>
      <w:ind w:left="1400"/>
    </w:pPr>
    <w:rPr>
      <w:rFonts w:ascii="Cambria" w:eastAsia="Times New Roman" w:hAnsi="Cambria" w:cs="Times New Roman"/>
      <w:sz w:val="20"/>
      <w:szCs w:val="20"/>
    </w:rPr>
  </w:style>
  <w:style w:type="paragraph" w:styleId="TOC9">
    <w:name w:val="toc 9"/>
    <w:basedOn w:val="Normal"/>
    <w:next w:val="Normal"/>
    <w:autoRedefine/>
    <w:uiPriority w:val="39"/>
    <w:semiHidden/>
    <w:rsid w:val="0021053D"/>
    <w:pPr>
      <w:spacing w:after="0" w:line="240" w:lineRule="auto"/>
      <w:ind w:left="1600"/>
    </w:pPr>
    <w:rPr>
      <w:rFonts w:ascii="Cambria" w:eastAsia="Times New Roman" w:hAnsi="Cambria" w:cs="Times New Roman"/>
      <w:sz w:val="20"/>
      <w:szCs w:val="20"/>
    </w:rPr>
  </w:style>
  <w:style w:type="paragraph" w:styleId="Subtitle">
    <w:name w:val="Subtitle"/>
    <w:basedOn w:val="Normal"/>
    <w:next w:val="Normal"/>
    <w:link w:val="SubtitleChar"/>
    <w:uiPriority w:val="11"/>
    <w:semiHidden/>
    <w:qFormat/>
    <w:rsid w:val="00152073"/>
    <w:pPr>
      <w:spacing w:after="60" w:line="240" w:lineRule="auto"/>
      <w:jc w:val="center"/>
    </w:pPr>
    <w:rPr>
      <w:rFonts w:ascii="Calibri Light" w:eastAsia="Times New Roman" w:hAnsi="Calibri Light" w:cs="Times New Roman"/>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paragraph" w:styleId="BalloonText">
    <w:name w:val="Balloon Text"/>
    <w:basedOn w:val="Normal"/>
    <w:link w:val="BalloonTextChar"/>
    <w:uiPriority w:val="99"/>
    <w:semiHidden/>
    <w:unhideWhenUsed/>
    <w:rsid w:val="00B5361A"/>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B5361A"/>
    <w:rPr>
      <w:rFonts w:ascii="Tahoma" w:hAnsi="Tahoma" w:cs="Tahoma"/>
      <w:sz w:val="16"/>
      <w:szCs w:val="16"/>
      <w:lang w:eastAsia="en-US"/>
    </w:r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DHHStablecolhead">
    <w:name w:val="DHHS table col head"/>
    <w:uiPriority w:val="3"/>
    <w:qFormat/>
    <w:rsid w:val="00990583"/>
    <w:pPr>
      <w:spacing w:before="80" w:after="60"/>
    </w:pPr>
    <w:rPr>
      <w:rFonts w:ascii="Arial" w:hAnsi="Arial"/>
      <w:b/>
      <w:color w:val="642667"/>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line="240" w:lineRule="auto"/>
      <w:jc w:val="center"/>
    </w:pPr>
    <w:rPr>
      <w:rFonts w:ascii="Calibri Light" w:eastAsia="Times New Roman" w:hAnsi="Calibri Light" w:cs="Times New Roman"/>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character" w:customStyle="1" w:styleId="apple-converted-space">
    <w:name w:val="apple-converted-space"/>
    <w:basedOn w:val="DefaultParagraphFont"/>
    <w:rsid w:val="00077FF1"/>
  </w:style>
  <w:style w:type="character" w:customStyle="1" w:styleId="BodyItalicBodyIntertextStyles">
    <w:name w:val="Body Italic (Body Intertext Styles)"/>
    <w:uiPriority w:val="99"/>
    <w:rsid w:val="003225B3"/>
    <w:rPr>
      <w:rFonts w:ascii="VIC-Italic" w:hAnsi="VIC-Italic" w:cs="VIC-Italic"/>
      <w:i/>
      <w:iCs/>
    </w:rPr>
  </w:style>
  <w:style w:type="character" w:styleId="CommentReference">
    <w:name w:val="annotation reference"/>
    <w:basedOn w:val="DefaultParagraphFont"/>
    <w:uiPriority w:val="99"/>
    <w:semiHidden/>
    <w:unhideWhenUsed/>
    <w:rsid w:val="005E3CC9"/>
    <w:rPr>
      <w:sz w:val="16"/>
      <w:szCs w:val="16"/>
    </w:rPr>
  </w:style>
  <w:style w:type="paragraph" w:styleId="CommentText">
    <w:name w:val="annotation text"/>
    <w:basedOn w:val="Normal"/>
    <w:link w:val="CommentTextChar"/>
    <w:uiPriority w:val="99"/>
    <w:semiHidden/>
    <w:unhideWhenUsed/>
    <w:rsid w:val="005E3CC9"/>
    <w:pPr>
      <w:spacing w:line="240" w:lineRule="auto"/>
    </w:pPr>
    <w:rPr>
      <w:sz w:val="20"/>
      <w:szCs w:val="20"/>
    </w:rPr>
  </w:style>
  <w:style w:type="character" w:customStyle="1" w:styleId="CommentTextChar">
    <w:name w:val="Comment Text Char"/>
    <w:basedOn w:val="DefaultParagraphFont"/>
    <w:link w:val="CommentText"/>
    <w:uiPriority w:val="99"/>
    <w:semiHidden/>
    <w:rsid w:val="005E3CC9"/>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5E3CC9"/>
    <w:rPr>
      <w:b/>
      <w:bCs/>
    </w:rPr>
  </w:style>
  <w:style w:type="character" w:customStyle="1" w:styleId="CommentSubjectChar">
    <w:name w:val="Comment Subject Char"/>
    <w:basedOn w:val="CommentTextChar"/>
    <w:link w:val="CommentSubject"/>
    <w:uiPriority w:val="99"/>
    <w:semiHidden/>
    <w:rsid w:val="005E3CC9"/>
    <w:rPr>
      <w:rFonts w:asciiTheme="minorHAnsi" w:eastAsiaTheme="minorHAnsi" w:hAnsiTheme="minorHAnsi" w:cstheme="minorBidi"/>
      <w:b/>
      <w:bCs/>
      <w:lang w:eastAsia="en-US"/>
    </w:rPr>
  </w:style>
  <w:style w:type="paragraph" w:styleId="ListParagraph">
    <w:name w:val="List Paragraph"/>
    <w:basedOn w:val="Normal"/>
    <w:uiPriority w:val="72"/>
    <w:qFormat/>
    <w:rsid w:val="00BC4CBF"/>
    <w:pPr>
      <w:ind w:left="720"/>
      <w:contextualSpacing/>
    </w:pPr>
  </w:style>
  <w:style w:type="paragraph" w:customStyle="1" w:styleId="Default">
    <w:name w:val="Default"/>
    <w:rsid w:val="007244D2"/>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755665469">
      <w:bodyDiv w:val="1"/>
      <w:marLeft w:val="0"/>
      <w:marRight w:val="0"/>
      <w:marTop w:val="0"/>
      <w:marBottom w:val="0"/>
      <w:divBdr>
        <w:top w:val="none" w:sz="0" w:space="0" w:color="auto"/>
        <w:left w:val="none" w:sz="0" w:space="0" w:color="auto"/>
        <w:bottom w:val="none" w:sz="0" w:space="0" w:color="auto"/>
        <w:right w:val="none" w:sz="0" w:space="0" w:color="auto"/>
      </w:divBdr>
      <w:divsChild>
        <w:div w:id="1985625258">
          <w:marLeft w:val="0"/>
          <w:marRight w:val="0"/>
          <w:marTop w:val="0"/>
          <w:marBottom w:val="0"/>
          <w:divBdr>
            <w:top w:val="none" w:sz="0" w:space="0" w:color="auto"/>
            <w:left w:val="none" w:sz="0" w:space="0" w:color="auto"/>
            <w:bottom w:val="none" w:sz="0" w:space="0" w:color="auto"/>
            <w:right w:val="none" w:sz="0" w:space="0" w:color="auto"/>
          </w:divBdr>
          <w:divsChild>
            <w:div w:id="741803625">
              <w:marLeft w:val="0"/>
              <w:marRight w:val="0"/>
              <w:marTop w:val="0"/>
              <w:marBottom w:val="0"/>
              <w:divBdr>
                <w:top w:val="none" w:sz="0" w:space="0" w:color="auto"/>
                <w:left w:val="none" w:sz="0" w:space="0" w:color="auto"/>
                <w:bottom w:val="none" w:sz="0" w:space="0" w:color="auto"/>
                <w:right w:val="none" w:sz="0" w:space="0" w:color="auto"/>
              </w:divBdr>
              <w:divsChild>
                <w:div w:id="2094205593">
                  <w:marLeft w:val="0"/>
                  <w:marRight w:val="0"/>
                  <w:marTop w:val="0"/>
                  <w:marBottom w:val="0"/>
                  <w:divBdr>
                    <w:top w:val="none" w:sz="0" w:space="0" w:color="auto"/>
                    <w:left w:val="none" w:sz="0" w:space="0" w:color="auto"/>
                    <w:bottom w:val="none" w:sz="0" w:space="0" w:color="auto"/>
                    <w:right w:val="none" w:sz="0" w:space="0" w:color="auto"/>
                  </w:divBdr>
                  <w:divsChild>
                    <w:div w:id="606885677">
                      <w:marLeft w:val="0"/>
                      <w:marRight w:val="0"/>
                      <w:marTop w:val="0"/>
                      <w:marBottom w:val="0"/>
                      <w:divBdr>
                        <w:top w:val="none" w:sz="0" w:space="0" w:color="auto"/>
                        <w:left w:val="none" w:sz="0" w:space="0" w:color="auto"/>
                        <w:bottom w:val="none" w:sz="0" w:space="0" w:color="auto"/>
                        <w:right w:val="none" w:sz="0" w:space="0" w:color="auto"/>
                      </w:divBdr>
                      <w:divsChild>
                        <w:div w:id="712313684">
                          <w:marLeft w:val="0"/>
                          <w:marRight w:val="0"/>
                          <w:marTop w:val="0"/>
                          <w:marBottom w:val="0"/>
                          <w:divBdr>
                            <w:top w:val="none" w:sz="0" w:space="0" w:color="auto"/>
                            <w:left w:val="none" w:sz="0" w:space="0" w:color="auto"/>
                            <w:bottom w:val="none" w:sz="0" w:space="0" w:color="auto"/>
                            <w:right w:val="none" w:sz="0" w:space="0" w:color="auto"/>
                          </w:divBdr>
                          <w:divsChild>
                            <w:div w:id="477456579">
                              <w:marLeft w:val="0"/>
                              <w:marRight w:val="0"/>
                              <w:marTop w:val="0"/>
                              <w:marBottom w:val="0"/>
                              <w:divBdr>
                                <w:top w:val="none" w:sz="0" w:space="0" w:color="auto"/>
                                <w:left w:val="none" w:sz="0" w:space="0" w:color="auto"/>
                                <w:bottom w:val="none" w:sz="0" w:space="0" w:color="auto"/>
                                <w:right w:val="none" w:sz="0" w:space="0" w:color="auto"/>
                              </w:divBdr>
                              <w:divsChild>
                                <w:div w:id="105612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2166125">
      <w:bodyDiv w:val="1"/>
      <w:marLeft w:val="0"/>
      <w:marRight w:val="0"/>
      <w:marTop w:val="0"/>
      <w:marBottom w:val="0"/>
      <w:divBdr>
        <w:top w:val="none" w:sz="0" w:space="0" w:color="auto"/>
        <w:left w:val="none" w:sz="0" w:space="0" w:color="auto"/>
        <w:bottom w:val="none" w:sz="0" w:space="0" w:color="auto"/>
        <w:right w:val="none" w:sz="0" w:space="0" w:color="auto"/>
      </w:divBdr>
    </w:div>
    <w:div w:id="1823034276">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2046247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2.health.vic.gov.au/hospitals-and-health-services/patient-care/end-of-life-care/palliative-care/end-of-life-and-palliative-care-framework" TargetMode="External"/><Relationship Id="rId18" Type="http://schemas.openxmlformats.org/officeDocument/2006/relationships/image" Target="media/image3.JPG"/><Relationship Id="rId26" Type="http://schemas.openxmlformats.org/officeDocument/2006/relationships/hyperlink" Target="https://www.betterhealth.vic.gov.au/palliative" TargetMode="External"/><Relationship Id="rId3" Type="http://schemas.openxmlformats.org/officeDocument/2006/relationships/styles" Target="styles.xml"/><Relationship Id="rId21" Type="http://schemas.openxmlformats.org/officeDocument/2006/relationships/image" Target="media/image5.JP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mav.asn.au/what-we-do/policy-advocacy/social-community/positive-ageing/end-of-life-project" TargetMode="External"/><Relationship Id="rId25" Type="http://schemas.openxmlformats.org/officeDocument/2006/relationships/image" Target="media/image7.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bettersafercare.vic.gov.au/reports-and-publications/advice-end-of-life-care-services" TargetMode="External"/><Relationship Id="rId20" Type="http://schemas.openxmlformats.org/officeDocument/2006/relationships/hyperlink" Target="https://cotavic.org.au/info/looking-for-information/lgbtiq-resources/" TargetMode="External"/><Relationship Id="rId29" Type="http://schemas.openxmlformats.org/officeDocument/2006/relationships/hyperlink" Target="mailto:Theresa.Williamson@dhhs.vic.gov.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image" Target="media/image6.wmf"/><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2.health.vic.gov.au/hospitals-and-health-services/patient-care/end-of-life-care/palliative-care/end-of-life-ancillary-grant" TargetMode="External"/><Relationship Id="rId23" Type="http://schemas.openxmlformats.org/officeDocument/2006/relationships/hyperlink" Target="https://www.betterhealth.vic.gov.au/palliative" TargetMode="External"/><Relationship Id="rId28" Type="http://schemas.openxmlformats.org/officeDocument/2006/relationships/hyperlink" Target="https://www.betterhealth.vic.gov.au/palliative" TargetMode="External"/><Relationship Id="rId10" Type="http://schemas.openxmlformats.org/officeDocument/2006/relationships/footer" Target="footer1.xml"/><Relationship Id="rId19" Type="http://schemas.openxmlformats.org/officeDocument/2006/relationships/image" Target="media/image4.JPG"/><Relationship Id="rId31" Type="http://schemas.openxmlformats.org/officeDocument/2006/relationships/hyperlink" Target="mailto:John.Carson@dhhs.vic.gov.a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premier.vic.gov.au/supporting-families-of-terminally-ill-victorians/" TargetMode="External"/><Relationship Id="rId22" Type="http://schemas.openxmlformats.org/officeDocument/2006/relationships/hyperlink" Target="https://cotavic.org.au/info/looking-for-information/lgbtiq-resources/" TargetMode="External"/><Relationship Id="rId27" Type="http://schemas.openxmlformats.org/officeDocument/2006/relationships/hyperlink" Target="https://www2.health.vic.gov.au/palliative-care" TargetMode="External"/><Relationship Id="rId30" Type="http://schemas.openxmlformats.org/officeDocument/2006/relationships/hyperlink" Target="mailto:John.Carson@dhhs.vic.gov.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A918A-B270-4BAC-ACAB-D1E841668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909</TotalTime>
  <Pages>2</Pages>
  <Words>653</Words>
  <Characters>5119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Department of Health and Human Services</Company>
  <LinksUpToDate>false</LinksUpToDate>
  <CharactersWithSpaces>5761</CharactersWithSpaces>
  <SharedDoc>false</SharedDoc>
  <HyperlinkBase/>
  <HLinks>
    <vt:vector size="48" baseType="variant">
      <vt:variant>
        <vt:i4>2555941</vt:i4>
      </vt:variant>
      <vt:variant>
        <vt:i4>36</vt:i4>
      </vt:variant>
      <vt:variant>
        <vt:i4>0</vt:i4>
      </vt:variant>
      <vt:variant>
        <vt:i4>5</vt:i4>
      </vt:variant>
      <vt:variant>
        <vt:lpwstr>http://survey.tool.tempdomain.info/TakeSurveycss.asp?SurveyID=3K33p3LIm66MG</vt:lpwstr>
      </vt:variant>
      <vt:variant>
        <vt:lpwstr/>
      </vt:variant>
      <vt:variant>
        <vt:i4>3145752</vt:i4>
      </vt:variant>
      <vt:variant>
        <vt:i4>33</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30</vt:i4>
      </vt:variant>
      <vt:variant>
        <vt:i4>0</vt:i4>
      </vt:variant>
      <vt:variant>
        <vt:i4>5</vt:i4>
      </vt:variant>
      <vt:variant>
        <vt:lpwstr>http://intranet.health.vic.gov.au/resources-and-tools/forms-and-templates/microsoft-word-templates</vt:lpwstr>
      </vt:variant>
      <vt:variant>
        <vt:lpwstr/>
      </vt:variant>
      <vt:variant>
        <vt:i4>7536758</vt:i4>
      </vt:variant>
      <vt:variant>
        <vt:i4>27</vt:i4>
      </vt:variant>
      <vt:variant>
        <vt:i4>0</vt:i4>
      </vt:variant>
      <vt:variant>
        <vt:i4>5</vt:i4>
      </vt:variant>
      <vt:variant>
        <vt:lpwstr>http://intranet.dhs.vic.gov.au/resources-and-tools/forms-and-templates/microsoft-word-templates</vt:lpwstr>
      </vt:variant>
      <vt:variant>
        <vt:lpwstr/>
      </vt:variant>
      <vt:variant>
        <vt:i4>1114167</vt:i4>
      </vt:variant>
      <vt:variant>
        <vt:i4>20</vt:i4>
      </vt:variant>
      <vt:variant>
        <vt:i4>0</vt:i4>
      </vt:variant>
      <vt:variant>
        <vt:i4>5</vt:i4>
      </vt:variant>
      <vt:variant>
        <vt:lpwstr/>
      </vt:variant>
      <vt:variant>
        <vt:lpwstr>_Toc440566511</vt:lpwstr>
      </vt:variant>
      <vt:variant>
        <vt:i4>1114167</vt:i4>
      </vt:variant>
      <vt:variant>
        <vt:i4>14</vt:i4>
      </vt:variant>
      <vt:variant>
        <vt:i4>0</vt:i4>
      </vt:variant>
      <vt:variant>
        <vt:i4>5</vt:i4>
      </vt:variant>
      <vt:variant>
        <vt:lpwstr/>
      </vt:variant>
      <vt:variant>
        <vt:lpwstr>_Toc440566510</vt:lpwstr>
      </vt:variant>
      <vt:variant>
        <vt:i4>1048631</vt:i4>
      </vt:variant>
      <vt:variant>
        <vt:i4>8</vt:i4>
      </vt:variant>
      <vt:variant>
        <vt:i4>0</vt:i4>
      </vt:variant>
      <vt:variant>
        <vt:i4>5</vt:i4>
      </vt:variant>
      <vt:variant>
        <vt:lpwstr/>
      </vt:variant>
      <vt:variant>
        <vt:lpwstr>_Toc440566509</vt:lpwstr>
      </vt:variant>
      <vt:variant>
        <vt:i4>1048631</vt:i4>
      </vt:variant>
      <vt:variant>
        <vt:i4>2</vt:i4>
      </vt:variant>
      <vt:variant>
        <vt:i4>0</vt:i4>
      </vt:variant>
      <vt:variant>
        <vt:i4>5</vt:i4>
      </vt:variant>
      <vt:variant>
        <vt:lpwstr/>
      </vt:variant>
      <vt:variant>
        <vt:lpwstr>_Toc440566508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Carson</dc:creator>
  <cp:lastModifiedBy>John Carson</cp:lastModifiedBy>
  <cp:revision>46</cp:revision>
  <cp:lastPrinted>2018-07-12T03:33:00Z</cp:lastPrinted>
  <dcterms:created xsi:type="dcterms:W3CDTF">2018-03-04T23:35:00Z</dcterms:created>
  <dcterms:modified xsi:type="dcterms:W3CDTF">2018-07-16T02:26:00Z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