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63379" w14:textId="77777777" w:rsidR="00002990" w:rsidRPr="003072C6" w:rsidRDefault="00C81E7E"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14:anchorId="7C17F6C7" wp14:editId="3E632DCC">
            <wp:simplePos x="0" y="0"/>
            <wp:positionH relativeFrom="page">
              <wp:posOffset>0</wp:posOffset>
            </wp:positionH>
            <wp:positionV relativeFrom="page">
              <wp:posOffset>0</wp:posOffset>
            </wp:positionV>
            <wp:extent cx="7563485" cy="10700385"/>
            <wp:effectExtent l="0" t="0" r="0" b="5715"/>
            <wp:wrapNone/>
            <wp:docPr id="10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1512FBA8" w14:textId="77777777" w:rsidTr="004C5777">
        <w:trPr>
          <w:trHeight w:val="3988"/>
        </w:trPr>
        <w:tc>
          <w:tcPr>
            <w:tcW w:w="7938" w:type="dxa"/>
            <w:shd w:val="clear" w:color="auto" w:fill="auto"/>
          </w:tcPr>
          <w:p w14:paraId="6E11A8DB" w14:textId="4851D3E0" w:rsidR="00C416E1" w:rsidRPr="003072C6" w:rsidRDefault="00C81E7E" w:rsidP="00E91933">
            <w:pPr>
              <w:pStyle w:val="DHHSreportmaintitlewhite"/>
            </w:pPr>
            <w:r>
              <w:t xml:space="preserve">Victorian </w:t>
            </w:r>
            <w:proofErr w:type="spellStart"/>
            <w:r w:rsidRPr="00C81E7E">
              <w:t>Oesophagogastric</w:t>
            </w:r>
            <w:proofErr w:type="spellEnd"/>
            <w:r>
              <w:t xml:space="preserve"> Cancer Audit </w:t>
            </w:r>
            <w:r w:rsidR="003F5C1C">
              <w:t>– r</w:t>
            </w:r>
            <w:r w:rsidR="00B9443D">
              <w:t>eport 2017</w:t>
            </w:r>
          </w:p>
          <w:p w14:paraId="3687DC16" w14:textId="77777777" w:rsidR="00444D82" w:rsidRPr="003072C6" w:rsidRDefault="00B9443D" w:rsidP="00E91933">
            <w:pPr>
              <w:pStyle w:val="DHHSreportsubtitlewhite"/>
            </w:pPr>
            <w:r>
              <w:t>Victorian Integrated Cancer Services</w:t>
            </w:r>
          </w:p>
        </w:tc>
      </w:tr>
      <w:tr w:rsidR="001817CD" w:rsidRPr="003072C6" w14:paraId="5EA486E3" w14:textId="77777777" w:rsidTr="004C5777">
        <w:trPr>
          <w:trHeight w:val="4664"/>
        </w:trPr>
        <w:tc>
          <w:tcPr>
            <w:tcW w:w="10252" w:type="dxa"/>
            <w:shd w:val="clear" w:color="auto" w:fill="auto"/>
          </w:tcPr>
          <w:p w14:paraId="74398B5E" w14:textId="5BEF776A" w:rsidR="00BC01C1" w:rsidRPr="003072C6" w:rsidRDefault="00BC01C1" w:rsidP="004F3441">
            <w:pPr>
              <w:pStyle w:val="Coverinstructions"/>
            </w:pPr>
          </w:p>
        </w:tc>
      </w:tr>
    </w:tbl>
    <w:p w14:paraId="68D7A87A" w14:textId="77777777" w:rsidR="0069374A" w:rsidRPr="003072C6" w:rsidRDefault="0069374A" w:rsidP="00C2657D">
      <w:pPr>
        <w:pStyle w:val="DHHSbodynospace"/>
        <w:ind w:left="-454"/>
      </w:pPr>
    </w:p>
    <w:p w14:paraId="34672D62"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7544D301" w14:textId="77777777" w:rsidR="00AC0C3B" w:rsidRPr="003072C6" w:rsidRDefault="009208F5" w:rsidP="00CA6D4E">
      <w:pPr>
        <w:pStyle w:val="DHHSbodynospace"/>
      </w:pPr>
      <w:r w:rsidRPr="003072C6">
        <w:lastRenderedPageBreak/>
        <w:br w:type="page"/>
      </w:r>
      <w:r w:rsidR="00C81E7E">
        <w:rPr>
          <w:noProof/>
          <w:lang w:eastAsia="en-AU"/>
        </w:rPr>
        <mc:AlternateContent>
          <mc:Choice Requires="wps">
            <w:drawing>
              <wp:anchor distT="0" distB="0" distL="114300" distR="114300" simplePos="0" relativeHeight="251657216" behindDoc="0" locked="0" layoutInCell="1" allowOverlap="1" wp14:anchorId="7DE0CE89" wp14:editId="34605F66">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FCEA4" w14:textId="77777777" w:rsidR="00D402A8" w:rsidRDefault="00D402A8"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363FCEA4" w14:textId="77777777" w:rsidR="00D402A8" w:rsidRDefault="00D402A8"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3928661D" w14:textId="77777777" w:rsidTr="00CA6D4E">
        <w:trPr>
          <w:trHeight w:val="7402"/>
        </w:trPr>
        <w:tc>
          <w:tcPr>
            <w:tcW w:w="9298" w:type="dxa"/>
            <w:shd w:val="clear" w:color="auto" w:fill="auto"/>
            <w:vAlign w:val="center"/>
          </w:tcPr>
          <w:p w14:paraId="6C5FB55D" w14:textId="063A0614" w:rsidR="00C81E7E" w:rsidRPr="00C81E7E" w:rsidRDefault="00C81E7E" w:rsidP="00C81E7E">
            <w:pPr>
              <w:pStyle w:val="DHHSreportmaintitle"/>
              <w:rPr>
                <w:bCs/>
              </w:rPr>
            </w:pPr>
            <w:r w:rsidRPr="00C81E7E">
              <w:rPr>
                <w:bCs/>
              </w:rPr>
              <w:lastRenderedPageBreak/>
              <w:t xml:space="preserve">Victorian </w:t>
            </w:r>
            <w:proofErr w:type="spellStart"/>
            <w:r w:rsidRPr="00C81E7E">
              <w:rPr>
                <w:bCs/>
              </w:rPr>
              <w:t>Oesophagogastric</w:t>
            </w:r>
            <w:proofErr w:type="spellEnd"/>
            <w:r w:rsidRPr="00C81E7E">
              <w:rPr>
                <w:bCs/>
              </w:rPr>
              <w:t xml:space="preserve"> Cancer Audit </w:t>
            </w:r>
            <w:r w:rsidR="003F5C1C">
              <w:rPr>
                <w:bCs/>
              </w:rPr>
              <w:t>– r</w:t>
            </w:r>
            <w:r w:rsidR="00B9443D">
              <w:rPr>
                <w:bCs/>
              </w:rPr>
              <w:t>eport 2017</w:t>
            </w:r>
          </w:p>
          <w:p w14:paraId="2EBD8F1F" w14:textId="77777777" w:rsidR="00BB47D7" w:rsidRPr="003072C6" w:rsidRDefault="00B9443D" w:rsidP="00630937">
            <w:pPr>
              <w:pStyle w:val="DHHSreportsubtitle"/>
            </w:pPr>
            <w:r>
              <w:t>Victorian Integrated Cancer Services</w:t>
            </w:r>
          </w:p>
        </w:tc>
      </w:tr>
      <w:tr w:rsidR="009906C7" w:rsidRPr="003072C6" w14:paraId="4A3726C8" w14:textId="77777777" w:rsidTr="009906C7">
        <w:tc>
          <w:tcPr>
            <w:tcW w:w="9298" w:type="dxa"/>
            <w:shd w:val="clear" w:color="auto" w:fill="auto"/>
            <w:vAlign w:val="center"/>
          </w:tcPr>
          <w:p w14:paraId="5DE235CF" w14:textId="77777777" w:rsidR="009906C7" w:rsidRPr="003072C6" w:rsidRDefault="009906C7" w:rsidP="009906C7">
            <w:pPr>
              <w:pStyle w:val="DHHSbody"/>
            </w:pPr>
          </w:p>
        </w:tc>
      </w:tr>
    </w:tbl>
    <w:p w14:paraId="40D7A5AA" w14:textId="77777777" w:rsidR="00CA6D4E" w:rsidRPr="003072C6" w:rsidRDefault="00CA6D4E" w:rsidP="00CA6D4E">
      <w:pPr>
        <w:pStyle w:val="DHHSbodynospace"/>
      </w:pPr>
    </w:p>
    <w:p w14:paraId="2BFB50E3"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798D77DD" w14:textId="77777777" w:rsidTr="00564E8F">
        <w:trPr>
          <w:trHeight w:val="4313"/>
        </w:trPr>
        <w:tc>
          <w:tcPr>
            <w:tcW w:w="9401" w:type="dxa"/>
          </w:tcPr>
          <w:p w14:paraId="22D8FDCD" w14:textId="6C338046" w:rsidR="00564E8F" w:rsidRPr="00605B5B" w:rsidRDefault="00564E8F" w:rsidP="00FB19B5">
            <w:pPr>
              <w:spacing w:after="120" w:line="270" w:lineRule="atLeast"/>
              <w:rPr>
                <w:i/>
                <w:color w:val="008950"/>
                <w:sz w:val="26"/>
                <w:szCs w:val="26"/>
              </w:rPr>
            </w:pPr>
          </w:p>
        </w:tc>
      </w:tr>
      <w:tr w:rsidR="00564E8F" w:rsidRPr="003072C6" w14:paraId="4128D2C2" w14:textId="77777777" w:rsidTr="001F09DC">
        <w:trPr>
          <w:trHeight w:val="6336"/>
        </w:trPr>
        <w:tc>
          <w:tcPr>
            <w:tcW w:w="9401" w:type="dxa"/>
            <w:vAlign w:val="bottom"/>
          </w:tcPr>
          <w:p w14:paraId="7B7135C5" w14:textId="69903AAF" w:rsidR="00564E8F" w:rsidRPr="003072C6" w:rsidRDefault="00564E8F" w:rsidP="00605B5B">
            <w:pPr>
              <w:pStyle w:val="DHHSbody"/>
            </w:pPr>
          </w:p>
        </w:tc>
      </w:tr>
      <w:tr w:rsidR="009906C7" w:rsidRPr="003072C6" w14:paraId="2B981CEE" w14:textId="77777777" w:rsidTr="009906C7">
        <w:tc>
          <w:tcPr>
            <w:tcW w:w="9401" w:type="dxa"/>
            <w:vAlign w:val="bottom"/>
          </w:tcPr>
          <w:p w14:paraId="16B74FD1" w14:textId="77777777" w:rsidR="00FB19B5" w:rsidRPr="00605B5B" w:rsidRDefault="00FB19B5" w:rsidP="00FB19B5">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w:t>
            </w:r>
            <w:r w:rsidRPr="00D402A8">
              <w:rPr>
                <w:rFonts w:ascii="Arial" w:eastAsia="Times" w:hAnsi="Arial"/>
                <w:sz w:val="24"/>
                <w:szCs w:val="19"/>
              </w:rPr>
              <w:t xml:space="preserve">phone </w:t>
            </w:r>
            <w:r>
              <w:rPr>
                <w:rFonts w:ascii="Arial" w:eastAsia="Times" w:hAnsi="Arial"/>
                <w:sz w:val="24"/>
                <w:szCs w:val="19"/>
              </w:rPr>
              <w:t>(</w:t>
            </w:r>
            <w:r w:rsidRPr="00D402A8">
              <w:rPr>
                <w:rFonts w:ascii="Arial" w:eastAsia="Times" w:hAnsi="Arial"/>
                <w:sz w:val="24"/>
                <w:szCs w:val="19"/>
              </w:rPr>
              <w:t>03</w:t>
            </w:r>
            <w:r>
              <w:rPr>
                <w:rFonts w:ascii="Arial" w:eastAsia="Times" w:hAnsi="Arial"/>
                <w:sz w:val="24"/>
                <w:szCs w:val="19"/>
              </w:rPr>
              <w:t>)</w:t>
            </w:r>
            <w:r w:rsidRPr="00D402A8">
              <w:rPr>
                <w:rFonts w:ascii="Arial" w:eastAsia="Times" w:hAnsi="Arial"/>
                <w:sz w:val="24"/>
                <w:szCs w:val="19"/>
              </w:rPr>
              <w:t xml:space="preserve"> 9096 2136, using </w:t>
            </w:r>
            <w:r w:rsidRPr="00605B5B">
              <w:rPr>
                <w:rFonts w:ascii="Arial" w:eastAsia="Times" w:hAnsi="Arial"/>
                <w:sz w:val="24"/>
                <w:szCs w:val="19"/>
              </w:rPr>
              <w:t xml:space="preserve">the National Relay Service 13 36 77 if required, or email </w:t>
            </w:r>
            <w:r w:rsidRPr="00D402A8">
              <w:rPr>
                <w:rFonts w:ascii="Arial" w:eastAsia="Times" w:hAnsi="Arial"/>
                <w:sz w:val="24"/>
                <w:szCs w:val="19"/>
              </w:rPr>
              <w:t>cancerplanning@dhhs.vic.gov.au</w:t>
            </w:r>
          </w:p>
          <w:p w14:paraId="117DB21C" w14:textId="77777777" w:rsidR="00FB19B5" w:rsidRPr="00605B5B" w:rsidRDefault="00FB19B5" w:rsidP="00FB19B5">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1E26A3F5" w14:textId="257C4CE4" w:rsidR="00FB19B5" w:rsidRPr="00D402A8" w:rsidRDefault="00FB19B5" w:rsidP="00FB19B5">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w:t>
            </w:r>
            <w:r w:rsidR="003A5A90">
              <w:rPr>
                <w:rFonts w:ascii="Arial" w:eastAsia="Times" w:hAnsi="Arial"/>
              </w:rPr>
              <w:t>Services September, 2018</w:t>
            </w:r>
            <w:r w:rsidRPr="00D402A8">
              <w:rPr>
                <w:rFonts w:ascii="Arial" w:eastAsia="Times" w:hAnsi="Arial"/>
              </w:rPr>
              <w:t>.</w:t>
            </w:r>
          </w:p>
          <w:p w14:paraId="48289B2F" w14:textId="77777777" w:rsidR="00BE21F9" w:rsidRDefault="00BE21F9" w:rsidP="00FB19B5">
            <w:pPr>
              <w:spacing w:after="120" w:line="270" w:lineRule="atLeast"/>
              <w:rPr>
                <w:rFonts w:ascii="Arial" w:hAnsi="Arial" w:cs="Arial"/>
                <w:b/>
                <w:bCs/>
                <w:color w:val="000000"/>
                <w:sz w:val="22"/>
                <w:szCs w:val="22"/>
                <w:lang w:eastAsia="en-AU"/>
              </w:rPr>
            </w:pPr>
            <w:r>
              <w:rPr>
                <w:rFonts w:ascii="Arial" w:hAnsi="Arial" w:cs="Arial"/>
                <w:b/>
                <w:bCs/>
                <w:color w:val="000000"/>
                <w:sz w:val="22"/>
                <w:szCs w:val="22"/>
                <w:lang w:eastAsia="en-AU"/>
              </w:rPr>
              <w:t xml:space="preserve">ISBN </w:t>
            </w:r>
            <w:r>
              <w:rPr>
                <w:rFonts w:ascii="Arial" w:hAnsi="Arial" w:cs="Arial"/>
                <w:color w:val="000000"/>
                <w:sz w:val="22"/>
                <w:szCs w:val="22"/>
                <w:lang w:eastAsia="en-AU"/>
              </w:rPr>
              <w:t>978-1-76069-619-1</w:t>
            </w:r>
            <w:r>
              <w:rPr>
                <w:rFonts w:ascii="Arial" w:hAnsi="Arial" w:cs="Arial"/>
                <w:b/>
                <w:bCs/>
                <w:color w:val="000000"/>
                <w:sz w:val="22"/>
                <w:szCs w:val="22"/>
                <w:lang w:eastAsia="en-AU"/>
              </w:rPr>
              <w:t xml:space="preserve"> (pdf/online/MS word)</w:t>
            </w:r>
          </w:p>
          <w:p w14:paraId="218CFC95" w14:textId="58D64359" w:rsidR="00FB19B5" w:rsidRPr="00605B5B" w:rsidRDefault="00FB19B5" w:rsidP="00FB19B5">
            <w:pPr>
              <w:spacing w:after="120" w:line="270" w:lineRule="atLeast"/>
              <w:rPr>
                <w:rFonts w:ascii="Arial" w:eastAsia="Times" w:hAnsi="Arial"/>
                <w:szCs w:val="19"/>
              </w:rPr>
            </w:pPr>
            <w:r>
              <w:rPr>
                <w:rFonts w:ascii="Arial" w:eastAsia="Times" w:hAnsi="Arial"/>
                <w:szCs w:val="19"/>
              </w:rPr>
              <w:t xml:space="preserve">Available </w:t>
            </w:r>
            <w:r w:rsidRPr="007358D6">
              <w:rPr>
                <w:rFonts w:ascii="Arial" w:eastAsia="Times" w:hAnsi="Arial"/>
              </w:rPr>
              <w:t>at www.health.vic.gov.au/cancer</w:t>
            </w:r>
          </w:p>
          <w:p w14:paraId="562A309F" w14:textId="77777777" w:rsidR="009906C7" w:rsidRPr="003072C6" w:rsidRDefault="009906C7" w:rsidP="009906C7">
            <w:pPr>
              <w:pStyle w:val="DHHSbody"/>
            </w:pPr>
          </w:p>
        </w:tc>
      </w:tr>
    </w:tbl>
    <w:p w14:paraId="158AC3C6" w14:textId="77777777" w:rsidR="00AC0C3B" w:rsidRPr="00636934" w:rsidRDefault="00AC0C3B" w:rsidP="00B13241">
      <w:pPr>
        <w:pStyle w:val="DHHSTOCheadingreport"/>
      </w:pPr>
      <w:r w:rsidRPr="00636934">
        <w:t>Contents</w:t>
      </w:r>
    </w:p>
    <w:p w14:paraId="3AEC535B" w14:textId="77777777" w:rsidR="008B3161" w:rsidRDefault="008B3161">
      <w:pPr>
        <w:pStyle w:val="TOC1"/>
        <w:rPr>
          <w:rFonts w:asciiTheme="minorHAnsi" w:eastAsiaTheme="minorEastAsia" w:hAnsiTheme="minorHAnsi" w:cstheme="minorBidi"/>
          <w:b w:val="0"/>
          <w:sz w:val="22"/>
          <w:szCs w:val="22"/>
          <w:lang w:eastAsia="en-AU"/>
        </w:rPr>
      </w:pPr>
      <w:r>
        <w:rPr>
          <w:b w:val="0"/>
          <w:noProof w:val="0"/>
        </w:rPr>
        <w:fldChar w:fldCharType="begin"/>
      </w:r>
      <w:r>
        <w:rPr>
          <w:b w:val="0"/>
          <w:noProof w:val="0"/>
        </w:rPr>
        <w:instrText xml:space="preserve"> TOC \o "1-2" \h \z \u </w:instrText>
      </w:r>
      <w:r>
        <w:rPr>
          <w:b w:val="0"/>
          <w:noProof w:val="0"/>
        </w:rPr>
        <w:fldChar w:fldCharType="separate"/>
      </w:r>
      <w:hyperlink w:anchor="_Toc524425480" w:history="1">
        <w:r w:rsidRPr="001B5044">
          <w:rPr>
            <w:rStyle w:val="Hyperlink"/>
          </w:rPr>
          <w:t>Acknowledgements</w:t>
        </w:r>
        <w:r>
          <w:rPr>
            <w:webHidden/>
          </w:rPr>
          <w:tab/>
        </w:r>
        <w:r>
          <w:rPr>
            <w:webHidden/>
          </w:rPr>
          <w:fldChar w:fldCharType="begin"/>
        </w:r>
        <w:r>
          <w:rPr>
            <w:webHidden/>
          </w:rPr>
          <w:instrText xml:space="preserve"> PAGEREF _Toc524425480 \h </w:instrText>
        </w:r>
        <w:r>
          <w:rPr>
            <w:webHidden/>
          </w:rPr>
        </w:r>
        <w:r>
          <w:rPr>
            <w:webHidden/>
          </w:rPr>
          <w:fldChar w:fldCharType="separate"/>
        </w:r>
        <w:r w:rsidR="005E110B">
          <w:rPr>
            <w:webHidden/>
          </w:rPr>
          <w:t>1</w:t>
        </w:r>
        <w:r>
          <w:rPr>
            <w:webHidden/>
          </w:rPr>
          <w:fldChar w:fldCharType="end"/>
        </w:r>
      </w:hyperlink>
    </w:p>
    <w:p w14:paraId="1746A446" w14:textId="77777777" w:rsidR="008B3161" w:rsidRDefault="005E110B">
      <w:pPr>
        <w:pStyle w:val="TOC1"/>
        <w:rPr>
          <w:rFonts w:asciiTheme="minorHAnsi" w:eastAsiaTheme="minorEastAsia" w:hAnsiTheme="minorHAnsi" w:cstheme="minorBidi"/>
          <w:b w:val="0"/>
          <w:sz w:val="22"/>
          <w:szCs w:val="22"/>
          <w:lang w:eastAsia="en-AU"/>
        </w:rPr>
      </w:pPr>
      <w:hyperlink w:anchor="_Toc524425481" w:history="1">
        <w:r w:rsidR="008B3161" w:rsidRPr="001B5044">
          <w:rPr>
            <w:rStyle w:val="Hyperlink"/>
          </w:rPr>
          <w:t>At a glance</w:t>
        </w:r>
        <w:r w:rsidR="008B3161">
          <w:rPr>
            <w:webHidden/>
          </w:rPr>
          <w:tab/>
        </w:r>
        <w:r w:rsidR="008B3161">
          <w:rPr>
            <w:webHidden/>
          </w:rPr>
          <w:fldChar w:fldCharType="begin"/>
        </w:r>
        <w:r w:rsidR="008B3161">
          <w:rPr>
            <w:webHidden/>
          </w:rPr>
          <w:instrText xml:space="preserve"> PAGEREF _Toc524425481 \h </w:instrText>
        </w:r>
        <w:r w:rsidR="008B3161">
          <w:rPr>
            <w:webHidden/>
          </w:rPr>
        </w:r>
        <w:r w:rsidR="008B3161">
          <w:rPr>
            <w:webHidden/>
          </w:rPr>
          <w:fldChar w:fldCharType="separate"/>
        </w:r>
        <w:r>
          <w:rPr>
            <w:webHidden/>
          </w:rPr>
          <w:t>2</w:t>
        </w:r>
        <w:r w:rsidR="008B3161">
          <w:rPr>
            <w:webHidden/>
          </w:rPr>
          <w:fldChar w:fldCharType="end"/>
        </w:r>
      </w:hyperlink>
    </w:p>
    <w:p w14:paraId="0C18DF95" w14:textId="77777777" w:rsidR="008B3161" w:rsidRDefault="005E110B">
      <w:pPr>
        <w:pStyle w:val="TOC2"/>
        <w:rPr>
          <w:rFonts w:asciiTheme="minorHAnsi" w:eastAsiaTheme="minorEastAsia" w:hAnsiTheme="minorHAnsi" w:cstheme="minorBidi"/>
          <w:sz w:val="22"/>
          <w:szCs w:val="22"/>
          <w:lang w:eastAsia="en-AU"/>
        </w:rPr>
      </w:pPr>
      <w:hyperlink w:anchor="_Toc524425482" w:history="1">
        <w:r w:rsidR="008B3161" w:rsidRPr="001B5044">
          <w:rPr>
            <w:rStyle w:val="Hyperlink"/>
            <w:rFonts w:eastAsia="Calibri"/>
            <w:lang w:val="en-US"/>
          </w:rPr>
          <w:t xml:space="preserve">Key </w:t>
        </w:r>
        <w:r w:rsidR="008B3161" w:rsidRPr="001B5044">
          <w:rPr>
            <w:rStyle w:val="Hyperlink"/>
            <w:rFonts w:eastAsia="Calibri"/>
          </w:rPr>
          <w:t>findings</w:t>
        </w:r>
        <w:r w:rsidR="008B3161">
          <w:rPr>
            <w:webHidden/>
          </w:rPr>
          <w:tab/>
        </w:r>
        <w:r w:rsidR="008B3161">
          <w:rPr>
            <w:webHidden/>
          </w:rPr>
          <w:fldChar w:fldCharType="begin"/>
        </w:r>
        <w:r w:rsidR="008B3161">
          <w:rPr>
            <w:webHidden/>
          </w:rPr>
          <w:instrText xml:space="preserve"> PAGEREF _Toc524425482 \h </w:instrText>
        </w:r>
        <w:r w:rsidR="008B3161">
          <w:rPr>
            <w:webHidden/>
          </w:rPr>
        </w:r>
        <w:r w:rsidR="008B3161">
          <w:rPr>
            <w:webHidden/>
          </w:rPr>
          <w:fldChar w:fldCharType="separate"/>
        </w:r>
        <w:r>
          <w:rPr>
            <w:webHidden/>
          </w:rPr>
          <w:t>2</w:t>
        </w:r>
        <w:r w:rsidR="008B3161">
          <w:rPr>
            <w:webHidden/>
          </w:rPr>
          <w:fldChar w:fldCharType="end"/>
        </w:r>
      </w:hyperlink>
    </w:p>
    <w:p w14:paraId="31461BEA" w14:textId="77777777" w:rsidR="008B3161" w:rsidRDefault="005E110B">
      <w:pPr>
        <w:pStyle w:val="TOC1"/>
        <w:rPr>
          <w:rFonts w:asciiTheme="minorHAnsi" w:eastAsiaTheme="minorEastAsia" w:hAnsiTheme="minorHAnsi" w:cstheme="minorBidi"/>
          <w:b w:val="0"/>
          <w:sz w:val="22"/>
          <w:szCs w:val="22"/>
          <w:lang w:eastAsia="en-AU"/>
        </w:rPr>
      </w:pPr>
      <w:hyperlink w:anchor="_Toc524425483" w:history="1">
        <w:r w:rsidR="008B3161" w:rsidRPr="001B5044">
          <w:rPr>
            <w:rStyle w:val="Hyperlink"/>
          </w:rPr>
          <w:t>Main report</w:t>
        </w:r>
        <w:r w:rsidR="008B3161">
          <w:rPr>
            <w:webHidden/>
          </w:rPr>
          <w:tab/>
        </w:r>
        <w:r w:rsidR="008B3161">
          <w:rPr>
            <w:webHidden/>
          </w:rPr>
          <w:fldChar w:fldCharType="begin"/>
        </w:r>
        <w:r w:rsidR="008B3161">
          <w:rPr>
            <w:webHidden/>
          </w:rPr>
          <w:instrText xml:space="preserve"> PAGEREF _Toc524425483 \h </w:instrText>
        </w:r>
        <w:r w:rsidR="008B3161">
          <w:rPr>
            <w:webHidden/>
          </w:rPr>
        </w:r>
        <w:r w:rsidR="008B3161">
          <w:rPr>
            <w:webHidden/>
          </w:rPr>
          <w:fldChar w:fldCharType="separate"/>
        </w:r>
        <w:r>
          <w:rPr>
            <w:webHidden/>
          </w:rPr>
          <w:t>3</w:t>
        </w:r>
        <w:r w:rsidR="008B3161">
          <w:rPr>
            <w:webHidden/>
          </w:rPr>
          <w:fldChar w:fldCharType="end"/>
        </w:r>
      </w:hyperlink>
    </w:p>
    <w:p w14:paraId="69A9B01B" w14:textId="77777777" w:rsidR="008B3161" w:rsidRDefault="005E110B">
      <w:pPr>
        <w:pStyle w:val="TOC2"/>
        <w:rPr>
          <w:rFonts w:asciiTheme="minorHAnsi" w:eastAsiaTheme="minorEastAsia" w:hAnsiTheme="minorHAnsi" w:cstheme="minorBidi"/>
          <w:sz w:val="22"/>
          <w:szCs w:val="22"/>
          <w:lang w:eastAsia="en-AU"/>
        </w:rPr>
      </w:pPr>
      <w:hyperlink w:anchor="_Toc524425484" w:history="1">
        <w:r w:rsidR="008B3161" w:rsidRPr="001B5044">
          <w:rPr>
            <w:rStyle w:val="Hyperlink"/>
          </w:rPr>
          <w:t>Introduction</w:t>
        </w:r>
        <w:r w:rsidR="008B3161">
          <w:rPr>
            <w:webHidden/>
          </w:rPr>
          <w:tab/>
        </w:r>
        <w:r w:rsidR="008B3161">
          <w:rPr>
            <w:webHidden/>
          </w:rPr>
          <w:fldChar w:fldCharType="begin"/>
        </w:r>
        <w:r w:rsidR="008B3161">
          <w:rPr>
            <w:webHidden/>
          </w:rPr>
          <w:instrText xml:space="preserve"> PAGEREF _Toc524425484 \h </w:instrText>
        </w:r>
        <w:r w:rsidR="008B3161">
          <w:rPr>
            <w:webHidden/>
          </w:rPr>
        </w:r>
        <w:r w:rsidR="008B3161">
          <w:rPr>
            <w:webHidden/>
          </w:rPr>
          <w:fldChar w:fldCharType="separate"/>
        </w:r>
        <w:r>
          <w:rPr>
            <w:webHidden/>
          </w:rPr>
          <w:t>3</w:t>
        </w:r>
        <w:r w:rsidR="008B3161">
          <w:rPr>
            <w:webHidden/>
          </w:rPr>
          <w:fldChar w:fldCharType="end"/>
        </w:r>
      </w:hyperlink>
    </w:p>
    <w:p w14:paraId="2DD5DC51" w14:textId="77777777" w:rsidR="008B3161" w:rsidRDefault="005E110B">
      <w:pPr>
        <w:pStyle w:val="TOC2"/>
        <w:rPr>
          <w:rFonts w:asciiTheme="minorHAnsi" w:eastAsiaTheme="minorEastAsia" w:hAnsiTheme="minorHAnsi" w:cstheme="minorBidi"/>
          <w:sz w:val="22"/>
          <w:szCs w:val="22"/>
          <w:lang w:eastAsia="en-AU"/>
        </w:rPr>
      </w:pPr>
      <w:hyperlink w:anchor="_Toc524425485" w:history="1">
        <w:r w:rsidR="008B3161" w:rsidRPr="001B5044">
          <w:rPr>
            <w:rStyle w:val="Hyperlink"/>
          </w:rPr>
          <w:t>Background</w:t>
        </w:r>
        <w:r w:rsidR="008B3161">
          <w:rPr>
            <w:webHidden/>
          </w:rPr>
          <w:tab/>
        </w:r>
        <w:r w:rsidR="008B3161">
          <w:rPr>
            <w:webHidden/>
          </w:rPr>
          <w:fldChar w:fldCharType="begin"/>
        </w:r>
        <w:r w:rsidR="008B3161">
          <w:rPr>
            <w:webHidden/>
          </w:rPr>
          <w:instrText xml:space="preserve"> PAGEREF _Toc524425485 \h </w:instrText>
        </w:r>
        <w:r w:rsidR="008B3161">
          <w:rPr>
            <w:webHidden/>
          </w:rPr>
        </w:r>
        <w:r w:rsidR="008B3161">
          <w:rPr>
            <w:webHidden/>
          </w:rPr>
          <w:fldChar w:fldCharType="separate"/>
        </w:r>
        <w:r>
          <w:rPr>
            <w:webHidden/>
          </w:rPr>
          <w:t>3</w:t>
        </w:r>
        <w:r w:rsidR="008B3161">
          <w:rPr>
            <w:webHidden/>
          </w:rPr>
          <w:fldChar w:fldCharType="end"/>
        </w:r>
      </w:hyperlink>
    </w:p>
    <w:p w14:paraId="0071E779" w14:textId="77777777" w:rsidR="008B3161" w:rsidRDefault="005E110B">
      <w:pPr>
        <w:pStyle w:val="TOC2"/>
        <w:rPr>
          <w:rFonts w:asciiTheme="minorHAnsi" w:eastAsiaTheme="minorEastAsia" w:hAnsiTheme="minorHAnsi" w:cstheme="minorBidi"/>
          <w:sz w:val="22"/>
          <w:szCs w:val="22"/>
          <w:lang w:eastAsia="en-AU"/>
        </w:rPr>
      </w:pPr>
      <w:hyperlink w:anchor="_Toc524425486" w:history="1">
        <w:r w:rsidR="008B3161" w:rsidRPr="001B5044">
          <w:rPr>
            <w:rStyle w:val="Hyperlink"/>
          </w:rPr>
          <w:t>Methodology</w:t>
        </w:r>
        <w:r w:rsidR="008B3161">
          <w:rPr>
            <w:webHidden/>
          </w:rPr>
          <w:tab/>
        </w:r>
        <w:r w:rsidR="008B3161">
          <w:rPr>
            <w:webHidden/>
          </w:rPr>
          <w:fldChar w:fldCharType="begin"/>
        </w:r>
        <w:r w:rsidR="008B3161">
          <w:rPr>
            <w:webHidden/>
          </w:rPr>
          <w:instrText xml:space="preserve"> PAGEREF _Toc524425486 \h </w:instrText>
        </w:r>
        <w:r w:rsidR="008B3161">
          <w:rPr>
            <w:webHidden/>
          </w:rPr>
        </w:r>
        <w:r w:rsidR="008B3161">
          <w:rPr>
            <w:webHidden/>
          </w:rPr>
          <w:fldChar w:fldCharType="separate"/>
        </w:r>
        <w:r>
          <w:rPr>
            <w:webHidden/>
          </w:rPr>
          <w:t>4</w:t>
        </w:r>
        <w:r w:rsidR="008B3161">
          <w:rPr>
            <w:webHidden/>
          </w:rPr>
          <w:fldChar w:fldCharType="end"/>
        </w:r>
      </w:hyperlink>
    </w:p>
    <w:p w14:paraId="2CC9AA7B" w14:textId="77777777" w:rsidR="008B3161" w:rsidRDefault="005E110B">
      <w:pPr>
        <w:pStyle w:val="TOC2"/>
        <w:rPr>
          <w:rFonts w:asciiTheme="minorHAnsi" w:eastAsiaTheme="minorEastAsia" w:hAnsiTheme="minorHAnsi" w:cstheme="minorBidi"/>
          <w:sz w:val="22"/>
          <w:szCs w:val="22"/>
          <w:lang w:eastAsia="en-AU"/>
        </w:rPr>
      </w:pPr>
      <w:hyperlink w:anchor="_Toc524425487" w:history="1">
        <w:r w:rsidR="008B3161" w:rsidRPr="001B5044">
          <w:rPr>
            <w:rStyle w:val="Hyperlink"/>
          </w:rPr>
          <w:t>Data validation and consolidation</w:t>
        </w:r>
        <w:r w:rsidR="008B3161">
          <w:rPr>
            <w:webHidden/>
          </w:rPr>
          <w:tab/>
        </w:r>
        <w:r w:rsidR="008B3161">
          <w:rPr>
            <w:webHidden/>
          </w:rPr>
          <w:fldChar w:fldCharType="begin"/>
        </w:r>
        <w:r w:rsidR="008B3161">
          <w:rPr>
            <w:webHidden/>
          </w:rPr>
          <w:instrText xml:space="preserve"> PAGEREF _Toc524425487 \h </w:instrText>
        </w:r>
        <w:r w:rsidR="008B3161">
          <w:rPr>
            <w:webHidden/>
          </w:rPr>
        </w:r>
        <w:r w:rsidR="008B3161">
          <w:rPr>
            <w:webHidden/>
          </w:rPr>
          <w:fldChar w:fldCharType="separate"/>
        </w:r>
        <w:r>
          <w:rPr>
            <w:webHidden/>
          </w:rPr>
          <w:t>5</w:t>
        </w:r>
        <w:r w:rsidR="008B3161">
          <w:rPr>
            <w:webHidden/>
          </w:rPr>
          <w:fldChar w:fldCharType="end"/>
        </w:r>
      </w:hyperlink>
    </w:p>
    <w:p w14:paraId="4F9DF9E4" w14:textId="77777777" w:rsidR="008B3161" w:rsidRDefault="005E110B">
      <w:pPr>
        <w:pStyle w:val="TOC2"/>
        <w:rPr>
          <w:rFonts w:asciiTheme="minorHAnsi" w:eastAsiaTheme="minorEastAsia" w:hAnsiTheme="minorHAnsi" w:cstheme="minorBidi"/>
          <w:sz w:val="22"/>
          <w:szCs w:val="22"/>
          <w:lang w:eastAsia="en-AU"/>
        </w:rPr>
      </w:pPr>
      <w:hyperlink w:anchor="_Toc524425488" w:history="1">
        <w:r w:rsidR="008B3161" w:rsidRPr="001B5044">
          <w:rPr>
            <w:rStyle w:val="Hyperlink"/>
          </w:rPr>
          <w:t>Data limitations</w:t>
        </w:r>
        <w:r w:rsidR="008B3161">
          <w:rPr>
            <w:webHidden/>
          </w:rPr>
          <w:tab/>
        </w:r>
        <w:r w:rsidR="008B3161">
          <w:rPr>
            <w:webHidden/>
          </w:rPr>
          <w:fldChar w:fldCharType="begin"/>
        </w:r>
        <w:r w:rsidR="008B3161">
          <w:rPr>
            <w:webHidden/>
          </w:rPr>
          <w:instrText xml:space="preserve"> PAGEREF _Toc524425488 \h </w:instrText>
        </w:r>
        <w:r w:rsidR="008B3161">
          <w:rPr>
            <w:webHidden/>
          </w:rPr>
        </w:r>
        <w:r w:rsidR="008B3161">
          <w:rPr>
            <w:webHidden/>
          </w:rPr>
          <w:fldChar w:fldCharType="separate"/>
        </w:r>
        <w:r>
          <w:rPr>
            <w:webHidden/>
          </w:rPr>
          <w:t>6</w:t>
        </w:r>
        <w:r w:rsidR="008B3161">
          <w:rPr>
            <w:webHidden/>
          </w:rPr>
          <w:fldChar w:fldCharType="end"/>
        </w:r>
      </w:hyperlink>
    </w:p>
    <w:p w14:paraId="7A88708F" w14:textId="77777777" w:rsidR="008B3161" w:rsidRDefault="005E110B">
      <w:pPr>
        <w:pStyle w:val="TOC2"/>
        <w:rPr>
          <w:rFonts w:asciiTheme="minorHAnsi" w:eastAsiaTheme="minorEastAsia" w:hAnsiTheme="minorHAnsi" w:cstheme="minorBidi"/>
          <w:sz w:val="22"/>
          <w:szCs w:val="22"/>
          <w:lang w:eastAsia="en-AU"/>
        </w:rPr>
      </w:pPr>
      <w:hyperlink w:anchor="_Toc524425489" w:history="1">
        <w:r w:rsidR="008B3161" w:rsidRPr="001B5044">
          <w:rPr>
            <w:rStyle w:val="Hyperlink"/>
          </w:rPr>
          <w:t>Findings</w:t>
        </w:r>
        <w:r w:rsidR="008B3161">
          <w:rPr>
            <w:webHidden/>
          </w:rPr>
          <w:tab/>
        </w:r>
        <w:r w:rsidR="008B3161">
          <w:rPr>
            <w:webHidden/>
          </w:rPr>
          <w:fldChar w:fldCharType="begin"/>
        </w:r>
        <w:r w:rsidR="008B3161">
          <w:rPr>
            <w:webHidden/>
          </w:rPr>
          <w:instrText xml:space="preserve"> PAGEREF _Toc524425489 \h </w:instrText>
        </w:r>
        <w:r w:rsidR="008B3161">
          <w:rPr>
            <w:webHidden/>
          </w:rPr>
        </w:r>
        <w:r w:rsidR="008B3161">
          <w:rPr>
            <w:webHidden/>
          </w:rPr>
          <w:fldChar w:fldCharType="separate"/>
        </w:r>
        <w:r>
          <w:rPr>
            <w:webHidden/>
          </w:rPr>
          <w:t>6</w:t>
        </w:r>
        <w:r w:rsidR="008B3161">
          <w:rPr>
            <w:webHidden/>
          </w:rPr>
          <w:fldChar w:fldCharType="end"/>
        </w:r>
      </w:hyperlink>
    </w:p>
    <w:p w14:paraId="5F532678" w14:textId="77777777" w:rsidR="008B3161" w:rsidRDefault="005E110B">
      <w:pPr>
        <w:pStyle w:val="TOC1"/>
        <w:rPr>
          <w:rFonts w:asciiTheme="minorHAnsi" w:eastAsiaTheme="minorEastAsia" w:hAnsiTheme="minorHAnsi" w:cstheme="minorBidi"/>
          <w:b w:val="0"/>
          <w:sz w:val="22"/>
          <w:szCs w:val="22"/>
          <w:lang w:eastAsia="en-AU"/>
        </w:rPr>
      </w:pPr>
      <w:hyperlink w:anchor="_Toc524425490" w:history="1">
        <w:r w:rsidR="008B3161" w:rsidRPr="001B5044">
          <w:rPr>
            <w:rStyle w:val="Hyperlink"/>
          </w:rPr>
          <w:t>Conclusions</w:t>
        </w:r>
        <w:r w:rsidR="008B3161">
          <w:rPr>
            <w:webHidden/>
          </w:rPr>
          <w:tab/>
        </w:r>
        <w:r w:rsidR="008B3161">
          <w:rPr>
            <w:webHidden/>
          </w:rPr>
          <w:fldChar w:fldCharType="begin"/>
        </w:r>
        <w:r w:rsidR="008B3161">
          <w:rPr>
            <w:webHidden/>
          </w:rPr>
          <w:instrText xml:space="preserve"> PAGEREF _Toc524425490 \h </w:instrText>
        </w:r>
        <w:r w:rsidR="008B3161">
          <w:rPr>
            <w:webHidden/>
          </w:rPr>
        </w:r>
        <w:r w:rsidR="008B3161">
          <w:rPr>
            <w:webHidden/>
          </w:rPr>
          <w:fldChar w:fldCharType="separate"/>
        </w:r>
        <w:r>
          <w:rPr>
            <w:webHidden/>
          </w:rPr>
          <w:t>16</w:t>
        </w:r>
        <w:r w:rsidR="008B3161">
          <w:rPr>
            <w:webHidden/>
          </w:rPr>
          <w:fldChar w:fldCharType="end"/>
        </w:r>
      </w:hyperlink>
    </w:p>
    <w:p w14:paraId="13F7A1A3" w14:textId="77777777" w:rsidR="008B3161" w:rsidRDefault="005E110B">
      <w:pPr>
        <w:pStyle w:val="TOC2"/>
        <w:rPr>
          <w:rFonts w:asciiTheme="minorHAnsi" w:eastAsiaTheme="minorEastAsia" w:hAnsiTheme="minorHAnsi" w:cstheme="minorBidi"/>
          <w:sz w:val="22"/>
          <w:szCs w:val="22"/>
          <w:lang w:eastAsia="en-AU"/>
        </w:rPr>
      </w:pPr>
      <w:hyperlink w:anchor="_Toc524425491" w:history="1">
        <w:r w:rsidR="008B3161" w:rsidRPr="001B5044">
          <w:rPr>
            <w:rStyle w:val="Hyperlink"/>
            <w:lang w:eastAsia="en-AU"/>
          </w:rPr>
          <w:t>MDM capture rate</w:t>
        </w:r>
        <w:r w:rsidR="008B3161">
          <w:rPr>
            <w:webHidden/>
          </w:rPr>
          <w:tab/>
        </w:r>
        <w:r w:rsidR="008B3161">
          <w:rPr>
            <w:webHidden/>
          </w:rPr>
          <w:fldChar w:fldCharType="begin"/>
        </w:r>
        <w:r w:rsidR="008B3161">
          <w:rPr>
            <w:webHidden/>
          </w:rPr>
          <w:instrText xml:space="preserve"> PAGEREF _Toc524425491 \h </w:instrText>
        </w:r>
        <w:r w:rsidR="008B3161">
          <w:rPr>
            <w:webHidden/>
          </w:rPr>
        </w:r>
        <w:r w:rsidR="008B3161">
          <w:rPr>
            <w:webHidden/>
          </w:rPr>
          <w:fldChar w:fldCharType="separate"/>
        </w:r>
        <w:r>
          <w:rPr>
            <w:webHidden/>
          </w:rPr>
          <w:t>16</w:t>
        </w:r>
        <w:r w:rsidR="008B3161">
          <w:rPr>
            <w:webHidden/>
          </w:rPr>
          <w:fldChar w:fldCharType="end"/>
        </w:r>
      </w:hyperlink>
    </w:p>
    <w:p w14:paraId="1E00AE1A" w14:textId="77777777" w:rsidR="008B3161" w:rsidRDefault="005E110B">
      <w:pPr>
        <w:pStyle w:val="TOC2"/>
        <w:rPr>
          <w:rFonts w:asciiTheme="minorHAnsi" w:eastAsiaTheme="minorEastAsia" w:hAnsiTheme="minorHAnsi" w:cstheme="minorBidi"/>
          <w:sz w:val="22"/>
          <w:szCs w:val="22"/>
          <w:lang w:eastAsia="en-AU"/>
        </w:rPr>
      </w:pPr>
      <w:hyperlink w:anchor="_Toc524425492" w:history="1">
        <w:r w:rsidR="008B3161" w:rsidRPr="001B5044">
          <w:rPr>
            <w:rStyle w:val="Hyperlink"/>
          </w:rPr>
          <w:t>Does timeliness of care align with OG optimal care pathway recommendations?</w:t>
        </w:r>
        <w:r w:rsidR="008B3161">
          <w:rPr>
            <w:webHidden/>
          </w:rPr>
          <w:tab/>
        </w:r>
        <w:r w:rsidR="008B3161">
          <w:rPr>
            <w:webHidden/>
          </w:rPr>
          <w:fldChar w:fldCharType="begin"/>
        </w:r>
        <w:r w:rsidR="008B3161">
          <w:rPr>
            <w:webHidden/>
          </w:rPr>
          <w:instrText xml:space="preserve"> PAGEREF _Toc524425492 \h </w:instrText>
        </w:r>
        <w:r w:rsidR="008B3161">
          <w:rPr>
            <w:webHidden/>
          </w:rPr>
        </w:r>
        <w:r w:rsidR="008B3161">
          <w:rPr>
            <w:webHidden/>
          </w:rPr>
          <w:fldChar w:fldCharType="separate"/>
        </w:r>
        <w:r>
          <w:rPr>
            <w:webHidden/>
          </w:rPr>
          <w:t>16</w:t>
        </w:r>
        <w:r w:rsidR="008B3161">
          <w:rPr>
            <w:webHidden/>
          </w:rPr>
          <w:fldChar w:fldCharType="end"/>
        </w:r>
      </w:hyperlink>
    </w:p>
    <w:p w14:paraId="1B23E4A7" w14:textId="77777777" w:rsidR="008B3161" w:rsidRDefault="005E110B">
      <w:pPr>
        <w:pStyle w:val="TOC1"/>
        <w:rPr>
          <w:rFonts w:asciiTheme="minorHAnsi" w:eastAsiaTheme="minorEastAsia" w:hAnsiTheme="minorHAnsi" w:cstheme="minorBidi"/>
          <w:b w:val="0"/>
          <w:sz w:val="22"/>
          <w:szCs w:val="22"/>
          <w:lang w:eastAsia="en-AU"/>
        </w:rPr>
      </w:pPr>
      <w:hyperlink w:anchor="_Toc524425493" w:history="1">
        <w:r w:rsidR="008B3161" w:rsidRPr="001B5044">
          <w:rPr>
            <w:rStyle w:val="Hyperlink"/>
          </w:rPr>
          <w:t>Appendix 1: List of audited hospitals</w:t>
        </w:r>
        <w:r w:rsidR="008B3161">
          <w:rPr>
            <w:webHidden/>
          </w:rPr>
          <w:tab/>
        </w:r>
        <w:r w:rsidR="008B3161">
          <w:rPr>
            <w:webHidden/>
          </w:rPr>
          <w:fldChar w:fldCharType="begin"/>
        </w:r>
        <w:r w:rsidR="008B3161">
          <w:rPr>
            <w:webHidden/>
          </w:rPr>
          <w:instrText xml:space="preserve"> PAGEREF _Toc524425493 \h </w:instrText>
        </w:r>
        <w:r w:rsidR="008B3161">
          <w:rPr>
            <w:webHidden/>
          </w:rPr>
        </w:r>
        <w:r w:rsidR="008B3161">
          <w:rPr>
            <w:webHidden/>
          </w:rPr>
          <w:fldChar w:fldCharType="separate"/>
        </w:r>
        <w:r>
          <w:rPr>
            <w:webHidden/>
          </w:rPr>
          <w:t>17</w:t>
        </w:r>
        <w:r w:rsidR="008B3161">
          <w:rPr>
            <w:webHidden/>
          </w:rPr>
          <w:fldChar w:fldCharType="end"/>
        </w:r>
      </w:hyperlink>
    </w:p>
    <w:p w14:paraId="4B079FE7" w14:textId="77777777" w:rsidR="008B3161" w:rsidRDefault="005E110B">
      <w:pPr>
        <w:pStyle w:val="TOC1"/>
        <w:rPr>
          <w:rFonts w:asciiTheme="minorHAnsi" w:eastAsiaTheme="minorEastAsia" w:hAnsiTheme="minorHAnsi" w:cstheme="minorBidi"/>
          <w:b w:val="0"/>
          <w:sz w:val="22"/>
          <w:szCs w:val="22"/>
          <w:lang w:eastAsia="en-AU"/>
        </w:rPr>
      </w:pPr>
      <w:hyperlink w:anchor="_Toc524425494" w:history="1">
        <w:r w:rsidR="008B3161" w:rsidRPr="001B5044">
          <w:rPr>
            <w:rStyle w:val="Hyperlink"/>
            <w:rFonts w:eastAsia="Calibri"/>
          </w:rPr>
          <w:t>Appendix 2: Victorian OG Cancer Audit case ascertainment method</w:t>
        </w:r>
        <w:r w:rsidR="008B3161">
          <w:rPr>
            <w:webHidden/>
          </w:rPr>
          <w:tab/>
        </w:r>
        <w:r w:rsidR="008B3161">
          <w:rPr>
            <w:webHidden/>
          </w:rPr>
          <w:fldChar w:fldCharType="begin"/>
        </w:r>
        <w:r w:rsidR="008B3161">
          <w:rPr>
            <w:webHidden/>
          </w:rPr>
          <w:instrText xml:space="preserve"> PAGEREF _Toc524425494 \h </w:instrText>
        </w:r>
        <w:r w:rsidR="008B3161">
          <w:rPr>
            <w:webHidden/>
          </w:rPr>
        </w:r>
        <w:r w:rsidR="008B3161">
          <w:rPr>
            <w:webHidden/>
          </w:rPr>
          <w:fldChar w:fldCharType="separate"/>
        </w:r>
        <w:r>
          <w:rPr>
            <w:webHidden/>
          </w:rPr>
          <w:t>19</w:t>
        </w:r>
        <w:r w:rsidR="008B3161">
          <w:rPr>
            <w:webHidden/>
          </w:rPr>
          <w:fldChar w:fldCharType="end"/>
        </w:r>
      </w:hyperlink>
    </w:p>
    <w:p w14:paraId="7E8E3476" w14:textId="77777777" w:rsidR="008B3161" w:rsidRDefault="005E110B">
      <w:pPr>
        <w:pStyle w:val="TOC1"/>
        <w:rPr>
          <w:rFonts w:asciiTheme="minorHAnsi" w:eastAsiaTheme="minorEastAsia" w:hAnsiTheme="minorHAnsi" w:cstheme="minorBidi"/>
          <w:b w:val="0"/>
          <w:sz w:val="22"/>
          <w:szCs w:val="22"/>
          <w:lang w:eastAsia="en-AU"/>
        </w:rPr>
      </w:pPr>
      <w:hyperlink w:anchor="_Toc524425495" w:history="1">
        <w:r w:rsidR="008B3161" w:rsidRPr="001B5044">
          <w:rPr>
            <w:rStyle w:val="Hyperlink"/>
          </w:rPr>
          <w:t>Abbreviations</w:t>
        </w:r>
        <w:r w:rsidR="008B3161">
          <w:rPr>
            <w:webHidden/>
          </w:rPr>
          <w:tab/>
        </w:r>
        <w:r w:rsidR="008B3161">
          <w:rPr>
            <w:webHidden/>
          </w:rPr>
          <w:fldChar w:fldCharType="begin"/>
        </w:r>
        <w:r w:rsidR="008B3161">
          <w:rPr>
            <w:webHidden/>
          </w:rPr>
          <w:instrText xml:space="preserve"> PAGEREF _Toc524425495 \h </w:instrText>
        </w:r>
        <w:r w:rsidR="008B3161">
          <w:rPr>
            <w:webHidden/>
          </w:rPr>
        </w:r>
        <w:r w:rsidR="008B3161">
          <w:rPr>
            <w:webHidden/>
          </w:rPr>
          <w:fldChar w:fldCharType="separate"/>
        </w:r>
        <w:r>
          <w:rPr>
            <w:webHidden/>
          </w:rPr>
          <w:t>21</w:t>
        </w:r>
        <w:r w:rsidR="008B3161">
          <w:rPr>
            <w:webHidden/>
          </w:rPr>
          <w:fldChar w:fldCharType="end"/>
        </w:r>
      </w:hyperlink>
    </w:p>
    <w:p w14:paraId="307F8103" w14:textId="77777777" w:rsidR="008B3161" w:rsidRDefault="005E110B">
      <w:pPr>
        <w:pStyle w:val="TOC1"/>
        <w:rPr>
          <w:rFonts w:asciiTheme="minorHAnsi" w:eastAsiaTheme="minorEastAsia" w:hAnsiTheme="minorHAnsi" w:cstheme="minorBidi"/>
          <w:b w:val="0"/>
          <w:sz w:val="22"/>
          <w:szCs w:val="22"/>
          <w:lang w:eastAsia="en-AU"/>
        </w:rPr>
      </w:pPr>
      <w:hyperlink w:anchor="_Toc524425496" w:history="1">
        <w:r w:rsidR="008B3161" w:rsidRPr="001B5044">
          <w:rPr>
            <w:rStyle w:val="Hyperlink"/>
          </w:rPr>
          <w:t>References</w:t>
        </w:r>
        <w:r w:rsidR="008B3161">
          <w:rPr>
            <w:webHidden/>
          </w:rPr>
          <w:tab/>
        </w:r>
        <w:r w:rsidR="008B3161">
          <w:rPr>
            <w:webHidden/>
          </w:rPr>
          <w:fldChar w:fldCharType="begin"/>
        </w:r>
        <w:r w:rsidR="008B3161">
          <w:rPr>
            <w:webHidden/>
          </w:rPr>
          <w:instrText xml:space="preserve"> PAGEREF _Toc524425496 \h </w:instrText>
        </w:r>
        <w:r w:rsidR="008B3161">
          <w:rPr>
            <w:webHidden/>
          </w:rPr>
        </w:r>
        <w:r w:rsidR="008B3161">
          <w:rPr>
            <w:webHidden/>
          </w:rPr>
          <w:fldChar w:fldCharType="separate"/>
        </w:r>
        <w:r>
          <w:rPr>
            <w:webHidden/>
          </w:rPr>
          <w:t>22</w:t>
        </w:r>
        <w:r w:rsidR="008B3161">
          <w:rPr>
            <w:webHidden/>
          </w:rPr>
          <w:fldChar w:fldCharType="end"/>
        </w:r>
      </w:hyperlink>
    </w:p>
    <w:p w14:paraId="6AC27BF1" w14:textId="6162BD34" w:rsidR="003E2E12" w:rsidRDefault="008B3161" w:rsidP="00213772">
      <w:pPr>
        <w:pStyle w:val="TOC2"/>
        <w:rPr>
          <w:noProof w:val="0"/>
        </w:rPr>
      </w:pPr>
      <w:r>
        <w:rPr>
          <w:b/>
          <w:noProof w:val="0"/>
        </w:rPr>
        <w:fldChar w:fldCharType="end"/>
      </w:r>
    </w:p>
    <w:p w14:paraId="5D8B4E3D" w14:textId="7A5972C4" w:rsidR="002024FD" w:rsidRPr="002024FD" w:rsidRDefault="008A050D" w:rsidP="002024FD">
      <w:pPr>
        <w:pStyle w:val="DHHSTOCheadingreport"/>
      </w:pPr>
      <w:r>
        <w:t xml:space="preserve">Figures and </w:t>
      </w:r>
      <w:r w:rsidR="001C1B5B">
        <w:t>t</w:t>
      </w:r>
      <w:r w:rsidR="002024FD">
        <w:t>ables</w:t>
      </w:r>
    </w:p>
    <w:p w14:paraId="209C0123" w14:textId="77777777" w:rsidR="001C1B5B" w:rsidRPr="008B3161" w:rsidRDefault="001C1B5B">
      <w:pPr>
        <w:pStyle w:val="TOC1"/>
        <w:rPr>
          <w:rFonts w:asciiTheme="minorHAnsi" w:eastAsiaTheme="minorEastAsia" w:hAnsiTheme="minorHAnsi" w:cstheme="minorBidi"/>
          <w:b w:val="0"/>
          <w:sz w:val="22"/>
          <w:szCs w:val="22"/>
          <w:lang w:eastAsia="en-AU"/>
        </w:rPr>
      </w:pPr>
      <w:r>
        <w:rPr>
          <w:rStyle w:val="Hyperlink"/>
        </w:rPr>
        <w:fldChar w:fldCharType="begin"/>
      </w:r>
      <w:r>
        <w:rPr>
          <w:rStyle w:val="Hyperlink"/>
        </w:rPr>
        <w:instrText xml:space="preserve"> TOC \h \z \t "DHHS table caption,1,DHHS figure caption,1" </w:instrText>
      </w:r>
      <w:r>
        <w:rPr>
          <w:rStyle w:val="Hyperlink"/>
        </w:rPr>
        <w:fldChar w:fldCharType="separate"/>
      </w:r>
      <w:hyperlink w:anchor="_Toc524422231" w:history="1">
        <w:r w:rsidRPr="008B3161">
          <w:rPr>
            <w:rStyle w:val="Hyperlink"/>
            <w:b w:val="0"/>
          </w:rPr>
          <w:t>Figure 1: Optimal timeframes from the optimal care pathway for oesophagogastric cancer</w:t>
        </w:r>
        <w:r w:rsidRPr="008B3161">
          <w:rPr>
            <w:b w:val="0"/>
            <w:webHidden/>
          </w:rPr>
          <w:tab/>
        </w:r>
        <w:r w:rsidRPr="008B3161">
          <w:rPr>
            <w:b w:val="0"/>
            <w:webHidden/>
          </w:rPr>
          <w:fldChar w:fldCharType="begin"/>
        </w:r>
        <w:r w:rsidRPr="008B3161">
          <w:rPr>
            <w:b w:val="0"/>
            <w:webHidden/>
          </w:rPr>
          <w:instrText xml:space="preserve"> PAGEREF _Toc524422231 \h </w:instrText>
        </w:r>
        <w:r w:rsidRPr="008B3161">
          <w:rPr>
            <w:b w:val="0"/>
            <w:webHidden/>
          </w:rPr>
        </w:r>
        <w:r w:rsidRPr="008B3161">
          <w:rPr>
            <w:b w:val="0"/>
            <w:webHidden/>
          </w:rPr>
          <w:fldChar w:fldCharType="separate"/>
        </w:r>
        <w:r w:rsidR="005E110B">
          <w:rPr>
            <w:b w:val="0"/>
            <w:webHidden/>
          </w:rPr>
          <w:t>3</w:t>
        </w:r>
        <w:r w:rsidRPr="008B3161">
          <w:rPr>
            <w:b w:val="0"/>
            <w:webHidden/>
          </w:rPr>
          <w:fldChar w:fldCharType="end"/>
        </w:r>
      </w:hyperlink>
    </w:p>
    <w:p w14:paraId="1BE46DEA" w14:textId="77777777" w:rsidR="001C1B5B" w:rsidRPr="008B3161" w:rsidRDefault="005E110B">
      <w:pPr>
        <w:pStyle w:val="TOC1"/>
        <w:rPr>
          <w:rFonts w:asciiTheme="minorHAnsi" w:eastAsiaTheme="minorEastAsia" w:hAnsiTheme="minorHAnsi" w:cstheme="minorBidi"/>
          <w:b w:val="0"/>
          <w:sz w:val="22"/>
          <w:szCs w:val="22"/>
          <w:lang w:eastAsia="en-AU"/>
        </w:rPr>
      </w:pPr>
      <w:hyperlink w:anchor="_Toc524422232" w:history="1">
        <w:r w:rsidR="001C1B5B" w:rsidRPr="008B3161">
          <w:rPr>
            <w:rStyle w:val="Hyperlink"/>
            <w:b w:val="0"/>
          </w:rPr>
          <w:t>Table 1: Descriptive summary of the audit population (297 patients)</w:t>
        </w:r>
        <w:r w:rsidR="001C1B5B" w:rsidRPr="008B3161">
          <w:rPr>
            <w:b w:val="0"/>
            <w:webHidden/>
          </w:rPr>
          <w:tab/>
        </w:r>
        <w:r w:rsidR="001C1B5B" w:rsidRPr="008B3161">
          <w:rPr>
            <w:b w:val="0"/>
            <w:webHidden/>
          </w:rPr>
          <w:fldChar w:fldCharType="begin"/>
        </w:r>
        <w:r w:rsidR="001C1B5B" w:rsidRPr="008B3161">
          <w:rPr>
            <w:b w:val="0"/>
            <w:webHidden/>
          </w:rPr>
          <w:instrText xml:space="preserve"> PAGEREF _Toc524422232 \h </w:instrText>
        </w:r>
        <w:r w:rsidR="001C1B5B" w:rsidRPr="008B3161">
          <w:rPr>
            <w:b w:val="0"/>
            <w:webHidden/>
          </w:rPr>
        </w:r>
        <w:r w:rsidR="001C1B5B" w:rsidRPr="008B3161">
          <w:rPr>
            <w:b w:val="0"/>
            <w:webHidden/>
          </w:rPr>
          <w:fldChar w:fldCharType="separate"/>
        </w:r>
        <w:r>
          <w:rPr>
            <w:b w:val="0"/>
            <w:webHidden/>
          </w:rPr>
          <w:t>7</w:t>
        </w:r>
        <w:r w:rsidR="001C1B5B" w:rsidRPr="008B3161">
          <w:rPr>
            <w:b w:val="0"/>
            <w:webHidden/>
          </w:rPr>
          <w:fldChar w:fldCharType="end"/>
        </w:r>
      </w:hyperlink>
    </w:p>
    <w:p w14:paraId="25596773" w14:textId="77777777" w:rsidR="001C1B5B" w:rsidRPr="008B3161" w:rsidRDefault="005E110B">
      <w:pPr>
        <w:pStyle w:val="TOC1"/>
        <w:rPr>
          <w:rFonts w:asciiTheme="minorHAnsi" w:eastAsiaTheme="minorEastAsia" w:hAnsiTheme="minorHAnsi" w:cstheme="minorBidi"/>
          <w:b w:val="0"/>
          <w:sz w:val="22"/>
          <w:szCs w:val="22"/>
          <w:lang w:eastAsia="en-AU"/>
        </w:rPr>
      </w:pPr>
      <w:hyperlink w:anchor="_Toc524422233" w:history="1">
        <w:r w:rsidR="001C1B5B" w:rsidRPr="008B3161">
          <w:rPr>
            <w:rStyle w:val="Hyperlink"/>
            <w:b w:val="0"/>
          </w:rPr>
          <w:t xml:space="preserve">Figure 2: </w:t>
        </w:r>
        <w:r w:rsidR="001C1B5B" w:rsidRPr="008B3161">
          <w:rPr>
            <w:rStyle w:val="Hyperlink"/>
            <w:rFonts w:eastAsia="Times"/>
            <w:b w:val="0"/>
          </w:rPr>
          <w:t>Oesophagogastric cancer metastatic disease at diagnosis</w:t>
        </w:r>
        <w:r w:rsidR="001C1B5B" w:rsidRPr="008B3161">
          <w:rPr>
            <w:b w:val="0"/>
            <w:webHidden/>
          </w:rPr>
          <w:tab/>
        </w:r>
        <w:r w:rsidR="001C1B5B" w:rsidRPr="008B3161">
          <w:rPr>
            <w:b w:val="0"/>
            <w:webHidden/>
          </w:rPr>
          <w:fldChar w:fldCharType="begin"/>
        </w:r>
        <w:r w:rsidR="001C1B5B" w:rsidRPr="008B3161">
          <w:rPr>
            <w:b w:val="0"/>
            <w:webHidden/>
          </w:rPr>
          <w:instrText xml:space="preserve"> PAGEREF _Toc524422233 \h </w:instrText>
        </w:r>
        <w:r w:rsidR="001C1B5B" w:rsidRPr="008B3161">
          <w:rPr>
            <w:b w:val="0"/>
            <w:webHidden/>
          </w:rPr>
        </w:r>
        <w:r w:rsidR="001C1B5B" w:rsidRPr="008B3161">
          <w:rPr>
            <w:b w:val="0"/>
            <w:webHidden/>
          </w:rPr>
          <w:fldChar w:fldCharType="separate"/>
        </w:r>
        <w:r>
          <w:rPr>
            <w:b w:val="0"/>
            <w:webHidden/>
          </w:rPr>
          <w:t>9</w:t>
        </w:r>
        <w:r w:rsidR="001C1B5B" w:rsidRPr="008B3161">
          <w:rPr>
            <w:b w:val="0"/>
            <w:webHidden/>
          </w:rPr>
          <w:fldChar w:fldCharType="end"/>
        </w:r>
      </w:hyperlink>
    </w:p>
    <w:p w14:paraId="71E27E84" w14:textId="77777777" w:rsidR="001C1B5B" w:rsidRPr="008B3161" w:rsidRDefault="005E110B">
      <w:pPr>
        <w:pStyle w:val="TOC1"/>
        <w:rPr>
          <w:rFonts w:asciiTheme="minorHAnsi" w:eastAsiaTheme="minorEastAsia" w:hAnsiTheme="minorHAnsi" w:cstheme="minorBidi"/>
          <w:b w:val="0"/>
          <w:sz w:val="22"/>
          <w:szCs w:val="22"/>
          <w:lang w:eastAsia="en-AU"/>
        </w:rPr>
      </w:pPr>
      <w:hyperlink w:anchor="_Toc524422234" w:history="1">
        <w:r w:rsidR="001C1B5B" w:rsidRPr="008B3161">
          <w:rPr>
            <w:rStyle w:val="Hyperlink"/>
            <w:b w:val="0"/>
          </w:rPr>
          <w:t>Table 2: Documented stage at diagnosis of audit population by ICS of residence (297 patients)</w:t>
        </w:r>
        <w:r w:rsidR="001C1B5B" w:rsidRPr="008B3161">
          <w:rPr>
            <w:b w:val="0"/>
            <w:webHidden/>
          </w:rPr>
          <w:tab/>
        </w:r>
        <w:r w:rsidR="001C1B5B" w:rsidRPr="008B3161">
          <w:rPr>
            <w:b w:val="0"/>
            <w:webHidden/>
          </w:rPr>
          <w:fldChar w:fldCharType="begin"/>
        </w:r>
        <w:r w:rsidR="001C1B5B" w:rsidRPr="008B3161">
          <w:rPr>
            <w:b w:val="0"/>
            <w:webHidden/>
          </w:rPr>
          <w:instrText xml:space="preserve"> PAGEREF _Toc524422234 \h </w:instrText>
        </w:r>
        <w:r w:rsidR="001C1B5B" w:rsidRPr="008B3161">
          <w:rPr>
            <w:b w:val="0"/>
            <w:webHidden/>
          </w:rPr>
        </w:r>
        <w:r w:rsidR="001C1B5B" w:rsidRPr="008B3161">
          <w:rPr>
            <w:b w:val="0"/>
            <w:webHidden/>
          </w:rPr>
          <w:fldChar w:fldCharType="separate"/>
        </w:r>
        <w:r>
          <w:rPr>
            <w:b w:val="0"/>
            <w:webHidden/>
          </w:rPr>
          <w:t>9</w:t>
        </w:r>
        <w:r w:rsidR="001C1B5B" w:rsidRPr="008B3161">
          <w:rPr>
            <w:b w:val="0"/>
            <w:webHidden/>
          </w:rPr>
          <w:fldChar w:fldCharType="end"/>
        </w:r>
      </w:hyperlink>
    </w:p>
    <w:p w14:paraId="191C82B2" w14:textId="77777777" w:rsidR="001C1B5B" w:rsidRPr="008B3161" w:rsidRDefault="005E110B">
      <w:pPr>
        <w:pStyle w:val="TOC1"/>
        <w:rPr>
          <w:rFonts w:asciiTheme="minorHAnsi" w:eastAsiaTheme="minorEastAsia" w:hAnsiTheme="minorHAnsi" w:cstheme="minorBidi"/>
          <w:b w:val="0"/>
          <w:sz w:val="22"/>
          <w:szCs w:val="22"/>
          <w:lang w:eastAsia="en-AU"/>
        </w:rPr>
      </w:pPr>
      <w:hyperlink w:anchor="_Toc524422235" w:history="1">
        <w:r w:rsidR="001C1B5B" w:rsidRPr="008B3161">
          <w:rPr>
            <w:rStyle w:val="Hyperlink"/>
            <w:b w:val="0"/>
          </w:rPr>
          <w:t>Table 3: Descriptive summary comparing patients with evidence of an MDM discussion in their medical record in comparison with those who did not (271 patients)</w:t>
        </w:r>
        <w:r w:rsidR="001C1B5B" w:rsidRPr="008B3161">
          <w:rPr>
            <w:b w:val="0"/>
            <w:webHidden/>
          </w:rPr>
          <w:tab/>
        </w:r>
        <w:r w:rsidR="001C1B5B" w:rsidRPr="008B3161">
          <w:rPr>
            <w:b w:val="0"/>
            <w:webHidden/>
          </w:rPr>
          <w:fldChar w:fldCharType="begin"/>
        </w:r>
        <w:r w:rsidR="001C1B5B" w:rsidRPr="008B3161">
          <w:rPr>
            <w:b w:val="0"/>
            <w:webHidden/>
          </w:rPr>
          <w:instrText xml:space="preserve"> PAGEREF _Toc524422235 \h </w:instrText>
        </w:r>
        <w:r w:rsidR="001C1B5B" w:rsidRPr="008B3161">
          <w:rPr>
            <w:b w:val="0"/>
            <w:webHidden/>
          </w:rPr>
        </w:r>
        <w:r w:rsidR="001C1B5B" w:rsidRPr="008B3161">
          <w:rPr>
            <w:b w:val="0"/>
            <w:webHidden/>
          </w:rPr>
          <w:fldChar w:fldCharType="separate"/>
        </w:r>
        <w:r>
          <w:rPr>
            <w:b w:val="0"/>
            <w:webHidden/>
          </w:rPr>
          <w:t>10</w:t>
        </w:r>
        <w:r w:rsidR="001C1B5B" w:rsidRPr="008B3161">
          <w:rPr>
            <w:b w:val="0"/>
            <w:webHidden/>
          </w:rPr>
          <w:fldChar w:fldCharType="end"/>
        </w:r>
      </w:hyperlink>
    </w:p>
    <w:p w14:paraId="75CE9A23" w14:textId="77777777" w:rsidR="001C1B5B" w:rsidRPr="008B3161" w:rsidRDefault="005E110B">
      <w:pPr>
        <w:pStyle w:val="TOC1"/>
        <w:rPr>
          <w:rFonts w:asciiTheme="minorHAnsi" w:eastAsiaTheme="minorEastAsia" w:hAnsiTheme="minorHAnsi" w:cstheme="minorBidi"/>
          <w:b w:val="0"/>
          <w:sz w:val="22"/>
          <w:szCs w:val="22"/>
          <w:lang w:eastAsia="en-AU"/>
        </w:rPr>
      </w:pPr>
      <w:hyperlink w:anchor="_Toc524422236" w:history="1">
        <w:r w:rsidR="001C1B5B" w:rsidRPr="008B3161">
          <w:rPr>
            <w:rStyle w:val="Hyperlink"/>
            <w:b w:val="0"/>
          </w:rPr>
          <w:t>Table 4: Location of patient MDMs in relation to the patient’s ICS of residence</w:t>
        </w:r>
        <w:r w:rsidR="001C1B5B" w:rsidRPr="008B3161">
          <w:rPr>
            <w:b w:val="0"/>
            <w:webHidden/>
          </w:rPr>
          <w:tab/>
        </w:r>
        <w:r w:rsidR="001C1B5B" w:rsidRPr="008B3161">
          <w:rPr>
            <w:b w:val="0"/>
            <w:webHidden/>
          </w:rPr>
          <w:fldChar w:fldCharType="begin"/>
        </w:r>
        <w:r w:rsidR="001C1B5B" w:rsidRPr="008B3161">
          <w:rPr>
            <w:b w:val="0"/>
            <w:webHidden/>
          </w:rPr>
          <w:instrText xml:space="preserve"> PAGEREF _Toc524422236 \h </w:instrText>
        </w:r>
        <w:r w:rsidR="001C1B5B" w:rsidRPr="008B3161">
          <w:rPr>
            <w:b w:val="0"/>
            <w:webHidden/>
          </w:rPr>
        </w:r>
        <w:r w:rsidR="001C1B5B" w:rsidRPr="008B3161">
          <w:rPr>
            <w:b w:val="0"/>
            <w:webHidden/>
          </w:rPr>
          <w:fldChar w:fldCharType="separate"/>
        </w:r>
        <w:r>
          <w:rPr>
            <w:b w:val="0"/>
            <w:webHidden/>
          </w:rPr>
          <w:t>13</w:t>
        </w:r>
        <w:r w:rsidR="001C1B5B" w:rsidRPr="008B3161">
          <w:rPr>
            <w:b w:val="0"/>
            <w:webHidden/>
          </w:rPr>
          <w:fldChar w:fldCharType="end"/>
        </w:r>
      </w:hyperlink>
    </w:p>
    <w:p w14:paraId="11FC28C1" w14:textId="77777777" w:rsidR="001C1B5B" w:rsidRPr="008B3161" w:rsidRDefault="005E110B">
      <w:pPr>
        <w:pStyle w:val="TOC1"/>
        <w:rPr>
          <w:rFonts w:asciiTheme="minorHAnsi" w:eastAsiaTheme="minorEastAsia" w:hAnsiTheme="minorHAnsi" w:cstheme="minorBidi"/>
          <w:b w:val="0"/>
          <w:sz w:val="22"/>
          <w:szCs w:val="22"/>
          <w:lang w:eastAsia="en-AU"/>
        </w:rPr>
      </w:pPr>
      <w:hyperlink w:anchor="_Toc524422237" w:history="1">
        <w:r w:rsidR="001C1B5B" w:rsidRPr="008B3161">
          <w:rPr>
            <w:rStyle w:val="Hyperlink"/>
            <w:b w:val="0"/>
          </w:rPr>
          <w:t>Table 5: Timeliness of care for Victorians diagnosed with OG cancers between 1 July and 31 December 2016 who were admitted to a Victorian public or selected private health service (297 patients)</w:t>
        </w:r>
        <w:r w:rsidR="001C1B5B" w:rsidRPr="008B3161">
          <w:rPr>
            <w:b w:val="0"/>
            <w:webHidden/>
          </w:rPr>
          <w:tab/>
        </w:r>
        <w:r w:rsidR="001C1B5B" w:rsidRPr="008B3161">
          <w:rPr>
            <w:b w:val="0"/>
            <w:webHidden/>
          </w:rPr>
          <w:fldChar w:fldCharType="begin"/>
        </w:r>
        <w:r w:rsidR="001C1B5B" w:rsidRPr="008B3161">
          <w:rPr>
            <w:b w:val="0"/>
            <w:webHidden/>
          </w:rPr>
          <w:instrText xml:space="preserve"> PAGEREF _Toc524422237 \h </w:instrText>
        </w:r>
        <w:r w:rsidR="001C1B5B" w:rsidRPr="008B3161">
          <w:rPr>
            <w:b w:val="0"/>
            <w:webHidden/>
          </w:rPr>
        </w:r>
        <w:r w:rsidR="001C1B5B" w:rsidRPr="008B3161">
          <w:rPr>
            <w:b w:val="0"/>
            <w:webHidden/>
          </w:rPr>
          <w:fldChar w:fldCharType="separate"/>
        </w:r>
        <w:r>
          <w:rPr>
            <w:b w:val="0"/>
            <w:webHidden/>
          </w:rPr>
          <w:t>13</w:t>
        </w:r>
        <w:r w:rsidR="001C1B5B" w:rsidRPr="008B3161">
          <w:rPr>
            <w:b w:val="0"/>
            <w:webHidden/>
          </w:rPr>
          <w:fldChar w:fldCharType="end"/>
        </w:r>
      </w:hyperlink>
    </w:p>
    <w:p w14:paraId="11B4274B" w14:textId="77777777" w:rsidR="001C1B5B" w:rsidRPr="008B3161" w:rsidRDefault="005E110B">
      <w:pPr>
        <w:pStyle w:val="TOC1"/>
        <w:rPr>
          <w:rFonts w:asciiTheme="minorHAnsi" w:eastAsiaTheme="minorEastAsia" w:hAnsiTheme="minorHAnsi" w:cstheme="minorBidi"/>
          <w:b w:val="0"/>
          <w:sz w:val="22"/>
          <w:szCs w:val="22"/>
          <w:lang w:eastAsia="en-AU"/>
        </w:rPr>
      </w:pPr>
      <w:hyperlink w:anchor="_Toc524422238" w:history="1">
        <w:r w:rsidR="001C1B5B" w:rsidRPr="008B3161">
          <w:rPr>
            <w:rStyle w:val="Hyperlink"/>
            <w:b w:val="0"/>
          </w:rPr>
          <w:t>Table 6: Timeliness of care reported in days by ICS of residence for Victorians diagnosed with OG cancers between 1 July and 31 December 2016 who were admitted to a Victorian public or selected private health service (297 patients)</w:t>
        </w:r>
        <w:r w:rsidR="001C1B5B" w:rsidRPr="008B3161">
          <w:rPr>
            <w:b w:val="0"/>
            <w:webHidden/>
          </w:rPr>
          <w:tab/>
        </w:r>
        <w:r w:rsidR="001C1B5B" w:rsidRPr="008B3161">
          <w:rPr>
            <w:b w:val="0"/>
            <w:webHidden/>
          </w:rPr>
          <w:fldChar w:fldCharType="begin"/>
        </w:r>
        <w:r w:rsidR="001C1B5B" w:rsidRPr="008B3161">
          <w:rPr>
            <w:b w:val="0"/>
            <w:webHidden/>
          </w:rPr>
          <w:instrText xml:space="preserve"> PAGEREF _Toc524422238 \h </w:instrText>
        </w:r>
        <w:r w:rsidR="001C1B5B" w:rsidRPr="008B3161">
          <w:rPr>
            <w:b w:val="0"/>
            <w:webHidden/>
          </w:rPr>
        </w:r>
        <w:r w:rsidR="001C1B5B" w:rsidRPr="008B3161">
          <w:rPr>
            <w:b w:val="0"/>
            <w:webHidden/>
          </w:rPr>
          <w:fldChar w:fldCharType="separate"/>
        </w:r>
        <w:r>
          <w:rPr>
            <w:b w:val="0"/>
            <w:webHidden/>
          </w:rPr>
          <w:t>15</w:t>
        </w:r>
        <w:r w:rsidR="001C1B5B" w:rsidRPr="008B3161">
          <w:rPr>
            <w:b w:val="0"/>
            <w:webHidden/>
          </w:rPr>
          <w:fldChar w:fldCharType="end"/>
        </w:r>
      </w:hyperlink>
    </w:p>
    <w:p w14:paraId="72D0D9C8" w14:textId="38F4709A" w:rsidR="00AC0C3B" w:rsidRPr="00D20B28" w:rsidRDefault="001C1B5B" w:rsidP="00D20B28">
      <w:pPr>
        <w:pStyle w:val="TOC1"/>
        <w:rPr>
          <w:color w:val="3366FF"/>
          <w:u w:val="dotted"/>
        </w:rPr>
      </w:pPr>
      <w:r>
        <w:rPr>
          <w:rStyle w:val="Hyperlink"/>
        </w:rPr>
        <w:fldChar w:fldCharType="end"/>
      </w:r>
      <w:r w:rsidR="003E2E12" w:rsidRPr="002024FD">
        <w:rPr>
          <w:rStyle w:val="Hyperlink"/>
        </w:rPr>
        <w:br w:type="page"/>
      </w:r>
    </w:p>
    <w:p w14:paraId="7CED16CB" w14:textId="77777777" w:rsidR="00A728F8" w:rsidRPr="003072C6" w:rsidRDefault="00A728F8" w:rsidP="00E91933">
      <w:pPr>
        <w:pStyle w:val="DHHSbody"/>
        <w:sectPr w:rsidR="00A728F8" w:rsidRPr="003072C6" w:rsidSect="00C51B1C">
          <w:pgSz w:w="11906" w:h="16838"/>
          <w:pgMar w:top="1701" w:right="1304" w:bottom="1134" w:left="1304" w:header="454" w:footer="567" w:gutter="0"/>
          <w:cols w:space="720"/>
          <w:docGrid w:linePitch="360"/>
        </w:sectPr>
      </w:pPr>
    </w:p>
    <w:p w14:paraId="467B0C18" w14:textId="77777777" w:rsidR="002144E9" w:rsidRDefault="002144E9" w:rsidP="002144E9">
      <w:pPr>
        <w:pStyle w:val="Heading1"/>
        <w:spacing w:before="0"/>
      </w:pPr>
      <w:bookmarkStart w:id="1" w:name="_Toc524425480"/>
      <w:r>
        <w:t>Acknowledgements</w:t>
      </w:r>
      <w:bookmarkEnd w:id="1"/>
    </w:p>
    <w:p w14:paraId="798BE209" w14:textId="77777777" w:rsidR="002144E9" w:rsidRDefault="002144E9" w:rsidP="002144E9">
      <w:pPr>
        <w:pStyle w:val="DHHSbody"/>
        <w:rPr>
          <w:rFonts w:eastAsia="Calibri" w:cstheme="minorHAnsi"/>
          <w:color w:val="000000"/>
        </w:rPr>
      </w:pPr>
      <w:r>
        <w:rPr>
          <w:rFonts w:eastAsia="Calibri" w:cstheme="minorHAnsi"/>
          <w:color w:val="000000"/>
        </w:rPr>
        <w:t>The data, analysis and commentary provided in this report represent a joint effort by numerous key contributors from the following groups.</w:t>
      </w:r>
    </w:p>
    <w:p w14:paraId="066B7400" w14:textId="5494CDE6" w:rsidR="002144E9" w:rsidRDefault="002144E9" w:rsidP="002144E9">
      <w:pPr>
        <w:pStyle w:val="DHHSbody"/>
        <w:rPr>
          <w:rFonts w:eastAsia="Calibri" w:cstheme="minorHAnsi"/>
          <w:color w:val="000000"/>
        </w:rPr>
      </w:pPr>
      <w:r>
        <w:rPr>
          <w:rFonts w:eastAsia="Calibri" w:cstheme="minorHAnsi"/>
          <w:color w:val="000000"/>
        </w:rPr>
        <w:t xml:space="preserve">The </w:t>
      </w:r>
      <w:proofErr w:type="spellStart"/>
      <w:r w:rsidRPr="006B3FA3">
        <w:rPr>
          <w:rFonts w:eastAsia="Calibri" w:cstheme="minorHAnsi"/>
          <w:color w:val="000000"/>
        </w:rPr>
        <w:t>Oesophagogastric</w:t>
      </w:r>
      <w:proofErr w:type="spellEnd"/>
      <w:r w:rsidRPr="006B3FA3">
        <w:rPr>
          <w:rFonts w:eastAsia="Calibri" w:cstheme="minorHAnsi"/>
          <w:color w:val="000000"/>
        </w:rPr>
        <w:t xml:space="preserve"> Clinical Working Party: Mr Ahmad Aly, Mr Paul Burton, </w:t>
      </w:r>
      <w:r>
        <w:rPr>
          <w:rFonts w:eastAsia="Calibri" w:cstheme="minorHAnsi"/>
          <w:color w:val="000000"/>
        </w:rPr>
        <w:t xml:space="preserve">Dr Peter Briggs, </w:t>
      </w:r>
      <w:r w:rsidRPr="006B3FA3">
        <w:rPr>
          <w:rFonts w:eastAsia="Calibri" w:cstheme="minorHAnsi"/>
          <w:color w:val="000000"/>
        </w:rPr>
        <w:t xml:space="preserve">Mr Paul </w:t>
      </w:r>
      <w:proofErr w:type="spellStart"/>
      <w:r w:rsidRPr="006B3FA3">
        <w:rPr>
          <w:rFonts w:eastAsia="Calibri" w:cstheme="minorHAnsi"/>
          <w:color w:val="000000"/>
        </w:rPr>
        <w:t>Cashin</w:t>
      </w:r>
      <w:proofErr w:type="spellEnd"/>
      <w:r w:rsidRPr="006B3FA3">
        <w:rPr>
          <w:rFonts w:eastAsia="Calibri" w:cstheme="minorHAnsi"/>
          <w:color w:val="000000"/>
        </w:rPr>
        <w:t xml:space="preserve">, </w:t>
      </w:r>
      <w:r>
        <w:rPr>
          <w:rFonts w:eastAsia="Calibri" w:cstheme="minorHAnsi"/>
          <w:color w:val="000000"/>
        </w:rPr>
        <w:t>Mr</w:t>
      </w:r>
      <w:r w:rsidRPr="006B3FA3">
        <w:rPr>
          <w:rFonts w:eastAsia="Calibri" w:cstheme="minorHAnsi"/>
          <w:color w:val="000000"/>
        </w:rPr>
        <w:t xml:space="preserve"> </w:t>
      </w:r>
      <w:r>
        <w:rPr>
          <w:rFonts w:eastAsia="Calibri" w:cstheme="minorHAnsi"/>
          <w:color w:val="000000"/>
        </w:rPr>
        <w:t xml:space="preserve">Gary Crosthwaite, Mr David </w:t>
      </w:r>
      <w:proofErr w:type="spellStart"/>
      <w:r>
        <w:rPr>
          <w:rFonts w:eastAsia="Calibri" w:cstheme="minorHAnsi"/>
          <w:color w:val="000000"/>
        </w:rPr>
        <w:t>Deutscher</w:t>
      </w:r>
      <w:proofErr w:type="spellEnd"/>
      <w:r>
        <w:rPr>
          <w:rFonts w:eastAsia="Calibri" w:cstheme="minorHAnsi"/>
          <w:color w:val="000000"/>
        </w:rPr>
        <w:t xml:space="preserve">, Mr </w:t>
      </w:r>
      <w:proofErr w:type="spellStart"/>
      <w:r>
        <w:rPr>
          <w:rFonts w:eastAsia="Calibri" w:cstheme="minorHAnsi"/>
          <w:color w:val="000000"/>
        </w:rPr>
        <w:t>Cuong</w:t>
      </w:r>
      <w:proofErr w:type="spellEnd"/>
      <w:r>
        <w:rPr>
          <w:rFonts w:eastAsia="Calibri" w:cstheme="minorHAnsi"/>
          <w:color w:val="000000"/>
        </w:rPr>
        <w:t xml:space="preserve"> Duong, </w:t>
      </w:r>
      <w:r w:rsidRPr="006B3FA3">
        <w:rPr>
          <w:rFonts w:eastAsia="Calibri" w:cstheme="minorHAnsi"/>
          <w:color w:val="000000"/>
        </w:rPr>
        <w:t>Dr</w:t>
      </w:r>
      <w:r w:rsidRPr="006B3FA3">
        <w:rPr>
          <w:rFonts w:eastAsia="Calibri" w:cstheme="minorHAnsi"/>
          <w:color w:val="000000"/>
        </w:rPr>
        <w:tab/>
        <w:t>Samuel</w:t>
      </w:r>
      <w:r>
        <w:rPr>
          <w:rFonts w:eastAsia="Calibri" w:cstheme="minorHAnsi"/>
          <w:color w:val="000000"/>
        </w:rPr>
        <w:t xml:space="preserve"> </w:t>
      </w:r>
      <w:r w:rsidRPr="006B3FA3">
        <w:rPr>
          <w:rFonts w:eastAsia="Calibri" w:cstheme="minorHAnsi"/>
          <w:color w:val="000000"/>
        </w:rPr>
        <w:t>Harris</w:t>
      </w:r>
      <w:r>
        <w:rPr>
          <w:rFonts w:eastAsia="Calibri" w:cstheme="minorHAnsi"/>
          <w:color w:val="000000"/>
        </w:rPr>
        <w:t xml:space="preserve">, Mr Matthew Leong, Dr Trevor Leong, Mr </w:t>
      </w:r>
      <w:proofErr w:type="spellStart"/>
      <w:r w:rsidRPr="006B3FA3">
        <w:rPr>
          <w:rFonts w:eastAsia="Calibri" w:cstheme="minorHAnsi"/>
          <w:color w:val="000000"/>
        </w:rPr>
        <w:t>Kiat</w:t>
      </w:r>
      <w:proofErr w:type="spellEnd"/>
      <w:r w:rsidRPr="006B3FA3">
        <w:rPr>
          <w:rFonts w:eastAsia="Calibri" w:cstheme="minorHAnsi"/>
          <w:color w:val="000000"/>
        </w:rPr>
        <w:tab/>
      </w:r>
      <w:r>
        <w:rPr>
          <w:rFonts w:eastAsia="Calibri" w:cstheme="minorHAnsi"/>
          <w:color w:val="000000"/>
        </w:rPr>
        <w:t xml:space="preserve"> </w:t>
      </w:r>
      <w:r w:rsidRPr="006B3FA3">
        <w:rPr>
          <w:rFonts w:eastAsia="Calibri" w:cstheme="minorHAnsi"/>
          <w:color w:val="000000"/>
        </w:rPr>
        <w:t>Lim</w:t>
      </w:r>
      <w:r>
        <w:rPr>
          <w:rFonts w:eastAsia="Calibri" w:cstheme="minorHAnsi"/>
          <w:color w:val="000000"/>
        </w:rPr>
        <w:t>, A/</w:t>
      </w:r>
      <w:proofErr w:type="spellStart"/>
      <w:r>
        <w:rPr>
          <w:rFonts w:eastAsia="Calibri" w:cstheme="minorHAnsi"/>
          <w:color w:val="000000"/>
        </w:rPr>
        <w:t>Prof</w:t>
      </w:r>
      <w:r w:rsidR="001C1B5B">
        <w:rPr>
          <w:rFonts w:eastAsia="Calibri" w:cstheme="minorHAnsi"/>
          <w:color w:val="000000"/>
        </w:rPr>
        <w:t>.</w:t>
      </w:r>
      <w:proofErr w:type="spellEnd"/>
      <w:r>
        <w:rPr>
          <w:rFonts w:eastAsia="Calibri" w:cstheme="minorHAnsi"/>
          <w:color w:val="000000"/>
        </w:rPr>
        <w:t xml:space="preserve"> Sue-Anne McLachlan, A/</w:t>
      </w:r>
      <w:proofErr w:type="spellStart"/>
      <w:r>
        <w:rPr>
          <w:rFonts w:eastAsia="Calibri" w:cstheme="minorHAnsi"/>
          <w:color w:val="000000"/>
        </w:rPr>
        <w:t>Prof</w:t>
      </w:r>
      <w:r w:rsidR="001C1B5B">
        <w:rPr>
          <w:rFonts w:eastAsia="Calibri" w:cstheme="minorHAnsi"/>
          <w:color w:val="000000"/>
        </w:rPr>
        <w:t>.</w:t>
      </w:r>
      <w:proofErr w:type="spellEnd"/>
      <w:r>
        <w:rPr>
          <w:rFonts w:eastAsia="Calibri" w:cstheme="minorHAnsi"/>
          <w:color w:val="000000"/>
        </w:rPr>
        <w:t xml:space="preserve"> Peter </w:t>
      </w:r>
      <w:proofErr w:type="spellStart"/>
      <w:r w:rsidRPr="006B3FA3">
        <w:rPr>
          <w:rFonts w:eastAsia="Calibri" w:cstheme="minorHAnsi"/>
          <w:color w:val="000000"/>
        </w:rPr>
        <w:t>Nottle</w:t>
      </w:r>
      <w:proofErr w:type="spellEnd"/>
      <w:r>
        <w:rPr>
          <w:rFonts w:eastAsia="Calibri" w:cstheme="minorHAnsi"/>
          <w:color w:val="000000"/>
        </w:rPr>
        <w:t>, Mr John Spillane, A/</w:t>
      </w:r>
      <w:proofErr w:type="spellStart"/>
      <w:r>
        <w:rPr>
          <w:rFonts w:eastAsia="Calibri" w:cstheme="minorHAnsi"/>
          <w:color w:val="000000"/>
        </w:rPr>
        <w:t>Prof</w:t>
      </w:r>
      <w:r w:rsidR="001C1B5B">
        <w:rPr>
          <w:rFonts w:eastAsia="Calibri" w:cstheme="minorHAnsi"/>
          <w:color w:val="000000"/>
        </w:rPr>
        <w:t>.</w:t>
      </w:r>
      <w:proofErr w:type="spellEnd"/>
      <w:r>
        <w:rPr>
          <w:rFonts w:eastAsia="Calibri" w:cstheme="minorHAnsi"/>
          <w:color w:val="000000"/>
        </w:rPr>
        <w:t xml:space="preserve"> Niall Tebbutt</w:t>
      </w:r>
      <w:r w:rsidR="001C1B5B">
        <w:rPr>
          <w:rFonts w:eastAsia="Calibri" w:cstheme="minorHAnsi"/>
          <w:color w:val="000000"/>
        </w:rPr>
        <w:t xml:space="preserve"> and</w:t>
      </w:r>
      <w:r>
        <w:rPr>
          <w:rFonts w:eastAsia="Calibri" w:cstheme="minorHAnsi"/>
          <w:color w:val="000000"/>
        </w:rPr>
        <w:t xml:space="preserve"> Dr Zee Wan </w:t>
      </w:r>
      <w:r w:rsidRPr="006B3FA3">
        <w:rPr>
          <w:rFonts w:eastAsia="Calibri" w:cstheme="minorHAnsi"/>
          <w:color w:val="000000"/>
        </w:rPr>
        <w:t>Wong</w:t>
      </w:r>
      <w:r>
        <w:rPr>
          <w:rFonts w:eastAsia="Calibri" w:cstheme="minorHAnsi"/>
          <w:color w:val="000000"/>
        </w:rPr>
        <w:t>.</w:t>
      </w:r>
    </w:p>
    <w:p w14:paraId="634DD9DF" w14:textId="2FB61EA7" w:rsidR="002144E9" w:rsidRDefault="002144E9" w:rsidP="002144E9">
      <w:pPr>
        <w:pStyle w:val="DHHSbody"/>
        <w:rPr>
          <w:rFonts w:eastAsia="Calibri" w:cstheme="minorHAnsi"/>
          <w:color w:val="000000"/>
        </w:rPr>
      </w:pPr>
      <w:r>
        <w:rPr>
          <w:rFonts w:eastAsia="Calibri" w:cstheme="minorHAnsi"/>
          <w:color w:val="000000"/>
        </w:rPr>
        <w:t xml:space="preserve">The central data team </w:t>
      </w:r>
      <w:r w:rsidR="00E876AF">
        <w:rPr>
          <w:rFonts w:eastAsia="Calibri" w:cstheme="minorHAnsi"/>
          <w:color w:val="000000"/>
        </w:rPr>
        <w:t xml:space="preserve">– </w:t>
      </w:r>
      <w:r>
        <w:rPr>
          <w:rFonts w:eastAsia="Calibri" w:cstheme="minorHAnsi"/>
          <w:color w:val="000000"/>
        </w:rPr>
        <w:t>Mandy Byrne, Amy Sutherland and</w:t>
      </w:r>
      <w:r w:rsidRPr="00837734">
        <w:rPr>
          <w:rFonts w:eastAsia="Calibri" w:cstheme="minorHAnsi"/>
          <w:color w:val="000000"/>
        </w:rPr>
        <w:t xml:space="preserve"> </w:t>
      </w:r>
      <w:proofErr w:type="spellStart"/>
      <w:r w:rsidRPr="00837734">
        <w:rPr>
          <w:rFonts w:eastAsia="Calibri" w:cstheme="minorHAnsi"/>
          <w:color w:val="000000"/>
        </w:rPr>
        <w:t>Mirela</w:t>
      </w:r>
      <w:proofErr w:type="spellEnd"/>
      <w:r w:rsidRPr="00837734">
        <w:rPr>
          <w:rFonts w:eastAsia="Calibri" w:cstheme="minorHAnsi"/>
          <w:color w:val="000000"/>
        </w:rPr>
        <w:t xml:space="preserve"> Matthews</w:t>
      </w:r>
      <w:r>
        <w:rPr>
          <w:rFonts w:eastAsia="Calibri" w:cstheme="minorHAnsi"/>
          <w:color w:val="000000"/>
        </w:rPr>
        <w:t xml:space="preserve"> </w:t>
      </w:r>
      <w:r w:rsidR="00E876AF">
        <w:rPr>
          <w:rFonts w:eastAsia="Calibri" w:cstheme="minorHAnsi"/>
          <w:color w:val="000000"/>
        </w:rPr>
        <w:t>– for</w:t>
      </w:r>
      <w:r>
        <w:rPr>
          <w:rFonts w:eastAsia="Calibri" w:cstheme="minorHAnsi"/>
          <w:color w:val="000000"/>
        </w:rPr>
        <w:t xml:space="preserve"> developing the </w:t>
      </w:r>
      <w:r w:rsidRPr="00F14416">
        <w:rPr>
          <w:rFonts w:eastAsia="Calibri" w:cstheme="minorHAnsi"/>
          <w:i/>
          <w:color w:val="000000"/>
        </w:rPr>
        <w:t xml:space="preserve">Victorian OG </w:t>
      </w:r>
      <w:r w:rsidR="00E876AF">
        <w:rPr>
          <w:rFonts w:eastAsia="Calibri" w:cstheme="minorHAnsi"/>
          <w:i/>
          <w:color w:val="000000"/>
        </w:rPr>
        <w:t>c</w:t>
      </w:r>
      <w:r w:rsidRPr="00F14416">
        <w:rPr>
          <w:rFonts w:eastAsia="Calibri" w:cstheme="minorHAnsi"/>
          <w:i/>
          <w:color w:val="000000"/>
        </w:rPr>
        <w:t xml:space="preserve">ancer </w:t>
      </w:r>
      <w:r w:rsidR="00E876AF">
        <w:rPr>
          <w:rFonts w:eastAsia="Calibri" w:cstheme="minorHAnsi"/>
          <w:i/>
          <w:color w:val="000000"/>
        </w:rPr>
        <w:t>a</w:t>
      </w:r>
      <w:r w:rsidRPr="00F14416">
        <w:rPr>
          <w:rFonts w:eastAsia="Calibri" w:cstheme="minorHAnsi"/>
          <w:i/>
          <w:color w:val="000000"/>
        </w:rPr>
        <w:t xml:space="preserve">udit </w:t>
      </w:r>
      <w:r w:rsidR="00E876AF">
        <w:rPr>
          <w:rFonts w:eastAsia="Calibri" w:cstheme="minorHAnsi"/>
          <w:i/>
          <w:color w:val="000000"/>
        </w:rPr>
        <w:t>d</w:t>
      </w:r>
      <w:r w:rsidRPr="00F14416">
        <w:rPr>
          <w:rFonts w:eastAsia="Calibri" w:cstheme="minorHAnsi"/>
          <w:i/>
          <w:color w:val="000000"/>
        </w:rPr>
        <w:t xml:space="preserve">esign and </w:t>
      </w:r>
      <w:r w:rsidR="00E876AF">
        <w:rPr>
          <w:rFonts w:eastAsia="Calibri" w:cstheme="minorHAnsi"/>
          <w:i/>
          <w:color w:val="000000"/>
        </w:rPr>
        <w:t>u</w:t>
      </w:r>
      <w:r w:rsidRPr="00F14416">
        <w:rPr>
          <w:rFonts w:eastAsia="Calibri" w:cstheme="minorHAnsi"/>
          <w:i/>
          <w:color w:val="000000"/>
        </w:rPr>
        <w:t xml:space="preserve">ser </w:t>
      </w:r>
      <w:r w:rsidR="00E876AF">
        <w:rPr>
          <w:rFonts w:eastAsia="Calibri" w:cstheme="minorHAnsi"/>
          <w:i/>
          <w:color w:val="000000"/>
        </w:rPr>
        <w:t>g</w:t>
      </w:r>
      <w:r w:rsidRPr="00F14416">
        <w:rPr>
          <w:rFonts w:eastAsia="Calibri" w:cstheme="minorHAnsi"/>
          <w:i/>
          <w:color w:val="000000"/>
        </w:rPr>
        <w:t>uide</w:t>
      </w:r>
      <w:r w:rsidR="00E876AF">
        <w:rPr>
          <w:rFonts w:eastAsia="Calibri" w:cstheme="minorHAnsi"/>
          <w:color w:val="000000"/>
        </w:rPr>
        <w:t>,</w:t>
      </w:r>
      <w:r>
        <w:rPr>
          <w:rFonts w:eastAsia="Calibri" w:cstheme="minorHAnsi"/>
          <w:color w:val="000000"/>
        </w:rPr>
        <w:t xml:space="preserve"> undertaking tasks required to generate audit lists and consolidati</w:t>
      </w:r>
      <w:r w:rsidR="00E876AF">
        <w:rPr>
          <w:rFonts w:eastAsia="Calibri" w:cstheme="minorHAnsi"/>
          <w:color w:val="000000"/>
        </w:rPr>
        <w:t>ng the</w:t>
      </w:r>
      <w:r>
        <w:rPr>
          <w:rFonts w:eastAsia="Calibri" w:cstheme="minorHAnsi"/>
          <w:color w:val="000000"/>
        </w:rPr>
        <w:t xml:space="preserve"> data.</w:t>
      </w:r>
    </w:p>
    <w:p w14:paraId="3CAC30DB" w14:textId="505EF9ED" w:rsidR="002144E9" w:rsidRDefault="002144E9" w:rsidP="002144E9">
      <w:pPr>
        <w:pStyle w:val="DHHSbody"/>
        <w:rPr>
          <w:rFonts w:eastAsia="Calibri" w:cstheme="minorHAnsi"/>
          <w:color w:val="000000"/>
        </w:rPr>
      </w:pPr>
      <w:r>
        <w:rPr>
          <w:rFonts w:eastAsia="Calibri" w:cstheme="minorHAnsi"/>
          <w:color w:val="000000"/>
        </w:rPr>
        <w:t>The Victorian Integrated Cancer Services for prepar</w:t>
      </w:r>
      <w:r w:rsidR="00E876AF">
        <w:rPr>
          <w:rFonts w:eastAsia="Calibri" w:cstheme="minorHAnsi"/>
          <w:color w:val="000000"/>
        </w:rPr>
        <w:t>ing</w:t>
      </w:r>
      <w:r>
        <w:rPr>
          <w:rFonts w:eastAsia="Calibri" w:cstheme="minorHAnsi"/>
          <w:color w:val="000000"/>
        </w:rPr>
        <w:t>, collecti</w:t>
      </w:r>
      <w:r w:rsidR="00E876AF">
        <w:rPr>
          <w:rFonts w:eastAsia="Calibri" w:cstheme="minorHAnsi"/>
          <w:color w:val="000000"/>
        </w:rPr>
        <w:t>ng</w:t>
      </w:r>
      <w:r>
        <w:rPr>
          <w:rFonts w:eastAsia="Calibri" w:cstheme="minorHAnsi"/>
          <w:color w:val="000000"/>
        </w:rPr>
        <w:t xml:space="preserve"> and submi</w:t>
      </w:r>
      <w:r w:rsidR="00E876AF">
        <w:rPr>
          <w:rFonts w:eastAsia="Calibri" w:cstheme="minorHAnsi"/>
          <w:color w:val="000000"/>
        </w:rPr>
        <w:t>tting</w:t>
      </w:r>
      <w:r>
        <w:rPr>
          <w:rFonts w:eastAsia="Calibri" w:cstheme="minorHAnsi"/>
          <w:color w:val="000000"/>
        </w:rPr>
        <w:t xml:space="preserve"> high</w:t>
      </w:r>
      <w:r w:rsidR="00E876AF">
        <w:rPr>
          <w:rFonts w:eastAsia="Calibri" w:cstheme="minorHAnsi"/>
          <w:color w:val="000000"/>
        </w:rPr>
        <w:t>-</w:t>
      </w:r>
      <w:r>
        <w:rPr>
          <w:rFonts w:eastAsia="Calibri" w:cstheme="minorHAnsi"/>
          <w:color w:val="000000"/>
        </w:rPr>
        <w:t>quality local data to inform this audit.</w:t>
      </w:r>
    </w:p>
    <w:p w14:paraId="34DB0A2A" w14:textId="2AC8BDE9" w:rsidR="002144E9" w:rsidRDefault="002144E9" w:rsidP="002144E9">
      <w:pPr>
        <w:pStyle w:val="DHHSbody"/>
        <w:rPr>
          <w:rFonts w:eastAsia="Calibri" w:cstheme="minorHAnsi"/>
          <w:color w:val="000000"/>
        </w:rPr>
      </w:pPr>
      <w:r>
        <w:rPr>
          <w:rFonts w:eastAsia="Calibri" w:cstheme="minorHAnsi"/>
          <w:color w:val="000000"/>
        </w:rPr>
        <w:t>The Cancer Strategy and Development Unit of the Department of Health and Human Services for consolidati</w:t>
      </w:r>
      <w:r w:rsidR="00EC4590">
        <w:rPr>
          <w:rFonts w:eastAsia="Calibri" w:cstheme="minorHAnsi"/>
          <w:color w:val="000000"/>
        </w:rPr>
        <w:t>ng the</w:t>
      </w:r>
      <w:r>
        <w:rPr>
          <w:rFonts w:eastAsia="Calibri" w:cstheme="minorHAnsi"/>
          <w:color w:val="000000"/>
        </w:rPr>
        <w:t xml:space="preserve"> data and </w:t>
      </w:r>
      <w:r w:rsidR="00EC4590">
        <w:rPr>
          <w:rFonts w:eastAsia="Calibri" w:cstheme="minorHAnsi"/>
          <w:color w:val="000000"/>
        </w:rPr>
        <w:t xml:space="preserve">preparing the </w:t>
      </w:r>
      <w:r>
        <w:rPr>
          <w:rFonts w:eastAsia="Calibri" w:cstheme="minorHAnsi"/>
          <w:color w:val="000000"/>
        </w:rPr>
        <w:t>report.</w:t>
      </w:r>
    </w:p>
    <w:p w14:paraId="17B80373" w14:textId="44FF696B" w:rsidR="00B9443D" w:rsidRDefault="00B9443D" w:rsidP="0013267E">
      <w:pPr>
        <w:pStyle w:val="DHHSbody"/>
      </w:pPr>
      <w:r>
        <w:br w:type="page"/>
      </w:r>
    </w:p>
    <w:p w14:paraId="0968FF23" w14:textId="4B0CC8E3" w:rsidR="00B9443D" w:rsidRDefault="00290397" w:rsidP="00B9443D">
      <w:pPr>
        <w:pStyle w:val="Heading1"/>
        <w:spacing w:before="0"/>
      </w:pPr>
      <w:bookmarkStart w:id="2" w:name="_Toc524425481"/>
      <w:r>
        <w:t xml:space="preserve">At a </w:t>
      </w:r>
      <w:r w:rsidR="003F5C1C">
        <w:t>g</w:t>
      </w:r>
      <w:r>
        <w:t>lance</w:t>
      </w:r>
      <w:bookmarkEnd w:id="2"/>
    </w:p>
    <w:p w14:paraId="5940A16F" w14:textId="514B3E69" w:rsidR="008C48AB" w:rsidRPr="00C139EB" w:rsidRDefault="00576B1D" w:rsidP="00C139EB">
      <w:pPr>
        <w:pStyle w:val="DHHSbody"/>
        <w:rPr>
          <w:rFonts w:eastAsia="Calibri" w:cs="Arial"/>
          <w:color w:val="000000"/>
          <w:lang w:val="en-US"/>
        </w:rPr>
      </w:pPr>
      <w:r w:rsidRPr="00C139EB">
        <w:rPr>
          <w:rFonts w:eastAsia="Calibri" w:cs="Arial"/>
          <w:color w:val="000000"/>
          <w:lang w:val="en-US"/>
        </w:rPr>
        <w:t>T</w:t>
      </w:r>
      <w:r w:rsidR="00135114" w:rsidRPr="00C139EB">
        <w:rPr>
          <w:rFonts w:eastAsia="Calibri" w:cs="Arial"/>
          <w:color w:val="000000"/>
          <w:lang w:val="en-US"/>
        </w:rPr>
        <w:t>his report details findings of</w:t>
      </w:r>
      <w:r w:rsidRPr="00C139EB">
        <w:rPr>
          <w:rFonts w:eastAsia="Calibri" w:cs="Arial"/>
          <w:color w:val="000000"/>
          <w:lang w:val="en-US"/>
        </w:rPr>
        <w:t xml:space="preserve"> </w:t>
      </w:r>
      <w:r w:rsidR="00340F1E">
        <w:rPr>
          <w:rFonts w:eastAsia="Calibri" w:cs="Arial"/>
          <w:color w:val="000000"/>
          <w:lang w:val="en-US"/>
        </w:rPr>
        <w:t>a medical record</w:t>
      </w:r>
      <w:r w:rsidR="00857C02" w:rsidRPr="00C139EB">
        <w:rPr>
          <w:rFonts w:eastAsia="Calibri" w:cs="Arial"/>
          <w:color w:val="000000"/>
          <w:lang w:val="en-US"/>
        </w:rPr>
        <w:t xml:space="preserve"> audit of </w:t>
      </w:r>
      <w:r w:rsidR="00D43B11" w:rsidRPr="00C139EB">
        <w:rPr>
          <w:rFonts w:eastAsia="Calibri" w:cs="Arial"/>
          <w:color w:val="000000"/>
          <w:lang w:val="en-US"/>
        </w:rPr>
        <w:t xml:space="preserve">Victorians diagnosed </w:t>
      </w:r>
      <w:r w:rsidR="00135114" w:rsidRPr="00C139EB">
        <w:rPr>
          <w:rFonts w:eastAsia="Calibri" w:cs="Arial"/>
          <w:color w:val="000000"/>
          <w:lang w:val="en-US"/>
        </w:rPr>
        <w:t xml:space="preserve">with </w:t>
      </w:r>
      <w:proofErr w:type="spellStart"/>
      <w:r w:rsidR="00135114" w:rsidRPr="00C139EB">
        <w:rPr>
          <w:rFonts w:eastAsia="Calibri" w:cs="Arial"/>
          <w:color w:val="000000"/>
          <w:lang w:val="en-US"/>
        </w:rPr>
        <w:t>oesophagogastric</w:t>
      </w:r>
      <w:proofErr w:type="spellEnd"/>
      <w:r w:rsidR="00135114" w:rsidRPr="00C139EB">
        <w:rPr>
          <w:rFonts w:eastAsia="Calibri" w:cs="Arial"/>
          <w:color w:val="000000"/>
          <w:lang w:val="en-US"/>
        </w:rPr>
        <w:t xml:space="preserve"> cancers between 1 July and 31 December 2016 who were admitted to a Victorian public or selected private hospital during this period. In particular, this report presents the key char</w:t>
      </w:r>
      <w:r w:rsidR="0058384A">
        <w:rPr>
          <w:rFonts w:eastAsia="Calibri" w:cs="Arial"/>
          <w:color w:val="000000"/>
          <w:lang w:val="en-US"/>
        </w:rPr>
        <w:t>acteristics of patients who were or were</w:t>
      </w:r>
      <w:r w:rsidR="00135114" w:rsidRPr="00C139EB">
        <w:rPr>
          <w:rFonts w:eastAsia="Calibri" w:cs="Arial"/>
          <w:color w:val="000000"/>
          <w:lang w:val="en-US"/>
        </w:rPr>
        <w:t xml:space="preserve"> not presented at a multidisciplinary meeting and evaluates the timeliness of care</w:t>
      </w:r>
      <w:r w:rsidR="0058384A">
        <w:rPr>
          <w:rFonts w:eastAsia="Calibri" w:cs="Arial"/>
          <w:color w:val="000000"/>
          <w:lang w:val="en-US"/>
        </w:rPr>
        <w:t xml:space="preserve"> they received</w:t>
      </w:r>
      <w:r w:rsidR="00135114" w:rsidRPr="00C139EB">
        <w:rPr>
          <w:rFonts w:eastAsia="Calibri" w:cs="Arial"/>
          <w:color w:val="000000"/>
          <w:lang w:val="en-US"/>
        </w:rPr>
        <w:t xml:space="preserve">. </w:t>
      </w:r>
    </w:p>
    <w:p w14:paraId="405D5D09" w14:textId="1FC5EAC1" w:rsidR="00576B1D" w:rsidRPr="00C139EB" w:rsidRDefault="00D43B11" w:rsidP="00C139EB">
      <w:pPr>
        <w:pStyle w:val="DHHSbody"/>
        <w:rPr>
          <w:rFonts w:eastAsia="Calibri" w:cs="Arial"/>
          <w:color w:val="000000"/>
          <w:lang w:val="en-US"/>
        </w:rPr>
      </w:pPr>
      <w:r w:rsidRPr="00C139EB">
        <w:rPr>
          <w:rFonts w:eastAsia="Calibri" w:cs="Arial"/>
          <w:color w:val="000000"/>
          <w:lang w:val="en-US"/>
        </w:rPr>
        <w:t>A total of</w:t>
      </w:r>
      <w:r w:rsidR="00135114" w:rsidRPr="00C139EB">
        <w:rPr>
          <w:rFonts w:eastAsia="Calibri" w:cs="Arial"/>
          <w:color w:val="000000"/>
          <w:lang w:val="en-US"/>
        </w:rPr>
        <w:t xml:space="preserve"> </w:t>
      </w:r>
      <w:r w:rsidR="003901E1">
        <w:rPr>
          <w:rFonts w:eastAsia="Calibri" w:cs="Arial"/>
          <w:color w:val="000000"/>
          <w:lang w:val="en-US"/>
        </w:rPr>
        <w:t>297</w:t>
      </w:r>
      <w:r w:rsidR="00135114" w:rsidRPr="00C139EB">
        <w:rPr>
          <w:rFonts w:eastAsia="Calibri" w:cs="Arial"/>
          <w:color w:val="000000"/>
          <w:lang w:val="en-US"/>
        </w:rPr>
        <w:t xml:space="preserve"> patients</w:t>
      </w:r>
      <w:r w:rsidR="00576B1D" w:rsidRPr="00C139EB">
        <w:rPr>
          <w:rFonts w:eastAsia="Calibri" w:cs="Arial"/>
          <w:color w:val="000000"/>
          <w:lang w:val="en-US"/>
        </w:rPr>
        <w:t xml:space="preserve"> </w:t>
      </w:r>
      <w:r w:rsidR="0085269F" w:rsidRPr="00C139EB">
        <w:rPr>
          <w:rFonts w:eastAsia="Calibri" w:cs="Arial"/>
          <w:color w:val="000000"/>
          <w:lang w:val="en-US"/>
        </w:rPr>
        <w:t xml:space="preserve">were audited. Of these patients, </w:t>
      </w:r>
      <w:r w:rsidR="003901E1">
        <w:rPr>
          <w:rFonts w:eastAsia="Calibri" w:cs="Arial"/>
          <w:color w:val="000000"/>
          <w:lang w:val="en-US"/>
        </w:rPr>
        <w:t>194</w:t>
      </w:r>
      <w:r w:rsidR="0085269F" w:rsidRPr="00C139EB">
        <w:rPr>
          <w:rFonts w:eastAsia="Calibri" w:cs="Arial"/>
          <w:color w:val="000000"/>
          <w:lang w:val="en-US"/>
        </w:rPr>
        <w:t xml:space="preserve"> </w:t>
      </w:r>
      <w:r w:rsidR="006222CA">
        <w:rPr>
          <w:rFonts w:eastAsia="Calibri" w:cs="Arial"/>
          <w:color w:val="000000"/>
          <w:lang w:val="en-US"/>
        </w:rPr>
        <w:t xml:space="preserve">(65 per cent) </w:t>
      </w:r>
      <w:r w:rsidR="0085269F" w:rsidRPr="00C139EB">
        <w:rPr>
          <w:rFonts w:eastAsia="Calibri" w:cs="Arial"/>
          <w:color w:val="000000"/>
          <w:lang w:val="en-US"/>
        </w:rPr>
        <w:t xml:space="preserve">were diagnosed with stomach cancer and </w:t>
      </w:r>
      <w:r w:rsidR="003901E1">
        <w:rPr>
          <w:rFonts w:eastAsia="Calibri" w:cs="Arial"/>
          <w:color w:val="000000"/>
          <w:lang w:val="en-US"/>
        </w:rPr>
        <w:t>103</w:t>
      </w:r>
      <w:r w:rsidR="0085269F" w:rsidRPr="00C139EB">
        <w:rPr>
          <w:rFonts w:eastAsia="Calibri" w:cs="Arial"/>
          <w:color w:val="000000"/>
          <w:lang w:val="en-US"/>
        </w:rPr>
        <w:t xml:space="preserve"> </w:t>
      </w:r>
      <w:r w:rsidR="006222CA">
        <w:rPr>
          <w:rFonts w:eastAsia="Calibri" w:cs="Arial"/>
          <w:color w:val="000000"/>
          <w:lang w:val="en-US"/>
        </w:rPr>
        <w:t xml:space="preserve">(35 per cent) </w:t>
      </w:r>
      <w:r w:rsidR="0085269F" w:rsidRPr="00C139EB">
        <w:rPr>
          <w:rFonts w:eastAsia="Calibri" w:cs="Arial"/>
          <w:color w:val="000000"/>
          <w:lang w:val="en-US"/>
        </w:rPr>
        <w:t>were diagnosed with oesophageal cancer. The majority of pati</w:t>
      </w:r>
      <w:r w:rsidR="00465E7F" w:rsidRPr="00C139EB">
        <w:rPr>
          <w:rFonts w:eastAsia="Calibri" w:cs="Arial"/>
          <w:color w:val="000000"/>
          <w:lang w:val="en-US"/>
        </w:rPr>
        <w:t xml:space="preserve">ents were male </w:t>
      </w:r>
      <w:r w:rsidR="003901E1" w:rsidRPr="003901E1">
        <w:rPr>
          <w:rFonts w:eastAsia="Calibri" w:cs="Arial"/>
          <w:color w:val="000000"/>
          <w:lang w:val="en-US"/>
        </w:rPr>
        <w:t>(71</w:t>
      </w:r>
      <w:r w:rsidR="00465E7F" w:rsidRPr="00C139EB">
        <w:rPr>
          <w:rFonts w:eastAsia="Calibri" w:cs="Arial"/>
          <w:color w:val="000000"/>
          <w:lang w:val="en-US"/>
        </w:rPr>
        <w:t xml:space="preserve"> per cent</w:t>
      </w:r>
      <w:r w:rsidR="00E13EE7">
        <w:rPr>
          <w:rFonts w:eastAsia="Calibri" w:cs="Arial"/>
          <w:color w:val="000000"/>
          <w:lang w:val="en-US"/>
        </w:rPr>
        <w:t>)</w:t>
      </w:r>
      <w:r w:rsidR="00DD0F94">
        <w:rPr>
          <w:rFonts w:eastAsia="Calibri" w:cs="Arial"/>
          <w:color w:val="000000"/>
          <w:lang w:val="en-US"/>
        </w:rPr>
        <w:t>,</w:t>
      </w:r>
      <w:r w:rsidR="00E13EE7">
        <w:rPr>
          <w:rFonts w:eastAsia="Calibri" w:cs="Arial"/>
          <w:color w:val="000000"/>
          <w:lang w:val="en-US"/>
        </w:rPr>
        <w:t xml:space="preserve"> and </w:t>
      </w:r>
      <w:r w:rsidR="000537FC">
        <w:rPr>
          <w:rFonts w:eastAsia="Calibri" w:cs="Arial"/>
          <w:color w:val="000000"/>
          <w:lang w:val="en-US"/>
        </w:rPr>
        <w:t xml:space="preserve">37 per cent of all patients </w:t>
      </w:r>
      <w:r w:rsidR="00E13EE7">
        <w:rPr>
          <w:rFonts w:eastAsia="Calibri" w:cs="Arial"/>
          <w:color w:val="000000"/>
          <w:lang w:val="en-US"/>
        </w:rPr>
        <w:t>had metastatic disease</w:t>
      </w:r>
      <w:r w:rsidR="0085269F" w:rsidRPr="00C139EB">
        <w:rPr>
          <w:rFonts w:eastAsia="Calibri" w:cs="Arial"/>
          <w:color w:val="000000"/>
          <w:lang w:val="en-US"/>
        </w:rPr>
        <w:t>.</w:t>
      </w:r>
    </w:p>
    <w:p w14:paraId="3C5B1945" w14:textId="4E1ECE5C" w:rsidR="00D806FC" w:rsidRDefault="00F0776E" w:rsidP="003279A8">
      <w:pPr>
        <w:pStyle w:val="Heading2"/>
        <w:rPr>
          <w:rFonts w:eastAsia="Calibri"/>
          <w:lang w:val="en-US"/>
        </w:rPr>
      </w:pPr>
      <w:bookmarkStart w:id="3" w:name="_Toc524425482"/>
      <w:r>
        <w:rPr>
          <w:rFonts w:eastAsia="Calibri"/>
          <w:lang w:val="en-US"/>
        </w:rPr>
        <w:t xml:space="preserve">Key </w:t>
      </w:r>
      <w:r w:rsidRPr="003279A8">
        <w:rPr>
          <w:rFonts w:eastAsia="Calibri"/>
        </w:rPr>
        <w:t>findings</w:t>
      </w:r>
      <w:bookmarkEnd w:id="3"/>
    </w:p>
    <w:p w14:paraId="0EDF7D16" w14:textId="2ECE6A6B" w:rsidR="00F0776E" w:rsidRDefault="00F0776E" w:rsidP="00F0776E">
      <w:pPr>
        <w:pStyle w:val="Heading3"/>
        <w:rPr>
          <w:lang w:val="en-US"/>
        </w:rPr>
      </w:pPr>
      <w:r>
        <w:rPr>
          <w:lang w:val="en-US"/>
        </w:rPr>
        <w:t>Multidisciplinary team meeting</w:t>
      </w:r>
    </w:p>
    <w:p w14:paraId="6CEECBE3" w14:textId="079228FC" w:rsidR="0085269F" w:rsidRPr="00C139EB" w:rsidRDefault="0085269F" w:rsidP="00C139EB">
      <w:pPr>
        <w:pStyle w:val="DHHSbody"/>
        <w:rPr>
          <w:rFonts w:eastAsia="Calibri" w:cs="Arial"/>
          <w:color w:val="000000"/>
          <w:lang w:val="en-US"/>
        </w:rPr>
      </w:pPr>
      <w:r w:rsidRPr="00C139EB">
        <w:rPr>
          <w:rFonts w:eastAsia="Calibri" w:cs="Arial"/>
          <w:color w:val="000000"/>
          <w:lang w:val="en-US"/>
        </w:rPr>
        <w:t xml:space="preserve">Of the patients audited, </w:t>
      </w:r>
      <w:r w:rsidR="00302D3F">
        <w:rPr>
          <w:rFonts w:eastAsia="Calibri" w:cs="Arial"/>
          <w:color w:val="000000"/>
          <w:lang w:val="en-US"/>
        </w:rPr>
        <w:t>81</w:t>
      </w:r>
      <w:r w:rsidR="00465E7F" w:rsidRPr="00C139EB">
        <w:rPr>
          <w:rFonts w:eastAsia="Calibri" w:cs="Arial"/>
          <w:color w:val="000000"/>
          <w:lang w:val="en-US"/>
        </w:rPr>
        <w:t xml:space="preserve"> per cent of eligible patients were identified as having been discussed at a multidisciplinary meeting.</w:t>
      </w:r>
    </w:p>
    <w:p w14:paraId="45213C38" w14:textId="3A4FE931" w:rsidR="00C21F4D" w:rsidRDefault="00465E7F" w:rsidP="00C139EB">
      <w:pPr>
        <w:pStyle w:val="DHHSbody"/>
        <w:rPr>
          <w:rFonts w:eastAsia="Calibri" w:cs="Arial"/>
          <w:color w:val="000000"/>
          <w:lang w:val="en-US"/>
        </w:rPr>
      </w:pPr>
      <w:r w:rsidRPr="003064B6">
        <w:rPr>
          <w:rFonts w:eastAsia="Calibri" w:cs="Arial"/>
          <w:color w:val="000000"/>
          <w:lang w:val="en-US"/>
        </w:rPr>
        <w:t xml:space="preserve">Patients </w:t>
      </w:r>
      <w:r w:rsidR="00DD0F94">
        <w:rPr>
          <w:rFonts w:eastAsia="Calibri" w:cs="Arial"/>
          <w:color w:val="000000"/>
          <w:lang w:val="en-US"/>
        </w:rPr>
        <w:t>who</w:t>
      </w:r>
      <w:r w:rsidR="00DD0F94" w:rsidRPr="003064B6">
        <w:rPr>
          <w:rFonts w:eastAsia="Calibri" w:cs="Arial"/>
          <w:color w:val="000000"/>
          <w:lang w:val="en-US"/>
        </w:rPr>
        <w:t xml:space="preserve"> </w:t>
      </w:r>
      <w:r w:rsidRPr="003064B6">
        <w:rPr>
          <w:rFonts w:eastAsia="Calibri" w:cs="Arial"/>
          <w:color w:val="000000"/>
          <w:lang w:val="en-US"/>
        </w:rPr>
        <w:t>presented at a later stage of diagnosis were less likely to be discussed at a multidisciplinary meeting than those who presented early.</w:t>
      </w:r>
    </w:p>
    <w:p w14:paraId="3E07A619" w14:textId="0DA6A017" w:rsidR="008C48AB" w:rsidRPr="008C48AB" w:rsidRDefault="008C48AB" w:rsidP="00C139EB">
      <w:pPr>
        <w:pStyle w:val="DHHSbody"/>
        <w:rPr>
          <w:rFonts w:eastAsia="Calibri" w:cs="Arial"/>
          <w:color w:val="000000"/>
          <w:lang w:val="en-US"/>
        </w:rPr>
      </w:pPr>
      <w:r>
        <w:rPr>
          <w:rFonts w:eastAsia="Calibri" w:cs="Arial"/>
          <w:color w:val="000000"/>
          <w:lang w:val="en-US"/>
        </w:rPr>
        <w:t>Patients with a documented referral to community palliative care services were</w:t>
      </w:r>
      <w:r w:rsidR="0058384A">
        <w:rPr>
          <w:rFonts w:eastAsia="Calibri" w:cs="Arial"/>
          <w:color w:val="000000"/>
          <w:lang w:val="en-US"/>
        </w:rPr>
        <w:t xml:space="preserve"> also</w:t>
      </w:r>
      <w:r>
        <w:rPr>
          <w:rFonts w:eastAsia="Calibri" w:cs="Arial"/>
          <w:color w:val="000000"/>
          <w:lang w:val="en-US"/>
        </w:rPr>
        <w:t xml:space="preserve"> less likely to be discussed at a multidisciplinary meeting.</w:t>
      </w:r>
    </w:p>
    <w:p w14:paraId="7EC080D5" w14:textId="463AC47C" w:rsidR="006846EF" w:rsidRDefault="006846EF" w:rsidP="006846EF">
      <w:pPr>
        <w:pStyle w:val="Heading3"/>
        <w:rPr>
          <w:lang w:val="en-US"/>
        </w:rPr>
      </w:pPr>
      <w:r>
        <w:rPr>
          <w:lang w:val="en-US"/>
        </w:rPr>
        <w:t>Timeliness of care</w:t>
      </w:r>
    </w:p>
    <w:p w14:paraId="4902D952" w14:textId="1041DAB8" w:rsidR="00670171" w:rsidRDefault="00EC6F04" w:rsidP="00670171">
      <w:pPr>
        <w:pStyle w:val="DHHSbody"/>
        <w:rPr>
          <w:rFonts w:eastAsia="Calibri" w:cs="Arial"/>
          <w:color w:val="000000"/>
          <w:lang w:val="en-US"/>
        </w:rPr>
      </w:pPr>
      <w:r>
        <w:rPr>
          <w:rFonts w:eastAsia="Calibri" w:cs="Arial"/>
          <w:color w:val="000000"/>
          <w:lang w:val="en-US"/>
        </w:rPr>
        <w:t>The median</w:t>
      </w:r>
      <w:r w:rsidR="00670171">
        <w:rPr>
          <w:rFonts w:eastAsia="Calibri" w:cs="Arial"/>
          <w:color w:val="000000"/>
          <w:lang w:val="en-US"/>
        </w:rPr>
        <w:t xml:space="preserve"> time from recei</w:t>
      </w:r>
      <w:r w:rsidR="00DD0F94">
        <w:rPr>
          <w:rFonts w:eastAsia="Calibri" w:cs="Arial"/>
          <w:color w:val="000000"/>
          <w:lang w:val="en-US"/>
        </w:rPr>
        <w:t>ving a</w:t>
      </w:r>
      <w:r w:rsidR="00670171">
        <w:rPr>
          <w:rFonts w:eastAsia="Calibri" w:cs="Arial"/>
          <w:color w:val="000000"/>
          <w:lang w:val="en-US"/>
        </w:rPr>
        <w:t xml:space="preserve"> referral to </w:t>
      </w:r>
      <w:r w:rsidR="00DD0F94">
        <w:rPr>
          <w:rFonts w:eastAsia="Calibri" w:cs="Arial"/>
          <w:color w:val="000000"/>
          <w:lang w:val="en-US"/>
        </w:rPr>
        <w:t xml:space="preserve">the </w:t>
      </w:r>
      <w:r w:rsidR="00670171">
        <w:rPr>
          <w:rFonts w:eastAsia="Calibri" w:cs="Arial"/>
          <w:color w:val="000000"/>
          <w:lang w:val="en-US"/>
        </w:rPr>
        <w:t>commencement of</w:t>
      </w:r>
      <w:r w:rsidR="006F347B">
        <w:rPr>
          <w:rFonts w:eastAsia="Calibri" w:cs="Arial"/>
          <w:color w:val="000000"/>
          <w:lang w:val="en-US"/>
        </w:rPr>
        <w:t xml:space="preserve"> first</w:t>
      </w:r>
      <w:r w:rsidR="0055528B">
        <w:rPr>
          <w:rFonts w:eastAsia="Calibri" w:cs="Arial"/>
          <w:color w:val="000000"/>
          <w:lang w:val="en-US"/>
        </w:rPr>
        <w:t xml:space="preserve"> treatment was </w:t>
      </w:r>
      <w:r>
        <w:rPr>
          <w:rFonts w:eastAsia="Calibri" w:cs="Arial"/>
          <w:color w:val="000000"/>
          <w:lang w:val="en-US"/>
        </w:rPr>
        <w:t>34</w:t>
      </w:r>
      <w:r w:rsidR="0055528B">
        <w:rPr>
          <w:rFonts w:eastAsia="Calibri" w:cs="Arial"/>
          <w:color w:val="000000"/>
          <w:lang w:val="en-US"/>
        </w:rPr>
        <w:t xml:space="preserve"> </w:t>
      </w:r>
      <w:r w:rsidR="00670171">
        <w:rPr>
          <w:rFonts w:eastAsia="Calibri" w:cs="Arial"/>
          <w:color w:val="000000"/>
          <w:lang w:val="en-US"/>
        </w:rPr>
        <w:t xml:space="preserve">days for oesophageal cancer patients and </w:t>
      </w:r>
      <w:r>
        <w:rPr>
          <w:rFonts w:eastAsia="Calibri" w:cs="Arial"/>
          <w:color w:val="000000"/>
          <w:lang w:val="en-US"/>
        </w:rPr>
        <w:t>36</w:t>
      </w:r>
      <w:r w:rsidR="005412A1">
        <w:rPr>
          <w:rFonts w:eastAsia="Calibri" w:cs="Arial"/>
          <w:color w:val="000000"/>
          <w:lang w:val="en-US"/>
        </w:rPr>
        <w:t xml:space="preserve"> </w:t>
      </w:r>
      <w:r w:rsidR="00670171">
        <w:rPr>
          <w:rFonts w:eastAsia="Calibri" w:cs="Arial"/>
          <w:color w:val="000000"/>
          <w:lang w:val="en-US"/>
        </w:rPr>
        <w:t>days for patients diagnosed with stomach c</w:t>
      </w:r>
      <w:r w:rsidR="00670171" w:rsidRPr="00F71BBD">
        <w:rPr>
          <w:rFonts w:eastAsia="Calibri" w:cs="Arial"/>
          <w:color w:val="000000"/>
          <w:lang w:val="en-US"/>
        </w:rPr>
        <w:t>ancer</w:t>
      </w:r>
      <w:r w:rsidR="00670171">
        <w:rPr>
          <w:rFonts w:eastAsia="Calibri" w:cs="Arial"/>
          <w:color w:val="000000"/>
          <w:lang w:val="en-US"/>
        </w:rPr>
        <w:t xml:space="preserve">. </w:t>
      </w:r>
      <w:r w:rsidR="00795275">
        <w:rPr>
          <w:rFonts w:eastAsia="Calibri" w:cs="Arial"/>
          <w:color w:val="000000"/>
          <w:lang w:val="en-US"/>
        </w:rPr>
        <w:t>Sixty-three</w:t>
      </w:r>
      <w:r w:rsidR="002A5340">
        <w:rPr>
          <w:rFonts w:eastAsia="Calibri" w:cs="Arial"/>
          <w:color w:val="000000"/>
          <w:lang w:val="en-US"/>
        </w:rPr>
        <w:t xml:space="preserve"> per cent</w:t>
      </w:r>
      <w:r w:rsidR="008767DF">
        <w:rPr>
          <w:rFonts w:eastAsia="Calibri" w:cs="Arial"/>
          <w:color w:val="000000"/>
          <w:lang w:val="en-US"/>
        </w:rPr>
        <w:t xml:space="preserve"> of audited patients met</w:t>
      </w:r>
      <w:r w:rsidR="008C48AB">
        <w:rPr>
          <w:rFonts w:eastAsia="Calibri" w:cs="Arial"/>
          <w:color w:val="000000"/>
          <w:lang w:val="en-US"/>
        </w:rPr>
        <w:t xml:space="preserve"> the optimal care pathway recommendation of less </w:t>
      </w:r>
      <w:r w:rsidR="008C48AB" w:rsidRPr="0090528B">
        <w:rPr>
          <w:rFonts w:eastAsia="Calibri" w:cs="Arial"/>
          <w:color w:val="000000"/>
          <w:lang w:val="en-US"/>
        </w:rPr>
        <w:t>than</w:t>
      </w:r>
      <w:r w:rsidR="00DD2544">
        <w:rPr>
          <w:rFonts w:eastAsia="Calibri" w:cs="Arial"/>
          <w:color w:val="000000"/>
          <w:lang w:val="en-US"/>
        </w:rPr>
        <w:t xml:space="preserve"> or equal to</w:t>
      </w:r>
      <w:r w:rsidR="008C48AB" w:rsidRPr="0090528B">
        <w:rPr>
          <w:rFonts w:eastAsia="Calibri" w:cs="Arial"/>
          <w:color w:val="000000"/>
          <w:lang w:val="en-US"/>
        </w:rPr>
        <w:t xml:space="preserve"> 42 days</w:t>
      </w:r>
      <w:r w:rsidR="008C48AB">
        <w:rPr>
          <w:rFonts w:eastAsia="Calibri" w:cs="Arial"/>
          <w:color w:val="000000"/>
          <w:lang w:val="en-US"/>
        </w:rPr>
        <w:t>.</w:t>
      </w:r>
    </w:p>
    <w:p w14:paraId="00C7E2BC" w14:textId="7B755ABB" w:rsidR="00670171" w:rsidRPr="00816EE1" w:rsidRDefault="00EC6F04" w:rsidP="00670171">
      <w:pPr>
        <w:pStyle w:val="DHHSbody"/>
        <w:rPr>
          <w:rFonts w:eastAsia="Calibri" w:cs="Arial"/>
          <w:color w:val="000000"/>
          <w:lang w:val="en-US"/>
        </w:rPr>
      </w:pPr>
      <w:r>
        <w:rPr>
          <w:rFonts w:eastAsia="Calibri" w:cs="Arial"/>
          <w:color w:val="000000"/>
          <w:lang w:val="en-US"/>
        </w:rPr>
        <w:t>The median</w:t>
      </w:r>
      <w:r w:rsidR="00670171">
        <w:rPr>
          <w:rFonts w:eastAsia="Calibri" w:cs="Arial"/>
          <w:color w:val="000000"/>
          <w:lang w:val="en-US"/>
        </w:rPr>
        <w:t xml:space="preserve"> time from recei</w:t>
      </w:r>
      <w:r w:rsidR="00DD0F94">
        <w:rPr>
          <w:rFonts w:eastAsia="Calibri" w:cs="Arial"/>
          <w:color w:val="000000"/>
          <w:lang w:val="en-US"/>
        </w:rPr>
        <w:t>ving a</w:t>
      </w:r>
      <w:r w:rsidR="00670171">
        <w:rPr>
          <w:rFonts w:eastAsia="Calibri" w:cs="Arial"/>
          <w:color w:val="000000"/>
          <w:lang w:val="en-US"/>
        </w:rPr>
        <w:t xml:space="preserve"> referral to </w:t>
      </w:r>
      <w:r w:rsidR="00DD0F94">
        <w:rPr>
          <w:rFonts w:eastAsia="Calibri" w:cs="Arial"/>
          <w:color w:val="000000"/>
          <w:lang w:val="en-US"/>
        </w:rPr>
        <w:t>the case being discussed at a multidisciplinary meeting</w:t>
      </w:r>
      <w:r w:rsidR="00DD0F94" w:rsidDel="00DD0F94">
        <w:rPr>
          <w:rFonts w:eastAsia="Calibri" w:cs="Arial"/>
          <w:color w:val="000000"/>
          <w:lang w:val="en-US"/>
        </w:rPr>
        <w:t xml:space="preserve"> </w:t>
      </w:r>
      <w:r w:rsidR="00670171">
        <w:rPr>
          <w:rFonts w:eastAsia="Calibri" w:cs="Arial"/>
          <w:color w:val="000000"/>
          <w:lang w:val="en-US"/>
        </w:rPr>
        <w:t xml:space="preserve">was </w:t>
      </w:r>
      <w:r>
        <w:rPr>
          <w:rFonts w:eastAsia="Calibri" w:cs="Arial"/>
          <w:color w:val="000000"/>
          <w:lang w:val="en-US"/>
        </w:rPr>
        <w:t>16</w:t>
      </w:r>
      <w:r w:rsidR="00670171">
        <w:rPr>
          <w:rFonts w:eastAsia="Calibri" w:cs="Arial"/>
          <w:color w:val="000000"/>
          <w:lang w:val="en-US"/>
        </w:rPr>
        <w:t xml:space="preserve"> days for patients diagnosed with oesophageal cancer and </w:t>
      </w:r>
      <w:r>
        <w:rPr>
          <w:rFonts w:eastAsia="Calibri" w:cs="Arial"/>
          <w:color w:val="000000"/>
          <w:lang w:val="en-US"/>
        </w:rPr>
        <w:t>18</w:t>
      </w:r>
      <w:r w:rsidR="00670171">
        <w:rPr>
          <w:rFonts w:eastAsia="Calibri" w:cs="Arial"/>
          <w:color w:val="000000"/>
          <w:lang w:val="en-US"/>
        </w:rPr>
        <w:t xml:space="preserve"> days for patients diagnosed with stomach c</w:t>
      </w:r>
      <w:r w:rsidR="00670171" w:rsidRPr="00F71BBD">
        <w:rPr>
          <w:rFonts w:eastAsia="Calibri" w:cs="Arial"/>
          <w:color w:val="000000"/>
          <w:lang w:val="en-US"/>
        </w:rPr>
        <w:t>ancer</w:t>
      </w:r>
      <w:r w:rsidR="00670171">
        <w:rPr>
          <w:rFonts w:eastAsia="Calibri" w:cs="Arial"/>
          <w:color w:val="000000"/>
          <w:lang w:val="en-US"/>
        </w:rPr>
        <w:t>.</w:t>
      </w:r>
      <w:r w:rsidR="008C48AB">
        <w:rPr>
          <w:rFonts w:eastAsia="Calibri" w:cs="Arial"/>
          <w:color w:val="000000"/>
          <w:lang w:val="en-US"/>
        </w:rPr>
        <w:t xml:space="preserve"> </w:t>
      </w:r>
      <w:r w:rsidR="00795275">
        <w:rPr>
          <w:rFonts w:eastAsia="Calibri" w:cs="Arial"/>
          <w:color w:val="000000"/>
          <w:lang w:val="en-US"/>
        </w:rPr>
        <w:t>Seventy-one</w:t>
      </w:r>
      <w:r w:rsidR="008767DF">
        <w:rPr>
          <w:rFonts w:eastAsia="Calibri" w:cs="Arial"/>
          <w:color w:val="000000"/>
          <w:lang w:val="en-US"/>
        </w:rPr>
        <w:t xml:space="preserve"> per cent of audited patients met</w:t>
      </w:r>
      <w:r w:rsidR="008C48AB">
        <w:rPr>
          <w:rFonts w:eastAsia="Calibri" w:cs="Arial"/>
          <w:color w:val="000000"/>
          <w:lang w:val="en-US"/>
        </w:rPr>
        <w:t xml:space="preserve"> the optimal care pathway recommendation of less </w:t>
      </w:r>
      <w:r w:rsidR="008C48AB" w:rsidRPr="0090528B">
        <w:rPr>
          <w:rFonts w:eastAsia="Calibri" w:cs="Arial"/>
          <w:color w:val="000000"/>
          <w:lang w:val="en-US"/>
        </w:rPr>
        <w:t>than</w:t>
      </w:r>
      <w:r w:rsidR="00DD2544">
        <w:rPr>
          <w:rFonts w:eastAsia="Calibri" w:cs="Arial"/>
          <w:color w:val="000000"/>
          <w:lang w:val="en-US"/>
        </w:rPr>
        <w:t xml:space="preserve"> or equal to</w:t>
      </w:r>
      <w:r w:rsidR="008C48AB" w:rsidRPr="0090528B">
        <w:rPr>
          <w:rFonts w:eastAsia="Calibri" w:cs="Arial"/>
          <w:color w:val="000000"/>
          <w:lang w:val="en-US"/>
        </w:rPr>
        <w:t xml:space="preserve"> 28 days</w:t>
      </w:r>
      <w:r w:rsidR="008C48AB">
        <w:rPr>
          <w:rFonts w:eastAsia="Calibri" w:cs="Arial"/>
          <w:color w:val="000000"/>
          <w:lang w:val="en-US"/>
        </w:rPr>
        <w:t>.</w:t>
      </w:r>
    </w:p>
    <w:p w14:paraId="59325838" w14:textId="6DAB479A" w:rsidR="00670171" w:rsidRPr="0014165F" w:rsidRDefault="00EC6F04" w:rsidP="00670171">
      <w:pPr>
        <w:pStyle w:val="DHHSbody"/>
        <w:rPr>
          <w:rFonts w:eastAsia="Calibri" w:cs="Arial"/>
          <w:color w:val="000000"/>
          <w:lang w:val="en-US"/>
        </w:rPr>
      </w:pPr>
      <w:r>
        <w:rPr>
          <w:rFonts w:eastAsia="Calibri" w:cs="Arial"/>
          <w:color w:val="000000"/>
          <w:lang w:val="en-US"/>
        </w:rPr>
        <w:t>The median</w:t>
      </w:r>
      <w:r w:rsidR="00670171" w:rsidRPr="0014165F">
        <w:rPr>
          <w:rFonts w:eastAsia="Calibri" w:cs="Arial"/>
          <w:color w:val="000000"/>
          <w:lang w:val="en-US"/>
        </w:rPr>
        <w:t xml:space="preserve"> time </w:t>
      </w:r>
      <w:r w:rsidR="00670171" w:rsidRPr="00C139EB">
        <w:rPr>
          <w:rFonts w:eastAsia="Calibri" w:cs="Arial"/>
          <w:color w:val="000000"/>
          <w:lang w:val="en-US"/>
        </w:rPr>
        <w:t xml:space="preserve">from </w:t>
      </w:r>
      <w:r w:rsidR="00DD0F94">
        <w:rPr>
          <w:rFonts w:eastAsia="Calibri" w:cs="Arial"/>
          <w:color w:val="000000"/>
          <w:lang w:val="en-US"/>
        </w:rPr>
        <w:t>the case being discussed at a multidisciplinary meeting</w:t>
      </w:r>
      <w:r w:rsidR="00DD0F94" w:rsidDel="00DD0F94">
        <w:rPr>
          <w:rFonts w:eastAsia="Calibri" w:cs="Arial"/>
          <w:color w:val="000000"/>
          <w:lang w:val="en-US"/>
        </w:rPr>
        <w:t xml:space="preserve"> </w:t>
      </w:r>
      <w:r w:rsidR="00670171" w:rsidRPr="00C139EB">
        <w:rPr>
          <w:rFonts w:eastAsia="Calibri" w:cs="Arial"/>
          <w:color w:val="000000"/>
          <w:lang w:val="en-US"/>
        </w:rPr>
        <w:t xml:space="preserve">to </w:t>
      </w:r>
      <w:r w:rsidR="00DD0F94">
        <w:rPr>
          <w:rFonts w:eastAsia="Calibri" w:cs="Arial"/>
          <w:color w:val="000000"/>
          <w:lang w:val="en-US"/>
        </w:rPr>
        <w:t>beginning</w:t>
      </w:r>
      <w:r w:rsidR="00670171" w:rsidRPr="00C139EB">
        <w:rPr>
          <w:rFonts w:eastAsia="Calibri" w:cs="Arial"/>
          <w:color w:val="000000"/>
          <w:lang w:val="en-US"/>
        </w:rPr>
        <w:t xml:space="preserve"> treatment </w:t>
      </w:r>
      <w:r w:rsidR="00FC1AA5">
        <w:rPr>
          <w:rFonts w:eastAsia="Calibri" w:cs="Arial"/>
          <w:color w:val="000000"/>
          <w:lang w:val="en-US"/>
        </w:rPr>
        <w:t>was 25</w:t>
      </w:r>
      <w:r w:rsidR="00670171" w:rsidRPr="0014165F">
        <w:rPr>
          <w:rFonts w:eastAsia="Calibri" w:cs="Arial"/>
          <w:color w:val="000000"/>
          <w:lang w:val="en-US"/>
        </w:rPr>
        <w:t xml:space="preserve"> days for patients diagnosed with oesophageal cancer </w:t>
      </w:r>
      <w:r w:rsidR="0014165F" w:rsidRPr="0014165F">
        <w:rPr>
          <w:rFonts w:eastAsia="Calibri" w:cs="Arial"/>
          <w:color w:val="000000"/>
          <w:lang w:val="en-US"/>
        </w:rPr>
        <w:t>and</w:t>
      </w:r>
      <w:r w:rsidR="00FC1AA5">
        <w:rPr>
          <w:rFonts w:eastAsia="Calibri" w:cs="Arial"/>
          <w:color w:val="000000"/>
          <w:lang w:val="en-US"/>
        </w:rPr>
        <w:t xml:space="preserve"> 23</w:t>
      </w:r>
      <w:r w:rsidR="00670171" w:rsidRPr="0014165F">
        <w:rPr>
          <w:rFonts w:eastAsia="Calibri" w:cs="Arial"/>
          <w:color w:val="000000"/>
          <w:lang w:val="en-US"/>
        </w:rPr>
        <w:t xml:space="preserve"> days for patient</w:t>
      </w:r>
      <w:r w:rsidR="0014165F" w:rsidRPr="0014165F">
        <w:rPr>
          <w:rFonts w:eastAsia="Calibri" w:cs="Arial"/>
          <w:color w:val="000000"/>
          <w:lang w:val="en-US"/>
        </w:rPr>
        <w:t>s diagnosed with stomach cancer.</w:t>
      </w:r>
      <w:r w:rsidR="008C48AB">
        <w:rPr>
          <w:rFonts w:eastAsia="Calibri" w:cs="Arial"/>
          <w:color w:val="000000"/>
          <w:lang w:val="en-US"/>
        </w:rPr>
        <w:t xml:space="preserve"> </w:t>
      </w:r>
      <w:r w:rsidR="00610DCB">
        <w:rPr>
          <w:rFonts w:eastAsia="Calibri" w:cs="Arial"/>
          <w:color w:val="000000"/>
          <w:lang w:val="en-US"/>
        </w:rPr>
        <w:t>Twenty-seven</w:t>
      </w:r>
      <w:r w:rsidR="008767DF">
        <w:rPr>
          <w:rFonts w:eastAsia="Calibri" w:cs="Arial"/>
          <w:color w:val="000000"/>
          <w:lang w:val="en-US"/>
        </w:rPr>
        <w:t xml:space="preserve"> per cent of audited patients met</w:t>
      </w:r>
      <w:r w:rsidR="008C48AB">
        <w:rPr>
          <w:rFonts w:eastAsia="Calibri" w:cs="Arial"/>
          <w:color w:val="000000"/>
          <w:lang w:val="en-US"/>
        </w:rPr>
        <w:t xml:space="preserve"> the optimal care pathway recommendation of less than </w:t>
      </w:r>
      <w:r w:rsidR="00DD2544">
        <w:rPr>
          <w:rFonts w:eastAsia="Calibri" w:cs="Arial"/>
          <w:color w:val="000000"/>
          <w:lang w:val="en-US"/>
        </w:rPr>
        <w:t xml:space="preserve">or equal to </w:t>
      </w:r>
      <w:r w:rsidR="008C48AB">
        <w:rPr>
          <w:rFonts w:eastAsia="Calibri" w:cs="Arial"/>
          <w:color w:val="000000"/>
          <w:lang w:val="en-US"/>
        </w:rPr>
        <w:t>14 days.</w:t>
      </w:r>
    </w:p>
    <w:p w14:paraId="76A4F204" w14:textId="59E62828" w:rsidR="00670171" w:rsidRPr="008231FE" w:rsidRDefault="00EC6F04" w:rsidP="00670171">
      <w:pPr>
        <w:pStyle w:val="DHHSbody"/>
        <w:rPr>
          <w:rFonts w:eastAsia="Calibri" w:cs="Arial"/>
          <w:color w:val="000000"/>
          <w:lang w:val="en-US"/>
        </w:rPr>
      </w:pPr>
      <w:r>
        <w:rPr>
          <w:rFonts w:eastAsia="Calibri" w:cs="Arial"/>
          <w:color w:val="000000"/>
          <w:lang w:val="en-US"/>
        </w:rPr>
        <w:t>The median</w:t>
      </w:r>
      <w:r w:rsidR="00670171" w:rsidRPr="008231FE">
        <w:rPr>
          <w:rFonts w:eastAsia="Calibri" w:cs="Arial"/>
          <w:color w:val="000000"/>
          <w:lang w:val="en-US"/>
        </w:rPr>
        <w:t xml:space="preserve"> time from diagnosis to </w:t>
      </w:r>
      <w:r w:rsidR="00DD0F94">
        <w:rPr>
          <w:rFonts w:eastAsia="Calibri" w:cs="Arial"/>
          <w:color w:val="000000"/>
          <w:lang w:val="en-US"/>
        </w:rPr>
        <w:t>the case being discussed at a multidisciplinary meeting</w:t>
      </w:r>
      <w:r w:rsidR="00DD0F94" w:rsidDel="00DD0F94">
        <w:rPr>
          <w:rFonts w:eastAsia="Calibri" w:cs="Arial"/>
          <w:color w:val="000000"/>
          <w:lang w:val="en-US"/>
        </w:rPr>
        <w:t xml:space="preserve"> </w:t>
      </w:r>
      <w:r w:rsidR="00670171" w:rsidRPr="008231FE">
        <w:rPr>
          <w:rFonts w:eastAsia="Calibri" w:cs="Arial"/>
          <w:color w:val="000000"/>
          <w:lang w:val="en-US"/>
        </w:rPr>
        <w:t xml:space="preserve">was </w:t>
      </w:r>
      <w:r>
        <w:rPr>
          <w:rFonts w:eastAsia="Calibri" w:cs="Arial"/>
          <w:color w:val="000000"/>
          <w:lang w:val="en-US"/>
        </w:rPr>
        <w:t>13</w:t>
      </w:r>
      <w:r w:rsidR="00670171" w:rsidRPr="008231FE">
        <w:rPr>
          <w:rFonts w:eastAsia="Calibri" w:cs="Arial"/>
          <w:color w:val="000000"/>
          <w:lang w:val="en-US"/>
        </w:rPr>
        <w:t xml:space="preserve"> days for patients diagnosed with oesophageal cancer </w:t>
      </w:r>
      <w:r w:rsidR="008231FE" w:rsidRPr="008231FE">
        <w:rPr>
          <w:rFonts w:eastAsia="Calibri" w:cs="Arial"/>
          <w:color w:val="000000"/>
          <w:lang w:val="en-US"/>
        </w:rPr>
        <w:t>and</w:t>
      </w:r>
      <w:r w:rsidR="00670171" w:rsidRPr="008231FE">
        <w:rPr>
          <w:rFonts w:eastAsia="Calibri" w:cs="Arial"/>
          <w:color w:val="000000"/>
          <w:lang w:val="en-US"/>
        </w:rPr>
        <w:t xml:space="preserve"> </w:t>
      </w:r>
      <w:r>
        <w:rPr>
          <w:rFonts w:eastAsia="Calibri" w:cs="Arial"/>
          <w:color w:val="000000"/>
          <w:lang w:val="en-US"/>
        </w:rPr>
        <w:t>14</w:t>
      </w:r>
      <w:r w:rsidR="00670171" w:rsidRPr="008231FE">
        <w:rPr>
          <w:rFonts w:eastAsia="Calibri" w:cs="Arial"/>
          <w:color w:val="000000"/>
          <w:lang w:val="en-US"/>
        </w:rPr>
        <w:t xml:space="preserve"> days for patients diagnosed with stomach cancer</w:t>
      </w:r>
      <w:r w:rsidR="008231FE" w:rsidRPr="008231FE">
        <w:rPr>
          <w:rFonts w:eastAsia="Calibri" w:cs="Arial"/>
          <w:color w:val="000000"/>
          <w:lang w:val="en-US"/>
        </w:rPr>
        <w:t>.</w:t>
      </w:r>
      <w:r w:rsidR="00670171" w:rsidRPr="008231FE">
        <w:rPr>
          <w:rFonts w:eastAsia="Calibri" w:cs="Arial"/>
          <w:color w:val="000000"/>
          <w:lang w:val="en-US"/>
        </w:rPr>
        <w:t xml:space="preserve"> </w:t>
      </w:r>
      <w:r w:rsidR="00795275">
        <w:rPr>
          <w:rFonts w:eastAsia="Calibri" w:cs="Arial"/>
          <w:color w:val="000000"/>
          <w:lang w:val="en-US"/>
        </w:rPr>
        <w:t>Fifty-two</w:t>
      </w:r>
      <w:r w:rsidR="008767DF">
        <w:rPr>
          <w:rFonts w:eastAsia="Calibri" w:cs="Arial"/>
          <w:color w:val="000000"/>
          <w:lang w:val="en-US"/>
        </w:rPr>
        <w:t xml:space="preserve"> per cent of audited patients met</w:t>
      </w:r>
      <w:r w:rsidR="008C48AB">
        <w:rPr>
          <w:rFonts w:eastAsia="Calibri" w:cs="Arial"/>
          <w:color w:val="000000"/>
          <w:lang w:val="en-US"/>
        </w:rPr>
        <w:t xml:space="preserve"> the optimal care pathway recommendation of less than</w:t>
      </w:r>
      <w:r w:rsidR="00AE7A0D">
        <w:rPr>
          <w:rFonts w:eastAsia="Calibri" w:cs="Arial"/>
          <w:color w:val="000000"/>
          <w:lang w:val="en-US"/>
        </w:rPr>
        <w:t xml:space="preserve"> </w:t>
      </w:r>
      <w:r w:rsidR="00DD2544">
        <w:rPr>
          <w:rFonts w:eastAsia="Calibri" w:cs="Arial"/>
          <w:color w:val="000000"/>
          <w:lang w:val="en-US"/>
        </w:rPr>
        <w:t xml:space="preserve">or equal to </w:t>
      </w:r>
      <w:r w:rsidR="008C48AB">
        <w:rPr>
          <w:rFonts w:eastAsia="Calibri" w:cs="Arial"/>
          <w:color w:val="000000"/>
          <w:lang w:val="en-US"/>
        </w:rPr>
        <w:t>14 days.</w:t>
      </w:r>
    </w:p>
    <w:p w14:paraId="6D24365E" w14:textId="6D9F6F21" w:rsidR="00670171" w:rsidRPr="00816EE1" w:rsidRDefault="00EC6F04" w:rsidP="00670171">
      <w:pPr>
        <w:pStyle w:val="DHHSbody"/>
        <w:rPr>
          <w:rFonts w:eastAsia="Calibri" w:cs="Arial"/>
          <w:color w:val="000000"/>
          <w:lang w:val="en-US"/>
        </w:rPr>
      </w:pPr>
      <w:r>
        <w:rPr>
          <w:rFonts w:eastAsia="Calibri" w:cs="Arial"/>
          <w:color w:val="000000"/>
          <w:lang w:val="en-US"/>
        </w:rPr>
        <w:t>The median</w:t>
      </w:r>
      <w:r w:rsidR="00670171" w:rsidRPr="008231FE">
        <w:rPr>
          <w:rFonts w:eastAsia="Calibri" w:cs="Arial"/>
          <w:color w:val="000000"/>
          <w:lang w:val="en-US"/>
        </w:rPr>
        <w:t xml:space="preserve"> time from diagnosis to commencement of first treatment </w:t>
      </w:r>
      <w:r w:rsidR="00670171" w:rsidRPr="005412A1">
        <w:rPr>
          <w:rFonts w:eastAsia="Calibri" w:cs="Arial"/>
          <w:color w:val="000000"/>
          <w:lang w:val="en-US"/>
        </w:rPr>
        <w:t xml:space="preserve">was </w:t>
      </w:r>
      <w:r>
        <w:rPr>
          <w:rFonts w:eastAsia="Calibri" w:cs="Arial"/>
          <w:color w:val="000000"/>
          <w:lang w:val="en-US"/>
        </w:rPr>
        <w:t>35</w:t>
      </w:r>
      <w:r w:rsidR="00670171" w:rsidRPr="005412A1">
        <w:rPr>
          <w:rFonts w:eastAsia="Calibri" w:cs="Arial"/>
          <w:color w:val="000000"/>
          <w:lang w:val="en-US"/>
        </w:rPr>
        <w:t xml:space="preserve"> days for patients</w:t>
      </w:r>
      <w:r w:rsidR="00670171" w:rsidRPr="008231FE">
        <w:rPr>
          <w:rFonts w:eastAsia="Calibri" w:cs="Arial"/>
          <w:color w:val="000000"/>
          <w:lang w:val="en-US"/>
        </w:rPr>
        <w:t xml:space="preserve"> diagnosed with oesophageal cancer </w:t>
      </w:r>
      <w:r w:rsidR="008231FE" w:rsidRPr="005412A1">
        <w:rPr>
          <w:rFonts w:eastAsia="Calibri" w:cs="Arial"/>
          <w:color w:val="000000"/>
          <w:lang w:val="en-US"/>
        </w:rPr>
        <w:t>and</w:t>
      </w:r>
      <w:r w:rsidR="00670171" w:rsidRPr="005412A1">
        <w:rPr>
          <w:rFonts w:eastAsia="Calibri" w:cs="Arial"/>
          <w:color w:val="000000"/>
          <w:lang w:val="en-US"/>
        </w:rPr>
        <w:t xml:space="preserve"> </w:t>
      </w:r>
      <w:r>
        <w:rPr>
          <w:rFonts w:eastAsia="Calibri" w:cs="Arial"/>
          <w:color w:val="000000"/>
          <w:lang w:val="en-US"/>
        </w:rPr>
        <w:t>33.5</w:t>
      </w:r>
      <w:r w:rsidR="00670171" w:rsidRPr="008231FE">
        <w:rPr>
          <w:rFonts w:eastAsia="Calibri" w:cs="Arial"/>
          <w:color w:val="000000"/>
          <w:lang w:val="en-US"/>
        </w:rPr>
        <w:t xml:space="preserve"> days for patients diagnosed with stomach cancer</w:t>
      </w:r>
      <w:r w:rsidR="008231FE" w:rsidRPr="008231FE">
        <w:rPr>
          <w:rFonts w:eastAsia="Calibri" w:cs="Arial"/>
          <w:color w:val="000000"/>
          <w:lang w:val="en-US"/>
        </w:rPr>
        <w:t>.</w:t>
      </w:r>
      <w:r w:rsidR="008C48AB">
        <w:rPr>
          <w:rFonts w:eastAsia="Calibri" w:cs="Arial"/>
          <w:color w:val="000000"/>
          <w:lang w:val="en-US"/>
        </w:rPr>
        <w:t xml:space="preserve"> </w:t>
      </w:r>
      <w:r w:rsidR="00795275">
        <w:rPr>
          <w:rFonts w:eastAsia="Calibri" w:cs="Arial"/>
          <w:color w:val="000000"/>
          <w:lang w:val="en-US"/>
        </w:rPr>
        <w:t>Forty</w:t>
      </w:r>
      <w:r w:rsidR="008767DF">
        <w:rPr>
          <w:rFonts w:eastAsia="Calibri" w:cs="Arial"/>
          <w:color w:val="000000"/>
          <w:lang w:val="en-US"/>
        </w:rPr>
        <w:t xml:space="preserve"> per cent of audited patients met</w:t>
      </w:r>
      <w:r w:rsidR="008C48AB">
        <w:rPr>
          <w:rFonts w:eastAsia="Calibri" w:cs="Arial"/>
          <w:color w:val="000000"/>
          <w:lang w:val="en-US"/>
        </w:rPr>
        <w:t xml:space="preserve"> the optimal care pathway recommendation of less than </w:t>
      </w:r>
      <w:r w:rsidR="00DD2544">
        <w:rPr>
          <w:rFonts w:eastAsia="Calibri" w:cs="Arial"/>
          <w:color w:val="000000"/>
          <w:lang w:val="en-US"/>
        </w:rPr>
        <w:t xml:space="preserve">or equal to </w:t>
      </w:r>
      <w:r w:rsidR="008C48AB">
        <w:rPr>
          <w:rFonts w:eastAsia="Calibri" w:cs="Arial"/>
          <w:color w:val="000000"/>
          <w:lang w:val="en-US"/>
        </w:rPr>
        <w:t>28 days.</w:t>
      </w:r>
    </w:p>
    <w:p w14:paraId="1C10A993" w14:textId="58C70A7E" w:rsidR="00B9443D" w:rsidRPr="00CD2C1D" w:rsidRDefault="00B9443D" w:rsidP="0013267E">
      <w:pPr>
        <w:pStyle w:val="DHHSbody"/>
      </w:pPr>
      <w:r w:rsidRPr="00CD2C1D">
        <w:br w:type="page"/>
      </w:r>
    </w:p>
    <w:p w14:paraId="4646274C" w14:textId="187734B6" w:rsidR="00B9443D" w:rsidRDefault="00B9443D" w:rsidP="00B9443D">
      <w:pPr>
        <w:pStyle w:val="Heading1"/>
        <w:spacing w:before="0"/>
      </w:pPr>
      <w:bookmarkStart w:id="4" w:name="_Toc524425483"/>
      <w:r>
        <w:t xml:space="preserve">Main </w:t>
      </w:r>
      <w:r w:rsidR="003F5C1C">
        <w:t>r</w:t>
      </w:r>
      <w:r>
        <w:t>eport</w:t>
      </w:r>
      <w:bookmarkEnd w:id="4"/>
    </w:p>
    <w:p w14:paraId="0C5E5F9C" w14:textId="77777777" w:rsidR="00DE7024" w:rsidRPr="00DE7024" w:rsidRDefault="00814109" w:rsidP="003279A8">
      <w:pPr>
        <w:pStyle w:val="Heading2"/>
      </w:pPr>
      <w:bookmarkStart w:id="5" w:name="_Toc524425484"/>
      <w:r w:rsidRPr="003279A8">
        <w:t>Introduction</w:t>
      </w:r>
      <w:bookmarkEnd w:id="5"/>
    </w:p>
    <w:p w14:paraId="1B86A4B6" w14:textId="4EF37E2C" w:rsidR="000500A1" w:rsidRDefault="000B537E" w:rsidP="000B537E">
      <w:pPr>
        <w:pStyle w:val="DHHSbody"/>
      </w:pPr>
      <w:r>
        <w:t xml:space="preserve">People diagnosed with </w:t>
      </w:r>
      <w:proofErr w:type="spellStart"/>
      <w:r>
        <w:t>o</w:t>
      </w:r>
      <w:r w:rsidRPr="006F4F93">
        <w:t>esophagogastric</w:t>
      </w:r>
      <w:proofErr w:type="spellEnd"/>
      <w:r w:rsidR="00CD34D6">
        <w:t xml:space="preserve"> (OG)</w:t>
      </w:r>
      <w:r w:rsidRPr="006F4F93">
        <w:t xml:space="preserve"> cancers have poor outcomes measured in both mortality and quality of life</w:t>
      </w:r>
      <w:r w:rsidR="003F5C1C">
        <w:t xml:space="preserve"> (Clark et al. 2011; McCall et al. 2016; </w:t>
      </w:r>
      <w:proofErr w:type="spellStart"/>
      <w:r w:rsidR="003F5C1C">
        <w:t>Thursfield</w:t>
      </w:r>
      <w:proofErr w:type="spellEnd"/>
      <w:r w:rsidR="003F5C1C">
        <w:t xml:space="preserve"> &amp; </w:t>
      </w:r>
      <w:proofErr w:type="spellStart"/>
      <w:r w:rsidR="003F5C1C">
        <w:t>Farrugia</w:t>
      </w:r>
      <w:proofErr w:type="spellEnd"/>
      <w:r w:rsidR="003F5C1C">
        <w:t xml:space="preserve"> 2017)</w:t>
      </w:r>
      <w:r w:rsidRPr="00AD15FD">
        <w:t>.</w:t>
      </w:r>
      <w:r w:rsidRPr="006F4F93">
        <w:t xml:space="preserve"> </w:t>
      </w:r>
      <w:r w:rsidR="000500A1">
        <w:t>In Victoria, around 400 people were diagn</w:t>
      </w:r>
      <w:r w:rsidR="002B0344">
        <w:t>osed with stomach cancer in 2016 and around 260</w:t>
      </w:r>
      <w:r w:rsidR="000500A1">
        <w:t xml:space="preserve"> with oesophageal cancer (</w:t>
      </w:r>
      <w:proofErr w:type="spellStart"/>
      <w:r w:rsidR="000500A1">
        <w:t>Thursfield</w:t>
      </w:r>
      <w:proofErr w:type="spellEnd"/>
      <w:r w:rsidR="000500A1">
        <w:t xml:space="preserve"> </w:t>
      </w:r>
      <w:r w:rsidR="003F5C1C">
        <w:t xml:space="preserve">&amp; </w:t>
      </w:r>
      <w:proofErr w:type="spellStart"/>
      <w:r w:rsidR="003F5C1C">
        <w:t>Farrugia</w:t>
      </w:r>
      <w:proofErr w:type="spellEnd"/>
      <w:r w:rsidR="003F5C1C">
        <w:t xml:space="preserve"> </w:t>
      </w:r>
      <w:r w:rsidR="002B0344">
        <w:t>2017</w:t>
      </w:r>
      <w:r w:rsidR="000500A1">
        <w:t>). S</w:t>
      </w:r>
      <w:r w:rsidR="00CD34D6">
        <w:t xml:space="preserve">urvival </w:t>
      </w:r>
      <w:r w:rsidR="003C467E">
        <w:t xml:space="preserve">rates </w:t>
      </w:r>
      <w:r w:rsidR="00CD34D6">
        <w:t>for OG</w:t>
      </w:r>
      <w:r w:rsidR="000500A1">
        <w:t xml:space="preserve"> cancer</w:t>
      </w:r>
      <w:r w:rsidR="00D6536D">
        <w:t>s</w:t>
      </w:r>
      <w:r w:rsidR="000500A1">
        <w:t xml:space="preserve"> are poor when compared with oth</w:t>
      </w:r>
      <w:r w:rsidR="00C409E2">
        <w:t xml:space="preserve">er types of cancer, with </w:t>
      </w:r>
      <w:r w:rsidR="00D6536D">
        <w:t>approximately 20 per cent of patients</w:t>
      </w:r>
      <w:r w:rsidR="000500A1">
        <w:t xml:space="preserve"> diagnosed surviving their cancer for fi</w:t>
      </w:r>
      <w:r w:rsidR="00C0134B">
        <w:t xml:space="preserve">ve years or more. Approximately </w:t>
      </w:r>
      <w:r w:rsidR="000500A1">
        <w:t xml:space="preserve">two-thirds of patients with oesophageal cancer have inoperable disease at the time of diagnosis. Survival </w:t>
      </w:r>
      <w:r w:rsidR="003C467E">
        <w:t xml:space="preserve">rates </w:t>
      </w:r>
      <w:r w:rsidR="000500A1">
        <w:t xml:space="preserve">for </w:t>
      </w:r>
      <w:r w:rsidR="003C467E">
        <w:t xml:space="preserve">stomach </w:t>
      </w:r>
      <w:r w:rsidR="000500A1">
        <w:t>cancer are also relatively poor compared</w:t>
      </w:r>
      <w:r w:rsidR="00157085">
        <w:t xml:space="preserve"> with other cancers, with only 30</w:t>
      </w:r>
      <w:r w:rsidR="000500A1">
        <w:t xml:space="preserve"> per cent of patients surviv</w:t>
      </w:r>
      <w:r w:rsidR="00AD15FD">
        <w:t>ing five years after diagnosis</w:t>
      </w:r>
      <w:r w:rsidR="003F5C1C">
        <w:t xml:space="preserve"> (</w:t>
      </w:r>
      <w:r w:rsidR="003F5C1C" w:rsidRPr="003F5C1C">
        <w:t>Australian Institute of Health and Welfare 2014</w:t>
      </w:r>
      <w:r w:rsidR="003F5C1C">
        <w:t>)</w:t>
      </w:r>
      <w:r w:rsidR="000500A1">
        <w:t xml:space="preserve">. Even if there are good initial treatment </w:t>
      </w:r>
      <w:r w:rsidR="003C467E">
        <w:t>results</w:t>
      </w:r>
      <w:r w:rsidR="000500A1">
        <w:t>, the recurrence rate is very high. Given the poor prognosis of this cancer, for the majority of patients treatment</w:t>
      </w:r>
      <w:r w:rsidR="009C6E18">
        <w:t xml:space="preserve"> is often given with palliative </w:t>
      </w:r>
      <w:r w:rsidR="000500A1">
        <w:t>rather than curative intent</w:t>
      </w:r>
      <w:r w:rsidR="003F5C1C">
        <w:t xml:space="preserve"> (Cancer Council 2018)</w:t>
      </w:r>
      <w:r w:rsidR="000500A1">
        <w:t>. Early specialist palliative care will be required fo</w:t>
      </w:r>
      <w:r w:rsidR="00CD34D6">
        <w:t>r patients with OG cancer</w:t>
      </w:r>
      <w:r w:rsidR="00D6536D">
        <w:t>s</w:t>
      </w:r>
      <w:r w:rsidR="000500A1">
        <w:t>.</w:t>
      </w:r>
    </w:p>
    <w:p w14:paraId="7E8F7F30" w14:textId="062EAC50" w:rsidR="00105896" w:rsidRDefault="00105896" w:rsidP="00105896">
      <w:pPr>
        <w:pStyle w:val="DHHSbody"/>
      </w:pPr>
      <w:r>
        <w:t xml:space="preserve">The </w:t>
      </w:r>
      <w:r w:rsidR="00795275">
        <w:t>o</w:t>
      </w:r>
      <w:r>
        <w:t xml:space="preserve">ptimal </w:t>
      </w:r>
      <w:r w:rsidR="00795275">
        <w:t>c</w:t>
      </w:r>
      <w:r>
        <w:t xml:space="preserve">are </w:t>
      </w:r>
      <w:r w:rsidR="00795275">
        <w:t>p</w:t>
      </w:r>
      <w:r>
        <w:t xml:space="preserve">athway for OG </w:t>
      </w:r>
      <w:r w:rsidR="00795275">
        <w:t>c</w:t>
      </w:r>
      <w:r>
        <w:t>ancers guide</w:t>
      </w:r>
      <w:r w:rsidR="003C467E">
        <w:t>s</w:t>
      </w:r>
      <w:r>
        <w:t xml:space="preserve"> the delivery of consistent, safe, high-quality and evidence</w:t>
      </w:r>
      <w:r w:rsidR="003C467E">
        <w:t>-</w:t>
      </w:r>
      <w:r>
        <w:t>based care. The pathway aligns with key service improvement priorities including providing access to coordinated multidisciplinary care and supportive care and reducing unwanted variation in practice.</w:t>
      </w:r>
      <w:r w:rsidR="004D1EFD">
        <w:t xml:space="preserve"> The recommended timeframes </w:t>
      </w:r>
      <w:r w:rsidR="00AC38AE">
        <w:t xml:space="preserve">provided </w:t>
      </w:r>
      <w:r w:rsidR="006732EB">
        <w:t xml:space="preserve">in Figure 1 </w:t>
      </w:r>
      <w:r w:rsidR="004D1EFD">
        <w:t xml:space="preserve">are based on expert advice from the </w:t>
      </w:r>
      <w:proofErr w:type="spellStart"/>
      <w:r w:rsidR="004D1EFD">
        <w:t>Oesophag</w:t>
      </w:r>
      <w:r w:rsidR="00AD15FD">
        <w:t>ogastric</w:t>
      </w:r>
      <w:proofErr w:type="spellEnd"/>
      <w:r w:rsidR="00AD15FD">
        <w:t xml:space="preserve"> Cancers Working Group</w:t>
      </w:r>
      <w:r w:rsidR="003F5C1C">
        <w:rPr>
          <w:vertAlign w:val="superscript"/>
        </w:rPr>
        <w:t xml:space="preserve"> </w:t>
      </w:r>
      <w:r w:rsidR="003F5C1C">
        <w:t>(Cancer Council 2018)</w:t>
      </w:r>
      <w:r w:rsidR="004D1EFD">
        <w:t>.</w:t>
      </w:r>
      <w:r>
        <w:t xml:space="preserve"> </w:t>
      </w:r>
    </w:p>
    <w:p w14:paraId="507DF4A8" w14:textId="47952173" w:rsidR="003279A8" w:rsidRPr="001D5B2A" w:rsidRDefault="003279A8" w:rsidP="003279A8">
      <w:pPr>
        <w:pStyle w:val="DHHStablecaption"/>
      </w:pPr>
      <w:bookmarkStart w:id="6" w:name="_Toc524422231"/>
      <w:r w:rsidRPr="001D5B2A">
        <w:t xml:space="preserve">Figure </w:t>
      </w:r>
      <w:r>
        <w:t>1</w:t>
      </w:r>
      <w:r w:rsidR="00795275">
        <w:t>:</w:t>
      </w:r>
      <w:r>
        <w:t xml:space="preserve"> </w:t>
      </w:r>
      <w:r w:rsidRPr="001D5B2A">
        <w:t xml:space="preserve">Optimal </w:t>
      </w:r>
      <w:r w:rsidR="00795275" w:rsidRPr="001D5B2A">
        <w:t xml:space="preserve">timeframes from the optimal care pathway for </w:t>
      </w:r>
      <w:proofErr w:type="spellStart"/>
      <w:r w:rsidR="00795275" w:rsidRPr="001D5B2A">
        <w:t>oesophagogastric</w:t>
      </w:r>
      <w:proofErr w:type="spellEnd"/>
      <w:r w:rsidR="00795275" w:rsidRPr="001D5B2A">
        <w:t xml:space="preserve"> cancer</w:t>
      </w:r>
      <w:bookmarkEnd w:id="6"/>
    </w:p>
    <w:p w14:paraId="7627B5C9" w14:textId="6C75DAD3" w:rsidR="009C6E18" w:rsidRDefault="009C6E18" w:rsidP="00105896">
      <w:pPr>
        <w:pStyle w:val="DHHSbody"/>
      </w:pPr>
      <w:r>
        <w:rPr>
          <w:noProof/>
          <w:lang w:eastAsia="en-AU"/>
        </w:rPr>
        <w:drawing>
          <wp:inline distT="0" distB="0" distL="0" distR="0" wp14:anchorId="0058C5C5" wp14:editId="53617F08">
            <wp:extent cx="5870575" cy="3218815"/>
            <wp:effectExtent l="0" t="0" r="0" b="635"/>
            <wp:docPr id="2" name="Picture" descr="This figure depicts the following timelines:&#10;From referral to treatment: up to 42 days&#10;From referral to MDM: up to 28 days&#10;From MDM to treatment: up to 14 days&#10;From diagnosis to MDM: up to 14 days&#10;From diagnosis to treatment: up to 28 days"/>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0"/>
                    <a:stretch>
                      <a:fillRect/>
                    </a:stretch>
                  </pic:blipFill>
                  <pic:spPr>
                    <a:xfrm>
                      <a:off x="0" y="0"/>
                      <a:ext cx="5870575" cy="3218815"/>
                    </a:xfrm>
                    <a:prstGeom prst="rect">
                      <a:avLst/>
                    </a:prstGeom>
                  </pic:spPr>
                </pic:pic>
              </a:graphicData>
            </a:graphic>
          </wp:inline>
        </w:drawing>
      </w:r>
    </w:p>
    <w:p w14:paraId="3CE1CD0A" w14:textId="77777777" w:rsidR="007E35C9" w:rsidRDefault="007E35C9" w:rsidP="007E35C9">
      <w:pPr>
        <w:pStyle w:val="Heading2"/>
      </w:pPr>
      <w:bookmarkStart w:id="7" w:name="_Toc524425485"/>
      <w:r>
        <w:t>Background</w:t>
      </w:r>
      <w:bookmarkEnd w:id="7"/>
    </w:p>
    <w:p w14:paraId="1079EF8F" w14:textId="23D8DA9C" w:rsidR="00105896" w:rsidRPr="00C64BCC" w:rsidRDefault="00105896" w:rsidP="00105896">
      <w:pPr>
        <w:pStyle w:val="DHHSbody"/>
      </w:pPr>
      <w:r>
        <w:t xml:space="preserve">Members of OG cancer multidisciplinary teams </w:t>
      </w:r>
      <w:r w:rsidR="0005223E">
        <w:t xml:space="preserve">from </w:t>
      </w:r>
      <w:r>
        <w:t xml:space="preserve">across Victoria gathered in August 2016 at the </w:t>
      </w:r>
      <w:proofErr w:type="spellStart"/>
      <w:r w:rsidR="0005223E" w:rsidRPr="0005223E">
        <w:t>Oesophagogastric</w:t>
      </w:r>
      <w:proofErr w:type="spellEnd"/>
      <w:r w:rsidR="0005223E" w:rsidRPr="0005223E">
        <w:t xml:space="preserve"> </w:t>
      </w:r>
      <w:r w:rsidR="0005223E">
        <w:t>C</w:t>
      </w:r>
      <w:r>
        <w:t xml:space="preserve">ancer </w:t>
      </w:r>
      <w:r w:rsidR="0005223E">
        <w:t>S</w:t>
      </w:r>
      <w:r>
        <w:t xml:space="preserve">ummit to review variations in care </w:t>
      </w:r>
      <w:r w:rsidR="0005223E">
        <w:t xml:space="preserve">among </w:t>
      </w:r>
      <w:r>
        <w:t>Victorians diagnosed with OG cancers</w:t>
      </w:r>
      <w:r w:rsidR="0005223E">
        <w:t>,</w:t>
      </w:r>
      <w:r>
        <w:t xml:space="preserve"> with a view to identify opportunities for </w:t>
      </w:r>
      <w:proofErr w:type="spellStart"/>
      <w:r>
        <w:t>statewide</w:t>
      </w:r>
      <w:proofErr w:type="spellEnd"/>
      <w:r>
        <w:t xml:space="preserve"> improvements. </w:t>
      </w:r>
      <w:r w:rsidRPr="005B254C">
        <w:t>The summit made a number of recommendations:</w:t>
      </w:r>
    </w:p>
    <w:p w14:paraId="30E7EAFC" w14:textId="04C2CDB4" w:rsidR="00105896" w:rsidRPr="00893423" w:rsidRDefault="003F5C1C" w:rsidP="003279A8">
      <w:pPr>
        <w:pStyle w:val="DHHSbullet1"/>
        <w:rPr>
          <w:snapToGrid w:val="0"/>
        </w:rPr>
      </w:pPr>
      <w:r>
        <w:rPr>
          <w:snapToGrid w:val="0"/>
        </w:rPr>
        <w:t>i</w:t>
      </w:r>
      <w:r w:rsidR="00105896" w:rsidRPr="00893423">
        <w:rPr>
          <w:snapToGrid w:val="0"/>
        </w:rPr>
        <w:t xml:space="preserve">nvestigate the </w:t>
      </w:r>
      <w:r w:rsidR="00795275">
        <w:rPr>
          <w:snapToGrid w:val="0"/>
        </w:rPr>
        <w:t>m</w:t>
      </w:r>
      <w:r w:rsidR="00105896" w:rsidRPr="00893423">
        <w:rPr>
          <w:snapToGrid w:val="0"/>
        </w:rPr>
        <w:t xml:space="preserve">ultidisciplinary </w:t>
      </w:r>
      <w:r w:rsidR="00795275">
        <w:rPr>
          <w:snapToGrid w:val="0"/>
        </w:rPr>
        <w:t>m</w:t>
      </w:r>
      <w:r w:rsidR="00105896" w:rsidRPr="00893423">
        <w:rPr>
          <w:snapToGrid w:val="0"/>
        </w:rPr>
        <w:t>eeting (MDM) capture rate for OG cancers</w:t>
      </w:r>
    </w:p>
    <w:p w14:paraId="4C2E9B90" w14:textId="543D8DA4" w:rsidR="00105896" w:rsidRPr="00893423" w:rsidRDefault="003F5C1C" w:rsidP="003279A8">
      <w:pPr>
        <w:pStyle w:val="DHHSbullet1"/>
        <w:rPr>
          <w:snapToGrid w:val="0"/>
        </w:rPr>
      </w:pPr>
      <w:r>
        <w:rPr>
          <w:snapToGrid w:val="0"/>
        </w:rPr>
        <w:t>i</w:t>
      </w:r>
      <w:r w:rsidR="00105896" w:rsidRPr="00893423">
        <w:rPr>
          <w:snapToGrid w:val="0"/>
        </w:rPr>
        <w:t>nvestigate</w:t>
      </w:r>
      <w:r w:rsidR="0005223E">
        <w:rPr>
          <w:snapToGrid w:val="0"/>
        </w:rPr>
        <w:t xml:space="preserve"> the</w:t>
      </w:r>
      <w:r w:rsidR="00105896" w:rsidRPr="00893423">
        <w:rPr>
          <w:snapToGrid w:val="0"/>
        </w:rPr>
        <w:t xml:space="preserve"> timeliness of care </w:t>
      </w:r>
      <w:r w:rsidR="0005223E">
        <w:rPr>
          <w:snapToGrid w:val="0"/>
        </w:rPr>
        <w:t>for</w:t>
      </w:r>
      <w:r w:rsidR="0005223E" w:rsidRPr="00893423">
        <w:rPr>
          <w:snapToGrid w:val="0"/>
        </w:rPr>
        <w:t xml:space="preserve"> </w:t>
      </w:r>
      <w:r w:rsidR="00105896" w:rsidRPr="00893423">
        <w:rPr>
          <w:snapToGrid w:val="0"/>
        </w:rPr>
        <w:t>OG cancers at local health services and whether it is in line with the optimal care pathway</w:t>
      </w:r>
    </w:p>
    <w:p w14:paraId="3312D13C" w14:textId="3F1E8E4E" w:rsidR="00105896" w:rsidRPr="00893423" w:rsidRDefault="003F5C1C" w:rsidP="003279A8">
      <w:pPr>
        <w:pStyle w:val="DHHSbullet1"/>
        <w:rPr>
          <w:snapToGrid w:val="0"/>
        </w:rPr>
      </w:pPr>
      <w:r>
        <w:rPr>
          <w:snapToGrid w:val="0"/>
        </w:rPr>
        <w:t>i</w:t>
      </w:r>
      <w:r w:rsidR="00105896" w:rsidRPr="00893423">
        <w:rPr>
          <w:snapToGrid w:val="0"/>
        </w:rPr>
        <w:t xml:space="preserve">nvestigate variations in treatment in some regional areas and the potential impact of this on poorer </w:t>
      </w:r>
      <w:r>
        <w:rPr>
          <w:snapToGrid w:val="0"/>
        </w:rPr>
        <w:t>five-</w:t>
      </w:r>
      <w:r w:rsidR="00105896" w:rsidRPr="00893423">
        <w:rPr>
          <w:snapToGrid w:val="0"/>
        </w:rPr>
        <w:t>year survival in some regions of Victoria</w:t>
      </w:r>
    </w:p>
    <w:p w14:paraId="73F1B02D" w14:textId="26D47574" w:rsidR="00105896" w:rsidRPr="00893423" w:rsidRDefault="003F5C1C" w:rsidP="0005223E">
      <w:pPr>
        <w:pStyle w:val="DHHSbullet1lastline"/>
        <w:rPr>
          <w:snapToGrid w:val="0"/>
        </w:rPr>
      </w:pPr>
      <w:r>
        <w:rPr>
          <w:snapToGrid w:val="0"/>
        </w:rPr>
        <w:t>d</w:t>
      </w:r>
      <w:r w:rsidR="00105896" w:rsidRPr="00893423">
        <w:rPr>
          <w:snapToGrid w:val="0"/>
        </w:rPr>
        <w:t xml:space="preserve">evelop a </w:t>
      </w:r>
      <w:proofErr w:type="spellStart"/>
      <w:r w:rsidR="00105896" w:rsidRPr="00893423">
        <w:rPr>
          <w:snapToGrid w:val="0"/>
        </w:rPr>
        <w:t>statewide</w:t>
      </w:r>
      <w:proofErr w:type="spellEnd"/>
      <w:r w:rsidR="00105896" w:rsidRPr="00893423">
        <w:rPr>
          <w:snapToGrid w:val="0"/>
        </w:rPr>
        <w:t xml:space="preserve"> strategy to improve upper gastrointestinal </w:t>
      </w:r>
      <w:r w:rsidR="00A76F63">
        <w:rPr>
          <w:snapToGrid w:val="0"/>
        </w:rPr>
        <w:t xml:space="preserve">(UGI) </w:t>
      </w:r>
      <w:r w:rsidR="00105896" w:rsidRPr="00893423">
        <w:rPr>
          <w:snapToGrid w:val="0"/>
        </w:rPr>
        <w:t xml:space="preserve">MDM documentation including staging, ECOG </w:t>
      </w:r>
      <w:r w:rsidR="0005223E">
        <w:rPr>
          <w:snapToGrid w:val="0"/>
        </w:rPr>
        <w:t>(</w:t>
      </w:r>
      <w:r w:rsidR="0005223E" w:rsidRPr="0005223E">
        <w:rPr>
          <w:snapToGrid w:val="0"/>
        </w:rPr>
        <w:t>Eastern Cooperative Oncology Group</w:t>
      </w:r>
      <w:r w:rsidR="0005223E">
        <w:rPr>
          <w:snapToGrid w:val="0"/>
        </w:rPr>
        <w:t xml:space="preserve">) </w:t>
      </w:r>
      <w:r w:rsidR="00105896" w:rsidRPr="00893423">
        <w:rPr>
          <w:snapToGrid w:val="0"/>
        </w:rPr>
        <w:t>score, tumour type, treatment pathway and nutritional status.</w:t>
      </w:r>
    </w:p>
    <w:p w14:paraId="1A00B632" w14:textId="32B7D098" w:rsidR="00105896" w:rsidRDefault="00105896" w:rsidP="003279A8">
      <w:pPr>
        <w:pStyle w:val="DHHSbody"/>
      </w:pPr>
      <w:r w:rsidRPr="007E7419">
        <w:t>The Department of Health and Human Services has commissioned several studies to investigate these issues. In particular, this report pr</w:t>
      </w:r>
      <w:r w:rsidR="007967CA">
        <w:t>esents the findings of a medical record</w:t>
      </w:r>
      <w:r w:rsidRPr="007E7419">
        <w:t xml:space="preserve"> audit to determine the characteristics of those patients who are or who are</w:t>
      </w:r>
      <w:r>
        <w:t xml:space="preserve"> not presented at a</w:t>
      </w:r>
      <w:r w:rsidR="00795275">
        <w:t>n</w:t>
      </w:r>
      <w:r w:rsidRPr="007E7419">
        <w:t xml:space="preserve"> </w:t>
      </w:r>
      <w:r w:rsidR="00795275">
        <w:t>MDM</w:t>
      </w:r>
      <w:r w:rsidRPr="007E7419">
        <w:t xml:space="preserve">. </w:t>
      </w:r>
    </w:p>
    <w:p w14:paraId="0ECF20E8" w14:textId="50CA3627" w:rsidR="00DE7024" w:rsidRPr="00E71921" w:rsidRDefault="00A76F63" w:rsidP="003279A8">
      <w:pPr>
        <w:pStyle w:val="Heading3"/>
      </w:pPr>
      <w:r>
        <w:t>Project aim</w:t>
      </w:r>
    </w:p>
    <w:p w14:paraId="736ED258" w14:textId="18E5A1C4" w:rsidR="00857BD7" w:rsidRDefault="00857BD7" w:rsidP="00857BD7">
      <w:pPr>
        <w:pStyle w:val="DHHSbody"/>
      </w:pPr>
      <w:r w:rsidRPr="008C722B">
        <w:t xml:space="preserve">This audit will </w:t>
      </w:r>
      <w:r w:rsidR="00A76F63">
        <w:t>provide</w:t>
      </w:r>
      <w:r w:rsidR="00A76F63" w:rsidRPr="008C722B">
        <w:t xml:space="preserve"> </w:t>
      </w:r>
      <w:r w:rsidR="00AC38AE">
        <w:t>the Victorian Integrated Cancer Services</w:t>
      </w:r>
      <w:r w:rsidR="00B30DFD">
        <w:t xml:space="preserve"> (ICS)</w:t>
      </w:r>
      <w:r w:rsidRPr="008C722B">
        <w:t xml:space="preserve"> with data to evaluate the current state of MDMs and </w:t>
      </w:r>
      <w:r w:rsidR="00A76F63">
        <w:t xml:space="preserve">the </w:t>
      </w:r>
      <w:r w:rsidRPr="008C722B">
        <w:t xml:space="preserve">timeliness of care </w:t>
      </w:r>
      <w:r w:rsidR="003F5B98">
        <w:t xml:space="preserve">for OG </w:t>
      </w:r>
      <w:r w:rsidR="00795275">
        <w:t>c</w:t>
      </w:r>
      <w:r w:rsidR="003F5B98">
        <w:t xml:space="preserve">ancer patients </w:t>
      </w:r>
      <w:r w:rsidRPr="008C722B">
        <w:t>at their local health service and across Victoria.</w:t>
      </w:r>
    </w:p>
    <w:p w14:paraId="7D88615E" w14:textId="3C7BA0D7" w:rsidR="00857BD7" w:rsidRPr="00E71921" w:rsidRDefault="00A76F63" w:rsidP="003279A8">
      <w:pPr>
        <w:pStyle w:val="Heading3"/>
      </w:pPr>
      <w:r>
        <w:t>P</w:t>
      </w:r>
      <w:r w:rsidR="00857BD7" w:rsidRPr="00E71921">
        <w:t>roject</w:t>
      </w:r>
      <w:r>
        <w:t xml:space="preserve"> scope</w:t>
      </w:r>
    </w:p>
    <w:p w14:paraId="740C4676" w14:textId="77777777" w:rsidR="00857BD7" w:rsidRPr="00093266" w:rsidRDefault="00857BD7" w:rsidP="003279A8">
      <w:pPr>
        <w:pStyle w:val="DHHSbody"/>
      </w:pPr>
      <w:r w:rsidRPr="00093266">
        <w:rPr>
          <w:lang w:val="en-US"/>
        </w:rPr>
        <w:t>The audit aims to ascertain:</w:t>
      </w:r>
    </w:p>
    <w:p w14:paraId="15F80BB0" w14:textId="49BA8B74" w:rsidR="00857BD7" w:rsidRPr="00093266" w:rsidRDefault="00A76F63" w:rsidP="00254613">
      <w:pPr>
        <w:pStyle w:val="DHHSbullet1"/>
      </w:pPr>
      <w:r>
        <w:rPr>
          <w:lang w:val="en-US"/>
        </w:rPr>
        <w:t>t</w:t>
      </w:r>
      <w:r w:rsidR="00857BD7" w:rsidRPr="00093266">
        <w:rPr>
          <w:lang w:val="en-US"/>
        </w:rPr>
        <w:t>he percentage of OG cancer patients who had an MDM</w:t>
      </w:r>
      <w:r w:rsidR="00111B3A">
        <w:rPr>
          <w:lang w:val="en-US"/>
        </w:rPr>
        <w:t xml:space="preserve"> during the audit period</w:t>
      </w:r>
    </w:p>
    <w:p w14:paraId="67E52B4A" w14:textId="42A44541" w:rsidR="00857BD7" w:rsidRPr="00093266" w:rsidRDefault="00A76F63" w:rsidP="00254613">
      <w:pPr>
        <w:pStyle w:val="DHHSbullet1"/>
      </w:pPr>
      <w:r>
        <w:rPr>
          <w:lang w:val="en-US"/>
        </w:rPr>
        <w:t>t</w:t>
      </w:r>
      <w:r w:rsidR="00093266">
        <w:rPr>
          <w:lang w:val="en-US"/>
        </w:rPr>
        <w:t xml:space="preserve">he key characteristics </w:t>
      </w:r>
      <w:r w:rsidR="005D3999">
        <w:rPr>
          <w:lang w:val="en-US"/>
        </w:rPr>
        <w:t xml:space="preserve">of </w:t>
      </w:r>
      <w:r w:rsidR="00857BD7" w:rsidRPr="00093266">
        <w:rPr>
          <w:lang w:val="en-US"/>
        </w:rPr>
        <w:t>patients who had an MDM and those who did not</w:t>
      </w:r>
    </w:p>
    <w:p w14:paraId="5DBA933E" w14:textId="5F97539B" w:rsidR="00857BD7" w:rsidRPr="00093266" w:rsidRDefault="00A76F63" w:rsidP="00254613">
      <w:pPr>
        <w:pStyle w:val="DHHSbullet1"/>
      </w:pPr>
      <w:r>
        <w:rPr>
          <w:lang w:val="en-US"/>
        </w:rPr>
        <w:t>i</w:t>
      </w:r>
      <w:r w:rsidR="00857BD7" w:rsidRPr="00093266">
        <w:rPr>
          <w:lang w:val="en-US"/>
        </w:rPr>
        <w:t>f timeliness of care aligns with th</w:t>
      </w:r>
      <w:r w:rsidR="00AE7A0D">
        <w:rPr>
          <w:lang w:val="en-US"/>
        </w:rPr>
        <w:t xml:space="preserve">e </w:t>
      </w:r>
      <w:r w:rsidR="00CA3F3E">
        <w:rPr>
          <w:lang w:val="en-US"/>
        </w:rPr>
        <w:t xml:space="preserve">optimal care pathway </w:t>
      </w:r>
      <w:r w:rsidR="00AE7A0D">
        <w:rPr>
          <w:lang w:val="en-US"/>
        </w:rPr>
        <w:t>recommendations</w:t>
      </w:r>
      <w:r w:rsidR="00857BD7" w:rsidRPr="00093266">
        <w:rPr>
          <w:lang w:val="en-US"/>
        </w:rPr>
        <w:t>:</w:t>
      </w:r>
    </w:p>
    <w:p w14:paraId="59AF97CD" w14:textId="545AB581" w:rsidR="00857BD7" w:rsidRPr="00093266" w:rsidRDefault="00857BD7" w:rsidP="003279A8">
      <w:pPr>
        <w:pStyle w:val="DHHSbullet2"/>
      </w:pPr>
      <w:r w:rsidRPr="00093266">
        <w:rPr>
          <w:lang w:val="en-US"/>
        </w:rPr>
        <w:t xml:space="preserve">from referral to first treatment </w:t>
      </w:r>
      <w:r w:rsidR="00904019">
        <w:rPr>
          <w:rFonts w:eastAsia="Arial Narrow"/>
          <w:lang w:val="en-US"/>
        </w:rPr>
        <w:t>≤</w:t>
      </w:r>
      <w:r w:rsidRPr="00093266">
        <w:rPr>
          <w:rFonts w:eastAsia="Arial Narrow"/>
          <w:lang w:val="en-US"/>
        </w:rPr>
        <w:t xml:space="preserve"> </w:t>
      </w:r>
      <w:r w:rsidRPr="00093266">
        <w:rPr>
          <w:lang w:val="en-US"/>
        </w:rPr>
        <w:t>42 days</w:t>
      </w:r>
    </w:p>
    <w:p w14:paraId="405F6AFD" w14:textId="7D349F26" w:rsidR="00857BD7" w:rsidRPr="00093266" w:rsidRDefault="00857BD7" w:rsidP="003279A8">
      <w:pPr>
        <w:pStyle w:val="DHHSbullet2"/>
        <w:rPr>
          <w:spacing w:val="-1"/>
        </w:rPr>
      </w:pPr>
      <w:r w:rsidRPr="00093266">
        <w:rPr>
          <w:spacing w:val="-1"/>
          <w:lang w:val="en-US"/>
        </w:rPr>
        <w:t xml:space="preserve">from referral to MDM </w:t>
      </w:r>
      <w:r w:rsidR="00904019">
        <w:rPr>
          <w:rFonts w:eastAsia="Arial Narrow"/>
          <w:spacing w:val="-1"/>
          <w:lang w:val="en-US"/>
        </w:rPr>
        <w:t>≤</w:t>
      </w:r>
      <w:r w:rsidRPr="00093266">
        <w:rPr>
          <w:rFonts w:eastAsia="Arial Narrow"/>
          <w:spacing w:val="-1"/>
          <w:lang w:val="en-US"/>
        </w:rPr>
        <w:t xml:space="preserve"> </w:t>
      </w:r>
      <w:r w:rsidRPr="00093266">
        <w:rPr>
          <w:spacing w:val="-1"/>
          <w:lang w:val="en-US"/>
        </w:rPr>
        <w:t>28 days</w:t>
      </w:r>
    </w:p>
    <w:p w14:paraId="27984BBF" w14:textId="01C66A95" w:rsidR="00857BD7" w:rsidRPr="00093266" w:rsidRDefault="00857BD7" w:rsidP="003279A8">
      <w:pPr>
        <w:pStyle w:val="DHHSbullet2"/>
      </w:pPr>
      <w:r w:rsidRPr="00093266">
        <w:rPr>
          <w:lang w:val="en-US"/>
        </w:rPr>
        <w:t xml:space="preserve">from MDM to first treatment </w:t>
      </w:r>
      <w:r w:rsidR="00904019">
        <w:rPr>
          <w:rFonts w:eastAsia="Arial Narrow"/>
          <w:lang w:val="en-US"/>
        </w:rPr>
        <w:t>≤</w:t>
      </w:r>
      <w:r w:rsidRPr="00093266">
        <w:rPr>
          <w:rFonts w:eastAsia="Arial Narrow"/>
          <w:lang w:val="en-US"/>
        </w:rPr>
        <w:t xml:space="preserve"> </w:t>
      </w:r>
      <w:r w:rsidRPr="00093266">
        <w:rPr>
          <w:lang w:val="en-US"/>
        </w:rPr>
        <w:t>14 days</w:t>
      </w:r>
    </w:p>
    <w:p w14:paraId="189E9E14" w14:textId="33F37DD8" w:rsidR="00857BD7" w:rsidRPr="00093266" w:rsidRDefault="00857BD7" w:rsidP="003279A8">
      <w:pPr>
        <w:pStyle w:val="DHHSbullet2"/>
        <w:rPr>
          <w:spacing w:val="-1"/>
        </w:rPr>
      </w:pPr>
      <w:r w:rsidRPr="00093266">
        <w:rPr>
          <w:spacing w:val="-1"/>
          <w:lang w:val="en-US"/>
        </w:rPr>
        <w:t xml:space="preserve">from diagnosis to MDM </w:t>
      </w:r>
      <w:r w:rsidR="00904019">
        <w:rPr>
          <w:rFonts w:eastAsia="Arial Narrow"/>
          <w:spacing w:val="-1"/>
          <w:lang w:val="en-US"/>
        </w:rPr>
        <w:t>≤</w:t>
      </w:r>
      <w:r w:rsidRPr="00093266">
        <w:rPr>
          <w:rFonts w:eastAsia="Arial Narrow"/>
          <w:spacing w:val="-1"/>
          <w:lang w:val="en-US"/>
        </w:rPr>
        <w:t xml:space="preserve"> </w:t>
      </w:r>
      <w:r w:rsidRPr="00093266">
        <w:rPr>
          <w:spacing w:val="-1"/>
          <w:lang w:val="en-US"/>
        </w:rPr>
        <w:t>14 days</w:t>
      </w:r>
    </w:p>
    <w:p w14:paraId="182327E1" w14:textId="7D192CBD" w:rsidR="00857BD7" w:rsidRPr="00093266" w:rsidRDefault="00857BD7" w:rsidP="003279A8">
      <w:pPr>
        <w:pStyle w:val="DHHSbullet2"/>
      </w:pPr>
      <w:r w:rsidRPr="00093266">
        <w:rPr>
          <w:lang w:val="en-US"/>
        </w:rPr>
        <w:t xml:space="preserve">from diagnosis to first treatment </w:t>
      </w:r>
      <w:r w:rsidR="00904019">
        <w:rPr>
          <w:rFonts w:eastAsia="Arial Narrow"/>
          <w:lang w:val="en-US"/>
        </w:rPr>
        <w:t>≤</w:t>
      </w:r>
      <w:r w:rsidRPr="00093266">
        <w:rPr>
          <w:rFonts w:eastAsia="Arial Narrow"/>
          <w:lang w:val="en-US"/>
        </w:rPr>
        <w:t xml:space="preserve"> </w:t>
      </w:r>
      <w:r w:rsidRPr="00093266">
        <w:rPr>
          <w:lang w:val="en-US"/>
        </w:rPr>
        <w:t>28 days.</w:t>
      </w:r>
    </w:p>
    <w:p w14:paraId="0B0E233A" w14:textId="52A22845" w:rsidR="00814109" w:rsidRDefault="00814109" w:rsidP="00F02155">
      <w:pPr>
        <w:pStyle w:val="Heading2"/>
      </w:pPr>
      <w:bookmarkStart w:id="8" w:name="_Toc524425486"/>
      <w:r>
        <w:t>Methodology</w:t>
      </w:r>
      <w:bookmarkEnd w:id="8"/>
    </w:p>
    <w:p w14:paraId="00A61175" w14:textId="731710F8" w:rsidR="002A72EF" w:rsidRDefault="001A78EB" w:rsidP="006732EB">
      <w:pPr>
        <w:pStyle w:val="DHHSbody"/>
      </w:pPr>
      <w:r>
        <w:t>The ICS conducted a</w:t>
      </w:r>
      <w:r w:rsidR="00D9520A" w:rsidRPr="006732EB">
        <w:t xml:space="preserve"> medical record audit conducted on the population of Victorians diagnosed with OG cancers between 1 July and 31 December 2016 who were admitted to a Victorian public or selected private health service</w:t>
      </w:r>
      <w:r w:rsidR="005D0C31">
        <w:t>,</w:t>
      </w:r>
      <w:r w:rsidR="004636AA">
        <w:t xml:space="preserve"> as reported in the Victorian Admitted Episode</w:t>
      </w:r>
      <w:r w:rsidR="005D0C31">
        <w:t>s</w:t>
      </w:r>
      <w:r w:rsidR="004636AA">
        <w:t xml:space="preserve"> Dataset (VAED)</w:t>
      </w:r>
      <w:r w:rsidR="00D9520A" w:rsidRPr="006732EB">
        <w:t>. Victorian priva</w:t>
      </w:r>
      <w:r w:rsidR="00D57348">
        <w:t>te health services were n</w:t>
      </w:r>
      <w:r w:rsidR="0030608F">
        <w:t>ot included in the audit, except</w:t>
      </w:r>
      <w:r w:rsidR="00D9520A" w:rsidRPr="006732EB">
        <w:t xml:space="preserve"> where </w:t>
      </w:r>
      <w:r w:rsidR="00886BB1">
        <w:t>ICS</w:t>
      </w:r>
      <w:r w:rsidR="00D9520A" w:rsidRPr="006732EB">
        <w:t xml:space="preserve"> have established processes for</w:t>
      </w:r>
      <w:r w:rsidR="00BD7045">
        <w:t xml:space="preserve"> medical record auditing. </w:t>
      </w:r>
      <w:r w:rsidR="00D9520A" w:rsidRPr="006732EB">
        <w:t>Non-Victorian residents treated in Victorian health services were excluded from data collection</w:t>
      </w:r>
      <w:r w:rsidR="006B7DEB">
        <w:t xml:space="preserve"> and analysis</w:t>
      </w:r>
      <w:r w:rsidR="00D9520A" w:rsidRPr="006732EB">
        <w:t xml:space="preserve">. </w:t>
      </w:r>
      <w:r w:rsidR="0058384A">
        <w:t xml:space="preserve">The complete list of </w:t>
      </w:r>
      <w:r w:rsidR="00AE7A0D">
        <w:t>audited hospitals is included at</w:t>
      </w:r>
      <w:r w:rsidR="00F8445F">
        <w:t xml:space="preserve"> </w:t>
      </w:r>
      <w:r w:rsidR="00795275">
        <w:t xml:space="preserve">Appendix </w:t>
      </w:r>
      <w:r w:rsidR="00AC46F1">
        <w:t>1</w:t>
      </w:r>
      <w:r w:rsidR="0058384A">
        <w:t>.</w:t>
      </w:r>
      <w:r w:rsidR="006B7DEB" w:rsidRPr="006B7DEB">
        <w:t xml:space="preserve"> </w:t>
      </w:r>
      <w:r w:rsidR="006B7DEB" w:rsidRPr="006732EB">
        <w:t>For the purpose of this audit</w:t>
      </w:r>
      <w:r w:rsidR="006B7DEB">
        <w:t xml:space="preserve">, each </w:t>
      </w:r>
      <w:r w:rsidR="006B7DEB" w:rsidRPr="006732EB">
        <w:t>individual hospital that may be pa</w:t>
      </w:r>
      <w:r w:rsidR="006B7DEB">
        <w:t xml:space="preserve">rt of a larger health service was defined as a </w:t>
      </w:r>
      <w:r w:rsidR="00795275">
        <w:t>‘</w:t>
      </w:r>
      <w:r w:rsidR="006B7DEB">
        <w:t>campus</w:t>
      </w:r>
      <w:r w:rsidR="00795275">
        <w:t>’</w:t>
      </w:r>
      <w:r w:rsidR="006B7DEB">
        <w:t xml:space="preserve">. </w:t>
      </w:r>
      <w:r w:rsidR="006B7DEB" w:rsidRPr="006732EB">
        <w:t>A patient may have</w:t>
      </w:r>
      <w:r w:rsidR="006B7DEB">
        <w:t xml:space="preserve"> attended more than one campus </w:t>
      </w:r>
      <w:r w:rsidR="006B7DEB" w:rsidRPr="006732EB">
        <w:t xml:space="preserve">and appear </w:t>
      </w:r>
      <w:r w:rsidR="006B7DEB">
        <w:t xml:space="preserve">more than once in the database. </w:t>
      </w:r>
    </w:p>
    <w:p w14:paraId="6BC32E82" w14:textId="57A8374D" w:rsidR="004B7AA2" w:rsidRDefault="00825880" w:rsidP="006732EB">
      <w:pPr>
        <w:pStyle w:val="DHHSbody"/>
      </w:pPr>
      <w:r w:rsidRPr="006732EB">
        <w:t xml:space="preserve">A centralised case ascertainment method (detailed in </w:t>
      </w:r>
      <w:r w:rsidR="00795275">
        <w:t xml:space="preserve">Appendix </w:t>
      </w:r>
      <w:r w:rsidR="00AC46F1">
        <w:t>2</w:t>
      </w:r>
      <w:r w:rsidRPr="006732EB">
        <w:t>) was used to collect data for each patient across all audited campuses.</w:t>
      </w:r>
      <w:r w:rsidR="00AE7A0D">
        <w:t xml:space="preserve"> In summary, </w:t>
      </w:r>
      <w:r w:rsidR="00F9175D">
        <w:t>unique</w:t>
      </w:r>
      <w:r w:rsidR="00C77E56">
        <w:t xml:space="preserve"> OG patien</w:t>
      </w:r>
      <w:r w:rsidR="00157CE1">
        <w:t xml:space="preserve">ts </w:t>
      </w:r>
      <w:r w:rsidR="001A78EB">
        <w:t xml:space="preserve">who </w:t>
      </w:r>
      <w:r w:rsidR="00157CE1">
        <w:t xml:space="preserve">attended </w:t>
      </w:r>
      <w:r w:rsidR="00370765">
        <w:t xml:space="preserve">audited </w:t>
      </w:r>
      <w:r w:rsidR="0080434A">
        <w:t>campuses</w:t>
      </w:r>
      <w:r w:rsidR="00AE517A">
        <w:t xml:space="preserve"> </w:t>
      </w:r>
      <w:r>
        <w:t xml:space="preserve">in each ICS </w:t>
      </w:r>
      <w:r w:rsidR="00370765">
        <w:t>during</w:t>
      </w:r>
      <w:r w:rsidR="00C77E56">
        <w:t xml:space="preserve"> the study period</w:t>
      </w:r>
      <w:r w:rsidR="00F9175D">
        <w:t xml:space="preserve"> were identified centrally using the VAED</w:t>
      </w:r>
      <w:r w:rsidR="0080434A">
        <w:t xml:space="preserve"> statewide dataset</w:t>
      </w:r>
      <w:r w:rsidR="00171B47">
        <w:t xml:space="preserve"> and assigned an audit ID</w:t>
      </w:r>
      <w:r w:rsidR="00C77E56">
        <w:t xml:space="preserve">. </w:t>
      </w:r>
      <w:r w:rsidR="00913548">
        <w:t>An audit list</w:t>
      </w:r>
      <w:r w:rsidR="00157CE1">
        <w:t xml:space="preserve"> of identified patients was provided to each </w:t>
      </w:r>
      <w:r w:rsidR="00F272CB">
        <w:t>to add</w:t>
      </w:r>
      <w:r w:rsidR="0080434A">
        <w:t xml:space="preserve"> </w:t>
      </w:r>
      <w:r w:rsidR="00C936AC" w:rsidRPr="003279A8">
        <w:t>Victorian Cancer Registry</w:t>
      </w:r>
      <w:r w:rsidR="00C936AC" w:rsidDel="00C936AC">
        <w:t xml:space="preserve"> </w:t>
      </w:r>
      <w:r w:rsidR="0080434A">
        <w:t xml:space="preserve">data and </w:t>
      </w:r>
      <w:r w:rsidR="00F272CB">
        <w:t xml:space="preserve">to </w:t>
      </w:r>
      <w:r w:rsidR="0080434A">
        <w:t>complet</w:t>
      </w:r>
      <w:r w:rsidR="00F272CB">
        <w:t>e</w:t>
      </w:r>
      <w:r w:rsidR="0080434A">
        <w:t xml:space="preserve"> a medical record audit of eligible patients. </w:t>
      </w:r>
      <w:r w:rsidR="00C77E56">
        <w:t xml:space="preserve">As diagnosis date is not included in the </w:t>
      </w:r>
      <w:r w:rsidR="00B30DFD">
        <w:t>VAED, each ICS used Victorian Cancer Registry</w:t>
      </w:r>
      <w:r w:rsidR="00370765">
        <w:t xml:space="preserve"> data</w:t>
      </w:r>
      <w:r w:rsidR="00171B47">
        <w:t xml:space="preserve"> and medical record audit</w:t>
      </w:r>
      <w:r w:rsidR="00F272CB">
        <w:t>s</w:t>
      </w:r>
      <w:r w:rsidR="00171B47">
        <w:t xml:space="preserve"> </w:t>
      </w:r>
      <w:r w:rsidR="00370765">
        <w:t xml:space="preserve">to </w:t>
      </w:r>
      <w:r w:rsidR="00B30DFD">
        <w:t>confirm whether or not</w:t>
      </w:r>
      <w:r w:rsidR="00370765">
        <w:t xml:space="preserve"> the patient was diagnosed in the time period.</w:t>
      </w:r>
      <w:r w:rsidR="006B7DEB">
        <w:t xml:space="preserve"> If the patient was not diagnose</w:t>
      </w:r>
      <w:r w:rsidR="00AE7A0D">
        <w:t xml:space="preserve">d in the time period, they were </w:t>
      </w:r>
      <w:r w:rsidR="006B7DEB">
        <w:t>excluded from the audit.</w:t>
      </w:r>
      <w:r w:rsidR="00AE7A0D">
        <w:t xml:space="preserve"> </w:t>
      </w:r>
      <w:r w:rsidR="00F272CB">
        <w:t>Each ICS completed its m</w:t>
      </w:r>
      <w:r w:rsidR="00AE7A0D">
        <w:t xml:space="preserve">edical record </w:t>
      </w:r>
      <w:r w:rsidR="00AE7A0D" w:rsidRPr="00AE7A0D">
        <w:rPr>
          <w:rFonts w:cs="Arial"/>
        </w:rPr>
        <w:t>a</w:t>
      </w:r>
      <w:r w:rsidR="00810F2B" w:rsidRPr="00AE7A0D">
        <w:rPr>
          <w:rFonts w:cs="Arial"/>
        </w:rPr>
        <w:t>udits</w:t>
      </w:r>
      <w:r w:rsidR="00AE7A0D" w:rsidRPr="00AE7A0D">
        <w:rPr>
          <w:rFonts w:cs="Arial"/>
        </w:rPr>
        <w:t xml:space="preserve"> </w:t>
      </w:r>
      <w:r w:rsidR="00AE7A0D">
        <w:t>and</w:t>
      </w:r>
      <w:r w:rsidR="00810F2B">
        <w:t xml:space="preserve"> </w:t>
      </w:r>
      <w:r w:rsidR="00132C28">
        <w:t xml:space="preserve">sent the results </w:t>
      </w:r>
      <w:r w:rsidR="00810F2B">
        <w:t>to the Cancer Strategy and Development Unit for consolidation and statewide analysis.</w:t>
      </w:r>
    </w:p>
    <w:p w14:paraId="4467F17D" w14:textId="1EBE5F5B" w:rsidR="0080434A" w:rsidRDefault="00171B47" w:rsidP="006732EB">
      <w:pPr>
        <w:pStyle w:val="DHHSbody"/>
      </w:pPr>
      <w:r w:rsidRPr="006732EB">
        <w:t>The Central Data Team</w:t>
      </w:r>
      <w:r w:rsidR="00F272CB">
        <w:t>,</w:t>
      </w:r>
      <w:r w:rsidRPr="006732EB">
        <w:t xml:space="preserve"> in collaboration with the Cancer Strategy and Development Unit</w:t>
      </w:r>
      <w:r w:rsidR="00F272CB">
        <w:t>,</w:t>
      </w:r>
      <w:r w:rsidRPr="006732EB">
        <w:t xml:space="preserve"> consolidated all data and prepared a</w:t>
      </w:r>
      <w:r>
        <w:t xml:space="preserve">n analysis </w:t>
      </w:r>
      <w:r w:rsidRPr="006732EB">
        <w:t>database as detailed below</w:t>
      </w:r>
      <w:r>
        <w:t xml:space="preserve"> under </w:t>
      </w:r>
      <w:r w:rsidR="00132C28">
        <w:t>‘</w:t>
      </w:r>
      <w:r w:rsidRPr="00254613">
        <w:t>Data validation and consolidation</w:t>
      </w:r>
      <w:r w:rsidR="00132C28">
        <w:t>’</w:t>
      </w:r>
      <w:r>
        <w:t xml:space="preserve">. </w:t>
      </w:r>
      <w:r w:rsidR="00887E24" w:rsidRPr="006732EB">
        <w:t xml:space="preserve">Multiple data points pertaining to each case were consolidated into one record using the audit ID. </w:t>
      </w:r>
      <w:r w:rsidR="00002264" w:rsidRPr="006732EB">
        <w:t>This method</w:t>
      </w:r>
      <w:r w:rsidR="00EC1430" w:rsidRPr="006732EB">
        <w:t xml:space="preserve"> allow</w:t>
      </w:r>
      <w:r w:rsidR="00002264" w:rsidRPr="006732EB">
        <w:t>ed</w:t>
      </w:r>
      <w:r w:rsidR="00EC1430" w:rsidRPr="006732EB">
        <w:t xml:space="preserve"> data analysis of the entire pathway of care </w:t>
      </w:r>
      <w:r w:rsidR="0080434A">
        <w:t xml:space="preserve">across multiple campuses </w:t>
      </w:r>
      <w:r w:rsidR="00EC1430" w:rsidRPr="006732EB">
        <w:t>to ensure accur</w:t>
      </w:r>
      <w:r>
        <w:t xml:space="preserve">ate </w:t>
      </w:r>
      <w:r w:rsidR="00132C28">
        <w:t xml:space="preserve">dates </w:t>
      </w:r>
      <w:r>
        <w:t xml:space="preserve">regarding </w:t>
      </w:r>
      <w:r w:rsidR="00132C28">
        <w:t xml:space="preserve">the </w:t>
      </w:r>
      <w:r w:rsidR="00EC1430" w:rsidRPr="006732EB">
        <w:t xml:space="preserve">MDM </w:t>
      </w:r>
      <w:r w:rsidR="00132C28">
        <w:t xml:space="preserve">discussion </w:t>
      </w:r>
      <w:r w:rsidR="00EC1430" w:rsidRPr="006732EB">
        <w:t>and first treatment</w:t>
      </w:r>
      <w:r w:rsidR="00132C28">
        <w:t>.</w:t>
      </w:r>
      <w:r w:rsidR="002D7F12">
        <w:t xml:space="preserve"> </w:t>
      </w:r>
    </w:p>
    <w:p w14:paraId="74E3A6F3" w14:textId="495EA394" w:rsidR="00002264" w:rsidRDefault="000E16F3" w:rsidP="006732EB">
      <w:pPr>
        <w:pStyle w:val="DHHSbody"/>
      </w:pPr>
      <w:r>
        <w:t xml:space="preserve">Consolidated data for all patients </w:t>
      </w:r>
      <w:r w:rsidR="00132C28">
        <w:t xml:space="preserve">who </w:t>
      </w:r>
      <w:r w:rsidR="00A13944">
        <w:t xml:space="preserve">were </w:t>
      </w:r>
      <w:r w:rsidR="0080434A">
        <w:t>admitted to a campus</w:t>
      </w:r>
      <w:r w:rsidR="00537AF7">
        <w:t xml:space="preserve"> in a given </w:t>
      </w:r>
      <w:r>
        <w:t xml:space="preserve">ICS </w:t>
      </w:r>
      <w:r w:rsidR="00F15C3F">
        <w:t>was retu</w:t>
      </w:r>
      <w:r w:rsidR="0080434A">
        <w:t xml:space="preserve">rned to that ICS for local </w:t>
      </w:r>
      <w:r w:rsidR="00E739A3">
        <w:t>analysis and reporting</w:t>
      </w:r>
      <w:r w:rsidR="00F15C3F">
        <w:t>.</w:t>
      </w:r>
    </w:p>
    <w:p w14:paraId="52D52420" w14:textId="4394AF10" w:rsidR="00002264" w:rsidRPr="006732EB" w:rsidRDefault="00132C28" w:rsidP="006732EB">
      <w:pPr>
        <w:pStyle w:val="DHHSbody"/>
      </w:pPr>
      <w:r>
        <w:t>T</w:t>
      </w:r>
      <w:r w:rsidRPr="006732EB">
        <w:t xml:space="preserve">he Cancer Strategy and Development Unit conducted </w:t>
      </w:r>
      <w:proofErr w:type="spellStart"/>
      <w:r>
        <w:t>s</w:t>
      </w:r>
      <w:r w:rsidR="00002264" w:rsidRPr="006732EB">
        <w:t>tatewide</w:t>
      </w:r>
      <w:proofErr w:type="spellEnd"/>
      <w:r w:rsidR="00002264" w:rsidRPr="006732EB">
        <w:t xml:space="preserve"> data analysis and reporting.</w:t>
      </w:r>
    </w:p>
    <w:p w14:paraId="5B86E31E" w14:textId="3A0CD20E" w:rsidR="00074D01" w:rsidRPr="005E5D92" w:rsidRDefault="00A324D2" w:rsidP="005E5D92">
      <w:pPr>
        <w:pStyle w:val="DHHSbody"/>
        <w:rPr>
          <w:rFonts w:eastAsia="Calibri" w:cstheme="minorHAnsi"/>
          <w:color w:val="000000"/>
        </w:rPr>
      </w:pPr>
      <w:r w:rsidRPr="006732EB">
        <w:t>The use of data for the audit wa</w:t>
      </w:r>
      <w:r w:rsidR="00130C05" w:rsidRPr="006732EB">
        <w:t xml:space="preserve">s in line </w:t>
      </w:r>
      <w:r w:rsidR="00130C05" w:rsidRPr="00130C05">
        <w:rPr>
          <w:lang w:val="en-US"/>
        </w:rPr>
        <w:t xml:space="preserve">with </w:t>
      </w:r>
      <w:r w:rsidR="00130C05" w:rsidRPr="00130C05">
        <w:rPr>
          <w:i/>
          <w:lang w:val="en-US"/>
        </w:rPr>
        <w:t>Conditions of release: Patient level datasets from the Victorian Data Linkage Unit to the Integrated Cancer Services (2016</w:t>
      </w:r>
      <w:r w:rsidR="00795275">
        <w:rPr>
          <w:i/>
          <w:lang w:val="en-US"/>
        </w:rPr>
        <w:t>–</w:t>
      </w:r>
      <w:r w:rsidR="00130C05" w:rsidRPr="00130C05">
        <w:rPr>
          <w:i/>
          <w:lang w:val="en-US"/>
        </w:rPr>
        <w:t>2020)</w:t>
      </w:r>
      <w:r w:rsidR="00130C05" w:rsidRPr="00130C05">
        <w:rPr>
          <w:lang w:val="en-US"/>
        </w:rPr>
        <w:t>.</w:t>
      </w:r>
    </w:p>
    <w:p w14:paraId="355DFC10" w14:textId="5484F707" w:rsidR="00C13F00" w:rsidRDefault="006732EB" w:rsidP="003279A8">
      <w:pPr>
        <w:pStyle w:val="Heading2"/>
      </w:pPr>
      <w:bookmarkStart w:id="9" w:name="_Toc524425487"/>
      <w:r w:rsidRPr="00C13F00">
        <w:t xml:space="preserve">Data </w:t>
      </w:r>
      <w:r w:rsidRPr="003279A8">
        <w:t>validation</w:t>
      </w:r>
      <w:r w:rsidRPr="00C13F00">
        <w:t xml:space="preserve"> and consolidation</w:t>
      </w:r>
      <w:bookmarkStart w:id="10" w:name="_Toc499042561"/>
      <w:bookmarkEnd w:id="9"/>
    </w:p>
    <w:p w14:paraId="642F9F6B" w14:textId="43177571" w:rsidR="006C225A" w:rsidRPr="003279A8" w:rsidRDefault="00CD7D6D" w:rsidP="003279A8">
      <w:pPr>
        <w:pStyle w:val="DHHSbody"/>
      </w:pPr>
      <w:r w:rsidRPr="006C225A">
        <w:t xml:space="preserve">As data was </w:t>
      </w:r>
      <w:r w:rsidRPr="003279A8">
        <w:t>collected</w:t>
      </w:r>
      <w:r w:rsidR="00551910" w:rsidRPr="003279A8">
        <w:t xml:space="preserve"> across multiple campuses</w:t>
      </w:r>
      <w:r w:rsidR="006C225A" w:rsidRPr="003279A8">
        <w:t xml:space="preserve">, </w:t>
      </w:r>
      <w:r w:rsidRPr="003279A8">
        <w:t>multiple dat</w:t>
      </w:r>
      <w:r w:rsidR="009F5574" w:rsidRPr="003279A8">
        <w:t>a points pertaining to each patient</w:t>
      </w:r>
      <w:r w:rsidR="003279A8" w:rsidRPr="003279A8">
        <w:t xml:space="preserve"> </w:t>
      </w:r>
      <w:r w:rsidRPr="003279A8">
        <w:t>w</w:t>
      </w:r>
      <w:r w:rsidR="006C225A" w:rsidRPr="003279A8">
        <w:t>e</w:t>
      </w:r>
      <w:r w:rsidR="00887E24" w:rsidRPr="003279A8">
        <w:t>re consolidated</w:t>
      </w:r>
      <w:r w:rsidRPr="003279A8">
        <w:t xml:space="preserve"> using </w:t>
      </w:r>
      <w:r w:rsidR="00D42134" w:rsidRPr="003279A8">
        <w:t>the audit ID and rules detailed below</w:t>
      </w:r>
      <w:r w:rsidRPr="003279A8">
        <w:t>.</w:t>
      </w:r>
      <w:r w:rsidR="003279A8" w:rsidRPr="003279A8">
        <w:t xml:space="preserve"> </w:t>
      </w:r>
    </w:p>
    <w:p w14:paraId="0F3C100C" w14:textId="28EAD0C2" w:rsidR="00572823" w:rsidRPr="006C225A" w:rsidRDefault="00572823" w:rsidP="003279A8">
      <w:pPr>
        <w:pStyle w:val="DHHSbody"/>
      </w:pPr>
      <w:r w:rsidRPr="003279A8">
        <w:t>The total number</w:t>
      </w:r>
      <w:r>
        <w:t xml:space="preserve"> of unique campuses in which each pati</w:t>
      </w:r>
      <w:r w:rsidR="00CE56FF">
        <w:t>ent was audited during the</w:t>
      </w:r>
      <w:r>
        <w:t xml:space="preserve"> period was determined and recorded.</w:t>
      </w:r>
    </w:p>
    <w:p w14:paraId="7C4C5DF2" w14:textId="5CD0EDDE" w:rsidR="00CD7D6D" w:rsidRDefault="006B3E7B" w:rsidP="00CE56FF">
      <w:pPr>
        <w:pStyle w:val="DHHSbody"/>
      </w:pPr>
      <w:r>
        <w:t>Data</w:t>
      </w:r>
      <w:r w:rsidR="00CD7D6D" w:rsidRPr="006C225A">
        <w:t xml:space="preserve"> from each audit site was used to ensure best quality data.</w:t>
      </w:r>
      <w:r w:rsidR="00A40478">
        <w:t xml:space="preserve"> Multiple records were combined for each patient to determine </w:t>
      </w:r>
      <w:r w:rsidR="00B240CB">
        <w:t xml:space="preserve">the </w:t>
      </w:r>
      <w:r w:rsidR="00A40478">
        <w:t xml:space="preserve">final audit </w:t>
      </w:r>
      <w:r w:rsidR="00D64F20">
        <w:t>status (Included, Excluded or Not A</w:t>
      </w:r>
      <w:r w:rsidR="00A40478">
        <w:t>udited).</w:t>
      </w:r>
      <w:r>
        <w:t xml:space="preserve"> </w:t>
      </w:r>
    </w:p>
    <w:p w14:paraId="5648DDAD" w14:textId="59B0D76A" w:rsidR="001E0CDB" w:rsidRDefault="008473E9" w:rsidP="003279A8">
      <w:pPr>
        <w:pStyle w:val="DHHSbody"/>
      </w:pPr>
      <w:r>
        <w:t xml:space="preserve">Patients were </w:t>
      </w:r>
      <w:r w:rsidR="00187B73">
        <w:t>Excluded if</w:t>
      </w:r>
      <w:r w:rsidR="00B240CB">
        <w:t>:</w:t>
      </w:r>
      <w:r w:rsidR="00187B73">
        <w:t xml:space="preserve"> they were a non-Victorian resident</w:t>
      </w:r>
      <w:r w:rsidR="00B240CB">
        <w:t>;</w:t>
      </w:r>
      <w:r w:rsidR="00187B73">
        <w:t xml:space="preserve"> there was no OG cancer documented in the medical record</w:t>
      </w:r>
      <w:r w:rsidR="00B240CB">
        <w:t>;</w:t>
      </w:r>
      <w:r w:rsidR="00187B73">
        <w:t xml:space="preserve"> or the</w:t>
      </w:r>
      <w:r w:rsidR="000F1CD7">
        <w:t>ir</w:t>
      </w:r>
      <w:r w:rsidR="00187B73">
        <w:t xml:space="preserve"> diagnosis date </w:t>
      </w:r>
      <w:r w:rsidR="0097534C">
        <w:t xml:space="preserve">was unknown or </w:t>
      </w:r>
      <w:r w:rsidR="00187B73">
        <w:t>fell outside of the period 1 July through 31 December 2016.</w:t>
      </w:r>
    </w:p>
    <w:p w14:paraId="72FE02E6" w14:textId="1EFA40FE" w:rsidR="005F4234" w:rsidRPr="00E82BA7" w:rsidRDefault="00572823" w:rsidP="003279A8">
      <w:pPr>
        <w:pStyle w:val="DHHSbody"/>
      </w:pPr>
      <w:r>
        <w:t xml:space="preserve">The diagnosis date for each patient was updated to reflect the medical record diagnosis date if </w:t>
      </w:r>
      <w:r w:rsidR="00B240CB">
        <w:t>provided</w:t>
      </w:r>
      <w:r>
        <w:t xml:space="preserve">. If </w:t>
      </w:r>
      <w:r w:rsidR="0040333D">
        <w:t xml:space="preserve">the </w:t>
      </w:r>
      <w:r>
        <w:t xml:space="preserve">medical record diagnosis date was not </w:t>
      </w:r>
      <w:r w:rsidR="00B240CB">
        <w:t>provided</w:t>
      </w:r>
      <w:r>
        <w:t xml:space="preserve">, the </w:t>
      </w:r>
      <w:r w:rsidR="008473E9">
        <w:t>date provided by the Victorian Cancer Registry</w:t>
      </w:r>
      <w:r w:rsidR="00EC223F">
        <w:t xml:space="preserve"> was </w:t>
      </w:r>
      <w:r w:rsidR="00EC223F" w:rsidRPr="00E82BA7">
        <w:t>used.</w:t>
      </w:r>
    </w:p>
    <w:p w14:paraId="679FCB9D" w14:textId="5D873D89" w:rsidR="00C3048D" w:rsidRDefault="00C3048D" w:rsidP="003279A8">
      <w:pPr>
        <w:pStyle w:val="DHHSbody"/>
        <w:rPr>
          <w:rFonts w:cs="Arial"/>
        </w:rPr>
      </w:pPr>
      <w:r w:rsidRPr="00E82BA7">
        <w:rPr>
          <w:rFonts w:cs="Arial"/>
        </w:rPr>
        <w:t>T</w:t>
      </w:r>
      <w:r w:rsidR="00B12C01" w:rsidRPr="00E82BA7">
        <w:rPr>
          <w:rFonts w:cs="Arial"/>
        </w:rPr>
        <w:t xml:space="preserve">he first treatment date </w:t>
      </w:r>
      <w:r w:rsidR="00E82BA7">
        <w:rPr>
          <w:rFonts w:cs="Arial"/>
        </w:rPr>
        <w:t xml:space="preserve">for each patient was updated to reflect the earliest treatment date recorded in the medical record. For </w:t>
      </w:r>
      <w:r w:rsidR="007B3D72">
        <w:rPr>
          <w:rFonts w:cs="Arial"/>
        </w:rPr>
        <w:t>patients with incomplete audit entries (</w:t>
      </w:r>
      <w:r w:rsidR="0040333D">
        <w:rPr>
          <w:rFonts w:cs="Arial"/>
        </w:rPr>
        <w:t xml:space="preserve">who </w:t>
      </w:r>
      <w:r w:rsidR="007B3D72">
        <w:rPr>
          <w:rFonts w:cs="Arial"/>
        </w:rPr>
        <w:t xml:space="preserve">attended campuses that were not audited or had an incomplete medical record), the first treatment date </w:t>
      </w:r>
      <w:r w:rsidR="00390F27" w:rsidRPr="00E82BA7">
        <w:rPr>
          <w:rFonts w:cs="Arial"/>
        </w:rPr>
        <w:t>was</w:t>
      </w:r>
      <w:r w:rsidR="00E82BA7">
        <w:rPr>
          <w:rFonts w:cs="Arial"/>
        </w:rPr>
        <w:t xml:space="preserve"> cross-referenced</w:t>
      </w:r>
      <w:r w:rsidRPr="00E82BA7">
        <w:rPr>
          <w:rFonts w:cs="Arial"/>
        </w:rPr>
        <w:t xml:space="preserve"> wit</w:t>
      </w:r>
      <w:r w:rsidR="005F4234" w:rsidRPr="00E82BA7">
        <w:rPr>
          <w:rFonts w:cs="Arial"/>
        </w:rPr>
        <w:t xml:space="preserve">h </w:t>
      </w:r>
      <w:r w:rsidR="00544698">
        <w:rPr>
          <w:rFonts w:cs="Arial"/>
        </w:rPr>
        <w:t>admission</w:t>
      </w:r>
      <w:r w:rsidR="005F4234" w:rsidRPr="00E82BA7">
        <w:rPr>
          <w:rFonts w:cs="Arial"/>
        </w:rPr>
        <w:t xml:space="preserve"> dates in the VAED</w:t>
      </w:r>
      <w:r w:rsidR="00CE56FF">
        <w:rPr>
          <w:rFonts w:cs="Arial"/>
        </w:rPr>
        <w:t xml:space="preserve"> and </w:t>
      </w:r>
      <w:r w:rsidR="007B3D72">
        <w:rPr>
          <w:rFonts w:cs="Arial"/>
        </w:rPr>
        <w:t>the earliest recorded date was used</w:t>
      </w:r>
      <w:r w:rsidR="00E82BA7">
        <w:rPr>
          <w:rFonts w:cs="Arial"/>
        </w:rPr>
        <w:t xml:space="preserve">. </w:t>
      </w:r>
      <w:r w:rsidR="007B3D72">
        <w:rPr>
          <w:rFonts w:cs="Arial"/>
        </w:rPr>
        <w:t>For patients with a first</w:t>
      </w:r>
      <w:r w:rsidR="0069544C">
        <w:rPr>
          <w:rFonts w:cs="Arial"/>
        </w:rPr>
        <w:t xml:space="preserve"> </w:t>
      </w:r>
      <w:r w:rsidR="00E82BA7">
        <w:rPr>
          <w:rFonts w:cs="Arial"/>
        </w:rPr>
        <w:t xml:space="preserve">date </w:t>
      </w:r>
      <w:r w:rsidR="007B3D72">
        <w:rPr>
          <w:rFonts w:cs="Arial"/>
        </w:rPr>
        <w:t xml:space="preserve">obtained </w:t>
      </w:r>
      <w:r w:rsidR="004C5408">
        <w:rPr>
          <w:rFonts w:cs="Arial"/>
        </w:rPr>
        <w:t xml:space="preserve">exclusively </w:t>
      </w:r>
      <w:r w:rsidR="007B3D72">
        <w:rPr>
          <w:rFonts w:cs="Arial"/>
        </w:rPr>
        <w:t>from</w:t>
      </w:r>
      <w:r w:rsidR="005F4234">
        <w:rPr>
          <w:rFonts w:cs="Arial"/>
        </w:rPr>
        <w:t xml:space="preserve"> the VAED, </w:t>
      </w:r>
      <w:r w:rsidR="007B3D72">
        <w:rPr>
          <w:rFonts w:cs="Arial"/>
        </w:rPr>
        <w:t>the associated source</w:t>
      </w:r>
      <w:r w:rsidR="00CE56FF">
        <w:rPr>
          <w:rFonts w:cs="Arial"/>
        </w:rPr>
        <w:t xml:space="preserve"> and date</w:t>
      </w:r>
      <w:r w:rsidR="007B3D72">
        <w:rPr>
          <w:rFonts w:cs="Arial"/>
        </w:rPr>
        <w:t xml:space="preserve"> of referral, </w:t>
      </w:r>
      <w:r w:rsidR="005F4234">
        <w:rPr>
          <w:rFonts w:cs="Arial"/>
        </w:rPr>
        <w:t>clinician who co</w:t>
      </w:r>
      <w:r w:rsidR="007B3D72">
        <w:rPr>
          <w:rFonts w:cs="Arial"/>
        </w:rPr>
        <w:t>nducted the first treatment</w:t>
      </w:r>
      <w:r w:rsidR="005F4234">
        <w:rPr>
          <w:rFonts w:cs="Arial"/>
        </w:rPr>
        <w:t xml:space="preserve"> and the appointment type </w:t>
      </w:r>
      <w:r w:rsidR="007B3D72">
        <w:rPr>
          <w:rFonts w:cs="Arial"/>
        </w:rPr>
        <w:t>a</w:t>
      </w:r>
      <w:r w:rsidR="00CE56FF">
        <w:rPr>
          <w:rFonts w:cs="Arial"/>
        </w:rPr>
        <w:t xml:space="preserve">re not </w:t>
      </w:r>
      <w:r w:rsidR="004C5408">
        <w:rPr>
          <w:rFonts w:cs="Arial"/>
        </w:rPr>
        <w:t>reported</w:t>
      </w:r>
      <w:r w:rsidR="005F4234">
        <w:rPr>
          <w:rFonts w:cs="Arial"/>
        </w:rPr>
        <w:t>.</w:t>
      </w:r>
    </w:p>
    <w:p w14:paraId="59869539" w14:textId="596B6C24" w:rsidR="0089276E" w:rsidRDefault="00916ECE" w:rsidP="003279A8">
      <w:pPr>
        <w:pStyle w:val="DHHSbody"/>
      </w:pPr>
      <w:r>
        <w:t xml:space="preserve">Where </w:t>
      </w:r>
      <w:r w:rsidR="0040333D">
        <w:t>provided</w:t>
      </w:r>
      <w:r>
        <w:t>,</w:t>
      </w:r>
      <w:r w:rsidR="0040333D">
        <w:t xml:space="preserve"> the</w:t>
      </w:r>
      <w:r>
        <w:t xml:space="preserve"> </w:t>
      </w:r>
      <w:r w:rsidR="002E5F04">
        <w:t>tumour-node-m</w:t>
      </w:r>
      <w:r>
        <w:t>etastasis (TNM)</w:t>
      </w:r>
      <w:r w:rsidR="00951E66">
        <w:t xml:space="preserve"> classification was converted to</w:t>
      </w:r>
      <w:r w:rsidR="0040333D">
        <w:t xml:space="preserve"> a</w:t>
      </w:r>
      <w:r w:rsidR="00951E66">
        <w:t xml:space="preserve"> </w:t>
      </w:r>
      <w:r>
        <w:t>stage grouping as defined</w:t>
      </w:r>
      <w:r w:rsidR="00951E66">
        <w:t xml:space="preserve"> in the </w:t>
      </w:r>
      <w:r w:rsidRPr="00254613">
        <w:rPr>
          <w:i/>
        </w:rPr>
        <w:t xml:space="preserve">American Joint Committee on Cancer </w:t>
      </w:r>
      <w:r w:rsidR="00383D43">
        <w:rPr>
          <w:i/>
        </w:rPr>
        <w:t>s</w:t>
      </w:r>
      <w:r w:rsidRPr="00254613">
        <w:rPr>
          <w:i/>
        </w:rPr>
        <w:t xml:space="preserve">taging </w:t>
      </w:r>
      <w:r w:rsidR="00383D43">
        <w:rPr>
          <w:i/>
        </w:rPr>
        <w:t>m</w:t>
      </w:r>
      <w:r w:rsidRPr="00254613">
        <w:rPr>
          <w:i/>
        </w:rPr>
        <w:t>anual</w:t>
      </w:r>
      <w:r>
        <w:t xml:space="preserve"> </w:t>
      </w:r>
      <w:r w:rsidR="00383D43">
        <w:t>(</w:t>
      </w:r>
      <w:r>
        <w:t>7</w:t>
      </w:r>
      <w:r w:rsidRPr="00254613">
        <w:t>th</w:t>
      </w:r>
      <w:r>
        <w:t xml:space="preserve"> edition</w:t>
      </w:r>
      <w:r w:rsidR="00383D43">
        <w:t>)</w:t>
      </w:r>
      <w:r>
        <w:t>.</w:t>
      </w:r>
    </w:p>
    <w:p w14:paraId="03CFDB6E" w14:textId="16AAF764" w:rsidR="00D42134" w:rsidRDefault="0040333D" w:rsidP="003279A8">
      <w:pPr>
        <w:pStyle w:val="DHHSbody"/>
      </w:pPr>
      <w:r>
        <w:t xml:space="preserve">The </w:t>
      </w:r>
      <w:r w:rsidR="00572823">
        <w:t xml:space="preserve">MDM status for each patient </w:t>
      </w:r>
      <w:r w:rsidR="008473E9">
        <w:t>was cons</w:t>
      </w:r>
      <w:r w:rsidR="00B12C01">
        <w:t>olidated to reflect the earliest MDM that was recorded at any campus</w:t>
      </w:r>
      <w:r w:rsidR="00507BE6">
        <w:t xml:space="preserve">. </w:t>
      </w:r>
      <w:r w:rsidR="00507BE6" w:rsidRPr="00C908A6">
        <w:t>Patients who died within one month of diagnosis were excluded from the captur</w:t>
      </w:r>
      <w:r w:rsidR="00507BE6">
        <w:t>e rate calculation but were</w:t>
      </w:r>
      <w:r w:rsidR="00507BE6" w:rsidRPr="00C908A6">
        <w:t xml:space="preserve"> included in describing the audit population.</w:t>
      </w:r>
      <w:r w:rsidR="003279A8">
        <w:t xml:space="preserve"> </w:t>
      </w:r>
    </w:p>
    <w:p w14:paraId="05919723" w14:textId="091391D1" w:rsidR="00D42134" w:rsidRPr="008473E9" w:rsidRDefault="008473E9" w:rsidP="003279A8">
      <w:pPr>
        <w:pStyle w:val="DHHSbody"/>
      </w:pPr>
      <w:bookmarkStart w:id="11" w:name="_Toc490654113"/>
      <w:bookmarkStart w:id="12" w:name="_Toc499201895"/>
      <w:r w:rsidRPr="008473E9">
        <w:t xml:space="preserve">The </w:t>
      </w:r>
      <w:r w:rsidR="00D42134" w:rsidRPr="00507BE6">
        <w:t>MDM capture rate</w:t>
      </w:r>
      <w:r w:rsidR="00D42134" w:rsidRPr="008473E9">
        <w:t xml:space="preserve"> for Victoria</w:t>
      </w:r>
      <w:bookmarkEnd w:id="11"/>
      <w:bookmarkEnd w:id="12"/>
      <w:r w:rsidR="00D42134" w:rsidRPr="008473E9">
        <w:t xml:space="preserve"> </w:t>
      </w:r>
      <w:r w:rsidRPr="008473E9">
        <w:t xml:space="preserve">was </w:t>
      </w:r>
      <w:r w:rsidR="00D42134" w:rsidRPr="008473E9">
        <w:t>calculated as follows:</w:t>
      </w:r>
      <w:r w:rsidR="003279A8">
        <w:t xml:space="preserve"> </w:t>
      </w:r>
    </w:p>
    <w:tbl>
      <w:tblPr>
        <w:tblStyle w:val="TableGrid"/>
        <w:tblW w:w="0" w:type="auto"/>
        <w:tblLook w:val="04A0" w:firstRow="1" w:lastRow="0" w:firstColumn="1" w:lastColumn="0" w:noHBand="0" w:noVBand="1"/>
      </w:tblPr>
      <w:tblGrid>
        <w:gridCol w:w="2093"/>
        <w:gridCol w:w="7149"/>
      </w:tblGrid>
      <w:tr w:rsidR="00D42134" w:rsidRPr="008473E9" w14:paraId="7846AEED" w14:textId="77777777" w:rsidTr="00AC38AE">
        <w:tc>
          <w:tcPr>
            <w:tcW w:w="2093" w:type="dxa"/>
          </w:tcPr>
          <w:p w14:paraId="3D5FD2F6" w14:textId="77777777" w:rsidR="00D42134" w:rsidRPr="008473E9" w:rsidRDefault="00D42134" w:rsidP="003279A8">
            <w:pPr>
              <w:pStyle w:val="DHHStabletext"/>
            </w:pPr>
            <w:r w:rsidRPr="008473E9">
              <w:t>Numerator</w:t>
            </w:r>
          </w:p>
        </w:tc>
        <w:tc>
          <w:tcPr>
            <w:tcW w:w="7149" w:type="dxa"/>
          </w:tcPr>
          <w:p w14:paraId="202CF884" w14:textId="4D32E792" w:rsidR="00D42134" w:rsidRPr="008473E9" w:rsidRDefault="00D42134" w:rsidP="003279A8">
            <w:pPr>
              <w:pStyle w:val="DHHStabletext"/>
            </w:pPr>
            <w:r w:rsidRPr="008473E9">
              <w:t xml:space="preserve">Total number of </w:t>
            </w:r>
            <w:r w:rsidR="006E5E92">
              <w:t>included</w:t>
            </w:r>
            <w:r w:rsidRPr="008473E9">
              <w:t xml:space="preserve"> </w:t>
            </w:r>
            <w:r w:rsidR="00004DCD">
              <w:t xml:space="preserve">audit </w:t>
            </w:r>
            <w:r w:rsidRPr="008473E9">
              <w:t>cases with MDM</w:t>
            </w:r>
          </w:p>
        </w:tc>
      </w:tr>
      <w:tr w:rsidR="00D42134" w:rsidRPr="008473E9" w14:paraId="38CFE709" w14:textId="77777777" w:rsidTr="00AC38AE">
        <w:tc>
          <w:tcPr>
            <w:tcW w:w="2093" w:type="dxa"/>
          </w:tcPr>
          <w:p w14:paraId="4AB1A52B" w14:textId="77777777" w:rsidR="00D42134" w:rsidRPr="008473E9" w:rsidRDefault="00D42134" w:rsidP="003279A8">
            <w:pPr>
              <w:pStyle w:val="DHHStabletext"/>
            </w:pPr>
            <w:r w:rsidRPr="008473E9">
              <w:t>Denominator</w:t>
            </w:r>
          </w:p>
        </w:tc>
        <w:tc>
          <w:tcPr>
            <w:tcW w:w="7149" w:type="dxa"/>
          </w:tcPr>
          <w:p w14:paraId="1C1A5231" w14:textId="34EAB204" w:rsidR="00D42134" w:rsidRPr="008473E9" w:rsidRDefault="00D42134" w:rsidP="003279A8">
            <w:pPr>
              <w:pStyle w:val="DHHStabletext"/>
            </w:pPr>
            <w:r w:rsidRPr="008473E9">
              <w:t xml:space="preserve">Total number of </w:t>
            </w:r>
            <w:r w:rsidR="006E5E92">
              <w:t>included</w:t>
            </w:r>
            <w:r w:rsidRPr="008473E9">
              <w:t xml:space="preserve"> </w:t>
            </w:r>
            <w:r w:rsidR="00004DCD">
              <w:t xml:space="preserve">audit </w:t>
            </w:r>
            <w:r w:rsidRPr="008473E9">
              <w:t>cases</w:t>
            </w:r>
          </w:p>
        </w:tc>
      </w:tr>
    </w:tbl>
    <w:p w14:paraId="2A6DBDB5" w14:textId="092081AA" w:rsidR="008473E9" w:rsidRPr="008473E9" w:rsidRDefault="008473E9" w:rsidP="003279A8">
      <w:pPr>
        <w:pStyle w:val="DHHSbodyaftertablefigure"/>
      </w:pPr>
      <w:r>
        <w:t>Time</w:t>
      </w:r>
      <w:r w:rsidR="0066347F">
        <w:t>liness calculations were made using</w:t>
      </w:r>
      <w:r w:rsidR="00976890">
        <w:t xml:space="preserve"> the consolidated</w:t>
      </w:r>
      <w:r w:rsidR="00257999">
        <w:t xml:space="preserve"> </w:t>
      </w:r>
      <w:r w:rsidR="006B4188">
        <w:t>records for each patient. P</w:t>
      </w:r>
      <w:r w:rsidR="00AF7B42">
        <w:t xml:space="preserve">atients were included in each calculation if both </w:t>
      </w:r>
      <w:r w:rsidR="00373C7A">
        <w:t xml:space="preserve">dates were </w:t>
      </w:r>
      <w:r w:rsidR="0040333D">
        <w:t xml:space="preserve">provided </w:t>
      </w:r>
      <w:r w:rsidR="00AF7B42">
        <w:t>in the audit record</w:t>
      </w:r>
      <w:r w:rsidR="00373C7A">
        <w:t xml:space="preserve">. </w:t>
      </w:r>
      <w:r w:rsidR="009F5574">
        <w:t>Timeliness c</w:t>
      </w:r>
      <w:r w:rsidR="00AF7B42">
        <w:t>alculations were made using the</w:t>
      </w:r>
      <w:r w:rsidR="008614F8">
        <w:t xml:space="preserve"> following formulas</w:t>
      </w:r>
      <w:r>
        <w:t>.</w:t>
      </w:r>
      <w:r w:rsidR="001E0CDB">
        <w:t xml:space="preserve"> </w:t>
      </w:r>
    </w:p>
    <w:p w14:paraId="501F80C3" w14:textId="50921837" w:rsidR="00B4210B" w:rsidRPr="003279A8" w:rsidRDefault="00B4210B" w:rsidP="003279A8">
      <w:pPr>
        <w:pStyle w:val="DHHSnumberdigit"/>
        <w:numPr>
          <w:ilvl w:val="0"/>
          <w:numId w:val="23"/>
        </w:numPr>
      </w:pPr>
      <w:r w:rsidRPr="0066347F">
        <w:t>Referral to first treatment</w:t>
      </w:r>
      <w:r w:rsidR="0066347F" w:rsidRPr="0066347F">
        <w:t xml:space="preserve"> at</w:t>
      </w:r>
      <w:r w:rsidRPr="0066347F">
        <w:t xml:space="preserve"> campus</w:t>
      </w:r>
      <w:r w:rsidR="003279A8" w:rsidRPr="003279A8">
        <w:t xml:space="preserve"> </w:t>
      </w:r>
      <w:r w:rsidRPr="0066347F">
        <w:t>≤ 42 days</w:t>
      </w:r>
      <w:r w:rsidR="003279A8" w:rsidRPr="003279A8">
        <w:t xml:space="preserve"> </w:t>
      </w:r>
    </w:p>
    <w:p w14:paraId="639B8EEE" w14:textId="605C6C70" w:rsidR="00B4210B" w:rsidRPr="0066347F" w:rsidRDefault="00B4210B" w:rsidP="003279A8">
      <w:pPr>
        <w:pStyle w:val="DHHSbullet2lastline"/>
      </w:pPr>
      <w:r w:rsidRPr="0066347F">
        <w:t xml:space="preserve">Referral to </w:t>
      </w:r>
      <w:r w:rsidR="0040333D">
        <w:t>t</w:t>
      </w:r>
      <w:r w:rsidRPr="0066347F">
        <w:t xml:space="preserve">reatment = </w:t>
      </w:r>
      <w:r w:rsidR="0040333D">
        <w:t>t</w:t>
      </w:r>
      <w:r w:rsidRPr="0066347F">
        <w:t xml:space="preserve">reatment start date – </w:t>
      </w:r>
      <w:r w:rsidR="0040333D">
        <w:t>r</w:t>
      </w:r>
      <w:r w:rsidRPr="0066347F">
        <w:t>eferral date</w:t>
      </w:r>
    </w:p>
    <w:p w14:paraId="61C73559" w14:textId="0A3CFA24" w:rsidR="00B4210B" w:rsidRPr="003279A8" w:rsidRDefault="00B4210B" w:rsidP="003279A8">
      <w:pPr>
        <w:pStyle w:val="DHHSnumberdigit"/>
        <w:numPr>
          <w:ilvl w:val="0"/>
          <w:numId w:val="23"/>
        </w:numPr>
      </w:pPr>
      <w:r w:rsidRPr="003279A8">
        <w:t xml:space="preserve">Referral to MDM ≤ 28 days </w:t>
      </w:r>
    </w:p>
    <w:p w14:paraId="32567EF6" w14:textId="54B8ECC3" w:rsidR="00B4210B" w:rsidRPr="0066347F" w:rsidRDefault="00B4210B" w:rsidP="006727DF">
      <w:pPr>
        <w:pStyle w:val="DHHSbullet2lastline"/>
      </w:pPr>
      <w:r w:rsidRPr="0066347F">
        <w:t xml:space="preserve">Referral to MDM = MDM date – </w:t>
      </w:r>
      <w:r w:rsidR="0040333D">
        <w:t>r</w:t>
      </w:r>
      <w:r w:rsidRPr="0066347F">
        <w:t>eferral date</w:t>
      </w:r>
    </w:p>
    <w:p w14:paraId="3B515EDC" w14:textId="6054E71B" w:rsidR="00B4210B" w:rsidRPr="003279A8" w:rsidRDefault="00B4210B" w:rsidP="003279A8">
      <w:pPr>
        <w:pStyle w:val="DHHSnumberdigit"/>
        <w:numPr>
          <w:ilvl w:val="0"/>
          <w:numId w:val="23"/>
        </w:numPr>
      </w:pPr>
      <w:r w:rsidRPr="003279A8">
        <w:t xml:space="preserve">MDM to treatment ≤ 14 days </w:t>
      </w:r>
      <w:r w:rsidRPr="003279A8">
        <w:tab/>
      </w:r>
    </w:p>
    <w:p w14:paraId="3BB1004E" w14:textId="59408718" w:rsidR="00B4210B" w:rsidRPr="0066347F" w:rsidRDefault="00B4210B" w:rsidP="006727DF">
      <w:pPr>
        <w:pStyle w:val="DHHSbullet2lastline"/>
      </w:pPr>
      <w:r w:rsidRPr="0066347F">
        <w:t xml:space="preserve">MDM to </w:t>
      </w:r>
      <w:r w:rsidR="0040333D">
        <w:t>t</w:t>
      </w:r>
      <w:r w:rsidRPr="0066347F">
        <w:t xml:space="preserve">reatment = </w:t>
      </w:r>
      <w:r w:rsidR="0040333D">
        <w:t>t</w:t>
      </w:r>
      <w:r w:rsidRPr="0066347F">
        <w:t>reatment start date – MDM date</w:t>
      </w:r>
    </w:p>
    <w:p w14:paraId="106576C6" w14:textId="3432E135" w:rsidR="00B4210B" w:rsidRPr="003279A8" w:rsidRDefault="00B4210B" w:rsidP="003279A8">
      <w:pPr>
        <w:pStyle w:val="DHHSnumberdigit"/>
        <w:numPr>
          <w:ilvl w:val="0"/>
          <w:numId w:val="23"/>
        </w:numPr>
      </w:pPr>
      <w:r w:rsidRPr="003279A8">
        <w:t xml:space="preserve">Diagnosis to MDM ≤ 14 days </w:t>
      </w:r>
      <w:r w:rsidRPr="003279A8">
        <w:tab/>
      </w:r>
    </w:p>
    <w:p w14:paraId="1F8A3384" w14:textId="1B8B92C4" w:rsidR="00B4210B" w:rsidRPr="0066347F" w:rsidRDefault="00B4210B" w:rsidP="006727DF">
      <w:pPr>
        <w:pStyle w:val="DHHSbullet2lastline"/>
      </w:pPr>
      <w:r w:rsidRPr="0066347F">
        <w:t xml:space="preserve">Diagnosis to MDM = MDM date – </w:t>
      </w:r>
      <w:r w:rsidR="0040333D">
        <w:t>d</w:t>
      </w:r>
      <w:r w:rsidRPr="0066347F">
        <w:t>iagnosis date</w:t>
      </w:r>
    </w:p>
    <w:p w14:paraId="13E72187" w14:textId="1EF68566" w:rsidR="00B4210B" w:rsidRPr="003279A8" w:rsidRDefault="00B4210B" w:rsidP="003279A8">
      <w:pPr>
        <w:pStyle w:val="DHHSnumberdigit"/>
        <w:numPr>
          <w:ilvl w:val="0"/>
          <w:numId w:val="23"/>
        </w:numPr>
      </w:pPr>
      <w:r w:rsidRPr="003279A8">
        <w:t xml:space="preserve">Diagnosis to treatment ≤ 28 days </w:t>
      </w:r>
    </w:p>
    <w:p w14:paraId="24FDF1F7" w14:textId="303810C7" w:rsidR="00B4210B" w:rsidRPr="0066347F" w:rsidRDefault="00B4210B" w:rsidP="006727DF">
      <w:pPr>
        <w:pStyle w:val="DHHSbullet2lastline"/>
      </w:pPr>
      <w:r w:rsidRPr="0066347F">
        <w:t xml:space="preserve">Diagnosis to </w:t>
      </w:r>
      <w:r w:rsidR="0040333D">
        <w:t>t</w:t>
      </w:r>
      <w:r w:rsidRPr="0066347F">
        <w:t xml:space="preserve">reatment = </w:t>
      </w:r>
      <w:r w:rsidR="0040333D">
        <w:t>t</w:t>
      </w:r>
      <w:r w:rsidRPr="0066347F">
        <w:t xml:space="preserve">reatment start date – </w:t>
      </w:r>
      <w:r w:rsidR="0040333D">
        <w:t>d</w:t>
      </w:r>
      <w:r w:rsidRPr="0066347F">
        <w:t>iagnosis date</w:t>
      </w:r>
      <w:r w:rsidR="0040333D">
        <w:t>.</w:t>
      </w:r>
    </w:p>
    <w:p w14:paraId="1FEB9924" w14:textId="77777777" w:rsidR="00C13F00" w:rsidRPr="0001517D" w:rsidRDefault="00C13F00" w:rsidP="00254613">
      <w:pPr>
        <w:pStyle w:val="Heading2"/>
      </w:pPr>
      <w:bookmarkStart w:id="13" w:name="_Toc490654111"/>
      <w:bookmarkStart w:id="14" w:name="_Toc499042575"/>
      <w:bookmarkStart w:id="15" w:name="_Toc524425488"/>
      <w:r w:rsidRPr="0001517D">
        <w:t xml:space="preserve">Data </w:t>
      </w:r>
      <w:r w:rsidRPr="00795275">
        <w:t>limitations</w:t>
      </w:r>
      <w:bookmarkEnd w:id="13"/>
      <w:bookmarkEnd w:id="14"/>
      <w:bookmarkEnd w:id="15"/>
    </w:p>
    <w:p w14:paraId="2C5EC4EF" w14:textId="77777777" w:rsidR="00C13F00" w:rsidRPr="008473E9" w:rsidRDefault="00C13F00">
      <w:pPr>
        <w:pStyle w:val="DHHSbody"/>
        <w:rPr>
          <w:lang w:val="en-US"/>
        </w:rPr>
      </w:pPr>
      <w:r w:rsidRPr="00294038">
        <w:t>The</w:t>
      </w:r>
      <w:r w:rsidRPr="008473E9">
        <w:rPr>
          <w:lang w:val="en-US"/>
        </w:rPr>
        <w:t xml:space="preserve"> following data limitations are noted: </w:t>
      </w:r>
    </w:p>
    <w:p w14:paraId="3B0FB541" w14:textId="5926156F" w:rsidR="00C13F00" w:rsidRPr="008473E9" w:rsidRDefault="00551910" w:rsidP="006727DF">
      <w:pPr>
        <w:pStyle w:val="DHHSbullet1"/>
        <w:rPr>
          <w:lang w:val="en-US"/>
        </w:rPr>
      </w:pPr>
      <w:r>
        <w:rPr>
          <w:lang w:val="en-US"/>
        </w:rPr>
        <w:t>The audit does</w:t>
      </w:r>
      <w:r w:rsidR="00C13F00" w:rsidRPr="008473E9">
        <w:rPr>
          <w:lang w:val="en-US"/>
        </w:rPr>
        <w:t xml:space="preserve"> not c</w:t>
      </w:r>
      <w:r w:rsidR="009F5574">
        <w:rPr>
          <w:lang w:val="en-US"/>
        </w:rPr>
        <w:t xml:space="preserve">apture all cases </w:t>
      </w:r>
      <w:r w:rsidR="00D770DA">
        <w:rPr>
          <w:lang w:val="en-US"/>
        </w:rPr>
        <w:t>where the</w:t>
      </w:r>
      <w:r w:rsidR="009F5574">
        <w:rPr>
          <w:lang w:val="en-US"/>
        </w:rPr>
        <w:t xml:space="preserve"> first or entire</w:t>
      </w:r>
      <w:r w:rsidR="00C13F00" w:rsidRPr="008473E9">
        <w:rPr>
          <w:lang w:val="en-US"/>
        </w:rPr>
        <w:t xml:space="preserve"> treatment </w:t>
      </w:r>
      <w:r w:rsidR="00D770DA">
        <w:rPr>
          <w:lang w:val="en-US"/>
        </w:rPr>
        <w:t xml:space="preserve">was provided </w:t>
      </w:r>
      <w:r w:rsidR="00C13F00" w:rsidRPr="008473E9">
        <w:rPr>
          <w:lang w:val="en-US"/>
        </w:rPr>
        <w:t xml:space="preserve">at </w:t>
      </w:r>
      <w:r w:rsidR="00D770DA">
        <w:rPr>
          <w:lang w:val="en-US"/>
        </w:rPr>
        <w:t xml:space="preserve">a </w:t>
      </w:r>
      <w:r w:rsidR="00C13F00" w:rsidRPr="008473E9">
        <w:rPr>
          <w:lang w:val="en-US"/>
        </w:rPr>
        <w:t>private hospital.</w:t>
      </w:r>
    </w:p>
    <w:p w14:paraId="7052C36C" w14:textId="75662354" w:rsidR="00976890" w:rsidRPr="008473E9" w:rsidRDefault="006B4188" w:rsidP="006727DF">
      <w:pPr>
        <w:pStyle w:val="DHHSbullet1"/>
        <w:rPr>
          <w:lang w:val="en-US"/>
        </w:rPr>
      </w:pPr>
      <w:r>
        <w:rPr>
          <w:lang w:val="en-US"/>
        </w:rPr>
        <w:t xml:space="preserve">Patients </w:t>
      </w:r>
      <w:r w:rsidR="00D770DA">
        <w:rPr>
          <w:lang w:val="en-US"/>
        </w:rPr>
        <w:t xml:space="preserve">who </w:t>
      </w:r>
      <w:r>
        <w:rPr>
          <w:lang w:val="en-US"/>
        </w:rPr>
        <w:t xml:space="preserve">received any treatment, had an </w:t>
      </w:r>
      <w:r w:rsidR="00976890">
        <w:rPr>
          <w:lang w:val="en-US"/>
        </w:rPr>
        <w:t xml:space="preserve">admission </w:t>
      </w:r>
      <w:r>
        <w:rPr>
          <w:lang w:val="en-US"/>
        </w:rPr>
        <w:t xml:space="preserve">or an MDM </w:t>
      </w:r>
      <w:r w:rsidR="00976890">
        <w:rPr>
          <w:lang w:val="en-US"/>
        </w:rPr>
        <w:t xml:space="preserve">at a campus that was not audited will have an incomplete </w:t>
      </w:r>
      <w:r w:rsidR="002B3DA4">
        <w:rPr>
          <w:lang w:val="en-US"/>
        </w:rPr>
        <w:t xml:space="preserve">audit </w:t>
      </w:r>
      <w:r w:rsidR="00976890">
        <w:rPr>
          <w:lang w:val="en-US"/>
        </w:rPr>
        <w:t>record</w:t>
      </w:r>
      <w:r w:rsidR="009C6BB6">
        <w:rPr>
          <w:lang w:val="en-US"/>
        </w:rPr>
        <w:t xml:space="preserve"> that may affect </w:t>
      </w:r>
      <w:r w:rsidR="00D770DA">
        <w:rPr>
          <w:lang w:val="en-US"/>
        </w:rPr>
        <w:t xml:space="preserve">the </w:t>
      </w:r>
      <w:r w:rsidR="009C6BB6">
        <w:rPr>
          <w:lang w:val="en-US"/>
        </w:rPr>
        <w:t>timeliness calculations</w:t>
      </w:r>
      <w:r w:rsidR="00976890">
        <w:rPr>
          <w:lang w:val="en-US"/>
        </w:rPr>
        <w:t>.</w:t>
      </w:r>
    </w:p>
    <w:p w14:paraId="4ACEF0A6" w14:textId="75A94012" w:rsidR="00BC76F2" w:rsidRDefault="00C13F00" w:rsidP="006727DF">
      <w:pPr>
        <w:pStyle w:val="DHHSbullet1"/>
        <w:rPr>
          <w:lang w:val="en-US"/>
        </w:rPr>
      </w:pPr>
      <w:r w:rsidRPr="008473E9">
        <w:rPr>
          <w:lang w:val="en-US"/>
        </w:rPr>
        <w:t>Data collection relies on the quality of docu</w:t>
      </w:r>
      <w:r w:rsidR="00DC3073">
        <w:rPr>
          <w:lang w:val="en-US"/>
        </w:rPr>
        <w:t xml:space="preserve">mentation in </w:t>
      </w:r>
      <w:r w:rsidR="006B4188">
        <w:rPr>
          <w:lang w:val="en-US"/>
        </w:rPr>
        <w:t xml:space="preserve">the </w:t>
      </w:r>
      <w:r w:rsidR="00DC3073">
        <w:rPr>
          <w:lang w:val="en-US"/>
        </w:rPr>
        <w:t xml:space="preserve">medical record, </w:t>
      </w:r>
      <w:r w:rsidR="006B4188">
        <w:rPr>
          <w:lang w:val="en-US"/>
        </w:rPr>
        <w:t xml:space="preserve">the </w:t>
      </w:r>
      <w:r w:rsidR="00DC3073">
        <w:rPr>
          <w:lang w:val="en-US"/>
        </w:rPr>
        <w:t xml:space="preserve">audit design and </w:t>
      </w:r>
      <w:r w:rsidR="00D770DA">
        <w:rPr>
          <w:lang w:val="en-US"/>
        </w:rPr>
        <w:t xml:space="preserve">the </w:t>
      </w:r>
      <w:r w:rsidRPr="008473E9">
        <w:rPr>
          <w:lang w:val="en-US"/>
        </w:rPr>
        <w:t xml:space="preserve">skill of </w:t>
      </w:r>
      <w:r w:rsidR="00D770DA">
        <w:rPr>
          <w:lang w:val="en-US"/>
        </w:rPr>
        <w:t xml:space="preserve">the </w:t>
      </w:r>
      <w:r w:rsidRPr="008473E9">
        <w:rPr>
          <w:lang w:val="en-US"/>
        </w:rPr>
        <w:t>auditors.</w:t>
      </w:r>
      <w:r w:rsidR="00BC76F2" w:rsidRPr="00BC76F2">
        <w:rPr>
          <w:lang w:val="en-US"/>
        </w:rPr>
        <w:t xml:space="preserve"> </w:t>
      </w:r>
    </w:p>
    <w:p w14:paraId="4E3A9CC1" w14:textId="4E44723F" w:rsidR="00C13F00" w:rsidRPr="00BC76F2" w:rsidRDefault="00BC76F2" w:rsidP="006727DF">
      <w:pPr>
        <w:pStyle w:val="DHHSbullet1"/>
        <w:rPr>
          <w:lang w:val="en-US"/>
        </w:rPr>
      </w:pPr>
      <w:r w:rsidRPr="008473E9">
        <w:rPr>
          <w:lang w:val="en-US"/>
        </w:rPr>
        <w:t>Victorian patients may receive treatment in another state, which is not captured in Victorian datasets.</w:t>
      </w:r>
      <w:r>
        <w:rPr>
          <w:lang w:val="en-US"/>
        </w:rPr>
        <w:t xml:space="preserve"> This particularly affects the treatment data for patients in the Hume Regional Integrated Cancer Service area who regularly undergo their treatment in Albury, New South Wales.</w:t>
      </w:r>
    </w:p>
    <w:p w14:paraId="5C0E203E" w14:textId="74E9F303" w:rsidR="00814109" w:rsidRDefault="00814109" w:rsidP="00814109">
      <w:pPr>
        <w:pStyle w:val="Heading2"/>
      </w:pPr>
      <w:bookmarkStart w:id="16" w:name="_Toc524425489"/>
      <w:bookmarkEnd w:id="10"/>
      <w:r>
        <w:t>Findings</w:t>
      </w:r>
      <w:bookmarkEnd w:id="16"/>
    </w:p>
    <w:p w14:paraId="1E0BF9A2" w14:textId="77777777" w:rsidR="0090528B" w:rsidRDefault="0090528B" w:rsidP="006727DF">
      <w:pPr>
        <w:pStyle w:val="Heading3"/>
      </w:pPr>
      <w:r w:rsidRPr="006727DF">
        <w:t>Overview</w:t>
      </w:r>
      <w:r>
        <w:t xml:space="preserve"> of audit sample</w:t>
      </w:r>
    </w:p>
    <w:p w14:paraId="4C74710B" w14:textId="25DFE917" w:rsidR="0090528B" w:rsidRPr="008D0FD3" w:rsidRDefault="00795275" w:rsidP="006727DF">
      <w:pPr>
        <w:pStyle w:val="DHHSbody"/>
      </w:pPr>
      <w:r>
        <w:t xml:space="preserve">A total of </w:t>
      </w:r>
      <w:r w:rsidR="0090528B">
        <w:t xml:space="preserve">721 unique patients with oesophageal (C15) or </w:t>
      </w:r>
      <w:r w:rsidR="003C467E">
        <w:t xml:space="preserve">stomach </w:t>
      </w:r>
      <w:r w:rsidR="0090528B">
        <w:t>(C16) cancer were identified in the VAED with an admission from 1 July 2016 to 31 December 2016.</w:t>
      </w:r>
    </w:p>
    <w:p w14:paraId="2A219EBF" w14:textId="7E6EFEB8" w:rsidR="0090528B" w:rsidRDefault="0090528B" w:rsidP="006727DF">
      <w:pPr>
        <w:pStyle w:val="DHHSbody"/>
        <w:rPr>
          <w:rFonts w:cs="Arial"/>
        </w:rPr>
      </w:pPr>
      <w:r>
        <w:rPr>
          <w:rFonts w:cs="Arial"/>
        </w:rPr>
        <w:t xml:space="preserve">Of the 721 patients, </w:t>
      </w:r>
      <w:r w:rsidR="00AA735C">
        <w:rPr>
          <w:rFonts w:cs="Arial"/>
        </w:rPr>
        <w:t>212</w:t>
      </w:r>
      <w:r w:rsidRPr="008406E7">
        <w:rPr>
          <w:rFonts w:cs="Arial"/>
        </w:rPr>
        <w:t xml:space="preserve"> </w:t>
      </w:r>
      <w:r>
        <w:rPr>
          <w:rFonts w:cs="Arial"/>
        </w:rPr>
        <w:t xml:space="preserve">patients </w:t>
      </w:r>
      <w:r w:rsidRPr="008406E7">
        <w:rPr>
          <w:rFonts w:cs="Arial"/>
        </w:rPr>
        <w:t xml:space="preserve">were excluded </w:t>
      </w:r>
      <w:r>
        <w:rPr>
          <w:rFonts w:cs="Arial"/>
        </w:rPr>
        <w:t xml:space="preserve">from the audit </w:t>
      </w:r>
      <w:r w:rsidR="00CE0F34">
        <w:rPr>
          <w:rFonts w:cs="Arial"/>
        </w:rPr>
        <w:t xml:space="preserve">because </w:t>
      </w:r>
      <w:r>
        <w:rPr>
          <w:rFonts w:cs="Arial"/>
        </w:rPr>
        <w:t xml:space="preserve">they did not meet the inclusion criteria, </w:t>
      </w:r>
      <w:r w:rsidR="00836072">
        <w:rPr>
          <w:rFonts w:cs="Arial"/>
        </w:rPr>
        <w:t xml:space="preserve">and </w:t>
      </w:r>
      <w:r>
        <w:rPr>
          <w:rFonts w:cs="Arial"/>
        </w:rPr>
        <w:t>a further</w:t>
      </w:r>
      <w:r w:rsidRPr="008406E7">
        <w:rPr>
          <w:rFonts w:cs="Arial"/>
        </w:rPr>
        <w:t xml:space="preserve"> 212 were not audited</w:t>
      </w:r>
      <w:r w:rsidR="00836072">
        <w:rPr>
          <w:rFonts w:cs="Arial"/>
        </w:rPr>
        <w:t xml:space="preserve">. </w:t>
      </w:r>
      <w:r w:rsidRPr="008406E7">
        <w:rPr>
          <w:rFonts w:cs="Arial"/>
        </w:rPr>
        <w:t>The majority of patients</w:t>
      </w:r>
      <w:r>
        <w:rPr>
          <w:rFonts w:cs="Arial"/>
        </w:rPr>
        <w:t xml:space="preserve"> </w:t>
      </w:r>
      <w:r w:rsidR="00CE0F34">
        <w:rPr>
          <w:rFonts w:cs="Arial"/>
        </w:rPr>
        <w:t xml:space="preserve">who </w:t>
      </w:r>
      <w:r>
        <w:rPr>
          <w:rFonts w:cs="Arial"/>
        </w:rPr>
        <w:t>were not a</w:t>
      </w:r>
      <w:r w:rsidRPr="008406E7">
        <w:rPr>
          <w:rFonts w:cs="Arial"/>
        </w:rPr>
        <w:t xml:space="preserve">udited </w:t>
      </w:r>
      <w:r>
        <w:rPr>
          <w:rFonts w:cs="Arial"/>
        </w:rPr>
        <w:t xml:space="preserve">were treated exclusively at a </w:t>
      </w:r>
      <w:r w:rsidRPr="008406E7">
        <w:rPr>
          <w:rFonts w:cs="Arial"/>
        </w:rPr>
        <w:t>private h</w:t>
      </w:r>
      <w:r>
        <w:rPr>
          <w:rFonts w:cs="Arial"/>
        </w:rPr>
        <w:t>ealth service</w:t>
      </w:r>
      <w:r w:rsidR="005B7D05">
        <w:rPr>
          <w:rFonts w:cs="Arial"/>
        </w:rPr>
        <w:t xml:space="preserve"> that was not part of the audit</w:t>
      </w:r>
      <w:r w:rsidR="00CE0F34">
        <w:rPr>
          <w:rFonts w:cs="Arial"/>
        </w:rPr>
        <w:t>;</w:t>
      </w:r>
      <w:r>
        <w:rPr>
          <w:rFonts w:cs="Arial"/>
        </w:rPr>
        <w:t xml:space="preserve"> others attended </w:t>
      </w:r>
      <w:r w:rsidRPr="008406E7">
        <w:rPr>
          <w:rFonts w:cs="Arial"/>
        </w:rPr>
        <w:t xml:space="preserve">small regional health services </w:t>
      </w:r>
      <w:r>
        <w:rPr>
          <w:rFonts w:cs="Arial"/>
        </w:rPr>
        <w:t xml:space="preserve">that </w:t>
      </w:r>
      <w:r w:rsidRPr="008406E7">
        <w:rPr>
          <w:rFonts w:cs="Arial"/>
        </w:rPr>
        <w:t>the ICS elected not to audit.</w:t>
      </w:r>
      <w:r>
        <w:rPr>
          <w:rFonts w:cs="Arial"/>
        </w:rPr>
        <w:t xml:space="preserve"> </w:t>
      </w:r>
      <w:r w:rsidR="00CC25C9">
        <w:rPr>
          <w:rFonts w:cs="Arial"/>
        </w:rPr>
        <w:t>The remaining 297</w:t>
      </w:r>
      <w:r w:rsidR="00CC25C9" w:rsidRPr="008406E7">
        <w:rPr>
          <w:rFonts w:cs="Arial"/>
        </w:rPr>
        <w:t xml:space="preserve"> patie</w:t>
      </w:r>
      <w:r w:rsidR="00CC25C9">
        <w:rPr>
          <w:rFonts w:cs="Arial"/>
        </w:rPr>
        <w:t>nts were included in the audit</w:t>
      </w:r>
      <w:r w:rsidR="00CC25C9" w:rsidRPr="008406E7">
        <w:rPr>
          <w:rFonts w:cs="Arial"/>
        </w:rPr>
        <w:t>.</w:t>
      </w:r>
    </w:p>
    <w:p w14:paraId="43AA9917" w14:textId="1A9D7ABC" w:rsidR="0090528B" w:rsidRDefault="00795275" w:rsidP="00C829DD">
      <w:pPr>
        <w:pStyle w:val="DHHSbody"/>
        <w:rPr>
          <w:rFonts w:cs="Arial"/>
        </w:rPr>
      </w:pPr>
      <w:r>
        <w:rPr>
          <w:rFonts w:cs="Arial"/>
        </w:rPr>
        <w:t>Of the</w:t>
      </w:r>
      <w:r w:rsidR="00075489">
        <w:rPr>
          <w:rFonts w:cs="Arial"/>
        </w:rPr>
        <w:t xml:space="preserve"> 297 </w:t>
      </w:r>
      <w:r w:rsidR="00C82FC3">
        <w:rPr>
          <w:rFonts w:cs="Arial"/>
        </w:rPr>
        <w:t xml:space="preserve">remaining </w:t>
      </w:r>
      <w:r w:rsidR="00075489">
        <w:rPr>
          <w:rFonts w:cs="Arial"/>
        </w:rPr>
        <w:t>patients</w:t>
      </w:r>
      <w:r>
        <w:rPr>
          <w:rFonts w:cs="Arial"/>
        </w:rPr>
        <w:t>, 134</w:t>
      </w:r>
      <w:r w:rsidR="00075489">
        <w:rPr>
          <w:rFonts w:cs="Arial"/>
        </w:rPr>
        <w:t xml:space="preserve"> </w:t>
      </w:r>
      <w:r w:rsidR="00075489" w:rsidRPr="00745DF5">
        <w:rPr>
          <w:rFonts w:cs="Arial"/>
        </w:rPr>
        <w:t>(</w:t>
      </w:r>
      <w:r w:rsidR="00075489">
        <w:rPr>
          <w:rFonts w:cs="Arial"/>
        </w:rPr>
        <w:t>45 per cent</w:t>
      </w:r>
      <w:r w:rsidR="00075489" w:rsidRPr="00745DF5">
        <w:rPr>
          <w:rFonts w:cs="Arial"/>
        </w:rPr>
        <w:t>) had admissions reported to the VA</w:t>
      </w:r>
      <w:r w:rsidR="00075489">
        <w:rPr>
          <w:rFonts w:cs="Arial"/>
        </w:rPr>
        <w:t>ED at more than one campus</w:t>
      </w:r>
      <w:r w:rsidR="00FC1692">
        <w:rPr>
          <w:rFonts w:cs="Arial"/>
        </w:rPr>
        <w:t xml:space="preserve"> and/or ICS</w:t>
      </w:r>
      <w:r w:rsidR="00075489">
        <w:rPr>
          <w:rFonts w:cs="Arial"/>
        </w:rPr>
        <w:t xml:space="preserve">. </w:t>
      </w:r>
      <w:r w:rsidR="00C82FC3">
        <w:rPr>
          <w:rFonts w:cs="Arial"/>
        </w:rPr>
        <w:t>And</w:t>
      </w:r>
      <w:r w:rsidR="00372480">
        <w:rPr>
          <w:rFonts w:cs="Arial"/>
        </w:rPr>
        <w:t xml:space="preserve"> </w:t>
      </w:r>
      <w:r w:rsidR="00CD4007">
        <w:rPr>
          <w:rFonts w:cs="Arial"/>
        </w:rPr>
        <w:t>220</w:t>
      </w:r>
      <w:r w:rsidR="00372480">
        <w:rPr>
          <w:rFonts w:cs="Arial"/>
        </w:rPr>
        <w:t xml:space="preserve"> patients (74 per cent</w:t>
      </w:r>
      <w:r w:rsidR="002D6E89" w:rsidRPr="00745DF5">
        <w:rPr>
          <w:rFonts w:cs="Arial"/>
        </w:rPr>
        <w:t xml:space="preserve">) </w:t>
      </w:r>
      <w:r w:rsidR="002D6E89">
        <w:rPr>
          <w:rFonts w:cs="Arial"/>
        </w:rPr>
        <w:t>had all known admissions</w:t>
      </w:r>
      <w:r w:rsidR="00372480">
        <w:rPr>
          <w:rFonts w:cs="Arial"/>
        </w:rPr>
        <w:t xml:space="preserve"> </w:t>
      </w:r>
      <w:r w:rsidR="00082EB9">
        <w:rPr>
          <w:rFonts w:cs="Arial"/>
        </w:rPr>
        <w:t xml:space="preserve">audited </w:t>
      </w:r>
      <w:r w:rsidR="00CD4007">
        <w:rPr>
          <w:rFonts w:cs="Arial"/>
        </w:rPr>
        <w:t xml:space="preserve">that were </w:t>
      </w:r>
      <w:r w:rsidR="00372480">
        <w:rPr>
          <w:rFonts w:cs="Arial"/>
        </w:rPr>
        <w:t>reported to the VAED</w:t>
      </w:r>
      <w:r w:rsidR="002D6E89" w:rsidRPr="00745DF5">
        <w:rPr>
          <w:rFonts w:cs="Arial"/>
        </w:rPr>
        <w:t>.</w:t>
      </w:r>
      <w:r w:rsidR="0090528B" w:rsidRPr="00745DF5">
        <w:rPr>
          <w:rFonts w:cs="Arial"/>
        </w:rPr>
        <w:t xml:space="preserve"> </w:t>
      </w:r>
      <w:r w:rsidR="00491875">
        <w:rPr>
          <w:rFonts w:cs="Arial"/>
        </w:rPr>
        <w:t>The remaining 26 per cent of patients</w:t>
      </w:r>
      <w:r w:rsidR="0022639A">
        <w:rPr>
          <w:rFonts w:cs="Arial"/>
        </w:rPr>
        <w:t xml:space="preserve"> </w:t>
      </w:r>
      <w:r w:rsidR="00B353A9">
        <w:rPr>
          <w:rFonts w:cs="Arial"/>
        </w:rPr>
        <w:t>had admissions</w:t>
      </w:r>
      <w:r w:rsidR="0022639A">
        <w:rPr>
          <w:rFonts w:cs="Arial"/>
        </w:rPr>
        <w:t xml:space="preserve"> reported</w:t>
      </w:r>
      <w:r w:rsidR="00B353A9">
        <w:rPr>
          <w:rFonts w:cs="Arial"/>
        </w:rPr>
        <w:t xml:space="preserve"> in both audited and non-audited campuses and therefore a</w:t>
      </w:r>
      <w:r w:rsidR="0022639A">
        <w:rPr>
          <w:rFonts w:cs="Arial"/>
        </w:rPr>
        <w:t xml:space="preserve"> potentially</w:t>
      </w:r>
      <w:r w:rsidR="008C6A4A">
        <w:rPr>
          <w:rFonts w:cs="Arial"/>
        </w:rPr>
        <w:t xml:space="preserve"> incomplete audit record.</w:t>
      </w:r>
    </w:p>
    <w:p w14:paraId="2544BDC8" w14:textId="4AEF454A" w:rsidR="00FF67DC" w:rsidRDefault="00836072" w:rsidP="00836072">
      <w:pPr>
        <w:pStyle w:val="Heading3"/>
      </w:pPr>
      <w:r>
        <w:t>Description of audit population</w:t>
      </w:r>
    </w:p>
    <w:p w14:paraId="1690C871" w14:textId="4A4CD5F2" w:rsidR="0090528B" w:rsidRPr="006727DF" w:rsidRDefault="002742C6" w:rsidP="006727DF">
      <w:pPr>
        <w:pStyle w:val="DHHSbody"/>
      </w:pPr>
      <w:r>
        <w:t xml:space="preserve">The </w:t>
      </w:r>
      <w:r w:rsidRPr="006727DF">
        <w:t xml:space="preserve">median age of audited patients was </w:t>
      </w:r>
      <w:r w:rsidR="001E4B2B" w:rsidRPr="006727DF">
        <w:t>70 years</w:t>
      </w:r>
      <w:r w:rsidRPr="006727DF">
        <w:t xml:space="preserve">, ranging from 27 to 96 years of age. </w:t>
      </w:r>
    </w:p>
    <w:p w14:paraId="00B8819B" w14:textId="54B04165" w:rsidR="001E4B2B" w:rsidRPr="006727DF" w:rsidRDefault="001E4B2B" w:rsidP="006727DF">
      <w:pPr>
        <w:pStyle w:val="DHHSbody"/>
      </w:pPr>
      <w:r w:rsidRPr="006727DF">
        <w:t>More males (212) than females (85) were included in the audit population.</w:t>
      </w:r>
    </w:p>
    <w:p w14:paraId="588B083C" w14:textId="788E13B0" w:rsidR="008C6A4A" w:rsidRDefault="00007875" w:rsidP="006727DF">
      <w:pPr>
        <w:pStyle w:val="DHHSbody"/>
      </w:pPr>
      <w:r w:rsidRPr="006727DF">
        <w:t>E</w:t>
      </w:r>
      <w:r w:rsidR="008C6A4A" w:rsidRPr="006727DF">
        <w:t>ach</w:t>
      </w:r>
      <w:r w:rsidR="00D80D67" w:rsidRPr="006727DF">
        <w:t xml:space="preserve"> Victorian</w:t>
      </w:r>
      <w:r w:rsidRPr="006727DF">
        <w:t xml:space="preserve"> ICS was represented</w:t>
      </w:r>
      <w:r w:rsidR="008C6A4A" w:rsidRPr="006727DF">
        <w:t xml:space="preserve"> in the audit population with the </w:t>
      </w:r>
      <w:r w:rsidR="00332413" w:rsidRPr="006727DF">
        <w:t xml:space="preserve">largest population </w:t>
      </w:r>
      <w:r w:rsidRPr="006727DF">
        <w:t xml:space="preserve">of patients </w:t>
      </w:r>
      <w:r w:rsidR="00C35480">
        <w:t>living</w:t>
      </w:r>
      <w:r w:rsidR="00C35480" w:rsidRPr="006727DF">
        <w:t xml:space="preserve"> </w:t>
      </w:r>
      <w:r w:rsidRPr="006727DF">
        <w:t>in NEMICS</w:t>
      </w:r>
      <w:r w:rsidR="00C35480">
        <w:rPr>
          <w:rStyle w:val="FootnoteReference"/>
        </w:rPr>
        <w:footnoteReference w:id="1"/>
      </w:r>
      <w:r w:rsidRPr="006727DF">
        <w:t xml:space="preserve"> (23 per cent</w:t>
      </w:r>
      <w:r w:rsidR="008C6A4A" w:rsidRPr="006727DF">
        <w:t>)</w:t>
      </w:r>
      <w:r w:rsidR="006C1A6A" w:rsidRPr="006727DF">
        <w:t xml:space="preserve"> and the smallest population </w:t>
      </w:r>
      <w:r w:rsidR="00C35480">
        <w:t xml:space="preserve">living </w:t>
      </w:r>
      <w:r w:rsidRPr="006727DF">
        <w:t>in</w:t>
      </w:r>
      <w:r w:rsidR="007D3CD2" w:rsidRPr="006727DF">
        <w:t xml:space="preserve"> </w:t>
      </w:r>
      <w:r w:rsidRPr="006727DF">
        <w:t>GICS (6 per cent</w:t>
      </w:r>
      <w:r w:rsidR="006C1A6A" w:rsidRPr="006727DF">
        <w:t>)</w:t>
      </w:r>
      <w:r w:rsidR="00375115">
        <w:t xml:space="preserve"> (Table 1)</w:t>
      </w:r>
      <w:r w:rsidR="006C1A6A" w:rsidRPr="006727DF">
        <w:t>.</w:t>
      </w:r>
      <w:r w:rsidRPr="006727DF">
        <w:t xml:space="preserve"> The majority</w:t>
      </w:r>
      <w:r w:rsidR="006C026A" w:rsidRPr="006727DF">
        <w:t xml:space="preserve"> of patients</w:t>
      </w:r>
      <w:r w:rsidR="006C026A">
        <w:t xml:space="preserve"> were first admitted </w:t>
      </w:r>
      <w:r>
        <w:t>to a metropolitan ICS campus</w:t>
      </w:r>
      <w:r w:rsidR="00FB5D60">
        <w:t xml:space="preserve"> (70 per</w:t>
      </w:r>
      <w:r w:rsidR="00564377">
        <w:t xml:space="preserve"> </w:t>
      </w:r>
      <w:r w:rsidR="00FB5D60">
        <w:t>cent)</w:t>
      </w:r>
      <w:r w:rsidR="00C35480">
        <w:t>,</w:t>
      </w:r>
      <w:r w:rsidR="00FB5D60">
        <w:t xml:space="preserve"> with the greatest proportion </w:t>
      </w:r>
      <w:r w:rsidR="008C3CDF">
        <w:t xml:space="preserve">first admitted </w:t>
      </w:r>
      <w:r w:rsidR="00FB5D60">
        <w:t>in WCMICS (27 per cent).</w:t>
      </w:r>
      <w:r>
        <w:t xml:space="preserve"> </w:t>
      </w:r>
    </w:p>
    <w:p w14:paraId="4EF55CF0" w14:textId="3CED9253" w:rsidR="00537723" w:rsidRDefault="00537723" w:rsidP="00D57528">
      <w:pPr>
        <w:pStyle w:val="DHHSbody"/>
      </w:pPr>
      <w:r>
        <w:rPr>
          <w:rFonts w:cs="Arial"/>
          <w:lang w:eastAsia="en-AU"/>
        </w:rPr>
        <w:t>More than 50 per</w:t>
      </w:r>
      <w:r w:rsidR="00795275">
        <w:rPr>
          <w:rFonts w:cs="Arial"/>
          <w:lang w:eastAsia="en-AU"/>
        </w:rPr>
        <w:t xml:space="preserve"> </w:t>
      </w:r>
      <w:r>
        <w:rPr>
          <w:rFonts w:cs="Arial"/>
          <w:lang w:eastAsia="en-AU"/>
        </w:rPr>
        <w:t xml:space="preserve">cent of patients were referred </w:t>
      </w:r>
      <w:r w:rsidR="00951178">
        <w:rPr>
          <w:rFonts w:cs="Arial"/>
          <w:lang w:eastAsia="en-AU"/>
        </w:rPr>
        <w:t xml:space="preserve">for consultation by their </w:t>
      </w:r>
      <w:r w:rsidR="00C82FC3">
        <w:rPr>
          <w:rFonts w:cs="Arial"/>
          <w:lang w:eastAsia="en-AU"/>
        </w:rPr>
        <w:t xml:space="preserve">general practitioner </w:t>
      </w:r>
      <w:r w:rsidR="00951178">
        <w:rPr>
          <w:rFonts w:cs="Arial"/>
          <w:lang w:eastAsia="en-AU"/>
        </w:rPr>
        <w:t xml:space="preserve">(31 per cent) or </w:t>
      </w:r>
      <w:r w:rsidR="00795275">
        <w:rPr>
          <w:rFonts w:cs="Arial"/>
          <w:lang w:eastAsia="en-AU"/>
        </w:rPr>
        <w:t>e</w:t>
      </w:r>
      <w:r w:rsidR="00951178">
        <w:rPr>
          <w:rFonts w:cs="Arial"/>
          <w:lang w:eastAsia="en-AU"/>
        </w:rPr>
        <w:t xml:space="preserve">mergency </w:t>
      </w:r>
      <w:r w:rsidR="00795275">
        <w:rPr>
          <w:rFonts w:cs="Arial"/>
          <w:lang w:eastAsia="en-AU"/>
        </w:rPr>
        <w:t>d</w:t>
      </w:r>
      <w:r w:rsidR="00951178">
        <w:rPr>
          <w:rFonts w:cs="Arial"/>
          <w:lang w:eastAsia="en-AU"/>
        </w:rPr>
        <w:t xml:space="preserve">epartment (21 per cent). </w:t>
      </w:r>
      <w:r w:rsidR="00642F26">
        <w:rPr>
          <w:rFonts w:cs="Arial"/>
          <w:lang w:eastAsia="en-AU"/>
        </w:rPr>
        <w:t>A large proportion</w:t>
      </w:r>
      <w:r w:rsidR="00951178">
        <w:rPr>
          <w:rFonts w:cs="Arial"/>
          <w:lang w:eastAsia="en-AU"/>
        </w:rPr>
        <w:t xml:space="preserve"> of patients (41 per cent) were initially referred to a surgeon</w:t>
      </w:r>
      <w:r w:rsidR="00564377">
        <w:rPr>
          <w:rFonts w:cs="Arial"/>
          <w:lang w:eastAsia="en-AU"/>
        </w:rPr>
        <w:t xml:space="preserve"> (UGI or other)</w:t>
      </w:r>
      <w:r w:rsidR="00951178">
        <w:rPr>
          <w:rFonts w:cs="Arial"/>
          <w:lang w:eastAsia="en-AU"/>
        </w:rPr>
        <w:t>.</w:t>
      </w:r>
    </w:p>
    <w:p w14:paraId="45CA0B3F" w14:textId="5CC9719C" w:rsidR="008C6A4A" w:rsidRPr="005E4870" w:rsidRDefault="005E4870" w:rsidP="00D57528">
      <w:pPr>
        <w:pStyle w:val="DHHSbody"/>
        <w:rPr>
          <w:rFonts w:cs="Arial"/>
          <w:lang w:eastAsia="en-AU"/>
        </w:rPr>
      </w:pPr>
      <w:r>
        <w:t>The grea</w:t>
      </w:r>
      <w:r w:rsidR="00007875">
        <w:t>test proportion of patients (26 per cent</w:t>
      </w:r>
      <w:r w:rsidR="00C61D71">
        <w:t>) had</w:t>
      </w:r>
      <w:r>
        <w:t xml:space="preserve"> chemotherapy/targeted therapy as their first </w:t>
      </w:r>
      <w:r w:rsidR="00C61D71">
        <w:t xml:space="preserve">recorded </w:t>
      </w:r>
      <w:r>
        <w:t>treatment</w:t>
      </w:r>
      <w:r w:rsidR="00380AD2">
        <w:t>.</w:t>
      </w:r>
      <w:r>
        <w:rPr>
          <w:rFonts w:cs="Arial"/>
          <w:lang w:eastAsia="en-AU"/>
        </w:rPr>
        <w:t xml:space="preserve"> </w:t>
      </w:r>
      <w:r w:rsidR="00A36C0D">
        <w:rPr>
          <w:rFonts w:cs="Arial"/>
          <w:lang w:eastAsia="en-AU"/>
        </w:rPr>
        <w:t xml:space="preserve">Notably, </w:t>
      </w:r>
      <w:r w:rsidR="00A36C0D">
        <w:t>i</w:t>
      </w:r>
      <w:r w:rsidR="009565B1">
        <w:t>dentif</w:t>
      </w:r>
      <w:r w:rsidR="00B82470">
        <w:t>ying</w:t>
      </w:r>
      <w:r w:rsidR="008C6A4A">
        <w:t xml:space="preserve"> the</w:t>
      </w:r>
      <w:r w:rsidR="008C6A4A" w:rsidRPr="008C6A4A">
        <w:t xml:space="preserve"> first treatment </w:t>
      </w:r>
      <w:r w:rsidR="009565B1">
        <w:t xml:space="preserve">type </w:t>
      </w:r>
      <w:r w:rsidR="008C6A4A">
        <w:t>was restricted to the options provided in the audit database (</w:t>
      </w:r>
      <w:proofErr w:type="spellStart"/>
      <w:r w:rsidR="00B82470">
        <w:t>chemoradiation</w:t>
      </w:r>
      <w:proofErr w:type="spellEnd"/>
      <w:r w:rsidR="00B82470">
        <w:t xml:space="preserve">, chemotherapy / targeted therapy, endoscopic mucosal resection, gastrectomy, </w:t>
      </w:r>
      <w:proofErr w:type="spellStart"/>
      <w:r w:rsidR="00B82470">
        <w:t>oesophagectomy</w:t>
      </w:r>
      <w:proofErr w:type="spellEnd"/>
      <w:r w:rsidR="00B82470">
        <w:t>, radiotherapy</w:t>
      </w:r>
      <w:r w:rsidR="008C6A4A">
        <w:t>).</w:t>
      </w:r>
      <w:r w:rsidR="00404FD7">
        <w:t xml:space="preserve"> A </w:t>
      </w:r>
      <w:r w:rsidR="008C6A4A">
        <w:t>significant proportion of patients</w:t>
      </w:r>
      <w:r w:rsidR="00D57528">
        <w:t xml:space="preserve"> (28</w:t>
      </w:r>
      <w:r w:rsidR="00ED6332">
        <w:t xml:space="preserve"> per cent</w:t>
      </w:r>
      <w:r w:rsidR="00D57528">
        <w:t>)</w:t>
      </w:r>
      <w:r w:rsidR="008C6A4A">
        <w:t xml:space="preserve"> received a form of treatment that was not listed and not described further.</w:t>
      </w:r>
    </w:p>
    <w:p w14:paraId="79838674" w14:textId="37184EA2" w:rsidR="008C6A4A" w:rsidRDefault="00C35480" w:rsidP="002742C6">
      <w:pPr>
        <w:pStyle w:val="DHHSbody"/>
      </w:pPr>
      <w:r>
        <w:t xml:space="preserve">Thirty-six </w:t>
      </w:r>
      <w:r w:rsidR="001B3972">
        <w:t>per cent of audited patients had a documented admission or referral for palliative care.</w:t>
      </w:r>
    </w:p>
    <w:p w14:paraId="4B66576B" w14:textId="3A8D5D71" w:rsidR="0090528B" w:rsidRDefault="001D5B2A" w:rsidP="001D5B2A">
      <w:pPr>
        <w:pStyle w:val="DHHStablecaption"/>
      </w:pPr>
      <w:bookmarkStart w:id="17" w:name="_Toc524422138"/>
      <w:bookmarkStart w:id="18" w:name="_Toc524422232"/>
      <w:r>
        <w:t xml:space="preserve">Table </w:t>
      </w:r>
      <w:r w:rsidR="005E110B">
        <w:fldChar w:fldCharType="begin"/>
      </w:r>
      <w:r w:rsidR="005E110B">
        <w:instrText xml:space="preserve"> SEQ Table \* ARABIC </w:instrText>
      </w:r>
      <w:r w:rsidR="005E110B">
        <w:fldChar w:fldCharType="separate"/>
      </w:r>
      <w:r w:rsidR="005E110B">
        <w:rPr>
          <w:noProof/>
        </w:rPr>
        <w:t>1</w:t>
      </w:r>
      <w:r w:rsidR="005E110B">
        <w:rPr>
          <w:noProof/>
        </w:rPr>
        <w:fldChar w:fldCharType="end"/>
      </w:r>
      <w:r w:rsidR="00795275">
        <w:t>:</w:t>
      </w:r>
      <w:r w:rsidR="003279A8">
        <w:t xml:space="preserve"> </w:t>
      </w:r>
      <w:r w:rsidR="0090528B">
        <w:t>Descriptive summary of the audit population (297 patients)</w:t>
      </w:r>
      <w:bookmarkEnd w:id="17"/>
      <w:bookmarkEnd w:id="18"/>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4524"/>
        <w:gridCol w:w="1438"/>
      </w:tblGrid>
      <w:tr w:rsidR="0090528B" w:rsidRPr="00050019" w14:paraId="7BC859A0" w14:textId="77777777" w:rsidTr="00254613">
        <w:trPr>
          <w:trHeight w:val="300"/>
          <w:tblHeader/>
        </w:trPr>
        <w:tc>
          <w:tcPr>
            <w:tcW w:w="3187" w:type="dxa"/>
            <w:shd w:val="clear" w:color="auto" w:fill="auto"/>
            <w:noWrap/>
            <w:vAlign w:val="bottom"/>
            <w:hideMark/>
          </w:tcPr>
          <w:p w14:paraId="30346F7A" w14:textId="77777777" w:rsidR="0090528B" w:rsidRPr="00050019" w:rsidRDefault="0090528B" w:rsidP="00F0776E">
            <w:pPr>
              <w:pStyle w:val="DHHStablecolhead"/>
              <w:rPr>
                <w:lang w:eastAsia="en-AU"/>
              </w:rPr>
            </w:pPr>
            <w:r w:rsidRPr="00050019">
              <w:rPr>
                <w:lang w:eastAsia="en-AU"/>
              </w:rPr>
              <w:t>Variable</w:t>
            </w:r>
          </w:p>
        </w:tc>
        <w:tc>
          <w:tcPr>
            <w:tcW w:w="4524" w:type="dxa"/>
            <w:shd w:val="clear" w:color="auto" w:fill="auto"/>
            <w:noWrap/>
            <w:vAlign w:val="bottom"/>
            <w:hideMark/>
          </w:tcPr>
          <w:p w14:paraId="66A5595C" w14:textId="77777777" w:rsidR="0090528B" w:rsidRPr="00050019" w:rsidRDefault="0090528B" w:rsidP="00F0776E">
            <w:pPr>
              <w:pStyle w:val="DHHStablecolhead"/>
              <w:rPr>
                <w:lang w:eastAsia="en-AU"/>
              </w:rPr>
            </w:pPr>
            <w:r w:rsidRPr="00050019">
              <w:rPr>
                <w:lang w:eastAsia="en-AU"/>
              </w:rPr>
              <w:t>Level</w:t>
            </w:r>
          </w:p>
        </w:tc>
        <w:tc>
          <w:tcPr>
            <w:tcW w:w="1438" w:type="dxa"/>
            <w:shd w:val="clear" w:color="auto" w:fill="auto"/>
            <w:noWrap/>
            <w:vAlign w:val="bottom"/>
            <w:hideMark/>
          </w:tcPr>
          <w:p w14:paraId="7062078B" w14:textId="0779DE2D" w:rsidR="0090528B" w:rsidRPr="00050019" w:rsidRDefault="0090528B" w:rsidP="00F0776E">
            <w:pPr>
              <w:pStyle w:val="DHHStablecolhead"/>
              <w:rPr>
                <w:lang w:eastAsia="en-AU"/>
              </w:rPr>
            </w:pPr>
            <w:r>
              <w:rPr>
                <w:lang w:eastAsia="en-AU"/>
              </w:rPr>
              <w:t>N</w:t>
            </w:r>
            <w:r w:rsidR="00B82470">
              <w:rPr>
                <w:lang w:eastAsia="en-AU"/>
              </w:rPr>
              <w:t>umber</w:t>
            </w:r>
            <w:r>
              <w:rPr>
                <w:lang w:eastAsia="en-AU"/>
              </w:rPr>
              <w:t xml:space="preserve"> (%)</w:t>
            </w:r>
          </w:p>
        </w:tc>
      </w:tr>
      <w:tr w:rsidR="0090528B" w:rsidRPr="00050019" w14:paraId="3AADB9D6" w14:textId="77777777" w:rsidTr="00254613">
        <w:trPr>
          <w:trHeight w:val="300"/>
        </w:trPr>
        <w:tc>
          <w:tcPr>
            <w:tcW w:w="3187" w:type="dxa"/>
            <w:vMerge w:val="restart"/>
            <w:shd w:val="clear" w:color="auto" w:fill="auto"/>
            <w:noWrap/>
            <w:hideMark/>
          </w:tcPr>
          <w:p w14:paraId="5023522D" w14:textId="77777777" w:rsidR="0090528B" w:rsidRPr="00050019" w:rsidRDefault="0090528B" w:rsidP="00954470">
            <w:pPr>
              <w:pStyle w:val="DHHStabletext"/>
              <w:rPr>
                <w:lang w:eastAsia="en-AU"/>
              </w:rPr>
            </w:pPr>
            <w:r w:rsidRPr="00050019">
              <w:rPr>
                <w:lang w:eastAsia="en-AU"/>
              </w:rPr>
              <w:t>Diagnosis</w:t>
            </w:r>
          </w:p>
        </w:tc>
        <w:tc>
          <w:tcPr>
            <w:tcW w:w="4524" w:type="dxa"/>
            <w:shd w:val="clear" w:color="auto" w:fill="auto"/>
            <w:noWrap/>
            <w:vAlign w:val="bottom"/>
            <w:hideMark/>
          </w:tcPr>
          <w:p w14:paraId="76145658" w14:textId="77777777" w:rsidR="0090528B" w:rsidRPr="001202B5" w:rsidRDefault="0090528B" w:rsidP="00954470">
            <w:pPr>
              <w:pStyle w:val="DHHStabletext"/>
              <w:rPr>
                <w:rFonts w:cs="Arial"/>
                <w:lang w:eastAsia="en-AU"/>
              </w:rPr>
            </w:pPr>
            <w:r w:rsidRPr="001202B5">
              <w:rPr>
                <w:rFonts w:cs="Arial"/>
                <w:lang w:eastAsia="en-AU"/>
              </w:rPr>
              <w:t>C15 Malignant neoplasm of oesophagus</w:t>
            </w:r>
          </w:p>
        </w:tc>
        <w:tc>
          <w:tcPr>
            <w:tcW w:w="1438" w:type="dxa"/>
            <w:shd w:val="clear" w:color="auto" w:fill="auto"/>
            <w:noWrap/>
          </w:tcPr>
          <w:p w14:paraId="0541718C" w14:textId="77777777" w:rsidR="0090528B" w:rsidRPr="001202B5" w:rsidRDefault="0090528B" w:rsidP="00954470">
            <w:pPr>
              <w:pStyle w:val="DHHStabletext"/>
              <w:rPr>
                <w:rFonts w:cs="Arial"/>
                <w:lang w:eastAsia="en-AU"/>
              </w:rPr>
            </w:pPr>
            <w:r w:rsidRPr="001202B5">
              <w:rPr>
                <w:rFonts w:cs="Arial"/>
                <w:color w:val="000000"/>
              </w:rPr>
              <w:t>103 (35%)</w:t>
            </w:r>
          </w:p>
        </w:tc>
      </w:tr>
      <w:tr w:rsidR="0090528B" w:rsidRPr="00050019" w14:paraId="0FB90689" w14:textId="77777777" w:rsidTr="00254613">
        <w:trPr>
          <w:trHeight w:val="300"/>
        </w:trPr>
        <w:tc>
          <w:tcPr>
            <w:tcW w:w="3187" w:type="dxa"/>
            <w:vMerge/>
            <w:shd w:val="clear" w:color="auto" w:fill="auto"/>
            <w:noWrap/>
            <w:vAlign w:val="bottom"/>
            <w:hideMark/>
          </w:tcPr>
          <w:p w14:paraId="35BF2680" w14:textId="77777777" w:rsidR="0090528B" w:rsidRPr="00050019" w:rsidRDefault="0090528B" w:rsidP="00954470">
            <w:pPr>
              <w:pStyle w:val="DHHStabletext"/>
              <w:rPr>
                <w:lang w:eastAsia="en-AU"/>
              </w:rPr>
            </w:pPr>
          </w:p>
        </w:tc>
        <w:tc>
          <w:tcPr>
            <w:tcW w:w="4524" w:type="dxa"/>
            <w:shd w:val="clear" w:color="auto" w:fill="auto"/>
            <w:noWrap/>
            <w:vAlign w:val="bottom"/>
            <w:hideMark/>
          </w:tcPr>
          <w:p w14:paraId="0134DB97" w14:textId="77777777" w:rsidR="0090528B" w:rsidRPr="001202B5" w:rsidRDefault="0090528B" w:rsidP="00954470">
            <w:pPr>
              <w:pStyle w:val="DHHStabletext"/>
              <w:rPr>
                <w:rFonts w:cs="Arial"/>
                <w:lang w:eastAsia="en-AU"/>
              </w:rPr>
            </w:pPr>
            <w:r w:rsidRPr="001202B5">
              <w:rPr>
                <w:rFonts w:cs="Arial"/>
                <w:lang w:eastAsia="en-AU"/>
              </w:rPr>
              <w:t>C16 Malignant neoplasm of stomach</w:t>
            </w:r>
          </w:p>
        </w:tc>
        <w:tc>
          <w:tcPr>
            <w:tcW w:w="1438" w:type="dxa"/>
            <w:shd w:val="clear" w:color="auto" w:fill="auto"/>
            <w:noWrap/>
          </w:tcPr>
          <w:p w14:paraId="63D8D039" w14:textId="77777777" w:rsidR="0090528B" w:rsidRPr="001202B5" w:rsidRDefault="0090528B" w:rsidP="00954470">
            <w:pPr>
              <w:pStyle w:val="DHHStabletext"/>
              <w:rPr>
                <w:rFonts w:cs="Arial"/>
                <w:lang w:eastAsia="en-AU"/>
              </w:rPr>
            </w:pPr>
            <w:r w:rsidRPr="001202B5">
              <w:rPr>
                <w:rFonts w:cs="Arial"/>
                <w:color w:val="000000"/>
              </w:rPr>
              <w:t>194 (65%)</w:t>
            </w:r>
          </w:p>
        </w:tc>
      </w:tr>
      <w:tr w:rsidR="0090528B" w:rsidRPr="00050019" w14:paraId="079E2095" w14:textId="77777777" w:rsidTr="00254613">
        <w:trPr>
          <w:trHeight w:val="300"/>
        </w:trPr>
        <w:tc>
          <w:tcPr>
            <w:tcW w:w="3187" w:type="dxa"/>
            <w:shd w:val="clear" w:color="auto" w:fill="D9D9D9" w:themeFill="background1" w:themeFillShade="D9"/>
            <w:noWrap/>
            <w:vAlign w:val="bottom"/>
          </w:tcPr>
          <w:p w14:paraId="483C5CF5" w14:textId="0B7F0A3B" w:rsidR="0090528B" w:rsidRPr="00050019" w:rsidRDefault="0090528B" w:rsidP="00954470">
            <w:pPr>
              <w:pStyle w:val="DHHStabletext"/>
              <w:rPr>
                <w:lang w:eastAsia="en-AU"/>
              </w:rPr>
            </w:pPr>
            <w:r w:rsidRPr="00050019">
              <w:rPr>
                <w:lang w:eastAsia="en-AU"/>
              </w:rPr>
              <w:t>Died</w:t>
            </w:r>
            <w:r>
              <w:rPr>
                <w:lang w:eastAsia="en-AU"/>
              </w:rPr>
              <w:t xml:space="preserve"> w</w:t>
            </w:r>
            <w:r w:rsidRPr="00050019">
              <w:rPr>
                <w:lang w:eastAsia="en-AU"/>
              </w:rPr>
              <w:t>i</w:t>
            </w:r>
            <w:r>
              <w:rPr>
                <w:lang w:eastAsia="en-AU"/>
              </w:rPr>
              <w:t xml:space="preserve">thin </w:t>
            </w:r>
            <w:r w:rsidRPr="00050019">
              <w:rPr>
                <w:lang w:eastAsia="en-AU"/>
              </w:rPr>
              <w:t>30</w:t>
            </w:r>
            <w:r>
              <w:rPr>
                <w:lang w:eastAsia="en-AU"/>
              </w:rPr>
              <w:t xml:space="preserve"> days o</w:t>
            </w:r>
            <w:r w:rsidRPr="00050019">
              <w:rPr>
                <w:lang w:eastAsia="en-AU"/>
              </w:rPr>
              <w:t>f</w:t>
            </w:r>
            <w:r w:rsidR="006D719F">
              <w:rPr>
                <w:lang w:eastAsia="en-AU"/>
              </w:rPr>
              <w:t xml:space="preserve"> diagnosis</w:t>
            </w:r>
          </w:p>
        </w:tc>
        <w:tc>
          <w:tcPr>
            <w:tcW w:w="4524" w:type="dxa"/>
            <w:shd w:val="clear" w:color="auto" w:fill="D9D9D9" w:themeFill="background1" w:themeFillShade="D9"/>
            <w:noWrap/>
            <w:vAlign w:val="bottom"/>
          </w:tcPr>
          <w:p w14:paraId="4EC6FCC4" w14:textId="77777777" w:rsidR="0090528B" w:rsidRPr="001202B5" w:rsidRDefault="0090528B" w:rsidP="00954470">
            <w:pPr>
              <w:pStyle w:val="DHHStabletext"/>
              <w:rPr>
                <w:rFonts w:cs="Arial"/>
                <w:lang w:eastAsia="en-AU"/>
              </w:rPr>
            </w:pPr>
            <w:r w:rsidRPr="001202B5">
              <w:rPr>
                <w:rFonts w:cs="Arial"/>
                <w:lang w:eastAsia="en-AU"/>
              </w:rPr>
              <w:t>Entire audit population</w:t>
            </w:r>
          </w:p>
        </w:tc>
        <w:tc>
          <w:tcPr>
            <w:tcW w:w="1438" w:type="dxa"/>
            <w:shd w:val="clear" w:color="auto" w:fill="D9D9D9" w:themeFill="background1" w:themeFillShade="D9"/>
            <w:noWrap/>
          </w:tcPr>
          <w:p w14:paraId="42DBDC45" w14:textId="77777777" w:rsidR="0090528B" w:rsidRPr="001202B5" w:rsidRDefault="0090528B" w:rsidP="00954470">
            <w:pPr>
              <w:pStyle w:val="DHHStabletext"/>
              <w:rPr>
                <w:rFonts w:cs="Arial"/>
                <w:lang w:eastAsia="en-AU"/>
              </w:rPr>
            </w:pPr>
            <w:r w:rsidRPr="001202B5">
              <w:rPr>
                <w:rFonts w:cs="Arial"/>
                <w:lang w:eastAsia="en-AU"/>
              </w:rPr>
              <w:t>25 (8%)</w:t>
            </w:r>
          </w:p>
        </w:tc>
      </w:tr>
      <w:tr w:rsidR="0090528B" w:rsidRPr="00050019" w14:paraId="0BD47930" w14:textId="77777777" w:rsidTr="00254613">
        <w:trPr>
          <w:trHeight w:val="300"/>
        </w:trPr>
        <w:tc>
          <w:tcPr>
            <w:tcW w:w="3187" w:type="dxa"/>
            <w:vMerge w:val="restart"/>
            <w:shd w:val="clear" w:color="auto" w:fill="auto"/>
            <w:noWrap/>
            <w:hideMark/>
          </w:tcPr>
          <w:p w14:paraId="58549B9D" w14:textId="77777777" w:rsidR="0090528B" w:rsidRPr="00050019" w:rsidRDefault="0090528B" w:rsidP="00954470">
            <w:pPr>
              <w:pStyle w:val="DHHStabletext"/>
              <w:rPr>
                <w:lang w:eastAsia="en-AU"/>
              </w:rPr>
            </w:pPr>
            <w:r w:rsidRPr="00050019">
              <w:rPr>
                <w:lang w:eastAsia="en-AU"/>
              </w:rPr>
              <w:t>ICS</w:t>
            </w:r>
            <w:r>
              <w:rPr>
                <w:lang w:eastAsia="en-AU"/>
              </w:rPr>
              <w:t xml:space="preserve"> </w:t>
            </w:r>
            <w:r w:rsidRPr="00050019">
              <w:rPr>
                <w:lang w:eastAsia="en-AU"/>
              </w:rPr>
              <w:t>of</w:t>
            </w:r>
            <w:r>
              <w:rPr>
                <w:lang w:eastAsia="en-AU"/>
              </w:rPr>
              <w:t xml:space="preserve"> r</w:t>
            </w:r>
            <w:r w:rsidRPr="00050019">
              <w:rPr>
                <w:lang w:eastAsia="en-AU"/>
              </w:rPr>
              <w:t>esidence</w:t>
            </w:r>
          </w:p>
        </w:tc>
        <w:tc>
          <w:tcPr>
            <w:tcW w:w="4524" w:type="dxa"/>
            <w:shd w:val="clear" w:color="auto" w:fill="auto"/>
            <w:noWrap/>
            <w:vAlign w:val="bottom"/>
            <w:hideMark/>
          </w:tcPr>
          <w:p w14:paraId="40E2CBAC" w14:textId="77777777" w:rsidR="0090528B" w:rsidRPr="001202B5" w:rsidRDefault="0090528B" w:rsidP="00954470">
            <w:pPr>
              <w:pStyle w:val="DHHStabletext"/>
              <w:rPr>
                <w:rFonts w:cs="Arial"/>
                <w:lang w:eastAsia="en-AU"/>
              </w:rPr>
            </w:pPr>
            <w:r w:rsidRPr="001202B5">
              <w:rPr>
                <w:rFonts w:cs="Arial"/>
                <w:lang w:eastAsia="en-AU"/>
              </w:rPr>
              <w:t xml:space="preserve">NEMICS </w:t>
            </w:r>
          </w:p>
        </w:tc>
        <w:tc>
          <w:tcPr>
            <w:tcW w:w="1438" w:type="dxa"/>
            <w:shd w:val="clear" w:color="auto" w:fill="auto"/>
            <w:noWrap/>
          </w:tcPr>
          <w:p w14:paraId="57AC6611" w14:textId="77777777" w:rsidR="0090528B" w:rsidRPr="001202B5" w:rsidRDefault="0090528B" w:rsidP="00954470">
            <w:pPr>
              <w:pStyle w:val="DHHStabletext"/>
              <w:rPr>
                <w:rFonts w:cs="Arial"/>
                <w:lang w:eastAsia="en-AU"/>
              </w:rPr>
            </w:pPr>
            <w:r w:rsidRPr="001202B5">
              <w:rPr>
                <w:rFonts w:cs="Arial"/>
                <w:color w:val="000000"/>
              </w:rPr>
              <w:t>67 (23%)</w:t>
            </w:r>
          </w:p>
        </w:tc>
      </w:tr>
      <w:tr w:rsidR="0090528B" w:rsidRPr="00050019" w14:paraId="6F4EAE6C" w14:textId="77777777" w:rsidTr="00254613">
        <w:trPr>
          <w:trHeight w:val="300"/>
        </w:trPr>
        <w:tc>
          <w:tcPr>
            <w:tcW w:w="3187" w:type="dxa"/>
            <w:vMerge/>
            <w:shd w:val="clear" w:color="auto" w:fill="auto"/>
            <w:noWrap/>
            <w:vAlign w:val="bottom"/>
            <w:hideMark/>
          </w:tcPr>
          <w:p w14:paraId="7139E633" w14:textId="77777777" w:rsidR="0090528B" w:rsidRPr="00050019" w:rsidRDefault="0090528B" w:rsidP="00954470">
            <w:pPr>
              <w:pStyle w:val="DHHStabletext"/>
              <w:rPr>
                <w:lang w:eastAsia="en-AU"/>
              </w:rPr>
            </w:pPr>
          </w:p>
        </w:tc>
        <w:tc>
          <w:tcPr>
            <w:tcW w:w="4524" w:type="dxa"/>
            <w:shd w:val="clear" w:color="auto" w:fill="auto"/>
            <w:noWrap/>
            <w:vAlign w:val="bottom"/>
            <w:hideMark/>
          </w:tcPr>
          <w:p w14:paraId="55412278" w14:textId="77777777" w:rsidR="0090528B" w:rsidRPr="001202B5" w:rsidRDefault="0090528B" w:rsidP="00954470">
            <w:pPr>
              <w:pStyle w:val="DHHStabletext"/>
              <w:rPr>
                <w:rFonts w:cs="Arial"/>
                <w:lang w:eastAsia="en-AU"/>
              </w:rPr>
            </w:pPr>
            <w:r w:rsidRPr="001202B5">
              <w:rPr>
                <w:rFonts w:cs="Arial"/>
                <w:lang w:eastAsia="en-AU"/>
              </w:rPr>
              <w:t>SMICS</w:t>
            </w:r>
          </w:p>
        </w:tc>
        <w:tc>
          <w:tcPr>
            <w:tcW w:w="1438" w:type="dxa"/>
            <w:shd w:val="clear" w:color="auto" w:fill="auto"/>
            <w:noWrap/>
          </w:tcPr>
          <w:p w14:paraId="3ED43DAB" w14:textId="77777777" w:rsidR="0090528B" w:rsidRPr="001202B5" w:rsidRDefault="0090528B" w:rsidP="00954470">
            <w:pPr>
              <w:pStyle w:val="DHHStabletext"/>
              <w:rPr>
                <w:rFonts w:cs="Arial"/>
                <w:lang w:eastAsia="en-AU"/>
              </w:rPr>
            </w:pPr>
            <w:r w:rsidRPr="001202B5">
              <w:rPr>
                <w:rFonts w:cs="Arial"/>
                <w:color w:val="000000"/>
              </w:rPr>
              <w:t>56 (19%)</w:t>
            </w:r>
          </w:p>
        </w:tc>
      </w:tr>
      <w:tr w:rsidR="0090528B" w:rsidRPr="00050019" w14:paraId="713F74E1" w14:textId="77777777" w:rsidTr="00254613">
        <w:trPr>
          <w:trHeight w:val="300"/>
        </w:trPr>
        <w:tc>
          <w:tcPr>
            <w:tcW w:w="3187" w:type="dxa"/>
            <w:vMerge/>
            <w:shd w:val="clear" w:color="auto" w:fill="auto"/>
            <w:noWrap/>
            <w:vAlign w:val="bottom"/>
            <w:hideMark/>
          </w:tcPr>
          <w:p w14:paraId="38865541" w14:textId="77777777" w:rsidR="0090528B" w:rsidRPr="00050019" w:rsidRDefault="0090528B" w:rsidP="00954470">
            <w:pPr>
              <w:pStyle w:val="DHHStabletext"/>
              <w:rPr>
                <w:lang w:eastAsia="en-AU"/>
              </w:rPr>
            </w:pPr>
          </w:p>
        </w:tc>
        <w:tc>
          <w:tcPr>
            <w:tcW w:w="4524" w:type="dxa"/>
            <w:shd w:val="clear" w:color="auto" w:fill="auto"/>
            <w:noWrap/>
            <w:vAlign w:val="bottom"/>
            <w:hideMark/>
          </w:tcPr>
          <w:p w14:paraId="1481675F" w14:textId="77777777" w:rsidR="0090528B" w:rsidRPr="001202B5" w:rsidRDefault="0090528B" w:rsidP="00954470">
            <w:pPr>
              <w:pStyle w:val="DHHStabletext"/>
              <w:rPr>
                <w:rFonts w:cs="Arial"/>
                <w:lang w:eastAsia="en-AU"/>
              </w:rPr>
            </w:pPr>
            <w:r w:rsidRPr="001202B5">
              <w:rPr>
                <w:rFonts w:cs="Arial"/>
                <w:lang w:eastAsia="en-AU"/>
              </w:rPr>
              <w:t>WCMICS</w:t>
            </w:r>
          </w:p>
        </w:tc>
        <w:tc>
          <w:tcPr>
            <w:tcW w:w="1438" w:type="dxa"/>
            <w:shd w:val="clear" w:color="auto" w:fill="auto"/>
            <w:noWrap/>
          </w:tcPr>
          <w:p w14:paraId="4367694D" w14:textId="76CB4863" w:rsidR="0090528B" w:rsidRPr="001202B5" w:rsidRDefault="0090528B" w:rsidP="00954470">
            <w:pPr>
              <w:pStyle w:val="DHHStabletext"/>
              <w:rPr>
                <w:rFonts w:cs="Arial"/>
                <w:lang w:eastAsia="en-AU"/>
              </w:rPr>
            </w:pPr>
            <w:r w:rsidRPr="001202B5">
              <w:rPr>
                <w:rFonts w:cs="Arial"/>
                <w:color w:val="000000"/>
              </w:rPr>
              <w:t>64 (2</w:t>
            </w:r>
            <w:r w:rsidR="00FE2834">
              <w:rPr>
                <w:rFonts w:cs="Arial"/>
                <w:color w:val="000000"/>
              </w:rPr>
              <w:t>2</w:t>
            </w:r>
            <w:r w:rsidRPr="001202B5">
              <w:rPr>
                <w:rFonts w:cs="Arial"/>
                <w:color w:val="000000"/>
              </w:rPr>
              <w:t>%)</w:t>
            </w:r>
          </w:p>
        </w:tc>
      </w:tr>
      <w:tr w:rsidR="0090528B" w:rsidRPr="00050019" w14:paraId="441EE85C" w14:textId="77777777" w:rsidTr="00254613">
        <w:trPr>
          <w:trHeight w:val="300"/>
        </w:trPr>
        <w:tc>
          <w:tcPr>
            <w:tcW w:w="3187" w:type="dxa"/>
            <w:vMerge/>
            <w:shd w:val="clear" w:color="auto" w:fill="auto"/>
            <w:noWrap/>
            <w:vAlign w:val="bottom"/>
            <w:hideMark/>
          </w:tcPr>
          <w:p w14:paraId="2A73C7A3" w14:textId="77777777" w:rsidR="0090528B" w:rsidRPr="00050019" w:rsidRDefault="0090528B" w:rsidP="00954470">
            <w:pPr>
              <w:pStyle w:val="DHHStabletext"/>
              <w:rPr>
                <w:lang w:eastAsia="en-AU"/>
              </w:rPr>
            </w:pPr>
          </w:p>
        </w:tc>
        <w:tc>
          <w:tcPr>
            <w:tcW w:w="4524" w:type="dxa"/>
            <w:shd w:val="clear" w:color="auto" w:fill="auto"/>
            <w:noWrap/>
            <w:vAlign w:val="bottom"/>
            <w:hideMark/>
          </w:tcPr>
          <w:p w14:paraId="36BE8145" w14:textId="283EAEC1" w:rsidR="0090528B" w:rsidRPr="001202B5" w:rsidRDefault="0090528B" w:rsidP="00954470">
            <w:pPr>
              <w:pStyle w:val="DHHStabletext"/>
              <w:rPr>
                <w:rFonts w:cs="Arial"/>
                <w:lang w:eastAsia="en-AU"/>
              </w:rPr>
            </w:pPr>
            <w:r w:rsidRPr="001202B5">
              <w:rPr>
                <w:rFonts w:cs="Arial"/>
                <w:lang w:eastAsia="en-AU"/>
              </w:rPr>
              <w:t>BSWRICS</w:t>
            </w:r>
          </w:p>
        </w:tc>
        <w:tc>
          <w:tcPr>
            <w:tcW w:w="1438" w:type="dxa"/>
            <w:shd w:val="clear" w:color="auto" w:fill="auto"/>
            <w:noWrap/>
          </w:tcPr>
          <w:p w14:paraId="457211BA" w14:textId="77777777" w:rsidR="0090528B" w:rsidRPr="001202B5" w:rsidRDefault="0090528B" w:rsidP="00954470">
            <w:pPr>
              <w:pStyle w:val="DHHStabletext"/>
              <w:rPr>
                <w:rFonts w:cs="Arial"/>
                <w:lang w:eastAsia="en-AU"/>
              </w:rPr>
            </w:pPr>
            <w:r w:rsidRPr="001202B5">
              <w:rPr>
                <w:rFonts w:cs="Arial"/>
                <w:color w:val="000000"/>
              </w:rPr>
              <w:t>27 (9%)</w:t>
            </w:r>
          </w:p>
        </w:tc>
      </w:tr>
      <w:tr w:rsidR="0090528B" w:rsidRPr="00050019" w14:paraId="323B68E3" w14:textId="77777777" w:rsidTr="00254613">
        <w:trPr>
          <w:trHeight w:val="300"/>
        </w:trPr>
        <w:tc>
          <w:tcPr>
            <w:tcW w:w="3187" w:type="dxa"/>
            <w:vMerge/>
            <w:shd w:val="clear" w:color="auto" w:fill="auto"/>
            <w:noWrap/>
            <w:vAlign w:val="bottom"/>
            <w:hideMark/>
          </w:tcPr>
          <w:p w14:paraId="70C4D874" w14:textId="77777777" w:rsidR="0090528B" w:rsidRPr="00050019" w:rsidRDefault="0090528B" w:rsidP="00954470">
            <w:pPr>
              <w:pStyle w:val="DHHStabletext"/>
              <w:rPr>
                <w:lang w:eastAsia="en-AU"/>
              </w:rPr>
            </w:pPr>
          </w:p>
        </w:tc>
        <w:tc>
          <w:tcPr>
            <w:tcW w:w="4524" w:type="dxa"/>
            <w:shd w:val="clear" w:color="auto" w:fill="auto"/>
            <w:noWrap/>
            <w:vAlign w:val="bottom"/>
            <w:hideMark/>
          </w:tcPr>
          <w:p w14:paraId="4AB0BB79" w14:textId="07C2F8A9" w:rsidR="0090528B" w:rsidRPr="001202B5" w:rsidRDefault="0090528B" w:rsidP="00954470">
            <w:pPr>
              <w:pStyle w:val="DHHStabletext"/>
              <w:rPr>
                <w:rFonts w:cs="Arial"/>
                <w:lang w:eastAsia="en-AU"/>
              </w:rPr>
            </w:pPr>
            <w:r w:rsidRPr="001202B5">
              <w:rPr>
                <w:rFonts w:cs="Arial"/>
                <w:lang w:eastAsia="en-AU"/>
              </w:rPr>
              <w:t>GRICS</w:t>
            </w:r>
          </w:p>
        </w:tc>
        <w:tc>
          <w:tcPr>
            <w:tcW w:w="1438" w:type="dxa"/>
            <w:shd w:val="clear" w:color="auto" w:fill="auto"/>
            <w:noWrap/>
          </w:tcPr>
          <w:p w14:paraId="7914E8FF" w14:textId="77777777" w:rsidR="0090528B" w:rsidRPr="001202B5" w:rsidRDefault="0090528B" w:rsidP="00954470">
            <w:pPr>
              <w:pStyle w:val="DHHStabletext"/>
              <w:rPr>
                <w:rFonts w:cs="Arial"/>
                <w:lang w:eastAsia="en-AU"/>
              </w:rPr>
            </w:pPr>
            <w:r w:rsidRPr="001202B5">
              <w:rPr>
                <w:rFonts w:cs="Arial"/>
                <w:color w:val="000000"/>
              </w:rPr>
              <w:t>17 (6%)</w:t>
            </w:r>
          </w:p>
        </w:tc>
      </w:tr>
      <w:tr w:rsidR="0090528B" w:rsidRPr="00050019" w14:paraId="6B38DE1B" w14:textId="77777777" w:rsidTr="00254613">
        <w:trPr>
          <w:trHeight w:val="300"/>
        </w:trPr>
        <w:tc>
          <w:tcPr>
            <w:tcW w:w="3187" w:type="dxa"/>
            <w:vMerge/>
            <w:shd w:val="clear" w:color="auto" w:fill="auto"/>
            <w:noWrap/>
            <w:vAlign w:val="bottom"/>
            <w:hideMark/>
          </w:tcPr>
          <w:p w14:paraId="2C3395AC" w14:textId="77777777" w:rsidR="0090528B" w:rsidRPr="00050019" w:rsidRDefault="0090528B" w:rsidP="00954470">
            <w:pPr>
              <w:pStyle w:val="DHHStabletext"/>
              <w:rPr>
                <w:lang w:eastAsia="en-AU"/>
              </w:rPr>
            </w:pPr>
          </w:p>
        </w:tc>
        <w:tc>
          <w:tcPr>
            <w:tcW w:w="4524" w:type="dxa"/>
            <w:shd w:val="clear" w:color="auto" w:fill="auto"/>
            <w:noWrap/>
            <w:vAlign w:val="bottom"/>
            <w:hideMark/>
          </w:tcPr>
          <w:p w14:paraId="5201ACB8" w14:textId="77777777" w:rsidR="0090528B" w:rsidRPr="001202B5" w:rsidRDefault="0090528B" w:rsidP="00954470">
            <w:pPr>
              <w:pStyle w:val="DHHStabletext"/>
              <w:rPr>
                <w:rFonts w:cs="Arial"/>
                <w:lang w:eastAsia="en-AU"/>
              </w:rPr>
            </w:pPr>
            <w:r w:rsidRPr="001202B5">
              <w:rPr>
                <w:rFonts w:cs="Arial"/>
                <w:lang w:eastAsia="en-AU"/>
              </w:rPr>
              <w:t xml:space="preserve">Hume RICS </w:t>
            </w:r>
          </w:p>
        </w:tc>
        <w:tc>
          <w:tcPr>
            <w:tcW w:w="1438" w:type="dxa"/>
            <w:shd w:val="clear" w:color="auto" w:fill="auto"/>
            <w:noWrap/>
          </w:tcPr>
          <w:p w14:paraId="254BE264" w14:textId="77777777" w:rsidR="0090528B" w:rsidRPr="001202B5" w:rsidRDefault="0090528B" w:rsidP="00954470">
            <w:pPr>
              <w:pStyle w:val="DHHStabletext"/>
              <w:rPr>
                <w:rFonts w:cs="Arial"/>
                <w:lang w:eastAsia="en-AU"/>
              </w:rPr>
            </w:pPr>
            <w:r w:rsidRPr="001202B5">
              <w:rPr>
                <w:rFonts w:cs="Arial"/>
                <w:color w:val="000000"/>
              </w:rPr>
              <w:t>20 (7%)</w:t>
            </w:r>
          </w:p>
        </w:tc>
      </w:tr>
      <w:tr w:rsidR="0090528B" w:rsidRPr="00050019" w14:paraId="663038A2" w14:textId="77777777" w:rsidTr="00254613">
        <w:trPr>
          <w:trHeight w:val="300"/>
        </w:trPr>
        <w:tc>
          <w:tcPr>
            <w:tcW w:w="3187" w:type="dxa"/>
            <w:vMerge/>
            <w:shd w:val="clear" w:color="auto" w:fill="auto"/>
            <w:noWrap/>
            <w:vAlign w:val="bottom"/>
            <w:hideMark/>
          </w:tcPr>
          <w:p w14:paraId="7FADB275" w14:textId="77777777" w:rsidR="0090528B" w:rsidRPr="00050019" w:rsidRDefault="0090528B" w:rsidP="00954470">
            <w:pPr>
              <w:pStyle w:val="DHHStabletext"/>
              <w:rPr>
                <w:lang w:eastAsia="en-AU"/>
              </w:rPr>
            </w:pPr>
          </w:p>
        </w:tc>
        <w:tc>
          <w:tcPr>
            <w:tcW w:w="4524" w:type="dxa"/>
            <w:shd w:val="clear" w:color="auto" w:fill="auto"/>
            <w:noWrap/>
            <w:vAlign w:val="bottom"/>
            <w:hideMark/>
          </w:tcPr>
          <w:p w14:paraId="45A42E10" w14:textId="2CE15044" w:rsidR="0090528B" w:rsidRPr="001202B5" w:rsidRDefault="0090528B" w:rsidP="00954470">
            <w:pPr>
              <w:pStyle w:val="DHHStabletext"/>
              <w:rPr>
                <w:rFonts w:cs="Arial"/>
                <w:lang w:eastAsia="en-AU"/>
              </w:rPr>
            </w:pPr>
            <w:r w:rsidRPr="001202B5">
              <w:rPr>
                <w:rFonts w:cs="Arial"/>
                <w:lang w:eastAsia="en-AU"/>
              </w:rPr>
              <w:t>LMICS</w:t>
            </w:r>
          </w:p>
        </w:tc>
        <w:tc>
          <w:tcPr>
            <w:tcW w:w="1438" w:type="dxa"/>
            <w:shd w:val="clear" w:color="auto" w:fill="auto"/>
            <w:noWrap/>
          </w:tcPr>
          <w:p w14:paraId="4687E385" w14:textId="77777777" w:rsidR="0090528B" w:rsidRPr="001202B5" w:rsidRDefault="0090528B" w:rsidP="00954470">
            <w:pPr>
              <w:pStyle w:val="DHHStabletext"/>
              <w:rPr>
                <w:rFonts w:cs="Arial"/>
                <w:lang w:eastAsia="en-AU"/>
              </w:rPr>
            </w:pPr>
            <w:r w:rsidRPr="001202B5">
              <w:rPr>
                <w:rFonts w:cs="Arial"/>
                <w:color w:val="000000"/>
              </w:rPr>
              <w:t>27 (9%)</w:t>
            </w:r>
          </w:p>
        </w:tc>
      </w:tr>
      <w:tr w:rsidR="0090528B" w:rsidRPr="00050019" w14:paraId="6F77C540" w14:textId="77777777" w:rsidTr="00254613">
        <w:trPr>
          <w:trHeight w:val="300"/>
        </w:trPr>
        <w:tc>
          <w:tcPr>
            <w:tcW w:w="3187" w:type="dxa"/>
            <w:vMerge/>
            <w:shd w:val="clear" w:color="auto" w:fill="auto"/>
            <w:noWrap/>
            <w:vAlign w:val="bottom"/>
            <w:hideMark/>
          </w:tcPr>
          <w:p w14:paraId="62F99E74" w14:textId="77777777" w:rsidR="0090528B" w:rsidRPr="00050019" w:rsidRDefault="0090528B" w:rsidP="00954470">
            <w:pPr>
              <w:pStyle w:val="DHHStabletext"/>
              <w:rPr>
                <w:lang w:eastAsia="en-AU"/>
              </w:rPr>
            </w:pPr>
          </w:p>
        </w:tc>
        <w:tc>
          <w:tcPr>
            <w:tcW w:w="4524" w:type="dxa"/>
            <w:shd w:val="clear" w:color="auto" w:fill="auto"/>
            <w:noWrap/>
            <w:vAlign w:val="bottom"/>
            <w:hideMark/>
          </w:tcPr>
          <w:p w14:paraId="1D40AECB" w14:textId="5AD0FE71" w:rsidR="0090528B" w:rsidRPr="001202B5" w:rsidRDefault="0090528B" w:rsidP="00954470">
            <w:pPr>
              <w:pStyle w:val="DHHStabletext"/>
              <w:rPr>
                <w:rFonts w:cs="Arial"/>
                <w:lang w:eastAsia="en-AU"/>
              </w:rPr>
            </w:pPr>
            <w:r w:rsidRPr="001202B5">
              <w:rPr>
                <w:rFonts w:cs="Arial"/>
                <w:lang w:eastAsia="en-AU"/>
              </w:rPr>
              <w:t>GICS</w:t>
            </w:r>
          </w:p>
        </w:tc>
        <w:tc>
          <w:tcPr>
            <w:tcW w:w="1438" w:type="dxa"/>
            <w:shd w:val="clear" w:color="auto" w:fill="auto"/>
            <w:noWrap/>
          </w:tcPr>
          <w:p w14:paraId="557E75BD" w14:textId="77777777" w:rsidR="0090528B" w:rsidRPr="001202B5" w:rsidRDefault="0090528B" w:rsidP="00954470">
            <w:pPr>
              <w:pStyle w:val="DHHStabletext"/>
              <w:rPr>
                <w:rFonts w:cs="Arial"/>
                <w:lang w:eastAsia="en-AU"/>
              </w:rPr>
            </w:pPr>
            <w:r w:rsidRPr="001202B5">
              <w:rPr>
                <w:rFonts w:cs="Arial"/>
                <w:color w:val="000000"/>
              </w:rPr>
              <w:t>19 (6%)</w:t>
            </w:r>
          </w:p>
        </w:tc>
      </w:tr>
      <w:tr w:rsidR="0090528B" w:rsidRPr="00050019" w14:paraId="5B488E0F" w14:textId="77777777" w:rsidTr="00254613">
        <w:trPr>
          <w:trHeight w:val="300"/>
        </w:trPr>
        <w:tc>
          <w:tcPr>
            <w:tcW w:w="3187" w:type="dxa"/>
            <w:vMerge w:val="restart"/>
            <w:shd w:val="clear" w:color="auto" w:fill="D9D9D9" w:themeFill="background1" w:themeFillShade="D9"/>
            <w:noWrap/>
            <w:hideMark/>
          </w:tcPr>
          <w:p w14:paraId="60D7102D" w14:textId="17E505B2" w:rsidR="0090528B" w:rsidRPr="00050019" w:rsidRDefault="006D719F">
            <w:pPr>
              <w:pStyle w:val="DHHStabletext"/>
              <w:rPr>
                <w:lang w:eastAsia="en-AU"/>
              </w:rPr>
            </w:pPr>
            <w:r>
              <w:rPr>
                <w:lang w:eastAsia="en-AU"/>
              </w:rPr>
              <w:t xml:space="preserve">ICS of </w:t>
            </w:r>
            <w:r w:rsidR="00A4327A">
              <w:rPr>
                <w:lang w:eastAsia="en-AU"/>
              </w:rPr>
              <w:t>f</w:t>
            </w:r>
            <w:r w:rsidR="000E3D8A">
              <w:rPr>
                <w:lang w:eastAsia="en-AU"/>
              </w:rPr>
              <w:t xml:space="preserve">irst </w:t>
            </w:r>
            <w:r w:rsidR="00A4327A">
              <w:rPr>
                <w:lang w:eastAsia="en-AU"/>
              </w:rPr>
              <w:t>t</w:t>
            </w:r>
            <w:r w:rsidR="000E3D8A">
              <w:rPr>
                <w:lang w:eastAsia="en-AU"/>
              </w:rPr>
              <w:t>reatment</w:t>
            </w:r>
            <w:r>
              <w:rPr>
                <w:lang w:eastAsia="en-AU"/>
              </w:rPr>
              <w:t>*</w:t>
            </w:r>
          </w:p>
        </w:tc>
        <w:tc>
          <w:tcPr>
            <w:tcW w:w="4524" w:type="dxa"/>
            <w:shd w:val="clear" w:color="auto" w:fill="D9D9D9" w:themeFill="background1" w:themeFillShade="D9"/>
            <w:noWrap/>
            <w:vAlign w:val="bottom"/>
          </w:tcPr>
          <w:p w14:paraId="359465CA" w14:textId="77777777" w:rsidR="0090528B" w:rsidRPr="001202B5" w:rsidRDefault="0090528B" w:rsidP="00954470">
            <w:pPr>
              <w:pStyle w:val="DHHStabletext"/>
              <w:rPr>
                <w:rFonts w:cs="Arial"/>
                <w:lang w:eastAsia="en-AU"/>
              </w:rPr>
            </w:pPr>
            <w:r w:rsidRPr="001202B5">
              <w:rPr>
                <w:rFonts w:cs="Arial"/>
                <w:lang w:eastAsia="en-AU"/>
              </w:rPr>
              <w:t>NEMICS</w:t>
            </w:r>
          </w:p>
        </w:tc>
        <w:tc>
          <w:tcPr>
            <w:tcW w:w="1438" w:type="dxa"/>
            <w:shd w:val="clear" w:color="auto" w:fill="D9D9D9" w:themeFill="background1" w:themeFillShade="D9"/>
            <w:noWrap/>
          </w:tcPr>
          <w:p w14:paraId="1911CF40" w14:textId="77777777" w:rsidR="0090528B" w:rsidRPr="001202B5" w:rsidRDefault="0090528B" w:rsidP="00954470">
            <w:pPr>
              <w:pStyle w:val="DHHStabletext"/>
              <w:rPr>
                <w:rFonts w:cs="Arial"/>
                <w:lang w:eastAsia="en-AU"/>
              </w:rPr>
            </w:pPr>
            <w:r w:rsidRPr="001202B5">
              <w:rPr>
                <w:rFonts w:cs="Arial"/>
                <w:color w:val="000000"/>
              </w:rPr>
              <w:t>65 (22%)</w:t>
            </w:r>
          </w:p>
        </w:tc>
      </w:tr>
      <w:tr w:rsidR="0090528B" w:rsidRPr="00050019" w14:paraId="7A502FFD" w14:textId="77777777" w:rsidTr="00254613">
        <w:trPr>
          <w:trHeight w:val="300"/>
        </w:trPr>
        <w:tc>
          <w:tcPr>
            <w:tcW w:w="3187" w:type="dxa"/>
            <w:vMerge/>
            <w:shd w:val="clear" w:color="auto" w:fill="D9D9D9" w:themeFill="background1" w:themeFillShade="D9"/>
            <w:noWrap/>
            <w:vAlign w:val="bottom"/>
          </w:tcPr>
          <w:p w14:paraId="097EBE0E" w14:textId="77777777" w:rsidR="0090528B" w:rsidRDefault="0090528B" w:rsidP="00954470">
            <w:pPr>
              <w:pStyle w:val="DHHStabletext"/>
              <w:rPr>
                <w:lang w:eastAsia="en-AU"/>
              </w:rPr>
            </w:pPr>
          </w:p>
        </w:tc>
        <w:tc>
          <w:tcPr>
            <w:tcW w:w="4524" w:type="dxa"/>
            <w:shd w:val="clear" w:color="auto" w:fill="D9D9D9" w:themeFill="background1" w:themeFillShade="D9"/>
            <w:noWrap/>
            <w:vAlign w:val="bottom"/>
          </w:tcPr>
          <w:p w14:paraId="5E4DC213" w14:textId="77777777" w:rsidR="0090528B" w:rsidRPr="001202B5" w:rsidRDefault="0090528B" w:rsidP="00954470">
            <w:pPr>
              <w:pStyle w:val="DHHStabletext"/>
              <w:rPr>
                <w:rFonts w:cs="Arial"/>
                <w:lang w:eastAsia="en-AU"/>
              </w:rPr>
            </w:pPr>
            <w:r w:rsidRPr="001202B5">
              <w:rPr>
                <w:rFonts w:cs="Arial"/>
                <w:lang w:eastAsia="en-AU"/>
              </w:rPr>
              <w:t>SMICS</w:t>
            </w:r>
          </w:p>
        </w:tc>
        <w:tc>
          <w:tcPr>
            <w:tcW w:w="1438" w:type="dxa"/>
            <w:shd w:val="clear" w:color="auto" w:fill="D9D9D9" w:themeFill="background1" w:themeFillShade="D9"/>
            <w:noWrap/>
          </w:tcPr>
          <w:p w14:paraId="681B4C6F" w14:textId="1EBE28AB" w:rsidR="0090528B" w:rsidRPr="001202B5" w:rsidRDefault="0090528B" w:rsidP="00954470">
            <w:pPr>
              <w:pStyle w:val="DHHStabletext"/>
              <w:rPr>
                <w:rFonts w:cs="Arial"/>
                <w:lang w:eastAsia="en-AU"/>
              </w:rPr>
            </w:pPr>
            <w:r w:rsidRPr="001202B5">
              <w:rPr>
                <w:rFonts w:cs="Arial"/>
                <w:color w:val="000000"/>
              </w:rPr>
              <w:t>64 (2</w:t>
            </w:r>
            <w:r w:rsidR="00FE2834">
              <w:rPr>
                <w:rFonts w:cs="Arial"/>
                <w:color w:val="000000"/>
              </w:rPr>
              <w:t>2</w:t>
            </w:r>
            <w:r w:rsidRPr="001202B5">
              <w:rPr>
                <w:rFonts w:cs="Arial"/>
                <w:color w:val="000000"/>
              </w:rPr>
              <w:t>%)</w:t>
            </w:r>
          </w:p>
        </w:tc>
      </w:tr>
      <w:tr w:rsidR="0090528B" w:rsidRPr="00050019" w14:paraId="7B7F5632" w14:textId="77777777" w:rsidTr="00254613">
        <w:trPr>
          <w:trHeight w:val="300"/>
        </w:trPr>
        <w:tc>
          <w:tcPr>
            <w:tcW w:w="3187" w:type="dxa"/>
            <w:vMerge/>
            <w:shd w:val="clear" w:color="auto" w:fill="D9D9D9" w:themeFill="background1" w:themeFillShade="D9"/>
            <w:noWrap/>
            <w:vAlign w:val="bottom"/>
            <w:hideMark/>
          </w:tcPr>
          <w:p w14:paraId="714DEBCD"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555C1115" w14:textId="77777777" w:rsidR="0090528B" w:rsidRPr="001202B5" w:rsidRDefault="0090528B" w:rsidP="00954470">
            <w:pPr>
              <w:pStyle w:val="DHHStabletext"/>
              <w:rPr>
                <w:rFonts w:cs="Arial"/>
                <w:lang w:eastAsia="en-AU"/>
              </w:rPr>
            </w:pPr>
            <w:r w:rsidRPr="001202B5">
              <w:rPr>
                <w:rFonts w:cs="Arial"/>
                <w:lang w:eastAsia="en-AU"/>
              </w:rPr>
              <w:t>WCMICS</w:t>
            </w:r>
          </w:p>
        </w:tc>
        <w:tc>
          <w:tcPr>
            <w:tcW w:w="1438" w:type="dxa"/>
            <w:shd w:val="clear" w:color="auto" w:fill="D9D9D9" w:themeFill="background1" w:themeFillShade="D9"/>
            <w:noWrap/>
          </w:tcPr>
          <w:p w14:paraId="480824FA" w14:textId="77777777" w:rsidR="0090528B" w:rsidRPr="001202B5" w:rsidRDefault="0090528B" w:rsidP="00954470">
            <w:pPr>
              <w:pStyle w:val="DHHStabletext"/>
              <w:rPr>
                <w:rFonts w:cs="Arial"/>
                <w:lang w:eastAsia="en-AU"/>
              </w:rPr>
            </w:pPr>
            <w:r w:rsidRPr="001202B5">
              <w:rPr>
                <w:rFonts w:cs="Arial"/>
                <w:color w:val="000000"/>
              </w:rPr>
              <w:t>79 (27%)</w:t>
            </w:r>
          </w:p>
        </w:tc>
      </w:tr>
      <w:tr w:rsidR="0090528B" w:rsidRPr="00050019" w14:paraId="65798758" w14:textId="77777777" w:rsidTr="00254613">
        <w:trPr>
          <w:trHeight w:val="300"/>
        </w:trPr>
        <w:tc>
          <w:tcPr>
            <w:tcW w:w="3187" w:type="dxa"/>
            <w:vMerge/>
            <w:shd w:val="clear" w:color="auto" w:fill="D9D9D9" w:themeFill="background1" w:themeFillShade="D9"/>
            <w:noWrap/>
            <w:vAlign w:val="bottom"/>
            <w:hideMark/>
          </w:tcPr>
          <w:p w14:paraId="5F1AB206"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1E2C85BF" w14:textId="08C6DC48" w:rsidR="0090528B" w:rsidRPr="001202B5" w:rsidRDefault="0090528B" w:rsidP="00954470">
            <w:pPr>
              <w:pStyle w:val="DHHStabletext"/>
              <w:rPr>
                <w:rFonts w:cs="Arial"/>
                <w:lang w:eastAsia="en-AU"/>
              </w:rPr>
            </w:pPr>
            <w:r w:rsidRPr="001202B5">
              <w:rPr>
                <w:rFonts w:cs="Arial"/>
                <w:lang w:eastAsia="en-AU"/>
              </w:rPr>
              <w:t xml:space="preserve">BSWRICS </w:t>
            </w:r>
          </w:p>
        </w:tc>
        <w:tc>
          <w:tcPr>
            <w:tcW w:w="1438" w:type="dxa"/>
            <w:shd w:val="clear" w:color="auto" w:fill="D9D9D9" w:themeFill="background1" w:themeFillShade="D9"/>
            <w:noWrap/>
          </w:tcPr>
          <w:p w14:paraId="2D13A3A4" w14:textId="77777777" w:rsidR="0090528B" w:rsidRPr="001202B5" w:rsidRDefault="0090528B" w:rsidP="00954470">
            <w:pPr>
              <w:pStyle w:val="DHHStabletext"/>
              <w:rPr>
                <w:rFonts w:cs="Arial"/>
                <w:lang w:eastAsia="en-AU"/>
              </w:rPr>
            </w:pPr>
            <w:r w:rsidRPr="001202B5">
              <w:rPr>
                <w:rFonts w:cs="Arial"/>
                <w:color w:val="000000"/>
              </w:rPr>
              <w:t>26 (9%)</w:t>
            </w:r>
          </w:p>
        </w:tc>
      </w:tr>
      <w:tr w:rsidR="0090528B" w:rsidRPr="00050019" w14:paraId="28E442D0" w14:textId="77777777" w:rsidTr="00254613">
        <w:trPr>
          <w:trHeight w:val="300"/>
        </w:trPr>
        <w:tc>
          <w:tcPr>
            <w:tcW w:w="3187" w:type="dxa"/>
            <w:vMerge/>
            <w:shd w:val="clear" w:color="auto" w:fill="D9D9D9" w:themeFill="background1" w:themeFillShade="D9"/>
            <w:noWrap/>
            <w:vAlign w:val="bottom"/>
            <w:hideMark/>
          </w:tcPr>
          <w:p w14:paraId="024A20BA"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70D6264E" w14:textId="4FFD6BCE" w:rsidR="0090528B" w:rsidRPr="001202B5" w:rsidRDefault="0090528B" w:rsidP="00954470">
            <w:pPr>
              <w:pStyle w:val="DHHStabletext"/>
              <w:rPr>
                <w:rFonts w:cs="Arial"/>
                <w:lang w:eastAsia="en-AU"/>
              </w:rPr>
            </w:pPr>
            <w:r w:rsidRPr="001202B5">
              <w:rPr>
                <w:rFonts w:cs="Arial"/>
                <w:lang w:eastAsia="en-AU"/>
              </w:rPr>
              <w:t xml:space="preserve">GRICS </w:t>
            </w:r>
          </w:p>
        </w:tc>
        <w:tc>
          <w:tcPr>
            <w:tcW w:w="1438" w:type="dxa"/>
            <w:shd w:val="clear" w:color="auto" w:fill="D9D9D9" w:themeFill="background1" w:themeFillShade="D9"/>
            <w:noWrap/>
          </w:tcPr>
          <w:p w14:paraId="62887B04" w14:textId="77777777" w:rsidR="0090528B" w:rsidRPr="001202B5" w:rsidRDefault="0090528B" w:rsidP="00954470">
            <w:pPr>
              <w:pStyle w:val="DHHStabletext"/>
              <w:rPr>
                <w:rFonts w:cs="Arial"/>
                <w:lang w:eastAsia="en-AU"/>
              </w:rPr>
            </w:pPr>
            <w:r w:rsidRPr="001202B5">
              <w:rPr>
                <w:rFonts w:cs="Arial"/>
                <w:color w:val="000000"/>
              </w:rPr>
              <w:t>8 (3%)</w:t>
            </w:r>
          </w:p>
        </w:tc>
      </w:tr>
      <w:tr w:rsidR="0090528B" w:rsidRPr="00050019" w14:paraId="7FED9912" w14:textId="77777777" w:rsidTr="00254613">
        <w:trPr>
          <w:trHeight w:val="300"/>
        </w:trPr>
        <w:tc>
          <w:tcPr>
            <w:tcW w:w="3187" w:type="dxa"/>
            <w:vMerge/>
            <w:shd w:val="clear" w:color="auto" w:fill="D9D9D9" w:themeFill="background1" w:themeFillShade="D9"/>
            <w:noWrap/>
            <w:vAlign w:val="bottom"/>
            <w:hideMark/>
          </w:tcPr>
          <w:p w14:paraId="57E3F0CA"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5E995D4F" w14:textId="2B7995E9" w:rsidR="0090528B" w:rsidRPr="001202B5" w:rsidRDefault="0090528B" w:rsidP="00954470">
            <w:pPr>
              <w:pStyle w:val="DHHStabletext"/>
              <w:rPr>
                <w:rFonts w:cs="Arial"/>
                <w:lang w:eastAsia="en-AU"/>
              </w:rPr>
            </w:pPr>
            <w:r w:rsidRPr="001202B5">
              <w:rPr>
                <w:rFonts w:cs="Arial"/>
                <w:lang w:eastAsia="en-AU"/>
              </w:rPr>
              <w:t>Hume RICS</w:t>
            </w:r>
            <w:r w:rsidR="009A009B" w:rsidRPr="009A009B">
              <w:rPr>
                <w:rFonts w:cs="Arial"/>
                <w:vertAlign w:val="superscript"/>
                <w:lang w:eastAsia="en-AU"/>
              </w:rPr>
              <w:t>#</w:t>
            </w:r>
          </w:p>
        </w:tc>
        <w:tc>
          <w:tcPr>
            <w:tcW w:w="1438" w:type="dxa"/>
            <w:shd w:val="clear" w:color="auto" w:fill="D9D9D9" w:themeFill="background1" w:themeFillShade="D9"/>
            <w:noWrap/>
          </w:tcPr>
          <w:p w14:paraId="3C9D7711" w14:textId="77777777" w:rsidR="0090528B" w:rsidRPr="001202B5" w:rsidRDefault="0090528B" w:rsidP="00954470">
            <w:pPr>
              <w:pStyle w:val="DHHStabletext"/>
              <w:rPr>
                <w:rFonts w:cs="Arial"/>
                <w:lang w:eastAsia="en-AU"/>
              </w:rPr>
            </w:pPr>
            <w:r w:rsidRPr="001202B5">
              <w:rPr>
                <w:rFonts w:cs="Arial"/>
                <w:color w:val="000000"/>
              </w:rPr>
              <w:t>12 (4%)</w:t>
            </w:r>
          </w:p>
        </w:tc>
      </w:tr>
      <w:tr w:rsidR="0090528B" w:rsidRPr="00050019" w14:paraId="710431D9" w14:textId="77777777" w:rsidTr="00254613">
        <w:trPr>
          <w:trHeight w:val="300"/>
        </w:trPr>
        <w:tc>
          <w:tcPr>
            <w:tcW w:w="3187" w:type="dxa"/>
            <w:vMerge/>
            <w:shd w:val="clear" w:color="auto" w:fill="D9D9D9" w:themeFill="background1" w:themeFillShade="D9"/>
            <w:noWrap/>
            <w:vAlign w:val="bottom"/>
            <w:hideMark/>
          </w:tcPr>
          <w:p w14:paraId="591635D5"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441C149B" w14:textId="481DA826" w:rsidR="0090528B" w:rsidRPr="001202B5" w:rsidRDefault="0090528B" w:rsidP="00954470">
            <w:pPr>
              <w:pStyle w:val="DHHStabletext"/>
              <w:rPr>
                <w:rFonts w:cs="Arial"/>
                <w:lang w:eastAsia="en-AU"/>
              </w:rPr>
            </w:pPr>
            <w:r w:rsidRPr="001202B5">
              <w:rPr>
                <w:rFonts w:cs="Arial"/>
                <w:lang w:eastAsia="en-AU"/>
              </w:rPr>
              <w:t>L</w:t>
            </w:r>
            <w:r w:rsidR="00D35548">
              <w:rPr>
                <w:rFonts w:cs="Arial"/>
                <w:lang w:eastAsia="en-AU"/>
              </w:rPr>
              <w:t>M</w:t>
            </w:r>
            <w:r w:rsidRPr="001202B5">
              <w:rPr>
                <w:rFonts w:cs="Arial"/>
                <w:lang w:eastAsia="en-AU"/>
              </w:rPr>
              <w:t>ICS</w:t>
            </w:r>
          </w:p>
        </w:tc>
        <w:tc>
          <w:tcPr>
            <w:tcW w:w="1438" w:type="dxa"/>
            <w:shd w:val="clear" w:color="auto" w:fill="D9D9D9" w:themeFill="background1" w:themeFillShade="D9"/>
            <w:noWrap/>
          </w:tcPr>
          <w:p w14:paraId="044F4B30" w14:textId="77777777" w:rsidR="0090528B" w:rsidRPr="001202B5" w:rsidRDefault="0090528B" w:rsidP="00954470">
            <w:pPr>
              <w:pStyle w:val="DHHStabletext"/>
              <w:rPr>
                <w:rFonts w:cs="Arial"/>
                <w:lang w:eastAsia="en-AU"/>
              </w:rPr>
            </w:pPr>
            <w:r w:rsidRPr="001202B5">
              <w:rPr>
                <w:rFonts w:cs="Arial"/>
                <w:color w:val="000000"/>
              </w:rPr>
              <w:t>25 (8%)</w:t>
            </w:r>
          </w:p>
        </w:tc>
      </w:tr>
      <w:tr w:rsidR="0090528B" w:rsidRPr="00050019" w14:paraId="4245415F" w14:textId="77777777" w:rsidTr="00254613">
        <w:trPr>
          <w:trHeight w:val="300"/>
        </w:trPr>
        <w:tc>
          <w:tcPr>
            <w:tcW w:w="3187" w:type="dxa"/>
            <w:vMerge/>
            <w:shd w:val="clear" w:color="auto" w:fill="D9D9D9" w:themeFill="background1" w:themeFillShade="D9"/>
            <w:noWrap/>
            <w:vAlign w:val="bottom"/>
            <w:hideMark/>
          </w:tcPr>
          <w:p w14:paraId="48F941A0"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1D577144" w14:textId="34C8A10F" w:rsidR="0090528B" w:rsidRPr="001202B5" w:rsidRDefault="0090528B" w:rsidP="00954470">
            <w:pPr>
              <w:pStyle w:val="DHHStabletext"/>
              <w:rPr>
                <w:rFonts w:cs="Arial"/>
                <w:lang w:eastAsia="en-AU"/>
              </w:rPr>
            </w:pPr>
            <w:r w:rsidRPr="001202B5">
              <w:rPr>
                <w:rFonts w:cs="Arial"/>
                <w:lang w:eastAsia="en-AU"/>
              </w:rPr>
              <w:t>GICS</w:t>
            </w:r>
          </w:p>
        </w:tc>
        <w:tc>
          <w:tcPr>
            <w:tcW w:w="1438" w:type="dxa"/>
            <w:shd w:val="clear" w:color="auto" w:fill="D9D9D9" w:themeFill="background1" w:themeFillShade="D9"/>
            <w:noWrap/>
          </w:tcPr>
          <w:p w14:paraId="3EA104E3" w14:textId="77777777" w:rsidR="0090528B" w:rsidRPr="001202B5" w:rsidRDefault="0090528B" w:rsidP="00954470">
            <w:pPr>
              <w:pStyle w:val="DHHStabletext"/>
              <w:rPr>
                <w:rFonts w:cs="Arial"/>
                <w:lang w:eastAsia="en-AU"/>
              </w:rPr>
            </w:pPr>
            <w:r w:rsidRPr="001202B5">
              <w:rPr>
                <w:rFonts w:cs="Arial"/>
                <w:lang w:eastAsia="en-AU"/>
              </w:rPr>
              <w:t>18 (6%)</w:t>
            </w:r>
          </w:p>
        </w:tc>
      </w:tr>
      <w:tr w:rsidR="0090528B" w:rsidRPr="00050019" w14:paraId="05CEA0DC" w14:textId="77777777" w:rsidTr="00254613">
        <w:trPr>
          <w:trHeight w:val="300"/>
        </w:trPr>
        <w:tc>
          <w:tcPr>
            <w:tcW w:w="3187" w:type="dxa"/>
            <w:vMerge w:val="restart"/>
            <w:shd w:val="clear" w:color="auto" w:fill="auto"/>
            <w:noWrap/>
            <w:hideMark/>
          </w:tcPr>
          <w:p w14:paraId="75E9A93C" w14:textId="77777777" w:rsidR="0090528B" w:rsidRPr="00050019" w:rsidRDefault="0090528B" w:rsidP="00954470">
            <w:pPr>
              <w:pStyle w:val="DHHStabletext"/>
              <w:rPr>
                <w:lang w:eastAsia="en-AU"/>
              </w:rPr>
            </w:pPr>
            <w:r>
              <w:rPr>
                <w:lang w:eastAsia="en-AU"/>
              </w:rPr>
              <w:t>Age</w:t>
            </w:r>
          </w:p>
        </w:tc>
        <w:tc>
          <w:tcPr>
            <w:tcW w:w="4524" w:type="dxa"/>
            <w:shd w:val="clear" w:color="auto" w:fill="auto"/>
            <w:noWrap/>
            <w:vAlign w:val="bottom"/>
            <w:hideMark/>
          </w:tcPr>
          <w:p w14:paraId="200E46D4" w14:textId="77777777" w:rsidR="0090528B" w:rsidRPr="001202B5" w:rsidRDefault="0090528B" w:rsidP="00954470">
            <w:pPr>
              <w:pStyle w:val="DHHStabletext"/>
              <w:rPr>
                <w:rFonts w:cs="Arial"/>
                <w:lang w:eastAsia="en-AU"/>
              </w:rPr>
            </w:pPr>
            <w:r w:rsidRPr="001202B5">
              <w:rPr>
                <w:rFonts w:cs="Arial"/>
                <w:lang w:eastAsia="en-AU"/>
              </w:rPr>
              <w:t>Mean (SD)</w:t>
            </w:r>
          </w:p>
        </w:tc>
        <w:tc>
          <w:tcPr>
            <w:tcW w:w="1438" w:type="dxa"/>
            <w:shd w:val="clear" w:color="auto" w:fill="auto"/>
            <w:noWrap/>
          </w:tcPr>
          <w:p w14:paraId="5EBFF95F" w14:textId="77777777" w:rsidR="0090528B" w:rsidRPr="001202B5" w:rsidRDefault="0090528B" w:rsidP="00954470">
            <w:pPr>
              <w:pStyle w:val="DHHStabletext"/>
              <w:rPr>
                <w:rFonts w:cs="Arial"/>
                <w:lang w:eastAsia="en-AU"/>
              </w:rPr>
            </w:pPr>
            <w:r w:rsidRPr="001202B5">
              <w:rPr>
                <w:rFonts w:cs="Arial"/>
                <w:color w:val="000000"/>
              </w:rPr>
              <w:t>69.43 (11.89)</w:t>
            </w:r>
          </w:p>
        </w:tc>
      </w:tr>
      <w:tr w:rsidR="0090528B" w:rsidRPr="00050019" w14:paraId="6E96BC13" w14:textId="77777777" w:rsidTr="00254613">
        <w:trPr>
          <w:trHeight w:val="300"/>
        </w:trPr>
        <w:tc>
          <w:tcPr>
            <w:tcW w:w="3187" w:type="dxa"/>
            <w:vMerge/>
            <w:shd w:val="clear" w:color="auto" w:fill="auto"/>
            <w:noWrap/>
            <w:vAlign w:val="bottom"/>
            <w:hideMark/>
          </w:tcPr>
          <w:p w14:paraId="62FDC840" w14:textId="77777777" w:rsidR="0090528B" w:rsidRPr="00050019" w:rsidRDefault="0090528B" w:rsidP="00954470">
            <w:pPr>
              <w:pStyle w:val="DHHStabletext"/>
              <w:rPr>
                <w:lang w:eastAsia="en-AU"/>
              </w:rPr>
            </w:pPr>
          </w:p>
        </w:tc>
        <w:tc>
          <w:tcPr>
            <w:tcW w:w="4524" w:type="dxa"/>
            <w:shd w:val="clear" w:color="auto" w:fill="auto"/>
            <w:noWrap/>
            <w:vAlign w:val="bottom"/>
            <w:hideMark/>
          </w:tcPr>
          <w:p w14:paraId="3CF81F29" w14:textId="77777777" w:rsidR="0090528B" w:rsidRPr="001202B5" w:rsidRDefault="0090528B" w:rsidP="00954470">
            <w:pPr>
              <w:pStyle w:val="DHHStabletext"/>
              <w:rPr>
                <w:rFonts w:cs="Arial"/>
                <w:lang w:eastAsia="en-AU"/>
              </w:rPr>
            </w:pPr>
            <w:r w:rsidRPr="001202B5">
              <w:rPr>
                <w:rFonts w:cs="Arial"/>
                <w:lang w:eastAsia="en-AU"/>
              </w:rPr>
              <w:t>Median [range]</w:t>
            </w:r>
          </w:p>
        </w:tc>
        <w:tc>
          <w:tcPr>
            <w:tcW w:w="1438" w:type="dxa"/>
            <w:shd w:val="clear" w:color="auto" w:fill="auto"/>
            <w:noWrap/>
          </w:tcPr>
          <w:p w14:paraId="15D02E8E" w14:textId="481840BA" w:rsidR="0090528B" w:rsidRPr="001202B5" w:rsidRDefault="0090528B" w:rsidP="00954470">
            <w:pPr>
              <w:pStyle w:val="DHHStabletext"/>
              <w:rPr>
                <w:rFonts w:cs="Arial"/>
                <w:lang w:eastAsia="en-AU"/>
              </w:rPr>
            </w:pPr>
            <w:r w:rsidRPr="001202B5">
              <w:rPr>
                <w:rFonts w:cs="Arial"/>
                <w:color w:val="000000"/>
              </w:rPr>
              <w:t>70 [27</w:t>
            </w:r>
            <w:r w:rsidR="00B82470">
              <w:rPr>
                <w:rFonts w:cs="Arial"/>
                <w:color w:val="000000"/>
              </w:rPr>
              <w:t>–</w:t>
            </w:r>
            <w:r w:rsidRPr="001202B5">
              <w:rPr>
                <w:rFonts w:cs="Arial"/>
                <w:color w:val="000000"/>
              </w:rPr>
              <w:t>96]</w:t>
            </w:r>
          </w:p>
        </w:tc>
      </w:tr>
      <w:tr w:rsidR="0090528B" w:rsidRPr="00050019" w14:paraId="713A61E4" w14:textId="77777777" w:rsidTr="00254613">
        <w:trPr>
          <w:trHeight w:val="300"/>
        </w:trPr>
        <w:tc>
          <w:tcPr>
            <w:tcW w:w="3187" w:type="dxa"/>
            <w:vMerge/>
            <w:shd w:val="clear" w:color="auto" w:fill="auto"/>
            <w:noWrap/>
            <w:vAlign w:val="bottom"/>
            <w:hideMark/>
          </w:tcPr>
          <w:p w14:paraId="27BA117A" w14:textId="77777777" w:rsidR="0090528B" w:rsidRPr="00050019" w:rsidRDefault="0090528B" w:rsidP="00954470">
            <w:pPr>
              <w:pStyle w:val="DHHStabletext"/>
              <w:rPr>
                <w:lang w:eastAsia="en-AU"/>
              </w:rPr>
            </w:pPr>
          </w:p>
        </w:tc>
        <w:tc>
          <w:tcPr>
            <w:tcW w:w="4524" w:type="dxa"/>
            <w:shd w:val="clear" w:color="auto" w:fill="auto"/>
            <w:noWrap/>
            <w:vAlign w:val="bottom"/>
            <w:hideMark/>
          </w:tcPr>
          <w:p w14:paraId="283D3071" w14:textId="77777777" w:rsidR="0090528B" w:rsidRPr="001202B5" w:rsidRDefault="0090528B" w:rsidP="00954470">
            <w:pPr>
              <w:pStyle w:val="DHHStabletext"/>
              <w:rPr>
                <w:rFonts w:cs="Arial"/>
                <w:lang w:eastAsia="en-AU"/>
              </w:rPr>
            </w:pPr>
            <w:r w:rsidRPr="001202B5">
              <w:rPr>
                <w:rFonts w:cs="Arial"/>
                <w:lang w:eastAsia="en-AU"/>
              </w:rPr>
              <w:t>Interquartile range</w:t>
            </w:r>
          </w:p>
        </w:tc>
        <w:tc>
          <w:tcPr>
            <w:tcW w:w="1438" w:type="dxa"/>
            <w:shd w:val="clear" w:color="auto" w:fill="auto"/>
            <w:noWrap/>
          </w:tcPr>
          <w:p w14:paraId="4E781E97" w14:textId="6577E8D9" w:rsidR="0090528B" w:rsidRPr="001202B5" w:rsidRDefault="0090528B" w:rsidP="00954470">
            <w:pPr>
              <w:pStyle w:val="DHHStabletext"/>
              <w:rPr>
                <w:rFonts w:cs="Arial"/>
                <w:lang w:eastAsia="en-AU"/>
              </w:rPr>
            </w:pPr>
            <w:r w:rsidRPr="001202B5">
              <w:rPr>
                <w:rFonts w:cs="Arial"/>
                <w:color w:val="000000"/>
              </w:rPr>
              <w:t xml:space="preserve"> 62</w:t>
            </w:r>
            <w:r w:rsidR="00B82470">
              <w:rPr>
                <w:rFonts w:cs="Arial"/>
                <w:color w:val="000000"/>
              </w:rPr>
              <w:t>–</w:t>
            </w:r>
            <w:r w:rsidRPr="001202B5">
              <w:rPr>
                <w:rFonts w:cs="Arial"/>
                <w:color w:val="000000"/>
              </w:rPr>
              <w:t>79</w:t>
            </w:r>
          </w:p>
        </w:tc>
      </w:tr>
      <w:tr w:rsidR="0090528B" w:rsidRPr="00050019" w14:paraId="173253ED" w14:textId="77777777" w:rsidTr="00254613">
        <w:trPr>
          <w:trHeight w:val="300"/>
        </w:trPr>
        <w:tc>
          <w:tcPr>
            <w:tcW w:w="3187" w:type="dxa"/>
            <w:vMerge w:val="restart"/>
            <w:shd w:val="clear" w:color="auto" w:fill="D9D9D9" w:themeFill="background1" w:themeFillShade="D9"/>
            <w:noWrap/>
            <w:hideMark/>
          </w:tcPr>
          <w:p w14:paraId="67CA5C44" w14:textId="77777777" w:rsidR="0090528B" w:rsidRPr="00050019" w:rsidRDefault="0090528B" w:rsidP="00954470">
            <w:pPr>
              <w:pStyle w:val="DHHStabletext"/>
              <w:rPr>
                <w:lang w:eastAsia="en-AU"/>
              </w:rPr>
            </w:pPr>
            <w:r>
              <w:rPr>
                <w:lang w:eastAsia="en-AU"/>
              </w:rPr>
              <w:t>Gender</w:t>
            </w:r>
          </w:p>
        </w:tc>
        <w:tc>
          <w:tcPr>
            <w:tcW w:w="4524" w:type="dxa"/>
            <w:shd w:val="clear" w:color="auto" w:fill="D9D9D9" w:themeFill="background1" w:themeFillShade="D9"/>
            <w:noWrap/>
            <w:vAlign w:val="bottom"/>
            <w:hideMark/>
          </w:tcPr>
          <w:p w14:paraId="594280E2" w14:textId="77777777" w:rsidR="0090528B" w:rsidRPr="001202B5" w:rsidRDefault="0090528B" w:rsidP="00954470">
            <w:pPr>
              <w:pStyle w:val="DHHStabletext"/>
              <w:rPr>
                <w:rFonts w:cs="Arial"/>
                <w:lang w:eastAsia="en-AU"/>
              </w:rPr>
            </w:pPr>
            <w:r w:rsidRPr="001202B5">
              <w:rPr>
                <w:rFonts w:cs="Arial"/>
                <w:lang w:eastAsia="en-AU"/>
              </w:rPr>
              <w:t>Female</w:t>
            </w:r>
          </w:p>
        </w:tc>
        <w:tc>
          <w:tcPr>
            <w:tcW w:w="1438" w:type="dxa"/>
            <w:shd w:val="clear" w:color="auto" w:fill="D9D9D9" w:themeFill="background1" w:themeFillShade="D9"/>
            <w:noWrap/>
          </w:tcPr>
          <w:p w14:paraId="67573252" w14:textId="77777777" w:rsidR="0090528B" w:rsidRPr="001202B5" w:rsidRDefault="0090528B" w:rsidP="00954470">
            <w:pPr>
              <w:pStyle w:val="DHHStabletext"/>
              <w:rPr>
                <w:rFonts w:cs="Arial"/>
                <w:lang w:eastAsia="en-AU"/>
              </w:rPr>
            </w:pPr>
            <w:r w:rsidRPr="001202B5">
              <w:rPr>
                <w:rFonts w:cs="Arial"/>
                <w:color w:val="000000"/>
              </w:rPr>
              <w:t>85 (29%)</w:t>
            </w:r>
          </w:p>
        </w:tc>
      </w:tr>
      <w:tr w:rsidR="0090528B" w:rsidRPr="00050019" w14:paraId="17082CAD" w14:textId="77777777" w:rsidTr="00254613">
        <w:trPr>
          <w:trHeight w:val="300"/>
        </w:trPr>
        <w:tc>
          <w:tcPr>
            <w:tcW w:w="3187" w:type="dxa"/>
            <w:vMerge/>
            <w:shd w:val="clear" w:color="auto" w:fill="D9D9D9" w:themeFill="background1" w:themeFillShade="D9"/>
            <w:noWrap/>
            <w:vAlign w:val="bottom"/>
            <w:hideMark/>
          </w:tcPr>
          <w:p w14:paraId="00CA604D"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hideMark/>
          </w:tcPr>
          <w:p w14:paraId="6EDD1C19" w14:textId="77777777" w:rsidR="0090528B" w:rsidRPr="001202B5" w:rsidRDefault="0090528B" w:rsidP="00954470">
            <w:pPr>
              <w:pStyle w:val="DHHStabletext"/>
              <w:rPr>
                <w:rFonts w:cs="Arial"/>
                <w:lang w:eastAsia="en-AU"/>
              </w:rPr>
            </w:pPr>
            <w:r w:rsidRPr="001202B5">
              <w:rPr>
                <w:rFonts w:cs="Arial"/>
                <w:lang w:eastAsia="en-AU"/>
              </w:rPr>
              <w:t>Male</w:t>
            </w:r>
          </w:p>
        </w:tc>
        <w:tc>
          <w:tcPr>
            <w:tcW w:w="1438" w:type="dxa"/>
            <w:shd w:val="clear" w:color="auto" w:fill="D9D9D9" w:themeFill="background1" w:themeFillShade="D9"/>
            <w:noWrap/>
          </w:tcPr>
          <w:p w14:paraId="338BD8C8" w14:textId="77777777" w:rsidR="0090528B" w:rsidRPr="001202B5" w:rsidRDefault="0090528B" w:rsidP="00954470">
            <w:pPr>
              <w:pStyle w:val="DHHStabletext"/>
              <w:rPr>
                <w:rFonts w:cs="Arial"/>
                <w:lang w:eastAsia="en-AU"/>
              </w:rPr>
            </w:pPr>
            <w:r w:rsidRPr="001202B5">
              <w:rPr>
                <w:rFonts w:cs="Arial"/>
                <w:color w:val="000000"/>
              </w:rPr>
              <w:t>212 (71%)</w:t>
            </w:r>
          </w:p>
        </w:tc>
      </w:tr>
      <w:tr w:rsidR="0090528B" w:rsidRPr="00050019" w14:paraId="6D636485" w14:textId="77777777" w:rsidTr="00254613">
        <w:trPr>
          <w:trHeight w:val="300"/>
        </w:trPr>
        <w:tc>
          <w:tcPr>
            <w:tcW w:w="3187" w:type="dxa"/>
            <w:vMerge w:val="restart"/>
            <w:shd w:val="clear" w:color="auto" w:fill="auto"/>
            <w:noWrap/>
            <w:hideMark/>
          </w:tcPr>
          <w:p w14:paraId="2FA6AF48" w14:textId="77777777" w:rsidR="0090528B" w:rsidRPr="00050019" w:rsidRDefault="0090528B" w:rsidP="00954470">
            <w:pPr>
              <w:pStyle w:val="DHHStabletext"/>
              <w:rPr>
                <w:lang w:eastAsia="en-AU"/>
              </w:rPr>
            </w:pPr>
            <w:r>
              <w:rPr>
                <w:lang w:eastAsia="en-AU"/>
              </w:rPr>
              <w:t>Stage at diagnosis</w:t>
            </w:r>
          </w:p>
        </w:tc>
        <w:tc>
          <w:tcPr>
            <w:tcW w:w="4524" w:type="dxa"/>
            <w:shd w:val="clear" w:color="auto" w:fill="auto"/>
            <w:noWrap/>
            <w:vAlign w:val="bottom"/>
          </w:tcPr>
          <w:p w14:paraId="289F2D1B" w14:textId="77777777" w:rsidR="0090528B" w:rsidRPr="001202B5" w:rsidRDefault="0090528B" w:rsidP="00954470">
            <w:pPr>
              <w:pStyle w:val="DHHStabletext"/>
              <w:rPr>
                <w:rFonts w:cs="Arial"/>
                <w:lang w:eastAsia="en-AU"/>
              </w:rPr>
            </w:pPr>
            <w:r w:rsidRPr="001202B5">
              <w:rPr>
                <w:rFonts w:cs="Arial"/>
                <w:lang w:eastAsia="en-AU"/>
              </w:rPr>
              <w:t>I</w:t>
            </w:r>
          </w:p>
        </w:tc>
        <w:tc>
          <w:tcPr>
            <w:tcW w:w="1438" w:type="dxa"/>
            <w:shd w:val="clear" w:color="auto" w:fill="auto"/>
            <w:noWrap/>
          </w:tcPr>
          <w:p w14:paraId="7D923760" w14:textId="77777777" w:rsidR="0090528B" w:rsidRPr="001202B5" w:rsidRDefault="0090528B" w:rsidP="00954470">
            <w:pPr>
              <w:pStyle w:val="DHHStabletext"/>
              <w:rPr>
                <w:rFonts w:cs="Arial"/>
                <w:lang w:eastAsia="en-AU"/>
              </w:rPr>
            </w:pPr>
            <w:r w:rsidRPr="001202B5">
              <w:rPr>
                <w:rFonts w:cs="Arial"/>
                <w:color w:val="000000"/>
              </w:rPr>
              <w:t>30 (10%)</w:t>
            </w:r>
          </w:p>
        </w:tc>
      </w:tr>
      <w:tr w:rsidR="0090528B" w:rsidRPr="00050019" w14:paraId="41693CDA" w14:textId="77777777" w:rsidTr="00254613">
        <w:trPr>
          <w:trHeight w:val="300"/>
        </w:trPr>
        <w:tc>
          <w:tcPr>
            <w:tcW w:w="3187" w:type="dxa"/>
            <w:vMerge/>
            <w:shd w:val="clear" w:color="auto" w:fill="auto"/>
            <w:noWrap/>
            <w:vAlign w:val="bottom"/>
            <w:hideMark/>
          </w:tcPr>
          <w:p w14:paraId="19142BE5" w14:textId="77777777" w:rsidR="0090528B" w:rsidRPr="00050019" w:rsidRDefault="0090528B" w:rsidP="00954470">
            <w:pPr>
              <w:pStyle w:val="DHHStabletext"/>
              <w:rPr>
                <w:lang w:eastAsia="en-AU"/>
              </w:rPr>
            </w:pPr>
          </w:p>
        </w:tc>
        <w:tc>
          <w:tcPr>
            <w:tcW w:w="4524" w:type="dxa"/>
            <w:shd w:val="clear" w:color="auto" w:fill="auto"/>
            <w:noWrap/>
            <w:vAlign w:val="bottom"/>
          </w:tcPr>
          <w:p w14:paraId="35E4A11F" w14:textId="77777777" w:rsidR="0090528B" w:rsidRPr="001202B5" w:rsidRDefault="0090528B" w:rsidP="00954470">
            <w:pPr>
              <w:pStyle w:val="DHHStabletext"/>
              <w:rPr>
                <w:rFonts w:cs="Arial"/>
                <w:lang w:eastAsia="en-AU"/>
              </w:rPr>
            </w:pPr>
            <w:r w:rsidRPr="001202B5">
              <w:rPr>
                <w:rFonts w:cs="Arial"/>
                <w:lang w:eastAsia="en-AU"/>
              </w:rPr>
              <w:t>II</w:t>
            </w:r>
          </w:p>
        </w:tc>
        <w:tc>
          <w:tcPr>
            <w:tcW w:w="1438" w:type="dxa"/>
            <w:shd w:val="clear" w:color="auto" w:fill="auto"/>
            <w:noWrap/>
          </w:tcPr>
          <w:p w14:paraId="1F05ED31" w14:textId="77777777" w:rsidR="0090528B" w:rsidRPr="001202B5" w:rsidRDefault="0090528B" w:rsidP="00954470">
            <w:pPr>
              <w:pStyle w:val="DHHStabletext"/>
              <w:rPr>
                <w:rFonts w:cs="Arial"/>
                <w:lang w:eastAsia="en-AU"/>
              </w:rPr>
            </w:pPr>
            <w:r w:rsidRPr="001202B5">
              <w:rPr>
                <w:rFonts w:cs="Arial"/>
                <w:color w:val="000000"/>
              </w:rPr>
              <w:t>38 (13%)</w:t>
            </w:r>
          </w:p>
        </w:tc>
      </w:tr>
      <w:tr w:rsidR="0090528B" w:rsidRPr="00050019" w14:paraId="273A4E91" w14:textId="77777777" w:rsidTr="00254613">
        <w:trPr>
          <w:trHeight w:val="300"/>
        </w:trPr>
        <w:tc>
          <w:tcPr>
            <w:tcW w:w="3187" w:type="dxa"/>
            <w:vMerge/>
            <w:shd w:val="clear" w:color="auto" w:fill="auto"/>
            <w:noWrap/>
            <w:vAlign w:val="bottom"/>
            <w:hideMark/>
          </w:tcPr>
          <w:p w14:paraId="7D505F0B" w14:textId="77777777" w:rsidR="0090528B" w:rsidRPr="00050019" w:rsidRDefault="0090528B" w:rsidP="00954470">
            <w:pPr>
              <w:pStyle w:val="DHHStabletext"/>
              <w:rPr>
                <w:lang w:eastAsia="en-AU"/>
              </w:rPr>
            </w:pPr>
          </w:p>
        </w:tc>
        <w:tc>
          <w:tcPr>
            <w:tcW w:w="4524" w:type="dxa"/>
            <w:shd w:val="clear" w:color="auto" w:fill="auto"/>
            <w:noWrap/>
            <w:vAlign w:val="bottom"/>
          </w:tcPr>
          <w:p w14:paraId="0F5B1FC3" w14:textId="77777777" w:rsidR="0090528B" w:rsidRPr="001202B5" w:rsidRDefault="0090528B" w:rsidP="00954470">
            <w:pPr>
              <w:pStyle w:val="DHHStabletext"/>
              <w:rPr>
                <w:rFonts w:cs="Arial"/>
                <w:lang w:eastAsia="en-AU"/>
              </w:rPr>
            </w:pPr>
            <w:r w:rsidRPr="001202B5">
              <w:rPr>
                <w:rFonts w:cs="Arial"/>
                <w:lang w:eastAsia="en-AU"/>
              </w:rPr>
              <w:t>III</w:t>
            </w:r>
          </w:p>
        </w:tc>
        <w:tc>
          <w:tcPr>
            <w:tcW w:w="1438" w:type="dxa"/>
            <w:shd w:val="clear" w:color="auto" w:fill="auto"/>
            <w:noWrap/>
          </w:tcPr>
          <w:p w14:paraId="35DE2B92" w14:textId="77777777" w:rsidR="0090528B" w:rsidRPr="001202B5" w:rsidRDefault="0090528B" w:rsidP="00954470">
            <w:pPr>
              <w:pStyle w:val="DHHStabletext"/>
              <w:rPr>
                <w:rFonts w:cs="Arial"/>
                <w:lang w:eastAsia="en-AU"/>
              </w:rPr>
            </w:pPr>
            <w:r w:rsidRPr="001202B5">
              <w:rPr>
                <w:rFonts w:cs="Arial"/>
                <w:color w:val="000000"/>
              </w:rPr>
              <w:t>47 (16%)</w:t>
            </w:r>
          </w:p>
        </w:tc>
      </w:tr>
      <w:tr w:rsidR="0090528B" w:rsidRPr="00050019" w14:paraId="7CE244AC" w14:textId="77777777" w:rsidTr="00254613">
        <w:trPr>
          <w:trHeight w:val="300"/>
        </w:trPr>
        <w:tc>
          <w:tcPr>
            <w:tcW w:w="3187" w:type="dxa"/>
            <w:vMerge/>
            <w:shd w:val="clear" w:color="auto" w:fill="auto"/>
            <w:noWrap/>
            <w:vAlign w:val="bottom"/>
            <w:hideMark/>
          </w:tcPr>
          <w:p w14:paraId="02E4D1F1" w14:textId="77777777" w:rsidR="0090528B" w:rsidRPr="00050019" w:rsidRDefault="0090528B" w:rsidP="00954470">
            <w:pPr>
              <w:pStyle w:val="DHHStabletext"/>
              <w:rPr>
                <w:lang w:eastAsia="en-AU"/>
              </w:rPr>
            </w:pPr>
          </w:p>
        </w:tc>
        <w:tc>
          <w:tcPr>
            <w:tcW w:w="4524" w:type="dxa"/>
            <w:shd w:val="clear" w:color="auto" w:fill="auto"/>
            <w:noWrap/>
            <w:vAlign w:val="bottom"/>
          </w:tcPr>
          <w:p w14:paraId="1F56C60C" w14:textId="03B77B7C" w:rsidR="0090528B" w:rsidRPr="001202B5" w:rsidRDefault="0090528B" w:rsidP="00C829DD">
            <w:pPr>
              <w:pStyle w:val="DHHStabletext"/>
              <w:rPr>
                <w:rFonts w:cs="Arial"/>
                <w:lang w:eastAsia="en-AU"/>
              </w:rPr>
            </w:pPr>
            <w:r w:rsidRPr="001202B5">
              <w:rPr>
                <w:rFonts w:cs="Arial"/>
                <w:lang w:eastAsia="en-AU"/>
              </w:rPr>
              <w:t>IV/metastatic disease</w:t>
            </w:r>
          </w:p>
        </w:tc>
        <w:tc>
          <w:tcPr>
            <w:tcW w:w="1438" w:type="dxa"/>
            <w:shd w:val="clear" w:color="auto" w:fill="auto"/>
            <w:noWrap/>
          </w:tcPr>
          <w:p w14:paraId="5EF87661" w14:textId="0FD77B78" w:rsidR="0090528B" w:rsidRPr="001202B5" w:rsidRDefault="0090528B" w:rsidP="00954470">
            <w:pPr>
              <w:pStyle w:val="DHHStabletext"/>
              <w:rPr>
                <w:rFonts w:cs="Arial"/>
                <w:lang w:eastAsia="en-AU"/>
              </w:rPr>
            </w:pPr>
            <w:r w:rsidRPr="001202B5">
              <w:rPr>
                <w:rFonts w:cs="Arial"/>
                <w:color w:val="000000"/>
              </w:rPr>
              <w:t>112 (3</w:t>
            </w:r>
            <w:r w:rsidR="00FE2834">
              <w:rPr>
                <w:rFonts w:cs="Arial"/>
                <w:color w:val="000000"/>
              </w:rPr>
              <w:t>8</w:t>
            </w:r>
            <w:r w:rsidRPr="001202B5">
              <w:rPr>
                <w:rFonts w:cs="Arial"/>
                <w:color w:val="000000"/>
              </w:rPr>
              <w:t>%)</w:t>
            </w:r>
          </w:p>
        </w:tc>
      </w:tr>
      <w:tr w:rsidR="0090528B" w:rsidRPr="00050019" w14:paraId="67E2DDBC" w14:textId="77777777" w:rsidTr="00254613">
        <w:trPr>
          <w:trHeight w:val="300"/>
        </w:trPr>
        <w:tc>
          <w:tcPr>
            <w:tcW w:w="3187" w:type="dxa"/>
            <w:vMerge/>
            <w:shd w:val="clear" w:color="auto" w:fill="auto"/>
            <w:noWrap/>
            <w:vAlign w:val="bottom"/>
            <w:hideMark/>
          </w:tcPr>
          <w:p w14:paraId="0F7167BC" w14:textId="77777777" w:rsidR="0090528B" w:rsidRPr="00050019" w:rsidRDefault="0090528B" w:rsidP="00954470">
            <w:pPr>
              <w:pStyle w:val="DHHStabletext"/>
              <w:rPr>
                <w:lang w:eastAsia="en-AU"/>
              </w:rPr>
            </w:pPr>
          </w:p>
        </w:tc>
        <w:tc>
          <w:tcPr>
            <w:tcW w:w="4524" w:type="dxa"/>
            <w:shd w:val="clear" w:color="auto" w:fill="auto"/>
            <w:noWrap/>
            <w:vAlign w:val="bottom"/>
          </w:tcPr>
          <w:p w14:paraId="0CA54455" w14:textId="77777777" w:rsidR="0090528B" w:rsidRPr="001202B5" w:rsidRDefault="0090528B" w:rsidP="00954470">
            <w:pPr>
              <w:pStyle w:val="DHHStabletext"/>
              <w:rPr>
                <w:rFonts w:cs="Arial"/>
                <w:lang w:eastAsia="en-AU"/>
              </w:rPr>
            </w:pPr>
            <w:r w:rsidRPr="001202B5">
              <w:rPr>
                <w:rFonts w:cs="Arial"/>
                <w:lang w:eastAsia="en-AU"/>
              </w:rPr>
              <w:t>Other</w:t>
            </w:r>
          </w:p>
        </w:tc>
        <w:tc>
          <w:tcPr>
            <w:tcW w:w="1438" w:type="dxa"/>
            <w:shd w:val="clear" w:color="auto" w:fill="auto"/>
            <w:noWrap/>
          </w:tcPr>
          <w:p w14:paraId="3B3B2AB9" w14:textId="77777777" w:rsidR="0090528B" w:rsidRPr="001202B5" w:rsidRDefault="0090528B" w:rsidP="00954470">
            <w:pPr>
              <w:pStyle w:val="DHHStabletext"/>
              <w:rPr>
                <w:rFonts w:cs="Arial"/>
                <w:lang w:eastAsia="en-AU"/>
              </w:rPr>
            </w:pPr>
            <w:r w:rsidRPr="001202B5">
              <w:rPr>
                <w:rFonts w:cs="Arial"/>
                <w:color w:val="000000"/>
              </w:rPr>
              <w:t>12 (4%)</w:t>
            </w:r>
          </w:p>
        </w:tc>
      </w:tr>
      <w:tr w:rsidR="0090528B" w:rsidRPr="00050019" w14:paraId="7C9DA84B" w14:textId="77777777" w:rsidTr="00254613">
        <w:trPr>
          <w:trHeight w:val="300"/>
        </w:trPr>
        <w:tc>
          <w:tcPr>
            <w:tcW w:w="3187" w:type="dxa"/>
            <w:vMerge/>
            <w:shd w:val="clear" w:color="auto" w:fill="auto"/>
            <w:noWrap/>
            <w:vAlign w:val="bottom"/>
            <w:hideMark/>
          </w:tcPr>
          <w:p w14:paraId="05617009" w14:textId="77777777" w:rsidR="0090528B" w:rsidRPr="00050019" w:rsidRDefault="0090528B" w:rsidP="00954470">
            <w:pPr>
              <w:pStyle w:val="DHHStabletext"/>
              <w:rPr>
                <w:lang w:eastAsia="en-AU"/>
              </w:rPr>
            </w:pPr>
          </w:p>
        </w:tc>
        <w:tc>
          <w:tcPr>
            <w:tcW w:w="4524" w:type="dxa"/>
            <w:shd w:val="clear" w:color="auto" w:fill="auto"/>
            <w:noWrap/>
            <w:vAlign w:val="bottom"/>
          </w:tcPr>
          <w:p w14:paraId="0613AA9E" w14:textId="77777777" w:rsidR="0090528B" w:rsidRPr="001202B5" w:rsidRDefault="0090528B" w:rsidP="00954470">
            <w:pPr>
              <w:pStyle w:val="DHHStabletext"/>
              <w:rPr>
                <w:rFonts w:cs="Arial"/>
                <w:lang w:eastAsia="en-AU"/>
              </w:rPr>
            </w:pPr>
            <w:r w:rsidRPr="001202B5">
              <w:rPr>
                <w:rFonts w:cs="Arial"/>
                <w:lang w:eastAsia="en-AU"/>
              </w:rPr>
              <w:t>Unknown</w:t>
            </w:r>
          </w:p>
        </w:tc>
        <w:tc>
          <w:tcPr>
            <w:tcW w:w="1438" w:type="dxa"/>
            <w:shd w:val="clear" w:color="auto" w:fill="auto"/>
            <w:noWrap/>
          </w:tcPr>
          <w:p w14:paraId="3B851C5B" w14:textId="77777777" w:rsidR="0090528B" w:rsidRPr="001202B5" w:rsidRDefault="0090528B" w:rsidP="00954470">
            <w:pPr>
              <w:pStyle w:val="DHHStabletext"/>
              <w:rPr>
                <w:rFonts w:cs="Arial"/>
                <w:lang w:eastAsia="en-AU"/>
              </w:rPr>
            </w:pPr>
            <w:r w:rsidRPr="001202B5">
              <w:rPr>
                <w:rFonts w:cs="Arial"/>
                <w:color w:val="000000"/>
              </w:rPr>
              <w:t>44 (15%)</w:t>
            </w:r>
          </w:p>
        </w:tc>
      </w:tr>
      <w:tr w:rsidR="0090528B" w:rsidRPr="00050019" w14:paraId="36B90185" w14:textId="77777777" w:rsidTr="00254613">
        <w:trPr>
          <w:trHeight w:val="323"/>
        </w:trPr>
        <w:tc>
          <w:tcPr>
            <w:tcW w:w="3187" w:type="dxa"/>
            <w:vMerge/>
            <w:shd w:val="clear" w:color="auto" w:fill="auto"/>
            <w:noWrap/>
            <w:vAlign w:val="bottom"/>
            <w:hideMark/>
          </w:tcPr>
          <w:p w14:paraId="474E5243" w14:textId="77777777" w:rsidR="0090528B" w:rsidRPr="00050019" w:rsidRDefault="0090528B" w:rsidP="00954470">
            <w:pPr>
              <w:pStyle w:val="DHHStabletext"/>
              <w:rPr>
                <w:lang w:eastAsia="en-AU"/>
              </w:rPr>
            </w:pPr>
          </w:p>
        </w:tc>
        <w:tc>
          <w:tcPr>
            <w:tcW w:w="4524" w:type="dxa"/>
            <w:shd w:val="clear" w:color="auto" w:fill="auto"/>
            <w:noWrap/>
          </w:tcPr>
          <w:p w14:paraId="22B6A856" w14:textId="5B169EF0" w:rsidR="0090528B" w:rsidRPr="001202B5" w:rsidRDefault="001E4B2B" w:rsidP="00954470">
            <w:pPr>
              <w:pStyle w:val="DHHStabletext"/>
              <w:rPr>
                <w:rFonts w:cs="Arial"/>
                <w:lang w:eastAsia="en-AU"/>
              </w:rPr>
            </w:pPr>
            <w:r>
              <w:rPr>
                <w:rFonts w:cs="Arial"/>
                <w:lang w:eastAsia="en-AU"/>
              </w:rPr>
              <w:t>Missing data**</w:t>
            </w:r>
          </w:p>
        </w:tc>
        <w:tc>
          <w:tcPr>
            <w:tcW w:w="1438" w:type="dxa"/>
            <w:shd w:val="clear" w:color="auto" w:fill="auto"/>
            <w:noWrap/>
          </w:tcPr>
          <w:p w14:paraId="5464B678" w14:textId="77777777" w:rsidR="0090528B" w:rsidRPr="001202B5" w:rsidRDefault="0090528B" w:rsidP="00954470">
            <w:pPr>
              <w:pStyle w:val="DHHStabletext"/>
              <w:rPr>
                <w:rFonts w:cs="Arial"/>
                <w:lang w:eastAsia="en-AU"/>
              </w:rPr>
            </w:pPr>
            <w:r w:rsidRPr="001202B5">
              <w:rPr>
                <w:rFonts w:cs="Arial"/>
                <w:color w:val="000000"/>
              </w:rPr>
              <w:t>14 (5%)</w:t>
            </w:r>
          </w:p>
        </w:tc>
      </w:tr>
      <w:tr w:rsidR="0090528B" w:rsidRPr="00050019" w14:paraId="22C5BE90" w14:textId="77777777" w:rsidTr="00254613">
        <w:trPr>
          <w:trHeight w:val="300"/>
        </w:trPr>
        <w:tc>
          <w:tcPr>
            <w:tcW w:w="3187" w:type="dxa"/>
            <w:vMerge w:val="restart"/>
            <w:shd w:val="clear" w:color="auto" w:fill="D9D9D9" w:themeFill="background1" w:themeFillShade="D9"/>
            <w:noWrap/>
            <w:hideMark/>
          </w:tcPr>
          <w:p w14:paraId="727C22AE" w14:textId="18F9B688" w:rsidR="0090528B" w:rsidRPr="00050019" w:rsidRDefault="0090528B" w:rsidP="00954470">
            <w:pPr>
              <w:pStyle w:val="DHHStabletext"/>
              <w:rPr>
                <w:lang w:eastAsia="en-AU"/>
              </w:rPr>
            </w:pPr>
            <w:r>
              <w:rPr>
                <w:lang w:eastAsia="en-AU"/>
              </w:rPr>
              <w:t xml:space="preserve">First treatment </w:t>
            </w:r>
          </w:p>
        </w:tc>
        <w:tc>
          <w:tcPr>
            <w:tcW w:w="4524" w:type="dxa"/>
            <w:shd w:val="clear" w:color="auto" w:fill="D9D9D9" w:themeFill="background1" w:themeFillShade="D9"/>
            <w:noWrap/>
            <w:vAlign w:val="bottom"/>
          </w:tcPr>
          <w:p w14:paraId="1F4B6579" w14:textId="77777777" w:rsidR="0090528B" w:rsidRPr="001202B5" w:rsidRDefault="0090528B" w:rsidP="00954470">
            <w:pPr>
              <w:pStyle w:val="DHHStabletext"/>
              <w:rPr>
                <w:rFonts w:cs="Arial"/>
                <w:lang w:eastAsia="en-AU"/>
              </w:rPr>
            </w:pPr>
            <w:proofErr w:type="spellStart"/>
            <w:r w:rsidRPr="001202B5">
              <w:rPr>
                <w:rFonts w:cs="Arial"/>
                <w:lang w:eastAsia="en-AU"/>
              </w:rPr>
              <w:t>Chemoradiation</w:t>
            </w:r>
            <w:proofErr w:type="spellEnd"/>
          </w:p>
        </w:tc>
        <w:tc>
          <w:tcPr>
            <w:tcW w:w="1438" w:type="dxa"/>
            <w:shd w:val="clear" w:color="auto" w:fill="D9D9D9" w:themeFill="background1" w:themeFillShade="D9"/>
            <w:noWrap/>
          </w:tcPr>
          <w:p w14:paraId="2A809AF7" w14:textId="77777777" w:rsidR="0090528B" w:rsidRPr="001202B5" w:rsidRDefault="0090528B" w:rsidP="00954470">
            <w:pPr>
              <w:pStyle w:val="DHHStabletext"/>
              <w:rPr>
                <w:rFonts w:cs="Arial"/>
                <w:lang w:eastAsia="en-AU"/>
              </w:rPr>
            </w:pPr>
            <w:r w:rsidRPr="001202B5">
              <w:rPr>
                <w:rFonts w:cs="Arial"/>
                <w:color w:val="000000"/>
              </w:rPr>
              <w:t>45 (15%)</w:t>
            </w:r>
          </w:p>
        </w:tc>
      </w:tr>
      <w:tr w:rsidR="0090528B" w:rsidRPr="00050019" w14:paraId="24F78A22" w14:textId="77777777" w:rsidTr="00254613">
        <w:trPr>
          <w:trHeight w:val="300"/>
        </w:trPr>
        <w:tc>
          <w:tcPr>
            <w:tcW w:w="3187" w:type="dxa"/>
            <w:vMerge/>
            <w:shd w:val="clear" w:color="auto" w:fill="D9D9D9" w:themeFill="background1" w:themeFillShade="D9"/>
            <w:noWrap/>
            <w:vAlign w:val="bottom"/>
            <w:hideMark/>
          </w:tcPr>
          <w:p w14:paraId="172C6312"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1CE16B54" w14:textId="3108E5D7" w:rsidR="0090528B" w:rsidRPr="001202B5" w:rsidRDefault="0090528B" w:rsidP="00C829DD">
            <w:pPr>
              <w:pStyle w:val="DHHStabletext"/>
              <w:rPr>
                <w:rFonts w:cs="Arial"/>
                <w:lang w:eastAsia="en-AU"/>
              </w:rPr>
            </w:pPr>
            <w:r w:rsidRPr="001202B5">
              <w:rPr>
                <w:rFonts w:cs="Arial"/>
                <w:lang w:eastAsia="en-AU"/>
              </w:rPr>
              <w:t xml:space="preserve">Chemotherapy / </w:t>
            </w:r>
            <w:r w:rsidR="00B82470">
              <w:rPr>
                <w:rFonts w:cs="Arial"/>
                <w:lang w:eastAsia="en-AU"/>
              </w:rPr>
              <w:t>t</w:t>
            </w:r>
            <w:r w:rsidRPr="001202B5">
              <w:rPr>
                <w:rFonts w:cs="Arial"/>
                <w:lang w:eastAsia="en-AU"/>
              </w:rPr>
              <w:t>argeted therapy</w:t>
            </w:r>
          </w:p>
        </w:tc>
        <w:tc>
          <w:tcPr>
            <w:tcW w:w="1438" w:type="dxa"/>
            <w:shd w:val="clear" w:color="auto" w:fill="D9D9D9" w:themeFill="background1" w:themeFillShade="D9"/>
            <w:noWrap/>
          </w:tcPr>
          <w:p w14:paraId="0EDF3B6D" w14:textId="77777777" w:rsidR="0090528B" w:rsidRPr="001202B5" w:rsidRDefault="0090528B" w:rsidP="00954470">
            <w:pPr>
              <w:pStyle w:val="DHHStabletext"/>
              <w:rPr>
                <w:rFonts w:cs="Arial"/>
                <w:lang w:eastAsia="en-AU"/>
              </w:rPr>
            </w:pPr>
            <w:r w:rsidRPr="001202B5">
              <w:rPr>
                <w:rFonts w:cs="Arial"/>
                <w:color w:val="000000"/>
              </w:rPr>
              <w:t>77 (26%)</w:t>
            </w:r>
          </w:p>
        </w:tc>
      </w:tr>
      <w:tr w:rsidR="0090528B" w:rsidRPr="00050019" w14:paraId="70F7BB23" w14:textId="77777777" w:rsidTr="00254613">
        <w:trPr>
          <w:trHeight w:val="300"/>
        </w:trPr>
        <w:tc>
          <w:tcPr>
            <w:tcW w:w="3187" w:type="dxa"/>
            <w:vMerge/>
            <w:shd w:val="clear" w:color="auto" w:fill="D9D9D9" w:themeFill="background1" w:themeFillShade="D9"/>
            <w:noWrap/>
            <w:vAlign w:val="bottom"/>
            <w:hideMark/>
          </w:tcPr>
          <w:p w14:paraId="477B0368"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553E8A71" w14:textId="77777777" w:rsidR="0090528B" w:rsidRPr="001202B5" w:rsidRDefault="0090528B" w:rsidP="00954470">
            <w:pPr>
              <w:pStyle w:val="DHHStabletext"/>
              <w:rPr>
                <w:rFonts w:cs="Arial"/>
                <w:lang w:eastAsia="en-AU"/>
              </w:rPr>
            </w:pPr>
            <w:r w:rsidRPr="001202B5">
              <w:rPr>
                <w:rFonts w:cs="Arial"/>
                <w:lang w:eastAsia="en-AU"/>
              </w:rPr>
              <w:t>Endoscopic mucosal resection</w:t>
            </w:r>
          </w:p>
        </w:tc>
        <w:tc>
          <w:tcPr>
            <w:tcW w:w="1438" w:type="dxa"/>
            <w:shd w:val="clear" w:color="auto" w:fill="D9D9D9" w:themeFill="background1" w:themeFillShade="D9"/>
            <w:noWrap/>
          </w:tcPr>
          <w:p w14:paraId="5B51ECD6" w14:textId="77777777" w:rsidR="0090528B" w:rsidRPr="001202B5" w:rsidRDefault="0090528B" w:rsidP="00954470">
            <w:pPr>
              <w:pStyle w:val="DHHStabletext"/>
              <w:rPr>
                <w:rFonts w:cs="Arial"/>
                <w:lang w:eastAsia="en-AU"/>
              </w:rPr>
            </w:pPr>
            <w:r w:rsidRPr="001202B5">
              <w:rPr>
                <w:rFonts w:cs="Arial"/>
                <w:color w:val="000000"/>
              </w:rPr>
              <w:t>11 (4%)</w:t>
            </w:r>
          </w:p>
        </w:tc>
      </w:tr>
      <w:tr w:rsidR="0090528B" w:rsidRPr="00050019" w14:paraId="6455EF69" w14:textId="77777777" w:rsidTr="00254613">
        <w:trPr>
          <w:trHeight w:val="300"/>
        </w:trPr>
        <w:tc>
          <w:tcPr>
            <w:tcW w:w="3187" w:type="dxa"/>
            <w:vMerge/>
            <w:shd w:val="clear" w:color="auto" w:fill="D9D9D9" w:themeFill="background1" w:themeFillShade="D9"/>
            <w:noWrap/>
            <w:vAlign w:val="bottom"/>
            <w:hideMark/>
          </w:tcPr>
          <w:p w14:paraId="6AD30F0B"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3DF51767" w14:textId="77777777" w:rsidR="0090528B" w:rsidRPr="001202B5" w:rsidRDefault="0090528B" w:rsidP="00954470">
            <w:pPr>
              <w:pStyle w:val="DHHStabletext"/>
              <w:rPr>
                <w:rFonts w:cs="Arial"/>
                <w:lang w:eastAsia="en-AU"/>
              </w:rPr>
            </w:pPr>
            <w:r w:rsidRPr="001202B5">
              <w:rPr>
                <w:rFonts w:cs="Arial"/>
                <w:lang w:eastAsia="en-AU"/>
              </w:rPr>
              <w:t>Gastrectomy</w:t>
            </w:r>
          </w:p>
        </w:tc>
        <w:tc>
          <w:tcPr>
            <w:tcW w:w="1438" w:type="dxa"/>
            <w:shd w:val="clear" w:color="auto" w:fill="D9D9D9" w:themeFill="background1" w:themeFillShade="D9"/>
            <w:noWrap/>
          </w:tcPr>
          <w:p w14:paraId="7E8F8E60" w14:textId="77777777" w:rsidR="0090528B" w:rsidRPr="001202B5" w:rsidRDefault="0090528B" w:rsidP="00954470">
            <w:pPr>
              <w:pStyle w:val="DHHStabletext"/>
              <w:rPr>
                <w:rFonts w:cs="Arial"/>
                <w:lang w:eastAsia="en-AU"/>
              </w:rPr>
            </w:pPr>
            <w:r w:rsidRPr="001202B5">
              <w:rPr>
                <w:rFonts w:cs="Arial"/>
                <w:color w:val="000000"/>
              </w:rPr>
              <w:t>41 (14%)</w:t>
            </w:r>
          </w:p>
        </w:tc>
      </w:tr>
      <w:tr w:rsidR="0090528B" w:rsidRPr="00050019" w14:paraId="572F2D6D" w14:textId="77777777" w:rsidTr="00254613">
        <w:trPr>
          <w:trHeight w:val="300"/>
        </w:trPr>
        <w:tc>
          <w:tcPr>
            <w:tcW w:w="3187" w:type="dxa"/>
            <w:vMerge/>
            <w:shd w:val="clear" w:color="auto" w:fill="D9D9D9" w:themeFill="background1" w:themeFillShade="D9"/>
            <w:noWrap/>
            <w:vAlign w:val="bottom"/>
            <w:hideMark/>
          </w:tcPr>
          <w:p w14:paraId="4FCE769F"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3EA985AF" w14:textId="77777777" w:rsidR="0090528B" w:rsidRPr="001202B5" w:rsidRDefault="0090528B" w:rsidP="00954470">
            <w:pPr>
              <w:pStyle w:val="DHHStabletext"/>
              <w:rPr>
                <w:rFonts w:cs="Arial"/>
                <w:lang w:eastAsia="en-AU"/>
              </w:rPr>
            </w:pPr>
            <w:proofErr w:type="spellStart"/>
            <w:r w:rsidRPr="001202B5">
              <w:rPr>
                <w:rFonts w:cs="Arial"/>
                <w:lang w:eastAsia="en-AU"/>
              </w:rPr>
              <w:t>Oesophagectomy</w:t>
            </w:r>
            <w:proofErr w:type="spellEnd"/>
          </w:p>
        </w:tc>
        <w:tc>
          <w:tcPr>
            <w:tcW w:w="1438" w:type="dxa"/>
            <w:shd w:val="clear" w:color="auto" w:fill="D9D9D9" w:themeFill="background1" w:themeFillShade="D9"/>
            <w:noWrap/>
          </w:tcPr>
          <w:p w14:paraId="087A4ED6" w14:textId="77777777" w:rsidR="0090528B" w:rsidRPr="001202B5" w:rsidRDefault="0090528B" w:rsidP="00954470">
            <w:pPr>
              <w:pStyle w:val="DHHStabletext"/>
              <w:rPr>
                <w:rFonts w:cs="Arial"/>
                <w:lang w:eastAsia="en-AU"/>
              </w:rPr>
            </w:pPr>
            <w:r w:rsidRPr="001202B5">
              <w:rPr>
                <w:rFonts w:cs="Arial"/>
                <w:color w:val="000000"/>
              </w:rPr>
              <w:t>5 (2%)</w:t>
            </w:r>
          </w:p>
        </w:tc>
      </w:tr>
      <w:tr w:rsidR="0090528B" w:rsidRPr="00050019" w14:paraId="4F697E15" w14:textId="77777777" w:rsidTr="00254613">
        <w:trPr>
          <w:trHeight w:val="300"/>
        </w:trPr>
        <w:tc>
          <w:tcPr>
            <w:tcW w:w="3187" w:type="dxa"/>
            <w:vMerge/>
            <w:shd w:val="clear" w:color="auto" w:fill="D9D9D9" w:themeFill="background1" w:themeFillShade="D9"/>
            <w:noWrap/>
            <w:vAlign w:val="bottom"/>
            <w:hideMark/>
          </w:tcPr>
          <w:p w14:paraId="47EE8597"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2487C747" w14:textId="77777777" w:rsidR="0090528B" w:rsidRPr="001202B5" w:rsidRDefault="0090528B" w:rsidP="00954470">
            <w:pPr>
              <w:pStyle w:val="DHHStabletext"/>
              <w:rPr>
                <w:rFonts w:cs="Arial"/>
                <w:lang w:eastAsia="en-AU"/>
              </w:rPr>
            </w:pPr>
            <w:r w:rsidRPr="001202B5">
              <w:rPr>
                <w:rFonts w:cs="Arial"/>
                <w:lang w:eastAsia="en-AU"/>
              </w:rPr>
              <w:t>Radiotherapy</w:t>
            </w:r>
          </w:p>
        </w:tc>
        <w:tc>
          <w:tcPr>
            <w:tcW w:w="1438" w:type="dxa"/>
            <w:shd w:val="clear" w:color="auto" w:fill="D9D9D9" w:themeFill="background1" w:themeFillShade="D9"/>
            <w:noWrap/>
          </w:tcPr>
          <w:p w14:paraId="07F4A4F8" w14:textId="77777777" w:rsidR="0090528B" w:rsidRPr="001202B5" w:rsidRDefault="0090528B" w:rsidP="00954470">
            <w:pPr>
              <w:pStyle w:val="DHHStabletext"/>
              <w:rPr>
                <w:rFonts w:cs="Arial"/>
                <w:lang w:eastAsia="en-AU"/>
              </w:rPr>
            </w:pPr>
            <w:r w:rsidRPr="001202B5">
              <w:rPr>
                <w:rFonts w:cs="Arial"/>
                <w:color w:val="000000"/>
              </w:rPr>
              <w:t>23 (8%)</w:t>
            </w:r>
          </w:p>
        </w:tc>
      </w:tr>
      <w:tr w:rsidR="0090528B" w:rsidRPr="00050019" w14:paraId="60484384" w14:textId="77777777" w:rsidTr="00254613">
        <w:trPr>
          <w:trHeight w:val="300"/>
        </w:trPr>
        <w:tc>
          <w:tcPr>
            <w:tcW w:w="3187" w:type="dxa"/>
            <w:vMerge/>
            <w:shd w:val="clear" w:color="auto" w:fill="D9D9D9" w:themeFill="background1" w:themeFillShade="D9"/>
            <w:noWrap/>
            <w:vAlign w:val="bottom"/>
            <w:hideMark/>
          </w:tcPr>
          <w:p w14:paraId="1D16CA1E"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0E549640" w14:textId="77777777" w:rsidR="0090528B" w:rsidRPr="001202B5" w:rsidRDefault="0090528B" w:rsidP="00954470">
            <w:pPr>
              <w:pStyle w:val="DHHStabletext"/>
              <w:rPr>
                <w:rFonts w:cs="Arial"/>
                <w:lang w:eastAsia="en-AU"/>
              </w:rPr>
            </w:pPr>
            <w:r w:rsidRPr="001202B5">
              <w:rPr>
                <w:rFonts w:cs="Arial"/>
                <w:lang w:eastAsia="en-AU"/>
              </w:rPr>
              <w:t>None of the above</w:t>
            </w:r>
          </w:p>
        </w:tc>
        <w:tc>
          <w:tcPr>
            <w:tcW w:w="1438" w:type="dxa"/>
            <w:shd w:val="clear" w:color="auto" w:fill="D9D9D9" w:themeFill="background1" w:themeFillShade="D9"/>
            <w:noWrap/>
          </w:tcPr>
          <w:p w14:paraId="5E14D550" w14:textId="58A854DA" w:rsidR="0090528B" w:rsidRPr="001202B5" w:rsidRDefault="0090528B" w:rsidP="00954470">
            <w:pPr>
              <w:pStyle w:val="DHHStabletext"/>
              <w:rPr>
                <w:rFonts w:cs="Arial"/>
                <w:lang w:eastAsia="en-AU"/>
              </w:rPr>
            </w:pPr>
            <w:r w:rsidRPr="001202B5">
              <w:rPr>
                <w:rFonts w:cs="Arial"/>
                <w:lang w:eastAsia="en-AU"/>
              </w:rPr>
              <w:t>85 (2</w:t>
            </w:r>
            <w:r w:rsidR="00FE2834">
              <w:rPr>
                <w:rFonts w:cs="Arial"/>
                <w:lang w:eastAsia="en-AU"/>
              </w:rPr>
              <w:t>9</w:t>
            </w:r>
            <w:r w:rsidRPr="001202B5">
              <w:rPr>
                <w:rFonts w:cs="Arial"/>
                <w:lang w:eastAsia="en-AU"/>
              </w:rPr>
              <w:t>%)</w:t>
            </w:r>
          </w:p>
        </w:tc>
      </w:tr>
      <w:tr w:rsidR="0090528B" w:rsidRPr="00050019" w14:paraId="658A497B" w14:textId="77777777" w:rsidTr="00254613">
        <w:trPr>
          <w:trHeight w:val="300"/>
        </w:trPr>
        <w:tc>
          <w:tcPr>
            <w:tcW w:w="3187" w:type="dxa"/>
            <w:vMerge/>
            <w:shd w:val="clear" w:color="auto" w:fill="D9D9D9" w:themeFill="background1" w:themeFillShade="D9"/>
            <w:noWrap/>
            <w:vAlign w:val="bottom"/>
            <w:hideMark/>
          </w:tcPr>
          <w:p w14:paraId="4F52F68B"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3CC9194C" w14:textId="77777777" w:rsidR="0090528B" w:rsidRPr="001202B5" w:rsidRDefault="0090528B" w:rsidP="00954470">
            <w:pPr>
              <w:pStyle w:val="DHHStabletext"/>
              <w:rPr>
                <w:rFonts w:cs="Arial"/>
                <w:lang w:eastAsia="en-AU"/>
              </w:rPr>
            </w:pPr>
            <w:r w:rsidRPr="001202B5">
              <w:rPr>
                <w:rFonts w:cs="Arial"/>
                <w:lang w:eastAsia="en-AU"/>
              </w:rPr>
              <w:t>Unknown</w:t>
            </w:r>
          </w:p>
        </w:tc>
        <w:tc>
          <w:tcPr>
            <w:tcW w:w="1438" w:type="dxa"/>
            <w:shd w:val="clear" w:color="auto" w:fill="D9D9D9" w:themeFill="background1" w:themeFillShade="D9"/>
            <w:noWrap/>
          </w:tcPr>
          <w:p w14:paraId="09DC5A8B" w14:textId="77777777" w:rsidR="0090528B" w:rsidRPr="001202B5" w:rsidRDefault="0090528B" w:rsidP="00954470">
            <w:pPr>
              <w:pStyle w:val="DHHStabletext"/>
              <w:rPr>
                <w:rFonts w:cs="Arial"/>
                <w:lang w:eastAsia="en-AU"/>
              </w:rPr>
            </w:pPr>
            <w:r w:rsidRPr="001202B5">
              <w:rPr>
                <w:rFonts w:cs="Arial"/>
                <w:lang w:eastAsia="en-AU"/>
              </w:rPr>
              <w:t>8 (3%)</w:t>
            </w:r>
          </w:p>
        </w:tc>
      </w:tr>
      <w:tr w:rsidR="0090528B" w:rsidRPr="00050019" w14:paraId="132EF75E" w14:textId="77777777" w:rsidTr="00254613">
        <w:trPr>
          <w:trHeight w:val="300"/>
        </w:trPr>
        <w:tc>
          <w:tcPr>
            <w:tcW w:w="3187" w:type="dxa"/>
            <w:vMerge/>
            <w:shd w:val="clear" w:color="auto" w:fill="D9D9D9" w:themeFill="background1" w:themeFillShade="D9"/>
            <w:noWrap/>
            <w:vAlign w:val="bottom"/>
          </w:tcPr>
          <w:p w14:paraId="0531DC5D"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64DF85BE" w14:textId="1A4293A0" w:rsidR="0090528B" w:rsidRPr="001202B5" w:rsidRDefault="001E4B2B" w:rsidP="00954470">
            <w:pPr>
              <w:pStyle w:val="DHHStabletext"/>
              <w:rPr>
                <w:rFonts w:cs="Arial"/>
                <w:lang w:eastAsia="en-AU"/>
              </w:rPr>
            </w:pPr>
            <w:r>
              <w:rPr>
                <w:rFonts w:cs="Arial"/>
                <w:lang w:eastAsia="en-AU"/>
              </w:rPr>
              <w:t>Missing data**</w:t>
            </w:r>
          </w:p>
        </w:tc>
        <w:tc>
          <w:tcPr>
            <w:tcW w:w="1438" w:type="dxa"/>
            <w:shd w:val="clear" w:color="auto" w:fill="D9D9D9" w:themeFill="background1" w:themeFillShade="D9"/>
            <w:noWrap/>
          </w:tcPr>
          <w:p w14:paraId="6E1ABF6F" w14:textId="77777777" w:rsidR="0090528B" w:rsidRPr="001202B5" w:rsidRDefault="0090528B" w:rsidP="00954470">
            <w:pPr>
              <w:pStyle w:val="DHHStabletext"/>
              <w:rPr>
                <w:rFonts w:cs="Arial"/>
                <w:lang w:eastAsia="en-AU"/>
              </w:rPr>
            </w:pPr>
            <w:r w:rsidRPr="001202B5">
              <w:rPr>
                <w:rFonts w:cs="Arial"/>
                <w:lang w:eastAsia="en-AU"/>
              </w:rPr>
              <w:t>2 (&lt;1%)</w:t>
            </w:r>
          </w:p>
        </w:tc>
      </w:tr>
      <w:tr w:rsidR="0090528B" w:rsidRPr="00050019" w14:paraId="6C92223F" w14:textId="77777777" w:rsidTr="00254613">
        <w:trPr>
          <w:trHeight w:val="281"/>
        </w:trPr>
        <w:tc>
          <w:tcPr>
            <w:tcW w:w="3187" w:type="dxa"/>
            <w:vMerge w:val="restart"/>
            <w:shd w:val="clear" w:color="auto" w:fill="auto"/>
            <w:noWrap/>
          </w:tcPr>
          <w:p w14:paraId="0BD49629" w14:textId="69B7B989" w:rsidR="0090528B" w:rsidRPr="00050019" w:rsidRDefault="0090528B" w:rsidP="00954470">
            <w:pPr>
              <w:pStyle w:val="DHHStabletext"/>
              <w:rPr>
                <w:lang w:eastAsia="en-AU"/>
              </w:rPr>
            </w:pPr>
            <w:r>
              <w:rPr>
                <w:lang w:eastAsia="en-AU"/>
              </w:rPr>
              <w:t xml:space="preserve">Source of referral </w:t>
            </w:r>
            <w:r w:rsidR="00537723">
              <w:rPr>
                <w:lang w:eastAsia="en-AU"/>
              </w:rPr>
              <w:t>to first appointment or consultation</w:t>
            </w:r>
          </w:p>
        </w:tc>
        <w:tc>
          <w:tcPr>
            <w:tcW w:w="4524" w:type="dxa"/>
            <w:shd w:val="clear" w:color="auto" w:fill="auto"/>
            <w:noWrap/>
            <w:vAlign w:val="bottom"/>
          </w:tcPr>
          <w:p w14:paraId="75916188" w14:textId="3D663FDF" w:rsidR="0090528B" w:rsidRPr="001202B5" w:rsidRDefault="00C82FC3" w:rsidP="00954470">
            <w:pPr>
              <w:pStyle w:val="DHHStabletext"/>
              <w:rPr>
                <w:rFonts w:cs="Arial"/>
                <w:lang w:eastAsia="en-AU"/>
              </w:rPr>
            </w:pPr>
            <w:r w:rsidRPr="001202B5">
              <w:rPr>
                <w:rFonts w:cs="Arial"/>
                <w:lang w:eastAsia="en-AU"/>
              </w:rPr>
              <w:t>G</w:t>
            </w:r>
            <w:r>
              <w:rPr>
                <w:rFonts w:cs="Arial"/>
                <w:lang w:eastAsia="en-AU"/>
              </w:rPr>
              <w:t>eneral practitioner</w:t>
            </w:r>
          </w:p>
        </w:tc>
        <w:tc>
          <w:tcPr>
            <w:tcW w:w="1438" w:type="dxa"/>
            <w:shd w:val="clear" w:color="auto" w:fill="auto"/>
            <w:noWrap/>
          </w:tcPr>
          <w:p w14:paraId="655798E9" w14:textId="77777777" w:rsidR="0090528B" w:rsidRPr="001202B5" w:rsidRDefault="0090528B" w:rsidP="00954470">
            <w:pPr>
              <w:pStyle w:val="DHHStabletext"/>
              <w:rPr>
                <w:rFonts w:cs="Arial"/>
                <w:lang w:eastAsia="en-AU"/>
              </w:rPr>
            </w:pPr>
            <w:r w:rsidRPr="001202B5">
              <w:rPr>
                <w:rFonts w:cs="Arial"/>
                <w:color w:val="000000"/>
              </w:rPr>
              <w:t>92 (31%)</w:t>
            </w:r>
          </w:p>
        </w:tc>
      </w:tr>
      <w:tr w:rsidR="0090528B" w:rsidRPr="00050019" w14:paraId="7A4155E7" w14:textId="77777777" w:rsidTr="00254613">
        <w:trPr>
          <w:trHeight w:val="300"/>
        </w:trPr>
        <w:tc>
          <w:tcPr>
            <w:tcW w:w="3187" w:type="dxa"/>
            <w:vMerge/>
            <w:shd w:val="clear" w:color="auto" w:fill="auto"/>
            <w:noWrap/>
            <w:vAlign w:val="bottom"/>
          </w:tcPr>
          <w:p w14:paraId="3D38B18A" w14:textId="77777777" w:rsidR="0090528B" w:rsidRPr="00050019" w:rsidRDefault="0090528B" w:rsidP="00954470">
            <w:pPr>
              <w:pStyle w:val="DHHStabletext"/>
              <w:rPr>
                <w:lang w:eastAsia="en-AU"/>
              </w:rPr>
            </w:pPr>
          </w:p>
        </w:tc>
        <w:tc>
          <w:tcPr>
            <w:tcW w:w="4524" w:type="dxa"/>
            <w:shd w:val="clear" w:color="auto" w:fill="auto"/>
            <w:noWrap/>
            <w:vAlign w:val="bottom"/>
          </w:tcPr>
          <w:p w14:paraId="42FFCF21" w14:textId="77777777" w:rsidR="0090528B" w:rsidRPr="001202B5" w:rsidRDefault="0090528B" w:rsidP="00954470">
            <w:pPr>
              <w:pStyle w:val="DHHStabletext"/>
              <w:rPr>
                <w:rFonts w:cs="Arial"/>
                <w:lang w:eastAsia="en-AU"/>
              </w:rPr>
            </w:pPr>
            <w:r w:rsidRPr="001202B5">
              <w:rPr>
                <w:rFonts w:cs="Arial"/>
                <w:lang w:eastAsia="en-AU"/>
              </w:rPr>
              <w:t>Emergency department</w:t>
            </w:r>
          </w:p>
        </w:tc>
        <w:tc>
          <w:tcPr>
            <w:tcW w:w="1438" w:type="dxa"/>
            <w:shd w:val="clear" w:color="auto" w:fill="auto"/>
            <w:noWrap/>
          </w:tcPr>
          <w:p w14:paraId="6AB9F037" w14:textId="77777777" w:rsidR="0090528B" w:rsidRPr="001202B5" w:rsidRDefault="0090528B" w:rsidP="00954470">
            <w:pPr>
              <w:pStyle w:val="DHHStabletext"/>
              <w:rPr>
                <w:rFonts w:cs="Arial"/>
                <w:lang w:eastAsia="en-AU"/>
              </w:rPr>
            </w:pPr>
            <w:r w:rsidRPr="001202B5">
              <w:rPr>
                <w:rFonts w:cs="Arial"/>
                <w:color w:val="000000"/>
              </w:rPr>
              <w:t>63 (21%)</w:t>
            </w:r>
          </w:p>
        </w:tc>
      </w:tr>
      <w:tr w:rsidR="0090528B" w:rsidRPr="00050019" w14:paraId="24E39884" w14:textId="77777777" w:rsidTr="00254613">
        <w:trPr>
          <w:trHeight w:val="300"/>
        </w:trPr>
        <w:tc>
          <w:tcPr>
            <w:tcW w:w="3187" w:type="dxa"/>
            <w:vMerge/>
            <w:shd w:val="clear" w:color="auto" w:fill="auto"/>
            <w:noWrap/>
            <w:vAlign w:val="bottom"/>
          </w:tcPr>
          <w:p w14:paraId="37897CA6" w14:textId="77777777" w:rsidR="0090528B" w:rsidRPr="00050019" w:rsidRDefault="0090528B" w:rsidP="00954470">
            <w:pPr>
              <w:pStyle w:val="DHHStabletext"/>
              <w:rPr>
                <w:lang w:eastAsia="en-AU"/>
              </w:rPr>
            </w:pPr>
          </w:p>
        </w:tc>
        <w:tc>
          <w:tcPr>
            <w:tcW w:w="4524" w:type="dxa"/>
            <w:shd w:val="clear" w:color="auto" w:fill="auto"/>
            <w:noWrap/>
            <w:vAlign w:val="bottom"/>
          </w:tcPr>
          <w:p w14:paraId="307FBE34" w14:textId="77777777" w:rsidR="0090528B" w:rsidRPr="001202B5" w:rsidRDefault="0090528B" w:rsidP="00954470">
            <w:pPr>
              <w:pStyle w:val="DHHStabletext"/>
              <w:rPr>
                <w:rFonts w:cs="Arial"/>
                <w:lang w:eastAsia="en-AU"/>
              </w:rPr>
            </w:pPr>
            <w:r w:rsidRPr="001202B5">
              <w:rPr>
                <w:rFonts w:cs="Arial"/>
                <w:lang w:eastAsia="en-AU"/>
              </w:rPr>
              <w:t>Private specialist</w:t>
            </w:r>
          </w:p>
        </w:tc>
        <w:tc>
          <w:tcPr>
            <w:tcW w:w="1438" w:type="dxa"/>
            <w:shd w:val="clear" w:color="auto" w:fill="auto"/>
            <w:noWrap/>
          </w:tcPr>
          <w:p w14:paraId="2FB098D3" w14:textId="77777777" w:rsidR="0090528B" w:rsidRPr="001202B5" w:rsidRDefault="0090528B" w:rsidP="00954470">
            <w:pPr>
              <w:pStyle w:val="DHHStabletext"/>
              <w:rPr>
                <w:rFonts w:cs="Arial"/>
                <w:lang w:eastAsia="en-AU"/>
              </w:rPr>
            </w:pPr>
            <w:r w:rsidRPr="001202B5">
              <w:rPr>
                <w:rFonts w:cs="Arial"/>
                <w:color w:val="000000"/>
              </w:rPr>
              <w:t>61 (21%)</w:t>
            </w:r>
          </w:p>
        </w:tc>
      </w:tr>
      <w:tr w:rsidR="0090528B" w:rsidRPr="00050019" w14:paraId="2FECE17D" w14:textId="77777777" w:rsidTr="00254613">
        <w:trPr>
          <w:trHeight w:val="300"/>
        </w:trPr>
        <w:tc>
          <w:tcPr>
            <w:tcW w:w="3187" w:type="dxa"/>
            <w:vMerge/>
            <w:shd w:val="clear" w:color="auto" w:fill="auto"/>
            <w:noWrap/>
            <w:vAlign w:val="bottom"/>
          </w:tcPr>
          <w:p w14:paraId="4A5ECCD4" w14:textId="77777777" w:rsidR="0090528B" w:rsidRPr="00050019" w:rsidRDefault="0090528B" w:rsidP="00954470">
            <w:pPr>
              <w:pStyle w:val="DHHStabletext"/>
              <w:rPr>
                <w:lang w:eastAsia="en-AU"/>
              </w:rPr>
            </w:pPr>
          </w:p>
        </w:tc>
        <w:tc>
          <w:tcPr>
            <w:tcW w:w="4524" w:type="dxa"/>
            <w:shd w:val="clear" w:color="auto" w:fill="auto"/>
            <w:noWrap/>
            <w:vAlign w:val="bottom"/>
          </w:tcPr>
          <w:p w14:paraId="31E4C8CB" w14:textId="77777777" w:rsidR="0090528B" w:rsidRPr="001202B5" w:rsidRDefault="0090528B" w:rsidP="00954470">
            <w:pPr>
              <w:pStyle w:val="DHHStabletext"/>
              <w:rPr>
                <w:rFonts w:cs="Arial"/>
                <w:lang w:eastAsia="en-AU"/>
              </w:rPr>
            </w:pPr>
            <w:r w:rsidRPr="001202B5">
              <w:rPr>
                <w:rFonts w:cs="Arial"/>
                <w:lang w:eastAsia="en-AU"/>
              </w:rPr>
              <w:t>Other public hospital</w:t>
            </w:r>
          </w:p>
        </w:tc>
        <w:tc>
          <w:tcPr>
            <w:tcW w:w="1438" w:type="dxa"/>
            <w:shd w:val="clear" w:color="auto" w:fill="auto"/>
            <w:noWrap/>
          </w:tcPr>
          <w:p w14:paraId="30F7DD2D" w14:textId="77777777" w:rsidR="0090528B" w:rsidRPr="001202B5" w:rsidRDefault="0090528B" w:rsidP="00954470">
            <w:pPr>
              <w:pStyle w:val="DHHStabletext"/>
              <w:rPr>
                <w:rFonts w:cs="Arial"/>
                <w:lang w:eastAsia="en-AU"/>
              </w:rPr>
            </w:pPr>
            <w:r w:rsidRPr="001202B5">
              <w:rPr>
                <w:rFonts w:cs="Arial"/>
                <w:color w:val="000000"/>
              </w:rPr>
              <w:t>31 (10%)</w:t>
            </w:r>
          </w:p>
        </w:tc>
      </w:tr>
      <w:tr w:rsidR="0090528B" w:rsidRPr="00050019" w14:paraId="67D5D45C" w14:textId="77777777" w:rsidTr="00254613">
        <w:trPr>
          <w:trHeight w:val="300"/>
        </w:trPr>
        <w:tc>
          <w:tcPr>
            <w:tcW w:w="3187" w:type="dxa"/>
            <w:vMerge/>
            <w:shd w:val="clear" w:color="auto" w:fill="auto"/>
            <w:noWrap/>
            <w:vAlign w:val="bottom"/>
          </w:tcPr>
          <w:p w14:paraId="2D933F98" w14:textId="77777777" w:rsidR="0090528B" w:rsidRPr="00050019" w:rsidRDefault="0090528B" w:rsidP="00954470">
            <w:pPr>
              <w:pStyle w:val="DHHStabletext"/>
              <w:rPr>
                <w:lang w:eastAsia="en-AU"/>
              </w:rPr>
            </w:pPr>
          </w:p>
        </w:tc>
        <w:tc>
          <w:tcPr>
            <w:tcW w:w="4524" w:type="dxa"/>
            <w:shd w:val="clear" w:color="auto" w:fill="auto"/>
            <w:noWrap/>
            <w:vAlign w:val="bottom"/>
          </w:tcPr>
          <w:p w14:paraId="04FB7321" w14:textId="77777777" w:rsidR="0090528B" w:rsidRPr="001202B5" w:rsidRDefault="0090528B" w:rsidP="00954470">
            <w:pPr>
              <w:pStyle w:val="DHHStabletext"/>
              <w:rPr>
                <w:rFonts w:cs="Arial"/>
                <w:lang w:eastAsia="en-AU"/>
              </w:rPr>
            </w:pPr>
            <w:r w:rsidRPr="001202B5">
              <w:rPr>
                <w:rFonts w:cs="Arial"/>
                <w:lang w:eastAsia="en-AU"/>
              </w:rPr>
              <w:t>Internal</w:t>
            </w:r>
          </w:p>
        </w:tc>
        <w:tc>
          <w:tcPr>
            <w:tcW w:w="1438" w:type="dxa"/>
            <w:shd w:val="clear" w:color="auto" w:fill="auto"/>
            <w:noWrap/>
          </w:tcPr>
          <w:p w14:paraId="3D7C6259" w14:textId="77777777" w:rsidR="0090528B" w:rsidRPr="001202B5" w:rsidRDefault="0090528B" w:rsidP="00954470">
            <w:pPr>
              <w:pStyle w:val="DHHStabletext"/>
              <w:rPr>
                <w:rFonts w:cs="Arial"/>
                <w:lang w:eastAsia="en-AU"/>
              </w:rPr>
            </w:pPr>
            <w:r w:rsidRPr="001202B5">
              <w:rPr>
                <w:rFonts w:cs="Arial"/>
                <w:color w:val="000000"/>
              </w:rPr>
              <w:t>20 (7%)</w:t>
            </w:r>
          </w:p>
        </w:tc>
      </w:tr>
      <w:tr w:rsidR="0090528B" w:rsidRPr="00050019" w14:paraId="6B287ACD" w14:textId="77777777" w:rsidTr="00254613">
        <w:trPr>
          <w:trHeight w:val="300"/>
        </w:trPr>
        <w:tc>
          <w:tcPr>
            <w:tcW w:w="3187" w:type="dxa"/>
            <w:vMerge/>
            <w:shd w:val="clear" w:color="auto" w:fill="auto"/>
            <w:noWrap/>
            <w:vAlign w:val="bottom"/>
            <w:hideMark/>
          </w:tcPr>
          <w:p w14:paraId="1140BA12" w14:textId="77777777" w:rsidR="0090528B" w:rsidRPr="00050019" w:rsidRDefault="0090528B" w:rsidP="00954470">
            <w:pPr>
              <w:pStyle w:val="DHHStabletext"/>
              <w:rPr>
                <w:lang w:eastAsia="en-AU"/>
              </w:rPr>
            </w:pPr>
          </w:p>
        </w:tc>
        <w:tc>
          <w:tcPr>
            <w:tcW w:w="4524" w:type="dxa"/>
            <w:shd w:val="clear" w:color="auto" w:fill="auto"/>
            <w:noWrap/>
            <w:vAlign w:val="bottom"/>
          </w:tcPr>
          <w:p w14:paraId="7B2F068C" w14:textId="77777777" w:rsidR="0090528B" w:rsidRPr="001202B5" w:rsidRDefault="0090528B" w:rsidP="00954470">
            <w:pPr>
              <w:pStyle w:val="DHHStabletext"/>
              <w:rPr>
                <w:rFonts w:cs="Arial"/>
                <w:lang w:eastAsia="en-AU"/>
              </w:rPr>
            </w:pPr>
            <w:r w:rsidRPr="001202B5">
              <w:rPr>
                <w:rFonts w:cs="Arial"/>
                <w:lang w:eastAsia="en-AU"/>
              </w:rPr>
              <w:t>Unknown</w:t>
            </w:r>
          </w:p>
        </w:tc>
        <w:tc>
          <w:tcPr>
            <w:tcW w:w="1438" w:type="dxa"/>
            <w:shd w:val="clear" w:color="auto" w:fill="auto"/>
            <w:noWrap/>
          </w:tcPr>
          <w:p w14:paraId="561B2A09" w14:textId="77777777" w:rsidR="0090528B" w:rsidRPr="001202B5" w:rsidRDefault="0090528B" w:rsidP="00954470">
            <w:pPr>
              <w:pStyle w:val="DHHStabletext"/>
              <w:rPr>
                <w:rFonts w:cs="Arial"/>
                <w:lang w:eastAsia="en-AU"/>
              </w:rPr>
            </w:pPr>
            <w:r w:rsidRPr="001202B5">
              <w:rPr>
                <w:rFonts w:cs="Arial"/>
                <w:color w:val="000000"/>
              </w:rPr>
              <w:t>13 (4%)</w:t>
            </w:r>
          </w:p>
        </w:tc>
      </w:tr>
      <w:tr w:rsidR="0090528B" w:rsidRPr="00050019" w14:paraId="2CBA1E9A" w14:textId="77777777" w:rsidTr="00254613">
        <w:trPr>
          <w:trHeight w:val="300"/>
        </w:trPr>
        <w:tc>
          <w:tcPr>
            <w:tcW w:w="3187" w:type="dxa"/>
            <w:vMerge/>
            <w:shd w:val="clear" w:color="auto" w:fill="auto"/>
            <w:noWrap/>
            <w:vAlign w:val="bottom"/>
            <w:hideMark/>
          </w:tcPr>
          <w:p w14:paraId="0AFBFB05" w14:textId="77777777" w:rsidR="0090528B" w:rsidRPr="00050019" w:rsidRDefault="0090528B" w:rsidP="00954470">
            <w:pPr>
              <w:pStyle w:val="DHHStabletext"/>
              <w:rPr>
                <w:lang w:eastAsia="en-AU"/>
              </w:rPr>
            </w:pPr>
          </w:p>
        </w:tc>
        <w:tc>
          <w:tcPr>
            <w:tcW w:w="4524" w:type="dxa"/>
            <w:shd w:val="clear" w:color="auto" w:fill="auto"/>
            <w:noWrap/>
            <w:vAlign w:val="bottom"/>
          </w:tcPr>
          <w:p w14:paraId="7FD99B8C" w14:textId="6321B9B1" w:rsidR="0090528B" w:rsidRPr="001202B5" w:rsidRDefault="006D719F" w:rsidP="00954470">
            <w:pPr>
              <w:pStyle w:val="DHHStabletext"/>
              <w:rPr>
                <w:rFonts w:cs="Arial"/>
                <w:lang w:eastAsia="en-AU"/>
              </w:rPr>
            </w:pPr>
            <w:r>
              <w:rPr>
                <w:rFonts w:cs="Arial"/>
                <w:lang w:eastAsia="en-AU"/>
              </w:rPr>
              <w:t>Missing data**</w:t>
            </w:r>
          </w:p>
        </w:tc>
        <w:tc>
          <w:tcPr>
            <w:tcW w:w="1438" w:type="dxa"/>
            <w:shd w:val="clear" w:color="auto" w:fill="auto"/>
            <w:noWrap/>
          </w:tcPr>
          <w:p w14:paraId="5A31348E" w14:textId="77777777" w:rsidR="0090528B" w:rsidRPr="001202B5" w:rsidRDefault="0090528B" w:rsidP="00954470">
            <w:pPr>
              <w:pStyle w:val="DHHStabletext"/>
              <w:rPr>
                <w:rFonts w:cs="Arial"/>
                <w:lang w:eastAsia="en-AU"/>
              </w:rPr>
            </w:pPr>
            <w:r w:rsidRPr="001202B5">
              <w:rPr>
                <w:rFonts w:cs="Arial"/>
                <w:color w:val="000000"/>
              </w:rPr>
              <w:t>17 (6%)</w:t>
            </w:r>
          </w:p>
        </w:tc>
      </w:tr>
      <w:tr w:rsidR="0090528B" w:rsidRPr="00050019" w14:paraId="4B9F238A" w14:textId="77777777" w:rsidTr="00254613">
        <w:trPr>
          <w:trHeight w:val="300"/>
        </w:trPr>
        <w:tc>
          <w:tcPr>
            <w:tcW w:w="3187" w:type="dxa"/>
            <w:vMerge w:val="restart"/>
            <w:shd w:val="clear" w:color="auto" w:fill="D9D9D9" w:themeFill="background1" w:themeFillShade="D9"/>
            <w:noWrap/>
            <w:hideMark/>
          </w:tcPr>
          <w:p w14:paraId="7B34CCD0" w14:textId="77777777" w:rsidR="0090528B" w:rsidRPr="00050019" w:rsidRDefault="0090528B" w:rsidP="00954470">
            <w:pPr>
              <w:pStyle w:val="DHHStabletext"/>
              <w:rPr>
                <w:lang w:eastAsia="en-AU"/>
              </w:rPr>
            </w:pPr>
            <w:r>
              <w:rPr>
                <w:lang w:eastAsia="en-AU"/>
              </w:rPr>
              <w:t xml:space="preserve">Clinician who conducted first </w:t>
            </w:r>
            <w:r w:rsidRPr="00050019">
              <w:rPr>
                <w:lang w:eastAsia="en-AU"/>
              </w:rPr>
              <w:t>app</w:t>
            </w:r>
            <w:r>
              <w:rPr>
                <w:lang w:eastAsia="en-AU"/>
              </w:rPr>
              <w:t>ointment or consultation after the referral</w:t>
            </w:r>
          </w:p>
        </w:tc>
        <w:tc>
          <w:tcPr>
            <w:tcW w:w="4524" w:type="dxa"/>
            <w:shd w:val="clear" w:color="auto" w:fill="D9D9D9" w:themeFill="background1" w:themeFillShade="D9"/>
            <w:noWrap/>
            <w:vAlign w:val="bottom"/>
          </w:tcPr>
          <w:p w14:paraId="33A243B8" w14:textId="16AD34E4" w:rsidR="0090528B" w:rsidRPr="001202B5" w:rsidRDefault="0090528B" w:rsidP="00954470">
            <w:pPr>
              <w:pStyle w:val="DHHStabletext"/>
              <w:rPr>
                <w:rFonts w:cs="Arial"/>
                <w:lang w:eastAsia="en-AU"/>
              </w:rPr>
            </w:pPr>
            <w:r w:rsidRPr="001202B5">
              <w:rPr>
                <w:rFonts w:cs="Arial"/>
                <w:lang w:eastAsia="en-AU"/>
              </w:rPr>
              <w:t xml:space="preserve">UGI </w:t>
            </w:r>
            <w:r w:rsidR="00B82470">
              <w:rPr>
                <w:rFonts w:cs="Arial"/>
                <w:lang w:eastAsia="en-AU"/>
              </w:rPr>
              <w:t>s</w:t>
            </w:r>
            <w:r w:rsidRPr="001202B5">
              <w:rPr>
                <w:rFonts w:cs="Arial"/>
                <w:lang w:eastAsia="en-AU"/>
              </w:rPr>
              <w:t>urgeon</w:t>
            </w:r>
          </w:p>
        </w:tc>
        <w:tc>
          <w:tcPr>
            <w:tcW w:w="1438" w:type="dxa"/>
            <w:shd w:val="clear" w:color="auto" w:fill="D9D9D9" w:themeFill="background1" w:themeFillShade="D9"/>
            <w:noWrap/>
          </w:tcPr>
          <w:p w14:paraId="730CC2EE" w14:textId="77777777" w:rsidR="0090528B" w:rsidRPr="001202B5" w:rsidRDefault="0090528B" w:rsidP="00954470">
            <w:pPr>
              <w:pStyle w:val="DHHStabletext"/>
              <w:rPr>
                <w:rFonts w:cs="Arial"/>
                <w:lang w:eastAsia="en-AU"/>
              </w:rPr>
            </w:pPr>
            <w:r w:rsidRPr="001202B5">
              <w:rPr>
                <w:rFonts w:cs="Arial"/>
                <w:color w:val="000000"/>
              </w:rPr>
              <w:t>69 (23%)</w:t>
            </w:r>
          </w:p>
        </w:tc>
      </w:tr>
      <w:tr w:rsidR="0090528B" w:rsidRPr="00050019" w14:paraId="5BD504F3" w14:textId="77777777" w:rsidTr="00254613">
        <w:trPr>
          <w:trHeight w:val="300"/>
        </w:trPr>
        <w:tc>
          <w:tcPr>
            <w:tcW w:w="3187" w:type="dxa"/>
            <w:vMerge/>
            <w:shd w:val="clear" w:color="auto" w:fill="D9D9D9" w:themeFill="background1" w:themeFillShade="D9"/>
            <w:noWrap/>
            <w:vAlign w:val="bottom"/>
            <w:hideMark/>
          </w:tcPr>
          <w:p w14:paraId="3323415F"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6A8FA3FD" w14:textId="0DD2D15E" w:rsidR="0090528B" w:rsidRPr="001202B5" w:rsidRDefault="0090528B" w:rsidP="00C829DD">
            <w:pPr>
              <w:pStyle w:val="DHHStabletext"/>
              <w:rPr>
                <w:rFonts w:cs="Arial"/>
                <w:lang w:eastAsia="en-AU"/>
              </w:rPr>
            </w:pPr>
            <w:r w:rsidRPr="001202B5">
              <w:rPr>
                <w:rFonts w:cs="Arial"/>
                <w:lang w:eastAsia="en-AU"/>
              </w:rPr>
              <w:t xml:space="preserve">Other </w:t>
            </w:r>
            <w:r w:rsidR="00B82470">
              <w:rPr>
                <w:rFonts w:cs="Arial"/>
                <w:lang w:eastAsia="en-AU"/>
              </w:rPr>
              <w:t>s</w:t>
            </w:r>
            <w:r w:rsidRPr="001202B5">
              <w:rPr>
                <w:rFonts w:cs="Arial"/>
                <w:lang w:eastAsia="en-AU"/>
              </w:rPr>
              <w:t>urgeon</w:t>
            </w:r>
          </w:p>
        </w:tc>
        <w:tc>
          <w:tcPr>
            <w:tcW w:w="1438" w:type="dxa"/>
            <w:shd w:val="clear" w:color="auto" w:fill="D9D9D9" w:themeFill="background1" w:themeFillShade="D9"/>
            <w:noWrap/>
          </w:tcPr>
          <w:p w14:paraId="23930FE2" w14:textId="77777777" w:rsidR="0090528B" w:rsidRPr="001202B5" w:rsidRDefault="0090528B" w:rsidP="00954470">
            <w:pPr>
              <w:pStyle w:val="DHHStabletext"/>
              <w:rPr>
                <w:rFonts w:cs="Arial"/>
                <w:lang w:eastAsia="en-AU"/>
              </w:rPr>
            </w:pPr>
            <w:r w:rsidRPr="001202B5">
              <w:rPr>
                <w:rFonts w:cs="Arial"/>
                <w:color w:val="000000"/>
              </w:rPr>
              <w:t>54 (18%)</w:t>
            </w:r>
          </w:p>
        </w:tc>
      </w:tr>
      <w:tr w:rsidR="0090528B" w:rsidRPr="00050019" w14:paraId="2BB8CC5F" w14:textId="77777777" w:rsidTr="00254613">
        <w:trPr>
          <w:trHeight w:val="300"/>
        </w:trPr>
        <w:tc>
          <w:tcPr>
            <w:tcW w:w="3187" w:type="dxa"/>
            <w:vMerge/>
            <w:shd w:val="clear" w:color="auto" w:fill="D9D9D9" w:themeFill="background1" w:themeFillShade="D9"/>
            <w:noWrap/>
            <w:vAlign w:val="bottom"/>
            <w:hideMark/>
          </w:tcPr>
          <w:p w14:paraId="162BD2CB"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2A427A88" w14:textId="6BB6C203" w:rsidR="0090528B" w:rsidRPr="001202B5" w:rsidRDefault="0090528B" w:rsidP="00C829DD">
            <w:pPr>
              <w:pStyle w:val="DHHStabletext"/>
              <w:rPr>
                <w:rFonts w:cs="Arial"/>
                <w:lang w:eastAsia="en-AU"/>
              </w:rPr>
            </w:pPr>
            <w:r w:rsidRPr="001202B5">
              <w:rPr>
                <w:rFonts w:cs="Arial"/>
                <w:lang w:eastAsia="en-AU"/>
              </w:rPr>
              <w:t xml:space="preserve">Medical </w:t>
            </w:r>
            <w:r w:rsidR="00B82470">
              <w:rPr>
                <w:rFonts w:cs="Arial"/>
                <w:lang w:eastAsia="en-AU"/>
              </w:rPr>
              <w:t>o</w:t>
            </w:r>
            <w:r w:rsidRPr="001202B5">
              <w:rPr>
                <w:rFonts w:cs="Arial"/>
                <w:lang w:eastAsia="en-AU"/>
              </w:rPr>
              <w:t>ncologist</w:t>
            </w:r>
          </w:p>
        </w:tc>
        <w:tc>
          <w:tcPr>
            <w:tcW w:w="1438" w:type="dxa"/>
            <w:shd w:val="clear" w:color="auto" w:fill="D9D9D9" w:themeFill="background1" w:themeFillShade="D9"/>
            <w:noWrap/>
          </w:tcPr>
          <w:p w14:paraId="53638381" w14:textId="77777777" w:rsidR="0090528B" w:rsidRPr="001202B5" w:rsidRDefault="0090528B" w:rsidP="00954470">
            <w:pPr>
              <w:pStyle w:val="DHHStabletext"/>
              <w:rPr>
                <w:rFonts w:cs="Arial"/>
                <w:lang w:eastAsia="en-AU"/>
              </w:rPr>
            </w:pPr>
            <w:r w:rsidRPr="001202B5">
              <w:rPr>
                <w:rFonts w:cs="Arial"/>
                <w:color w:val="000000"/>
              </w:rPr>
              <w:t>54 (18%)</w:t>
            </w:r>
          </w:p>
        </w:tc>
      </w:tr>
      <w:tr w:rsidR="0090528B" w:rsidRPr="00050019" w14:paraId="68240290" w14:textId="77777777" w:rsidTr="00254613">
        <w:trPr>
          <w:trHeight w:val="300"/>
        </w:trPr>
        <w:tc>
          <w:tcPr>
            <w:tcW w:w="3187" w:type="dxa"/>
            <w:vMerge/>
            <w:shd w:val="clear" w:color="auto" w:fill="D9D9D9" w:themeFill="background1" w:themeFillShade="D9"/>
            <w:noWrap/>
            <w:vAlign w:val="bottom"/>
            <w:hideMark/>
          </w:tcPr>
          <w:p w14:paraId="6B85308D"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6FA47B78" w14:textId="77777777" w:rsidR="0090528B" w:rsidRPr="001202B5" w:rsidRDefault="0090528B" w:rsidP="00954470">
            <w:pPr>
              <w:pStyle w:val="DHHStabletext"/>
              <w:rPr>
                <w:rFonts w:cs="Arial"/>
                <w:lang w:eastAsia="en-AU"/>
              </w:rPr>
            </w:pPr>
            <w:r w:rsidRPr="001202B5">
              <w:rPr>
                <w:rFonts w:cs="Arial"/>
                <w:lang w:eastAsia="en-AU"/>
              </w:rPr>
              <w:t>Gastroenterologist</w:t>
            </w:r>
          </w:p>
        </w:tc>
        <w:tc>
          <w:tcPr>
            <w:tcW w:w="1438" w:type="dxa"/>
            <w:shd w:val="clear" w:color="auto" w:fill="D9D9D9" w:themeFill="background1" w:themeFillShade="D9"/>
            <w:noWrap/>
          </w:tcPr>
          <w:p w14:paraId="14219A2A" w14:textId="77777777" w:rsidR="0090528B" w:rsidRPr="001202B5" w:rsidRDefault="0090528B" w:rsidP="00954470">
            <w:pPr>
              <w:pStyle w:val="DHHStabletext"/>
              <w:rPr>
                <w:rFonts w:cs="Arial"/>
                <w:lang w:eastAsia="en-AU"/>
              </w:rPr>
            </w:pPr>
            <w:r w:rsidRPr="001202B5">
              <w:rPr>
                <w:rFonts w:cs="Arial"/>
                <w:color w:val="000000"/>
              </w:rPr>
              <w:t>48 (16%)</w:t>
            </w:r>
          </w:p>
        </w:tc>
      </w:tr>
      <w:tr w:rsidR="0090528B" w:rsidRPr="00050019" w14:paraId="5A8FB600" w14:textId="77777777" w:rsidTr="00254613">
        <w:trPr>
          <w:trHeight w:val="300"/>
        </w:trPr>
        <w:tc>
          <w:tcPr>
            <w:tcW w:w="3187" w:type="dxa"/>
            <w:vMerge/>
            <w:shd w:val="clear" w:color="auto" w:fill="D9D9D9" w:themeFill="background1" w:themeFillShade="D9"/>
            <w:noWrap/>
            <w:vAlign w:val="bottom"/>
          </w:tcPr>
          <w:p w14:paraId="48834F30"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7081CE75" w14:textId="5D3DD623" w:rsidR="0090528B" w:rsidRPr="001202B5" w:rsidRDefault="0090528B" w:rsidP="00954470">
            <w:pPr>
              <w:pStyle w:val="DHHStabletext"/>
              <w:rPr>
                <w:rFonts w:cs="Arial"/>
                <w:lang w:eastAsia="en-AU"/>
              </w:rPr>
            </w:pPr>
            <w:r w:rsidRPr="001202B5">
              <w:rPr>
                <w:rFonts w:cs="Arial"/>
                <w:lang w:eastAsia="en-AU"/>
              </w:rPr>
              <w:t xml:space="preserve">General </w:t>
            </w:r>
            <w:r w:rsidR="00B82470">
              <w:rPr>
                <w:rFonts w:cs="Arial"/>
                <w:lang w:eastAsia="en-AU"/>
              </w:rPr>
              <w:t>m</w:t>
            </w:r>
            <w:r w:rsidRPr="001202B5">
              <w:rPr>
                <w:rFonts w:cs="Arial"/>
                <w:lang w:eastAsia="en-AU"/>
              </w:rPr>
              <w:t>edicine</w:t>
            </w:r>
          </w:p>
        </w:tc>
        <w:tc>
          <w:tcPr>
            <w:tcW w:w="1438" w:type="dxa"/>
            <w:shd w:val="clear" w:color="auto" w:fill="D9D9D9" w:themeFill="background1" w:themeFillShade="D9"/>
            <w:noWrap/>
          </w:tcPr>
          <w:p w14:paraId="3EDA5F88" w14:textId="77777777" w:rsidR="0090528B" w:rsidRPr="001202B5" w:rsidRDefault="0090528B" w:rsidP="00954470">
            <w:pPr>
              <w:pStyle w:val="DHHStabletext"/>
              <w:rPr>
                <w:rFonts w:cs="Arial"/>
                <w:lang w:eastAsia="en-AU"/>
              </w:rPr>
            </w:pPr>
            <w:r w:rsidRPr="001202B5">
              <w:rPr>
                <w:rFonts w:cs="Arial"/>
                <w:color w:val="000000"/>
              </w:rPr>
              <w:t>24 (8%)</w:t>
            </w:r>
          </w:p>
        </w:tc>
      </w:tr>
      <w:tr w:rsidR="0090528B" w:rsidRPr="00050019" w14:paraId="5B7D6E8A" w14:textId="77777777" w:rsidTr="00254613">
        <w:trPr>
          <w:trHeight w:val="300"/>
        </w:trPr>
        <w:tc>
          <w:tcPr>
            <w:tcW w:w="3187" w:type="dxa"/>
            <w:vMerge/>
            <w:shd w:val="clear" w:color="auto" w:fill="D9D9D9" w:themeFill="background1" w:themeFillShade="D9"/>
            <w:noWrap/>
            <w:vAlign w:val="bottom"/>
            <w:hideMark/>
          </w:tcPr>
          <w:p w14:paraId="564616C9"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59E4EF5D" w14:textId="284CEFE2" w:rsidR="0090528B" w:rsidRPr="001202B5" w:rsidRDefault="0090528B" w:rsidP="00C829DD">
            <w:pPr>
              <w:pStyle w:val="DHHStabletext"/>
              <w:rPr>
                <w:rFonts w:cs="Arial"/>
                <w:lang w:eastAsia="en-AU"/>
              </w:rPr>
            </w:pPr>
            <w:r w:rsidRPr="001202B5">
              <w:rPr>
                <w:rFonts w:cs="Arial"/>
                <w:lang w:eastAsia="en-AU"/>
              </w:rPr>
              <w:t xml:space="preserve">Radiation </w:t>
            </w:r>
            <w:r w:rsidR="00B82470">
              <w:rPr>
                <w:rFonts w:cs="Arial"/>
                <w:lang w:eastAsia="en-AU"/>
              </w:rPr>
              <w:t>o</w:t>
            </w:r>
            <w:r w:rsidRPr="001202B5">
              <w:rPr>
                <w:rFonts w:cs="Arial"/>
                <w:lang w:eastAsia="en-AU"/>
              </w:rPr>
              <w:t>ncologist</w:t>
            </w:r>
          </w:p>
        </w:tc>
        <w:tc>
          <w:tcPr>
            <w:tcW w:w="1438" w:type="dxa"/>
            <w:shd w:val="clear" w:color="auto" w:fill="D9D9D9" w:themeFill="background1" w:themeFillShade="D9"/>
            <w:noWrap/>
          </w:tcPr>
          <w:p w14:paraId="3EBFB487" w14:textId="77777777" w:rsidR="0090528B" w:rsidRPr="001202B5" w:rsidRDefault="0090528B" w:rsidP="00954470">
            <w:pPr>
              <w:pStyle w:val="DHHStabletext"/>
              <w:rPr>
                <w:rFonts w:cs="Arial"/>
                <w:lang w:eastAsia="en-AU"/>
              </w:rPr>
            </w:pPr>
            <w:r w:rsidRPr="001202B5">
              <w:rPr>
                <w:rFonts w:cs="Arial"/>
                <w:color w:val="000000"/>
              </w:rPr>
              <w:t>14 (5%)</w:t>
            </w:r>
          </w:p>
        </w:tc>
      </w:tr>
      <w:tr w:rsidR="0090528B" w:rsidRPr="00050019" w14:paraId="77F5B43A" w14:textId="77777777" w:rsidTr="00254613">
        <w:trPr>
          <w:trHeight w:val="300"/>
        </w:trPr>
        <w:tc>
          <w:tcPr>
            <w:tcW w:w="3187" w:type="dxa"/>
            <w:vMerge/>
            <w:shd w:val="clear" w:color="auto" w:fill="D9D9D9" w:themeFill="background1" w:themeFillShade="D9"/>
            <w:noWrap/>
            <w:vAlign w:val="bottom"/>
            <w:hideMark/>
          </w:tcPr>
          <w:p w14:paraId="7606999E"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76403B68" w14:textId="77777777" w:rsidR="0090528B" w:rsidRPr="001202B5" w:rsidRDefault="0090528B" w:rsidP="00954470">
            <w:pPr>
              <w:pStyle w:val="DHHStabletext"/>
              <w:rPr>
                <w:rFonts w:cs="Arial"/>
                <w:lang w:eastAsia="en-AU"/>
              </w:rPr>
            </w:pPr>
            <w:r w:rsidRPr="001202B5">
              <w:rPr>
                <w:rFonts w:cs="Arial"/>
                <w:lang w:eastAsia="en-AU"/>
              </w:rPr>
              <w:t>Other</w:t>
            </w:r>
          </w:p>
        </w:tc>
        <w:tc>
          <w:tcPr>
            <w:tcW w:w="1438" w:type="dxa"/>
            <w:shd w:val="clear" w:color="auto" w:fill="D9D9D9" w:themeFill="background1" w:themeFillShade="D9"/>
            <w:noWrap/>
          </w:tcPr>
          <w:p w14:paraId="1933EC1C" w14:textId="77777777" w:rsidR="0090528B" w:rsidRPr="001202B5" w:rsidRDefault="0090528B" w:rsidP="00954470">
            <w:pPr>
              <w:pStyle w:val="DHHStabletext"/>
              <w:rPr>
                <w:rFonts w:cs="Arial"/>
                <w:lang w:eastAsia="en-AU"/>
              </w:rPr>
            </w:pPr>
            <w:r w:rsidRPr="001202B5">
              <w:rPr>
                <w:rFonts w:cs="Arial"/>
                <w:color w:val="000000"/>
              </w:rPr>
              <w:t>9 (3%)</w:t>
            </w:r>
          </w:p>
        </w:tc>
      </w:tr>
      <w:tr w:rsidR="0090528B" w:rsidRPr="00050019" w14:paraId="6777B4BB" w14:textId="77777777" w:rsidTr="00254613">
        <w:trPr>
          <w:trHeight w:val="300"/>
        </w:trPr>
        <w:tc>
          <w:tcPr>
            <w:tcW w:w="3187" w:type="dxa"/>
            <w:vMerge/>
            <w:shd w:val="clear" w:color="auto" w:fill="D9D9D9" w:themeFill="background1" w:themeFillShade="D9"/>
            <w:noWrap/>
            <w:vAlign w:val="bottom"/>
            <w:hideMark/>
          </w:tcPr>
          <w:p w14:paraId="28100EE8" w14:textId="77777777" w:rsidR="0090528B" w:rsidRPr="00050019" w:rsidRDefault="0090528B" w:rsidP="00954470">
            <w:pPr>
              <w:pStyle w:val="DHHStabletext"/>
              <w:rPr>
                <w:lang w:eastAsia="en-AU"/>
              </w:rPr>
            </w:pPr>
          </w:p>
        </w:tc>
        <w:tc>
          <w:tcPr>
            <w:tcW w:w="4524" w:type="dxa"/>
            <w:shd w:val="clear" w:color="auto" w:fill="D9D9D9" w:themeFill="background1" w:themeFillShade="D9"/>
            <w:noWrap/>
            <w:vAlign w:val="bottom"/>
          </w:tcPr>
          <w:p w14:paraId="0B189B19" w14:textId="77777777" w:rsidR="0090528B" w:rsidRPr="001202B5" w:rsidRDefault="0090528B" w:rsidP="00954470">
            <w:pPr>
              <w:pStyle w:val="DHHStabletext"/>
              <w:rPr>
                <w:rFonts w:cs="Arial"/>
                <w:lang w:eastAsia="en-AU"/>
              </w:rPr>
            </w:pPr>
            <w:r w:rsidRPr="001202B5">
              <w:rPr>
                <w:rFonts w:cs="Arial"/>
                <w:lang w:eastAsia="en-AU"/>
              </w:rPr>
              <w:t>Unknown</w:t>
            </w:r>
          </w:p>
        </w:tc>
        <w:tc>
          <w:tcPr>
            <w:tcW w:w="1438" w:type="dxa"/>
            <w:shd w:val="clear" w:color="auto" w:fill="D9D9D9" w:themeFill="background1" w:themeFillShade="D9"/>
            <w:noWrap/>
          </w:tcPr>
          <w:p w14:paraId="4A02C621" w14:textId="77777777" w:rsidR="0090528B" w:rsidRPr="001202B5" w:rsidRDefault="0090528B" w:rsidP="00954470">
            <w:pPr>
              <w:pStyle w:val="DHHStabletext"/>
              <w:rPr>
                <w:rFonts w:cs="Arial"/>
                <w:lang w:eastAsia="en-AU"/>
              </w:rPr>
            </w:pPr>
            <w:r w:rsidRPr="001202B5">
              <w:rPr>
                <w:rFonts w:cs="Arial"/>
                <w:color w:val="000000"/>
              </w:rPr>
              <w:t>7 (3%)</w:t>
            </w:r>
          </w:p>
        </w:tc>
      </w:tr>
      <w:tr w:rsidR="0090528B" w:rsidRPr="00050019" w14:paraId="06A0FBA2" w14:textId="77777777" w:rsidTr="00254613">
        <w:trPr>
          <w:trHeight w:val="326"/>
        </w:trPr>
        <w:tc>
          <w:tcPr>
            <w:tcW w:w="3187" w:type="dxa"/>
            <w:vMerge/>
            <w:shd w:val="clear" w:color="auto" w:fill="D9D9D9" w:themeFill="background1" w:themeFillShade="D9"/>
            <w:noWrap/>
            <w:vAlign w:val="bottom"/>
            <w:hideMark/>
          </w:tcPr>
          <w:p w14:paraId="765D547B" w14:textId="77777777" w:rsidR="0090528B" w:rsidRPr="00050019" w:rsidRDefault="0090528B" w:rsidP="00954470">
            <w:pPr>
              <w:pStyle w:val="DHHStabletext"/>
              <w:rPr>
                <w:lang w:eastAsia="en-AU"/>
              </w:rPr>
            </w:pPr>
          </w:p>
        </w:tc>
        <w:tc>
          <w:tcPr>
            <w:tcW w:w="4524" w:type="dxa"/>
            <w:shd w:val="clear" w:color="auto" w:fill="D9D9D9" w:themeFill="background1" w:themeFillShade="D9"/>
            <w:noWrap/>
          </w:tcPr>
          <w:p w14:paraId="757ED7C2" w14:textId="60922591" w:rsidR="0090528B" w:rsidRPr="001202B5" w:rsidRDefault="001E4B2B" w:rsidP="00954470">
            <w:pPr>
              <w:pStyle w:val="DHHStabletext"/>
              <w:rPr>
                <w:rFonts w:cs="Arial"/>
                <w:lang w:eastAsia="en-AU"/>
              </w:rPr>
            </w:pPr>
            <w:r>
              <w:rPr>
                <w:rFonts w:cs="Arial"/>
                <w:lang w:eastAsia="en-AU"/>
              </w:rPr>
              <w:t>Missing data**</w:t>
            </w:r>
          </w:p>
        </w:tc>
        <w:tc>
          <w:tcPr>
            <w:tcW w:w="1438" w:type="dxa"/>
            <w:shd w:val="clear" w:color="auto" w:fill="D9D9D9" w:themeFill="background1" w:themeFillShade="D9"/>
            <w:noWrap/>
          </w:tcPr>
          <w:p w14:paraId="1E282F08" w14:textId="77777777" w:rsidR="0090528B" w:rsidRPr="001202B5" w:rsidRDefault="0090528B" w:rsidP="00954470">
            <w:pPr>
              <w:pStyle w:val="DHHStabletext"/>
              <w:rPr>
                <w:rFonts w:cs="Arial"/>
                <w:lang w:eastAsia="en-AU"/>
              </w:rPr>
            </w:pPr>
            <w:r w:rsidRPr="001202B5">
              <w:rPr>
                <w:rFonts w:cs="Arial"/>
                <w:color w:val="000000"/>
              </w:rPr>
              <w:t>18 (6%)</w:t>
            </w:r>
          </w:p>
        </w:tc>
      </w:tr>
      <w:tr w:rsidR="0090528B" w:rsidRPr="00050019" w14:paraId="222F92C7" w14:textId="77777777" w:rsidTr="00254613">
        <w:trPr>
          <w:trHeight w:val="300"/>
        </w:trPr>
        <w:tc>
          <w:tcPr>
            <w:tcW w:w="3187" w:type="dxa"/>
            <w:vMerge w:val="restart"/>
            <w:shd w:val="clear" w:color="auto" w:fill="auto"/>
            <w:noWrap/>
            <w:hideMark/>
          </w:tcPr>
          <w:p w14:paraId="68E23264" w14:textId="77777777" w:rsidR="0090528B" w:rsidRPr="00050019" w:rsidRDefault="0090528B" w:rsidP="00954470">
            <w:pPr>
              <w:pStyle w:val="DHHStabletext"/>
              <w:rPr>
                <w:lang w:eastAsia="en-AU"/>
              </w:rPr>
            </w:pPr>
            <w:r>
              <w:rPr>
                <w:lang w:eastAsia="en-AU"/>
              </w:rPr>
              <w:t xml:space="preserve">First appointment or </w:t>
            </w:r>
            <w:r w:rsidRPr="00050019">
              <w:rPr>
                <w:lang w:eastAsia="en-AU"/>
              </w:rPr>
              <w:t>consult</w:t>
            </w:r>
            <w:r>
              <w:rPr>
                <w:lang w:eastAsia="en-AU"/>
              </w:rPr>
              <w:t>ation type</w:t>
            </w:r>
          </w:p>
        </w:tc>
        <w:tc>
          <w:tcPr>
            <w:tcW w:w="4524" w:type="dxa"/>
            <w:shd w:val="clear" w:color="auto" w:fill="auto"/>
            <w:noWrap/>
            <w:vAlign w:val="bottom"/>
          </w:tcPr>
          <w:p w14:paraId="48B41D8A" w14:textId="77777777" w:rsidR="0090528B" w:rsidRPr="001202B5" w:rsidRDefault="0090528B" w:rsidP="00954470">
            <w:pPr>
              <w:pStyle w:val="DHHStabletext"/>
              <w:rPr>
                <w:rFonts w:cs="Arial"/>
                <w:lang w:eastAsia="en-AU"/>
              </w:rPr>
            </w:pPr>
            <w:r w:rsidRPr="001202B5">
              <w:rPr>
                <w:rFonts w:cs="Arial"/>
                <w:lang w:eastAsia="en-AU"/>
              </w:rPr>
              <w:t>Inpatient</w:t>
            </w:r>
          </w:p>
        </w:tc>
        <w:tc>
          <w:tcPr>
            <w:tcW w:w="1438" w:type="dxa"/>
            <w:shd w:val="clear" w:color="auto" w:fill="auto"/>
            <w:noWrap/>
          </w:tcPr>
          <w:p w14:paraId="40DE1099" w14:textId="77777777" w:rsidR="0090528B" w:rsidRPr="001202B5" w:rsidRDefault="0090528B" w:rsidP="00954470">
            <w:pPr>
              <w:pStyle w:val="DHHStabletext"/>
              <w:rPr>
                <w:rFonts w:cs="Arial"/>
                <w:lang w:eastAsia="en-AU"/>
              </w:rPr>
            </w:pPr>
            <w:r w:rsidRPr="001202B5">
              <w:rPr>
                <w:rFonts w:cs="Arial"/>
                <w:color w:val="000000"/>
              </w:rPr>
              <w:t>127 (43%)</w:t>
            </w:r>
          </w:p>
        </w:tc>
      </w:tr>
      <w:tr w:rsidR="0090528B" w:rsidRPr="00050019" w14:paraId="57A738FE" w14:textId="77777777" w:rsidTr="00254613">
        <w:trPr>
          <w:trHeight w:val="300"/>
        </w:trPr>
        <w:tc>
          <w:tcPr>
            <w:tcW w:w="3187" w:type="dxa"/>
            <w:vMerge/>
            <w:shd w:val="clear" w:color="auto" w:fill="auto"/>
            <w:noWrap/>
            <w:vAlign w:val="bottom"/>
            <w:hideMark/>
          </w:tcPr>
          <w:p w14:paraId="161EA3ED" w14:textId="77777777" w:rsidR="0090528B" w:rsidRPr="00050019" w:rsidRDefault="0090528B" w:rsidP="00954470">
            <w:pPr>
              <w:pStyle w:val="DHHStabletext"/>
              <w:rPr>
                <w:lang w:eastAsia="en-AU"/>
              </w:rPr>
            </w:pPr>
          </w:p>
        </w:tc>
        <w:tc>
          <w:tcPr>
            <w:tcW w:w="4524" w:type="dxa"/>
            <w:shd w:val="clear" w:color="auto" w:fill="auto"/>
            <w:noWrap/>
            <w:vAlign w:val="bottom"/>
          </w:tcPr>
          <w:p w14:paraId="30838773" w14:textId="77777777" w:rsidR="0090528B" w:rsidRPr="001202B5" w:rsidRDefault="0090528B" w:rsidP="00954470">
            <w:pPr>
              <w:pStyle w:val="DHHStabletext"/>
              <w:rPr>
                <w:rFonts w:cs="Arial"/>
                <w:lang w:eastAsia="en-AU"/>
              </w:rPr>
            </w:pPr>
            <w:r w:rsidRPr="001202B5">
              <w:rPr>
                <w:rFonts w:cs="Arial"/>
                <w:lang w:eastAsia="en-AU"/>
              </w:rPr>
              <w:t>Outpatient</w:t>
            </w:r>
          </w:p>
        </w:tc>
        <w:tc>
          <w:tcPr>
            <w:tcW w:w="1438" w:type="dxa"/>
            <w:shd w:val="clear" w:color="auto" w:fill="auto"/>
            <w:noWrap/>
          </w:tcPr>
          <w:p w14:paraId="40F02423" w14:textId="77777777" w:rsidR="0090528B" w:rsidRPr="001202B5" w:rsidRDefault="0090528B" w:rsidP="00954470">
            <w:pPr>
              <w:pStyle w:val="DHHStabletext"/>
              <w:rPr>
                <w:rFonts w:cs="Arial"/>
                <w:lang w:eastAsia="en-AU"/>
              </w:rPr>
            </w:pPr>
            <w:r w:rsidRPr="001202B5">
              <w:rPr>
                <w:rFonts w:cs="Arial"/>
                <w:color w:val="000000"/>
              </w:rPr>
              <w:t>141 (47%)</w:t>
            </w:r>
          </w:p>
        </w:tc>
      </w:tr>
      <w:tr w:rsidR="0090528B" w:rsidRPr="00050019" w14:paraId="67C877E1" w14:textId="77777777" w:rsidTr="00254613">
        <w:trPr>
          <w:trHeight w:val="228"/>
        </w:trPr>
        <w:tc>
          <w:tcPr>
            <w:tcW w:w="3187" w:type="dxa"/>
            <w:vMerge/>
            <w:shd w:val="clear" w:color="auto" w:fill="auto"/>
            <w:noWrap/>
            <w:vAlign w:val="bottom"/>
            <w:hideMark/>
          </w:tcPr>
          <w:p w14:paraId="45423FCA" w14:textId="77777777" w:rsidR="0090528B" w:rsidRPr="00050019" w:rsidRDefault="0090528B" w:rsidP="00954470">
            <w:pPr>
              <w:pStyle w:val="DHHStabletext"/>
              <w:rPr>
                <w:lang w:eastAsia="en-AU"/>
              </w:rPr>
            </w:pPr>
          </w:p>
        </w:tc>
        <w:tc>
          <w:tcPr>
            <w:tcW w:w="4524" w:type="dxa"/>
            <w:shd w:val="clear" w:color="auto" w:fill="auto"/>
            <w:noWrap/>
            <w:vAlign w:val="bottom"/>
          </w:tcPr>
          <w:p w14:paraId="19960838" w14:textId="243C515F" w:rsidR="0090528B" w:rsidRPr="001202B5" w:rsidRDefault="001E4B2B" w:rsidP="00954470">
            <w:pPr>
              <w:pStyle w:val="DHHStabletext"/>
              <w:rPr>
                <w:rFonts w:cs="Arial"/>
                <w:lang w:eastAsia="en-AU"/>
              </w:rPr>
            </w:pPr>
            <w:r>
              <w:rPr>
                <w:rFonts w:cs="Arial"/>
                <w:lang w:eastAsia="en-AU"/>
              </w:rPr>
              <w:t>Missing data**</w:t>
            </w:r>
          </w:p>
        </w:tc>
        <w:tc>
          <w:tcPr>
            <w:tcW w:w="1438" w:type="dxa"/>
            <w:shd w:val="clear" w:color="auto" w:fill="auto"/>
            <w:noWrap/>
          </w:tcPr>
          <w:p w14:paraId="2BC60C09" w14:textId="77777777" w:rsidR="0090528B" w:rsidRPr="001202B5" w:rsidRDefault="0090528B" w:rsidP="00954470">
            <w:pPr>
              <w:pStyle w:val="DHHStabletext"/>
              <w:rPr>
                <w:rFonts w:cs="Arial"/>
                <w:lang w:eastAsia="en-AU"/>
              </w:rPr>
            </w:pPr>
            <w:r w:rsidRPr="001202B5">
              <w:rPr>
                <w:rFonts w:cs="Arial"/>
                <w:color w:val="000000"/>
              </w:rPr>
              <w:t>29 (10%)</w:t>
            </w:r>
          </w:p>
        </w:tc>
      </w:tr>
      <w:tr w:rsidR="0090528B" w:rsidRPr="00050019" w14:paraId="17609C2C" w14:textId="77777777" w:rsidTr="00254613">
        <w:trPr>
          <w:trHeight w:val="300"/>
        </w:trPr>
        <w:tc>
          <w:tcPr>
            <w:tcW w:w="3187" w:type="dxa"/>
            <w:vMerge w:val="restart"/>
            <w:shd w:val="clear" w:color="auto" w:fill="D9D9D9" w:themeFill="background1" w:themeFillShade="D9"/>
            <w:noWrap/>
          </w:tcPr>
          <w:p w14:paraId="10ABDEF0" w14:textId="77777777" w:rsidR="0090528B" w:rsidRPr="00050019" w:rsidRDefault="0090528B" w:rsidP="00954470">
            <w:pPr>
              <w:pStyle w:val="DHHStabletext"/>
              <w:rPr>
                <w:lang w:eastAsia="en-AU"/>
              </w:rPr>
            </w:pPr>
            <w:r>
              <w:rPr>
                <w:lang w:eastAsia="en-AU"/>
              </w:rPr>
              <w:t>Did the patient have an admission to a palliative care ward or referral to community palliative care services?</w:t>
            </w:r>
          </w:p>
        </w:tc>
        <w:tc>
          <w:tcPr>
            <w:tcW w:w="4524" w:type="dxa"/>
            <w:shd w:val="clear" w:color="auto" w:fill="D9D9D9" w:themeFill="background1" w:themeFillShade="D9"/>
            <w:noWrap/>
            <w:vAlign w:val="bottom"/>
          </w:tcPr>
          <w:p w14:paraId="2C945BC1" w14:textId="77777777" w:rsidR="0090528B" w:rsidRPr="001202B5" w:rsidRDefault="0090528B" w:rsidP="00954470">
            <w:pPr>
              <w:pStyle w:val="DHHStabletext"/>
              <w:rPr>
                <w:rFonts w:cs="Arial"/>
                <w:lang w:eastAsia="en-AU"/>
              </w:rPr>
            </w:pPr>
            <w:r w:rsidRPr="001202B5">
              <w:rPr>
                <w:rFonts w:cs="Arial"/>
                <w:lang w:eastAsia="en-AU"/>
              </w:rPr>
              <w:t>Yes, admitted to palliative care ward</w:t>
            </w:r>
          </w:p>
        </w:tc>
        <w:tc>
          <w:tcPr>
            <w:tcW w:w="1438" w:type="dxa"/>
            <w:shd w:val="clear" w:color="auto" w:fill="D9D9D9" w:themeFill="background1" w:themeFillShade="D9"/>
            <w:noWrap/>
          </w:tcPr>
          <w:p w14:paraId="5290C84A" w14:textId="77777777" w:rsidR="0090528B" w:rsidRPr="001202B5" w:rsidRDefault="0090528B" w:rsidP="00954470">
            <w:pPr>
              <w:pStyle w:val="DHHStabletext"/>
              <w:rPr>
                <w:rFonts w:cs="Arial"/>
                <w:lang w:eastAsia="en-AU"/>
              </w:rPr>
            </w:pPr>
            <w:r w:rsidRPr="001202B5">
              <w:rPr>
                <w:rFonts w:cs="Arial"/>
                <w:lang w:eastAsia="en-AU"/>
              </w:rPr>
              <w:t>29 (10%)</w:t>
            </w:r>
          </w:p>
        </w:tc>
      </w:tr>
      <w:tr w:rsidR="0090528B" w:rsidRPr="00050019" w14:paraId="102CFF95" w14:textId="77777777" w:rsidTr="00254613">
        <w:trPr>
          <w:trHeight w:val="300"/>
        </w:trPr>
        <w:tc>
          <w:tcPr>
            <w:tcW w:w="3187" w:type="dxa"/>
            <w:vMerge/>
            <w:shd w:val="clear" w:color="auto" w:fill="D9D9D9" w:themeFill="background1" w:themeFillShade="D9"/>
            <w:noWrap/>
            <w:vAlign w:val="bottom"/>
          </w:tcPr>
          <w:p w14:paraId="7053FCED" w14:textId="77777777" w:rsidR="0090528B" w:rsidRDefault="0090528B" w:rsidP="00954470">
            <w:pPr>
              <w:pStyle w:val="DHHStabletext"/>
              <w:rPr>
                <w:lang w:eastAsia="en-AU"/>
              </w:rPr>
            </w:pPr>
          </w:p>
        </w:tc>
        <w:tc>
          <w:tcPr>
            <w:tcW w:w="4524" w:type="dxa"/>
            <w:shd w:val="clear" w:color="auto" w:fill="D9D9D9" w:themeFill="background1" w:themeFillShade="D9"/>
            <w:noWrap/>
            <w:vAlign w:val="bottom"/>
          </w:tcPr>
          <w:p w14:paraId="611B1219" w14:textId="77777777" w:rsidR="0090528B" w:rsidRPr="001202B5" w:rsidRDefault="0090528B" w:rsidP="00954470">
            <w:pPr>
              <w:pStyle w:val="DHHStabletext"/>
              <w:rPr>
                <w:rFonts w:cs="Arial"/>
                <w:lang w:eastAsia="en-AU"/>
              </w:rPr>
            </w:pPr>
            <w:r w:rsidRPr="001202B5">
              <w:rPr>
                <w:rFonts w:cs="Arial"/>
                <w:lang w:eastAsia="en-AU"/>
              </w:rPr>
              <w:t>Yes, community palliative care referral</w:t>
            </w:r>
          </w:p>
        </w:tc>
        <w:tc>
          <w:tcPr>
            <w:tcW w:w="1438" w:type="dxa"/>
            <w:shd w:val="clear" w:color="auto" w:fill="D9D9D9" w:themeFill="background1" w:themeFillShade="D9"/>
            <w:noWrap/>
          </w:tcPr>
          <w:p w14:paraId="6692289D" w14:textId="77777777" w:rsidR="0090528B" w:rsidRPr="001202B5" w:rsidRDefault="0090528B" w:rsidP="00954470">
            <w:pPr>
              <w:pStyle w:val="DHHStabletext"/>
              <w:rPr>
                <w:rFonts w:cs="Arial"/>
                <w:lang w:eastAsia="en-AU"/>
              </w:rPr>
            </w:pPr>
            <w:r w:rsidRPr="001202B5">
              <w:rPr>
                <w:rFonts w:cs="Arial"/>
                <w:lang w:eastAsia="en-AU"/>
              </w:rPr>
              <w:t>65 (22%)</w:t>
            </w:r>
          </w:p>
        </w:tc>
      </w:tr>
      <w:tr w:rsidR="0090528B" w:rsidRPr="00050019" w14:paraId="4B0F7661" w14:textId="77777777" w:rsidTr="00254613">
        <w:trPr>
          <w:trHeight w:val="300"/>
        </w:trPr>
        <w:tc>
          <w:tcPr>
            <w:tcW w:w="3187" w:type="dxa"/>
            <w:vMerge/>
            <w:shd w:val="clear" w:color="auto" w:fill="D9D9D9" w:themeFill="background1" w:themeFillShade="D9"/>
            <w:noWrap/>
            <w:vAlign w:val="bottom"/>
          </w:tcPr>
          <w:p w14:paraId="2955A3DD" w14:textId="77777777" w:rsidR="0090528B" w:rsidRDefault="0090528B" w:rsidP="00954470">
            <w:pPr>
              <w:pStyle w:val="DHHStabletext"/>
              <w:rPr>
                <w:lang w:eastAsia="en-AU"/>
              </w:rPr>
            </w:pPr>
          </w:p>
        </w:tc>
        <w:tc>
          <w:tcPr>
            <w:tcW w:w="4524" w:type="dxa"/>
            <w:shd w:val="clear" w:color="auto" w:fill="D9D9D9" w:themeFill="background1" w:themeFillShade="D9"/>
            <w:noWrap/>
            <w:vAlign w:val="bottom"/>
          </w:tcPr>
          <w:p w14:paraId="557C199E" w14:textId="77777777" w:rsidR="0090528B" w:rsidRPr="001202B5" w:rsidRDefault="0090528B" w:rsidP="00954470">
            <w:pPr>
              <w:pStyle w:val="DHHStabletext"/>
              <w:rPr>
                <w:rFonts w:cs="Arial"/>
                <w:lang w:eastAsia="en-AU"/>
              </w:rPr>
            </w:pPr>
            <w:r w:rsidRPr="001202B5">
              <w:rPr>
                <w:rFonts w:cs="Arial"/>
                <w:lang w:eastAsia="en-AU"/>
              </w:rPr>
              <w:t>Yes, referral to both palliative care ward and community palliative care services</w:t>
            </w:r>
          </w:p>
        </w:tc>
        <w:tc>
          <w:tcPr>
            <w:tcW w:w="1438" w:type="dxa"/>
            <w:shd w:val="clear" w:color="auto" w:fill="D9D9D9" w:themeFill="background1" w:themeFillShade="D9"/>
            <w:noWrap/>
          </w:tcPr>
          <w:p w14:paraId="14EFB56B" w14:textId="77777777" w:rsidR="0090528B" w:rsidRPr="001202B5" w:rsidRDefault="0090528B" w:rsidP="00954470">
            <w:pPr>
              <w:pStyle w:val="DHHStabletext"/>
              <w:rPr>
                <w:rFonts w:cs="Arial"/>
                <w:lang w:eastAsia="en-AU"/>
              </w:rPr>
            </w:pPr>
            <w:r w:rsidRPr="001202B5">
              <w:rPr>
                <w:rFonts w:cs="Arial"/>
                <w:lang w:eastAsia="en-AU"/>
              </w:rPr>
              <w:t>13 (4%)</w:t>
            </w:r>
          </w:p>
        </w:tc>
      </w:tr>
      <w:tr w:rsidR="0090528B" w:rsidRPr="00050019" w14:paraId="6A9A360A" w14:textId="77777777" w:rsidTr="00254613">
        <w:trPr>
          <w:trHeight w:val="300"/>
        </w:trPr>
        <w:tc>
          <w:tcPr>
            <w:tcW w:w="3187" w:type="dxa"/>
            <w:vMerge/>
            <w:shd w:val="clear" w:color="auto" w:fill="D9D9D9" w:themeFill="background1" w:themeFillShade="D9"/>
            <w:noWrap/>
            <w:vAlign w:val="bottom"/>
          </w:tcPr>
          <w:p w14:paraId="2B3D3D08" w14:textId="77777777" w:rsidR="0090528B" w:rsidRDefault="0090528B" w:rsidP="00954470">
            <w:pPr>
              <w:pStyle w:val="DHHStabletext"/>
              <w:rPr>
                <w:lang w:eastAsia="en-AU"/>
              </w:rPr>
            </w:pPr>
          </w:p>
        </w:tc>
        <w:tc>
          <w:tcPr>
            <w:tcW w:w="4524" w:type="dxa"/>
            <w:shd w:val="clear" w:color="auto" w:fill="D9D9D9" w:themeFill="background1" w:themeFillShade="D9"/>
            <w:noWrap/>
            <w:vAlign w:val="bottom"/>
          </w:tcPr>
          <w:p w14:paraId="675B34EB" w14:textId="77777777" w:rsidR="0090528B" w:rsidRPr="001202B5" w:rsidRDefault="0090528B" w:rsidP="00954470">
            <w:pPr>
              <w:pStyle w:val="DHHStabletext"/>
              <w:rPr>
                <w:rFonts w:cs="Arial"/>
                <w:lang w:eastAsia="en-AU"/>
              </w:rPr>
            </w:pPr>
            <w:r w:rsidRPr="001202B5">
              <w:rPr>
                <w:rFonts w:cs="Arial"/>
                <w:lang w:eastAsia="en-AU"/>
              </w:rPr>
              <w:t>No documented admission or referral</w:t>
            </w:r>
          </w:p>
        </w:tc>
        <w:tc>
          <w:tcPr>
            <w:tcW w:w="1438" w:type="dxa"/>
            <w:shd w:val="clear" w:color="auto" w:fill="D9D9D9" w:themeFill="background1" w:themeFillShade="D9"/>
            <w:noWrap/>
          </w:tcPr>
          <w:p w14:paraId="310A137B" w14:textId="77777777" w:rsidR="0090528B" w:rsidRPr="001202B5" w:rsidRDefault="0090528B" w:rsidP="00954470">
            <w:pPr>
              <w:pStyle w:val="DHHStabletext"/>
              <w:rPr>
                <w:rFonts w:cs="Arial"/>
                <w:lang w:eastAsia="en-AU"/>
              </w:rPr>
            </w:pPr>
            <w:r w:rsidRPr="001202B5">
              <w:rPr>
                <w:rFonts w:cs="Arial"/>
                <w:lang w:eastAsia="en-AU"/>
              </w:rPr>
              <w:t>169 (57%)</w:t>
            </w:r>
          </w:p>
        </w:tc>
      </w:tr>
      <w:tr w:rsidR="0090528B" w:rsidRPr="00050019" w14:paraId="35BD3646" w14:textId="77777777" w:rsidTr="00254613">
        <w:trPr>
          <w:trHeight w:val="300"/>
        </w:trPr>
        <w:tc>
          <w:tcPr>
            <w:tcW w:w="3187" w:type="dxa"/>
            <w:vMerge/>
            <w:shd w:val="clear" w:color="auto" w:fill="D9D9D9" w:themeFill="background1" w:themeFillShade="D9"/>
            <w:noWrap/>
            <w:vAlign w:val="bottom"/>
          </w:tcPr>
          <w:p w14:paraId="39180E1A" w14:textId="77777777" w:rsidR="0090528B" w:rsidRDefault="0090528B" w:rsidP="00954470">
            <w:pPr>
              <w:pStyle w:val="DHHStabletext"/>
              <w:rPr>
                <w:lang w:eastAsia="en-AU"/>
              </w:rPr>
            </w:pPr>
          </w:p>
        </w:tc>
        <w:tc>
          <w:tcPr>
            <w:tcW w:w="4524" w:type="dxa"/>
            <w:shd w:val="clear" w:color="auto" w:fill="D9D9D9" w:themeFill="background1" w:themeFillShade="D9"/>
            <w:noWrap/>
            <w:vAlign w:val="bottom"/>
          </w:tcPr>
          <w:p w14:paraId="6AE1C792" w14:textId="6FF419DE" w:rsidR="0090528B" w:rsidRPr="001202B5" w:rsidRDefault="001E4B2B" w:rsidP="00954470">
            <w:pPr>
              <w:pStyle w:val="DHHStabletext"/>
              <w:rPr>
                <w:rFonts w:cs="Arial"/>
                <w:lang w:eastAsia="en-AU"/>
              </w:rPr>
            </w:pPr>
            <w:r>
              <w:rPr>
                <w:rFonts w:cs="Arial"/>
                <w:lang w:eastAsia="en-AU"/>
              </w:rPr>
              <w:t>Missing data**</w:t>
            </w:r>
          </w:p>
        </w:tc>
        <w:tc>
          <w:tcPr>
            <w:tcW w:w="1438" w:type="dxa"/>
            <w:shd w:val="clear" w:color="auto" w:fill="D9D9D9" w:themeFill="background1" w:themeFillShade="D9"/>
            <w:noWrap/>
          </w:tcPr>
          <w:p w14:paraId="72B21ADB" w14:textId="2BD2E1B2" w:rsidR="0090528B" w:rsidRPr="001202B5" w:rsidRDefault="005F0E62" w:rsidP="00954470">
            <w:pPr>
              <w:pStyle w:val="DHHStabletext"/>
              <w:rPr>
                <w:rFonts w:cs="Arial"/>
                <w:lang w:eastAsia="en-AU"/>
              </w:rPr>
            </w:pPr>
            <w:r w:rsidRPr="001202B5">
              <w:rPr>
                <w:rFonts w:cs="Arial"/>
                <w:lang w:eastAsia="en-AU"/>
              </w:rPr>
              <w:t xml:space="preserve"> </w:t>
            </w:r>
            <w:r w:rsidR="0090528B" w:rsidRPr="001202B5">
              <w:rPr>
                <w:rFonts w:cs="Arial"/>
                <w:lang w:eastAsia="en-AU"/>
              </w:rPr>
              <w:t>21 (7%)</w:t>
            </w:r>
          </w:p>
        </w:tc>
      </w:tr>
    </w:tbl>
    <w:p w14:paraId="75F69199" w14:textId="2A9B6B8C" w:rsidR="009A009B" w:rsidRPr="009A009B" w:rsidRDefault="009A009B" w:rsidP="006727DF">
      <w:pPr>
        <w:pStyle w:val="DHHStablefigurenote"/>
        <w:rPr>
          <w:lang w:eastAsia="en-AU"/>
        </w:rPr>
      </w:pPr>
      <w:r w:rsidRPr="009A009B">
        <w:rPr>
          <w:vertAlign w:val="superscript"/>
          <w:lang w:eastAsia="en-AU"/>
        </w:rPr>
        <w:t>#</w:t>
      </w:r>
      <w:r w:rsidR="006727DF">
        <w:rPr>
          <w:vertAlign w:val="superscript"/>
          <w:lang w:eastAsia="en-AU"/>
        </w:rPr>
        <w:t xml:space="preserve"> </w:t>
      </w:r>
      <w:r w:rsidRPr="009A009B">
        <w:rPr>
          <w:lang w:eastAsia="en-AU"/>
        </w:rPr>
        <w:t xml:space="preserve">Note </w:t>
      </w:r>
      <w:proofErr w:type="spellStart"/>
      <w:r w:rsidRPr="009A009B">
        <w:rPr>
          <w:lang w:eastAsia="en-AU"/>
        </w:rPr>
        <w:t>HumeRICS</w:t>
      </w:r>
      <w:proofErr w:type="spellEnd"/>
      <w:r w:rsidRPr="009A009B">
        <w:rPr>
          <w:lang w:eastAsia="en-AU"/>
        </w:rPr>
        <w:t xml:space="preserve"> data limitation </w:t>
      </w:r>
      <w:r w:rsidR="00B82470">
        <w:rPr>
          <w:lang w:eastAsia="en-AU"/>
        </w:rPr>
        <w:t>regarding patients receiving their treatment in NSW.</w:t>
      </w:r>
    </w:p>
    <w:p w14:paraId="5A26EBCD" w14:textId="1A7EF55A" w:rsidR="0090528B" w:rsidRPr="003360DE" w:rsidRDefault="001E4B2B" w:rsidP="006727DF">
      <w:pPr>
        <w:pStyle w:val="DHHStablefigurenote"/>
      </w:pPr>
      <w:r w:rsidRPr="003360DE">
        <w:rPr>
          <w:lang w:eastAsia="en-AU"/>
        </w:rPr>
        <w:t>*</w:t>
      </w:r>
      <w:r w:rsidR="006727DF">
        <w:rPr>
          <w:lang w:eastAsia="en-AU"/>
        </w:rPr>
        <w:t xml:space="preserve"> </w:t>
      </w:r>
      <w:r w:rsidR="0090528B" w:rsidRPr="003360DE">
        <w:rPr>
          <w:lang w:eastAsia="en-AU"/>
        </w:rPr>
        <w:t xml:space="preserve">The term </w:t>
      </w:r>
      <w:r w:rsidR="00B82470">
        <w:rPr>
          <w:lang w:eastAsia="en-AU"/>
        </w:rPr>
        <w:t>‘</w:t>
      </w:r>
      <w:r w:rsidR="0090528B" w:rsidRPr="003360DE">
        <w:rPr>
          <w:lang w:eastAsia="en-AU"/>
        </w:rPr>
        <w:t xml:space="preserve">ICS of </w:t>
      </w:r>
      <w:r w:rsidR="00B82470">
        <w:rPr>
          <w:lang w:eastAsia="en-AU"/>
        </w:rPr>
        <w:t>f</w:t>
      </w:r>
      <w:r w:rsidR="000E3D8A">
        <w:rPr>
          <w:lang w:eastAsia="en-AU"/>
        </w:rPr>
        <w:t xml:space="preserve">irst </w:t>
      </w:r>
      <w:r w:rsidR="00B82470">
        <w:rPr>
          <w:lang w:eastAsia="en-AU"/>
        </w:rPr>
        <w:t>t</w:t>
      </w:r>
      <w:r w:rsidR="000E3D8A">
        <w:rPr>
          <w:lang w:eastAsia="en-AU"/>
        </w:rPr>
        <w:t>reatment</w:t>
      </w:r>
      <w:r w:rsidR="00B82470">
        <w:rPr>
          <w:lang w:eastAsia="en-AU"/>
        </w:rPr>
        <w:t>’</w:t>
      </w:r>
      <w:r w:rsidR="0090528B" w:rsidRPr="003360DE">
        <w:rPr>
          <w:lang w:eastAsia="en-AU"/>
        </w:rPr>
        <w:t xml:space="preserve"> is defined as the ICS of the campus where the patient received their first treatment (chemotherapy, radiotherapy, surgery) or, if no treatment was received, the ICS of the campus where the patient was first referred</w:t>
      </w:r>
      <w:r w:rsidR="0090528B" w:rsidRPr="003360DE">
        <w:t>.</w:t>
      </w:r>
    </w:p>
    <w:p w14:paraId="2230F7AF" w14:textId="10C1E0CB" w:rsidR="0090528B" w:rsidRPr="003360DE" w:rsidRDefault="001E4B2B" w:rsidP="006727DF">
      <w:pPr>
        <w:pStyle w:val="DHHStablefigurenote"/>
      </w:pPr>
      <w:r w:rsidRPr="003360DE">
        <w:t>**</w:t>
      </w:r>
      <w:r w:rsidR="006727DF">
        <w:t xml:space="preserve"> </w:t>
      </w:r>
      <w:r w:rsidR="0090528B" w:rsidRPr="003360DE">
        <w:t>If a field entry was not completed by the auditor, the data was recorded as missing. No assumptions were made.</w:t>
      </w:r>
    </w:p>
    <w:p w14:paraId="7B37A8E7" w14:textId="77777777" w:rsidR="0001100A" w:rsidRDefault="00D86E34" w:rsidP="002F606E">
      <w:pPr>
        <w:pStyle w:val="Heading3"/>
      </w:pPr>
      <w:r>
        <w:t>Stage at diagnosis</w:t>
      </w:r>
    </w:p>
    <w:p w14:paraId="793E3ACB" w14:textId="2AD31BD3" w:rsidR="00EA6023" w:rsidRDefault="00795275" w:rsidP="00CA51EE">
      <w:pPr>
        <w:pStyle w:val="DHHSbody"/>
      </w:pPr>
      <w:r>
        <w:rPr>
          <w:rFonts w:cs="Arial"/>
          <w:lang w:eastAsia="en-AU"/>
        </w:rPr>
        <w:t xml:space="preserve">Eighty </w:t>
      </w:r>
      <w:r w:rsidR="00EA6023">
        <w:rPr>
          <w:rFonts w:cs="Arial"/>
          <w:lang w:eastAsia="en-AU"/>
        </w:rPr>
        <w:t xml:space="preserve">per cent of audited patients had </w:t>
      </w:r>
      <w:r w:rsidR="00772B27">
        <w:rPr>
          <w:rFonts w:cs="Arial"/>
          <w:lang w:eastAsia="en-AU"/>
        </w:rPr>
        <w:t xml:space="preserve">their cancer </w:t>
      </w:r>
      <w:r w:rsidR="00EA6023">
        <w:rPr>
          <w:rFonts w:cs="Arial"/>
          <w:lang w:eastAsia="en-AU"/>
        </w:rPr>
        <w:t>stage documented in their medical record</w:t>
      </w:r>
      <w:r w:rsidR="00772B27">
        <w:rPr>
          <w:rFonts w:cs="Arial"/>
          <w:lang w:eastAsia="en-AU"/>
        </w:rPr>
        <w:t>,</w:t>
      </w:r>
      <w:r w:rsidR="00EA6023">
        <w:rPr>
          <w:rFonts w:cs="Arial"/>
          <w:lang w:eastAsia="en-AU"/>
        </w:rPr>
        <w:t xml:space="preserve"> with the greatest proportion </w:t>
      </w:r>
      <w:r w:rsidR="00900F1F">
        <w:rPr>
          <w:rFonts w:cs="Arial"/>
          <w:lang w:eastAsia="en-AU"/>
        </w:rPr>
        <w:t>of patients (38</w:t>
      </w:r>
      <w:r w:rsidR="00EA6023">
        <w:rPr>
          <w:rFonts w:cs="Arial"/>
          <w:lang w:eastAsia="en-AU"/>
        </w:rPr>
        <w:t xml:space="preserve"> per cent) diagnosed with stage IV/metastatic disease.</w:t>
      </w:r>
      <w:r w:rsidR="00E2522D">
        <w:rPr>
          <w:rFonts w:cs="Arial"/>
          <w:lang w:eastAsia="en-AU"/>
        </w:rPr>
        <w:t xml:space="preserve"> </w:t>
      </w:r>
      <w:r w:rsidR="008C2B9D">
        <w:t xml:space="preserve">Gippsland </w:t>
      </w:r>
      <w:r w:rsidR="00E2522D">
        <w:t xml:space="preserve">Regional </w:t>
      </w:r>
      <w:r w:rsidR="008C2B9D">
        <w:t xml:space="preserve">ICS </w:t>
      </w:r>
      <w:r w:rsidR="00E2522D">
        <w:t xml:space="preserve">had the </w:t>
      </w:r>
      <w:r w:rsidR="00EA21D9">
        <w:t>largest</w:t>
      </w:r>
      <w:r w:rsidR="00E2522D">
        <w:t xml:space="preserve"> proportion of patients diagnosed with stage IV/metastatic OG cancer (76 per cent)</w:t>
      </w:r>
      <w:r w:rsidR="00EA21D9">
        <w:t xml:space="preserve"> compared </w:t>
      </w:r>
      <w:r w:rsidR="00772B27">
        <w:t xml:space="preserve">with </w:t>
      </w:r>
      <w:r w:rsidR="00EA21D9">
        <w:t>other ICS</w:t>
      </w:r>
      <w:r w:rsidR="00B15A1D">
        <w:t xml:space="preserve"> (see Figure 2</w:t>
      </w:r>
      <w:r w:rsidR="00772B27">
        <w:t xml:space="preserve"> and Table 2</w:t>
      </w:r>
      <w:r w:rsidR="00B15A1D">
        <w:t>)</w:t>
      </w:r>
      <w:r w:rsidR="00E2522D">
        <w:t>.</w:t>
      </w:r>
    </w:p>
    <w:p w14:paraId="36351047" w14:textId="7FDF2535" w:rsidR="006727DF" w:rsidRDefault="006727DF" w:rsidP="006727DF">
      <w:pPr>
        <w:pStyle w:val="DHHSfigurecaption"/>
      </w:pPr>
      <w:bookmarkStart w:id="19" w:name="_Toc524422233"/>
      <w:r>
        <w:t>Figure 2</w:t>
      </w:r>
      <w:r w:rsidR="00795275">
        <w:t>:</w:t>
      </w:r>
      <w:r>
        <w:t xml:space="preserve"> </w:t>
      </w:r>
      <w:proofErr w:type="spellStart"/>
      <w:r w:rsidRPr="004C0953">
        <w:rPr>
          <w:rFonts w:eastAsia="Times"/>
        </w:rPr>
        <w:t>Oesophagogastric</w:t>
      </w:r>
      <w:proofErr w:type="spellEnd"/>
      <w:r w:rsidRPr="004C0953">
        <w:rPr>
          <w:rFonts w:eastAsia="Times"/>
        </w:rPr>
        <w:t xml:space="preserve"> cancer metastatic disease at diagnosis</w:t>
      </w:r>
      <w:bookmarkEnd w:id="19"/>
    </w:p>
    <w:p w14:paraId="36C01123" w14:textId="3A49EBC5" w:rsidR="00D44073" w:rsidRDefault="00D44073" w:rsidP="00CA51EE">
      <w:pPr>
        <w:pStyle w:val="DHHSbody"/>
      </w:pPr>
      <w:r>
        <w:rPr>
          <w:noProof/>
          <w:lang w:eastAsia="en-AU"/>
        </w:rPr>
        <w:drawing>
          <wp:inline distT="0" distB="0" distL="0" distR="0" wp14:anchorId="40E6B364" wp14:editId="755169DD">
            <wp:extent cx="5981700" cy="2581275"/>
            <wp:effectExtent l="0" t="0" r="0" b="9525"/>
            <wp:docPr id="1" name="Chart 1" descr="This figure shows the results from the 'Stage IV/metastatic' column in Tabl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08DC84" w14:textId="2EA3699D" w:rsidR="00CA51EE" w:rsidRDefault="00CA51EE" w:rsidP="006727DF">
      <w:pPr>
        <w:pStyle w:val="DHHSbodyaftertablefigure"/>
      </w:pPr>
      <w:r>
        <w:t>Notably a</w:t>
      </w:r>
      <w:r w:rsidR="009D1EB6">
        <w:t xml:space="preserve"> significant proportion of the audit population</w:t>
      </w:r>
      <w:r w:rsidR="00E2522D">
        <w:t xml:space="preserve"> did</w:t>
      </w:r>
      <w:r>
        <w:t xml:space="preserve"> not have stage documented</w:t>
      </w:r>
      <w:r w:rsidR="00900F1F">
        <w:t xml:space="preserve"> (missing or unknown)</w:t>
      </w:r>
      <w:r>
        <w:t xml:space="preserve"> </w:t>
      </w:r>
      <w:r w:rsidR="00811EB7">
        <w:t xml:space="preserve">in their </w:t>
      </w:r>
      <w:r>
        <w:t>audit record</w:t>
      </w:r>
      <w:r w:rsidR="00141236">
        <w:t xml:space="preserve"> from</w:t>
      </w:r>
      <w:r>
        <w:t xml:space="preserve"> SMICS (25 per cent), GICS</w:t>
      </w:r>
      <w:r w:rsidR="00765CD6">
        <w:t xml:space="preserve"> (26 per cent), Hume RICS (30 per cent) and L</w:t>
      </w:r>
      <w:r w:rsidR="00D35548">
        <w:t>M</w:t>
      </w:r>
      <w:r w:rsidR="00765CD6">
        <w:t>ICS (33 per cent)</w:t>
      </w:r>
      <w:r w:rsidR="00E2522D">
        <w:t>, whereas stage was recorded for 94 per cent of G</w:t>
      </w:r>
      <w:r w:rsidR="00D35548">
        <w:t>R</w:t>
      </w:r>
      <w:r w:rsidR="00E2522D">
        <w:t>ICS patients</w:t>
      </w:r>
      <w:r w:rsidR="00765CD6">
        <w:t>.</w:t>
      </w:r>
    </w:p>
    <w:p w14:paraId="14CF52D9" w14:textId="755B4C5B" w:rsidR="00773781" w:rsidRPr="00773781" w:rsidRDefault="009C0364" w:rsidP="00773781">
      <w:pPr>
        <w:pStyle w:val="DHHStablecaption"/>
      </w:pPr>
      <w:bookmarkStart w:id="20" w:name="_Toc524422139"/>
      <w:bookmarkStart w:id="21" w:name="_Toc524422234"/>
      <w:r>
        <w:t xml:space="preserve">Table </w:t>
      </w:r>
      <w:r w:rsidR="005E110B">
        <w:fldChar w:fldCharType="begin"/>
      </w:r>
      <w:r w:rsidR="005E110B">
        <w:instrText xml:space="preserve"> SEQ Table \* ARABIC </w:instrText>
      </w:r>
      <w:r w:rsidR="005E110B">
        <w:fldChar w:fldCharType="separate"/>
      </w:r>
      <w:r w:rsidR="005E110B">
        <w:rPr>
          <w:noProof/>
        </w:rPr>
        <w:t>2</w:t>
      </w:r>
      <w:r w:rsidR="005E110B">
        <w:rPr>
          <w:noProof/>
        </w:rPr>
        <w:fldChar w:fldCharType="end"/>
      </w:r>
      <w:r w:rsidR="00795275">
        <w:t>:</w:t>
      </w:r>
      <w:r w:rsidR="003279A8">
        <w:t xml:space="preserve"> </w:t>
      </w:r>
      <w:r w:rsidR="00851AE7">
        <w:t xml:space="preserve">Documented stage at diagnosis of audit population by ICS of </w:t>
      </w:r>
      <w:r w:rsidR="00795275">
        <w:t>r</w:t>
      </w:r>
      <w:r w:rsidR="00851AE7">
        <w:t>esidence (297 patients)</w:t>
      </w:r>
      <w:bookmarkEnd w:id="20"/>
      <w:bookmarkEnd w:id="21"/>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134"/>
        <w:gridCol w:w="1134"/>
        <w:gridCol w:w="1134"/>
        <w:gridCol w:w="1276"/>
        <w:gridCol w:w="992"/>
        <w:gridCol w:w="1134"/>
        <w:gridCol w:w="1134"/>
      </w:tblGrid>
      <w:tr w:rsidR="009C0364" w:rsidRPr="00050019" w14:paraId="2D1D30FD" w14:textId="020AC260" w:rsidTr="00900F1F">
        <w:trPr>
          <w:trHeight w:val="300"/>
          <w:tblHeader/>
        </w:trPr>
        <w:tc>
          <w:tcPr>
            <w:tcW w:w="1291" w:type="dxa"/>
            <w:shd w:val="clear" w:color="auto" w:fill="auto"/>
            <w:noWrap/>
            <w:vAlign w:val="bottom"/>
            <w:hideMark/>
          </w:tcPr>
          <w:p w14:paraId="45AB4A94" w14:textId="4A8D464E" w:rsidR="00851AE7" w:rsidRPr="00050019" w:rsidRDefault="00851AE7" w:rsidP="000D082D">
            <w:pPr>
              <w:pStyle w:val="DHHStablecolhead"/>
              <w:rPr>
                <w:lang w:eastAsia="en-AU"/>
              </w:rPr>
            </w:pPr>
            <w:r>
              <w:rPr>
                <w:lang w:eastAsia="en-AU"/>
              </w:rPr>
              <w:t xml:space="preserve">ICS of </w:t>
            </w:r>
            <w:r w:rsidR="00A144F1">
              <w:rPr>
                <w:lang w:eastAsia="en-AU"/>
              </w:rPr>
              <w:t>r</w:t>
            </w:r>
            <w:r>
              <w:rPr>
                <w:lang w:eastAsia="en-AU"/>
              </w:rPr>
              <w:t>esidence</w:t>
            </w:r>
          </w:p>
        </w:tc>
        <w:tc>
          <w:tcPr>
            <w:tcW w:w="1134" w:type="dxa"/>
            <w:shd w:val="clear" w:color="auto" w:fill="auto"/>
            <w:noWrap/>
            <w:vAlign w:val="bottom"/>
            <w:hideMark/>
          </w:tcPr>
          <w:p w14:paraId="5758FB23" w14:textId="4CC49AFB" w:rsidR="00851AE7" w:rsidRPr="00050019" w:rsidRDefault="00851AE7" w:rsidP="000D082D">
            <w:pPr>
              <w:pStyle w:val="DHHStablecolhead"/>
              <w:rPr>
                <w:lang w:eastAsia="en-AU"/>
              </w:rPr>
            </w:pPr>
            <w:r>
              <w:rPr>
                <w:lang w:eastAsia="en-AU"/>
              </w:rPr>
              <w:t>Stage I</w:t>
            </w:r>
          </w:p>
        </w:tc>
        <w:tc>
          <w:tcPr>
            <w:tcW w:w="1134" w:type="dxa"/>
            <w:shd w:val="clear" w:color="auto" w:fill="auto"/>
            <w:noWrap/>
            <w:vAlign w:val="bottom"/>
            <w:hideMark/>
          </w:tcPr>
          <w:p w14:paraId="0BA752B9" w14:textId="1841BA9C" w:rsidR="00851AE7" w:rsidRPr="00050019" w:rsidRDefault="00851AE7" w:rsidP="000D082D">
            <w:pPr>
              <w:pStyle w:val="DHHStablecolhead"/>
              <w:rPr>
                <w:lang w:eastAsia="en-AU"/>
              </w:rPr>
            </w:pPr>
            <w:r>
              <w:rPr>
                <w:lang w:eastAsia="en-AU"/>
              </w:rPr>
              <w:t>Stage II</w:t>
            </w:r>
          </w:p>
        </w:tc>
        <w:tc>
          <w:tcPr>
            <w:tcW w:w="1134" w:type="dxa"/>
            <w:vAlign w:val="bottom"/>
          </w:tcPr>
          <w:p w14:paraId="7B7E4753" w14:textId="77777777" w:rsidR="00851AE7" w:rsidRDefault="00851AE7" w:rsidP="00851AE7">
            <w:pPr>
              <w:pStyle w:val="DHHStablecolhead"/>
              <w:rPr>
                <w:lang w:eastAsia="en-AU"/>
              </w:rPr>
            </w:pPr>
          </w:p>
          <w:p w14:paraId="3432AFA1" w14:textId="4750A2B1" w:rsidR="00851AE7" w:rsidRDefault="00851AE7" w:rsidP="00851AE7">
            <w:pPr>
              <w:pStyle w:val="DHHStablecolhead"/>
              <w:rPr>
                <w:lang w:eastAsia="en-AU"/>
              </w:rPr>
            </w:pPr>
            <w:r>
              <w:rPr>
                <w:lang w:eastAsia="en-AU"/>
              </w:rPr>
              <w:t>Stage III</w:t>
            </w:r>
          </w:p>
        </w:tc>
        <w:tc>
          <w:tcPr>
            <w:tcW w:w="1276" w:type="dxa"/>
          </w:tcPr>
          <w:p w14:paraId="00DA5309" w14:textId="77777777" w:rsidR="00851AE7" w:rsidRDefault="00851AE7" w:rsidP="000D082D">
            <w:pPr>
              <w:pStyle w:val="DHHStablecolhead"/>
              <w:rPr>
                <w:lang w:eastAsia="en-AU"/>
              </w:rPr>
            </w:pPr>
            <w:r>
              <w:rPr>
                <w:lang w:eastAsia="en-AU"/>
              </w:rPr>
              <w:t>Stage IV/</w:t>
            </w:r>
          </w:p>
          <w:p w14:paraId="33B4EB55" w14:textId="28CEF2EF" w:rsidR="00851AE7" w:rsidRDefault="00A144F1" w:rsidP="000D082D">
            <w:pPr>
              <w:pStyle w:val="DHHStablecolhead"/>
              <w:rPr>
                <w:lang w:eastAsia="en-AU"/>
              </w:rPr>
            </w:pPr>
            <w:r>
              <w:rPr>
                <w:lang w:eastAsia="en-AU"/>
              </w:rPr>
              <w:t>m</w:t>
            </w:r>
            <w:r w:rsidR="00851AE7">
              <w:rPr>
                <w:lang w:eastAsia="en-AU"/>
              </w:rPr>
              <w:t>etastatic</w:t>
            </w:r>
          </w:p>
        </w:tc>
        <w:tc>
          <w:tcPr>
            <w:tcW w:w="992" w:type="dxa"/>
            <w:vAlign w:val="bottom"/>
          </w:tcPr>
          <w:p w14:paraId="69B91FA8" w14:textId="79A44A53" w:rsidR="00851AE7" w:rsidRDefault="00851AE7" w:rsidP="00851AE7">
            <w:pPr>
              <w:pStyle w:val="DHHStablecolhead"/>
              <w:rPr>
                <w:lang w:eastAsia="en-AU"/>
              </w:rPr>
            </w:pPr>
            <w:r>
              <w:rPr>
                <w:lang w:eastAsia="en-AU"/>
              </w:rPr>
              <w:t>Other</w:t>
            </w:r>
          </w:p>
        </w:tc>
        <w:tc>
          <w:tcPr>
            <w:tcW w:w="1134" w:type="dxa"/>
            <w:vAlign w:val="bottom"/>
          </w:tcPr>
          <w:p w14:paraId="78BB96EE" w14:textId="6F3BF1F8" w:rsidR="00851AE7" w:rsidRDefault="00851AE7" w:rsidP="00851AE7">
            <w:pPr>
              <w:pStyle w:val="DHHStablecolhead"/>
              <w:rPr>
                <w:lang w:eastAsia="en-AU"/>
              </w:rPr>
            </w:pPr>
            <w:r>
              <w:rPr>
                <w:lang w:eastAsia="en-AU"/>
              </w:rPr>
              <w:t>Missing</w:t>
            </w:r>
            <w:r w:rsidR="00900F1F">
              <w:rPr>
                <w:lang w:eastAsia="en-AU"/>
              </w:rPr>
              <w:t>*</w:t>
            </w:r>
          </w:p>
        </w:tc>
        <w:tc>
          <w:tcPr>
            <w:tcW w:w="1134" w:type="dxa"/>
            <w:vAlign w:val="bottom"/>
          </w:tcPr>
          <w:p w14:paraId="71CF94EB" w14:textId="36D0F206" w:rsidR="00851AE7" w:rsidRDefault="00851AE7" w:rsidP="00851AE7">
            <w:pPr>
              <w:pStyle w:val="DHHStablecolhead"/>
              <w:rPr>
                <w:lang w:eastAsia="en-AU"/>
              </w:rPr>
            </w:pPr>
            <w:r>
              <w:rPr>
                <w:lang w:eastAsia="en-AU"/>
              </w:rPr>
              <w:t>Unknown</w:t>
            </w:r>
          </w:p>
        </w:tc>
      </w:tr>
      <w:tr w:rsidR="009C0364" w:rsidRPr="001202B5" w14:paraId="2014723F" w14:textId="4390F67B" w:rsidTr="00380AD2">
        <w:trPr>
          <w:trHeight w:val="300"/>
        </w:trPr>
        <w:tc>
          <w:tcPr>
            <w:tcW w:w="1291" w:type="dxa"/>
            <w:shd w:val="clear" w:color="auto" w:fill="auto"/>
            <w:noWrap/>
            <w:vAlign w:val="bottom"/>
          </w:tcPr>
          <w:p w14:paraId="3C5E3BFF" w14:textId="60DB3F5D" w:rsidR="009C0364" w:rsidRPr="006727DF" w:rsidRDefault="009C0364" w:rsidP="006727DF">
            <w:pPr>
              <w:pStyle w:val="DHHStabletext"/>
            </w:pPr>
            <w:r w:rsidRPr="006727DF">
              <w:t>NEMICS</w:t>
            </w:r>
          </w:p>
        </w:tc>
        <w:tc>
          <w:tcPr>
            <w:tcW w:w="1134" w:type="dxa"/>
            <w:shd w:val="clear" w:color="auto" w:fill="auto"/>
            <w:noWrap/>
          </w:tcPr>
          <w:p w14:paraId="06306927" w14:textId="54B8ED74" w:rsidR="009C0364" w:rsidRPr="006727DF" w:rsidRDefault="009C0364" w:rsidP="006727DF">
            <w:pPr>
              <w:pStyle w:val="DHHStabletext"/>
            </w:pPr>
            <w:r w:rsidRPr="006727DF">
              <w:t>3 (4%)</w:t>
            </w:r>
          </w:p>
        </w:tc>
        <w:tc>
          <w:tcPr>
            <w:tcW w:w="1134" w:type="dxa"/>
            <w:shd w:val="clear" w:color="auto" w:fill="auto"/>
            <w:noWrap/>
          </w:tcPr>
          <w:p w14:paraId="0A3EA389" w14:textId="557A4C11" w:rsidR="009C0364" w:rsidRPr="006727DF" w:rsidRDefault="009C0364" w:rsidP="006727DF">
            <w:pPr>
              <w:pStyle w:val="DHHStabletext"/>
            </w:pPr>
            <w:r w:rsidRPr="006727DF">
              <w:t>6 (9%)</w:t>
            </w:r>
          </w:p>
        </w:tc>
        <w:tc>
          <w:tcPr>
            <w:tcW w:w="1134" w:type="dxa"/>
          </w:tcPr>
          <w:p w14:paraId="6CB3E069" w14:textId="4FC4F93F" w:rsidR="009C0364" w:rsidRPr="006727DF" w:rsidRDefault="009C0364" w:rsidP="006727DF">
            <w:pPr>
              <w:pStyle w:val="DHHStabletext"/>
            </w:pPr>
            <w:r w:rsidRPr="006727DF">
              <w:t>10 (15%)</w:t>
            </w:r>
          </w:p>
        </w:tc>
        <w:tc>
          <w:tcPr>
            <w:tcW w:w="1276" w:type="dxa"/>
          </w:tcPr>
          <w:p w14:paraId="3C8EA4AF" w14:textId="529AD441" w:rsidR="009C0364" w:rsidRPr="006727DF" w:rsidRDefault="009C0364" w:rsidP="006727DF">
            <w:pPr>
              <w:pStyle w:val="DHHStabletext"/>
            </w:pPr>
            <w:r w:rsidRPr="006727DF">
              <w:t>34 (51%)</w:t>
            </w:r>
          </w:p>
        </w:tc>
        <w:tc>
          <w:tcPr>
            <w:tcW w:w="992" w:type="dxa"/>
          </w:tcPr>
          <w:p w14:paraId="6CB15B16" w14:textId="55D3953B" w:rsidR="009C0364" w:rsidRPr="006727DF" w:rsidRDefault="009C0364" w:rsidP="006727DF">
            <w:pPr>
              <w:pStyle w:val="DHHStabletext"/>
            </w:pPr>
            <w:r w:rsidRPr="006727DF">
              <w:t>3 (4%)</w:t>
            </w:r>
          </w:p>
        </w:tc>
        <w:tc>
          <w:tcPr>
            <w:tcW w:w="1134" w:type="dxa"/>
          </w:tcPr>
          <w:p w14:paraId="66E62136" w14:textId="77940D31" w:rsidR="009C0364" w:rsidRPr="006727DF" w:rsidRDefault="009C0364" w:rsidP="006727DF">
            <w:pPr>
              <w:pStyle w:val="DHHStabletext"/>
            </w:pPr>
            <w:r w:rsidRPr="006727DF">
              <w:t>0 (0%)</w:t>
            </w:r>
          </w:p>
        </w:tc>
        <w:tc>
          <w:tcPr>
            <w:tcW w:w="1134" w:type="dxa"/>
          </w:tcPr>
          <w:p w14:paraId="2B4CA7DF" w14:textId="24DF8B85" w:rsidR="009C0364" w:rsidRPr="006727DF" w:rsidRDefault="009C0364" w:rsidP="006727DF">
            <w:pPr>
              <w:pStyle w:val="DHHStabletext"/>
            </w:pPr>
            <w:r w:rsidRPr="006727DF">
              <w:t>11 (16%)</w:t>
            </w:r>
          </w:p>
        </w:tc>
      </w:tr>
      <w:tr w:rsidR="009C0364" w:rsidRPr="001202B5" w14:paraId="527C3C0F" w14:textId="77777777" w:rsidTr="00380AD2">
        <w:trPr>
          <w:trHeight w:val="300"/>
        </w:trPr>
        <w:tc>
          <w:tcPr>
            <w:tcW w:w="1291" w:type="dxa"/>
            <w:shd w:val="clear" w:color="auto" w:fill="auto"/>
            <w:noWrap/>
            <w:vAlign w:val="bottom"/>
          </w:tcPr>
          <w:p w14:paraId="3B88AB30" w14:textId="53117C52" w:rsidR="009C0364" w:rsidRPr="006727DF" w:rsidRDefault="009C0364" w:rsidP="006727DF">
            <w:pPr>
              <w:pStyle w:val="DHHStabletext"/>
            </w:pPr>
            <w:r w:rsidRPr="006727DF">
              <w:t>SMICS</w:t>
            </w:r>
          </w:p>
        </w:tc>
        <w:tc>
          <w:tcPr>
            <w:tcW w:w="1134" w:type="dxa"/>
            <w:shd w:val="clear" w:color="auto" w:fill="auto"/>
            <w:noWrap/>
          </w:tcPr>
          <w:p w14:paraId="051C1839" w14:textId="60790F54" w:rsidR="009C0364" w:rsidRPr="006727DF" w:rsidRDefault="009C0364" w:rsidP="006727DF">
            <w:pPr>
              <w:pStyle w:val="DHHStabletext"/>
            </w:pPr>
            <w:r w:rsidRPr="006727DF">
              <w:t>7 (12%)</w:t>
            </w:r>
          </w:p>
        </w:tc>
        <w:tc>
          <w:tcPr>
            <w:tcW w:w="1134" w:type="dxa"/>
            <w:shd w:val="clear" w:color="auto" w:fill="auto"/>
            <w:noWrap/>
          </w:tcPr>
          <w:p w14:paraId="21D9F6A2" w14:textId="1F4DEA40" w:rsidR="009C0364" w:rsidRPr="006727DF" w:rsidRDefault="009C0364" w:rsidP="006727DF">
            <w:pPr>
              <w:pStyle w:val="DHHStabletext"/>
            </w:pPr>
            <w:r w:rsidRPr="006727DF">
              <w:t>7 (12%)</w:t>
            </w:r>
          </w:p>
        </w:tc>
        <w:tc>
          <w:tcPr>
            <w:tcW w:w="1134" w:type="dxa"/>
          </w:tcPr>
          <w:p w14:paraId="41D779F8" w14:textId="0B206B4D" w:rsidR="009C0364" w:rsidRPr="006727DF" w:rsidRDefault="009C0364" w:rsidP="006727DF">
            <w:pPr>
              <w:pStyle w:val="DHHStabletext"/>
            </w:pPr>
            <w:r w:rsidRPr="006727DF">
              <w:t>8 (14%)</w:t>
            </w:r>
          </w:p>
        </w:tc>
        <w:tc>
          <w:tcPr>
            <w:tcW w:w="1276" w:type="dxa"/>
          </w:tcPr>
          <w:p w14:paraId="026F0620" w14:textId="75C11879" w:rsidR="009C0364" w:rsidRPr="006727DF" w:rsidRDefault="009C0364" w:rsidP="006727DF">
            <w:pPr>
              <w:pStyle w:val="DHHStabletext"/>
            </w:pPr>
            <w:r w:rsidRPr="006727DF">
              <w:t>16 (29%)</w:t>
            </w:r>
          </w:p>
        </w:tc>
        <w:tc>
          <w:tcPr>
            <w:tcW w:w="992" w:type="dxa"/>
          </w:tcPr>
          <w:p w14:paraId="784AA3BB" w14:textId="3110DFFC" w:rsidR="009C0364" w:rsidRPr="006727DF" w:rsidRDefault="009C0364" w:rsidP="006727DF">
            <w:pPr>
              <w:pStyle w:val="DHHStabletext"/>
            </w:pPr>
            <w:r w:rsidRPr="006727DF">
              <w:t>4 (7%)</w:t>
            </w:r>
          </w:p>
        </w:tc>
        <w:tc>
          <w:tcPr>
            <w:tcW w:w="1134" w:type="dxa"/>
          </w:tcPr>
          <w:p w14:paraId="62784049" w14:textId="05CAFA4E" w:rsidR="009C0364" w:rsidRPr="006727DF" w:rsidRDefault="009C0364" w:rsidP="006727DF">
            <w:pPr>
              <w:pStyle w:val="DHHStabletext"/>
            </w:pPr>
            <w:r w:rsidRPr="006727DF">
              <w:t>5 (9%)</w:t>
            </w:r>
          </w:p>
        </w:tc>
        <w:tc>
          <w:tcPr>
            <w:tcW w:w="1134" w:type="dxa"/>
          </w:tcPr>
          <w:p w14:paraId="3A470AF5" w14:textId="2EF83B05" w:rsidR="009C0364" w:rsidRPr="006727DF" w:rsidRDefault="009C0364" w:rsidP="006727DF">
            <w:pPr>
              <w:pStyle w:val="DHHStabletext"/>
            </w:pPr>
            <w:r w:rsidRPr="006727DF">
              <w:t>9 (16%)</w:t>
            </w:r>
          </w:p>
        </w:tc>
      </w:tr>
      <w:tr w:rsidR="009C0364" w:rsidRPr="001202B5" w14:paraId="374997EA" w14:textId="77777777" w:rsidTr="00380AD2">
        <w:trPr>
          <w:trHeight w:val="300"/>
        </w:trPr>
        <w:tc>
          <w:tcPr>
            <w:tcW w:w="1291" w:type="dxa"/>
            <w:shd w:val="clear" w:color="auto" w:fill="auto"/>
            <w:noWrap/>
            <w:vAlign w:val="bottom"/>
          </w:tcPr>
          <w:p w14:paraId="4A6B2839" w14:textId="79E7F791" w:rsidR="009C0364" w:rsidRPr="006727DF" w:rsidRDefault="009C0364" w:rsidP="006727DF">
            <w:pPr>
              <w:pStyle w:val="DHHStabletext"/>
            </w:pPr>
            <w:r w:rsidRPr="006727DF">
              <w:t>WCMICS</w:t>
            </w:r>
          </w:p>
        </w:tc>
        <w:tc>
          <w:tcPr>
            <w:tcW w:w="1134" w:type="dxa"/>
            <w:shd w:val="clear" w:color="auto" w:fill="auto"/>
            <w:noWrap/>
          </w:tcPr>
          <w:p w14:paraId="0BF2E8A7" w14:textId="4E997511" w:rsidR="009C0364" w:rsidRPr="006727DF" w:rsidRDefault="009C0364" w:rsidP="006727DF">
            <w:pPr>
              <w:pStyle w:val="DHHStabletext"/>
            </w:pPr>
            <w:r w:rsidRPr="006727DF">
              <w:t>12 (19%)</w:t>
            </w:r>
          </w:p>
        </w:tc>
        <w:tc>
          <w:tcPr>
            <w:tcW w:w="1134" w:type="dxa"/>
            <w:shd w:val="clear" w:color="auto" w:fill="auto"/>
            <w:noWrap/>
          </w:tcPr>
          <w:p w14:paraId="00D40F43" w14:textId="702CEA02" w:rsidR="009C0364" w:rsidRPr="006727DF" w:rsidRDefault="009C0364" w:rsidP="006727DF">
            <w:pPr>
              <w:pStyle w:val="DHHStabletext"/>
            </w:pPr>
            <w:r w:rsidRPr="006727DF">
              <w:t>8 (12%)</w:t>
            </w:r>
          </w:p>
        </w:tc>
        <w:tc>
          <w:tcPr>
            <w:tcW w:w="1134" w:type="dxa"/>
          </w:tcPr>
          <w:p w14:paraId="625A207B" w14:textId="061A50F5" w:rsidR="009C0364" w:rsidRPr="006727DF" w:rsidRDefault="009C0364" w:rsidP="006727DF">
            <w:pPr>
              <w:pStyle w:val="DHHStabletext"/>
            </w:pPr>
            <w:r w:rsidRPr="006727DF">
              <w:t>15 (23%)</w:t>
            </w:r>
          </w:p>
        </w:tc>
        <w:tc>
          <w:tcPr>
            <w:tcW w:w="1276" w:type="dxa"/>
          </w:tcPr>
          <w:p w14:paraId="369CEFCB" w14:textId="3AA06EA4" w:rsidR="009C0364" w:rsidRPr="006727DF" w:rsidRDefault="009C0364" w:rsidP="006727DF">
            <w:pPr>
              <w:pStyle w:val="DHHStabletext"/>
            </w:pPr>
            <w:r w:rsidRPr="006727DF">
              <w:t>21 (33%)</w:t>
            </w:r>
          </w:p>
        </w:tc>
        <w:tc>
          <w:tcPr>
            <w:tcW w:w="992" w:type="dxa"/>
          </w:tcPr>
          <w:p w14:paraId="3DA80D45" w14:textId="6F6DA16F" w:rsidR="009C0364" w:rsidRPr="006727DF" w:rsidRDefault="009C0364" w:rsidP="006727DF">
            <w:pPr>
              <w:pStyle w:val="DHHStabletext"/>
            </w:pPr>
            <w:r w:rsidRPr="006727DF">
              <w:t>1 (2%)</w:t>
            </w:r>
          </w:p>
        </w:tc>
        <w:tc>
          <w:tcPr>
            <w:tcW w:w="1134" w:type="dxa"/>
          </w:tcPr>
          <w:p w14:paraId="7311F7B0" w14:textId="56F12C38" w:rsidR="009C0364" w:rsidRPr="006727DF" w:rsidRDefault="009C0364" w:rsidP="006727DF">
            <w:pPr>
              <w:pStyle w:val="DHHStabletext"/>
            </w:pPr>
            <w:r w:rsidRPr="006727DF">
              <w:t>1 (2%)</w:t>
            </w:r>
          </w:p>
        </w:tc>
        <w:tc>
          <w:tcPr>
            <w:tcW w:w="1134" w:type="dxa"/>
          </w:tcPr>
          <w:p w14:paraId="13582329" w14:textId="03FCF028" w:rsidR="009C0364" w:rsidRPr="006727DF" w:rsidRDefault="009C0364" w:rsidP="006727DF">
            <w:pPr>
              <w:pStyle w:val="DHHStabletext"/>
            </w:pPr>
            <w:r w:rsidRPr="006727DF">
              <w:t>6 (9%)</w:t>
            </w:r>
          </w:p>
        </w:tc>
      </w:tr>
      <w:tr w:rsidR="009C0364" w:rsidRPr="001202B5" w14:paraId="2710E4CA" w14:textId="77777777" w:rsidTr="00380AD2">
        <w:trPr>
          <w:trHeight w:val="300"/>
        </w:trPr>
        <w:tc>
          <w:tcPr>
            <w:tcW w:w="1291" w:type="dxa"/>
            <w:shd w:val="clear" w:color="auto" w:fill="auto"/>
            <w:noWrap/>
            <w:vAlign w:val="bottom"/>
          </w:tcPr>
          <w:p w14:paraId="27A9FF93" w14:textId="34A0A149" w:rsidR="009C0364" w:rsidRPr="006727DF" w:rsidRDefault="009C0364" w:rsidP="006727DF">
            <w:pPr>
              <w:pStyle w:val="DHHStabletext"/>
            </w:pPr>
            <w:r w:rsidRPr="006727DF">
              <w:t>BSWRICS</w:t>
            </w:r>
          </w:p>
        </w:tc>
        <w:tc>
          <w:tcPr>
            <w:tcW w:w="1134" w:type="dxa"/>
            <w:shd w:val="clear" w:color="auto" w:fill="auto"/>
            <w:noWrap/>
          </w:tcPr>
          <w:p w14:paraId="3FBE62D3" w14:textId="4BD480D7" w:rsidR="009C0364" w:rsidRPr="006727DF" w:rsidRDefault="009C0364" w:rsidP="006727DF">
            <w:pPr>
              <w:pStyle w:val="DHHStabletext"/>
            </w:pPr>
            <w:r w:rsidRPr="006727DF">
              <w:t>2 (7%)</w:t>
            </w:r>
          </w:p>
        </w:tc>
        <w:tc>
          <w:tcPr>
            <w:tcW w:w="1134" w:type="dxa"/>
            <w:shd w:val="clear" w:color="auto" w:fill="auto"/>
            <w:noWrap/>
          </w:tcPr>
          <w:p w14:paraId="05E209E1" w14:textId="325F88CE" w:rsidR="009C0364" w:rsidRPr="006727DF" w:rsidRDefault="009C0364" w:rsidP="006727DF">
            <w:pPr>
              <w:pStyle w:val="DHHStabletext"/>
            </w:pPr>
            <w:r w:rsidRPr="006727DF">
              <w:t>7 (26%)</w:t>
            </w:r>
          </w:p>
        </w:tc>
        <w:tc>
          <w:tcPr>
            <w:tcW w:w="1134" w:type="dxa"/>
          </w:tcPr>
          <w:p w14:paraId="4BA1AC51" w14:textId="1610125E" w:rsidR="009C0364" w:rsidRPr="006727DF" w:rsidRDefault="009C0364" w:rsidP="006727DF">
            <w:pPr>
              <w:pStyle w:val="DHHStabletext"/>
            </w:pPr>
            <w:r w:rsidRPr="006727DF">
              <w:t>4 (15%)</w:t>
            </w:r>
          </w:p>
        </w:tc>
        <w:tc>
          <w:tcPr>
            <w:tcW w:w="1276" w:type="dxa"/>
          </w:tcPr>
          <w:p w14:paraId="145C8661" w14:textId="019D573A" w:rsidR="009C0364" w:rsidRPr="006727DF" w:rsidRDefault="009C0364" w:rsidP="006727DF">
            <w:pPr>
              <w:pStyle w:val="DHHStabletext"/>
            </w:pPr>
            <w:r w:rsidRPr="006727DF">
              <w:t>9 (33%)</w:t>
            </w:r>
          </w:p>
        </w:tc>
        <w:tc>
          <w:tcPr>
            <w:tcW w:w="992" w:type="dxa"/>
          </w:tcPr>
          <w:p w14:paraId="3C9C00BE" w14:textId="5BD705D3" w:rsidR="009C0364" w:rsidRPr="006727DF" w:rsidRDefault="009C0364" w:rsidP="006727DF">
            <w:pPr>
              <w:pStyle w:val="DHHStabletext"/>
            </w:pPr>
            <w:r w:rsidRPr="006727DF">
              <w:t>0 (0%)</w:t>
            </w:r>
          </w:p>
        </w:tc>
        <w:tc>
          <w:tcPr>
            <w:tcW w:w="1134" w:type="dxa"/>
          </w:tcPr>
          <w:p w14:paraId="47D55A21" w14:textId="7D3A4EC9" w:rsidR="009C0364" w:rsidRPr="006727DF" w:rsidRDefault="009C0364" w:rsidP="006727DF">
            <w:pPr>
              <w:pStyle w:val="DHHStabletext"/>
            </w:pPr>
            <w:r w:rsidRPr="006727DF">
              <w:t>3 (11%)</w:t>
            </w:r>
          </w:p>
        </w:tc>
        <w:tc>
          <w:tcPr>
            <w:tcW w:w="1134" w:type="dxa"/>
          </w:tcPr>
          <w:p w14:paraId="5EEF8D69" w14:textId="1995F0FF" w:rsidR="009C0364" w:rsidRPr="006727DF" w:rsidRDefault="009C0364" w:rsidP="006727DF">
            <w:pPr>
              <w:pStyle w:val="DHHStabletext"/>
            </w:pPr>
            <w:r w:rsidRPr="006727DF">
              <w:t>2 (7%)</w:t>
            </w:r>
          </w:p>
        </w:tc>
      </w:tr>
      <w:tr w:rsidR="009C0364" w:rsidRPr="001202B5" w14:paraId="13B1C891" w14:textId="77777777" w:rsidTr="00380AD2">
        <w:trPr>
          <w:trHeight w:val="300"/>
        </w:trPr>
        <w:tc>
          <w:tcPr>
            <w:tcW w:w="1291" w:type="dxa"/>
            <w:shd w:val="clear" w:color="auto" w:fill="auto"/>
            <w:noWrap/>
            <w:vAlign w:val="bottom"/>
          </w:tcPr>
          <w:p w14:paraId="2978E2F9" w14:textId="43460FF1" w:rsidR="009C0364" w:rsidRPr="006727DF" w:rsidRDefault="009C0364" w:rsidP="006727DF">
            <w:pPr>
              <w:pStyle w:val="DHHStabletext"/>
            </w:pPr>
            <w:r w:rsidRPr="006727DF">
              <w:t>GRICS</w:t>
            </w:r>
          </w:p>
        </w:tc>
        <w:tc>
          <w:tcPr>
            <w:tcW w:w="1134" w:type="dxa"/>
            <w:shd w:val="clear" w:color="auto" w:fill="auto"/>
            <w:noWrap/>
          </w:tcPr>
          <w:p w14:paraId="1DA8407A" w14:textId="39357F11" w:rsidR="009C0364" w:rsidRPr="006727DF" w:rsidRDefault="009C0364" w:rsidP="006727DF">
            <w:pPr>
              <w:pStyle w:val="DHHStabletext"/>
            </w:pPr>
            <w:r w:rsidRPr="006727DF">
              <w:t>1 (6%)</w:t>
            </w:r>
          </w:p>
        </w:tc>
        <w:tc>
          <w:tcPr>
            <w:tcW w:w="1134" w:type="dxa"/>
            <w:shd w:val="clear" w:color="auto" w:fill="auto"/>
            <w:noWrap/>
          </w:tcPr>
          <w:p w14:paraId="5ABE4FE0" w14:textId="5458881D" w:rsidR="009C0364" w:rsidRPr="006727DF" w:rsidRDefault="009C0364" w:rsidP="006727DF">
            <w:pPr>
              <w:pStyle w:val="DHHStabletext"/>
            </w:pPr>
            <w:r w:rsidRPr="006727DF">
              <w:t>0 (0%)</w:t>
            </w:r>
          </w:p>
        </w:tc>
        <w:tc>
          <w:tcPr>
            <w:tcW w:w="1134" w:type="dxa"/>
          </w:tcPr>
          <w:p w14:paraId="520B301F" w14:textId="636AB1AD" w:rsidR="009C0364" w:rsidRPr="006727DF" w:rsidRDefault="009C0364" w:rsidP="006727DF">
            <w:pPr>
              <w:pStyle w:val="DHHStabletext"/>
            </w:pPr>
            <w:r w:rsidRPr="006727DF">
              <w:t>1 (6%)</w:t>
            </w:r>
          </w:p>
        </w:tc>
        <w:tc>
          <w:tcPr>
            <w:tcW w:w="1276" w:type="dxa"/>
          </w:tcPr>
          <w:p w14:paraId="1241F6BF" w14:textId="0F2F1E54" w:rsidR="009C0364" w:rsidRPr="006727DF" w:rsidRDefault="009C0364" w:rsidP="006727DF">
            <w:pPr>
              <w:pStyle w:val="DHHStabletext"/>
            </w:pPr>
            <w:r w:rsidRPr="006727DF">
              <w:t>13 (76%)</w:t>
            </w:r>
          </w:p>
        </w:tc>
        <w:tc>
          <w:tcPr>
            <w:tcW w:w="992" w:type="dxa"/>
          </w:tcPr>
          <w:p w14:paraId="07A3BCEE" w14:textId="047D138D" w:rsidR="009C0364" w:rsidRPr="006727DF" w:rsidRDefault="009C0364" w:rsidP="006727DF">
            <w:pPr>
              <w:pStyle w:val="DHHStabletext"/>
            </w:pPr>
            <w:r w:rsidRPr="006727DF">
              <w:t>1 (6%)</w:t>
            </w:r>
          </w:p>
        </w:tc>
        <w:tc>
          <w:tcPr>
            <w:tcW w:w="1134" w:type="dxa"/>
          </w:tcPr>
          <w:p w14:paraId="2F93AB23" w14:textId="074BABFC" w:rsidR="009C0364" w:rsidRPr="006727DF" w:rsidRDefault="009C0364" w:rsidP="006727DF">
            <w:pPr>
              <w:pStyle w:val="DHHStabletext"/>
            </w:pPr>
            <w:r w:rsidRPr="006727DF">
              <w:t>0 (0%)</w:t>
            </w:r>
          </w:p>
        </w:tc>
        <w:tc>
          <w:tcPr>
            <w:tcW w:w="1134" w:type="dxa"/>
          </w:tcPr>
          <w:p w14:paraId="4F192BCA" w14:textId="44DFBC72" w:rsidR="009C0364" w:rsidRPr="006727DF" w:rsidRDefault="009C0364" w:rsidP="006727DF">
            <w:pPr>
              <w:pStyle w:val="DHHStabletext"/>
            </w:pPr>
            <w:r w:rsidRPr="006727DF">
              <w:t>1 (6%)</w:t>
            </w:r>
          </w:p>
        </w:tc>
      </w:tr>
      <w:tr w:rsidR="009C0364" w:rsidRPr="001202B5" w14:paraId="7DABB2F8" w14:textId="77777777" w:rsidTr="00380AD2">
        <w:trPr>
          <w:trHeight w:val="300"/>
        </w:trPr>
        <w:tc>
          <w:tcPr>
            <w:tcW w:w="1291" w:type="dxa"/>
            <w:shd w:val="clear" w:color="auto" w:fill="auto"/>
            <w:noWrap/>
            <w:vAlign w:val="bottom"/>
          </w:tcPr>
          <w:p w14:paraId="0E3DDEBE" w14:textId="706EBE57" w:rsidR="009C0364" w:rsidRPr="006727DF" w:rsidRDefault="009C0364" w:rsidP="006727DF">
            <w:pPr>
              <w:pStyle w:val="DHHStabletext"/>
            </w:pPr>
            <w:r w:rsidRPr="006727DF">
              <w:t>GICS</w:t>
            </w:r>
          </w:p>
        </w:tc>
        <w:tc>
          <w:tcPr>
            <w:tcW w:w="1134" w:type="dxa"/>
            <w:shd w:val="clear" w:color="auto" w:fill="auto"/>
            <w:noWrap/>
          </w:tcPr>
          <w:p w14:paraId="7696E4DB" w14:textId="67200818" w:rsidR="009C0364" w:rsidRPr="006727DF" w:rsidRDefault="009C0364" w:rsidP="006727DF">
            <w:pPr>
              <w:pStyle w:val="DHHStabletext"/>
            </w:pPr>
            <w:r w:rsidRPr="006727DF">
              <w:t>1 (5%)</w:t>
            </w:r>
          </w:p>
        </w:tc>
        <w:tc>
          <w:tcPr>
            <w:tcW w:w="1134" w:type="dxa"/>
            <w:shd w:val="clear" w:color="auto" w:fill="auto"/>
            <w:noWrap/>
          </w:tcPr>
          <w:p w14:paraId="15D68A7D" w14:textId="52E36C2A" w:rsidR="009C0364" w:rsidRPr="006727DF" w:rsidRDefault="009C0364" w:rsidP="006727DF">
            <w:pPr>
              <w:pStyle w:val="DHHStabletext"/>
            </w:pPr>
            <w:r w:rsidRPr="006727DF">
              <w:t>1 (5%)</w:t>
            </w:r>
          </w:p>
        </w:tc>
        <w:tc>
          <w:tcPr>
            <w:tcW w:w="1134" w:type="dxa"/>
          </w:tcPr>
          <w:p w14:paraId="628BAAA9" w14:textId="79B9733A" w:rsidR="009C0364" w:rsidRPr="006727DF" w:rsidRDefault="009C0364" w:rsidP="006727DF">
            <w:pPr>
              <w:pStyle w:val="DHHStabletext"/>
            </w:pPr>
            <w:r w:rsidRPr="006727DF">
              <w:t>6 (32%)</w:t>
            </w:r>
          </w:p>
        </w:tc>
        <w:tc>
          <w:tcPr>
            <w:tcW w:w="1276" w:type="dxa"/>
          </w:tcPr>
          <w:p w14:paraId="231EF9A7" w14:textId="5A866E75" w:rsidR="009C0364" w:rsidRPr="006727DF" w:rsidRDefault="009C0364" w:rsidP="006727DF">
            <w:pPr>
              <w:pStyle w:val="DHHStabletext"/>
            </w:pPr>
            <w:r w:rsidRPr="006727DF">
              <w:t>5 (26%)</w:t>
            </w:r>
          </w:p>
        </w:tc>
        <w:tc>
          <w:tcPr>
            <w:tcW w:w="992" w:type="dxa"/>
          </w:tcPr>
          <w:p w14:paraId="765C307D" w14:textId="2ACAB812" w:rsidR="009C0364" w:rsidRPr="006727DF" w:rsidRDefault="009C0364" w:rsidP="006727DF">
            <w:pPr>
              <w:pStyle w:val="DHHStabletext"/>
            </w:pPr>
            <w:r w:rsidRPr="006727DF">
              <w:t>1 (5%)</w:t>
            </w:r>
          </w:p>
        </w:tc>
        <w:tc>
          <w:tcPr>
            <w:tcW w:w="1134" w:type="dxa"/>
          </w:tcPr>
          <w:p w14:paraId="49BD2DC9" w14:textId="52E7D32F" w:rsidR="009C0364" w:rsidRPr="006727DF" w:rsidRDefault="009C0364" w:rsidP="006727DF">
            <w:pPr>
              <w:pStyle w:val="DHHStabletext"/>
            </w:pPr>
            <w:r w:rsidRPr="006727DF">
              <w:t>0 (0%)</w:t>
            </w:r>
          </w:p>
        </w:tc>
        <w:tc>
          <w:tcPr>
            <w:tcW w:w="1134" w:type="dxa"/>
          </w:tcPr>
          <w:p w14:paraId="799253F4" w14:textId="432FA8E6" w:rsidR="009C0364" w:rsidRPr="006727DF" w:rsidRDefault="009C0364" w:rsidP="006727DF">
            <w:pPr>
              <w:pStyle w:val="DHHStabletext"/>
            </w:pPr>
            <w:r w:rsidRPr="006727DF">
              <w:t>5 (26%)</w:t>
            </w:r>
          </w:p>
        </w:tc>
      </w:tr>
      <w:tr w:rsidR="009C0364" w:rsidRPr="001202B5" w14:paraId="0944C950" w14:textId="77777777" w:rsidTr="00380AD2">
        <w:trPr>
          <w:trHeight w:val="300"/>
        </w:trPr>
        <w:tc>
          <w:tcPr>
            <w:tcW w:w="1291" w:type="dxa"/>
            <w:shd w:val="clear" w:color="auto" w:fill="auto"/>
            <w:noWrap/>
            <w:vAlign w:val="bottom"/>
          </w:tcPr>
          <w:p w14:paraId="10A81B2B" w14:textId="04EE6781" w:rsidR="009C0364" w:rsidRPr="006727DF" w:rsidRDefault="009C0364" w:rsidP="006727DF">
            <w:pPr>
              <w:pStyle w:val="DHHStabletext"/>
            </w:pPr>
            <w:r w:rsidRPr="006727DF">
              <w:t>Hume RICS</w:t>
            </w:r>
            <w:r w:rsidR="009A009B" w:rsidRPr="006727DF">
              <w:t>#</w:t>
            </w:r>
          </w:p>
        </w:tc>
        <w:tc>
          <w:tcPr>
            <w:tcW w:w="1134" w:type="dxa"/>
            <w:shd w:val="clear" w:color="auto" w:fill="auto"/>
            <w:noWrap/>
          </w:tcPr>
          <w:p w14:paraId="1C2706D5" w14:textId="162B09FB" w:rsidR="009C0364" w:rsidRPr="006727DF" w:rsidRDefault="009C0364" w:rsidP="006727DF">
            <w:pPr>
              <w:pStyle w:val="DHHStabletext"/>
            </w:pPr>
            <w:r w:rsidRPr="006727DF">
              <w:t>2 (10%)</w:t>
            </w:r>
          </w:p>
        </w:tc>
        <w:tc>
          <w:tcPr>
            <w:tcW w:w="1134" w:type="dxa"/>
            <w:shd w:val="clear" w:color="auto" w:fill="auto"/>
            <w:noWrap/>
          </w:tcPr>
          <w:p w14:paraId="203DD46D" w14:textId="0C2A9776" w:rsidR="009C0364" w:rsidRPr="006727DF" w:rsidRDefault="009C0364" w:rsidP="006727DF">
            <w:pPr>
              <w:pStyle w:val="DHHStabletext"/>
            </w:pPr>
            <w:r w:rsidRPr="006727DF">
              <w:t>3 (15%)</w:t>
            </w:r>
          </w:p>
        </w:tc>
        <w:tc>
          <w:tcPr>
            <w:tcW w:w="1134" w:type="dxa"/>
          </w:tcPr>
          <w:p w14:paraId="7F0B122A" w14:textId="590142F6" w:rsidR="009C0364" w:rsidRPr="006727DF" w:rsidRDefault="009C0364" w:rsidP="006727DF">
            <w:pPr>
              <w:pStyle w:val="DHHStabletext"/>
            </w:pPr>
            <w:r w:rsidRPr="006727DF">
              <w:t>2 (10%)</w:t>
            </w:r>
          </w:p>
        </w:tc>
        <w:tc>
          <w:tcPr>
            <w:tcW w:w="1276" w:type="dxa"/>
          </w:tcPr>
          <w:p w14:paraId="66C4DAC7" w14:textId="2072C0F2" w:rsidR="009C0364" w:rsidRPr="006727DF" w:rsidRDefault="009C0364" w:rsidP="006727DF">
            <w:pPr>
              <w:pStyle w:val="DHHStabletext"/>
            </w:pPr>
            <w:r w:rsidRPr="006727DF">
              <w:t>7 (35%)</w:t>
            </w:r>
          </w:p>
        </w:tc>
        <w:tc>
          <w:tcPr>
            <w:tcW w:w="992" w:type="dxa"/>
          </w:tcPr>
          <w:p w14:paraId="2909F85C" w14:textId="67E2F6E4" w:rsidR="009C0364" w:rsidRPr="006727DF" w:rsidRDefault="009C0364" w:rsidP="006727DF">
            <w:pPr>
              <w:pStyle w:val="DHHStabletext"/>
            </w:pPr>
            <w:r w:rsidRPr="006727DF">
              <w:t>0 (0%)</w:t>
            </w:r>
          </w:p>
        </w:tc>
        <w:tc>
          <w:tcPr>
            <w:tcW w:w="1134" w:type="dxa"/>
          </w:tcPr>
          <w:p w14:paraId="7E89A2C1" w14:textId="4F543F99" w:rsidR="009C0364" w:rsidRPr="006727DF" w:rsidRDefault="009C0364" w:rsidP="006727DF">
            <w:pPr>
              <w:pStyle w:val="DHHStabletext"/>
            </w:pPr>
            <w:r w:rsidRPr="006727DF">
              <w:t>5 (25%)</w:t>
            </w:r>
          </w:p>
        </w:tc>
        <w:tc>
          <w:tcPr>
            <w:tcW w:w="1134" w:type="dxa"/>
          </w:tcPr>
          <w:p w14:paraId="0135D54E" w14:textId="5A0EAF9B" w:rsidR="009C0364" w:rsidRPr="006727DF" w:rsidRDefault="009C0364" w:rsidP="006727DF">
            <w:pPr>
              <w:pStyle w:val="DHHStabletext"/>
            </w:pPr>
            <w:r w:rsidRPr="006727DF">
              <w:t>1 (5%)</w:t>
            </w:r>
          </w:p>
        </w:tc>
      </w:tr>
      <w:tr w:rsidR="009C0364" w:rsidRPr="001202B5" w14:paraId="57022F28" w14:textId="77777777" w:rsidTr="00380AD2">
        <w:trPr>
          <w:trHeight w:val="300"/>
        </w:trPr>
        <w:tc>
          <w:tcPr>
            <w:tcW w:w="1291" w:type="dxa"/>
            <w:shd w:val="clear" w:color="auto" w:fill="auto"/>
            <w:noWrap/>
            <w:vAlign w:val="bottom"/>
          </w:tcPr>
          <w:p w14:paraId="10979EC7" w14:textId="0C5D43A8" w:rsidR="009C0364" w:rsidRPr="006727DF" w:rsidRDefault="009C0364" w:rsidP="006727DF">
            <w:pPr>
              <w:pStyle w:val="DHHStabletext"/>
            </w:pPr>
            <w:r w:rsidRPr="006727DF">
              <w:t>L</w:t>
            </w:r>
            <w:r w:rsidR="00D35548" w:rsidRPr="006727DF">
              <w:t>M</w:t>
            </w:r>
            <w:r w:rsidRPr="006727DF">
              <w:t>ICS</w:t>
            </w:r>
          </w:p>
        </w:tc>
        <w:tc>
          <w:tcPr>
            <w:tcW w:w="1134" w:type="dxa"/>
            <w:shd w:val="clear" w:color="auto" w:fill="auto"/>
            <w:noWrap/>
          </w:tcPr>
          <w:p w14:paraId="23B2F908" w14:textId="2735668A" w:rsidR="009C0364" w:rsidRPr="006727DF" w:rsidRDefault="009C0364" w:rsidP="006727DF">
            <w:pPr>
              <w:pStyle w:val="DHHStabletext"/>
            </w:pPr>
            <w:r w:rsidRPr="006727DF">
              <w:t>2 (7%)</w:t>
            </w:r>
          </w:p>
        </w:tc>
        <w:tc>
          <w:tcPr>
            <w:tcW w:w="1134" w:type="dxa"/>
            <w:shd w:val="clear" w:color="auto" w:fill="auto"/>
            <w:noWrap/>
          </w:tcPr>
          <w:p w14:paraId="24087F59" w14:textId="46AB8EDB" w:rsidR="009C0364" w:rsidRPr="006727DF" w:rsidRDefault="009C0364" w:rsidP="006727DF">
            <w:pPr>
              <w:pStyle w:val="DHHStabletext"/>
            </w:pPr>
            <w:r w:rsidRPr="006727DF">
              <w:t>6 (22%)</w:t>
            </w:r>
          </w:p>
        </w:tc>
        <w:tc>
          <w:tcPr>
            <w:tcW w:w="1134" w:type="dxa"/>
          </w:tcPr>
          <w:p w14:paraId="750A5232" w14:textId="3E942F6A" w:rsidR="009C0364" w:rsidRPr="006727DF" w:rsidRDefault="009C0364" w:rsidP="006727DF">
            <w:pPr>
              <w:pStyle w:val="DHHStabletext"/>
            </w:pPr>
            <w:r w:rsidRPr="006727DF">
              <w:t>1 (4%)</w:t>
            </w:r>
          </w:p>
        </w:tc>
        <w:tc>
          <w:tcPr>
            <w:tcW w:w="1276" w:type="dxa"/>
          </w:tcPr>
          <w:p w14:paraId="28003257" w14:textId="55EBD6C4" w:rsidR="009C0364" w:rsidRPr="006727DF" w:rsidRDefault="009C0364" w:rsidP="006727DF">
            <w:pPr>
              <w:pStyle w:val="DHHStabletext"/>
            </w:pPr>
            <w:r w:rsidRPr="006727DF">
              <w:t>7 (26%)</w:t>
            </w:r>
          </w:p>
        </w:tc>
        <w:tc>
          <w:tcPr>
            <w:tcW w:w="992" w:type="dxa"/>
          </w:tcPr>
          <w:p w14:paraId="2A97F5EB" w14:textId="303B4E3E" w:rsidR="009C0364" w:rsidRPr="006727DF" w:rsidRDefault="009314C7" w:rsidP="006727DF">
            <w:pPr>
              <w:pStyle w:val="DHHStabletext"/>
            </w:pPr>
            <w:r w:rsidRPr="006727DF">
              <w:t>2 (7%)</w:t>
            </w:r>
          </w:p>
        </w:tc>
        <w:tc>
          <w:tcPr>
            <w:tcW w:w="1134" w:type="dxa"/>
          </w:tcPr>
          <w:p w14:paraId="22C208B2" w14:textId="7BAE22ED" w:rsidR="009C0364" w:rsidRPr="006727DF" w:rsidRDefault="009314C7" w:rsidP="006727DF">
            <w:pPr>
              <w:pStyle w:val="DHHStabletext"/>
            </w:pPr>
            <w:r w:rsidRPr="006727DF">
              <w:t>0 (0%)</w:t>
            </w:r>
          </w:p>
        </w:tc>
        <w:tc>
          <w:tcPr>
            <w:tcW w:w="1134" w:type="dxa"/>
          </w:tcPr>
          <w:p w14:paraId="08D463B8" w14:textId="6B3036E3" w:rsidR="009C0364" w:rsidRPr="006727DF" w:rsidRDefault="009314C7" w:rsidP="006727DF">
            <w:pPr>
              <w:pStyle w:val="DHHStabletext"/>
            </w:pPr>
            <w:r w:rsidRPr="006727DF">
              <w:t>9 (33%)</w:t>
            </w:r>
          </w:p>
        </w:tc>
      </w:tr>
      <w:tr w:rsidR="009C0364" w:rsidRPr="001202B5" w14:paraId="5C284A1A" w14:textId="77777777" w:rsidTr="00380AD2">
        <w:trPr>
          <w:trHeight w:val="300"/>
        </w:trPr>
        <w:tc>
          <w:tcPr>
            <w:tcW w:w="1291" w:type="dxa"/>
            <w:shd w:val="clear" w:color="auto" w:fill="auto"/>
            <w:noWrap/>
            <w:vAlign w:val="bottom"/>
          </w:tcPr>
          <w:p w14:paraId="675EFFDC" w14:textId="6160C19E" w:rsidR="009C0364" w:rsidRPr="00254613" w:rsidRDefault="009C0364" w:rsidP="006727DF">
            <w:pPr>
              <w:pStyle w:val="DHHStabletext"/>
              <w:rPr>
                <w:b/>
              </w:rPr>
            </w:pPr>
            <w:r w:rsidRPr="00254613">
              <w:rPr>
                <w:b/>
              </w:rPr>
              <w:t>Total</w:t>
            </w:r>
          </w:p>
        </w:tc>
        <w:tc>
          <w:tcPr>
            <w:tcW w:w="1134" w:type="dxa"/>
            <w:shd w:val="clear" w:color="auto" w:fill="auto"/>
            <w:noWrap/>
          </w:tcPr>
          <w:p w14:paraId="428A914F" w14:textId="31F3005C" w:rsidR="009C0364" w:rsidRPr="00254613" w:rsidRDefault="009C0364" w:rsidP="006727DF">
            <w:pPr>
              <w:pStyle w:val="DHHStabletext"/>
              <w:rPr>
                <w:b/>
              </w:rPr>
            </w:pPr>
            <w:r w:rsidRPr="00254613">
              <w:rPr>
                <w:b/>
              </w:rPr>
              <w:t>30 (10%)</w:t>
            </w:r>
          </w:p>
        </w:tc>
        <w:tc>
          <w:tcPr>
            <w:tcW w:w="1134" w:type="dxa"/>
            <w:shd w:val="clear" w:color="auto" w:fill="auto"/>
            <w:noWrap/>
          </w:tcPr>
          <w:p w14:paraId="58F55D3D" w14:textId="52619F84" w:rsidR="009C0364" w:rsidRPr="00254613" w:rsidRDefault="009C0364" w:rsidP="006727DF">
            <w:pPr>
              <w:pStyle w:val="DHHStabletext"/>
              <w:rPr>
                <w:b/>
              </w:rPr>
            </w:pPr>
            <w:r w:rsidRPr="00254613">
              <w:rPr>
                <w:b/>
              </w:rPr>
              <w:t>38 (13%)</w:t>
            </w:r>
          </w:p>
        </w:tc>
        <w:tc>
          <w:tcPr>
            <w:tcW w:w="1134" w:type="dxa"/>
          </w:tcPr>
          <w:p w14:paraId="5806C952" w14:textId="0631597B" w:rsidR="009C0364" w:rsidRPr="00254613" w:rsidRDefault="009C0364" w:rsidP="006727DF">
            <w:pPr>
              <w:pStyle w:val="DHHStabletext"/>
              <w:rPr>
                <w:b/>
              </w:rPr>
            </w:pPr>
            <w:r w:rsidRPr="00254613">
              <w:rPr>
                <w:b/>
              </w:rPr>
              <w:t>47 (16%)</w:t>
            </w:r>
          </w:p>
        </w:tc>
        <w:tc>
          <w:tcPr>
            <w:tcW w:w="1276" w:type="dxa"/>
          </w:tcPr>
          <w:p w14:paraId="176638AA" w14:textId="2E4284F3" w:rsidR="009C0364" w:rsidRPr="00254613" w:rsidRDefault="009C0364" w:rsidP="006727DF">
            <w:pPr>
              <w:pStyle w:val="DHHStabletext"/>
              <w:rPr>
                <w:b/>
              </w:rPr>
            </w:pPr>
            <w:r w:rsidRPr="00254613">
              <w:rPr>
                <w:b/>
              </w:rPr>
              <w:t>112 (38%)</w:t>
            </w:r>
          </w:p>
        </w:tc>
        <w:tc>
          <w:tcPr>
            <w:tcW w:w="992" w:type="dxa"/>
          </w:tcPr>
          <w:p w14:paraId="47989E7C" w14:textId="49A5BD36" w:rsidR="009C0364" w:rsidRPr="00254613" w:rsidRDefault="009314C7" w:rsidP="006727DF">
            <w:pPr>
              <w:pStyle w:val="DHHStabletext"/>
              <w:rPr>
                <w:b/>
              </w:rPr>
            </w:pPr>
            <w:r w:rsidRPr="00254613">
              <w:rPr>
                <w:b/>
              </w:rPr>
              <w:t>12 (4%)</w:t>
            </w:r>
          </w:p>
        </w:tc>
        <w:tc>
          <w:tcPr>
            <w:tcW w:w="1134" w:type="dxa"/>
          </w:tcPr>
          <w:p w14:paraId="4504D4E3" w14:textId="49104513" w:rsidR="009C0364" w:rsidRPr="00254613" w:rsidRDefault="009314C7" w:rsidP="006727DF">
            <w:pPr>
              <w:pStyle w:val="DHHStabletext"/>
              <w:rPr>
                <w:b/>
              </w:rPr>
            </w:pPr>
            <w:r w:rsidRPr="00254613">
              <w:rPr>
                <w:b/>
              </w:rPr>
              <w:t>14 (5%)</w:t>
            </w:r>
          </w:p>
        </w:tc>
        <w:tc>
          <w:tcPr>
            <w:tcW w:w="1134" w:type="dxa"/>
          </w:tcPr>
          <w:p w14:paraId="6567DA22" w14:textId="1E15E1DE" w:rsidR="009C0364" w:rsidRPr="00254613" w:rsidRDefault="009314C7" w:rsidP="006727DF">
            <w:pPr>
              <w:pStyle w:val="DHHStabletext"/>
              <w:rPr>
                <w:b/>
              </w:rPr>
            </w:pPr>
            <w:r w:rsidRPr="00254613">
              <w:rPr>
                <w:b/>
              </w:rPr>
              <w:t>44 (15%)</w:t>
            </w:r>
          </w:p>
        </w:tc>
      </w:tr>
    </w:tbl>
    <w:p w14:paraId="23113755" w14:textId="264A7113" w:rsidR="009A009B" w:rsidRPr="009A009B" w:rsidRDefault="009A009B" w:rsidP="006727DF">
      <w:pPr>
        <w:pStyle w:val="DHHStablefigurenote"/>
        <w:rPr>
          <w:lang w:eastAsia="en-AU"/>
        </w:rPr>
      </w:pPr>
      <w:r w:rsidRPr="009A009B">
        <w:rPr>
          <w:vertAlign w:val="superscript"/>
          <w:lang w:eastAsia="en-AU"/>
        </w:rPr>
        <w:t>#</w:t>
      </w:r>
      <w:r w:rsidR="006727DF">
        <w:rPr>
          <w:vertAlign w:val="superscript"/>
          <w:lang w:eastAsia="en-AU"/>
        </w:rPr>
        <w:t xml:space="preserve"> </w:t>
      </w:r>
      <w:r w:rsidRPr="009A009B">
        <w:rPr>
          <w:lang w:eastAsia="en-AU"/>
        </w:rPr>
        <w:t xml:space="preserve">Note </w:t>
      </w:r>
      <w:proofErr w:type="spellStart"/>
      <w:r w:rsidRPr="009A009B">
        <w:rPr>
          <w:lang w:eastAsia="en-AU"/>
        </w:rPr>
        <w:t>HumeRICS</w:t>
      </w:r>
      <w:proofErr w:type="spellEnd"/>
      <w:r w:rsidRPr="009A009B">
        <w:rPr>
          <w:lang w:eastAsia="en-AU"/>
        </w:rPr>
        <w:t xml:space="preserve"> data limitation </w:t>
      </w:r>
      <w:r w:rsidR="00B82470">
        <w:rPr>
          <w:lang w:eastAsia="en-AU"/>
        </w:rPr>
        <w:t>regarding patients receiving their treatment in NSW.</w:t>
      </w:r>
    </w:p>
    <w:p w14:paraId="581165A7" w14:textId="1BA9920B" w:rsidR="002F606E" w:rsidRPr="004C0953" w:rsidRDefault="00900F1F" w:rsidP="006727DF">
      <w:pPr>
        <w:pStyle w:val="DHHStablefigurenote"/>
      </w:pPr>
      <w:r w:rsidRPr="003360DE">
        <w:t>*</w:t>
      </w:r>
      <w:r w:rsidR="006727DF">
        <w:t xml:space="preserve"> </w:t>
      </w:r>
      <w:r w:rsidRPr="003360DE">
        <w:t>If a field entry was not completed by the auditor, the data was recorded as mi</w:t>
      </w:r>
      <w:r w:rsidR="004C0953">
        <w:t>ssing. No assumptions were made.</w:t>
      </w:r>
    </w:p>
    <w:p w14:paraId="1B0C0010" w14:textId="10E0ACDD" w:rsidR="00C64CA4" w:rsidRDefault="00512660" w:rsidP="00C64CA4">
      <w:pPr>
        <w:pStyle w:val="Heading3"/>
      </w:pPr>
      <w:r>
        <w:t xml:space="preserve">Multidisciplinary </w:t>
      </w:r>
      <w:r w:rsidR="00795275">
        <w:t>m</w:t>
      </w:r>
      <w:r>
        <w:t>eeting</w:t>
      </w:r>
    </w:p>
    <w:p w14:paraId="6729EAF4" w14:textId="756249D3" w:rsidR="00FC1692" w:rsidRPr="006727DF" w:rsidRDefault="00FC1692" w:rsidP="006727DF">
      <w:pPr>
        <w:pStyle w:val="DHHSbody"/>
      </w:pPr>
      <w:r w:rsidRPr="00ED2F67">
        <w:t>Patients who died within 30 days of their cancer diagnosis (</w:t>
      </w:r>
      <w:r w:rsidR="00A144F1" w:rsidRPr="00254613">
        <w:rPr>
          <w:i/>
        </w:rPr>
        <w:t>n</w:t>
      </w:r>
      <w:r w:rsidR="00A144F1" w:rsidRPr="00A144F1">
        <w:t xml:space="preserve"> = </w:t>
      </w:r>
      <w:r w:rsidRPr="00ED2F67">
        <w:t xml:space="preserve">25) and patients who declined to be </w:t>
      </w:r>
      <w:r w:rsidRPr="006727DF">
        <w:t>discussed in an MDM (</w:t>
      </w:r>
      <w:r w:rsidR="00A144F1" w:rsidRPr="00254613">
        <w:rPr>
          <w:i/>
        </w:rPr>
        <w:t>n</w:t>
      </w:r>
      <w:r w:rsidR="00A144F1" w:rsidRPr="00A144F1">
        <w:t xml:space="preserve"> = </w:t>
      </w:r>
      <w:r w:rsidRPr="006727DF">
        <w:t xml:space="preserve">1) were excluded from the MDM capture rate calculation and from </w:t>
      </w:r>
      <w:r w:rsidR="00772B27">
        <w:t xml:space="preserve">the data presented in </w:t>
      </w:r>
      <w:r w:rsidRPr="006727DF">
        <w:t>Table</w:t>
      </w:r>
      <w:r w:rsidR="00772B27">
        <w:t>s</w:t>
      </w:r>
      <w:r w:rsidRPr="006727DF">
        <w:t xml:space="preserve"> 3 and 4.</w:t>
      </w:r>
    </w:p>
    <w:p w14:paraId="1279FCB6" w14:textId="6F669B21" w:rsidR="00ED2F67" w:rsidRPr="006727DF" w:rsidRDefault="00FC1692" w:rsidP="006727DF">
      <w:pPr>
        <w:pStyle w:val="DHHSbody"/>
      </w:pPr>
      <w:r w:rsidRPr="006727DF">
        <w:t xml:space="preserve">Of the remaining 271 patients audited, </w:t>
      </w:r>
      <w:r w:rsidR="00ED2F67" w:rsidRPr="006727DF">
        <w:t>81 per cent (220 of 271) were identified as having been discussed at a</w:t>
      </w:r>
      <w:r w:rsidR="00F46AFE">
        <w:t>n</w:t>
      </w:r>
      <w:r w:rsidR="00ED2F67" w:rsidRPr="006727DF">
        <w:t xml:space="preserve"> </w:t>
      </w:r>
      <w:r w:rsidR="000B5495" w:rsidRPr="006727DF">
        <w:t>MDM</w:t>
      </w:r>
      <w:r w:rsidR="00ED2F67" w:rsidRPr="006727DF">
        <w:t>.</w:t>
      </w:r>
    </w:p>
    <w:p w14:paraId="1EE5648D" w14:textId="74EEA44A" w:rsidR="00530F1A" w:rsidRPr="006727DF" w:rsidRDefault="00530F1A" w:rsidP="006727DF">
      <w:pPr>
        <w:pStyle w:val="DHHSbody"/>
      </w:pPr>
      <w:r w:rsidRPr="006727DF">
        <w:t xml:space="preserve">Of the patients </w:t>
      </w:r>
      <w:r w:rsidR="00EF6507">
        <w:t>who</w:t>
      </w:r>
      <w:r w:rsidR="00EF6507" w:rsidRPr="006727DF">
        <w:t xml:space="preserve"> </w:t>
      </w:r>
      <w:r w:rsidRPr="006727DF">
        <w:t xml:space="preserve">were included in the MDM capture rate calculation, </w:t>
      </w:r>
      <w:r w:rsidR="00EE7063" w:rsidRPr="006727DF">
        <w:t>28</w:t>
      </w:r>
      <w:r w:rsidRPr="006727DF">
        <w:t xml:space="preserve"> per cent had an incomplete audit record in which the patient attended more than one campus during the audit period and at least one of the campuses was not audited. It is therefore expected that the MDM capture rate reported</w:t>
      </w:r>
      <w:r w:rsidR="00A40779" w:rsidRPr="006727DF">
        <w:t xml:space="preserve"> here</w:t>
      </w:r>
      <w:r w:rsidRPr="006727DF">
        <w:t xml:space="preserve"> is lower than the actual rate. Notably, the MDM capture rate remains unchanged at 81 per cent if </w:t>
      </w:r>
      <w:r w:rsidR="002F3AD9" w:rsidRPr="006727DF">
        <w:t xml:space="preserve">all </w:t>
      </w:r>
      <w:r w:rsidRPr="006727DF">
        <w:t>patients</w:t>
      </w:r>
      <w:r w:rsidR="00063FB8" w:rsidRPr="006727DF">
        <w:t xml:space="preserve"> with an incomplete</w:t>
      </w:r>
      <w:r w:rsidRPr="006727DF">
        <w:t xml:space="preserve"> record are excluded from the rate calculation.</w:t>
      </w:r>
    </w:p>
    <w:p w14:paraId="2C503343" w14:textId="69D91D42" w:rsidR="000B5495" w:rsidRPr="006727DF" w:rsidRDefault="000B5495" w:rsidP="006727DF">
      <w:pPr>
        <w:pStyle w:val="DHHSbody"/>
      </w:pPr>
      <w:r w:rsidRPr="006727DF">
        <w:t>Patients diagnosed with stage I</w:t>
      </w:r>
      <w:r w:rsidR="00EF6507">
        <w:t>–</w:t>
      </w:r>
      <w:r w:rsidRPr="006727DF">
        <w:t xml:space="preserve">III OG cancer were more likely to be discussed at an MDM than patients </w:t>
      </w:r>
      <w:r w:rsidR="00EF6507">
        <w:t>who</w:t>
      </w:r>
      <w:r w:rsidR="00EF6507" w:rsidRPr="006727DF">
        <w:t xml:space="preserve"> </w:t>
      </w:r>
      <w:r w:rsidRPr="006727DF">
        <w:t>were diagnosed with stage IV</w:t>
      </w:r>
      <w:r w:rsidR="0017703C" w:rsidRPr="006727DF">
        <w:t xml:space="preserve">/metastatic disease. </w:t>
      </w:r>
      <w:r w:rsidR="00177EF1" w:rsidRPr="006727DF">
        <w:t xml:space="preserve">The median age for patients discussed at an MDM (69 years) was significantly lower than for patients </w:t>
      </w:r>
      <w:r w:rsidR="00EF6507">
        <w:t>who</w:t>
      </w:r>
      <w:r w:rsidR="00EF6507" w:rsidRPr="006727DF">
        <w:t xml:space="preserve"> </w:t>
      </w:r>
      <w:r w:rsidR="00177EF1" w:rsidRPr="006727DF">
        <w:t xml:space="preserve">were not </w:t>
      </w:r>
      <w:r w:rsidR="0017703C" w:rsidRPr="006727DF">
        <w:t>discussed at an MDM</w:t>
      </w:r>
      <w:r w:rsidR="00177EF1" w:rsidRPr="006727DF">
        <w:t xml:space="preserve"> (74 years)</w:t>
      </w:r>
      <w:r w:rsidR="0017703C" w:rsidRPr="006727DF">
        <w:t>.</w:t>
      </w:r>
    </w:p>
    <w:p w14:paraId="7B14CAAB" w14:textId="49444DB5" w:rsidR="00EF444D" w:rsidRPr="006727DF" w:rsidRDefault="00EF444D" w:rsidP="006727DF">
      <w:pPr>
        <w:pStyle w:val="DHHSbody"/>
      </w:pPr>
      <w:r w:rsidRPr="006727DF">
        <w:t xml:space="preserve">The relationship between treatment type and MDM presentation remains poorly understood </w:t>
      </w:r>
      <w:r w:rsidR="00EF6507">
        <w:t>because</w:t>
      </w:r>
      <w:r w:rsidR="00EF6507" w:rsidRPr="006727DF">
        <w:t xml:space="preserve"> </w:t>
      </w:r>
      <w:r w:rsidRPr="006727DF">
        <w:t xml:space="preserve">a large proportion of patients with unknown treatment type also did not have a documented MDM in their audit record (43 per cent). </w:t>
      </w:r>
      <w:r w:rsidR="000837F9" w:rsidRPr="006727DF">
        <w:t xml:space="preserve">The audit data available indicates that patients who are first treated with </w:t>
      </w:r>
      <w:proofErr w:type="spellStart"/>
      <w:r w:rsidR="000837F9" w:rsidRPr="006727DF">
        <w:t>chemoradiation</w:t>
      </w:r>
      <w:proofErr w:type="spellEnd"/>
      <w:r w:rsidR="000837F9" w:rsidRPr="006727DF">
        <w:t xml:space="preserve"> or gastrectomy are more likely to be discussed at an MDM than not.</w:t>
      </w:r>
    </w:p>
    <w:p w14:paraId="14746DC5" w14:textId="5C6605B3" w:rsidR="00A71C5B" w:rsidRPr="0017703C" w:rsidRDefault="00A71C5B" w:rsidP="006727DF">
      <w:pPr>
        <w:pStyle w:val="DHHSbody"/>
        <w:rPr>
          <w:rFonts w:ascii="Helv" w:hAnsi="Helv" w:cs="Helv"/>
          <w:color w:val="000000"/>
          <w:lang w:eastAsia="en-AU"/>
        </w:rPr>
      </w:pPr>
      <w:r w:rsidRPr="006727DF">
        <w:t>Patients with a</w:t>
      </w:r>
      <w:r>
        <w:t xml:space="preserve"> known referral to a community palliative care service had a lower MDM rate than patients </w:t>
      </w:r>
      <w:r w:rsidR="00EF6507">
        <w:t xml:space="preserve">who </w:t>
      </w:r>
      <w:r>
        <w:t>did not have a documented palliative care referral.</w:t>
      </w:r>
    </w:p>
    <w:p w14:paraId="40C80360" w14:textId="50F581E9" w:rsidR="0090528B" w:rsidRPr="00912BEB" w:rsidRDefault="00B00FC0" w:rsidP="00B00FC0">
      <w:pPr>
        <w:pStyle w:val="DHHStablecaption"/>
      </w:pPr>
      <w:bookmarkStart w:id="22" w:name="_Toc524422140"/>
      <w:bookmarkStart w:id="23" w:name="_Toc524422235"/>
      <w:r>
        <w:t xml:space="preserve">Table </w:t>
      </w:r>
      <w:r w:rsidR="005E110B">
        <w:fldChar w:fldCharType="begin"/>
      </w:r>
      <w:r w:rsidR="005E110B">
        <w:instrText xml:space="preserve"> SEQ Table \* ARABIC </w:instrText>
      </w:r>
      <w:r w:rsidR="005E110B">
        <w:fldChar w:fldCharType="separate"/>
      </w:r>
      <w:r w:rsidR="005E110B">
        <w:rPr>
          <w:noProof/>
        </w:rPr>
        <w:t>3</w:t>
      </w:r>
      <w:r w:rsidR="005E110B">
        <w:rPr>
          <w:noProof/>
        </w:rPr>
        <w:fldChar w:fldCharType="end"/>
      </w:r>
      <w:r w:rsidR="00A144F1">
        <w:t>:</w:t>
      </w:r>
      <w:r w:rsidR="003279A8">
        <w:t xml:space="preserve"> </w:t>
      </w:r>
      <w:r w:rsidR="0090528B">
        <w:t>Descriptive summary comparing patients with evidence of an MDM discussion in their medical record in comparison with t</w:t>
      </w:r>
      <w:r w:rsidR="00912BEB">
        <w:t>hose who did not (271 patients)</w:t>
      </w:r>
      <w:bookmarkEnd w:id="22"/>
      <w:bookmarkEnd w:id="23"/>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546"/>
        <w:gridCol w:w="1560"/>
        <w:gridCol w:w="1391"/>
        <w:gridCol w:w="1184"/>
      </w:tblGrid>
      <w:tr w:rsidR="0090528B" w:rsidRPr="00CF415C" w14:paraId="5351C22C" w14:textId="77777777" w:rsidTr="00380AD2">
        <w:trPr>
          <w:trHeight w:val="300"/>
          <w:tblHeader/>
        </w:trPr>
        <w:tc>
          <w:tcPr>
            <w:tcW w:w="893" w:type="pct"/>
            <w:shd w:val="clear" w:color="auto" w:fill="auto"/>
            <w:noWrap/>
            <w:vAlign w:val="bottom"/>
            <w:hideMark/>
          </w:tcPr>
          <w:p w14:paraId="5436531D" w14:textId="77777777" w:rsidR="0090528B" w:rsidRPr="00CF415C" w:rsidRDefault="0090528B" w:rsidP="00F0776E">
            <w:pPr>
              <w:pStyle w:val="DHHStablecolhead"/>
              <w:rPr>
                <w:lang w:eastAsia="en-AU"/>
              </w:rPr>
            </w:pPr>
            <w:r w:rsidRPr="00CF415C">
              <w:rPr>
                <w:lang w:eastAsia="en-AU"/>
              </w:rPr>
              <w:t>Variable</w:t>
            </w:r>
          </w:p>
        </w:tc>
        <w:tc>
          <w:tcPr>
            <w:tcW w:w="1896" w:type="pct"/>
            <w:shd w:val="clear" w:color="auto" w:fill="auto"/>
            <w:noWrap/>
            <w:vAlign w:val="bottom"/>
            <w:hideMark/>
          </w:tcPr>
          <w:p w14:paraId="431F6630" w14:textId="6F3F5D57" w:rsidR="0090528B" w:rsidRPr="00CF415C" w:rsidRDefault="00712E0B" w:rsidP="00F0776E">
            <w:pPr>
              <w:pStyle w:val="DHHStablecolhead"/>
              <w:rPr>
                <w:lang w:eastAsia="en-AU"/>
              </w:rPr>
            </w:pPr>
            <w:r>
              <w:rPr>
                <w:lang w:eastAsia="en-AU"/>
              </w:rPr>
              <w:t>Categories</w:t>
            </w:r>
          </w:p>
        </w:tc>
        <w:tc>
          <w:tcPr>
            <w:tcW w:w="834" w:type="pct"/>
            <w:shd w:val="clear" w:color="auto" w:fill="auto"/>
            <w:noWrap/>
            <w:vAlign w:val="bottom"/>
            <w:hideMark/>
          </w:tcPr>
          <w:p w14:paraId="26A0136F" w14:textId="77777777" w:rsidR="0090528B" w:rsidRPr="00A6462C" w:rsidRDefault="0090528B" w:rsidP="00F0776E">
            <w:pPr>
              <w:pStyle w:val="DHHStablecolhead"/>
              <w:rPr>
                <w:lang w:eastAsia="en-AU"/>
              </w:rPr>
            </w:pPr>
            <w:r w:rsidRPr="00A6462C">
              <w:rPr>
                <w:lang w:eastAsia="en-AU"/>
              </w:rPr>
              <w:t>MDM</w:t>
            </w:r>
          </w:p>
        </w:tc>
        <w:tc>
          <w:tcPr>
            <w:tcW w:w="744" w:type="pct"/>
            <w:shd w:val="clear" w:color="auto" w:fill="auto"/>
            <w:noWrap/>
            <w:vAlign w:val="bottom"/>
            <w:hideMark/>
          </w:tcPr>
          <w:p w14:paraId="6616548D" w14:textId="77777777" w:rsidR="0090528B" w:rsidRPr="00A6462C" w:rsidRDefault="0090528B" w:rsidP="00F0776E">
            <w:pPr>
              <w:pStyle w:val="DHHStablecolhead"/>
              <w:rPr>
                <w:lang w:eastAsia="en-AU"/>
              </w:rPr>
            </w:pPr>
            <w:r w:rsidRPr="00A6462C">
              <w:rPr>
                <w:lang w:eastAsia="en-AU"/>
              </w:rPr>
              <w:t>No MDM</w:t>
            </w:r>
          </w:p>
        </w:tc>
        <w:tc>
          <w:tcPr>
            <w:tcW w:w="633" w:type="pct"/>
            <w:shd w:val="clear" w:color="auto" w:fill="auto"/>
            <w:noWrap/>
            <w:vAlign w:val="bottom"/>
            <w:hideMark/>
          </w:tcPr>
          <w:p w14:paraId="01B68D27" w14:textId="6CECB49C" w:rsidR="0090528B" w:rsidRPr="00CF415C" w:rsidRDefault="0090528B" w:rsidP="00F0776E">
            <w:pPr>
              <w:pStyle w:val="DHHStablecolhead"/>
              <w:rPr>
                <w:lang w:eastAsia="en-AU"/>
              </w:rPr>
            </w:pPr>
            <w:r w:rsidRPr="00CF415C">
              <w:rPr>
                <w:lang w:eastAsia="en-AU"/>
              </w:rPr>
              <w:t>P</w:t>
            </w:r>
            <w:r w:rsidR="00CD067C">
              <w:rPr>
                <w:lang w:eastAsia="en-AU"/>
              </w:rPr>
              <w:t>-</w:t>
            </w:r>
            <w:r w:rsidRPr="00CF415C">
              <w:rPr>
                <w:lang w:eastAsia="en-AU"/>
              </w:rPr>
              <w:t>value</w:t>
            </w:r>
            <w:r w:rsidR="00C42C7A" w:rsidRPr="00380AD2">
              <w:rPr>
                <w:rFonts w:cs="Arial"/>
                <w:vertAlign w:val="superscript"/>
                <w:lang w:eastAsia="en-AU"/>
              </w:rPr>
              <w:t>˄</w:t>
            </w:r>
          </w:p>
        </w:tc>
      </w:tr>
      <w:tr w:rsidR="0090528B" w:rsidRPr="00CF415C" w14:paraId="37F4C9FA" w14:textId="77777777" w:rsidTr="00B12671">
        <w:trPr>
          <w:trHeight w:val="300"/>
        </w:trPr>
        <w:tc>
          <w:tcPr>
            <w:tcW w:w="893" w:type="pct"/>
            <w:vMerge w:val="restart"/>
            <w:shd w:val="clear" w:color="auto" w:fill="D9D9D9" w:themeFill="background1" w:themeFillShade="D9"/>
            <w:noWrap/>
            <w:hideMark/>
          </w:tcPr>
          <w:p w14:paraId="0292E3E3" w14:textId="77777777" w:rsidR="0090528B" w:rsidRPr="00BA6C37" w:rsidRDefault="0090528B" w:rsidP="00F0776E">
            <w:pPr>
              <w:pStyle w:val="DHHStabletext"/>
              <w:rPr>
                <w:lang w:eastAsia="en-AU"/>
              </w:rPr>
            </w:pPr>
            <w:r w:rsidRPr="00BA6C37">
              <w:rPr>
                <w:lang w:eastAsia="en-AU"/>
              </w:rPr>
              <w:t>Diagnosis</w:t>
            </w:r>
          </w:p>
        </w:tc>
        <w:tc>
          <w:tcPr>
            <w:tcW w:w="1896" w:type="pct"/>
            <w:shd w:val="clear" w:color="auto" w:fill="D9D9D9" w:themeFill="background1" w:themeFillShade="D9"/>
            <w:noWrap/>
            <w:vAlign w:val="bottom"/>
            <w:hideMark/>
          </w:tcPr>
          <w:p w14:paraId="583D3409" w14:textId="77777777" w:rsidR="0090528B" w:rsidRPr="001202B5" w:rsidRDefault="0090528B" w:rsidP="00F0776E">
            <w:pPr>
              <w:pStyle w:val="DHHStabletext"/>
              <w:rPr>
                <w:rFonts w:cs="Arial"/>
                <w:lang w:eastAsia="en-AU"/>
              </w:rPr>
            </w:pPr>
            <w:r w:rsidRPr="001202B5">
              <w:rPr>
                <w:rFonts w:cs="Arial"/>
                <w:lang w:eastAsia="en-AU"/>
              </w:rPr>
              <w:t>C15 Malignant neoplasm of oesophagus</w:t>
            </w:r>
          </w:p>
        </w:tc>
        <w:tc>
          <w:tcPr>
            <w:tcW w:w="834" w:type="pct"/>
            <w:shd w:val="clear" w:color="auto" w:fill="D9D9D9" w:themeFill="background1" w:themeFillShade="D9"/>
            <w:noWrap/>
          </w:tcPr>
          <w:p w14:paraId="3F021C6E" w14:textId="77777777" w:rsidR="0090528B" w:rsidRPr="001202B5" w:rsidRDefault="0090528B" w:rsidP="00380AD2">
            <w:pPr>
              <w:pStyle w:val="DHHStabletext"/>
              <w:jc w:val="right"/>
              <w:rPr>
                <w:rFonts w:cs="Arial"/>
                <w:lang w:eastAsia="en-AU"/>
              </w:rPr>
            </w:pPr>
            <w:r w:rsidRPr="001202B5">
              <w:rPr>
                <w:rFonts w:cs="Arial"/>
                <w:color w:val="000000"/>
              </w:rPr>
              <w:t>74 (34%)</w:t>
            </w:r>
          </w:p>
        </w:tc>
        <w:tc>
          <w:tcPr>
            <w:tcW w:w="744" w:type="pct"/>
            <w:shd w:val="clear" w:color="auto" w:fill="D9D9D9" w:themeFill="background1" w:themeFillShade="D9"/>
            <w:noWrap/>
          </w:tcPr>
          <w:p w14:paraId="4F098CAA" w14:textId="77777777" w:rsidR="0090528B" w:rsidRPr="001202B5" w:rsidRDefault="0090528B" w:rsidP="00380AD2">
            <w:pPr>
              <w:pStyle w:val="DHHStabletext"/>
              <w:jc w:val="right"/>
              <w:rPr>
                <w:rFonts w:cs="Arial"/>
                <w:lang w:eastAsia="en-AU"/>
              </w:rPr>
            </w:pPr>
            <w:r w:rsidRPr="001202B5">
              <w:rPr>
                <w:rFonts w:cs="Arial"/>
                <w:color w:val="000000"/>
              </w:rPr>
              <w:t>20 (39%)</w:t>
            </w:r>
          </w:p>
        </w:tc>
        <w:tc>
          <w:tcPr>
            <w:tcW w:w="633" w:type="pct"/>
            <w:vMerge w:val="restart"/>
            <w:shd w:val="clear" w:color="auto" w:fill="D9D9D9" w:themeFill="background1" w:themeFillShade="D9"/>
            <w:noWrap/>
          </w:tcPr>
          <w:p w14:paraId="3C663465" w14:textId="77777777" w:rsidR="0090528B" w:rsidRPr="001202B5" w:rsidRDefault="0090528B" w:rsidP="00380AD2">
            <w:pPr>
              <w:pStyle w:val="DHHStabletext"/>
              <w:jc w:val="right"/>
              <w:rPr>
                <w:rFonts w:cs="Arial"/>
                <w:lang w:eastAsia="en-AU"/>
              </w:rPr>
            </w:pPr>
            <w:r w:rsidRPr="001202B5">
              <w:rPr>
                <w:rFonts w:cs="Arial"/>
                <w:color w:val="000000"/>
              </w:rPr>
              <w:t>0.555</w:t>
            </w:r>
          </w:p>
        </w:tc>
      </w:tr>
      <w:tr w:rsidR="0090528B" w:rsidRPr="00CF415C" w14:paraId="686D8708" w14:textId="77777777" w:rsidTr="00B12671">
        <w:trPr>
          <w:trHeight w:val="300"/>
        </w:trPr>
        <w:tc>
          <w:tcPr>
            <w:tcW w:w="893" w:type="pct"/>
            <w:vMerge/>
            <w:shd w:val="clear" w:color="auto" w:fill="D9D9D9" w:themeFill="background1" w:themeFillShade="D9"/>
            <w:noWrap/>
            <w:vAlign w:val="bottom"/>
            <w:hideMark/>
          </w:tcPr>
          <w:p w14:paraId="44F55A01"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hideMark/>
          </w:tcPr>
          <w:p w14:paraId="138ABE92" w14:textId="77777777" w:rsidR="0090528B" w:rsidRPr="001202B5" w:rsidRDefault="0090528B" w:rsidP="00F0776E">
            <w:pPr>
              <w:pStyle w:val="DHHStabletext"/>
              <w:rPr>
                <w:rFonts w:cs="Arial"/>
                <w:lang w:eastAsia="en-AU"/>
              </w:rPr>
            </w:pPr>
            <w:r w:rsidRPr="001202B5">
              <w:rPr>
                <w:rFonts w:cs="Arial"/>
                <w:lang w:eastAsia="en-AU"/>
              </w:rPr>
              <w:t>C16 Malignant neoplasm of stomach</w:t>
            </w:r>
          </w:p>
        </w:tc>
        <w:tc>
          <w:tcPr>
            <w:tcW w:w="834" w:type="pct"/>
            <w:shd w:val="clear" w:color="auto" w:fill="D9D9D9" w:themeFill="background1" w:themeFillShade="D9"/>
            <w:noWrap/>
          </w:tcPr>
          <w:p w14:paraId="4CBD9139" w14:textId="77777777" w:rsidR="0090528B" w:rsidRPr="001202B5" w:rsidRDefault="0090528B" w:rsidP="00380AD2">
            <w:pPr>
              <w:pStyle w:val="DHHStabletext"/>
              <w:jc w:val="right"/>
              <w:rPr>
                <w:rFonts w:cs="Arial"/>
                <w:lang w:eastAsia="en-AU"/>
              </w:rPr>
            </w:pPr>
            <w:r w:rsidRPr="001202B5">
              <w:rPr>
                <w:rFonts w:cs="Arial"/>
                <w:color w:val="000000"/>
              </w:rPr>
              <w:t>146 (66%)</w:t>
            </w:r>
          </w:p>
        </w:tc>
        <w:tc>
          <w:tcPr>
            <w:tcW w:w="744" w:type="pct"/>
            <w:shd w:val="clear" w:color="auto" w:fill="D9D9D9" w:themeFill="background1" w:themeFillShade="D9"/>
            <w:noWrap/>
          </w:tcPr>
          <w:p w14:paraId="1F791BAA" w14:textId="77777777" w:rsidR="0090528B" w:rsidRPr="001202B5" w:rsidRDefault="0090528B" w:rsidP="00380AD2">
            <w:pPr>
              <w:pStyle w:val="DHHStabletext"/>
              <w:jc w:val="right"/>
              <w:rPr>
                <w:rFonts w:cs="Arial"/>
                <w:lang w:eastAsia="en-AU"/>
              </w:rPr>
            </w:pPr>
            <w:r w:rsidRPr="001202B5">
              <w:rPr>
                <w:rFonts w:cs="Arial"/>
                <w:color w:val="000000"/>
              </w:rPr>
              <w:t>31 (61%)</w:t>
            </w:r>
          </w:p>
        </w:tc>
        <w:tc>
          <w:tcPr>
            <w:tcW w:w="633" w:type="pct"/>
            <w:vMerge/>
            <w:shd w:val="clear" w:color="auto" w:fill="D9D9D9" w:themeFill="background1" w:themeFillShade="D9"/>
            <w:noWrap/>
          </w:tcPr>
          <w:p w14:paraId="04270814" w14:textId="77777777" w:rsidR="0090528B" w:rsidRPr="001202B5" w:rsidRDefault="0090528B" w:rsidP="00380AD2">
            <w:pPr>
              <w:pStyle w:val="DHHStabletext"/>
              <w:jc w:val="right"/>
              <w:rPr>
                <w:rFonts w:cs="Arial"/>
                <w:lang w:eastAsia="en-AU"/>
              </w:rPr>
            </w:pPr>
          </w:p>
        </w:tc>
      </w:tr>
      <w:tr w:rsidR="0090528B" w:rsidRPr="00CF415C" w14:paraId="46A61C2E" w14:textId="77777777" w:rsidTr="00380AD2">
        <w:trPr>
          <w:trHeight w:val="300"/>
        </w:trPr>
        <w:tc>
          <w:tcPr>
            <w:tcW w:w="893" w:type="pct"/>
            <w:vMerge w:val="restart"/>
            <w:shd w:val="clear" w:color="auto" w:fill="auto"/>
            <w:noWrap/>
            <w:hideMark/>
          </w:tcPr>
          <w:p w14:paraId="4CE23EB5" w14:textId="7585B855" w:rsidR="0090528B" w:rsidRPr="00BA6C37" w:rsidRDefault="0090528B">
            <w:pPr>
              <w:pStyle w:val="DHHStabletext"/>
              <w:rPr>
                <w:lang w:eastAsia="en-AU"/>
              </w:rPr>
            </w:pPr>
            <w:r w:rsidRPr="00BA6C37">
              <w:rPr>
                <w:lang w:eastAsia="en-AU"/>
              </w:rPr>
              <w:t xml:space="preserve">ICS of </w:t>
            </w:r>
            <w:r w:rsidR="00A144F1">
              <w:rPr>
                <w:lang w:eastAsia="en-AU"/>
              </w:rPr>
              <w:t>r</w:t>
            </w:r>
            <w:r w:rsidRPr="00BA6C37">
              <w:rPr>
                <w:lang w:eastAsia="en-AU"/>
              </w:rPr>
              <w:t>esidence</w:t>
            </w:r>
          </w:p>
        </w:tc>
        <w:tc>
          <w:tcPr>
            <w:tcW w:w="1896" w:type="pct"/>
            <w:shd w:val="clear" w:color="auto" w:fill="auto"/>
            <w:noWrap/>
            <w:vAlign w:val="bottom"/>
            <w:hideMark/>
          </w:tcPr>
          <w:p w14:paraId="1E8C88D0" w14:textId="77777777" w:rsidR="0090528B" w:rsidRPr="001202B5" w:rsidRDefault="0090528B" w:rsidP="00F0776E">
            <w:pPr>
              <w:pStyle w:val="DHHStabletext"/>
              <w:rPr>
                <w:rFonts w:cs="Arial"/>
                <w:lang w:eastAsia="en-AU"/>
              </w:rPr>
            </w:pPr>
            <w:r w:rsidRPr="001202B5">
              <w:rPr>
                <w:rFonts w:cs="Arial"/>
                <w:lang w:eastAsia="en-AU"/>
              </w:rPr>
              <w:t xml:space="preserve">NEMICS </w:t>
            </w:r>
          </w:p>
        </w:tc>
        <w:tc>
          <w:tcPr>
            <w:tcW w:w="834" w:type="pct"/>
            <w:shd w:val="clear" w:color="auto" w:fill="auto"/>
            <w:noWrap/>
          </w:tcPr>
          <w:p w14:paraId="10694BFD" w14:textId="77777777" w:rsidR="0090528B" w:rsidRPr="001202B5" w:rsidRDefault="0090528B" w:rsidP="00380AD2">
            <w:pPr>
              <w:pStyle w:val="DHHStabletext"/>
              <w:jc w:val="right"/>
              <w:rPr>
                <w:rFonts w:cs="Arial"/>
                <w:lang w:eastAsia="en-AU"/>
              </w:rPr>
            </w:pPr>
            <w:r w:rsidRPr="001202B5">
              <w:rPr>
                <w:rFonts w:cs="Arial"/>
                <w:color w:val="000000"/>
              </w:rPr>
              <w:t>44 (20%)</w:t>
            </w:r>
          </w:p>
        </w:tc>
        <w:tc>
          <w:tcPr>
            <w:tcW w:w="744" w:type="pct"/>
            <w:shd w:val="clear" w:color="auto" w:fill="auto"/>
            <w:noWrap/>
          </w:tcPr>
          <w:p w14:paraId="3294D3C5" w14:textId="77777777" w:rsidR="0090528B" w:rsidRPr="001202B5" w:rsidRDefault="0090528B" w:rsidP="00380AD2">
            <w:pPr>
              <w:pStyle w:val="DHHStabletext"/>
              <w:jc w:val="right"/>
              <w:rPr>
                <w:rFonts w:cs="Arial"/>
                <w:lang w:eastAsia="en-AU"/>
              </w:rPr>
            </w:pPr>
            <w:r w:rsidRPr="001202B5">
              <w:rPr>
                <w:rFonts w:cs="Arial"/>
                <w:color w:val="000000"/>
              </w:rPr>
              <w:t>16 (31%)</w:t>
            </w:r>
          </w:p>
        </w:tc>
        <w:tc>
          <w:tcPr>
            <w:tcW w:w="633" w:type="pct"/>
            <w:vMerge w:val="restart"/>
            <w:shd w:val="clear" w:color="auto" w:fill="auto"/>
            <w:noWrap/>
          </w:tcPr>
          <w:p w14:paraId="128D0283" w14:textId="77777777" w:rsidR="0090528B" w:rsidRPr="001202B5" w:rsidRDefault="0090528B" w:rsidP="00380AD2">
            <w:pPr>
              <w:pStyle w:val="DHHStabletext"/>
              <w:jc w:val="right"/>
              <w:rPr>
                <w:rFonts w:cs="Arial"/>
                <w:lang w:eastAsia="en-AU"/>
              </w:rPr>
            </w:pPr>
            <w:r w:rsidRPr="001202B5">
              <w:rPr>
                <w:rFonts w:cs="Arial"/>
                <w:color w:val="000000"/>
              </w:rPr>
              <w:t>0.134</w:t>
            </w:r>
          </w:p>
        </w:tc>
      </w:tr>
      <w:tr w:rsidR="0090528B" w:rsidRPr="00CF415C" w14:paraId="014CABF1" w14:textId="77777777" w:rsidTr="00380AD2">
        <w:trPr>
          <w:trHeight w:val="300"/>
        </w:trPr>
        <w:tc>
          <w:tcPr>
            <w:tcW w:w="893" w:type="pct"/>
            <w:vMerge/>
            <w:shd w:val="clear" w:color="auto" w:fill="auto"/>
            <w:noWrap/>
            <w:vAlign w:val="bottom"/>
            <w:hideMark/>
          </w:tcPr>
          <w:p w14:paraId="6D93DA37"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5C275116" w14:textId="77777777" w:rsidR="0090528B" w:rsidRPr="001202B5" w:rsidRDefault="0090528B" w:rsidP="00F0776E">
            <w:pPr>
              <w:pStyle w:val="DHHStabletext"/>
              <w:rPr>
                <w:rFonts w:cs="Arial"/>
                <w:lang w:eastAsia="en-AU"/>
              </w:rPr>
            </w:pPr>
            <w:r w:rsidRPr="001202B5">
              <w:rPr>
                <w:rFonts w:cs="Arial"/>
                <w:lang w:eastAsia="en-AU"/>
              </w:rPr>
              <w:t xml:space="preserve">SMICS </w:t>
            </w:r>
          </w:p>
        </w:tc>
        <w:tc>
          <w:tcPr>
            <w:tcW w:w="834" w:type="pct"/>
            <w:shd w:val="clear" w:color="auto" w:fill="auto"/>
            <w:noWrap/>
          </w:tcPr>
          <w:p w14:paraId="6B5EA26A" w14:textId="77777777" w:rsidR="0090528B" w:rsidRPr="001202B5" w:rsidRDefault="0090528B" w:rsidP="00380AD2">
            <w:pPr>
              <w:pStyle w:val="DHHStabletext"/>
              <w:jc w:val="right"/>
              <w:rPr>
                <w:rFonts w:cs="Arial"/>
                <w:lang w:eastAsia="en-AU"/>
              </w:rPr>
            </w:pPr>
            <w:r w:rsidRPr="001202B5">
              <w:rPr>
                <w:rFonts w:cs="Arial"/>
                <w:color w:val="000000"/>
              </w:rPr>
              <w:t>43 (20%)</w:t>
            </w:r>
          </w:p>
        </w:tc>
        <w:tc>
          <w:tcPr>
            <w:tcW w:w="744" w:type="pct"/>
            <w:shd w:val="clear" w:color="auto" w:fill="auto"/>
            <w:noWrap/>
          </w:tcPr>
          <w:p w14:paraId="2889AC27" w14:textId="77777777" w:rsidR="0090528B" w:rsidRPr="001202B5" w:rsidRDefault="0090528B" w:rsidP="00380AD2">
            <w:pPr>
              <w:pStyle w:val="DHHStabletext"/>
              <w:jc w:val="right"/>
              <w:rPr>
                <w:rFonts w:cs="Arial"/>
                <w:lang w:eastAsia="en-AU"/>
              </w:rPr>
            </w:pPr>
            <w:r w:rsidRPr="001202B5">
              <w:rPr>
                <w:rFonts w:cs="Arial"/>
                <w:color w:val="000000"/>
              </w:rPr>
              <w:t>11 (22%)</w:t>
            </w:r>
          </w:p>
        </w:tc>
        <w:tc>
          <w:tcPr>
            <w:tcW w:w="633" w:type="pct"/>
            <w:vMerge/>
            <w:shd w:val="clear" w:color="auto" w:fill="auto"/>
            <w:noWrap/>
          </w:tcPr>
          <w:p w14:paraId="449E205F" w14:textId="77777777" w:rsidR="0090528B" w:rsidRPr="001202B5" w:rsidRDefault="0090528B" w:rsidP="00380AD2">
            <w:pPr>
              <w:pStyle w:val="DHHStabletext"/>
              <w:jc w:val="right"/>
              <w:rPr>
                <w:rFonts w:cs="Arial"/>
                <w:lang w:eastAsia="en-AU"/>
              </w:rPr>
            </w:pPr>
          </w:p>
        </w:tc>
      </w:tr>
      <w:tr w:rsidR="0090528B" w:rsidRPr="00CF415C" w14:paraId="2B264AAF" w14:textId="77777777" w:rsidTr="00380AD2">
        <w:trPr>
          <w:trHeight w:val="300"/>
        </w:trPr>
        <w:tc>
          <w:tcPr>
            <w:tcW w:w="893" w:type="pct"/>
            <w:vMerge/>
            <w:shd w:val="clear" w:color="auto" w:fill="auto"/>
            <w:noWrap/>
            <w:vAlign w:val="bottom"/>
            <w:hideMark/>
          </w:tcPr>
          <w:p w14:paraId="756CDE57"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6C9AACBC" w14:textId="77777777" w:rsidR="0090528B" w:rsidRPr="001202B5" w:rsidRDefault="0090528B" w:rsidP="00F0776E">
            <w:pPr>
              <w:pStyle w:val="DHHStabletext"/>
              <w:rPr>
                <w:rFonts w:cs="Arial"/>
                <w:lang w:eastAsia="en-AU"/>
              </w:rPr>
            </w:pPr>
            <w:r w:rsidRPr="001202B5">
              <w:rPr>
                <w:rFonts w:cs="Arial"/>
                <w:lang w:eastAsia="en-AU"/>
              </w:rPr>
              <w:t xml:space="preserve">WCMICS </w:t>
            </w:r>
          </w:p>
        </w:tc>
        <w:tc>
          <w:tcPr>
            <w:tcW w:w="834" w:type="pct"/>
            <w:shd w:val="clear" w:color="auto" w:fill="auto"/>
            <w:noWrap/>
          </w:tcPr>
          <w:p w14:paraId="04E19AB7" w14:textId="77777777" w:rsidR="0090528B" w:rsidRPr="001202B5" w:rsidRDefault="0090528B" w:rsidP="00380AD2">
            <w:pPr>
              <w:pStyle w:val="DHHStabletext"/>
              <w:jc w:val="right"/>
              <w:rPr>
                <w:rFonts w:cs="Arial"/>
                <w:lang w:eastAsia="en-AU"/>
              </w:rPr>
            </w:pPr>
            <w:r w:rsidRPr="001202B5">
              <w:rPr>
                <w:rFonts w:cs="Arial"/>
                <w:color w:val="000000"/>
              </w:rPr>
              <w:t>53 (24%)</w:t>
            </w:r>
          </w:p>
        </w:tc>
        <w:tc>
          <w:tcPr>
            <w:tcW w:w="744" w:type="pct"/>
            <w:shd w:val="clear" w:color="auto" w:fill="auto"/>
            <w:noWrap/>
          </w:tcPr>
          <w:p w14:paraId="5DF9200B" w14:textId="77777777" w:rsidR="0090528B" w:rsidRPr="001202B5" w:rsidRDefault="0090528B" w:rsidP="00380AD2">
            <w:pPr>
              <w:pStyle w:val="DHHStabletext"/>
              <w:jc w:val="right"/>
              <w:rPr>
                <w:rFonts w:cs="Arial"/>
                <w:lang w:eastAsia="en-AU"/>
              </w:rPr>
            </w:pPr>
            <w:r w:rsidRPr="001202B5">
              <w:rPr>
                <w:rFonts w:cs="Arial"/>
                <w:color w:val="000000"/>
              </w:rPr>
              <w:t>5 (10%)</w:t>
            </w:r>
          </w:p>
        </w:tc>
        <w:tc>
          <w:tcPr>
            <w:tcW w:w="633" w:type="pct"/>
            <w:vMerge/>
            <w:shd w:val="clear" w:color="auto" w:fill="auto"/>
            <w:noWrap/>
          </w:tcPr>
          <w:p w14:paraId="394F1D5D" w14:textId="77777777" w:rsidR="0090528B" w:rsidRPr="001202B5" w:rsidRDefault="0090528B" w:rsidP="00380AD2">
            <w:pPr>
              <w:pStyle w:val="DHHStabletext"/>
              <w:jc w:val="right"/>
              <w:rPr>
                <w:rFonts w:cs="Arial"/>
                <w:lang w:eastAsia="en-AU"/>
              </w:rPr>
            </w:pPr>
          </w:p>
        </w:tc>
      </w:tr>
      <w:tr w:rsidR="0090528B" w:rsidRPr="00CF415C" w14:paraId="7F87D9B3" w14:textId="77777777" w:rsidTr="00380AD2">
        <w:trPr>
          <w:trHeight w:val="300"/>
        </w:trPr>
        <w:tc>
          <w:tcPr>
            <w:tcW w:w="893" w:type="pct"/>
            <w:vMerge/>
            <w:shd w:val="clear" w:color="auto" w:fill="auto"/>
            <w:noWrap/>
            <w:vAlign w:val="bottom"/>
            <w:hideMark/>
          </w:tcPr>
          <w:p w14:paraId="770BE381"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1E23B417" w14:textId="4FD9B4FD" w:rsidR="0090528B" w:rsidRPr="001202B5" w:rsidRDefault="0090528B" w:rsidP="00F0776E">
            <w:pPr>
              <w:pStyle w:val="DHHStabletext"/>
              <w:rPr>
                <w:rFonts w:cs="Arial"/>
                <w:lang w:eastAsia="en-AU"/>
              </w:rPr>
            </w:pPr>
            <w:r w:rsidRPr="001202B5">
              <w:rPr>
                <w:rFonts w:cs="Arial"/>
                <w:lang w:eastAsia="en-AU"/>
              </w:rPr>
              <w:t xml:space="preserve">BSWRICS </w:t>
            </w:r>
          </w:p>
        </w:tc>
        <w:tc>
          <w:tcPr>
            <w:tcW w:w="834" w:type="pct"/>
            <w:shd w:val="clear" w:color="auto" w:fill="auto"/>
            <w:noWrap/>
          </w:tcPr>
          <w:p w14:paraId="5AC0A34E" w14:textId="77777777" w:rsidR="0090528B" w:rsidRPr="001202B5" w:rsidRDefault="0090528B" w:rsidP="00380AD2">
            <w:pPr>
              <w:pStyle w:val="DHHStabletext"/>
              <w:jc w:val="right"/>
              <w:rPr>
                <w:rFonts w:cs="Arial"/>
                <w:lang w:eastAsia="en-AU"/>
              </w:rPr>
            </w:pPr>
            <w:r w:rsidRPr="001202B5">
              <w:rPr>
                <w:rFonts w:cs="Arial"/>
                <w:color w:val="000000"/>
              </w:rPr>
              <w:t>19 (9%)</w:t>
            </w:r>
          </w:p>
        </w:tc>
        <w:tc>
          <w:tcPr>
            <w:tcW w:w="744" w:type="pct"/>
            <w:shd w:val="clear" w:color="auto" w:fill="auto"/>
            <w:noWrap/>
          </w:tcPr>
          <w:p w14:paraId="2B45D615" w14:textId="77777777" w:rsidR="0090528B" w:rsidRPr="001202B5" w:rsidRDefault="0090528B" w:rsidP="00380AD2">
            <w:pPr>
              <w:pStyle w:val="DHHStabletext"/>
              <w:jc w:val="right"/>
              <w:rPr>
                <w:rFonts w:cs="Arial"/>
                <w:lang w:eastAsia="en-AU"/>
              </w:rPr>
            </w:pPr>
            <w:r w:rsidRPr="001202B5">
              <w:rPr>
                <w:rFonts w:cs="Arial"/>
                <w:color w:val="000000"/>
              </w:rPr>
              <w:t>6 (12%)</w:t>
            </w:r>
          </w:p>
        </w:tc>
        <w:tc>
          <w:tcPr>
            <w:tcW w:w="633" w:type="pct"/>
            <w:vMerge/>
            <w:shd w:val="clear" w:color="auto" w:fill="auto"/>
            <w:noWrap/>
          </w:tcPr>
          <w:p w14:paraId="3132A8F0" w14:textId="77777777" w:rsidR="0090528B" w:rsidRPr="001202B5" w:rsidRDefault="0090528B" w:rsidP="00380AD2">
            <w:pPr>
              <w:pStyle w:val="DHHStabletext"/>
              <w:jc w:val="right"/>
              <w:rPr>
                <w:rFonts w:cs="Arial"/>
                <w:lang w:eastAsia="en-AU"/>
              </w:rPr>
            </w:pPr>
          </w:p>
        </w:tc>
      </w:tr>
      <w:tr w:rsidR="0090528B" w:rsidRPr="00CF415C" w14:paraId="2F6B82B1" w14:textId="77777777" w:rsidTr="00380AD2">
        <w:trPr>
          <w:trHeight w:val="300"/>
        </w:trPr>
        <w:tc>
          <w:tcPr>
            <w:tcW w:w="893" w:type="pct"/>
            <w:vMerge/>
            <w:shd w:val="clear" w:color="auto" w:fill="auto"/>
            <w:noWrap/>
            <w:vAlign w:val="bottom"/>
            <w:hideMark/>
          </w:tcPr>
          <w:p w14:paraId="19B7920E"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326AD776" w14:textId="6E013289" w:rsidR="0090528B" w:rsidRPr="001202B5" w:rsidRDefault="0090528B" w:rsidP="00F0776E">
            <w:pPr>
              <w:pStyle w:val="DHHStabletext"/>
              <w:rPr>
                <w:rFonts w:cs="Arial"/>
                <w:lang w:eastAsia="en-AU"/>
              </w:rPr>
            </w:pPr>
            <w:r w:rsidRPr="001202B5">
              <w:rPr>
                <w:rFonts w:cs="Arial"/>
                <w:lang w:eastAsia="en-AU"/>
              </w:rPr>
              <w:t xml:space="preserve">GRICS </w:t>
            </w:r>
          </w:p>
        </w:tc>
        <w:tc>
          <w:tcPr>
            <w:tcW w:w="834" w:type="pct"/>
            <w:shd w:val="clear" w:color="auto" w:fill="auto"/>
            <w:noWrap/>
          </w:tcPr>
          <w:p w14:paraId="47D8A26F" w14:textId="77777777" w:rsidR="0090528B" w:rsidRPr="001202B5" w:rsidRDefault="0090528B" w:rsidP="00380AD2">
            <w:pPr>
              <w:pStyle w:val="DHHStabletext"/>
              <w:jc w:val="right"/>
              <w:rPr>
                <w:rFonts w:cs="Arial"/>
                <w:lang w:eastAsia="en-AU"/>
              </w:rPr>
            </w:pPr>
            <w:r w:rsidRPr="001202B5">
              <w:rPr>
                <w:rFonts w:cs="Arial"/>
                <w:color w:val="000000"/>
              </w:rPr>
              <w:t>12 (5%)</w:t>
            </w:r>
          </w:p>
        </w:tc>
        <w:tc>
          <w:tcPr>
            <w:tcW w:w="744" w:type="pct"/>
            <w:shd w:val="clear" w:color="auto" w:fill="auto"/>
            <w:noWrap/>
          </w:tcPr>
          <w:p w14:paraId="5CDC4A9F" w14:textId="77777777" w:rsidR="0090528B" w:rsidRPr="001202B5" w:rsidRDefault="0090528B" w:rsidP="00380AD2">
            <w:pPr>
              <w:pStyle w:val="DHHStabletext"/>
              <w:jc w:val="right"/>
              <w:rPr>
                <w:rFonts w:cs="Arial"/>
                <w:lang w:eastAsia="en-AU"/>
              </w:rPr>
            </w:pPr>
            <w:r w:rsidRPr="001202B5">
              <w:rPr>
                <w:rFonts w:cs="Arial"/>
                <w:color w:val="000000"/>
              </w:rPr>
              <w:t>5 (10%)</w:t>
            </w:r>
          </w:p>
        </w:tc>
        <w:tc>
          <w:tcPr>
            <w:tcW w:w="633" w:type="pct"/>
            <w:vMerge/>
            <w:shd w:val="clear" w:color="auto" w:fill="auto"/>
            <w:noWrap/>
          </w:tcPr>
          <w:p w14:paraId="0A27AED9" w14:textId="77777777" w:rsidR="0090528B" w:rsidRPr="001202B5" w:rsidRDefault="0090528B" w:rsidP="00380AD2">
            <w:pPr>
              <w:pStyle w:val="DHHStabletext"/>
              <w:jc w:val="right"/>
              <w:rPr>
                <w:rFonts w:cs="Arial"/>
                <w:lang w:eastAsia="en-AU"/>
              </w:rPr>
            </w:pPr>
          </w:p>
        </w:tc>
      </w:tr>
      <w:tr w:rsidR="0090528B" w:rsidRPr="00CF415C" w14:paraId="200827FA" w14:textId="77777777" w:rsidTr="00380AD2">
        <w:trPr>
          <w:trHeight w:val="300"/>
        </w:trPr>
        <w:tc>
          <w:tcPr>
            <w:tcW w:w="893" w:type="pct"/>
            <w:vMerge/>
            <w:shd w:val="clear" w:color="auto" w:fill="auto"/>
            <w:noWrap/>
            <w:vAlign w:val="bottom"/>
            <w:hideMark/>
          </w:tcPr>
          <w:p w14:paraId="4A817B32"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645FFE29" w14:textId="15614931" w:rsidR="0090528B" w:rsidRPr="001202B5" w:rsidRDefault="0090528B" w:rsidP="00F0776E">
            <w:pPr>
              <w:pStyle w:val="DHHStabletext"/>
              <w:rPr>
                <w:rFonts w:cs="Arial"/>
                <w:lang w:eastAsia="en-AU"/>
              </w:rPr>
            </w:pPr>
            <w:r w:rsidRPr="001202B5">
              <w:rPr>
                <w:rFonts w:cs="Arial"/>
                <w:lang w:eastAsia="en-AU"/>
              </w:rPr>
              <w:t>Hume RICS</w:t>
            </w:r>
            <w:r w:rsidR="009A009B" w:rsidRPr="009A009B">
              <w:rPr>
                <w:rFonts w:cs="Arial"/>
                <w:vertAlign w:val="superscript"/>
                <w:lang w:eastAsia="en-AU"/>
              </w:rPr>
              <w:t>#</w:t>
            </w:r>
          </w:p>
        </w:tc>
        <w:tc>
          <w:tcPr>
            <w:tcW w:w="834" w:type="pct"/>
            <w:shd w:val="clear" w:color="auto" w:fill="auto"/>
            <w:noWrap/>
          </w:tcPr>
          <w:p w14:paraId="51A6524B" w14:textId="77777777" w:rsidR="0090528B" w:rsidRPr="001202B5" w:rsidRDefault="0090528B" w:rsidP="00380AD2">
            <w:pPr>
              <w:pStyle w:val="DHHStabletext"/>
              <w:jc w:val="right"/>
              <w:rPr>
                <w:rFonts w:cs="Arial"/>
                <w:lang w:eastAsia="en-AU"/>
              </w:rPr>
            </w:pPr>
            <w:r w:rsidRPr="001202B5">
              <w:rPr>
                <w:rFonts w:cs="Arial"/>
                <w:color w:val="000000"/>
              </w:rPr>
              <w:t>17 (8%)</w:t>
            </w:r>
          </w:p>
        </w:tc>
        <w:tc>
          <w:tcPr>
            <w:tcW w:w="744" w:type="pct"/>
            <w:shd w:val="clear" w:color="auto" w:fill="auto"/>
            <w:noWrap/>
          </w:tcPr>
          <w:p w14:paraId="74AFFA8F" w14:textId="77777777" w:rsidR="0090528B" w:rsidRPr="001202B5" w:rsidRDefault="0090528B" w:rsidP="00380AD2">
            <w:pPr>
              <w:pStyle w:val="DHHStabletext"/>
              <w:jc w:val="right"/>
              <w:rPr>
                <w:rFonts w:cs="Arial"/>
                <w:lang w:eastAsia="en-AU"/>
              </w:rPr>
            </w:pPr>
            <w:r w:rsidRPr="001202B5">
              <w:rPr>
                <w:rFonts w:cs="Arial"/>
                <w:color w:val="000000"/>
              </w:rPr>
              <w:t>1 (2%)</w:t>
            </w:r>
          </w:p>
        </w:tc>
        <w:tc>
          <w:tcPr>
            <w:tcW w:w="633" w:type="pct"/>
            <w:vMerge/>
            <w:shd w:val="clear" w:color="auto" w:fill="auto"/>
            <w:noWrap/>
          </w:tcPr>
          <w:p w14:paraId="1E2C2EB2" w14:textId="77777777" w:rsidR="0090528B" w:rsidRPr="001202B5" w:rsidRDefault="0090528B" w:rsidP="00380AD2">
            <w:pPr>
              <w:pStyle w:val="DHHStabletext"/>
              <w:jc w:val="right"/>
              <w:rPr>
                <w:rFonts w:cs="Arial"/>
                <w:lang w:eastAsia="en-AU"/>
              </w:rPr>
            </w:pPr>
          </w:p>
        </w:tc>
      </w:tr>
      <w:tr w:rsidR="0090528B" w:rsidRPr="00CF415C" w14:paraId="7FE566B9" w14:textId="77777777" w:rsidTr="00380AD2">
        <w:trPr>
          <w:trHeight w:val="300"/>
        </w:trPr>
        <w:tc>
          <w:tcPr>
            <w:tcW w:w="893" w:type="pct"/>
            <w:vMerge/>
            <w:shd w:val="clear" w:color="auto" w:fill="auto"/>
            <w:noWrap/>
            <w:vAlign w:val="bottom"/>
            <w:hideMark/>
          </w:tcPr>
          <w:p w14:paraId="73F255F8"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32D8F51E" w14:textId="3EFCAFCD" w:rsidR="0090528B" w:rsidRPr="001202B5" w:rsidRDefault="0090528B" w:rsidP="00F0776E">
            <w:pPr>
              <w:pStyle w:val="DHHStabletext"/>
              <w:rPr>
                <w:rFonts w:cs="Arial"/>
                <w:lang w:eastAsia="en-AU"/>
              </w:rPr>
            </w:pPr>
            <w:r w:rsidRPr="001202B5">
              <w:rPr>
                <w:rFonts w:cs="Arial"/>
                <w:lang w:eastAsia="en-AU"/>
              </w:rPr>
              <w:t>L</w:t>
            </w:r>
            <w:r w:rsidR="00337E1D">
              <w:rPr>
                <w:rFonts w:cs="Arial"/>
                <w:lang w:eastAsia="en-AU"/>
              </w:rPr>
              <w:t>M</w:t>
            </w:r>
            <w:r w:rsidRPr="001202B5">
              <w:rPr>
                <w:rFonts w:cs="Arial"/>
                <w:lang w:eastAsia="en-AU"/>
              </w:rPr>
              <w:t>ICS</w:t>
            </w:r>
          </w:p>
        </w:tc>
        <w:tc>
          <w:tcPr>
            <w:tcW w:w="834" w:type="pct"/>
            <w:shd w:val="clear" w:color="auto" w:fill="auto"/>
            <w:noWrap/>
          </w:tcPr>
          <w:p w14:paraId="48405AA3" w14:textId="77777777" w:rsidR="0090528B" w:rsidRPr="001202B5" w:rsidRDefault="0090528B" w:rsidP="00380AD2">
            <w:pPr>
              <w:pStyle w:val="DHHStabletext"/>
              <w:jc w:val="right"/>
              <w:rPr>
                <w:rFonts w:cs="Arial"/>
                <w:lang w:eastAsia="en-AU"/>
              </w:rPr>
            </w:pPr>
            <w:r w:rsidRPr="001202B5">
              <w:rPr>
                <w:rFonts w:cs="Arial"/>
                <w:color w:val="000000"/>
              </w:rPr>
              <w:t>20 (9%)</w:t>
            </w:r>
          </w:p>
        </w:tc>
        <w:tc>
          <w:tcPr>
            <w:tcW w:w="744" w:type="pct"/>
            <w:shd w:val="clear" w:color="auto" w:fill="auto"/>
            <w:noWrap/>
          </w:tcPr>
          <w:p w14:paraId="67E1F7C7" w14:textId="77777777" w:rsidR="0090528B" w:rsidRPr="001202B5" w:rsidRDefault="0090528B" w:rsidP="00380AD2">
            <w:pPr>
              <w:pStyle w:val="DHHStabletext"/>
              <w:jc w:val="right"/>
              <w:rPr>
                <w:rFonts w:cs="Arial"/>
                <w:lang w:eastAsia="en-AU"/>
              </w:rPr>
            </w:pPr>
            <w:r w:rsidRPr="001202B5">
              <w:rPr>
                <w:rFonts w:cs="Arial"/>
                <w:color w:val="000000"/>
              </w:rPr>
              <w:t>3 (6%)</w:t>
            </w:r>
          </w:p>
        </w:tc>
        <w:tc>
          <w:tcPr>
            <w:tcW w:w="633" w:type="pct"/>
            <w:vMerge/>
            <w:shd w:val="clear" w:color="auto" w:fill="auto"/>
            <w:noWrap/>
          </w:tcPr>
          <w:p w14:paraId="62EB81F4" w14:textId="77777777" w:rsidR="0090528B" w:rsidRPr="001202B5" w:rsidRDefault="0090528B" w:rsidP="00380AD2">
            <w:pPr>
              <w:pStyle w:val="DHHStabletext"/>
              <w:jc w:val="right"/>
              <w:rPr>
                <w:rFonts w:cs="Arial"/>
                <w:lang w:eastAsia="en-AU"/>
              </w:rPr>
            </w:pPr>
          </w:p>
        </w:tc>
      </w:tr>
      <w:tr w:rsidR="0090528B" w:rsidRPr="00CF415C" w14:paraId="1D9FE20A" w14:textId="77777777" w:rsidTr="00380AD2">
        <w:trPr>
          <w:trHeight w:val="300"/>
        </w:trPr>
        <w:tc>
          <w:tcPr>
            <w:tcW w:w="893" w:type="pct"/>
            <w:vMerge/>
            <w:shd w:val="clear" w:color="auto" w:fill="auto"/>
            <w:noWrap/>
            <w:vAlign w:val="bottom"/>
            <w:hideMark/>
          </w:tcPr>
          <w:p w14:paraId="1EA2B56E"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6316F7ED" w14:textId="7EF112E0" w:rsidR="0090528B" w:rsidRPr="001202B5" w:rsidRDefault="0090528B" w:rsidP="00F0776E">
            <w:pPr>
              <w:pStyle w:val="DHHStabletext"/>
              <w:rPr>
                <w:rFonts w:cs="Arial"/>
                <w:lang w:eastAsia="en-AU"/>
              </w:rPr>
            </w:pPr>
            <w:r w:rsidRPr="001202B5">
              <w:rPr>
                <w:rFonts w:cs="Arial"/>
                <w:lang w:eastAsia="en-AU"/>
              </w:rPr>
              <w:t>GICS</w:t>
            </w:r>
          </w:p>
        </w:tc>
        <w:tc>
          <w:tcPr>
            <w:tcW w:w="834" w:type="pct"/>
            <w:shd w:val="clear" w:color="auto" w:fill="auto"/>
            <w:noWrap/>
          </w:tcPr>
          <w:p w14:paraId="03323D6E" w14:textId="77777777" w:rsidR="0090528B" w:rsidRPr="001202B5" w:rsidRDefault="0090528B" w:rsidP="00380AD2">
            <w:pPr>
              <w:pStyle w:val="DHHStabletext"/>
              <w:jc w:val="right"/>
              <w:rPr>
                <w:rFonts w:cs="Arial"/>
                <w:lang w:eastAsia="en-AU"/>
              </w:rPr>
            </w:pPr>
            <w:r w:rsidRPr="001202B5">
              <w:rPr>
                <w:rFonts w:cs="Arial"/>
                <w:color w:val="000000"/>
              </w:rPr>
              <w:t>12 (5%)</w:t>
            </w:r>
          </w:p>
        </w:tc>
        <w:tc>
          <w:tcPr>
            <w:tcW w:w="744" w:type="pct"/>
            <w:shd w:val="clear" w:color="auto" w:fill="auto"/>
            <w:noWrap/>
          </w:tcPr>
          <w:p w14:paraId="396B61E1" w14:textId="77777777" w:rsidR="0090528B" w:rsidRPr="001202B5" w:rsidRDefault="0090528B" w:rsidP="00380AD2">
            <w:pPr>
              <w:pStyle w:val="DHHStabletext"/>
              <w:jc w:val="right"/>
              <w:rPr>
                <w:rFonts w:cs="Arial"/>
                <w:lang w:eastAsia="en-AU"/>
              </w:rPr>
            </w:pPr>
            <w:r w:rsidRPr="001202B5">
              <w:rPr>
                <w:rFonts w:cs="Arial"/>
                <w:color w:val="000000"/>
              </w:rPr>
              <w:t>4 (8%)</w:t>
            </w:r>
          </w:p>
        </w:tc>
        <w:tc>
          <w:tcPr>
            <w:tcW w:w="633" w:type="pct"/>
            <w:vMerge/>
            <w:shd w:val="clear" w:color="auto" w:fill="auto"/>
            <w:noWrap/>
          </w:tcPr>
          <w:p w14:paraId="6796C211" w14:textId="77777777" w:rsidR="0090528B" w:rsidRPr="001202B5" w:rsidRDefault="0090528B" w:rsidP="00380AD2">
            <w:pPr>
              <w:pStyle w:val="DHHStabletext"/>
              <w:jc w:val="right"/>
              <w:rPr>
                <w:rFonts w:cs="Arial"/>
                <w:lang w:eastAsia="en-AU"/>
              </w:rPr>
            </w:pPr>
          </w:p>
        </w:tc>
      </w:tr>
      <w:tr w:rsidR="0090528B" w:rsidRPr="00CF415C" w14:paraId="7200B691" w14:textId="77777777" w:rsidTr="00B12671">
        <w:trPr>
          <w:trHeight w:val="300"/>
        </w:trPr>
        <w:tc>
          <w:tcPr>
            <w:tcW w:w="893" w:type="pct"/>
            <w:vMerge w:val="restart"/>
            <w:shd w:val="clear" w:color="auto" w:fill="D9D9D9" w:themeFill="background1" w:themeFillShade="D9"/>
            <w:noWrap/>
            <w:hideMark/>
          </w:tcPr>
          <w:p w14:paraId="19AF67A3" w14:textId="0D610BF7" w:rsidR="0090528B" w:rsidRPr="00BA6C37" w:rsidRDefault="0090528B">
            <w:pPr>
              <w:pStyle w:val="DHHStabletext"/>
              <w:rPr>
                <w:lang w:eastAsia="en-AU"/>
              </w:rPr>
            </w:pPr>
            <w:r w:rsidRPr="00BA6C37">
              <w:rPr>
                <w:lang w:eastAsia="en-AU"/>
              </w:rPr>
              <w:t xml:space="preserve">ICS of </w:t>
            </w:r>
            <w:r w:rsidR="00A144F1">
              <w:rPr>
                <w:lang w:eastAsia="en-AU"/>
              </w:rPr>
              <w:t>f</w:t>
            </w:r>
            <w:r w:rsidR="000E3D8A">
              <w:rPr>
                <w:lang w:eastAsia="en-AU"/>
              </w:rPr>
              <w:t xml:space="preserve">irst </w:t>
            </w:r>
            <w:r w:rsidR="00A144F1">
              <w:rPr>
                <w:lang w:eastAsia="en-AU"/>
              </w:rPr>
              <w:t>t</w:t>
            </w:r>
            <w:r w:rsidR="000E3D8A">
              <w:rPr>
                <w:lang w:eastAsia="en-AU"/>
              </w:rPr>
              <w:t>reatment</w:t>
            </w:r>
            <w:r>
              <w:rPr>
                <w:lang w:eastAsia="en-AU"/>
              </w:rPr>
              <w:t>*</w:t>
            </w:r>
          </w:p>
        </w:tc>
        <w:tc>
          <w:tcPr>
            <w:tcW w:w="1896" w:type="pct"/>
            <w:shd w:val="clear" w:color="auto" w:fill="D9D9D9" w:themeFill="background1" w:themeFillShade="D9"/>
            <w:noWrap/>
            <w:vAlign w:val="bottom"/>
            <w:hideMark/>
          </w:tcPr>
          <w:p w14:paraId="79278F0F" w14:textId="77777777" w:rsidR="0090528B" w:rsidRPr="001202B5" w:rsidRDefault="0090528B" w:rsidP="00F0776E">
            <w:pPr>
              <w:pStyle w:val="DHHStabletext"/>
              <w:rPr>
                <w:rFonts w:cs="Arial"/>
                <w:lang w:eastAsia="en-AU"/>
              </w:rPr>
            </w:pPr>
            <w:r w:rsidRPr="001202B5">
              <w:rPr>
                <w:rFonts w:cs="Arial"/>
                <w:lang w:eastAsia="en-AU"/>
              </w:rPr>
              <w:t xml:space="preserve">NEMICS </w:t>
            </w:r>
          </w:p>
        </w:tc>
        <w:tc>
          <w:tcPr>
            <w:tcW w:w="834" w:type="pct"/>
            <w:shd w:val="clear" w:color="auto" w:fill="D9D9D9" w:themeFill="background1" w:themeFillShade="D9"/>
            <w:noWrap/>
          </w:tcPr>
          <w:p w14:paraId="7DA83126" w14:textId="77777777" w:rsidR="0090528B" w:rsidRPr="001202B5" w:rsidRDefault="0090528B" w:rsidP="00380AD2">
            <w:pPr>
              <w:pStyle w:val="DHHStabletext"/>
              <w:jc w:val="right"/>
              <w:rPr>
                <w:rFonts w:cs="Arial"/>
                <w:lang w:eastAsia="en-AU"/>
              </w:rPr>
            </w:pPr>
            <w:r w:rsidRPr="001202B5">
              <w:rPr>
                <w:rFonts w:cs="Arial"/>
                <w:color w:val="000000"/>
              </w:rPr>
              <w:t>39 (18%)</w:t>
            </w:r>
          </w:p>
        </w:tc>
        <w:tc>
          <w:tcPr>
            <w:tcW w:w="744" w:type="pct"/>
            <w:shd w:val="clear" w:color="auto" w:fill="D9D9D9" w:themeFill="background1" w:themeFillShade="D9"/>
            <w:noWrap/>
          </w:tcPr>
          <w:p w14:paraId="38728501" w14:textId="77777777" w:rsidR="0090528B" w:rsidRPr="001202B5" w:rsidRDefault="0090528B" w:rsidP="00380AD2">
            <w:pPr>
              <w:pStyle w:val="DHHStabletext"/>
              <w:jc w:val="right"/>
              <w:rPr>
                <w:rFonts w:cs="Arial"/>
                <w:lang w:eastAsia="en-AU"/>
              </w:rPr>
            </w:pPr>
            <w:r w:rsidRPr="001202B5">
              <w:rPr>
                <w:rFonts w:cs="Arial"/>
                <w:color w:val="000000"/>
              </w:rPr>
              <w:t>17 (33%)</w:t>
            </w:r>
          </w:p>
        </w:tc>
        <w:tc>
          <w:tcPr>
            <w:tcW w:w="633" w:type="pct"/>
            <w:vMerge w:val="restart"/>
            <w:shd w:val="clear" w:color="auto" w:fill="D9D9D9" w:themeFill="background1" w:themeFillShade="D9"/>
            <w:noWrap/>
          </w:tcPr>
          <w:p w14:paraId="1C653721" w14:textId="77777777" w:rsidR="0090528B" w:rsidRPr="001202B5" w:rsidRDefault="0090528B" w:rsidP="00380AD2">
            <w:pPr>
              <w:pStyle w:val="DHHStabletext"/>
              <w:jc w:val="right"/>
              <w:rPr>
                <w:rFonts w:cs="Arial"/>
                <w:lang w:eastAsia="en-AU"/>
              </w:rPr>
            </w:pPr>
            <w:r w:rsidRPr="001202B5">
              <w:rPr>
                <w:rFonts w:cs="Arial"/>
                <w:color w:val="000000"/>
              </w:rPr>
              <w:t>0.007</w:t>
            </w:r>
          </w:p>
        </w:tc>
      </w:tr>
      <w:tr w:rsidR="0090528B" w:rsidRPr="00CF415C" w14:paraId="5DA0A8CD" w14:textId="77777777" w:rsidTr="00B12671">
        <w:trPr>
          <w:trHeight w:val="300"/>
        </w:trPr>
        <w:tc>
          <w:tcPr>
            <w:tcW w:w="893" w:type="pct"/>
            <w:vMerge/>
            <w:shd w:val="clear" w:color="auto" w:fill="D9D9D9" w:themeFill="background1" w:themeFillShade="D9"/>
            <w:noWrap/>
            <w:vAlign w:val="bottom"/>
            <w:hideMark/>
          </w:tcPr>
          <w:p w14:paraId="2068C0C1"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hideMark/>
          </w:tcPr>
          <w:p w14:paraId="6DB76B20" w14:textId="77777777" w:rsidR="0090528B" w:rsidRPr="001202B5" w:rsidRDefault="0090528B" w:rsidP="00F0776E">
            <w:pPr>
              <w:pStyle w:val="DHHStabletext"/>
              <w:rPr>
                <w:rFonts w:cs="Arial"/>
                <w:lang w:eastAsia="en-AU"/>
              </w:rPr>
            </w:pPr>
            <w:r w:rsidRPr="001202B5">
              <w:rPr>
                <w:rFonts w:cs="Arial"/>
                <w:lang w:eastAsia="en-AU"/>
              </w:rPr>
              <w:t xml:space="preserve">SMICS </w:t>
            </w:r>
          </w:p>
        </w:tc>
        <w:tc>
          <w:tcPr>
            <w:tcW w:w="834" w:type="pct"/>
            <w:shd w:val="clear" w:color="auto" w:fill="D9D9D9" w:themeFill="background1" w:themeFillShade="D9"/>
            <w:noWrap/>
          </w:tcPr>
          <w:p w14:paraId="3095A19D" w14:textId="77777777" w:rsidR="0090528B" w:rsidRPr="001202B5" w:rsidRDefault="0090528B" w:rsidP="00380AD2">
            <w:pPr>
              <w:pStyle w:val="DHHStabletext"/>
              <w:jc w:val="right"/>
              <w:rPr>
                <w:rFonts w:cs="Arial"/>
                <w:lang w:eastAsia="en-AU"/>
              </w:rPr>
            </w:pPr>
            <w:r w:rsidRPr="001202B5">
              <w:rPr>
                <w:rFonts w:cs="Arial"/>
                <w:color w:val="000000"/>
              </w:rPr>
              <w:t>52 (24%)</w:t>
            </w:r>
          </w:p>
        </w:tc>
        <w:tc>
          <w:tcPr>
            <w:tcW w:w="744" w:type="pct"/>
            <w:shd w:val="clear" w:color="auto" w:fill="D9D9D9" w:themeFill="background1" w:themeFillShade="D9"/>
            <w:noWrap/>
          </w:tcPr>
          <w:p w14:paraId="7765C897" w14:textId="77777777" w:rsidR="0090528B" w:rsidRPr="001202B5" w:rsidRDefault="0090528B" w:rsidP="00380AD2">
            <w:pPr>
              <w:pStyle w:val="DHHStabletext"/>
              <w:jc w:val="right"/>
              <w:rPr>
                <w:rFonts w:cs="Arial"/>
                <w:lang w:eastAsia="en-AU"/>
              </w:rPr>
            </w:pPr>
            <w:r w:rsidRPr="001202B5">
              <w:rPr>
                <w:rFonts w:cs="Arial"/>
                <w:color w:val="000000"/>
              </w:rPr>
              <w:t>9 (18%)</w:t>
            </w:r>
          </w:p>
        </w:tc>
        <w:tc>
          <w:tcPr>
            <w:tcW w:w="633" w:type="pct"/>
            <w:vMerge/>
            <w:shd w:val="clear" w:color="auto" w:fill="D9D9D9" w:themeFill="background1" w:themeFillShade="D9"/>
            <w:noWrap/>
          </w:tcPr>
          <w:p w14:paraId="16CD50C7" w14:textId="77777777" w:rsidR="0090528B" w:rsidRPr="001202B5" w:rsidRDefault="0090528B" w:rsidP="00380AD2">
            <w:pPr>
              <w:pStyle w:val="DHHStabletext"/>
              <w:jc w:val="right"/>
              <w:rPr>
                <w:rFonts w:cs="Arial"/>
                <w:lang w:eastAsia="en-AU"/>
              </w:rPr>
            </w:pPr>
          </w:p>
        </w:tc>
      </w:tr>
      <w:tr w:rsidR="0090528B" w:rsidRPr="00CF415C" w14:paraId="376DAFEB" w14:textId="77777777" w:rsidTr="00B12671">
        <w:trPr>
          <w:trHeight w:val="300"/>
        </w:trPr>
        <w:tc>
          <w:tcPr>
            <w:tcW w:w="893" w:type="pct"/>
            <w:vMerge/>
            <w:shd w:val="clear" w:color="auto" w:fill="D9D9D9" w:themeFill="background1" w:themeFillShade="D9"/>
            <w:noWrap/>
            <w:vAlign w:val="bottom"/>
            <w:hideMark/>
          </w:tcPr>
          <w:p w14:paraId="77789763"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hideMark/>
          </w:tcPr>
          <w:p w14:paraId="6854A5C7" w14:textId="77777777" w:rsidR="0090528B" w:rsidRPr="001202B5" w:rsidRDefault="0090528B" w:rsidP="00F0776E">
            <w:pPr>
              <w:pStyle w:val="DHHStabletext"/>
              <w:rPr>
                <w:rFonts w:cs="Arial"/>
                <w:lang w:eastAsia="en-AU"/>
              </w:rPr>
            </w:pPr>
            <w:r w:rsidRPr="001202B5">
              <w:rPr>
                <w:rFonts w:cs="Arial"/>
                <w:lang w:eastAsia="en-AU"/>
              </w:rPr>
              <w:t xml:space="preserve">WCMICS </w:t>
            </w:r>
          </w:p>
        </w:tc>
        <w:tc>
          <w:tcPr>
            <w:tcW w:w="834" w:type="pct"/>
            <w:shd w:val="clear" w:color="auto" w:fill="D9D9D9" w:themeFill="background1" w:themeFillShade="D9"/>
            <w:noWrap/>
          </w:tcPr>
          <w:p w14:paraId="1268A407" w14:textId="77777777" w:rsidR="0090528B" w:rsidRPr="001202B5" w:rsidRDefault="0090528B" w:rsidP="00380AD2">
            <w:pPr>
              <w:pStyle w:val="DHHStabletext"/>
              <w:jc w:val="right"/>
              <w:rPr>
                <w:rFonts w:cs="Arial"/>
                <w:lang w:eastAsia="en-AU"/>
              </w:rPr>
            </w:pPr>
            <w:r w:rsidRPr="001202B5">
              <w:rPr>
                <w:rFonts w:cs="Arial"/>
                <w:color w:val="000000"/>
              </w:rPr>
              <w:t>68 (31%)</w:t>
            </w:r>
          </w:p>
        </w:tc>
        <w:tc>
          <w:tcPr>
            <w:tcW w:w="744" w:type="pct"/>
            <w:shd w:val="clear" w:color="auto" w:fill="D9D9D9" w:themeFill="background1" w:themeFillShade="D9"/>
            <w:noWrap/>
          </w:tcPr>
          <w:p w14:paraId="53696720" w14:textId="77777777" w:rsidR="0090528B" w:rsidRPr="001202B5" w:rsidRDefault="0090528B" w:rsidP="00380AD2">
            <w:pPr>
              <w:pStyle w:val="DHHStabletext"/>
              <w:jc w:val="right"/>
              <w:rPr>
                <w:rFonts w:cs="Arial"/>
                <w:lang w:eastAsia="en-AU"/>
              </w:rPr>
            </w:pPr>
            <w:r w:rsidRPr="001202B5">
              <w:rPr>
                <w:rFonts w:cs="Arial"/>
                <w:color w:val="000000"/>
              </w:rPr>
              <w:t>6 (12%)</w:t>
            </w:r>
          </w:p>
        </w:tc>
        <w:tc>
          <w:tcPr>
            <w:tcW w:w="633" w:type="pct"/>
            <w:vMerge/>
            <w:shd w:val="clear" w:color="auto" w:fill="D9D9D9" w:themeFill="background1" w:themeFillShade="D9"/>
            <w:noWrap/>
          </w:tcPr>
          <w:p w14:paraId="0DA61483" w14:textId="77777777" w:rsidR="0090528B" w:rsidRPr="001202B5" w:rsidRDefault="0090528B" w:rsidP="00380AD2">
            <w:pPr>
              <w:pStyle w:val="DHHStabletext"/>
              <w:jc w:val="right"/>
              <w:rPr>
                <w:rFonts w:cs="Arial"/>
                <w:lang w:eastAsia="en-AU"/>
              </w:rPr>
            </w:pPr>
          </w:p>
        </w:tc>
      </w:tr>
      <w:tr w:rsidR="0090528B" w:rsidRPr="00CF415C" w14:paraId="5772BA04" w14:textId="77777777" w:rsidTr="00B12671">
        <w:trPr>
          <w:trHeight w:val="300"/>
        </w:trPr>
        <w:tc>
          <w:tcPr>
            <w:tcW w:w="893" w:type="pct"/>
            <w:vMerge/>
            <w:shd w:val="clear" w:color="auto" w:fill="D9D9D9" w:themeFill="background1" w:themeFillShade="D9"/>
            <w:noWrap/>
            <w:vAlign w:val="bottom"/>
            <w:hideMark/>
          </w:tcPr>
          <w:p w14:paraId="0602AB68"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hideMark/>
          </w:tcPr>
          <w:p w14:paraId="2F7670E0" w14:textId="78BD2794" w:rsidR="0090528B" w:rsidRPr="001202B5" w:rsidRDefault="0090528B" w:rsidP="00F0776E">
            <w:pPr>
              <w:pStyle w:val="DHHStabletext"/>
              <w:rPr>
                <w:rFonts w:cs="Arial"/>
                <w:lang w:eastAsia="en-AU"/>
              </w:rPr>
            </w:pPr>
            <w:r w:rsidRPr="001202B5">
              <w:rPr>
                <w:rFonts w:cs="Arial"/>
                <w:lang w:eastAsia="en-AU"/>
              </w:rPr>
              <w:t xml:space="preserve">BSWRICS </w:t>
            </w:r>
          </w:p>
        </w:tc>
        <w:tc>
          <w:tcPr>
            <w:tcW w:w="834" w:type="pct"/>
            <w:shd w:val="clear" w:color="auto" w:fill="D9D9D9" w:themeFill="background1" w:themeFillShade="D9"/>
            <w:noWrap/>
          </w:tcPr>
          <w:p w14:paraId="6DD50EC6" w14:textId="77777777" w:rsidR="0090528B" w:rsidRPr="001202B5" w:rsidRDefault="0090528B" w:rsidP="00380AD2">
            <w:pPr>
              <w:pStyle w:val="DHHStabletext"/>
              <w:jc w:val="right"/>
              <w:rPr>
                <w:rFonts w:cs="Arial"/>
                <w:lang w:eastAsia="en-AU"/>
              </w:rPr>
            </w:pPr>
            <w:r w:rsidRPr="001202B5">
              <w:rPr>
                <w:rFonts w:cs="Arial"/>
                <w:color w:val="000000"/>
              </w:rPr>
              <w:t>18 (8%)</w:t>
            </w:r>
          </w:p>
        </w:tc>
        <w:tc>
          <w:tcPr>
            <w:tcW w:w="744" w:type="pct"/>
            <w:shd w:val="clear" w:color="auto" w:fill="D9D9D9" w:themeFill="background1" w:themeFillShade="D9"/>
            <w:noWrap/>
          </w:tcPr>
          <w:p w14:paraId="21A4B41F" w14:textId="77777777" w:rsidR="0090528B" w:rsidRPr="001202B5" w:rsidRDefault="0090528B" w:rsidP="00380AD2">
            <w:pPr>
              <w:pStyle w:val="DHHStabletext"/>
              <w:jc w:val="right"/>
              <w:rPr>
                <w:rFonts w:cs="Arial"/>
                <w:lang w:eastAsia="en-AU"/>
              </w:rPr>
            </w:pPr>
            <w:r w:rsidRPr="001202B5">
              <w:rPr>
                <w:rFonts w:cs="Arial"/>
                <w:color w:val="000000"/>
              </w:rPr>
              <w:t>6 (12%)</w:t>
            </w:r>
          </w:p>
        </w:tc>
        <w:tc>
          <w:tcPr>
            <w:tcW w:w="633" w:type="pct"/>
            <w:vMerge/>
            <w:shd w:val="clear" w:color="auto" w:fill="D9D9D9" w:themeFill="background1" w:themeFillShade="D9"/>
            <w:noWrap/>
          </w:tcPr>
          <w:p w14:paraId="469EDC35" w14:textId="77777777" w:rsidR="0090528B" w:rsidRPr="001202B5" w:rsidRDefault="0090528B" w:rsidP="00380AD2">
            <w:pPr>
              <w:pStyle w:val="DHHStabletext"/>
              <w:jc w:val="right"/>
              <w:rPr>
                <w:rFonts w:cs="Arial"/>
                <w:lang w:eastAsia="en-AU"/>
              </w:rPr>
            </w:pPr>
          </w:p>
        </w:tc>
      </w:tr>
      <w:tr w:rsidR="0090528B" w:rsidRPr="00CF415C" w14:paraId="6A6BAF9C" w14:textId="77777777" w:rsidTr="00B12671">
        <w:trPr>
          <w:trHeight w:val="300"/>
        </w:trPr>
        <w:tc>
          <w:tcPr>
            <w:tcW w:w="893" w:type="pct"/>
            <w:vMerge/>
            <w:shd w:val="clear" w:color="auto" w:fill="D9D9D9" w:themeFill="background1" w:themeFillShade="D9"/>
            <w:noWrap/>
            <w:vAlign w:val="bottom"/>
            <w:hideMark/>
          </w:tcPr>
          <w:p w14:paraId="67570058"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hideMark/>
          </w:tcPr>
          <w:p w14:paraId="0FB52875" w14:textId="0BA46449" w:rsidR="0090528B" w:rsidRPr="001202B5" w:rsidRDefault="00337E1D" w:rsidP="00F0776E">
            <w:pPr>
              <w:pStyle w:val="DHHStabletext"/>
              <w:rPr>
                <w:rFonts w:cs="Arial"/>
                <w:lang w:eastAsia="en-AU"/>
              </w:rPr>
            </w:pPr>
            <w:r>
              <w:rPr>
                <w:rFonts w:cs="Arial"/>
                <w:lang w:eastAsia="en-AU"/>
              </w:rPr>
              <w:t>G</w:t>
            </w:r>
            <w:r w:rsidR="0090528B" w:rsidRPr="001202B5">
              <w:rPr>
                <w:rFonts w:cs="Arial"/>
                <w:lang w:eastAsia="en-AU"/>
              </w:rPr>
              <w:t xml:space="preserve">RICS </w:t>
            </w:r>
          </w:p>
        </w:tc>
        <w:tc>
          <w:tcPr>
            <w:tcW w:w="834" w:type="pct"/>
            <w:shd w:val="clear" w:color="auto" w:fill="D9D9D9" w:themeFill="background1" w:themeFillShade="D9"/>
            <w:noWrap/>
          </w:tcPr>
          <w:p w14:paraId="33DDC6FA" w14:textId="77777777" w:rsidR="0090528B" w:rsidRPr="001202B5" w:rsidRDefault="0090528B" w:rsidP="00380AD2">
            <w:pPr>
              <w:pStyle w:val="DHHStabletext"/>
              <w:jc w:val="right"/>
              <w:rPr>
                <w:rFonts w:cs="Arial"/>
                <w:lang w:eastAsia="en-AU"/>
              </w:rPr>
            </w:pPr>
            <w:r w:rsidRPr="001202B5">
              <w:rPr>
                <w:rFonts w:cs="Arial"/>
                <w:color w:val="000000"/>
              </w:rPr>
              <w:t>4 (2%)</w:t>
            </w:r>
          </w:p>
        </w:tc>
        <w:tc>
          <w:tcPr>
            <w:tcW w:w="744" w:type="pct"/>
            <w:shd w:val="clear" w:color="auto" w:fill="D9D9D9" w:themeFill="background1" w:themeFillShade="D9"/>
            <w:noWrap/>
          </w:tcPr>
          <w:p w14:paraId="5E2740AE" w14:textId="77777777" w:rsidR="0090528B" w:rsidRPr="001202B5" w:rsidRDefault="0090528B" w:rsidP="00380AD2">
            <w:pPr>
              <w:pStyle w:val="DHHStabletext"/>
              <w:jc w:val="right"/>
              <w:rPr>
                <w:rFonts w:cs="Arial"/>
                <w:lang w:eastAsia="en-AU"/>
              </w:rPr>
            </w:pPr>
            <w:r w:rsidRPr="001202B5">
              <w:rPr>
                <w:rFonts w:cs="Arial"/>
                <w:color w:val="000000"/>
              </w:rPr>
              <w:t>4 (8%)</w:t>
            </w:r>
          </w:p>
        </w:tc>
        <w:tc>
          <w:tcPr>
            <w:tcW w:w="633" w:type="pct"/>
            <w:vMerge/>
            <w:shd w:val="clear" w:color="auto" w:fill="D9D9D9" w:themeFill="background1" w:themeFillShade="D9"/>
            <w:noWrap/>
          </w:tcPr>
          <w:p w14:paraId="22E94794" w14:textId="77777777" w:rsidR="0090528B" w:rsidRPr="001202B5" w:rsidRDefault="0090528B" w:rsidP="00380AD2">
            <w:pPr>
              <w:pStyle w:val="DHHStabletext"/>
              <w:jc w:val="right"/>
              <w:rPr>
                <w:rFonts w:cs="Arial"/>
                <w:lang w:eastAsia="en-AU"/>
              </w:rPr>
            </w:pPr>
          </w:p>
        </w:tc>
      </w:tr>
      <w:tr w:rsidR="0090528B" w:rsidRPr="00CF415C" w14:paraId="016E4B17" w14:textId="77777777" w:rsidTr="00B12671">
        <w:trPr>
          <w:trHeight w:val="300"/>
        </w:trPr>
        <w:tc>
          <w:tcPr>
            <w:tcW w:w="893" w:type="pct"/>
            <w:vMerge/>
            <w:shd w:val="clear" w:color="auto" w:fill="D9D9D9" w:themeFill="background1" w:themeFillShade="D9"/>
            <w:noWrap/>
            <w:vAlign w:val="bottom"/>
            <w:hideMark/>
          </w:tcPr>
          <w:p w14:paraId="403CF260"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hideMark/>
          </w:tcPr>
          <w:p w14:paraId="7D2B2CA1" w14:textId="50418E54" w:rsidR="0090528B" w:rsidRPr="001202B5" w:rsidRDefault="0090528B" w:rsidP="00F0776E">
            <w:pPr>
              <w:pStyle w:val="DHHStabletext"/>
              <w:rPr>
                <w:rFonts w:cs="Arial"/>
                <w:lang w:eastAsia="en-AU"/>
              </w:rPr>
            </w:pPr>
            <w:r w:rsidRPr="001202B5">
              <w:rPr>
                <w:rFonts w:cs="Arial"/>
                <w:lang w:eastAsia="en-AU"/>
              </w:rPr>
              <w:t>Hume RICS</w:t>
            </w:r>
            <w:r w:rsidR="009A009B" w:rsidRPr="009A009B">
              <w:rPr>
                <w:rFonts w:cs="Arial"/>
                <w:vertAlign w:val="superscript"/>
                <w:lang w:eastAsia="en-AU"/>
              </w:rPr>
              <w:t>#</w:t>
            </w:r>
          </w:p>
        </w:tc>
        <w:tc>
          <w:tcPr>
            <w:tcW w:w="834" w:type="pct"/>
            <w:shd w:val="clear" w:color="auto" w:fill="D9D9D9" w:themeFill="background1" w:themeFillShade="D9"/>
            <w:noWrap/>
          </w:tcPr>
          <w:p w14:paraId="7C5C21EF" w14:textId="77777777" w:rsidR="0090528B" w:rsidRPr="001202B5" w:rsidRDefault="0090528B" w:rsidP="00380AD2">
            <w:pPr>
              <w:pStyle w:val="DHHStabletext"/>
              <w:jc w:val="right"/>
              <w:rPr>
                <w:rFonts w:cs="Arial"/>
                <w:lang w:eastAsia="en-AU"/>
              </w:rPr>
            </w:pPr>
            <w:r w:rsidRPr="001202B5">
              <w:rPr>
                <w:rFonts w:cs="Arial"/>
                <w:color w:val="000000"/>
              </w:rPr>
              <w:t>10 (5%)</w:t>
            </w:r>
          </w:p>
        </w:tc>
        <w:tc>
          <w:tcPr>
            <w:tcW w:w="744" w:type="pct"/>
            <w:shd w:val="clear" w:color="auto" w:fill="D9D9D9" w:themeFill="background1" w:themeFillShade="D9"/>
            <w:noWrap/>
          </w:tcPr>
          <w:p w14:paraId="758EBAFE" w14:textId="77777777" w:rsidR="0090528B" w:rsidRPr="001202B5" w:rsidRDefault="0090528B" w:rsidP="00380AD2">
            <w:pPr>
              <w:pStyle w:val="DHHStabletext"/>
              <w:jc w:val="right"/>
              <w:rPr>
                <w:rFonts w:cs="Arial"/>
                <w:lang w:eastAsia="en-AU"/>
              </w:rPr>
            </w:pPr>
            <w:r w:rsidRPr="001202B5">
              <w:rPr>
                <w:rFonts w:cs="Arial"/>
                <w:color w:val="000000"/>
              </w:rPr>
              <w:t>1 (2%)</w:t>
            </w:r>
          </w:p>
        </w:tc>
        <w:tc>
          <w:tcPr>
            <w:tcW w:w="633" w:type="pct"/>
            <w:vMerge/>
            <w:shd w:val="clear" w:color="auto" w:fill="D9D9D9" w:themeFill="background1" w:themeFillShade="D9"/>
            <w:noWrap/>
          </w:tcPr>
          <w:p w14:paraId="7FA89523" w14:textId="77777777" w:rsidR="0090528B" w:rsidRPr="001202B5" w:rsidRDefault="0090528B" w:rsidP="00380AD2">
            <w:pPr>
              <w:pStyle w:val="DHHStabletext"/>
              <w:jc w:val="right"/>
              <w:rPr>
                <w:rFonts w:cs="Arial"/>
                <w:lang w:eastAsia="en-AU"/>
              </w:rPr>
            </w:pPr>
          </w:p>
        </w:tc>
      </w:tr>
      <w:tr w:rsidR="0090528B" w:rsidRPr="00CF415C" w14:paraId="32662D64" w14:textId="77777777" w:rsidTr="00B12671">
        <w:trPr>
          <w:trHeight w:val="300"/>
        </w:trPr>
        <w:tc>
          <w:tcPr>
            <w:tcW w:w="893" w:type="pct"/>
            <w:vMerge/>
            <w:shd w:val="clear" w:color="auto" w:fill="D9D9D9" w:themeFill="background1" w:themeFillShade="D9"/>
            <w:noWrap/>
            <w:vAlign w:val="bottom"/>
            <w:hideMark/>
          </w:tcPr>
          <w:p w14:paraId="7F437011"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hideMark/>
          </w:tcPr>
          <w:p w14:paraId="592F3DA7" w14:textId="3CA80BC7" w:rsidR="0090528B" w:rsidRPr="001202B5" w:rsidRDefault="0090528B" w:rsidP="00F0776E">
            <w:pPr>
              <w:pStyle w:val="DHHStabletext"/>
              <w:rPr>
                <w:rFonts w:cs="Arial"/>
                <w:lang w:eastAsia="en-AU"/>
              </w:rPr>
            </w:pPr>
            <w:r w:rsidRPr="001202B5">
              <w:rPr>
                <w:rFonts w:cs="Arial"/>
                <w:lang w:eastAsia="en-AU"/>
              </w:rPr>
              <w:t>L</w:t>
            </w:r>
            <w:r w:rsidR="00337E1D">
              <w:rPr>
                <w:rFonts w:cs="Arial"/>
                <w:lang w:eastAsia="en-AU"/>
              </w:rPr>
              <w:t>M</w:t>
            </w:r>
            <w:r w:rsidRPr="001202B5">
              <w:rPr>
                <w:rFonts w:cs="Arial"/>
                <w:lang w:eastAsia="en-AU"/>
              </w:rPr>
              <w:t>ICS</w:t>
            </w:r>
          </w:p>
        </w:tc>
        <w:tc>
          <w:tcPr>
            <w:tcW w:w="834" w:type="pct"/>
            <w:shd w:val="clear" w:color="auto" w:fill="D9D9D9" w:themeFill="background1" w:themeFillShade="D9"/>
            <w:noWrap/>
          </w:tcPr>
          <w:p w14:paraId="045D1041" w14:textId="77777777" w:rsidR="0090528B" w:rsidRPr="001202B5" w:rsidRDefault="0090528B" w:rsidP="00380AD2">
            <w:pPr>
              <w:pStyle w:val="DHHStabletext"/>
              <w:jc w:val="right"/>
              <w:rPr>
                <w:rFonts w:cs="Arial"/>
                <w:lang w:eastAsia="en-AU"/>
              </w:rPr>
            </w:pPr>
            <w:r w:rsidRPr="001202B5">
              <w:rPr>
                <w:rFonts w:cs="Arial"/>
                <w:color w:val="000000"/>
              </w:rPr>
              <w:t>18 (8%)</w:t>
            </w:r>
          </w:p>
        </w:tc>
        <w:tc>
          <w:tcPr>
            <w:tcW w:w="744" w:type="pct"/>
            <w:shd w:val="clear" w:color="auto" w:fill="D9D9D9" w:themeFill="background1" w:themeFillShade="D9"/>
            <w:noWrap/>
          </w:tcPr>
          <w:p w14:paraId="01454643" w14:textId="77777777" w:rsidR="0090528B" w:rsidRPr="001202B5" w:rsidRDefault="0090528B" w:rsidP="00380AD2">
            <w:pPr>
              <w:pStyle w:val="DHHStabletext"/>
              <w:jc w:val="right"/>
              <w:rPr>
                <w:rFonts w:cs="Arial"/>
                <w:lang w:eastAsia="en-AU"/>
              </w:rPr>
            </w:pPr>
            <w:r w:rsidRPr="001202B5">
              <w:rPr>
                <w:rFonts w:cs="Arial"/>
                <w:color w:val="000000"/>
              </w:rPr>
              <w:t>3 (6%)</w:t>
            </w:r>
          </w:p>
        </w:tc>
        <w:tc>
          <w:tcPr>
            <w:tcW w:w="633" w:type="pct"/>
            <w:vMerge/>
            <w:shd w:val="clear" w:color="auto" w:fill="D9D9D9" w:themeFill="background1" w:themeFillShade="D9"/>
            <w:noWrap/>
          </w:tcPr>
          <w:p w14:paraId="59A5381A" w14:textId="77777777" w:rsidR="0090528B" w:rsidRPr="001202B5" w:rsidRDefault="0090528B" w:rsidP="00380AD2">
            <w:pPr>
              <w:pStyle w:val="DHHStabletext"/>
              <w:jc w:val="right"/>
              <w:rPr>
                <w:rFonts w:cs="Arial"/>
                <w:lang w:eastAsia="en-AU"/>
              </w:rPr>
            </w:pPr>
          </w:p>
        </w:tc>
      </w:tr>
      <w:tr w:rsidR="0090528B" w:rsidRPr="00CF415C" w14:paraId="69AB089F" w14:textId="77777777" w:rsidTr="00B12671">
        <w:trPr>
          <w:trHeight w:val="300"/>
        </w:trPr>
        <w:tc>
          <w:tcPr>
            <w:tcW w:w="893" w:type="pct"/>
            <w:vMerge/>
            <w:shd w:val="clear" w:color="auto" w:fill="D9D9D9" w:themeFill="background1" w:themeFillShade="D9"/>
            <w:noWrap/>
            <w:vAlign w:val="bottom"/>
            <w:hideMark/>
          </w:tcPr>
          <w:p w14:paraId="14E82282"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hideMark/>
          </w:tcPr>
          <w:p w14:paraId="28808C27" w14:textId="15D8A12B" w:rsidR="0090528B" w:rsidRPr="001202B5" w:rsidRDefault="0090528B" w:rsidP="00F0776E">
            <w:pPr>
              <w:pStyle w:val="DHHStabletext"/>
              <w:rPr>
                <w:rFonts w:cs="Arial"/>
                <w:lang w:eastAsia="en-AU"/>
              </w:rPr>
            </w:pPr>
            <w:r w:rsidRPr="001202B5">
              <w:rPr>
                <w:rFonts w:cs="Arial"/>
                <w:lang w:eastAsia="en-AU"/>
              </w:rPr>
              <w:t>GICS</w:t>
            </w:r>
          </w:p>
        </w:tc>
        <w:tc>
          <w:tcPr>
            <w:tcW w:w="834" w:type="pct"/>
            <w:shd w:val="clear" w:color="auto" w:fill="D9D9D9" w:themeFill="background1" w:themeFillShade="D9"/>
            <w:noWrap/>
          </w:tcPr>
          <w:p w14:paraId="668D6D1D" w14:textId="77777777" w:rsidR="0090528B" w:rsidRPr="001202B5" w:rsidRDefault="0090528B" w:rsidP="00380AD2">
            <w:pPr>
              <w:pStyle w:val="DHHStabletext"/>
              <w:jc w:val="right"/>
              <w:rPr>
                <w:rFonts w:cs="Arial"/>
                <w:lang w:eastAsia="en-AU"/>
              </w:rPr>
            </w:pPr>
            <w:r w:rsidRPr="001202B5">
              <w:rPr>
                <w:rFonts w:cs="Arial"/>
                <w:color w:val="000000"/>
              </w:rPr>
              <w:t>11 (5%)</w:t>
            </w:r>
          </w:p>
        </w:tc>
        <w:tc>
          <w:tcPr>
            <w:tcW w:w="744" w:type="pct"/>
            <w:shd w:val="clear" w:color="auto" w:fill="D9D9D9" w:themeFill="background1" w:themeFillShade="D9"/>
            <w:noWrap/>
          </w:tcPr>
          <w:p w14:paraId="5A9FCD2C" w14:textId="77777777" w:rsidR="0090528B" w:rsidRPr="001202B5" w:rsidRDefault="0090528B" w:rsidP="00380AD2">
            <w:pPr>
              <w:pStyle w:val="DHHStabletext"/>
              <w:jc w:val="right"/>
              <w:rPr>
                <w:rFonts w:cs="Arial"/>
                <w:lang w:eastAsia="en-AU"/>
              </w:rPr>
            </w:pPr>
            <w:r w:rsidRPr="001202B5">
              <w:rPr>
                <w:rFonts w:cs="Arial"/>
                <w:color w:val="000000"/>
              </w:rPr>
              <w:t>5 (10%)</w:t>
            </w:r>
          </w:p>
        </w:tc>
        <w:tc>
          <w:tcPr>
            <w:tcW w:w="633" w:type="pct"/>
            <w:vMerge/>
            <w:shd w:val="clear" w:color="auto" w:fill="D9D9D9" w:themeFill="background1" w:themeFillShade="D9"/>
            <w:noWrap/>
          </w:tcPr>
          <w:p w14:paraId="3F8EF072" w14:textId="77777777" w:rsidR="0090528B" w:rsidRPr="001202B5" w:rsidRDefault="0090528B" w:rsidP="00380AD2">
            <w:pPr>
              <w:pStyle w:val="DHHStabletext"/>
              <w:jc w:val="right"/>
              <w:rPr>
                <w:rFonts w:cs="Arial"/>
                <w:lang w:eastAsia="en-AU"/>
              </w:rPr>
            </w:pPr>
          </w:p>
        </w:tc>
      </w:tr>
      <w:tr w:rsidR="0090528B" w:rsidRPr="00CF415C" w14:paraId="5D384272" w14:textId="77777777" w:rsidTr="00380AD2">
        <w:trPr>
          <w:trHeight w:val="300"/>
        </w:trPr>
        <w:tc>
          <w:tcPr>
            <w:tcW w:w="893" w:type="pct"/>
            <w:vMerge w:val="restart"/>
            <w:shd w:val="clear" w:color="auto" w:fill="auto"/>
            <w:noWrap/>
            <w:hideMark/>
          </w:tcPr>
          <w:p w14:paraId="6176B957" w14:textId="77777777" w:rsidR="0090528B" w:rsidRPr="00BA6C37" w:rsidRDefault="0090528B" w:rsidP="00F0776E">
            <w:pPr>
              <w:pStyle w:val="DHHStabletext"/>
              <w:rPr>
                <w:lang w:eastAsia="en-AU"/>
              </w:rPr>
            </w:pPr>
            <w:r w:rsidRPr="00BA6C37">
              <w:rPr>
                <w:lang w:eastAsia="en-AU"/>
              </w:rPr>
              <w:t>Age</w:t>
            </w:r>
          </w:p>
        </w:tc>
        <w:tc>
          <w:tcPr>
            <w:tcW w:w="1896" w:type="pct"/>
            <w:shd w:val="clear" w:color="auto" w:fill="auto"/>
            <w:noWrap/>
            <w:vAlign w:val="bottom"/>
            <w:hideMark/>
          </w:tcPr>
          <w:p w14:paraId="22B128EE" w14:textId="77777777" w:rsidR="0090528B" w:rsidRPr="001202B5" w:rsidRDefault="0090528B" w:rsidP="00F0776E">
            <w:pPr>
              <w:pStyle w:val="DHHStabletext"/>
              <w:rPr>
                <w:rFonts w:cs="Arial"/>
                <w:lang w:eastAsia="en-AU"/>
              </w:rPr>
            </w:pPr>
            <w:r w:rsidRPr="001202B5">
              <w:rPr>
                <w:rFonts w:cs="Arial"/>
                <w:lang w:eastAsia="en-AU"/>
              </w:rPr>
              <w:t>Mean (SD)</w:t>
            </w:r>
          </w:p>
        </w:tc>
        <w:tc>
          <w:tcPr>
            <w:tcW w:w="834" w:type="pct"/>
            <w:shd w:val="clear" w:color="auto" w:fill="auto"/>
            <w:noWrap/>
          </w:tcPr>
          <w:p w14:paraId="017C02A3" w14:textId="77777777" w:rsidR="0090528B" w:rsidRPr="001202B5" w:rsidRDefault="0090528B" w:rsidP="00380AD2">
            <w:pPr>
              <w:pStyle w:val="DHHStabletext"/>
              <w:jc w:val="right"/>
              <w:rPr>
                <w:rFonts w:cs="Arial"/>
                <w:lang w:eastAsia="en-AU"/>
              </w:rPr>
            </w:pPr>
            <w:r w:rsidRPr="001202B5">
              <w:rPr>
                <w:rFonts w:cs="Arial"/>
                <w:color w:val="000000"/>
              </w:rPr>
              <w:t>68.35 (11.26)</w:t>
            </w:r>
          </w:p>
        </w:tc>
        <w:tc>
          <w:tcPr>
            <w:tcW w:w="744" w:type="pct"/>
            <w:shd w:val="clear" w:color="auto" w:fill="auto"/>
            <w:noWrap/>
          </w:tcPr>
          <w:p w14:paraId="0D7DE855" w14:textId="77777777" w:rsidR="0090528B" w:rsidRPr="001202B5" w:rsidRDefault="0090528B" w:rsidP="00380AD2">
            <w:pPr>
              <w:pStyle w:val="DHHStabletext"/>
              <w:jc w:val="right"/>
              <w:rPr>
                <w:rFonts w:cs="Arial"/>
                <w:lang w:eastAsia="en-AU"/>
              </w:rPr>
            </w:pPr>
            <w:r w:rsidRPr="001202B5">
              <w:rPr>
                <w:rFonts w:cs="Arial"/>
                <w:color w:val="000000"/>
              </w:rPr>
              <w:t>71.75 (13.05)</w:t>
            </w:r>
          </w:p>
        </w:tc>
        <w:tc>
          <w:tcPr>
            <w:tcW w:w="633" w:type="pct"/>
            <w:vMerge w:val="restart"/>
            <w:shd w:val="clear" w:color="auto" w:fill="auto"/>
            <w:noWrap/>
          </w:tcPr>
          <w:p w14:paraId="3246B270" w14:textId="77777777" w:rsidR="0090528B" w:rsidRPr="001202B5" w:rsidRDefault="0090528B" w:rsidP="00380AD2">
            <w:pPr>
              <w:pStyle w:val="DHHStabletext"/>
              <w:jc w:val="right"/>
              <w:rPr>
                <w:rFonts w:cs="Arial"/>
                <w:lang w:eastAsia="en-AU"/>
              </w:rPr>
            </w:pPr>
            <w:r w:rsidRPr="001202B5">
              <w:rPr>
                <w:rFonts w:cs="Arial"/>
                <w:color w:val="000000"/>
              </w:rPr>
              <w:t>0.031</w:t>
            </w:r>
          </w:p>
        </w:tc>
      </w:tr>
      <w:tr w:rsidR="0090528B" w:rsidRPr="00CF415C" w14:paraId="338CA857" w14:textId="77777777" w:rsidTr="00380AD2">
        <w:trPr>
          <w:trHeight w:val="300"/>
        </w:trPr>
        <w:tc>
          <w:tcPr>
            <w:tcW w:w="893" w:type="pct"/>
            <w:vMerge/>
            <w:shd w:val="clear" w:color="auto" w:fill="auto"/>
            <w:noWrap/>
            <w:vAlign w:val="bottom"/>
            <w:hideMark/>
          </w:tcPr>
          <w:p w14:paraId="525A0A1C"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6342AB9D" w14:textId="77777777" w:rsidR="0090528B" w:rsidRPr="001202B5" w:rsidRDefault="0090528B" w:rsidP="00F0776E">
            <w:pPr>
              <w:pStyle w:val="DHHStabletext"/>
              <w:rPr>
                <w:rFonts w:cs="Arial"/>
                <w:lang w:eastAsia="en-AU"/>
              </w:rPr>
            </w:pPr>
            <w:r w:rsidRPr="001202B5">
              <w:rPr>
                <w:rFonts w:cs="Arial"/>
                <w:lang w:eastAsia="en-AU"/>
              </w:rPr>
              <w:t>Median [range]</w:t>
            </w:r>
          </w:p>
        </w:tc>
        <w:tc>
          <w:tcPr>
            <w:tcW w:w="834" w:type="pct"/>
            <w:shd w:val="clear" w:color="auto" w:fill="auto"/>
            <w:noWrap/>
          </w:tcPr>
          <w:p w14:paraId="0FBE7EE7" w14:textId="5F14B0BC" w:rsidR="0090528B" w:rsidRPr="001202B5" w:rsidRDefault="0090528B" w:rsidP="00380AD2">
            <w:pPr>
              <w:pStyle w:val="DHHStabletext"/>
              <w:jc w:val="right"/>
              <w:rPr>
                <w:rFonts w:cs="Arial"/>
                <w:lang w:eastAsia="en-AU"/>
              </w:rPr>
            </w:pPr>
            <w:r w:rsidRPr="001202B5">
              <w:rPr>
                <w:rFonts w:cs="Arial"/>
                <w:color w:val="000000"/>
              </w:rPr>
              <w:t>69 [32</w:t>
            </w:r>
            <w:r w:rsidR="00E83686">
              <w:rPr>
                <w:rFonts w:cs="Arial"/>
                <w:color w:val="000000"/>
              </w:rPr>
              <w:t>–</w:t>
            </w:r>
            <w:r w:rsidRPr="001202B5">
              <w:rPr>
                <w:rFonts w:cs="Arial"/>
                <w:color w:val="000000"/>
              </w:rPr>
              <w:t>89]</w:t>
            </w:r>
          </w:p>
        </w:tc>
        <w:tc>
          <w:tcPr>
            <w:tcW w:w="744" w:type="pct"/>
            <w:shd w:val="clear" w:color="auto" w:fill="auto"/>
            <w:noWrap/>
          </w:tcPr>
          <w:p w14:paraId="1A1727BB" w14:textId="37CD0A5E" w:rsidR="0090528B" w:rsidRPr="001202B5" w:rsidRDefault="0090528B" w:rsidP="00C829DD">
            <w:pPr>
              <w:pStyle w:val="DHHStabletext"/>
              <w:jc w:val="right"/>
              <w:rPr>
                <w:rFonts w:cs="Arial"/>
                <w:lang w:eastAsia="en-AU"/>
              </w:rPr>
            </w:pPr>
            <w:r w:rsidRPr="001202B5">
              <w:rPr>
                <w:rFonts w:cs="Arial"/>
                <w:color w:val="000000"/>
              </w:rPr>
              <w:t>74 [27</w:t>
            </w:r>
            <w:r w:rsidR="00E83686">
              <w:rPr>
                <w:rFonts w:cs="Arial"/>
                <w:color w:val="000000"/>
              </w:rPr>
              <w:t>–</w:t>
            </w:r>
            <w:r w:rsidRPr="001202B5">
              <w:rPr>
                <w:rFonts w:cs="Arial"/>
                <w:color w:val="000000"/>
              </w:rPr>
              <w:t>92]</w:t>
            </w:r>
          </w:p>
        </w:tc>
        <w:tc>
          <w:tcPr>
            <w:tcW w:w="633" w:type="pct"/>
            <w:vMerge/>
            <w:shd w:val="clear" w:color="auto" w:fill="auto"/>
            <w:noWrap/>
          </w:tcPr>
          <w:p w14:paraId="055BF32D" w14:textId="77777777" w:rsidR="0090528B" w:rsidRPr="001202B5" w:rsidRDefault="0090528B" w:rsidP="00380AD2">
            <w:pPr>
              <w:pStyle w:val="DHHStabletext"/>
              <w:jc w:val="right"/>
              <w:rPr>
                <w:rFonts w:cs="Arial"/>
                <w:lang w:eastAsia="en-AU"/>
              </w:rPr>
            </w:pPr>
          </w:p>
        </w:tc>
      </w:tr>
      <w:tr w:rsidR="0090528B" w:rsidRPr="00CF415C" w14:paraId="6E8662DE" w14:textId="77777777" w:rsidTr="00380AD2">
        <w:trPr>
          <w:trHeight w:val="300"/>
        </w:trPr>
        <w:tc>
          <w:tcPr>
            <w:tcW w:w="893" w:type="pct"/>
            <w:vMerge/>
            <w:shd w:val="clear" w:color="auto" w:fill="auto"/>
            <w:noWrap/>
            <w:vAlign w:val="bottom"/>
            <w:hideMark/>
          </w:tcPr>
          <w:p w14:paraId="3622E4C7"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73AF7198" w14:textId="77777777" w:rsidR="0090528B" w:rsidRPr="001202B5" w:rsidRDefault="0090528B" w:rsidP="00F0776E">
            <w:pPr>
              <w:pStyle w:val="DHHStabletext"/>
              <w:rPr>
                <w:rFonts w:cs="Arial"/>
                <w:lang w:eastAsia="en-AU"/>
              </w:rPr>
            </w:pPr>
            <w:r w:rsidRPr="001202B5">
              <w:rPr>
                <w:rFonts w:cs="Arial"/>
                <w:lang w:eastAsia="en-AU"/>
              </w:rPr>
              <w:t>Interquartile range</w:t>
            </w:r>
          </w:p>
        </w:tc>
        <w:tc>
          <w:tcPr>
            <w:tcW w:w="834" w:type="pct"/>
            <w:shd w:val="clear" w:color="auto" w:fill="auto"/>
            <w:noWrap/>
          </w:tcPr>
          <w:p w14:paraId="2CA5C31D" w14:textId="50138B78" w:rsidR="0090528B" w:rsidRPr="001202B5" w:rsidRDefault="0090528B" w:rsidP="00380AD2">
            <w:pPr>
              <w:pStyle w:val="DHHStabletext"/>
              <w:jc w:val="right"/>
              <w:rPr>
                <w:rFonts w:cs="Arial"/>
                <w:lang w:eastAsia="en-AU"/>
              </w:rPr>
            </w:pPr>
            <w:r w:rsidRPr="001202B5">
              <w:rPr>
                <w:rFonts w:cs="Arial"/>
                <w:color w:val="000000"/>
              </w:rPr>
              <w:t xml:space="preserve"> 61</w:t>
            </w:r>
            <w:r w:rsidR="00E83686">
              <w:rPr>
                <w:rFonts w:cs="Arial"/>
                <w:color w:val="000000"/>
              </w:rPr>
              <w:t>–</w:t>
            </w:r>
            <w:r w:rsidRPr="001202B5">
              <w:rPr>
                <w:rFonts w:cs="Arial"/>
                <w:color w:val="000000"/>
              </w:rPr>
              <w:t>77</w:t>
            </w:r>
          </w:p>
        </w:tc>
        <w:tc>
          <w:tcPr>
            <w:tcW w:w="744" w:type="pct"/>
            <w:shd w:val="clear" w:color="auto" w:fill="auto"/>
            <w:noWrap/>
          </w:tcPr>
          <w:p w14:paraId="6E3B02C7" w14:textId="18DA53D6" w:rsidR="0090528B" w:rsidRPr="001202B5" w:rsidRDefault="0090528B" w:rsidP="00380AD2">
            <w:pPr>
              <w:pStyle w:val="DHHStabletext"/>
              <w:jc w:val="right"/>
              <w:rPr>
                <w:rFonts w:cs="Arial"/>
                <w:lang w:eastAsia="en-AU"/>
              </w:rPr>
            </w:pPr>
            <w:r w:rsidRPr="001202B5">
              <w:rPr>
                <w:rFonts w:cs="Arial"/>
                <w:color w:val="000000"/>
              </w:rPr>
              <w:t xml:space="preserve"> 66.5</w:t>
            </w:r>
            <w:r w:rsidR="00E83686">
              <w:rPr>
                <w:rFonts w:cs="Arial"/>
                <w:color w:val="000000"/>
              </w:rPr>
              <w:t>–</w:t>
            </w:r>
            <w:r w:rsidRPr="001202B5">
              <w:rPr>
                <w:rFonts w:cs="Arial"/>
                <w:color w:val="000000"/>
              </w:rPr>
              <w:t>81</w:t>
            </w:r>
          </w:p>
        </w:tc>
        <w:tc>
          <w:tcPr>
            <w:tcW w:w="633" w:type="pct"/>
            <w:vMerge/>
            <w:shd w:val="clear" w:color="auto" w:fill="auto"/>
            <w:noWrap/>
          </w:tcPr>
          <w:p w14:paraId="68E684ED" w14:textId="77777777" w:rsidR="0090528B" w:rsidRPr="001202B5" w:rsidRDefault="0090528B" w:rsidP="00380AD2">
            <w:pPr>
              <w:pStyle w:val="DHHStabletext"/>
              <w:jc w:val="right"/>
              <w:rPr>
                <w:rFonts w:cs="Arial"/>
                <w:lang w:eastAsia="en-AU"/>
              </w:rPr>
            </w:pPr>
          </w:p>
        </w:tc>
      </w:tr>
      <w:tr w:rsidR="0090528B" w:rsidRPr="00CF415C" w14:paraId="1385AB98" w14:textId="77777777" w:rsidTr="00B12671">
        <w:trPr>
          <w:trHeight w:val="300"/>
        </w:trPr>
        <w:tc>
          <w:tcPr>
            <w:tcW w:w="893" w:type="pct"/>
            <w:vMerge w:val="restart"/>
            <w:shd w:val="clear" w:color="auto" w:fill="D9D9D9" w:themeFill="background1" w:themeFillShade="D9"/>
            <w:noWrap/>
            <w:hideMark/>
          </w:tcPr>
          <w:p w14:paraId="348BD8A2" w14:textId="77777777" w:rsidR="0090528B" w:rsidRPr="00BA6C37" w:rsidRDefault="0090528B" w:rsidP="00F0776E">
            <w:pPr>
              <w:pStyle w:val="DHHStabletext"/>
              <w:rPr>
                <w:lang w:eastAsia="en-AU"/>
              </w:rPr>
            </w:pPr>
            <w:r w:rsidRPr="00BA6C37">
              <w:rPr>
                <w:lang w:eastAsia="en-AU"/>
              </w:rPr>
              <w:t>Gender</w:t>
            </w:r>
          </w:p>
        </w:tc>
        <w:tc>
          <w:tcPr>
            <w:tcW w:w="1896" w:type="pct"/>
            <w:shd w:val="clear" w:color="auto" w:fill="D9D9D9" w:themeFill="background1" w:themeFillShade="D9"/>
            <w:noWrap/>
            <w:vAlign w:val="bottom"/>
            <w:hideMark/>
          </w:tcPr>
          <w:p w14:paraId="74028D99" w14:textId="77777777" w:rsidR="0090528B" w:rsidRPr="001202B5" w:rsidRDefault="0090528B" w:rsidP="00F0776E">
            <w:pPr>
              <w:pStyle w:val="DHHStabletext"/>
              <w:rPr>
                <w:rFonts w:cs="Arial"/>
                <w:lang w:eastAsia="en-AU"/>
              </w:rPr>
            </w:pPr>
            <w:r w:rsidRPr="001202B5">
              <w:rPr>
                <w:rFonts w:cs="Arial"/>
                <w:lang w:eastAsia="en-AU"/>
              </w:rPr>
              <w:t>Female</w:t>
            </w:r>
          </w:p>
        </w:tc>
        <w:tc>
          <w:tcPr>
            <w:tcW w:w="834" w:type="pct"/>
            <w:shd w:val="clear" w:color="auto" w:fill="D9D9D9" w:themeFill="background1" w:themeFillShade="D9"/>
            <w:noWrap/>
          </w:tcPr>
          <w:p w14:paraId="20FF231D" w14:textId="77777777" w:rsidR="0090528B" w:rsidRPr="001202B5" w:rsidRDefault="0090528B" w:rsidP="00380AD2">
            <w:pPr>
              <w:pStyle w:val="DHHStabletext"/>
              <w:jc w:val="right"/>
              <w:rPr>
                <w:rFonts w:cs="Arial"/>
                <w:lang w:eastAsia="en-AU"/>
              </w:rPr>
            </w:pPr>
            <w:r w:rsidRPr="001202B5">
              <w:rPr>
                <w:rFonts w:cs="Arial"/>
                <w:color w:val="000000"/>
              </w:rPr>
              <w:t>62 (28%)</w:t>
            </w:r>
          </w:p>
        </w:tc>
        <w:tc>
          <w:tcPr>
            <w:tcW w:w="744" w:type="pct"/>
            <w:shd w:val="clear" w:color="auto" w:fill="D9D9D9" w:themeFill="background1" w:themeFillShade="D9"/>
            <w:noWrap/>
          </w:tcPr>
          <w:p w14:paraId="76F2E506" w14:textId="77777777" w:rsidR="0090528B" w:rsidRPr="001202B5" w:rsidRDefault="0090528B" w:rsidP="00380AD2">
            <w:pPr>
              <w:pStyle w:val="DHHStabletext"/>
              <w:jc w:val="right"/>
              <w:rPr>
                <w:rFonts w:cs="Arial"/>
                <w:lang w:eastAsia="en-AU"/>
              </w:rPr>
            </w:pPr>
            <w:r w:rsidRPr="001202B5">
              <w:rPr>
                <w:rFonts w:cs="Arial"/>
                <w:color w:val="000000"/>
              </w:rPr>
              <w:t>14 (27%)</w:t>
            </w:r>
          </w:p>
        </w:tc>
        <w:tc>
          <w:tcPr>
            <w:tcW w:w="633" w:type="pct"/>
            <w:vMerge w:val="restart"/>
            <w:shd w:val="clear" w:color="auto" w:fill="D9D9D9" w:themeFill="background1" w:themeFillShade="D9"/>
            <w:noWrap/>
          </w:tcPr>
          <w:p w14:paraId="5F49210C" w14:textId="77777777" w:rsidR="0090528B" w:rsidRPr="001202B5" w:rsidRDefault="0090528B" w:rsidP="00380AD2">
            <w:pPr>
              <w:pStyle w:val="DHHStabletext"/>
              <w:jc w:val="right"/>
              <w:rPr>
                <w:rFonts w:cs="Arial"/>
                <w:lang w:eastAsia="en-AU"/>
              </w:rPr>
            </w:pPr>
            <w:r w:rsidRPr="001202B5">
              <w:rPr>
                <w:rFonts w:cs="Arial"/>
                <w:lang w:eastAsia="en-AU"/>
              </w:rPr>
              <w:t>1</w:t>
            </w:r>
          </w:p>
        </w:tc>
      </w:tr>
      <w:tr w:rsidR="0090528B" w:rsidRPr="00CF415C" w14:paraId="6F0F5965" w14:textId="77777777" w:rsidTr="00B12671">
        <w:trPr>
          <w:trHeight w:val="300"/>
        </w:trPr>
        <w:tc>
          <w:tcPr>
            <w:tcW w:w="893" w:type="pct"/>
            <w:vMerge/>
            <w:shd w:val="clear" w:color="auto" w:fill="D9D9D9" w:themeFill="background1" w:themeFillShade="D9"/>
            <w:noWrap/>
            <w:vAlign w:val="bottom"/>
            <w:hideMark/>
          </w:tcPr>
          <w:p w14:paraId="0A149EB8"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hideMark/>
          </w:tcPr>
          <w:p w14:paraId="5419AAAC" w14:textId="77777777" w:rsidR="0090528B" w:rsidRPr="001202B5" w:rsidRDefault="0090528B" w:rsidP="00F0776E">
            <w:pPr>
              <w:pStyle w:val="DHHStabletext"/>
              <w:rPr>
                <w:rFonts w:cs="Arial"/>
                <w:lang w:eastAsia="en-AU"/>
              </w:rPr>
            </w:pPr>
            <w:r w:rsidRPr="001202B5">
              <w:rPr>
                <w:rFonts w:cs="Arial"/>
                <w:lang w:eastAsia="en-AU"/>
              </w:rPr>
              <w:t>Male</w:t>
            </w:r>
          </w:p>
        </w:tc>
        <w:tc>
          <w:tcPr>
            <w:tcW w:w="834" w:type="pct"/>
            <w:shd w:val="clear" w:color="auto" w:fill="D9D9D9" w:themeFill="background1" w:themeFillShade="D9"/>
            <w:noWrap/>
          </w:tcPr>
          <w:p w14:paraId="77B55A4E" w14:textId="77777777" w:rsidR="0090528B" w:rsidRPr="001202B5" w:rsidRDefault="0090528B" w:rsidP="00380AD2">
            <w:pPr>
              <w:pStyle w:val="DHHStabletext"/>
              <w:jc w:val="right"/>
              <w:rPr>
                <w:rFonts w:cs="Arial"/>
                <w:lang w:eastAsia="en-AU"/>
              </w:rPr>
            </w:pPr>
            <w:r w:rsidRPr="001202B5">
              <w:rPr>
                <w:rFonts w:cs="Arial"/>
                <w:color w:val="000000"/>
              </w:rPr>
              <w:t>158 (72%)</w:t>
            </w:r>
          </w:p>
        </w:tc>
        <w:tc>
          <w:tcPr>
            <w:tcW w:w="744" w:type="pct"/>
            <w:shd w:val="clear" w:color="auto" w:fill="D9D9D9" w:themeFill="background1" w:themeFillShade="D9"/>
            <w:noWrap/>
          </w:tcPr>
          <w:p w14:paraId="035649AB" w14:textId="77777777" w:rsidR="0090528B" w:rsidRPr="001202B5" w:rsidRDefault="0090528B" w:rsidP="00380AD2">
            <w:pPr>
              <w:pStyle w:val="DHHStabletext"/>
              <w:jc w:val="right"/>
              <w:rPr>
                <w:rFonts w:cs="Arial"/>
                <w:lang w:eastAsia="en-AU"/>
              </w:rPr>
            </w:pPr>
            <w:r w:rsidRPr="001202B5">
              <w:rPr>
                <w:rFonts w:cs="Arial"/>
                <w:color w:val="000000"/>
              </w:rPr>
              <w:t>37 (73%)</w:t>
            </w:r>
          </w:p>
        </w:tc>
        <w:tc>
          <w:tcPr>
            <w:tcW w:w="633" w:type="pct"/>
            <w:vMerge/>
            <w:shd w:val="clear" w:color="auto" w:fill="D9D9D9" w:themeFill="background1" w:themeFillShade="D9"/>
            <w:noWrap/>
          </w:tcPr>
          <w:p w14:paraId="2054C4D1" w14:textId="77777777" w:rsidR="0090528B" w:rsidRPr="001202B5" w:rsidRDefault="0090528B" w:rsidP="00380AD2">
            <w:pPr>
              <w:pStyle w:val="DHHStabletext"/>
              <w:jc w:val="right"/>
              <w:rPr>
                <w:rFonts w:cs="Arial"/>
                <w:lang w:eastAsia="en-AU"/>
              </w:rPr>
            </w:pPr>
          </w:p>
        </w:tc>
      </w:tr>
      <w:tr w:rsidR="0090528B" w:rsidRPr="00CF415C" w14:paraId="1BB3ACA1" w14:textId="77777777" w:rsidTr="00380AD2">
        <w:trPr>
          <w:trHeight w:val="300"/>
        </w:trPr>
        <w:tc>
          <w:tcPr>
            <w:tcW w:w="893" w:type="pct"/>
            <w:vMerge w:val="restart"/>
            <w:shd w:val="clear" w:color="auto" w:fill="auto"/>
            <w:noWrap/>
            <w:hideMark/>
          </w:tcPr>
          <w:p w14:paraId="3AE55EDE" w14:textId="77777777" w:rsidR="0090528B" w:rsidRPr="00BA6C37" w:rsidRDefault="0090528B" w:rsidP="00F0776E">
            <w:pPr>
              <w:pStyle w:val="DHHStabletext"/>
              <w:rPr>
                <w:lang w:eastAsia="en-AU"/>
              </w:rPr>
            </w:pPr>
            <w:r w:rsidRPr="00BA6C37">
              <w:rPr>
                <w:lang w:eastAsia="en-AU"/>
              </w:rPr>
              <w:t>Stage at diagnosis</w:t>
            </w:r>
          </w:p>
        </w:tc>
        <w:tc>
          <w:tcPr>
            <w:tcW w:w="1896" w:type="pct"/>
            <w:shd w:val="clear" w:color="auto" w:fill="auto"/>
            <w:noWrap/>
            <w:vAlign w:val="bottom"/>
            <w:hideMark/>
          </w:tcPr>
          <w:p w14:paraId="0C754923" w14:textId="77777777" w:rsidR="0090528B" w:rsidRPr="001202B5" w:rsidRDefault="0090528B" w:rsidP="00F0776E">
            <w:pPr>
              <w:pStyle w:val="DHHStabletext"/>
              <w:rPr>
                <w:rFonts w:cs="Arial"/>
                <w:lang w:eastAsia="en-AU"/>
              </w:rPr>
            </w:pPr>
            <w:r w:rsidRPr="001202B5">
              <w:rPr>
                <w:rFonts w:cs="Arial"/>
                <w:lang w:eastAsia="en-AU"/>
              </w:rPr>
              <w:t>I</w:t>
            </w:r>
          </w:p>
        </w:tc>
        <w:tc>
          <w:tcPr>
            <w:tcW w:w="834" w:type="pct"/>
            <w:shd w:val="clear" w:color="auto" w:fill="auto"/>
            <w:noWrap/>
          </w:tcPr>
          <w:p w14:paraId="0A837911" w14:textId="77777777" w:rsidR="0090528B" w:rsidRPr="001202B5" w:rsidRDefault="0090528B" w:rsidP="00380AD2">
            <w:pPr>
              <w:pStyle w:val="DHHStabletext"/>
              <w:jc w:val="right"/>
              <w:rPr>
                <w:rFonts w:cs="Arial"/>
                <w:lang w:eastAsia="en-AU"/>
              </w:rPr>
            </w:pPr>
            <w:r w:rsidRPr="001202B5">
              <w:rPr>
                <w:rFonts w:cs="Arial"/>
                <w:color w:val="000000"/>
              </w:rPr>
              <w:t>26 (12%)</w:t>
            </w:r>
          </w:p>
        </w:tc>
        <w:tc>
          <w:tcPr>
            <w:tcW w:w="744" w:type="pct"/>
            <w:shd w:val="clear" w:color="auto" w:fill="auto"/>
            <w:noWrap/>
          </w:tcPr>
          <w:p w14:paraId="70C8413D" w14:textId="77777777" w:rsidR="0090528B" w:rsidRPr="001202B5" w:rsidRDefault="0090528B" w:rsidP="00380AD2">
            <w:pPr>
              <w:pStyle w:val="DHHStabletext"/>
              <w:jc w:val="right"/>
              <w:rPr>
                <w:rFonts w:cs="Arial"/>
                <w:lang w:eastAsia="en-AU"/>
              </w:rPr>
            </w:pPr>
            <w:r w:rsidRPr="001202B5">
              <w:rPr>
                <w:rFonts w:cs="Arial"/>
                <w:color w:val="000000"/>
              </w:rPr>
              <w:t>3 (6%)</w:t>
            </w:r>
          </w:p>
        </w:tc>
        <w:tc>
          <w:tcPr>
            <w:tcW w:w="633" w:type="pct"/>
            <w:vMerge w:val="restart"/>
            <w:shd w:val="clear" w:color="auto" w:fill="auto"/>
            <w:noWrap/>
          </w:tcPr>
          <w:p w14:paraId="4D7BA69D" w14:textId="6BAE0708" w:rsidR="0090528B" w:rsidRPr="001202B5" w:rsidRDefault="0090528B" w:rsidP="00380AD2">
            <w:pPr>
              <w:pStyle w:val="DHHStabletext"/>
              <w:jc w:val="right"/>
              <w:rPr>
                <w:rFonts w:cs="Arial"/>
                <w:lang w:eastAsia="en-AU"/>
              </w:rPr>
            </w:pPr>
            <w:r w:rsidRPr="001202B5">
              <w:rPr>
                <w:rFonts w:cs="Arial"/>
                <w:lang w:eastAsia="en-AU"/>
              </w:rPr>
              <w:t>&lt;</w:t>
            </w:r>
            <w:r w:rsidR="00E83686">
              <w:rPr>
                <w:rFonts w:cs="Arial"/>
                <w:lang w:eastAsia="en-AU"/>
              </w:rPr>
              <w:t xml:space="preserve"> </w:t>
            </w:r>
            <w:r w:rsidRPr="001202B5">
              <w:rPr>
                <w:rFonts w:cs="Arial"/>
                <w:lang w:eastAsia="en-AU"/>
              </w:rPr>
              <w:t>0.001</w:t>
            </w:r>
          </w:p>
        </w:tc>
      </w:tr>
      <w:tr w:rsidR="0090528B" w:rsidRPr="00CF415C" w14:paraId="4C66A2FD" w14:textId="77777777" w:rsidTr="00380AD2">
        <w:trPr>
          <w:trHeight w:val="300"/>
        </w:trPr>
        <w:tc>
          <w:tcPr>
            <w:tcW w:w="893" w:type="pct"/>
            <w:vMerge/>
            <w:shd w:val="clear" w:color="auto" w:fill="auto"/>
            <w:noWrap/>
            <w:vAlign w:val="bottom"/>
            <w:hideMark/>
          </w:tcPr>
          <w:p w14:paraId="56F25CED"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2AE3D208" w14:textId="77777777" w:rsidR="0090528B" w:rsidRPr="001202B5" w:rsidRDefault="0090528B" w:rsidP="00F0776E">
            <w:pPr>
              <w:pStyle w:val="DHHStabletext"/>
              <w:rPr>
                <w:rFonts w:cs="Arial"/>
                <w:lang w:eastAsia="en-AU"/>
              </w:rPr>
            </w:pPr>
            <w:r w:rsidRPr="001202B5">
              <w:rPr>
                <w:rFonts w:cs="Arial"/>
                <w:lang w:eastAsia="en-AU"/>
              </w:rPr>
              <w:t>II</w:t>
            </w:r>
          </w:p>
        </w:tc>
        <w:tc>
          <w:tcPr>
            <w:tcW w:w="834" w:type="pct"/>
            <w:shd w:val="clear" w:color="auto" w:fill="auto"/>
            <w:noWrap/>
          </w:tcPr>
          <w:p w14:paraId="00FD3FE5" w14:textId="77777777" w:rsidR="0090528B" w:rsidRPr="001202B5" w:rsidRDefault="0090528B" w:rsidP="00380AD2">
            <w:pPr>
              <w:pStyle w:val="DHHStabletext"/>
              <w:jc w:val="right"/>
              <w:rPr>
                <w:rFonts w:cs="Arial"/>
                <w:lang w:eastAsia="en-AU"/>
              </w:rPr>
            </w:pPr>
            <w:r w:rsidRPr="001202B5">
              <w:rPr>
                <w:rFonts w:cs="Arial"/>
                <w:color w:val="000000"/>
              </w:rPr>
              <w:t>37 (17%)</w:t>
            </w:r>
          </w:p>
        </w:tc>
        <w:tc>
          <w:tcPr>
            <w:tcW w:w="744" w:type="pct"/>
            <w:shd w:val="clear" w:color="auto" w:fill="auto"/>
            <w:noWrap/>
          </w:tcPr>
          <w:p w14:paraId="0E88F682" w14:textId="77777777" w:rsidR="0090528B" w:rsidRPr="001202B5" w:rsidRDefault="0090528B" w:rsidP="00380AD2">
            <w:pPr>
              <w:pStyle w:val="DHHStabletext"/>
              <w:jc w:val="right"/>
              <w:rPr>
                <w:rFonts w:cs="Arial"/>
                <w:lang w:eastAsia="en-AU"/>
              </w:rPr>
            </w:pPr>
            <w:r w:rsidRPr="001202B5">
              <w:rPr>
                <w:rFonts w:cs="Arial"/>
                <w:color w:val="000000"/>
              </w:rPr>
              <w:t>0 (0%)</w:t>
            </w:r>
          </w:p>
        </w:tc>
        <w:tc>
          <w:tcPr>
            <w:tcW w:w="633" w:type="pct"/>
            <w:vMerge/>
            <w:shd w:val="clear" w:color="auto" w:fill="auto"/>
            <w:noWrap/>
          </w:tcPr>
          <w:p w14:paraId="37658330" w14:textId="77777777" w:rsidR="0090528B" w:rsidRPr="001202B5" w:rsidRDefault="0090528B" w:rsidP="00380AD2">
            <w:pPr>
              <w:pStyle w:val="DHHStabletext"/>
              <w:jc w:val="right"/>
              <w:rPr>
                <w:rFonts w:cs="Arial"/>
                <w:lang w:eastAsia="en-AU"/>
              </w:rPr>
            </w:pPr>
          </w:p>
        </w:tc>
      </w:tr>
      <w:tr w:rsidR="0090528B" w:rsidRPr="00CF415C" w14:paraId="1E0DD41A" w14:textId="77777777" w:rsidTr="00380AD2">
        <w:trPr>
          <w:trHeight w:val="300"/>
        </w:trPr>
        <w:tc>
          <w:tcPr>
            <w:tcW w:w="893" w:type="pct"/>
            <w:vMerge/>
            <w:shd w:val="clear" w:color="auto" w:fill="auto"/>
            <w:noWrap/>
            <w:vAlign w:val="bottom"/>
            <w:hideMark/>
          </w:tcPr>
          <w:p w14:paraId="18879E47"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25CFBF85" w14:textId="77777777" w:rsidR="0090528B" w:rsidRPr="001202B5" w:rsidRDefault="0090528B" w:rsidP="00F0776E">
            <w:pPr>
              <w:pStyle w:val="DHHStabletext"/>
              <w:rPr>
                <w:rFonts w:cs="Arial"/>
                <w:lang w:eastAsia="en-AU"/>
              </w:rPr>
            </w:pPr>
            <w:r w:rsidRPr="001202B5">
              <w:rPr>
                <w:rFonts w:cs="Arial"/>
                <w:lang w:eastAsia="en-AU"/>
              </w:rPr>
              <w:t>III</w:t>
            </w:r>
          </w:p>
        </w:tc>
        <w:tc>
          <w:tcPr>
            <w:tcW w:w="834" w:type="pct"/>
            <w:shd w:val="clear" w:color="auto" w:fill="auto"/>
            <w:noWrap/>
          </w:tcPr>
          <w:p w14:paraId="2DF30DDC" w14:textId="77777777" w:rsidR="0090528B" w:rsidRPr="001202B5" w:rsidRDefault="0090528B" w:rsidP="00380AD2">
            <w:pPr>
              <w:pStyle w:val="DHHStabletext"/>
              <w:jc w:val="right"/>
              <w:rPr>
                <w:rFonts w:cs="Arial"/>
                <w:lang w:eastAsia="en-AU"/>
              </w:rPr>
            </w:pPr>
            <w:r w:rsidRPr="001202B5">
              <w:rPr>
                <w:rFonts w:cs="Arial"/>
                <w:color w:val="000000"/>
              </w:rPr>
              <w:t>42 (19%)</w:t>
            </w:r>
          </w:p>
        </w:tc>
        <w:tc>
          <w:tcPr>
            <w:tcW w:w="744" w:type="pct"/>
            <w:shd w:val="clear" w:color="auto" w:fill="auto"/>
            <w:noWrap/>
          </w:tcPr>
          <w:p w14:paraId="606781C5" w14:textId="77777777" w:rsidR="0090528B" w:rsidRPr="001202B5" w:rsidRDefault="0090528B" w:rsidP="00380AD2">
            <w:pPr>
              <w:pStyle w:val="DHHStabletext"/>
              <w:jc w:val="right"/>
              <w:rPr>
                <w:rFonts w:cs="Arial"/>
                <w:lang w:eastAsia="en-AU"/>
              </w:rPr>
            </w:pPr>
            <w:r w:rsidRPr="001202B5">
              <w:rPr>
                <w:rFonts w:cs="Arial"/>
                <w:color w:val="000000"/>
              </w:rPr>
              <w:t>3 (6%)</w:t>
            </w:r>
          </w:p>
        </w:tc>
        <w:tc>
          <w:tcPr>
            <w:tcW w:w="633" w:type="pct"/>
            <w:vMerge/>
            <w:shd w:val="clear" w:color="auto" w:fill="auto"/>
            <w:noWrap/>
          </w:tcPr>
          <w:p w14:paraId="7DEA3C07" w14:textId="77777777" w:rsidR="0090528B" w:rsidRPr="001202B5" w:rsidRDefault="0090528B" w:rsidP="00380AD2">
            <w:pPr>
              <w:pStyle w:val="DHHStabletext"/>
              <w:jc w:val="right"/>
              <w:rPr>
                <w:rFonts w:cs="Arial"/>
                <w:lang w:eastAsia="en-AU"/>
              </w:rPr>
            </w:pPr>
          </w:p>
        </w:tc>
      </w:tr>
      <w:tr w:rsidR="0090528B" w:rsidRPr="00CF415C" w14:paraId="23E31C3B" w14:textId="77777777" w:rsidTr="00380AD2">
        <w:trPr>
          <w:trHeight w:val="300"/>
        </w:trPr>
        <w:tc>
          <w:tcPr>
            <w:tcW w:w="893" w:type="pct"/>
            <w:vMerge/>
            <w:shd w:val="clear" w:color="auto" w:fill="auto"/>
            <w:noWrap/>
            <w:vAlign w:val="bottom"/>
            <w:hideMark/>
          </w:tcPr>
          <w:p w14:paraId="138EB128"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642EF87D" w14:textId="41347BE7" w:rsidR="0090528B" w:rsidRPr="001202B5" w:rsidRDefault="0090528B" w:rsidP="00F0776E">
            <w:pPr>
              <w:pStyle w:val="DHHStabletext"/>
              <w:rPr>
                <w:rFonts w:cs="Arial"/>
                <w:lang w:eastAsia="en-AU"/>
              </w:rPr>
            </w:pPr>
            <w:r w:rsidRPr="001202B5">
              <w:rPr>
                <w:rFonts w:cs="Arial"/>
                <w:lang w:eastAsia="en-AU"/>
              </w:rPr>
              <w:t>IV/metastatic disease</w:t>
            </w:r>
          </w:p>
        </w:tc>
        <w:tc>
          <w:tcPr>
            <w:tcW w:w="834" w:type="pct"/>
            <w:shd w:val="clear" w:color="auto" w:fill="auto"/>
            <w:noWrap/>
          </w:tcPr>
          <w:p w14:paraId="78FFACA6" w14:textId="77777777" w:rsidR="0090528B" w:rsidRPr="001202B5" w:rsidRDefault="0090528B" w:rsidP="00380AD2">
            <w:pPr>
              <w:pStyle w:val="DHHStabletext"/>
              <w:jc w:val="right"/>
              <w:rPr>
                <w:rFonts w:cs="Arial"/>
                <w:lang w:eastAsia="en-AU"/>
              </w:rPr>
            </w:pPr>
            <w:r w:rsidRPr="001202B5">
              <w:rPr>
                <w:rFonts w:cs="Arial"/>
                <w:color w:val="000000"/>
              </w:rPr>
              <w:t>72 (33%)</w:t>
            </w:r>
          </w:p>
        </w:tc>
        <w:tc>
          <w:tcPr>
            <w:tcW w:w="744" w:type="pct"/>
            <w:shd w:val="clear" w:color="auto" w:fill="auto"/>
            <w:noWrap/>
          </w:tcPr>
          <w:p w14:paraId="038F42F6" w14:textId="77777777" w:rsidR="0090528B" w:rsidRPr="001202B5" w:rsidRDefault="0090528B" w:rsidP="00380AD2">
            <w:pPr>
              <w:pStyle w:val="DHHStabletext"/>
              <w:jc w:val="right"/>
              <w:rPr>
                <w:rFonts w:cs="Arial"/>
                <w:lang w:eastAsia="en-AU"/>
              </w:rPr>
            </w:pPr>
            <w:r w:rsidRPr="001202B5">
              <w:rPr>
                <w:rFonts w:cs="Arial"/>
                <w:color w:val="000000"/>
              </w:rPr>
              <w:t>26 (51%)</w:t>
            </w:r>
          </w:p>
        </w:tc>
        <w:tc>
          <w:tcPr>
            <w:tcW w:w="633" w:type="pct"/>
            <w:vMerge/>
            <w:shd w:val="clear" w:color="auto" w:fill="auto"/>
            <w:noWrap/>
          </w:tcPr>
          <w:p w14:paraId="2A088500" w14:textId="77777777" w:rsidR="0090528B" w:rsidRPr="001202B5" w:rsidRDefault="0090528B" w:rsidP="00380AD2">
            <w:pPr>
              <w:pStyle w:val="DHHStabletext"/>
              <w:jc w:val="right"/>
              <w:rPr>
                <w:rFonts w:cs="Arial"/>
                <w:lang w:eastAsia="en-AU"/>
              </w:rPr>
            </w:pPr>
          </w:p>
        </w:tc>
      </w:tr>
      <w:tr w:rsidR="0090528B" w:rsidRPr="00CF415C" w14:paraId="14B58920" w14:textId="77777777" w:rsidTr="00380AD2">
        <w:trPr>
          <w:trHeight w:val="300"/>
        </w:trPr>
        <w:tc>
          <w:tcPr>
            <w:tcW w:w="893" w:type="pct"/>
            <w:vMerge/>
            <w:shd w:val="clear" w:color="auto" w:fill="auto"/>
            <w:noWrap/>
            <w:vAlign w:val="bottom"/>
            <w:hideMark/>
          </w:tcPr>
          <w:p w14:paraId="5ABEC4FF"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63984200" w14:textId="77777777" w:rsidR="0090528B" w:rsidRPr="001202B5" w:rsidRDefault="0090528B" w:rsidP="00F0776E">
            <w:pPr>
              <w:pStyle w:val="DHHStabletext"/>
              <w:rPr>
                <w:rFonts w:cs="Arial"/>
                <w:lang w:eastAsia="en-AU"/>
              </w:rPr>
            </w:pPr>
            <w:r w:rsidRPr="001202B5">
              <w:rPr>
                <w:rFonts w:cs="Arial"/>
                <w:lang w:eastAsia="en-AU"/>
              </w:rPr>
              <w:t>Other</w:t>
            </w:r>
          </w:p>
        </w:tc>
        <w:tc>
          <w:tcPr>
            <w:tcW w:w="834" w:type="pct"/>
            <w:shd w:val="clear" w:color="auto" w:fill="auto"/>
            <w:noWrap/>
          </w:tcPr>
          <w:p w14:paraId="6328F242" w14:textId="77777777" w:rsidR="0090528B" w:rsidRPr="001202B5" w:rsidRDefault="0090528B" w:rsidP="00380AD2">
            <w:pPr>
              <w:pStyle w:val="DHHStabletext"/>
              <w:jc w:val="right"/>
              <w:rPr>
                <w:rFonts w:cs="Arial"/>
                <w:lang w:eastAsia="en-AU"/>
              </w:rPr>
            </w:pPr>
            <w:r w:rsidRPr="001202B5">
              <w:rPr>
                <w:rFonts w:cs="Arial"/>
                <w:color w:val="000000"/>
              </w:rPr>
              <w:t>11 (5%)</w:t>
            </w:r>
          </w:p>
        </w:tc>
        <w:tc>
          <w:tcPr>
            <w:tcW w:w="744" w:type="pct"/>
            <w:shd w:val="clear" w:color="auto" w:fill="auto"/>
            <w:noWrap/>
          </w:tcPr>
          <w:p w14:paraId="34E2BC46" w14:textId="77777777" w:rsidR="0090528B" w:rsidRPr="001202B5" w:rsidRDefault="0090528B" w:rsidP="00380AD2">
            <w:pPr>
              <w:pStyle w:val="DHHStabletext"/>
              <w:jc w:val="right"/>
              <w:rPr>
                <w:rFonts w:cs="Arial"/>
                <w:lang w:eastAsia="en-AU"/>
              </w:rPr>
            </w:pPr>
            <w:r w:rsidRPr="001202B5">
              <w:rPr>
                <w:rFonts w:cs="Arial"/>
                <w:color w:val="000000"/>
              </w:rPr>
              <w:t>1 (2%)</w:t>
            </w:r>
          </w:p>
        </w:tc>
        <w:tc>
          <w:tcPr>
            <w:tcW w:w="633" w:type="pct"/>
            <w:vMerge/>
            <w:shd w:val="clear" w:color="auto" w:fill="auto"/>
            <w:noWrap/>
          </w:tcPr>
          <w:p w14:paraId="795D8B4A" w14:textId="77777777" w:rsidR="0090528B" w:rsidRPr="001202B5" w:rsidRDefault="0090528B" w:rsidP="00380AD2">
            <w:pPr>
              <w:pStyle w:val="DHHStabletext"/>
              <w:jc w:val="right"/>
              <w:rPr>
                <w:rFonts w:cs="Arial"/>
                <w:lang w:eastAsia="en-AU"/>
              </w:rPr>
            </w:pPr>
          </w:p>
        </w:tc>
      </w:tr>
      <w:tr w:rsidR="0090528B" w:rsidRPr="00CF415C" w14:paraId="0FE8B5C0" w14:textId="77777777" w:rsidTr="00380AD2">
        <w:trPr>
          <w:trHeight w:val="300"/>
        </w:trPr>
        <w:tc>
          <w:tcPr>
            <w:tcW w:w="893" w:type="pct"/>
            <w:vMerge/>
            <w:shd w:val="clear" w:color="auto" w:fill="auto"/>
            <w:noWrap/>
            <w:vAlign w:val="bottom"/>
            <w:hideMark/>
          </w:tcPr>
          <w:p w14:paraId="135A520A"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0B0A1311" w14:textId="77777777" w:rsidR="0090528B" w:rsidRPr="001202B5" w:rsidRDefault="0090528B" w:rsidP="00F0776E">
            <w:pPr>
              <w:pStyle w:val="DHHStabletext"/>
              <w:rPr>
                <w:rFonts w:cs="Arial"/>
                <w:lang w:eastAsia="en-AU"/>
              </w:rPr>
            </w:pPr>
            <w:r w:rsidRPr="001202B5">
              <w:rPr>
                <w:rFonts w:cs="Arial"/>
                <w:lang w:eastAsia="en-AU"/>
              </w:rPr>
              <w:t>Unknown</w:t>
            </w:r>
          </w:p>
        </w:tc>
        <w:tc>
          <w:tcPr>
            <w:tcW w:w="834" w:type="pct"/>
            <w:shd w:val="clear" w:color="auto" w:fill="auto"/>
            <w:noWrap/>
          </w:tcPr>
          <w:p w14:paraId="1C8A26F4" w14:textId="77777777" w:rsidR="0090528B" w:rsidRPr="001202B5" w:rsidRDefault="0090528B" w:rsidP="00380AD2">
            <w:pPr>
              <w:pStyle w:val="DHHStabletext"/>
              <w:jc w:val="right"/>
              <w:rPr>
                <w:rFonts w:cs="Arial"/>
                <w:lang w:eastAsia="en-AU"/>
              </w:rPr>
            </w:pPr>
            <w:r w:rsidRPr="001202B5">
              <w:rPr>
                <w:rFonts w:cs="Arial"/>
                <w:color w:val="000000"/>
              </w:rPr>
              <w:t>27 (12%)</w:t>
            </w:r>
          </w:p>
        </w:tc>
        <w:tc>
          <w:tcPr>
            <w:tcW w:w="744" w:type="pct"/>
            <w:shd w:val="clear" w:color="auto" w:fill="auto"/>
            <w:noWrap/>
          </w:tcPr>
          <w:p w14:paraId="7B0525D2" w14:textId="77777777" w:rsidR="0090528B" w:rsidRPr="001202B5" w:rsidRDefault="0090528B" w:rsidP="00380AD2">
            <w:pPr>
              <w:pStyle w:val="DHHStabletext"/>
              <w:jc w:val="right"/>
              <w:rPr>
                <w:rFonts w:cs="Arial"/>
                <w:lang w:eastAsia="en-AU"/>
              </w:rPr>
            </w:pPr>
            <w:r w:rsidRPr="001202B5">
              <w:rPr>
                <w:rFonts w:cs="Arial"/>
                <w:color w:val="000000"/>
              </w:rPr>
              <w:t>11 (22%)</w:t>
            </w:r>
          </w:p>
        </w:tc>
        <w:tc>
          <w:tcPr>
            <w:tcW w:w="633" w:type="pct"/>
            <w:vMerge/>
            <w:shd w:val="clear" w:color="auto" w:fill="auto"/>
            <w:noWrap/>
          </w:tcPr>
          <w:p w14:paraId="0F88D890" w14:textId="77777777" w:rsidR="0090528B" w:rsidRPr="001202B5" w:rsidRDefault="0090528B" w:rsidP="00380AD2">
            <w:pPr>
              <w:pStyle w:val="DHHStabletext"/>
              <w:jc w:val="right"/>
              <w:rPr>
                <w:rFonts w:cs="Arial"/>
                <w:lang w:eastAsia="en-AU"/>
              </w:rPr>
            </w:pPr>
          </w:p>
        </w:tc>
      </w:tr>
      <w:tr w:rsidR="0090528B" w:rsidRPr="00CF415C" w14:paraId="760A085E" w14:textId="77777777" w:rsidTr="00380AD2">
        <w:trPr>
          <w:trHeight w:val="300"/>
        </w:trPr>
        <w:tc>
          <w:tcPr>
            <w:tcW w:w="893" w:type="pct"/>
            <w:vMerge/>
            <w:shd w:val="clear" w:color="auto" w:fill="auto"/>
            <w:noWrap/>
            <w:vAlign w:val="bottom"/>
          </w:tcPr>
          <w:p w14:paraId="6D914B62" w14:textId="77777777" w:rsidR="0090528B" w:rsidRPr="00BA6C37" w:rsidRDefault="0090528B" w:rsidP="00F0776E">
            <w:pPr>
              <w:pStyle w:val="DHHStabletext"/>
              <w:rPr>
                <w:lang w:eastAsia="en-AU"/>
              </w:rPr>
            </w:pPr>
          </w:p>
        </w:tc>
        <w:tc>
          <w:tcPr>
            <w:tcW w:w="1896" w:type="pct"/>
            <w:shd w:val="clear" w:color="auto" w:fill="auto"/>
            <w:noWrap/>
          </w:tcPr>
          <w:p w14:paraId="7A05D720" w14:textId="2D273B53" w:rsidR="0090528B" w:rsidRPr="001202B5" w:rsidRDefault="009167E7" w:rsidP="00F0776E">
            <w:pPr>
              <w:pStyle w:val="DHHStabletext"/>
              <w:rPr>
                <w:rFonts w:cs="Arial"/>
                <w:lang w:eastAsia="en-AU"/>
              </w:rPr>
            </w:pPr>
            <w:r>
              <w:rPr>
                <w:rFonts w:cs="Arial"/>
                <w:lang w:eastAsia="en-AU"/>
              </w:rPr>
              <w:t>Missing data**</w:t>
            </w:r>
          </w:p>
        </w:tc>
        <w:tc>
          <w:tcPr>
            <w:tcW w:w="834" w:type="pct"/>
            <w:shd w:val="clear" w:color="auto" w:fill="auto"/>
            <w:noWrap/>
          </w:tcPr>
          <w:p w14:paraId="4D1ACF73" w14:textId="77777777" w:rsidR="0090528B" w:rsidRPr="001202B5" w:rsidRDefault="0090528B" w:rsidP="00380AD2">
            <w:pPr>
              <w:pStyle w:val="DHHStabletext"/>
              <w:jc w:val="right"/>
              <w:rPr>
                <w:rFonts w:cs="Arial"/>
                <w:lang w:eastAsia="en-AU"/>
              </w:rPr>
            </w:pPr>
            <w:r w:rsidRPr="001202B5">
              <w:rPr>
                <w:rFonts w:cs="Arial"/>
                <w:color w:val="000000"/>
              </w:rPr>
              <w:t>5 (2%)</w:t>
            </w:r>
          </w:p>
        </w:tc>
        <w:tc>
          <w:tcPr>
            <w:tcW w:w="744" w:type="pct"/>
            <w:shd w:val="clear" w:color="auto" w:fill="auto"/>
            <w:noWrap/>
          </w:tcPr>
          <w:p w14:paraId="18954D1D" w14:textId="77777777" w:rsidR="0090528B" w:rsidRPr="001202B5" w:rsidRDefault="0090528B" w:rsidP="00380AD2">
            <w:pPr>
              <w:pStyle w:val="DHHStabletext"/>
              <w:jc w:val="right"/>
              <w:rPr>
                <w:rFonts w:cs="Arial"/>
                <w:lang w:eastAsia="en-AU"/>
              </w:rPr>
            </w:pPr>
            <w:r w:rsidRPr="001202B5">
              <w:rPr>
                <w:rFonts w:cs="Arial"/>
                <w:color w:val="000000"/>
              </w:rPr>
              <w:t>7 (14%)</w:t>
            </w:r>
          </w:p>
        </w:tc>
        <w:tc>
          <w:tcPr>
            <w:tcW w:w="633" w:type="pct"/>
            <w:vMerge/>
            <w:shd w:val="clear" w:color="auto" w:fill="auto"/>
            <w:noWrap/>
          </w:tcPr>
          <w:p w14:paraId="32BC1F50" w14:textId="77777777" w:rsidR="0090528B" w:rsidRPr="001202B5" w:rsidRDefault="0090528B" w:rsidP="00380AD2">
            <w:pPr>
              <w:pStyle w:val="DHHStabletext"/>
              <w:jc w:val="right"/>
              <w:rPr>
                <w:rFonts w:cs="Arial"/>
                <w:lang w:eastAsia="en-AU"/>
              </w:rPr>
            </w:pPr>
          </w:p>
        </w:tc>
      </w:tr>
      <w:tr w:rsidR="0090528B" w:rsidRPr="00CF415C" w14:paraId="76A56428" w14:textId="77777777" w:rsidTr="00B12671">
        <w:trPr>
          <w:trHeight w:val="300"/>
        </w:trPr>
        <w:tc>
          <w:tcPr>
            <w:tcW w:w="893" w:type="pct"/>
            <w:vMerge w:val="restart"/>
            <w:shd w:val="clear" w:color="auto" w:fill="D9D9D9" w:themeFill="background1" w:themeFillShade="D9"/>
            <w:noWrap/>
            <w:hideMark/>
          </w:tcPr>
          <w:p w14:paraId="79EFE2D9" w14:textId="77777777" w:rsidR="0090528B" w:rsidRPr="00BA6C37" w:rsidRDefault="0090528B" w:rsidP="00F0776E">
            <w:pPr>
              <w:pStyle w:val="DHHStabletext"/>
              <w:rPr>
                <w:lang w:eastAsia="en-AU"/>
              </w:rPr>
            </w:pPr>
            <w:r>
              <w:rPr>
                <w:lang w:eastAsia="en-AU"/>
              </w:rPr>
              <w:t>First treatment at audited campus</w:t>
            </w:r>
          </w:p>
        </w:tc>
        <w:tc>
          <w:tcPr>
            <w:tcW w:w="1896" w:type="pct"/>
            <w:shd w:val="clear" w:color="auto" w:fill="D9D9D9" w:themeFill="background1" w:themeFillShade="D9"/>
            <w:noWrap/>
            <w:vAlign w:val="bottom"/>
          </w:tcPr>
          <w:p w14:paraId="02DEA3D5" w14:textId="77777777" w:rsidR="0090528B" w:rsidRPr="001202B5" w:rsidRDefault="0090528B" w:rsidP="00F0776E">
            <w:pPr>
              <w:pStyle w:val="DHHStabletext"/>
              <w:rPr>
                <w:rFonts w:cs="Arial"/>
                <w:lang w:eastAsia="en-AU"/>
              </w:rPr>
            </w:pPr>
            <w:proofErr w:type="spellStart"/>
            <w:r w:rsidRPr="001202B5">
              <w:rPr>
                <w:rFonts w:cs="Arial"/>
                <w:lang w:eastAsia="en-AU"/>
              </w:rPr>
              <w:t>Chemoradiation</w:t>
            </w:r>
            <w:proofErr w:type="spellEnd"/>
            <w:r w:rsidRPr="001202B5">
              <w:rPr>
                <w:rFonts w:cs="Arial"/>
                <w:lang w:eastAsia="en-AU"/>
              </w:rPr>
              <w:t xml:space="preserve"> </w:t>
            </w:r>
          </w:p>
        </w:tc>
        <w:tc>
          <w:tcPr>
            <w:tcW w:w="834" w:type="pct"/>
            <w:shd w:val="clear" w:color="auto" w:fill="D9D9D9" w:themeFill="background1" w:themeFillShade="D9"/>
            <w:noWrap/>
          </w:tcPr>
          <w:p w14:paraId="323FE5BE" w14:textId="77777777" w:rsidR="0090528B" w:rsidRPr="001202B5" w:rsidRDefault="0090528B" w:rsidP="00380AD2">
            <w:pPr>
              <w:pStyle w:val="DHHStabletext"/>
              <w:jc w:val="right"/>
              <w:rPr>
                <w:rFonts w:cs="Arial"/>
                <w:lang w:eastAsia="en-AU"/>
              </w:rPr>
            </w:pPr>
            <w:r w:rsidRPr="001202B5">
              <w:rPr>
                <w:rFonts w:cs="Arial"/>
                <w:color w:val="000000"/>
              </w:rPr>
              <w:t>41 (19%)</w:t>
            </w:r>
          </w:p>
        </w:tc>
        <w:tc>
          <w:tcPr>
            <w:tcW w:w="744" w:type="pct"/>
            <w:shd w:val="clear" w:color="auto" w:fill="D9D9D9" w:themeFill="background1" w:themeFillShade="D9"/>
            <w:noWrap/>
          </w:tcPr>
          <w:p w14:paraId="585D68D1" w14:textId="77777777" w:rsidR="0090528B" w:rsidRPr="001202B5" w:rsidRDefault="0090528B" w:rsidP="00380AD2">
            <w:pPr>
              <w:pStyle w:val="DHHStabletext"/>
              <w:jc w:val="right"/>
              <w:rPr>
                <w:rFonts w:cs="Arial"/>
                <w:lang w:eastAsia="en-AU"/>
              </w:rPr>
            </w:pPr>
            <w:r w:rsidRPr="001202B5">
              <w:rPr>
                <w:rFonts w:cs="Arial"/>
                <w:color w:val="000000"/>
              </w:rPr>
              <w:t>4 (8%)</w:t>
            </w:r>
          </w:p>
        </w:tc>
        <w:tc>
          <w:tcPr>
            <w:tcW w:w="633" w:type="pct"/>
            <w:vMerge w:val="restart"/>
            <w:shd w:val="clear" w:color="auto" w:fill="D9D9D9" w:themeFill="background1" w:themeFillShade="D9"/>
            <w:noWrap/>
          </w:tcPr>
          <w:p w14:paraId="128AECA6" w14:textId="77777777" w:rsidR="0090528B" w:rsidRPr="001202B5" w:rsidRDefault="0090528B" w:rsidP="00380AD2">
            <w:pPr>
              <w:pStyle w:val="DHHStabletext"/>
              <w:jc w:val="right"/>
              <w:rPr>
                <w:rFonts w:cs="Arial"/>
                <w:lang w:eastAsia="en-AU"/>
              </w:rPr>
            </w:pPr>
            <w:r w:rsidRPr="001202B5">
              <w:rPr>
                <w:rFonts w:cs="Arial"/>
                <w:lang w:eastAsia="en-AU"/>
              </w:rPr>
              <w:t>0.001</w:t>
            </w:r>
          </w:p>
        </w:tc>
      </w:tr>
      <w:tr w:rsidR="0090528B" w:rsidRPr="00CF415C" w14:paraId="2BC15CA9" w14:textId="77777777" w:rsidTr="00B12671">
        <w:trPr>
          <w:trHeight w:val="300"/>
        </w:trPr>
        <w:tc>
          <w:tcPr>
            <w:tcW w:w="893" w:type="pct"/>
            <w:vMerge/>
            <w:shd w:val="clear" w:color="auto" w:fill="auto"/>
            <w:noWrap/>
            <w:vAlign w:val="bottom"/>
            <w:hideMark/>
          </w:tcPr>
          <w:p w14:paraId="42005A27"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228F5B2B" w14:textId="15821826" w:rsidR="0090528B" w:rsidRPr="001202B5" w:rsidRDefault="0090528B">
            <w:pPr>
              <w:pStyle w:val="DHHStabletext"/>
              <w:rPr>
                <w:rFonts w:cs="Arial"/>
                <w:lang w:eastAsia="en-AU"/>
              </w:rPr>
            </w:pPr>
            <w:r w:rsidRPr="001202B5">
              <w:rPr>
                <w:rFonts w:cs="Arial"/>
                <w:lang w:eastAsia="en-AU"/>
              </w:rPr>
              <w:t xml:space="preserve">Chemotherapy / </w:t>
            </w:r>
            <w:r w:rsidR="00A144F1">
              <w:rPr>
                <w:rFonts w:cs="Arial"/>
                <w:lang w:eastAsia="en-AU"/>
              </w:rPr>
              <w:t>t</w:t>
            </w:r>
            <w:r w:rsidRPr="001202B5">
              <w:rPr>
                <w:rFonts w:cs="Arial"/>
                <w:lang w:eastAsia="en-AU"/>
              </w:rPr>
              <w:t xml:space="preserve">argeted therapy </w:t>
            </w:r>
          </w:p>
        </w:tc>
        <w:tc>
          <w:tcPr>
            <w:tcW w:w="834" w:type="pct"/>
            <w:shd w:val="clear" w:color="auto" w:fill="D9D9D9" w:themeFill="background1" w:themeFillShade="D9"/>
            <w:noWrap/>
          </w:tcPr>
          <w:p w14:paraId="70A941A8" w14:textId="77777777" w:rsidR="0090528B" w:rsidRPr="001202B5" w:rsidRDefault="0090528B" w:rsidP="00380AD2">
            <w:pPr>
              <w:pStyle w:val="DHHStabletext"/>
              <w:jc w:val="right"/>
              <w:rPr>
                <w:rFonts w:cs="Arial"/>
                <w:lang w:eastAsia="en-AU"/>
              </w:rPr>
            </w:pPr>
            <w:r w:rsidRPr="001202B5">
              <w:rPr>
                <w:rFonts w:cs="Arial"/>
                <w:color w:val="000000"/>
              </w:rPr>
              <w:t>63 (29%)</w:t>
            </w:r>
          </w:p>
        </w:tc>
        <w:tc>
          <w:tcPr>
            <w:tcW w:w="744" w:type="pct"/>
            <w:shd w:val="clear" w:color="auto" w:fill="D9D9D9" w:themeFill="background1" w:themeFillShade="D9"/>
            <w:noWrap/>
          </w:tcPr>
          <w:p w14:paraId="2848BD59" w14:textId="77777777" w:rsidR="0090528B" w:rsidRPr="001202B5" w:rsidRDefault="0090528B" w:rsidP="00380AD2">
            <w:pPr>
              <w:pStyle w:val="DHHStabletext"/>
              <w:jc w:val="right"/>
              <w:rPr>
                <w:rFonts w:cs="Arial"/>
                <w:lang w:eastAsia="en-AU"/>
              </w:rPr>
            </w:pPr>
            <w:r w:rsidRPr="001202B5">
              <w:rPr>
                <w:rFonts w:cs="Arial"/>
                <w:color w:val="000000"/>
              </w:rPr>
              <w:t>14 (27%)</w:t>
            </w:r>
          </w:p>
        </w:tc>
        <w:tc>
          <w:tcPr>
            <w:tcW w:w="633" w:type="pct"/>
            <w:vMerge/>
            <w:shd w:val="clear" w:color="auto" w:fill="auto"/>
            <w:noWrap/>
          </w:tcPr>
          <w:p w14:paraId="0994C7CB" w14:textId="77777777" w:rsidR="0090528B" w:rsidRPr="001202B5" w:rsidRDefault="0090528B" w:rsidP="00380AD2">
            <w:pPr>
              <w:pStyle w:val="DHHStabletext"/>
              <w:jc w:val="right"/>
              <w:rPr>
                <w:rFonts w:cs="Arial"/>
                <w:lang w:eastAsia="en-AU"/>
              </w:rPr>
            </w:pPr>
          </w:p>
        </w:tc>
      </w:tr>
      <w:tr w:rsidR="0090528B" w:rsidRPr="00CF415C" w14:paraId="2DF5DBDB" w14:textId="77777777" w:rsidTr="00B12671">
        <w:trPr>
          <w:trHeight w:val="300"/>
        </w:trPr>
        <w:tc>
          <w:tcPr>
            <w:tcW w:w="893" w:type="pct"/>
            <w:vMerge/>
            <w:shd w:val="clear" w:color="auto" w:fill="auto"/>
            <w:noWrap/>
            <w:vAlign w:val="bottom"/>
            <w:hideMark/>
          </w:tcPr>
          <w:p w14:paraId="340C95CA"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61DB2A6A" w14:textId="77777777" w:rsidR="0090528B" w:rsidRPr="001202B5" w:rsidRDefault="0090528B" w:rsidP="00F0776E">
            <w:pPr>
              <w:pStyle w:val="DHHStabletext"/>
              <w:rPr>
                <w:rFonts w:cs="Arial"/>
                <w:lang w:eastAsia="en-AU"/>
              </w:rPr>
            </w:pPr>
            <w:r w:rsidRPr="001202B5">
              <w:rPr>
                <w:rFonts w:cs="Arial"/>
                <w:lang w:eastAsia="en-AU"/>
              </w:rPr>
              <w:t>Endoscopic mucosal resection</w:t>
            </w:r>
          </w:p>
        </w:tc>
        <w:tc>
          <w:tcPr>
            <w:tcW w:w="834" w:type="pct"/>
            <w:shd w:val="clear" w:color="auto" w:fill="D9D9D9" w:themeFill="background1" w:themeFillShade="D9"/>
            <w:noWrap/>
          </w:tcPr>
          <w:p w14:paraId="2FF72204" w14:textId="77777777" w:rsidR="0090528B" w:rsidRPr="001202B5" w:rsidRDefault="0090528B" w:rsidP="00380AD2">
            <w:pPr>
              <w:pStyle w:val="DHHStabletext"/>
              <w:jc w:val="right"/>
              <w:rPr>
                <w:rFonts w:cs="Arial"/>
                <w:lang w:eastAsia="en-AU"/>
              </w:rPr>
            </w:pPr>
            <w:r w:rsidRPr="001202B5">
              <w:rPr>
                <w:rFonts w:cs="Arial"/>
                <w:color w:val="000000"/>
              </w:rPr>
              <w:t>9 (4%)</w:t>
            </w:r>
          </w:p>
        </w:tc>
        <w:tc>
          <w:tcPr>
            <w:tcW w:w="744" w:type="pct"/>
            <w:shd w:val="clear" w:color="auto" w:fill="D9D9D9" w:themeFill="background1" w:themeFillShade="D9"/>
            <w:noWrap/>
          </w:tcPr>
          <w:p w14:paraId="36E0B072" w14:textId="77777777" w:rsidR="0090528B" w:rsidRPr="001202B5" w:rsidRDefault="0090528B" w:rsidP="00380AD2">
            <w:pPr>
              <w:pStyle w:val="DHHStabletext"/>
              <w:jc w:val="right"/>
              <w:rPr>
                <w:rFonts w:cs="Arial"/>
                <w:lang w:eastAsia="en-AU"/>
              </w:rPr>
            </w:pPr>
            <w:r w:rsidRPr="001202B5">
              <w:rPr>
                <w:rFonts w:cs="Arial"/>
                <w:color w:val="000000"/>
              </w:rPr>
              <w:t>2 (4%)</w:t>
            </w:r>
          </w:p>
        </w:tc>
        <w:tc>
          <w:tcPr>
            <w:tcW w:w="633" w:type="pct"/>
            <w:vMerge/>
            <w:shd w:val="clear" w:color="auto" w:fill="auto"/>
            <w:noWrap/>
          </w:tcPr>
          <w:p w14:paraId="64DDD9B5" w14:textId="77777777" w:rsidR="0090528B" w:rsidRPr="001202B5" w:rsidRDefault="0090528B" w:rsidP="00380AD2">
            <w:pPr>
              <w:pStyle w:val="DHHStabletext"/>
              <w:jc w:val="right"/>
              <w:rPr>
                <w:rFonts w:cs="Arial"/>
                <w:lang w:eastAsia="en-AU"/>
              </w:rPr>
            </w:pPr>
          </w:p>
        </w:tc>
      </w:tr>
      <w:tr w:rsidR="0090528B" w:rsidRPr="00CF415C" w14:paraId="6F00906D" w14:textId="77777777" w:rsidTr="00B12671">
        <w:trPr>
          <w:trHeight w:val="300"/>
        </w:trPr>
        <w:tc>
          <w:tcPr>
            <w:tcW w:w="893" w:type="pct"/>
            <w:vMerge/>
            <w:shd w:val="clear" w:color="auto" w:fill="auto"/>
            <w:noWrap/>
            <w:vAlign w:val="bottom"/>
            <w:hideMark/>
          </w:tcPr>
          <w:p w14:paraId="4C003800"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hideMark/>
          </w:tcPr>
          <w:p w14:paraId="3F7130DE" w14:textId="77777777" w:rsidR="0090528B" w:rsidRPr="001202B5" w:rsidRDefault="0090528B" w:rsidP="00F0776E">
            <w:pPr>
              <w:pStyle w:val="DHHStabletext"/>
              <w:rPr>
                <w:rFonts w:cs="Arial"/>
                <w:lang w:eastAsia="en-AU"/>
              </w:rPr>
            </w:pPr>
            <w:r w:rsidRPr="001202B5">
              <w:rPr>
                <w:rFonts w:cs="Arial"/>
                <w:lang w:eastAsia="en-AU"/>
              </w:rPr>
              <w:t>Gastrectomy</w:t>
            </w:r>
          </w:p>
        </w:tc>
        <w:tc>
          <w:tcPr>
            <w:tcW w:w="834" w:type="pct"/>
            <w:shd w:val="clear" w:color="auto" w:fill="D9D9D9" w:themeFill="background1" w:themeFillShade="D9"/>
            <w:noWrap/>
          </w:tcPr>
          <w:p w14:paraId="746C7875" w14:textId="77777777" w:rsidR="0090528B" w:rsidRPr="001202B5" w:rsidRDefault="0090528B" w:rsidP="00380AD2">
            <w:pPr>
              <w:pStyle w:val="DHHStabletext"/>
              <w:jc w:val="right"/>
              <w:rPr>
                <w:rFonts w:cs="Arial"/>
                <w:lang w:eastAsia="en-AU"/>
              </w:rPr>
            </w:pPr>
            <w:r w:rsidRPr="001202B5">
              <w:rPr>
                <w:rFonts w:cs="Arial"/>
                <w:color w:val="000000"/>
              </w:rPr>
              <w:t>40 (18%)</w:t>
            </w:r>
          </w:p>
        </w:tc>
        <w:tc>
          <w:tcPr>
            <w:tcW w:w="744" w:type="pct"/>
            <w:shd w:val="clear" w:color="auto" w:fill="D9D9D9" w:themeFill="background1" w:themeFillShade="D9"/>
            <w:noWrap/>
          </w:tcPr>
          <w:p w14:paraId="0056091C" w14:textId="77777777" w:rsidR="0090528B" w:rsidRPr="001202B5" w:rsidRDefault="0090528B" w:rsidP="00380AD2">
            <w:pPr>
              <w:pStyle w:val="DHHStabletext"/>
              <w:jc w:val="right"/>
              <w:rPr>
                <w:rFonts w:cs="Arial"/>
                <w:lang w:eastAsia="en-AU"/>
              </w:rPr>
            </w:pPr>
            <w:r w:rsidRPr="001202B5">
              <w:rPr>
                <w:rFonts w:cs="Arial"/>
                <w:color w:val="000000"/>
              </w:rPr>
              <w:t>1 (2%)</w:t>
            </w:r>
          </w:p>
        </w:tc>
        <w:tc>
          <w:tcPr>
            <w:tcW w:w="633" w:type="pct"/>
            <w:vMerge/>
            <w:shd w:val="clear" w:color="auto" w:fill="auto"/>
            <w:noWrap/>
          </w:tcPr>
          <w:p w14:paraId="7FA81A29" w14:textId="77777777" w:rsidR="0090528B" w:rsidRPr="001202B5" w:rsidRDefault="0090528B" w:rsidP="00380AD2">
            <w:pPr>
              <w:pStyle w:val="DHHStabletext"/>
              <w:jc w:val="right"/>
              <w:rPr>
                <w:rFonts w:cs="Arial"/>
                <w:lang w:eastAsia="en-AU"/>
              </w:rPr>
            </w:pPr>
          </w:p>
        </w:tc>
      </w:tr>
      <w:tr w:rsidR="0090528B" w:rsidRPr="00CF415C" w14:paraId="72BF5158" w14:textId="77777777" w:rsidTr="00B12671">
        <w:trPr>
          <w:trHeight w:val="300"/>
        </w:trPr>
        <w:tc>
          <w:tcPr>
            <w:tcW w:w="893" w:type="pct"/>
            <w:vMerge/>
            <w:shd w:val="clear" w:color="auto" w:fill="auto"/>
            <w:noWrap/>
            <w:vAlign w:val="bottom"/>
            <w:hideMark/>
          </w:tcPr>
          <w:p w14:paraId="03B1A5A7"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512CBB7A" w14:textId="77777777" w:rsidR="0090528B" w:rsidRPr="001202B5" w:rsidRDefault="0090528B" w:rsidP="00F0776E">
            <w:pPr>
              <w:pStyle w:val="DHHStabletext"/>
              <w:rPr>
                <w:rFonts w:cs="Arial"/>
                <w:lang w:eastAsia="en-AU"/>
              </w:rPr>
            </w:pPr>
            <w:proofErr w:type="spellStart"/>
            <w:r w:rsidRPr="001202B5">
              <w:rPr>
                <w:rFonts w:cs="Arial"/>
                <w:lang w:eastAsia="en-AU"/>
              </w:rPr>
              <w:t>Oesophagectomy</w:t>
            </w:r>
            <w:proofErr w:type="spellEnd"/>
            <w:r w:rsidRPr="001202B5">
              <w:rPr>
                <w:rFonts w:cs="Arial"/>
                <w:lang w:eastAsia="en-AU"/>
              </w:rPr>
              <w:t xml:space="preserve"> </w:t>
            </w:r>
          </w:p>
        </w:tc>
        <w:tc>
          <w:tcPr>
            <w:tcW w:w="834" w:type="pct"/>
            <w:shd w:val="clear" w:color="auto" w:fill="D9D9D9" w:themeFill="background1" w:themeFillShade="D9"/>
            <w:noWrap/>
          </w:tcPr>
          <w:p w14:paraId="3C211FEC" w14:textId="77777777" w:rsidR="0090528B" w:rsidRPr="001202B5" w:rsidRDefault="0090528B" w:rsidP="00380AD2">
            <w:pPr>
              <w:pStyle w:val="DHHStabletext"/>
              <w:jc w:val="right"/>
              <w:rPr>
                <w:rFonts w:cs="Arial"/>
                <w:lang w:eastAsia="en-AU"/>
              </w:rPr>
            </w:pPr>
            <w:r w:rsidRPr="001202B5">
              <w:rPr>
                <w:rFonts w:cs="Arial"/>
                <w:color w:val="000000"/>
              </w:rPr>
              <w:t>5 (2%)</w:t>
            </w:r>
          </w:p>
        </w:tc>
        <w:tc>
          <w:tcPr>
            <w:tcW w:w="744" w:type="pct"/>
            <w:shd w:val="clear" w:color="auto" w:fill="D9D9D9" w:themeFill="background1" w:themeFillShade="D9"/>
            <w:noWrap/>
          </w:tcPr>
          <w:p w14:paraId="5DD26A16" w14:textId="77777777" w:rsidR="0090528B" w:rsidRPr="001202B5" w:rsidRDefault="0090528B" w:rsidP="00380AD2">
            <w:pPr>
              <w:pStyle w:val="DHHStabletext"/>
              <w:jc w:val="right"/>
              <w:rPr>
                <w:rFonts w:cs="Arial"/>
                <w:lang w:eastAsia="en-AU"/>
              </w:rPr>
            </w:pPr>
            <w:r w:rsidRPr="001202B5">
              <w:rPr>
                <w:rFonts w:cs="Arial"/>
                <w:color w:val="000000"/>
              </w:rPr>
              <w:t>0 (0%)</w:t>
            </w:r>
          </w:p>
        </w:tc>
        <w:tc>
          <w:tcPr>
            <w:tcW w:w="633" w:type="pct"/>
            <w:vMerge/>
            <w:shd w:val="clear" w:color="auto" w:fill="auto"/>
            <w:noWrap/>
          </w:tcPr>
          <w:p w14:paraId="6C3CC786" w14:textId="77777777" w:rsidR="0090528B" w:rsidRPr="001202B5" w:rsidRDefault="0090528B" w:rsidP="00380AD2">
            <w:pPr>
              <w:pStyle w:val="DHHStabletext"/>
              <w:jc w:val="right"/>
              <w:rPr>
                <w:rFonts w:cs="Arial"/>
                <w:lang w:eastAsia="en-AU"/>
              </w:rPr>
            </w:pPr>
          </w:p>
        </w:tc>
      </w:tr>
      <w:tr w:rsidR="0090528B" w:rsidRPr="00CF415C" w14:paraId="502281A0" w14:textId="77777777" w:rsidTr="00B12671">
        <w:trPr>
          <w:trHeight w:val="300"/>
        </w:trPr>
        <w:tc>
          <w:tcPr>
            <w:tcW w:w="893" w:type="pct"/>
            <w:vMerge/>
            <w:shd w:val="clear" w:color="auto" w:fill="auto"/>
            <w:noWrap/>
            <w:vAlign w:val="bottom"/>
            <w:hideMark/>
          </w:tcPr>
          <w:p w14:paraId="30A08BF0"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1A25507B" w14:textId="77777777" w:rsidR="0090528B" w:rsidRPr="001202B5" w:rsidRDefault="0090528B" w:rsidP="00F0776E">
            <w:pPr>
              <w:pStyle w:val="DHHStabletext"/>
              <w:rPr>
                <w:rFonts w:cs="Arial"/>
                <w:lang w:eastAsia="en-AU"/>
              </w:rPr>
            </w:pPr>
            <w:r w:rsidRPr="001202B5">
              <w:rPr>
                <w:rFonts w:cs="Arial"/>
                <w:lang w:eastAsia="en-AU"/>
              </w:rPr>
              <w:t>Radiotherapy</w:t>
            </w:r>
          </w:p>
        </w:tc>
        <w:tc>
          <w:tcPr>
            <w:tcW w:w="834" w:type="pct"/>
            <w:shd w:val="clear" w:color="auto" w:fill="D9D9D9" w:themeFill="background1" w:themeFillShade="D9"/>
            <w:noWrap/>
          </w:tcPr>
          <w:p w14:paraId="248D2D71" w14:textId="77777777" w:rsidR="0090528B" w:rsidRPr="001202B5" w:rsidRDefault="0090528B" w:rsidP="00380AD2">
            <w:pPr>
              <w:pStyle w:val="DHHStabletext"/>
              <w:jc w:val="right"/>
              <w:rPr>
                <w:rFonts w:cs="Arial"/>
                <w:lang w:eastAsia="en-AU"/>
              </w:rPr>
            </w:pPr>
            <w:r w:rsidRPr="001202B5">
              <w:rPr>
                <w:rFonts w:cs="Arial"/>
                <w:color w:val="000000"/>
              </w:rPr>
              <w:t>15 (7%)</w:t>
            </w:r>
          </w:p>
        </w:tc>
        <w:tc>
          <w:tcPr>
            <w:tcW w:w="744" w:type="pct"/>
            <w:shd w:val="clear" w:color="auto" w:fill="D9D9D9" w:themeFill="background1" w:themeFillShade="D9"/>
            <w:noWrap/>
          </w:tcPr>
          <w:p w14:paraId="571508B6" w14:textId="77777777" w:rsidR="0090528B" w:rsidRPr="001202B5" w:rsidRDefault="0090528B" w:rsidP="00380AD2">
            <w:pPr>
              <w:pStyle w:val="DHHStabletext"/>
              <w:jc w:val="right"/>
              <w:rPr>
                <w:rFonts w:cs="Arial"/>
                <w:lang w:eastAsia="en-AU"/>
              </w:rPr>
            </w:pPr>
            <w:r w:rsidRPr="001202B5">
              <w:rPr>
                <w:rFonts w:cs="Arial"/>
                <w:color w:val="000000"/>
              </w:rPr>
              <w:t>5 (10%)</w:t>
            </w:r>
          </w:p>
        </w:tc>
        <w:tc>
          <w:tcPr>
            <w:tcW w:w="633" w:type="pct"/>
            <w:vMerge/>
            <w:shd w:val="clear" w:color="auto" w:fill="auto"/>
            <w:noWrap/>
          </w:tcPr>
          <w:p w14:paraId="5CFC24F4" w14:textId="77777777" w:rsidR="0090528B" w:rsidRPr="001202B5" w:rsidRDefault="0090528B" w:rsidP="00380AD2">
            <w:pPr>
              <w:pStyle w:val="DHHStabletext"/>
              <w:jc w:val="right"/>
              <w:rPr>
                <w:rFonts w:cs="Arial"/>
                <w:lang w:eastAsia="en-AU"/>
              </w:rPr>
            </w:pPr>
          </w:p>
        </w:tc>
      </w:tr>
      <w:tr w:rsidR="0090528B" w:rsidRPr="00CF415C" w14:paraId="7143D8BE" w14:textId="77777777" w:rsidTr="00B12671">
        <w:trPr>
          <w:trHeight w:val="300"/>
        </w:trPr>
        <w:tc>
          <w:tcPr>
            <w:tcW w:w="893" w:type="pct"/>
            <w:vMerge/>
            <w:shd w:val="clear" w:color="auto" w:fill="auto"/>
            <w:noWrap/>
            <w:vAlign w:val="bottom"/>
            <w:hideMark/>
          </w:tcPr>
          <w:p w14:paraId="56D3C0EC"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149D09DC" w14:textId="77777777" w:rsidR="0090528B" w:rsidRPr="001202B5" w:rsidRDefault="0090528B" w:rsidP="00F0776E">
            <w:pPr>
              <w:pStyle w:val="DHHStabletext"/>
              <w:rPr>
                <w:rFonts w:cs="Arial"/>
                <w:lang w:eastAsia="en-AU"/>
              </w:rPr>
            </w:pPr>
            <w:r w:rsidRPr="001202B5">
              <w:rPr>
                <w:rFonts w:cs="Arial"/>
                <w:lang w:eastAsia="en-AU"/>
              </w:rPr>
              <w:t>None of the above</w:t>
            </w:r>
          </w:p>
        </w:tc>
        <w:tc>
          <w:tcPr>
            <w:tcW w:w="834" w:type="pct"/>
            <w:shd w:val="clear" w:color="auto" w:fill="D9D9D9" w:themeFill="background1" w:themeFillShade="D9"/>
            <w:noWrap/>
          </w:tcPr>
          <w:p w14:paraId="678FF484" w14:textId="77777777" w:rsidR="0090528B" w:rsidRPr="001202B5" w:rsidRDefault="0090528B" w:rsidP="00380AD2">
            <w:pPr>
              <w:pStyle w:val="DHHStabletext"/>
              <w:jc w:val="right"/>
              <w:rPr>
                <w:rFonts w:cs="Arial"/>
                <w:lang w:eastAsia="en-AU"/>
              </w:rPr>
            </w:pPr>
            <w:r w:rsidRPr="001202B5">
              <w:rPr>
                <w:rFonts w:cs="Arial"/>
                <w:color w:val="000000"/>
              </w:rPr>
              <w:t>43 (20%)</w:t>
            </w:r>
          </w:p>
        </w:tc>
        <w:tc>
          <w:tcPr>
            <w:tcW w:w="744" w:type="pct"/>
            <w:shd w:val="clear" w:color="auto" w:fill="D9D9D9" w:themeFill="background1" w:themeFillShade="D9"/>
            <w:noWrap/>
          </w:tcPr>
          <w:p w14:paraId="18A4639E" w14:textId="77777777" w:rsidR="0090528B" w:rsidRPr="001202B5" w:rsidRDefault="0090528B" w:rsidP="00380AD2">
            <w:pPr>
              <w:pStyle w:val="DHHStabletext"/>
              <w:jc w:val="right"/>
              <w:rPr>
                <w:rFonts w:cs="Arial"/>
                <w:lang w:eastAsia="en-AU"/>
              </w:rPr>
            </w:pPr>
            <w:r w:rsidRPr="001202B5">
              <w:rPr>
                <w:rFonts w:cs="Arial"/>
                <w:color w:val="000000"/>
              </w:rPr>
              <w:t>22 (43%)</w:t>
            </w:r>
          </w:p>
        </w:tc>
        <w:tc>
          <w:tcPr>
            <w:tcW w:w="633" w:type="pct"/>
            <w:vMerge/>
            <w:shd w:val="clear" w:color="auto" w:fill="auto"/>
            <w:noWrap/>
          </w:tcPr>
          <w:p w14:paraId="758E5AF1" w14:textId="77777777" w:rsidR="0090528B" w:rsidRPr="001202B5" w:rsidRDefault="0090528B" w:rsidP="00380AD2">
            <w:pPr>
              <w:pStyle w:val="DHHStabletext"/>
              <w:jc w:val="right"/>
              <w:rPr>
                <w:rFonts w:cs="Arial"/>
                <w:lang w:eastAsia="en-AU"/>
              </w:rPr>
            </w:pPr>
          </w:p>
        </w:tc>
      </w:tr>
      <w:tr w:rsidR="0090528B" w:rsidRPr="00CF415C" w14:paraId="10454EE8" w14:textId="77777777" w:rsidTr="00B12671">
        <w:trPr>
          <w:trHeight w:val="300"/>
        </w:trPr>
        <w:tc>
          <w:tcPr>
            <w:tcW w:w="893" w:type="pct"/>
            <w:vMerge/>
            <w:shd w:val="clear" w:color="auto" w:fill="auto"/>
            <w:noWrap/>
            <w:vAlign w:val="bottom"/>
            <w:hideMark/>
          </w:tcPr>
          <w:p w14:paraId="52DEE157"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4B77AB3C" w14:textId="77777777" w:rsidR="0090528B" w:rsidRPr="001202B5" w:rsidRDefault="0090528B" w:rsidP="00F0776E">
            <w:pPr>
              <w:pStyle w:val="DHHStabletext"/>
              <w:rPr>
                <w:rFonts w:cs="Arial"/>
                <w:lang w:eastAsia="en-AU"/>
              </w:rPr>
            </w:pPr>
            <w:r w:rsidRPr="001202B5">
              <w:rPr>
                <w:rFonts w:cs="Arial"/>
                <w:lang w:eastAsia="en-AU"/>
              </w:rPr>
              <w:t>Unknown</w:t>
            </w:r>
          </w:p>
        </w:tc>
        <w:tc>
          <w:tcPr>
            <w:tcW w:w="834" w:type="pct"/>
            <w:shd w:val="clear" w:color="auto" w:fill="D9D9D9" w:themeFill="background1" w:themeFillShade="D9"/>
            <w:noWrap/>
          </w:tcPr>
          <w:p w14:paraId="48F0F476" w14:textId="77777777" w:rsidR="0090528B" w:rsidRPr="001202B5" w:rsidRDefault="0090528B" w:rsidP="00380AD2">
            <w:pPr>
              <w:pStyle w:val="DHHStabletext"/>
              <w:jc w:val="right"/>
              <w:rPr>
                <w:rFonts w:cs="Arial"/>
                <w:lang w:eastAsia="en-AU"/>
              </w:rPr>
            </w:pPr>
            <w:r w:rsidRPr="001202B5">
              <w:rPr>
                <w:rFonts w:cs="Arial"/>
                <w:color w:val="000000"/>
              </w:rPr>
              <w:t>2 (1%)</w:t>
            </w:r>
          </w:p>
        </w:tc>
        <w:tc>
          <w:tcPr>
            <w:tcW w:w="744" w:type="pct"/>
            <w:shd w:val="clear" w:color="auto" w:fill="D9D9D9" w:themeFill="background1" w:themeFillShade="D9"/>
            <w:noWrap/>
          </w:tcPr>
          <w:p w14:paraId="5EDF40A3" w14:textId="77777777" w:rsidR="0090528B" w:rsidRPr="001202B5" w:rsidRDefault="0090528B" w:rsidP="00380AD2">
            <w:pPr>
              <w:pStyle w:val="DHHStabletext"/>
              <w:jc w:val="right"/>
              <w:rPr>
                <w:rFonts w:cs="Arial"/>
                <w:lang w:eastAsia="en-AU"/>
              </w:rPr>
            </w:pPr>
            <w:r w:rsidRPr="001202B5">
              <w:rPr>
                <w:rFonts w:cs="Arial"/>
                <w:color w:val="000000"/>
              </w:rPr>
              <w:t>3 (6%)</w:t>
            </w:r>
          </w:p>
        </w:tc>
        <w:tc>
          <w:tcPr>
            <w:tcW w:w="633" w:type="pct"/>
            <w:vMerge/>
            <w:shd w:val="clear" w:color="auto" w:fill="auto"/>
            <w:noWrap/>
          </w:tcPr>
          <w:p w14:paraId="35BF8B07" w14:textId="77777777" w:rsidR="0090528B" w:rsidRPr="001202B5" w:rsidRDefault="0090528B" w:rsidP="00380AD2">
            <w:pPr>
              <w:pStyle w:val="DHHStabletext"/>
              <w:jc w:val="right"/>
              <w:rPr>
                <w:rFonts w:cs="Arial"/>
                <w:lang w:eastAsia="en-AU"/>
              </w:rPr>
            </w:pPr>
          </w:p>
        </w:tc>
      </w:tr>
      <w:tr w:rsidR="0090528B" w:rsidRPr="00CF415C" w14:paraId="2C92607B" w14:textId="77777777" w:rsidTr="00B12671">
        <w:trPr>
          <w:trHeight w:val="300"/>
        </w:trPr>
        <w:tc>
          <w:tcPr>
            <w:tcW w:w="893" w:type="pct"/>
            <w:vMerge/>
            <w:shd w:val="clear" w:color="auto" w:fill="auto"/>
            <w:noWrap/>
            <w:vAlign w:val="bottom"/>
            <w:hideMark/>
          </w:tcPr>
          <w:p w14:paraId="4DF0D912"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2BC4699F" w14:textId="3AE52B5E" w:rsidR="0090528B" w:rsidRPr="001202B5" w:rsidRDefault="009167E7">
            <w:pPr>
              <w:pStyle w:val="DHHStabletext"/>
              <w:rPr>
                <w:rFonts w:cs="Arial"/>
                <w:lang w:eastAsia="en-AU"/>
              </w:rPr>
            </w:pPr>
            <w:r>
              <w:rPr>
                <w:rFonts w:cs="Arial"/>
                <w:lang w:eastAsia="en-AU"/>
              </w:rPr>
              <w:t>Missing data**</w:t>
            </w:r>
          </w:p>
        </w:tc>
        <w:tc>
          <w:tcPr>
            <w:tcW w:w="834" w:type="pct"/>
            <w:shd w:val="clear" w:color="auto" w:fill="D9D9D9" w:themeFill="background1" w:themeFillShade="D9"/>
            <w:noWrap/>
          </w:tcPr>
          <w:p w14:paraId="2914C9B0" w14:textId="77777777" w:rsidR="0090528B" w:rsidRPr="001202B5" w:rsidRDefault="0090528B" w:rsidP="00380AD2">
            <w:pPr>
              <w:pStyle w:val="DHHStabletext"/>
              <w:jc w:val="right"/>
              <w:rPr>
                <w:rFonts w:cs="Arial"/>
                <w:lang w:eastAsia="en-AU"/>
              </w:rPr>
            </w:pPr>
            <w:r w:rsidRPr="001202B5">
              <w:rPr>
                <w:rFonts w:cs="Arial"/>
                <w:color w:val="000000"/>
              </w:rPr>
              <w:t>2 (1%)</w:t>
            </w:r>
          </w:p>
        </w:tc>
        <w:tc>
          <w:tcPr>
            <w:tcW w:w="744" w:type="pct"/>
            <w:shd w:val="clear" w:color="auto" w:fill="D9D9D9" w:themeFill="background1" w:themeFillShade="D9"/>
            <w:noWrap/>
          </w:tcPr>
          <w:p w14:paraId="1D8A1F02" w14:textId="77777777" w:rsidR="0090528B" w:rsidRPr="001202B5" w:rsidRDefault="0090528B" w:rsidP="00380AD2">
            <w:pPr>
              <w:pStyle w:val="DHHStabletext"/>
              <w:jc w:val="right"/>
              <w:rPr>
                <w:rFonts w:cs="Arial"/>
                <w:lang w:eastAsia="en-AU"/>
              </w:rPr>
            </w:pPr>
            <w:r w:rsidRPr="001202B5">
              <w:rPr>
                <w:rFonts w:cs="Arial"/>
                <w:color w:val="000000"/>
              </w:rPr>
              <w:t>0 (0%)</w:t>
            </w:r>
          </w:p>
        </w:tc>
        <w:tc>
          <w:tcPr>
            <w:tcW w:w="633" w:type="pct"/>
            <w:vMerge/>
            <w:shd w:val="clear" w:color="auto" w:fill="auto"/>
            <w:noWrap/>
          </w:tcPr>
          <w:p w14:paraId="56D460CC" w14:textId="77777777" w:rsidR="0090528B" w:rsidRPr="001202B5" w:rsidRDefault="0090528B" w:rsidP="00380AD2">
            <w:pPr>
              <w:pStyle w:val="DHHStabletext"/>
              <w:jc w:val="right"/>
              <w:rPr>
                <w:rFonts w:cs="Arial"/>
                <w:lang w:eastAsia="en-AU"/>
              </w:rPr>
            </w:pPr>
          </w:p>
        </w:tc>
      </w:tr>
      <w:tr w:rsidR="0090528B" w:rsidRPr="00CF415C" w14:paraId="39468D4C" w14:textId="77777777" w:rsidTr="00380AD2">
        <w:trPr>
          <w:trHeight w:val="300"/>
        </w:trPr>
        <w:tc>
          <w:tcPr>
            <w:tcW w:w="893" w:type="pct"/>
            <w:vMerge w:val="restart"/>
            <w:shd w:val="clear" w:color="auto" w:fill="auto"/>
            <w:noWrap/>
          </w:tcPr>
          <w:p w14:paraId="068C1785" w14:textId="04BD8C85" w:rsidR="0090528B" w:rsidRPr="006B6128" w:rsidRDefault="0090528B" w:rsidP="00F0776E">
            <w:pPr>
              <w:pStyle w:val="DHHStabletext"/>
              <w:rPr>
                <w:lang w:eastAsia="en-AU"/>
              </w:rPr>
            </w:pPr>
            <w:r w:rsidRPr="006B6128">
              <w:rPr>
                <w:lang w:eastAsia="en-AU"/>
              </w:rPr>
              <w:t>Source of referral to audited campus</w:t>
            </w:r>
          </w:p>
        </w:tc>
        <w:tc>
          <w:tcPr>
            <w:tcW w:w="1896" w:type="pct"/>
            <w:shd w:val="clear" w:color="auto" w:fill="auto"/>
            <w:noWrap/>
            <w:vAlign w:val="bottom"/>
          </w:tcPr>
          <w:p w14:paraId="476EEBB5" w14:textId="76C475D9" w:rsidR="0090528B" w:rsidRPr="001202B5" w:rsidRDefault="00C82FC3" w:rsidP="00C829DD">
            <w:pPr>
              <w:pStyle w:val="DHHStabletext"/>
              <w:rPr>
                <w:rFonts w:cs="Arial"/>
                <w:lang w:eastAsia="en-AU"/>
              </w:rPr>
            </w:pPr>
            <w:r w:rsidRPr="001202B5">
              <w:rPr>
                <w:rFonts w:cs="Arial"/>
                <w:lang w:eastAsia="en-AU"/>
              </w:rPr>
              <w:t>G</w:t>
            </w:r>
            <w:r>
              <w:rPr>
                <w:rFonts w:cs="Arial"/>
                <w:lang w:eastAsia="en-AU"/>
              </w:rPr>
              <w:t>eneral practitioner</w:t>
            </w:r>
          </w:p>
        </w:tc>
        <w:tc>
          <w:tcPr>
            <w:tcW w:w="834" w:type="pct"/>
            <w:shd w:val="clear" w:color="auto" w:fill="auto"/>
            <w:noWrap/>
          </w:tcPr>
          <w:p w14:paraId="055566E8" w14:textId="77777777" w:rsidR="0090528B" w:rsidRPr="001202B5" w:rsidRDefault="0090528B" w:rsidP="00380AD2">
            <w:pPr>
              <w:pStyle w:val="DHHStabletext"/>
              <w:jc w:val="right"/>
              <w:rPr>
                <w:rFonts w:cs="Arial"/>
                <w:lang w:eastAsia="en-AU"/>
              </w:rPr>
            </w:pPr>
            <w:r w:rsidRPr="001202B5">
              <w:rPr>
                <w:rFonts w:cs="Arial"/>
                <w:color w:val="000000"/>
              </w:rPr>
              <w:t>77 (35%)</w:t>
            </w:r>
          </w:p>
        </w:tc>
        <w:tc>
          <w:tcPr>
            <w:tcW w:w="744" w:type="pct"/>
            <w:shd w:val="clear" w:color="auto" w:fill="auto"/>
            <w:noWrap/>
          </w:tcPr>
          <w:p w14:paraId="38599831" w14:textId="77777777" w:rsidR="0090528B" w:rsidRPr="001202B5" w:rsidRDefault="0090528B" w:rsidP="00380AD2">
            <w:pPr>
              <w:pStyle w:val="DHHStabletext"/>
              <w:jc w:val="right"/>
              <w:rPr>
                <w:rFonts w:cs="Arial"/>
                <w:lang w:eastAsia="en-AU"/>
              </w:rPr>
            </w:pPr>
            <w:r w:rsidRPr="001202B5">
              <w:rPr>
                <w:rFonts w:cs="Arial"/>
                <w:color w:val="000000"/>
              </w:rPr>
              <w:t>12 (24%)</w:t>
            </w:r>
          </w:p>
        </w:tc>
        <w:tc>
          <w:tcPr>
            <w:tcW w:w="633" w:type="pct"/>
            <w:vMerge w:val="restart"/>
            <w:shd w:val="clear" w:color="auto" w:fill="auto"/>
            <w:noWrap/>
          </w:tcPr>
          <w:p w14:paraId="60305555" w14:textId="77777777" w:rsidR="0090528B" w:rsidRPr="001202B5" w:rsidRDefault="0090528B" w:rsidP="00380AD2">
            <w:pPr>
              <w:pStyle w:val="DHHStabletext"/>
              <w:jc w:val="right"/>
              <w:rPr>
                <w:rFonts w:cs="Arial"/>
                <w:lang w:eastAsia="en-AU"/>
              </w:rPr>
            </w:pPr>
            <w:r w:rsidRPr="001202B5">
              <w:rPr>
                <w:rFonts w:cs="Arial"/>
                <w:color w:val="000000"/>
              </w:rPr>
              <w:t>0.044</w:t>
            </w:r>
          </w:p>
        </w:tc>
      </w:tr>
      <w:tr w:rsidR="0090528B" w:rsidRPr="00CF415C" w14:paraId="4EEA65B3" w14:textId="77777777" w:rsidTr="00380AD2">
        <w:trPr>
          <w:trHeight w:val="300"/>
        </w:trPr>
        <w:tc>
          <w:tcPr>
            <w:tcW w:w="893" w:type="pct"/>
            <w:vMerge/>
            <w:shd w:val="clear" w:color="auto" w:fill="auto"/>
            <w:noWrap/>
            <w:vAlign w:val="bottom"/>
          </w:tcPr>
          <w:p w14:paraId="62A77A45" w14:textId="77777777" w:rsidR="0090528B" w:rsidRPr="006B6128" w:rsidRDefault="0090528B" w:rsidP="00F0776E">
            <w:pPr>
              <w:pStyle w:val="DHHStabletext"/>
              <w:rPr>
                <w:lang w:eastAsia="en-AU"/>
              </w:rPr>
            </w:pPr>
          </w:p>
        </w:tc>
        <w:tc>
          <w:tcPr>
            <w:tcW w:w="1896" w:type="pct"/>
            <w:shd w:val="clear" w:color="auto" w:fill="auto"/>
            <w:noWrap/>
            <w:vAlign w:val="bottom"/>
          </w:tcPr>
          <w:p w14:paraId="4E0A84DA" w14:textId="77777777" w:rsidR="0090528B" w:rsidRPr="001202B5" w:rsidRDefault="0090528B" w:rsidP="00F0776E">
            <w:pPr>
              <w:pStyle w:val="DHHStabletext"/>
              <w:rPr>
                <w:rFonts w:cs="Arial"/>
                <w:lang w:eastAsia="en-AU"/>
              </w:rPr>
            </w:pPr>
            <w:r w:rsidRPr="001202B5">
              <w:rPr>
                <w:rFonts w:cs="Arial"/>
                <w:lang w:eastAsia="en-AU"/>
              </w:rPr>
              <w:t xml:space="preserve">Emergency department </w:t>
            </w:r>
          </w:p>
        </w:tc>
        <w:tc>
          <w:tcPr>
            <w:tcW w:w="834" w:type="pct"/>
            <w:shd w:val="clear" w:color="auto" w:fill="auto"/>
            <w:noWrap/>
          </w:tcPr>
          <w:p w14:paraId="04978C98" w14:textId="77777777" w:rsidR="0090528B" w:rsidRPr="001202B5" w:rsidRDefault="0090528B" w:rsidP="00380AD2">
            <w:pPr>
              <w:pStyle w:val="DHHStabletext"/>
              <w:jc w:val="right"/>
              <w:rPr>
                <w:rFonts w:cs="Arial"/>
                <w:lang w:eastAsia="en-AU"/>
              </w:rPr>
            </w:pPr>
            <w:r w:rsidRPr="001202B5">
              <w:rPr>
                <w:rFonts w:cs="Arial"/>
                <w:color w:val="000000"/>
              </w:rPr>
              <w:t>34 (15%)</w:t>
            </w:r>
          </w:p>
        </w:tc>
        <w:tc>
          <w:tcPr>
            <w:tcW w:w="744" w:type="pct"/>
            <w:shd w:val="clear" w:color="auto" w:fill="auto"/>
            <w:noWrap/>
          </w:tcPr>
          <w:p w14:paraId="44F95E30" w14:textId="77777777" w:rsidR="0090528B" w:rsidRPr="001202B5" w:rsidRDefault="0090528B" w:rsidP="00380AD2">
            <w:pPr>
              <w:pStyle w:val="DHHStabletext"/>
              <w:jc w:val="right"/>
              <w:rPr>
                <w:rFonts w:cs="Arial"/>
                <w:lang w:eastAsia="en-AU"/>
              </w:rPr>
            </w:pPr>
            <w:r w:rsidRPr="001202B5">
              <w:rPr>
                <w:rFonts w:cs="Arial"/>
                <w:color w:val="000000"/>
              </w:rPr>
              <w:t>12 (24%)</w:t>
            </w:r>
          </w:p>
        </w:tc>
        <w:tc>
          <w:tcPr>
            <w:tcW w:w="633" w:type="pct"/>
            <w:vMerge/>
            <w:shd w:val="clear" w:color="auto" w:fill="auto"/>
            <w:noWrap/>
          </w:tcPr>
          <w:p w14:paraId="2D9F2F68" w14:textId="77777777" w:rsidR="0090528B" w:rsidRPr="001202B5" w:rsidRDefault="0090528B" w:rsidP="00380AD2">
            <w:pPr>
              <w:pStyle w:val="DHHStabletext"/>
              <w:jc w:val="right"/>
              <w:rPr>
                <w:rFonts w:cs="Arial"/>
                <w:lang w:eastAsia="en-AU"/>
              </w:rPr>
            </w:pPr>
          </w:p>
        </w:tc>
      </w:tr>
      <w:tr w:rsidR="0090528B" w:rsidRPr="00CF415C" w14:paraId="662C3E27" w14:textId="77777777" w:rsidTr="00380AD2">
        <w:trPr>
          <w:trHeight w:val="300"/>
        </w:trPr>
        <w:tc>
          <w:tcPr>
            <w:tcW w:w="893" w:type="pct"/>
            <w:vMerge/>
            <w:shd w:val="clear" w:color="auto" w:fill="auto"/>
            <w:noWrap/>
            <w:vAlign w:val="bottom"/>
          </w:tcPr>
          <w:p w14:paraId="114C515B" w14:textId="77777777" w:rsidR="0090528B" w:rsidRPr="006B6128" w:rsidRDefault="0090528B" w:rsidP="00F0776E">
            <w:pPr>
              <w:pStyle w:val="DHHStabletext"/>
              <w:rPr>
                <w:lang w:eastAsia="en-AU"/>
              </w:rPr>
            </w:pPr>
          </w:p>
        </w:tc>
        <w:tc>
          <w:tcPr>
            <w:tcW w:w="1896" w:type="pct"/>
            <w:shd w:val="clear" w:color="auto" w:fill="auto"/>
            <w:noWrap/>
            <w:vAlign w:val="bottom"/>
          </w:tcPr>
          <w:p w14:paraId="37D9D4EB" w14:textId="32ABBA3A" w:rsidR="0090528B" w:rsidRPr="001202B5" w:rsidRDefault="0090528B" w:rsidP="00F0776E">
            <w:pPr>
              <w:pStyle w:val="DHHStabletext"/>
              <w:rPr>
                <w:rFonts w:cs="Arial"/>
                <w:lang w:eastAsia="en-AU"/>
              </w:rPr>
            </w:pPr>
            <w:r w:rsidRPr="001202B5">
              <w:rPr>
                <w:rFonts w:cs="Arial"/>
                <w:lang w:eastAsia="en-AU"/>
              </w:rPr>
              <w:t>Private specialist</w:t>
            </w:r>
          </w:p>
        </w:tc>
        <w:tc>
          <w:tcPr>
            <w:tcW w:w="834" w:type="pct"/>
            <w:shd w:val="clear" w:color="auto" w:fill="auto"/>
            <w:noWrap/>
          </w:tcPr>
          <w:p w14:paraId="3ACA1270" w14:textId="77777777" w:rsidR="0090528B" w:rsidRPr="001202B5" w:rsidRDefault="0090528B" w:rsidP="00380AD2">
            <w:pPr>
              <w:pStyle w:val="DHHStabletext"/>
              <w:jc w:val="right"/>
              <w:rPr>
                <w:rFonts w:cs="Arial"/>
                <w:lang w:eastAsia="en-AU"/>
              </w:rPr>
            </w:pPr>
            <w:r w:rsidRPr="001202B5">
              <w:rPr>
                <w:rFonts w:cs="Arial"/>
                <w:color w:val="000000"/>
              </w:rPr>
              <w:t>45 (20%)</w:t>
            </w:r>
          </w:p>
        </w:tc>
        <w:tc>
          <w:tcPr>
            <w:tcW w:w="744" w:type="pct"/>
            <w:shd w:val="clear" w:color="auto" w:fill="auto"/>
            <w:noWrap/>
          </w:tcPr>
          <w:p w14:paraId="75322F12" w14:textId="77777777" w:rsidR="0090528B" w:rsidRPr="001202B5" w:rsidRDefault="0090528B" w:rsidP="00380AD2">
            <w:pPr>
              <w:pStyle w:val="DHHStabletext"/>
              <w:jc w:val="right"/>
              <w:rPr>
                <w:rFonts w:cs="Arial"/>
                <w:lang w:eastAsia="en-AU"/>
              </w:rPr>
            </w:pPr>
            <w:r w:rsidRPr="001202B5">
              <w:rPr>
                <w:rFonts w:cs="Arial"/>
                <w:color w:val="000000"/>
              </w:rPr>
              <w:t>16 (31%)</w:t>
            </w:r>
          </w:p>
        </w:tc>
        <w:tc>
          <w:tcPr>
            <w:tcW w:w="633" w:type="pct"/>
            <w:vMerge/>
            <w:shd w:val="clear" w:color="auto" w:fill="auto"/>
            <w:noWrap/>
          </w:tcPr>
          <w:p w14:paraId="2144C452" w14:textId="77777777" w:rsidR="0090528B" w:rsidRPr="001202B5" w:rsidRDefault="0090528B" w:rsidP="00380AD2">
            <w:pPr>
              <w:pStyle w:val="DHHStabletext"/>
              <w:jc w:val="right"/>
              <w:rPr>
                <w:rFonts w:cs="Arial"/>
                <w:lang w:eastAsia="en-AU"/>
              </w:rPr>
            </w:pPr>
          </w:p>
        </w:tc>
      </w:tr>
      <w:tr w:rsidR="0090528B" w:rsidRPr="00CF415C" w14:paraId="08703275" w14:textId="77777777" w:rsidTr="00380AD2">
        <w:trPr>
          <w:trHeight w:val="300"/>
        </w:trPr>
        <w:tc>
          <w:tcPr>
            <w:tcW w:w="893" w:type="pct"/>
            <w:vMerge/>
            <w:shd w:val="clear" w:color="auto" w:fill="auto"/>
            <w:noWrap/>
            <w:vAlign w:val="bottom"/>
          </w:tcPr>
          <w:p w14:paraId="4A593921" w14:textId="77777777" w:rsidR="0090528B" w:rsidRPr="006B6128" w:rsidRDefault="0090528B" w:rsidP="00F0776E">
            <w:pPr>
              <w:pStyle w:val="DHHStabletext"/>
              <w:rPr>
                <w:lang w:eastAsia="en-AU"/>
              </w:rPr>
            </w:pPr>
          </w:p>
        </w:tc>
        <w:tc>
          <w:tcPr>
            <w:tcW w:w="1896" w:type="pct"/>
            <w:shd w:val="clear" w:color="auto" w:fill="auto"/>
            <w:noWrap/>
            <w:vAlign w:val="bottom"/>
          </w:tcPr>
          <w:p w14:paraId="5BF19475" w14:textId="77777777" w:rsidR="0090528B" w:rsidRPr="001202B5" w:rsidRDefault="0090528B" w:rsidP="00F0776E">
            <w:pPr>
              <w:pStyle w:val="DHHStabletext"/>
              <w:rPr>
                <w:rFonts w:cs="Arial"/>
                <w:lang w:eastAsia="en-AU"/>
              </w:rPr>
            </w:pPr>
            <w:r w:rsidRPr="001202B5">
              <w:rPr>
                <w:rFonts w:cs="Arial"/>
                <w:lang w:eastAsia="en-AU"/>
              </w:rPr>
              <w:t>Other public hospital</w:t>
            </w:r>
          </w:p>
        </w:tc>
        <w:tc>
          <w:tcPr>
            <w:tcW w:w="834" w:type="pct"/>
            <w:shd w:val="clear" w:color="auto" w:fill="auto"/>
            <w:noWrap/>
          </w:tcPr>
          <w:p w14:paraId="5DD934CD" w14:textId="77777777" w:rsidR="0090528B" w:rsidRPr="001202B5" w:rsidRDefault="0090528B" w:rsidP="00380AD2">
            <w:pPr>
              <w:pStyle w:val="DHHStabletext"/>
              <w:jc w:val="right"/>
              <w:rPr>
                <w:rFonts w:cs="Arial"/>
                <w:lang w:eastAsia="en-AU"/>
              </w:rPr>
            </w:pPr>
            <w:r w:rsidRPr="001202B5">
              <w:rPr>
                <w:rFonts w:cs="Arial"/>
                <w:color w:val="000000"/>
              </w:rPr>
              <w:t>24 (11%)</w:t>
            </w:r>
          </w:p>
        </w:tc>
        <w:tc>
          <w:tcPr>
            <w:tcW w:w="744" w:type="pct"/>
            <w:shd w:val="clear" w:color="auto" w:fill="auto"/>
            <w:noWrap/>
          </w:tcPr>
          <w:p w14:paraId="70CB96AE" w14:textId="77777777" w:rsidR="0090528B" w:rsidRPr="001202B5" w:rsidRDefault="0090528B" w:rsidP="00380AD2">
            <w:pPr>
              <w:pStyle w:val="DHHStabletext"/>
              <w:jc w:val="right"/>
              <w:rPr>
                <w:rFonts w:cs="Arial"/>
                <w:lang w:eastAsia="en-AU"/>
              </w:rPr>
            </w:pPr>
            <w:r w:rsidRPr="001202B5">
              <w:rPr>
                <w:rFonts w:cs="Arial"/>
                <w:color w:val="000000"/>
              </w:rPr>
              <w:t>2 (4%)</w:t>
            </w:r>
          </w:p>
        </w:tc>
        <w:tc>
          <w:tcPr>
            <w:tcW w:w="633" w:type="pct"/>
            <w:vMerge/>
            <w:shd w:val="clear" w:color="auto" w:fill="auto"/>
            <w:noWrap/>
          </w:tcPr>
          <w:p w14:paraId="4D6074DD" w14:textId="77777777" w:rsidR="0090528B" w:rsidRPr="001202B5" w:rsidRDefault="0090528B" w:rsidP="00380AD2">
            <w:pPr>
              <w:pStyle w:val="DHHStabletext"/>
              <w:jc w:val="right"/>
              <w:rPr>
                <w:rFonts w:cs="Arial"/>
                <w:lang w:eastAsia="en-AU"/>
              </w:rPr>
            </w:pPr>
          </w:p>
        </w:tc>
      </w:tr>
      <w:tr w:rsidR="0090528B" w:rsidRPr="00CF415C" w14:paraId="78677565" w14:textId="77777777" w:rsidTr="00380AD2">
        <w:trPr>
          <w:trHeight w:val="300"/>
        </w:trPr>
        <w:tc>
          <w:tcPr>
            <w:tcW w:w="893" w:type="pct"/>
            <w:vMerge/>
            <w:shd w:val="clear" w:color="auto" w:fill="auto"/>
            <w:noWrap/>
            <w:vAlign w:val="bottom"/>
          </w:tcPr>
          <w:p w14:paraId="534C62C2" w14:textId="77777777" w:rsidR="0090528B" w:rsidRPr="006B6128" w:rsidRDefault="0090528B" w:rsidP="00F0776E">
            <w:pPr>
              <w:pStyle w:val="DHHStabletext"/>
              <w:rPr>
                <w:lang w:eastAsia="en-AU"/>
              </w:rPr>
            </w:pPr>
          </w:p>
        </w:tc>
        <w:tc>
          <w:tcPr>
            <w:tcW w:w="1896" w:type="pct"/>
            <w:shd w:val="clear" w:color="auto" w:fill="auto"/>
            <w:noWrap/>
            <w:vAlign w:val="bottom"/>
          </w:tcPr>
          <w:p w14:paraId="3475856B" w14:textId="77777777" w:rsidR="0090528B" w:rsidRPr="001202B5" w:rsidRDefault="0090528B" w:rsidP="00F0776E">
            <w:pPr>
              <w:pStyle w:val="DHHStabletext"/>
              <w:rPr>
                <w:rFonts w:cs="Arial"/>
                <w:lang w:eastAsia="en-AU"/>
              </w:rPr>
            </w:pPr>
            <w:r w:rsidRPr="001202B5">
              <w:rPr>
                <w:rFonts w:cs="Arial"/>
                <w:lang w:eastAsia="en-AU"/>
              </w:rPr>
              <w:t>Internal</w:t>
            </w:r>
          </w:p>
        </w:tc>
        <w:tc>
          <w:tcPr>
            <w:tcW w:w="834" w:type="pct"/>
            <w:shd w:val="clear" w:color="auto" w:fill="auto"/>
            <w:noWrap/>
          </w:tcPr>
          <w:p w14:paraId="1B8C24A7" w14:textId="77777777" w:rsidR="0090528B" w:rsidRPr="001202B5" w:rsidRDefault="0090528B" w:rsidP="00380AD2">
            <w:pPr>
              <w:pStyle w:val="DHHStabletext"/>
              <w:jc w:val="right"/>
              <w:rPr>
                <w:rFonts w:cs="Arial"/>
                <w:lang w:eastAsia="en-AU"/>
              </w:rPr>
            </w:pPr>
            <w:r w:rsidRPr="001202B5">
              <w:rPr>
                <w:rFonts w:cs="Arial"/>
                <w:color w:val="000000"/>
              </w:rPr>
              <w:t>18 (8%)</w:t>
            </w:r>
          </w:p>
        </w:tc>
        <w:tc>
          <w:tcPr>
            <w:tcW w:w="744" w:type="pct"/>
            <w:shd w:val="clear" w:color="auto" w:fill="auto"/>
            <w:noWrap/>
          </w:tcPr>
          <w:p w14:paraId="6A66D8C8" w14:textId="77777777" w:rsidR="0090528B" w:rsidRPr="001202B5" w:rsidRDefault="0090528B" w:rsidP="00380AD2">
            <w:pPr>
              <w:pStyle w:val="DHHStabletext"/>
              <w:jc w:val="right"/>
              <w:rPr>
                <w:rFonts w:cs="Arial"/>
                <w:lang w:eastAsia="en-AU"/>
              </w:rPr>
            </w:pPr>
            <w:r w:rsidRPr="001202B5">
              <w:rPr>
                <w:rFonts w:cs="Arial"/>
                <w:color w:val="000000"/>
              </w:rPr>
              <w:t>1 (2%)</w:t>
            </w:r>
          </w:p>
        </w:tc>
        <w:tc>
          <w:tcPr>
            <w:tcW w:w="633" w:type="pct"/>
            <w:vMerge/>
            <w:shd w:val="clear" w:color="auto" w:fill="auto"/>
            <w:noWrap/>
          </w:tcPr>
          <w:p w14:paraId="069760C1" w14:textId="77777777" w:rsidR="0090528B" w:rsidRPr="001202B5" w:rsidRDefault="0090528B" w:rsidP="00380AD2">
            <w:pPr>
              <w:pStyle w:val="DHHStabletext"/>
              <w:jc w:val="right"/>
              <w:rPr>
                <w:rFonts w:cs="Arial"/>
                <w:lang w:eastAsia="en-AU"/>
              </w:rPr>
            </w:pPr>
          </w:p>
        </w:tc>
      </w:tr>
      <w:tr w:rsidR="0090528B" w:rsidRPr="00CF415C" w14:paraId="400618FC" w14:textId="77777777" w:rsidTr="00380AD2">
        <w:trPr>
          <w:trHeight w:val="300"/>
        </w:trPr>
        <w:tc>
          <w:tcPr>
            <w:tcW w:w="893" w:type="pct"/>
            <w:vMerge/>
            <w:shd w:val="clear" w:color="auto" w:fill="auto"/>
            <w:noWrap/>
            <w:vAlign w:val="bottom"/>
          </w:tcPr>
          <w:p w14:paraId="340FA71E" w14:textId="77777777" w:rsidR="0090528B" w:rsidRPr="006B6128" w:rsidRDefault="0090528B" w:rsidP="00F0776E">
            <w:pPr>
              <w:pStyle w:val="DHHStabletext"/>
              <w:rPr>
                <w:lang w:eastAsia="en-AU"/>
              </w:rPr>
            </w:pPr>
          </w:p>
        </w:tc>
        <w:tc>
          <w:tcPr>
            <w:tcW w:w="1896" w:type="pct"/>
            <w:shd w:val="clear" w:color="auto" w:fill="auto"/>
            <w:noWrap/>
            <w:vAlign w:val="bottom"/>
          </w:tcPr>
          <w:p w14:paraId="578AF44D" w14:textId="77777777" w:rsidR="0090528B" w:rsidRPr="001202B5" w:rsidRDefault="0090528B" w:rsidP="00F0776E">
            <w:pPr>
              <w:pStyle w:val="DHHStabletext"/>
              <w:rPr>
                <w:rFonts w:cs="Arial"/>
                <w:lang w:eastAsia="en-AU"/>
              </w:rPr>
            </w:pPr>
            <w:r w:rsidRPr="001202B5">
              <w:rPr>
                <w:rFonts w:cs="Arial"/>
                <w:lang w:eastAsia="en-AU"/>
              </w:rPr>
              <w:t>Unknown</w:t>
            </w:r>
          </w:p>
        </w:tc>
        <w:tc>
          <w:tcPr>
            <w:tcW w:w="834" w:type="pct"/>
            <w:shd w:val="clear" w:color="auto" w:fill="auto"/>
            <w:noWrap/>
          </w:tcPr>
          <w:p w14:paraId="08CB15FA" w14:textId="77777777" w:rsidR="0090528B" w:rsidRPr="001202B5" w:rsidRDefault="0090528B" w:rsidP="00380AD2">
            <w:pPr>
              <w:pStyle w:val="DHHStabletext"/>
              <w:jc w:val="right"/>
              <w:rPr>
                <w:rFonts w:cs="Arial"/>
                <w:lang w:eastAsia="en-AU"/>
              </w:rPr>
            </w:pPr>
            <w:r w:rsidRPr="001202B5">
              <w:rPr>
                <w:rFonts w:cs="Arial"/>
                <w:color w:val="000000"/>
              </w:rPr>
              <w:t>11 (5%)</w:t>
            </w:r>
          </w:p>
        </w:tc>
        <w:tc>
          <w:tcPr>
            <w:tcW w:w="744" w:type="pct"/>
            <w:shd w:val="clear" w:color="auto" w:fill="auto"/>
            <w:noWrap/>
          </w:tcPr>
          <w:p w14:paraId="7216CFCA" w14:textId="77777777" w:rsidR="0090528B" w:rsidRPr="001202B5" w:rsidRDefault="0090528B" w:rsidP="00380AD2">
            <w:pPr>
              <w:pStyle w:val="DHHStabletext"/>
              <w:jc w:val="right"/>
              <w:rPr>
                <w:rFonts w:cs="Arial"/>
                <w:lang w:eastAsia="en-AU"/>
              </w:rPr>
            </w:pPr>
            <w:r w:rsidRPr="001202B5">
              <w:rPr>
                <w:rFonts w:cs="Arial"/>
                <w:color w:val="000000"/>
              </w:rPr>
              <w:t>2 (4%)</w:t>
            </w:r>
          </w:p>
        </w:tc>
        <w:tc>
          <w:tcPr>
            <w:tcW w:w="633" w:type="pct"/>
            <w:vMerge/>
            <w:shd w:val="clear" w:color="auto" w:fill="auto"/>
            <w:noWrap/>
          </w:tcPr>
          <w:p w14:paraId="702E6C85" w14:textId="77777777" w:rsidR="0090528B" w:rsidRPr="001202B5" w:rsidRDefault="0090528B" w:rsidP="00380AD2">
            <w:pPr>
              <w:pStyle w:val="DHHStabletext"/>
              <w:jc w:val="right"/>
              <w:rPr>
                <w:rFonts w:cs="Arial"/>
                <w:lang w:eastAsia="en-AU"/>
              </w:rPr>
            </w:pPr>
          </w:p>
        </w:tc>
      </w:tr>
      <w:tr w:rsidR="0090528B" w:rsidRPr="00CF415C" w14:paraId="4980DDFF" w14:textId="77777777" w:rsidTr="00380AD2">
        <w:trPr>
          <w:trHeight w:val="300"/>
        </w:trPr>
        <w:tc>
          <w:tcPr>
            <w:tcW w:w="893" w:type="pct"/>
            <w:vMerge/>
            <w:shd w:val="clear" w:color="auto" w:fill="auto"/>
            <w:noWrap/>
            <w:vAlign w:val="bottom"/>
          </w:tcPr>
          <w:p w14:paraId="44F96053" w14:textId="77777777" w:rsidR="0090528B" w:rsidRPr="006B6128" w:rsidRDefault="0090528B" w:rsidP="00F0776E">
            <w:pPr>
              <w:pStyle w:val="DHHStabletext"/>
              <w:rPr>
                <w:lang w:eastAsia="en-AU"/>
              </w:rPr>
            </w:pPr>
          </w:p>
        </w:tc>
        <w:tc>
          <w:tcPr>
            <w:tcW w:w="1896" w:type="pct"/>
            <w:shd w:val="clear" w:color="auto" w:fill="auto"/>
            <w:noWrap/>
          </w:tcPr>
          <w:p w14:paraId="2DF135C2" w14:textId="34AD55A9" w:rsidR="0090528B" w:rsidRPr="001202B5" w:rsidRDefault="009167E7" w:rsidP="00F0776E">
            <w:pPr>
              <w:pStyle w:val="DHHStabletext"/>
              <w:rPr>
                <w:rFonts w:cs="Arial"/>
                <w:lang w:eastAsia="en-AU"/>
              </w:rPr>
            </w:pPr>
            <w:r>
              <w:rPr>
                <w:rFonts w:cs="Arial"/>
                <w:lang w:eastAsia="en-AU"/>
              </w:rPr>
              <w:t>Missing data**</w:t>
            </w:r>
          </w:p>
        </w:tc>
        <w:tc>
          <w:tcPr>
            <w:tcW w:w="834" w:type="pct"/>
            <w:shd w:val="clear" w:color="auto" w:fill="auto"/>
            <w:noWrap/>
          </w:tcPr>
          <w:p w14:paraId="19A812A5" w14:textId="77777777" w:rsidR="0090528B" w:rsidRPr="001202B5" w:rsidRDefault="0090528B" w:rsidP="00380AD2">
            <w:pPr>
              <w:pStyle w:val="DHHStabletext"/>
              <w:jc w:val="right"/>
              <w:rPr>
                <w:rFonts w:cs="Arial"/>
                <w:lang w:eastAsia="en-AU"/>
              </w:rPr>
            </w:pPr>
            <w:r w:rsidRPr="001202B5">
              <w:rPr>
                <w:rFonts w:cs="Arial"/>
                <w:color w:val="000000"/>
              </w:rPr>
              <w:t>11 (5%)</w:t>
            </w:r>
          </w:p>
        </w:tc>
        <w:tc>
          <w:tcPr>
            <w:tcW w:w="744" w:type="pct"/>
            <w:shd w:val="clear" w:color="auto" w:fill="auto"/>
            <w:noWrap/>
          </w:tcPr>
          <w:p w14:paraId="5FDFFC23" w14:textId="77777777" w:rsidR="0090528B" w:rsidRPr="001202B5" w:rsidRDefault="0090528B" w:rsidP="00380AD2">
            <w:pPr>
              <w:pStyle w:val="DHHStabletext"/>
              <w:jc w:val="right"/>
              <w:rPr>
                <w:rFonts w:cs="Arial"/>
                <w:lang w:eastAsia="en-AU"/>
              </w:rPr>
            </w:pPr>
            <w:r w:rsidRPr="001202B5">
              <w:rPr>
                <w:rFonts w:cs="Arial"/>
                <w:color w:val="000000"/>
              </w:rPr>
              <w:t>6 (12%)</w:t>
            </w:r>
          </w:p>
        </w:tc>
        <w:tc>
          <w:tcPr>
            <w:tcW w:w="633" w:type="pct"/>
            <w:vMerge/>
            <w:shd w:val="clear" w:color="auto" w:fill="auto"/>
            <w:noWrap/>
          </w:tcPr>
          <w:p w14:paraId="2ED8AD66" w14:textId="77777777" w:rsidR="0090528B" w:rsidRPr="001202B5" w:rsidRDefault="0090528B" w:rsidP="00380AD2">
            <w:pPr>
              <w:pStyle w:val="DHHStabletext"/>
              <w:jc w:val="right"/>
              <w:rPr>
                <w:rFonts w:cs="Arial"/>
                <w:lang w:eastAsia="en-AU"/>
              </w:rPr>
            </w:pPr>
          </w:p>
        </w:tc>
      </w:tr>
      <w:tr w:rsidR="0090528B" w:rsidRPr="00CF415C" w14:paraId="2AB733FB" w14:textId="77777777" w:rsidTr="00B12671">
        <w:trPr>
          <w:trHeight w:val="300"/>
        </w:trPr>
        <w:tc>
          <w:tcPr>
            <w:tcW w:w="893" w:type="pct"/>
            <w:vMerge w:val="restart"/>
            <w:shd w:val="clear" w:color="auto" w:fill="D9D9D9" w:themeFill="background1" w:themeFillShade="D9"/>
            <w:noWrap/>
            <w:hideMark/>
          </w:tcPr>
          <w:p w14:paraId="6FD16576" w14:textId="77777777" w:rsidR="0090528B" w:rsidRPr="00BA6C37" w:rsidRDefault="0090528B" w:rsidP="00F0776E">
            <w:pPr>
              <w:pStyle w:val="DHHStabletext"/>
              <w:rPr>
                <w:lang w:eastAsia="en-AU"/>
              </w:rPr>
            </w:pPr>
            <w:r>
              <w:rPr>
                <w:lang w:eastAsia="en-AU"/>
              </w:rPr>
              <w:t xml:space="preserve">Clinician who conducted first </w:t>
            </w:r>
            <w:r w:rsidRPr="00050019">
              <w:rPr>
                <w:lang w:eastAsia="en-AU"/>
              </w:rPr>
              <w:t>app</w:t>
            </w:r>
            <w:r>
              <w:rPr>
                <w:lang w:eastAsia="en-AU"/>
              </w:rPr>
              <w:t>ointment or consultation after the referral</w:t>
            </w:r>
          </w:p>
        </w:tc>
        <w:tc>
          <w:tcPr>
            <w:tcW w:w="1896" w:type="pct"/>
            <w:shd w:val="clear" w:color="auto" w:fill="D9D9D9" w:themeFill="background1" w:themeFillShade="D9"/>
            <w:noWrap/>
            <w:vAlign w:val="bottom"/>
            <w:hideMark/>
          </w:tcPr>
          <w:p w14:paraId="4F2E5A4D" w14:textId="69E9F420" w:rsidR="0090528B" w:rsidRPr="001202B5" w:rsidRDefault="0090528B" w:rsidP="00F0776E">
            <w:pPr>
              <w:pStyle w:val="DHHStabletext"/>
              <w:rPr>
                <w:rFonts w:cs="Arial"/>
                <w:lang w:eastAsia="en-AU"/>
              </w:rPr>
            </w:pPr>
            <w:r w:rsidRPr="001202B5">
              <w:rPr>
                <w:rFonts w:cs="Arial"/>
                <w:lang w:eastAsia="en-AU"/>
              </w:rPr>
              <w:t xml:space="preserve">UGI </w:t>
            </w:r>
            <w:r w:rsidR="00A144F1">
              <w:rPr>
                <w:rFonts w:cs="Arial"/>
                <w:lang w:eastAsia="en-AU"/>
              </w:rPr>
              <w:t>s</w:t>
            </w:r>
            <w:r w:rsidRPr="001202B5">
              <w:rPr>
                <w:rFonts w:cs="Arial"/>
                <w:lang w:eastAsia="en-AU"/>
              </w:rPr>
              <w:t>urgeon</w:t>
            </w:r>
          </w:p>
        </w:tc>
        <w:tc>
          <w:tcPr>
            <w:tcW w:w="834" w:type="pct"/>
            <w:shd w:val="clear" w:color="auto" w:fill="D9D9D9" w:themeFill="background1" w:themeFillShade="D9"/>
            <w:noWrap/>
          </w:tcPr>
          <w:p w14:paraId="404B0E2B" w14:textId="77777777" w:rsidR="0090528B" w:rsidRPr="001202B5" w:rsidRDefault="0090528B" w:rsidP="00380AD2">
            <w:pPr>
              <w:pStyle w:val="DHHStabletext"/>
              <w:jc w:val="right"/>
              <w:rPr>
                <w:rFonts w:cs="Arial"/>
                <w:lang w:eastAsia="en-AU"/>
              </w:rPr>
            </w:pPr>
            <w:r w:rsidRPr="001202B5">
              <w:rPr>
                <w:rFonts w:cs="Arial"/>
                <w:color w:val="000000"/>
              </w:rPr>
              <w:t>61 (28%)</w:t>
            </w:r>
          </w:p>
        </w:tc>
        <w:tc>
          <w:tcPr>
            <w:tcW w:w="744" w:type="pct"/>
            <w:shd w:val="clear" w:color="auto" w:fill="D9D9D9" w:themeFill="background1" w:themeFillShade="D9"/>
            <w:noWrap/>
          </w:tcPr>
          <w:p w14:paraId="1A6B6B6E" w14:textId="77777777" w:rsidR="0090528B" w:rsidRPr="001202B5" w:rsidRDefault="0090528B" w:rsidP="00380AD2">
            <w:pPr>
              <w:pStyle w:val="DHHStabletext"/>
              <w:jc w:val="right"/>
              <w:rPr>
                <w:rFonts w:cs="Arial"/>
                <w:lang w:eastAsia="en-AU"/>
              </w:rPr>
            </w:pPr>
            <w:r w:rsidRPr="001202B5">
              <w:rPr>
                <w:rFonts w:cs="Arial"/>
                <w:color w:val="000000"/>
              </w:rPr>
              <w:t>5 (10%)</w:t>
            </w:r>
          </w:p>
        </w:tc>
        <w:tc>
          <w:tcPr>
            <w:tcW w:w="633" w:type="pct"/>
            <w:vMerge w:val="restart"/>
            <w:shd w:val="clear" w:color="auto" w:fill="D9D9D9" w:themeFill="background1" w:themeFillShade="D9"/>
            <w:noWrap/>
          </w:tcPr>
          <w:p w14:paraId="26050C57" w14:textId="77777777" w:rsidR="0090528B" w:rsidRPr="001202B5" w:rsidRDefault="0090528B" w:rsidP="00380AD2">
            <w:pPr>
              <w:pStyle w:val="DHHStabletext"/>
              <w:jc w:val="right"/>
              <w:rPr>
                <w:rFonts w:cs="Arial"/>
                <w:lang w:eastAsia="en-AU"/>
              </w:rPr>
            </w:pPr>
            <w:r w:rsidRPr="001202B5">
              <w:rPr>
                <w:rFonts w:cs="Arial"/>
                <w:lang w:eastAsia="en-AU"/>
              </w:rPr>
              <w:t>0.072</w:t>
            </w:r>
          </w:p>
        </w:tc>
      </w:tr>
      <w:tr w:rsidR="0090528B" w:rsidRPr="00CF415C" w14:paraId="7A1802BE" w14:textId="77777777" w:rsidTr="00B12671">
        <w:trPr>
          <w:trHeight w:val="300"/>
        </w:trPr>
        <w:tc>
          <w:tcPr>
            <w:tcW w:w="893" w:type="pct"/>
            <w:vMerge/>
            <w:shd w:val="clear" w:color="auto" w:fill="D9D9D9" w:themeFill="background1" w:themeFillShade="D9"/>
            <w:noWrap/>
            <w:vAlign w:val="bottom"/>
            <w:hideMark/>
          </w:tcPr>
          <w:p w14:paraId="5151FDDF"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51853E1C" w14:textId="4F4757DA" w:rsidR="0090528B" w:rsidRPr="001202B5" w:rsidRDefault="0090528B">
            <w:pPr>
              <w:pStyle w:val="DHHStabletext"/>
              <w:rPr>
                <w:rFonts w:cs="Arial"/>
                <w:lang w:eastAsia="en-AU"/>
              </w:rPr>
            </w:pPr>
            <w:r w:rsidRPr="001202B5">
              <w:rPr>
                <w:rFonts w:cs="Arial"/>
                <w:lang w:eastAsia="en-AU"/>
              </w:rPr>
              <w:t xml:space="preserve">Other </w:t>
            </w:r>
            <w:r w:rsidR="00A144F1">
              <w:rPr>
                <w:rFonts w:cs="Arial"/>
                <w:lang w:eastAsia="en-AU"/>
              </w:rPr>
              <w:t>s</w:t>
            </w:r>
            <w:r w:rsidRPr="001202B5">
              <w:rPr>
                <w:rFonts w:cs="Arial"/>
                <w:lang w:eastAsia="en-AU"/>
              </w:rPr>
              <w:t>urgeon</w:t>
            </w:r>
          </w:p>
        </w:tc>
        <w:tc>
          <w:tcPr>
            <w:tcW w:w="834" w:type="pct"/>
            <w:shd w:val="clear" w:color="auto" w:fill="D9D9D9" w:themeFill="background1" w:themeFillShade="D9"/>
            <w:noWrap/>
          </w:tcPr>
          <w:p w14:paraId="7FAC99CD" w14:textId="77777777" w:rsidR="0090528B" w:rsidRPr="001202B5" w:rsidRDefault="0090528B" w:rsidP="00380AD2">
            <w:pPr>
              <w:pStyle w:val="DHHStabletext"/>
              <w:jc w:val="right"/>
              <w:rPr>
                <w:rFonts w:cs="Arial"/>
                <w:lang w:eastAsia="en-AU"/>
              </w:rPr>
            </w:pPr>
            <w:r w:rsidRPr="001202B5">
              <w:rPr>
                <w:rFonts w:cs="Arial"/>
                <w:color w:val="000000"/>
              </w:rPr>
              <w:t>38 (17%)</w:t>
            </w:r>
          </w:p>
        </w:tc>
        <w:tc>
          <w:tcPr>
            <w:tcW w:w="744" w:type="pct"/>
            <w:shd w:val="clear" w:color="auto" w:fill="D9D9D9" w:themeFill="background1" w:themeFillShade="D9"/>
            <w:noWrap/>
          </w:tcPr>
          <w:p w14:paraId="1B954150" w14:textId="77777777" w:rsidR="0090528B" w:rsidRPr="001202B5" w:rsidRDefault="0090528B" w:rsidP="00380AD2">
            <w:pPr>
              <w:pStyle w:val="DHHStabletext"/>
              <w:jc w:val="right"/>
              <w:rPr>
                <w:rFonts w:cs="Arial"/>
                <w:lang w:eastAsia="en-AU"/>
              </w:rPr>
            </w:pPr>
            <w:r w:rsidRPr="001202B5">
              <w:rPr>
                <w:rFonts w:cs="Arial"/>
                <w:color w:val="000000"/>
              </w:rPr>
              <w:t>13 (25%)</w:t>
            </w:r>
          </w:p>
        </w:tc>
        <w:tc>
          <w:tcPr>
            <w:tcW w:w="633" w:type="pct"/>
            <w:vMerge/>
            <w:shd w:val="clear" w:color="auto" w:fill="D9D9D9" w:themeFill="background1" w:themeFillShade="D9"/>
            <w:noWrap/>
          </w:tcPr>
          <w:p w14:paraId="47F76CDC" w14:textId="77777777" w:rsidR="0090528B" w:rsidRPr="001202B5" w:rsidRDefault="0090528B" w:rsidP="00380AD2">
            <w:pPr>
              <w:pStyle w:val="DHHStabletext"/>
              <w:jc w:val="right"/>
              <w:rPr>
                <w:rFonts w:cs="Arial"/>
                <w:lang w:eastAsia="en-AU"/>
              </w:rPr>
            </w:pPr>
          </w:p>
        </w:tc>
      </w:tr>
      <w:tr w:rsidR="0090528B" w:rsidRPr="00CF415C" w14:paraId="076050F5" w14:textId="77777777" w:rsidTr="00B12671">
        <w:trPr>
          <w:trHeight w:val="300"/>
        </w:trPr>
        <w:tc>
          <w:tcPr>
            <w:tcW w:w="893" w:type="pct"/>
            <w:vMerge/>
            <w:shd w:val="clear" w:color="auto" w:fill="D9D9D9" w:themeFill="background1" w:themeFillShade="D9"/>
            <w:noWrap/>
            <w:vAlign w:val="bottom"/>
            <w:hideMark/>
          </w:tcPr>
          <w:p w14:paraId="062E3687"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35EE8421" w14:textId="7F021311" w:rsidR="0090528B" w:rsidRPr="001202B5" w:rsidRDefault="0090528B">
            <w:pPr>
              <w:pStyle w:val="DHHStabletext"/>
              <w:rPr>
                <w:rFonts w:cs="Arial"/>
                <w:lang w:eastAsia="en-AU"/>
              </w:rPr>
            </w:pPr>
            <w:r w:rsidRPr="001202B5">
              <w:rPr>
                <w:rFonts w:cs="Arial"/>
                <w:lang w:eastAsia="en-AU"/>
              </w:rPr>
              <w:t xml:space="preserve">Medical </w:t>
            </w:r>
            <w:r w:rsidR="00A144F1">
              <w:rPr>
                <w:rFonts w:cs="Arial"/>
                <w:lang w:eastAsia="en-AU"/>
              </w:rPr>
              <w:t>o</w:t>
            </w:r>
            <w:r w:rsidRPr="001202B5">
              <w:rPr>
                <w:rFonts w:cs="Arial"/>
                <w:lang w:eastAsia="en-AU"/>
              </w:rPr>
              <w:t>ncologist</w:t>
            </w:r>
          </w:p>
        </w:tc>
        <w:tc>
          <w:tcPr>
            <w:tcW w:w="834" w:type="pct"/>
            <w:shd w:val="clear" w:color="auto" w:fill="D9D9D9" w:themeFill="background1" w:themeFillShade="D9"/>
            <w:noWrap/>
          </w:tcPr>
          <w:p w14:paraId="1A4FAA7A" w14:textId="77777777" w:rsidR="0090528B" w:rsidRPr="001202B5" w:rsidRDefault="0090528B" w:rsidP="00380AD2">
            <w:pPr>
              <w:pStyle w:val="DHHStabletext"/>
              <w:jc w:val="right"/>
              <w:rPr>
                <w:rFonts w:cs="Arial"/>
                <w:lang w:eastAsia="en-AU"/>
              </w:rPr>
            </w:pPr>
            <w:r w:rsidRPr="001202B5">
              <w:rPr>
                <w:rFonts w:cs="Arial"/>
                <w:color w:val="000000"/>
              </w:rPr>
              <w:t>40 (18%)</w:t>
            </w:r>
          </w:p>
        </w:tc>
        <w:tc>
          <w:tcPr>
            <w:tcW w:w="744" w:type="pct"/>
            <w:shd w:val="clear" w:color="auto" w:fill="D9D9D9" w:themeFill="background1" w:themeFillShade="D9"/>
            <w:noWrap/>
          </w:tcPr>
          <w:p w14:paraId="7D4BBE8B" w14:textId="77777777" w:rsidR="0090528B" w:rsidRPr="001202B5" w:rsidRDefault="0090528B" w:rsidP="00380AD2">
            <w:pPr>
              <w:pStyle w:val="DHHStabletext"/>
              <w:jc w:val="right"/>
              <w:rPr>
                <w:rFonts w:cs="Arial"/>
                <w:lang w:eastAsia="en-AU"/>
              </w:rPr>
            </w:pPr>
            <w:r w:rsidRPr="001202B5">
              <w:rPr>
                <w:rFonts w:cs="Arial"/>
                <w:color w:val="000000"/>
              </w:rPr>
              <w:t>13 (25%)</w:t>
            </w:r>
          </w:p>
        </w:tc>
        <w:tc>
          <w:tcPr>
            <w:tcW w:w="633" w:type="pct"/>
            <w:vMerge/>
            <w:shd w:val="clear" w:color="auto" w:fill="D9D9D9" w:themeFill="background1" w:themeFillShade="D9"/>
            <w:noWrap/>
          </w:tcPr>
          <w:p w14:paraId="5DD9CB7D" w14:textId="77777777" w:rsidR="0090528B" w:rsidRPr="001202B5" w:rsidRDefault="0090528B" w:rsidP="00380AD2">
            <w:pPr>
              <w:pStyle w:val="DHHStabletext"/>
              <w:jc w:val="right"/>
              <w:rPr>
                <w:rFonts w:cs="Arial"/>
                <w:lang w:eastAsia="en-AU"/>
              </w:rPr>
            </w:pPr>
          </w:p>
        </w:tc>
      </w:tr>
      <w:tr w:rsidR="0090528B" w:rsidRPr="00CF415C" w14:paraId="465E3BB3" w14:textId="77777777" w:rsidTr="00B12671">
        <w:trPr>
          <w:trHeight w:val="300"/>
        </w:trPr>
        <w:tc>
          <w:tcPr>
            <w:tcW w:w="893" w:type="pct"/>
            <w:vMerge/>
            <w:shd w:val="clear" w:color="auto" w:fill="D9D9D9" w:themeFill="background1" w:themeFillShade="D9"/>
            <w:noWrap/>
            <w:vAlign w:val="bottom"/>
            <w:hideMark/>
          </w:tcPr>
          <w:p w14:paraId="150E729D"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664FBFEF" w14:textId="77777777" w:rsidR="0090528B" w:rsidRPr="001202B5" w:rsidRDefault="0090528B" w:rsidP="00F0776E">
            <w:pPr>
              <w:pStyle w:val="DHHStabletext"/>
              <w:rPr>
                <w:rFonts w:cs="Arial"/>
                <w:lang w:eastAsia="en-AU"/>
              </w:rPr>
            </w:pPr>
            <w:r w:rsidRPr="001202B5">
              <w:rPr>
                <w:rFonts w:cs="Arial"/>
                <w:lang w:eastAsia="en-AU"/>
              </w:rPr>
              <w:t>Gastroenterologist</w:t>
            </w:r>
          </w:p>
        </w:tc>
        <w:tc>
          <w:tcPr>
            <w:tcW w:w="834" w:type="pct"/>
            <w:shd w:val="clear" w:color="auto" w:fill="D9D9D9" w:themeFill="background1" w:themeFillShade="D9"/>
            <w:noWrap/>
          </w:tcPr>
          <w:p w14:paraId="1C8317EE" w14:textId="77777777" w:rsidR="0090528B" w:rsidRPr="001202B5" w:rsidRDefault="0090528B" w:rsidP="00380AD2">
            <w:pPr>
              <w:pStyle w:val="DHHStabletext"/>
              <w:jc w:val="right"/>
              <w:rPr>
                <w:rFonts w:cs="Arial"/>
                <w:lang w:eastAsia="en-AU"/>
              </w:rPr>
            </w:pPr>
            <w:r w:rsidRPr="001202B5">
              <w:rPr>
                <w:rFonts w:cs="Arial"/>
                <w:color w:val="000000"/>
              </w:rPr>
              <w:t>37 (17%)</w:t>
            </w:r>
          </w:p>
        </w:tc>
        <w:tc>
          <w:tcPr>
            <w:tcW w:w="744" w:type="pct"/>
            <w:shd w:val="clear" w:color="auto" w:fill="D9D9D9" w:themeFill="background1" w:themeFillShade="D9"/>
            <w:noWrap/>
          </w:tcPr>
          <w:p w14:paraId="6C39D2B6" w14:textId="77777777" w:rsidR="0090528B" w:rsidRPr="001202B5" w:rsidRDefault="0090528B" w:rsidP="00380AD2">
            <w:pPr>
              <w:pStyle w:val="DHHStabletext"/>
              <w:jc w:val="right"/>
              <w:rPr>
                <w:rFonts w:cs="Arial"/>
                <w:lang w:eastAsia="en-AU"/>
              </w:rPr>
            </w:pPr>
            <w:r w:rsidRPr="001202B5">
              <w:rPr>
                <w:rFonts w:cs="Arial"/>
                <w:color w:val="000000"/>
              </w:rPr>
              <w:t>7 (14%)</w:t>
            </w:r>
          </w:p>
        </w:tc>
        <w:tc>
          <w:tcPr>
            <w:tcW w:w="633" w:type="pct"/>
            <w:vMerge/>
            <w:shd w:val="clear" w:color="auto" w:fill="D9D9D9" w:themeFill="background1" w:themeFillShade="D9"/>
            <w:noWrap/>
          </w:tcPr>
          <w:p w14:paraId="01557460" w14:textId="77777777" w:rsidR="0090528B" w:rsidRPr="001202B5" w:rsidRDefault="0090528B" w:rsidP="00380AD2">
            <w:pPr>
              <w:pStyle w:val="DHHStabletext"/>
              <w:jc w:val="right"/>
              <w:rPr>
                <w:rFonts w:cs="Arial"/>
                <w:lang w:eastAsia="en-AU"/>
              </w:rPr>
            </w:pPr>
          </w:p>
        </w:tc>
      </w:tr>
      <w:tr w:rsidR="0090528B" w:rsidRPr="00CF415C" w14:paraId="40C81545" w14:textId="77777777" w:rsidTr="00B12671">
        <w:trPr>
          <w:trHeight w:val="300"/>
        </w:trPr>
        <w:tc>
          <w:tcPr>
            <w:tcW w:w="893" w:type="pct"/>
            <w:vMerge/>
            <w:shd w:val="clear" w:color="auto" w:fill="D9D9D9" w:themeFill="background1" w:themeFillShade="D9"/>
            <w:noWrap/>
            <w:vAlign w:val="bottom"/>
            <w:hideMark/>
          </w:tcPr>
          <w:p w14:paraId="28251E0B"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32FE4D09" w14:textId="0DA28151" w:rsidR="0090528B" w:rsidRPr="001202B5" w:rsidRDefault="0090528B" w:rsidP="00F0776E">
            <w:pPr>
              <w:pStyle w:val="DHHStabletext"/>
              <w:rPr>
                <w:rFonts w:cs="Arial"/>
                <w:lang w:eastAsia="en-AU"/>
              </w:rPr>
            </w:pPr>
            <w:r w:rsidRPr="001202B5">
              <w:rPr>
                <w:rFonts w:cs="Arial"/>
                <w:lang w:eastAsia="en-AU"/>
              </w:rPr>
              <w:t xml:space="preserve">General </w:t>
            </w:r>
            <w:r w:rsidR="00A144F1">
              <w:rPr>
                <w:rFonts w:cs="Arial"/>
                <w:lang w:eastAsia="en-AU"/>
              </w:rPr>
              <w:t>m</w:t>
            </w:r>
            <w:r w:rsidRPr="001202B5">
              <w:rPr>
                <w:rFonts w:cs="Arial"/>
                <w:lang w:eastAsia="en-AU"/>
              </w:rPr>
              <w:t>edicine</w:t>
            </w:r>
          </w:p>
        </w:tc>
        <w:tc>
          <w:tcPr>
            <w:tcW w:w="834" w:type="pct"/>
            <w:shd w:val="clear" w:color="auto" w:fill="D9D9D9" w:themeFill="background1" w:themeFillShade="D9"/>
            <w:noWrap/>
          </w:tcPr>
          <w:p w14:paraId="60DE1F38" w14:textId="77777777" w:rsidR="0090528B" w:rsidRPr="001202B5" w:rsidRDefault="0090528B" w:rsidP="00380AD2">
            <w:pPr>
              <w:pStyle w:val="DHHStabletext"/>
              <w:jc w:val="right"/>
              <w:rPr>
                <w:rFonts w:cs="Arial"/>
                <w:lang w:eastAsia="en-AU"/>
              </w:rPr>
            </w:pPr>
            <w:r w:rsidRPr="001202B5">
              <w:rPr>
                <w:rFonts w:cs="Arial"/>
                <w:color w:val="000000"/>
              </w:rPr>
              <w:t>13 (6%)</w:t>
            </w:r>
          </w:p>
        </w:tc>
        <w:tc>
          <w:tcPr>
            <w:tcW w:w="744" w:type="pct"/>
            <w:shd w:val="clear" w:color="auto" w:fill="D9D9D9" w:themeFill="background1" w:themeFillShade="D9"/>
            <w:noWrap/>
          </w:tcPr>
          <w:p w14:paraId="44609616" w14:textId="77777777" w:rsidR="0090528B" w:rsidRPr="001202B5" w:rsidRDefault="0090528B" w:rsidP="00380AD2">
            <w:pPr>
              <w:pStyle w:val="DHHStabletext"/>
              <w:jc w:val="right"/>
              <w:rPr>
                <w:rFonts w:cs="Arial"/>
                <w:lang w:eastAsia="en-AU"/>
              </w:rPr>
            </w:pPr>
            <w:r w:rsidRPr="001202B5">
              <w:rPr>
                <w:rFonts w:cs="Arial"/>
                <w:color w:val="000000"/>
              </w:rPr>
              <w:t>4 (8%)</w:t>
            </w:r>
          </w:p>
        </w:tc>
        <w:tc>
          <w:tcPr>
            <w:tcW w:w="633" w:type="pct"/>
            <w:vMerge/>
            <w:shd w:val="clear" w:color="auto" w:fill="D9D9D9" w:themeFill="background1" w:themeFillShade="D9"/>
            <w:noWrap/>
          </w:tcPr>
          <w:p w14:paraId="486AB5AA" w14:textId="77777777" w:rsidR="0090528B" w:rsidRPr="001202B5" w:rsidRDefault="0090528B" w:rsidP="00380AD2">
            <w:pPr>
              <w:pStyle w:val="DHHStabletext"/>
              <w:jc w:val="right"/>
              <w:rPr>
                <w:rFonts w:cs="Arial"/>
                <w:lang w:eastAsia="en-AU"/>
              </w:rPr>
            </w:pPr>
          </w:p>
        </w:tc>
      </w:tr>
      <w:tr w:rsidR="0090528B" w:rsidRPr="00CF415C" w14:paraId="03511CA8" w14:textId="77777777" w:rsidTr="00B12671">
        <w:trPr>
          <w:trHeight w:val="300"/>
        </w:trPr>
        <w:tc>
          <w:tcPr>
            <w:tcW w:w="893" w:type="pct"/>
            <w:vMerge/>
            <w:shd w:val="clear" w:color="auto" w:fill="D9D9D9" w:themeFill="background1" w:themeFillShade="D9"/>
            <w:noWrap/>
            <w:vAlign w:val="bottom"/>
          </w:tcPr>
          <w:p w14:paraId="56E4E217"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25C26705" w14:textId="2E47C9EF" w:rsidR="0090528B" w:rsidRPr="001202B5" w:rsidRDefault="0090528B">
            <w:pPr>
              <w:pStyle w:val="DHHStabletext"/>
              <w:rPr>
                <w:rFonts w:cs="Arial"/>
                <w:lang w:eastAsia="en-AU"/>
              </w:rPr>
            </w:pPr>
            <w:r w:rsidRPr="001202B5">
              <w:rPr>
                <w:rFonts w:cs="Arial"/>
                <w:lang w:eastAsia="en-AU"/>
              </w:rPr>
              <w:t xml:space="preserve">Radiation </w:t>
            </w:r>
            <w:r w:rsidR="00A144F1">
              <w:rPr>
                <w:rFonts w:cs="Arial"/>
                <w:lang w:eastAsia="en-AU"/>
              </w:rPr>
              <w:t>o</w:t>
            </w:r>
            <w:r w:rsidRPr="001202B5">
              <w:rPr>
                <w:rFonts w:cs="Arial"/>
                <w:lang w:eastAsia="en-AU"/>
              </w:rPr>
              <w:t>ncologist</w:t>
            </w:r>
          </w:p>
        </w:tc>
        <w:tc>
          <w:tcPr>
            <w:tcW w:w="834" w:type="pct"/>
            <w:shd w:val="clear" w:color="auto" w:fill="D9D9D9" w:themeFill="background1" w:themeFillShade="D9"/>
            <w:noWrap/>
          </w:tcPr>
          <w:p w14:paraId="2DF6FC6A" w14:textId="77777777" w:rsidR="0090528B" w:rsidRPr="001202B5" w:rsidRDefault="0090528B" w:rsidP="00380AD2">
            <w:pPr>
              <w:pStyle w:val="DHHStabletext"/>
              <w:jc w:val="right"/>
              <w:rPr>
                <w:rFonts w:cs="Arial"/>
                <w:lang w:eastAsia="en-AU"/>
              </w:rPr>
            </w:pPr>
            <w:r w:rsidRPr="001202B5">
              <w:rPr>
                <w:rFonts w:cs="Arial"/>
                <w:color w:val="000000"/>
              </w:rPr>
              <w:t>12 (5%)</w:t>
            </w:r>
          </w:p>
        </w:tc>
        <w:tc>
          <w:tcPr>
            <w:tcW w:w="744" w:type="pct"/>
            <w:shd w:val="clear" w:color="auto" w:fill="D9D9D9" w:themeFill="background1" w:themeFillShade="D9"/>
            <w:noWrap/>
          </w:tcPr>
          <w:p w14:paraId="773E40ED" w14:textId="77777777" w:rsidR="0090528B" w:rsidRPr="001202B5" w:rsidRDefault="0090528B" w:rsidP="00380AD2">
            <w:pPr>
              <w:pStyle w:val="DHHStabletext"/>
              <w:jc w:val="right"/>
              <w:rPr>
                <w:rFonts w:cs="Arial"/>
                <w:lang w:eastAsia="en-AU"/>
              </w:rPr>
            </w:pPr>
            <w:r w:rsidRPr="001202B5">
              <w:rPr>
                <w:rFonts w:cs="Arial"/>
                <w:color w:val="000000"/>
              </w:rPr>
              <w:t>1 (2%)</w:t>
            </w:r>
          </w:p>
        </w:tc>
        <w:tc>
          <w:tcPr>
            <w:tcW w:w="633" w:type="pct"/>
            <w:vMerge/>
            <w:shd w:val="clear" w:color="auto" w:fill="D9D9D9" w:themeFill="background1" w:themeFillShade="D9"/>
            <w:noWrap/>
          </w:tcPr>
          <w:p w14:paraId="2A4DBCCF" w14:textId="77777777" w:rsidR="0090528B" w:rsidRPr="001202B5" w:rsidRDefault="0090528B" w:rsidP="00380AD2">
            <w:pPr>
              <w:pStyle w:val="DHHStabletext"/>
              <w:jc w:val="right"/>
              <w:rPr>
                <w:rFonts w:cs="Arial"/>
                <w:lang w:eastAsia="en-AU"/>
              </w:rPr>
            </w:pPr>
          </w:p>
        </w:tc>
      </w:tr>
      <w:tr w:rsidR="0090528B" w:rsidRPr="00CF415C" w14:paraId="5924D6B5" w14:textId="77777777" w:rsidTr="00B12671">
        <w:trPr>
          <w:trHeight w:val="300"/>
        </w:trPr>
        <w:tc>
          <w:tcPr>
            <w:tcW w:w="893" w:type="pct"/>
            <w:vMerge/>
            <w:shd w:val="clear" w:color="auto" w:fill="D9D9D9" w:themeFill="background1" w:themeFillShade="D9"/>
            <w:noWrap/>
            <w:vAlign w:val="bottom"/>
            <w:hideMark/>
          </w:tcPr>
          <w:p w14:paraId="59C50922"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76FC4EB8" w14:textId="77777777" w:rsidR="0090528B" w:rsidRPr="001202B5" w:rsidRDefault="0090528B" w:rsidP="00F0776E">
            <w:pPr>
              <w:pStyle w:val="DHHStabletext"/>
              <w:rPr>
                <w:rFonts w:cs="Arial"/>
                <w:lang w:eastAsia="en-AU"/>
              </w:rPr>
            </w:pPr>
            <w:r w:rsidRPr="001202B5">
              <w:rPr>
                <w:rFonts w:cs="Arial"/>
                <w:lang w:eastAsia="en-AU"/>
              </w:rPr>
              <w:t>Other</w:t>
            </w:r>
          </w:p>
        </w:tc>
        <w:tc>
          <w:tcPr>
            <w:tcW w:w="834" w:type="pct"/>
            <w:shd w:val="clear" w:color="auto" w:fill="D9D9D9" w:themeFill="background1" w:themeFillShade="D9"/>
            <w:noWrap/>
          </w:tcPr>
          <w:p w14:paraId="4864D2DE" w14:textId="77777777" w:rsidR="0090528B" w:rsidRPr="001202B5" w:rsidRDefault="0090528B" w:rsidP="00380AD2">
            <w:pPr>
              <w:pStyle w:val="DHHStabletext"/>
              <w:jc w:val="right"/>
              <w:rPr>
                <w:rFonts w:cs="Arial"/>
                <w:lang w:eastAsia="en-AU"/>
              </w:rPr>
            </w:pPr>
            <w:r w:rsidRPr="001202B5">
              <w:rPr>
                <w:rFonts w:cs="Arial"/>
                <w:color w:val="000000"/>
              </w:rPr>
              <w:t>4 (2%)</w:t>
            </w:r>
          </w:p>
        </w:tc>
        <w:tc>
          <w:tcPr>
            <w:tcW w:w="744" w:type="pct"/>
            <w:shd w:val="clear" w:color="auto" w:fill="D9D9D9" w:themeFill="background1" w:themeFillShade="D9"/>
            <w:noWrap/>
          </w:tcPr>
          <w:p w14:paraId="5EFA6963" w14:textId="77777777" w:rsidR="0090528B" w:rsidRPr="001202B5" w:rsidRDefault="0090528B" w:rsidP="00380AD2">
            <w:pPr>
              <w:pStyle w:val="DHHStabletext"/>
              <w:jc w:val="right"/>
              <w:rPr>
                <w:rFonts w:cs="Arial"/>
                <w:lang w:eastAsia="en-AU"/>
              </w:rPr>
            </w:pPr>
            <w:r w:rsidRPr="001202B5">
              <w:rPr>
                <w:rFonts w:cs="Arial"/>
                <w:color w:val="000000"/>
              </w:rPr>
              <w:t>0 (0%)</w:t>
            </w:r>
          </w:p>
        </w:tc>
        <w:tc>
          <w:tcPr>
            <w:tcW w:w="633" w:type="pct"/>
            <w:vMerge/>
            <w:shd w:val="clear" w:color="auto" w:fill="D9D9D9" w:themeFill="background1" w:themeFillShade="D9"/>
            <w:noWrap/>
          </w:tcPr>
          <w:p w14:paraId="47A9D388" w14:textId="77777777" w:rsidR="0090528B" w:rsidRPr="001202B5" w:rsidRDefault="0090528B" w:rsidP="00380AD2">
            <w:pPr>
              <w:pStyle w:val="DHHStabletext"/>
              <w:jc w:val="right"/>
              <w:rPr>
                <w:rFonts w:cs="Arial"/>
                <w:lang w:eastAsia="en-AU"/>
              </w:rPr>
            </w:pPr>
          </w:p>
        </w:tc>
      </w:tr>
      <w:tr w:rsidR="0090528B" w:rsidRPr="00CF415C" w14:paraId="0FCC08D1" w14:textId="77777777" w:rsidTr="00B12671">
        <w:trPr>
          <w:trHeight w:val="300"/>
        </w:trPr>
        <w:tc>
          <w:tcPr>
            <w:tcW w:w="893" w:type="pct"/>
            <w:vMerge/>
            <w:shd w:val="clear" w:color="auto" w:fill="D9D9D9" w:themeFill="background1" w:themeFillShade="D9"/>
            <w:noWrap/>
            <w:vAlign w:val="bottom"/>
            <w:hideMark/>
          </w:tcPr>
          <w:p w14:paraId="754DB079"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hideMark/>
          </w:tcPr>
          <w:p w14:paraId="4078002D" w14:textId="77777777" w:rsidR="0090528B" w:rsidRPr="001202B5" w:rsidRDefault="0090528B" w:rsidP="00F0776E">
            <w:pPr>
              <w:pStyle w:val="DHHStabletext"/>
              <w:rPr>
                <w:rFonts w:cs="Arial"/>
                <w:lang w:eastAsia="en-AU"/>
              </w:rPr>
            </w:pPr>
            <w:r w:rsidRPr="001202B5">
              <w:rPr>
                <w:rFonts w:cs="Arial"/>
                <w:lang w:eastAsia="en-AU"/>
              </w:rPr>
              <w:t>Unknown</w:t>
            </w:r>
          </w:p>
        </w:tc>
        <w:tc>
          <w:tcPr>
            <w:tcW w:w="834" w:type="pct"/>
            <w:shd w:val="clear" w:color="auto" w:fill="D9D9D9" w:themeFill="background1" w:themeFillShade="D9"/>
            <w:noWrap/>
          </w:tcPr>
          <w:p w14:paraId="56AB9FAE" w14:textId="77777777" w:rsidR="0090528B" w:rsidRPr="001202B5" w:rsidRDefault="0090528B" w:rsidP="00380AD2">
            <w:pPr>
              <w:pStyle w:val="DHHStabletext"/>
              <w:jc w:val="right"/>
              <w:rPr>
                <w:rFonts w:cs="Arial"/>
                <w:lang w:eastAsia="en-AU"/>
              </w:rPr>
            </w:pPr>
            <w:r w:rsidRPr="001202B5">
              <w:rPr>
                <w:rFonts w:cs="Arial"/>
                <w:color w:val="000000"/>
              </w:rPr>
              <w:t>4 (2%)</w:t>
            </w:r>
          </w:p>
        </w:tc>
        <w:tc>
          <w:tcPr>
            <w:tcW w:w="744" w:type="pct"/>
            <w:shd w:val="clear" w:color="auto" w:fill="D9D9D9" w:themeFill="background1" w:themeFillShade="D9"/>
            <w:noWrap/>
          </w:tcPr>
          <w:p w14:paraId="1119AE2E" w14:textId="77777777" w:rsidR="0090528B" w:rsidRPr="001202B5" w:rsidRDefault="0090528B" w:rsidP="00380AD2">
            <w:pPr>
              <w:pStyle w:val="DHHStabletext"/>
              <w:jc w:val="right"/>
              <w:rPr>
                <w:rFonts w:cs="Arial"/>
                <w:lang w:eastAsia="en-AU"/>
              </w:rPr>
            </w:pPr>
            <w:r w:rsidRPr="001202B5">
              <w:rPr>
                <w:rFonts w:cs="Arial"/>
                <w:color w:val="000000"/>
              </w:rPr>
              <w:t>2 (4%)</w:t>
            </w:r>
          </w:p>
        </w:tc>
        <w:tc>
          <w:tcPr>
            <w:tcW w:w="633" w:type="pct"/>
            <w:vMerge/>
            <w:shd w:val="clear" w:color="auto" w:fill="D9D9D9" w:themeFill="background1" w:themeFillShade="D9"/>
            <w:noWrap/>
          </w:tcPr>
          <w:p w14:paraId="213BD7A1" w14:textId="77777777" w:rsidR="0090528B" w:rsidRPr="001202B5" w:rsidRDefault="0090528B" w:rsidP="00380AD2">
            <w:pPr>
              <w:pStyle w:val="DHHStabletext"/>
              <w:jc w:val="right"/>
              <w:rPr>
                <w:rFonts w:cs="Arial"/>
                <w:lang w:eastAsia="en-AU"/>
              </w:rPr>
            </w:pPr>
          </w:p>
        </w:tc>
      </w:tr>
      <w:tr w:rsidR="0090528B" w:rsidRPr="00CF415C" w14:paraId="423003A8" w14:textId="77777777" w:rsidTr="00B12671">
        <w:trPr>
          <w:trHeight w:val="300"/>
        </w:trPr>
        <w:tc>
          <w:tcPr>
            <w:tcW w:w="893" w:type="pct"/>
            <w:vMerge/>
            <w:shd w:val="clear" w:color="auto" w:fill="D9D9D9" w:themeFill="background1" w:themeFillShade="D9"/>
            <w:noWrap/>
            <w:vAlign w:val="bottom"/>
          </w:tcPr>
          <w:p w14:paraId="217AFEC9" w14:textId="77777777" w:rsidR="0090528B" w:rsidRPr="00BA6C37" w:rsidRDefault="0090528B" w:rsidP="00F0776E">
            <w:pPr>
              <w:pStyle w:val="DHHStabletext"/>
              <w:rPr>
                <w:lang w:eastAsia="en-AU"/>
              </w:rPr>
            </w:pPr>
          </w:p>
        </w:tc>
        <w:tc>
          <w:tcPr>
            <w:tcW w:w="1896" w:type="pct"/>
            <w:shd w:val="clear" w:color="auto" w:fill="D9D9D9" w:themeFill="background1" w:themeFillShade="D9"/>
            <w:noWrap/>
            <w:vAlign w:val="bottom"/>
          </w:tcPr>
          <w:p w14:paraId="068D3C17" w14:textId="7D5E5C8A" w:rsidR="0090528B" w:rsidRPr="001202B5" w:rsidRDefault="009167E7" w:rsidP="00F0776E">
            <w:pPr>
              <w:pStyle w:val="DHHStabletext"/>
              <w:rPr>
                <w:rFonts w:cs="Arial"/>
                <w:lang w:eastAsia="en-AU"/>
              </w:rPr>
            </w:pPr>
            <w:r>
              <w:rPr>
                <w:rFonts w:cs="Arial"/>
                <w:lang w:eastAsia="en-AU"/>
              </w:rPr>
              <w:t>Missing data**</w:t>
            </w:r>
          </w:p>
        </w:tc>
        <w:tc>
          <w:tcPr>
            <w:tcW w:w="834" w:type="pct"/>
            <w:shd w:val="clear" w:color="auto" w:fill="D9D9D9" w:themeFill="background1" w:themeFillShade="D9"/>
            <w:noWrap/>
          </w:tcPr>
          <w:p w14:paraId="7346F460" w14:textId="77777777" w:rsidR="0090528B" w:rsidRPr="001202B5" w:rsidRDefault="0090528B" w:rsidP="00380AD2">
            <w:pPr>
              <w:pStyle w:val="DHHStabletext"/>
              <w:jc w:val="right"/>
              <w:rPr>
                <w:rFonts w:cs="Arial"/>
                <w:lang w:eastAsia="en-AU"/>
              </w:rPr>
            </w:pPr>
            <w:r w:rsidRPr="001202B5">
              <w:rPr>
                <w:rFonts w:cs="Arial"/>
                <w:color w:val="000000"/>
              </w:rPr>
              <w:t>11 (5%)</w:t>
            </w:r>
          </w:p>
        </w:tc>
        <w:tc>
          <w:tcPr>
            <w:tcW w:w="744" w:type="pct"/>
            <w:shd w:val="clear" w:color="auto" w:fill="D9D9D9" w:themeFill="background1" w:themeFillShade="D9"/>
            <w:noWrap/>
          </w:tcPr>
          <w:p w14:paraId="041A05A8" w14:textId="77777777" w:rsidR="0090528B" w:rsidRPr="001202B5" w:rsidRDefault="0090528B" w:rsidP="00380AD2">
            <w:pPr>
              <w:pStyle w:val="DHHStabletext"/>
              <w:jc w:val="right"/>
              <w:rPr>
                <w:rFonts w:cs="Arial"/>
                <w:lang w:eastAsia="en-AU"/>
              </w:rPr>
            </w:pPr>
            <w:r w:rsidRPr="001202B5">
              <w:rPr>
                <w:rFonts w:cs="Arial"/>
                <w:color w:val="000000"/>
              </w:rPr>
              <w:t>6 (12%)</w:t>
            </w:r>
          </w:p>
        </w:tc>
        <w:tc>
          <w:tcPr>
            <w:tcW w:w="633" w:type="pct"/>
            <w:vMerge/>
            <w:shd w:val="clear" w:color="auto" w:fill="D9D9D9" w:themeFill="background1" w:themeFillShade="D9"/>
            <w:noWrap/>
          </w:tcPr>
          <w:p w14:paraId="7557BE64" w14:textId="77777777" w:rsidR="0090528B" w:rsidRPr="001202B5" w:rsidRDefault="0090528B" w:rsidP="00380AD2">
            <w:pPr>
              <w:pStyle w:val="DHHStabletext"/>
              <w:jc w:val="right"/>
              <w:rPr>
                <w:rFonts w:cs="Arial"/>
                <w:lang w:eastAsia="en-AU"/>
              </w:rPr>
            </w:pPr>
          </w:p>
        </w:tc>
      </w:tr>
      <w:tr w:rsidR="0090528B" w:rsidRPr="00CF415C" w14:paraId="0B7109D9" w14:textId="77777777" w:rsidTr="00380AD2">
        <w:trPr>
          <w:trHeight w:val="300"/>
        </w:trPr>
        <w:tc>
          <w:tcPr>
            <w:tcW w:w="893" w:type="pct"/>
            <w:vMerge w:val="restart"/>
            <w:shd w:val="clear" w:color="auto" w:fill="auto"/>
            <w:noWrap/>
            <w:hideMark/>
          </w:tcPr>
          <w:p w14:paraId="47090B23" w14:textId="77777777" w:rsidR="0090528B" w:rsidRPr="00BA6C37" w:rsidRDefault="0090528B" w:rsidP="00F0776E">
            <w:pPr>
              <w:pStyle w:val="DHHStabletext"/>
              <w:rPr>
                <w:lang w:eastAsia="en-AU"/>
              </w:rPr>
            </w:pPr>
            <w:r>
              <w:rPr>
                <w:lang w:eastAsia="en-AU"/>
              </w:rPr>
              <w:t xml:space="preserve">First appointment or </w:t>
            </w:r>
            <w:r w:rsidRPr="00050019">
              <w:rPr>
                <w:lang w:eastAsia="en-AU"/>
              </w:rPr>
              <w:t>consult</w:t>
            </w:r>
            <w:r>
              <w:rPr>
                <w:lang w:eastAsia="en-AU"/>
              </w:rPr>
              <w:t>ation type</w:t>
            </w:r>
          </w:p>
        </w:tc>
        <w:tc>
          <w:tcPr>
            <w:tcW w:w="1896" w:type="pct"/>
            <w:shd w:val="clear" w:color="auto" w:fill="auto"/>
            <w:noWrap/>
            <w:vAlign w:val="bottom"/>
          </w:tcPr>
          <w:p w14:paraId="40FD2604" w14:textId="77777777" w:rsidR="0090528B" w:rsidRPr="001202B5" w:rsidRDefault="0090528B" w:rsidP="00F0776E">
            <w:pPr>
              <w:pStyle w:val="DHHStabletext"/>
              <w:rPr>
                <w:rFonts w:cs="Arial"/>
                <w:lang w:eastAsia="en-AU"/>
              </w:rPr>
            </w:pPr>
            <w:r w:rsidRPr="001202B5">
              <w:rPr>
                <w:rFonts w:cs="Arial"/>
                <w:lang w:eastAsia="en-AU"/>
              </w:rPr>
              <w:t xml:space="preserve">Inpatient </w:t>
            </w:r>
          </w:p>
        </w:tc>
        <w:tc>
          <w:tcPr>
            <w:tcW w:w="834" w:type="pct"/>
            <w:shd w:val="clear" w:color="auto" w:fill="auto"/>
            <w:noWrap/>
          </w:tcPr>
          <w:p w14:paraId="4AA83B4C" w14:textId="77777777" w:rsidR="0090528B" w:rsidRPr="001202B5" w:rsidRDefault="0090528B" w:rsidP="00380AD2">
            <w:pPr>
              <w:pStyle w:val="DHHStabletext"/>
              <w:jc w:val="right"/>
              <w:rPr>
                <w:rFonts w:cs="Arial"/>
                <w:lang w:eastAsia="en-AU"/>
              </w:rPr>
            </w:pPr>
            <w:r w:rsidRPr="001202B5">
              <w:rPr>
                <w:rFonts w:cs="Arial"/>
                <w:color w:val="000000"/>
              </w:rPr>
              <w:t>77 (35%)</w:t>
            </w:r>
          </w:p>
        </w:tc>
        <w:tc>
          <w:tcPr>
            <w:tcW w:w="744" w:type="pct"/>
            <w:shd w:val="clear" w:color="auto" w:fill="auto"/>
            <w:noWrap/>
          </w:tcPr>
          <w:p w14:paraId="32F7B644" w14:textId="77777777" w:rsidR="0090528B" w:rsidRPr="001202B5" w:rsidRDefault="0090528B" w:rsidP="00380AD2">
            <w:pPr>
              <w:pStyle w:val="DHHStabletext"/>
              <w:jc w:val="right"/>
              <w:rPr>
                <w:rFonts w:cs="Arial"/>
                <w:lang w:eastAsia="en-AU"/>
              </w:rPr>
            </w:pPr>
            <w:r w:rsidRPr="001202B5">
              <w:rPr>
                <w:rFonts w:cs="Arial"/>
                <w:color w:val="000000"/>
              </w:rPr>
              <w:t>26 (51%)</w:t>
            </w:r>
          </w:p>
        </w:tc>
        <w:tc>
          <w:tcPr>
            <w:tcW w:w="633" w:type="pct"/>
            <w:vMerge w:val="restart"/>
            <w:shd w:val="clear" w:color="auto" w:fill="auto"/>
            <w:noWrap/>
          </w:tcPr>
          <w:p w14:paraId="64181881" w14:textId="77777777" w:rsidR="0090528B" w:rsidRPr="001202B5" w:rsidRDefault="0090528B" w:rsidP="00380AD2">
            <w:pPr>
              <w:pStyle w:val="DHHStabletext"/>
              <w:jc w:val="right"/>
              <w:rPr>
                <w:rFonts w:cs="Arial"/>
                <w:lang w:eastAsia="en-AU"/>
              </w:rPr>
            </w:pPr>
            <w:r w:rsidRPr="001202B5">
              <w:rPr>
                <w:rFonts w:cs="Arial"/>
                <w:color w:val="000000"/>
              </w:rPr>
              <w:t>0.003</w:t>
            </w:r>
          </w:p>
        </w:tc>
      </w:tr>
      <w:tr w:rsidR="0090528B" w:rsidRPr="00CF415C" w14:paraId="4DD3D843" w14:textId="77777777" w:rsidTr="00380AD2">
        <w:trPr>
          <w:trHeight w:val="300"/>
        </w:trPr>
        <w:tc>
          <w:tcPr>
            <w:tcW w:w="893" w:type="pct"/>
            <w:vMerge/>
            <w:shd w:val="clear" w:color="auto" w:fill="auto"/>
            <w:noWrap/>
            <w:vAlign w:val="bottom"/>
            <w:hideMark/>
          </w:tcPr>
          <w:p w14:paraId="0A937C6A" w14:textId="77777777" w:rsidR="0090528B" w:rsidRPr="00BA6C37" w:rsidRDefault="0090528B" w:rsidP="00F0776E">
            <w:pPr>
              <w:pStyle w:val="DHHStabletext"/>
              <w:rPr>
                <w:lang w:eastAsia="en-AU"/>
              </w:rPr>
            </w:pPr>
          </w:p>
        </w:tc>
        <w:tc>
          <w:tcPr>
            <w:tcW w:w="1896" w:type="pct"/>
            <w:shd w:val="clear" w:color="auto" w:fill="auto"/>
            <w:noWrap/>
            <w:vAlign w:val="bottom"/>
            <w:hideMark/>
          </w:tcPr>
          <w:p w14:paraId="571892EC" w14:textId="3227FB58" w:rsidR="0090528B" w:rsidRPr="00BA6C37" w:rsidRDefault="0090528B" w:rsidP="00F0776E">
            <w:pPr>
              <w:pStyle w:val="DHHStabletext"/>
              <w:rPr>
                <w:lang w:eastAsia="en-AU"/>
              </w:rPr>
            </w:pPr>
            <w:r w:rsidRPr="00BA6C37">
              <w:rPr>
                <w:lang w:eastAsia="en-AU"/>
              </w:rPr>
              <w:t>Outpatient</w:t>
            </w:r>
          </w:p>
        </w:tc>
        <w:tc>
          <w:tcPr>
            <w:tcW w:w="834" w:type="pct"/>
            <w:shd w:val="clear" w:color="auto" w:fill="auto"/>
            <w:noWrap/>
          </w:tcPr>
          <w:p w14:paraId="64C94C36" w14:textId="77777777" w:rsidR="0090528B" w:rsidRPr="00254613" w:rsidRDefault="0090528B">
            <w:pPr>
              <w:pStyle w:val="DHHStabletext"/>
              <w:jc w:val="right"/>
            </w:pPr>
            <w:r w:rsidRPr="00254613">
              <w:t>125 (57%)</w:t>
            </w:r>
          </w:p>
        </w:tc>
        <w:tc>
          <w:tcPr>
            <w:tcW w:w="744" w:type="pct"/>
            <w:shd w:val="clear" w:color="auto" w:fill="auto"/>
            <w:noWrap/>
          </w:tcPr>
          <w:p w14:paraId="197DA3B6" w14:textId="77777777" w:rsidR="0090528B" w:rsidRPr="00254613" w:rsidRDefault="0090528B">
            <w:pPr>
              <w:pStyle w:val="DHHStabletext"/>
              <w:jc w:val="right"/>
            </w:pPr>
            <w:r w:rsidRPr="00254613">
              <w:t>16 (31%)</w:t>
            </w:r>
          </w:p>
        </w:tc>
        <w:tc>
          <w:tcPr>
            <w:tcW w:w="633" w:type="pct"/>
            <w:vMerge/>
            <w:shd w:val="clear" w:color="auto" w:fill="auto"/>
            <w:noWrap/>
          </w:tcPr>
          <w:p w14:paraId="03FE4CC5" w14:textId="77777777" w:rsidR="0090528B" w:rsidRPr="00BA6C37" w:rsidRDefault="0090528B" w:rsidP="00380AD2">
            <w:pPr>
              <w:pStyle w:val="DHHStabletext"/>
              <w:jc w:val="right"/>
              <w:rPr>
                <w:lang w:eastAsia="en-AU"/>
              </w:rPr>
            </w:pPr>
          </w:p>
        </w:tc>
      </w:tr>
      <w:tr w:rsidR="0090528B" w:rsidRPr="00CF415C" w14:paraId="01CF0CF7" w14:textId="77777777" w:rsidTr="00380AD2">
        <w:trPr>
          <w:trHeight w:val="300"/>
        </w:trPr>
        <w:tc>
          <w:tcPr>
            <w:tcW w:w="893" w:type="pct"/>
            <w:vMerge/>
            <w:shd w:val="clear" w:color="auto" w:fill="auto"/>
            <w:noWrap/>
            <w:vAlign w:val="bottom"/>
          </w:tcPr>
          <w:p w14:paraId="531C731B" w14:textId="77777777" w:rsidR="0090528B" w:rsidRPr="00BA6C37" w:rsidRDefault="0090528B" w:rsidP="00F0776E">
            <w:pPr>
              <w:pStyle w:val="DHHStabletext"/>
              <w:rPr>
                <w:lang w:eastAsia="en-AU"/>
              </w:rPr>
            </w:pPr>
          </w:p>
        </w:tc>
        <w:tc>
          <w:tcPr>
            <w:tcW w:w="1896" w:type="pct"/>
            <w:shd w:val="clear" w:color="auto" w:fill="auto"/>
            <w:noWrap/>
            <w:vAlign w:val="bottom"/>
          </w:tcPr>
          <w:p w14:paraId="0578BAD0" w14:textId="2FF1F0D7" w:rsidR="0090528B" w:rsidRPr="00BA6C37" w:rsidRDefault="009167E7" w:rsidP="00F0776E">
            <w:pPr>
              <w:pStyle w:val="DHHStabletext"/>
              <w:rPr>
                <w:lang w:eastAsia="en-AU"/>
              </w:rPr>
            </w:pPr>
            <w:r>
              <w:rPr>
                <w:lang w:eastAsia="en-AU"/>
              </w:rPr>
              <w:t>Missing data**</w:t>
            </w:r>
          </w:p>
        </w:tc>
        <w:tc>
          <w:tcPr>
            <w:tcW w:w="834" w:type="pct"/>
            <w:shd w:val="clear" w:color="auto" w:fill="auto"/>
            <w:noWrap/>
          </w:tcPr>
          <w:p w14:paraId="03A3758A" w14:textId="77777777" w:rsidR="0090528B" w:rsidRPr="00254613" w:rsidRDefault="0090528B">
            <w:pPr>
              <w:pStyle w:val="DHHStabletext"/>
              <w:jc w:val="right"/>
            </w:pPr>
            <w:r w:rsidRPr="00254613">
              <w:t>18 (8%)</w:t>
            </w:r>
          </w:p>
        </w:tc>
        <w:tc>
          <w:tcPr>
            <w:tcW w:w="744" w:type="pct"/>
            <w:shd w:val="clear" w:color="auto" w:fill="auto"/>
            <w:noWrap/>
          </w:tcPr>
          <w:p w14:paraId="30E0D68C" w14:textId="77777777" w:rsidR="0090528B" w:rsidRPr="00254613" w:rsidRDefault="0090528B">
            <w:pPr>
              <w:pStyle w:val="DHHStabletext"/>
              <w:jc w:val="right"/>
            </w:pPr>
            <w:r w:rsidRPr="00254613">
              <w:t>9 (18%)</w:t>
            </w:r>
          </w:p>
        </w:tc>
        <w:tc>
          <w:tcPr>
            <w:tcW w:w="633" w:type="pct"/>
            <w:vMerge/>
            <w:shd w:val="clear" w:color="auto" w:fill="auto"/>
            <w:noWrap/>
          </w:tcPr>
          <w:p w14:paraId="3C93812A" w14:textId="77777777" w:rsidR="0090528B" w:rsidRPr="00BA6C37" w:rsidRDefault="0090528B" w:rsidP="00380AD2">
            <w:pPr>
              <w:pStyle w:val="DHHStabletext"/>
              <w:jc w:val="right"/>
              <w:rPr>
                <w:lang w:eastAsia="en-AU"/>
              </w:rPr>
            </w:pPr>
          </w:p>
        </w:tc>
      </w:tr>
      <w:tr w:rsidR="0090528B" w:rsidRPr="00CF415C" w14:paraId="35B44121" w14:textId="77777777" w:rsidTr="00B12671">
        <w:trPr>
          <w:trHeight w:val="300"/>
        </w:trPr>
        <w:tc>
          <w:tcPr>
            <w:tcW w:w="893" w:type="pct"/>
            <w:vMerge w:val="restart"/>
            <w:shd w:val="clear" w:color="auto" w:fill="D9D9D9" w:themeFill="background1" w:themeFillShade="D9"/>
            <w:noWrap/>
          </w:tcPr>
          <w:p w14:paraId="7F311800" w14:textId="77777777" w:rsidR="0090528B" w:rsidRPr="00BA6C37" w:rsidRDefault="0090528B" w:rsidP="00F0776E">
            <w:pPr>
              <w:pStyle w:val="DHHStabletext"/>
              <w:rPr>
                <w:lang w:eastAsia="en-AU"/>
              </w:rPr>
            </w:pPr>
            <w:r>
              <w:rPr>
                <w:lang w:eastAsia="en-AU"/>
              </w:rPr>
              <w:t>Did the patient have an admission to a palliative care ward or referral to community palliative care services?</w:t>
            </w:r>
          </w:p>
        </w:tc>
        <w:tc>
          <w:tcPr>
            <w:tcW w:w="1896" w:type="pct"/>
            <w:shd w:val="clear" w:color="auto" w:fill="D9D9D9" w:themeFill="background1" w:themeFillShade="D9"/>
            <w:noWrap/>
            <w:vAlign w:val="bottom"/>
          </w:tcPr>
          <w:p w14:paraId="1972A1A7" w14:textId="5194D486" w:rsidR="0090528B" w:rsidRPr="001202B5" w:rsidRDefault="0090528B" w:rsidP="00F0776E">
            <w:pPr>
              <w:pStyle w:val="DHHStabletext"/>
              <w:rPr>
                <w:rFonts w:cs="Arial"/>
                <w:lang w:eastAsia="en-AU"/>
              </w:rPr>
            </w:pPr>
            <w:r w:rsidRPr="001202B5">
              <w:rPr>
                <w:rFonts w:cs="Arial"/>
                <w:lang w:eastAsia="en-AU"/>
              </w:rPr>
              <w:t>Yes, ad</w:t>
            </w:r>
            <w:r w:rsidR="005E34C1">
              <w:rPr>
                <w:rFonts w:cs="Arial"/>
                <w:lang w:eastAsia="en-AU"/>
              </w:rPr>
              <w:t>mitted to palliative care ward</w:t>
            </w:r>
          </w:p>
        </w:tc>
        <w:tc>
          <w:tcPr>
            <w:tcW w:w="834" w:type="pct"/>
            <w:shd w:val="clear" w:color="auto" w:fill="D9D9D9" w:themeFill="background1" w:themeFillShade="D9"/>
            <w:noWrap/>
          </w:tcPr>
          <w:p w14:paraId="5DB0526B" w14:textId="77777777" w:rsidR="0090528B" w:rsidRPr="001202B5" w:rsidRDefault="0090528B" w:rsidP="00380AD2">
            <w:pPr>
              <w:pStyle w:val="DHHStabletext"/>
              <w:jc w:val="right"/>
              <w:rPr>
                <w:rFonts w:cs="Arial"/>
                <w:lang w:eastAsia="en-AU"/>
              </w:rPr>
            </w:pPr>
            <w:r w:rsidRPr="001202B5">
              <w:rPr>
                <w:rFonts w:cs="Arial"/>
                <w:color w:val="000000"/>
              </w:rPr>
              <w:t>17 (8%)</w:t>
            </w:r>
          </w:p>
        </w:tc>
        <w:tc>
          <w:tcPr>
            <w:tcW w:w="744" w:type="pct"/>
            <w:shd w:val="clear" w:color="auto" w:fill="D9D9D9" w:themeFill="background1" w:themeFillShade="D9"/>
            <w:noWrap/>
          </w:tcPr>
          <w:p w14:paraId="5056A90A" w14:textId="77777777" w:rsidR="0090528B" w:rsidRPr="001202B5" w:rsidRDefault="0090528B" w:rsidP="00380AD2">
            <w:pPr>
              <w:pStyle w:val="DHHStabletext"/>
              <w:jc w:val="right"/>
              <w:rPr>
                <w:rFonts w:cs="Arial"/>
                <w:lang w:eastAsia="en-AU"/>
              </w:rPr>
            </w:pPr>
            <w:r w:rsidRPr="001202B5">
              <w:rPr>
                <w:rFonts w:cs="Arial"/>
                <w:color w:val="000000"/>
              </w:rPr>
              <w:t>2 (4%)</w:t>
            </w:r>
          </w:p>
        </w:tc>
        <w:tc>
          <w:tcPr>
            <w:tcW w:w="633" w:type="pct"/>
            <w:vMerge w:val="restart"/>
            <w:shd w:val="clear" w:color="auto" w:fill="D9D9D9" w:themeFill="background1" w:themeFillShade="D9"/>
            <w:noWrap/>
          </w:tcPr>
          <w:p w14:paraId="279FBA21" w14:textId="77777777" w:rsidR="0090528B" w:rsidRPr="001202B5" w:rsidRDefault="0090528B" w:rsidP="00380AD2">
            <w:pPr>
              <w:pStyle w:val="DHHStabletext"/>
              <w:jc w:val="right"/>
              <w:rPr>
                <w:rFonts w:cs="Arial"/>
                <w:lang w:eastAsia="en-AU"/>
              </w:rPr>
            </w:pPr>
            <w:r w:rsidRPr="001202B5">
              <w:rPr>
                <w:rFonts w:cs="Arial"/>
                <w:color w:val="000000"/>
              </w:rPr>
              <w:t>0.038</w:t>
            </w:r>
          </w:p>
        </w:tc>
      </w:tr>
      <w:tr w:rsidR="0090528B" w:rsidRPr="00CF415C" w14:paraId="01C4F6CC" w14:textId="77777777" w:rsidTr="00B12671">
        <w:trPr>
          <w:trHeight w:val="300"/>
        </w:trPr>
        <w:tc>
          <w:tcPr>
            <w:tcW w:w="893" w:type="pct"/>
            <w:vMerge/>
            <w:shd w:val="clear" w:color="auto" w:fill="D9D9D9" w:themeFill="background1" w:themeFillShade="D9"/>
            <w:noWrap/>
            <w:vAlign w:val="bottom"/>
          </w:tcPr>
          <w:p w14:paraId="5F337138" w14:textId="77777777" w:rsidR="0090528B" w:rsidRDefault="0090528B" w:rsidP="00F0776E">
            <w:pPr>
              <w:pStyle w:val="DHHStabletext"/>
              <w:rPr>
                <w:lang w:eastAsia="en-AU"/>
              </w:rPr>
            </w:pPr>
          </w:p>
        </w:tc>
        <w:tc>
          <w:tcPr>
            <w:tcW w:w="1896" w:type="pct"/>
            <w:shd w:val="clear" w:color="auto" w:fill="D9D9D9" w:themeFill="background1" w:themeFillShade="D9"/>
            <w:noWrap/>
            <w:vAlign w:val="bottom"/>
          </w:tcPr>
          <w:p w14:paraId="538B5034" w14:textId="77777777" w:rsidR="0090528B" w:rsidRPr="001202B5" w:rsidRDefault="0090528B" w:rsidP="00F0776E">
            <w:pPr>
              <w:pStyle w:val="DHHStabletext"/>
              <w:rPr>
                <w:rFonts w:cs="Arial"/>
                <w:lang w:eastAsia="en-AU"/>
              </w:rPr>
            </w:pPr>
            <w:r w:rsidRPr="001202B5">
              <w:rPr>
                <w:rFonts w:cs="Arial"/>
                <w:lang w:eastAsia="en-AU"/>
              </w:rPr>
              <w:t>Yes, community palliative care referral</w:t>
            </w:r>
          </w:p>
        </w:tc>
        <w:tc>
          <w:tcPr>
            <w:tcW w:w="834" w:type="pct"/>
            <w:shd w:val="clear" w:color="auto" w:fill="D9D9D9" w:themeFill="background1" w:themeFillShade="D9"/>
            <w:noWrap/>
          </w:tcPr>
          <w:p w14:paraId="2290B315" w14:textId="77777777" w:rsidR="0090528B" w:rsidRPr="001202B5" w:rsidRDefault="0090528B" w:rsidP="00380AD2">
            <w:pPr>
              <w:pStyle w:val="DHHStabletext"/>
              <w:jc w:val="right"/>
              <w:rPr>
                <w:rFonts w:cs="Arial"/>
                <w:lang w:eastAsia="en-AU"/>
              </w:rPr>
            </w:pPr>
            <w:r w:rsidRPr="001202B5">
              <w:rPr>
                <w:rFonts w:cs="Arial"/>
                <w:color w:val="000000"/>
              </w:rPr>
              <w:t>44 (20%)</w:t>
            </w:r>
          </w:p>
        </w:tc>
        <w:tc>
          <w:tcPr>
            <w:tcW w:w="744" w:type="pct"/>
            <w:shd w:val="clear" w:color="auto" w:fill="D9D9D9" w:themeFill="background1" w:themeFillShade="D9"/>
            <w:noWrap/>
          </w:tcPr>
          <w:p w14:paraId="2432FE74" w14:textId="77777777" w:rsidR="0090528B" w:rsidRPr="001202B5" w:rsidRDefault="0090528B" w:rsidP="00380AD2">
            <w:pPr>
              <w:pStyle w:val="DHHStabletext"/>
              <w:jc w:val="right"/>
              <w:rPr>
                <w:rFonts w:cs="Arial"/>
                <w:lang w:eastAsia="en-AU"/>
              </w:rPr>
            </w:pPr>
            <w:r w:rsidRPr="001202B5">
              <w:rPr>
                <w:rFonts w:cs="Arial"/>
                <w:color w:val="000000"/>
              </w:rPr>
              <w:t>17 (33%)</w:t>
            </w:r>
          </w:p>
        </w:tc>
        <w:tc>
          <w:tcPr>
            <w:tcW w:w="633" w:type="pct"/>
            <w:vMerge/>
            <w:shd w:val="clear" w:color="auto" w:fill="auto"/>
            <w:noWrap/>
            <w:vAlign w:val="bottom"/>
          </w:tcPr>
          <w:p w14:paraId="5358691A" w14:textId="77777777" w:rsidR="0090528B" w:rsidRPr="001202B5" w:rsidRDefault="0090528B" w:rsidP="00F0776E">
            <w:pPr>
              <w:pStyle w:val="DHHStabletext"/>
              <w:rPr>
                <w:rFonts w:cs="Arial"/>
                <w:lang w:eastAsia="en-AU"/>
              </w:rPr>
            </w:pPr>
          </w:p>
        </w:tc>
      </w:tr>
      <w:tr w:rsidR="0090528B" w:rsidRPr="00CF415C" w14:paraId="49B2E792" w14:textId="77777777" w:rsidTr="00B12671">
        <w:trPr>
          <w:trHeight w:val="300"/>
        </w:trPr>
        <w:tc>
          <w:tcPr>
            <w:tcW w:w="893" w:type="pct"/>
            <w:vMerge/>
            <w:shd w:val="clear" w:color="auto" w:fill="D9D9D9" w:themeFill="background1" w:themeFillShade="D9"/>
            <w:noWrap/>
            <w:vAlign w:val="bottom"/>
          </w:tcPr>
          <w:p w14:paraId="7C3C963F" w14:textId="77777777" w:rsidR="0090528B" w:rsidRDefault="0090528B" w:rsidP="00F0776E">
            <w:pPr>
              <w:pStyle w:val="DHHStabletext"/>
              <w:rPr>
                <w:lang w:eastAsia="en-AU"/>
              </w:rPr>
            </w:pPr>
          </w:p>
        </w:tc>
        <w:tc>
          <w:tcPr>
            <w:tcW w:w="1896" w:type="pct"/>
            <w:shd w:val="clear" w:color="auto" w:fill="D9D9D9" w:themeFill="background1" w:themeFillShade="D9"/>
            <w:noWrap/>
            <w:vAlign w:val="bottom"/>
          </w:tcPr>
          <w:p w14:paraId="3B5CDA30" w14:textId="77777777" w:rsidR="0090528B" w:rsidRPr="001202B5" w:rsidRDefault="0090528B" w:rsidP="00F0776E">
            <w:pPr>
              <w:pStyle w:val="DHHStabletext"/>
              <w:rPr>
                <w:rFonts w:cs="Arial"/>
                <w:lang w:eastAsia="en-AU"/>
              </w:rPr>
            </w:pPr>
            <w:r w:rsidRPr="001202B5">
              <w:rPr>
                <w:rFonts w:cs="Arial"/>
                <w:lang w:eastAsia="en-AU"/>
              </w:rPr>
              <w:t>Yes, admission to palliative care ward and referral to community palliative care</w:t>
            </w:r>
          </w:p>
        </w:tc>
        <w:tc>
          <w:tcPr>
            <w:tcW w:w="834" w:type="pct"/>
            <w:shd w:val="clear" w:color="auto" w:fill="D9D9D9" w:themeFill="background1" w:themeFillShade="D9"/>
            <w:noWrap/>
          </w:tcPr>
          <w:p w14:paraId="742B3209" w14:textId="77777777" w:rsidR="0090528B" w:rsidRPr="001202B5" w:rsidRDefault="0090528B" w:rsidP="00380AD2">
            <w:pPr>
              <w:pStyle w:val="DHHStabletext"/>
              <w:jc w:val="right"/>
              <w:rPr>
                <w:rFonts w:cs="Arial"/>
                <w:lang w:eastAsia="en-AU"/>
              </w:rPr>
            </w:pPr>
            <w:r w:rsidRPr="001202B5">
              <w:rPr>
                <w:rFonts w:cs="Arial"/>
                <w:color w:val="000000"/>
              </w:rPr>
              <w:t>8 (4%)</w:t>
            </w:r>
          </w:p>
        </w:tc>
        <w:tc>
          <w:tcPr>
            <w:tcW w:w="744" w:type="pct"/>
            <w:shd w:val="clear" w:color="auto" w:fill="D9D9D9" w:themeFill="background1" w:themeFillShade="D9"/>
            <w:noWrap/>
          </w:tcPr>
          <w:p w14:paraId="382B71DD" w14:textId="77777777" w:rsidR="0090528B" w:rsidRPr="001202B5" w:rsidRDefault="0090528B" w:rsidP="00380AD2">
            <w:pPr>
              <w:pStyle w:val="DHHStabletext"/>
              <w:jc w:val="right"/>
              <w:rPr>
                <w:rFonts w:cs="Arial"/>
                <w:lang w:eastAsia="en-AU"/>
              </w:rPr>
            </w:pPr>
            <w:r w:rsidRPr="001202B5">
              <w:rPr>
                <w:rFonts w:cs="Arial"/>
                <w:color w:val="000000"/>
              </w:rPr>
              <w:t>5 (10%)</w:t>
            </w:r>
          </w:p>
        </w:tc>
        <w:tc>
          <w:tcPr>
            <w:tcW w:w="633" w:type="pct"/>
            <w:vMerge/>
            <w:shd w:val="clear" w:color="auto" w:fill="auto"/>
            <w:noWrap/>
            <w:vAlign w:val="bottom"/>
          </w:tcPr>
          <w:p w14:paraId="75BC0904" w14:textId="77777777" w:rsidR="0090528B" w:rsidRPr="001202B5" w:rsidRDefault="0090528B" w:rsidP="00F0776E">
            <w:pPr>
              <w:pStyle w:val="DHHStabletext"/>
              <w:rPr>
                <w:rFonts w:cs="Arial"/>
                <w:lang w:eastAsia="en-AU"/>
              </w:rPr>
            </w:pPr>
          </w:p>
        </w:tc>
      </w:tr>
      <w:tr w:rsidR="0090528B" w:rsidRPr="00CF415C" w14:paraId="6569E2CB" w14:textId="77777777" w:rsidTr="00B12671">
        <w:trPr>
          <w:trHeight w:val="300"/>
        </w:trPr>
        <w:tc>
          <w:tcPr>
            <w:tcW w:w="893" w:type="pct"/>
            <w:vMerge/>
            <w:shd w:val="clear" w:color="auto" w:fill="D9D9D9" w:themeFill="background1" w:themeFillShade="D9"/>
            <w:noWrap/>
            <w:vAlign w:val="bottom"/>
          </w:tcPr>
          <w:p w14:paraId="6F6AB550" w14:textId="77777777" w:rsidR="0090528B" w:rsidRDefault="0090528B" w:rsidP="00F0776E">
            <w:pPr>
              <w:pStyle w:val="DHHStabletext"/>
              <w:rPr>
                <w:lang w:eastAsia="en-AU"/>
              </w:rPr>
            </w:pPr>
          </w:p>
        </w:tc>
        <w:tc>
          <w:tcPr>
            <w:tcW w:w="1896" w:type="pct"/>
            <w:shd w:val="clear" w:color="auto" w:fill="D9D9D9" w:themeFill="background1" w:themeFillShade="D9"/>
            <w:noWrap/>
            <w:vAlign w:val="bottom"/>
          </w:tcPr>
          <w:p w14:paraId="6BBA9FC4" w14:textId="4B00A80E" w:rsidR="0090528B" w:rsidRPr="001202B5" w:rsidRDefault="0090528B" w:rsidP="00F0776E">
            <w:pPr>
              <w:pStyle w:val="DHHStabletext"/>
              <w:rPr>
                <w:rFonts w:cs="Arial"/>
                <w:lang w:eastAsia="en-AU"/>
              </w:rPr>
            </w:pPr>
            <w:r w:rsidRPr="001202B5">
              <w:rPr>
                <w:rFonts w:cs="Arial"/>
                <w:lang w:eastAsia="en-AU"/>
              </w:rPr>
              <w:t>No documented admission or referra</w:t>
            </w:r>
            <w:r w:rsidR="00833AE6" w:rsidRPr="001202B5">
              <w:rPr>
                <w:rFonts w:cs="Arial"/>
                <w:lang w:eastAsia="en-AU"/>
              </w:rPr>
              <w:t>l</w:t>
            </w:r>
          </w:p>
        </w:tc>
        <w:tc>
          <w:tcPr>
            <w:tcW w:w="834" w:type="pct"/>
            <w:shd w:val="clear" w:color="auto" w:fill="D9D9D9" w:themeFill="background1" w:themeFillShade="D9"/>
            <w:noWrap/>
          </w:tcPr>
          <w:p w14:paraId="71901D02" w14:textId="77777777" w:rsidR="0090528B" w:rsidRPr="001202B5" w:rsidRDefault="0090528B" w:rsidP="00380AD2">
            <w:pPr>
              <w:pStyle w:val="DHHStabletext"/>
              <w:jc w:val="right"/>
              <w:rPr>
                <w:rFonts w:cs="Arial"/>
                <w:lang w:eastAsia="en-AU"/>
              </w:rPr>
            </w:pPr>
            <w:r w:rsidRPr="001202B5">
              <w:rPr>
                <w:rFonts w:cs="Arial"/>
                <w:color w:val="000000"/>
              </w:rPr>
              <w:t>135 (61%)</w:t>
            </w:r>
          </w:p>
        </w:tc>
        <w:tc>
          <w:tcPr>
            <w:tcW w:w="744" w:type="pct"/>
            <w:shd w:val="clear" w:color="auto" w:fill="D9D9D9" w:themeFill="background1" w:themeFillShade="D9"/>
            <w:noWrap/>
          </w:tcPr>
          <w:p w14:paraId="40B5CAD7" w14:textId="77777777" w:rsidR="0090528B" w:rsidRPr="001202B5" w:rsidRDefault="0090528B" w:rsidP="00380AD2">
            <w:pPr>
              <w:pStyle w:val="DHHStabletext"/>
              <w:jc w:val="right"/>
              <w:rPr>
                <w:rFonts w:cs="Arial"/>
                <w:lang w:eastAsia="en-AU"/>
              </w:rPr>
            </w:pPr>
            <w:r w:rsidRPr="001202B5">
              <w:rPr>
                <w:rFonts w:cs="Arial"/>
                <w:color w:val="000000"/>
              </w:rPr>
              <w:t>22 (43%)</w:t>
            </w:r>
          </w:p>
        </w:tc>
        <w:tc>
          <w:tcPr>
            <w:tcW w:w="633" w:type="pct"/>
            <w:vMerge/>
            <w:shd w:val="clear" w:color="auto" w:fill="auto"/>
            <w:noWrap/>
            <w:vAlign w:val="bottom"/>
          </w:tcPr>
          <w:p w14:paraId="1933705A" w14:textId="77777777" w:rsidR="0090528B" w:rsidRPr="001202B5" w:rsidRDefault="0090528B" w:rsidP="00F0776E">
            <w:pPr>
              <w:pStyle w:val="DHHStabletext"/>
              <w:rPr>
                <w:rFonts w:cs="Arial"/>
                <w:lang w:eastAsia="en-AU"/>
              </w:rPr>
            </w:pPr>
          </w:p>
        </w:tc>
      </w:tr>
      <w:tr w:rsidR="0090528B" w:rsidRPr="00CF415C" w14:paraId="73FFF1F2" w14:textId="77777777" w:rsidTr="00B12671">
        <w:trPr>
          <w:trHeight w:val="300"/>
        </w:trPr>
        <w:tc>
          <w:tcPr>
            <w:tcW w:w="893" w:type="pct"/>
            <w:vMerge/>
            <w:shd w:val="clear" w:color="auto" w:fill="D9D9D9" w:themeFill="background1" w:themeFillShade="D9"/>
            <w:noWrap/>
            <w:vAlign w:val="bottom"/>
          </w:tcPr>
          <w:p w14:paraId="2A2E6522" w14:textId="77777777" w:rsidR="0090528B" w:rsidRDefault="0090528B" w:rsidP="00F0776E">
            <w:pPr>
              <w:pStyle w:val="DHHStabletext"/>
              <w:rPr>
                <w:lang w:eastAsia="en-AU"/>
              </w:rPr>
            </w:pPr>
          </w:p>
        </w:tc>
        <w:tc>
          <w:tcPr>
            <w:tcW w:w="1896" w:type="pct"/>
            <w:shd w:val="clear" w:color="auto" w:fill="D9D9D9" w:themeFill="background1" w:themeFillShade="D9"/>
            <w:noWrap/>
            <w:vAlign w:val="bottom"/>
          </w:tcPr>
          <w:p w14:paraId="50EA8598" w14:textId="2E1C2004" w:rsidR="0090528B" w:rsidRPr="001202B5" w:rsidRDefault="009167E7" w:rsidP="00F0776E">
            <w:pPr>
              <w:pStyle w:val="DHHStabletext"/>
              <w:rPr>
                <w:rFonts w:cs="Arial"/>
                <w:lang w:eastAsia="en-AU"/>
              </w:rPr>
            </w:pPr>
            <w:r>
              <w:rPr>
                <w:rFonts w:cs="Arial"/>
                <w:lang w:eastAsia="en-AU"/>
              </w:rPr>
              <w:t>Missing data**</w:t>
            </w:r>
          </w:p>
        </w:tc>
        <w:tc>
          <w:tcPr>
            <w:tcW w:w="834" w:type="pct"/>
            <w:shd w:val="clear" w:color="auto" w:fill="D9D9D9" w:themeFill="background1" w:themeFillShade="D9"/>
            <w:noWrap/>
          </w:tcPr>
          <w:p w14:paraId="5013F38E" w14:textId="77777777" w:rsidR="0090528B" w:rsidRPr="001202B5" w:rsidRDefault="0090528B" w:rsidP="00380AD2">
            <w:pPr>
              <w:pStyle w:val="DHHStabletext"/>
              <w:jc w:val="right"/>
              <w:rPr>
                <w:rFonts w:cs="Arial"/>
                <w:lang w:eastAsia="en-AU"/>
              </w:rPr>
            </w:pPr>
            <w:r w:rsidRPr="001202B5">
              <w:rPr>
                <w:rFonts w:cs="Arial"/>
                <w:color w:val="000000"/>
              </w:rPr>
              <w:t>16 (7%)</w:t>
            </w:r>
          </w:p>
        </w:tc>
        <w:tc>
          <w:tcPr>
            <w:tcW w:w="744" w:type="pct"/>
            <w:shd w:val="clear" w:color="auto" w:fill="D9D9D9" w:themeFill="background1" w:themeFillShade="D9"/>
            <w:noWrap/>
          </w:tcPr>
          <w:p w14:paraId="28737889" w14:textId="77777777" w:rsidR="0090528B" w:rsidRPr="001202B5" w:rsidRDefault="0090528B" w:rsidP="00380AD2">
            <w:pPr>
              <w:pStyle w:val="DHHStabletext"/>
              <w:jc w:val="right"/>
              <w:rPr>
                <w:rFonts w:cs="Arial"/>
                <w:lang w:eastAsia="en-AU"/>
              </w:rPr>
            </w:pPr>
            <w:r w:rsidRPr="001202B5">
              <w:rPr>
                <w:rFonts w:cs="Arial"/>
                <w:color w:val="000000"/>
              </w:rPr>
              <w:t>5 (10%)</w:t>
            </w:r>
          </w:p>
        </w:tc>
        <w:tc>
          <w:tcPr>
            <w:tcW w:w="633" w:type="pct"/>
            <w:vMerge/>
            <w:shd w:val="clear" w:color="auto" w:fill="auto"/>
            <w:noWrap/>
            <w:vAlign w:val="bottom"/>
          </w:tcPr>
          <w:p w14:paraId="70E3F376" w14:textId="77777777" w:rsidR="0090528B" w:rsidRPr="001202B5" w:rsidRDefault="0090528B" w:rsidP="00F0776E">
            <w:pPr>
              <w:pStyle w:val="DHHStabletext"/>
              <w:rPr>
                <w:rFonts w:cs="Arial"/>
                <w:lang w:eastAsia="en-AU"/>
              </w:rPr>
            </w:pPr>
          </w:p>
        </w:tc>
      </w:tr>
    </w:tbl>
    <w:p w14:paraId="557773DB" w14:textId="7D28F419" w:rsidR="00C42C7A" w:rsidRPr="00380AD2" w:rsidRDefault="00C42C7A" w:rsidP="006727DF">
      <w:pPr>
        <w:pStyle w:val="DHHStablefigurenote"/>
        <w:rPr>
          <w:rFonts w:cs="Arial"/>
          <w:lang w:eastAsia="en-AU"/>
        </w:rPr>
      </w:pPr>
      <w:r>
        <w:rPr>
          <w:rFonts w:cs="Arial"/>
          <w:vertAlign w:val="superscript"/>
          <w:lang w:eastAsia="en-AU"/>
        </w:rPr>
        <w:t>^</w:t>
      </w:r>
      <w:r w:rsidR="006727DF">
        <w:rPr>
          <w:rFonts w:cs="Arial"/>
          <w:vertAlign w:val="superscript"/>
          <w:lang w:eastAsia="en-AU"/>
        </w:rPr>
        <w:t xml:space="preserve"> </w:t>
      </w:r>
      <w:r w:rsidR="00712E0B" w:rsidRPr="00380AD2">
        <w:rPr>
          <w:rFonts w:cs="Arial"/>
          <w:lang w:eastAsia="en-AU"/>
        </w:rPr>
        <w:t>Differences</w:t>
      </w:r>
      <w:r w:rsidR="00712E0B" w:rsidRPr="00712E0B">
        <w:rPr>
          <w:rFonts w:cs="Arial"/>
          <w:vertAlign w:val="superscript"/>
          <w:lang w:eastAsia="en-AU"/>
        </w:rPr>
        <w:t xml:space="preserve"> </w:t>
      </w:r>
      <w:r w:rsidR="00712E0B" w:rsidRPr="00712E0B">
        <w:rPr>
          <w:rFonts w:cs="Arial"/>
          <w:lang w:eastAsia="en-AU"/>
        </w:rPr>
        <w:t xml:space="preserve">in categorical variables were assessed using </w:t>
      </w:r>
      <w:r w:rsidR="00712E0B" w:rsidRPr="00380AD2">
        <w:rPr>
          <w:rFonts w:ascii="Helv" w:hAnsi="Helv" w:cs="Helv"/>
          <w:color w:val="000000"/>
          <w:lang w:eastAsia="en-AU"/>
        </w:rPr>
        <w:t>Pearson</w:t>
      </w:r>
      <w:r w:rsidR="00E83686">
        <w:rPr>
          <w:rFonts w:ascii="Helv" w:hAnsi="Helv" w:cs="Helv"/>
          <w:color w:val="000000"/>
          <w:lang w:eastAsia="en-AU"/>
        </w:rPr>
        <w:t>’</w:t>
      </w:r>
      <w:r w:rsidR="00712E0B" w:rsidRPr="00380AD2">
        <w:rPr>
          <w:rFonts w:ascii="Helv" w:hAnsi="Helv" w:cs="Helv"/>
          <w:color w:val="000000"/>
          <w:lang w:eastAsia="en-AU"/>
        </w:rPr>
        <w:t>s chi-squared test (with Yates</w:t>
      </w:r>
      <w:r w:rsidR="00E83686">
        <w:rPr>
          <w:rFonts w:ascii="Helv" w:hAnsi="Helv" w:cs="Helv"/>
          <w:color w:val="000000"/>
          <w:lang w:eastAsia="en-AU"/>
        </w:rPr>
        <w:t>’</w:t>
      </w:r>
      <w:r w:rsidR="00712E0B" w:rsidRPr="00380AD2">
        <w:rPr>
          <w:rFonts w:ascii="Helv" w:hAnsi="Helv" w:cs="Helv"/>
          <w:color w:val="000000"/>
          <w:lang w:eastAsia="en-AU"/>
        </w:rPr>
        <w:t xml:space="preserve"> continuity correction where necessary). Differences in continuous variables were assessed using </w:t>
      </w:r>
      <w:r w:rsidR="00712E0B">
        <w:rPr>
          <w:rFonts w:ascii="Helv" w:hAnsi="Helv" w:cs="Helv"/>
          <w:color w:val="000000"/>
          <w:lang w:eastAsia="en-AU"/>
        </w:rPr>
        <w:t xml:space="preserve">the </w:t>
      </w:r>
      <w:r w:rsidR="00712E0B" w:rsidRPr="00380AD2">
        <w:rPr>
          <w:rFonts w:ascii="Helv" w:hAnsi="Helv" w:cs="Helv"/>
          <w:color w:val="000000"/>
          <w:lang w:eastAsia="en-AU"/>
        </w:rPr>
        <w:t>Wilcoxon-Mann-Whitney test to assess differences in continuous variables</w:t>
      </w:r>
      <w:r w:rsidR="00E83686">
        <w:rPr>
          <w:rFonts w:ascii="Helv" w:hAnsi="Helv" w:cs="Helv"/>
          <w:color w:val="000000"/>
          <w:lang w:eastAsia="en-AU"/>
        </w:rPr>
        <w:t>.</w:t>
      </w:r>
    </w:p>
    <w:p w14:paraId="7DFE08D3" w14:textId="272952BA" w:rsidR="009A009B" w:rsidRPr="009A009B" w:rsidRDefault="009A009B" w:rsidP="006727DF">
      <w:pPr>
        <w:pStyle w:val="DHHStablefigurenote"/>
        <w:rPr>
          <w:rFonts w:cs="Arial"/>
          <w:lang w:eastAsia="en-AU"/>
        </w:rPr>
      </w:pPr>
      <w:r w:rsidRPr="009A009B">
        <w:rPr>
          <w:rFonts w:cs="Arial"/>
          <w:vertAlign w:val="superscript"/>
          <w:lang w:eastAsia="en-AU"/>
        </w:rPr>
        <w:t>#</w:t>
      </w:r>
      <w:r w:rsidR="006727DF">
        <w:rPr>
          <w:rFonts w:cs="Arial"/>
          <w:vertAlign w:val="superscript"/>
          <w:lang w:eastAsia="en-AU"/>
        </w:rPr>
        <w:t xml:space="preserve"> </w:t>
      </w:r>
      <w:r w:rsidRPr="009A009B">
        <w:rPr>
          <w:rFonts w:cs="Arial"/>
          <w:lang w:eastAsia="en-AU"/>
        </w:rPr>
        <w:t xml:space="preserve">Note </w:t>
      </w:r>
      <w:proofErr w:type="spellStart"/>
      <w:r w:rsidRPr="009A009B">
        <w:rPr>
          <w:rFonts w:cs="Arial"/>
          <w:lang w:eastAsia="en-AU"/>
        </w:rPr>
        <w:t>HumeRICS</w:t>
      </w:r>
      <w:proofErr w:type="spellEnd"/>
      <w:r w:rsidRPr="009A009B">
        <w:rPr>
          <w:rFonts w:cs="Arial"/>
          <w:lang w:eastAsia="en-AU"/>
        </w:rPr>
        <w:t xml:space="preserve"> data limitation </w:t>
      </w:r>
      <w:r w:rsidR="00B82470">
        <w:rPr>
          <w:lang w:eastAsia="en-AU"/>
        </w:rPr>
        <w:t>regarding patients receiving their treatment in NSW.</w:t>
      </w:r>
    </w:p>
    <w:p w14:paraId="1D816195" w14:textId="57D6F737" w:rsidR="002742C6" w:rsidRPr="003360DE" w:rsidRDefault="0090528B" w:rsidP="006727DF">
      <w:pPr>
        <w:pStyle w:val="DHHStablefigurenote"/>
        <w:rPr>
          <w:rFonts w:cs="Arial"/>
          <w:lang w:eastAsia="en-AU"/>
        </w:rPr>
      </w:pPr>
      <w:r w:rsidRPr="003360DE">
        <w:rPr>
          <w:rFonts w:cs="Arial"/>
          <w:lang w:eastAsia="en-AU"/>
        </w:rPr>
        <w:t>*</w:t>
      </w:r>
      <w:r w:rsidR="006727DF">
        <w:rPr>
          <w:rFonts w:cs="Arial"/>
          <w:lang w:eastAsia="en-AU"/>
        </w:rPr>
        <w:t xml:space="preserve"> </w:t>
      </w:r>
      <w:r w:rsidRPr="003360DE">
        <w:rPr>
          <w:rFonts w:cs="Arial"/>
          <w:lang w:eastAsia="en-AU"/>
        </w:rPr>
        <w:t xml:space="preserve">The term </w:t>
      </w:r>
      <w:r w:rsidR="00E83686">
        <w:rPr>
          <w:rFonts w:cs="Arial"/>
          <w:lang w:eastAsia="en-AU"/>
        </w:rPr>
        <w:t>‘</w:t>
      </w:r>
      <w:r w:rsidRPr="003360DE">
        <w:rPr>
          <w:rFonts w:cs="Arial"/>
          <w:lang w:eastAsia="en-AU"/>
        </w:rPr>
        <w:t xml:space="preserve">ICS of </w:t>
      </w:r>
      <w:r w:rsidR="00E83686">
        <w:rPr>
          <w:rFonts w:cs="Arial"/>
          <w:lang w:eastAsia="en-AU"/>
        </w:rPr>
        <w:t>f</w:t>
      </w:r>
      <w:r w:rsidR="000E3D8A">
        <w:rPr>
          <w:rFonts w:cs="Arial"/>
          <w:lang w:eastAsia="en-AU"/>
        </w:rPr>
        <w:t xml:space="preserve">irst </w:t>
      </w:r>
      <w:r w:rsidR="00E83686">
        <w:rPr>
          <w:rFonts w:cs="Arial"/>
          <w:lang w:eastAsia="en-AU"/>
        </w:rPr>
        <w:t>t</w:t>
      </w:r>
      <w:r w:rsidR="000E3D8A">
        <w:rPr>
          <w:rFonts w:cs="Arial"/>
          <w:lang w:eastAsia="en-AU"/>
        </w:rPr>
        <w:t>reatment</w:t>
      </w:r>
      <w:r w:rsidR="00E83686">
        <w:rPr>
          <w:rFonts w:cs="Arial"/>
          <w:lang w:eastAsia="en-AU"/>
        </w:rPr>
        <w:t>’</w:t>
      </w:r>
      <w:r w:rsidRPr="003360DE">
        <w:rPr>
          <w:rFonts w:cs="Arial"/>
          <w:lang w:eastAsia="en-AU"/>
        </w:rPr>
        <w:t xml:space="preserve"> is defined as the ICS of the campus where the first VAED admission was reported</w:t>
      </w:r>
      <w:r w:rsidR="00063FB8">
        <w:rPr>
          <w:rFonts w:cs="Arial"/>
          <w:lang w:eastAsia="en-AU"/>
        </w:rPr>
        <w:t>,</w:t>
      </w:r>
      <w:r w:rsidR="00833AE6" w:rsidRPr="003360DE">
        <w:rPr>
          <w:rFonts w:cs="Arial"/>
          <w:lang w:eastAsia="en-AU"/>
        </w:rPr>
        <w:t xml:space="preserve"> </w:t>
      </w:r>
      <w:r w:rsidR="00E83686">
        <w:rPr>
          <w:rFonts w:cs="Arial"/>
          <w:lang w:eastAsia="en-AU"/>
        </w:rPr>
        <w:t xml:space="preserve">where the </w:t>
      </w:r>
      <w:r w:rsidRPr="003360DE">
        <w:rPr>
          <w:rFonts w:cs="Arial"/>
          <w:lang w:eastAsia="en-AU"/>
        </w:rPr>
        <w:t>patient first received treatment (chemotherapy, radiotherapy, surgery) or, if no treatment was received, the ICS of the campus where the patient was first referred.</w:t>
      </w:r>
    </w:p>
    <w:p w14:paraId="22C54B19" w14:textId="544CE8CC" w:rsidR="0090528B" w:rsidRPr="003360DE" w:rsidRDefault="009167E7" w:rsidP="006727DF">
      <w:pPr>
        <w:pStyle w:val="DHHStablefigurenote"/>
      </w:pPr>
      <w:r w:rsidRPr="003360DE">
        <w:t>**</w:t>
      </w:r>
      <w:r w:rsidR="006727DF">
        <w:t xml:space="preserve"> </w:t>
      </w:r>
      <w:r w:rsidR="0090528B" w:rsidRPr="003360DE">
        <w:t>If a field entry was not completed by the auditor, the data was recorded as missing. No assumptions were made.</w:t>
      </w:r>
    </w:p>
    <w:p w14:paraId="4D4595FD" w14:textId="07EF9923" w:rsidR="0090528B" w:rsidRDefault="006F3AED" w:rsidP="006F3AED">
      <w:pPr>
        <w:pStyle w:val="Heading3"/>
      </w:pPr>
      <w:r>
        <w:t xml:space="preserve">Multidisciplinary </w:t>
      </w:r>
      <w:r w:rsidR="00A144F1">
        <w:t>m</w:t>
      </w:r>
      <w:r>
        <w:t xml:space="preserve">eeting </w:t>
      </w:r>
      <w:r w:rsidR="00A144F1">
        <w:t>l</w:t>
      </w:r>
      <w:r>
        <w:t>ocation</w:t>
      </w:r>
    </w:p>
    <w:p w14:paraId="031B973A" w14:textId="0DD29222" w:rsidR="006727DF" w:rsidRPr="0013267E" w:rsidRDefault="0098179C" w:rsidP="0013267E">
      <w:pPr>
        <w:pStyle w:val="DHHSbody"/>
      </w:pPr>
      <w:r>
        <w:t xml:space="preserve">In most cases, patients were </w:t>
      </w:r>
      <w:r w:rsidR="00A708C8">
        <w:t>discus</w:t>
      </w:r>
      <w:r w:rsidR="006C18C4">
        <w:t>sed at an MDM located within</w:t>
      </w:r>
      <w:r w:rsidR="00A708C8">
        <w:t xml:space="preserve"> their ICS of residence</w:t>
      </w:r>
      <w:r w:rsidR="00E83686">
        <w:t>,</w:t>
      </w:r>
      <w:r>
        <w:t xml:space="preserve"> with two exceptions</w:t>
      </w:r>
      <w:r w:rsidR="00E83686">
        <w:t>:</w:t>
      </w:r>
      <w:r>
        <w:t xml:space="preserve"> a greater proportion of Gippsland and Hume residents were discussed at an MDM in a metropolitan ICS</w:t>
      </w:r>
      <w:r w:rsidR="00E83686">
        <w:t xml:space="preserve"> (Table 4)</w:t>
      </w:r>
      <w:r>
        <w:t>.</w:t>
      </w:r>
    </w:p>
    <w:p w14:paraId="30BD1D01" w14:textId="623CE197" w:rsidR="0090528B" w:rsidRPr="00A708C8" w:rsidRDefault="00B00FC0" w:rsidP="00054EC0">
      <w:pPr>
        <w:pStyle w:val="DHHStablecaption"/>
      </w:pPr>
      <w:bookmarkStart w:id="24" w:name="_Toc524422141"/>
      <w:bookmarkStart w:id="25" w:name="_Toc524422236"/>
      <w:r>
        <w:t xml:space="preserve">Table </w:t>
      </w:r>
      <w:r w:rsidR="005E110B">
        <w:fldChar w:fldCharType="begin"/>
      </w:r>
      <w:r w:rsidR="005E110B">
        <w:instrText xml:space="preserve"> SEQ Table \* ARABIC </w:instrText>
      </w:r>
      <w:r w:rsidR="005E110B">
        <w:fldChar w:fldCharType="separate"/>
      </w:r>
      <w:r w:rsidR="005E110B">
        <w:rPr>
          <w:noProof/>
        </w:rPr>
        <w:t>4</w:t>
      </w:r>
      <w:r w:rsidR="005E110B">
        <w:rPr>
          <w:noProof/>
        </w:rPr>
        <w:fldChar w:fldCharType="end"/>
      </w:r>
      <w:r w:rsidR="00A144F1">
        <w:t>:</w:t>
      </w:r>
      <w:r w:rsidR="0090528B">
        <w:t xml:space="preserve"> Location of patient MDMs in relation to the patient’s ICS of residence</w:t>
      </w:r>
      <w:bookmarkEnd w:id="24"/>
      <w:bookmarkEnd w:id="25"/>
    </w:p>
    <w:tbl>
      <w:tblPr>
        <w:tblW w:w="77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682"/>
        <w:gridCol w:w="683"/>
        <w:gridCol w:w="682"/>
        <w:gridCol w:w="683"/>
        <w:gridCol w:w="683"/>
        <w:gridCol w:w="682"/>
        <w:gridCol w:w="683"/>
        <w:gridCol w:w="683"/>
      </w:tblGrid>
      <w:tr w:rsidR="0090528B" w:rsidRPr="00EF3A59" w14:paraId="0AF7185C" w14:textId="77777777" w:rsidTr="006727DF">
        <w:trPr>
          <w:trHeight w:val="1965"/>
          <w:tblHeader/>
        </w:trPr>
        <w:tc>
          <w:tcPr>
            <w:tcW w:w="2320" w:type="dxa"/>
            <w:shd w:val="clear" w:color="auto" w:fill="auto"/>
            <w:noWrap/>
            <w:vAlign w:val="bottom"/>
            <w:hideMark/>
          </w:tcPr>
          <w:p w14:paraId="7E31C09E" w14:textId="54A74362" w:rsidR="0090528B" w:rsidRPr="00954470" w:rsidRDefault="006727DF">
            <w:pPr>
              <w:pStyle w:val="DHHStablecolhead"/>
            </w:pPr>
            <w:r w:rsidRPr="00954470">
              <w:t xml:space="preserve">ICS of </w:t>
            </w:r>
            <w:r w:rsidR="00A144F1">
              <w:t>r</w:t>
            </w:r>
            <w:r w:rsidRPr="00954470">
              <w:t>esidence</w:t>
            </w:r>
          </w:p>
        </w:tc>
        <w:tc>
          <w:tcPr>
            <w:tcW w:w="682" w:type="dxa"/>
            <w:shd w:val="clear" w:color="auto" w:fill="auto"/>
            <w:noWrap/>
            <w:textDirection w:val="btLr"/>
            <w:hideMark/>
          </w:tcPr>
          <w:p w14:paraId="55B76150" w14:textId="77777777" w:rsidR="0090528B" w:rsidRPr="00954470" w:rsidRDefault="0090528B" w:rsidP="00954470">
            <w:pPr>
              <w:pStyle w:val="DHHStablecolhead"/>
            </w:pPr>
            <w:r w:rsidRPr="00954470">
              <w:t>NEMICS</w:t>
            </w:r>
          </w:p>
        </w:tc>
        <w:tc>
          <w:tcPr>
            <w:tcW w:w="683" w:type="dxa"/>
            <w:shd w:val="clear" w:color="auto" w:fill="auto"/>
            <w:noWrap/>
            <w:textDirection w:val="btLr"/>
            <w:hideMark/>
          </w:tcPr>
          <w:p w14:paraId="771D13E6" w14:textId="77777777" w:rsidR="0090528B" w:rsidRPr="00954470" w:rsidRDefault="0090528B" w:rsidP="00954470">
            <w:pPr>
              <w:pStyle w:val="DHHStablecolhead"/>
            </w:pPr>
            <w:r w:rsidRPr="00954470">
              <w:t>SMICS</w:t>
            </w:r>
          </w:p>
        </w:tc>
        <w:tc>
          <w:tcPr>
            <w:tcW w:w="682" w:type="dxa"/>
            <w:shd w:val="clear" w:color="auto" w:fill="auto"/>
            <w:noWrap/>
            <w:textDirection w:val="btLr"/>
            <w:hideMark/>
          </w:tcPr>
          <w:p w14:paraId="31915697" w14:textId="77777777" w:rsidR="0090528B" w:rsidRPr="00954470" w:rsidRDefault="0090528B" w:rsidP="00954470">
            <w:pPr>
              <w:pStyle w:val="DHHStablecolhead"/>
            </w:pPr>
            <w:r w:rsidRPr="00954470">
              <w:t>WCMICS</w:t>
            </w:r>
          </w:p>
        </w:tc>
        <w:tc>
          <w:tcPr>
            <w:tcW w:w="683" w:type="dxa"/>
            <w:shd w:val="clear" w:color="auto" w:fill="auto"/>
            <w:noWrap/>
            <w:textDirection w:val="btLr"/>
            <w:hideMark/>
          </w:tcPr>
          <w:p w14:paraId="2FB3B83F" w14:textId="77777777" w:rsidR="0090528B" w:rsidRPr="00954470" w:rsidRDefault="0090528B" w:rsidP="00954470">
            <w:pPr>
              <w:pStyle w:val="DHHStablecolhead"/>
            </w:pPr>
            <w:r w:rsidRPr="00954470">
              <w:t>Barwon SW RICS</w:t>
            </w:r>
          </w:p>
        </w:tc>
        <w:tc>
          <w:tcPr>
            <w:tcW w:w="683" w:type="dxa"/>
            <w:shd w:val="clear" w:color="auto" w:fill="auto"/>
            <w:noWrap/>
            <w:textDirection w:val="btLr"/>
            <w:hideMark/>
          </w:tcPr>
          <w:p w14:paraId="1CB0171D" w14:textId="77777777" w:rsidR="0090528B" w:rsidRPr="00954470" w:rsidRDefault="0090528B" w:rsidP="00954470">
            <w:pPr>
              <w:pStyle w:val="DHHStablecolhead"/>
            </w:pPr>
            <w:r w:rsidRPr="00954470">
              <w:t>Gippsland RICS</w:t>
            </w:r>
          </w:p>
        </w:tc>
        <w:tc>
          <w:tcPr>
            <w:tcW w:w="682" w:type="dxa"/>
            <w:shd w:val="clear" w:color="auto" w:fill="auto"/>
            <w:noWrap/>
            <w:textDirection w:val="btLr"/>
            <w:hideMark/>
          </w:tcPr>
          <w:p w14:paraId="2A737F4A" w14:textId="293738AC" w:rsidR="0090528B" w:rsidRPr="00954470" w:rsidRDefault="0090528B" w:rsidP="00954470">
            <w:pPr>
              <w:pStyle w:val="DHHStablecolhead"/>
            </w:pPr>
            <w:r w:rsidRPr="00954470">
              <w:t>Hume RICS</w:t>
            </w:r>
            <w:r w:rsidRPr="00254613" w:rsidDel="00032641">
              <w:rPr>
                <w:vertAlign w:val="superscript"/>
              </w:rPr>
              <w:t xml:space="preserve"> </w:t>
            </w:r>
            <w:r w:rsidR="009A009B" w:rsidRPr="00254613">
              <w:rPr>
                <w:vertAlign w:val="superscript"/>
              </w:rPr>
              <w:t>#</w:t>
            </w:r>
          </w:p>
        </w:tc>
        <w:tc>
          <w:tcPr>
            <w:tcW w:w="683" w:type="dxa"/>
            <w:shd w:val="clear" w:color="auto" w:fill="auto"/>
            <w:noWrap/>
            <w:textDirection w:val="btLr"/>
            <w:hideMark/>
          </w:tcPr>
          <w:p w14:paraId="2BE705DD" w14:textId="77777777" w:rsidR="0090528B" w:rsidRPr="00954470" w:rsidRDefault="0090528B" w:rsidP="00954470">
            <w:pPr>
              <w:pStyle w:val="DHHStablecolhead"/>
            </w:pPr>
            <w:r w:rsidRPr="00954470">
              <w:t>Loddon Mallee ICS</w:t>
            </w:r>
          </w:p>
        </w:tc>
        <w:tc>
          <w:tcPr>
            <w:tcW w:w="683" w:type="dxa"/>
            <w:shd w:val="clear" w:color="auto" w:fill="auto"/>
            <w:noWrap/>
            <w:textDirection w:val="btLr"/>
            <w:hideMark/>
          </w:tcPr>
          <w:p w14:paraId="58D8A9CE" w14:textId="77777777" w:rsidR="0090528B" w:rsidRPr="00954470" w:rsidRDefault="0090528B" w:rsidP="00954470">
            <w:pPr>
              <w:pStyle w:val="DHHStablecolhead"/>
            </w:pPr>
            <w:r w:rsidRPr="00954470">
              <w:t xml:space="preserve">Grampians ICS </w:t>
            </w:r>
          </w:p>
        </w:tc>
      </w:tr>
      <w:tr w:rsidR="0090528B" w:rsidRPr="00EF3A59" w14:paraId="1CB5D22A" w14:textId="77777777" w:rsidTr="00380AD2">
        <w:trPr>
          <w:trHeight w:val="300"/>
        </w:trPr>
        <w:tc>
          <w:tcPr>
            <w:tcW w:w="2320" w:type="dxa"/>
            <w:shd w:val="clear" w:color="auto" w:fill="auto"/>
            <w:noWrap/>
            <w:vAlign w:val="center"/>
            <w:hideMark/>
          </w:tcPr>
          <w:p w14:paraId="446E30B4" w14:textId="77777777" w:rsidR="0090528B" w:rsidRPr="001202B5" w:rsidRDefault="0090528B" w:rsidP="00954470">
            <w:pPr>
              <w:pStyle w:val="DHHStabletext"/>
              <w:rPr>
                <w:lang w:eastAsia="en-AU"/>
              </w:rPr>
            </w:pPr>
            <w:r w:rsidRPr="001202B5">
              <w:rPr>
                <w:lang w:eastAsia="en-AU"/>
              </w:rPr>
              <w:t>NEMICS</w:t>
            </w:r>
          </w:p>
        </w:tc>
        <w:tc>
          <w:tcPr>
            <w:tcW w:w="682" w:type="dxa"/>
            <w:shd w:val="clear" w:color="auto" w:fill="auto"/>
            <w:noWrap/>
            <w:vAlign w:val="center"/>
          </w:tcPr>
          <w:p w14:paraId="524F3478" w14:textId="77777777" w:rsidR="0090528B" w:rsidRPr="001202B5" w:rsidRDefault="0090528B" w:rsidP="00954470">
            <w:pPr>
              <w:pStyle w:val="DHHStabletext"/>
              <w:rPr>
                <w:lang w:eastAsia="en-AU"/>
              </w:rPr>
            </w:pPr>
            <w:r w:rsidRPr="001202B5">
              <w:rPr>
                <w:lang w:eastAsia="en-AU"/>
              </w:rPr>
              <w:t>28</w:t>
            </w:r>
          </w:p>
        </w:tc>
        <w:tc>
          <w:tcPr>
            <w:tcW w:w="683" w:type="dxa"/>
            <w:shd w:val="clear" w:color="auto" w:fill="auto"/>
            <w:noWrap/>
            <w:vAlign w:val="center"/>
          </w:tcPr>
          <w:p w14:paraId="439CB995" w14:textId="77777777" w:rsidR="0090528B" w:rsidRPr="001202B5" w:rsidRDefault="0090528B" w:rsidP="00954470">
            <w:pPr>
              <w:pStyle w:val="DHHStabletext"/>
              <w:rPr>
                <w:lang w:eastAsia="en-AU"/>
              </w:rPr>
            </w:pPr>
            <w:r w:rsidRPr="001202B5">
              <w:rPr>
                <w:lang w:eastAsia="en-AU"/>
              </w:rPr>
              <w:t>7</w:t>
            </w:r>
          </w:p>
        </w:tc>
        <w:tc>
          <w:tcPr>
            <w:tcW w:w="682" w:type="dxa"/>
            <w:shd w:val="clear" w:color="auto" w:fill="auto"/>
            <w:noWrap/>
            <w:vAlign w:val="center"/>
          </w:tcPr>
          <w:p w14:paraId="6E8868BC" w14:textId="77777777" w:rsidR="0090528B" w:rsidRPr="001202B5" w:rsidRDefault="0090528B" w:rsidP="00954470">
            <w:pPr>
              <w:pStyle w:val="DHHStabletext"/>
              <w:rPr>
                <w:lang w:eastAsia="en-AU"/>
              </w:rPr>
            </w:pPr>
            <w:r w:rsidRPr="001202B5">
              <w:rPr>
                <w:lang w:eastAsia="en-AU"/>
              </w:rPr>
              <w:t>9</w:t>
            </w:r>
          </w:p>
        </w:tc>
        <w:tc>
          <w:tcPr>
            <w:tcW w:w="683" w:type="dxa"/>
            <w:shd w:val="clear" w:color="auto" w:fill="auto"/>
            <w:noWrap/>
            <w:vAlign w:val="center"/>
          </w:tcPr>
          <w:p w14:paraId="0226EBD0" w14:textId="77777777" w:rsidR="0090528B" w:rsidRPr="001202B5" w:rsidRDefault="0090528B" w:rsidP="00954470">
            <w:pPr>
              <w:pStyle w:val="DHHStabletext"/>
              <w:rPr>
                <w:lang w:eastAsia="en-AU"/>
              </w:rPr>
            </w:pPr>
          </w:p>
        </w:tc>
        <w:tc>
          <w:tcPr>
            <w:tcW w:w="683" w:type="dxa"/>
            <w:shd w:val="clear" w:color="auto" w:fill="auto"/>
            <w:noWrap/>
            <w:vAlign w:val="center"/>
          </w:tcPr>
          <w:p w14:paraId="2A313340" w14:textId="77777777" w:rsidR="0090528B" w:rsidRPr="001202B5" w:rsidRDefault="0090528B" w:rsidP="00954470">
            <w:pPr>
              <w:pStyle w:val="DHHStabletext"/>
              <w:rPr>
                <w:lang w:eastAsia="en-AU"/>
              </w:rPr>
            </w:pPr>
          </w:p>
        </w:tc>
        <w:tc>
          <w:tcPr>
            <w:tcW w:w="682" w:type="dxa"/>
            <w:shd w:val="clear" w:color="auto" w:fill="auto"/>
            <w:noWrap/>
            <w:vAlign w:val="center"/>
          </w:tcPr>
          <w:p w14:paraId="3C87E9EE" w14:textId="77777777" w:rsidR="0090528B" w:rsidRPr="001202B5" w:rsidRDefault="0090528B" w:rsidP="00954470">
            <w:pPr>
              <w:pStyle w:val="DHHStabletext"/>
              <w:rPr>
                <w:lang w:eastAsia="en-AU"/>
              </w:rPr>
            </w:pPr>
          </w:p>
        </w:tc>
        <w:tc>
          <w:tcPr>
            <w:tcW w:w="683" w:type="dxa"/>
            <w:shd w:val="clear" w:color="auto" w:fill="auto"/>
            <w:noWrap/>
            <w:vAlign w:val="center"/>
          </w:tcPr>
          <w:p w14:paraId="45262B79" w14:textId="77777777" w:rsidR="0090528B" w:rsidRPr="001202B5" w:rsidRDefault="0090528B" w:rsidP="00954470">
            <w:pPr>
              <w:pStyle w:val="DHHStabletext"/>
              <w:rPr>
                <w:lang w:eastAsia="en-AU"/>
              </w:rPr>
            </w:pPr>
          </w:p>
        </w:tc>
        <w:tc>
          <w:tcPr>
            <w:tcW w:w="683" w:type="dxa"/>
            <w:shd w:val="clear" w:color="auto" w:fill="auto"/>
            <w:noWrap/>
            <w:vAlign w:val="center"/>
          </w:tcPr>
          <w:p w14:paraId="645E9CE4" w14:textId="77777777" w:rsidR="0090528B" w:rsidRPr="001202B5" w:rsidRDefault="0090528B" w:rsidP="00954470">
            <w:pPr>
              <w:pStyle w:val="DHHStabletext"/>
              <w:rPr>
                <w:lang w:eastAsia="en-AU"/>
              </w:rPr>
            </w:pPr>
          </w:p>
        </w:tc>
      </w:tr>
      <w:tr w:rsidR="0090528B" w:rsidRPr="00EF3A59" w14:paraId="2F0B7BCB" w14:textId="77777777" w:rsidTr="00380AD2">
        <w:trPr>
          <w:trHeight w:val="300"/>
        </w:trPr>
        <w:tc>
          <w:tcPr>
            <w:tcW w:w="2320" w:type="dxa"/>
            <w:shd w:val="clear" w:color="auto" w:fill="auto"/>
            <w:noWrap/>
            <w:vAlign w:val="center"/>
            <w:hideMark/>
          </w:tcPr>
          <w:p w14:paraId="064C47FD" w14:textId="77777777" w:rsidR="0090528B" w:rsidRPr="001202B5" w:rsidRDefault="0090528B" w:rsidP="00954470">
            <w:pPr>
              <w:pStyle w:val="DHHStabletext"/>
              <w:rPr>
                <w:lang w:eastAsia="en-AU"/>
              </w:rPr>
            </w:pPr>
            <w:r w:rsidRPr="001202B5">
              <w:rPr>
                <w:lang w:eastAsia="en-AU"/>
              </w:rPr>
              <w:t>SMICS</w:t>
            </w:r>
          </w:p>
        </w:tc>
        <w:tc>
          <w:tcPr>
            <w:tcW w:w="682" w:type="dxa"/>
            <w:shd w:val="clear" w:color="auto" w:fill="auto"/>
            <w:noWrap/>
            <w:vAlign w:val="center"/>
          </w:tcPr>
          <w:p w14:paraId="37726743" w14:textId="77777777" w:rsidR="0090528B" w:rsidRPr="001202B5" w:rsidRDefault="0090528B" w:rsidP="00954470">
            <w:pPr>
              <w:pStyle w:val="DHHStabletext"/>
              <w:rPr>
                <w:lang w:eastAsia="en-AU"/>
              </w:rPr>
            </w:pPr>
          </w:p>
        </w:tc>
        <w:tc>
          <w:tcPr>
            <w:tcW w:w="683" w:type="dxa"/>
            <w:shd w:val="clear" w:color="auto" w:fill="auto"/>
            <w:noWrap/>
            <w:vAlign w:val="center"/>
          </w:tcPr>
          <w:p w14:paraId="3AF05194" w14:textId="77777777" w:rsidR="0090528B" w:rsidRPr="001202B5" w:rsidRDefault="0090528B" w:rsidP="00954470">
            <w:pPr>
              <w:pStyle w:val="DHHStabletext"/>
              <w:rPr>
                <w:lang w:eastAsia="en-AU"/>
              </w:rPr>
            </w:pPr>
            <w:r w:rsidRPr="001202B5">
              <w:rPr>
                <w:lang w:eastAsia="en-AU"/>
              </w:rPr>
              <w:t>40</w:t>
            </w:r>
          </w:p>
        </w:tc>
        <w:tc>
          <w:tcPr>
            <w:tcW w:w="682" w:type="dxa"/>
            <w:shd w:val="clear" w:color="auto" w:fill="auto"/>
            <w:noWrap/>
            <w:vAlign w:val="center"/>
          </w:tcPr>
          <w:p w14:paraId="3076653F" w14:textId="77777777" w:rsidR="0090528B" w:rsidRPr="001202B5" w:rsidRDefault="0090528B" w:rsidP="00954470">
            <w:pPr>
              <w:pStyle w:val="DHHStabletext"/>
              <w:rPr>
                <w:lang w:eastAsia="en-AU"/>
              </w:rPr>
            </w:pPr>
            <w:r w:rsidRPr="001202B5">
              <w:rPr>
                <w:lang w:eastAsia="en-AU"/>
              </w:rPr>
              <w:t>3</w:t>
            </w:r>
          </w:p>
        </w:tc>
        <w:tc>
          <w:tcPr>
            <w:tcW w:w="683" w:type="dxa"/>
            <w:shd w:val="clear" w:color="auto" w:fill="auto"/>
            <w:noWrap/>
            <w:vAlign w:val="center"/>
          </w:tcPr>
          <w:p w14:paraId="4916EA7E" w14:textId="77777777" w:rsidR="0090528B" w:rsidRPr="001202B5" w:rsidRDefault="0090528B" w:rsidP="00954470">
            <w:pPr>
              <w:pStyle w:val="DHHStabletext"/>
              <w:rPr>
                <w:lang w:eastAsia="en-AU"/>
              </w:rPr>
            </w:pPr>
          </w:p>
        </w:tc>
        <w:tc>
          <w:tcPr>
            <w:tcW w:w="683" w:type="dxa"/>
            <w:shd w:val="clear" w:color="auto" w:fill="auto"/>
            <w:noWrap/>
            <w:vAlign w:val="center"/>
          </w:tcPr>
          <w:p w14:paraId="0F2EBDFE" w14:textId="77777777" w:rsidR="0090528B" w:rsidRPr="001202B5" w:rsidRDefault="0090528B" w:rsidP="00954470">
            <w:pPr>
              <w:pStyle w:val="DHHStabletext"/>
              <w:rPr>
                <w:lang w:eastAsia="en-AU"/>
              </w:rPr>
            </w:pPr>
          </w:p>
        </w:tc>
        <w:tc>
          <w:tcPr>
            <w:tcW w:w="682" w:type="dxa"/>
            <w:shd w:val="clear" w:color="auto" w:fill="auto"/>
            <w:noWrap/>
            <w:vAlign w:val="center"/>
          </w:tcPr>
          <w:p w14:paraId="0F3B6110" w14:textId="77777777" w:rsidR="0090528B" w:rsidRPr="001202B5" w:rsidRDefault="0090528B" w:rsidP="00954470">
            <w:pPr>
              <w:pStyle w:val="DHHStabletext"/>
              <w:rPr>
                <w:lang w:eastAsia="en-AU"/>
              </w:rPr>
            </w:pPr>
          </w:p>
        </w:tc>
        <w:tc>
          <w:tcPr>
            <w:tcW w:w="683" w:type="dxa"/>
            <w:shd w:val="clear" w:color="auto" w:fill="auto"/>
            <w:noWrap/>
            <w:vAlign w:val="center"/>
          </w:tcPr>
          <w:p w14:paraId="74076798" w14:textId="77777777" w:rsidR="0090528B" w:rsidRPr="001202B5" w:rsidRDefault="0090528B" w:rsidP="00954470">
            <w:pPr>
              <w:pStyle w:val="DHHStabletext"/>
              <w:rPr>
                <w:lang w:eastAsia="en-AU"/>
              </w:rPr>
            </w:pPr>
          </w:p>
        </w:tc>
        <w:tc>
          <w:tcPr>
            <w:tcW w:w="683" w:type="dxa"/>
            <w:shd w:val="clear" w:color="auto" w:fill="auto"/>
            <w:noWrap/>
            <w:vAlign w:val="center"/>
          </w:tcPr>
          <w:p w14:paraId="5B1E28AE" w14:textId="77777777" w:rsidR="0090528B" w:rsidRPr="001202B5" w:rsidRDefault="0090528B" w:rsidP="00954470">
            <w:pPr>
              <w:pStyle w:val="DHHStabletext"/>
              <w:rPr>
                <w:lang w:eastAsia="en-AU"/>
              </w:rPr>
            </w:pPr>
          </w:p>
        </w:tc>
      </w:tr>
      <w:tr w:rsidR="0090528B" w:rsidRPr="00EF3A59" w14:paraId="639D31A0" w14:textId="77777777" w:rsidTr="00380AD2">
        <w:trPr>
          <w:trHeight w:val="300"/>
        </w:trPr>
        <w:tc>
          <w:tcPr>
            <w:tcW w:w="2320" w:type="dxa"/>
            <w:shd w:val="clear" w:color="auto" w:fill="auto"/>
            <w:noWrap/>
            <w:vAlign w:val="center"/>
            <w:hideMark/>
          </w:tcPr>
          <w:p w14:paraId="6698F9C1" w14:textId="77777777" w:rsidR="0090528B" w:rsidRPr="001202B5" w:rsidRDefault="0090528B" w:rsidP="00954470">
            <w:pPr>
              <w:pStyle w:val="DHHStabletext"/>
              <w:rPr>
                <w:lang w:eastAsia="en-AU"/>
              </w:rPr>
            </w:pPr>
            <w:r w:rsidRPr="001202B5">
              <w:rPr>
                <w:lang w:eastAsia="en-AU"/>
              </w:rPr>
              <w:t>WCMICS</w:t>
            </w:r>
          </w:p>
        </w:tc>
        <w:tc>
          <w:tcPr>
            <w:tcW w:w="682" w:type="dxa"/>
            <w:shd w:val="clear" w:color="auto" w:fill="auto"/>
            <w:noWrap/>
            <w:vAlign w:val="center"/>
          </w:tcPr>
          <w:p w14:paraId="15B2473E" w14:textId="77777777" w:rsidR="0090528B" w:rsidRPr="001202B5" w:rsidRDefault="0090528B" w:rsidP="00954470">
            <w:pPr>
              <w:pStyle w:val="DHHStabletext"/>
              <w:rPr>
                <w:lang w:eastAsia="en-AU"/>
              </w:rPr>
            </w:pPr>
            <w:r w:rsidRPr="001202B5">
              <w:rPr>
                <w:lang w:eastAsia="en-AU"/>
              </w:rPr>
              <w:t>6</w:t>
            </w:r>
          </w:p>
        </w:tc>
        <w:tc>
          <w:tcPr>
            <w:tcW w:w="683" w:type="dxa"/>
            <w:shd w:val="clear" w:color="auto" w:fill="auto"/>
            <w:noWrap/>
            <w:vAlign w:val="center"/>
          </w:tcPr>
          <w:p w14:paraId="7363DF1A" w14:textId="77777777" w:rsidR="0090528B" w:rsidRPr="001202B5" w:rsidRDefault="0090528B" w:rsidP="00954470">
            <w:pPr>
              <w:pStyle w:val="DHHStabletext"/>
              <w:rPr>
                <w:lang w:eastAsia="en-AU"/>
              </w:rPr>
            </w:pPr>
            <w:r w:rsidRPr="001202B5">
              <w:rPr>
                <w:lang w:eastAsia="en-AU"/>
              </w:rPr>
              <w:t>1</w:t>
            </w:r>
          </w:p>
        </w:tc>
        <w:tc>
          <w:tcPr>
            <w:tcW w:w="682" w:type="dxa"/>
            <w:shd w:val="clear" w:color="auto" w:fill="auto"/>
            <w:noWrap/>
            <w:vAlign w:val="center"/>
          </w:tcPr>
          <w:p w14:paraId="5972D085" w14:textId="77777777" w:rsidR="0090528B" w:rsidRPr="001202B5" w:rsidRDefault="0090528B" w:rsidP="00954470">
            <w:pPr>
              <w:pStyle w:val="DHHStabletext"/>
              <w:rPr>
                <w:lang w:eastAsia="en-AU"/>
              </w:rPr>
            </w:pPr>
            <w:r w:rsidRPr="001202B5">
              <w:rPr>
                <w:lang w:eastAsia="en-AU"/>
              </w:rPr>
              <w:t>46</w:t>
            </w:r>
          </w:p>
        </w:tc>
        <w:tc>
          <w:tcPr>
            <w:tcW w:w="683" w:type="dxa"/>
            <w:shd w:val="clear" w:color="auto" w:fill="auto"/>
            <w:noWrap/>
            <w:vAlign w:val="center"/>
          </w:tcPr>
          <w:p w14:paraId="24B663B2" w14:textId="77777777" w:rsidR="0090528B" w:rsidRPr="001202B5" w:rsidRDefault="0090528B" w:rsidP="00954470">
            <w:pPr>
              <w:pStyle w:val="DHHStabletext"/>
              <w:rPr>
                <w:lang w:eastAsia="en-AU"/>
              </w:rPr>
            </w:pPr>
          </w:p>
        </w:tc>
        <w:tc>
          <w:tcPr>
            <w:tcW w:w="683" w:type="dxa"/>
            <w:shd w:val="clear" w:color="auto" w:fill="auto"/>
            <w:noWrap/>
            <w:vAlign w:val="center"/>
          </w:tcPr>
          <w:p w14:paraId="041B744A" w14:textId="77777777" w:rsidR="0090528B" w:rsidRPr="001202B5" w:rsidRDefault="0090528B" w:rsidP="00954470">
            <w:pPr>
              <w:pStyle w:val="DHHStabletext"/>
              <w:rPr>
                <w:lang w:eastAsia="en-AU"/>
              </w:rPr>
            </w:pPr>
          </w:p>
        </w:tc>
        <w:tc>
          <w:tcPr>
            <w:tcW w:w="682" w:type="dxa"/>
            <w:shd w:val="clear" w:color="auto" w:fill="auto"/>
            <w:noWrap/>
            <w:vAlign w:val="center"/>
          </w:tcPr>
          <w:p w14:paraId="2C48FF72" w14:textId="77777777" w:rsidR="0090528B" w:rsidRPr="001202B5" w:rsidRDefault="0090528B" w:rsidP="00954470">
            <w:pPr>
              <w:pStyle w:val="DHHStabletext"/>
              <w:rPr>
                <w:lang w:eastAsia="en-AU"/>
              </w:rPr>
            </w:pPr>
          </w:p>
        </w:tc>
        <w:tc>
          <w:tcPr>
            <w:tcW w:w="683" w:type="dxa"/>
            <w:shd w:val="clear" w:color="auto" w:fill="auto"/>
            <w:noWrap/>
            <w:vAlign w:val="center"/>
          </w:tcPr>
          <w:p w14:paraId="077C739C" w14:textId="77777777" w:rsidR="0090528B" w:rsidRPr="001202B5" w:rsidRDefault="0090528B" w:rsidP="00954470">
            <w:pPr>
              <w:pStyle w:val="DHHStabletext"/>
              <w:rPr>
                <w:lang w:eastAsia="en-AU"/>
              </w:rPr>
            </w:pPr>
          </w:p>
        </w:tc>
        <w:tc>
          <w:tcPr>
            <w:tcW w:w="683" w:type="dxa"/>
            <w:shd w:val="clear" w:color="auto" w:fill="auto"/>
            <w:noWrap/>
            <w:vAlign w:val="center"/>
          </w:tcPr>
          <w:p w14:paraId="4C6BEE2E" w14:textId="77777777" w:rsidR="0090528B" w:rsidRPr="001202B5" w:rsidRDefault="0090528B" w:rsidP="00954470">
            <w:pPr>
              <w:pStyle w:val="DHHStabletext"/>
              <w:rPr>
                <w:lang w:eastAsia="en-AU"/>
              </w:rPr>
            </w:pPr>
          </w:p>
        </w:tc>
      </w:tr>
      <w:tr w:rsidR="0090528B" w:rsidRPr="00EF3A59" w14:paraId="76E5206D" w14:textId="77777777" w:rsidTr="00380AD2">
        <w:trPr>
          <w:trHeight w:val="300"/>
        </w:trPr>
        <w:tc>
          <w:tcPr>
            <w:tcW w:w="2320" w:type="dxa"/>
            <w:shd w:val="clear" w:color="auto" w:fill="auto"/>
            <w:noWrap/>
            <w:vAlign w:val="center"/>
            <w:hideMark/>
          </w:tcPr>
          <w:p w14:paraId="2085BBF1" w14:textId="777B784B" w:rsidR="0090528B" w:rsidRPr="001202B5" w:rsidRDefault="0090528B" w:rsidP="00954470">
            <w:pPr>
              <w:pStyle w:val="DHHStabletext"/>
              <w:rPr>
                <w:lang w:eastAsia="en-AU"/>
              </w:rPr>
            </w:pPr>
            <w:r w:rsidRPr="001202B5">
              <w:rPr>
                <w:lang w:eastAsia="en-AU"/>
              </w:rPr>
              <w:t>BSWRICS</w:t>
            </w:r>
          </w:p>
        </w:tc>
        <w:tc>
          <w:tcPr>
            <w:tcW w:w="682" w:type="dxa"/>
            <w:shd w:val="clear" w:color="auto" w:fill="auto"/>
            <w:noWrap/>
            <w:vAlign w:val="center"/>
          </w:tcPr>
          <w:p w14:paraId="4587C6D8" w14:textId="77777777" w:rsidR="0090528B" w:rsidRPr="001202B5" w:rsidRDefault="0090528B" w:rsidP="00954470">
            <w:pPr>
              <w:pStyle w:val="DHHStabletext"/>
              <w:rPr>
                <w:lang w:eastAsia="en-AU"/>
              </w:rPr>
            </w:pPr>
          </w:p>
        </w:tc>
        <w:tc>
          <w:tcPr>
            <w:tcW w:w="683" w:type="dxa"/>
            <w:shd w:val="clear" w:color="auto" w:fill="auto"/>
            <w:noWrap/>
            <w:vAlign w:val="center"/>
          </w:tcPr>
          <w:p w14:paraId="04E43273" w14:textId="77777777" w:rsidR="0090528B" w:rsidRPr="001202B5" w:rsidRDefault="0090528B" w:rsidP="00954470">
            <w:pPr>
              <w:pStyle w:val="DHHStabletext"/>
              <w:rPr>
                <w:lang w:eastAsia="en-AU"/>
              </w:rPr>
            </w:pPr>
          </w:p>
        </w:tc>
        <w:tc>
          <w:tcPr>
            <w:tcW w:w="682" w:type="dxa"/>
            <w:shd w:val="clear" w:color="auto" w:fill="auto"/>
            <w:noWrap/>
            <w:vAlign w:val="center"/>
          </w:tcPr>
          <w:p w14:paraId="4170216C" w14:textId="77777777" w:rsidR="0090528B" w:rsidRPr="001202B5" w:rsidRDefault="0090528B" w:rsidP="00954470">
            <w:pPr>
              <w:pStyle w:val="DHHStabletext"/>
              <w:rPr>
                <w:lang w:eastAsia="en-AU"/>
              </w:rPr>
            </w:pPr>
            <w:r w:rsidRPr="001202B5">
              <w:rPr>
                <w:lang w:eastAsia="en-AU"/>
              </w:rPr>
              <w:t>2</w:t>
            </w:r>
          </w:p>
        </w:tc>
        <w:tc>
          <w:tcPr>
            <w:tcW w:w="683" w:type="dxa"/>
            <w:shd w:val="clear" w:color="auto" w:fill="auto"/>
            <w:noWrap/>
            <w:vAlign w:val="center"/>
          </w:tcPr>
          <w:p w14:paraId="05BEF631" w14:textId="77777777" w:rsidR="0090528B" w:rsidRPr="001202B5" w:rsidRDefault="0090528B" w:rsidP="00954470">
            <w:pPr>
              <w:pStyle w:val="DHHStabletext"/>
              <w:rPr>
                <w:lang w:eastAsia="en-AU"/>
              </w:rPr>
            </w:pPr>
            <w:r w:rsidRPr="001202B5">
              <w:rPr>
                <w:lang w:eastAsia="en-AU"/>
              </w:rPr>
              <w:t>17</w:t>
            </w:r>
          </w:p>
        </w:tc>
        <w:tc>
          <w:tcPr>
            <w:tcW w:w="683" w:type="dxa"/>
            <w:shd w:val="clear" w:color="auto" w:fill="auto"/>
            <w:noWrap/>
            <w:vAlign w:val="center"/>
          </w:tcPr>
          <w:p w14:paraId="09F773FF" w14:textId="77777777" w:rsidR="0090528B" w:rsidRPr="001202B5" w:rsidRDefault="0090528B" w:rsidP="00954470">
            <w:pPr>
              <w:pStyle w:val="DHHStabletext"/>
              <w:rPr>
                <w:lang w:eastAsia="en-AU"/>
              </w:rPr>
            </w:pPr>
          </w:p>
        </w:tc>
        <w:tc>
          <w:tcPr>
            <w:tcW w:w="682" w:type="dxa"/>
            <w:shd w:val="clear" w:color="auto" w:fill="auto"/>
            <w:noWrap/>
            <w:vAlign w:val="center"/>
          </w:tcPr>
          <w:p w14:paraId="7529A7F8" w14:textId="77777777" w:rsidR="0090528B" w:rsidRPr="001202B5" w:rsidRDefault="0090528B" w:rsidP="00954470">
            <w:pPr>
              <w:pStyle w:val="DHHStabletext"/>
              <w:rPr>
                <w:lang w:eastAsia="en-AU"/>
              </w:rPr>
            </w:pPr>
          </w:p>
        </w:tc>
        <w:tc>
          <w:tcPr>
            <w:tcW w:w="683" w:type="dxa"/>
            <w:shd w:val="clear" w:color="auto" w:fill="auto"/>
            <w:noWrap/>
            <w:vAlign w:val="center"/>
          </w:tcPr>
          <w:p w14:paraId="5A1DC6FC" w14:textId="77777777" w:rsidR="0090528B" w:rsidRPr="001202B5" w:rsidRDefault="0090528B" w:rsidP="00954470">
            <w:pPr>
              <w:pStyle w:val="DHHStabletext"/>
              <w:rPr>
                <w:lang w:eastAsia="en-AU"/>
              </w:rPr>
            </w:pPr>
          </w:p>
        </w:tc>
        <w:tc>
          <w:tcPr>
            <w:tcW w:w="683" w:type="dxa"/>
            <w:shd w:val="clear" w:color="auto" w:fill="auto"/>
            <w:noWrap/>
            <w:vAlign w:val="center"/>
          </w:tcPr>
          <w:p w14:paraId="43678EFC" w14:textId="77777777" w:rsidR="0090528B" w:rsidRPr="001202B5" w:rsidRDefault="0090528B" w:rsidP="00954470">
            <w:pPr>
              <w:pStyle w:val="DHHStabletext"/>
              <w:rPr>
                <w:lang w:eastAsia="en-AU"/>
              </w:rPr>
            </w:pPr>
          </w:p>
        </w:tc>
      </w:tr>
      <w:tr w:rsidR="0090528B" w:rsidRPr="00EF3A59" w14:paraId="097EF37D" w14:textId="77777777" w:rsidTr="00380AD2">
        <w:trPr>
          <w:trHeight w:val="300"/>
        </w:trPr>
        <w:tc>
          <w:tcPr>
            <w:tcW w:w="2320" w:type="dxa"/>
            <w:shd w:val="clear" w:color="auto" w:fill="auto"/>
            <w:noWrap/>
            <w:vAlign w:val="center"/>
            <w:hideMark/>
          </w:tcPr>
          <w:p w14:paraId="4F19EF5B" w14:textId="56C2CF61" w:rsidR="0090528B" w:rsidRPr="001202B5" w:rsidRDefault="0090528B" w:rsidP="00954470">
            <w:pPr>
              <w:pStyle w:val="DHHStabletext"/>
              <w:rPr>
                <w:lang w:eastAsia="en-AU"/>
              </w:rPr>
            </w:pPr>
            <w:r w:rsidRPr="001202B5">
              <w:rPr>
                <w:lang w:eastAsia="en-AU"/>
              </w:rPr>
              <w:t>GRICS</w:t>
            </w:r>
          </w:p>
        </w:tc>
        <w:tc>
          <w:tcPr>
            <w:tcW w:w="682" w:type="dxa"/>
            <w:shd w:val="clear" w:color="auto" w:fill="auto"/>
            <w:noWrap/>
            <w:vAlign w:val="center"/>
          </w:tcPr>
          <w:p w14:paraId="31005658" w14:textId="77777777" w:rsidR="0090528B" w:rsidRPr="001202B5" w:rsidRDefault="0090528B" w:rsidP="00954470">
            <w:pPr>
              <w:pStyle w:val="DHHStabletext"/>
              <w:rPr>
                <w:lang w:eastAsia="en-AU"/>
              </w:rPr>
            </w:pPr>
            <w:r w:rsidRPr="001202B5">
              <w:rPr>
                <w:lang w:eastAsia="en-AU"/>
              </w:rPr>
              <w:t>3</w:t>
            </w:r>
          </w:p>
        </w:tc>
        <w:tc>
          <w:tcPr>
            <w:tcW w:w="683" w:type="dxa"/>
            <w:shd w:val="clear" w:color="auto" w:fill="auto"/>
            <w:noWrap/>
            <w:vAlign w:val="center"/>
          </w:tcPr>
          <w:p w14:paraId="74FD311A" w14:textId="77777777" w:rsidR="0090528B" w:rsidRPr="001202B5" w:rsidRDefault="0090528B" w:rsidP="00954470">
            <w:pPr>
              <w:pStyle w:val="DHHStabletext"/>
              <w:rPr>
                <w:lang w:eastAsia="en-AU"/>
              </w:rPr>
            </w:pPr>
            <w:r w:rsidRPr="001202B5">
              <w:rPr>
                <w:lang w:eastAsia="en-AU"/>
              </w:rPr>
              <w:t>2</w:t>
            </w:r>
          </w:p>
        </w:tc>
        <w:tc>
          <w:tcPr>
            <w:tcW w:w="682" w:type="dxa"/>
            <w:shd w:val="clear" w:color="auto" w:fill="auto"/>
            <w:noWrap/>
            <w:vAlign w:val="center"/>
          </w:tcPr>
          <w:p w14:paraId="3051A90F" w14:textId="77777777" w:rsidR="0090528B" w:rsidRPr="001202B5" w:rsidRDefault="0090528B" w:rsidP="00954470">
            <w:pPr>
              <w:pStyle w:val="DHHStabletext"/>
              <w:rPr>
                <w:lang w:eastAsia="en-AU"/>
              </w:rPr>
            </w:pPr>
            <w:r w:rsidRPr="001202B5">
              <w:rPr>
                <w:lang w:eastAsia="en-AU"/>
              </w:rPr>
              <w:t>2</w:t>
            </w:r>
          </w:p>
        </w:tc>
        <w:tc>
          <w:tcPr>
            <w:tcW w:w="683" w:type="dxa"/>
            <w:shd w:val="clear" w:color="auto" w:fill="auto"/>
            <w:noWrap/>
            <w:vAlign w:val="center"/>
          </w:tcPr>
          <w:p w14:paraId="47CF6C9B" w14:textId="77777777" w:rsidR="0090528B" w:rsidRPr="001202B5" w:rsidRDefault="0090528B" w:rsidP="00954470">
            <w:pPr>
              <w:pStyle w:val="DHHStabletext"/>
              <w:rPr>
                <w:lang w:eastAsia="en-AU"/>
              </w:rPr>
            </w:pPr>
          </w:p>
        </w:tc>
        <w:tc>
          <w:tcPr>
            <w:tcW w:w="683" w:type="dxa"/>
            <w:shd w:val="clear" w:color="auto" w:fill="auto"/>
            <w:noWrap/>
            <w:vAlign w:val="center"/>
          </w:tcPr>
          <w:p w14:paraId="7B864D12" w14:textId="77777777" w:rsidR="0090528B" w:rsidRPr="001202B5" w:rsidRDefault="0090528B" w:rsidP="00954470">
            <w:pPr>
              <w:pStyle w:val="DHHStabletext"/>
              <w:rPr>
                <w:lang w:eastAsia="en-AU"/>
              </w:rPr>
            </w:pPr>
            <w:r w:rsidRPr="001202B5">
              <w:rPr>
                <w:lang w:eastAsia="en-AU"/>
              </w:rPr>
              <w:t>5</w:t>
            </w:r>
          </w:p>
        </w:tc>
        <w:tc>
          <w:tcPr>
            <w:tcW w:w="682" w:type="dxa"/>
            <w:shd w:val="clear" w:color="auto" w:fill="auto"/>
            <w:noWrap/>
            <w:vAlign w:val="center"/>
          </w:tcPr>
          <w:p w14:paraId="6A47B8C7" w14:textId="77777777" w:rsidR="0090528B" w:rsidRPr="001202B5" w:rsidRDefault="0090528B" w:rsidP="00954470">
            <w:pPr>
              <w:pStyle w:val="DHHStabletext"/>
              <w:rPr>
                <w:lang w:eastAsia="en-AU"/>
              </w:rPr>
            </w:pPr>
          </w:p>
        </w:tc>
        <w:tc>
          <w:tcPr>
            <w:tcW w:w="683" w:type="dxa"/>
            <w:shd w:val="clear" w:color="auto" w:fill="auto"/>
            <w:noWrap/>
            <w:vAlign w:val="center"/>
          </w:tcPr>
          <w:p w14:paraId="5C889344" w14:textId="77777777" w:rsidR="0090528B" w:rsidRPr="001202B5" w:rsidRDefault="0090528B" w:rsidP="00954470">
            <w:pPr>
              <w:pStyle w:val="DHHStabletext"/>
              <w:rPr>
                <w:lang w:eastAsia="en-AU"/>
              </w:rPr>
            </w:pPr>
          </w:p>
        </w:tc>
        <w:tc>
          <w:tcPr>
            <w:tcW w:w="683" w:type="dxa"/>
            <w:shd w:val="clear" w:color="auto" w:fill="auto"/>
            <w:noWrap/>
            <w:vAlign w:val="center"/>
          </w:tcPr>
          <w:p w14:paraId="7E8683E5" w14:textId="77777777" w:rsidR="0090528B" w:rsidRPr="001202B5" w:rsidRDefault="0090528B" w:rsidP="00954470">
            <w:pPr>
              <w:pStyle w:val="DHHStabletext"/>
              <w:rPr>
                <w:lang w:eastAsia="en-AU"/>
              </w:rPr>
            </w:pPr>
          </w:p>
        </w:tc>
      </w:tr>
      <w:tr w:rsidR="0090528B" w:rsidRPr="00EF3A59" w14:paraId="3B6C9404" w14:textId="77777777" w:rsidTr="00380AD2">
        <w:trPr>
          <w:trHeight w:val="300"/>
        </w:trPr>
        <w:tc>
          <w:tcPr>
            <w:tcW w:w="2320" w:type="dxa"/>
            <w:shd w:val="clear" w:color="auto" w:fill="auto"/>
            <w:noWrap/>
            <w:vAlign w:val="center"/>
          </w:tcPr>
          <w:p w14:paraId="664FA94C" w14:textId="7B28490E" w:rsidR="0090528B" w:rsidRPr="001202B5" w:rsidRDefault="0090528B" w:rsidP="00954470">
            <w:pPr>
              <w:pStyle w:val="DHHStabletext"/>
              <w:rPr>
                <w:lang w:eastAsia="en-AU"/>
              </w:rPr>
            </w:pPr>
            <w:r w:rsidRPr="001202B5">
              <w:rPr>
                <w:lang w:eastAsia="en-AU"/>
              </w:rPr>
              <w:t>Hume RICS</w:t>
            </w:r>
            <w:r w:rsidR="009A009B" w:rsidRPr="009A009B">
              <w:rPr>
                <w:vertAlign w:val="superscript"/>
                <w:lang w:eastAsia="en-AU"/>
              </w:rPr>
              <w:t>#</w:t>
            </w:r>
          </w:p>
        </w:tc>
        <w:tc>
          <w:tcPr>
            <w:tcW w:w="682" w:type="dxa"/>
            <w:shd w:val="clear" w:color="auto" w:fill="auto"/>
            <w:noWrap/>
            <w:vAlign w:val="center"/>
          </w:tcPr>
          <w:p w14:paraId="191EACDE" w14:textId="77777777" w:rsidR="0090528B" w:rsidRPr="001202B5" w:rsidRDefault="0090528B" w:rsidP="00954470">
            <w:pPr>
              <w:pStyle w:val="DHHStabletext"/>
              <w:rPr>
                <w:lang w:eastAsia="en-AU"/>
              </w:rPr>
            </w:pPr>
            <w:r w:rsidRPr="001202B5">
              <w:rPr>
                <w:lang w:eastAsia="en-AU"/>
              </w:rPr>
              <w:t>4</w:t>
            </w:r>
          </w:p>
        </w:tc>
        <w:tc>
          <w:tcPr>
            <w:tcW w:w="683" w:type="dxa"/>
            <w:shd w:val="clear" w:color="auto" w:fill="auto"/>
            <w:noWrap/>
            <w:vAlign w:val="center"/>
          </w:tcPr>
          <w:p w14:paraId="48DA7579" w14:textId="77777777" w:rsidR="0090528B" w:rsidRPr="001202B5" w:rsidRDefault="0090528B" w:rsidP="00954470">
            <w:pPr>
              <w:pStyle w:val="DHHStabletext"/>
              <w:rPr>
                <w:lang w:eastAsia="en-AU"/>
              </w:rPr>
            </w:pPr>
            <w:r w:rsidRPr="001202B5">
              <w:rPr>
                <w:lang w:eastAsia="en-AU"/>
              </w:rPr>
              <w:t>1</w:t>
            </w:r>
          </w:p>
        </w:tc>
        <w:tc>
          <w:tcPr>
            <w:tcW w:w="682" w:type="dxa"/>
            <w:shd w:val="clear" w:color="auto" w:fill="auto"/>
            <w:noWrap/>
            <w:vAlign w:val="center"/>
          </w:tcPr>
          <w:p w14:paraId="7FD97EF7" w14:textId="77777777" w:rsidR="0090528B" w:rsidRPr="001202B5" w:rsidRDefault="0090528B" w:rsidP="00954470">
            <w:pPr>
              <w:pStyle w:val="DHHStabletext"/>
              <w:rPr>
                <w:lang w:eastAsia="en-AU"/>
              </w:rPr>
            </w:pPr>
            <w:r w:rsidRPr="001202B5">
              <w:rPr>
                <w:lang w:eastAsia="en-AU"/>
              </w:rPr>
              <w:t>5</w:t>
            </w:r>
          </w:p>
        </w:tc>
        <w:tc>
          <w:tcPr>
            <w:tcW w:w="683" w:type="dxa"/>
            <w:shd w:val="clear" w:color="auto" w:fill="auto"/>
            <w:noWrap/>
            <w:vAlign w:val="center"/>
          </w:tcPr>
          <w:p w14:paraId="55E8CC08" w14:textId="77777777" w:rsidR="0090528B" w:rsidRPr="001202B5" w:rsidRDefault="0090528B" w:rsidP="00954470">
            <w:pPr>
              <w:pStyle w:val="DHHStabletext"/>
              <w:rPr>
                <w:lang w:eastAsia="en-AU"/>
              </w:rPr>
            </w:pPr>
          </w:p>
        </w:tc>
        <w:tc>
          <w:tcPr>
            <w:tcW w:w="683" w:type="dxa"/>
            <w:shd w:val="clear" w:color="auto" w:fill="auto"/>
            <w:noWrap/>
            <w:vAlign w:val="center"/>
          </w:tcPr>
          <w:p w14:paraId="5EE823F3" w14:textId="77777777" w:rsidR="0090528B" w:rsidRPr="001202B5" w:rsidRDefault="0090528B" w:rsidP="00954470">
            <w:pPr>
              <w:pStyle w:val="DHHStabletext"/>
              <w:rPr>
                <w:lang w:eastAsia="en-AU"/>
              </w:rPr>
            </w:pPr>
          </w:p>
        </w:tc>
        <w:tc>
          <w:tcPr>
            <w:tcW w:w="682" w:type="dxa"/>
            <w:shd w:val="clear" w:color="auto" w:fill="auto"/>
            <w:noWrap/>
            <w:vAlign w:val="center"/>
          </w:tcPr>
          <w:p w14:paraId="0AB80157" w14:textId="77777777" w:rsidR="0090528B" w:rsidRPr="001202B5" w:rsidRDefault="0090528B" w:rsidP="00954470">
            <w:pPr>
              <w:pStyle w:val="DHHStabletext"/>
              <w:rPr>
                <w:lang w:eastAsia="en-AU"/>
              </w:rPr>
            </w:pPr>
            <w:r w:rsidRPr="001202B5">
              <w:rPr>
                <w:lang w:eastAsia="en-AU"/>
              </w:rPr>
              <w:t>7</w:t>
            </w:r>
          </w:p>
        </w:tc>
        <w:tc>
          <w:tcPr>
            <w:tcW w:w="683" w:type="dxa"/>
            <w:shd w:val="clear" w:color="auto" w:fill="auto"/>
            <w:noWrap/>
            <w:vAlign w:val="center"/>
          </w:tcPr>
          <w:p w14:paraId="501814D6" w14:textId="77777777" w:rsidR="0090528B" w:rsidRPr="001202B5" w:rsidRDefault="0090528B" w:rsidP="00954470">
            <w:pPr>
              <w:pStyle w:val="DHHStabletext"/>
              <w:rPr>
                <w:lang w:eastAsia="en-AU"/>
              </w:rPr>
            </w:pPr>
          </w:p>
        </w:tc>
        <w:tc>
          <w:tcPr>
            <w:tcW w:w="683" w:type="dxa"/>
            <w:shd w:val="clear" w:color="auto" w:fill="auto"/>
            <w:noWrap/>
            <w:vAlign w:val="center"/>
          </w:tcPr>
          <w:p w14:paraId="46E4325A" w14:textId="77777777" w:rsidR="0090528B" w:rsidRPr="001202B5" w:rsidRDefault="0090528B" w:rsidP="00954470">
            <w:pPr>
              <w:pStyle w:val="DHHStabletext"/>
              <w:rPr>
                <w:lang w:eastAsia="en-AU"/>
              </w:rPr>
            </w:pPr>
          </w:p>
        </w:tc>
      </w:tr>
      <w:tr w:rsidR="0090528B" w:rsidRPr="00EF3A59" w14:paraId="130AB689" w14:textId="77777777" w:rsidTr="00380AD2">
        <w:trPr>
          <w:trHeight w:val="300"/>
        </w:trPr>
        <w:tc>
          <w:tcPr>
            <w:tcW w:w="2320" w:type="dxa"/>
            <w:shd w:val="clear" w:color="auto" w:fill="auto"/>
            <w:noWrap/>
            <w:vAlign w:val="center"/>
            <w:hideMark/>
          </w:tcPr>
          <w:p w14:paraId="4F7737D1" w14:textId="0A9AA478" w:rsidR="0090528B" w:rsidRPr="001202B5" w:rsidRDefault="0090528B" w:rsidP="00954470">
            <w:pPr>
              <w:pStyle w:val="DHHStabletext"/>
              <w:rPr>
                <w:lang w:eastAsia="en-AU"/>
              </w:rPr>
            </w:pPr>
            <w:r w:rsidRPr="001202B5">
              <w:rPr>
                <w:lang w:eastAsia="en-AU"/>
              </w:rPr>
              <w:t>L</w:t>
            </w:r>
            <w:r w:rsidR="00337E1D">
              <w:rPr>
                <w:lang w:eastAsia="en-AU"/>
              </w:rPr>
              <w:t>M</w:t>
            </w:r>
            <w:r w:rsidRPr="001202B5">
              <w:rPr>
                <w:lang w:eastAsia="en-AU"/>
              </w:rPr>
              <w:t>ICS</w:t>
            </w:r>
          </w:p>
        </w:tc>
        <w:tc>
          <w:tcPr>
            <w:tcW w:w="682" w:type="dxa"/>
            <w:shd w:val="clear" w:color="auto" w:fill="auto"/>
            <w:noWrap/>
            <w:vAlign w:val="center"/>
          </w:tcPr>
          <w:p w14:paraId="2BA52904" w14:textId="77777777" w:rsidR="0090528B" w:rsidRPr="001202B5" w:rsidRDefault="0090528B" w:rsidP="00954470">
            <w:pPr>
              <w:pStyle w:val="DHHStabletext"/>
              <w:rPr>
                <w:lang w:eastAsia="en-AU"/>
              </w:rPr>
            </w:pPr>
          </w:p>
        </w:tc>
        <w:tc>
          <w:tcPr>
            <w:tcW w:w="683" w:type="dxa"/>
            <w:shd w:val="clear" w:color="auto" w:fill="auto"/>
            <w:noWrap/>
            <w:vAlign w:val="center"/>
          </w:tcPr>
          <w:p w14:paraId="7A233AFE" w14:textId="77777777" w:rsidR="0090528B" w:rsidRPr="001202B5" w:rsidRDefault="0090528B" w:rsidP="00954470">
            <w:pPr>
              <w:pStyle w:val="DHHStabletext"/>
              <w:rPr>
                <w:lang w:eastAsia="en-AU"/>
              </w:rPr>
            </w:pPr>
          </w:p>
        </w:tc>
        <w:tc>
          <w:tcPr>
            <w:tcW w:w="682" w:type="dxa"/>
            <w:shd w:val="clear" w:color="auto" w:fill="auto"/>
            <w:noWrap/>
            <w:vAlign w:val="center"/>
          </w:tcPr>
          <w:p w14:paraId="349B197C" w14:textId="77777777" w:rsidR="0090528B" w:rsidRPr="001202B5" w:rsidRDefault="0090528B" w:rsidP="00954470">
            <w:pPr>
              <w:pStyle w:val="DHHStabletext"/>
              <w:rPr>
                <w:lang w:eastAsia="en-AU"/>
              </w:rPr>
            </w:pPr>
            <w:r w:rsidRPr="001202B5">
              <w:rPr>
                <w:lang w:eastAsia="en-AU"/>
              </w:rPr>
              <w:t>3</w:t>
            </w:r>
          </w:p>
        </w:tc>
        <w:tc>
          <w:tcPr>
            <w:tcW w:w="683" w:type="dxa"/>
            <w:shd w:val="clear" w:color="auto" w:fill="auto"/>
            <w:noWrap/>
            <w:vAlign w:val="center"/>
          </w:tcPr>
          <w:p w14:paraId="3D2D8396" w14:textId="77777777" w:rsidR="0090528B" w:rsidRPr="001202B5" w:rsidRDefault="0090528B" w:rsidP="00954470">
            <w:pPr>
              <w:pStyle w:val="DHHStabletext"/>
              <w:rPr>
                <w:lang w:eastAsia="en-AU"/>
              </w:rPr>
            </w:pPr>
          </w:p>
        </w:tc>
        <w:tc>
          <w:tcPr>
            <w:tcW w:w="683" w:type="dxa"/>
            <w:shd w:val="clear" w:color="auto" w:fill="auto"/>
            <w:noWrap/>
            <w:vAlign w:val="center"/>
          </w:tcPr>
          <w:p w14:paraId="161DEDA8" w14:textId="77777777" w:rsidR="0090528B" w:rsidRPr="001202B5" w:rsidRDefault="0090528B" w:rsidP="00954470">
            <w:pPr>
              <w:pStyle w:val="DHHStabletext"/>
              <w:rPr>
                <w:lang w:eastAsia="en-AU"/>
              </w:rPr>
            </w:pPr>
          </w:p>
        </w:tc>
        <w:tc>
          <w:tcPr>
            <w:tcW w:w="682" w:type="dxa"/>
            <w:shd w:val="clear" w:color="auto" w:fill="auto"/>
            <w:noWrap/>
            <w:vAlign w:val="center"/>
          </w:tcPr>
          <w:p w14:paraId="1533098B" w14:textId="77777777" w:rsidR="0090528B" w:rsidRPr="001202B5" w:rsidRDefault="0090528B" w:rsidP="00954470">
            <w:pPr>
              <w:pStyle w:val="DHHStabletext"/>
              <w:rPr>
                <w:lang w:eastAsia="en-AU"/>
              </w:rPr>
            </w:pPr>
          </w:p>
        </w:tc>
        <w:tc>
          <w:tcPr>
            <w:tcW w:w="683" w:type="dxa"/>
            <w:shd w:val="clear" w:color="auto" w:fill="auto"/>
            <w:noWrap/>
            <w:vAlign w:val="center"/>
          </w:tcPr>
          <w:p w14:paraId="6201E639" w14:textId="77777777" w:rsidR="0090528B" w:rsidRPr="001202B5" w:rsidRDefault="0090528B" w:rsidP="00954470">
            <w:pPr>
              <w:pStyle w:val="DHHStabletext"/>
              <w:rPr>
                <w:lang w:eastAsia="en-AU"/>
              </w:rPr>
            </w:pPr>
            <w:r w:rsidRPr="001202B5">
              <w:rPr>
                <w:lang w:eastAsia="en-AU"/>
              </w:rPr>
              <w:t>16</w:t>
            </w:r>
          </w:p>
        </w:tc>
        <w:tc>
          <w:tcPr>
            <w:tcW w:w="683" w:type="dxa"/>
            <w:shd w:val="clear" w:color="auto" w:fill="auto"/>
            <w:noWrap/>
            <w:vAlign w:val="center"/>
          </w:tcPr>
          <w:p w14:paraId="7DE9F28B" w14:textId="77777777" w:rsidR="0090528B" w:rsidRPr="001202B5" w:rsidRDefault="0090528B" w:rsidP="00954470">
            <w:pPr>
              <w:pStyle w:val="DHHStabletext"/>
              <w:rPr>
                <w:lang w:eastAsia="en-AU"/>
              </w:rPr>
            </w:pPr>
            <w:r w:rsidRPr="001202B5">
              <w:rPr>
                <w:lang w:eastAsia="en-AU"/>
              </w:rPr>
              <w:t>1</w:t>
            </w:r>
          </w:p>
        </w:tc>
      </w:tr>
      <w:tr w:rsidR="0090528B" w:rsidRPr="00EF3A59" w14:paraId="5D7A8595" w14:textId="77777777" w:rsidTr="00380AD2">
        <w:trPr>
          <w:trHeight w:val="300"/>
        </w:trPr>
        <w:tc>
          <w:tcPr>
            <w:tcW w:w="2320" w:type="dxa"/>
            <w:shd w:val="clear" w:color="auto" w:fill="auto"/>
            <w:noWrap/>
            <w:vAlign w:val="center"/>
            <w:hideMark/>
          </w:tcPr>
          <w:p w14:paraId="1D0958CC" w14:textId="69A4361B" w:rsidR="0090528B" w:rsidRPr="001202B5" w:rsidRDefault="0090528B" w:rsidP="00954470">
            <w:pPr>
              <w:pStyle w:val="DHHStabletext"/>
              <w:rPr>
                <w:lang w:eastAsia="en-AU"/>
              </w:rPr>
            </w:pPr>
            <w:r w:rsidRPr="001202B5">
              <w:rPr>
                <w:lang w:eastAsia="en-AU"/>
              </w:rPr>
              <w:t>GICS</w:t>
            </w:r>
          </w:p>
        </w:tc>
        <w:tc>
          <w:tcPr>
            <w:tcW w:w="682" w:type="dxa"/>
            <w:shd w:val="clear" w:color="auto" w:fill="auto"/>
            <w:noWrap/>
            <w:vAlign w:val="center"/>
          </w:tcPr>
          <w:p w14:paraId="0AA05857" w14:textId="77777777" w:rsidR="0090528B" w:rsidRPr="001202B5" w:rsidRDefault="0090528B" w:rsidP="00954470">
            <w:pPr>
              <w:pStyle w:val="DHHStabletext"/>
              <w:rPr>
                <w:lang w:eastAsia="en-AU"/>
              </w:rPr>
            </w:pPr>
          </w:p>
        </w:tc>
        <w:tc>
          <w:tcPr>
            <w:tcW w:w="683" w:type="dxa"/>
            <w:shd w:val="clear" w:color="auto" w:fill="auto"/>
            <w:noWrap/>
            <w:vAlign w:val="center"/>
          </w:tcPr>
          <w:p w14:paraId="4469A6FF" w14:textId="77777777" w:rsidR="0090528B" w:rsidRPr="001202B5" w:rsidRDefault="0090528B" w:rsidP="00954470">
            <w:pPr>
              <w:pStyle w:val="DHHStabletext"/>
              <w:rPr>
                <w:lang w:eastAsia="en-AU"/>
              </w:rPr>
            </w:pPr>
          </w:p>
        </w:tc>
        <w:tc>
          <w:tcPr>
            <w:tcW w:w="682" w:type="dxa"/>
            <w:shd w:val="clear" w:color="auto" w:fill="auto"/>
            <w:noWrap/>
            <w:vAlign w:val="center"/>
          </w:tcPr>
          <w:p w14:paraId="2438509E" w14:textId="77777777" w:rsidR="0090528B" w:rsidRPr="001202B5" w:rsidRDefault="0090528B" w:rsidP="00954470">
            <w:pPr>
              <w:pStyle w:val="DHHStabletext"/>
              <w:rPr>
                <w:lang w:eastAsia="en-AU"/>
              </w:rPr>
            </w:pPr>
            <w:r w:rsidRPr="001202B5">
              <w:rPr>
                <w:lang w:eastAsia="en-AU"/>
              </w:rPr>
              <w:t>1</w:t>
            </w:r>
          </w:p>
        </w:tc>
        <w:tc>
          <w:tcPr>
            <w:tcW w:w="683" w:type="dxa"/>
            <w:shd w:val="clear" w:color="auto" w:fill="auto"/>
            <w:noWrap/>
            <w:vAlign w:val="center"/>
          </w:tcPr>
          <w:p w14:paraId="1F7977EB" w14:textId="77777777" w:rsidR="0090528B" w:rsidRPr="001202B5" w:rsidRDefault="0090528B" w:rsidP="00954470">
            <w:pPr>
              <w:pStyle w:val="DHHStabletext"/>
              <w:rPr>
                <w:lang w:eastAsia="en-AU"/>
              </w:rPr>
            </w:pPr>
          </w:p>
        </w:tc>
        <w:tc>
          <w:tcPr>
            <w:tcW w:w="683" w:type="dxa"/>
            <w:shd w:val="clear" w:color="auto" w:fill="auto"/>
            <w:noWrap/>
            <w:vAlign w:val="center"/>
          </w:tcPr>
          <w:p w14:paraId="11FA46E5" w14:textId="77777777" w:rsidR="0090528B" w:rsidRPr="001202B5" w:rsidRDefault="0090528B" w:rsidP="00954470">
            <w:pPr>
              <w:pStyle w:val="DHHStabletext"/>
              <w:rPr>
                <w:lang w:eastAsia="en-AU"/>
              </w:rPr>
            </w:pPr>
          </w:p>
        </w:tc>
        <w:tc>
          <w:tcPr>
            <w:tcW w:w="682" w:type="dxa"/>
            <w:shd w:val="clear" w:color="auto" w:fill="auto"/>
            <w:noWrap/>
            <w:vAlign w:val="center"/>
          </w:tcPr>
          <w:p w14:paraId="497E6E79" w14:textId="77777777" w:rsidR="0090528B" w:rsidRPr="001202B5" w:rsidRDefault="0090528B" w:rsidP="00954470">
            <w:pPr>
              <w:pStyle w:val="DHHStabletext"/>
              <w:rPr>
                <w:lang w:eastAsia="en-AU"/>
              </w:rPr>
            </w:pPr>
          </w:p>
        </w:tc>
        <w:tc>
          <w:tcPr>
            <w:tcW w:w="683" w:type="dxa"/>
            <w:shd w:val="clear" w:color="auto" w:fill="auto"/>
            <w:noWrap/>
            <w:vAlign w:val="center"/>
          </w:tcPr>
          <w:p w14:paraId="1260E30A" w14:textId="77777777" w:rsidR="0090528B" w:rsidRPr="001202B5" w:rsidRDefault="0090528B" w:rsidP="00954470">
            <w:pPr>
              <w:pStyle w:val="DHHStabletext"/>
              <w:rPr>
                <w:lang w:eastAsia="en-AU"/>
              </w:rPr>
            </w:pPr>
            <w:r w:rsidRPr="001202B5">
              <w:rPr>
                <w:lang w:eastAsia="en-AU"/>
              </w:rPr>
              <w:t>1</w:t>
            </w:r>
          </w:p>
        </w:tc>
        <w:tc>
          <w:tcPr>
            <w:tcW w:w="683" w:type="dxa"/>
            <w:shd w:val="clear" w:color="auto" w:fill="auto"/>
            <w:noWrap/>
            <w:vAlign w:val="center"/>
          </w:tcPr>
          <w:p w14:paraId="29F2AA43" w14:textId="77777777" w:rsidR="0090528B" w:rsidRPr="001202B5" w:rsidRDefault="0090528B" w:rsidP="00954470">
            <w:pPr>
              <w:pStyle w:val="DHHStabletext"/>
              <w:rPr>
                <w:lang w:eastAsia="en-AU"/>
              </w:rPr>
            </w:pPr>
            <w:r w:rsidRPr="001202B5">
              <w:rPr>
                <w:lang w:eastAsia="en-AU"/>
              </w:rPr>
              <w:t>10</w:t>
            </w:r>
          </w:p>
        </w:tc>
      </w:tr>
    </w:tbl>
    <w:p w14:paraId="53879B5D" w14:textId="2FD0E52A" w:rsidR="009A009B" w:rsidRPr="009A009B" w:rsidRDefault="009A009B" w:rsidP="006727DF">
      <w:pPr>
        <w:pStyle w:val="DHHStablefigurenote"/>
        <w:rPr>
          <w:lang w:eastAsia="en-AU"/>
        </w:rPr>
      </w:pPr>
      <w:r w:rsidRPr="009A009B">
        <w:rPr>
          <w:vertAlign w:val="superscript"/>
          <w:lang w:eastAsia="en-AU"/>
        </w:rPr>
        <w:t>#</w:t>
      </w:r>
      <w:r w:rsidR="006727DF">
        <w:rPr>
          <w:vertAlign w:val="superscript"/>
          <w:lang w:eastAsia="en-AU"/>
        </w:rPr>
        <w:t xml:space="preserve"> </w:t>
      </w:r>
      <w:r w:rsidRPr="009A009B">
        <w:rPr>
          <w:lang w:eastAsia="en-AU"/>
        </w:rPr>
        <w:t xml:space="preserve">Note </w:t>
      </w:r>
      <w:proofErr w:type="spellStart"/>
      <w:r w:rsidRPr="009A009B">
        <w:rPr>
          <w:lang w:eastAsia="en-AU"/>
        </w:rPr>
        <w:t>HumeRICS</w:t>
      </w:r>
      <w:proofErr w:type="spellEnd"/>
      <w:r w:rsidRPr="009A009B">
        <w:rPr>
          <w:lang w:eastAsia="en-AU"/>
        </w:rPr>
        <w:t xml:space="preserve"> data limitation </w:t>
      </w:r>
      <w:r w:rsidR="00B82470">
        <w:rPr>
          <w:lang w:eastAsia="en-AU"/>
        </w:rPr>
        <w:t>regarding patients receiving their treatment in NSW.</w:t>
      </w:r>
    </w:p>
    <w:p w14:paraId="4D1D522F" w14:textId="640AD08F" w:rsidR="00790F15" w:rsidRDefault="00790F15" w:rsidP="00790F15">
      <w:pPr>
        <w:pStyle w:val="Heading3"/>
      </w:pPr>
      <w:r>
        <w:t>Timeliness of care</w:t>
      </w:r>
    </w:p>
    <w:p w14:paraId="52633529" w14:textId="632B41B5" w:rsidR="00383B91" w:rsidRDefault="00383B91" w:rsidP="00383B91">
      <w:pPr>
        <w:pStyle w:val="DHHSbody"/>
      </w:pPr>
      <w:r>
        <w:t xml:space="preserve">The timeliness figures are calculated using </w:t>
      </w:r>
      <w:r w:rsidR="007A6F72">
        <w:t>data collected from the audit</w:t>
      </w:r>
      <w:r w:rsidR="00B27FCD">
        <w:t xml:space="preserve"> and from the VAED</w:t>
      </w:r>
      <w:r w:rsidR="007A6F72">
        <w:t xml:space="preserve">. </w:t>
      </w:r>
      <w:r>
        <w:t>A proportion of patients did not h</w:t>
      </w:r>
      <w:r w:rsidR="007A6F72">
        <w:t>ave dates recorded in their audit</w:t>
      </w:r>
      <w:r>
        <w:t xml:space="preserve"> record for referral, commencement of treatment and/or MDM. Th</w:t>
      </w:r>
      <w:r w:rsidR="00C51CB9">
        <w:t>ese patients are classified as m</w:t>
      </w:r>
      <w:r w:rsidR="00336DCE">
        <w:t xml:space="preserve">issing data in </w:t>
      </w:r>
      <w:r w:rsidR="006821ED">
        <w:t>T</w:t>
      </w:r>
      <w:r>
        <w:t>able</w:t>
      </w:r>
      <w:r w:rsidR="007354DC">
        <w:t xml:space="preserve"> 5</w:t>
      </w:r>
      <w:r>
        <w:t xml:space="preserve"> and the number of patients is documented. Patients who did not receive chemotherapy, radiotherapy</w:t>
      </w:r>
      <w:r w:rsidR="00B651CA">
        <w:t xml:space="preserve"> or</w:t>
      </w:r>
      <w:r>
        <w:t xml:space="preserve"> surgery (</w:t>
      </w:r>
      <w:proofErr w:type="spellStart"/>
      <w:r>
        <w:t>oesophagectomy</w:t>
      </w:r>
      <w:proofErr w:type="spellEnd"/>
      <w:r>
        <w:t>, gastrectomy, endoscopic mucosal resection) have missing dates for the commencement of first treatment. Patients with a missing MDM date may be either missing date</w:t>
      </w:r>
      <w:r w:rsidR="007A6F72">
        <w:t xml:space="preserve"> entries</w:t>
      </w:r>
      <w:r>
        <w:t xml:space="preserve"> or did not have an MDM documented in their audit record.</w:t>
      </w:r>
      <w:r w:rsidR="00FC1AA5">
        <w:t xml:space="preserve"> Patients with</w:t>
      </w:r>
      <w:r w:rsidR="00B651CA">
        <w:t xml:space="preserve"> their</w:t>
      </w:r>
      <w:r w:rsidR="00FC1AA5">
        <w:t xml:space="preserve"> </w:t>
      </w:r>
      <w:r w:rsidR="00305EB2">
        <w:t>first treatment</w:t>
      </w:r>
      <w:r w:rsidR="00FC1AA5">
        <w:t xml:space="preserve"> recorded prior to</w:t>
      </w:r>
      <w:r w:rsidR="00B651CA">
        <w:t xml:space="preserve"> an</w:t>
      </w:r>
      <w:r w:rsidR="00FC1AA5">
        <w:t xml:space="preserve"> </w:t>
      </w:r>
      <w:r w:rsidR="00305EB2">
        <w:t>MDM</w:t>
      </w:r>
      <w:r w:rsidR="00FC1AA5">
        <w:t xml:space="preserve"> were excluded from the timeliness calculation for that variable.</w:t>
      </w:r>
    </w:p>
    <w:p w14:paraId="037AD789" w14:textId="0F0FF00A" w:rsidR="00EF4D93" w:rsidRDefault="002E4353" w:rsidP="00BB7D78">
      <w:pPr>
        <w:pStyle w:val="DHHSbody"/>
      </w:pPr>
      <w:r>
        <w:t xml:space="preserve">Overall, </w:t>
      </w:r>
      <w:r w:rsidR="00F31206">
        <w:t>the</w:t>
      </w:r>
      <w:r w:rsidR="006C76F7">
        <w:t xml:space="preserve"> </w:t>
      </w:r>
      <w:r w:rsidR="00523590">
        <w:t>median</w:t>
      </w:r>
      <w:r w:rsidR="00F31206">
        <w:t xml:space="preserve"> time between </w:t>
      </w:r>
      <w:r w:rsidR="00A4327A">
        <w:t>(1</w:t>
      </w:r>
      <w:r w:rsidR="00035F45">
        <w:t xml:space="preserve">) </w:t>
      </w:r>
      <w:r w:rsidR="00523590">
        <w:t xml:space="preserve">referral to commencement of first treatment, </w:t>
      </w:r>
      <w:r w:rsidR="00A4327A">
        <w:t>(2</w:t>
      </w:r>
      <w:r w:rsidR="00523590">
        <w:t xml:space="preserve">) </w:t>
      </w:r>
      <w:r w:rsidR="00AB15EB">
        <w:t xml:space="preserve">referral to MDM and </w:t>
      </w:r>
      <w:r w:rsidR="00A4327A">
        <w:t>(3</w:t>
      </w:r>
      <w:r w:rsidR="00AB15EB">
        <w:t xml:space="preserve">) </w:t>
      </w:r>
      <w:r w:rsidR="00F31206">
        <w:t>diagnosis of</w:t>
      </w:r>
      <w:r>
        <w:t xml:space="preserve"> </w:t>
      </w:r>
      <w:r w:rsidR="00F31206">
        <w:t xml:space="preserve">an OG cancer </w:t>
      </w:r>
      <w:r w:rsidR="00035F45">
        <w:t>and presentation at an MDM</w:t>
      </w:r>
      <w:r w:rsidR="00AB15EB">
        <w:t xml:space="preserve">, </w:t>
      </w:r>
      <w:r w:rsidR="00035F45">
        <w:t xml:space="preserve">was </w:t>
      </w:r>
      <w:r w:rsidR="00523590">
        <w:t>within</w:t>
      </w:r>
      <w:r w:rsidR="00035F45">
        <w:t xml:space="preserve"> the timeframes recommended in the optimal care pathway.</w:t>
      </w:r>
      <w:r w:rsidR="00EF4D93">
        <w:t xml:space="preserve"> </w:t>
      </w:r>
      <w:r w:rsidR="00EF4951">
        <w:t xml:space="preserve">The percentage of audited patients </w:t>
      </w:r>
      <w:r w:rsidR="0089112C">
        <w:t xml:space="preserve">who </w:t>
      </w:r>
      <w:r w:rsidR="00EF4951">
        <w:t xml:space="preserve">achieved optimal care pathway recommended timeframes were 63 per cent for referral to first treatment (42 days or </w:t>
      </w:r>
      <w:r w:rsidR="0089112C">
        <w:t>fewer</w:t>
      </w:r>
      <w:r w:rsidR="00EF4951">
        <w:t xml:space="preserve">), 71 per cent for referral to MDM (28 days or </w:t>
      </w:r>
      <w:r w:rsidR="0089112C">
        <w:t>fewer</w:t>
      </w:r>
      <w:r w:rsidR="00EF4951">
        <w:t xml:space="preserve">), and 52 per cent for diagnosis to MDM (14 days or </w:t>
      </w:r>
      <w:r w:rsidR="0089112C">
        <w:t>fewer</w:t>
      </w:r>
      <w:r w:rsidR="00EF4951">
        <w:t>).</w:t>
      </w:r>
    </w:p>
    <w:p w14:paraId="30A98FBF" w14:textId="76822E60" w:rsidR="00A728F8" w:rsidRDefault="00B629EA" w:rsidP="00BB7D78">
      <w:pPr>
        <w:pStyle w:val="DHHSbody"/>
      </w:pPr>
      <w:r>
        <w:t xml:space="preserve">The median time between </w:t>
      </w:r>
      <w:r w:rsidR="00A73C40">
        <w:t>(1</w:t>
      </w:r>
      <w:r w:rsidR="00AB15EB">
        <w:t xml:space="preserve">) diagnosis of an OG cancer and </w:t>
      </w:r>
      <w:r w:rsidR="0089112C">
        <w:t>beginning</w:t>
      </w:r>
      <w:r w:rsidR="00AB15EB">
        <w:t xml:space="preserve"> treatment and </w:t>
      </w:r>
      <w:r w:rsidR="00A73C40">
        <w:t>(2</w:t>
      </w:r>
      <w:r w:rsidR="00AB15EB">
        <w:t>) MDM to first treatment</w:t>
      </w:r>
      <w:r>
        <w:t xml:space="preserve"> was outside of the recommended timeframes.</w:t>
      </w:r>
      <w:r w:rsidR="00EF4951">
        <w:t xml:space="preserve"> The percentage of audited patients </w:t>
      </w:r>
      <w:r w:rsidR="0089112C">
        <w:t xml:space="preserve">who </w:t>
      </w:r>
      <w:r w:rsidR="00EF4951">
        <w:t>achieved optimal care pathway recommended timeframes were</w:t>
      </w:r>
      <w:r w:rsidR="000E691C">
        <w:t xml:space="preserve"> 40</w:t>
      </w:r>
      <w:r w:rsidR="00EF4951">
        <w:t xml:space="preserve"> per cent for </w:t>
      </w:r>
      <w:r w:rsidR="000E691C">
        <w:t xml:space="preserve">diagnosis to commencement of treatment (28 days or </w:t>
      </w:r>
      <w:r w:rsidR="0089112C">
        <w:t>fewer</w:t>
      </w:r>
      <w:r w:rsidR="000E691C">
        <w:t xml:space="preserve">) </w:t>
      </w:r>
      <w:r w:rsidR="00EF4951">
        <w:t xml:space="preserve">and </w:t>
      </w:r>
      <w:r w:rsidR="000E691C">
        <w:t>26</w:t>
      </w:r>
      <w:r w:rsidR="00EF4951">
        <w:t xml:space="preserve"> per cent for MDM </w:t>
      </w:r>
      <w:r w:rsidR="000E691C">
        <w:t xml:space="preserve">to first treatment </w:t>
      </w:r>
      <w:r w:rsidR="00EF4951">
        <w:t xml:space="preserve">(14 days or </w:t>
      </w:r>
      <w:r w:rsidR="0089112C">
        <w:t>fewer</w:t>
      </w:r>
      <w:r w:rsidR="00EF4951">
        <w:t>).</w:t>
      </w:r>
    </w:p>
    <w:p w14:paraId="1571E54B" w14:textId="7B3A0A77" w:rsidR="0090528B" w:rsidRDefault="00054EC0" w:rsidP="00054EC0">
      <w:pPr>
        <w:pStyle w:val="DHHStablecaption"/>
      </w:pPr>
      <w:bookmarkStart w:id="26" w:name="_Toc524422142"/>
      <w:bookmarkStart w:id="27" w:name="_Toc524422237"/>
      <w:r>
        <w:t xml:space="preserve">Table </w:t>
      </w:r>
      <w:r w:rsidR="005E110B">
        <w:fldChar w:fldCharType="begin"/>
      </w:r>
      <w:r w:rsidR="005E110B">
        <w:instrText xml:space="preserve"> SEQ Table \* ARABIC </w:instrText>
      </w:r>
      <w:r w:rsidR="005E110B">
        <w:fldChar w:fldCharType="separate"/>
      </w:r>
      <w:r w:rsidR="005E110B">
        <w:rPr>
          <w:noProof/>
        </w:rPr>
        <w:t>5</w:t>
      </w:r>
      <w:r w:rsidR="005E110B">
        <w:rPr>
          <w:noProof/>
        </w:rPr>
        <w:fldChar w:fldCharType="end"/>
      </w:r>
      <w:r w:rsidR="001C1B5B">
        <w:rPr>
          <w:noProof/>
        </w:rPr>
        <w:t>:</w:t>
      </w:r>
      <w:r w:rsidR="0090528B">
        <w:t xml:space="preserve"> Timeliness of care for </w:t>
      </w:r>
      <w:r w:rsidR="0090528B" w:rsidRPr="006732EB">
        <w:t>Victorians diagn</w:t>
      </w:r>
      <w:r w:rsidR="0090528B">
        <w:t xml:space="preserve">osed with </w:t>
      </w:r>
      <w:r w:rsidR="00A144F1">
        <w:t xml:space="preserve">OG </w:t>
      </w:r>
      <w:r w:rsidR="0090528B" w:rsidRPr="006732EB">
        <w:t>cancers between 1 July and 31 December 2016 who were admitted to a Victorian public or selected private health service</w:t>
      </w:r>
      <w:r w:rsidR="0090528B">
        <w:t xml:space="preserve"> (297 patients)</w:t>
      </w:r>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873"/>
        <w:gridCol w:w="2173"/>
        <w:gridCol w:w="1762"/>
      </w:tblGrid>
      <w:tr w:rsidR="0090528B" w:rsidRPr="008D1EEA" w14:paraId="4153381E" w14:textId="77777777" w:rsidTr="006727DF">
        <w:trPr>
          <w:trHeight w:val="300"/>
          <w:tblHeader/>
        </w:trPr>
        <w:tc>
          <w:tcPr>
            <w:tcW w:w="1475" w:type="pct"/>
            <w:shd w:val="clear" w:color="auto" w:fill="auto"/>
            <w:noWrap/>
            <w:vAlign w:val="bottom"/>
            <w:hideMark/>
          </w:tcPr>
          <w:p w14:paraId="4D762B0D" w14:textId="77777777" w:rsidR="0090528B" w:rsidRPr="008D1EEA" w:rsidRDefault="0090528B" w:rsidP="00F0776E">
            <w:pPr>
              <w:pStyle w:val="DHHStablecolhead"/>
              <w:rPr>
                <w:lang w:eastAsia="en-AU"/>
              </w:rPr>
            </w:pPr>
            <w:r w:rsidRPr="008D1EEA">
              <w:rPr>
                <w:lang w:eastAsia="en-AU"/>
              </w:rPr>
              <w:t>Variable</w:t>
            </w:r>
          </w:p>
        </w:tc>
        <w:tc>
          <w:tcPr>
            <w:tcW w:w="1423" w:type="pct"/>
            <w:shd w:val="clear" w:color="auto" w:fill="auto"/>
            <w:noWrap/>
            <w:vAlign w:val="bottom"/>
            <w:hideMark/>
          </w:tcPr>
          <w:p w14:paraId="495E67C7" w14:textId="77777777" w:rsidR="0090528B" w:rsidRPr="008D1EEA" w:rsidRDefault="0090528B" w:rsidP="00F0776E">
            <w:pPr>
              <w:pStyle w:val="DHHStablecolhead"/>
              <w:rPr>
                <w:lang w:eastAsia="en-AU"/>
              </w:rPr>
            </w:pPr>
            <w:r>
              <w:rPr>
                <w:lang w:eastAsia="en-AU"/>
              </w:rPr>
              <w:t>S</w:t>
            </w:r>
            <w:r w:rsidRPr="008D1EEA">
              <w:rPr>
                <w:lang w:eastAsia="en-AU"/>
              </w:rPr>
              <w:t>tatistic</w:t>
            </w:r>
          </w:p>
        </w:tc>
        <w:tc>
          <w:tcPr>
            <w:tcW w:w="1159" w:type="pct"/>
            <w:shd w:val="clear" w:color="auto" w:fill="auto"/>
            <w:noWrap/>
            <w:vAlign w:val="bottom"/>
            <w:hideMark/>
          </w:tcPr>
          <w:p w14:paraId="45C01B8D" w14:textId="7CB05F27" w:rsidR="0090528B" w:rsidRPr="008D1EEA" w:rsidRDefault="0090528B">
            <w:pPr>
              <w:pStyle w:val="DHHStablecolhead"/>
              <w:rPr>
                <w:lang w:eastAsia="en-AU"/>
              </w:rPr>
            </w:pPr>
            <w:r>
              <w:rPr>
                <w:lang w:eastAsia="en-AU"/>
              </w:rPr>
              <w:t xml:space="preserve">Oesophageal </w:t>
            </w:r>
            <w:r w:rsidR="00A144F1">
              <w:rPr>
                <w:lang w:eastAsia="en-AU"/>
              </w:rPr>
              <w:t>c</w:t>
            </w:r>
            <w:r>
              <w:rPr>
                <w:lang w:eastAsia="en-AU"/>
              </w:rPr>
              <w:t>ancer</w:t>
            </w:r>
          </w:p>
        </w:tc>
        <w:tc>
          <w:tcPr>
            <w:tcW w:w="943" w:type="pct"/>
            <w:shd w:val="clear" w:color="auto" w:fill="auto"/>
            <w:noWrap/>
            <w:vAlign w:val="bottom"/>
            <w:hideMark/>
          </w:tcPr>
          <w:p w14:paraId="75EDDD64" w14:textId="153F58FA" w:rsidR="0090528B" w:rsidRPr="008D1EEA" w:rsidRDefault="0090528B">
            <w:pPr>
              <w:pStyle w:val="DHHStablecolhead"/>
              <w:rPr>
                <w:lang w:eastAsia="en-AU"/>
              </w:rPr>
            </w:pPr>
            <w:r>
              <w:rPr>
                <w:lang w:eastAsia="en-AU"/>
              </w:rPr>
              <w:t>S</w:t>
            </w:r>
            <w:r w:rsidRPr="008D1EEA">
              <w:rPr>
                <w:lang w:eastAsia="en-AU"/>
              </w:rPr>
              <w:t>tomach</w:t>
            </w:r>
            <w:r>
              <w:rPr>
                <w:lang w:eastAsia="en-AU"/>
              </w:rPr>
              <w:t xml:space="preserve"> </w:t>
            </w:r>
            <w:r w:rsidR="00A144F1">
              <w:rPr>
                <w:lang w:eastAsia="en-AU"/>
              </w:rPr>
              <w:t>c</w:t>
            </w:r>
            <w:r>
              <w:rPr>
                <w:lang w:eastAsia="en-AU"/>
              </w:rPr>
              <w:t>ancer</w:t>
            </w:r>
          </w:p>
        </w:tc>
      </w:tr>
      <w:tr w:rsidR="0090528B" w:rsidRPr="008D1EEA" w14:paraId="29726BA9" w14:textId="77777777" w:rsidTr="00B12671">
        <w:trPr>
          <w:trHeight w:val="300"/>
        </w:trPr>
        <w:tc>
          <w:tcPr>
            <w:tcW w:w="1475" w:type="pct"/>
            <w:vMerge w:val="restart"/>
            <w:shd w:val="clear" w:color="auto" w:fill="D9D9D9" w:themeFill="background1" w:themeFillShade="D9"/>
            <w:noWrap/>
          </w:tcPr>
          <w:p w14:paraId="309CBB3B" w14:textId="091F10D6" w:rsidR="0090528B" w:rsidRDefault="0090528B">
            <w:pPr>
              <w:pStyle w:val="DHHStabletext"/>
              <w:rPr>
                <w:lang w:eastAsia="en-AU"/>
              </w:rPr>
            </w:pPr>
            <w:r>
              <w:rPr>
                <w:lang w:eastAsia="en-AU"/>
              </w:rPr>
              <w:t xml:space="preserve">Referral to </w:t>
            </w:r>
            <w:r w:rsidR="00A144F1">
              <w:rPr>
                <w:lang w:eastAsia="en-AU"/>
              </w:rPr>
              <w:t>f</w:t>
            </w:r>
            <w:r>
              <w:rPr>
                <w:lang w:eastAsia="en-AU"/>
              </w:rPr>
              <w:t xml:space="preserve">irst </w:t>
            </w:r>
            <w:r w:rsidR="00A144F1">
              <w:rPr>
                <w:lang w:eastAsia="en-AU"/>
              </w:rPr>
              <w:t>t</w:t>
            </w:r>
            <w:r w:rsidRPr="003639E9">
              <w:rPr>
                <w:lang w:eastAsia="en-AU"/>
              </w:rPr>
              <w:t>reatment</w:t>
            </w:r>
          </w:p>
        </w:tc>
        <w:tc>
          <w:tcPr>
            <w:tcW w:w="1423" w:type="pct"/>
            <w:shd w:val="clear" w:color="auto" w:fill="D9D9D9" w:themeFill="background1" w:themeFillShade="D9"/>
            <w:noWrap/>
            <w:vAlign w:val="bottom"/>
          </w:tcPr>
          <w:p w14:paraId="07C7823B" w14:textId="665BD7ED" w:rsidR="0090528B" w:rsidRPr="003639E9" w:rsidRDefault="00833AE6" w:rsidP="00954470">
            <w:pPr>
              <w:pStyle w:val="DHHStabletext"/>
              <w:rPr>
                <w:lang w:eastAsia="en-AU"/>
              </w:rPr>
            </w:pPr>
            <w:r>
              <w:rPr>
                <w:lang w:eastAsia="en-AU"/>
              </w:rPr>
              <w:t>N</w:t>
            </w:r>
            <w:r w:rsidR="00A73C40">
              <w:rPr>
                <w:lang w:eastAsia="en-AU"/>
              </w:rPr>
              <w:t>o.</w:t>
            </w:r>
            <w:r>
              <w:rPr>
                <w:lang w:eastAsia="en-AU"/>
              </w:rPr>
              <w:t xml:space="preserve"> patients</w:t>
            </w:r>
          </w:p>
        </w:tc>
        <w:tc>
          <w:tcPr>
            <w:tcW w:w="1159" w:type="pct"/>
            <w:shd w:val="clear" w:color="auto" w:fill="D9D9D9" w:themeFill="background1" w:themeFillShade="D9"/>
            <w:noWrap/>
          </w:tcPr>
          <w:p w14:paraId="0BDBC2F7" w14:textId="77777777" w:rsidR="0090528B" w:rsidRPr="00833AE6" w:rsidRDefault="0090528B" w:rsidP="00954470">
            <w:pPr>
              <w:pStyle w:val="DHHStabletext"/>
              <w:rPr>
                <w:rFonts w:cs="Arial"/>
                <w:lang w:eastAsia="en-AU"/>
              </w:rPr>
            </w:pPr>
            <w:r w:rsidRPr="00833AE6">
              <w:rPr>
                <w:rFonts w:cs="Arial"/>
                <w:lang w:eastAsia="en-AU"/>
              </w:rPr>
              <w:t>60</w:t>
            </w:r>
          </w:p>
        </w:tc>
        <w:tc>
          <w:tcPr>
            <w:tcW w:w="943" w:type="pct"/>
            <w:shd w:val="clear" w:color="auto" w:fill="D9D9D9" w:themeFill="background1" w:themeFillShade="D9"/>
            <w:noWrap/>
          </w:tcPr>
          <w:p w14:paraId="08D333AF" w14:textId="77777777" w:rsidR="0090528B" w:rsidRPr="00833AE6" w:rsidRDefault="0090528B" w:rsidP="00954470">
            <w:pPr>
              <w:pStyle w:val="DHHStabletext"/>
              <w:rPr>
                <w:rFonts w:cs="Arial"/>
                <w:lang w:eastAsia="en-AU"/>
              </w:rPr>
            </w:pPr>
            <w:r w:rsidRPr="00833AE6">
              <w:rPr>
                <w:rFonts w:cs="Arial"/>
                <w:lang w:eastAsia="en-AU"/>
              </w:rPr>
              <w:t>105</w:t>
            </w:r>
          </w:p>
        </w:tc>
      </w:tr>
      <w:tr w:rsidR="0090528B" w:rsidRPr="008D1EEA" w14:paraId="4AA3AB85" w14:textId="77777777" w:rsidTr="00B12671">
        <w:trPr>
          <w:trHeight w:val="300"/>
        </w:trPr>
        <w:tc>
          <w:tcPr>
            <w:tcW w:w="1475" w:type="pct"/>
            <w:vMerge/>
            <w:shd w:val="clear" w:color="auto" w:fill="D9D9D9" w:themeFill="background1" w:themeFillShade="D9"/>
            <w:noWrap/>
            <w:hideMark/>
          </w:tcPr>
          <w:p w14:paraId="2598F6E2" w14:textId="77777777" w:rsidR="0090528B" w:rsidRPr="003639E9" w:rsidRDefault="0090528B" w:rsidP="00954470">
            <w:pPr>
              <w:pStyle w:val="DHHStabletext"/>
              <w:rPr>
                <w:lang w:eastAsia="en-AU"/>
              </w:rPr>
            </w:pPr>
          </w:p>
        </w:tc>
        <w:tc>
          <w:tcPr>
            <w:tcW w:w="1423" w:type="pct"/>
            <w:shd w:val="clear" w:color="auto" w:fill="D9D9D9" w:themeFill="background1" w:themeFillShade="D9"/>
            <w:noWrap/>
            <w:vAlign w:val="bottom"/>
            <w:hideMark/>
          </w:tcPr>
          <w:p w14:paraId="7843F053" w14:textId="15C0E851" w:rsidR="0090528B" w:rsidRPr="003639E9" w:rsidRDefault="0090528B" w:rsidP="00954470">
            <w:pPr>
              <w:pStyle w:val="DHHStabletext"/>
              <w:rPr>
                <w:lang w:eastAsia="en-AU"/>
              </w:rPr>
            </w:pPr>
            <w:r w:rsidRPr="003639E9">
              <w:rPr>
                <w:lang w:eastAsia="en-AU"/>
              </w:rPr>
              <w:t>Mean (SD)</w:t>
            </w:r>
            <w:r w:rsidR="00833AE6">
              <w:rPr>
                <w:lang w:eastAsia="en-AU"/>
              </w:rPr>
              <w:t xml:space="preserve"> days</w:t>
            </w:r>
          </w:p>
        </w:tc>
        <w:tc>
          <w:tcPr>
            <w:tcW w:w="1159" w:type="pct"/>
            <w:shd w:val="clear" w:color="auto" w:fill="D9D9D9" w:themeFill="background1" w:themeFillShade="D9"/>
            <w:noWrap/>
          </w:tcPr>
          <w:p w14:paraId="61679124" w14:textId="77777777" w:rsidR="0090528B" w:rsidRPr="00833AE6" w:rsidRDefault="0090528B" w:rsidP="00954470">
            <w:pPr>
              <w:pStyle w:val="DHHStabletext"/>
              <w:rPr>
                <w:rFonts w:cs="Arial"/>
                <w:lang w:eastAsia="en-AU"/>
              </w:rPr>
            </w:pPr>
            <w:r w:rsidRPr="00833AE6">
              <w:rPr>
                <w:rFonts w:cs="Arial"/>
                <w:color w:val="000000"/>
              </w:rPr>
              <w:t>41.52 (33.36)</w:t>
            </w:r>
          </w:p>
        </w:tc>
        <w:tc>
          <w:tcPr>
            <w:tcW w:w="943" w:type="pct"/>
            <w:shd w:val="clear" w:color="auto" w:fill="D9D9D9" w:themeFill="background1" w:themeFillShade="D9"/>
            <w:noWrap/>
          </w:tcPr>
          <w:p w14:paraId="5D380EFB" w14:textId="77777777" w:rsidR="0090528B" w:rsidRPr="00833AE6" w:rsidRDefault="0090528B" w:rsidP="00954470">
            <w:pPr>
              <w:pStyle w:val="DHHStabletext"/>
              <w:rPr>
                <w:rFonts w:cs="Arial"/>
                <w:lang w:eastAsia="en-AU"/>
              </w:rPr>
            </w:pPr>
            <w:r w:rsidRPr="00833AE6">
              <w:rPr>
                <w:rFonts w:cs="Arial"/>
                <w:color w:val="000000"/>
              </w:rPr>
              <w:t>56.49 (65.80)</w:t>
            </w:r>
          </w:p>
        </w:tc>
      </w:tr>
      <w:tr w:rsidR="0090528B" w:rsidRPr="008D1EEA" w14:paraId="0CFE4A7C" w14:textId="77777777" w:rsidTr="00B12671">
        <w:trPr>
          <w:trHeight w:val="300"/>
        </w:trPr>
        <w:tc>
          <w:tcPr>
            <w:tcW w:w="1475" w:type="pct"/>
            <w:vMerge/>
            <w:shd w:val="clear" w:color="auto" w:fill="D9D9D9" w:themeFill="background1" w:themeFillShade="D9"/>
            <w:noWrap/>
            <w:vAlign w:val="bottom"/>
            <w:hideMark/>
          </w:tcPr>
          <w:p w14:paraId="03F7DC38" w14:textId="77777777" w:rsidR="0090528B" w:rsidRPr="003639E9" w:rsidRDefault="0090528B" w:rsidP="00954470">
            <w:pPr>
              <w:pStyle w:val="DHHStabletext"/>
              <w:rPr>
                <w:lang w:eastAsia="en-AU"/>
              </w:rPr>
            </w:pPr>
          </w:p>
        </w:tc>
        <w:tc>
          <w:tcPr>
            <w:tcW w:w="1423" w:type="pct"/>
            <w:shd w:val="clear" w:color="auto" w:fill="D9D9D9" w:themeFill="background1" w:themeFillShade="D9"/>
            <w:noWrap/>
            <w:vAlign w:val="bottom"/>
            <w:hideMark/>
          </w:tcPr>
          <w:p w14:paraId="56C80E15" w14:textId="6306A1AA" w:rsidR="0090528B" w:rsidRPr="003639E9" w:rsidRDefault="0090528B" w:rsidP="00954470">
            <w:pPr>
              <w:pStyle w:val="DHHStabletext"/>
              <w:rPr>
                <w:lang w:eastAsia="en-AU"/>
              </w:rPr>
            </w:pPr>
            <w:r w:rsidRPr="003639E9">
              <w:rPr>
                <w:lang w:eastAsia="en-AU"/>
              </w:rPr>
              <w:t>Median [range]</w:t>
            </w:r>
            <w:r w:rsidR="00833AE6">
              <w:rPr>
                <w:lang w:eastAsia="en-AU"/>
              </w:rPr>
              <w:t xml:space="preserve"> days</w:t>
            </w:r>
          </w:p>
        </w:tc>
        <w:tc>
          <w:tcPr>
            <w:tcW w:w="1159" w:type="pct"/>
            <w:shd w:val="clear" w:color="auto" w:fill="D9D9D9" w:themeFill="background1" w:themeFillShade="D9"/>
            <w:noWrap/>
          </w:tcPr>
          <w:p w14:paraId="53D12F3E" w14:textId="296284A7" w:rsidR="0090528B" w:rsidRPr="00833AE6" w:rsidRDefault="0090528B">
            <w:pPr>
              <w:pStyle w:val="DHHStabletext"/>
              <w:rPr>
                <w:rFonts w:cs="Arial"/>
                <w:lang w:eastAsia="en-AU"/>
              </w:rPr>
            </w:pPr>
            <w:r w:rsidRPr="00833AE6">
              <w:rPr>
                <w:rFonts w:cs="Arial"/>
                <w:color w:val="000000"/>
              </w:rPr>
              <w:t>34 [</w:t>
            </w:r>
            <w:r w:rsidR="0089112C">
              <w:rPr>
                <w:rFonts w:cs="Arial"/>
                <w:color w:val="000000"/>
              </w:rPr>
              <w:t>-</w:t>
            </w:r>
            <w:r w:rsidRPr="00833AE6">
              <w:rPr>
                <w:rFonts w:cs="Arial"/>
                <w:color w:val="000000"/>
              </w:rPr>
              <w:t>24</w:t>
            </w:r>
            <w:r w:rsidR="00A73C40">
              <w:rPr>
                <w:rFonts w:cs="Arial"/>
                <w:color w:val="000000"/>
              </w:rPr>
              <w:t>–</w:t>
            </w:r>
            <w:r w:rsidRPr="00833AE6">
              <w:rPr>
                <w:rFonts w:cs="Arial"/>
                <w:color w:val="000000"/>
              </w:rPr>
              <w:t>152]</w:t>
            </w:r>
          </w:p>
        </w:tc>
        <w:tc>
          <w:tcPr>
            <w:tcW w:w="943" w:type="pct"/>
            <w:shd w:val="clear" w:color="auto" w:fill="D9D9D9" w:themeFill="background1" w:themeFillShade="D9"/>
            <w:noWrap/>
          </w:tcPr>
          <w:p w14:paraId="1B0E41C8" w14:textId="4387CA51" w:rsidR="0090528B" w:rsidRPr="00833AE6" w:rsidRDefault="0090528B">
            <w:pPr>
              <w:pStyle w:val="DHHStabletext"/>
              <w:rPr>
                <w:rFonts w:cs="Arial"/>
                <w:lang w:eastAsia="en-AU"/>
              </w:rPr>
            </w:pPr>
            <w:r w:rsidRPr="00833AE6">
              <w:rPr>
                <w:rFonts w:cs="Arial"/>
                <w:color w:val="000000"/>
              </w:rPr>
              <w:t>36 [0</w:t>
            </w:r>
            <w:r w:rsidR="00A73C40">
              <w:rPr>
                <w:rFonts w:cs="Arial"/>
                <w:color w:val="000000"/>
              </w:rPr>
              <w:t>–</w:t>
            </w:r>
            <w:r w:rsidRPr="00833AE6">
              <w:rPr>
                <w:rFonts w:cs="Arial"/>
                <w:color w:val="000000"/>
              </w:rPr>
              <w:t>357]</w:t>
            </w:r>
          </w:p>
        </w:tc>
      </w:tr>
      <w:tr w:rsidR="0090528B" w:rsidRPr="008D1EEA" w14:paraId="10C755CD" w14:textId="77777777" w:rsidTr="00B12671">
        <w:trPr>
          <w:trHeight w:val="300"/>
        </w:trPr>
        <w:tc>
          <w:tcPr>
            <w:tcW w:w="1475" w:type="pct"/>
            <w:vMerge/>
            <w:shd w:val="clear" w:color="auto" w:fill="D9D9D9" w:themeFill="background1" w:themeFillShade="D9"/>
            <w:noWrap/>
            <w:vAlign w:val="bottom"/>
            <w:hideMark/>
          </w:tcPr>
          <w:p w14:paraId="127C2CB3" w14:textId="77777777" w:rsidR="0090528B" w:rsidRPr="003639E9" w:rsidRDefault="0090528B" w:rsidP="00954470">
            <w:pPr>
              <w:pStyle w:val="DHHStabletext"/>
              <w:rPr>
                <w:lang w:eastAsia="en-AU"/>
              </w:rPr>
            </w:pPr>
          </w:p>
        </w:tc>
        <w:tc>
          <w:tcPr>
            <w:tcW w:w="1423" w:type="pct"/>
            <w:shd w:val="clear" w:color="auto" w:fill="D9D9D9" w:themeFill="background1" w:themeFillShade="D9"/>
            <w:noWrap/>
            <w:vAlign w:val="bottom"/>
            <w:hideMark/>
          </w:tcPr>
          <w:p w14:paraId="40CB849A" w14:textId="1074D373" w:rsidR="0090528B" w:rsidRPr="003639E9" w:rsidRDefault="0090528B" w:rsidP="00954470">
            <w:pPr>
              <w:pStyle w:val="DHHStabletext"/>
              <w:rPr>
                <w:lang w:eastAsia="en-AU"/>
              </w:rPr>
            </w:pPr>
            <w:r w:rsidRPr="003639E9">
              <w:rPr>
                <w:lang w:eastAsia="en-AU"/>
              </w:rPr>
              <w:t>Interquartile range</w:t>
            </w:r>
            <w:r w:rsidR="00833AE6">
              <w:rPr>
                <w:lang w:eastAsia="en-AU"/>
              </w:rPr>
              <w:t xml:space="preserve"> days</w:t>
            </w:r>
          </w:p>
        </w:tc>
        <w:tc>
          <w:tcPr>
            <w:tcW w:w="1159" w:type="pct"/>
            <w:shd w:val="clear" w:color="auto" w:fill="D9D9D9" w:themeFill="background1" w:themeFillShade="D9"/>
            <w:noWrap/>
          </w:tcPr>
          <w:p w14:paraId="5AAADCEA" w14:textId="4B69627D" w:rsidR="0090528B" w:rsidRPr="00833AE6" w:rsidRDefault="0090528B" w:rsidP="00954470">
            <w:pPr>
              <w:pStyle w:val="DHHStabletext"/>
              <w:rPr>
                <w:rFonts w:cs="Arial"/>
                <w:lang w:eastAsia="en-AU"/>
              </w:rPr>
            </w:pPr>
            <w:r w:rsidRPr="00833AE6">
              <w:rPr>
                <w:rFonts w:cs="Arial"/>
                <w:color w:val="000000"/>
              </w:rPr>
              <w:t xml:space="preserve"> 20.75</w:t>
            </w:r>
            <w:r w:rsidR="00A73C40">
              <w:rPr>
                <w:rFonts w:cs="Arial"/>
                <w:color w:val="000000"/>
              </w:rPr>
              <w:t>–</w:t>
            </w:r>
            <w:r w:rsidRPr="00833AE6">
              <w:rPr>
                <w:rFonts w:cs="Arial"/>
                <w:color w:val="000000"/>
              </w:rPr>
              <w:t>53</w:t>
            </w:r>
          </w:p>
        </w:tc>
        <w:tc>
          <w:tcPr>
            <w:tcW w:w="943" w:type="pct"/>
            <w:shd w:val="clear" w:color="auto" w:fill="D9D9D9" w:themeFill="background1" w:themeFillShade="D9"/>
            <w:noWrap/>
          </w:tcPr>
          <w:p w14:paraId="67E9D618" w14:textId="24F41FD1" w:rsidR="0090528B" w:rsidRPr="00833AE6" w:rsidRDefault="0090528B" w:rsidP="00954470">
            <w:pPr>
              <w:pStyle w:val="DHHStabletext"/>
              <w:rPr>
                <w:rFonts w:cs="Arial"/>
                <w:lang w:eastAsia="en-AU"/>
              </w:rPr>
            </w:pPr>
            <w:r w:rsidRPr="00833AE6">
              <w:rPr>
                <w:rFonts w:cs="Arial"/>
                <w:color w:val="000000"/>
              </w:rPr>
              <w:t xml:space="preserve"> 21</w:t>
            </w:r>
            <w:r w:rsidR="00A73C40">
              <w:rPr>
                <w:rFonts w:cs="Arial"/>
                <w:color w:val="000000"/>
              </w:rPr>
              <w:t>–</w:t>
            </w:r>
            <w:r w:rsidRPr="00833AE6">
              <w:rPr>
                <w:rFonts w:cs="Arial"/>
                <w:color w:val="000000"/>
              </w:rPr>
              <w:t>57</w:t>
            </w:r>
          </w:p>
        </w:tc>
      </w:tr>
      <w:tr w:rsidR="0090528B" w:rsidRPr="008D1EEA" w14:paraId="0C26D1E5" w14:textId="77777777" w:rsidTr="00B12671">
        <w:trPr>
          <w:trHeight w:val="300"/>
        </w:trPr>
        <w:tc>
          <w:tcPr>
            <w:tcW w:w="1475" w:type="pct"/>
            <w:vMerge/>
            <w:shd w:val="clear" w:color="auto" w:fill="D9D9D9" w:themeFill="background1" w:themeFillShade="D9"/>
            <w:noWrap/>
            <w:vAlign w:val="bottom"/>
            <w:hideMark/>
          </w:tcPr>
          <w:p w14:paraId="4A334F59" w14:textId="77777777" w:rsidR="0090528B" w:rsidRPr="003639E9" w:rsidRDefault="0090528B" w:rsidP="00954470">
            <w:pPr>
              <w:pStyle w:val="DHHStabletext"/>
              <w:rPr>
                <w:lang w:eastAsia="en-AU"/>
              </w:rPr>
            </w:pPr>
          </w:p>
        </w:tc>
        <w:tc>
          <w:tcPr>
            <w:tcW w:w="1423" w:type="pct"/>
            <w:shd w:val="clear" w:color="auto" w:fill="D9D9D9" w:themeFill="background1" w:themeFillShade="D9"/>
            <w:noWrap/>
            <w:vAlign w:val="bottom"/>
            <w:hideMark/>
          </w:tcPr>
          <w:p w14:paraId="2D77D3D0" w14:textId="6C778BF7" w:rsidR="0090528B" w:rsidRPr="003639E9" w:rsidRDefault="00833AE6" w:rsidP="00954470">
            <w:pPr>
              <w:pStyle w:val="DHHStabletext"/>
              <w:rPr>
                <w:lang w:eastAsia="en-AU"/>
              </w:rPr>
            </w:pPr>
            <w:r>
              <w:rPr>
                <w:lang w:eastAsia="en-AU"/>
              </w:rPr>
              <w:t>N</w:t>
            </w:r>
            <w:r w:rsidR="00A73C40">
              <w:rPr>
                <w:lang w:eastAsia="en-AU"/>
              </w:rPr>
              <w:t>o.</w:t>
            </w:r>
            <w:r>
              <w:rPr>
                <w:lang w:eastAsia="en-AU"/>
              </w:rPr>
              <w:t xml:space="preserve"> patients with m</w:t>
            </w:r>
            <w:r w:rsidR="0090528B">
              <w:rPr>
                <w:lang w:eastAsia="en-AU"/>
              </w:rPr>
              <w:t>issing data</w:t>
            </w:r>
          </w:p>
        </w:tc>
        <w:tc>
          <w:tcPr>
            <w:tcW w:w="1159" w:type="pct"/>
            <w:shd w:val="clear" w:color="auto" w:fill="D9D9D9" w:themeFill="background1" w:themeFillShade="D9"/>
            <w:noWrap/>
          </w:tcPr>
          <w:p w14:paraId="69059B2A" w14:textId="77777777" w:rsidR="0090528B" w:rsidRPr="00833AE6" w:rsidRDefault="0090528B" w:rsidP="00954470">
            <w:pPr>
              <w:pStyle w:val="DHHStabletext"/>
              <w:rPr>
                <w:rFonts w:cs="Arial"/>
                <w:lang w:eastAsia="en-AU"/>
              </w:rPr>
            </w:pPr>
            <w:r w:rsidRPr="00833AE6">
              <w:rPr>
                <w:rFonts w:cs="Arial"/>
                <w:color w:val="000000"/>
              </w:rPr>
              <w:t>43</w:t>
            </w:r>
          </w:p>
        </w:tc>
        <w:tc>
          <w:tcPr>
            <w:tcW w:w="943" w:type="pct"/>
            <w:shd w:val="clear" w:color="auto" w:fill="D9D9D9" w:themeFill="background1" w:themeFillShade="D9"/>
            <w:noWrap/>
          </w:tcPr>
          <w:p w14:paraId="171E9AD6" w14:textId="77777777" w:rsidR="0090528B" w:rsidRPr="00833AE6" w:rsidRDefault="0090528B" w:rsidP="00954470">
            <w:pPr>
              <w:pStyle w:val="DHHStabletext"/>
              <w:rPr>
                <w:rFonts w:cs="Arial"/>
                <w:lang w:eastAsia="en-AU"/>
              </w:rPr>
            </w:pPr>
            <w:r w:rsidRPr="00833AE6">
              <w:rPr>
                <w:rFonts w:cs="Arial"/>
                <w:color w:val="000000"/>
              </w:rPr>
              <w:t>89</w:t>
            </w:r>
          </w:p>
        </w:tc>
      </w:tr>
      <w:tr w:rsidR="00833AE6" w:rsidRPr="008D1EEA" w14:paraId="7A05BE8A" w14:textId="77777777" w:rsidTr="00380AD2">
        <w:trPr>
          <w:trHeight w:val="300"/>
        </w:trPr>
        <w:tc>
          <w:tcPr>
            <w:tcW w:w="1475" w:type="pct"/>
            <w:vMerge w:val="restart"/>
            <w:shd w:val="clear" w:color="auto" w:fill="auto"/>
            <w:noWrap/>
          </w:tcPr>
          <w:p w14:paraId="484F02FA" w14:textId="77777777" w:rsidR="00833AE6" w:rsidRDefault="00833AE6" w:rsidP="00954470">
            <w:pPr>
              <w:pStyle w:val="DHHStabletext"/>
              <w:rPr>
                <w:lang w:eastAsia="en-AU"/>
              </w:rPr>
            </w:pPr>
            <w:r>
              <w:rPr>
                <w:lang w:eastAsia="en-AU"/>
              </w:rPr>
              <w:t xml:space="preserve">Referral to </w:t>
            </w:r>
            <w:r w:rsidRPr="003639E9">
              <w:rPr>
                <w:lang w:eastAsia="en-AU"/>
              </w:rPr>
              <w:t>MDM</w:t>
            </w:r>
          </w:p>
        </w:tc>
        <w:tc>
          <w:tcPr>
            <w:tcW w:w="1423" w:type="pct"/>
            <w:shd w:val="clear" w:color="auto" w:fill="auto"/>
            <w:noWrap/>
            <w:vAlign w:val="bottom"/>
          </w:tcPr>
          <w:p w14:paraId="1A3200EC" w14:textId="41418003" w:rsidR="00833AE6" w:rsidRPr="003639E9" w:rsidRDefault="00833AE6" w:rsidP="00954470">
            <w:pPr>
              <w:pStyle w:val="DHHStabletext"/>
              <w:rPr>
                <w:lang w:eastAsia="en-AU"/>
              </w:rPr>
            </w:pPr>
            <w:r>
              <w:rPr>
                <w:lang w:eastAsia="en-AU"/>
              </w:rPr>
              <w:t>N</w:t>
            </w:r>
            <w:r w:rsidR="00A73C40">
              <w:rPr>
                <w:lang w:eastAsia="en-AU"/>
              </w:rPr>
              <w:t>o.</w:t>
            </w:r>
            <w:r>
              <w:rPr>
                <w:lang w:eastAsia="en-AU"/>
              </w:rPr>
              <w:t xml:space="preserve"> patients</w:t>
            </w:r>
          </w:p>
        </w:tc>
        <w:tc>
          <w:tcPr>
            <w:tcW w:w="1159" w:type="pct"/>
            <w:shd w:val="clear" w:color="auto" w:fill="auto"/>
            <w:noWrap/>
          </w:tcPr>
          <w:p w14:paraId="0B5A17E2" w14:textId="77777777" w:rsidR="00833AE6" w:rsidRPr="00833AE6" w:rsidRDefault="00833AE6" w:rsidP="00954470">
            <w:pPr>
              <w:pStyle w:val="DHHStabletext"/>
              <w:rPr>
                <w:rFonts w:cs="Arial"/>
                <w:lang w:eastAsia="en-AU"/>
              </w:rPr>
            </w:pPr>
            <w:r w:rsidRPr="00833AE6">
              <w:rPr>
                <w:rFonts w:cs="Arial"/>
                <w:lang w:eastAsia="en-AU"/>
              </w:rPr>
              <w:t>70</w:t>
            </w:r>
          </w:p>
        </w:tc>
        <w:tc>
          <w:tcPr>
            <w:tcW w:w="943" w:type="pct"/>
            <w:shd w:val="clear" w:color="auto" w:fill="auto"/>
            <w:noWrap/>
          </w:tcPr>
          <w:p w14:paraId="1A52EAC8" w14:textId="77777777" w:rsidR="00833AE6" w:rsidRPr="00833AE6" w:rsidRDefault="00833AE6" w:rsidP="00954470">
            <w:pPr>
              <w:pStyle w:val="DHHStabletext"/>
              <w:rPr>
                <w:rFonts w:cs="Arial"/>
                <w:lang w:eastAsia="en-AU"/>
              </w:rPr>
            </w:pPr>
            <w:r w:rsidRPr="00833AE6">
              <w:rPr>
                <w:rFonts w:cs="Arial"/>
                <w:lang w:eastAsia="en-AU"/>
              </w:rPr>
              <w:t>123</w:t>
            </w:r>
          </w:p>
        </w:tc>
      </w:tr>
      <w:tr w:rsidR="00833AE6" w:rsidRPr="008D1EEA" w14:paraId="7062AF31" w14:textId="77777777" w:rsidTr="00380AD2">
        <w:trPr>
          <w:trHeight w:val="300"/>
        </w:trPr>
        <w:tc>
          <w:tcPr>
            <w:tcW w:w="1475" w:type="pct"/>
            <w:vMerge/>
            <w:shd w:val="clear" w:color="auto" w:fill="auto"/>
            <w:noWrap/>
            <w:hideMark/>
          </w:tcPr>
          <w:p w14:paraId="496BA3B3" w14:textId="77777777" w:rsidR="00833AE6" w:rsidRPr="003639E9" w:rsidRDefault="00833AE6" w:rsidP="00954470">
            <w:pPr>
              <w:pStyle w:val="DHHStabletext"/>
              <w:rPr>
                <w:lang w:eastAsia="en-AU"/>
              </w:rPr>
            </w:pPr>
          </w:p>
        </w:tc>
        <w:tc>
          <w:tcPr>
            <w:tcW w:w="1423" w:type="pct"/>
            <w:shd w:val="clear" w:color="auto" w:fill="auto"/>
            <w:noWrap/>
            <w:vAlign w:val="bottom"/>
            <w:hideMark/>
          </w:tcPr>
          <w:p w14:paraId="4173F5B3" w14:textId="21557CB8" w:rsidR="00833AE6" w:rsidRPr="003639E9" w:rsidRDefault="00833AE6" w:rsidP="00954470">
            <w:pPr>
              <w:pStyle w:val="DHHStabletext"/>
              <w:rPr>
                <w:lang w:eastAsia="en-AU"/>
              </w:rPr>
            </w:pPr>
            <w:r w:rsidRPr="003639E9">
              <w:rPr>
                <w:lang w:eastAsia="en-AU"/>
              </w:rPr>
              <w:t>Mean (SD)</w:t>
            </w:r>
            <w:r>
              <w:rPr>
                <w:lang w:eastAsia="en-AU"/>
              </w:rPr>
              <w:t xml:space="preserve"> days</w:t>
            </w:r>
          </w:p>
        </w:tc>
        <w:tc>
          <w:tcPr>
            <w:tcW w:w="1159" w:type="pct"/>
            <w:shd w:val="clear" w:color="auto" w:fill="auto"/>
            <w:noWrap/>
          </w:tcPr>
          <w:p w14:paraId="18A5AE8B" w14:textId="77777777" w:rsidR="00833AE6" w:rsidRPr="00833AE6" w:rsidRDefault="00833AE6" w:rsidP="00954470">
            <w:pPr>
              <w:pStyle w:val="DHHStabletext"/>
              <w:rPr>
                <w:rFonts w:cs="Arial"/>
                <w:lang w:eastAsia="en-AU"/>
              </w:rPr>
            </w:pPr>
            <w:r w:rsidRPr="00833AE6">
              <w:rPr>
                <w:rFonts w:cs="Arial"/>
                <w:color w:val="000000"/>
              </w:rPr>
              <w:t>28.20 (42.07)</w:t>
            </w:r>
          </w:p>
        </w:tc>
        <w:tc>
          <w:tcPr>
            <w:tcW w:w="943" w:type="pct"/>
            <w:shd w:val="clear" w:color="auto" w:fill="auto"/>
            <w:noWrap/>
          </w:tcPr>
          <w:p w14:paraId="2725CE28" w14:textId="77777777" w:rsidR="00833AE6" w:rsidRPr="00833AE6" w:rsidRDefault="00833AE6" w:rsidP="00954470">
            <w:pPr>
              <w:pStyle w:val="DHHStabletext"/>
              <w:rPr>
                <w:rFonts w:cs="Arial"/>
                <w:lang w:eastAsia="en-AU"/>
              </w:rPr>
            </w:pPr>
            <w:r w:rsidRPr="00833AE6">
              <w:rPr>
                <w:rFonts w:cs="Arial"/>
                <w:color w:val="000000"/>
              </w:rPr>
              <w:t>38.89 (64.15)</w:t>
            </w:r>
          </w:p>
        </w:tc>
      </w:tr>
      <w:tr w:rsidR="00833AE6" w:rsidRPr="008D1EEA" w14:paraId="24085734" w14:textId="77777777" w:rsidTr="00380AD2">
        <w:trPr>
          <w:trHeight w:val="300"/>
        </w:trPr>
        <w:tc>
          <w:tcPr>
            <w:tcW w:w="1475" w:type="pct"/>
            <w:vMerge/>
            <w:shd w:val="clear" w:color="auto" w:fill="auto"/>
            <w:noWrap/>
            <w:vAlign w:val="bottom"/>
            <w:hideMark/>
          </w:tcPr>
          <w:p w14:paraId="14E7E2C4" w14:textId="77777777" w:rsidR="00833AE6" w:rsidRPr="003639E9" w:rsidRDefault="00833AE6" w:rsidP="00954470">
            <w:pPr>
              <w:pStyle w:val="DHHStabletext"/>
              <w:rPr>
                <w:lang w:eastAsia="en-AU"/>
              </w:rPr>
            </w:pPr>
          </w:p>
        </w:tc>
        <w:tc>
          <w:tcPr>
            <w:tcW w:w="1423" w:type="pct"/>
            <w:shd w:val="clear" w:color="auto" w:fill="auto"/>
            <w:noWrap/>
            <w:vAlign w:val="bottom"/>
            <w:hideMark/>
          </w:tcPr>
          <w:p w14:paraId="1EF32557" w14:textId="414FD3DF" w:rsidR="00833AE6" w:rsidRPr="003639E9" w:rsidRDefault="00833AE6" w:rsidP="00954470">
            <w:pPr>
              <w:pStyle w:val="DHHStabletext"/>
              <w:rPr>
                <w:lang w:eastAsia="en-AU"/>
              </w:rPr>
            </w:pPr>
            <w:r w:rsidRPr="003639E9">
              <w:rPr>
                <w:lang w:eastAsia="en-AU"/>
              </w:rPr>
              <w:t>Median [range]</w:t>
            </w:r>
            <w:r>
              <w:rPr>
                <w:lang w:eastAsia="en-AU"/>
              </w:rPr>
              <w:t xml:space="preserve"> days</w:t>
            </w:r>
          </w:p>
        </w:tc>
        <w:tc>
          <w:tcPr>
            <w:tcW w:w="1159" w:type="pct"/>
            <w:shd w:val="clear" w:color="auto" w:fill="auto"/>
            <w:noWrap/>
          </w:tcPr>
          <w:p w14:paraId="70EC2D8E" w14:textId="3D4453EF" w:rsidR="00833AE6" w:rsidRPr="00833AE6" w:rsidRDefault="00833AE6">
            <w:pPr>
              <w:pStyle w:val="DHHStabletext"/>
              <w:rPr>
                <w:rFonts w:cs="Arial"/>
                <w:lang w:eastAsia="en-AU"/>
              </w:rPr>
            </w:pPr>
            <w:r w:rsidRPr="00833AE6">
              <w:rPr>
                <w:rFonts w:cs="Arial"/>
                <w:color w:val="000000"/>
              </w:rPr>
              <w:t>16 [</w:t>
            </w:r>
            <w:r w:rsidR="0089112C">
              <w:rPr>
                <w:rFonts w:cs="Arial"/>
                <w:color w:val="000000"/>
              </w:rPr>
              <w:t>-</w:t>
            </w:r>
            <w:r w:rsidRPr="00833AE6">
              <w:rPr>
                <w:rFonts w:cs="Arial"/>
                <w:color w:val="000000"/>
              </w:rPr>
              <w:t>22</w:t>
            </w:r>
            <w:r w:rsidR="00A144F1" w:rsidRPr="00A144F1">
              <w:rPr>
                <w:rFonts w:cs="Arial"/>
                <w:color w:val="000000"/>
              </w:rPr>
              <w:t>–</w:t>
            </w:r>
            <w:r w:rsidRPr="00833AE6">
              <w:rPr>
                <w:rFonts w:cs="Arial"/>
                <w:color w:val="000000"/>
              </w:rPr>
              <w:t>249]</w:t>
            </w:r>
          </w:p>
        </w:tc>
        <w:tc>
          <w:tcPr>
            <w:tcW w:w="943" w:type="pct"/>
            <w:shd w:val="clear" w:color="auto" w:fill="auto"/>
            <w:noWrap/>
          </w:tcPr>
          <w:p w14:paraId="2F9C8E35" w14:textId="45F99CD3" w:rsidR="00833AE6" w:rsidRPr="00833AE6" w:rsidRDefault="00833AE6">
            <w:pPr>
              <w:pStyle w:val="DHHStabletext"/>
              <w:rPr>
                <w:rFonts w:cs="Arial"/>
                <w:lang w:eastAsia="en-AU"/>
              </w:rPr>
            </w:pPr>
            <w:r w:rsidRPr="00833AE6">
              <w:rPr>
                <w:rFonts w:cs="Arial"/>
                <w:color w:val="000000"/>
              </w:rPr>
              <w:t>18 [</w:t>
            </w:r>
            <w:r w:rsidR="0089112C">
              <w:rPr>
                <w:rFonts w:cs="Arial"/>
                <w:color w:val="000000"/>
              </w:rPr>
              <w:t>-</w:t>
            </w:r>
            <w:r w:rsidRPr="00833AE6">
              <w:rPr>
                <w:rFonts w:cs="Arial"/>
                <w:color w:val="000000"/>
              </w:rPr>
              <w:t>14</w:t>
            </w:r>
            <w:r w:rsidR="00A144F1" w:rsidRPr="00A144F1">
              <w:rPr>
                <w:rFonts w:cs="Arial"/>
                <w:color w:val="000000"/>
              </w:rPr>
              <w:t>–</w:t>
            </w:r>
            <w:r w:rsidRPr="00833AE6">
              <w:rPr>
                <w:rFonts w:cs="Arial"/>
                <w:color w:val="000000"/>
              </w:rPr>
              <w:t>358]</w:t>
            </w:r>
          </w:p>
        </w:tc>
      </w:tr>
      <w:tr w:rsidR="00833AE6" w:rsidRPr="008D1EEA" w14:paraId="10476278" w14:textId="77777777" w:rsidTr="00380AD2">
        <w:trPr>
          <w:trHeight w:val="300"/>
        </w:trPr>
        <w:tc>
          <w:tcPr>
            <w:tcW w:w="1475" w:type="pct"/>
            <w:vMerge/>
            <w:shd w:val="clear" w:color="auto" w:fill="auto"/>
            <w:noWrap/>
            <w:vAlign w:val="bottom"/>
            <w:hideMark/>
          </w:tcPr>
          <w:p w14:paraId="6F063876" w14:textId="77777777" w:rsidR="00833AE6" w:rsidRPr="003639E9" w:rsidRDefault="00833AE6" w:rsidP="00954470">
            <w:pPr>
              <w:pStyle w:val="DHHStabletext"/>
              <w:rPr>
                <w:lang w:eastAsia="en-AU"/>
              </w:rPr>
            </w:pPr>
          </w:p>
        </w:tc>
        <w:tc>
          <w:tcPr>
            <w:tcW w:w="1423" w:type="pct"/>
            <w:shd w:val="clear" w:color="auto" w:fill="auto"/>
            <w:noWrap/>
            <w:vAlign w:val="bottom"/>
            <w:hideMark/>
          </w:tcPr>
          <w:p w14:paraId="5CB0E726" w14:textId="7EB582C6" w:rsidR="00833AE6" w:rsidRPr="003639E9" w:rsidRDefault="00833AE6" w:rsidP="00954470">
            <w:pPr>
              <w:pStyle w:val="DHHStabletext"/>
              <w:rPr>
                <w:lang w:eastAsia="en-AU"/>
              </w:rPr>
            </w:pPr>
            <w:r w:rsidRPr="003639E9">
              <w:rPr>
                <w:lang w:eastAsia="en-AU"/>
              </w:rPr>
              <w:t>Interquartile range</w:t>
            </w:r>
            <w:r>
              <w:rPr>
                <w:lang w:eastAsia="en-AU"/>
              </w:rPr>
              <w:t xml:space="preserve"> days</w:t>
            </w:r>
          </w:p>
        </w:tc>
        <w:tc>
          <w:tcPr>
            <w:tcW w:w="1159" w:type="pct"/>
            <w:shd w:val="clear" w:color="auto" w:fill="auto"/>
            <w:noWrap/>
          </w:tcPr>
          <w:p w14:paraId="09A08662" w14:textId="44EDC450" w:rsidR="00833AE6" w:rsidRPr="00833AE6" w:rsidRDefault="00833AE6">
            <w:pPr>
              <w:pStyle w:val="DHHStabletext"/>
              <w:rPr>
                <w:rFonts w:cs="Arial"/>
                <w:lang w:eastAsia="en-AU"/>
              </w:rPr>
            </w:pPr>
            <w:r w:rsidRPr="00833AE6">
              <w:rPr>
                <w:rFonts w:cs="Arial"/>
                <w:color w:val="000000"/>
              </w:rPr>
              <w:t xml:space="preserve"> 8</w:t>
            </w:r>
            <w:r w:rsidR="00A144F1" w:rsidRPr="00A144F1">
              <w:rPr>
                <w:rFonts w:cs="Arial"/>
                <w:color w:val="000000"/>
              </w:rPr>
              <w:t>–</w:t>
            </w:r>
            <w:r w:rsidRPr="00833AE6">
              <w:rPr>
                <w:rFonts w:cs="Arial"/>
                <w:color w:val="000000"/>
              </w:rPr>
              <w:t>28.5</w:t>
            </w:r>
          </w:p>
        </w:tc>
        <w:tc>
          <w:tcPr>
            <w:tcW w:w="943" w:type="pct"/>
            <w:shd w:val="clear" w:color="auto" w:fill="auto"/>
            <w:noWrap/>
          </w:tcPr>
          <w:p w14:paraId="6E500E74" w14:textId="0D76CEC9" w:rsidR="00833AE6" w:rsidRPr="00833AE6" w:rsidRDefault="00833AE6">
            <w:pPr>
              <w:pStyle w:val="DHHStabletext"/>
              <w:rPr>
                <w:rFonts w:cs="Arial"/>
                <w:lang w:eastAsia="en-AU"/>
              </w:rPr>
            </w:pPr>
            <w:r w:rsidRPr="00833AE6">
              <w:rPr>
                <w:rFonts w:cs="Arial"/>
                <w:color w:val="000000"/>
              </w:rPr>
              <w:t xml:space="preserve"> 7.5</w:t>
            </w:r>
            <w:r w:rsidR="00A144F1" w:rsidRPr="00A144F1">
              <w:rPr>
                <w:rFonts w:cs="Arial"/>
                <w:color w:val="000000"/>
              </w:rPr>
              <w:t>–</w:t>
            </w:r>
            <w:r w:rsidRPr="00833AE6">
              <w:rPr>
                <w:rFonts w:cs="Arial"/>
                <w:color w:val="000000"/>
              </w:rPr>
              <w:t>33</w:t>
            </w:r>
          </w:p>
        </w:tc>
      </w:tr>
      <w:tr w:rsidR="00833AE6" w:rsidRPr="008D1EEA" w14:paraId="01B3852A" w14:textId="77777777" w:rsidTr="00380AD2">
        <w:trPr>
          <w:trHeight w:val="300"/>
        </w:trPr>
        <w:tc>
          <w:tcPr>
            <w:tcW w:w="1475" w:type="pct"/>
            <w:vMerge/>
            <w:shd w:val="clear" w:color="auto" w:fill="auto"/>
            <w:noWrap/>
            <w:vAlign w:val="bottom"/>
            <w:hideMark/>
          </w:tcPr>
          <w:p w14:paraId="1D993F7B" w14:textId="77777777" w:rsidR="00833AE6" w:rsidRPr="003639E9" w:rsidRDefault="00833AE6" w:rsidP="00954470">
            <w:pPr>
              <w:pStyle w:val="DHHStabletext"/>
              <w:rPr>
                <w:lang w:eastAsia="en-AU"/>
              </w:rPr>
            </w:pPr>
          </w:p>
        </w:tc>
        <w:tc>
          <w:tcPr>
            <w:tcW w:w="1423" w:type="pct"/>
            <w:shd w:val="clear" w:color="auto" w:fill="auto"/>
            <w:noWrap/>
            <w:vAlign w:val="bottom"/>
            <w:hideMark/>
          </w:tcPr>
          <w:p w14:paraId="1B2519C4" w14:textId="08D8C18B" w:rsidR="00833AE6" w:rsidRPr="003639E9" w:rsidRDefault="00833AE6" w:rsidP="00954470">
            <w:pPr>
              <w:pStyle w:val="DHHStabletext"/>
              <w:rPr>
                <w:lang w:eastAsia="en-AU"/>
              </w:rPr>
            </w:pPr>
            <w:r>
              <w:rPr>
                <w:lang w:eastAsia="en-AU"/>
              </w:rPr>
              <w:t>N</w:t>
            </w:r>
            <w:r w:rsidR="00A73C40">
              <w:rPr>
                <w:lang w:eastAsia="en-AU"/>
              </w:rPr>
              <w:t>o.</w:t>
            </w:r>
            <w:r>
              <w:rPr>
                <w:lang w:eastAsia="en-AU"/>
              </w:rPr>
              <w:t xml:space="preserve"> patients with missing data</w:t>
            </w:r>
          </w:p>
        </w:tc>
        <w:tc>
          <w:tcPr>
            <w:tcW w:w="1159" w:type="pct"/>
            <w:shd w:val="clear" w:color="auto" w:fill="auto"/>
            <w:noWrap/>
          </w:tcPr>
          <w:p w14:paraId="795A4400" w14:textId="77777777" w:rsidR="00833AE6" w:rsidRPr="00833AE6" w:rsidRDefault="00833AE6" w:rsidP="00954470">
            <w:pPr>
              <w:pStyle w:val="DHHStabletext"/>
              <w:rPr>
                <w:rFonts w:cs="Arial"/>
                <w:lang w:eastAsia="en-AU"/>
              </w:rPr>
            </w:pPr>
            <w:r w:rsidRPr="00833AE6">
              <w:rPr>
                <w:rFonts w:cs="Arial"/>
                <w:color w:val="000000"/>
              </w:rPr>
              <w:t>33</w:t>
            </w:r>
          </w:p>
        </w:tc>
        <w:tc>
          <w:tcPr>
            <w:tcW w:w="943" w:type="pct"/>
            <w:shd w:val="clear" w:color="auto" w:fill="auto"/>
            <w:noWrap/>
          </w:tcPr>
          <w:p w14:paraId="16EF9F00" w14:textId="77777777" w:rsidR="00833AE6" w:rsidRPr="00833AE6" w:rsidRDefault="00833AE6" w:rsidP="00954470">
            <w:pPr>
              <w:pStyle w:val="DHHStabletext"/>
              <w:rPr>
                <w:rFonts w:cs="Arial"/>
                <w:lang w:eastAsia="en-AU"/>
              </w:rPr>
            </w:pPr>
            <w:r w:rsidRPr="00833AE6">
              <w:rPr>
                <w:rFonts w:cs="Arial"/>
                <w:color w:val="000000"/>
              </w:rPr>
              <w:t>71</w:t>
            </w:r>
          </w:p>
        </w:tc>
      </w:tr>
      <w:tr w:rsidR="00FC1AA5" w:rsidRPr="008D1EEA" w14:paraId="692A720B" w14:textId="77777777" w:rsidTr="00B12671">
        <w:trPr>
          <w:trHeight w:val="300"/>
        </w:trPr>
        <w:tc>
          <w:tcPr>
            <w:tcW w:w="1475" w:type="pct"/>
            <w:vMerge w:val="restart"/>
            <w:shd w:val="clear" w:color="auto" w:fill="D9D9D9" w:themeFill="background1" w:themeFillShade="D9"/>
            <w:noWrap/>
          </w:tcPr>
          <w:p w14:paraId="5F085EA5" w14:textId="4E210E5A" w:rsidR="00FC1AA5" w:rsidRDefault="00FC1AA5">
            <w:pPr>
              <w:pStyle w:val="DHHStabletext"/>
              <w:rPr>
                <w:lang w:eastAsia="en-AU"/>
              </w:rPr>
            </w:pPr>
            <w:r>
              <w:rPr>
                <w:lang w:eastAsia="en-AU"/>
              </w:rPr>
              <w:t xml:space="preserve">MDM to </w:t>
            </w:r>
            <w:r w:rsidR="00A144F1">
              <w:rPr>
                <w:lang w:eastAsia="en-AU"/>
              </w:rPr>
              <w:t>f</w:t>
            </w:r>
            <w:r>
              <w:rPr>
                <w:lang w:eastAsia="en-AU"/>
              </w:rPr>
              <w:t xml:space="preserve">irst </w:t>
            </w:r>
            <w:r w:rsidR="00A144F1">
              <w:rPr>
                <w:lang w:eastAsia="en-AU"/>
              </w:rPr>
              <w:t>t</w:t>
            </w:r>
            <w:r w:rsidRPr="003639E9">
              <w:rPr>
                <w:lang w:eastAsia="en-AU"/>
              </w:rPr>
              <w:t>reatment</w:t>
            </w:r>
          </w:p>
        </w:tc>
        <w:tc>
          <w:tcPr>
            <w:tcW w:w="1423" w:type="pct"/>
            <w:shd w:val="clear" w:color="auto" w:fill="D9D9D9" w:themeFill="background1" w:themeFillShade="D9"/>
            <w:noWrap/>
            <w:vAlign w:val="bottom"/>
          </w:tcPr>
          <w:p w14:paraId="5F23B73C" w14:textId="691C4A5C" w:rsidR="00FC1AA5" w:rsidRPr="003639E9" w:rsidRDefault="00FC1AA5" w:rsidP="00954470">
            <w:pPr>
              <w:pStyle w:val="DHHStabletext"/>
              <w:rPr>
                <w:lang w:eastAsia="en-AU"/>
              </w:rPr>
            </w:pPr>
            <w:r>
              <w:rPr>
                <w:lang w:eastAsia="en-AU"/>
              </w:rPr>
              <w:t>N</w:t>
            </w:r>
            <w:r w:rsidR="00A73C40">
              <w:rPr>
                <w:lang w:eastAsia="en-AU"/>
              </w:rPr>
              <w:t>o.</w:t>
            </w:r>
            <w:r>
              <w:rPr>
                <w:lang w:eastAsia="en-AU"/>
              </w:rPr>
              <w:t xml:space="preserve"> patients</w:t>
            </w:r>
          </w:p>
        </w:tc>
        <w:tc>
          <w:tcPr>
            <w:tcW w:w="1159" w:type="pct"/>
            <w:shd w:val="clear" w:color="auto" w:fill="D9D9D9" w:themeFill="background1" w:themeFillShade="D9"/>
            <w:noWrap/>
          </w:tcPr>
          <w:p w14:paraId="78395ABA" w14:textId="518A0946" w:rsidR="00FC1AA5" w:rsidRPr="00833AE6" w:rsidRDefault="00FC1AA5" w:rsidP="00954470">
            <w:pPr>
              <w:pStyle w:val="DHHStabletext"/>
              <w:rPr>
                <w:rFonts w:cs="Arial"/>
                <w:lang w:eastAsia="en-AU"/>
              </w:rPr>
            </w:pPr>
            <w:r>
              <w:rPr>
                <w:rFonts w:cs="Arial"/>
                <w:lang w:eastAsia="en-AU"/>
              </w:rPr>
              <w:t>47</w:t>
            </w:r>
          </w:p>
        </w:tc>
        <w:tc>
          <w:tcPr>
            <w:tcW w:w="943" w:type="pct"/>
            <w:shd w:val="clear" w:color="auto" w:fill="D9D9D9" w:themeFill="background1" w:themeFillShade="D9"/>
            <w:noWrap/>
          </w:tcPr>
          <w:p w14:paraId="4B5A7AEB" w14:textId="2F72DDDB" w:rsidR="00FC1AA5" w:rsidRPr="00833AE6" w:rsidRDefault="00FC1AA5" w:rsidP="00954470">
            <w:pPr>
              <w:pStyle w:val="DHHStabletext"/>
              <w:rPr>
                <w:rFonts w:cs="Arial"/>
                <w:lang w:eastAsia="en-AU"/>
              </w:rPr>
            </w:pPr>
            <w:r>
              <w:rPr>
                <w:rFonts w:cs="Arial"/>
                <w:lang w:eastAsia="en-AU"/>
              </w:rPr>
              <w:t>92</w:t>
            </w:r>
          </w:p>
        </w:tc>
      </w:tr>
      <w:tr w:rsidR="00FC1AA5" w:rsidRPr="008D1EEA" w14:paraId="7E413578" w14:textId="77777777" w:rsidTr="00B12671">
        <w:trPr>
          <w:trHeight w:val="300"/>
        </w:trPr>
        <w:tc>
          <w:tcPr>
            <w:tcW w:w="1475" w:type="pct"/>
            <w:vMerge/>
            <w:shd w:val="clear" w:color="auto" w:fill="D9D9D9" w:themeFill="background1" w:themeFillShade="D9"/>
            <w:noWrap/>
            <w:hideMark/>
          </w:tcPr>
          <w:p w14:paraId="1C6606AF" w14:textId="77777777" w:rsidR="00FC1AA5" w:rsidRPr="003639E9" w:rsidRDefault="00FC1AA5" w:rsidP="00954470">
            <w:pPr>
              <w:pStyle w:val="DHHStabletext"/>
              <w:rPr>
                <w:lang w:eastAsia="en-AU"/>
              </w:rPr>
            </w:pPr>
          </w:p>
        </w:tc>
        <w:tc>
          <w:tcPr>
            <w:tcW w:w="1423" w:type="pct"/>
            <w:shd w:val="clear" w:color="auto" w:fill="D9D9D9" w:themeFill="background1" w:themeFillShade="D9"/>
            <w:noWrap/>
            <w:vAlign w:val="bottom"/>
            <w:hideMark/>
          </w:tcPr>
          <w:p w14:paraId="111B36A0" w14:textId="1BA8EDE2" w:rsidR="00FC1AA5" w:rsidRPr="003639E9" w:rsidRDefault="00FC1AA5" w:rsidP="00954470">
            <w:pPr>
              <w:pStyle w:val="DHHStabletext"/>
              <w:rPr>
                <w:lang w:eastAsia="en-AU"/>
              </w:rPr>
            </w:pPr>
            <w:r w:rsidRPr="003639E9">
              <w:rPr>
                <w:lang w:eastAsia="en-AU"/>
              </w:rPr>
              <w:t>Mean (SD)</w:t>
            </w:r>
            <w:r>
              <w:rPr>
                <w:lang w:eastAsia="en-AU"/>
              </w:rPr>
              <w:t xml:space="preserve"> days</w:t>
            </w:r>
          </w:p>
        </w:tc>
        <w:tc>
          <w:tcPr>
            <w:tcW w:w="1159" w:type="pct"/>
            <w:shd w:val="clear" w:color="auto" w:fill="D9D9D9" w:themeFill="background1" w:themeFillShade="D9"/>
            <w:noWrap/>
          </w:tcPr>
          <w:p w14:paraId="5C0B63CD" w14:textId="6E354EBF" w:rsidR="00FC1AA5" w:rsidRPr="00833AE6" w:rsidRDefault="00FC1AA5" w:rsidP="00954470">
            <w:pPr>
              <w:pStyle w:val="DHHStabletext"/>
              <w:rPr>
                <w:rFonts w:cs="Arial"/>
                <w:lang w:eastAsia="en-AU"/>
              </w:rPr>
            </w:pPr>
            <w:r>
              <w:rPr>
                <w:rFonts w:cs="Arial"/>
                <w:color w:val="000000"/>
              </w:rPr>
              <w:t>28.40 (18.8</w:t>
            </w:r>
            <w:r w:rsidRPr="00833AE6">
              <w:rPr>
                <w:rFonts w:cs="Arial"/>
                <w:color w:val="000000"/>
              </w:rPr>
              <w:t>)</w:t>
            </w:r>
          </w:p>
        </w:tc>
        <w:tc>
          <w:tcPr>
            <w:tcW w:w="943" w:type="pct"/>
            <w:shd w:val="clear" w:color="auto" w:fill="D9D9D9" w:themeFill="background1" w:themeFillShade="D9"/>
            <w:noWrap/>
          </w:tcPr>
          <w:p w14:paraId="3C009AD8" w14:textId="0E6A30D3" w:rsidR="00FC1AA5" w:rsidRPr="00833AE6" w:rsidRDefault="00FC1AA5" w:rsidP="00954470">
            <w:pPr>
              <w:pStyle w:val="DHHStabletext"/>
              <w:rPr>
                <w:rFonts w:cs="Arial"/>
                <w:lang w:eastAsia="en-AU"/>
              </w:rPr>
            </w:pPr>
            <w:r>
              <w:rPr>
                <w:rFonts w:cs="Arial"/>
                <w:color w:val="000000"/>
              </w:rPr>
              <w:t>25.42 (19.19</w:t>
            </w:r>
            <w:r w:rsidRPr="00833AE6">
              <w:rPr>
                <w:rFonts w:cs="Arial"/>
                <w:color w:val="000000"/>
              </w:rPr>
              <w:t>)</w:t>
            </w:r>
          </w:p>
        </w:tc>
      </w:tr>
      <w:tr w:rsidR="00FC1AA5" w:rsidRPr="008D1EEA" w14:paraId="12456568" w14:textId="77777777" w:rsidTr="00B12671">
        <w:trPr>
          <w:trHeight w:val="300"/>
        </w:trPr>
        <w:tc>
          <w:tcPr>
            <w:tcW w:w="1475" w:type="pct"/>
            <w:vMerge/>
            <w:shd w:val="clear" w:color="auto" w:fill="D9D9D9" w:themeFill="background1" w:themeFillShade="D9"/>
            <w:noWrap/>
            <w:vAlign w:val="bottom"/>
            <w:hideMark/>
          </w:tcPr>
          <w:p w14:paraId="26AD371A" w14:textId="77777777" w:rsidR="00FC1AA5" w:rsidRPr="003639E9" w:rsidRDefault="00FC1AA5" w:rsidP="00954470">
            <w:pPr>
              <w:pStyle w:val="DHHStabletext"/>
              <w:rPr>
                <w:lang w:eastAsia="en-AU"/>
              </w:rPr>
            </w:pPr>
          </w:p>
        </w:tc>
        <w:tc>
          <w:tcPr>
            <w:tcW w:w="1423" w:type="pct"/>
            <w:shd w:val="clear" w:color="auto" w:fill="D9D9D9" w:themeFill="background1" w:themeFillShade="D9"/>
            <w:noWrap/>
            <w:vAlign w:val="bottom"/>
            <w:hideMark/>
          </w:tcPr>
          <w:p w14:paraId="5E27B9AF" w14:textId="258AE8D0" w:rsidR="00FC1AA5" w:rsidRPr="003639E9" w:rsidRDefault="00FC1AA5" w:rsidP="00954470">
            <w:pPr>
              <w:pStyle w:val="DHHStabletext"/>
              <w:rPr>
                <w:lang w:eastAsia="en-AU"/>
              </w:rPr>
            </w:pPr>
            <w:r w:rsidRPr="003639E9">
              <w:rPr>
                <w:lang w:eastAsia="en-AU"/>
              </w:rPr>
              <w:t>Median [range]</w:t>
            </w:r>
            <w:r>
              <w:rPr>
                <w:lang w:eastAsia="en-AU"/>
              </w:rPr>
              <w:t xml:space="preserve"> days</w:t>
            </w:r>
          </w:p>
        </w:tc>
        <w:tc>
          <w:tcPr>
            <w:tcW w:w="1159" w:type="pct"/>
            <w:shd w:val="clear" w:color="auto" w:fill="D9D9D9" w:themeFill="background1" w:themeFillShade="D9"/>
            <w:noWrap/>
          </w:tcPr>
          <w:p w14:paraId="350B553A" w14:textId="65307C31" w:rsidR="00FC1AA5" w:rsidRPr="00833AE6" w:rsidRDefault="00FC1AA5" w:rsidP="00954470">
            <w:pPr>
              <w:pStyle w:val="DHHStabletext"/>
              <w:rPr>
                <w:rFonts w:cs="Arial"/>
                <w:lang w:eastAsia="en-AU"/>
              </w:rPr>
            </w:pPr>
            <w:r>
              <w:rPr>
                <w:rFonts w:cs="Arial"/>
                <w:color w:val="000000"/>
              </w:rPr>
              <w:t>25 [1</w:t>
            </w:r>
            <w:r w:rsidR="00A144F1" w:rsidRPr="00A144F1">
              <w:rPr>
                <w:rFonts w:cs="Arial"/>
                <w:color w:val="000000"/>
              </w:rPr>
              <w:t>–</w:t>
            </w:r>
            <w:r>
              <w:rPr>
                <w:rFonts w:cs="Arial"/>
                <w:color w:val="000000"/>
              </w:rPr>
              <w:t>99</w:t>
            </w:r>
            <w:r w:rsidRPr="00833AE6">
              <w:rPr>
                <w:rFonts w:cs="Arial"/>
                <w:color w:val="000000"/>
              </w:rPr>
              <w:t>]</w:t>
            </w:r>
          </w:p>
        </w:tc>
        <w:tc>
          <w:tcPr>
            <w:tcW w:w="943" w:type="pct"/>
            <w:shd w:val="clear" w:color="auto" w:fill="D9D9D9" w:themeFill="background1" w:themeFillShade="D9"/>
            <w:noWrap/>
          </w:tcPr>
          <w:p w14:paraId="0ED16611" w14:textId="3722DCA8" w:rsidR="00FC1AA5" w:rsidRPr="00833AE6" w:rsidRDefault="00FC1AA5" w:rsidP="00954470">
            <w:pPr>
              <w:pStyle w:val="DHHStabletext"/>
              <w:rPr>
                <w:rFonts w:cs="Arial"/>
                <w:lang w:eastAsia="en-AU"/>
              </w:rPr>
            </w:pPr>
            <w:r>
              <w:rPr>
                <w:rFonts w:cs="Arial"/>
                <w:color w:val="000000"/>
              </w:rPr>
              <w:t>23 [0</w:t>
            </w:r>
            <w:r w:rsidR="00A144F1" w:rsidRPr="00A144F1">
              <w:rPr>
                <w:rFonts w:cs="Arial"/>
                <w:color w:val="000000"/>
              </w:rPr>
              <w:t>–</w:t>
            </w:r>
            <w:r w:rsidRPr="00833AE6">
              <w:rPr>
                <w:rFonts w:cs="Arial"/>
                <w:color w:val="000000"/>
              </w:rPr>
              <w:t>117]</w:t>
            </w:r>
          </w:p>
        </w:tc>
      </w:tr>
      <w:tr w:rsidR="00FC1AA5" w:rsidRPr="008D1EEA" w14:paraId="01AE55F5" w14:textId="77777777" w:rsidTr="00B12671">
        <w:trPr>
          <w:trHeight w:val="300"/>
        </w:trPr>
        <w:tc>
          <w:tcPr>
            <w:tcW w:w="1475" w:type="pct"/>
            <w:vMerge/>
            <w:shd w:val="clear" w:color="auto" w:fill="D9D9D9" w:themeFill="background1" w:themeFillShade="D9"/>
            <w:noWrap/>
            <w:vAlign w:val="bottom"/>
            <w:hideMark/>
          </w:tcPr>
          <w:p w14:paraId="0B500859" w14:textId="77777777" w:rsidR="00FC1AA5" w:rsidRPr="003639E9" w:rsidRDefault="00FC1AA5" w:rsidP="00954470">
            <w:pPr>
              <w:pStyle w:val="DHHStabletext"/>
              <w:rPr>
                <w:lang w:eastAsia="en-AU"/>
              </w:rPr>
            </w:pPr>
          </w:p>
        </w:tc>
        <w:tc>
          <w:tcPr>
            <w:tcW w:w="1423" w:type="pct"/>
            <w:shd w:val="clear" w:color="auto" w:fill="D9D9D9" w:themeFill="background1" w:themeFillShade="D9"/>
            <w:noWrap/>
            <w:vAlign w:val="bottom"/>
            <w:hideMark/>
          </w:tcPr>
          <w:p w14:paraId="185CEF56" w14:textId="1D1454EF" w:rsidR="00FC1AA5" w:rsidRPr="003639E9" w:rsidRDefault="00FC1AA5" w:rsidP="00954470">
            <w:pPr>
              <w:pStyle w:val="DHHStabletext"/>
              <w:rPr>
                <w:lang w:eastAsia="en-AU"/>
              </w:rPr>
            </w:pPr>
            <w:r w:rsidRPr="003639E9">
              <w:rPr>
                <w:lang w:eastAsia="en-AU"/>
              </w:rPr>
              <w:t>Interquartile range</w:t>
            </w:r>
            <w:r>
              <w:rPr>
                <w:lang w:eastAsia="en-AU"/>
              </w:rPr>
              <w:t xml:space="preserve"> days</w:t>
            </w:r>
          </w:p>
        </w:tc>
        <w:tc>
          <w:tcPr>
            <w:tcW w:w="1159" w:type="pct"/>
            <w:shd w:val="clear" w:color="auto" w:fill="D9D9D9" w:themeFill="background1" w:themeFillShade="D9"/>
            <w:noWrap/>
          </w:tcPr>
          <w:p w14:paraId="40568824" w14:textId="447FAB48" w:rsidR="00FC1AA5" w:rsidRPr="00833AE6" w:rsidRDefault="00FC1AA5" w:rsidP="00954470">
            <w:pPr>
              <w:pStyle w:val="DHHStabletext"/>
              <w:rPr>
                <w:rFonts w:cs="Arial"/>
                <w:lang w:eastAsia="en-AU"/>
              </w:rPr>
            </w:pPr>
            <w:r>
              <w:rPr>
                <w:rFonts w:cs="Arial"/>
                <w:color w:val="000000"/>
              </w:rPr>
              <w:t>14.5–37.5</w:t>
            </w:r>
          </w:p>
        </w:tc>
        <w:tc>
          <w:tcPr>
            <w:tcW w:w="943" w:type="pct"/>
            <w:shd w:val="clear" w:color="auto" w:fill="D9D9D9" w:themeFill="background1" w:themeFillShade="D9"/>
            <w:noWrap/>
          </w:tcPr>
          <w:p w14:paraId="52B19502" w14:textId="15B38893" w:rsidR="00FC1AA5" w:rsidRPr="00833AE6" w:rsidRDefault="00FC1AA5" w:rsidP="00954470">
            <w:pPr>
              <w:pStyle w:val="DHHStabletext"/>
              <w:rPr>
                <w:rFonts w:cs="Arial"/>
                <w:lang w:eastAsia="en-AU"/>
              </w:rPr>
            </w:pPr>
            <w:r>
              <w:rPr>
                <w:rFonts w:cs="Arial"/>
                <w:color w:val="000000"/>
              </w:rPr>
              <w:t>13.5–34.25</w:t>
            </w:r>
          </w:p>
        </w:tc>
      </w:tr>
      <w:tr w:rsidR="00FC1AA5" w:rsidRPr="008D1EEA" w14:paraId="68F3DCB6" w14:textId="77777777" w:rsidTr="00B12671">
        <w:trPr>
          <w:trHeight w:val="300"/>
        </w:trPr>
        <w:tc>
          <w:tcPr>
            <w:tcW w:w="1475" w:type="pct"/>
            <w:vMerge/>
            <w:shd w:val="clear" w:color="auto" w:fill="D9D9D9" w:themeFill="background1" w:themeFillShade="D9"/>
            <w:noWrap/>
            <w:vAlign w:val="bottom"/>
            <w:hideMark/>
          </w:tcPr>
          <w:p w14:paraId="18243E85" w14:textId="77777777" w:rsidR="00FC1AA5" w:rsidRPr="003639E9" w:rsidRDefault="00FC1AA5" w:rsidP="00954470">
            <w:pPr>
              <w:pStyle w:val="DHHStabletext"/>
              <w:rPr>
                <w:lang w:eastAsia="en-AU"/>
              </w:rPr>
            </w:pPr>
          </w:p>
        </w:tc>
        <w:tc>
          <w:tcPr>
            <w:tcW w:w="1423" w:type="pct"/>
            <w:shd w:val="clear" w:color="auto" w:fill="D9D9D9" w:themeFill="background1" w:themeFillShade="D9"/>
            <w:noWrap/>
            <w:vAlign w:val="bottom"/>
            <w:hideMark/>
          </w:tcPr>
          <w:p w14:paraId="417F35BB" w14:textId="7D5D8D80" w:rsidR="00FC1AA5" w:rsidRPr="003639E9" w:rsidRDefault="00FC1AA5" w:rsidP="00954470">
            <w:pPr>
              <w:pStyle w:val="DHHStabletext"/>
              <w:rPr>
                <w:lang w:eastAsia="en-AU"/>
              </w:rPr>
            </w:pPr>
            <w:r>
              <w:rPr>
                <w:lang w:eastAsia="en-AU"/>
              </w:rPr>
              <w:t>N</w:t>
            </w:r>
            <w:r w:rsidR="00A73C40">
              <w:rPr>
                <w:lang w:eastAsia="en-AU"/>
              </w:rPr>
              <w:t>o.</w:t>
            </w:r>
            <w:r>
              <w:rPr>
                <w:lang w:eastAsia="en-AU"/>
              </w:rPr>
              <w:t xml:space="preserve"> patients with missing data</w:t>
            </w:r>
          </w:p>
        </w:tc>
        <w:tc>
          <w:tcPr>
            <w:tcW w:w="1159" w:type="pct"/>
            <w:shd w:val="clear" w:color="auto" w:fill="D9D9D9" w:themeFill="background1" w:themeFillShade="D9"/>
            <w:noWrap/>
          </w:tcPr>
          <w:p w14:paraId="483D275E" w14:textId="156AF27E" w:rsidR="00FC1AA5" w:rsidRPr="00833AE6" w:rsidRDefault="00FC1AA5" w:rsidP="00954470">
            <w:pPr>
              <w:pStyle w:val="DHHStabletext"/>
              <w:rPr>
                <w:rFonts w:cs="Arial"/>
                <w:lang w:eastAsia="en-AU"/>
              </w:rPr>
            </w:pPr>
            <w:r>
              <w:rPr>
                <w:rFonts w:cs="Arial"/>
                <w:color w:val="000000"/>
              </w:rPr>
              <w:t>44</w:t>
            </w:r>
          </w:p>
        </w:tc>
        <w:tc>
          <w:tcPr>
            <w:tcW w:w="943" w:type="pct"/>
            <w:shd w:val="clear" w:color="auto" w:fill="D9D9D9" w:themeFill="background1" w:themeFillShade="D9"/>
            <w:noWrap/>
          </w:tcPr>
          <w:p w14:paraId="6D1C1238" w14:textId="681D78C5" w:rsidR="00FC1AA5" w:rsidRPr="00833AE6" w:rsidRDefault="00FC1AA5" w:rsidP="00954470">
            <w:pPr>
              <w:pStyle w:val="DHHStabletext"/>
              <w:rPr>
                <w:rFonts w:cs="Arial"/>
                <w:lang w:eastAsia="en-AU"/>
              </w:rPr>
            </w:pPr>
            <w:r>
              <w:rPr>
                <w:rFonts w:cs="Arial"/>
                <w:color w:val="000000"/>
              </w:rPr>
              <w:t>80</w:t>
            </w:r>
          </w:p>
        </w:tc>
      </w:tr>
      <w:tr w:rsidR="00FC1AA5" w:rsidRPr="008D1EEA" w14:paraId="7C41AD2E" w14:textId="77777777" w:rsidTr="00B12671">
        <w:trPr>
          <w:trHeight w:val="300"/>
        </w:trPr>
        <w:tc>
          <w:tcPr>
            <w:tcW w:w="1475" w:type="pct"/>
            <w:vMerge/>
            <w:shd w:val="clear" w:color="auto" w:fill="D9D9D9" w:themeFill="background1" w:themeFillShade="D9"/>
            <w:noWrap/>
            <w:vAlign w:val="bottom"/>
          </w:tcPr>
          <w:p w14:paraId="542D79D4" w14:textId="77777777" w:rsidR="00FC1AA5" w:rsidRPr="003639E9" w:rsidRDefault="00FC1AA5" w:rsidP="00954470">
            <w:pPr>
              <w:pStyle w:val="DHHStabletext"/>
              <w:rPr>
                <w:lang w:eastAsia="en-AU"/>
              </w:rPr>
            </w:pPr>
          </w:p>
        </w:tc>
        <w:tc>
          <w:tcPr>
            <w:tcW w:w="1423" w:type="pct"/>
            <w:shd w:val="clear" w:color="auto" w:fill="D9D9D9" w:themeFill="background1" w:themeFillShade="D9"/>
            <w:noWrap/>
            <w:vAlign w:val="bottom"/>
          </w:tcPr>
          <w:p w14:paraId="6FA79C18" w14:textId="090A5ECA" w:rsidR="00FC1AA5" w:rsidRDefault="00FC1AA5" w:rsidP="00954470">
            <w:pPr>
              <w:pStyle w:val="DHHStabletext"/>
              <w:rPr>
                <w:lang w:eastAsia="en-AU"/>
              </w:rPr>
            </w:pPr>
            <w:r>
              <w:rPr>
                <w:lang w:eastAsia="en-AU"/>
              </w:rPr>
              <w:t>N</w:t>
            </w:r>
            <w:r w:rsidR="00A73C40">
              <w:rPr>
                <w:lang w:eastAsia="en-AU"/>
              </w:rPr>
              <w:t>o.</w:t>
            </w:r>
            <w:r>
              <w:rPr>
                <w:lang w:eastAsia="en-AU"/>
              </w:rPr>
              <w:t xml:space="preserve"> patients excluded </w:t>
            </w:r>
          </w:p>
        </w:tc>
        <w:tc>
          <w:tcPr>
            <w:tcW w:w="1159" w:type="pct"/>
            <w:shd w:val="clear" w:color="auto" w:fill="D9D9D9" w:themeFill="background1" w:themeFillShade="D9"/>
            <w:noWrap/>
          </w:tcPr>
          <w:p w14:paraId="0C1C3C02" w14:textId="0FDEDCB3" w:rsidR="00FC1AA5" w:rsidRDefault="00FC1AA5" w:rsidP="00954470">
            <w:pPr>
              <w:pStyle w:val="DHHStabletext"/>
              <w:rPr>
                <w:rFonts w:cs="Arial"/>
                <w:color w:val="000000"/>
              </w:rPr>
            </w:pPr>
            <w:r>
              <w:rPr>
                <w:rFonts w:cs="Arial"/>
                <w:color w:val="000000"/>
              </w:rPr>
              <w:t>12</w:t>
            </w:r>
          </w:p>
        </w:tc>
        <w:tc>
          <w:tcPr>
            <w:tcW w:w="943" w:type="pct"/>
            <w:shd w:val="clear" w:color="auto" w:fill="D9D9D9" w:themeFill="background1" w:themeFillShade="D9"/>
            <w:noWrap/>
          </w:tcPr>
          <w:p w14:paraId="3236D2CC" w14:textId="73C572E0" w:rsidR="00FC1AA5" w:rsidRDefault="00FC1AA5" w:rsidP="00954470">
            <w:pPr>
              <w:pStyle w:val="DHHStabletext"/>
              <w:rPr>
                <w:rFonts w:cs="Arial"/>
                <w:color w:val="000000"/>
              </w:rPr>
            </w:pPr>
            <w:r>
              <w:rPr>
                <w:rFonts w:cs="Arial"/>
                <w:color w:val="000000"/>
              </w:rPr>
              <w:t>22</w:t>
            </w:r>
          </w:p>
        </w:tc>
      </w:tr>
      <w:tr w:rsidR="00833AE6" w:rsidRPr="008D1EEA" w14:paraId="11154041" w14:textId="77777777" w:rsidTr="00380AD2">
        <w:trPr>
          <w:trHeight w:val="300"/>
        </w:trPr>
        <w:tc>
          <w:tcPr>
            <w:tcW w:w="1475" w:type="pct"/>
            <w:vMerge w:val="restart"/>
            <w:shd w:val="clear" w:color="auto" w:fill="auto"/>
            <w:noWrap/>
          </w:tcPr>
          <w:p w14:paraId="6E672162" w14:textId="77777777" w:rsidR="00833AE6" w:rsidRDefault="00833AE6" w:rsidP="00954470">
            <w:pPr>
              <w:pStyle w:val="DHHStabletext"/>
              <w:rPr>
                <w:lang w:eastAsia="en-AU"/>
              </w:rPr>
            </w:pPr>
            <w:r>
              <w:rPr>
                <w:lang w:eastAsia="en-AU"/>
              </w:rPr>
              <w:t xml:space="preserve">Diagnosis to </w:t>
            </w:r>
            <w:r w:rsidRPr="003639E9">
              <w:rPr>
                <w:lang w:eastAsia="en-AU"/>
              </w:rPr>
              <w:t>MDM</w:t>
            </w:r>
          </w:p>
        </w:tc>
        <w:tc>
          <w:tcPr>
            <w:tcW w:w="1423" w:type="pct"/>
            <w:shd w:val="clear" w:color="auto" w:fill="auto"/>
            <w:noWrap/>
            <w:vAlign w:val="bottom"/>
          </w:tcPr>
          <w:p w14:paraId="0578A2B1" w14:textId="6DE32573" w:rsidR="00833AE6" w:rsidRPr="003639E9" w:rsidRDefault="00833AE6" w:rsidP="00954470">
            <w:pPr>
              <w:pStyle w:val="DHHStabletext"/>
              <w:rPr>
                <w:lang w:eastAsia="en-AU"/>
              </w:rPr>
            </w:pPr>
            <w:r>
              <w:rPr>
                <w:lang w:eastAsia="en-AU"/>
              </w:rPr>
              <w:t>N</w:t>
            </w:r>
            <w:r w:rsidR="00A73C40">
              <w:rPr>
                <w:lang w:eastAsia="en-AU"/>
              </w:rPr>
              <w:t>o.</w:t>
            </w:r>
            <w:r>
              <w:rPr>
                <w:lang w:eastAsia="en-AU"/>
              </w:rPr>
              <w:t xml:space="preserve"> patients</w:t>
            </w:r>
          </w:p>
        </w:tc>
        <w:tc>
          <w:tcPr>
            <w:tcW w:w="1159" w:type="pct"/>
            <w:shd w:val="clear" w:color="auto" w:fill="auto"/>
            <w:noWrap/>
          </w:tcPr>
          <w:p w14:paraId="00061DF9" w14:textId="77777777" w:rsidR="00833AE6" w:rsidRPr="00833AE6" w:rsidRDefault="00833AE6" w:rsidP="00954470">
            <w:pPr>
              <w:pStyle w:val="DHHStabletext"/>
              <w:rPr>
                <w:rFonts w:cs="Arial"/>
                <w:lang w:eastAsia="en-AU"/>
              </w:rPr>
            </w:pPr>
            <w:r w:rsidRPr="00833AE6">
              <w:rPr>
                <w:rFonts w:cs="Arial"/>
                <w:lang w:eastAsia="en-AU"/>
              </w:rPr>
              <w:t>79</w:t>
            </w:r>
          </w:p>
        </w:tc>
        <w:tc>
          <w:tcPr>
            <w:tcW w:w="943" w:type="pct"/>
            <w:shd w:val="clear" w:color="auto" w:fill="auto"/>
            <w:noWrap/>
          </w:tcPr>
          <w:p w14:paraId="05B87961" w14:textId="77777777" w:rsidR="00833AE6" w:rsidRPr="00833AE6" w:rsidRDefault="00833AE6" w:rsidP="00954470">
            <w:pPr>
              <w:pStyle w:val="DHHStabletext"/>
              <w:rPr>
                <w:rFonts w:cs="Arial"/>
                <w:lang w:eastAsia="en-AU"/>
              </w:rPr>
            </w:pPr>
            <w:r w:rsidRPr="00833AE6">
              <w:rPr>
                <w:rFonts w:cs="Arial"/>
                <w:lang w:eastAsia="en-AU"/>
              </w:rPr>
              <w:t>149</w:t>
            </w:r>
          </w:p>
        </w:tc>
      </w:tr>
      <w:tr w:rsidR="00833AE6" w:rsidRPr="008D1EEA" w14:paraId="281435B1" w14:textId="77777777" w:rsidTr="00380AD2">
        <w:trPr>
          <w:trHeight w:val="300"/>
        </w:trPr>
        <w:tc>
          <w:tcPr>
            <w:tcW w:w="1475" w:type="pct"/>
            <w:vMerge/>
            <w:shd w:val="clear" w:color="auto" w:fill="auto"/>
            <w:noWrap/>
            <w:hideMark/>
          </w:tcPr>
          <w:p w14:paraId="774EBFB7" w14:textId="77777777" w:rsidR="00833AE6" w:rsidRPr="003639E9" w:rsidRDefault="00833AE6" w:rsidP="00954470">
            <w:pPr>
              <w:pStyle w:val="DHHStabletext"/>
              <w:rPr>
                <w:lang w:eastAsia="en-AU"/>
              </w:rPr>
            </w:pPr>
          </w:p>
        </w:tc>
        <w:tc>
          <w:tcPr>
            <w:tcW w:w="1423" w:type="pct"/>
            <w:shd w:val="clear" w:color="auto" w:fill="auto"/>
            <w:noWrap/>
            <w:vAlign w:val="bottom"/>
            <w:hideMark/>
          </w:tcPr>
          <w:p w14:paraId="231DCFC7" w14:textId="77DBD0BF" w:rsidR="00833AE6" w:rsidRPr="003639E9" w:rsidRDefault="00833AE6" w:rsidP="00954470">
            <w:pPr>
              <w:pStyle w:val="DHHStabletext"/>
              <w:rPr>
                <w:lang w:eastAsia="en-AU"/>
              </w:rPr>
            </w:pPr>
            <w:r w:rsidRPr="003639E9">
              <w:rPr>
                <w:lang w:eastAsia="en-AU"/>
              </w:rPr>
              <w:t>Mean (SD)</w:t>
            </w:r>
            <w:r>
              <w:rPr>
                <w:lang w:eastAsia="en-AU"/>
              </w:rPr>
              <w:t xml:space="preserve"> days</w:t>
            </w:r>
          </w:p>
        </w:tc>
        <w:tc>
          <w:tcPr>
            <w:tcW w:w="1159" w:type="pct"/>
            <w:shd w:val="clear" w:color="auto" w:fill="auto"/>
            <w:noWrap/>
          </w:tcPr>
          <w:p w14:paraId="49B8D624" w14:textId="77777777" w:rsidR="00833AE6" w:rsidRPr="00833AE6" w:rsidRDefault="00833AE6" w:rsidP="00954470">
            <w:pPr>
              <w:pStyle w:val="DHHStabletext"/>
              <w:rPr>
                <w:rFonts w:cs="Arial"/>
                <w:lang w:eastAsia="en-AU"/>
              </w:rPr>
            </w:pPr>
            <w:r w:rsidRPr="00833AE6">
              <w:rPr>
                <w:rFonts w:cs="Arial"/>
                <w:color w:val="000000"/>
              </w:rPr>
              <w:t>19.96 (38.30)</w:t>
            </w:r>
          </w:p>
        </w:tc>
        <w:tc>
          <w:tcPr>
            <w:tcW w:w="943" w:type="pct"/>
            <w:shd w:val="clear" w:color="auto" w:fill="auto"/>
            <w:noWrap/>
          </w:tcPr>
          <w:p w14:paraId="52FBFC8B" w14:textId="77777777" w:rsidR="00833AE6" w:rsidRPr="00833AE6" w:rsidRDefault="00833AE6" w:rsidP="00954470">
            <w:pPr>
              <w:pStyle w:val="DHHStabletext"/>
              <w:rPr>
                <w:rFonts w:cs="Arial"/>
                <w:lang w:eastAsia="en-AU"/>
              </w:rPr>
            </w:pPr>
            <w:r w:rsidRPr="00833AE6">
              <w:rPr>
                <w:rFonts w:cs="Arial"/>
                <w:color w:val="000000"/>
              </w:rPr>
              <w:t>20.68 (27.91)</w:t>
            </w:r>
          </w:p>
        </w:tc>
      </w:tr>
      <w:tr w:rsidR="00833AE6" w:rsidRPr="008D1EEA" w14:paraId="469CEA6C" w14:textId="77777777" w:rsidTr="00380AD2">
        <w:trPr>
          <w:trHeight w:val="300"/>
        </w:trPr>
        <w:tc>
          <w:tcPr>
            <w:tcW w:w="1475" w:type="pct"/>
            <w:vMerge/>
            <w:shd w:val="clear" w:color="auto" w:fill="auto"/>
            <w:noWrap/>
            <w:vAlign w:val="bottom"/>
            <w:hideMark/>
          </w:tcPr>
          <w:p w14:paraId="2A5C8EEF" w14:textId="77777777" w:rsidR="00833AE6" w:rsidRPr="003639E9" w:rsidRDefault="00833AE6" w:rsidP="00954470">
            <w:pPr>
              <w:pStyle w:val="DHHStabletext"/>
              <w:rPr>
                <w:lang w:eastAsia="en-AU"/>
              </w:rPr>
            </w:pPr>
          </w:p>
        </w:tc>
        <w:tc>
          <w:tcPr>
            <w:tcW w:w="1423" w:type="pct"/>
            <w:shd w:val="clear" w:color="auto" w:fill="auto"/>
            <w:noWrap/>
            <w:vAlign w:val="bottom"/>
            <w:hideMark/>
          </w:tcPr>
          <w:p w14:paraId="3BE4332D" w14:textId="3C6CB54F" w:rsidR="00833AE6" w:rsidRPr="003639E9" w:rsidRDefault="00833AE6" w:rsidP="00954470">
            <w:pPr>
              <w:pStyle w:val="DHHStabletext"/>
              <w:rPr>
                <w:lang w:eastAsia="en-AU"/>
              </w:rPr>
            </w:pPr>
            <w:r w:rsidRPr="003639E9">
              <w:rPr>
                <w:lang w:eastAsia="en-AU"/>
              </w:rPr>
              <w:t>Median [range]</w:t>
            </w:r>
            <w:r>
              <w:rPr>
                <w:lang w:eastAsia="en-AU"/>
              </w:rPr>
              <w:t xml:space="preserve"> days</w:t>
            </w:r>
          </w:p>
        </w:tc>
        <w:tc>
          <w:tcPr>
            <w:tcW w:w="1159" w:type="pct"/>
            <w:shd w:val="clear" w:color="auto" w:fill="auto"/>
            <w:noWrap/>
          </w:tcPr>
          <w:p w14:paraId="3C8C22B5" w14:textId="123211AB" w:rsidR="00833AE6" w:rsidRPr="00833AE6" w:rsidRDefault="00833AE6">
            <w:pPr>
              <w:pStyle w:val="DHHStabletext"/>
              <w:rPr>
                <w:rFonts w:cs="Arial"/>
                <w:lang w:eastAsia="en-AU"/>
              </w:rPr>
            </w:pPr>
            <w:r w:rsidRPr="00833AE6">
              <w:rPr>
                <w:rFonts w:cs="Arial"/>
                <w:color w:val="000000"/>
              </w:rPr>
              <w:t>13 [</w:t>
            </w:r>
            <w:r w:rsidR="0089112C">
              <w:rPr>
                <w:rFonts w:cs="Arial"/>
                <w:color w:val="000000"/>
              </w:rPr>
              <w:t>-</w:t>
            </w:r>
            <w:r w:rsidRPr="00833AE6">
              <w:rPr>
                <w:rFonts w:cs="Arial"/>
                <w:color w:val="000000"/>
              </w:rPr>
              <w:t>35</w:t>
            </w:r>
            <w:r w:rsidR="00A144F1" w:rsidRPr="00A144F1">
              <w:rPr>
                <w:rFonts w:cs="Arial"/>
                <w:color w:val="000000"/>
              </w:rPr>
              <w:t>–</w:t>
            </w:r>
            <w:r w:rsidRPr="00833AE6">
              <w:rPr>
                <w:rFonts w:cs="Arial"/>
                <w:color w:val="000000"/>
              </w:rPr>
              <w:t>256]</w:t>
            </w:r>
          </w:p>
        </w:tc>
        <w:tc>
          <w:tcPr>
            <w:tcW w:w="943" w:type="pct"/>
            <w:shd w:val="clear" w:color="auto" w:fill="auto"/>
            <w:noWrap/>
          </w:tcPr>
          <w:p w14:paraId="671C6007" w14:textId="3ED792B8" w:rsidR="00833AE6" w:rsidRPr="00833AE6" w:rsidRDefault="00833AE6" w:rsidP="00954470">
            <w:pPr>
              <w:pStyle w:val="DHHStabletext"/>
              <w:rPr>
                <w:rFonts w:cs="Arial"/>
                <w:lang w:eastAsia="en-AU"/>
              </w:rPr>
            </w:pPr>
            <w:r w:rsidRPr="00833AE6">
              <w:rPr>
                <w:rFonts w:cs="Arial"/>
                <w:color w:val="000000"/>
              </w:rPr>
              <w:t>14 [</w:t>
            </w:r>
            <w:r w:rsidR="0089112C">
              <w:rPr>
                <w:rFonts w:cs="Arial"/>
                <w:color w:val="000000"/>
              </w:rPr>
              <w:t>-</w:t>
            </w:r>
            <w:r w:rsidRPr="00833AE6">
              <w:rPr>
                <w:rFonts w:cs="Arial"/>
                <w:color w:val="000000"/>
              </w:rPr>
              <w:t>25</w:t>
            </w:r>
            <w:r w:rsidR="00A144F1" w:rsidRPr="00A144F1">
              <w:rPr>
                <w:rFonts w:cs="Arial"/>
                <w:color w:val="000000"/>
              </w:rPr>
              <w:t>–</w:t>
            </w:r>
            <w:r w:rsidRPr="00833AE6">
              <w:rPr>
                <w:rFonts w:cs="Arial"/>
                <w:color w:val="000000"/>
              </w:rPr>
              <w:t>174]</w:t>
            </w:r>
          </w:p>
        </w:tc>
      </w:tr>
      <w:tr w:rsidR="00833AE6" w:rsidRPr="008D1EEA" w14:paraId="1EEF4BBB" w14:textId="77777777" w:rsidTr="00380AD2">
        <w:trPr>
          <w:trHeight w:val="300"/>
        </w:trPr>
        <w:tc>
          <w:tcPr>
            <w:tcW w:w="1475" w:type="pct"/>
            <w:vMerge/>
            <w:shd w:val="clear" w:color="auto" w:fill="auto"/>
            <w:noWrap/>
            <w:vAlign w:val="bottom"/>
            <w:hideMark/>
          </w:tcPr>
          <w:p w14:paraId="0CDA1112" w14:textId="77777777" w:rsidR="00833AE6" w:rsidRPr="003639E9" w:rsidRDefault="00833AE6" w:rsidP="00954470">
            <w:pPr>
              <w:pStyle w:val="DHHStabletext"/>
              <w:rPr>
                <w:lang w:eastAsia="en-AU"/>
              </w:rPr>
            </w:pPr>
          </w:p>
        </w:tc>
        <w:tc>
          <w:tcPr>
            <w:tcW w:w="1423" w:type="pct"/>
            <w:shd w:val="clear" w:color="auto" w:fill="auto"/>
            <w:noWrap/>
            <w:vAlign w:val="bottom"/>
            <w:hideMark/>
          </w:tcPr>
          <w:p w14:paraId="24CD9F3B" w14:textId="591B04FD" w:rsidR="00833AE6" w:rsidRPr="003639E9" w:rsidRDefault="00833AE6" w:rsidP="00954470">
            <w:pPr>
              <w:pStyle w:val="DHHStabletext"/>
              <w:rPr>
                <w:lang w:eastAsia="en-AU"/>
              </w:rPr>
            </w:pPr>
            <w:r w:rsidRPr="003639E9">
              <w:rPr>
                <w:lang w:eastAsia="en-AU"/>
              </w:rPr>
              <w:t>Interquartile range</w:t>
            </w:r>
            <w:r>
              <w:rPr>
                <w:lang w:eastAsia="en-AU"/>
              </w:rPr>
              <w:t xml:space="preserve"> days</w:t>
            </w:r>
          </w:p>
        </w:tc>
        <w:tc>
          <w:tcPr>
            <w:tcW w:w="1159" w:type="pct"/>
            <w:shd w:val="clear" w:color="auto" w:fill="auto"/>
            <w:noWrap/>
          </w:tcPr>
          <w:p w14:paraId="7F625D0B" w14:textId="2463580D" w:rsidR="00833AE6" w:rsidRPr="00833AE6" w:rsidRDefault="00833AE6">
            <w:pPr>
              <w:pStyle w:val="DHHStabletext"/>
              <w:rPr>
                <w:rFonts w:cs="Arial"/>
                <w:lang w:eastAsia="en-AU"/>
              </w:rPr>
            </w:pPr>
            <w:r w:rsidRPr="00833AE6">
              <w:rPr>
                <w:rFonts w:cs="Arial"/>
                <w:color w:val="000000"/>
              </w:rPr>
              <w:t xml:space="preserve"> 6</w:t>
            </w:r>
            <w:r w:rsidR="00A144F1" w:rsidRPr="00A144F1">
              <w:rPr>
                <w:rFonts w:cs="Arial"/>
                <w:color w:val="000000"/>
              </w:rPr>
              <w:t>–</w:t>
            </w:r>
            <w:r w:rsidRPr="00833AE6">
              <w:rPr>
                <w:rFonts w:cs="Arial"/>
                <w:color w:val="000000"/>
              </w:rPr>
              <w:t>22</w:t>
            </w:r>
          </w:p>
        </w:tc>
        <w:tc>
          <w:tcPr>
            <w:tcW w:w="943" w:type="pct"/>
            <w:shd w:val="clear" w:color="auto" w:fill="auto"/>
            <w:noWrap/>
          </w:tcPr>
          <w:p w14:paraId="7B985B30" w14:textId="6752B0CA" w:rsidR="00833AE6" w:rsidRPr="00833AE6" w:rsidRDefault="00833AE6">
            <w:pPr>
              <w:pStyle w:val="DHHStabletext"/>
              <w:rPr>
                <w:rFonts w:cs="Arial"/>
                <w:lang w:eastAsia="en-AU"/>
              </w:rPr>
            </w:pPr>
            <w:r w:rsidRPr="00833AE6">
              <w:rPr>
                <w:rFonts w:cs="Arial"/>
                <w:color w:val="000000"/>
              </w:rPr>
              <w:t xml:space="preserve"> 7</w:t>
            </w:r>
            <w:r w:rsidR="00A144F1" w:rsidRPr="00A144F1">
              <w:rPr>
                <w:rFonts w:cs="Arial"/>
                <w:color w:val="000000"/>
              </w:rPr>
              <w:t>–</w:t>
            </w:r>
            <w:r w:rsidRPr="00833AE6">
              <w:rPr>
                <w:rFonts w:cs="Arial"/>
                <w:color w:val="000000"/>
              </w:rPr>
              <w:t>26</w:t>
            </w:r>
          </w:p>
        </w:tc>
      </w:tr>
      <w:tr w:rsidR="00833AE6" w:rsidRPr="008D1EEA" w14:paraId="298DA23A" w14:textId="77777777" w:rsidTr="00380AD2">
        <w:trPr>
          <w:trHeight w:val="300"/>
        </w:trPr>
        <w:tc>
          <w:tcPr>
            <w:tcW w:w="1475" w:type="pct"/>
            <w:vMerge/>
            <w:shd w:val="clear" w:color="auto" w:fill="auto"/>
            <w:noWrap/>
            <w:vAlign w:val="bottom"/>
            <w:hideMark/>
          </w:tcPr>
          <w:p w14:paraId="5D39122F" w14:textId="77777777" w:rsidR="00833AE6" w:rsidRPr="003639E9" w:rsidRDefault="00833AE6" w:rsidP="00954470">
            <w:pPr>
              <w:pStyle w:val="DHHStabletext"/>
              <w:rPr>
                <w:lang w:eastAsia="en-AU"/>
              </w:rPr>
            </w:pPr>
          </w:p>
        </w:tc>
        <w:tc>
          <w:tcPr>
            <w:tcW w:w="1423" w:type="pct"/>
            <w:shd w:val="clear" w:color="auto" w:fill="auto"/>
            <w:noWrap/>
            <w:vAlign w:val="bottom"/>
            <w:hideMark/>
          </w:tcPr>
          <w:p w14:paraId="717B7953" w14:textId="3E20A437" w:rsidR="00833AE6" w:rsidRPr="003639E9" w:rsidRDefault="00833AE6" w:rsidP="00954470">
            <w:pPr>
              <w:pStyle w:val="DHHStabletext"/>
              <w:rPr>
                <w:lang w:eastAsia="en-AU"/>
              </w:rPr>
            </w:pPr>
            <w:r>
              <w:rPr>
                <w:lang w:eastAsia="en-AU"/>
              </w:rPr>
              <w:t>N</w:t>
            </w:r>
            <w:r w:rsidR="00A73C40">
              <w:rPr>
                <w:lang w:eastAsia="en-AU"/>
              </w:rPr>
              <w:t>o.</w:t>
            </w:r>
            <w:r>
              <w:rPr>
                <w:lang w:eastAsia="en-AU"/>
              </w:rPr>
              <w:t xml:space="preserve"> patients with missing data</w:t>
            </w:r>
          </w:p>
        </w:tc>
        <w:tc>
          <w:tcPr>
            <w:tcW w:w="1159" w:type="pct"/>
            <w:shd w:val="clear" w:color="auto" w:fill="auto"/>
            <w:noWrap/>
          </w:tcPr>
          <w:p w14:paraId="28EA66B5" w14:textId="77777777" w:rsidR="00833AE6" w:rsidRPr="00833AE6" w:rsidRDefault="00833AE6" w:rsidP="00954470">
            <w:pPr>
              <w:pStyle w:val="DHHStabletext"/>
              <w:rPr>
                <w:rFonts w:cs="Arial"/>
                <w:lang w:eastAsia="en-AU"/>
              </w:rPr>
            </w:pPr>
            <w:r w:rsidRPr="00833AE6">
              <w:rPr>
                <w:rFonts w:cs="Arial"/>
                <w:color w:val="000000"/>
              </w:rPr>
              <w:t>24</w:t>
            </w:r>
          </w:p>
        </w:tc>
        <w:tc>
          <w:tcPr>
            <w:tcW w:w="943" w:type="pct"/>
            <w:shd w:val="clear" w:color="auto" w:fill="auto"/>
            <w:noWrap/>
          </w:tcPr>
          <w:p w14:paraId="4372E37A" w14:textId="0801BC29" w:rsidR="00375E91" w:rsidRPr="00FC1AA5" w:rsidRDefault="00833AE6" w:rsidP="00954470">
            <w:pPr>
              <w:pStyle w:val="DHHStabletext"/>
              <w:rPr>
                <w:rFonts w:cs="Arial"/>
                <w:color w:val="000000"/>
              </w:rPr>
            </w:pPr>
            <w:r w:rsidRPr="00833AE6">
              <w:rPr>
                <w:rFonts w:cs="Arial"/>
                <w:color w:val="000000"/>
              </w:rPr>
              <w:t>45</w:t>
            </w:r>
          </w:p>
        </w:tc>
      </w:tr>
      <w:tr w:rsidR="00833AE6" w:rsidRPr="008D1EEA" w14:paraId="0D207BA5" w14:textId="77777777" w:rsidTr="00B12671">
        <w:trPr>
          <w:trHeight w:val="300"/>
        </w:trPr>
        <w:tc>
          <w:tcPr>
            <w:tcW w:w="1475" w:type="pct"/>
            <w:vMerge w:val="restart"/>
            <w:shd w:val="clear" w:color="auto" w:fill="D9D9D9" w:themeFill="background1" w:themeFillShade="D9"/>
            <w:noWrap/>
          </w:tcPr>
          <w:p w14:paraId="39955BEB" w14:textId="616B935F" w:rsidR="00833AE6" w:rsidRDefault="00833AE6" w:rsidP="00C829DD">
            <w:pPr>
              <w:pStyle w:val="DHHStabletext"/>
              <w:rPr>
                <w:lang w:eastAsia="en-AU"/>
              </w:rPr>
            </w:pPr>
            <w:r>
              <w:rPr>
                <w:lang w:eastAsia="en-AU"/>
              </w:rPr>
              <w:t xml:space="preserve">Diagnosis to </w:t>
            </w:r>
            <w:r w:rsidR="0089112C">
              <w:rPr>
                <w:lang w:eastAsia="en-AU"/>
              </w:rPr>
              <w:t>f</w:t>
            </w:r>
            <w:r>
              <w:rPr>
                <w:lang w:eastAsia="en-AU"/>
              </w:rPr>
              <w:t xml:space="preserve">irst </w:t>
            </w:r>
            <w:r w:rsidR="0089112C">
              <w:rPr>
                <w:lang w:eastAsia="en-AU"/>
              </w:rPr>
              <w:t>t</w:t>
            </w:r>
            <w:r w:rsidRPr="003639E9">
              <w:rPr>
                <w:lang w:eastAsia="en-AU"/>
              </w:rPr>
              <w:t>reatment</w:t>
            </w:r>
          </w:p>
        </w:tc>
        <w:tc>
          <w:tcPr>
            <w:tcW w:w="1423" w:type="pct"/>
            <w:shd w:val="clear" w:color="auto" w:fill="D9D9D9" w:themeFill="background1" w:themeFillShade="D9"/>
            <w:noWrap/>
            <w:vAlign w:val="bottom"/>
          </w:tcPr>
          <w:p w14:paraId="31F41FD6" w14:textId="05489A24" w:rsidR="00833AE6" w:rsidRPr="003639E9" w:rsidRDefault="00833AE6" w:rsidP="00954470">
            <w:pPr>
              <w:pStyle w:val="DHHStabletext"/>
              <w:rPr>
                <w:lang w:eastAsia="en-AU"/>
              </w:rPr>
            </w:pPr>
            <w:r>
              <w:rPr>
                <w:lang w:eastAsia="en-AU"/>
              </w:rPr>
              <w:t>N</w:t>
            </w:r>
            <w:r w:rsidR="00A73C40">
              <w:rPr>
                <w:lang w:eastAsia="en-AU"/>
              </w:rPr>
              <w:t>o.</w:t>
            </w:r>
            <w:r>
              <w:rPr>
                <w:lang w:eastAsia="en-AU"/>
              </w:rPr>
              <w:t xml:space="preserve"> patients</w:t>
            </w:r>
          </w:p>
        </w:tc>
        <w:tc>
          <w:tcPr>
            <w:tcW w:w="1159" w:type="pct"/>
            <w:shd w:val="clear" w:color="auto" w:fill="D9D9D9" w:themeFill="background1" w:themeFillShade="D9"/>
            <w:noWrap/>
          </w:tcPr>
          <w:p w14:paraId="7D7629EF" w14:textId="77777777" w:rsidR="00833AE6" w:rsidRPr="00833AE6" w:rsidRDefault="00833AE6" w:rsidP="00954470">
            <w:pPr>
              <w:pStyle w:val="DHHStabletext"/>
              <w:rPr>
                <w:rFonts w:cs="Arial"/>
                <w:lang w:eastAsia="en-AU"/>
              </w:rPr>
            </w:pPr>
            <w:r w:rsidRPr="00833AE6">
              <w:rPr>
                <w:rFonts w:cs="Arial"/>
                <w:lang w:eastAsia="en-AU"/>
              </w:rPr>
              <w:t>70</w:t>
            </w:r>
          </w:p>
        </w:tc>
        <w:tc>
          <w:tcPr>
            <w:tcW w:w="943" w:type="pct"/>
            <w:shd w:val="clear" w:color="auto" w:fill="D9D9D9" w:themeFill="background1" w:themeFillShade="D9"/>
            <w:noWrap/>
          </w:tcPr>
          <w:p w14:paraId="3933A3D2" w14:textId="77777777" w:rsidR="00833AE6" w:rsidRPr="00833AE6" w:rsidRDefault="00833AE6" w:rsidP="00954470">
            <w:pPr>
              <w:pStyle w:val="DHHStabletext"/>
              <w:rPr>
                <w:rFonts w:cs="Arial"/>
                <w:lang w:eastAsia="en-AU"/>
              </w:rPr>
            </w:pPr>
            <w:r w:rsidRPr="00833AE6">
              <w:rPr>
                <w:rFonts w:cs="Arial"/>
                <w:lang w:eastAsia="en-AU"/>
              </w:rPr>
              <w:t>132</w:t>
            </w:r>
          </w:p>
        </w:tc>
      </w:tr>
      <w:tr w:rsidR="00833AE6" w:rsidRPr="008D1EEA" w14:paraId="16B61966" w14:textId="77777777" w:rsidTr="00B12671">
        <w:trPr>
          <w:trHeight w:val="300"/>
        </w:trPr>
        <w:tc>
          <w:tcPr>
            <w:tcW w:w="1475" w:type="pct"/>
            <w:vMerge/>
            <w:shd w:val="clear" w:color="auto" w:fill="D9D9D9" w:themeFill="background1" w:themeFillShade="D9"/>
            <w:noWrap/>
            <w:hideMark/>
          </w:tcPr>
          <w:p w14:paraId="32341FF1" w14:textId="77777777" w:rsidR="00833AE6" w:rsidRPr="003639E9" w:rsidRDefault="00833AE6" w:rsidP="00954470">
            <w:pPr>
              <w:pStyle w:val="DHHStabletext"/>
              <w:rPr>
                <w:lang w:eastAsia="en-AU"/>
              </w:rPr>
            </w:pPr>
          </w:p>
        </w:tc>
        <w:tc>
          <w:tcPr>
            <w:tcW w:w="1423" w:type="pct"/>
            <w:shd w:val="clear" w:color="auto" w:fill="D9D9D9" w:themeFill="background1" w:themeFillShade="D9"/>
            <w:noWrap/>
            <w:vAlign w:val="bottom"/>
            <w:hideMark/>
          </w:tcPr>
          <w:p w14:paraId="14BA2078" w14:textId="01CE2089" w:rsidR="00833AE6" w:rsidRPr="003639E9" w:rsidRDefault="00833AE6" w:rsidP="00954470">
            <w:pPr>
              <w:pStyle w:val="DHHStabletext"/>
              <w:rPr>
                <w:lang w:eastAsia="en-AU"/>
              </w:rPr>
            </w:pPr>
            <w:r w:rsidRPr="003639E9">
              <w:rPr>
                <w:lang w:eastAsia="en-AU"/>
              </w:rPr>
              <w:t>Mean (SD)</w:t>
            </w:r>
            <w:r>
              <w:rPr>
                <w:lang w:eastAsia="en-AU"/>
              </w:rPr>
              <w:t xml:space="preserve"> days</w:t>
            </w:r>
          </w:p>
        </w:tc>
        <w:tc>
          <w:tcPr>
            <w:tcW w:w="1159" w:type="pct"/>
            <w:shd w:val="clear" w:color="auto" w:fill="D9D9D9" w:themeFill="background1" w:themeFillShade="D9"/>
            <w:noWrap/>
          </w:tcPr>
          <w:p w14:paraId="437C4CBF" w14:textId="77777777" w:rsidR="00833AE6" w:rsidRPr="00833AE6" w:rsidRDefault="00833AE6" w:rsidP="00954470">
            <w:pPr>
              <w:pStyle w:val="DHHStabletext"/>
              <w:rPr>
                <w:rFonts w:cs="Arial"/>
                <w:lang w:eastAsia="en-AU"/>
              </w:rPr>
            </w:pPr>
            <w:r w:rsidRPr="00833AE6">
              <w:rPr>
                <w:rFonts w:cs="Arial"/>
                <w:color w:val="000000"/>
              </w:rPr>
              <w:t>37.60 (28.21)</w:t>
            </w:r>
          </w:p>
        </w:tc>
        <w:tc>
          <w:tcPr>
            <w:tcW w:w="943" w:type="pct"/>
            <w:shd w:val="clear" w:color="auto" w:fill="D9D9D9" w:themeFill="background1" w:themeFillShade="D9"/>
            <w:noWrap/>
          </w:tcPr>
          <w:p w14:paraId="12991B39" w14:textId="77777777" w:rsidR="00833AE6" w:rsidRPr="00833AE6" w:rsidRDefault="00833AE6" w:rsidP="00954470">
            <w:pPr>
              <w:pStyle w:val="DHHStabletext"/>
              <w:rPr>
                <w:rFonts w:cs="Arial"/>
                <w:lang w:eastAsia="en-AU"/>
              </w:rPr>
            </w:pPr>
            <w:r w:rsidRPr="00833AE6">
              <w:rPr>
                <w:rFonts w:cs="Arial"/>
                <w:color w:val="000000"/>
              </w:rPr>
              <w:t>36.17 (25.19)</w:t>
            </w:r>
          </w:p>
        </w:tc>
      </w:tr>
      <w:tr w:rsidR="00833AE6" w:rsidRPr="008D1EEA" w14:paraId="13A34745" w14:textId="77777777" w:rsidTr="00B12671">
        <w:trPr>
          <w:trHeight w:val="300"/>
        </w:trPr>
        <w:tc>
          <w:tcPr>
            <w:tcW w:w="1475" w:type="pct"/>
            <w:vMerge/>
            <w:shd w:val="clear" w:color="auto" w:fill="D9D9D9" w:themeFill="background1" w:themeFillShade="D9"/>
            <w:noWrap/>
            <w:vAlign w:val="bottom"/>
            <w:hideMark/>
          </w:tcPr>
          <w:p w14:paraId="62F920AA" w14:textId="77777777" w:rsidR="00833AE6" w:rsidRPr="003639E9" w:rsidRDefault="00833AE6" w:rsidP="00954470">
            <w:pPr>
              <w:pStyle w:val="DHHStabletext"/>
              <w:rPr>
                <w:lang w:eastAsia="en-AU"/>
              </w:rPr>
            </w:pPr>
          </w:p>
        </w:tc>
        <w:tc>
          <w:tcPr>
            <w:tcW w:w="1423" w:type="pct"/>
            <w:shd w:val="clear" w:color="auto" w:fill="D9D9D9" w:themeFill="background1" w:themeFillShade="D9"/>
            <w:noWrap/>
            <w:vAlign w:val="bottom"/>
            <w:hideMark/>
          </w:tcPr>
          <w:p w14:paraId="0A6705F5" w14:textId="5C032156" w:rsidR="00833AE6" w:rsidRPr="003639E9" w:rsidRDefault="00833AE6" w:rsidP="00954470">
            <w:pPr>
              <w:pStyle w:val="DHHStabletext"/>
              <w:rPr>
                <w:lang w:eastAsia="en-AU"/>
              </w:rPr>
            </w:pPr>
            <w:r w:rsidRPr="003639E9">
              <w:rPr>
                <w:lang w:eastAsia="en-AU"/>
              </w:rPr>
              <w:t>Median [range]</w:t>
            </w:r>
            <w:r>
              <w:rPr>
                <w:lang w:eastAsia="en-AU"/>
              </w:rPr>
              <w:t xml:space="preserve"> days</w:t>
            </w:r>
          </w:p>
        </w:tc>
        <w:tc>
          <w:tcPr>
            <w:tcW w:w="1159" w:type="pct"/>
            <w:shd w:val="clear" w:color="auto" w:fill="D9D9D9" w:themeFill="background1" w:themeFillShade="D9"/>
            <w:noWrap/>
          </w:tcPr>
          <w:p w14:paraId="2D5C4692" w14:textId="080C0673" w:rsidR="00833AE6" w:rsidRPr="00833AE6" w:rsidRDefault="00833AE6">
            <w:pPr>
              <w:pStyle w:val="DHHStabletext"/>
              <w:rPr>
                <w:rFonts w:cs="Arial"/>
                <w:lang w:eastAsia="en-AU"/>
              </w:rPr>
            </w:pPr>
            <w:r w:rsidRPr="00833AE6">
              <w:rPr>
                <w:rFonts w:cs="Arial"/>
                <w:color w:val="000000"/>
              </w:rPr>
              <w:t>35 [0</w:t>
            </w:r>
            <w:r w:rsidR="00A144F1" w:rsidRPr="00A144F1">
              <w:rPr>
                <w:rFonts w:cs="Arial"/>
                <w:color w:val="000000"/>
              </w:rPr>
              <w:t>–</w:t>
            </w:r>
            <w:r w:rsidRPr="00833AE6">
              <w:rPr>
                <w:rFonts w:cs="Arial"/>
                <w:color w:val="000000"/>
              </w:rPr>
              <w:t>168]</w:t>
            </w:r>
          </w:p>
        </w:tc>
        <w:tc>
          <w:tcPr>
            <w:tcW w:w="943" w:type="pct"/>
            <w:shd w:val="clear" w:color="auto" w:fill="D9D9D9" w:themeFill="background1" w:themeFillShade="D9"/>
            <w:noWrap/>
          </w:tcPr>
          <w:p w14:paraId="480C1C37" w14:textId="1C867067" w:rsidR="00833AE6" w:rsidRPr="00833AE6" w:rsidRDefault="00833AE6">
            <w:pPr>
              <w:pStyle w:val="DHHStabletext"/>
              <w:rPr>
                <w:rFonts w:cs="Arial"/>
                <w:lang w:eastAsia="en-AU"/>
              </w:rPr>
            </w:pPr>
            <w:r w:rsidRPr="00833AE6">
              <w:rPr>
                <w:rFonts w:cs="Arial"/>
                <w:color w:val="000000"/>
              </w:rPr>
              <w:t>33.5 [0</w:t>
            </w:r>
            <w:r w:rsidR="00A144F1" w:rsidRPr="00A144F1">
              <w:rPr>
                <w:rFonts w:cs="Arial"/>
                <w:color w:val="000000"/>
              </w:rPr>
              <w:t>–</w:t>
            </w:r>
            <w:r w:rsidRPr="00833AE6">
              <w:rPr>
                <w:rFonts w:cs="Arial"/>
                <w:color w:val="000000"/>
              </w:rPr>
              <w:t>130]</w:t>
            </w:r>
          </w:p>
        </w:tc>
      </w:tr>
      <w:tr w:rsidR="00833AE6" w:rsidRPr="008D1EEA" w14:paraId="4CB26601" w14:textId="77777777" w:rsidTr="00B12671">
        <w:trPr>
          <w:trHeight w:val="300"/>
        </w:trPr>
        <w:tc>
          <w:tcPr>
            <w:tcW w:w="1475" w:type="pct"/>
            <w:vMerge/>
            <w:shd w:val="clear" w:color="auto" w:fill="D9D9D9" w:themeFill="background1" w:themeFillShade="D9"/>
            <w:noWrap/>
            <w:vAlign w:val="bottom"/>
            <w:hideMark/>
          </w:tcPr>
          <w:p w14:paraId="79F1DB02" w14:textId="77777777" w:rsidR="00833AE6" w:rsidRPr="003639E9" w:rsidRDefault="00833AE6" w:rsidP="00954470">
            <w:pPr>
              <w:pStyle w:val="DHHStabletext"/>
              <w:rPr>
                <w:lang w:eastAsia="en-AU"/>
              </w:rPr>
            </w:pPr>
          </w:p>
        </w:tc>
        <w:tc>
          <w:tcPr>
            <w:tcW w:w="1423" w:type="pct"/>
            <w:shd w:val="clear" w:color="auto" w:fill="D9D9D9" w:themeFill="background1" w:themeFillShade="D9"/>
            <w:noWrap/>
            <w:vAlign w:val="bottom"/>
            <w:hideMark/>
          </w:tcPr>
          <w:p w14:paraId="4E6BDDBA" w14:textId="7645FB63" w:rsidR="00833AE6" w:rsidRPr="003639E9" w:rsidRDefault="00833AE6" w:rsidP="00954470">
            <w:pPr>
              <w:pStyle w:val="DHHStabletext"/>
              <w:rPr>
                <w:lang w:eastAsia="en-AU"/>
              </w:rPr>
            </w:pPr>
            <w:r w:rsidRPr="003639E9">
              <w:rPr>
                <w:lang w:eastAsia="en-AU"/>
              </w:rPr>
              <w:t>Interquartile range</w:t>
            </w:r>
            <w:r>
              <w:rPr>
                <w:lang w:eastAsia="en-AU"/>
              </w:rPr>
              <w:t xml:space="preserve"> days</w:t>
            </w:r>
          </w:p>
        </w:tc>
        <w:tc>
          <w:tcPr>
            <w:tcW w:w="1159" w:type="pct"/>
            <w:shd w:val="clear" w:color="auto" w:fill="D9D9D9" w:themeFill="background1" w:themeFillShade="D9"/>
            <w:noWrap/>
          </w:tcPr>
          <w:p w14:paraId="1B26081B" w14:textId="0CE2F712" w:rsidR="00833AE6" w:rsidRPr="00833AE6" w:rsidRDefault="00833AE6">
            <w:pPr>
              <w:pStyle w:val="DHHStabletext"/>
              <w:rPr>
                <w:rFonts w:cs="Arial"/>
                <w:lang w:eastAsia="en-AU"/>
              </w:rPr>
            </w:pPr>
            <w:r w:rsidRPr="00833AE6">
              <w:rPr>
                <w:rFonts w:cs="Arial"/>
                <w:color w:val="000000"/>
              </w:rPr>
              <w:t>21</w:t>
            </w:r>
            <w:r w:rsidR="00A144F1" w:rsidRPr="00A144F1">
              <w:rPr>
                <w:rFonts w:cs="Arial"/>
                <w:color w:val="000000"/>
              </w:rPr>
              <w:t>–</w:t>
            </w:r>
            <w:r w:rsidRPr="00833AE6">
              <w:rPr>
                <w:rFonts w:cs="Arial"/>
                <w:color w:val="000000"/>
              </w:rPr>
              <w:t>46.5</w:t>
            </w:r>
          </w:p>
        </w:tc>
        <w:tc>
          <w:tcPr>
            <w:tcW w:w="943" w:type="pct"/>
            <w:shd w:val="clear" w:color="auto" w:fill="D9D9D9" w:themeFill="background1" w:themeFillShade="D9"/>
            <w:noWrap/>
          </w:tcPr>
          <w:p w14:paraId="1D11BDFD" w14:textId="13CA00EA" w:rsidR="00833AE6" w:rsidRPr="00833AE6" w:rsidRDefault="00833AE6" w:rsidP="00954470">
            <w:pPr>
              <w:pStyle w:val="DHHStabletext"/>
              <w:rPr>
                <w:rFonts w:cs="Arial"/>
                <w:lang w:eastAsia="en-AU"/>
              </w:rPr>
            </w:pPr>
            <w:r w:rsidRPr="00833AE6">
              <w:rPr>
                <w:rFonts w:cs="Arial"/>
                <w:color w:val="000000"/>
              </w:rPr>
              <w:t>20.75</w:t>
            </w:r>
            <w:r w:rsidR="00A144F1" w:rsidRPr="00A144F1">
              <w:rPr>
                <w:rFonts w:cs="Arial"/>
                <w:color w:val="000000"/>
              </w:rPr>
              <w:t>–</w:t>
            </w:r>
            <w:r w:rsidRPr="00833AE6">
              <w:rPr>
                <w:rFonts w:cs="Arial"/>
                <w:color w:val="000000"/>
              </w:rPr>
              <w:t>49.25</w:t>
            </w:r>
          </w:p>
        </w:tc>
      </w:tr>
      <w:tr w:rsidR="00833AE6" w:rsidRPr="008D1EEA" w14:paraId="0B3A8712" w14:textId="77777777" w:rsidTr="00B12671">
        <w:trPr>
          <w:trHeight w:val="300"/>
        </w:trPr>
        <w:tc>
          <w:tcPr>
            <w:tcW w:w="1475" w:type="pct"/>
            <w:vMerge/>
            <w:shd w:val="clear" w:color="auto" w:fill="D9D9D9" w:themeFill="background1" w:themeFillShade="D9"/>
            <w:noWrap/>
            <w:vAlign w:val="bottom"/>
            <w:hideMark/>
          </w:tcPr>
          <w:p w14:paraId="73001F0F" w14:textId="77777777" w:rsidR="00833AE6" w:rsidRPr="003639E9" w:rsidRDefault="00833AE6" w:rsidP="00954470">
            <w:pPr>
              <w:pStyle w:val="DHHStabletext"/>
              <w:rPr>
                <w:lang w:eastAsia="en-AU"/>
              </w:rPr>
            </w:pPr>
          </w:p>
        </w:tc>
        <w:tc>
          <w:tcPr>
            <w:tcW w:w="1423" w:type="pct"/>
            <w:shd w:val="clear" w:color="auto" w:fill="D9D9D9" w:themeFill="background1" w:themeFillShade="D9"/>
            <w:noWrap/>
            <w:vAlign w:val="bottom"/>
            <w:hideMark/>
          </w:tcPr>
          <w:p w14:paraId="66B47576" w14:textId="4D4E077B" w:rsidR="00833AE6" w:rsidRPr="003639E9" w:rsidRDefault="00833AE6" w:rsidP="00954470">
            <w:pPr>
              <w:pStyle w:val="DHHStabletext"/>
              <w:rPr>
                <w:lang w:eastAsia="en-AU"/>
              </w:rPr>
            </w:pPr>
            <w:r>
              <w:rPr>
                <w:lang w:eastAsia="en-AU"/>
              </w:rPr>
              <w:t>N</w:t>
            </w:r>
            <w:r w:rsidR="00A73C40">
              <w:rPr>
                <w:lang w:eastAsia="en-AU"/>
              </w:rPr>
              <w:t>o.</w:t>
            </w:r>
            <w:r>
              <w:rPr>
                <w:lang w:eastAsia="en-AU"/>
              </w:rPr>
              <w:t xml:space="preserve"> patients with missing data</w:t>
            </w:r>
          </w:p>
        </w:tc>
        <w:tc>
          <w:tcPr>
            <w:tcW w:w="1159" w:type="pct"/>
            <w:shd w:val="clear" w:color="auto" w:fill="D9D9D9" w:themeFill="background1" w:themeFillShade="D9"/>
            <w:noWrap/>
          </w:tcPr>
          <w:p w14:paraId="340B292D" w14:textId="77777777" w:rsidR="00833AE6" w:rsidRPr="00833AE6" w:rsidRDefault="00833AE6" w:rsidP="00954470">
            <w:pPr>
              <w:pStyle w:val="DHHStabletext"/>
              <w:rPr>
                <w:rFonts w:cs="Arial"/>
                <w:lang w:eastAsia="en-AU"/>
              </w:rPr>
            </w:pPr>
            <w:r w:rsidRPr="00833AE6">
              <w:rPr>
                <w:rFonts w:cs="Arial"/>
                <w:color w:val="000000"/>
              </w:rPr>
              <w:t>33</w:t>
            </w:r>
          </w:p>
        </w:tc>
        <w:tc>
          <w:tcPr>
            <w:tcW w:w="943" w:type="pct"/>
            <w:shd w:val="clear" w:color="auto" w:fill="D9D9D9" w:themeFill="background1" w:themeFillShade="D9"/>
            <w:noWrap/>
          </w:tcPr>
          <w:p w14:paraId="2B37801C" w14:textId="77777777" w:rsidR="00833AE6" w:rsidRPr="00833AE6" w:rsidRDefault="00833AE6" w:rsidP="00954470">
            <w:pPr>
              <w:pStyle w:val="DHHStabletext"/>
              <w:rPr>
                <w:rFonts w:cs="Arial"/>
                <w:lang w:eastAsia="en-AU"/>
              </w:rPr>
            </w:pPr>
            <w:r w:rsidRPr="00833AE6">
              <w:rPr>
                <w:rFonts w:cs="Arial"/>
                <w:color w:val="000000"/>
              </w:rPr>
              <w:t>62</w:t>
            </w:r>
          </w:p>
        </w:tc>
      </w:tr>
    </w:tbl>
    <w:p w14:paraId="77406571" w14:textId="5772CE76" w:rsidR="0090528B" w:rsidRPr="00E5570E" w:rsidRDefault="00E83F34" w:rsidP="006727DF">
      <w:pPr>
        <w:pStyle w:val="DHHSbodyaftertablefigure"/>
        <w:sectPr w:rsidR="0090528B" w:rsidRPr="00E5570E" w:rsidSect="00532616">
          <w:headerReference w:type="even" r:id="rId12"/>
          <w:headerReference w:type="default" r:id="rId13"/>
          <w:footerReference w:type="even" r:id="rId14"/>
          <w:footerReference w:type="default" r:id="rId15"/>
          <w:footerReference w:type="first" r:id="rId16"/>
          <w:pgSz w:w="11906" w:h="16838"/>
          <w:pgMar w:top="1701" w:right="1304" w:bottom="1134" w:left="1304" w:header="454" w:footer="510" w:gutter="0"/>
          <w:pgNumType w:start="1"/>
          <w:cols w:space="720"/>
          <w:docGrid w:linePitch="360"/>
        </w:sectPr>
      </w:pPr>
      <w:r>
        <w:t xml:space="preserve">Timeliness figures are further broken down by </w:t>
      </w:r>
      <w:r w:rsidR="0089112C">
        <w:t xml:space="preserve">the </w:t>
      </w:r>
      <w:r>
        <w:t>patient</w:t>
      </w:r>
      <w:r w:rsidR="0089112C">
        <w:t>’s</w:t>
      </w:r>
      <w:r>
        <w:t xml:space="preserve"> ICS of residence in Table 6</w:t>
      </w:r>
      <w:r w:rsidR="00022850">
        <w:t>.</w:t>
      </w:r>
      <w:r w:rsidR="00A728F8">
        <w:t xml:space="preserve"> </w:t>
      </w:r>
    </w:p>
    <w:p w14:paraId="6DDE4BCA" w14:textId="7C4A2C28" w:rsidR="0090528B" w:rsidRDefault="00054EC0" w:rsidP="00054EC0">
      <w:pPr>
        <w:pStyle w:val="DHHStablecaption"/>
      </w:pPr>
      <w:bookmarkStart w:id="28" w:name="_Toc524422143"/>
      <w:bookmarkStart w:id="29" w:name="_Toc524422238"/>
      <w:r>
        <w:t xml:space="preserve">Table </w:t>
      </w:r>
      <w:r w:rsidR="005E110B">
        <w:fldChar w:fldCharType="begin"/>
      </w:r>
      <w:r w:rsidR="005E110B">
        <w:instrText xml:space="preserve"> SEQ Table \* ARABIC </w:instrText>
      </w:r>
      <w:r w:rsidR="005E110B">
        <w:fldChar w:fldCharType="separate"/>
      </w:r>
      <w:r w:rsidR="005E110B">
        <w:rPr>
          <w:noProof/>
        </w:rPr>
        <w:t>6</w:t>
      </w:r>
      <w:r w:rsidR="005E110B">
        <w:rPr>
          <w:noProof/>
        </w:rPr>
        <w:fldChar w:fldCharType="end"/>
      </w:r>
      <w:r w:rsidR="00A144F1">
        <w:t>:</w:t>
      </w:r>
      <w:r w:rsidR="0090528B">
        <w:t xml:space="preserve"> Timeliness of care reported in days by ICS of residence for </w:t>
      </w:r>
      <w:r w:rsidR="0090528B" w:rsidRPr="006732EB">
        <w:t>Victorians diagnosed with OG cancers between 1 July and 31 December 2016 who were admitted to a Victorian public or selected private health service</w:t>
      </w:r>
      <w:r w:rsidR="0090528B">
        <w:t xml:space="preserve"> (297 patients)</w:t>
      </w:r>
      <w:bookmarkEnd w:id="28"/>
      <w:bookmarkEnd w:id="29"/>
    </w:p>
    <w:tbl>
      <w:tblPr>
        <w:tblW w:w="141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770"/>
        <w:gridCol w:w="2492"/>
        <w:gridCol w:w="2244"/>
        <w:gridCol w:w="2190"/>
        <w:gridCol w:w="2612"/>
      </w:tblGrid>
      <w:tr w:rsidR="0090528B" w:rsidRPr="008D1EEA" w14:paraId="2D06A4E8" w14:textId="77777777" w:rsidTr="00F0776E">
        <w:trPr>
          <w:trHeight w:val="300"/>
        </w:trPr>
        <w:tc>
          <w:tcPr>
            <w:tcW w:w="1818" w:type="dxa"/>
            <w:shd w:val="clear" w:color="auto" w:fill="auto"/>
            <w:noWrap/>
            <w:vAlign w:val="bottom"/>
          </w:tcPr>
          <w:p w14:paraId="040E8809" w14:textId="53DBD2FA" w:rsidR="0090528B" w:rsidRPr="00E736DD" w:rsidRDefault="0089112C" w:rsidP="00F0776E">
            <w:pPr>
              <w:pStyle w:val="DHHStablecolhead"/>
            </w:pPr>
            <w:r w:rsidRPr="00E736DD">
              <w:t>ICS of residence</w:t>
            </w:r>
          </w:p>
        </w:tc>
        <w:tc>
          <w:tcPr>
            <w:tcW w:w="2770" w:type="dxa"/>
            <w:vAlign w:val="bottom"/>
          </w:tcPr>
          <w:p w14:paraId="3339A4C7" w14:textId="703F473F" w:rsidR="0090528B" w:rsidRDefault="0090528B">
            <w:pPr>
              <w:pStyle w:val="DHHStablecolhead"/>
            </w:pPr>
            <w:r>
              <w:t xml:space="preserve">Referral to </w:t>
            </w:r>
            <w:r w:rsidR="00A144F1">
              <w:t>f</w:t>
            </w:r>
            <w:r>
              <w:t xml:space="preserve">irst </w:t>
            </w:r>
            <w:r w:rsidR="00A144F1">
              <w:t>t</w:t>
            </w:r>
            <w:r w:rsidRPr="00E736DD">
              <w:t>reatment</w:t>
            </w:r>
          </w:p>
          <w:p w14:paraId="3C857A4A" w14:textId="5624115D" w:rsidR="0089112C" w:rsidRDefault="0089112C">
            <w:pPr>
              <w:pStyle w:val="DHHStablecolhead"/>
            </w:pPr>
            <w:r w:rsidRPr="0089112C">
              <w:rPr>
                <w:i/>
              </w:rPr>
              <w:t>n</w:t>
            </w:r>
            <w:r>
              <w:t>, median [IQR]</w:t>
            </w:r>
          </w:p>
        </w:tc>
        <w:tc>
          <w:tcPr>
            <w:tcW w:w="2492" w:type="dxa"/>
            <w:vAlign w:val="bottom"/>
          </w:tcPr>
          <w:p w14:paraId="62061FA6" w14:textId="77777777" w:rsidR="0090528B" w:rsidRDefault="0090528B" w:rsidP="00F0776E">
            <w:pPr>
              <w:pStyle w:val="DHHStablecolhead"/>
            </w:pPr>
            <w:r>
              <w:t xml:space="preserve">Referral to </w:t>
            </w:r>
            <w:r w:rsidRPr="00E736DD">
              <w:t>MDM</w:t>
            </w:r>
          </w:p>
          <w:p w14:paraId="67B14B7D" w14:textId="1FF9180C" w:rsidR="0089112C" w:rsidRDefault="0089112C" w:rsidP="00F0776E">
            <w:pPr>
              <w:pStyle w:val="DHHStablecolhead"/>
            </w:pPr>
            <w:r w:rsidRPr="0089112C">
              <w:rPr>
                <w:i/>
              </w:rPr>
              <w:t>n</w:t>
            </w:r>
            <w:r>
              <w:t>, median [IQR]</w:t>
            </w:r>
          </w:p>
        </w:tc>
        <w:tc>
          <w:tcPr>
            <w:tcW w:w="2244" w:type="dxa"/>
            <w:vAlign w:val="bottom"/>
          </w:tcPr>
          <w:p w14:paraId="321C37B0" w14:textId="1850B8F4" w:rsidR="0090528B" w:rsidRDefault="0090528B">
            <w:pPr>
              <w:pStyle w:val="DHHStablecolhead"/>
            </w:pPr>
            <w:r>
              <w:t xml:space="preserve">MDM to </w:t>
            </w:r>
            <w:r w:rsidR="00A144F1">
              <w:t>f</w:t>
            </w:r>
            <w:r>
              <w:t xml:space="preserve">irst </w:t>
            </w:r>
            <w:r w:rsidR="00A144F1">
              <w:t>t</w:t>
            </w:r>
            <w:r w:rsidRPr="00E736DD">
              <w:t>reatment</w:t>
            </w:r>
          </w:p>
          <w:p w14:paraId="17A9D5C0" w14:textId="7F911EAB" w:rsidR="0089112C" w:rsidRDefault="0089112C">
            <w:pPr>
              <w:pStyle w:val="DHHStablecolhead"/>
            </w:pPr>
            <w:r w:rsidRPr="0089112C">
              <w:rPr>
                <w:i/>
              </w:rPr>
              <w:t>n</w:t>
            </w:r>
            <w:r>
              <w:t>, median [IQR]</w:t>
            </w:r>
          </w:p>
        </w:tc>
        <w:tc>
          <w:tcPr>
            <w:tcW w:w="2190" w:type="dxa"/>
            <w:vAlign w:val="bottom"/>
          </w:tcPr>
          <w:p w14:paraId="7D528E1D" w14:textId="77777777" w:rsidR="0090528B" w:rsidRDefault="0090528B" w:rsidP="00F0776E">
            <w:pPr>
              <w:pStyle w:val="DHHStablecolhead"/>
            </w:pPr>
            <w:r>
              <w:t xml:space="preserve">Diagnosis to </w:t>
            </w:r>
            <w:r w:rsidRPr="00E736DD">
              <w:t>MDM</w:t>
            </w:r>
          </w:p>
          <w:p w14:paraId="6979EA55" w14:textId="6322E273" w:rsidR="0089112C" w:rsidRDefault="0089112C" w:rsidP="00F0776E">
            <w:pPr>
              <w:pStyle w:val="DHHStablecolhead"/>
            </w:pPr>
            <w:r w:rsidRPr="0089112C">
              <w:rPr>
                <w:i/>
              </w:rPr>
              <w:t>n</w:t>
            </w:r>
            <w:r>
              <w:t>, median [IQR]</w:t>
            </w:r>
          </w:p>
        </w:tc>
        <w:tc>
          <w:tcPr>
            <w:tcW w:w="2612" w:type="dxa"/>
            <w:vAlign w:val="bottom"/>
          </w:tcPr>
          <w:p w14:paraId="4C562F9E" w14:textId="4F821247" w:rsidR="0090528B" w:rsidRDefault="0089112C" w:rsidP="00F0776E">
            <w:pPr>
              <w:pStyle w:val="DHHStablecolhead"/>
            </w:pPr>
            <w:r>
              <w:t>Diagnosis to f</w:t>
            </w:r>
            <w:r w:rsidR="0090528B">
              <w:t xml:space="preserve">irst </w:t>
            </w:r>
            <w:r>
              <w:t>t</w:t>
            </w:r>
            <w:r w:rsidR="0090528B" w:rsidRPr="00E736DD">
              <w:t>reatment</w:t>
            </w:r>
          </w:p>
          <w:p w14:paraId="051FB8F1" w14:textId="216D9213" w:rsidR="0089112C" w:rsidRDefault="0089112C" w:rsidP="00F0776E">
            <w:pPr>
              <w:pStyle w:val="DHHStablecolhead"/>
            </w:pPr>
            <w:r w:rsidRPr="0089112C">
              <w:rPr>
                <w:i/>
              </w:rPr>
              <w:t>n</w:t>
            </w:r>
            <w:r>
              <w:t>, median [IQR]</w:t>
            </w:r>
          </w:p>
        </w:tc>
      </w:tr>
      <w:tr w:rsidR="0089112C" w:rsidRPr="008D1EEA" w14:paraId="5B71B6CB" w14:textId="77777777" w:rsidTr="00294038">
        <w:trPr>
          <w:trHeight w:val="300"/>
        </w:trPr>
        <w:tc>
          <w:tcPr>
            <w:tcW w:w="1818" w:type="dxa"/>
            <w:shd w:val="clear" w:color="auto" w:fill="auto"/>
            <w:noWrap/>
            <w:vAlign w:val="bottom"/>
            <w:hideMark/>
          </w:tcPr>
          <w:p w14:paraId="15F7429D" w14:textId="77777777" w:rsidR="0089112C" w:rsidRPr="003639E9" w:rsidRDefault="0089112C" w:rsidP="00954470">
            <w:pPr>
              <w:pStyle w:val="DHHStabletext"/>
              <w:rPr>
                <w:lang w:eastAsia="en-AU"/>
              </w:rPr>
            </w:pPr>
            <w:r w:rsidRPr="00A628FE">
              <w:rPr>
                <w:lang w:eastAsia="en-AU"/>
              </w:rPr>
              <w:t>NEMICS</w:t>
            </w:r>
          </w:p>
        </w:tc>
        <w:tc>
          <w:tcPr>
            <w:tcW w:w="2770" w:type="dxa"/>
            <w:vAlign w:val="center"/>
          </w:tcPr>
          <w:p w14:paraId="63013D65" w14:textId="76E59216" w:rsidR="0089112C" w:rsidRPr="00FE0A8D" w:rsidRDefault="0089112C" w:rsidP="00AA600E">
            <w:pPr>
              <w:pStyle w:val="DHHStabletext"/>
              <w:rPr>
                <w:rFonts w:cs="Arial"/>
                <w:lang w:eastAsia="en-AU"/>
              </w:rPr>
            </w:pPr>
            <w:r w:rsidRPr="00FE0A8D">
              <w:rPr>
                <w:rFonts w:cs="Arial"/>
                <w:color w:val="000000"/>
              </w:rPr>
              <w:t>32</w:t>
            </w:r>
            <w:r w:rsidR="00AA600E">
              <w:rPr>
                <w:rFonts w:cs="Arial"/>
                <w:color w:val="000000"/>
              </w:rPr>
              <w:t xml:space="preserve">, </w:t>
            </w:r>
            <w:r w:rsidRPr="00FE0A8D">
              <w:rPr>
                <w:rFonts w:cs="Arial"/>
                <w:color w:val="000000"/>
              </w:rPr>
              <w:t>34 [24</w:t>
            </w:r>
            <w:r w:rsidRPr="00A144F1">
              <w:rPr>
                <w:rFonts w:cs="Arial"/>
                <w:color w:val="000000"/>
              </w:rPr>
              <w:t>–</w:t>
            </w:r>
            <w:r w:rsidRPr="00FE0A8D">
              <w:rPr>
                <w:rFonts w:cs="Arial"/>
                <w:color w:val="000000"/>
              </w:rPr>
              <w:t>53]</w:t>
            </w:r>
          </w:p>
        </w:tc>
        <w:tc>
          <w:tcPr>
            <w:tcW w:w="2492" w:type="dxa"/>
            <w:vAlign w:val="center"/>
          </w:tcPr>
          <w:p w14:paraId="479B42B6" w14:textId="2CF3E8CD" w:rsidR="0089112C" w:rsidRPr="00FE0A8D" w:rsidRDefault="0089112C" w:rsidP="00AA600E">
            <w:pPr>
              <w:pStyle w:val="DHHStabletext"/>
              <w:rPr>
                <w:rFonts w:cs="Arial"/>
                <w:lang w:eastAsia="en-AU"/>
              </w:rPr>
            </w:pPr>
            <w:r w:rsidRPr="00FE0A8D">
              <w:rPr>
                <w:rFonts w:cs="Arial"/>
                <w:color w:val="000000"/>
              </w:rPr>
              <w:t>36</w:t>
            </w:r>
            <w:r w:rsidR="00AA600E">
              <w:rPr>
                <w:rFonts w:cs="Arial"/>
                <w:color w:val="000000"/>
              </w:rPr>
              <w:t xml:space="preserve">, </w:t>
            </w:r>
            <w:r w:rsidRPr="00FE0A8D">
              <w:rPr>
                <w:rFonts w:cs="Arial"/>
                <w:color w:val="000000"/>
              </w:rPr>
              <w:t>18.5 [8.75</w:t>
            </w:r>
            <w:r w:rsidRPr="00A144F1">
              <w:rPr>
                <w:rFonts w:cs="Arial"/>
                <w:color w:val="000000"/>
              </w:rPr>
              <w:t>–</w:t>
            </w:r>
            <w:r w:rsidRPr="00FE0A8D">
              <w:rPr>
                <w:rFonts w:cs="Arial"/>
                <w:color w:val="000000"/>
              </w:rPr>
              <w:t>29.75]</w:t>
            </w:r>
          </w:p>
        </w:tc>
        <w:tc>
          <w:tcPr>
            <w:tcW w:w="2244" w:type="dxa"/>
            <w:vAlign w:val="center"/>
          </w:tcPr>
          <w:p w14:paraId="05920B93" w14:textId="1C108801" w:rsidR="0089112C" w:rsidRPr="00AC16C7" w:rsidRDefault="0089112C" w:rsidP="00AA600E">
            <w:pPr>
              <w:pStyle w:val="DHHStabletext"/>
              <w:rPr>
                <w:rFonts w:cs="Arial"/>
                <w:color w:val="000000"/>
              </w:rPr>
            </w:pPr>
            <w:r>
              <w:rPr>
                <w:rFonts w:cs="Arial"/>
                <w:color w:val="000000"/>
              </w:rPr>
              <w:t>29</w:t>
            </w:r>
            <w:r w:rsidR="00AA600E">
              <w:rPr>
                <w:rFonts w:cs="Arial"/>
                <w:color w:val="000000"/>
              </w:rPr>
              <w:t xml:space="preserve">, </w:t>
            </w:r>
            <w:r w:rsidRPr="00AC16C7">
              <w:rPr>
                <w:rFonts w:cs="Arial"/>
                <w:color w:val="000000"/>
              </w:rPr>
              <w:t>28 [12</w:t>
            </w:r>
            <w:r w:rsidRPr="00A144F1">
              <w:rPr>
                <w:rFonts w:cs="Arial"/>
                <w:color w:val="000000"/>
              </w:rPr>
              <w:t>–</w:t>
            </w:r>
            <w:r w:rsidRPr="00AC16C7">
              <w:rPr>
                <w:rFonts w:cs="Arial"/>
                <w:color w:val="000000"/>
              </w:rPr>
              <w:t>41]</w:t>
            </w:r>
          </w:p>
        </w:tc>
        <w:tc>
          <w:tcPr>
            <w:tcW w:w="2190" w:type="dxa"/>
            <w:vAlign w:val="center"/>
          </w:tcPr>
          <w:p w14:paraId="04E701C7" w14:textId="139C6835" w:rsidR="0089112C" w:rsidRPr="00FE0A8D" w:rsidRDefault="0089112C" w:rsidP="00AA600E">
            <w:pPr>
              <w:pStyle w:val="DHHStabletext"/>
              <w:rPr>
                <w:rFonts w:cs="Arial"/>
                <w:lang w:eastAsia="en-AU"/>
              </w:rPr>
            </w:pPr>
            <w:r w:rsidRPr="00FE0A8D">
              <w:rPr>
                <w:rFonts w:cs="Arial"/>
                <w:color w:val="000000"/>
              </w:rPr>
              <w:t>45</w:t>
            </w:r>
            <w:r w:rsidR="00AA600E">
              <w:rPr>
                <w:rFonts w:cs="Arial"/>
                <w:color w:val="000000"/>
              </w:rPr>
              <w:t xml:space="preserve">, </w:t>
            </w:r>
            <w:r w:rsidRPr="00FE0A8D">
              <w:rPr>
                <w:rFonts w:cs="Arial"/>
                <w:color w:val="000000"/>
              </w:rPr>
              <w:t>14 [6</w:t>
            </w:r>
            <w:r w:rsidRPr="00A144F1">
              <w:rPr>
                <w:rFonts w:cs="Arial"/>
                <w:color w:val="000000"/>
              </w:rPr>
              <w:t>–</w:t>
            </w:r>
            <w:r w:rsidRPr="00FE0A8D">
              <w:rPr>
                <w:rFonts w:cs="Arial"/>
                <w:color w:val="000000"/>
              </w:rPr>
              <w:t>19]</w:t>
            </w:r>
          </w:p>
        </w:tc>
        <w:tc>
          <w:tcPr>
            <w:tcW w:w="2612" w:type="dxa"/>
            <w:vAlign w:val="center"/>
          </w:tcPr>
          <w:p w14:paraId="6C357FB8" w14:textId="056C3E3A" w:rsidR="0089112C" w:rsidRPr="00FE0A8D" w:rsidRDefault="0089112C" w:rsidP="00AA600E">
            <w:pPr>
              <w:pStyle w:val="DHHStabletext"/>
              <w:rPr>
                <w:rFonts w:cs="Arial"/>
                <w:lang w:eastAsia="en-AU"/>
              </w:rPr>
            </w:pPr>
            <w:r w:rsidRPr="00FE0A8D">
              <w:rPr>
                <w:rFonts w:cs="Arial"/>
                <w:color w:val="000000"/>
              </w:rPr>
              <w:t>42</w:t>
            </w:r>
            <w:r w:rsidR="00AA600E">
              <w:rPr>
                <w:rFonts w:cs="Arial"/>
                <w:color w:val="000000"/>
              </w:rPr>
              <w:t xml:space="preserve">, </w:t>
            </w:r>
            <w:r w:rsidRPr="00FE0A8D">
              <w:rPr>
                <w:rFonts w:cs="Arial"/>
                <w:color w:val="000000"/>
              </w:rPr>
              <w:t>34 [23.25</w:t>
            </w:r>
            <w:r w:rsidRPr="00A144F1">
              <w:rPr>
                <w:rFonts w:cs="Arial"/>
                <w:color w:val="000000"/>
              </w:rPr>
              <w:t>–</w:t>
            </w:r>
            <w:r w:rsidRPr="00FE0A8D">
              <w:rPr>
                <w:rFonts w:cs="Arial"/>
                <w:color w:val="000000"/>
              </w:rPr>
              <w:t>49.75]</w:t>
            </w:r>
          </w:p>
        </w:tc>
      </w:tr>
      <w:tr w:rsidR="0089112C" w:rsidRPr="008D1EEA" w14:paraId="1FE0D82F" w14:textId="77777777" w:rsidTr="00294038">
        <w:trPr>
          <w:trHeight w:val="300"/>
        </w:trPr>
        <w:tc>
          <w:tcPr>
            <w:tcW w:w="1818" w:type="dxa"/>
            <w:shd w:val="clear" w:color="auto" w:fill="auto"/>
            <w:noWrap/>
            <w:vAlign w:val="bottom"/>
            <w:hideMark/>
          </w:tcPr>
          <w:p w14:paraId="347E7AD0" w14:textId="77777777" w:rsidR="0089112C" w:rsidRPr="003639E9" w:rsidRDefault="0089112C" w:rsidP="00954470">
            <w:pPr>
              <w:pStyle w:val="DHHStabletext"/>
              <w:rPr>
                <w:lang w:eastAsia="en-AU"/>
              </w:rPr>
            </w:pPr>
            <w:r w:rsidRPr="00A628FE">
              <w:rPr>
                <w:lang w:eastAsia="en-AU"/>
              </w:rPr>
              <w:t>SMICS</w:t>
            </w:r>
          </w:p>
        </w:tc>
        <w:tc>
          <w:tcPr>
            <w:tcW w:w="2770" w:type="dxa"/>
            <w:vAlign w:val="center"/>
          </w:tcPr>
          <w:p w14:paraId="20C4B5C1" w14:textId="56DF3F4D" w:rsidR="0089112C" w:rsidRPr="00FE0A8D" w:rsidRDefault="0089112C" w:rsidP="00AA600E">
            <w:pPr>
              <w:pStyle w:val="DHHStabletext"/>
              <w:rPr>
                <w:rFonts w:cs="Arial"/>
                <w:lang w:eastAsia="en-AU"/>
              </w:rPr>
            </w:pPr>
            <w:r w:rsidRPr="00FE0A8D">
              <w:rPr>
                <w:rFonts w:cs="Arial"/>
                <w:color w:val="000000"/>
              </w:rPr>
              <w:t>32</w:t>
            </w:r>
            <w:r w:rsidR="00AA600E">
              <w:rPr>
                <w:rFonts w:cs="Arial"/>
                <w:color w:val="000000"/>
              </w:rPr>
              <w:t xml:space="preserve">, </w:t>
            </w:r>
            <w:r w:rsidRPr="00FE0A8D">
              <w:rPr>
                <w:rFonts w:cs="Arial"/>
                <w:color w:val="000000"/>
              </w:rPr>
              <w:t>29.5 [18.25</w:t>
            </w:r>
            <w:r w:rsidRPr="00A144F1">
              <w:rPr>
                <w:rFonts w:cs="Arial"/>
                <w:color w:val="000000"/>
              </w:rPr>
              <w:t>–</w:t>
            </w:r>
            <w:r w:rsidRPr="00FE0A8D">
              <w:rPr>
                <w:rFonts w:cs="Arial"/>
                <w:color w:val="000000"/>
              </w:rPr>
              <w:t>42.5]</w:t>
            </w:r>
          </w:p>
        </w:tc>
        <w:tc>
          <w:tcPr>
            <w:tcW w:w="2492" w:type="dxa"/>
            <w:vAlign w:val="center"/>
          </w:tcPr>
          <w:p w14:paraId="2A1CA26B" w14:textId="7904B9A4" w:rsidR="0089112C" w:rsidRPr="00FE0A8D" w:rsidRDefault="0089112C" w:rsidP="00AA600E">
            <w:pPr>
              <w:pStyle w:val="DHHStabletext"/>
              <w:rPr>
                <w:rFonts w:cs="Arial"/>
                <w:lang w:eastAsia="en-AU"/>
              </w:rPr>
            </w:pPr>
            <w:r w:rsidRPr="00FE0A8D">
              <w:rPr>
                <w:rFonts w:cs="Arial"/>
                <w:color w:val="000000"/>
              </w:rPr>
              <w:t>34</w:t>
            </w:r>
            <w:r w:rsidR="00AA600E">
              <w:rPr>
                <w:rFonts w:cs="Arial"/>
                <w:color w:val="000000"/>
              </w:rPr>
              <w:t xml:space="preserve">, </w:t>
            </w:r>
            <w:r w:rsidRPr="00FE0A8D">
              <w:rPr>
                <w:rFonts w:cs="Arial"/>
                <w:color w:val="000000"/>
              </w:rPr>
              <w:t>10.5 [7</w:t>
            </w:r>
            <w:r w:rsidRPr="00A144F1">
              <w:rPr>
                <w:rFonts w:cs="Arial"/>
                <w:color w:val="000000"/>
              </w:rPr>
              <w:t>–</w:t>
            </w:r>
            <w:r w:rsidRPr="00FE0A8D">
              <w:rPr>
                <w:rFonts w:cs="Arial"/>
                <w:color w:val="000000"/>
              </w:rPr>
              <w:t>22.5]</w:t>
            </w:r>
          </w:p>
        </w:tc>
        <w:tc>
          <w:tcPr>
            <w:tcW w:w="2244" w:type="dxa"/>
            <w:vAlign w:val="center"/>
          </w:tcPr>
          <w:p w14:paraId="506FA1FA" w14:textId="3ABDE5FF" w:rsidR="0089112C" w:rsidRPr="00AC16C7" w:rsidRDefault="0089112C" w:rsidP="00AA600E">
            <w:pPr>
              <w:pStyle w:val="DHHStabletext"/>
              <w:rPr>
                <w:rFonts w:cs="Arial"/>
                <w:color w:val="000000"/>
              </w:rPr>
            </w:pPr>
            <w:r>
              <w:rPr>
                <w:rFonts w:cs="Arial"/>
                <w:color w:val="000000"/>
              </w:rPr>
              <w:t>29</w:t>
            </w:r>
            <w:r w:rsidR="00AA600E">
              <w:rPr>
                <w:rFonts w:cs="Arial"/>
                <w:color w:val="000000"/>
              </w:rPr>
              <w:t xml:space="preserve">, </w:t>
            </w:r>
            <w:r w:rsidRPr="00AC16C7">
              <w:rPr>
                <w:rFonts w:cs="Arial"/>
                <w:color w:val="000000"/>
              </w:rPr>
              <w:t>24 [17</w:t>
            </w:r>
            <w:r w:rsidRPr="00A144F1">
              <w:rPr>
                <w:rFonts w:cs="Arial"/>
                <w:color w:val="000000"/>
              </w:rPr>
              <w:t>–</w:t>
            </w:r>
            <w:r w:rsidRPr="00AC16C7">
              <w:rPr>
                <w:rFonts w:cs="Arial"/>
                <w:color w:val="000000"/>
              </w:rPr>
              <w:t>31]</w:t>
            </w:r>
          </w:p>
        </w:tc>
        <w:tc>
          <w:tcPr>
            <w:tcW w:w="2190" w:type="dxa"/>
            <w:vAlign w:val="center"/>
          </w:tcPr>
          <w:p w14:paraId="27987DFF" w14:textId="0C3707B8" w:rsidR="0089112C" w:rsidRPr="00FE0A8D" w:rsidRDefault="0089112C" w:rsidP="00AA600E">
            <w:pPr>
              <w:pStyle w:val="DHHStabletext"/>
              <w:rPr>
                <w:rFonts w:cs="Arial"/>
                <w:lang w:eastAsia="en-AU"/>
              </w:rPr>
            </w:pPr>
            <w:r w:rsidRPr="00FE0A8D">
              <w:rPr>
                <w:rFonts w:cs="Arial"/>
                <w:color w:val="000000"/>
              </w:rPr>
              <w:t>44</w:t>
            </w:r>
            <w:r w:rsidR="00AA600E">
              <w:rPr>
                <w:rFonts w:cs="Arial"/>
                <w:color w:val="000000"/>
              </w:rPr>
              <w:t xml:space="preserve">, </w:t>
            </w:r>
            <w:r w:rsidRPr="00FE0A8D">
              <w:rPr>
                <w:rFonts w:cs="Arial"/>
                <w:color w:val="000000"/>
              </w:rPr>
              <w:t>9 [5.75</w:t>
            </w:r>
            <w:r w:rsidRPr="00A144F1">
              <w:rPr>
                <w:rFonts w:cs="Arial"/>
                <w:color w:val="000000"/>
              </w:rPr>
              <w:t>–</w:t>
            </w:r>
            <w:r w:rsidRPr="00FE0A8D">
              <w:rPr>
                <w:rFonts w:cs="Arial"/>
                <w:color w:val="000000"/>
              </w:rPr>
              <w:t>16.25]</w:t>
            </w:r>
          </w:p>
        </w:tc>
        <w:tc>
          <w:tcPr>
            <w:tcW w:w="2612" w:type="dxa"/>
            <w:vAlign w:val="center"/>
          </w:tcPr>
          <w:p w14:paraId="7B4EFA2F" w14:textId="0061AB8A" w:rsidR="0089112C" w:rsidRPr="00FE0A8D" w:rsidRDefault="0089112C" w:rsidP="00AA600E">
            <w:pPr>
              <w:pStyle w:val="DHHStabletext"/>
              <w:rPr>
                <w:rFonts w:cs="Arial"/>
                <w:lang w:eastAsia="en-AU"/>
              </w:rPr>
            </w:pPr>
            <w:r w:rsidRPr="00FE0A8D">
              <w:rPr>
                <w:rFonts w:cs="Arial"/>
                <w:color w:val="000000"/>
              </w:rPr>
              <w:t>43</w:t>
            </w:r>
            <w:r w:rsidR="00AA600E">
              <w:rPr>
                <w:rFonts w:cs="Arial"/>
                <w:color w:val="000000"/>
              </w:rPr>
              <w:t xml:space="preserve">, </w:t>
            </w:r>
            <w:r w:rsidRPr="00FE0A8D">
              <w:rPr>
                <w:rFonts w:cs="Arial"/>
                <w:color w:val="000000"/>
              </w:rPr>
              <w:t>34 [21</w:t>
            </w:r>
            <w:r w:rsidRPr="00A144F1">
              <w:rPr>
                <w:rFonts w:cs="Arial"/>
                <w:color w:val="000000"/>
              </w:rPr>
              <w:t>–</w:t>
            </w:r>
            <w:r w:rsidRPr="00FE0A8D">
              <w:rPr>
                <w:rFonts w:cs="Arial"/>
                <w:color w:val="000000"/>
              </w:rPr>
              <w:t>40]</w:t>
            </w:r>
          </w:p>
        </w:tc>
      </w:tr>
      <w:tr w:rsidR="0089112C" w:rsidRPr="008D1EEA" w14:paraId="1D6983CD" w14:textId="77777777" w:rsidTr="00294038">
        <w:trPr>
          <w:trHeight w:val="300"/>
        </w:trPr>
        <w:tc>
          <w:tcPr>
            <w:tcW w:w="1818" w:type="dxa"/>
            <w:shd w:val="clear" w:color="auto" w:fill="auto"/>
            <w:noWrap/>
            <w:vAlign w:val="bottom"/>
            <w:hideMark/>
          </w:tcPr>
          <w:p w14:paraId="0FD24756" w14:textId="77777777" w:rsidR="0089112C" w:rsidRPr="003639E9" w:rsidRDefault="0089112C" w:rsidP="00954470">
            <w:pPr>
              <w:pStyle w:val="DHHStabletext"/>
              <w:rPr>
                <w:lang w:eastAsia="en-AU"/>
              </w:rPr>
            </w:pPr>
            <w:r w:rsidRPr="00A628FE">
              <w:rPr>
                <w:lang w:eastAsia="en-AU"/>
              </w:rPr>
              <w:t>WCMICS</w:t>
            </w:r>
          </w:p>
        </w:tc>
        <w:tc>
          <w:tcPr>
            <w:tcW w:w="2770" w:type="dxa"/>
            <w:vAlign w:val="center"/>
          </w:tcPr>
          <w:p w14:paraId="65F72216" w14:textId="35547504" w:rsidR="0089112C" w:rsidRPr="00FE0A8D" w:rsidRDefault="0089112C" w:rsidP="00AA600E">
            <w:pPr>
              <w:pStyle w:val="DHHStabletext"/>
              <w:rPr>
                <w:rFonts w:cs="Arial"/>
                <w:lang w:eastAsia="en-AU"/>
              </w:rPr>
            </w:pPr>
            <w:r w:rsidRPr="00FE0A8D">
              <w:rPr>
                <w:rFonts w:cs="Arial"/>
                <w:color w:val="000000"/>
              </w:rPr>
              <w:t>45</w:t>
            </w:r>
            <w:r w:rsidR="00AA600E">
              <w:rPr>
                <w:rFonts w:cs="Arial"/>
                <w:color w:val="000000"/>
              </w:rPr>
              <w:t xml:space="preserve">, </w:t>
            </w:r>
            <w:r w:rsidRPr="00FE0A8D">
              <w:rPr>
                <w:rFonts w:cs="Arial"/>
                <w:color w:val="000000"/>
              </w:rPr>
              <w:t>40 [32</w:t>
            </w:r>
            <w:r w:rsidRPr="00A144F1">
              <w:rPr>
                <w:rFonts w:cs="Arial"/>
                <w:color w:val="000000"/>
              </w:rPr>
              <w:t>–</w:t>
            </w:r>
            <w:r w:rsidRPr="00FE0A8D">
              <w:rPr>
                <w:rFonts w:cs="Arial"/>
                <w:color w:val="000000"/>
              </w:rPr>
              <w:t>61]</w:t>
            </w:r>
          </w:p>
        </w:tc>
        <w:tc>
          <w:tcPr>
            <w:tcW w:w="2492" w:type="dxa"/>
            <w:vAlign w:val="center"/>
          </w:tcPr>
          <w:p w14:paraId="3BC20577" w14:textId="4570FD1E" w:rsidR="0089112C" w:rsidRPr="00FE0A8D" w:rsidRDefault="0089112C" w:rsidP="00AA600E">
            <w:pPr>
              <w:pStyle w:val="DHHStabletext"/>
              <w:rPr>
                <w:rFonts w:cs="Arial"/>
                <w:lang w:eastAsia="en-AU"/>
              </w:rPr>
            </w:pPr>
            <w:r w:rsidRPr="00FE0A8D">
              <w:rPr>
                <w:rFonts w:cs="Arial"/>
                <w:color w:val="000000"/>
              </w:rPr>
              <w:t>51</w:t>
            </w:r>
            <w:r w:rsidR="00AA600E">
              <w:rPr>
                <w:rFonts w:cs="Arial"/>
                <w:color w:val="000000"/>
              </w:rPr>
              <w:t xml:space="preserve">, </w:t>
            </w:r>
            <w:r w:rsidRPr="00FE0A8D">
              <w:rPr>
                <w:rFonts w:cs="Arial"/>
                <w:color w:val="000000"/>
              </w:rPr>
              <w:t>19 [11</w:t>
            </w:r>
            <w:r w:rsidRPr="00A144F1">
              <w:rPr>
                <w:rFonts w:cs="Arial"/>
                <w:color w:val="000000"/>
              </w:rPr>
              <w:t>–</w:t>
            </w:r>
            <w:r w:rsidRPr="00FE0A8D">
              <w:rPr>
                <w:rFonts w:cs="Arial"/>
                <w:color w:val="000000"/>
              </w:rPr>
              <w:t>33]</w:t>
            </w:r>
          </w:p>
        </w:tc>
        <w:tc>
          <w:tcPr>
            <w:tcW w:w="2244" w:type="dxa"/>
            <w:vAlign w:val="center"/>
          </w:tcPr>
          <w:p w14:paraId="69160E9C" w14:textId="59A0AA02" w:rsidR="0089112C" w:rsidRPr="00AC16C7" w:rsidRDefault="0089112C" w:rsidP="00AA600E">
            <w:pPr>
              <w:pStyle w:val="DHHStabletext"/>
              <w:rPr>
                <w:rFonts w:cs="Arial"/>
                <w:color w:val="000000"/>
              </w:rPr>
            </w:pPr>
            <w:r>
              <w:rPr>
                <w:rFonts w:cs="Arial"/>
                <w:color w:val="000000"/>
              </w:rPr>
              <w:t>37</w:t>
            </w:r>
            <w:r w:rsidR="00AA600E">
              <w:rPr>
                <w:rFonts w:cs="Arial"/>
                <w:color w:val="000000"/>
              </w:rPr>
              <w:t xml:space="preserve">, </w:t>
            </w:r>
            <w:r w:rsidRPr="00AC16C7">
              <w:rPr>
                <w:rFonts w:cs="Arial"/>
                <w:color w:val="000000"/>
              </w:rPr>
              <w:t>25 [15</w:t>
            </w:r>
            <w:r w:rsidRPr="00A144F1">
              <w:rPr>
                <w:rFonts w:cs="Arial"/>
                <w:color w:val="000000"/>
              </w:rPr>
              <w:t>–</w:t>
            </w:r>
            <w:r w:rsidRPr="00AC16C7">
              <w:rPr>
                <w:rFonts w:cs="Arial"/>
                <w:color w:val="000000"/>
              </w:rPr>
              <w:t>40]</w:t>
            </w:r>
          </w:p>
        </w:tc>
        <w:tc>
          <w:tcPr>
            <w:tcW w:w="2190" w:type="dxa"/>
            <w:vAlign w:val="center"/>
          </w:tcPr>
          <w:p w14:paraId="1A941DD1" w14:textId="2A8E4070" w:rsidR="0089112C" w:rsidRPr="00FE0A8D" w:rsidRDefault="0089112C" w:rsidP="00AA600E">
            <w:pPr>
              <w:pStyle w:val="DHHStabletext"/>
              <w:rPr>
                <w:rFonts w:cs="Arial"/>
                <w:lang w:eastAsia="en-AU"/>
              </w:rPr>
            </w:pPr>
            <w:r w:rsidRPr="00FE0A8D">
              <w:rPr>
                <w:rFonts w:cs="Arial"/>
                <w:color w:val="000000"/>
              </w:rPr>
              <w:t>56</w:t>
            </w:r>
            <w:r w:rsidR="00AA600E">
              <w:rPr>
                <w:rFonts w:cs="Arial"/>
                <w:color w:val="000000"/>
              </w:rPr>
              <w:t xml:space="preserve">, </w:t>
            </w:r>
            <w:r w:rsidRPr="00FE0A8D">
              <w:rPr>
                <w:rFonts w:cs="Arial"/>
                <w:color w:val="000000"/>
              </w:rPr>
              <w:t>15 [8.5</w:t>
            </w:r>
            <w:r w:rsidRPr="00A144F1">
              <w:rPr>
                <w:rFonts w:cs="Arial"/>
                <w:color w:val="000000"/>
              </w:rPr>
              <w:t>–</w:t>
            </w:r>
            <w:r w:rsidRPr="00FE0A8D">
              <w:rPr>
                <w:rFonts w:cs="Arial"/>
                <w:color w:val="000000"/>
              </w:rPr>
              <w:t>27]</w:t>
            </w:r>
          </w:p>
        </w:tc>
        <w:tc>
          <w:tcPr>
            <w:tcW w:w="2612" w:type="dxa"/>
            <w:vAlign w:val="center"/>
          </w:tcPr>
          <w:p w14:paraId="5F49630B" w14:textId="2570DE57" w:rsidR="0089112C" w:rsidRPr="00FE0A8D" w:rsidRDefault="0089112C" w:rsidP="00AA600E">
            <w:pPr>
              <w:pStyle w:val="DHHStabletext"/>
              <w:rPr>
                <w:rFonts w:cs="Arial"/>
                <w:lang w:eastAsia="en-AU"/>
              </w:rPr>
            </w:pPr>
            <w:r w:rsidRPr="00FE0A8D">
              <w:rPr>
                <w:rFonts w:cs="Arial"/>
                <w:color w:val="000000"/>
              </w:rPr>
              <w:t>51</w:t>
            </w:r>
            <w:r w:rsidR="00AA600E">
              <w:rPr>
                <w:rFonts w:cs="Arial"/>
                <w:color w:val="000000"/>
              </w:rPr>
              <w:t xml:space="preserve">, </w:t>
            </w:r>
            <w:r w:rsidRPr="00FE0A8D">
              <w:rPr>
                <w:rFonts w:cs="Arial"/>
                <w:color w:val="000000"/>
              </w:rPr>
              <w:t>39 [24</w:t>
            </w:r>
            <w:r w:rsidRPr="00A144F1">
              <w:rPr>
                <w:rFonts w:cs="Arial"/>
                <w:color w:val="000000"/>
              </w:rPr>
              <w:t>–</w:t>
            </w:r>
            <w:r w:rsidRPr="00FE0A8D">
              <w:rPr>
                <w:rFonts w:cs="Arial"/>
                <w:color w:val="000000"/>
              </w:rPr>
              <w:t>54]</w:t>
            </w:r>
          </w:p>
        </w:tc>
      </w:tr>
      <w:tr w:rsidR="0089112C" w:rsidRPr="008D1EEA" w14:paraId="3DCFD728" w14:textId="77777777" w:rsidTr="00294038">
        <w:trPr>
          <w:trHeight w:val="300"/>
        </w:trPr>
        <w:tc>
          <w:tcPr>
            <w:tcW w:w="1818" w:type="dxa"/>
            <w:shd w:val="clear" w:color="auto" w:fill="auto"/>
            <w:noWrap/>
            <w:vAlign w:val="bottom"/>
            <w:hideMark/>
          </w:tcPr>
          <w:p w14:paraId="73F20B0A" w14:textId="4ABE7D50" w:rsidR="0089112C" w:rsidRPr="003639E9" w:rsidRDefault="0089112C" w:rsidP="00954470">
            <w:pPr>
              <w:pStyle w:val="DHHStabletext"/>
              <w:rPr>
                <w:lang w:eastAsia="en-AU"/>
              </w:rPr>
            </w:pPr>
            <w:r w:rsidRPr="00A628FE">
              <w:rPr>
                <w:lang w:eastAsia="en-AU"/>
              </w:rPr>
              <w:t>B</w:t>
            </w:r>
            <w:r>
              <w:rPr>
                <w:lang w:eastAsia="en-AU"/>
              </w:rPr>
              <w:t>SW</w:t>
            </w:r>
            <w:r w:rsidRPr="00A628FE">
              <w:rPr>
                <w:lang w:eastAsia="en-AU"/>
              </w:rPr>
              <w:t>RICS</w:t>
            </w:r>
          </w:p>
        </w:tc>
        <w:tc>
          <w:tcPr>
            <w:tcW w:w="2770" w:type="dxa"/>
            <w:vAlign w:val="center"/>
          </w:tcPr>
          <w:p w14:paraId="0307F0DD" w14:textId="6B6478BF" w:rsidR="0089112C" w:rsidRPr="00FE0A8D" w:rsidRDefault="0089112C" w:rsidP="00AA600E">
            <w:pPr>
              <w:pStyle w:val="DHHStabletext"/>
              <w:rPr>
                <w:rFonts w:cs="Arial"/>
                <w:lang w:eastAsia="en-AU"/>
              </w:rPr>
            </w:pPr>
            <w:r w:rsidRPr="00FE0A8D">
              <w:rPr>
                <w:rFonts w:cs="Arial"/>
                <w:color w:val="000000"/>
              </w:rPr>
              <w:t>12</w:t>
            </w:r>
            <w:r w:rsidR="00AA600E">
              <w:rPr>
                <w:rFonts w:cs="Arial"/>
                <w:color w:val="000000"/>
              </w:rPr>
              <w:t xml:space="preserve">, </w:t>
            </w:r>
            <w:r w:rsidRPr="00FE0A8D">
              <w:rPr>
                <w:rFonts w:cs="Arial"/>
                <w:color w:val="000000"/>
              </w:rPr>
              <w:t>45.5 [22.75</w:t>
            </w:r>
            <w:r w:rsidRPr="00A144F1">
              <w:rPr>
                <w:rFonts w:cs="Arial"/>
                <w:color w:val="000000"/>
              </w:rPr>
              <w:t>–</w:t>
            </w:r>
            <w:r w:rsidRPr="00FE0A8D">
              <w:rPr>
                <w:rFonts w:cs="Arial"/>
                <w:color w:val="000000"/>
              </w:rPr>
              <w:t>54.25]</w:t>
            </w:r>
          </w:p>
        </w:tc>
        <w:tc>
          <w:tcPr>
            <w:tcW w:w="2492" w:type="dxa"/>
            <w:vAlign w:val="center"/>
          </w:tcPr>
          <w:p w14:paraId="13D357F1" w14:textId="2C9504B3" w:rsidR="0089112C" w:rsidRPr="00FE0A8D" w:rsidRDefault="0089112C" w:rsidP="00AA600E">
            <w:pPr>
              <w:pStyle w:val="DHHStabletext"/>
              <w:rPr>
                <w:rFonts w:cs="Arial"/>
                <w:lang w:eastAsia="en-AU"/>
              </w:rPr>
            </w:pPr>
            <w:r w:rsidRPr="00FE0A8D">
              <w:rPr>
                <w:rFonts w:cs="Arial"/>
                <w:color w:val="000000"/>
              </w:rPr>
              <w:t>16</w:t>
            </w:r>
            <w:r w:rsidR="00AA600E">
              <w:rPr>
                <w:rFonts w:cs="Arial"/>
                <w:color w:val="000000"/>
              </w:rPr>
              <w:t xml:space="preserve">, </w:t>
            </w:r>
            <w:r w:rsidRPr="00FE0A8D">
              <w:rPr>
                <w:rFonts w:cs="Arial"/>
                <w:color w:val="000000"/>
              </w:rPr>
              <w:t>11.5 [3</w:t>
            </w:r>
            <w:r w:rsidRPr="00A144F1">
              <w:rPr>
                <w:rFonts w:cs="Arial"/>
                <w:color w:val="000000"/>
              </w:rPr>
              <w:t>–</w:t>
            </w:r>
            <w:r w:rsidRPr="00FE0A8D">
              <w:rPr>
                <w:rFonts w:cs="Arial"/>
                <w:color w:val="000000"/>
              </w:rPr>
              <w:t>28.25]</w:t>
            </w:r>
          </w:p>
        </w:tc>
        <w:tc>
          <w:tcPr>
            <w:tcW w:w="2244" w:type="dxa"/>
            <w:vAlign w:val="center"/>
          </w:tcPr>
          <w:p w14:paraId="3D4D4AF4" w14:textId="6C05D875" w:rsidR="0089112C" w:rsidRPr="00AC16C7" w:rsidRDefault="0089112C" w:rsidP="00AA600E">
            <w:pPr>
              <w:pStyle w:val="DHHStabletext"/>
              <w:rPr>
                <w:rFonts w:cs="Arial"/>
                <w:color w:val="000000"/>
              </w:rPr>
            </w:pPr>
            <w:r>
              <w:rPr>
                <w:rFonts w:cs="Arial"/>
                <w:color w:val="000000"/>
              </w:rPr>
              <w:t>12</w:t>
            </w:r>
            <w:r w:rsidR="00AA600E">
              <w:rPr>
                <w:rFonts w:cs="Arial"/>
                <w:color w:val="000000"/>
              </w:rPr>
              <w:t xml:space="preserve">, </w:t>
            </w:r>
            <w:r w:rsidRPr="00AC16C7">
              <w:rPr>
                <w:rFonts w:cs="Arial"/>
                <w:color w:val="000000"/>
              </w:rPr>
              <w:t>30 [23.5</w:t>
            </w:r>
            <w:r w:rsidRPr="00A144F1">
              <w:rPr>
                <w:rFonts w:cs="Arial"/>
                <w:color w:val="000000"/>
              </w:rPr>
              <w:t>–</w:t>
            </w:r>
            <w:r w:rsidRPr="00AC16C7">
              <w:rPr>
                <w:rFonts w:cs="Arial"/>
                <w:color w:val="000000"/>
              </w:rPr>
              <w:t>37.5]</w:t>
            </w:r>
          </w:p>
        </w:tc>
        <w:tc>
          <w:tcPr>
            <w:tcW w:w="2190" w:type="dxa"/>
            <w:vAlign w:val="center"/>
          </w:tcPr>
          <w:p w14:paraId="3AEBC7AA" w14:textId="06BF9357" w:rsidR="0089112C" w:rsidRPr="00FE0A8D" w:rsidRDefault="0089112C" w:rsidP="00AA600E">
            <w:pPr>
              <w:pStyle w:val="DHHStabletext"/>
              <w:rPr>
                <w:rFonts w:cs="Arial"/>
                <w:lang w:eastAsia="en-AU"/>
              </w:rPr>
            </w:pPr>
            <w:r w:rsidRPr="00FE0A8D">
              <w:rPr>
                <w:rFonts w:cs="Arial"/>
                <w:color w:val="000000"/>
              </w:rPr>
              <w:t>19</w:t>
            </w:r>
            <w:r w:rsidR="00AA600E">
              <w:rPr>
                <w:rFonts w:cs="Arial"/>
                <w:color w:val="000000"/>
              </w:rPr>
              <w:t xml:space="preserve">, </w:t>
            </w:r>
            <w:r w:rsidRPr="00FE0A8D">
              <w:rPr>
                <w:rFonts w:cs="Arial"/>
                <w:color w:val="000000"/>
              </w:rPr>
              <w:t>13 [6</w:t>
            </w:r>
            <w:r w:rsidRPr="00A144F1">
              <w:rPr>
                <w:rFonts w:cs="Arial"/>
                <w:color w:val="000000"/>
              </w:rPr>
              <w:t>–</w:t>
            </w:r>
            <w:r w:rsidRPr="00FE0A8D">
              <w:rPr>
                <w:rFonts w:cs="Arial"/>
                <w:color w:val="000000"/>
              </w:rPr>
              <w:t>26.5]</w:t>
            </w:r>
          </w:p>
        </w:tc>
        <w:tc>
          <w:tcPr>
            <w:tcW w:w="2612" w:type="dxa"/>
            <w:vAlign w:val="center"/>
          </w:tcPr>
          <w:p w14:paraId="7546F271" w14:textId="0747D21C" w:rsidR="0089112C" w:rsidRPr="00FE0A8D" w:rsidRDefault="0089112C" w:rsidP="00AA600E">
            <w:pPr>
              <w:pStyle w:val="DHHStabletext"/>
              <w:rPr>
                <w:rFonts w:cs="Arial"/>
                <w:lang w:eastAsia="en-AU"/>
              </w:rPr>
            </w:pPr>
            <w:r w:rsidRPr="00FE0A8D">
              <w:rPr>
                <w:rFonts w:cs="Arial"/>
                <w:color w:val="000000"/>
              </w:rPr>
              <w:t>15</w:t>
            </w:r>
            <w:r w:rsidR="00AA600E">
              <w:rPr>
                <w:rFonts w:cs="Arial"/>
                <w:color w:val="000000"/>
              </w:rPr>
              <w:t xml:space="preserve">, </w:t>
            </w:r>
            <w:r w:rsidRPr="00FE0A8D">
              <w:rPr>
                <w:rFonts w:cs="Arial"/>
                <w:color w:val="000000"/>
              </w:rPr>
              <w:t>49 [36.5</w:t>
            </w:r>
            <w:r w:rsidRPr="00A144F1">
              <w:rPr>
                <w:rFonts w:cs="Arial"/>
                <w:color w:val="000000"/>
              </w:rPr>
              <w:t>–</w:t>
            </w:r>
            <w:r w:rsidRPr="00FE0A8D">
              <w:rPr>
                <w:rFonts w:cs="Arial"/>
                <w:color w:val="000000"/>
              </w:rPr>
              <w:t>53]</w:t>
            </w:r>
          </w:p>
        </w:tc>
      </w:tr>
      <w:tr w:rsidR="0089112C" w:rsidRPr="008D1EEA" w14:paraId="1626F1D6" w14:textId="77777777" w:rsidTr="00294038">
        <w:trPr>
          <w:trHeight w:val="300"/>
        </w:trPr>
        <w:tc>
          <w:tcPr>
            <w:tcW w:w="1818" w:type="dxa"/>
            <w:shd w:val="clear" w:color="auto" w:fill="auto"/>
            <w:noWrap/>
            <w:vAlign w:val="bottom"/>
            <w:hideMark/>
          </w:tcPr>
          <w:p w14:paraId="697DFEE8" w14:textId="36094727" w:rsidR="0089112C" w:rsidRPr="003639E9" w:rsidRDefault="0089112C" w:rsidP="00954470">
            <w:pPr>
              <w:pStyle w:val="DHHStabletext"/>
              <w:rPr>
                <w:lang w:eastAsia="en-AU"/>
              </w:rPr>
            </w:pPr>
            <w:r w:rsidRPr="00A628FE">
              <w:rPr>
                <w:lang w:eastAsia="en-AU"/>
              </w:rPr>
              <w:t>GRICS</w:t>
            </w:r>
          </w:p>
        </w:tc>
        <w:tc>
          <w:tcPr>
            <w:tcW w:w="2770" w:type="dxa"/>
            <w:vAlign w:val="center"/>
          </w:tcPr>
          <w:p w14:paraId="6BA278A0" w14:textId="29F125EC" w:rsidR="0089112C" w:rsidRPr="00FE0A8D" w:rsidRDefault="0089112C" w:rsidP="00AA600E">
            <w:pPr>
              <w:pStyle w:val="DHHStabletext"/>
              <w:rPr>
                <w:rFonts w:cs="Arial"/>
                <w:lang w:eastAsia="en-AU"/>
              </w:rPr>
            </w:pPr>
            <w:r w:rsidRPr="00FE0A8D">
              <w:rPr>
                <w:rFonts w:cs="Arial"/>
                <w:color w:val="000000"/>
              </w:rPr>
              <w:t>8</w:t>
            </w:r>
            <w:r w:rsidR="00AA600E">
              <w:rPr>
                <w:rFonts w:cs="Arial"/>
                <w:color w:val="000000"/>
              </w:rPr>
              <w:t xml:space="preserve">, </w:t>
            </w:r>
            <w:r w:rsidRPr="00FE0A8D">
              <w:rPr>
                <w:rFonts w:cs="Arial"/>
                <w:color w:val="000000"/>
              </w:rPr>
              <w:t>28 [4.75</w:t>
            </w:r>
            <w:r w:rsidRPr="00A144F1">
              <w:rPr>
                <w:rFonts w:cs="Arial"/>
                <w:color w:val="000000"/>
              </w:rPr>
              <w:t>–</w:t>
            </w:r>
            <w:r w:rsidRPr="00FE0A8D">
              <w:rPr>
                <w:rFonts w:cs="Arial"/>
                <w:color w:val="000000"/>
              </w:rPr>
              <w:t>39.5]</w:t>
            </w:r>
          </w:p>
        </w:tc>
        <w:tc>
          <w:tcPr>
            <w:tcW w:w="2492" w:type="dxa"/>
            <w:vAlign w:val="center"/>
          </w:tcPr>
          <w:p w14:paraId="6D34C714" w14:textId="5FA2EABE" w:rsidR="0089112C" w:rsidRPr="00FE0A8D" w:rsidRDefault="0089112C" w:rsidP="00AA600E">
            <w:pPr>
              <w:pStyle w:val="DHHStabletext"/>
              <w:rPr>
                <w:rFonts w:cs="Arial"/>
                <w:lang w:eastAsia="en-AU"/>
              </w:rPr>
            </w:pPr>
            <w:r w:rsidRPr="00FE0A8D">
              <w:rPr>
                <w:rFonts w:cs="Arial"/>
                <w:color w:val="000000"/>
              </w:rPr>
              <w:t>10</w:t>
            </w:r>
            <w:r w:rsidR="00AA600E">
              <w:rPr>
                <w:rFonts w:cs="Arial"/>
                <w:color w:val="000000"/>
              </w:rPr>
              <w:t xml:space="preserve">, </w:t>
            </w:r>
            <w:r w:rsidRPr="00FE0A8D">
              <w:rPr>
                <w:rFonts w:cs="Arial"/>
                <w:color w:val="000000"/>
              </w:rPr>
              <w:t>16.5 [8.75</w:t>
            </w:r>
            <w:r w:rsidRPr="00A144F1">
              <w:rPr>
                <w:rFonts w:cs="Arial"/>
                <w:color w:val="000000"/>
              </w:rPr>
              <w:t>–</w:t>
            </w:r>
            <w:r w:rsidRPr="00FE0A8D">
              <w:rPr>
                <w:rFonts w:cs="Arial"/>
                <w:color w:val="000000"/>
              </w:rPr>
              <w:t>32.5]</w:t>
            </w:r>
          </w:p>
        </w:tc>
        <w:tc>
          <w:tcPr>
            <w:tcW w:w="2244" w:type="dxa"/>
            <w:vAlign w:val="center"/>
          </w:tcPr>
          <w:p w14:paraId="7DB3944E" w14:textId="0CF88BB4" w:rsidR="0089112C" w:rsidRPr="00AC16C7" w:rsidRDefault="0089112C" w:rsidP="00AA600E">
            <w:pPr>
              <w:pStyle w:val="DHHStabletext"/>
              <w:rPr>
                <w:rFonts w:cs="Arial"/>
                <w:color w:val="000000"/>
              </w:rPr>
            </w:pPr>
            <w:r>
              <w:rPr>
                <w:rFonts w:cs="Arial"/>
                <w:color w:val="000000"/>
              </w:rPr>
              <w:t>5</w:t>
            </w:r>
            <w:r w:rsidR="00AA600E">
              <w:rPr>
                <w:rFonts w:cs="Arial"/>
                <w:color w:val="000000"/>
              </w:rPr>
              <w:t xml:space="preserve">, </w:t>
            </w:r>
            <w:r w:rsidRPr="00AC16C7">
              <w:rPr>
                <w:rFonts w:cs="Arial"/>
                <w:color w:val="000000"/>
              </w:rPr>
              <w:t>19 [18</w:t>
            </w:r>
            <w:r w:rsidRPr="00A144F1">
              <w:rPr>
                <w:rFonts w:cs="Arial"/>
                <w:color w:val="000000"/>
              </w:rPr>
              <w:t>–</w:t>
            </w:r>
            <w:r w:rsidRPr="00AC16C7">
              <w:rPr>
                <w:rFonts w:cs="Arial"/>
                <w:color w:val="000000"/>
              </w:rPr>
              <w:t>24]</w:t>
            </w:r>
          </w:p>
        </w:tc>
        <w:tc>
          <w:tcPr>
            <w:tcW w:w="2190" w:type="dxa"/>
            <w:vAlign w:val="center"/>
          </w:tcPr>
          <w:p w14:paraId="50823809" w14:textId="07963C9F" w:rsidR="0089112C" w:rsidRPr="00FE0A8D" w:rsidRDefault="0089112C" w:rsidP="00AA600E">
            <w:pPr>
              <w:pStyle w:val="DHHStabletext"/>
              <w:rPr>
                <w:rFonts w:cs="Arial"/>
                <w:lang w:eastAsia="en-AU"/>
              </w:rPr>
            </w:pPr>
            <w:r w:rsidRPr="00FE0A8D">
              <w:rPr>
                <w:rFonts w:cs="Arial"/>
                <w:color w:val="000000"/>
              </w:rPr>
              <w:t>12</w:t>
            </w:r>
            <w:r w:rsidR="00AA600E">
              <w:rPr>
                <w:rFonts w:cs="Arial"/>
                <w:color w:val="000000"/>
              </w:rPr>
              <w:t xml:space="preserve">, </w:t>
            </w:r>
            <w:r w:rsidRPr="00FE0A8D">
              <w:rPr>
                <w:rFonts w:cs="Arial"/>
                <w:color w:val="000000"/>
              </w:rPr>
              <w:t>14.5 [9</w:t>
            </w:r>
            <w:r w:rsidRPr="00A144F1">
              <w:rPr>
                <w:rFonts w:cs="Arial"/>
                <w:color w:val="000000"/>
              </w:rPr>
              <w:t>–</w:t>
            </w:r>
            <w:r w:rsidRPr="00FE0A8D">
              <w:rPr>
                <w:rFonts w:cs="Arial"/>
                <w:color w:val="000000"/>
              </w:rPr>
              <w:t>26.75]</w:t>
            </w:r>
          </w:p>
        </w:tc>
        <w:tc>
          <w:tcPr>
            <w:tcW w:w="2612" w:type="dxa"/>
            <w:vAlign w:val="center"/>
          </w:tcPr>
          <w:p w14:paraId="2D9DB49F" w14:textId="4B8A8DE7" w:rsidR="0089112C" w:rsidRPr="00FE0A8D" w:rsidRDefault="0089112C" w:rsidP="00AA600E">
            <w:pPr>
              <w:pStyle w:val="DHHStabletext"/>
              <w:rPr>
                <w:rFonts w:cs="Arial"/>
                <w:lang w:eastAsia="en-AU"/>
              </w:rPr>
            </w:pPr>
            <w:r w:rsidRPr="00FE0A8D">
              <w:rPr>
                <w:rFonts w:cs="Arial"/>
                <w:color w:val="000000"/>
              </w:rPr>
              <w:t>9</w:t>
            </w:r>
            <w:r w:rsidR="00AA600E">
              <w:rPr>
                <w:rFonts w:cs="Arial"/>
                <w:color w:val="000000"/>
              </w:rPr>
              <w:t xml:space="preserve">, </w:t>
            </w:r>
            <w:r w:rsidRPr="00FE0A8D">
              <w:rPr>
                <w:rFonts w:cs="Arial"/>
                <w:color w:val="000000"/>
              </w:rPr>
              <w:t>24 [13</w:t>
            </w:r>
            <w:r w:rsidRPr="00A144F1">
              <w:rPr>
                <w:rFonts w:cs="Arial"/>
                <w:color w:val="000000"/>
              </w:rPr>
              <w:t>–</w:t>
            </w:r>
            <w:r w:rsidRPr="00FE0A8D">
              <w:rPr>
                <w:rFonts w:cs="Arial"/>
                <w:color w:val="000000"/>
              </w:rPr>
              <w:t>34]</w:t>
            </w:r>
          </w:p>
        </w:tc>
      </w:tr>
      <w:tr w:rsidR="0089112C" w:rsidRPr="008D1EEA" w14:paraId="047DBFE1" w14:textId="77777777" w:rsidTr="00294038">
        <w:trPr>
          <w:trHeight w:val="300"/>
        </w:trPr>
        <w:tc>
          <w:tcPr>
            <w:tcW w:w="1818" w:type="dxa"/>
            <w:shd w:val="clear" w:color="auto" w:fill="auto"/>
            <w:noWrap/>
            <w:vAlign w:val="bottom"/>
            <w:hideMark/>
          </w:tcPr>
          <w:p w14:paraId="6F184973" w14:textId="1460339A" w:rsidR="0089112C" w:rsidRPr="003639E9" w:rsidRDefault="0089112C" w:rsidP="00954470">
            <w:pPr>
              <w:pStyle w:val="DHHStabletext"/>
              <w:rPr>
                <w:lang w:eastAsia="en-AU"/>
              </w:rPr>
            </w:pPr>
            <w:r>
              <w:rPr>
                <w:lang w:eastAsia="en-AU"/>
              </w:rPr>
              <w:t xml:space="preserve">Hume </w:t>
            </w:r>
            <w:r w:rsidRPr="00A628FE">
              <w:rPr>
                <w:lang w:eastAsia="en-AU"/>
              </w:rPr>
              <w:t>RICS</w:t>
            </w:r>
            <w:r w:rsidRPr="009A009B">
              <w:rPr>
                <w:vertAlign w:val="superscript"/>
                <w:lang w:eastAsia="en-AU"/>
              </w:rPr>
              <w:t>#</w:t>
            </w:r>
          </w:p>
        </w:tc>
        <w:tc>
          <w:tcPr>
            <w:tcW w:w="2770" w:type="dxa"/>
            <w:vAlign w:val="center"/>
          </w:tcPr>
          <w:p w14:paraId="0E3A0DB7" w14:textId="367813DA" w:rsidR="0089112C" w:rsidRPr="00FE0A8D" w:rsidRDefault="0089112C" w:rsidP="00AA600E">
            <w:pPr>
              <w:pStyle w:val="DHHStabletext"/>
              <w:rPr>
                <w:rFonts w:cs="Arial"/>
                <w:lang w:eastAsia="en-AU"/>
              </w:rPr>
            </w:pPr>
            <w:r w:rsidRPr="00FE0A8D">
              <w:rPr>
                <w:rFonts w:cs="Arial"/>
                <w:color w:val="000000"/>
              </w:rPr>
              <w:t>10</w:t>
            </w:r>
            <w:r w:rsidR="00AA600E">
              <w:rPr>
                <w:rFonts w:cs="Arial"/>
                <w:color w:val="000000"/>
              </w:rPr>
              <w:t xml:space="preserve">, </w:t>
            </w:r>
            <w:r w:rsidRPr="00FE0A8D">
              <w:rPr>
                <w:rFonts w:cs="Arial"/>
                <w:color w:val="000000"/>
              </w:rPr>
              <w:t>29.5 [6.25</w:t>
            </w:r>
            <w:r w:rsidRPr="00A144F1">
              <w:rPr>
                <w:rFonts w:cs="Arial"/>
                <w:color w:val="000000"/>
              </w:rPr>
              <w:t>–</w:t>
            </w:r>
            <w:r w:rsidRPr="00FE0A8D">
              <w:rPr>
                <w:rFonts w:cs="Arial"/>
                <w:color w:val="000000"/>
              </w:rPr>
              <w:t>51.75]</w:t>
            </w:r>
          </w:p>
        </w:tc>
        <w:tc>
          <w:tcPr>
            <w:tcW w:w="2492" w:type="dxa"/>
            <w:vAlign w:val="center"/>
          </w:tcPr>
          <w:p w14:paraId="2607F223" w14:textId="0DCE7F2C" w:rsidR="0089112C" w:rsidRPr="00FE0A8D" w:rsidRDefault="0089112C" w:rsidP="00AA600E">
            <w:pPr>
              <w:pStyle w:val="DHHStabletext"/>
              <w:rPr>
                <w:rFonts w:cs="Arial"/>
                <w:lang w:eastAsia="en-AU"/>
              </w:rPr>
            </w:pPr>
            <w:r w:rsidRPr="00FE0A8D">
              <w:rPr>
                <w:rFonts w:cs="Arial"/>
                <w:color w:val="000000"/>
              </w:rPr>
              <w:t>16</w:t>
            </w:r>
            <w:r w:rsidR="00AA600E">
              <w:rPr>
                <w:rFonts w:cs="Arial"/>
                <w:color w:val="000000"/>
              </w:rPr>
              <w:t xml:space="preserve">, </w:t>
            </w:r>
            <w:r w:rsidRPr="00FE0A8D">
              <w:rPr>
                <w:rFonts w:cs="Arial"/>
                <w:color w:val="000000"/>
              </w:rPr>
              <w:t>15.5 [11.25</w:t>
            </w:r>
            <w:r w:rsidRPr="00A144F1">
              <w:rPr>
                <w:rFonts w:cs="Arial"/>
                <w:color w:val="000000"/>
              </w:rPr>
              <w:t>–</w:t>
            </w:r>
            <w:r w:rsidRPr="00FE0A8D">
              <w:rPr>
                <w:rFonts w:cs="Arial"/>
                <w:color w:val="000000"/>
              </w:rPr>
              <w:t>23.25]</w:t>
            </w:r>
          </w:p>
        </w:tc>
        <w:tc>
          <w:tcPr>
            <w:tcW w:w="2244" w:type="dxa"/>
            <w:vAlign w:val="center"/>
          </w:tcPr>
          <w:p w14:paraId="653D9503" w14:textId="17943BA6" w:rsidR="0089112C" w:rsidRPr="00AC16C7" w:rsidRDefault="0089112C" w:rsidP="00AA600E">
            <w:pPr>
              <w:pStyle w:val="DHHStabletext"/>
              <w:rPr>
                <w:rFonts w:cs="Arial"/>
                <w:color w:val="000000"/>
              </w:rPr>
            </w:pPr>
            <w:r>
              <w:rPr>
                <w:rFonts w:cs="Arial"/>
                <w:color w:val="000000"/>
              </w:rPr>
              <w:t>8</w:t>
            </w:r>
            <w:r w:rsidR="00AA600E">
              <w:rPr>
                <w:rFonts w:cs="Arial"/>
                <w:color w:val="000000"/>
              </w:rPr>
              <w:t xml:space="preserve">, </w:t>
            </w:r>
            <w:r w:rsidRPr="00AC16C7">
              <w:rPr>
                <w:rFonts w:cs="Arial"/>
                <w:color w:val="000000"/>
              </w:rPr>
              <w:t>23 [7</w:t>
            </w:r>
            <w:r w:rsidRPr="00A144F1">
              <w:rPr>
                <w:rFonts w:cs="Arial"/>
                <w:color w:val="000000"/>
              </w:rPr>
              <w:t>–</w:t>
            </w:r>
            <w:r w:rsidRPr="00AC16C7">
              <w:rPr>
                <w:rFonts w:cs="Arial"/>
                <w:color w:val="000000"/>
              </w:rPr>
              <w:t>30]</w:t>
            </w:r>
          </w:p>
        </w:tc>
        <w:tc>
          <w:tcPr>
            <w:tcW w:w="2190" w:type="dxa"/>
            <w:vAlign w:val="center"/>
          </w:tcPr>
          <w:p w14:paraId="07CD7375" w14:textId="1ED33D7D" w:rsidR="0089112C" w:rsidRPr="00FE0A8D" w:rsidRDefault="0089112C" w:rsidP="00AA600E">
            <w:pPr>
              <w:pStyle w:val="DHHStabletext"/>
              <w:rPr>
                <w:rFonts w:cs="Arial"/>
                <w:lang w:eastAsia="en-AU"/>
              </w:rPr>
            </w:pPr>
            <w:r w:rsidRPr="00FE0A8D">
              <w:rPr>
                <w:rFonts w:cs="Arial"/>
                <w:color w:val="000000"/>
              </w:rPr>
              <w:t>18</w:t>
            </w:r>
            <w:r w:rsidR="00AA600E">
              <w:rPr>
                <w:rFonts w:cs="Arial"/>
                <w:color w:val="000000"/>
              </w:rPr>
              <w:t xml:space="preserve">, </w:t>
            </w:r>
            <w:r w:rsidRPr="00FE0A8D">
              <w:rPr>
                <w:rFonts w:cs="Arial"/>
                <w:color w:val="000000"/>
              </w:rPr>
              <w:t>14.5 [2.25</w:t>
            </w:r>
            <w:r>
              <w:rPr>
                <w:rFonts w:cs="Arial"/>
                <w:color w:val="000000"/>
              </w:rPr>
              <w:t>–</w:t>
            </w:r>
            <w:r w:rsidRPr="00FE0A8D">
              <w:rPr>
                <w:rFonts w:cs="Arial"/>
                <w:color w:val="000000"/>
              </w:rPr>
              <w:t>20.5]</w:t>
            </w:r>
          </w:p>
        </w:tc>
        <w:tc>
          <w:tcPr>
            <w:tcW w:w="2612" w:type="dxa"/>
            <w:vAlign w:val="center"/>
          </w:tcPr>
          <w:p w14:paraId="0ACD63E3" w14:textId="7CC887F4" w:rsidR="0089112C" w:rsidRPr="00FE0A8D" w:rsidRDefault="0089112C" w:rsidP="00AA600E">
            <w:pPr>
              <w:pStyle w:val="DHHStabletext"/>
              <w:rPr>
                <w:rFonts w:cs="Arial"/>
                <w:lang w:eastAsia="en-AU"/>
              </w:rPr>
            </w:pPr>
            <w:r w:rsidRPr="00FE0A8D">
              <w:rPr>
                <w:rFonts w:cs="Arial"/>
                <w:color w:val="000000"/>
              </w:rPr>
              <w:t>12</w:t>
            </w:r>
            <w:r w:rsidR="00AA600E">
              <w:rPr>
                <w:rFonts w:cs="Arial"/>
                <w:color w:val="000000"/>
              </w:rPr>
              <w:t xml:space="preserve">, </w:t>
            </w:r>
            <w:r w:rsidRPr="00FE0A8D">
              <w:rPr>
                <w:rFonts w:cs="Arial"/>
                <w:color w:val="000000"/>
              </w:rPr>
              <w:t>37 [19.5</w:t>
            </w:r>
            <w:r w:rsidRPr="00A144F1">
              <w:rPr>
                <w:rFonts w:cs="Arial"/>
                <w:color w:val="000000"/>
              </w:rPr>
              <w:t>–</w:t>
            </w:r>
            <w:r w:rsidRPr="00FE0A8D">
              <w:rPr>
                <w:rFonts w:cs="Arial"/>
                <w:color w:val="000000"/>
              </w:rPr>
              <w:t>49.25]</w:t>
            </w:r>
          </w:p>
        </w:tc>
      </w:tr>
      <w:tr w:rsidR="0089112C" w:rsidRPr="008D1EEA" w14:paraId="591B9862" w14:textId="77777777" w:rsidTr="00294038">
        <w:trPr>
          <w:trHeight w:val="300"/>
        </w:trPr>
        <w:tc>
          <w:tcPr>
            <w:tcW w:w="1818" w:type="dxa"/>
            <w:shd w:val="clear" w:color="auto" w:fill="auto"/>
            <w:noWrap/>
            <w:vAlign w:val="bottom"/>
            <w:hideMark/>
          </w:tcPr>
          <w:p w14:paraId="6736C7FE" w14:textId="24B2A79F" w:rsidR="0089112C" w:rsidRPr="003639E9" w:rsidRDefault="0089112C" w:rsidP="00954470">
            <w:pPr>
              <w:pStyle w:val="DHHStabletext"/>
              <w:rPr>
                <w:lang w:eastAsia="en-AU"/>
              </w:rPr>
            </w:pPr>
            <w:r>
              <w:rPr>
                <w:lang w:eastAsia="en-AU"/>
              </w:rPr>
              <w:t>LM</w:t>
            </w:r>
            <w:r w:rsidRPr="00A628FE">
              <w:rPr>
                <w:lang w:eastAsia="en-AU"/>
              </w:rPr>
              <w:t>ICS</w:t>
            </w:r>
          </w:p>
        </w:tc>
        <w:tc>
          <w:tcPr>
            <w:tcW w:w="2770" w:type="dxa"/>
            <w:vAlign w:val="center"/>
          </w:tcPr>
          <w:p w14:paraId="034FBC23" w14:textId="713F62A3" w:rsidR="0089112C" w:rsidRPr="00FE0A8D" w:rsidRDefault="0089112C" w:rsidP="00AA600E">
            <w:pPr>
              <w:pStyle w:val="DHHStabletext"/>
              <w:rPr>
                <w:rFonts w:cs="Arial"/>
                <w:lang w:eastAsia="en-AU"/>
              </w:rPr>
            </w:pPr>
            <w:r w:rsidRPr="00FE0A8D">
              <w:rPr>
                <w:rFonts w:cs="Arial"/>
                <w:color w:val="000000"/>
              </w:rPr>
              <w:t>18</w:t>
            </w:r>
            <w:r w:rsidR="00AA600E">
              <w:rPr>
                <w:rFonts w:cs="Arial"/>
                <w:color w:val="000000"/>
              </w:rPr>
              <w:t xml:space="preserve">, </w:t>
            </w:r>
            <w:r w:rsidRPr="00FE0A8D">
              <w:rPr>
                <w:rFonts w:cs="Arial"/>
                <w:color w:val="000000"/>
              </w:rPr>
              <w:t>34 [21.25</w:t>
            </w:r>
            <w:r w:rsidRPr="00A144F1">
              <w:rPr>
                <w:rFonts w:cs="Arial"/>
                <w:color w:val="000000"/>
              </w:rPr>
              <w:t>–</w:t>
            </w:r>
            <w:r w:rsidRPr="00FE0A8D">
              <w:rPr>
                <w:rFonts w:cs="Arial"/>
                <w:color w:val="000000"/>
              </w:rPr>
              <w:t>68.5]</w:t>
            </w:r>
          </w:p>
        </w:tc>
        <w:tc>
          <w:tcPr>
            <w:tcW w:w="2492" w:type="dxa"/>
            <w:vAlign w:val="center"/>
          </w:tcPr>
          <w:p w14:paraId="5544F6FA" w14:textId="4820278F" w:rsidR="0089112C" w:rsidRPr="00FE0A8D" w:rsidRDefault="0089112C" w:rsidP="00AA600E">
            <w:pPr>
              <w:pStyle w:val="DHHStabletext"/>
              <w:rPr>
                <w:rFonts w:cs="Arial"/>
                <w:lang w:eastAsia="en-AU"/>
              </w:rPr>
            </w:pPr>
            <w:r w:rsidRPr="00FE0A8D">
              <w:rPr>
                <w:rFonts w:cs="Arial"/>
                <w:color w:val="000000"/>
              </w:rPr>
              <w:t>22</w:t>
            </w:r>
            <w:r w:rsidR="00AA600E">
              <w:rPr>
                <w:rFonts w:cs="Arial"/>
                <w:color w:val="000000"/>
              </w:rPr>
              <w:t xml:space="preserve">, </w:t>
            </w:r>
            <w:r w:rsidRPr="00FE0A8D">
              <w:rPr>
                <w:rFonts w:cs="Arial"/>
                <w:color w:val="000000"/>
              </w:rPr>
              <w:t>23.5 [14.5</w:t>
            </w:r>
            <w:r w:rsidRPr="00A144F1">
              <w:rPr>
                <w:rFonts w:cs="Arial"/>
                <w:color w:val="000000"/>
              </w:rPr>
              <w:t>–</w:t>
            </w:r>
            <w:r w:rsidRPr="00FE0A8D">
              <w:rPr>
                <w:rFonts w:cs="Arial"/>
                <w:color w:val="000000"/>
              </w:rPr>
              <w:t>46]</w:t>
            </w:r>
          </w:p>
        </w:tc>
        <w:tc>
          <w:tcPr>
            <w:tcW w:w="2244" w:type="dxa"/>
            <w:vAlign w:val="center"/>
          </w:tcPr>
          <w:p w14:paraId="5A050718" w14:textId="2CB1D680" w:rsidR="0089112C" w:rsidRPr="00AC16C7" w:rsidRDefault="0089112C" w:rsidP="00AA600E">
            <w:pPr>
              <w:pStyle w:val="DHHStabletext"/>
              <w:rPr>
                <w:rFonts w:ascii="Calibri" w:hAnsi="Calibri"/>
                <w:color w:val="000000"/>
                <w:sz w:val="22"/>
                <w:szCs w:val="22"/>
              </w:rPr>
            </w:pPr>
            <w:r>
              <w:rPr>
                <w:rFonts w:cs="Arial"/>
                <w:color w:val="000000"/>
              </w:rPr>
              <w:t>14</w:t>
            </w:r>
            <w:r w:rsidR="00AA600E">
              <w:rPr>
                <w:rFonts w:cs="Arial"/>
                <w:color w:val="000000"/>
              </w:rPr>
              <w:t xml:space="preserve">, </w:t>
            </w:r>
            <w:r w:rsidRPr="00AC16C7">
              <w:rPr>
                <w:rFonts w:cs="Arial"/>
                <w:color w:val="000000"/>
              </w:rPr>
              <w:t>13.5 [8.25</w:t>
            </w:r>
            <w:r w:rsidRPr="00A144F1">
              <w:rPr>
                <w:rFonts w:cs="Arial"/>
                <w:color w:val="000000"/>
              </w:rPr>
              <w:t>–</w:t>
            </w:r>
            <w:r w:rsidRPr="00AC16C7">
              <w:rPr>
                <w:rFonts w:cs="Arial"/>
                <w:color w:val="000000"/>
              </w:rPr>
              <w:t>19]</w:t>
            </w:r>
          </w:p>
        </w:tc>
        <w:tc>
          <w:tcPr>
            <w:tcW w:w="2190" w:type="dxa"/>
            <w:vAlign w:val="center"/>
          </w:tcPr>
          <w:p w14:paraId="7E058A0A" w14:textId="79E19096" w:rsidR="0089112C" w:rsidRPr="00FE0A8D" w:rsidRDefault="0089112C" w:rsidP="00AA600E">
            <w:pPr>
              <w:pStyle w:val="DHHStabletext"/>
              <w:rPr>
                <w:rFonts w:cs="Arial"/>
                <w:lang w:eastAsia="en-AU"/>
              </w:rPr>
            </w:pPr>
            <w:r w:rsidRPr="00FE0A8D">
              <w:rPr>
                <w:rFonts w:cs="Arial"/>
                <w:color w:val="000000"/>
              </w:rPr>
              <w:t>22</w:t>
            </w:r>
            <w:r w:rsidR="00AA600E">
              <w:rPr>
                <w:rFonts w:cs="Arial"/>
                <w:color w:val="000000"/>
              </w:rPr>
              <w:t xml:space="preserve">, </w:t>
            </w:r>
            <w:r w:rsidRPr="00FE0A8D">
              <w:rPr>
                <w:rFonts w:cs="Arial"/>
                <w:color w:val="000000"/>
              </w:rPr>
              <w:t>18 [8</w:t>
            </w:r>
            <w:r w:rsidRPr="00A144F1">
              <w:rPr>
                <w:rFonts w:cs="Arial"/>
                <w:color w:val="000000"/>
              </w:rPr>
              <w:t>–</w:t>
            </w:r>
            <w:r w:rsidRPr="00FE0A8D">
              <w:rPr>
                <w:rFonts w:cs="Arial"/>
                <w:color w:val="000000"/>
              </w:rPr>
              <w:t>26.5]</w:t>
            </w:r>
          </w:p>
        </w:tc>
        <w:tc>
          <w:tcPr>
            <w:tcW w:w="2612" w:type="dxa"/>
            <w:vAlign w:val="center"/>
          </w:tcPr>
          <w:p w14:paraId="1680752A" w14:textId="75FF7AEB" w:rsidR="0089112C" w:rsidRPr="00FE0A8D" w:rsidRDefault="0089112C" w:rsidP="00AA600E">
            <w:pPr>
              <w:pStyle w:val="DHHStabletext"/>
              <w:rPr>
                <w:rFonts w:cs="Arial"/>
                <w:lang w:eastAsia="en-AU"/>
              </w:rPr>
            </w:pPr>
            <w:r w:rsidRPr="00FE0A8D">
              <w:rPr>
                <w:rFonts w:cs="Arial"/>
                <w:color w:val="000000"/>
              </w:rPr>
              <w:t>18</w:t>
            </w:r>
            <w:r w:rsidR="00AA600E">
              <w:rPr>
                <w:rFonts w:cs="Arial"/>
                <w:color w:val="000000"/>
              </w:rPr>
              <w:t xml:space="preserve">, </w:t>
            </w:r>
            <w:r w:rsidRPr="00FE0A8D">
              <w:rPr>
                <w:rFonts w:cs="Arial"/>
                <w:color w:val="000000"/>
              </w:rPr>
              <w:t>27.5 [15.25</w:t>
            </w:r>
            <w:r w:rsidRPr="00A144F1">
              <w:rPr>
                <w:rFonts w:cs="Arial"/>
                <w:color w:val="000000"/>
              </w:rPr>
              <w:t>–</w:t>
            </w:r>
            <w:r w:rsidRPr="00FE0A8D">
              <w:rPr>
                <w:rFonts w:cs="Arial"/>
                <w:color w:val="000000"/>
              </w:rPr>
              <w:t>49.75]</w:t>
            </w:r>
          </w:p>
        </w:tc>
      </w:tr>
      <w:tr w:rsidR="0089112C" w:rsidRPr="008D1EEA" w14:paraId="61590C84" w14:textId="77777777" w:rsidTr="00294038">
        <w:trPr>
          <w:trHeight w:val="300"/>
        </w:trPr>
        <w:tc>
          <w:tcPr>
            <w:tcW w:w="1818" w:type="dxa"/>
            <w:shd w:val="clear" w:color="auto" w:fill="auto"/>
            <w:noWrap/>
            <w:vAlign w:val="bottom"/>
            <w:hideMark/>
          </w:tcPr>
          <w:p w14:paraId="12B1D66C" w14:textId="74D533BC" w:rsidR="0089112C" w:rsidRPr="003639E9" w:rsidRDefault="0089112C" w:rsidP="00954470">
            <w:pPr>
              <w:pStyle w:val="DHHStabletext"/>
              <w:rPr>
                <w:lang w:eastAsia="en-AU"/>
              </w:rPr>
            </w:pPr>
            <w:r>
              <w:rPr>
                <w:lang w:eastAsia="en-AU"/>
              </w:rPr>
              <w:t>G</w:t>
            </w:r>
            <w:r w:rsidRPr="00A628FE">
              <w:rPr>
                <w:lang w:eastAsia="en-AU"/>
              </w:rPr>
              <w:t>RICS</w:t>
            </w:r>
          </w:p>
        </w:tc>
        <w:tc>
          <w:tcPr>
            <w:tcW w:w="2770" w:type="dxa"/>
            <w:vAlign w:val="center"/>
          </w:tcPr>
          <w:p w14:paraId="6488ACFB" w14:textId="7AD0429A" w:rsidR="0089112C" w:rsidRPr="00FE0A8D" w:rsidRDefault="0089112C" w:rsidP="00AA600E">
            <w:pPr>
              <w:pStyle w:val="DHHStabletext"/>
              <w:rPr>
                <w:rFonts w:cs="Arial"/>
                <w:lang w:eastAsia="en-AU"/>
              </w:rPr>
            </w:pPr>
            <w:r w:rsidRPr="00FE0A8D">
              <w:rPr>
                <w:rFonts w:cs="Arial"/>
                <w:color w:val="000000"/>
              </w:rPr>
              <w:t>8</w:t>
            </w:r>
            <w:r w:rsidR="00AA600E">
              <w:rPr>
                <w:rFonts w:cs="Arial"/>
                <w:color w:val="000000"/>
              </w:rPr>
              <w:t xml:space="preserve">, </w:t>
            </w:r>
            <w:r w:rsidRPr="00FE0A8D">
              <w:rPr>
                <w:rFonts w:cs="Arial"/>
                <w:color w:val="000000"/>
              </w:rPr>
              <w:t>28.5 [20</w:t>
            </w:r>
            <w:r w:rsidRPr="00A144F1">
              <w:rPr>
                <w:rFonts w:cs="Arial"/>
                <w:color w:val="000000"/>
              </w:rPr>
              <w:t>–</w:t>
            </w:r>
            <w:r w:rsidRPr="00FE0A8D">
              <w:rPr>
                <w:rFonts w:cs="Arial"/>
                <w:color w:val="000000"/>
              </w:rPr>
              <w:t>94.5]</w:t>
            </w:r>
          </w:p>
        </w:tc>
        <w:tc>
          <w:tcPr>
            <w:tcW w:w="2492" w:type="dxa"/>
            <w:vAlign w:val="center"/>
          </w:tcPr>
          <w:p w14:paraId="26D34246" w14:textId="1DF865BC" w:rsidR="0089112C" w:rsidRPr="00FE0A8D" w:rsidRDefault="0089112C" w:rsidP="00AA600E">
            <w:pPr>
              <w:pStyle w:val="DHHStabletext"/>
              <w:rPr>
                <w:rFonts w:cs="Arial"/>
                <w:lang w:eastAsia="en-AU"/>
              </w:rPr>
            </w:pPr>
            <w:r w:rsidRPr="00FE0A8D">
              <w:rPr>
                <w:rFonts w:cs="Arial"/>
                <w:color w:val="000000"/>
              </w:rPr>
              <w:t>8</w:t>
            </w:r>
            <w:r w:rsidR="00AA600E">
              <w:rPr>
                <w:rFonts w:cs="Arial"/>
                <w:color w:val="000000"/>
              </w:rPr>
              <w:t xml:space="preserve">, </w:t>
            </w:r>
            <w:r w:rsidRPr="00FE0A8D">
              <w:rPr>
                <w:rFonts w:cs="Arial"/>
                <w:color w:val="000000"/>
              </w:rPr>
              <w:t>61 [27.75</w:t>
            </w:r>
            <w:r w:rsidRPr="00A144F1">
              <w:rPr>
                <w:rFonts w:cs="Arial"/>
                <w:color w:val="000000"/>
              </w:rPr>
              <w:t>–</w:t>
            </w:r>
            <w:r w:rsidRPr="00FE0A8D">
              <w:rPr>
                <w:rFonts w:cs="Arial"/>
                <w:color w:val="000000"/>
              </w:rPr>
              <w:t>77.75]</w:t>
            </w:r>
          </w:p>
        </w:tc>
        <w:tc>
          <w:tcPr>
            <w:tcW w:w="2244" w:type="dxa"/>
            <w:vAlign w:val="center"/>
          </w:tcPr>
          <w:p w14:paraId="16C1E788" w14:textId="003B251A" w:rsidR="0089112C" w:rsidRPr="00AC16C7" w:rsidRDefault="0089112C" w:rsidP="00AA600E">
            <w:pPr>
              <w:pStyle w:val="DHHStabletext"/>
              <w:rPr>
                <w:rFonts w:ascii="Calibri" w:hAnsi="Calibri"/>
                <w:color w:val="000000"/>
                <w:sz w:val="22"/>
                <w:szCs w:val="22"/>
              </w:rPr>
            </w:pPr>
            <w:r>
              <w:rPr>
                <w:rFonts w:cs="Arial"/>
                <w:color w:val="000000"/>
              </w:rPr>
              <w:t>5</w:t>
            </w:r>
            <w:r w:rsidR="00AA600E">
              <w:rPr>
                <w:rFonts w:cs="Arial"/>
                <w:color w:val="000000"/>
              </w:rPr>
              <w:t xml:space="preserve">, </w:t>
            </w:r>
            <w:r w:rsidRPr="00AC16C7">
              <w:rPr>
                <w:rFonts w:cs="Arial"/>
                <w:color w:val="000000"/>
              </w:rPr>
              <w:t>28 [7</w:t>
            </w:r>
            <w:r w:rsidRPr="00A144F1">
              <w:rPr>
                <w:rFonts w:cs="Arial"/>
                <w:color w:val="000000"/>
              </w:rPr>
              <w:t>–</w:t>
            </w:r>
            <w:r w:rsidRPr="00AC16C7">
              <w:rPr>
                <w:rFonts w:cs="Arial"/>
                <w:color w:val="000000"/>
              </w:rPr>
              <w:t>40]</w:t>
            </w:r>
          </w:p>
        </w:tc>
        <w:tc>
          <w:tcPr>
            <w:tcW w:w="2190" w:type="dxa"/>
            <w:vAlign w:val="center"/>
          </w:tcPr>
          <w:p w14:paraId="3FF11BE2" w14:textId="16DDE62E" w:rsidR="0089112C" w:rsidRPr="00FE0A8D" w:rsidRDefault="0089112C" w:rsidP="00AA600E">
            <w:pPr>
              <w:pStyle w:val="DHHStabletext"/>
              <w:rPr>
                <w:rFonts w:cs="Arial"/>
                <w:lang w:eastAsia="en-AU"/>
              </w:rPr>
            </w:pPr>
            <w:r w:rsidRPr="00FE0A8D">
              <w:rPr>
                <w:rFonts w:cs="Arial"/>
                <w:color w:val="000000"/>
              </w:rPr>
              <w:t>12</w:t>
            </w:r>
            <w:r w:rsidR="00AA600E">
              <w:rPr>
                <w:rFonts w:cs="Arial"/>
                <w:color w:val="000000"/>
              </w:rPr>
              <w:t xml:space="preserve">, </w:t>
            </w:r>
            <w:r w:rsidRPr="00FE0A8D">
              <w:rPr>
                <w:rFonts w:cs="Arial"/>
                <w:color w:val="000000"/>
              </w:rPr>
              <w:t>18 [11.75</w:t>
            </w:r>
            <w:r w:rsidRPr="00A144F1">
              <w:rPr>
                <w:rFonts w:cs="Arial"/>
                <w:color w:val="000000"/>
              </w:rPr>
              <w:t>–</w:t>
            </w:r>
            <w:r w:rsidRPr="00FE0A8D">
              <w:rPr>
                <w:rFonts w:cs="Arial"/>
                <w:color w:val="000000"/>
              </w:rPr>
              <w:t>32.5]</w:t>
            </w:r>
          </w:p>
        </w:tc>
        <w:tc>
          <w:tcPr>
            <w:tcW w:w="2612" w:type="dxa"/>
            <w:vAlign w:val="center"/>
          </w:tcPr>
          <w:p w14:paraId="446B3EE7" w14:textId="5EE69A37" w:rsidR="0089112C" w:rsidRPr="00FE0A8D" w:rsidRDefault="0089112C" w:rsidP="00AA600E">
            <w:pPr>
              <w:pStyle w:val="DHHStabletext"/>
              <w:rPr>
                <w:rFonts w:cs="Arial"/>
                <w:lang w:eastAsia="en-AU"/>
              </w:rPr>
            </w:pPr>
            <w:r w:rsidRPr="00FE0A8D">
              <w:rPr>
                <w:rFonts w:cs="Arial"/>
                <w:color w:val="000000"/>
              </w:rPr>
              <w:t>12</w:t>
            </w:r>
            <w:r w:rsidR="00AA600E">
              <w:rPr>
                <w:rFonts w:cs="Arial"/>
                <w:color w:val="000000"/>
              </w:rPr>
              <w:t xml:space="preserve">, </w:t>
            </w:r>
            <w:r w:rsidRPr="00FE0A8D">
              <w:rPr>
                <w:rFonts w:cs="Arial"/>
                <w:color w:val="000000"/>
              </w:rPr>
              <w:t>23.5 [13.75</w:t>
            </w:r>
            <w:r w:rsidRPr="00A144F1">
              <w:rPr>
                <w:rFonts w:cs="Arial"/>
                <w:color w:val="000000"/>
              </w:rPr>
              <w:t>–</w:t>
            </w:r>
            <w:r w:rsidRPr="00FE0A8D">
              <w:rPr>
                <w:rFonts w:cs="Arial"/>
                <w:color w:val="000000"/>
              </w:rPr>
              <w:t>30]</w:t>
            </w:r>
          </w:p>
        </w:tc>
      </w:tr>
      <w:tr w:rsidR="0089112C" w:rsidRPr="008D1EEA" w14:paraId="1D3A8922" w14:textId="77777777" w:rsidTr="00294038">
        <w:trPr>
          <w:trHeight w:val="300"/>
        </w:trPr>
        <w:tc>
          <w:tcPr>
            <w:tcW w:w="1818" w:type="dxa"/>
            <w:shd w:val="clear" w:color="auto" w:fill="auto"/>
            <w:noWrap/>
            <w:vAlign w:val="bottom"/>
          </w:tcPr>
          <w:p w14:paraId="304213AC" w14:textId="77777777" w:rsidR="0089112C" w:rsidRDefault="0089112C" w:rsidP="00954470">
            <w:pPr>
              <w:pStyle w:val="DHHStabletext"/>
              <w:rPr>
                <w:lang w:eastAsia="en-AU"/>
              </w:rPr>
            </w:pPr>
            <w:r>
              <w:rPr>
                <w:lang w:eastAsia="en-AU"/>
              </w:rPr>
              <w:t>Victoria</w:t>
            </w:r>
          </w:p>
        </w:tc>
        <w:tc>
          <w:tcPr>
            <w:tcW w:w="2770" w:type="dxa"/>
            <w:vAlign w:val="center"/>
          </w:tcPr>
          <w:p w14:paraId="0BC97856" w14:textId="52D4FFEB" w:rsidR="0089112C" w:rsidRPr="00FE0A8D" w:rsidRDefault="0089112C" w:rsidP="00AA600E">
            <w:pPr>
              <w:pStyle w:val="DHHStabletext"/>
              <w:rPr>
                <w:rFonts w:cs="Arial"/>
                <w:lang w:eastAsia="en-AU"/>
              </w:rPr>
            </w:pPr>
            <w:r w:rsidRPr="00FE0A8D">
              <w:rPr>
                <w:rFonts w:cs="Arial"/>
                <w:lang w:eastAsia="en-AU"/>
              </w:rPr>
              <w:t>165</w:t>
            </w:r>
            <w:r w:rsidR="00AA600E">
              <w:rPr>
                <w:rFonts w:cs="Arial"/>
                <w:lang w:eastAsia="en-AU"/>
              </w:rPr>
              <w:t xml:space="preserve">, </w:t>
            </w:r>
            <w:r w:rsidRPr="00FE0A8D">
              <w:rPr>
                <w:rFonts w:cs="Arial"/>
                <w:lang w:eastAsia="en-AU"/>
              </w:rPr>
              <w:t>35 [21</w:t>
            </w:r>
            <w:r w:rsidRPr="00A144F1">
              <w:rPr>
                <w:rFonts w:cs="Arial"/>
                <w:lang w:eastAsia="en-AU"/>
              </w:rPr>
              <w:t>–</w:t>
            </w:r>
            <w:r w:rsidRPr="00FE0A8D">
              <w:rPr>
                <w:rFonts w:cs="Arial"/>
                <w:lang w:eastAsia="en-AU"/>
              </w:rPr>
              <w:t>55]</w:t>
            </w:r>
          </w:p>
        </w:tc>
        <w:tc>
          <w:tcPr>
            <w:tcW w:w="2492" w:type="dxa"/>
            <w:vAlign w:val="center"/>
          </w:tcPr>
          <w:p w14:paraId="49A9B60C" w14:textId="21468403" w:rsidR="0089112C" w:rsidRPr="00FE0A8D" w:rsidRDefault="0089112C" w:rsidP="00AA600E">
            <w:pPr>
              <w:pStyle w:val="DHHStabletext"/>
              <w:rPr>
                <w:rFonts w:cs="Arial"/>
                <w:color w:val="000000"/>
              </w:rPr>
            </w:pPr>
            <w:r w:rsidRPr="00FE0A8D">
              <w:rPr>
                <w:rFonts w:cs="Arial"/>
                <w:lang w:eastAsia="en-AU"/>
              </w:rPr>
              <w:t>193</w:t>
            </w:r>
            <w:r w:rsidR="00AA600E">
              <w:rPr>
                <w:rFonts w:cs="Arial"/>
                <w:lang w:eastAsia="en-AU"/>
              </w:rPr>
              <w:t xml:space="preserve">, </w:t>
            </w:r>
            <w:r w:rsidRPr="00FE0A8D">
              <w:rPr>
                <w:rFonts w:cs="Arial"/>
                <w:color w:val="000000"/>
              </w:rPr>
              <w:t>18 [8</w:t>
            </w:r>
            <w:r w:rsidRPr="00A144F1">
              <w:rPr>
                <w:rFonts w:cs="Arial"/>
                <w:color w:val="000000"/>
              </w:rPr>
              <w:t>–</w:t>
            </w:r>
            <w:r w:rsidRPr="00FE0A8D">
              <w:rPr>
                <w:rFonts w:cs="Arial"/>
                <w:color w:val="000000"/>
              </w:rPr>
              <w:t>32]</w:t>
            </w:r>
          </w:p>
        </w:tc>
        <w:tc>
          <w:tcPr>
            <w:tcW w:w="2244" w:type="dxa"/>
            <w:vAlign w:val="center"/>
          </w:tcPr>
          <w:p w14:paraId="05E83E61" w14:textId="00555E5D" w:rsidR="0089112C" w:rsidRPr="00FE0A8D" w:rsidRDefault="0089112C" w:rsidP="00AA600E">
            <w:pPr>
              <w:pStyle w:val="DHHStabletext"/>
              <w:rPr>
                <w:rFonts w:cs="Arial"/>
                <w:color w:val="000000"/>
              </w:rPr>
            </w:pPr>
            <w:r w:rsidRPr="00FE0A8D">
              <w:rPr>
                <w:rFonts w:cs="Arial"/>
                <w:lang w:eastAsia="en-AU"/>
              </w:rPr>
              <w:t>174</w:t>
            </w:r>
            <w:r w:rsidR="00AA600E">
              <w:rPr>
                <w:rFonts w:cs="Arial"/>
                <w:lang w:eastAsia="en-AU"/>
              </w:rPr>
              <w:t xml:space="preserve">, </w:t>
            </w:r>
            <w:r w:rsidRPr="00FE0A8D">
              <w:rPr>
                <w:rFonts w:cs="Arial"/>
                <w:color w:val="000000"/>
              </w:rPr>
              <w:t>20 [3.25</w:t>
            </w:r>
            <w:r w:rsidRPr="00A144F1">
              <w:rPr>
                <w:rFonts w:cs="Arial"/>
                <w:color w:val="000000"/>
              </w:rPr>
              <w:t>–</w:t>
            </w:r>
            <w:r w:rsidRPr="00FE0A8D">
              <w:rPr>
                <w:rFonts w:cs="Arial"/>
                <w:color w:val="000000"/>
              </w:rPr>
              <w:t>31.75]</w:t>
            </w:r>
          </w:p>
        </w:tc>
        <w:tc>
          <w:tcPr>
            <w:tcW w:w="2190" w:type="dxa"/>
            <w:vAlign w:val="center"/>
          </w:tcPr>
          <w:p w14:paraId="589E08F7" w14:textId="075A2DF4" w:rsidR="0089112C" w:rsidRPr="00FE0A8D" w:rsidRDefault="0089112C" w:rsidP="00AA600E">
            <w:pPr>
              <w:pStyle w:val="DHHStabletext"/>
              <w:rPr>
                <w:rFonts w:cs="Arial"/>
                <w:color w:val="000000"/>
              </w:rPr>
            </w:pPr>
            <w:r w:rsidRPr="00FE0A8D">
              <w:rPr>
                <w:rFonts w:cs="Arial"/>
                <w:lang w:eastAsia="en-AU"/>
              </w:rPr>
              <w:t>228</w:t>
            </w:r>
            <w:r w:rsidR="00AA600E">
              <w:rPr>
                <w:rFonts w:cs="Arial"/>
                <w:lang w:eastAsia="en-AU"/>
              </w:rPr>
              <w:t xml:space="preserve">, </w:t>
            </w:r>
            <w:r w:rsidRPr="00FE0A8D">
              <w:rPr>
                <w:rFonts w:cs="Arial"/>
                <w:color w:val="000000"/>
              </w:rPr>
              <w:t>14 [6</w:t>
            </w:r>
            <w:r w:rsidRPr="00A144F1">
              <w:rPr>
                <w:rFonts w:cs="Arial"/>
                <w:color w:val="000000"/>
              </w:rPr>
              <w:t>–</w:t>
            </w:r>
            <w:r w:rsidRPr="00FE0A8D">
              <w:rPr>
                <w:rFonts w:cs="Arial"/>
                <w:color w:val="000000"/>
              </w:rPr>
              <w:t>25]</w:t>
            </w:r>
          </w:p>
        </w:tc>
        <w:tc>
          <w:tcPr>
            <w:tcW w:w="2612" w:type="dxa"/>
            <w:vAlign w:val="center"/>
          </w:tcPr>
          <w:p w14:paraId="1AC546D1" w14:textId="06F11FC5" w:rsidR="0089112C" w:rsidRPr="00FE0A8D" w:rsidRDefault="0089112C" w:rsidP="00AA600E">
            <w:pPr>
              <w:pStyle w:val="DHHStabletext"/>
              <w:rPr>
                <w:rFonts w:cs="Arial"/>
                <w:color w:val="000000"/>
              </w:rPr>
            </w:pPr>
            <w:r w:rsidRPr="00FE0A8D">
              <w:rPr>
                <w:rFonts w:cs="Arial"/>
                <w:lang w:eastAsia="en-AU"/>
              </w:rPr>
              <w:t>202</w:t>
            </w:r>
            <w:r w:rsidR="00AA600E">
              <w:rPr>
                <w:rFonts w:cs="Arial"/>
                <w:lang w:eastAsia="en-AU"/>
              </w:rPr>
              <w:t xml:space="preserve">, </w:t>
            </w:r>
            <w:r w:rsidRPr="00FE0A8D">
              <w:rPr>
                <w:rFonts w:cs="Arial"/>
                <w:color w:val="000000"/>
              </w:rPr>
              <w:t>34 [21</w:t>
            </w:r>
            <w:r w:rsidRPr="00A144F1">
              <w:rPr>
                <w:rFonts w:cs="Arial"/>
                <w:color w:val="000000"/>
              </w:rPr>
              <w:t>–</w:t>
            </w:r>
            <w:r w:rsidRPr="00FE0A8D">
              <w:rPr>
                <w:rFonts w:cs="Arial"/>
                <w:color w:val="000000"/>
              </w:rPr>
              <w:t>48.75]</w:t>
            </w:r>
          </w:p>
        </w:tc>
      </w:tr>
    </w:tbl>
    <w:p w14:paraId="3E7B7FB9" w14:textId="6B5C7778" w:rsidR="009A009B" w:rsidRPr="009A009B" w:rsidRDefault="009A009B" w:rsidP="002144E9">
      <w:pPr>
        <w:pStyle w:val="DHHStablefigurenote"/>
        <w:rPr>
          <w:lang w:eastAsia="en-AU"/>
        </w:rPr>
      </w:pPr>
      <w:r w:rsidRPr="009A009B">
        <w:rPr>
          <w:vertAlign w:val="superscript"/>
          <w:lang w:eastAsia="en-AU"/>
        </w:rPr>
        <w:t>#</w:t>
      </w:r>
      <w:r w:rsidR="002144E9">
        <w:rPr>
          <w:vertAlign w:val="superscript"/>
          <w:lang w:eastAsia="en-AU"/>
        </w:rPr>
        <w:t xml:space="preserve"> </w:t>
      </w:r>
      <w:r w:rsidRPr="009A009B">
        <w:rPr>
          <w:lang w:eastAsia="en-AU"/>
        </w:rPr>
        <w:t xml:space="preserve">Note </w:t>
      </w:r>
      <w:proofErr w:type="spellStart"/>
      <w:r w:rsidRPr="009A009B">
        <w:rPr>
          <w:lang w:eastAsia="en-AU"/>
        </w:rPr>
        <w:t>HumeRICS</w:t>
      </w:r>
      <w:proofErr w:type="spellEnd"/>
      <w:r w:rsidRPr="009A009B">
        <w:rPr>
          <w:lang w:eastAsia="en-AU"/>
        </w:rPr>
        <w:t xml:space="preserve"> data limitation </w:t>
      </w:r>
      <w:r w:rsidR="00B82470">
        <w:rPr>
          <w:lang w:eastAsia="en-AU"/>
        </w:rPr>
        <w:t>regarding patients receiving their treatment in NSW.</w:t>
      </w:r>
    </w:p>
    <w:p w14:paraId="48FC1475" w14:textId="44405A21" w:rsidR="00B06CDA" w:rsidRDefault="00B06CDA" w:rsidP="00254613">
      <w:pPr>
        <w:pStyle w:val="DHHStablefigurenote"/>
        <w:rPr>
          <w:i w:val="0"/>
        </w:rPr>
        <w:sectPr w:rsidR="00B06CDA" w:rsidSect="0090528B">
          <w:headerReference w:type="even" r:id="rId17"/>
          <w:headerReference w:type="default" r:id="rId18"/>
          <w:footerReference w:type="even" r:id="rId19"/>
          <w:footerReference w:type="default" r:id="rId20"/>
          <w:footerReference w:type="first" r:id="rId21"/>
          <w:pgSz w:w="16838" w:h="11906" w:orient="landscape"/>
          <w:pgMar w:top="1304" w:right="1701" w:bottom="1304" w:left="1134" w:header="454" w:footer="510" w:gutter="0"/>
          <w:cols w:space="720"/>
          <w:docGrid w:linePitch="360"/>
        </w:sectPr>
      </w:pPr>
      <w:r>
        <w:t xml:space="preserve">IQR = </w:t>
      </w:r>
      <w:r w:rsidRPr="00B06CDA">
        <w:t>interquartile range</w:t>
      </w:r>
    </w:p>
    <w:p w14:paraId="4C767059" w14:textId="170C356C" w:rsidR="00B9443D" w:rsidRDefault="00B9443D" w:rsidP="00B9443D">
      <w:pPr>
        <w:pStyle w:val="Heading1"/>
        <w:spacing w:before="0"/>
      </w:pPr>
      <w:bookmarkStart w:id="30" w:name="_Toc524425490"/>
      <w:r>
        <w:t>Conclusions</w:t>
      </w:r>
      <w:bookmarkEnd w:id="30"/>
      <w:r>
        <w:t xml:space="preserve"> </w:t>
      </w:r>
    </w:p>
    <w:p w14:paraId="7F9391C3" w14:textId="27C90352" w:rsidR="00644C1F" w:rsidRPr="00644C1F" w:rsidRDefault="00B06CDA" w:rsidP="002144E9">
      <w:pPr>
        <w:pStyle w:val="Heading2"/>
        <w:rPr>
          <w:lang w:eastAsia="en-AU"/>
        </w:rPr>
      </w:pPr>
      <w:bookmarkStart w:id="31" w:name="_Toc524425491"/>
      <w:r>
        <w:rPr>
          <w:lang w:eastAsia="en-AU"/>
        </w:rPr>
        <w:t>M</w:t>
      </w:r>
      <w:r w:rsidRPr="00B06CDA">
        <w:rPr>
          <w:lang w:eastAsia="en-AU"/>
        </w:rPr>
        <w:t>ultidisciplinary meeting</w:t>
      </w:r>
      <w:r w:rsidRPr="00B06CDA" w:rsidDel="00B06CDA">
        <w:rPr>
          <w:lang w:eastAsia="en-AU"/>
        </w:rPr>
        <w:t xml:space="preserve"> </w:t>
      </w:r>
      <w:r w:rsidR="00A144F1">
        <w:rPr>
          <w:lang w:eastAsia="en-AU"/>
        </w:rPr>
        <w:t>c</w:t>
      </w:r>
      <w:r w:rsidR="00083A62">
        <w:rPr>
          <w:lang w:eastAsia="en-AU"/>
        </w:rPr>
        <w:t xml:space="preserve">apture </w:t>
      </w:r>
      <w:r w:rsidR="00A144F1">
        <w:rPr>
          <w:lang w:eastAsia="en-AU"/>
        </w:rPr>
        <w:t>r</w:t>
      </w:r>
      <w:r w:rsidR="00083A62">
        <w:rPr>
          <w:lang w:eastAsia="en-AU"/>
        </w:rPr>
        <w:t>ate</w:t>
      </w:r>
      <w:bookmarkEnd w:id="31"/>
    </w:p>
    <w:p w14:paraId="38D27CC2" w14:textId="60F7CDE7" w:rsidR="00643DBE" w:rsidRDefault="00643DBE" w:rsidP="000E7BD2">
      <w:pPr>
        <w:pStyle w:val="DHHSbody"/>
        <w:rPr>
          <w:lang w:eastAsia="en-AU"/>
        </w:rPr>
      </w:pPr>
      <w:r>
        <w:rPr>
          <w:lang w:eastAsia="en-AU"/>
        </w:rPr>
        <w:t xml:space="preserve">The MDM capture rate for </w:t>
      </w:r>
      <w:r w:rsidR="00972C85">
        <w:rPr>
          <w:lang w:eastAsia="en-AU"/>
        </w:rPr>
        <w:t xml:space="preserve">the reported audit population of </w:t>
      </w:r>
      <w:r w:rsidR="00660126" w:rsidRPr="006732EB">
        <w:t xml:space="preserve">Victorians diagnosed with </w:t>
      </w:r>
      <w:r w:rsidR="00800F60">
        <w:t xml:space="preserve">OG cancers between 1 July and </w:t>
      </w:r>
      <w:r w:rsidR="00660126" w:rsidRPr="006732EB">
        <w:t xml:space="preserve">31 December 2016 </w:t>
      </w:r>
      <w:r>
        <w:rPr>
          <w:lang w:eastAsia="en-AU"/>
        </w:rPr>
        <w:t>was</w:t>
      </w:r>
      <w:r w:rsidRPr="003639E9">
        <w:rPr>
          <w:lang w:eastAsia="en-AU"/>
        </w:rPr>
        <w:t xml:space="preserve"> </w:t>
      </w:r>
      <w:r w:rsidR="00800F60" w:rsidRPr="00800F60">
        <w:rPr>
          <w:lang w:eastAsia="en-AU"/>
        </w:rPr>
        <w:t>220 of 271</w:t>
      </w:r>
      <w:r w:rsidRPr="00800F60">
        <w:rPr>
          <w:lang w:eastAsia="en-AU"/>
        </w:rPr>
        <w:t xml:space="preserve"> </w:t>
      </w:r>
      <w:r w:rsidR="00800F60">
        <w:rPr>
          <w:lang w:eastAsia="en-AU"/>
        </w:rPr>
        <w:t>(81 per cent</w:t>
      </w:r>
      <w:r w:rsidRPr="00800F60">
        <w:rPr>
          <w:lang w:eastAsia="en-AU"/>
        </w:rPr>
        <w:t>).</w:t>
      </w:r>
    </w:p>
    <w:p w14:paraId="3F55CCF9" w14:textId="73F94CC5" w:rsidR="00A71C1B" w:rsidRPr="00A71C1B" w:rsidRDefault="00F71BBD" w:rsidP="002144E9">
      <w:pPr>
        <w:pStyle w:val="Heading2"/>
      </w:pPr>
      <w:bookmarkStart w:id="32" w:name="_Toc524425492"/>
      <w:r>
        <w:t>Does t</w:t>
      </w:r>
      <w:r w:rsidR="00FA2B98">
        <w:t xml:space="preserve">imeliness of care align with OG </w:t>
      </w:r>
      <w:r w:rsidR="00A144F1">
        <w:t>o</w:t>
      </w:r>
      <w:r>
        <w:t xml:space="preserve">ptimal </w:t>
      </w:r>
      <w:r w:rsidR="00A144F1">
        <w:t>c</w:t>
      </w:r>
      <w:r>
        <w:t xml:space="preserve">are </w:t>
      </w:r>
      <w:r w:rsidR="00A144F1">
        <w:t>p</w:t>
      </w:r>
      <w:r>
        <w:t xml:space="preserve">athway </w:t>
      </w:r>
      <w:r w:rsidR="00FA2B98">
        <w:t>recommendations?</w:t>
      </w:r>
      <w:bookmarkEnd w:id="32"/>
    </w:p>
    <w:p w14:paraId="1335B2C9" w14:textId="3E030E10" w:rsidR="00CD6191" w:rsidRDefault="00CD6191" w:rsidP="00AE5B84">
      <w:pPr>
        <w:pStyle w:val="DHHSbody"/>
        <w:rPr>
          <w:rFonts w:eastAsia="Calibri" w:cs="Arial"/>
          <w:color w:val="000000"/>
          <w:lang w:val="en-US"/>
        </w:rPr>
      </w:pPr>
      <w:r w:rsidRPr="00254613">
        <w:rPr>
          <w:b/>
        </w:rPr>
        <w:t>Rec</w:t>
      </w:r>
      <w:r w:rsidR="00AE5B84" w:rsidRPr="00254613">
        <w:rPr>
          <w:b/>
        </w:rPr>
        <w:t>ommendation 1</w:t>
      </w:r>
      <w:r w:rsidR="00A73C40" w:rsidRPr="00254613">
        <w:rPr>
          <w:b/>
        </w:rPr>
        <w:t>:</w:t>
      </w:r>
      <w:r w:rsidR="00AE5B84">
        <w:t xml:space="preserve"> Time f</w:t>
      </w:r>
      <w:r w:rsidRPr="00093266">
        <w:rPr>
          <w:rFonts w:eastAsia="Calibri" w:cs="Arial"/>
          <w:color w:val="000000"/>
          <w:lang w:val="en-US"/>
        </w:rPr>
        <w:t xml:space="preserve">rom receipt of referral to commencement of first treatment </w:t>
      </w:r>
      <w:r w:rsidR="00F92E6F">
        <w:rPr>
          <w:rFonts w:eastAsia="Arial Narrow" w:cs="Arial"/>
          <w:color w:val="000000"/>
          <w:lang w:val="en-US"/>
        </w:rPr>
        <w:t>≤</w:t>
      </w:r>
      <w:r w:rsidRPr="00093266">
        <w:rPr>
          <w:rFonts w:eastAsia="Arial Narrow" w:cs="Arial"/>
          <w:color w:val="000000"/>
          <w:lang w:val="en-US"/>
        </w:rPr>
        <w:t xml:space="preserve"> </w:t>
      </w:r>
      <w:r w:rsidR="00AE5B84">
        <w:rPr>
          <w:rFonts w:eastAsia="Calibri" w:cs="Arial"/>
          <w:color w:val="000000"/>
          <w:lang w:val="en-US"/>
        </w:rPr>
        <w:t>42 days</w:t>
      </w:r>
    </w:p>
    <w:p w14:paraId="5240524B" w14:textId="52C6500E" w:rsidR="00684F45" w:rsidRDefault="00F71BBD" w:rsidP="00AE5B84">
      <w:pPr>
        <w:pStyle w:val="DHHSbody"/>
        <w:rPr>
          <w:rFonts w:eastAsia="Calibri" w:cs="Arial"/>
          <w:color w:val="000000"/>
          <w:lang w:val="en-US"/>
        </w:rPr>
      </w:pPr>
      <w:r w:rsidRPr="00032FC4">
        <w:rPr>
          <w:rFonts w:eastAsia="Calibri" w:cs="Arial"/>
          <w:color w:val="000000"/>
          <w:lang w:val="en-US"/>
        </w:rPr>
        <w:t xml:space="preserve">The average time from referral to commencement of treatment was </w:t>
      </w:r>
      <w:r w:rsidR="00A71C1B" w:rsidRPr="00032FC4">
        <w:rPr>
          <w:rFonts w:eastAsia="Calibri" w:cs="Arial"/>
          <w:color w:val="000000"/>
          <w:lang w:val="en-US"/>
        </w:rPr>
        <w:t>4</w:t>
      </w:r>
      <w:r w:rsidR="00AD3579">
        <w:rPr>
          <w:rFonts w:eastAsia="Calibri" w:cs="Arial"/>
          <w:color w:val="000000"/>
          <w:lang w:val="en-US"/>
        </w:rPr>
        <w:t>2</w:t>
      </w:r>
      <w:r w:rsidRPr="00032FC4">
        <w:rPr>
          <w:rFonts w:eastAsia="Calibri" w:cs="Arial"/>
          <w:color w:val="000000"/>
          <w:lang w:val="en-US"/>
        </w:rPr>
        <w:t xml:space="preserve"> days for patients diagnosed with oesophageal cancer</w:t>
      </w:r>
      <w:r w:rsidR="00FE1B4D">
        <w:rPr>
          <w:rFonts w:eastAsia="Calibri" w:cs="Arial"/>
          <w:color w:val="000000"/>
          <w:lang w:val="en-US"/>
        </w:rPr>
        <w:t>,</w:t>
      </w:r>
      <w:r w:rsidRPr="00032FC4">
        <w:rPr>
          <w:rFonts w:eastAsia="Calibri" w:cs="Arial"/>
          <w:color w:val="000000"/>
          <w:lang w:val="en-US"/>
        </w:rPr>
        <w:t xml:space="preserve"> in which 50</w:t>
      </w:r>
      <w:r w:rsidR="00ED6332">
        <w:rPr>
          <w:rFonts w:eastAsia="Calibri" w:cs="Arial"/>
          <w:color w:val="000000"/>
          <w:lang w:val="en-US"/>
        </w:rPr>
        <w:t xml:space="preserve"> per cent</w:t>
      </w:r>
      <w:r w:rsidRPr="00032FC4">
        <w:rPr>
          <w:rFonts w:eastAsia="Calibri" w:cs="Arial"/>
          <w:color w:val="000000"/>
          <w:lang w:val="en-US"/>
        </w:rPr>
        <w:t xml:space="preserve"> of patients </w:t>
      </w:r>
      <w:r w:rsidR="00FE1B4D">
        <w:rPr>
          <w:rFonts w:eastAsia="Calibri" w:cs="Arial"/>
          <w:color w:val="000000"/>
          <w:lang w:val="en-US"/>
        </w:rPr>
        <w:t>began</w:t>
      </w:r>
      <w:r w:rsidR="00FE1B4D" w:rsidRPr="00032FC4">
        <w:rPr>
          <w:rFonts w:eastAsia="Calibri" w:cs="Arial"/>
          <w:color w:val="000000"/>
          <w:lang w:val="en-US"/>
        </w:rPr>
        <w:t xml:space="preserve"> </w:t>
      </w:r>
      <w:r w:rsidRPr="00032FC4">
        <w:rPr>
          <w:rFonts w:eastAsia="Calibri" w:cs="Arial"/>
          <w:color w:val="000000"/>
          <w:lang w:val="en-US"/>
        </w:rPr>
        <w:t xml:space="preserve">treatment within </w:t>
      </w:r>
      <w:r w:rsidR="00032FC4" w:rsidRPr="00032FC4">
        <w:rPr>
          <w:rFonts w:eastAsia="Calibri" w:cs="Arial"/>
          <w:color w:val="000000"/>
          <w:lang w:val="en-US"/>
        </w:rPr>
        <w:t>34</w:t>
      </w:r>
      <w:r w:rsidRPr="00032FC4">
        <w:rPr>
          <w:rFonts w:eastAsia="Calibri" w:cs="Arial"/>
          <w:color w:val="000000"/>
          <w:lang w:val="en-US"/>
        </w:rPr>
        <w:t xml:space="preserve"> days</w:t>
      </w:r>
      <w:r w:rsidR="00B90B33" w:rsidRPr="00032FC4">
        <w:rPr>
          <w:rFonts w:eastAsia="Calibri" w:cs="Arial"/>
          <w:color w:val="000000"/>
          <w:lang w:val="en-US"/>
        </w:rPr>
        <w:t xml:space="preserve"> (</w:t>
      </w:r>
      <w:r w:rsidR="00FE1B4D">
        <w:rPr>
          <w:rFonts w:eastAsia="Calibri" w:cs="Arial"/>
          <w:color w:val="000000"/>
          <w:lang w:val="en-US"/>
        </w:rPr>
        <w:t>IQR</w:t>
      </w:r>
      <w:r w:rsidR="00BF66E9" w:rsidRPr="00032FC4">
        <w:rPr>
          <w:rFonts w:eastAsia="Calibri" w:cs="Arial"/>
          <w:color w:val="000000"/>
          <w:lang w:val="en-US"/>
        </w:rPr>
        <w:t xml:space="preserve"> </w:t>
      </w:r>
      <w:r w:rsidR="00A457F1" w:rsidRPr="00032FC4">
        <w:rPr>
          <w:rFonts w:eastAsia="Calibri" w:cs="Arial"/>
          <w:color w:val="000000"/>
          <w:lang w:val="en-US"/>
        </w:rPr>
        <w:t>20.</w:t>
      </w:r>
      <w:r w:rsidR="00032FC4" w:rsidRPr="00032FC4">
        <w:rPr>
          <w:rFonts w:eastAsia="Calibri" w:cs="Arial"/>
          <w:color w:val="000000"/>
          <w:lang w:val="en-US"/>
        </w:rPr>
        <w:t>7</w:t>
      </w:r>
      <w:r w:rsidR="00A457F1" w:rsidRPr="00032FC4">
        <w:rPr>
          <w:rFonts w:eastAsia="Calibri" w:cs="Arial"/>
          <w:color w:val="000000"/>
          <w:lang w:val="en-US"/>
        </w:rPr>
        <w:t>5</w:t>
      </w:r>
      <w:r w:rsidR="00B90B33" w:rsidRPr="00032FC4">
        <w:rPr>
          <w:rFonts w:eastAsia="Calibri" w:cs="Arial"/>
          <w:color w:val="000000"/>
          <w:lang w:val="en-US"/>
        </w:rPr>
        <w:t>–</w:t>
      </w:r>
      <w:r w:rsidR="00A457F1" w:rsidRPr="00032FC4">
        <w:rPr>
          <w:rFonts w:eastAsia="Calibri" w:cs="Arial"/>
          <w:color w:val="000000"/>
          <w:lang w:val="en-US"/>
        </w:rPr>
        <w:t>53</w:t>
      </w:r>
      <w:r w:rsidR="00B90B33" w:rsidRPr="00032FC4">
        <w:rPr>
          <w:rFonts w:eastAsia="Calibri" w:cs="Arial"/>
          <w:color w:val="000000"/>
          <w:lang w:val="en-US"/>
        </w:rPr>
        <w:t>)</w:t>
      </w:r>
      <w:r w:rsidRPr="00032FC4">
        <w:rPr>
          <w:rFonts w:eastAsia="Calibri" w:cs="Arial"/>
          <w:color w:val="000000"/>
          <w:lang w:val="en-US"/>
        </w:rPr>
        <w:t xml:space="preserve">. The average time from referral to commencement of treatment was </w:t>
      </w:r>
      <w:r w:rsidR="00032FC4" w:rsidRPr="00032FC4">
        <w:rPr>
          <w:rFonts w:eastAsia="Calibri" w:cs="Arial"/>
          <w:color w:val="000000"/>
          <w:lang w:val="en-US"/>
        </w:rPr>
        <w:t>56</w:t>
      </w:r>
      <w:r w:rsidRPr="00032FC4">
        <w:rPr>
          <w:rFonts w:eastAsia="Calibri" w:cs="Arial"/>
          <w:color w:val="000000"/>
          <w:lang w:val="en-US"/>
        </w:rPr>
        <w:t xml:space="preserve"> days for patients diagnosed with stomach cancer</w:t>
      </w:r>
      <w:r w:rsidR="005C0186">
        <w:rPr>
          <w:rFonts w:eastAsia="Calibri" w:cs="Arial"/>
          <w:color w:val="000000"/>
          <w:lang w:val="en-US"/>
        </w:rPr>
        <w:t>,</w:t>
      </w:r>
      <w:r w:rsidRPr="00032FC4">
        <w:rPr>
          <w:rFonts w:eastAsia="Calibri" w:cs="Arial"/>
          <w:color w:val="000000"/>
          <w:lang w:val="en-US"/>
        </w:rPr>
        <w:t xml:space="preserve"> </w:t>
      </w:r>
      <w:r w:rsidR="00C85981" w:rsidRPr="00032FC4">
        <w:rPr>
          <w:rFonts w:eastAsia="Calibri" w:cs="Arial"/>
          <w:color w:val="000000"/>
          <w:lang w:val="en-US"/>
        </w:rPr>
        <w:t>in which</w:t>
      </w:r>
      <w:r w:rsidRPr="00032FC4">
        <w:rPr>
          <w:rFonts w:eastAsia="Calibri" w:cs="Arial"/>
          <w:color w:val="000000"/>
          <w:lang w:val="en-US"/>
        </w:rPr>
        <w:t xml:space="preserve"> 50</w:t>
      </w:r>
      <w:r w:rsidR="00ED6332">
        <w:rPr>
          <w:rFonts w:eastAsia="Calibri" w:cs="Arial"/>
          <w:color w:val="000000"/>
          <w:lang w:val="en-US"/>
        </w:rPr>
        <w:t xml:space="preserve"> per cent</w:t>
      </w:r>
      <w:r w:rsidRPr="00032FC4">
        <w:rPr>
          <w:rFonts w:eastAsia="Calibri" w:cs="Arial"/>
          <w:color w:val="000000"/>
          <w:lang w:val="en-US"/>
        </w:rPr>
        <w:t xml:space="preserve"> of patients </w:t>
      </w:r>
      <w:r w:rsidR="005C0186">
        <w:rPr>
          <w:rFonts w:eastAsia="Calibri" w:cs="Arial"/>
          <w:color w:val="000000"/>
          <w:lang w:val="en-US"/>
        </w:rPr>
        <w:t>began</w:t>
      </w:r>
      <w:r w:rsidR="005C0186" w:rsidRPr="00032FC4">
        <w:rPr>
          <w:rFonts w:eastAsia="Calibri" w:cs="Arial"/>
          <w:color w:val="000000"/>
          <w:lang w:val="en-US"/>
        </w:rPr>
        <w:t xml:space="preserve"> </w:t>
      </w:r>
      <w:r w:rsidRPr="00032FC4">
        <w:rPr>
          <w:rFonts w:eastAsia="Calibri" w:cs="Arial"/>
          <w:color w:val="000000"/>
          <w:lang w:val="en-US"/>
        </w:rPr>
        <w:t xml:space="preserve">treatment within </w:t>
      </w:r>
      <w:r w:rsidR="00032FC4" w:rsidRPr="00032FC4">
        <w:rPr>
          <w:rFonts w:eastAsia="Calibri" w:cs="Arial"/>
          <w:color w:val="000000"/>
          <w:lang w:val="en-US"/>
        </w:rPr>
        <w:t>36</w:t>
      </w:r>
      <w:r w:rsidR="00816EE1" w:rsidRPr="00032FC4">
        <w:rPr>
          <w:rFonts w:eastAsia="Calibri" w:cs="Arial"/>
          <w:color w:val="000000"/>
          <w:lang w:val="en-US"/>
        </w:rPr>
        <w:t xml:space="preserve"> days</w:t>
      </w:r>
      <w:r w:rsidR="00B90B33" w:rsidRPr="00032FC4">
        <w:rPr>
          <w:rFonts w:eastAsia="Calibri" w:cs="Arial"/>
          <w:color w:val="000000"/>
          <w:lang w:val="en-US"/>
        </w:rPr>
        <w:t xml:space="preserve"> (</w:t>
      </w:r>
      <w:r w:rsidR="005C0186">
        <w:rPr>
          <w:rFonts w:eastAsia="Calibri" w:cs="Arial"/>
          <w:color w:val="000000"/>
          <w:lang w:val="en-US"/>
        </w:rPr>
        <w:t>IQR</w:t>
      </w:r>
      <w:r w:rsidR="00032FC4" w:rsidRPr="00032FC4">
        <w:rPr>
          <w:rFonts w:eastAsia="Calibri" w:cs="Arial"/>
          <w:color w:val="000000"/>
          <w:lang w:val="en-US"/>
        </w:rPr>
        <w:t>21</w:t>
      </w:r>
      <w:r w:rsidR="00A73C40">
        <w:rPr>
          <w:rFonts w:eastAsia="Calibri" w:cs="Arial"/>
          <w:color w:val="000000"/>
          <w:lang w:val="en-US"/>
        </w:rPr>
        <w:t>–</w:t>
      </w:r>
      <w:r w:rsidR="00032FC4" w:rsidRPr="00032FC4">
        <w:rPr>
          <w:rFonts w:eastAsia="Calibri" w:cs="Arial"/>
          <w:color w:val="000000"/>
          <w:lang w:val="en-US"/>
        </w:rPr>
        <w:t>57</w:t>
      </w:r>
      <w:r w:rsidR="00B90B33" w:rsidRPr="00032FC4">
        <w:rPr>
          <w:rFonts w:eastAsia="Calibri" w:cs="Arial"/>
          <w:color w:val="000000"/>
          <w:lang w:val="en-US"/>
        </w:rPr>
        <w:t>)</w:t>
      </w:r>
      <w:r w:rsidR="00816EE1" w:rsidRPr="00032FC4">
        <w:rPr>
          <w:rFonts w:eastAsia="Calibri" w:cs="Arial"/>
          <w:color w:val="000000"/>
          <w:lang w:val="en-US"/>
        </w:rPr>
        <w:t>.</w:t>
      </w:r>
      <w:r w:rsidR="00816EE1">
        <w:rPr>
          <w:rFonts w:eastAsia="Calibri" w:cs="Arial"/>
          <w:color w:val="000000"/>
          <w:lang w:val="en-US"/>
        </w:rPr>
        <w:t xml:space="preserve"> </w:t>
      </w:r>
      <w:r w:rsidR="002C5473">
        <w:rPr>
          <w:rFonts w:eastAsia="Calibri" w:cs="Arial"/>
          <w:color w:val="000000"/>
          <w:lang w:val="en-US"/>
        </w:rPr>
        <w:t xml:space="preserve">Overall, this timeframe was achieved for 63 per cent of audited patients. </w:t>
      </w:r>
    </w:p>
    <w:p w14:paraId="182652CA" w14:textId="1CFA0AB8" w:rsidR="00AE5B84" w:rsidRDefault="00AE5B84" w:rsidP="00AE5B84">
      <w:pPr>
        <w:pStyle w:val="DHHSbody"/>
        <w:rPr>
          <w:rFonts w:eastAsia="Calibri" w:cs="Arial"/>
          <w:color w:val="000000"/>
          <w:spacing w:val="-1"/>
          <w:lang w:val="en-US"/>
        </w:rPr>
      </w:pPr>
      <w:r w:rsidRPr="00F13CD9">
        <w:rPr>
          <w:rFonts w:eastAsia="Calibri" w:cs="Arial"/>
          <w:b/>
          <w:color w:val="000000"/>
          <w:lang w:val="en-US"/>
        </w:rPr>
        <w:t>Recommendation 2</w:t>
      </w:r>
      <w:r w:rsidR="00A144F1" w:rsidRPr="00F13CD9">
        <w:rPr>
          <w:rFonts w:eastAsia="Calibri" w:cs="Arial"/>
          <w:b/>
          <w:color w:val="000000"/>
          <w:lang w:val="en-US"/>
        </w:rPr>
        <w:t>:</w:t>
      </w:r>
      <w:r w:rsidRPr="00F13CD9">
        <w:rPr>
          <w:rFonts w:eastAsia="Calibri" w:cs="Arial"/>
          <w:i/>
          <w:color w:val="000000"/>
          <w:lang w:val="en-US"/>
        </w:rPr>
        <w:t xml:space="preserve"> </w:t>
      </w:r>
      <w:r>
        <w:rPr>
          <w:rFonts w:eastAsia="Calibri" w:cs="Arial"/>
          <w:color w:val="000000"/>
          <w:lang w:val="en-US"/>
        </w:rPr>
        <w:t xml:space="preserve">Time from </w:t>
      </w:r>
      <w:r w:rsidR="00CD6191" w:rsidRPr="00093266">
        <w:rPr>
          <w:rFonts w:eastAsia="Calibri" w:cs="Arial"/>
          <w:color w:val="000000"/>
          <w:spacing w:val="-1"/>
          <w:lang w:val="en-US"/>
        </w:rPr>
        <w:t xml:space="preserve">receipt of referral to MDM </w:t>
      </w:r>
      <w:r w:rsidR="00F92E6F">
        <w:rPr>
          <w:rFonts w:eastAsia="Arial Narrow" w:cs="Arial"/>
          <w:color w:val="000000"/>
          <w:spacing w:val="-1"/>
          <w:lang w:val="en-US"/>
        </w:rPr>
        <w:t>≤</w:t>
      </w:r>
      <w:r w:rsidR="00CD6191" w:rsidRPr="00093266">
        <w:rPr>
          <w:rFonts w:eastAsia="Arial Narrow" w:cs="Arial"/>
          <w:color w:val="000000"/>
          <w:spacing w:val="-1"/>
          <w:lang w:val="en-US"/>
        </w:rPr>
        <w:t xml:space="preserve"> </w:t>
      </w:r>
      <w:r>
        <w:rPr>
          <w:rFonts w:eastAsia="Calibri" w:cs="Arial"/>
          <w:color w:val="000000"/>
          <w:spacing w:val="-1"/>
          <w:lang w:val="en-US"/>
        </w:rPr>
        <w:t>28 days</w:t>
      </w:r>
    </w:p>
    <w:p w14:paraId="71EA8611" w14:textId="7483CCAF" w:rsidR="00816EE1" w:rsidRPr="00816EE1" w:rsidRDefault="00816EE1" w:rsidP="00AE5B84">
      <w:pPr>
        <w:pStyle w:val="DHHSbody"/>
        <w:rPr>
          <w:rFonts w:eastAsia="Calibri" w:cs="Arial"/>
          <w:color w:val="000000"/>
          <w:lang w:val="en-US"/>
        </w:rPr>
      </w:pPr>
      <w:r w:rsidRPr="00032FC4">
        <w:rPr>
          <w:rFonts w:eastAsia="Calibri" w:cs="Arial"/>
          <w:color w:val="000000"/>
          <w:lang w:val="en-US"/>
        </w:rPr>
        <w:t xml:space="preserve">The average time from referral to MDM was </w:t>
      </w:r>
      <w:r w:rsidR="00032FC4" w:rsidRPr="00032FC4">
        <w:rPr>
          <w:rFonts w:eastAsia="Calibri" w:cs="Arial"/>
          <w:color w:val="000000"/>
          <w:lang w:val="en-US"/>
        </w:rPr>
        <w:t>28</w:t>
      </w:r>
      <w:r w:rsidRPr="00032FC4">
        <w:rPr>
          <w:rFonts w:eastAsia="Calibri" w:cs="Arial"/>
          <w:color w:val="000000"/>
          <w:lang w:val="en-US"/>
        </w:rPr>
        <w:t xml:space="preserve"> days for patients diagnosed with </w:t>
      </w:r>
      <w:proofErr w:type="spellStart"/>
      <w:r w:rsidRPr="00032FC4">
        <w:rPr>
          <w:rFonts w:eastAsia="Calibri" w:cs="Arial"/>
          <w:color w:val="000000"/>
          <w:lang w:val="en-US"/>
        </w:rPr>
        <w:t>oesophageal</w:t>
      </w:r>
      <w:proofErr w:type="spellEnd"/>
      <w:r w:rsidRPr="00032FC4">
        <w:rPr>
          <w:rFonts w:eastAsia="Calibri" w:cs="Arial"/>
          <w:color w:val="000000"/>
          <w:lang w:val="en-US"/>
        </w:rPr>
        <w:t xml:space="preserve"> cancer</w:t>
      </w:r>
      <w:r w:rsidR="005C0186">
        <w:rPr>
          <w:rFonts w:eastAsia="Calibri" w:cs="Arial"/>
          <w:color w:val="000000"/>
          <w:lang w:val="en-US"/>
        </w:rPr>
        <w:t>,</w:t>
      </w:r>
      <w:r w:rsidRPr="00032FC4">
        <w:rPr>
          <w:rFonts w:eastAsia="Calibri" w:cs="Arial"/>
          <w:color w:val="000000"/>
          <w:lang w:val="en-US"/>
        </w:rPr>
        <w:t xml:space="preserve"> in which 50</w:t>
      </w:r>
      <w:r w:rsidR="00ED6332">
        <w:rPr>
          <w:rFonts w:eastAsia="Calibri" w:cs="Arial"/>
          <w:color w:val="000000"/>
          <w:lang w:val="en-US"/>
        </w:rPr>
        <w:t xml:space="preserve"> per cent</w:t>
      </w:r>
      <w:r w:rsidRPr="00032FC4">
        <w:rPr>
          <w:rFonts w:eastAsia="Calibri" w:cs="Arial"/>
          <w:color w:val="000000"/>
          <w:lang w:val="en-US"/>
        </w:rPr>
        <w:t xml:space="preserve"> of patients </w:t>
      </w:r>
      <w:r w:rsidR="00083A62" w:rsidRPr="00032FC4">
        <w:rPr>
          <w:rFonts w:eastAsia="Calibri" w:cs="Arial"/>
          <w:color w:val="000000"/>
          <w:lang w:val="en-US"/>
        </w:rPr>
        <w:t>were discussed at an MDM</w:t>
      </w:r>
      <w:r w:rsidRPr="00032FC4">
        <w:rPr>
          <w:rFonts w:eastAsia="Calibri" w:cs="Arial"/>
          <w:color w:val="000000"/>
          <w:lang w:val="en-US"/>
        </w:rPr>
        <w:t xml:space="preserve"> within </w:t>
      </w:r>
      <w:r w:rsidR="00032FC4" w:rsidRPr="00032FC4">
        <w:rPr>
          <w:rFonts w:eastAsia="Calibri" w:cs="Arial"/>
          <w:color w:val="000000"/>
          <w:lang w:val="en-US"/>
        </w:rPr>
        <w:t>16</w:t>
      </w:r>
      <w:r w:rsidRPr="00032FC4">
        <w:rPr>
          <w:rFonts w:eastAsia="Calibri" w:cs="Arial"/>
          <w:color w:val="000000"/>
          <w:lang w:val="en-US"/>
        </w:rPr>
        <w:t xml:space="preserve"> days</w:t>
      </w:r>
      <w:r w:rsidR="00BF66E9" w:rsidRPr="00032FC4">
        <w:rPr>
          <w:rFonts w:eastAsia="Calibri" w:cs="Arial"/>
          <w:color w:val="000000"/>
          <w:lang w:val="en-US"/>
        </w:rPr>
        <w:t xml:space="preserve"> (</w:t>
      </w:r>
      <w:r w:rsidR="00FE1B4D">
        <w:rPr>
          <w:rFonts w:eastAsia="Calibri" w:cs="Arial"/>
          <w:color w:val="000000"/>
          <w:lang w:val="en-US"/>
        </w:rPr>
        <w:t>IQR</w:t>
      </w:r>
      <w:r w:rsidR="00032FC4" w:rsidRPr="00032FC4">
        <w:rPr>
          <w:rFonts w:eastAsia="Calibri" w:cs="Arial"/>
          <w:color w:val="000000"/>
          <w:lang w:val="en-US"/>
        </w:rPr>
        <w:t xml:space="preserve"> 8</w:t>
      </w:r>
      <w:r w:rsidR="00A73C40">
        <w:rPr>
          <w:rFonts w:eastAsia="Calibri" w:cs="Arial"/>
          <w:color w:val="000000"/>
          <w:lang w:val="en-US"/>
        </w:rPr>
        <w:t>–</w:t>
      </w:r>
      <w:r w:rsidR="00032FC4" w:rsidRPr="00032FC4">
        <w:rPr>
          <w:rFonts w:eastAsia="Calibri" w:cs="Arial"/>
          <w:color w:val="000000"/>
          <w:lang w:val="en-US"/>
        </w:rPr>
        <w:t>28.5</w:t>
      </w:r>
      <w:r w:rsidR="00BF66E9" w:rsidRPr="00032FC4">
        <w:rPr>
          <w:rFonts w:eastAsia="Calibri" w:cs="Arial"/>
          <w:color w:val="000000"/>
          <w:lang w:val="en-US"/>
        </w:rPr>
        <w:t>)</w:t>
      </w:r>
      <w:r w:rsidRPr="00032FC4">
        <w:rPr>
          <w:rFonts w:eastAsia="Calibri" w:cs="Arial"/>
          <w:color w:val="000000"/>
          <w:lang w:val="en-US"/>
        </w:rPr>
        <w:t xml:space="preserve">. The average time from referral to MDM was </w:t>
      </w:r>
      <w:r w:rsidR="00032FC4" w:rsidRPr="00032FC4">
        <w:rPr>
          <w:rFonts w:eastAsia="Calibri" w:cs="Arial"/>
          <w:color w:val="000000"/>
          <w:lang w:val="en-US"/>
        </w:rPr>
        <w:t>3</w:t>
      </w:r>
      <w:r w:rsidR="00AD3579">
        <w:rPr>
          <w:rFonts w:eastAsia="Calibri" w:cs="Arial"/>
          <w:color w:val="000000"/>
          <w:lang w:val="en-US"/>
        </w:rPr>
        <w:t>9</w:t>
      </w:r>
      <w:r w:rsidR="00181FE1" w:rsidRPr="00032FC4">
        <w:rPr>
          <w:rFonts w:eastAsia="Calibri" w:cs="Arial"/>
          <w:color w:val="000000"/>
          <w:lang w:val="en-US"/>
        </w:rPr>
        <w:t xml:space="preserve"> </w:t>
      </w:r>
      <w:r w:rsidRPr="00032FC4">
        <w:rPr>
          <w:rFonts w:eastAsia="Calibri" w:cs="Arial"/>
          <w:color w:val="000000"/>
          <w:lang w:val="en-US"/>
        </w:rPr>
        <w:t>days for patients diagnosed with stomach cancer</w:t>
      </w:r>
      <w:r w:rsidR="005C0186">
        <w:rPr>
          <w:rFonts w:eastAsia="Calibri" w:cs="Arial"/>
          <w:color w:val="000000"/>
          <w:lang w:val="en-US"/>
        </w:rPr>
        <w:t>,</w:t>
      </w:r>
      <w:r w:rsidRPr="00032FC4">
        <w:rPr>
          <w:rFonts w:eastAsia="Calibri" w:cs="Arial"/>
          <w:color w:val="000000"/>
          <w:lang w:val="en-US"/>
        </w:rPr>
        <w:t xml:space="preserve"> </w:t>
      </w:r>
      <w:r w:rsidR="00C85981" w:rsidRPr="00032FC4">
        <w:rPr>
          <w:rFonts w:eastAsia="Calibri" w:cs="Arial"/>
          <w:color w:val="000000"/>
          <w:lang w:val="en-US"/>
        </w:rPr>
        <w:t>in which</w:t>
      </w:r>
      <w:r w:rsidRPr="00032FC4">
        <w:rPr>
          <w:rFonts w:eastAsia="Calibri" w:cs="Arial"/>
          <w:color w:val="000000"/>
          <w:lang w:val="en-US"/>
        </w:rPr>
        <w:t xml:space="preserve"> 50</w:t>
      </w:r>
      <w:r w:rsidR="00ED6332">
        <w:rPr>
          <w:rFonts w:eastAsia="Calibri" w:cs="Arial"/>
          <w:color w:val="000000"/>
          <w:lang w:val="en-US"/>
        </w:rPr>
        <w:t xml:space="preserve"> per cent</w:t>
      </w:r>
      <w:r w:rsidRPr="00032FC4">
        <w:rPr>
          <w:rFonts w:eastAsia="Calibri" w:cs="Arial"/>
          <w:color w:val="000000"/>
          <w:lang w:val="en-US"/>
        </w:rPr>
        <w:t xml:space="preserve"> of patients </w:t>
      </w:r>
      <w:r w:rsidR="00083A62" w:rsidRPr="00032FC4">
        <w:rPr>
          <w:rFonts w:eastAsia="Calibri" w:cs="Arial"/>
          <w:color w:val="000000"/>
          <w:lang w:val="en-US"/>
        </w:rPr>
        <w:t>were discussed at an MDM</w:t>
      </w:r>
      <w:r w:rsidRPr="00032FC4">
        <w:rPr>
          <w:rFonts w:eastAsia="Calibri" w:cs="Arial"/>
          <w:color w:val="000000"/>
          <w:lang w:val="en-US"/>
        </w:rPr>
        <w:t xml:space="preserve"> within </w:t>
      </w:r>
      <w:r w:rsidR="00032FC4" w:rsidRPr="00032FC4">
        <w:rPr>
          <w:rFonts w:eastAsia="Calibri" w:cs="Arial"/>
          <w:color w:val="000000"/>
          <w:lang w:val="en-US"/>
        </w:rPr>
        <w:t>18</w:t>
      </w:r>
      <w:r w:rsidRPr="00032FC4">
        <w:rPr>
          <w:rFonts w:eastAsia="Calibri" w:cs="Arial"/>
          <w:color w:val="000000"/>
          <w:lang w:val="en-US"/>
        </w:rPr>
        <w:t xml:space="preserve"> days</w:t>
      </w:r>
      <w:r w:rsidR="00032FC4" w:rsidRPr="00032FC4">
        <w:rPr>
          <w:rFonts w:eastAsia="Calibri" w:cs="Arial"/>
          <w:color w:val="000000"/>
          <w:lang w:val="en-US"/>
        </w:rPr>
        <w:t xml:space="preserve"> (</w:t>
      </w:r>
      <w:r w:rsidR="00FE1B4D">
        <w:rPr>
          <w:rFonts w:eastAsia="Calibri" w:cs="Arial"/>
          <w:color w:val="000000"/>
          <w:lang w:val="en-US"/>
        </w:rPr>
        <w:t>IQR</w:t>
      </w:r>
      <w:r w:rsidR="00032FC4" w:rsidRPr="00032FC4">
        <w:rPr>
          <w:rFonts w:eastAsia="Calibri" w:cs="Arial"/>
          <w:color w:val="000000"/>
          <w:lang w:val="en-US"/>
        </w:rPr>
        <w:t xml:space="preserve"> 7.5</w:t>
      </w:r>
      <w:r w:rsidR="00A73C40">
        <w:rPr>
          <w:rFonts w:eastAsia="Calibri" w:cs="Arial"/>
          <w:color w:val="000000"/>
          <w:lang w:val="en-US"/>
        </w:rPr>
        <w:t>–</w:t>
      </w:r>
      <w:r w:rsidR="00032FC4" w:rsidRPr="00032FC4">
        <w:rPr>
          <w:rFonts w:eastAsia="Calibri" w:cs="Arial"/>
          <w:color w:val="000000"/>
          <w:lang w:val="en-US"/>
        </w:rPr>
        <w:t>33</w:t>
      </w:r>
      <w:r w:rsidR="00BF66E9" w:rsidRPr="00032FC4">
        <w:rPr>
          <w:rFonts w:eastAsia="Calibri" w:cs="Arial"/>
          <w:color w:val="000000"/>
          <w:lang w:val="en-US"/>
        </w:rPr>
        <w:t>)</w:t>
      </w:r>
      <w:r w:rsidRPr="00032FC4">
        <w:rPr>
          <w:rFonts w:eastAsia="Calibri" w:cs="Arial"/>
          <w:color w:val="000000"/>
          <w:lang w:val="en-US"/>
        </w:rPr>
        <w:t>.</w:t>
      </w:r>
      <w:r>
        <w:rPr>
          <w:rFonts w:eastAsia="Calibri" w:cs="Arial"/>
          <w:color w:val="000000"/>
          <w:lang w:val="en-US"/>
        </w:rPr>
        <w:t xml:space="preserve"> </w:t>
      </w:r>
      <w:r w:rsidR="002C5473">
        <w:rPr>
          <w:rFonts w:eastAsia="Calibri" w:cs="Arial"/>
          <w:color w:val="000000"/>
          <w:lang w:val="en-US"/>
        </w:rPr>
        <w:t>Overall, this timeframe was achieved for 71 per cent of audited patients.</w:t>
      </w:r>
    </w:p>
    <w:p w14:paraId="5F04E7EF" w14:textId="7F505732" w:rsidR="00CD6191" w:rsidRDefault="00AE5B84" w:rsidP="00AE5B84">
      <w:pPr>
        <w:pStyle w:val="DHHSbody"/>
      </w:pPr>
      <w:r w:rsidRPr="00F13CD9">
        <w:rPr>
          <w:b/>
        </w:rPr>
        <w:t>Recommendation 3</w:t>
      </w:r>
      <w:r w:rsidR="00A144F1" w:rsidRPr="00F13CD9">
        <w:rPr>
          <w:b/>
        </w:rPr>
        <w:t>:</w:t>
      </w:r>
      <w:r w:rsidRPr="005738F2">
        <w:t xml:space="preserve"> Time </w:t>
      </w:r>
      <w:r w:rsidR="00CD6191" w:rsidRPr="005738F2">
        <w:t xml:space="preserve">from MDM to commencement of first treatment </w:t>
      </w:r>
      <w:r w:rsidR="00F92E6F">
        <w:rPr>
          <w:rFonts w:cs="Arial"/>
        </w:rPr>
        <w:t>≤</w:t>
      </w:r>
      <w:r w:rsidR="00CD6191" w:rsidRPr="005738F2">
        <w:t xml:space="preserve"> 14 </w:t>
      </w:r>
      <w:r w:rsidRPr="005738F2">
        <w:t>days</w:t>
      </w:r>
    </w:p>
    <w:p w14:paraId="5D1E1196" w14:textId="2F43DE73" w:rsidR="00083A62" w:rsidRPr="00083A62" w:rsidRDefault="00083A62" w:rsidP="00AE5B84">
      <w:pPr>
        <w:pStyle w:val="DHHSbody"/>
        <w:rPr>
          <w:rFonts w:eastAsia="Calibri" w:cs="Arial"/>
          <w:color w:val="000000"/>
          <w:lang w:val="en-US"/>
        </w:rPr>
      </w:pPr>
      <w:r w:rsidRPr="00032FC4">
        <w:rPr>
          <w:rFonts w:eastAsia="Calibri" w:cs="Arial"/>
          <w:color w:val="000000"/>
          <w:lang w:val="en-US"/>
        </w:rPr>
        <w:t xml:space="preserve">The average time </w:t>
      </w:r>
      <w:r w:rsidRPr="00032FC4">
        <w:t xml:space="preserve">from MDM to commencement of first treatment </w:t>
      </w:r>
      <w:r w:rsidRPr="00032FC4">
        <w:rPr>
          <w:rFonts w:eastAsia="Calibri" w:cs="Arial"/>
          <w:color w:val="000000"/>
          <w:lang w:val="en-US"/>
        </w:rPr>
        <w:t xml:space="preserve">was </w:t>
      </w:r>
      <w:r w:rsidR="00FC1AA5">
        <w:rPr>
          <w:rFonts w:eastAsia="Calibri" w:cs="Arial"/>
          <w:color w:val="000000"/>
          <w:lang w:val="en-US"/>
        </w:rPr>
        <w:t>28</w:t>
      </w:r>
      <w:r w:rsidRPr="00032FC4">
        <w:rPr>
          <w:rFonts w:eastAsia="Calibri" w:cs="Arial"/>
          <w:color w:val="000000"/>
          <w:lang w:val="en-US"/>
        </w:rPr>
        <w:t xml:space="preserve"> days for patients diagnosed with </w:t>
      </w:r>
      <w:proofErr w:type="spellStart"/>
      <w:r w:rsidRPr="00032FC4">
        <w:rPr>
          <w:rFonts w:eastAsia="Calibri" w:cs="Arial"/>
          <w:color w:val="000000"/>
          <w:lang w:val="en-US"/>
        </w:rPr>
        <w:t>oesophageal</w:t>
      </w:r>
      <w:proofErr w:type="spellEnd"/>
      <w:r w:rsidRPr="00032FC4">
        <w:rPr>
          <w:rFonts w:eastAsia="Calibri" w:cs="Arial"/>
          <w:color w:val="000000"/>
          <w:lang w:val="en-US"/>
        </w:rPr>
        <w:t xml:space="preserve"> cancer</w:t>
      </w:r>
      <w:r w:rsidR="005C0186">
        <w:rPr>
          <w:rFonts w:eastAsia="Calibri" w:cs="Arial"/>
          <w:color w:val="000000"/>
          <w:lang w:val="en-US"/>
        </w:rPr>
        <w:t>,</w:t>
      </w:r>
      <w:r w:rsidRPr="00032FC4">
        <w:rPr>
          <w:rFonts w:eastAsia="Calibri" w:cs="Arial"/>
          <w:color w:val="000000"/>
          <w:lang w:val="en-US"/>
        </w:rPr>
        <w:t xml:space="preserve"> </w:t>
      </w:r>
      <w:r w:rsidR="00181FE1" w:rsidRPr="00032FC4">
        <w:rPr>
          <w:rFonts w:eastAsia="Calibri" w:cs="Arial"/>
          <w:color w:val="000000"/>
          <w:lang w:val="en-US"/>
        </w:rPr>
        <w:t>in which</w:t>
      </w:r>
      <w:r w:rsidRPr="00032FC4">
        <w:rPr>
          <w:rFonts w:eastAsia="Calibri" w:cs="Arial"/>
          <w:color w:val="000000"/>
          <w:lang w:val="en-US"/>
        </w:rPr>
        <w:t xml:space="preserve"> 50</w:t>
      </w:r>
      <w:r w:rsidR="00ED6332">
        <w:rPr>
          <w:rFonts w:eastAsia="Calibri" w:cs="Arial"/>
          <w:color w:val="000000"/>
          <w:lang w:val="en-US"/>
        </w:rPr>
        <w:t xml:space="preserve"> per cent</w:t>
      </w:r>
      <w:r w:rsidRPr="00032FC4">
        <w:rPr>
          <w:rFonts w:eastAsia="Calibri" w:cs="Arial"/>
          <w:color w:val="000000"/>
          <w:lang w:val="en-US"/>
        </w:rPr>
        <w:t xml:space="preserve"> of patients </w:t>
      </w:r>
      <w:r w:rsidR="005C0186">
        <w:rPr>
          <w:rFonts w:eastAsia="Calibri" w:cs="Arial"/>
          <w:color w:val="000000"/>
          <w:lang w:val="en-US"/>
        </w:rPr>
        <w:t>began</w:t>
      </w:r>
      <w:r w:rsidR="005C0186" w:rsidRPr="00032FC4">
        <w:rPr>
          <w:rFonts w:eastAsia="Calibri" w:cs="Arial"/>
          <w:color w:val="000000"/>
          <w:lang w:val="en-US"/>
        </w:rPr>
        <w:t xml:space="preserve"> </w:t>
      </w:r>
      <w:r w:rsidRPr="00032FC4">
        <w:rPr>
          <w:rFonts w:eastAsia="Calibri" w:cs="Arial"/>
          <w:color w:val="000000"/>
          <w:lang w:val="en-US"/>
        </w:rPr>
        <w:t xml:space="preserve">treatment within </w:t>
      </w:r>
      <w:r w:rsidR="00FC1AA5">
        <w:rPr>
          <w:rFonts w:eastAsia="Calibri" w:cs="Arial"/>
          <w:color w:val="000000"/>
          <w:lang w:val="en-US"/>
        </w:rPr>
        <w:t>25</w:t>
      </w:r>
      <w:r w:rsidR="007C7F5F" w:rsidRPr="00032FC4">
        <w:rPr>
          <w:rFonts w:eastAsia="Calibri" w:cs="Arial"/>
          <w:color w:val="000000"/>
          <w:lang w:val="en-US"/>
        </w:rPr>
        <w:t xml:space="preserve"> days</w:t>
      </w:r>
      <w:r w:rsidR="00BF66E9" w:rsidRPr="00032FC4">
        <w:rPr>
          <w:rFonts w:eastAsia="Calibri" w:cs="Arial"/>
          <w:color w:val="000000"/>
          <w:lang w:val="en-US"/>
        </w:rPr>
        <w:t xml:space="preserve"> (</w:t>
      </w:r>
      <w:r w:rsidR="00FE1B4D">
        <w:rPr>
          <w:rFonts w:eastAsia="Calibri" w:cs="Arial"/>
          <w:color w:val="000000"/>
          <w:lang w:val="en-US"/>
        </w:rPr>
        <w:t>IQR</w:t>
      </w:r>
      <w:r w:rsidR="00BF66E9" w:rsidRPr="00032FC4">
        <w:rPr>
          <w:rFonts w:eastAsia="Calibri" w:cs="Arial"/>
          <w:color w:val="000000"/>
          <w:lang w:val="en-US"/>
        </w:rPr>
        <w:t xml:space="preserve"> </w:t>
      </w:r>
      <w:r w:rsidR="00F62519">
        <w:rPr>
          <w:rFonts w:eastAsia="Calibri" w:cs="Arial"/>
          <w:color w:val="000000"/>
          <w:lang w:val="en-US"/>
        </w:rPr>
        <w:t>14.5–37.5</w:t>
      </w:r>
      <w:r w:rsidR="00BF66E9" w:rsidRPr="00032FC4">
        <w:rPr>
          <w:rFonts w:eastAsia="Calibri" w:cs="Arial"/>
          <w:color w:val="000000"/>
          <w:lang w:val="en-US"/>
        </w:rPr>
        <w:t>)</w:t>
      </w:r>
      <w:r w:rsidR="007C7F5F" w:rsidRPr="00032FC4">
        <w:rPr>
          <w:rFonts w:eastAsia="Calibri" w:cs="Arial"/>
          <w:color w:val="000000"/>
          <w:lang w:val="en-US"/>
        </w:rPr>
        <w:t xml:space="preserve">. The average time </w:t>
      </w:r>
      <w:r w:rsidR="00181FE1" w:rsidRPr="00032FC4">
        <w:t xml:space="preserve">from MDM to commencement of first treatment </w:t>
      </w:r>
      <w:r w:rsidRPr="00032FC4">
        <w:rPr>
          <w:rFonts w:eastAsia="Calibri" w:cs="Arial"/>
          <w:color w:val="000000"/>
          <w:lang w:val="en-US"/>
        </w:rPr>
        <w:t>was</w:t>
      </w:r>
      <w:r w:rsidR="00701E67">
        <w:rPr>
          <w:rFonts w:eastAsia="Calibri" w:cs="Arial"/>
          <w:color w:val="000000"/>
          <w:lang w:val="en-US"/>
        </w:rPr>
        <w:t xml:space="preserve"> 25</w:t>
      </w:r>
      <w:r w:rsidRPr="00032FC4">
        <w:rPr>
          <w:rFonts w:eastAsia="Calibri" w:cs="Arial"/>
          <w:color w:val="000000"/>
          <w:lang w:val="en-US"/>
        </w:rPr>
        <w:t xml:space="preserve"> days for patients diagnosed with stomach cancer</w:t>
      </w:r>
      <w:r w:rsidR="005C0186">
        <w:rPr>
          <w:rFonts w:eastAsia="Calibri" w:cs="Arial"/>
          <w:color w:val="000000"/>
          <w:lang w:val="en-US"/>
        </w:rPr>
        <w:t>,</w:t>
      </w:r>
      <w:r w:rsidRPr="00032FC4">
        <w:rPr>
          <w:rFonts w:eastAsia="Calibri" w:cs="Arial"/>
          <w:color w:val="000000"/>
          <w:lang w:val="en-US"/>
        </w:rPr>
        <w:t xml:space="preserve"> in which 50</w:t>
      </w:r>
      <w:r w:rsidR="00ED6332">
        <w:rPr>
          <w:rFonts w:eastAsia="Calibri" w:cs="Arial"/>
          <w:color w:val="000000"/>
          <w:lang w:val="en-US"/>
        </w:rPr>
        <w:t xml:space="preserve"> per cent</w:t>
      </w:r>
      <w:r w:rsidRPr="00032FC4">
        <w:rPr>
          <w:rFonts w:eastAsia="Calibri" w:cs="Arial"/>
          <w:color w:val="000000"/>
          <w:lang w:val="en-US"/>
        </w:rPr>
        <w:t xml:space="preserve"> of patients </w:t>
      </w:r>
      <w:r w:rsidR="005C0186">
        <w:rPr>
          <w:rFonts w:eastAsia="Calibri" w:cs="Arial"/>
          <w:color w:val="000000"/>
          <w:lang w:val="en-US"/>
        </w:rPr>
        <w:t>began</w:t>
      </w:r>
      <w:r w:rsidR="005C0186" w:rsidRPr="00032FC4">
        <w:rPr>
          <w:rFonts w:eastAsia="Calibri" w:cs="Arial"/>
          <w:color w:val="000000"/>
          <w:lang w:val="en-US"/>
        </w:rPr>
        <w:t xml:space="preserve"> </w:t>
      </w:r>
      <w:r w:rsidRPr="00032FC4">
        <w:rPr>
          <w:rFonts w:eastAsia="Calibri" w:cs="Arial"/>
          <w:color w:val="000000"/>
          <w:lang w:val="en-US"/>
        </w:rPr>
        <w:t xml:space="preserve">treatment within </w:t>
      </w:r>
      <w:r w:rsidR="00701E67">
        <w:rPr>
          <w:rFonts w:eastAsia="Calibri" w:cs="Arial"/>
          <w:color w:val="000000"/>
          <w:lang w:val="en-US"/>
        </w:rPr>
        <w:t>23</w:t>
      </w:r>
      <w:r w:rsidRPr="00032FC4">
        <w:rPr>
          <w:rFonts w:eastAsia="Calibri" w:cs="Arial"/>
          <w:color w:val="000000"/>
          <w:lang w:val="en-US"/>
        </w:rPr>
        <w:t xml:space="preserve"> days</w:t>
      </w:r>
      <w:r w:rsidR="00032FC4" w:rsidRPr="00032FC4">
        <w:rPr>
          <w:rFonts w:eastAsia="Calibri" w:cs="Arial"/>
          <w:color w:val="000000"/>
          <w:lang w:val="en-US"/>
        </w:rPr>
        <w:t xml:space="preserve"> (</w:t>
      </w:r>
      <w:r w:rsidR="00FE1B4D">
        <w:rPr>
          <w:rFonts w:eastAsia="Calibri" w:cs="Arial"/>
          <w:color w:val="000000"/>
          <w:lang w:val="en-US"/>
        </w:rPr>
        <w:t>IQR</w:t>
      </w:r>
      <w:r w:rsidR="00032FC4" w:rsidRPr="00032FC4">
        <w:rPr>
          <w:rFonts w:eastAsia="Calibri" w:cs="Arial"/>
          <w:color w:val="000000"/>
          <w:lang w:val="en-US"/>
        </w:rPr>
        <w:t xml:space="preserve"> </w:t>
      </w:r>
      <w:r w:rsidR="00F62519">
        <w:rPr>
          <w:rFonts w:eastAsia="Calibri" w:cs="Arial"/>
          <w:color w:val="000000"/>
          <w:lang w:val="en-US"/>
        </w:rPr>
        <w:t>13.5–34.25</w:t>
      </w:r>
      <w:r w:rsidR="00BF66E9" w:rsidRPr="00032FC4">
        <w:rPr>
          <w:rFonts w:eastAsia="Calibri" w:cs="Arial"/>
          <w:color w:val="000000"/>
          <w:lang w:val="en-US"/>
        </w:rPr>
        <w:t>)</w:t>
      </w:r>
      <w:r w:rsidRPr="00032FC4">
        <w:rPr>
          <w:rFonts w:eastAsia="Calibri" w:cs="Arial"/>
          <w:color w:val="000000"/>
          <w:lang w:val="en-US"/>
        </w:rPr>
        <w:t>.</w:t>
      </w:r>
      <w:r>
        <w:rPr>
          <w:rFonts w:eastAsia="Calibri" w:cs="Arial"/>
          <w:color w:val="000000"/>
          <w:lang w:val="en-US"/>
        </w:rPr>
        <w:t xml:space="preserve"> </w:t>
      </w:r>
      <w:r w:rsidR="002C5473">
        <w:rPr>
          <w:rFonts w:eastAsia="Calibri" w:cs="Arial"/>
          <w:color w:val="000000"/>
          <w:lang w:val="en-US"/>
        </w:rPr>
        <w:t>Overall, this timeframe was achieved for 26 per cent of audited patients.</w:t>
      </w:r>
    </w:p>
    <w:p w14:paraId="64F82EAC" w14:textId="59B9A1EA" w:rsidR="00AE5B84" w:rsidRDefault="00AE5B84" w:rsidP="005738F2">
      <w:pPr>
        <w:pStyle w:val="DHHSbody"/>
      </w:pPr>
      <w:r w:rsidRPr="00F13CD9">
        <w:rPr>
          <w:b/>
        </w:rPr>
        <w:t>Recommendation 4</w:t>
      </w:r>
      <w:r w:rsidR="00A144F1" w:rsidRPr="00F13CD9">
        <w:rPr>
          <w:b/>
        </w:rPr>
        <w:t>:</w:t>
      </w:r>
      <w:r w:rsidRPr="005738F2">
        <w:t xml:space="preserve"> Time </w:t>
      </w:r>
      <w:r w:rsidR="00CD6191" w:rsidRPr="005738F2">
        <w:t>from diagnosis</w:t>
      </w:r>
      <w:r w:rsidR="003279A8">
        <w:t xml:space="preserve"> </w:t>
      </w:r>
      <w:r w:rsidR="00CD6191" w:rsidRPr="005738F2">
        <w:t xml:space="preserve">to MDM </w:t>
      </w:r>
      <w:r w:rsidR="00F92E6F">
        <w:rPr>
          <w:rFonts w:cs="Arial"/>
        </w:rPr>
        <w:t>≤</w:t>
      </w:r>
      <w:r w:rsidR="00CD6191" w:rsidRPr="005738F2">
        <w:t xml:space="preserve"> </w:t>
      </w:r>
      <w:r w:rsidRPr="005738F2">
        <w:t>14 days</w:t>
      </w:r>
    </w:p>
    <w:p w14:paraId="4B89ED68" w14:textId="4FAF45B2" w:rsidR="00083A62" w:rsidRPr="00083A62" w:rsidRDefault="00083A62" w:rsidP="005738F2">
      <w:pPr>
        <w:pStyle w:val="DHHSbody"/>
        <w:rPr>
          <w:rFonts w:eastAsia="Calibri" w:cs="Arial"/>
          <w:color w:val="000000"/>
          <w:lang w:val="en-US"/>
        </w:rPr>
      </w:pPr>
      <w:r w:rsidRPr="007B4890">
        <w:rPr>
          <w:rFonts w:eastAsia="Calibri" w:cs="Arial"/>
          <w:color w:val="000000"/>
          <w:lang w:val="en-US"/>
        </w:rPr>
        <w:t>The average time</w:t>
      </w:r>
      <w:r w:rsidR="000B54D4" w:rsidRPr="007B4890">
        <w:rPr>
          <w:rFonts w:eastAsia="Calibri" w:cs="Arial"/>
          <w:color w:val="000000"/>
          <w:lang w:val="en-US"/>
        </w:rPr>
        <w:t xml:space="preserve"> from diagnosis </w:t>
      </w:r>
      <w:r w:rsidRPr="007B4890">
        <w:rPr>
          <w:rFonts w:eastAsia="Calibri" w:cs="Arial"/>
          <w:color w:val="000000"/>
          <w:lang w:val="en-US"/>
        </w:rPr>
        <w:t xml:space="preserve">to MDM was </w:t>
      </w:r>
      <w:r w:rsidR="007B4890" w:rsidRPr="007B4890">
        <w:rPr>
          <w:rFonts w:eastAsia="Calibri" w:cs="Arial"/>
          <w:color w:val="000000"/>
          <w:lang w:val="en-US"/>
        </w:rPr>
        <w:t>20</w:t>
      </w:r>
      <w:r w:rsidR="000B54D4" w:rsidRPr="007B4890">
        <w:rPr>
          <w:rFonts w:eastAsia="Calibri" w:cs="Arial"/>
          <w:color w:val="000000"/>
          <w:lang w:val="en-US"/>
        </w:rPr>
        <w:t xml:space="preserve"> </w:t>
      </w:r>
      <w:r w:rsidRPr="007B4890">
        <w:rPr>
          <w:rFonts w:eastAsia="Calibri" w:cs="Arial"/>
          <w:color w:val="000000"/>
          <w:lang w:val="en-US"/>
        </w:rPr>
        <w:t xml:space="preserve">days for patients diagnosed with </w:t>
      </w:r>
      <w:proofErr w:type="spellStart"/>
      <w:r w:rsidRPr="007B4890">
        <w:rPr>
          <w:rFonts w:eastAsia="Calibri" w:cs="Arial"/>
          <w:color w:val="000000"/>
          <w:lang w:val="en-US"/>
        </w:rPr>
        <w:t>oesophageal</w:t>
      </w:r>
      <w:proofErr w:type="spellEnd"/>
      <w:r w:rsidRPr="007B4890">
        <w:rPr>
          <w:rFonts w:eastAsia="Calibri" w:cs="Arial"/>
          <w:color w:val="000000"/>
          <w:lang w:val="en-US"/>
        </w:rPr>
        <w:t xml:space="preserve"> cancer</w:t>
      </w:r>
      <w:r w:rsidR="005C0186">
        <w:rPr>
          <w:rFonts w:eastAsia="Calibri" w:cs="Arial"/>
          <w:color w:val="000000"/>
          <w:lang w:val="en-US"/>
        </w:rPr>
        <w:t>,</w:t>
      </w:r>
      <w:r w:rsidRPr="007B4890">
        <w:rPr>
          <w:rFonts w:eastAsia="Calibri" w:cs="Arial"/>
          <w:color w:val="000000"/>
          <w:lang w:val="en-US"/>
        </w:rPr>
        <w:t xml:space="preserve"> in which 50</w:t>
      </w:r>
      <w:r w:rsidR="00ED6332">
        <w:rPr>
          <w:rFonts w:eastAsia="Calibri" w:cs="Arial"/>
          <w:color w:val="000000"/>
          <w:lang w:val="en-US"/>
        </w:rPr>
        <w:t xml:space="preserve"> per cent</w:t>
      </w:r>
      <w:r w:rsidRPr="007B4890">
        <w:rPr>
          <w:rFonts w:eastAsia="Calibri" w:cs="Arial"/>
          <w:color w:val="000000"/>
          <w:lang w:val="en-US"/>
        </w:rPr>
        <w:t xml:space="preserve"> of patients </w:t>
      </w:r>
      <w:r w:rsidR="00C85981" w:rsidRPr="007B4890">
        <w:rPr>
          <w:rFonts w:eastAsia="Calibri" w:cs="Arial"/>
          <w:color w:val="000000"/>
          <w:lang w:val="en-US"/>
        </w:rPr>
        <w:t xml:space="preserve">were discussed at an MDM </w:t>
      </w:r>
      <w:r w:rsidRPr="007B4890">
        <w:rPr>
          <w:rFonts w:eastAsia="Calibri" w:cs="Arial"/>
          <w:color w:val="000000"/>
          <w:lang w:val="en-US"/>
        </w:rPr>
        <w:t xml:space="preserve">within </w:t>
      </w:r>
      <w:r w:rsidR="000B54D4" w:rsidRPr="007B4890">
        <w:rPr>
          <w:rFonts w:eastAsia="Calibri" w:cs="Arial"/>
          <w:color w:val="000000"/>
          <w:lang w:val="en-US"/>
        </w:rPr>
        <w:t>13</w:t>
      </w:r>
      <w:r w:rsidRPr="007B4890">
        <w:rPr>
          <w:rFonts w:eastAsia="Calibri" w:cs="Arial"/>
          <w:color w:val="000000"/>
          <w:lang w:val="en-US"/>
        </w:rPr>
        <w:t xml:space="preserve"> days</w:t>
      </w:r>
      <w:r w:rsidR="007B4890" w:rsidRPr="007B4890">
        <w:rPr>
          <w:rFonts w:eastAsia="Calibri" w:cs="Arial"/>
          <w:color w:val="000000"/>
          <w:lang w:val="en-US"/>
        </w:rPr>
        <w:t xml:space="preserve"> (interquartile range 6</w:t>
      </w:r>
      <w:r w:rsidR="00A144F1">
        <w:rPr>
          <w:rFonts w:eastAsia="Calibri" w:cs="Arial"/>
          <w:color w:val="000000"/>
          <w:lang w:val="en-US"/>
        </w:rPr>
        <w:t>–</w:t>
      </w:r>
      <w:r w:rsidR="007B4890" w:rsidRPr="007B4890">
        <w:rPr>
          <w:rFonts w:eastAsia="Calibri" w:cs="Arial"/>
          <w:color w:val="000000"/>
          <w:lang w:val="en-US"/>
        </w:rPr>
        <w:t>22</w:t>
      </w:r>
      <w:r w:rsidR="00BF66E9" w:rsidRPr="007B4890">
        <w:rPr>
          <w:rFonts w:eastAsia="Calibri" w:cs="Arial"/>
          <w:color w:val="000000"/>
          <w:lang w:val="en-US"/>
        </w:rPr>
        <w:t>)</w:t>
      </w:r>
      <w:r w:rsidRPr="007B4890">
        <w:rPr>
          <w:rFonts w:eastAsia="Calibri" w:cs="Arial"/>
          <w:color w:val="000000"/>
          <w:lang w:val="en-US"/>
        </w:rPr>
        <w:t xml:space="preserve">. The average time from </w:t>
      </w:r>
      <w:r w:rsidR="000B54D4" w:rsidRPr="007B4890">
        <w:rPr>
          <w:rFonts w:eastAsia="Calibri" w:cs="Arial"/>
          <w:color w:val="000000"/>
          <w:lang w:val="en-US"/>
        </w:rPr>
        <w:t>diagnosis to</w:t>
      </w:r>
      <w:r w:rsidRPr="007B4890">
        <w:rPr>
          <w:rFonts w:eastAsia="Calibri" w:cs="Arial"/>
          <w:color w:val="000000"/>
          <w:lang w:val="en-US"/>
        </w:rPr>
        <w:t xml:space="preserve"> MDM was </w:t>
      </w:r>
      <w:r w:rsidR="007B4890" w:rsidRPr="007B4890">
        <w:rPr>
          <w:rFonts w:eastAsia="Calibri" w:cs="Arial"/>
          <w:color w:val="000000"/>
          <w:lang w:val="en-US"/>
        </w:rPr>
        <w:t>2</w:t>
      </w:r>
      <w:r w:rsidR="00AD3579">
        <w:rPr>
          <w:rFonts w:eastAsia="Calibri" w:cs="Arial"/>
          <w:color w:val="000000"/>
          <w:lang w:val="en-US"/>
        </w:rPr>
        <w:t>1</w:t>
      </w:r>
      <w:r w:rsidR="008F17F8" w:rsidRPr="007B4890">
        <w:rPr>
          <w:rFonts w:eastAsia="Calibri" w:cs="Arial"/>
          <w:color w:val="000000"/>
          <w:lang w:val="en-US"/>
        </w:rPr>
        <w:t xml:space="preserve"> </w:t>
      </w:r>
      <w:r w:rsidRPr="007B4890">
        <w:rPr>
          <w:rFonts w:eastAsia="Calibri" w:cs="Arial"/>
          <w:color w:val="000000"/>
          <w:lang w:val="en-US"/>
        </w:rPr>
        <w:t>days for patients diagnosed with stomach cancer</w:t>
      </w:r>
      <w:r w:rsidR="005C0186">
        <w:rPr>
          <w:rFonts w:eastAsia="Calibri" w:cs="Arial"/>
          <w:color w:val="000000"/>
          <w:lang w:val="en-US"/>
        </w:rPr>
        <w:t>,</w:t>
      </w:r>
      <w:r w:rsidRPr="007B4890">
        <w:rPr>
          <w:rFonts w:eastAsia="Calibri" w:cs="Arial"/>
          <w:color w:val="000000"/>
          <w:lang w:val="en-US"/>
        </w:rPr>
        <w:t xml:space="preserve"> in which 50</w:t>
      </w:r>
      <w:r w:rsidR="00ED6332">
        <w:rPr>
          <w:rFonts w:eastAsia="Calibri" w:cs="Arial"/>
          <w:color w:val="000000"/>
          <w:lang w:val="en-US"/>
        </w:rPr>
        <w:t xml:space="preserve"> per cent</w:t>
      </w:r>
      <w:r w:rsidRPr="007B4890">
        <w:rPr>
          <w:rFonts w:eastAsia="Calibri" w:cs="Arial"/>
          <w:color w:val="000000"/>
          <w:lang w:val="en-US"/>
        </w:rPr>
        <w:t xml:space="preserve"> of patients </w:t>
      </w:r>
      <w:r w:rsidR="00C85981" w:rsidRPr="007B4890">
        <w:rPr>
          <w:rFonts w:eastAsia="Calibri" w:cs="Arial"/>
          <w:color w:val="000000"/>
          <w:lang w:val="en-US"/>
        </w:rPr>
        <w:t xml:space="preserve">were discussed at an MDM </w:t>
      </w:r>
      <w:r w:rsidRPr="007B4890">
        <w:rPr>
          <w:rFonts w:eastAsia="Calibri" w:cs="Arial"/>
          <w:color w:val="000000"/>
          <w:lang w:val="en-US"/>
        </w:rPr>
        <w:t xml:space="preserve">within </w:t>
      </w:r>
      <w:r w:rsidR="007B4890" w:rsidRPr="007B4890">
        <w:rPr>
          <w:rFonts w:eastAsia="Calibri" w:cs="Arial"/>
          <w:color w:val="000000"/>
          <w:lang w:val="en-US"/>
        </w:rPr>
        <w:t>14</w:t>
      </w:r>
      <w:r w:rsidRPr="007B4890">
        <w:rPr>
          <w:rFonts w:eastAsia="Calibri" w:cs="Arial"/>
          <w:color w:val="000000"/>
          <w:lang w:val="en-US"/>
        </w:rPr>
        <w:t xml:space="preserve"> days</w:t>
      </w:r>
      <w:r w:rsidR="00BF66E9" w:rsidRPr="007B4890">
        <w:rPr>
          <w:rFonts w:eastAsia="Calibri" w:cs="Arial"/>
          <w:color w:val="000000"/>
          <w:lang w:val="en-US"/>
        </w:rPr>
        <w:t xml:space="preserve"> (interquartile range 7</w:t>
      </w:r>
      <w:r w:rsidR="00A144F1">
        <w:rPr>
          <w:rFonts w:eastAsia="Calibri" w:cs="Arial"/>
          <w:color w:val="000000"/>
          <w:lang w:val="en-US"/>
        </w:rPr>
        <w:t>–</w:t>
      </w:r>
      <w:r w:rsidR="00BF66E9" w:rsidRPr="007B4890">
        <w:rPr>
          <w:rFonts w:eastAsia="Calibri" w:cs="Arial"/>
          <w:color w:val="000000"/>
          <w:lang w:val="en-US"/>
        </w:rPr>
        <w:t>26)</w:t>
      </w:r>
      <w:r w:rsidRPr="007B4890">
        <w:rPr>
          <w:rFonts w:eastAsia="Calibri" w:cs="Arial"/>
          <w:color w:val="000000"/>
          <w:lang w:val="en-US"/>
        </w:rPr>
        <w:t>.</w:t>
      </w:r>
      <w:r w:rsidR="002C5473" w:rsidRPr="002C5473">
        <w:rPr>
          <w:rFonts w:eastAsia="Calibri" w:cs="Arial"/>
          <w:color w:val="000000"/>
          <w:lang w:val="en-US"/>
        </w:rPr>
        <w:t xml:space="preserve"> </w:t>
      </w:r>
      <w:r w:rsidR="002C5473">
        <w:rPr>
          <w:rFonts w:eastAsia="Calibri" w:cs="Arial"/>
          <w:color w:val="000000"/>
          <w:lang w:val="en-US"/>
        </w:rPr>
        <w:t>Overall, this timeframe was achieved for 52 per cent of audited patients.</w:t>
      </w:r>
      <w:r>
        <w:rPr>
          <w:rFonts w:eastAsia="Calibri" w:cs="Arial"/>
          <w:color w:val="000000"/>
          <w:lang w:val="en-US"/>
        </w:rPr>
        <w:t xml:space="preserve"> </w:t>
      </w:r>
    </w:p>
    <w:p w14:paraId="487440EB" w14:textId="1211A2BF" w:rsidR="00CD6191" w:rsidRDefault="00AE5B84" w:rsidP="005738F2">
      <w:pPr>
        <w:pStyle w:val="DHHSbody"/>
      </w:pPr>
      <w:r w:rsidRPr="00F13CD9">
        <w:rPr>
          <w:b/>
        </w:rPr>
        <w:t>Recommendation 5</w:t>
      </w:r>
      <w:r w:rsidR="00A144F1" w:rsidRPr="00F13CD9">
        <w:rPr>
          <w:b/>
        </w:rPr>
        <w:t>:</w:t>
      </w:r>
      <w:r w:rsidRPr="005738F2">
        <w:t xml:space="preserve"> Time </w:t>
      </w:r>
      <w:r w:rsidR="00CD6191" w:rsidRPr="005738F2">
        <w:t xml:space="preserve">from diagnosis to commencement </w:t>
      </w:r>
      <w:r w:rsidRPr="005738F2">
        <w:t xml:space="preserve">of </w:t>
      </w:r>
      <w:r w:rsidR="00CD6191" w:rsidRPr="005738F2">
        <w:t xml:space="preserve">first treatment </w:t>
      </w:r>
      <w:r w:rsidR="00F92E6F">
        <w:rPr>
          <w:rFonts w:cs="Arial"/>
        </w:rPr>
        <w:t>≤</w:t>
      </w:r>
      <w:r w:rsidR="00CD6191" w:rsidRPr="005738F2">
        <w:t xml:space="preserve"> </w:t>
      </w:r>
      <w:r w:rsidRPr="005738F2">
        <w:t>28 days</w:t>
      </w:r>
    </w:p>
    <w:p w14:paraId="025EF15D" w14:textId="51BEB5FA" w:rsidR="00083A62" w:rsidRPr="00816EE1" w:rsidRDefault="00083A62" w:rsidP="00083A62">
      <w:pPr>
        <w:pStyle w:val="DHHSbody"/>
        <w:rPr>
          <w:rFonts w:eastAsia="Calibri" w:cs="Arial"/>
          <w:color w:val="000000"/>
          <w:lang w:val="en-US"/>
        </w:rPr>
      </w:pPr>
      <w:r w:rsidRPr="004722ED">
        <w:rPr>
          <w:rFonts w:eastAsia="Calibri" w:cs="Arial"/>
          <w:color w:val="000000"/>
          <w:lang w:val="en-US"/>
        </w:rPr>
        <w:t xml:space="preserve">The average time from diagnosis to commencement of first treatment was </w:t>
      </w:r>
      <w:r w:rsidR="007B4890" w:rsidRPr="004722ED">
        <w:rPr>
          <w:rFonts w:eastAsia="Calibri" w:cs="Arial"/>
          <w:color w:val="000000"/>
          <w:lang w:val="en-US"/>
        </w:rPr>
        <w:t>3</w:t>
      </w:r>
      <w:r w:rsidR="00AD3579">
        <w:rPr>
          <w:rFonts w:eastAsia="Calibri" w:cs="Arial"/>
          <w:color w:val="000000"/>
          <w:lang w:val="en-US"/>
        </w:rPr>
        <w:t>8</w:t>
      </w:r>
      <w:r w:rsidRPr="004722ED">
        <w:rPr>
          <w:rFonts w:eastAsia="Calibri" w:cs="Arial"/>
          <w:color w:val="000000"/>
          <w:lang w:val="en-US"/>
        </w:rPr>
        <w:t xml:space="preserve"> days for patients diagnosed with oesophageal cancer</w:t>
      </w:r>
      <w:r w:rsidR="005C0186">
        <w:rPr>
          <w:rFonts w:eastAsia="Calibri" w:cs="Arial"/>
          <w:color w:val="000000"/>
          <w:lang w:val="en-US"/>
        </w:rPr>
        <w:t>,</w:t>
      </w:r>
      <w:r w:rsidRPr="004722ED">
        <w:rPr>
          <w:rFonts w:eastAsia="Calibri" w:cs="Arial"/>
          <w:color w:val="000000"/>
          <w:lang w:val="en-US"/>
        </w:rPr>
        <w:t xml:space="preserve"> in which 50</w:t>
      </w:r>
      <w:r w:rsidR="00ED6332">
        <w:rPr>
          <w:rFonts w:eastAsia="Calibri" w:cs="Arial"/>
          <w:color w:val="000000"/>
          <w:lang w:val="en-US"/>
        </w:rPr>
        <w:t xml:space="preserve"> per cent</w:t>
      </w:r>
      <w:r w:rsidRPr="004722ED">
        <w:rPr>
          <w:rFonts w:eastAsia="Calibri" w:cs="Arial"/>
          <w:color w:val="000000"/>
          <w:lang w:val="en-US"/>
        </w:rPr>
        <w:t xml:space="preserve"> of patients </w:t>
      </w:r>
      <w:r w:rsidR="005C0186">
        <w:rPr>
          <w:rFonts w:eastAsia="Calibri" w:cs="Arial"/>
          <w:color w:val="000000"/>
          <w:lang w:val="en-US"/>
        </w:rPr>
        <w:t>began</w:t>
      </w:r>
      <w:r w:rsidR="005C0186" w:rsidRPr="004722ED">
        <w:rPr>
          <w:rFonts w:eastAsia="Calibri" w:cs="Arial"/>
          <w:color w:val="000000"/>
          <w:lang w:val="en-US"/>
        </w:rPr>
        <w:t xml:space="preserve"> </w:t>
      </w:r>
      <w:r w:rsidRPr="004722ED">
        <w:rPr>
          <w:rFonts w:eastAsia="Calibri" w:cs="Arial"/>
          <w:color w:val="000000"/>
          <w:lang w:val="en-US"/>
        </w:rPr>
        <w:t xml:space="preserve">treatment within </w:t>
      </w:r>
      <w:r w:rsidR="007B4890" w:rsidRPr="004722ED">
        <w:rPr>
          <w:rFonts w:eastAsia="Calibri" w:cs="Arial"/>
          <w:color w:val="000000"/>
          <w:lang w:val="en-US"/>
        </w:rPr>
        <w:t>35</w:t>
      </w:r>
      <w:r w:rsidRPr="004722ED">
        <w:rPr>
          <w:rFonts w:eastAsia="Calibri" w:cs="Arial"/>
          <w:color w:val="000000"/>
          <w:lang w:val="en-US"/>
        </w:rPr>
        <w:t xml:space="preserve"> days</w:t>
      </w:r>
      <w:r w:rsidR="00BF66E9" w:rsidRPr="004722ED">
        <w:rPr>
          <w:rFonts w:eastAsia="Calibri" w:cs="Arial"/>
          <w:color w:val="000000"/>
          <w:lang w:val="en-US"/>
        </w:rPr>
        <w:t xml:space="preserve"> (</w:t>
      </w:r>
      <w:r w:rsidR="005C0186">
        <w:rPr>
          <w:rFonts w:eastAsia="Calibri" w:cs="Arial"/>
          <w:color w:val="000000"/>
          <w:lang w:val="en-US"/>
        </w:rPr>
        <w:t>IQR</w:t>
      </w:r>
      <w:r w:rsidR="00BF66E9" w:rsidRPr="004722ED">
        <w:rPr>
          <w:rFonts w:eastAsia="Calibri" w:cs="Arial"/>
          <w:color w:val="000000"/>
          <w:lang w:val="en-US"/>
        </w:rPr>
        <w:t xml:space="preserve"> </w:t>
      </w:r>
      <w:r w:rsidR="007B4890" w:rsidRPr="004722ED">
        <w:rPr>
          <w:rFonts w:eastAsia="Calibri" w:cs="Arial"/>
          <w:color w:val="000000"/>
          <w:lang w:val="en-US"/>
        </w:rPr>
        <w:t>21</w:t>
      </w:r>
      <w:r w:rsidR="00A144F1">
        <w:rPr>
          <w:rFonts w:eastAsia="Calibri" w:cs="Arial"/>
          <w:color w:val="000000"/>
          <w:lang w:val="en-US"/>
        </w:rPr>
        <w:t>–</w:t>
      </w:r>
      <w:r w:rsidR="007B4890" w:rsidRPr="004722ED">
        <w:rPr>
          <w:rFonts w:eastAsia="Calibri" w:cs="Arial"/>
          <w:color w:val="000000"/>
          <w:lang w:val="en-US"/>
        </w:rPr>
        <w:t>46.5</w:t>
      </w:r>
      <w:r w:rsidR="00BF66E9" w:rsidRPr="004722ED">
        <w:rPr>
          <w:rFonts w:eastAsia="Calibri" w:cs="Arial"/>
          <w:color w:val="000000"/>
          <w:lang w:val="en-US"/>
        </w:rPr>
        <w:t>)</w:t>
      </w:r>
      <w:r w:rsidRPr="004722ED">
        <w:rPr>
          <w:rFonts w:eastAsia="Calibri" w:cs="Arial"/>
          <w:color w:val="000000"/>
          <w:lang w:val="en-US"/>
        </w:rPr>
        <w:t xml:space="preserve">. The average time from diagnosis to treatment was </w:t>
      </w:r>
      <w:r w:rsidR="007B4890" w:rsidRPr="004722ED">
        <w:rPr>
          <w:rFonts w:eastAsia="Calibri" w:cs="Arial"/>
          <w:color w:val="000000"/>
          <w:lang w:val="en-US"/>
        </w:rPr>
        <w:t>36</w:t>
      </w:r>
      <w:r w:rsidRPr="004722ED">
        <w:rPr>
          <w:rFonts w:eastAsia="Calibri" w:cs="Arial"/>
          <w:color w:val="000000"/>
          <w:lang w:val="en-US"/>
        </w:rPr>
        <w:t xml:space="preserve"> days for patients diagnosed with stomach cancer</w:t>
      </w:r>
      <w:r w:rsidR="005C0186">
        <w:rPr>
          <w:rFonts w:eastAsia="Calibri" w:cs="Arial"/>
          <w:color w:val="000000"/>
          <w:lang w:val="en-US"/>
        </w:rPr>
        <w:t>,</w:t>
      </w:r>
      <w:r w:rsidRPr="004722ED">
        <w:rPr>
          <w:rFonts w:eastAsia="Calibri" w:cs="Arial"/>
          <w:color w:val="000000"/>
          <w:lang w:val="en-US"/>
        </w:rPr>
        <w:t xml:space="preserve"> in which 50</w:t>
      </w:r>
      <w:r w:rsidR="00ED6332">
        <w:rPr>
          <w:rFonts w:eastAsia="Calibri" w:cs="Arial"/>
          <w:color w:val="000000"/>
          <w:lang w:val="en-US"/>
        </w:rPr>
        <w:t xml:space="preserve"> per cent</w:t>
      </w:r>
      <w:r w:rsidRPr="004722ED">
        <w:rPr>
          <w:rFonts w:eastAsia="Calibri" w:cs="Arial"/>
          <w:color w:val="000000"/>
          <w:lang w:val="en-US"/>
        </w:rPr>
        <w:t xml:space="preserve"> of patients </w:t>
      </w:r>
      <w:r w:rsidR="005C0186">
        <w:rPr>
          <w:rFonts w:eastAsia="Calibri" w:cs="Arial"/>
          <w:color w:val="000000"/>
          <w:lang w:val="en-US"/>
        </w:rPr>
        <w:t>began</w:t>
      </w:r>
      <w:r w:rsidR="005C0186" w:rsidRPr="004722ED">
        <w:rPr>
          <w:rFonts w:eastAsia="Calibri" w:cs="Arial"/>
          <w:color w:val="000000"/>
          <w:lang w:val="en-US"/>
        </w:rPr>
        <w:t xml:space="preserve"> </w:t>
      </w:r>
      <w:r w:rsidRPr="004722ED">
        <w:rPr>
          <w:rFonts w:eastAsia="Calibri" w:cs="Arial"/>
          <w:color w:val="000000"/>
          <w:lang w:val="en-US"/>
        </w:rPr>
        <w:t>treatment within 3</w:t>
      </w:r>
      <w:r w:rsidR="00AD3579">
        <w:rPr>
          <w:rFonts w:eastAsia="Calibri" w:cs="Arial"/>
          <w:color w:val="000000"/>
          <w:lang w:val="en-US"/>
        </w:rPr>
        <w:t>4</w:t>
      </w:r>
      <w:r w:rsidRPr="004722ED">
        <w:rPr>
          <w:rFonts w:eastAsia="Calibri" w:cs="Arial"/>
          <w:color w:val="000000"/>
          <w:lang w:val="en-US"/>
        </w:rPr>
        <w:t xml:space="preserve"> days</w:t>
      </w:r>
      <w:r w:rsidR="00BF66E9" w:rsidRPr="004722ED">
        <w:rPr>
          <w:rFonts w:eastAsia="Calibri" w:cs="Arial"/>
          <w:color w:val="000000"/>
          <w:lang w:val="en-US"/>
        </w:rPr>
        <w:t xml:space="preserve"> (i</w:t>
      </w:r>
      <w:r w:rsidR="007B4890" w:rsidRPr="004722ED">
        <w:rPr>
          <w:rFonts w:eastAsia="Calibri" w:cs="Arial"/>
          <w:color w:val="000000"/>
          <w:lang w:val="en-US"/>
        </w:rPr>
        <w:t>nterquartile range 20.75</w:t>
      </w:r>
      <w:r w:rsidR="00301B45">
        <w:rPr>
          <w:rFonts w:eastAsia="Calibri" w:cs="Arial"/>
          <w:color w:val="000000"/>
          <w:lang w:val="en-US"/>
        </w:rPr>
        <w:t>–</w:t>
      </w:r>
      <w:r w:rsidR="007B4890" w:rsidRPr="004722ED">
        <w:rPr>
          <w:rFonts w:eastAsia="Calibri" w:cs="Arial"/>
          <w:color w:val="000000"/>
          <w:lang w:val="en-US"/>
        </w:rPr>
        <w:t>49</w:t>
      </w:r>
      <w:r w:rsidR="00301B45">
        <w:rPr>
          <w:rFonts w:eastAsia="Calibri" w:cs="Arial"/>
          <w:color w:val="000000"/>
          <w:lang w:val="en-US"/>
        </w:rPr>
        <w:t>.25</w:t>
      </w:r>
      <w:r w:rsidR="00BF66E9" w:rsidRPr="004722ED">
        <w:rPr>
          <w:rFonts w:eastAsia="Calibri" w:cs="Arial"/>
          <w:color w:val="000000"/>
          <w:lang w:val="en-US"/>
        </w:rPr>
        <w:t>)</w:t>
      </w:r>
      <w:r w:rsidRPr="004722ED">
        <w:rPr>
          <w:rFonts w:eastAsia="Calibri" w:cs="Arial"/>
          <w:color w:val="000000"/>
          <w:lang w:val="en-US"/>
        </w:rPr>
        <w:t>.</w:t>
      </w:r>
      <w:r>
        <w:rPr>
          <w:rFonts w:eastAsia="Calibri" w:cs="Arial"/>
          <w:color w:val="000000"/>
          <w:lang w:val="en-US"/>
        </w:rPr>
        <w:t xml:space="preserve"> </w:t>
      </w:r>
      <w:r w:rsidR="002C5473">
        <w:rPr>
          <w:rFonts w:eastAsia="Calibri" w:cs="Arial"/>
          <w:color w:val="000000"/>
          <w:lang w:val="en-US"/>
        </w:rPr>
        <w:t>Overall, this timeframe was achieved for 40 per cent of audited patients.</w:t>
      </w:r>
    </w:p>
    <w:p w14:paraId="76C0D78D" w14:textId="16A6DB8A" w:rsidR="004F6E6B" w:rsidRDefault="004F6E6B" w:rsidP="000E7BD2">
      <w:pPr>
        <w:pStyle w:val="DHHSbody"/>
      </w:pPr>
      <w:r>
        <w:br w:type="page"/>
      </w:r>
    </w:p>
    <w:p w14:paraId="09F42854" w14:textId="1C5808AC" w:rsidR="00AC46F1" w:rsidRPr="002144E9" w:rsidRDefault="00AC46F1" w:rsidP="00AC46F1">
      <w:pPr>
        <w:pStyle w:val="Heading1"/>
      </w:pPr>
      <w:bookmarkStart w:id="33" w:name="_Toc524425493"/>
      <w:r>
        <w:t>Appendix 1: List of audited hospitals</w:t>
      </w:r>
      <w:bookmarkEnd w:id="33"/>
    </w:p>
    <w:tbl>
      <w:tblPr>
        <w:tblStyle w:val="TableGrid"/>
        <w:tblW w:w="0" w:type="auto"/>
        <w:tblLook w:val="04A0" w:firstRow="1" w:lastRow="0" w:firstColumn="1" w:lastColumn="0" w:noHBand="0" w:noVBand="1"/>
      </w:tblPr>
      <w:tblGrid>
        <w:gridCol w:w="2235"/>
        <w:gridCol w:w="1275"/>
        <w:gridCol w:w="5732"/>
      </w:tblGrid>
      <w:tr w:rsidR="00AC46F1" w14:paraId="0DFB0907" w14:textId="77777777" w:rsidTr="00B82470">
        <w:trPr>
          <w:tblHeader/>
        </w:trPr>
        <w:tc>
          <w:tcPr>
            <w:tcW w:w="2235" w:type="dxa"/>
            <w:vAlign w:val="bottom"/>
          </w:tcPr>
          <w:p w14:paraId="76BBC194" w14:textId="77777777" w:rsidR="00AC46F1" w:rsidRPr="008F74E1" w:rsidRDefault="00AC46F1" w:rsidP="00B82470">
            <w:pPr>
              <w:pStyle w:val="DHHStablecolhead"/>
            </w:pPr>
            <w:r w:rsidRPr="008F74E1">
              <w:t>ICS</w:t>
            </w:r>
          </w:p>
        </w:tc>
        <w:tc>
          <w:tcPr>
            <w:tcW w:w="1275" w:type="dxa"/>
            <w:vAlign w:val="bottom"/>
          </w:tcPr>
          <w:p w14:paraId="1BFE4B45" w14:textId="77777777" w:rsidR="00AC46F1" w:rsidRPr="008F74E1" w:rsidRDefault="00AC46F1" w:rsidP="00B82470">
            <w:pPr>
              <w:pStyle w:val="DHHStablecolhead"/>
            </w:pPr>
            <w:r w:rsidRPr="008F74E1">
              <w:t>Type</w:t>
            </w:r>
          </w:p>
        </w:tc>
        <w:tc>
          <w:tcPr>
            <w:tcW w:w="5732" w:type="dxa"/>
            <w:vAlign w:val="bottom"/>
          </w:tcPr>
          <w:p w14:paraId="059A5D54" w14:textId="77777777" w:rsidR="00AC46F1" w:rsidRPr="008F74E1" w:rsidRDefault="00AC46F1" w:rsidP="00B82470">
            <w:pPr>
              <w:pStyle w:val="DHHStablecolhead"/>
            </w:pPr>
            <w:r>
              <w:t>Health s</w:t>
            </w:r>
            <w:r w:rsidRPr="008F74E1">
              <w:t>ervice</w:t>
            </w:r>
          </w:p>
        </w:tc>
      </w:tr>
      <w:tr w:rsidR="00AC46F1" w14:paraId="4C231DFD" w14:textId="77777777" w:rsidTr="00B82470">
        <w:tc>
          <w:tcPr>
            <w:tcW w:w="2235" w:type="dxa"/>
            <w:vAlign w:val="bottom"/>
          </w:tcPr>
          <w:p w14:paraId="72961D25" w14:textId="77777777" w:rsidR="00AC46F1" w:rsidRPr="004F656A" w:rsidRDefault="00AC46F1" w:rsidP="00B82470">
            <w:pPr>
              <w:pStyle w:val="DHHStabletext"/>
            </w:pPr>
            <w:r w:rsidRPr="004F656A">
              <w:t>Barwon RICS</w:t>
            </w:r>
          </w:p>
        </w:tc>
        <w:tc>
          <w:tcPr>
            <w:tcW w:w="1275" w:type="dxa"/>
            <w:vAlign w:val="bottom"/>
          </w:tcPr>
          <w:p w14:paraId="03E8F8D9" w14:textId="77777777" w:rsidR="00AC46F1" w:rsidRPr="004F656A" w:rsidRDefault="00AC46F1" w:rsidP="00B82470">
            <w:pPr>
              <w:pStyle w:val="DHHStabletext"/>
            </w:pPr>
            <w:r w:rsidRPr="004F656A">
              <w:t>Public</w:t>
            </w:r>
          </w:p>
        </w:tc>
        <w:tc>
          <w:tcPr>
            <w:tcW w:w="5732" w:type="dxa"/>
            <w:vAlign w:val="bottom"/>
          </w:tcPr>
          <w:p w14:paraId="1B9F5F98" w14:textId="77777777" w:rsidR="00AC46F1" w:rsidRPr="004F656A" w:rsidRDefault="00AC46F1" w:rsidP="00B82470">
            <w:pPr>
              <w:pStyle w:val="DHHStabletext"/>
            </w:pPr>
            <w:r w:rsidRPr="004F656A">
              <w:t>Hamilton Base Hospital</w:t>
            </w:r>
          </w:p>
        </w:tc>
      </w:tr>
      <w:tr w:rsidR="00AC46F1" w14:paraId="4502A30E" w14:textId="77777777" w:rsidTr="00B82470">
        <w:tc>
          <w:tcPr>
            <w:tcW w:w="2235" w:type="dxa"/>
            <w:vAlign w:val="bottom"/>
          </w:tcPr>
          <w:p w14:paraId="7A424F98" w14:textId="77777777" w:rsidR="00AC46F1" w:rsidRPr="004F656A" w:rsidRDefault="00AC46F1" w:rsidP="00B82470">
            <w:pPr>
              <w:pStyle w:val="DHHStabletext"/>
            </w:pPr>
            <w:r w:rsidRPr="004F656A">
              <w:t>Barwon RICS</w:t>
            </w:r>
          </w:p>
        </w:tc>
        <w:tc>
          <w:tcPr>
            <w:tcW w:w="1275" w:type="dxa"/>
            <w:vAlign w:val="bottom"/>
          </w:tcPr>
          <w:p w14:paraId="5CF46E82" w14:textId="77777777" w:rsidR="00AC46F1" w:rsidRPr="004F656A" w:rsidRDefault="00AC46F1" w:rsidP="00B82470">
            <w:pPr>
              <w:pStyle w:val="DHHStabletext"/>
            </w:pPr>
            <w:r w:rsidRPr="004F656A">
              <w:t>Public</w:t>
            </w:r>
          </w:p>
        </w:tc>
        <w:tc>
          <w:tcPr>
            <w:tcW w:w="5732" w:type="dxa"/>
            <w:vAlign w:val="bottom"/>
          </w:tcPr>
          <w:p w14:paraId="28404779" w14:textId="77777777" w:rsidR="00AC46F1" w:rsidRPr="004F656A" w:rsidRDefault="00AC46F1" w:rsidP="00B82470">
            <w:pPr>
              <w:pStyle w:val="DHHStabletext"/>
            </w:pPr>
            <w:r w:rsidRPr="004F656A">
              <w:t>Geelong Hospital</w:t>
            </w:r>
          </w:p>
        </w:tc>
      </w:tr>
      <w:tr w:rsidR="00AC46F1" w14:paraId="1B63643C" w14:textId="77777777" w:rsidTr="00B82470">
        <w:tc>
          <w:tcPr>
            <w:tcW w:w="2235" w:type="dxa"/>
            <w:vAlign w:val="bottom"/>
          </w:tcPr>
          <w:p w14:paraId="11362F79" w14:textId="77777777" w:rsidR="00AC46F1" w:rsidRPr="004F656A" w:rsidRDefault="00AC46F1" w:rsidP="00B82470">
            <w:pPr>
              <w:pStyle w:val="DHHStabletext"/>
            </w:pPr>
            <w:r w:rsidRPr="004F656A">
              <w:t>Barwon RICS</w:t>
            </w:r>
          </w:p>
        </w:tc>
        <w:tc>
          <w:tcPr>
            <w:tcW w:w="1275" w:type="dxa"/>
            <w:vAlign w:val="bottom"/>
          </w:tcPr>
          <w:p w14:paraId="66C7F133" w14:textId="77777777" w:rsidR="00AC46F1" w:rsidRPr="004F656A" w:rsidRDefault="00AC46F1" w:rsidP="00B82470">
            <w:pPr>
              <w:pStyle w:val="DHHStabletext"/>
            </w:pPr>
            <w:r w:rsidRPr="004F656A">
              <w:t>Public</w:t>
            </w:r>
          </w:p>
        </w:tc>
        <w:tc>
          <w:tcPr>
            <w:tcW w:w="5732" w:type="dxa"/>
            <w:vAlign w:val="bottom"/>
          </w:tcPr>
          <w:p w14:paraId="1F7D0CDE" w14:textId="77777777" w:rsidR="00AC46F1" w:rsidRPr="004F656A" w:rsidRDefault="00AC46F1" w:rsidP="00B82470">
            <w:pPr>
              <w:pStyle w:val="DHHStabletext"/>
            </w:pPr>
            <w:r w:rsidRPr="004F656A">
              <w:t>South West Healthcare [Warrnambool]</w:t>
            </w:r>
          </w:p>
        </w:tc>
      </w:tr>
      <w:tr w:rsidR="00AC46F1" w14:paraId="1859BD29" w14:textId="77777777" w:rsidTr="00B82470">
        <w:tc>
          <w:tcPr>
            <w:tcW w:w="2235" w:type="dxa"/>
            <w:vAlign w:val="bottom"/>
          </w:tcPr>
          <w:p w14:paraId="4F09257E" w14:textId="77777777" w:rsidR="00AC46F1" w:rsidRPr="004F656A" w:rsidRDefault="00AC46F1" w:rsidP="00B82470">
            <w:pPr>
              <w:pStyle w:val="DHHStabletext"/>
            </w:pPr>
            <w:r w:rsidRPr="004F656A">
              <w:t>Barwon RICS</w:t>
            </w:r>
          </w:p>
        </w:tc>
        <w:tc>
          <w:tcPr>
            <w:tcW w:w="1275" w:type="dxa"/>
            <w:vAlign w:val="bottom"/>
          </w:tcPr>
          <w:p w14:paraId="2CF0287E" w14:textId="77777777" w:rsidR="00AC46F1" w:rsidRPr="004F656A" w:rsidRDefault="00AC46F1" w:rsidP="00B82470">
            <w:pPr>
              <w:pStyle w:val="DHHStabletext"/>
            </w:pPr>
            <w:r w:rsidRPr="004F656A">
              <w:t>Private</w:t>
            </w:r>
          </w:p>
        </w:tc>
        <w:tc>
          <w:tcPr>
            <w:tcW w:w="5732" w:type="dxa"/>
            <w:vAlign w:val="bottom"/>
          </w:tcPr>
          <w:p w14:paraId="144E3BD3" w14:textId="77777777" w:rsidR="00AC46F1" w:rsidRPr="004F656A" w:rsidRDefault="00AC46F1" w:rsidP="00B82470">
            <w:pPr>
              <w:pStyle w:val="DHHStabletext"/>
            </w:pPr>
            <w:r w:rsidRPr="004F656A">
              <w:t>St John of God Hospital Warrnambool</w:t>
            </w:r>
          </w:p>
        </w:tc>
      </w:tr>
      <w:tr w:rsidR="00AC46F1" w14:paraId="0BA2AB16" w14:textId="77777777" w:rsidTr="00B82470">
        <w:tc>
          <w:tcPr>
            <w:tcW w:w="2235" w:type="dxa"/>
            <w:vAlign w:val="bottom"/>
          </w:tcPr>
          <w:p w14:paraId="45BA8784" w14:textId="77777777" w:rsidR="00AC46F1" w:rsidRPr="004F656A" w:rsidRDefault="00AC46F1" w:rsidP="00B82470">
            <w:pPr>
              <w:pStyle w:val="DHHStabletext"/>
            </w:pPr>
            <w:r w:rsidRPr="004F656A">
              <w:t>Barwon RICS</w:t>
            </w:r>
          </w:p>
        </w:tc>
        <w:tc>
          <w:tcPr>
            <w:tcW w:w="1275" w:type="dxa"/>
            <w:vAlign w:val="bottom"/>
          </w:tcPr>
          <w:p w14:paraId="1FEDA095" w14:textId="77777777" w:rsidR="00AC46F1" w:rsidRPr="004F656A" w:rsidRDefault="00AC46F1" w:rsidP="00B82470">
            <w:pPr>
              <w:pStyle w:val="DHHStabletext"/>
            </w:pPr>
            <w:r w:rsidRPr="004F656A">
              <w:t>Private</w:t>
            </w:r>
          </w:p>
        </w:tc>
        <w:tc>
          <w:tcPr>
            <w:tcW w:w="5732" w:type="dxa"/>
            <w:vAlign w:val="bottom"/>
          </w:tcPr>
          <w:p w14:paraId="7A362E7F" w14:textId="77777777" w:rsidR="00AC46F1" w:rsidRPr="004F656A" w:rsidRDefault="00AC46F1" w:rsidP="00B82470">
            <w:pPr>
              <w:pStyle w:val="DHHStabletext"/>
            </w:pPr>
            <w:r w:rsidRPr="004F656A">
              <w:t>St John of God Hospital Geelong</w:t>
            </w:r>
          </w:p>
        </w:tc>
      </w:tr>
      <w:tr w:rsidR="00AC46F1" w14:paraId="184CDF0B" w14:textId="77777777" w:rsidTr="00B82470">
        <w:tc>
          <w:tcPr>
            <w:tcW w:w="2235" w:type="dxa"/>
            <w:vAlign w:val="bottom"/>
          </w:tcPr>
          <w:p w14:paraId="7A8A22A9" w14:textId="77777777" w:rsidR="00AC46F1" w:rsidRPr="004F656A" w:rsidRDefault="00AC46F1" w:rsidP="00B82470">
            <w:pPr>
              <w:pStyle w:val="DHHStabletext"/>
            </w:pPr>
            <w:r w:rsidRPr="004F656A">
              <w:t>Barwon RICS</w:t>
            </w:r>
          </w:p>
        </w:tc>
        <w:tc>
          <w:tcPr>
            <w:tcW w:w="1275" w:type="dxa"/>
            <w:vAlign w:val="bottom"/>
          </w:tcPr>
          <w:p w14:paraId="2060AC07" w14:textId="77777777" w:rsidR="00AC46F1" w:rsidRPr="004F656A" w:rsidRDefault="00AC46F1" w:rsidP="00B82470">
            <w:pPr>
              <w:pStyle w:val="DHHStabletext"/>
            </w:pPr>
            <w:r w:rsidRPr="004F656A">
              <w:t>Private</w:t>
            </w:r>
          </w:p>
        </w:tc>
        <w:tc>
          <w:tcPr>
            <w:tcW w:w="5732" w:type="dxa"/>
            <w:vAlign w:val="bottom"/>
          </w:tcPr>
          <w:p w14:paraId="37B43B1F" w14:textId="77777777" w:rsidR="00AC46F1" w:rsidRPr="004F656A" w:rsidRDefault="00AC46F1" w:rsidP="00B82470">
            <w:pPr>
              <w:pStyle w:val="DHHStabletext"/>
            </w:pPr>
            <w:r w:rsidRPr="004F656A">
              <w:t>Geelong Private Hospital</w:t>
            </w:r>
          </w:p>
        </w:tc>
      </w:tr>
      <w:tr w:rsidR="00AC46F1" w14:paraId="76E60EC1" w14:textId="77777777" w:rsidTr="00B82470">
        <w:tc>
          <w:tcPr>
            <w:tcW w:w="2235" w:type="dxa"/>
            <w:vAlign w:val="bottom"/>
          </w:tcPr>
          <w:p w14:paraId="5815671C" w14:textId="77777777" w:rsidR="00AC46F1" w:rsidRPr="004F656A" w:rsidRDefault="00AC46F1" w:rsidP="00B82470">
            <w:pPr>
              <w:pStyle w:val="DHHStabletext"/>
            </w:pPr>
            <w:r w:rsidRPr="004F656A">
              <w:t>Gippsland RICS</w:t>
            </w:r>
          </w:p>
        </w:tc>
        <w:tc>
          <w:tcPr>
            <w:tcW w:w="1275" w:type="dxa"/>
            <w:vAlign w:val="bottom"/>
          </w:tcPr>
          <w:p w14:paraId="48218D44" w14:textId="77777777" w:rsidR="00AC46F1" w:rsidRPr="004F656A" w:rsidRDefault="00AC46F1" w:rsidP="00B82470">
            <w:pPr>
              <w:pStyle w:val="DHHStabletext"/>
            </w:pPr>
            <w:r w:rsidRPr="004F656A">
              <w:t>Public</w:t>
            </w:r>
          </w:p>
        </w:tc>
        <w:tc>
          <w:tcPr>
            <w:tcW w:w="5732" w:type="dxa"/>
            <w:vAlign w:val="bottom"/>
          </w:tcPr>
          <w:p w14:paraId="4A35395A" w14:textId="77777777" w:rsidR="00AC46F1" w:rsidRPr="004F656A" w:rsidRDefault="00AC46F1" w:rsidP="00B82470">
            <w:pPr>
              <w:pStyle w:val="DHHStabletext"/>
            </w:pPr>
            <w:r w:rsidRPr="004F656A">
              <w:t>Bairnsdale Regional Health Service</w:t>
            </w:r>
          </w:p>
        </w:tc>
      </w:tr>
      <w:tr w:rsidR="00AC46F1" w14:paraId="59B54F2C" w14:textId="77777777" w:rsidTr="00B82470">
        <w:tc>
          <w:tcPr>
            <w:tcW w:w="2235" w:type="dxa"/>
            <w:vAlign w:val="bottom"/>
          </w:tcPr>
          <w:p w14:paraId="72D0F2E1" w14:textId="77777777" w:rsidR="00AC46F1" w:rsidRPr="004F656A" w:rsidRDefault="00AC46F1" w:rsidP="00B82470">
            <w:pPr>
              <w:pStyle w:val="DHHStabletext"/>
            </w:pPr>
            <w:r w:rsidRPr="004F656A">
              <w:t>Gippsland RICS</w:t>
            </w:r>
          </w:p>
        </w:tc>
        <w:tc>
          <w:tcPr>
            <w:tcW w:w="1275" w:type="dxa"/>
            <w:vAlign w:val="bottom"/>
          </w:tcPr>
          <w:p w14:paraId="550289D0" w14:textId="77777777" w:rsidR="00AC46F1" w:rsidRPr="004F656A" w:rsidRDefault="00AC46F1" w:rsidP="00B82470">
            <w:pPr>
              <w:pStyle w:val="DHHStabletext"/>
            </w:pPr>
            <w:r w:rsidRPr="004F656A">
              <w:t>Public</w:t>
            </w:r>
          </w:p>
        </w:tc>
        <w:tc>
          <w:tcPr>
            <w:tcW w:w="5732" w:type="dxa"/>
            <w:vAlign w:val="bottom"/>
          </w:tcPr>
          <w:p w14:paraId="5D6DD5F0" w14:textId="77777777" w:rsidR="00AC46F1" w:rsidRPr="004F656A" w:rsidRDefault="00AC46F1" w:rsidP="00B82470">
            <w:pPr>
              <w:pStyle w:val="DHHStabletext"/>
            </w:pPr>
            <w:r w:rsidRPr="004F656A">
              <w:t>West Gippsland Healthcare Group [Warragul]</w:t>
            </w:r>
          </w:p>
        </w:tc>
      </w:tr>
      <w:tr w:rsidR="00AC46F1" w14:paraId="432A39F4" w14:textId="77777777" w:rsidTr="00B82470">
        <w:tc>
          <w:tcPr>
            <w:tcW w:w="2235" w:type="dxa"/>
            <w:vAlign w:val="bottom"/>
          </w:tcPr>
          <w:p w14:paraId="1BAB35E9" w14:textId="77777777" w:rsidR="00AC46F1" w:rsidRPr="004F656A" w:rsidRDefault="00AC46F1" w:rsidP="00B82470">
            <w:pPr>
              <w:pStyle w:val="DHHStabletext"/>
            </w:pPr>
            <w:r w:rsidRPr="004F656A">
              <w:t>Gippsland RICS</w:t>
            </w:r>
          </w:p>
        </w:tc>
        <w:tc>
          <w:tcPr>
            <w:tcW w:w="1275" w:type="dxa"/>
            <w:vAlign w:val="bottom"/>
          </w:tcPr>
          <w:p w14:paraId="123FE6D7" w14:textId="77777777" w:rsidR="00AC46F1" w:rsidRPr="004F656A" w:rsidRDefault="00AC46F1" w:rsidP="00B82470">
            <w:pPr>
              <w:pStyle w:val="DHHStabletext"/>
            </w:pPr>
            <w:r w:rsidRPr="004F656A">
              <w:t>Public</w:t>
            </w:r>
          </w:p>
        </w:tc>
        <w:tc>
          <w:tcPr>
            <w:tcW w:w="5732" w:type="dxa"/>
            <w:vAlign w:val="bottom"/>
          </w:tcPr>
          <w:p w14:paraId="38878C9D" w14:textId="77777777" w:rsidR="00AC46F1" w:rsidRPr="004F656A" w:rsidRDefault="00AC46F1" w:rsidP="00B82470">
            <w:pPr>
              <w:pStyle w:val="DHHStabletext"/>
            </w:pPr>
            <w:r w:rsidRPr="004F656A">
              <w:t>Bass Coast Regional Health</w:t>
            </w:r>
          </w:p>
        </w:tc>
      </w:tr>
      <w:tr w:rsidR="00AC46F1" w14:paraId="7DCD522E" w14:textId="77777777" w:rsidTr="00B82470">
        <w:tc>
          <w:tcPr>
            <w:tcW w:w="2235" w:type="dxa"/>
            <w:vAlign w:val="bottom"/>
          </w:tcPr>
          <w:p w14:paraId="45FE1417" w14:textId="77777777" w:rsidR="00AC46F1" w:rsidRPr="004F656A" w:rsidRDefault="00AC46F1" w:rsidP="00B82470">
            <w:pPr>
              <w:pStyle w:val="DHHStabletext"/>
            </w:pPr>
            <w:r w:rsidRPr="004F656A">
              <w:t>Gippsland RICS</w:t>
            </w:r>
          </w:p>
        </w:tc>
        <w:tc>
          <w:tcPr>
            <w:tcW w:w="1275" w:type="dxa"/>
            <w:vAlign w:val="bottom"/>
          </w:tcPr>
          <w:p w14:paraId="3F559703" w14:textId="77777777" w:rsidR="00AC46F1" w:rsidRPr="004F656A" w:rsidRDefault="00AC46F1" w:rsidP="00B82470">
            <w:pPr>
              <w:pStyle w:val="DHHStabletext"/>
            </w:pPr>
            <w:r w:rsidRPr="004F656A">
              <w:t>Public</w:t>
            </w:r>
          </w:p>
        </w:tc>
        <w:tc>
          <w:tcPr>
            <w:tcW w:w="5732" w:type="dxa"/>
            <w:vAlign w:val="bottom"/>
          </w:tcPr>
          <w:p w14:paraId="518F3411" w14:textId="77777777" w:rsidR="00AC46F1" w:rsidRPr="004F656A" w:rsidRDefault="00AC46F1" w:rsidP="00B82470">
            <w:pPr>
              <w:pStyle w:val="DHHStabletext"/>
            </w:pPr>
            <w:r w:rsidRPr="004F656A">
              <w:t>Central Gippsland Health Service [Sale]</w:t>
            </w:r>
          </w:p>
        </w:tc>
      </w:tr>
      <w:tr w:rsidR="00AC46F1" w14:paraId="50F77539" w14:textId="77777777" w:rsidTr="00B82470">
        <w:tc>
          <w:tcPr>
            <w:tcW w:w="2235" w:type="dxa"/>
            <w:vAlign w:val="bottom"/>
          </w:tcPr>
          <w:p w14:paraId="48D69F07" w14:textId="77777777" w:rsidR="00AC46F1" w:rsidRPr="004F656A" w:rsidRDefault="00AC46F1" w:rsidP="00B82470">
            <w:pPr>
              <w:pStyle w:val="DHHStabletext"/>
            </w:pPr>
            <w:r w:rsidRPr="004F656A">
              <w:t>Gippsland RICS</w:t>
            </w:r>
          </w:p>
        </w:tc>
        <w:tc>
          <w:tcPr>
            <w:tcW w:w="1275" w:type="dxa"/>
            <w:vAlign w:val="bottom"/>
          </w:tcPr>
          <w:p w14:paraId="6C9FB42B" w14:textId="77777777" w:rsidR="00AC46F1" w:rsidRPr="004F656A" w:rsidRDefault="00AC46F1" w:rsidP="00B82470">
            <w:pPr>
              <w:pStyle w:val="DHHStabletext"/>
            </w:pPr>
            <w:r w:rsidRPr="004F656A">
              <w:t>Public</w:t>
            </w:r>
          </w:p>
        </w:tc>
        <w:tc>
          <w:tcPr>
            <w:tcW w:w="5732" w:type="dxa"/>
            <w:vAlign w:val="bottom"/>
          </w:tcPr>
          <w:p w14:paraId="45CFD3A7" w14:textId="77777777" w:rsidR="00AC46F1" w:rsidRPr="004F656A" w:rsidRDefault="00AC46F1" w:rsidP="00B82470">
            <w:pPr>
              <w:pStyle w:val="DHHStabletext"/>
            </w:pPr>
            <w:r w:rsidRPr="004F656A">
              <w:t>Leongatha Memorial Hospital</w:t>
            </w:r>
          </w:p>
        </w:tc>
      </w:tr>
      <w:tr w:rsidR="00AC46F1" w14:paraId="61E1F7CB" w14:textId="77777777" w:rsidTr="00B82470">
        <w:tc>
          <w:tcPr>
            <w:tcW w:w="2235" w:type="dxa"/>
            <w:vAlign w:val="bottom"/>
          </w:tcPr>
          <w:p w14:paraId="4058F774" w14:textId="77777777" w:rsidR="00AC46F1" w:rsidRPr="004F656A" w:rsidRDefault="00AC46F1" w:rsidP="00B82470">
            <w:pPr>
              <w:pStyle w:val="DHHStabletext"/>
            </w:pPr>
            <w:r w:rsidRPr="004F656A">
              <w:t>Gippsland RICS</w:t>
            </w:r>
          </w:p>
        </w:tc>
        <w:tc>
          <w:tcPr>
            <w:tcW w:w="1275" w:type="dxa"/>
            <w:vAlign w:val="bottom"/>
          </w:tcPr>
          <w:p w14:paraId="3019FEA0" w14:textId="77777777" w:rsidR="00AC46F1" w:rsidRPr="004F656A" w:rsidRDefault="00AC46F1" w:rsidP="00B82470">
            <w:pPr>
              <w:pStyle w:val="DHHStabletext"/>
            </w:pPr>
            <w:r w:rsidRPr="004F656A">
              <w:t>Public</w:t>
            </w:r>
          </w:p>
        </w:tc>
        <w:tc>
          <w:tcPr>
            <w:tcW w:w="5732" w:type="dxa"/>
            <w:vAlign w:val="bottom"/>
          </w:tcPr>
          <w:p w14:paraId="7049FFA9" w14:textId="77777777" w:rsidR="00AC46F1" w:rsidRPr="004F656A" w:rsidRDefault="00AC46F1" w:rsidP="00B82470">
            <w:pPr>
              <w:pStyle w:val="DHHStabletext"/>
            </w:pPr>
            <w:r w:rsidRPr="004F656A">
              <w:t>Latrobe Regional Hospital [Traralgon]</w:t>
            </w:r>
          </w:p>
        </w:tc>
      </w:tr>
      <w:tr w:rsidR="00AC46F1" w14:paraId="58FFF6B7" w14:textId="77777777" w:rsidTr="00B82470">
        <w:tc>
          <w:tcPr>
            <w:tcW w:w="2235" w:type="dxa"/>
            <w:vAlign w:val="bottom"/>
          </w:tcPr>
          <w:p w14:paraId="34EC1B43" w14:textId="77777777" w:rsidR="00AC46F1" w:rsidRPr="004F656A" w:rsidRDefault="00AC46F1" w:rsidP="00B82470">
            <w:pPr>
              <w:pStyle w:val="DHHStabletext"/>
            </w:pPr>
            <w:r w:rsidRPr="004F656A">
              <w:t>Gippsland RICS</w:t>
            </w:r>
          </w:p>
        </w:tc>
        <w:tc>
          <w:tcPr>
            <w:tcW w:w="1275" w:type="dxa"/>
            <w:vAlign w:val="bottom"/>
          </w:tcPr>
          <w:p w14:paraId="60DE9E1F" w14:textId="77777777" w:rsidR="00AC46F1" w:rsidRPr="004F656A" w:rsidRDefault="00AC46F1" w:rsidP="00B82470">
            <w:pPr>
              <w:pStyle w:val="DHHStabletext"/>
            </w:pPr>
            <w:r w:rsidRPr="004F656A">
              <w:t>Private</w:t>
            </w:r>
          </w:p>
        </w:tc>
        <w:tc>
          <w:tcPr>
            <w:tcW w:w="5732" w:type="dxa"/>
            <w:vAlign w:val="bottom"/>
          </w:tcPr>
          <w:p w14:paraId="576501B9" w14:textId="77777777" w:rsidR="00AC46F1" w:rsidRPr="004F656A" w:rsidRDefault="00AC46F1" w:rsidP="00B82470">
            <w:pPr>
              <w:pStyle w:val="DHHStabletext"/>
            </w:pPr>
            <w:r w:rsidRPr="004F656A">
              <w:t>Maryvale Private Hospital [Morwell]</w:t>
            </w:r>
          </w:p>
        </w:tc>
      </w:tr>
      <w:tr w:rsidR="00AC46F1" w14:paraId="384CBC14" w14:textId="77777777" w:rsidTr="00B82470">
        <w:tc>
          <w:tcPr>
            <w:tcW w:w="2235" w:type="dxa"/>
            <w:vAlign w:val="bottom"/>
          </w:tcPr>
          <w:p w14:paraId="6EA8A285" w14:textId="77777777" w:rsidR="00AC46F1" w:rsidRPr="004F656A" w:rsidRDefault="00AC46F1" w:rsidP="00B82470">
            <w:pPr>
              <w:pStyle w:val="DHHStabletext"/>
            </w:pPr>
            <w:r w:rsidRPr="004F656A">
              <w:t>Grampians RICS</w:t>
            </w:r>
          </w:p>
        </w:tc>
        <w:tc>
          <w:tcPr>
            <w:tcW w:w="1275" w:type="dxa"/>
            <w:vAlign w:val="bottom"/>
          </w:tcPr>
          <w:p w14:paraId="566FB290" w14:textId="77777777" w:rsidR="00AC46F1" w:rsidRPr="004F656A" w:rsidRDefault="00AC46F1" w:rsidP="00B82470">
            <w:pPr>
              <w:pStyle w:val="DHHStabletext"/>
            </w:pPr>
            <w:r w:rsidRPr="004F656A">
              <w:t>Public</w:t>
            </w:r>
          </w:p>
        </w:tc>
        <w:tc>
          <w:tcPr>
            <w:tcW w:w="5732" w:type="dxa"/>
            <w:vAlign w:val="bottom"/>
          </w:tcPr>
          <w:p w14:paraId="16222E09" w14:textId="77777777" w:rsidR="00AC46F1" w:rsidRPr="004F656A" w:rsidRDefault="00AC46F1" w:rsidP="00B82470">
            <w:pPr>
              <w:pStyle w:val="DHHStabletext"/>
            </w:pPr>
            <w:r w:rsidRPr="004F656A">
              <w:t>East Grampians Health Service [Ararat]</w:t>
            </w:r>
          </w:p>
        </w:tc>
      </w:tr>
      <w:tr w:rsidR="00AC46F1" w14:paraId="4ACF45CA" w14:textId="77777777" w:rsidTr="00B82470">
        <w:tc>
          <w:tcPr>
            <w:tcW w:w="2235" w:type="dxa"/>
            <w:vAlign w:val="bottom"/>
          </w:tcPr>
          <w:p w14:paraId="72D81691" w14:textId="77777777" w:rsidR="00AC46F1" w:rsidRPr="004F656A" w:rsidRDefault="00AC46F1" w:rsidP="00B82470">
            <w:pPr>
              <w:pStyle w:val="DHHStabletext"/>
            </w:pPr>
            <w:r w:rsidRPr="004F656A">
              <w:t>Grampians RICS</w:t>
            </w:r>
          </w:p>
        </w:tc>
        <w:tc>
          <w:tcPr>
            <w:tcW w:w="1275" w:type="dxa"/>
            <w:vAlign w:val="bottom"/>
          </w:tcPr>
          <w:p w14:paraId="66E6A791" w14:textId="77777777" w:rsidR="00AC46F1" w:rsidRPr="004F656A" w:rsidRDefault="00AC46F1" w:rsidP="00B82470">
            <w:pPr>
              <w:pStyle w:val="DHHStabletext"/>
            </w:pPr>
            <w:r w:rsidRPr="004F656A">
              <w:t>Public</w:t>
            </w:r>
          </w:p>
        </w:tc>
        <w:tc>
          <w:tcPr>
            <w:tcW w:w="5732" w:type="dxa"/>
            <w:vAlign w:val="bottom"/>
          </w:tcPr>
          <w:p w14:paraId="39B75F49" w14:textId="77777777" w:rsidR="00AC46F1" w:rsidRPr="004F656A" w:rsidRDefault="00AC46F1" w:rsidP="00B82470">
            <w:pPr>
              <w:pStyle w:val="DHHStabletext"/>
            </w:pPr>
            <w:r w:rsidRPr="004F656A">
              <w:t>Ballarat Health Services [Base Campus]</w:t>
            </w:r>
          </w:p>
        </w:tc>
      </w:tr>
      <w:tr w:rsidR="00AC46F1" w14:paraId="77BD8289" w14:textId="77777777" w:rsidTr="00B82470">
        <w:tc>
          <w:tcPr>
            <w:tcW w:w="2235" w:type="dxa"/>
            <w:vAlign w:val="bottom"/>
          </w:tcPr>
          <w:p w14:paraId="0CB54129" w14:textId="77777777" w:rsidR="00AC46F1" w:rsidRPr="004F656A" w:rsidRDefault="00AC46F1" w:rsidP="00B82470">
            <w:pPr>
              <w:pStyle w:val="DHHStabletext"/>
            </w:pPr>
            <w:r w:rsidRPr="004F656A">
              <w:t>Grampians RICS</w:t>
            </w:r>
          </w:p>
        </w:tc>
        <w:tc>
          <w:tcPr>
            <w:tcW w:w="1275" w:type="dxa"/>
            <w:vAlign w:val="bottom"/>
          </w:tcPr>
          <w:p w14:paraId="20916F27" w14:textId="77777777" w:rsidR="00AC46F1" w:rsidRPr="004F656A" w:rsidRDefault="00AC46F1" w:rsidP="00B82470">
            <w:pPr>
              <w:pStyle w:val="DHHStabletext"/>
            </w:pPr>
            <w:r w:rsidRPr="004F656A">
              <w:t>Public</w:t>
            </w:r>
          </w:p>
        </w:tc>
        <w:tc>
          <w:tcPr>
            <w:tcW w:w="5732" w:type="dxa"/>
            <w:vAlign w:val="bottom"/>
          </w:tcPr>
          <w:p w14:paraId="0661F9EC" w14:textId="77777777" w:rsidR="00AC46F1" w:rsidRPr="004F656A" w:rsidRDefault="00AC46F1" w:rsidP="00B82470">
            <w:pPr>
              <w:pStyle w:val="DHHStabletext"/>
            </w:pPr>
            <w:r w:rsidRPr="004F656A">
              <w:t>Wimmera Base Hospital [Horsham]</w:t>
            </w:r>
          </w:p>
        </w:tc>
      </w:tr>
      <w:tr w:rsidR="00AC46F1" w14:paraId="3E4BCB98" w14:textId="77777777" w:rsidTr="00B82470">
        <w:tc>
          <w:tcPr>
            <w:tcW w:w="2235" w:type="dxa"/>
            <w:vAlign w:val="bottom"/>
          </w:tcPr>
          <w:p w14:paraId="3C45BDA0" w14:textId="77777777" w:rsidR="00AC46F1" w:rsidRPr="004F656A" w:rsidRDefault="00AC46F1" w:rsidP="00B82470">
            <w:pPr>
              <w:pStyle w:val="DHHStabletext"/>
            </w:pPr>
            <w:r w:rsidRPr="004F656A">
              <w:t>Grampians RICS</w:t>
            </w:r>
          </w:p>
        </w:tc>
        <w:tc>
          <w:tcPr>
            <w:tcW w:w="1275" w:type="dxa"/>
            <w:vAlign w:val="bottom"/>
          </w:tcPr>
          <w:p w14:paraId="5A8886B4" w14:textId="77777777" w:rsidR="00AC46F1" w:rsidRPr="004F656A" w:rsidRDefault="00AC46F1" w:rsidP="00B82470">
            <w:pPr>
              <w:pStyle w:val="DHHStabletext"/>
            </w:pPr>
            <w:r w:rsidRPr="004F656A">
              <w:t>Public</w:t>
            </w:r>
          </w:p>
        </w:tc>
        <w:tc>
          <w:tcPr>
            <w:tcW w:w="5732" w:type="dxa"/>
            <w:vAlign w:val="bottom"/>
          </w:tcPr>
          <w:p w14:paraId="42A49097" w14:textId="77777777" w:rsidR="00AC46F1" w:rsidRPr="004F656A" w:rsidRDefault="00AC46F1" w:rsidP="00B82470">
            <w:pPr>
              <w:pStyle w:val="DHHStabletext"/>
            </w:pPr>
            <w:r w:rsidRPr="004F656A">
              <w:t>Stawell Regional Health</w:t>
            </w:r>
          </w:p>
        </w:tc>
      </w:tr>
      <w:tr w:rsidR="00AC46F1" w14:paraId="298F6052" w14:textId="77777777" w:rsidTr="00B82470">
        <w:tc>
          <w:tcPr>
            <w:tcW w:w="2235" w:type="dxa"/>
            <w:vAlign w:val="bottom"/>
          </w:tcPr>
          <w:p w14:paraId="7CCE5EC8" w14:textId="77777777" w:rsidR="00AC46F1" w:rsidRPr="004F656A" w:rsidRDefault="00AC46F1" w:rsidP="00B82470">
            <w:pPr>
              <w:pStyle w:val="DHHStabletext"/>
            </w:pPr>
            <w:r w:rsidRPr="004F656A">
              <w:t>Grampians RICS</w:t>
            </w:r>
          </w:p>
        </w:tc>
        <w:tc>
          <w:tcPr>
            <w:tcW w:w="1275" w:type="dxa"/>
            <w:vAlign w:val="bottom"/>
          </w:tcPr>
          <w:p w14:paraId="14171353" w14:textId="77777777" w:rsidR="00AC46F1" w:rsidRPr="004F656A" w:rsidRDefault="00AC46F1" w:rsidP="00B82470">
            <w:pPr>
              <w:pStyle w:val="DHHStabletext"/>
            </w:pPr>
            <w:r w:rsidRPr="004F656A">
              <w:t>Public</w:t>
            </w:r>
          </w:p>
        </w:tc>
        <w:tc>
          <w:tcPr>
            <w:tcW w:w="5732" w:type="dxa"/>
            <w:vAlign w:val="bottom"/>
          </w:tcPr>
          <w:p w14:paraId="544D0395" w14:textId="77777777" w:rsidR="00AC46F1" w:rsidRPr="004F656A" w:rsidRDefault="00AC46F1" w:rsidP="00B82470">
            <w:pPr>
              <w:pStyle w:val="DHHStabletext"/>
            </w:pPr>
            <w:proofErr w:type="spellStart"/>
            <w:r w:rsidRPr="004F656A">
              <w:t>Djerriwarrh</w:t>
            </w:r>
            <w:proofErr w:type="spellEnd"/>
            <w:r w:rsidRPr="004F656A">
              <w:t xml:space="preserve"> Health Service [Bacchus Marsh]</w:t>
            </w:r>
          </w:p>
        </w:tc>
      </w:tr>
      <w:tr w:rsidR="00AC46F1" w14:paraId="01643698" w14:textId="77777777" w:rsidTr="00B82470">
        <w:tc>
          <w:tcPr>
            <w:tcW w:w="2235" w:type="dxa"/>
            <w:vAlign w:val="bottom"/>
          </w:tcPr>
          <w:p w14:paraId="7C6EE08F" w14:textId="77777777" w:rsidR="00AC46F1" w:rsidRPr="004F656A" w:rsidRDefault="00AC46F1" w:rsidP="00B82470">
            <w:pPr>
              <w:pStyle w:val="DHHStabletext"/>
            </w:pPr>
            <w:r w:rsidRPr="004F656A">
              <w:t>Grampians RICS</w:t>
            </w:r>
          </w:p>
        </w:tc>
        <w:tc>
          <w:tcPr>
            <w:tcW w:w="1275" w:type="dxa"/>
            <w:vAlign w:val="bottom"/>
          </w:tcPr>
          <w:p w14:paraId="44A9C5AF" w14:textId="77777777" w:rsidR="00AC46F1" w:rsidRPr="004F656A" w:rsidRDefault="00AC46F1" w:rsidP="00B82470">
            <w:pPr>
              <w:pStyle w:val="DHHStabletext"/>
            </w:pPr>
            <w:r w:rsidRPr="004F656A">
              <w:t>Public</w:t>
            </w:r>
          </w:p>
        </w:tc>
        <w:tc>
          <w:tcPr>
            <w:tcW w:w="5732" w:type="dxa"/>
            <w:vAlign w:val="bottom"/>
          </w:tcPr>
          <w:p w14:paraId="4011AE9B" w14:textId="77777777" w:rsidR="00AC46F1" w:rsidRPr="004F656A" w:rsidRDefault="00AC46F1" w:rsidP="00B82470">
            <w:pPr>
              <w:pStyle w:val="DHHStabletext"/>
            </w:pPr>
            <w:r w:rsidRPr="004F656A">
              <w:t>Melton Health</w:t>
            </w:r>
          </w:p>
        </w:tc>
      </w:tr>
      <w:tr w:rsidR="00AC46F1" w14:paraId="44893A7F" w14:textId="77777777" w:rsidTr="00B82470">
        <w:tc>
          <w:tcPr>
            <w:tcW w:w="2235" w:type="dxa"/>
            <w:vAlign w:val="bottom"/>
          </w:tcPr>
          <w:p w14:paraId="7C8F273A" w14:textId="77777777" w:rsidR="00AC46F1" w:rsidRPr="004F656A" w:rsidRDefault="00AC46F1" w:rsidP="00B82470">
            <w:pPr>
              <w:pStyle w:val="DHHStabletext"/>
            </w:pPr>
            <w:r w:rsidRPr="004F656A">
              <w:t>Grampians RICS</w:t>
            </w:r>
          </w:p>
        </w:tc>
        <w:tc>
          <w:tcPr>
            <w:tcW w:w="1275" w:type="dxa"/>
            <w:vAlign w:val="bottom"/>
          </w:tcPr>
          <w:p w14:paraId="1AE0DD40" w14:textId="77777777" w:rsidR="00AC46F1" w:rsidRPr="004F656A" w:rsidRDefault="00AC46F1" w:rsidP="00B82470">
            <w:pPr>
              <w:pStyle w:val="DHHStabletext"/>
            </w:pPr>
            <w:r w:rsidRPr="004F656A">
              <w:t>Private</w:t>
            </w:r>
          </w:p>
        </w:tc>
        <w:tc>
          <w:tcPr>
            <w:tcW w:w="5732" w:type="dxa"/>
            <w:vAlign w:val="bottom"/>
          </w:tcPr>
          <w:p w14:paraId="3F94A4F6" w14:textId="77777777" w:rsidR="00AC46F1" w:rsidRPr="004F656A" w:rsidRDefault="00AC46F1" w:rsidP="00B82470">
            <w:pPr>
              <w:pStyle w:val="DHHStabletext"/>
            </w:pPr>
            <w:r w:rsidRPr="004F656A">
              <w:t>St John of God Hospital Ballarat</w:t>
            </w:r>
          </w:p>
        </w:tc>
      </w:tr>
      <w:tr w:rsidR="00AC46F1" w14:paraId="04B16CAF" w14:textId="77777777" w:rsidTr="00B82470">
        <w:tc>
          <w:tcPr>
            <w:tcW w:w="2235" w:type="dxa"/>
            <w:vAlign w:val="bottom"/>
          </w:tcPr>
          <w:p w14:paraId="5F95FEC4" w14:textId="77777777" w:rsidR="00AC46F1" w:rsidRPr="004F656A" w:rsidRDefault="00AC46F1" w:rsidP="00B82470">
            <w:pPr>
              <w:pStyle w:val="DHHStabletext"/>
            </w:pPr>
            <w:r w:rsidRPr="004F656A">
              <w:t>Hume RICS</w:t>
            </w:r>
          </w:p>
        </w:tc>
        <w:tc>
          <w:tcPr>
            <w:tcW w:w="1275" w:type="dxa"/>
            <w:vAlign w:val="bottom"/>
          </w:tcPr>
          <w:p w14:paraId="185B7CDF" w14:textId="77777777" w:rsidR="00AC46F1" w:rsidRPr="004F656A" w:rsidRDefault="00AC46F1" w:rsidP="00B82470">
            <w:pPr>
              <w:pStyle w:val="DHHStabletext"/>
            </w:pPr>
            <w:r w:rsidRPr="004F656A">
              <w:t>Public</w:t>
            </w:r>
          </w:p>
        </w:tc>
        <w:tc>
          <w:tcPr>
            <w:tcW w:w="5732" w:type="dxa"/>
            <w:vAlign w:val="bottom"/>
          </w:tcPr>
          <w:p w14:paraId="08D23E6C" w14:textId="77777777" w:rsidR="00AC46F1" w:rsidRPr="004F656A" w:rsidRDefault="00AC46F1" w:rsidP="00B82470">
            <w:pPr>
              <w:pStyle w:val="DHHStabletext"/>
            </w:pPr>
            <w:r w:rsidRPr="004F656A">
              <w:t>Goulburn Valley Health [Shepparton]</w:t>
            </w:r>
          </w:p>
        </w:tc>
      </w:tr>
      <w:tr w:rsidR="00AC46F1" w14:paraId="37589BD8" w14:textId="77777777" w:rsidTr="00B82470">
        <w:tc>
          <w:tcPr>
            <w:tcW w:w="2235" w:type="dxa"/>
            <w:vAlign w:val="bottom"/>
          </w:tcPr>
          <w:p w14:paraId="25A338F0" w14:textId="77777777" w:rsidR="00AC46F1" w:rsidRPr="004F656A" w:rsidRDefault="00AC46F1" w:rsidP="00B82470">
            <w:pPr>
              <w:pStyle w:val="DHHStabletext"/>
            </w:pPr>
            <w:r w:rsidRPr="004F656A">
              <w:t>Hume RICS</w:t>
            </w:r>
          </w:p>
        </w:tc>
        <w:tc>
          <w:tcPr>
            <w:tcW w:w="1275" w:type="dxa"/>
            <w:vAlign w:val="bottom"/>
          </w:tcPr>
          <w:p w14:paraId="01CC0DFB" w14:textId="77777777" w:rsidR="00AC46F1" w:rsidRPr="004F656A" w:rsidRDefault="00AC46F1" w:rsidP="00B82470">
            <w:pPr>
              <w:pStyle w:val="DHHStabletext"/>
            </w:pPr>
            <w:r w:rsidRPr="004F656A">
              <w:t>Public</w:t>
            </w:r>
          </w:p>
        </w:tc>
        <w:tc>
          <w:tcPr>
            <w:tcW w:w="5732" w:type="dxa"/>
            <w:vAlign w:val="bottom"/>
          </w:tcPr>
          <w:p w14:paraId="0C4111E8" w14:textId="77777777" w:rsidR="00AC46F1" w:rsidRPr="004F656A" w:rsidRDefault="00AC46F1" w:rsidP="00B82470">
            <w:pPr>
              <w:pStyle w:val="DHHStabletext"/>
            </w:pPr>
            <w:r w:rsidRPr="004F656A">
              <w:t>Northeast Health Wangaratta</w:t>
            </w:r>
          </w:p>
        </w:tc>
      </w:tr>
      <w:tr w:rsidR="00AC46F1" w14:paraId="0938FEB0" w14:textId="77777777" w:rsidTr="00B82470">
        <w:tc>
          <w:tcPr>
            <w:tcW w:w="2235" w:type="dxa"/>
            <w:vAlign w:val="bottom"/>
          </w:tcPr>
          <w:p w14:paraId="5D5F7E88" w14:textId="77777777" w:rsidR="00AC46F1" w:rsidRPr="004F656A" w:rsidRDefault="00AC46F1" w:rsidP="00B82470">
            <w:pPr>
              <w:pStyle w:val="DHHStabletext"/>
            </w:pPr>
            <w:r w:rsidRPr="004F656A">
              <w:t>Hume RICS</w:t>
            </w:r>
          </w:p>
        </w:tc>
        <w:tc>
          <w:tcPr>
            <w:tcW w:w="1275" w:type="dxa"/>
            <w:vAlign w:val="bottom"/>
          </w:tcPr>
          <w:p w14:paraId="3386067E" w14:textId="77777777" w:rsidR="00AC46F1" w:rsidRPr="004F656A" w:rsidRDefault="00AC46F1" w:rsidP="00B82470">
            <w:pPr>
              <w:pStyle w:val="DHHStabletext"/>
            </w:pPr>
            <w:r w:rsidRPr="004F656A">
              <w:t>Public</w:t>
            </w:r>
          </w:p>
        </w:tc>
        <w:tc>
          <w:tcPr>
            <w:tcW w:w="5732" w:type="dxa"/>
            <w:vAlign w:val="bottom"/>
          </w:tcPr>
          <w:p w14:paraId="37B3D682" w14:textId="77777777" w:rsidR="00AC46F1" w:rsidRPr="004F656A" w:rsidRDefault="00AC46F1" w:rsidP="00B82470">
            <w:pPr>
              <w:pStyle w:val="DHHStabletext"/>
            </w:pPr>
            <w:r w:rsidRPr="004F656A">
              <w:t>Wodonga Regional Health Service</w:t>
            </w:r>
          </w:p>
        </w:tc>
      </w:tr>
      <w:tr w:rsidR="00AC46F1" w14:paraId="1653E236" w14:textId="77777777" w:rsidTr="00B82470">
        <w:tc>
          <w:tcPr>
            <w:tcW w:w="2235" w:type="dxa"/>
            <w:vAlign w:val="bottom"/>
          </w:tcPr>
          <w:p w14:paraId="6A8F6806" w14:textId="77777777" w:rsidR="00AC46F1" w:rsidRPr="004F656A" w:rsidRDefault="00AC46F1" w:rsidP="00B82470">
            <w:pPr>
              <w:pStyle w:val="DHHStabletext"/>
            </w:pPr>
            <w:r w:rsidRPr="004F656A">
              <w:t>Loddon Mallee RICS</w:t>
            </w:r>
          </w:p>
        </w:tc>
        <w:tc>
          <w:tcPr>
            <w:tcW w:w="1275" w:type="dxa"/>
            <w:vAlign w:val="bottom"/>
          </w:tcPr>
          <w:p w14:paraId="1A968FF7" w14:textId="77777777" w:rsidR="00AC46F1" w:rsidRPr="004F656A" w:rsidRDefault="00AC46F1" w:rsidP="00B82470">
            <w:pPr>
              <w:pStyle w:val="DHHStabletext"/>
            </w:pPr>
            <w:r w:rsidRPr="004F656A">
              <w:t>Public</w:t>
            </w:r>
          </w:p>
        </w:tc>
        <w:tc>
          <w:tcPr>
            <w:tcW w:w="5732" w:type="dxa"/>
            <w:vAlign w:val="bottom"/>
          </w:tcPr>
          <w:p w14:paraId="1D1DABC8" w14:textId="77777777" w:rsidR="00AC46F1" w:rsidRPr="004F656A" w:rsidRDefault="00AC46F1" w:rsidP="00B82470">
            <w:pPr>
              <w:pStyle w:val="DHHStabletext"/>
            </w:pPr>
            <w:r w:rsidRPr="004F656A">
              <w:t>Bendigo Hospital, The</w:t>
            </w:r>
          </w:p>
        </w:tc>
      </w:tr>
      <w:tr w:rsidR="00AC46F1" w14:paraId="303AF11C" w14:textId="77777777" w:rsidTr="00B82470">
        <w:tc>
          <w:tcPr>
            <w:tcW w:w="2235" w:type="dxa"/>
            <w:vAlign w:val="bottom"/>
          </w:tcPr>
          <w:p w14:paraId="2B1A0131" w14:textId="77777777" w:rsidR="00AC46F1" w:rsidRPr="004F656A" w:rsidRDefault="00AC46F1" w:rsidP="00B82470">
            <w:pPr>
              <w:pStyle w:val="DHHStabletext"/>
            </w:pPr>
            <w:r w:rsidRPr="004F656A">
              <w:t>Loddon Mallee RICS</w:t>
            </w:r>
          </w:p>
        </w:tc>
        <w:tc>
          <w:tcPr>
            <w:tcW w:w="1275" w:type="dxa"/>
            <w:vAlign w:val="bottom"/>
          </w:tcPr>
          <w:p w14:paraId="1FAC8AE5" w14:textId="77777777" w:rsidR="00AC46F1" w:rsidRPr="004F656A" w:rsidRDefault="00AC46F1" w:rsidP="00B82470">
            <w:pPr>
              <w:pStyle w:val="DHHStabletext"/>
            </w:pPr>
            <w:r w:rsidRPr="004F656A">
              <w:t>Public</w:t>
            </w:r>
          </w:p>
        </w:tc>
        <w:tc>
          <w:tcPr>
            <w:tcW w:w="5732" w:type="dxa"/>
            <w:vAlign w:val="bottom"/>
          </w:tcPr>
          <w:p w14:paraId="395941B8" w14:textId="77777777" w:rsidR="00AC46F1" w:rsidRPr="004F656A" w:rsidRDefault="00AC46F1" w:rsidP="00B82470">
            <w:pPr>
              <w:pStyle w:val="DHHStabletext"/>
            </w:pPr>
            <w:r w:rsidRPr="004F656A">
              <w:t>Kyneton District Health Service</w:t>
            </w:r>
          </w:p>
        </w:tc>
      </w:tr>
      <w:tr w:rsidR="00AC46F1" w14:paraId="38B8AE8A" w14:textId="77777777" w:rsidTr="00B82470">
        <w:tc>
          <w:tcPr>
            <w:tcW w:w="2235" w:type="dxa"/>
            <w:vAlign w:val="bottom"/>
          </w:tcPr>
          <w:p w14:paraId="60407AAA" w14:textId="77777777" w:rsidR="00AC46F1" w:rsidRPr="004F656A" w:rsidRDefault="00AC46F1" w:rsidP="00B82470">
            <w:pPr>
              <w:pStyle w:val="DHHStabletext"/>
            </w:pPr>
            <w:r w:rsidRPr="004F656A">
              <w:t>Loddon Mallee RICS</w:t>
            </w:r>
          </w:p>
        </w:tc>
        <w:tc>
          <w:tcPr>
            <w:tcW w:w="1275" w:type="dxa"/>
            <w:vAlign w:val="bottom"/>
          </w:tcPr>
          <w:p w14:paraId="24AEAE24" w14:textId="77777777" w:rsidR="00AC46F1" w:rsidRPr="004F656A" w:rsidRDefault="00AC46F1" w:rsidP="00B82470">
            <w:pPr>
              <w:pStyle w:val="DHHStabletext"/>
            </w:pPr>
            <w:r w:rsidRPr="004F656A">
              <w:t>Public</w:t>
            </w:r>
          </w:p>
        </w:tc>
        <w:tc>
          <w:tcPr>
            <w:tcW w:w="5732" w:type="dxa"/>
            <w:vAlign w:val="bottom"/>
          </w:tcPr>
          <w:p w14:paraId="5C5B6182" w14:textId="77777777" w:rsidR="00AC46F1" w:rsidRPr="004F656A" w:rsidRDefault="00AC46F1" w:rsidP="00B82470">
            <w:pPr>
              <w:pStyle w:val="DHHStabletext"/>
            </w:pPr>
            <w:r w:rsidRPr="004F656A">
              <w:t>Maryborough District Health Service [Maryborough]</w:t>
            </w:r>
          </w:p>
        </w:tc>
      </w:tr>
      <w:tr w:rsidR="00AC46F1" w14:paraId="6B2815CB" w14:textId="77777777" w:rsidTr="00B82470">
        <w:tc>
          <w:tcPr>
            <w:tcW w:w="2235" w:type="dxa"/>
            <w:vAlign w:val="bottom"/>
          </w:tcPr>
          <w:p w14:paraId="200CB6B5" w14:textId="77777777" w:rsidR="00AC46F1" w:rsidRPr="004F656A" w:rsidRDefault="00AC46F1" w:rsidP="00B82470">
            <w:pPr>
              <w:pStyle w:val="DHHStabletext"/>
            </w:pPr>
            <w:r w:rsidRPr="004F656A">
              <w:t>Loddon Mallee RICS</w:t>
            </w:r>
          </w:p>
        </w:tc>
        <w:tc>
          <w:tcPr>
            <w:tcW w:w="1275" w:type="dxa"/>
            <w:vAlign w:val="bottom"/>
          </w:tcPr>
          <w:p w14:paraId="22C9F7AD" w14:textId="77777777" w:rsidR="00AC46F1" w:rsidRPr="004F656A" w:rsidRDefault="00AC46F1" w:rsidP="00B82470">
            <w:pPr>
              <w:pStyle w:val="DHHStabletext"/>
            </w:pPr>
            <w:r w:rsidRPr="004F656A">
              <w:t>Public</w:t>
            </w:r>
          </w:p>
        </w:tc>
        <w:tc>
          <w:tcPr>
            <w:tcW w:w="5732" w:type="dxa"/>
            <w:vAlign w:val="bottom"/>
          </w:tcPr>
          <w:p w14:paraId="392F6AFC" w14:textId="77777777" w:rsidR="00AC46F1" w:rsidRPr="004F656A" w:rsidRDefault="00AC46F1" w:rsidP="00B82470">
            <w:pPr>
              <w:pStyle w:val="DHHStabletext"/>
            </w:pPr>
            <w:r w:rsidRPr="004F656A">
              <w:t>Swan Hill District Hospital [Swan Hill]</w:t>
            </w:r>
          </w:p>
        </w:tc>
      </w:tr>
      <w:tr w:rsidR="00AC46F1" w14:paraId="32BAC7F2" w14:textId="77777777" w:rsidTr="00B82470">
        <w:tc>
          <w:tcPr>
            <w:tcW w:w="2235" w:type="dxa"/>
            <w:vAlign w:val="bottom"/>
          </w:tcPr>
          <w:p w14:paraId="7BD8FB30" w14:textId="77777777" w:rsidR="00AC46F1" w:rsidRPr="004F656A" w:rsidRDefault="00AC46F1" w:rsidP="00B82470">
            <w:pPr>
              <w:pStyle w:val="DHHStabletext"/>
            </w:pPr>
            <w:r w:rsidRPr="004F656A">
              <w:t>Loddon Mallee RICS</w:t>
            </w:r>
          </w:p>
        </w:tc>
        <w:tc>
          <w:tcPr>
            <w:tcW w:w="1275" w:type="dxa"/>
            <w:vAlign w:val="bottom"/>
          </w:tcPr>
          <w:p w14:paraId="4E2956C0" w14:textId="77777777" w:rsidR="00AC46F1" w:rsidRPr="004F656A" w:rsidRDefault="00AC46F1" w:rsidP="00B82470">
            <w:pPr>
              <w:pStyle w:val="DHHStabletext"/>
            </w:pPr>
            <w:r w:rsidRPr="004F656A">
              <w:t>Public</w:t>
            </w:r>
          </w:p>
        </w:tc>
        <w:tc>
          <w:tcPr>
            <w:tcW w:w="5732" w:type="dxa"/>
            <w:vAlign w:val="bottom"/>
          </w:tcPr>
          <w:p w14:paraId="22F1D666" w14:textId="77777777" w:rsidR="00AC46F1" w:rsidRPr="004F656A" w:rsidRDefault="00AC46F1" w:rsidP="00B82470">
            <w:pPr>
              <w:pStyle w:val="DHHStabletext"/>
            </w:pPr>
            <w:r w:rsidRPr="004F656A">
              <w:t>Echuca Regional Health</w:t>
            </w:r>
          </w:p>
        </w:tc>
      </w:tr>
      <w:tr w:rsidR="00AC46F1" w14:paraId="2349E6DB" w14:textId="77777777" w:rsidTr="00B82470">
        <w:tc>
          <w:tcPr>
            <w:tcW w:w="2235" w:type="dxa"/>
            <w:vAlign w:val="bottom"/>
          </w:tcPr>
          <w:p w14:paraId="42954DEE" w14:textId="77777777" w:rsidR="00AC46F1" w:rsidRPr="004F656A" w:rsidRDefault="00AC46F1" w:rsidP="00B82470">
            <w:pPr>
              <w:pStyle w:val="DHHStabletext"/>
            </w:pPr>
            <w:r w:rsidRPr="004F656A">
              <w:t>Loddon Mallee RICS</w:t>
            </w:r>
          </w:p>
        </w:tc>
        <w:tc>
          <w:tcPr>
            <w:tcW w:w="1275" w:type="dxa"/>
            <w:vAlign w:val="bottom"/>
          </w:tcPr>
          <w:p w14:paraId="74DB7415" w14:textId="77777777" w:rsidR="00AC46F1" w:rsidRPr="004F656A" w:rsidRDefault="00AC46F1" w:rsidP="00B82470">
            <w:pPr>
              <w:pStyle w:val="DHHStabletext"/>
            </w:pPr>
            <w:r w:rsidRPr="004F656A">
              <w:t>Public</w:t>
            </w:r>
          </w:p>
        </w:tc>
        <w:tc>
          <w:tcPr>
            <w:tcW w:w="5732" w:type="dxa"/>
            <w:vAlign w:val="bottom"/>
          </w:tcPr>
          <w:p w14:paraId="2201348E" w14:textId="77777777" w:rsidR="00AC46F1" w:rsidRPr="004F656A" w:rsidRDefault="00AC46F1" w:rsidP="00B82470">
            <w:pPr>
              <w:pStyle w:val="DHHStabletext"/>
            </w:pPr>
            <w:r w:rsidRPr="004F656A">
              <w:t>Kerang District Health</w:t>
            </w:r>
          </w:p>
        </w:tc>
      </w:tr>
      <w:tr w:rsidR="00AC46F1" w14:paraId="43BA5923" w14:textId="77777777" w:rsidTr="00B82470">
        <w:tc>
          <w:tcPr>
            <w:tcW w:w="2235" w:type="dxa"/>
            <w:vAlign w:val="bottom"/>
          </w:tcPr>
          <w:p w14:paraId="652A2D08" w14:textId="77777777" w:rsidR="00AC46F1" w:rsidRPr="004F656A" w:rsidRDefault="00AC46F1" w:rsidP="00B82470">
            <w:pPr>
              <w:pStyle w:val="DHHStabletext"/>
            </w:pPr>
            <w:r w:rsidRPr="004F656A">
              <w:t>Loddon Mallee RICS</w:t>
            </w:r>
          </w:p>
        </w:tc>
        <w:tc>
          <w:tcPr>
            <w:tcW w:w="1275" w:type="dxa"/>
            <w:vAlign w:val="bottom"/>
          </w:tcPr>
          <w:p w14:paraId="1E0E8511" w14:textId="77777777" w:rsidR="00AC46F1" w:rsidRPr="004F656A" w:rsidRDefault="00AC46F1" w:rsidP="00B82470">
            <w:pPr>
              <w:pStyle w:val="DHHStabletext"/>
            </w:pPr>
            <w:r w:rsidRPr="004F656A">
              <w:t>Public</w:t>
            </w:r>
          </w:p>
        </w:tc>
        <w:tc>
          <w:tcPr>
            <w:tcW w:w="5732" w:type="dxa"/>
            <w:vAlign w:val="bottom"/>
          </w:tcPr>
          <w:p w14:paraId="2E13AC00" w14:textId="77777777" w:rsidR="00AC46F1" w:rsidRPr="004F656A" w:rsidRDefault="00AC46F1" w:rsidP="00B82470">
            <w:pPr>
              <w:pStyle w:val="DHHStabletext"/>
            </w:pPr>
            <w:r w:rsidRPr="004F656A">
              <w:t>Mildura Base Hospital</w:t>
            </w:r>
          </w:p>
        </w:tc>
      </w:tr>
      <w:tr w:rsidR="00AC46F1" w14:paraId="5602E876" w14:textId="77777777" w:rsidTr="00B82470">
        <w:tc>
          <w:tcPr>
            <w:tcW w:w="2235" w:type="dxa"/>
            <w:vAlign w:val="bottom"/>
          </w:tcPr>
          <w:p w14:paraId="5EFA6516" w14:textId="77777777" w:rsidR="00AC46F1" w:rsidRPr="004F656A" w:rsidRDefault="00AC46F1" w:rsidP="00B82470">
            <w:pPr>
              <w:pStyle w:val="DHHStabletext"/>
            </w:pPr>
            <w:r w:rsidRPr="004F656A">
              <w:t>Loddon Mallee RICS</w:t>
            </w:r>
          </w:p>
        </w:tc>
        <w:tc>
          <w:tcPr>
            <w:tcW w:w="1275" w:type="dxa"/>
            <w:vAlign w:val="bottom"/>
          </w:tcPr>
          <w:p w14:paraId="4704E0DF" w14:textId="77777777" w:rsidR="00AC46F1" w:rsidRPr="004F656A" w:rsidRDefault="00AC46F1" w:rsidP="00B82470">
            <w:pPr>
              <w:pStyle w:val="DHHStabletext"/>
            </w:pPr>
            <w:r w:rsidRPr="004F656A">
              <w:t>Public</w:t>
            </w:r>
          </w:p>
        </w:tc>
        <w:tc>
          <w:tcPr>
            <w:tcW w:w="5732" w:type="dxa"/>
            <w:vAlign w:val="bottom"/>
          </w:tcPr>
          <w:p w14:paraId="2133A9B9" w14:textId="77777777" w:rsidR="00AC46F1" w:rsidRPr="004F656A" w:rsidRDefault="00AC46F1" w:rsidP="00B82470">
            <w:pPr>
              <w:pStyle w:val="DHHStabletext"/>
            </w:pPr>
            <w:r w:rsidRPr="004F656A">
              <w:t>Mount Alexander Hospital [Castlemaine]</w:t>
            </w:r>
          </w:p>
        </w:tc>
      </w:tr>
      <w:tr w:rsidR="00AC46F1" w14:paraId="4F5EA7BE" w14:textId="77777777" w:rsidTr="00B82470">
        <w:tc>
          <w:tcPr>
            <w:tcW w:w="2235" w:type="dxa"/>
            <w:vAlign w:val="bottom"/>
          </w:tcPr>
          <w:p w14:paraId="489CD0EE" w14:textId="77777777" w:rsidR="00AC46F1" w:rsidRPr="004F656A" w:rsidRDefault="00AC46F1" w:rsidP="00B82470">
            <w:pPr>
              <w:pStyle w:val="DHHStabletext"/>
            </w:pPr>
            <w:r w:rsidRPr="004F656A">
              <w:t>Loddon Mallee RICS</w:t>
            </w:r>
          </w:p>
        </w:tc>
        <w:tc>
          <w:tcPr>
            <w:tcW w:w="1275" w:type="dxa"/>
            <w:vAlign w:val="bottom"/>
          </w:tcPr>
          <w:p w14:paraId="4308210A" w14:textId="77777777" w:rsidR="00AC46F1" w:rsidRPr="004F656A" w:rsidRDefault="00AC46F1" w:rsidP="00B82470">
            <w:pPr>
              <w:pStyle w:val="DHHStabletext"/>
            </w:pPr>
            <w:r w:rsidRPr="004F656A">
              <w:t>Private</w:t>
            </w:r>
          </w:p>
        </w:tc>
        <w:tc>
          <w:tcPr>
            <w:tcW w:w="5732" w:type="dxa"/>
            <w:vAlign w:val="bottom"/>
          </w:tcPr>
          <w:p w14:paraId="29E849A9" w14:textId="77777777" w:rsidR="00AC46F1" w:rsidRPr="004F656A" w:rsidRDefault="00AC46F1" w:rsidP="00B82470">
            <w:pPr>
              <w:pStyle w:val="DHHStabletext"/>
            </w:pPr>
            <w:r w:rsidRPr="004F656A">
              <w:t>St John of God Hospital Bendigo</w:t>
            </w:r>
          </w:p>
        </w:tc>
      </w:tr>
      <w:tr w:rsidR="00AC46F1" w14:paraId="6BE70DE4" w14:textId="77777777" w:rsidTr="00B82470">
        <w:tc>
          <w:tcPr>
            <w:tcW w:w="2235" w:type="dxa"/>
            <w:vAlign w:val="bottom"/>
          </w:tcPr>
          <w:p w14:paraId="7D560B92" w14:textId="77777777" w:rsidR="00AC46F1" w:rsidRPr="004F656A" w:rsidRDefault="00AC46F1" w:rsidP="00B82470">
            <w:pPr>
              <w:pStyle w:val="DHHStabletext"/>
            </w:pPr>
            <w:r w:rsidRPr="004F656A">
              <w:t>Loddon Mallee RICS</w:t>
            </w:r>
          </w:p>
        </w:tc>
        <w:tc>
          <w:tcPr>
            <w:tcW w:w="1275" w:type="dxa"/>
            <w:vAlign w:val="bottom"/>
          </w:tcPr>
          <w:p w14:paraId="6906E14A" w14:textId="77777777" w:rsidR="00AC46F1" w:rsidRPr="004F656A" w:rsidRDefault="00AC46F1" w:rsidP="00B82470">
            <w:pPr>
              <w:pStyle w:val="DHHStabletext"/>
            </w:pPr>
            <w:r w:rsidRPr="004F656A">
              <w:t>Private</w:t>
            </w:r>
          </w:p>
        </w:tc>
        <w:tc>
          <w:tcPr>
            <w:tcW w:w="5732" w:type="dxa"/>
            <w:vAlign w:val="bottom"/>
          </w:tcPr>
          <w:p w14:paraId="47FDBA76" w14:textId="77777777" w:rsidR="00AC46F1" w:rsidRPr="004F656A" w:rsidRDefault="00AC46F1" w:rsidP="00B82470">
            <w:pPr>
              <w:pStyle w:val="DHHStabletext"/>
            </w:pPr>
            <w:r w:rsidRPr="004F656A">
              <w:t>Mildura Private Hospital</w:t>
            </w:r>
          </w:p>
        </w:tc>
      </w:tr>
      <w:tr w:rsidR="00AC46F1" w14:paraId="5DB67D68" w14:textId="77777777" w:rsidTr="00B82470">
        <w:tc>
          <w:tcPr>
            <w:tcW w:w="2235" w:type="dxa"/>
            <w:vAlign w:val="bottom"/>
          </w:tcPr>
          <w:p w14:paraId="1A0CD98B" w14:textId="77777777" w:rsidR="00AC46F1" w:rsidRPr="004F656A" w:rsidRDefault="00AC46F1" w:rsidP="00B82470">
            <w:pPr>
              <w:pStyle w:val="DHHStabletext"/>
            </w:pPr>
            <w:r w:rsidRPr="004F656A">
              <w:t>NEMICS</w:t>
            </w:r>
          </w:p>
        </w:tc>
        <w:tc>
          <w:tcPr>
            <w:tcW w:w="1275" w:type="dxa"/>
            <w:vAlign w:val="bottom"/>
          </w:tcPr>
          <w:p w14:paraId="7A026AC1" w14:textId="77777777" w:rsidR="00AC46F1" w:rsidRPr="004F656A" w:rsidRDefault="00AC46F1" w:rsidP="00B82470">
            <w:pPr>
              <w:pStyle w:val="DHHStabletext"/>
            </w:pPr>
            <w:r w:rsidRPr="004F656A">
              <w:t>Public</w:t>
            </w:r>
          </w:p>
        </w:tc>
        <w:tc>
          <w:tcPr>
            <w:tcW w:w="5732" w:type="dxa"/>
            <w:vAlign w:val="bottom"/>
          </w:tcPr>
          <w:p w14:paraId="49C67655" w14:textId="77777777" w:rsidR="00AC46F1" w:rsidRPr="004F656A" w:rsidRDefault="00AC46F1" w:rsidP="00B82470">
            <w:pPr>
              <w:pStyle w:val="DHHStabletext"/>
            </w:pPr>
            <w:r w:rsidRPr="004F656A">
              <w:t>Austin Hospital</w:t>
            </w:r>
          </w:p>
        </w:tc>
      </w:tr>
      <w:tr w:rsidR="00AC46F1" w14:paraId="3F2137B8" w14:textId="77777777" w:rsidTr="00B82470">
        <w:tc>
          <w:tcPr>
            <w:tcW w:w="2235" w:type="dxa"/>
            <w:vAlign w:val="bottom"/>
          </w:tcPr>
          <w:p w14:paraId="3CF5F984" w14:textId="77777777" w:rsidR="00AC46F1" w:rsidRPr="004F656A" w:rsidRDefault="00AC46F1" w:rsidP="00B82470">
            <w:pPr>
              <w:pStyle w:val="DHHStabletext"/>
            </w:pPr>
            <w:r w:rsidRPr="004F656A">
              <w:t>NEMICS</w:t>
            </w:r>
          </w:p>
        </w:tc>
        <w:tc>
          <w:tcPr>
            <w:tcW w:w="1275" w:type="dxa"/>
            <w:vAlign w:val="bottom"/>
          </w:tcPr>
          <w:p w14:paraId="437204A9" w14:textId="77777777" w:rsidR="00AC46F1" w:rsidRPr="004F656A" w:rsidRDefault="00AC46F1" w:rsidP="00B82470">
            <w:pPr>
              <w:pStyle w:val="DHHStabletext"/>
            </w:pPr>
            <w:r w:rsidRPr="004F656A">
              <w:t>Public</w:t>
            </w:r>
          </w:p>
        </w:tc>
        <w:tc>
          <w:tcPr>
            <w:tcW w:w="5732" w:type="dxa"/>
            <w:vAlign w:val="bottom"/>
          </w:tcPr>
          <w:p w14:paraId="08299AB8" w14:textId="77777777" w:rsidR="00AC46F1" w:rsidRPr="004F656A" w:rsidRDefault="00AC46F1" w:rsidP="00B82470">
            <w:pPr>
              <w:pStyle w:val="DHHStabletext"/>
            </w:pPr>
            <w:r w:rsidRPr="004F656A">
              <w:t>Box Hill Hospital</w:t>
            </w:r>
          </w:p>
        </w:tc>
      </w:tr>
      <w:tr w:rsidR="00AC46F1" w14:paraId="36586C90" w14:textId="77777777" w:rsidTr="00B82470">
        <w:tc>
          <w:tcPr>
            <w:tcW w:w="2235" w:type="dxa"/>
            <w:vAlign w:val="bottom"/>
          </w:tcPr>
          <w:p w14:paraId="7863747E" w14:textId="77777777" w:rsidR="00AC46F1" w:rsidRPr="004F656A" w:rsidRDefault="00AC46F1" w:rsidP="00B82470">
            <w:pPr>
              <w:pStyle w:val="DHHStabletext"/>
            </w:pPr>
            <w:r w:rsidRPr="004F656A">
              <w:t>NEMICS</w:t>
            </w:r>
          </w:p>
        </w:tc>
        <w:tc>
          <w:tcPr>
            <w:tcW w:w="1275" w:type="dxa"/>
            <w:vAlign w:val="bottom"/>
          </w:tcPr>
          <w:p w14:paraId="1A790022" w14:textId="77777777" w:rsidR="00AC46F1" w:rsidRPr="004F656A" w:rsidRDefault="00AC46F1" w:rsidP="00B82470">
            <w:pPr>
              <w:pStyle w:val="DHHStabletext"/>
            </w:pPr>
            <w:r w:rsidRPr="004F656A">
              <w:t>Public</w:t>
            </w:r>
          </w:p>
        </w:tc>
        <w:tc>
          <w:tcPr>
            <w:tcW w:w="5732" w:type="dxa"/>
            <w:vAlign w:val="bottom"/>
          </w:tcPr>
          <w:p w14:paraId="2F06E3A8" w14:textId="77777777" w:rsidR="00AC46F1" w:rsidRPr="004F656A" w:rsidRDefault="00AC46F1" w:rsidP="00B82470">
            <w:pPr>
              <w:pStyle w:val="DHHStabletext"/>
            </w:pPr>
            <w:r w:rsidRPr="004F656A">
              <w:t>Maroondah Hospital [East Ringwood]</w:t>
            </w:r>
          </w:p>
        </w:tc>
      </w:tr>
      <w:tr w:rsidR="00AC46F1" w14:paraId="317B3443" w14:textId="77777777" w:rsidTr="00B82470">
        <w:tc>
          <w:tcPr>
            <w:tcW w:w="2235" w:type="dxa"/>
            <w:vAlign w:val="bottom"/>
          </w:tcPr>
          <w:p w14:paraId="7949A38E" w14:textId="77777777" w:rsidR="00AC46F1" w:rsidRPr="004F656A" w:rsidRDefault="00AC46F1" w:rsidP="00B82470">
            <w:pPr>
              <w:pStyle w:val="DHHStabletext"/>
            </w:pPr>
            <w:r w:rsidRPr="004F656A">
              <w:t>NEMICS</w:t>
            </w:r>
          </w:p>
        </w:tc>
        <w:tc>
          <w:tcPr>
            <w:tcW w:w="1275" w:type="dxa"/>
            <w:vAlign w:val="bottom"/>
          </w:tcPr>
          <w:p w14:paraId="19147739" w14:textId="77777777" w:rsidR="00AC46F1" w:rsidRPr="004F656A" w:rsidRDefault="00AC46F1" w:rsidP="00B82470">
            <w:pPr>
              <w:pStyle w:val="DHHStabletext"/>
            </w:pPr>
            <w:r w:rsidRPr="004F656A">
              <w:t>Public</w:t>
            </w:r>
          </w:p>
        </w:tc>
        <w:tc>
          <w:tcPr>
            <w:tcW w:w="5732" w:type="dxa"/>
            <w:vAlign w:val="bottom"/>
          </w:tcPr>
          <w:p w14:paraId="412E8A44" w14:textId="77777777" w:rsidR="00AC46F1" w:rsidRPr="004F656A" w:rsidRDefault="00AC46F1" w:rsidP="00B82470">
            <w:pPr>
              <w:pStyle w:val="DHHStabletext"/>
            </w:pPr>
            <w:r w:rsidRPr="004F656A">
              <w:t>Northern Hospital, The [Epping]</w:t>
            </w:r>
          </w:p>
        </w:tc>
      </w:tr>
      <w:tr w:rsidR="00AC46F1" w14:paraId="1E664043" w14:textId="77777777" w:rsidTr="00B82470">
        <w:tc>
          <w:tcPr>
            <w:tcW w:w="2235" w:type="dxa"/>
            <w:vAlign w:val="bottom"/>
          </w:tcPr>
          <w:p w14:paraId="5E90B4D9" w14:textId="77777777" w:rsidR="00AC46F1" w:rsidRPr="004F656A" w:rsidRDefault="00AC46F1" w:rsidP="00B82470">
            <w:pPr>
              <w:pStyle w:val="DHHStabletext"/>
            </w:pPr>
            <w:r w:rsidRPr="004F656A">
              <w:t>SMICS</w:t>
            </w:r>
          </w:p>
        </w:tc>
        <w:tc>
          <w:tcPr>
            <w:tcW w:w="1275" w:type="dxa"/>
            <w:vAlign w:val="bottom"/>
          </w:tcPr>
          <w:p w14:paraId="7076BFBF" w14:textId="77777777" w:rsidR="00AC46F1" w:rsidRPr="004F656A" w:rsidRDefault="00AC46F1" w:rsidP="00B82470">
            <w:pPr>
              <w:pStyle w:val="DHHStabletext"/>
            </w:pPr>
            <w:r w:rsidRPr="004F656A">
              <w:t>Public</w:t>
            </w:r>
          </w:p>
        </w:tc>
        <w:tc>
          <w:tcPr>
            <w:tcW w:w="5732" w:type="dxa"/>
            <w:vAlign w:val="bottom"/>
          </w:tcPr>
          <w:p w14:paraId="16A6F734" w14:textId="77777777" w:rsidR="00AC46F1" w:rsidRPr="004F656A" w:rsidRDefault="00AC46F1" w:rsidP="00B82470">
            <w:pPr>
              <w:pStyle w:val="DHHStabletext"/>
            </w:pPr>
            <w:r w:rsidRPr="004F656A">
              <w:t>Alfred, The [Prahran]</w:t>
            </w:r>
          </w:p>
        </w:tc>
      </w:tr>
      <w:tr w:rsidR="00AC46F1" w14:paraId="1F6B5C64" w14:textId="77777777" w:rsidTr="00B82470">
        <w:tc>
          <w:tcPr>
            <w:tcW w:w="2235" w:type="dxa"/>
            <w:vAlign w:val="bottom"/>
          </w:tcPr>
          <w:p w14:paraId="53BC10EC" w14:textId="77777777" w:rsidR="00AC46F1" w:rsidRPr="004F656A" w:rsidRDefault="00AC46F1" w:rsidP="00B82470">
            <w:pPr>
              <w:pStyle w:val="DHHStabletext"/>
            </w:pPr>
            <w:r w:rsidRPr="004F656A">
              <w:t>SMICS</w:t>
            </w:r>
          </w:p>
        </w:tc>
        <w:tc>
          <w:tcPr>
            <w:tcW w:w="1275" w:type="dxa"/>
            <w:vAlign w:val="bottom"/>
          </w:tcPr>
          <w:p w14:paraId="70E20B9E" w14:textId="77777777" w:rsidR="00AC46F1" w:rsidRPr="004F656A" w:rsidRDefault="00AC46F1" w:rsidP="00B82470">
            <w:pPr>
              <w:pStyle w:val="DHHStabletext"/>
            </w:pPr>
            <w:r w:rsidRPr="004F656A">
              <w:t>Public</w:t>
            </w:r>
          </w:p>
        </w:tc>
        <w:tc>
          <w:tcPr>
            <w:tcW w:w="5732" w:type="dxa"/>
            <w:vAlign w:val="bottom"/>
          </w:tcPr>
          <w:p w14:paraId="2AE49D18" w14:textId="77777777" w:rsidR="00AC46F1" w:rsidRPr="004F656A" w:rsidRDefault="00AC46F1" w:rsidP="00B82470">
            <w:pPr>
              <w:pStyle w:val="DHHStabletext"/>
            </w:pPr>
            <w:r w:rsidRPr="004F656A">
              <w:t>Monash Medical Centre [Clayton]</w:t>
            </w:r>
          </w:p>
        </w:tc>
      </w:tr>
      <w:tr w:rsidR="00AC46F1" w14:paraId="61CF9DD0" w14:textId="77777777" w:rsidTr="00B82470">
        <w:tc>
          <w:tcPr>
            <w:tcW w:w="2235" w:type="dxa"/>
            <w:vAlign w:val="bottom"/>
          </w:tcPr>
          <w:p w14:paraId="74C4246B" w14:textId="77777777" w:rsidR="00AC46F1" w:rsidRPr="004F656A" w:rsidRDefault="00AC46F1" w:rsidP="00B82470">
            <w:pPr>
              <w:pStyle w:val="DHHStabletext"/>
            </w:pPr>
            <w:r w:rsidRPr="004F656A">
              <w:t>SMICS</w:t>
            </w:r>
          </w:p>
        </w:tc>
        <w:tc>
          <w:tcPr>
            <w:tcW w:w="1275" w:type="dxa"/>
            <w:vAlign w:val="bottom"/>
          </w:tcPr>
          <w:p w14:paraId="23B610A3" w14:textId="77777777" w:rsidR="00AC46F1" w:rsidRPr="004F656A" w:rsidRDefault="00AC46F1" w:rsidP="00B82470">
            <w:pPr>
              <w:pStyle w:val="DHHStabletext"/>
            </w:pPr>
            <w:r w:rsidRPr="004F656A">
              <w:t>Public</w:t>
            </w:r>
          </w:p>
        </w:tc>
        <w:tc>
          <w:tcPr>
            <w:tcW w:w="5732" w:type="dxa"/>
            <w:vAlign w:val="bottom"/>
          </w:tcPr>
          <w:p w14:paraId="1AA9091F" w14:textId="77777777" w:rsidR="00AC46F1" w:rsidRPr="004F656A" w:rsidRDefault="00AC46F1" w:rsidP="00B82470">
            <w:pPr>
              <w:pStyle w:val="DHHStabletext"/>
            </w:pPr>
            <w:r w:rsidRPr="004F656A">
              <w:t>Monash Medical Centre [Moorabbin]</w:t>
            </w:r>
          </w:p>
        </w:tc>
      </w:tr>
      <w:tr w:rsidR="00AC46F1" w14:paraId="5811B81C" w14:textId="77777777" w:rsidTr="00B82470">
        <w:tc>
          <w:tcPr>
            <w:tcW w:w="2235" w:type="dxa"/>
            <w:vAlign w:val="bottom"/>
          </w:tcPr>
          <w:p w14:paraId="74E60D33" w14:textId="77777777" w:rsidR="00AC46F1" w:rsidRPr="004F656A" w:rsidRDefault="00AC46F1" w:rsidP="00B82470">
            <w:pPr>
              <w:pStyle w:val="DHHStabletext"/>
            </w:pPr>
            <w:r w:rsidRPr="004F656A">
              <w:t>SMICS</w:t>
            </w:r>
          </w:p>
        </w:tc>
        <w:tc>
          <w:tcPr>
            <w:tcW w:w="1275" w:type="dxa"/>
            <w:vAlign w:val="bottom"/>
          </w:tcPr>
          <w:p w14:paraId="38955929" w14:textId="77777777" w:rsidR="00AC46F1" w:rsidRPr="004F656A" w:rsidRDefault="00AC46F1" w:rsidP="00B82470">
            <w:pPr>
              <w:pStyle w:val="DHHStabletext"/>
            </w:pPr>
            <w:r w:rsidRPr="004F656A">
              <w:t>Public</w:t>
            </w:r>
          </w:p>
        </w:tc>
        <w:tc>
          <w:tcPr>
            <w:tcW w:w="5732" w:type="dxa"/>
            <w:vAlign w:val="bottom"/>
          </w:tcPr>
          <w:p w14:paraId="548A48A5" w14:textId="77777777" w:rsidR="00AC46F1" w:rsidRPr="004F656A" w:rsidRDefault="00AC46F1" w:rsidP="00B82470">
            <w:pPr>
              <w:pStyle w:val="DHHStabletext"/>
            </w:pPr>
            <w:r w:rsidRPr="004F656A">
              <w:t>Rosebud Hospital</w:t>
            </w:r>
          </w:p>
        </w:tc>
      </w:tr>
      <w:tr w:rsidR="00AC46F1" w14:paraId="0192DBFA" w14:textId="77777777" w:rsidTr="00B82470">
        <w:tc>
          <w:tcPr>
            <w:tcW w:w="2235" w:type="dxa"/>
            <w:vAlign w:val="bottom"/>
          </w:tcPr>
          <w:p w14:paraId="3AD0DFAA" w14:textId="77777777" w:rsidR="00AC46F1" w:rsidRPr="004F656A" w:rsidRDefault="00AC46F1" w:rsidP="00B82470">
            <w:pPr>
              <w:pStyle w:val="DHHStabletext"/>
            </w:pPr>
            <w:r w:rsidRPr="004F656A">
              <w:t>SMICS</w:t>
            </w:r>
          </w:p>
        </w:tc>
        <w:tc>
          <w:tcPr>
            <w:tcW w:w="1275" w:type="dxa"/>
            <w:vAlign w:val="bottom"/>
          </w:tcPr>
          <w:p w14:paraId="7A216042" w14:textId="77777777" w:rsidR="00AC46F1" w:rsidRPr="004F656A" w:rsidRDefault="00AC46F1" w:rsidP="00B82470">
            <w:pPr>
              <w:pStyle w:val="DHHStabletext"/>
            </w:pPr>
            <w:r w:rsidRPr="004F656A">
              <w:t>Public</w:t>
            </w:r>
          </w:p>
        </w:tc>
        <w:tc>
          <w:tcPr>
            <w:tcW w:w="5732" w:type="dxa"/>
            <w:vAlign w:val="bottom"/>
          </w:tcPr>
          <w:p w14:paraId="6D76CC92" w14:textId="77777777" w:rsidR="00AC46F1" w:rsidRPr="004F656A" w:rsidRDefault="00AC46F1" w:rsidP="00B82470">
            <w:pPr>
              <w:pStyle w:val="DHHStabletext"/>
            </w:pPr>
            <w:r w:rsidRPr="004F656A">
              <w:t>Sandringham &amp; District Memorial Hospital</w:t>
            </w:r>
          </w:p>
        </w:tc>
      </w:tr>
      <w:tr w:rsidR="00AC46F1" w14:paraId="2A0A74D8" w14:textId="77777777" w:rsidTr="00B82470">
        <w:tc>
          <w:tcPr>
            <w:tcW w:w="2235" w:type="dxa"/>
            <w:vAlign w:val="bottom"/>
          </w:tcPr>
          <w:p w14:paraId="7A0DBEB0" w14:textId="77777777" w:rsidR="00AC46F1" w:rsidRPr="004F656A" w:rsidRDefault="00AC46F1" w:rsidP="00B82470">
            <w:pPr>
              <w:pStyle w:val="DHHStabletext"/>
            </w:pPr>
            <w:r w:rsidRPr="004F656A">
              <w:t>SMICS</w:t>
            </w:r>
          </w:p>
        </w:tc>
        <w:tc>
          <w:tcPr>
            <w:tcW w:w="1275" w:type="dxa"/>
            <w:vAlign w:val="bottom"/>
          </w:tcPr>
          <w:p w14:paraId="7C5960F8" w14:textId="77777777" w:rsidR="00AC46F1" w:rsidRPr="004F656A" w:rsidRDefault="00AC46F1" w:rsidP="00B82470">
            <w:pPr>
              <w:pStyle w:val="DHHStabletext"/>
            </w:pPr>
            <w:r w:rsidRPr="004F656A">
              <w:t>Public</w:t>
            </w:r>
          </w:p>
        </w:tc>
        <w:tc>
          <w:tcPr>
            <w:tcW w:w="5732" w:type="dxa"/>
            <w:vAlign w:val="bottom"/>
          </w:tcPr>
          <w:p w14:paraId="0BE9F937" w14:textId="77777777" w:rsidR="00AC46F1" w:rsidRPr="004F656A" w:rsidRDefault="00AC46F1" w:rsidP="00B82470">
            <w:pPr>
              <w:pStyle w:val="DHHStabletext"/>
            </w:pPr>
            <w:r w:rsidRPr="004F656A">
              <w:t>Dandenong Campus</w:t>
            </w:r>
          </w:p>
        </w:tc>
      </w:tr>
      <w:tr w:rsidR="00AC46F1" w14:paraId="1BCF6E03" w14:textId="77777777" w:rsidTr="00B82470">
        <w:tc>
          <w:tcPr>
            <w:tcW w:w="2235" w:type="dxa"/>
            <w:vAlign w:val="bottom"/>
          </w:tcPr>
          <w:p w14:paraId="6E314F58" w14:textId="77777777" w:rsidR="00AC46F1" w:rsidRPr="004F656A" w:rsidRDefault="00AC46F1" w:rsidP="00B82470">
            <w:pPr>
              <w:pStyle w:val="DHHStabletext"/>
            </w:pPr>
            <w:r w:rsidRPr="004F656A">
              <w:t>SMICS</w:t>
            </w:r>
          </w:p>
        </w:tc>
        <w:tc>
          <w:tcPr>
            <w:tcW w:w="1275" w:type="dxa"/>
            <w:vAlign w:val="bottom"/>
          </w:tcPr>
          <w:p w14:paraId="74BDCABE" w14:textId="77777777" w:rsidR="00AC46F1" w:rsidRPr="004F656A" w:rsidRDefault="00AC46F1" w:rsidP="00B82470">
            <w:pPr>
              <w:pStyle w:val="DHHStabletext"/>
            </w:pPr>
            <w:r w:rsidRPr="004F656A">
              <w:t>Public</w:t>
            </w:r>
          </w:p>
        </w:tc>
        <w:tc>
          <w:tcPr>
            <w:tcW w:w="5732" w:type="dxa"/>
            <w:vAlign w:val="bottom"/>
          </w:tcPr>
          <w:p w14:paraId="3017CAE5" w14:textId="77777777" w:rsidR="00AC46F1" w:rsidRPr="004F656A" w:rsidRDefault="00AC46F1" w:rsidP="00B82470">
            <w:pPr>
              <w:pStyle w:val="DHHStabletext"/>
            </w:pPr>
            <w:r w:rsidRPr="004F656A">
              <w:t>Frankston Hospital</w:t>
            </w:r>
          </w:p>
        </w:tc>
      </w:tr>
      <w:tr w:rsidR="00AC46F1" w14:paraId="036B3F6A" w14:textId="77777777" w:rsidTr="00B82470">
        <w:tc>
          <w:tcPr>
            <w:tcW w:w="2235" w:type="dxa"/>
            <w:vAlign w:val="bottom"/>
          </w:tcPr>
          <w:p w14:paraId="7FBC331E" w14:textId="77777777" w:rsidR="00AC46F1" w:rsidRPr="004F656A" w:rsidRDefault="00AC46F1" w:rsidP="00B82470">
            <w:pPr>
              <w:pStyle w:val="DHHStabletext"/>
            </w:pPr>
            <w:r w:rsidRPr="004F656A">
              <w:t>WCMICS</w:t>
            </w:r>
          </w:p>
        </w:tc>
        <w:tc>
          <w:tcPr>
            <w:tcW w:w="1275" w:type="dxa"/>
            <w:vAlign w:val="bottom"/>
          </w:tcPr>
          <w:p w14:paraId="7201F16B" w14:textId="77777777" w:rsidR="00AC46F1" w:rsidRPr="004F656A" w:rsidRDefault="00AC46F1" w:rsidP="00B82470">
            <w:pPr>
              <w:pStyle w:val="DHHStabletext"/>
            </w:pPr>
            <w:r w:rsidRPr="004F656A">
              <w:t>Public</w:t>
            </w:r>
          </w:p>
        </w:tc>
        <w:tc>
          <w:tcPr>
            <w:tcW w:w="5732" w:type="dxa"/>
            <w:vAlign w:val="bottom"/>
          </w:tcPr>
          <w:p w14:paraId="4F9788E3" w14:textId="77777777" w:rsidR="00AC46F1" w:rsidRPr="004F656A" w:rsidRDefault="00AC46F1" w:rsidP="00B82470">
            <w:pPr>
              <w:pStyle w:val="DHHStabletext"/>
            </w:pPr>
            <w:r w:rsidRPr="004F656A">
              <w:t>Western Hospital [Footscray]</w:t>
            </w:r>
          </w:p>
        </w:tc>
      </w:tr>
      <w:tr w:rsidR="00AC46F1" w14:paraId="7324B06D" w14:textId="77777777" w:rsidTr="00B82470">
        <w:tc>
          <w:tcPr>
            <w:tcW w:w="2235" w:type="dxa"/>
            <w:vAlign w:val="bottom"/>
          </w:tcPr>
          <w:p w14:paraId="446C7BE8" w14:textId="77777777" w:rsidR="00AC46F1" w:rsidRPr="004F656A" w:rsidRDefault="00AC46F1" w:rsidP="00B82470">
            <w:pPr>
              <w:pStyle w:val="DHHStabletext"/>
            </w:pPr>
            <w:r w:rsidRPr="004F656A">
              <w:t>WCMICS</w:t>
            </w:r>
          </w:p>
        </w:tc>
        <w:tc>
          <w:tcPr>
            <w:tcW w:w="1275" w:type="dxa"/>
            <w:vAlign w:val="bottom"/>
          </w:tcPr>
          <w:p w14:paraId="10DA482E" w14:textId="77777777" w:rsidR="00AC46F1" w:rsidRPr="004F656A" w:rsidRDefault="00AC46F1" w:rsidP="00B82470">
            <w:pPr>
              <w:pStyle w:val="DHHStabletext"/>
            </w:pPr>
            <w:r w:rsidRPr="004F656A">
              <w:t>Public</w:t>
            </w:r>
          </w:p>
        </w:tc>
        <w:tc>
          <w:tcPr>
            <w:tcW w:w="5732" w:type="dxa"/>
            <w:vAlign w:val="bottom"/>
          </w:tcPr>
          <w:p w14:paraId="210FB879" w14:textId="78516195" w:rsidR="00AC46F1" w:rsidRPr="004F656A" w:rsidRDefault="00AC46F1" w:rsidP="00C829DD">
            <w:pPr>
              <w:pStyle w:val="DHHStabletext"/>
            </w:pPr>
            <w:r w:rsidRPr="004F656A">
              <w:t xml:space="preserve">Royal Melbourne Hospital </w:t>
            </w:r>
            <w:r w:rsidR="00276486">
              <w:t>–</w:t>
            </w:r>
            <w:r w:rsidRPr="004F656A">
              <w:t xml:space="preserve"> City Campus</w:t>
            </w:r>
          </w:p>
        </w:tc>
      </w:tr>
      <w:tr w:rsidR="00AC46F1" w14:paraId="161C09DD" w14:textId="77777777" w:rsidTr="00B82470">
        <w:tc>
          <w:tcPr>
            <w:tcW w:w="2235" w:type="dxa"/>
            <w:vAlign w:val="bottom"/>
          </w:tcPr>
          <w:p w14:paraId="619147D2" w14:textId="77777777" w:rsidR="00AC46F1" w:rsidRPr="004F656A" w:rsidRDefault="00AC46F1" w:rsidP="00B82470">
            <w:pPr>
              <w:pStyle w:val="DHHStabletext"/>
            </w:pPr>
            <w:r w:rsidRPr="004F656A">
              <w:t>WCMICS</w:t>
            </w:r>
          </w:p>
        </w:tc>
        <w:tc>
          <w:tcPr>
            <w:tcW w:w="1275" w:type="dxa"/>
            <w:vAlign w:val="bottom"/>
          </w:tcPr>
          <w:p w14:paraId="1D7D37CE" w14:textId="77777777" w:rsidR="00AC46F1" w:rsidRPr="004F656A" w:rsidRDefault="00AC46F1" w:rsidP="00B82470">
            <w:pPr>
              <w:pStyle w:val="DHHStabletext"/>
            </w:pPr>
            <w:r w:rsidRPr="004F656A">
              <w:t>Public</w:t>
            </w:r>
          </w:p>
        </w:tc>
        <w:tc>
          <w:tcPr>
            <w:tcW w:w="5732" w:type="dxa"/>
            <w:vAlign w:val="bottom"/>
          </w:tcPr>
          <w:p w14:paraId="67D29E9E" w14:textId="77777777" w:rsidR="00AC46F1" w:rsidRPr="004F656A" w:rsidRDefault="00AC46F1" w:rsidP="00B82470">
            <w:pPr>
              <w:pStyle w:val="DHHStabletext"/>
            </w:pPr>
            <w:r w:rsidRPr="004F656A">
              <w:t>Sunshine Hospital</w:t>
            </w:r>
          </w:p>
        </w:tc>
      </w:tr>
      <w:tr w:rsidR="00AC46F1" w14:paraId="4BB5E774" w14:textId="77777777" w:rsidTr="00B82470">
        <w:tc>
          <w:tcPr>
            <w:tcW w:w="2235" w:type="dxa"/>
            <w:vAlign w:val="bottom"/>
          </w:tcPr>
          <w:p w14:paraId="4CB31D6E" w14:textId="77777777" w:rsidR="00AC46F1" w:rsidRPr="004F656A" w:rsidRDefault="00AC46F1" w:rsidP="00B82470">
            <w:pPr>
              <w:pStyle w:val="DHHStabletext"/>
            </w:pPr>
            <w:r w:rsidRPr="004F656A">
              <w:t>WCMICS</w:t>
            </w:r>
          </w:p>
        </w:tc>
        <w:tc>
          <w:tcPr>
            <w:tcW w:w="1275" w:type="dxa"/>
            <w:vAlign w:val="bottom"/>
          </w:tcPr>
          <w:p w14:paraId="0E7CDD01" w14:textId="77777777" w:rsidR="00AC46F1" w:rsidRPr="004F656A" w:rsidRDefault="00AC46F1" w:rsidP="00B82470">
            <w:pPr>
              <w:pStyle w:val="DHHStabletext"/>
            </w:pPr>
            <w:r w:rsidRPr="004F656A">
              <w:t>Public</w:t>
            </w:r>
          </w:p>
        </w:tc>
        <w:tc>
          <w:tcPr>
            <w:tcW w:w="5732" w:type="dxa"/>
            <w:vAlign w:val="bottom"/>
          </w:tcPr>
          <w:p w14:paraId="6737333F" w14:textId="355B5793" w:rsidR="00AC46F1" w:rsidRPr="004F656A" w:rsidRDefault="00AC46F1" w:rsidP="00B82470">
            <w:pPr>
              <w:pStyle w:val="DHHStabletext"/>
            </w:pPr>
            <w:r w:rsidRPr="004F656A">
              <w:t>St Vincent</w:t>
            </w:r>
            <w:r w:rsidR="00276486">
              <w:t>’</w:t>
            </w:r>
            <w:r w:rsidRPr="004F656A">
              <w:t>s Hospital</w:t>
            </w:r>
          </w:p>
        </w:tc>
      </w:tr>
      <w:tr w:rsidR="00AC46F1" w14:paraId="1D9A5690" w14:textId="77777777" w:rsidTr="00B82470">
        <w:tc>
          <w:tcPr>
            <w:tcW w:w="2235" w:type="dxa"/>
            <w:vAlign w:val="bottom"/>
          </w:tcPr>
          <w:p w14:paraId="1C7D38BD" w14:textId="77777777" w:rsidR="00AC46F1" w:rsidRPr="004F656A" w:rsidRDefault="00AC46F1" w:rsidP="00B82470">
            <w:pPr>
              <w:pStyle w:val="DHHStabletext"/>
            </w:pPr>
            <w:r w:rsidRPr="004F656A">
              <w:t>WCMICS</w:t>
            </w:r>
          </w:p>
        </w:tc>
        <w:tc>
          <w:tcPr>
            <w:tcW w:w="1275" w:type="dxa"/>
            <w:vAlign w:val="bottom"/>
          </w:tcPr>
          <w:p w14:paraId="0AF67E35" w14:textId="77777777" w:rsidR="00AC46F1" w:rsidRPr="004F656A" w:rsidRDefault="00AC46F1" w:rsidP="00B82470">
            <w:pPr>
              <w:pStyle w:val="DHHStabletext"/>
            </w:pPr>
            <w:r w:rsidRPr="004F656A">
              <w:t>Public</w:t>
            </w:r>
          </w:p>
        </w:tc>
        <w:tc>
          <w:tcPr>
            <w:tcW w:w="5732" w:type="dxa"/>
            <w:vAlign w:val="bottom"/>
          </w:tcPr>
          <w:p w14:paraId="2D547F09" w14:textId="704E6D2C" w:rsidR="00AC46F1" w:rsidRPr="004F656A" w:rsidRDefault="00AC46F1" w:rsidP="00B82470">
            <w:pPr>
              <w:pStyle w:val="DHHStabletext"/>
            </w:pPr>
            <w:r w:rsidRPr="004F656A">
              <w:t xml:space="preserve">Peter </w:t>
            </w:r>
            <w:proofErr w:type="spellStart"/>
            <w:r w:rsidRPr="004F656A">
              <w:t>Mac</w:t>
            </w:r>
            <w:r w:rsidR="00F13CD9">
              <w:t>Callum</w:t>
            </w:r>
            <w:proofErr w:type="spellEnd"/>
            <w:r w:rsidR="00F13CD9">
              <w:t xml:space="preserve"> Cancer Centre</w:t>
            </w:r>
            <w:r w:rsidRPr="004F656A">
              <w:t xml:space="preserve"> [East Melbourne]</w:t>
            </w:r>
          </w:p>
        </w:tc>
      </w:tr>
    </w:tbl>
    <w:p w14:paraId="3D1928A3" w14:textId="77777777" w:rsidR="00AC46F1" w:rsidRDefault="00AC46F1" w:rsidP="00AC46F1">
      <w:pPr>
        <w:pStyle w:val="DHHSbody"/>
        <w:sectPr w:rsidR="00AC46F1" w:rsidSect="00BA5E47">
          <w:pgSz w:w="11906" w:h="16838"/>
          <w:pgMar w:top="1701" w:right="1304" w:bottom="1134" w:left="1304" w:header="454" w:footer="510" w:gutter="0"/>
          <w:cols w:space="720"/>
          <w:docGrid w:linePitch="360"/>
        </w:sectPr>
      </w:pPr>
    </w:p>
    <w:p w14:paraId="18C10482" w14:textId="178225D0" w:rsidR="00F03679" w:rsidRDefault="002144E9" w:rsidP="00A64435">
      <w:pPr>
        <w:pStyle w:val="Heading1"/>
        <w:rPr>
          <w:rFonts w:eastAsia="Calibri"/>
        </w:rPr>
      </w:pPr>
      <w:bookmarkStart w:id="34" w:name="_Toc524425494"/>
      <w:r>
        <w:rPr>
          <w:rFonts w:eastAsia="Calibri"/>
        </w:rPr>
        <w:t>Appendix</w:t>
      </w:r>
      <w:r w:rsidR="00F03679">
        <w:rPr>
          <w:rFonts w:eastAsia="Calibri"/>
        </w:rPr>
        <w:t xml:space="preserve"> </w:t>
      </w:r>
      <w:r w:rsidR="00AC46F1">
        <w:rPr>
          <w:rFonts w:eastAsia="Calibri"/>
        </w:rPr>
        <w:t>2</w:t>
      </w:r>
      <w:r>
        <w:rPr>
          <w:rFonts w:eastAsia="Calibri"/>
        </w:rPr>
        <w:t>:</w:t>
      </w:r>
      <w:r w:rsidR="00F03679">
        <w:rPr>
          <w:rFonts w:eastAsia="Calibri"/>
        </w:rPr>
        <w:t xml:space="preserve"> Victorian OG Cancer Audit</w:t>
      </w:r>
      <w:r w:rsidR="009D7550">
        <w:rPr>
          <w:rFonts w:eastAsia="Calibri"/>
        </w:rPr>
        <w:t xml:space="preserve"> </w:t>
      </w:r>
      <w:r w:rsidR="003625F6">
        <w:rPr>
          <w:rFonts w:eastAsia="Calibri"/>
        </w:rPr>
        <w:t>c</w:t>
      </w:r>
      <w:r w:rsidR="00C713D2">
        <w:rPr>
          <w:rFonts w:eastAsia="Calibri"/>
        </w:rPr>
        <w:t xml:space="preserve">ase </w:t>
      </w:r>
      <w:r w:rsidR="003625F6">
        <w:rPr>
          <w:rFonts w:eastAsia="Calibri"/>
        </w:rPr>
        <w:t>a</w:t>
      </w:r>
      <w:r w:rsidR="00C713D2">
        <w:rPr>
          <w:rFonts w:eastAsia="Calibri"/>
        </w:rPr>
        <w:t xml:space="preserve">scertainment </w:t>
      </w:r>
      <w:r w:rsidR="003625F6">
        <w:rPr>
          <w:rFonts w:eastAsia="Calibri"/>
        </w:rPr>
        <w:t>m</w:t>
      </w:r>
      <w:r w:rsidR="00C713D2">
        <w:rPr>
          <w:rFonts w:eastAsia="Calibri"/>
        </w:rPr>
        <w:t>ethod</w:t>
      </w:r>
      <w:bookmarkEnd w:id="34"/>
    </w:p>
    <w:p w14:paraId="7D1448FB" w14:textId="77777777" w:rsidR="00376405" w:rsidRDefault="00376405">
      <w:pPr>
        <w:rPr>
          <w:rFonts w:ascii="Arial" w:eastAsia="Times" w:hAnsi="Arial"/>
        </w:rPr>
      </w:pPr>
      <w:r>
        <w:br w:type="page"/>
      </w:r>
    </w:p>
    <w:p w14:paraId="0D0D83C6" w14:textId="673FE8EF" w:rsidR="002144E9" w:rsidRPr="00AC46F1" w:rsidRDefault="00376405" w:rsidP="0013267E">
      <w:pPr>
        <w:pStyle w:val="DHHSbody"/>
      </w:pPr>
      <w:r>
        <w:rPr>
          <w:noProof/>
          <w:lang w:eastAsia="en-AU"/>
        </w:rPr>
        <w:drawing>
          <wp:inline distT="0" distB="0" distL="0" distR="0" wp14:anchorId="19D7F523" wp14:editId="5258AC72">
            <wp:extent cx="5904230" cy="7729855"/>
            <wp:effectExtent l="0" t="0" r="1270" b="4445"/>
            <wp:docPr id="4" name="Picture 4" descr="Flow chart for completing the data collection from medical record by the central data team and ICS.&#10;Central data team reponsible for provising a list of all OG cases during period to ICS data manager. Data manager responsible for linking cases to medical records, conducting audit." title="Case Ascertainment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ing method flowchart 6.gif"/>
                    <pic:cNvPicPr/>
                  </pic:nvPicPr>
                  <pic:blipFill>
                    <a:blip r:embed="rId22">
                      <a:extLst>
                        <a:ext uri="{28A0092B-C50C-407E-A947-70E740481C1C}">
                          <a14:useLocalDpi xmlns:a14="http://schemas.microsoft.com/office/drawing/2010/main" val="0"/>
                        </a:ext>
                      </a:extLst>
                    </a:blip>
                    <a:stretch>
                      <a:fillRect/>
                    </a:stretch>
                  </pic:blipFill>
                  <pic:spPr>
                    <a:xfrm>
                      <a:off x="0" y="0"/>
                      <a:ext cx="5904230" cy="7729855"/>
                    </a:xfrm>
                    <a:prstGeom prst="rect">
                      <a:avLst/>
                    </a:prstGeom>
                  </pic:spPr>
                </pic:pic>
              </a:graphicData>
            </a:graphic>
          </wp:inline>
        </w:drawing>
      </w:r>
      <w:r w:rsidR="002144E9">
        <w:br w:type="page"/>
      </w:r>
    </w:p>
    <w:p w14:paraId="51BA111E" w14:textId="77777777" w:rsidR="002144E9" w:rsidRDefault="002144E9" w:rsidP="002144E9">
      <w:pPr>
        <w:pStyle w:val="Heading1"/>
        <w:spacing w:before="0"/>
      </w:pPr>
      <w:bookmarkStart w:id="35" w:name="_Toc524425495"/>
      <w:r>
        <w:t>Abbreviations</w:t>
      </w:r>
      <w:bookmarkEnd w:id="3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7450"/>
      </w:tblGrid>
      <w:tr w:rsidR="0013267E" w14:paraId="70B2B354" w14:textId="77777777" w:rsidTr="0013267E">
        <w:tc>
          <w:tcPr>
            <w:tcW w:w="1730" w:type="dxa"/>
          </w:tcPr>
          <w:p w14:paraId="1464F7EB" w14:textId="2473AC3D" w:rsidR="0013267E" w:rsidRDefault="0013267E" w:rsidP="0013267E">
            <w:pPr>
              <w:pStyle w:val="DHHStabletext"/>
            </w:pPr>
            <w:r>
              <w:t>BSWRICS</w:t>
            </w:r>
          </w:p>
        </w:tc>
        <w:tc>
          <w:tcPr>
            <w:tcW w:w="7450" w:type="dxa"/>
          </w:tcPr>
          <w:p w14:paraId="0087B18A" w14:textId="6A448BF9" w:rsidR="0013267E" w:rsidRDefault="0013267E" w:rsidP="0013267E">
            <w:pPr>
              <w:pStyle w:val="DHHStabletext"/>
            </w:pPr>
            <w:r w:rsidRPr="003279A8">
              <w:t>Barwon South Western Regional Integrated Cancer Service</w:t>
            </w:r>
          </w:p>
        </w:tc>
      </w:tr>
      <w:tr w:rsidR="0013267E" w14:paraId="2E2DCD61" w14:textId="77777777" w:rsidTr="0013267E">
        <w:tc>
          <w:tcPr>
            <w:tcW w:w="1730" w:type="dxa"/>
          </w:tcPr>
          <w:p w14:paraId="12968033" w14:textId="1ABA88CA" w:rsidR="0013267E" w:rsidRDefault="0013267E" w:rsidP="0013267E">
            <w:pPr>
              <w:pStyle w:val="DHHStabletext"/>
            </w:pPr>
            <w:r>
              <w:t>GICS</w:t>
            </w:r>
          </w:p>
        </w:tc>
        <w:tc>
          <w:tcPr>
            <w:tcW w:w="7450" w:type="dxa"/>
          </w:tcPr>
          <w:p w14:paraId="32C0EC16" w14:textId="2361324B" w:rsidR="0013267E" w:rsidRDefault="0013267E" w:rsidP="0013267E">
            <w:pPr>
              <w:pStyle w:val="DHHStabletext"/>
            </w:pPr>
            <w:r w:rsidRPr="003279A8">
              <w:t>Grampians Integrated Cancer Service</w:t>
            </w:r>
          </w:p>
        </w:tc>
      </w:tr>
      <w:tr w:rsidR="0013267E" w14:paraId="2FAE8568" w14:textId="77777777" w:rsidTr="0013267E">
        <w:tc>
          <w:tcPr>
            <w:tcW w:w="1730" w:type="dxa"/>
          </w:tcPr>
          <w:p w14:paraId="2E2CBD5C" w14:textId="49FA9C5B" w:rsidR="0013267E" w:rsidRDefault="0013267E" w:rsidP="0013267E">
            <w:pPr>
              <w:pStyle w:val="DHHStabletext"/>
            </w:pPr>
            <w:r>
              <w:t>GRICS</w:t>
            </w:r>
          </w:p>
        </w:tc>
        <w:tc>
          <w:tcPr>
            <w:tcW w:w="7450" w:type="dxa"/>
          </w:tcPr>
          <w:p w14:paraId="056931F7" w14:textId="4DCF0228" w:rsidR="0013267E" w:rsidRDefault="0013267E" w:rsidP="0013267E">
            <w:pPr>
              <w:pStyle w:val="DHHStabletext"/>
            </w:pPr>
            <w:r w:rsidRPr="003279A8">
              <w:t>Gippsland Regional Integrated Cancer Service</w:t>
            </w:r>
          </w:p>
        </w:tc>
      </w:tr>
      <w:tr w:rsidR="0013267E" w14:paraId="44533BE1" w14:textId="77777777" w:rsidTr="0013267E">
        <w:tc>
          <w:tcPr>
            <w:tcW w:w="1730" w:type="dxa"/>
          </w:tcPr>
          <w:p w14:paraId="5540B4DB" w14:textId="6FAAAFA9" w:rsidR="0013267E" w:rsidRDefault="0013267E" w:rsidP="0013267E">
            <w:pPr>
              <w:pStyle w:val="DHHStabletext"/>
            </w:pPr>
            <w:r>
              <w:t>Hume RICS</w:t>
            </w:r>
          </w:p>
        </w:tc>
        <w:tc>
          <w:tcPr>
            <w:tcW w:w="7450" w:type="dxa"/>
          </w:tcPr>
          <w:p w14:paraId="2E6719BD" w14:textId="36E86659" w:rsidR="0013267E" w:rsidRDefault="0013267E" w:rsidP="0013267E">
            <w:pPr>
              <w:pStyle w:val="DHHStabletext"/>
            </w:pPr>
            <w:r w:rsidRPr="003279A8">
              <w:t>Hume Regional Integrated Cancer Service</w:t>
            </w:r>
          </w:p>
        </w:tc>
      </w:tr>
      <w:tr w:rsidR="0013267E" w14:paraId="3C1E03E5" w14:textId="77777777" w:rsidTr="0013267E">
        <w:tc>
          <w:tcPr>
            <w:tcW w:w="1730" w:type="dxa"/>
          </w:tcPr>
          <w:p w14:paraId="482D06DF" w14:textId="6CC5E967" w:rsidR="0013267E" w:rsidRDefault="0013267E" w:rsidP="0013267E">
            <w:pPr>
              <w:pStyle w:val="DHHStabletext"/>
            </w:pPr>
            <w:r w:rsidRPr="003279A8">
              <w:t>ICS</w:t>
            </w:r>
          </w:p>
        </w:tc>
        <w:tc>
          <w:tcPr>
            <w:tcW w:w="7450" w:type="dxa"/>
          </w:tcPr>
          <w:p w14:paraId="026D7494" w14:textId="0B73CC43" w:rsidR="0013267E" w:rsidRDefault="0013267E" w:rsidP="0013267E">
            <w:pPr>
              <w:pStyle w:val="DHHStabletext"/>
            </w:pPr>
            <w:r w:rsidRPr="003279A8">
              <w:t>Integrated Cancer Service</w:t>
            </w:r>
          </w:p>
        </w:tc>
      </w:tr>
      <w:tr w:rsidR="0013267E" w14:paraId="790A9A75" w14:textId="77777777" w:rsidTr="0013267E">
        <w:tc>
          <w:tcPr>
            <w:tcW w:w="1730" w:type="dxa"/>
          </w:tcPr>
          <w:p w14:paraId="66882F86" w14:textId="306216F9" w:rsidR="0013267E" w:rsidRDefault="0013267E" w:rsidP="0013267E">
            <w:pPr>
              <w:pStyle w:val="DHHStabletext"/>
            </w:pPr>
            <w:r w:rsidRPr="003279A8">
              <w:t>IQR</w:t>
            </w:r>
          </w:p>
        </w:tc>
        <w:tc>
          <w:tcPr>
            <w:tcW w:w="7450" w:type="dxa"/>
          </w:tcPr>
          <w:p w14:paraId="11941587" w14:textId="2ADB4050" w:rsidR="0013267E" w:rsidRDefault="0013267E" w:rsidP="0013267E">
            <w:pPr>
              <w:pStyle w:val="DHHStabletext"/>
            </w:pPr>
            <w:r>
              <w:t>i</w:t>
            </w:r>
            <w:r w:rsidRPr="003279A8">
              <w:t xml:space="preserve">nterquartile </w:t>
            </w:r>
            <w:r>
              <w:t>r</w:t>
            </w:r>
            <w:r w:rsidRPr="003279A8">
              <w:t>ange</w:t>
            </w:r>
          </w:p>
        </w:tc>
      </w:tr>
      <w:tr w:rsidR="0013267E" w14:paraId="5BA6AECD" w14:textId="77777777" w:rsidTr="0013267E">
        <w:tc>
          <w:tcPr>
            <w:tcW w:w="1730" w:type="dxa"/>
          </w:tcPr>
          <w:p w14:paraId="26D4601C" w14:textId="7CA65966" w:rsidR="0013267E" w:rsidRDefault="0013267E" w:rsidP="0013267E">
            <w:pPr>
              <w:pStyle w:val="DHHStabletext"/>
            </w:pPr>
            <w:r w:rsidRPr="003279A8">
              <w:t>LMICS</w:t>
            </w:r>
          </w:p>
        </w:tc>
        <w:tc>
          <w:tcPr>
            <w:tcW w:w="7450" w:type="dxa"/>
          </w:tcPr>
          <w:p w14:paraId="3C77D156" w14:textId="0ECEAD53" w:rsidR="0013267E" w:rsidRDefault="0013267E" w:rsidP="0013267E">
            <w:pPr>
              <w:pStyle w:val="DHHStabletext"/>
            </w:pPr>
            <w:r w:rsidRPr="003279A8">
              <w:t>Loddon Mallee Integrated Cancer Service</w:t>
            </w:r>
          </w:p>
        </w:tc>
      </w:tr>
      <w:tr w:rsidR="0013267E" w14:paraId="5065B2C9" w14:textId="77777777" w:rsidTr="0013267E">
        <w:tc>
          <w:tcPr>
            <w:tcW w:w="1730" w:type="dxa"/>
          </w:tcPr>
          <w:p w14:paraId="248CD128" w14:textId="781A3633" w:rsidR="0013267E" w:rsidRDefault="0013267E" w:rsidP="0013267E">
            <w:pPr>
              <w:pStyle w:val="DHHStabletext"/>
            </w:pPr>
            <w:r w:rsidRPr="003279A8">
              <w:t>MDM</w:t>
            </w:r>
          </w:p>
        </w:tc>
        <w:tc>
          <w:tcPr>
            <w:tcW w:w="7450" w:type="dxa"/>
          </w:tcPr>
          <w:p w14:paraId="4940A779" w14:textId="383F11BB" w:rsidR="0013267E" w:rsidRDefault="0013267E" w:rsidP="0013267E">
            <w:pPr>
              <w:pStyle w:val="DHHStabletext"/>
            </w:pPr>
            <w:r>
              <w:t>m</w:t>
            </w:r>
            <w:r w:rsidRPr="003279A8">
              <w:t>ultidisciplinary meeting</w:t>
            </w:r>
          </w:p>
        </w:tc>
      </w:tr>
      <w:tr w:rsidR="0013267E" w14:paraId="01B998DB" w14:textId="77777777" w:rsidTr="0013267E">
        <w:tc>
          <w:tcPr>
            <w:tcW w:w="1730" w:type="dxa"/>
          </w:tcPr>
          <w:p w14:paraId="1EE9CF7F" w14:textId="18616A8E" w:rsidR="0013267E" w:rsidRPr="003279A8" w:rsidRDefault="0013267E" w:rsidP="0013267E">
            <w:pPr>
              <w:pStyle w:val="DHHStabletext"/>
            </w:pPr>
            <w:r w:rsidRPr="003279A8">
              <w:t>NEMICS</w:t>
            </w:r>
          </w:p>
        </w:tc>
        <w:tc>
          <w:tcPr>
            <w:tcW w:w="7450" w:type="dxa"/>
          </w:tcPr>
          <w:p w14:paraId="0AC9FB47" w14:textId="49E90FD8" w:rsidR="0013267E" w:rsidRDefault="0013267E" w:rsidP="0013267E">
            <w:pPr>
              <w:pStyle w:val="DHHStabletext"/>
            </w:pPr>
            <w:r w:rsidRPr="003279A8">
              <w:t>North Eastern Melbourne Integrated Cancer Service</w:t>
            </w:r>
          </w:p>
        </w:tc>
      </w:tr>
      <w:tr w:rsidR="0013267E" w14:paraId="5E1FD31E" w14:textId="77777777" w:rsidTr="0013267E">
        <w:tc>
          <w:tcPr>
            <w:tcW w:w="1730" w:type="dxa"/>
          </w:tcPr>
          <w:p w14:paraId="687F8C3C" w14:textId="08BB8016" w:rsidR="0013267E" w:rsidRPr="003279A8" w:rsidRDefault="0013267E" w:rsidP="0013267E">
            <w:pPr>
              <w:pStyle w:val="DHHStabletext"/>
            </w:pPr>
            <w:r w:rsidRPr="003279A8">
              <w:t>OG</w:t>
            </w:r>
          </w:p>
        </w:tc>
        <w:tc>
          <w:tcPr>
            <w:tcW w:w="7450" w:type="dxa"/>
          </w:tcPr>
          <w:p w14:paraId="0033CBD8" w14:textId="1B2B9B6F" w:rsidR="0013267E" w:rsidRDefault="0013267E" w:rsidP="0013267E">
            <w:pPr>
              <w:pStyle w:val="DHHStabletext"/>
            </w:pPr>
            <w:proofErr w:type="spellStart"/>
            <w:r>
              <w:t>o</w:t>
            </w:r>
            <w:r w:rsidRPr="003279A8">
              <w:t>esophagogastric</w:t>
            </w:r>
            <w:proofErr w:type="spellEnd"/>
          </w:p>
        </w:tc>
      </w:tr>
      <w:tr w:rsidR="0013267E" w14:paraId="018FD844" w14:textId="77777777" w:rsidTr="0013267E">
        <w:tc>
          <w:tcPr>
            <w:tcW w:w="1730" w:type="dxa"/>
          </w:tcPr>
          <w:p w14:paraId="794C5D60" w14:textId="191BEEE4" w:rsidR="0013267E" w:rsidRPr="003279A8" w:rsidRDefault="0013267E" w:rsidP="0013267E">
            <w:pPr>
              <w:pStyle w:val="DHHStabletext"/>
            </w:pPr>
            <w:r w:rsidRPr="003279A8">
              <w:t>SMICS</w:t>
            </w:r>
          </w:p>
        </w:tc>
        <w:tc>
          <w:tcPr>
            <w:tcW w:w="7450" w:type="dxa"/>
          </w:tcPr>
          <w:p w14:paraId="01A712FB" w14:textId="2C6089DD" w:rsidR="0013267E" w:rsidRDefault="0013267E" w:rsidP="0013267E">
            <w:pPr>
              <w:pStyle w:val="DHHStabletext"/>
            </w:pPr>
            <w:r w:rsidRPr="003279A8">
              <w:t>Southern Melbourne Integrated Cancer Service</w:t>
            </w:r>
          </w:p>
        </w:tc>
      </w:tr>
      <w:tr w:rsidR="0013267E" w14:paraId="78D26E36" w14:textId="77777777" w:rsidTr="0013267E">
        <w:tc>
          <w:tcPr>
            <w:tcW w:w="1730" w:type="dxa"/>
          </w:tcPr>
          <w:p w14:paraId="7E4AA790" w14:textId="56F8C43B" w:rsidR="0013267E" w:rsidRPr="003279A8" w:rsidRDefault="0013267E" w:rsidP="0013267E">
            <w:pPr>
              <w:pStyle w:val="DHHStabletext"/>
            </w:pPr>
            <w:r w:rsidRPr="003279A8">
              <w:t>UGI</w:t>
            </w:r>
          </w:p>
        </w:tc>
        <w:tc>
          <w:tcPr>
            <w:tcW w:w="7450" w:type="dxa"/>
          </w:tcPr>
          <w:p w14:paraId="110B47E9" w14:textId="66981683" w:rsidR="0013267E" w:rsidRDefault="0013267E" w:rsidP="0013267E">
            <w:pPr>
              <w:pStyle w:val="DHHStabletext"/>
            </w:pPr>
            <w:r>
              <w:t>u</w:t>
            </w:r>
            <w:r w:rsidRPr="003279A8">
              <w:t xml:space="preserve">pper </w:t>
            </w:r>
            <w:r>
              <w:t>g</w:t>
            </w:r>
            <w:r w:rsidRPr="003279A8">
              <w:t>astrointestinal</w:t>
            </w:r>
          </w:p>
        </w:tc>
      </w:tr>
      <w:tr w:rsidR="0013267E" w14:paraId="512E70BF" w14:textId="77777777" w:rsidTr="0013267E">
        <w:tc>
          <w:tcPr>
            <w:tcW w:w="1730" w:type="dxa"/>
          </w:tcPr>
          <w:p w14:paraId="3C8B23B3" w14:textId="77777777" w:rsidR="0013267E" w:rsidRDefault="0013267E" w:rsidP="0013267E">
            <w:pPr>
              <w:pStyle w:val="DHHStabletext"/>
            </w:pPr>
            <w:r w:rsidRPr="003279A8">
              <w:t>VAED</w:t>
            </w:r>
          </w:p>
          <w:p w14:paraId="0D418EBD" w14:textId="40E5582E" w:rsidR="00376405" w:rsidRPr="003279A8" w:rsidRDefault="00376405" w:rsidP="0013267E">
            <w:pPr>
              <w:pStyle w:val="DHHStabletext"/>
            </w:pPr>
            <w:r>
              <w:t>VCR</w:t>
            </w:r>
          </w:p>
        </w:tc>
        <w:tc>
          <w:tcPr>
            <w:tcW w:w="7450" w:type="dxa"/>
          </w:tcPr>
          <w:p w14:paraId="3974A17F" w14:textId="77777777" w:rsidR="0013267E" w:rsidRDefault="0013267E" w:rsidP="0013267E">
            <w:pPr>
              <w:pStyle w:val="DHHStabletext"/>
            </w:pPr>
            <w:r w:rsidRPr="003279A8">
              <w:t>Victorian Admitted Episodes Dataset</w:t>
            </w:r>
          </w:p>
          <w:p w14:paraId="270DA2E2" w14:textId="4A64553C" w:rsidR="00376405" w:rsidRDefault="00376405" w:rsidP="0013267E">
            <w:pPr>
              <w:pStyle w:val="DHHStabletext"/>
            </w:pPr>
            <w:r>
              <w:t>Victorian Cancer Registry</w:t>
            </w:r>
          </w:p>
        </w:tc>
      </w:tr>
      <w:tr w:rsidR="0013267E" w14:paraId="2F0B1959" w14:textId="77777777" w:rsidTr="0013267E">
        <w:tc>
          <w:tcPr>
            <w:tcW w:w="1730" w:type="dxa"/>
          </w:tcPr>
          <w:p w14:paraId="2EAE93A2" w14:textId="6C507C60" w:rsidR="0013267E" w:rsidRPr="003279A8" w:rsidRDefault="0013267E" w:rsidP="0013267E">
            <w:pPr>
              <w:pStyle w:val="DHHStabletext"/>
            </w:pPr>
            <w:r w:rsidRPr="003279A8">
              <w:t>WCMICS</w:t>
            </w:r>
          </w:p>
        </w:tc>
        <w:tc>
          <w:tcPr>
            <w:tcW w:w="7450" w:type="dxa"/>
          </w:tcPr>
          <w:p w14:paraId="7A627ABA" w14:textId="496A8122" w:rsidR="0013267E" w:rsidRDefault="0013267E" w:rsidP="0013267E">
            <w:pPr>
              <w:pStyle w:val="DHHStabletext"/>
            </w:pPr>
            <w:r w:rsidRPr="003279A8">
              <w:t>Western and Central Melbourne Integrated Cancer Service</w:t>
            </w:r>
          </w:p>
        </w:tc>
      </w:tr>
    </w:tbl>
    <w:p w14:paraId="78887521" w14:textId="26027930" w:rsidR="0013267E" w:rsidRDefault="0013267E" w:rsidP="0013267E">
      <w:pPr>
        <w:pStyle w:val="DHHSbody"/>
      </w:pPr>
      <w:bookmarkStart w:id="36" w:name="_Toc524425496"/>
    </w:p>
    <w:p w14:paraId="595F2278" w14:textId="77777777" w:rsidR="0013267E" w:rsidRDefault="0013267E">
      <w:pPr>
        <w:rPr>
          <w:rFonts w:ascii="Arial" w:hAnsi="Arial"/>
          <w:bCs/>
          <w:color w:val="004EA8"/>
          <w:sz w:val="44"/>
          <w:szCs w:val="44"/>
        </w:rPr>
      </w:pPr>
      <w:r>
        <w:br w:type="page"/>
      </w:r>
    </w:p>
    <w:p w14:paraId="199CF2D6" w14:textId="47EFE634" w:rsidR="002144E9" w:rsidRPr="00E214B2" w:rsidRDefault="002144E9" w:rsidP="002144E9">
      <w:pPr>
        <w:pStyle w:val="Heading1"/>
      </w:pPr>
      <w:r w:rsidRPr="00E214B2">
        <w:t>References</w:t>
      </w:r>
      <w:bookmarkEnd w:id="36"/>
    </w:p>
    <w:p w14:paraId="3D82A651" w14:textId="73A488C9" w:rsidR="00C83DF6" w:rsidRPr="007A447D" w:rsidRDefault="00C83DF6" w:rsidP="002144E9">
      <w:pPr>
        <w:pStyle w:val="DHHSbody"/>
        <w:rPr>
          <w:rFonts w:cs="Arial"/>
        </w:rPr>
      </w:pPr>
      <w:r w:rsidRPr="007A447D">
        <w:rPr>
          <w:rFonts w:cs="Arial"/>
        </w:rPr>
        <w:t xml:space="preserve">Australian Institute of Health and Welfare 2014, </w:t>
      </w:r>
      <w:r w:rsidRPr="00376405">
        <w:rPr>
          <w:rFonts w:cs="Arial"/>
          <w:i/>
        </w:rPr>
        <w:t>Cancer in Australia: an overview 2014</w:t>
      </w:r>
      <w:r w:rsidRPr="007A447D">
        <w:rPr>
          <w:rFonts w:cs="Arial"/>
        </w:rPr>
        <w:t>, Cancer series No. 90. Cat. no. CAN 88, AIHW, Canberra.</w:t>
      </w:r>
    </w:p>
    <w:p w14:paraId="583353E1" w14:textId="0A208820" w:rsidR="00C83DF6" w:rsidRPr="007A447D" w:rsidRDefault="00C83DF6" w:rsidP="002144E9">
      <w:pPr>
        <w:pStyle w:val="DHHSbody"/>
        <w:rPr>
          <w:rFonts w:cs="Arial"/>
        </w:rPr>
      </w:pPr>
      <w:r>
        <w:rPr>
          <w:rFonts w:cs="Arial"/>
        </w:rPr>
        <w:t xml:space="preserve">Cancer Council 2018, </w:t>
      </w:r>
      <w:hyperlink r:id="rId23" w:history="1">
        <w:r w:rsidRPr="00376405">
          <w:rPr>
            <w:rStyle w:val="Hyperlink"/>
            <w:i/>
          </w:rPr>
          <w:t>Optimal care pathway for people with oesophagogastric cancer</w:t>
        </w:r>
      </w:hyperlink>
      <w:r w:rsidRPr="007A447D">
        <w:rPr>
          <w:rFonts w:cs="Arial"/>
        </w:rPr>
        <w:t>, viewed 1</w:t>
      </w:r>
      <w:r>
        <w:rPr>
          <w:rFonts w:cs="Arial"/>
        </w:rPr>
        <w:t>0</w:t>
      </w:r>
      <w:r w:rsidRPr="007A447D">
        <w:rPr>
          <w:rFonts w:cs="Arial"/>
        </w:rPr>
        <w:t xml:space="preserve"> </w:t>
      </w:r>
      <w:r>
        <w:rPr>
          <w:rFonts w:cs="Arial"/>
        </w:rPr>
        <w:t>September 2018</w:t>
      </w:r>
      <w:r w:rsidRPr="007A447D">
        <w:rPr>
          <w:rFonts w:cs="Arial"/>
        </w:rPr>
        <w:t>, &lt;www.cancer.org.au/ocp&gt;</w:t>
      </w:r>
      <w:r>
        <w:rPr>
          <w:rFonts w:cs="Arial"/>
        </w:rPr>
        <w:t>.</w:t>
      </w:r>
    </w:p>
    <w:p w14:paraId="4425D281" w14:textId="6DF3DAE3" w:rsidR="00C83DF6" w:rsidRPr="007A447D" w:rsidRDefault="00C83DF6" w:rsidP="002144E9">
      <w:pPr>
        <w:pStyle w:val="DHHSbody"/>
      </w:pPr>
      <w:r w:rsidRPr="007A447D">
        <w:t xml:space="preserve">Clark K, </w:t>
      </w:r>
      <w:proofErr w:type="spellStart"/>
      <w:r w:rsidRPr="007A447D">
        <w:t>Girgis</w:t>
      </w:r>
      <w:proofErr w:type="spellEnd"/>
      <w:r w:rsidRPr="007A447D">
        <w:t xml:space="preserve"> A, </w:t>
      </w:r>
      <w:proofErr w:type="spellStart"/>
      <w:r w:rsidRPr="007A447D">
        <w:t>Currow</w:t>
      </w:r>
      <w:proofErr w:type="spellEnd"/>
      <w:r w:rsidRPr="007A447D">
        <w:t xml:space="preserve"> D</w:t>
      </w:r>
      <w:r>
        <w:t xml:space="preserve"> 2011,</w:t>
      </w:r>
      <w:r w:rsidRPr="007A447D">
        <w:t xml:space="preserve"> </w:t>
      </w:r>
      <w:r>
        <w:t>‘</w:t>
      </w:r>
      <w:r w:rsidRPr="007A447D">
        <w:t>Palliative care of people with oesophageal cancer</w:t>
      </w:r>
      <w:r>
        <w:t>’,</w:t>
      </w:r>
      <w:r w:rsidRPr="00376405">
        <w:rPr>
          <w:i/>
        </w:rPr>
        <w:t xml:space="preserve"> Cancer Forum</w:t>
      </w:r>
      <w:r w:rsidRPr="007A447D">
        <w:t xml:space="preserve">, </w:t>
      </w:r>
      <w:r>
        <w:t xml:space="preserve">vol. </w:t>
      </w:r>
      <w:r w:rsidRPr="007A447D">
        <w:t>35</w:t>
      </w:r>
      <w:r>
        <w:t xml:space="preserve">, no. </w:t>
      </w:r>
      <w:r w:rsidRPr="007A447D">
        <w:t>3</w:t>
      </w:r>
      <w:r w:rsidR="00802D9F">
        <w:t>, pp. 175–179</w:t>
      </w:r>
      <w:r w:rsidRPr="007A447D">
        <w:t>.</w:t>
      </w:r>
    </w:p>
    <w:p w14:paraId="7A096AB0" w14:textId="0AE99BBD" w:rsidR="00C83DF6" w:rsidRPr="007A447D" w:rsidRDefault="00C83DF6" w:rsidP="002144E9">
      <w:pPr>
        <w:pStyle w:val="DHHSbody"/>
        <w:rPr>
          <w:rFonts w:cs="Arial"/>
        </w:rPr>
      </w:pPr>
      <w:r w:rsidRPr="007A447D">
        <w:rPr>
          <w:rFonts w:cs="Arial"/>
        </w:rPr>
        <w:t>McCall M, Graham P, Bathe O</w:t>
      </w:r>
      <w:r>
        <w:rPr>
          <w:rFonts w:cs="Arial"/>
        </w:rPr>
        <w:t xml:space="preserve"> 2016, ‘</w:t>
      </w:r>
      <w:r w:rsidRPr="007A447D">
        <w:rPr>
          <w:rFonts w:cs="Arial"/>
        </w:rPr>
        <w:t>Quality of life: A critical outcome for all surgical treatments of gastric cancer</w:t>
      </w:r>
      <w:r>
        <w:rPr>
          <w:rFonts w:cs="Arial"/>
        </w:rPr>
        <w:t>’,</w:t>
      </w:r>
      <w:r w:rsidRPr="007A447D">
        <w:rPr>
          <w:rFonts w:cs="Arial"/>
        </w:rPr>
        <w:t xml:space="preserve"> </w:t>
      </w:r>
      <w:r w:rsidRPr="00376405">
        <w:rPr>
          <w:rFonts w:cs="Arial"/>
          <w:i/>
        </w:rPr>
        <w:t>World J</w:t>
      </w:r>
      <w:r w:rsidR="00C1666E">
        <w:rPr>
          <w:rFonts w:cs="Arial"/>
          <w:i/>
        </w:rPr>
        <w:t>ournal of</w:t>
      </w:r>
      <w:r w:rsidRPr="00376405">
        <w:rPr>
          <w:rFonts w:cs="Arial"/>
          <w:i/>
        </w:rPr>
        <w:t xml:space="preserve"> Gastroenterol</w:t>
      </w:r>
      <w:r w:rsidR="00C1666E">
        <w:rPr>
          <w:rFonts w:cs="Arial"/>
          <w:i/>
        </w:rPr>
        <w:t>ogy</w:t>
      </w:r>
      <w:r w:rsidRPr="007A447D">
        <w:rPr>
          <w:rFonts w:cs="Arial"/>
        </w:rPr>
        <w:t xml:space="preserve">, </w:t>
      </w:r>
      <w:r>
        <w:rPr>
          <w:rFonts w:cs="Arial"/>
        </w:rPr>
        <w:t xml:space="preserve">vol. </w:t>
      </w:r>
      <w:r w:rsidRPr="007A447D">
        <w:rPr>
          <w:rFonts w:cs="Arial"/>
        </w:rPr>
        <w:t>22</w:t>
      </w:r>
      <w:r>
        <w:rPr>
          <w:rFonts w:cs="Arial"/>
        </w:rPr>
        <w:t xml:space="preserve">, no. </w:t>
      </w:r>
      <w:r w:rsidRPr="007A447D">
        <w:rPr>
          <w:rFonts w:cs="Arial"/>
        </w:rPr>
        <w:t>3</w:t>
      </w:r>
      <w:r>
        <w:rPr>
          <w:rFonts w:cs="Arial"/>
        </w:rPr>
        <w:t>, pp,</w:t>
      </w:r>
      <w:r w:rsidRPr="007A447D">
        <w:rPr>
          <w:rFonts w:cs="Arial"/>
        </w:rPr>
        <w:t xml:space="preserve"> 1101</w:t>
      </w:r>
      <w:r>
        <w:rPr>
          <w:rFonts w:cs="Arial"/>
        </w:rPr>
        <w:t>–</w:t>
      </w:r>
      <w:r w:rsidRPr="007A447D">
        <w:rPr>
          <w:rFonts w:cs="Arial"/>
        </w:rPr>
        <w:t>1113.</w:t>
      </w:r>
    </w:p>
    <w:p w14:paraId="564EDB3F" w14:textId="06696861" w:rsidR="00C83DF6" w:rsidRPr="007A447D" w:rsidRDefault="00C83DF6" w:rsidP="002144E9">
      <w:pPr>
        <w:pStyle w:val="DHHSbody"/>
      </w:pPr>
      <w:proofErr w:type="spellStart"/>
      <w:r w:rsidRPr="007A447D">
        <w:t>Thursfield</w:t>
      </w:r>
      <w:proofErr w:type="spellEnd"/>
      <w:r>
        <w:t xml:space="preserve"> </w:t>
      </w:r>
      <w:r w:rsidRPr="007A447D">
        <w:t>V,</w:t>
      </w:r>
      <w:r>
        <w:t xml:space="preserve"> </w:t>
      </w:r>
      <w:proofErr w:type="spellStart"/>
      <w:r w:rsidRPr="007A447D">
        <w:t>Farrugia</w:t>
      </w:r>
      <w:proofErr w:type="spellEnd"/>
      <w:r w:rsidRPr="007A447D">
        <w:t xml:space="preserve"> H</w:t>
      </w:r>
      <w:r>
        <w:t xml:space="preserve"> 2017,</w:t>
      </w:r>
      <w:r w:rsidRPr="007A447D">
        <w:t xml:space="preserve"> </w:t>
      </w:r>
      <w:r w:rsidRPr="00376405">
        <w:rPr>
          <w:i/>
        </w:rPr>
        <w:t xml:space="preserve">Cancer in Victoria: </w:t>
      </w:r>
      <w:r>
        <w:rPr>
          <w:i/>
        </w:rPr>
        <w:t>s</w:t>
      </w:r>
      <w:r w:rsidRPr="00376405">
        <w:rPr>
          <w:i/>
        </w:rPr>
        <w:t xml:space="preserve">tatistics &amp; </w:t>
      </w:r>
      <w:r>
        <w:rPr>
          <w:i/>
        </w:rPr>
        <w:t>t</w:t>
      </w:r>
      <w:r w:rsidRPr="00376405">
        <w:rPr>
          <w:i/>
        </w:rPr>
        <w:t>rends 2016</w:t>
      </w:r>
      <w:r w:rsidRPr="007A447D">
        <w:t>. Cancer Council Victoria, Melbourne.</w:t>
      </w:r>
    </w:p>
    <w:p w14:paraId="487BD2E2" w14:textId="77777777" w:rsidR="004B7AA2" w:rsidRPr="00BE3C8F" w:rsidRDefault="004B7AA2" w:rsidP="002144E9">
      <w:pPr>
        <w:pStyle w:val="DHHSbody"/>
      </w:pPr>
    </w:p>
    <w:sectPr w:rsidR="004B7AA2" w:rsidRPr="00BE3C8F" w:rsidSect="00AC46F1">
      <w:pgSz w:w="11906" w:h="16838"/>
      <w:pgMar w:top="851" w:right="1304" w:bottom="993" w:left="1304" w:header="454" w:footer="51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46F64C" w15:done="0"/>
  <w15:commentEx w15:paraId="0C3B828A" w15:done="0"/>
  <w15:commentEx w15:paraId="16D8BE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16AD3" w14:textId="77777777" w:rsidR="00D402A8" w:rsidRDefault="00D402A8">
      <w:r>
        <w:separator/>
      </w:r>
    </w:p>
  </w:endnote>
  <w:endnote w:type="continuationSeparator" w:id="0">
    <w:p w14:paraId="5358B62F" w14:textId="77777777" w:rsidR="00D402A8" w:rsidRDefault="00D4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919A" w14:textId="6C1E3A04" w:rsidR="00D402A8" w:rsidRPr="008114D1" w:rsidRDefault="00D402A8" w:rsidP="00E969B1">
    <w:pPr>
      <w:pStyle w:val="DHHSfooter"/>
    </w:pPr>
    <w:r>
      <w:t xml:space="preserve">Page </w:t>
    </w:r>
    <w:r w:rsidRPr="005A39EC">
      <w:fldChar w:fldCharType="begin"/>
    </w:r>
    <w:r w:rsidRPr="005A39EC">
      <w:instrText xml:space="preserve"> PAGE </w:instrText>
    </w:r>
    <w:r w:rsidRPr="005A39EC">
      <w:fldChar w:fldCharType="separate"/>
    </w:r>
    <w:r w:rsidR="005E110B">
      <w:rPr>
        <w:noProof/>
      </w:rPr>
      <w:t>14</w:t>
    </w:r>
    <w:r w:rsidRPr="005A39EC">
      <w:fldChar w:fldCharType="end"/>
    </w:r>
    <w:r>
      <w:tab/>
      <w:t xml:space="preserve">Victorian </w:t>
    </w:r>
    <w:proofErr w:type="spellStart"/>
    <w:r>
      <w:t>Oesophagogastric</w:t>
    </w:r>
    <w:proofErr w:type="spellEnd"/>
    <w:r>
      <w:t xml:space="preserve"> Cancer Audit – report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1674A" w14:textId="51DE7A75" w:rsidR="00D402A8" w:rsidRPr="0031753A" w:rsidRDefault="00D402A8" w:rsidP="00E969B1">
    <w:pPr>
      <w:pStyle w:val="DHHSfooter"/>
    </w:pPr>
    <w:r>
      <w:t xml:space="preserve">Victorian </w:t>
    </w:r>
    <w:proofErr w:type="spellStart"/>
    <w:r>
      <w:t>Oesophagogastric</w:t>
    </w:r>
    <w:proofErr w:type="spellEnd"/>
    <w:r>
      <w:t xml:space="preserve"> Cancer Audit – report 2017</w:t>
    </w:r>
    <w:r w:rsidRPr="0031753A">
      <w:tab/>
      <w:t xml:space="preserve">Page </w:t>
    </w:r>
    <w:r w:rsidRPr="0031753A">
      <w:fldChar w:fldCharType="begin"/>
    </w:r>
    <w:r w:rsidRPr="0031753A">
      <w:instrText xml:space="preserve"> PAGE </w:instrText>
    </w:r>
    <w:r w:rsidRPr="0031753A">
      <w:fldChar w:fldCharType="separate"/>
    </w:r>
    <w:r w:rsidR="005E110B">
      <w:rPr>
        <w:noProof/>
      </w:rPr>
      <w:t>13</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E8017" w14:textId="77777777" w:rsidR="00D402A8" w:rsidRPr="001A7E04" w:rsidRDefault="00D402A8" w:rsidP="00AC0C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670CD" w14:textId="3109E39C" w:rsidR="00D402A8" w:rsidRPr="008114D1" w:rsidRDefault="00D402A8" w:rsidP="00E969B1">
    <w:pPr>
      <w:pStyle w:val="DHHSfooter"/>
    </w:pPr>
    <w:r>
      <w:t xml:space="preserve">Page </w:t>
    </w:r>
    <w:r w:rsidRPr="005A39EC">
      <w:fldChar w:fldCharType="begin"/>
    </w:r>
    <w:r w:rsidRPr="005A39EC">
      <w:instrText xml:space="preserve"> PAGE </w:instrText>
    </w:r>
    <w:r w:rsidRPr="005A39EC">
      <w:fldChar w:fldCharType="separate"/>
    </w:r>
    <w:r w:rsidR="005E110B">
      <w:rPr>
        <w:noProof/>
      </w:rPr>
      <w:t>22</w:t>
    </w:r>
    <w:r w:rsidRPr="005A39EC">
      <w:fldChar w:fldCharType="end"/>
    </w:r>
    <w:r>
      <w:tab/>
      <w:t xml:space="preserve">Victorian </w:t>
    </w:r>
    <w:proofErr w:type="spellStart"/>
    <w:r>
      <w:t>Oesophagogastric</w:t>
    </w:r>
    <w:proofErr w:type="spellEnd"/>
    <w:r>
      <w:t xml:space="preserve"> Cancer Audit – report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0CCEE" w14:textId="20D8EF60" w:rsidR="00D402A8" w:rsidRPr="0031753A" w:rsidRDefault="00D402A8" w:rsidP="00E969B1">
    <w:pPr>
      <w:pStyle w:val="DHHSfooter"/>
    </w:pPr>
    <w:r>
      <w:t xml:space="preserve">Victorian </w:t>
    </w:r>
    <w:proofErr w:type="spellStart"/>
    <w:r>
      <w:t>Oesophagogastric</w:t>
    </w:r>
    <w:proofErr w:type="spellEnd"/>
    <w:r>
      <w:t xml:space="preserve"> Cancer Audit – report 2017</w:t>
    </w:r>
    <w:r w:rsidRPr="0031753A">
      <w:tab/>
      <w:t xml:space="preserve">Page </w:t>
    </w:r>
    <w:r w:rsidRPr="0031753A">
      <w:fldChar w:fldCharType="begin"/>
    </w:r>
    <w:r w:rsidRPr="0031753A">
      <w:instrText xml:space="preserve"> PAGE </w:instrText>
    </w:r>
    <w:r w:rsidRPr="0031753A">
      <w:fldChar w:fldCharType="separate"/>
    </w:r>
    <w:r w:rsidR="005E110B">
      <w:rPr>
        <w:noProof/>
      </w:rPr>
      <w:t>21</w:t>
    </w:r>
    <w:r w:rsidRPr="0031753A">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E62C2" w14:textId="77777777" w:rsidR="00D402A8" w:rsidRPr="001A7E04" w:rsidRDefault="00D402A8"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E6B37" w14:textId="77777777" w:rsidR="00D402A8" w:rsidRDefault="00D402A8">
      <w:r>
        <w:separator/>
      </w:r>
    </w:p>
  </w:footnote>
  <w:footnote w:type="continuationSeparator" w:id="0">
    <w:p w14:paraId="1438C6F2" w14:textId="77777777" w:rsidR="00D402A8" w:rsidRDefault="00D402A8">
      <w:r>
        <w:continuationSeparator/>
      </w:r>
    </w:p>
  </w:footnote>
  <w:footnote w:id="1">
    <w:p w14:paraId="0BC3B686" w14:textId="774E2C1F" w:rsidR="00D402A8" w:rsidRDefault="00D402A8">
      <w:pPr>
        <w:pStyle w:val="FootnoteText"/>
      </w:pPr>
      <w:r>
        <w:rPr>
          <w:rStyle w:val="FootnoteReference"/>
        </w:rPr>
        <w:footnoteRef/>
      </w:r>
      <w:r>
        <w:t xml:space="preserve"> The full names of all the ICS are provided in the Abbreviations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142AC" w14:textId="77777777" w:rsidR="00D402A8" w:rsidRPr="0069374A" w:rsidRDefault="00D402A8"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F8CB" w14:textId="77777777" w:rsidR="00D402A8" w:rsidRDefault="00D402A8" w:rsidP="00E969B1">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3785" w14:textId="77777777" w:rsidR="00D402A8" w:rsidRPr="0069374A" w:rsidRDefault="00D402A8" w:rsidP="00E969B1">
    <w:pPr>
      <w:pStyle w:val="DHHS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DBAF8" w14:textId="77777777" w:rsidR="00D402A8" w:rsidRDefault="00D402A8"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2C0"/>
    <w:multiLevelType w:val="hybridMultilevel"/>
    <w:tmpl w:val="75329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9C3EF3"/>
    <w:multiLevelType w:val="hybridMultilevel"/>
    <w:tmpl w:val="87D68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ED4752"/>
    <w:multiLevelType w:val="multilevel"/>
    <w:tmpl w:val="D1343298"/>
    <w:lvl w:ilvl="0">
      <w:start w:val="1"/>
      <w:numFmt w:val="bullet"/>
      <w:lvlText w:val="o"/>
      <w:lvlJc w:val="left"/>
      <w:pPr>
        <w:tabs>
          <w:tab w:val="left" w:pos="360"/>
        </w:tabs>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D51B47"/>
    <w:multiLevelType w:val="multilevel"/>
    <w:tmpl w:val="C9BE2548"/>
    <w:numStyleLink w:val="ZZNumbers"/>
  </w:abstractNum>
  <w:abstractNum w:abstractNumId="4">
    <w:nsid w:val="32022AFE"/>
    <w:multiLevelType w:val="hybridMultilevel"/>
    <w:tmpl w:val="05806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B63C10"/>
    <w:multiLevelType w:val="hybridMultilevel"/>
    <w:tmpl w:val="F4889474"/>
    <w:lvl w:ilvl="0" w:tplc="0C09000B">
      <w:start w:val="134"/>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4303A5"/>
    <w:multiLevelType w:val="multilevel"/>
    <w:tmpl w:val="C9BE2548"/>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B4A78B5"/>
    <w:multiLevelType w:val="hybridMultilevel"/>
    <w:tmpl w:val="5706F60E"/>
    <w:lvl w:ilvl="0" w:tplc="FF4C9242">
      <w:start w:val="134"/>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EED001F"/>
    <w:multiLevelType w:val="multilevel"/>
    <w:tmpl w:val="9F0861E6"/>
    <w:lvl w:ilvl="0">
      <w:start w:val="1"/>
      <w:numFmt w:val="bullet"/>
      <w:lvlText w:val="•"/>
      <w:lvlJc w:val="left"/>
      <w:pPr>
        <w:tabs>
          <w:tab w:val="left" w:pos="360"/>
        </w:tabs>
      </w:pPr>
      <w:rPr>
        <w:rFonts w:ascii="Times New Roman" w:hAnsi="Times New Roman" w:hint="default"/>
        <w:b w:val="0"/>
        <w:i w:val="0"/>
        <w:strike w:val="0"/>
        <w:color w:val="auto"/>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BB1EFB"/>
    <w:multiLevelType w:val="multilevel"/>
    <w:tmpl w:val="FFDC5F5A"/>
    <w:lvl w:ilvl="0">
      <w:start w:val="1"/>
      <w:numFmt w:val="decimal"/>
      <w:lvlText w:val="%1."/>
      <w:lvlJc w:val="left"/>
      <w:pPr>
        <w:tabs>
          <w:tab w:val="left" w:pos="360"/>
        </w:tabs>
      </w:pPr>
      <w:rPr>
        <w:rFonts w:ascii="Arial" w:eastAsia="Calibri" w:hAnsi="Arial" w:cs="Arial" w:hint="default"/>
        <w:strike w:val="0"/>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4"/>
  </w:num>
  <w:num w:numId="18">
    <w:abstractNumId w:val="9"/>
  </w:num>
  <w:num w:numId="19">
    <w:abstractNumId w:val="0"/>
  </w:num>
  <w:num w:numId="20">
    <w:abstractNumId w:val="1"/>
  </w:num>
  <w:num w:numId="21">
    <w:abstractNumId w:val="8"/>
  </w:num>
  <w:num w:numId="22">
    <w:abstractNumId w:val="5"/>
  </w:num>
  <w:num w:numId="23">
    <w:abstractNumId w:val="6"/>
    <w:lvlOverride w:ilvl="0">
      <w:startOverride w:val="1"/>
      <w:lvl w:ilvl="0">
        <w:start w:val="1"/>
        <w:numFmt w:val="decimal"/>
        <w:pStyle w:val="DHHSnumberdigit"/>
        <w:lvlText w:val="%1."/>
        <w:lvlJc w:val="left"/>
        <w:pPr>
          <w:tabs>
            <w:tab w:val="num" w:pos="397"/>
          </w:tabs>
          <w:ind w:left="397" w:hanging="397"/>
        </w:pPr>
        <w:rPr>
          <w:rFonts w:hint="default"/>
          <w:b w:val="0"/>
        </w:rPr>
      </w:lvl>
    </w:lvlOverride>
    <w:lvlOverride w:ilvl="1">
      <w:startOverride w:val="1"/>
      <w:lvl w:ilvl="1">
        <w:start w:val="1"/>
        <w:numFmt w:val="decimal"/>
        <w:pStyle w:val="DHHSnumberdigitindent"/>
        <w:lvlText w:val=""/>
        <w:lvlJc w:val="left"/>
      </w:lvl>
    </w:lvlOverride>
    <w:lvlOverride w:ilvl="2">
      <w:startOverride w:val="1"/>
      <w:lvl w:ilvl="2">
        <w:start w:val="1"/>
        <w:numFmt w:val="decimal"/>
        <w:pStyle w:val="DHHSnumberloweralpha"/>
        <w:lvlText w:val=""/>
        <w:lvlJc w:val="left"/>
      </w:lvl>
    </w:lvlOverride>
    <w:lvlOverride w:ilvl="3">
      <w:startOverride w:val="1"/>
      <w:lvl w:ilvl="3">
        <w:start w:val="1"/>
        <w:numFmt w:val="decimal"/>
        <w:pStyle w:val="DHHSnumberloweralphaindent"/>
        <w:lvlText w:val=""/>
        <w:lvlJc w:val="left"/>
      </w:lvl>
    </w:lvlOverride>
    <w:lvlOverride w:ilvl="4">
      <w:startOverride w:val="1"/>
      <w:lvl w:ilvl="4">
        <w:start w:val="1"/>
        <w:numFmt w:val="decimal"/>
        <w:pStyle w:val="DHHSnumberlowerroman"/>
        <w:lvlText w:val=""/>
        <w:lvlJc w:val="left"/>
      </w:lvl>
    </w:lvlOverride>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Davies">
    <w15:presenceInfo w15:providerId="Windows Live" w15:userId="e2dac1da98695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7E"/>
    <w:rsid w:val="00002264"/>
    <w:rsid w:val="00002990"/>
    <w:rsid w:val="000030AC"/>
    <w:rsid w:val="000030AE"/>
    <w:rsid w:val="000048AC"/>
    <w:rsid w:val="00004DCD"/>
    <w:rsid w:val="00007875"/>
    <w:rsid w:val="0001100A"/>
    <w:rsid w:val="00014FC4"/>
    <w:rsid w:val="00020AAB"/>
    <w:rsid w:val="000223A4"/>
    <w:rsid w:val="00022850"/>
    <w:rsid w:val="00022E60"/>
    <w:rsid w:val="00026C19"/>
    <w:rsid w:val="00031263"/>
    <w:rsid w:val="00032FC4"/>
    <w:rsid w:val="00035F45"/>
    <w:rsid w:val="000422F7"/>
    <w:rsid w:val="00042DB3"/>
    <w:rsid w:val="00050019"/>
    <w:rsid w:val="000500A1"/>
    <w:rsid w:val="0005223E"/>
    <w:rsid w:val="000537FC"/>
    <w:rsid w:val="00054EC0"/>
    <w:rsid w:val="0005538F"/>
    <w:rsid w:val="00060063"/>
    <w:rsid w:val="00060E93"/>
    <w:rsid w:val="0006258D"/>
    <w:rsid w:val="00063FB8"/>
    <w:rsid w:val="00064936"/>
    <w:rsid w:val="0006616A"/>
    <w:rsid w:val="00067A8B"/>
    <w:rsid w:val="00067F53"/>
    <w:rsid w:val="000734F8"/>
    <w:rsid w:val="000736B8"/>
    <w:rsid w:val="00074B79"/>
    <w:rsid w:val="00074D01"/>
    <w:rsid w:val="00075489"/>
    <w:rsid w:val="00075EF3"/>
    <w:rsid w:val="000817CB"/>
    <w:rsid w:val="00082EB9"/>
    <w:rsid w:val="000837F9"/>
    <w:rsid w:val="000839B3"/>
    <w:rsid w:val="00083A62"/>
    <w:rsid w:val="000873EF"/>
    <w:rsid w:val="00093266"/>
    <w:rsid w:val="000962AD"/>
    <w:rsid w:val="000A36C3"/>
    <w:rsid w:val="000A6EC5"/>
    <w:rsid w:val="000B3792"/>
    <w:rsid w:val="000B537E"/>
    <w:rsid w:val="000B5495"/>
    <w:rsid w:val="000B54D4"/>
    <w:rsid w:val="000C6124"/>
    <w:rsid w:val="000C6242"/>
    <w:rsid w:val="000C68DB"/>
    <w:rsid w:val="000D0148"/>
    <w:rsid w:val="000D082D"/>
    <w:rsid w:val="000D1222"/>
    <w:rsid w:val="000D2C32"/>
    <w:rsid w:val="000D4599"/>
    <w:rsid w:val="000E16F3"/>
    <w:rsid w:val="000E3D8A"/>
    <w:rsid w:val="000E691C"/>
    <w:rsid w:val="000E6F72"/>
    <w:rsid w:val="000E7BD2"/>
    <w:rsid w:val="000F0478"/>
    <w:rsid w:val="000F04D0"/>
    <w:rsid w:val="000F0A50"/>
    <w:rsid w:val="000F1CD7"/>
    <w:rsid w:val="001005EF"/>
    <w:rsid w:val="00103821"/>
    <w:rsid w:val="00103D5E"/>
    <w:rsid w:val="00104EA7"/>
    <w:rsid w:val="00105896"/>
    <w:rsid w:val="00105FAD"/>
    <w:rsid w:val="0011155B"/>
    <w:rsid w:val="00111A6A"/>
    <w:rsid w:val="00111B3A"/>
    <w:rsid w:val="00117220"/>
    <w:rsid w:val="001202B5"/>
    <w:rsid w:val="00121BF1"/>
    <w:rsid w:val="00127A8B"/>
    <w:rsid w:val="00130C05"/>
    <w:rsid w:val="0013267E"/>
    <w:rsid w:val="00132C28"/>
    <w:rsid w:val="00134BE5"/>
    <w:rsid w:val="00135114"/>
    <w:rsid w:val="00141236"/>
    <w:rsid w:val="001412D1"/>
    <w:rsid w:val="0014165F"/>
    <w:rsid w:val="001423E3"/>
    <w:rsid w:val="00142A37"/>
    <w:rsid w:val="001475D9"/>
    <w:rsid w:val="001475EA"/>
    <w:rsid w:val="001504F5"/>
    <w:rsid w:val="001517BD"/>
    <w:rsid w:val="00152615"/>
    <w:rsid w:val="00156F79"/>
    <w:rsid w:val="00157085"/>
    <w:rsid w:val="00157CE1"/>
    <w:rsid w:val="00167CE4"/>
    <w:rsid w:val="00170CD7"/>
    <w:rsid w:val="001711CC"/>
    <w:rsid w:val="00171B47"/>
    <w:rsid w:val="0017248D"/>
    <w:rsid w:val="00173626"/>
    <w:rsid w:val="0017614A"/>
    <w:rsid w:val="0017703C"/>
    <w:rsid w:val="00177EF1"/>
    <w:rsid w:val="001817CD"/>
    <w:rsid w:val="00181A8A"/>
    <w:rsid w:val="00181FE1"/>
    <w:rsid w:val="0018235E"/>
    <w:rsid w:val="0018768C"/>
    <w:rsid w:val="00187B73"/>
    <w:rsid w:val="001923CE"/>
    <w:rsid w:val="00192BA0"/>
    <w:rsid w:val="0019427B"/>
    <w:rsid w:val="00196CD0"/>
    <w:rsid w:val="001971DA"/>
    <w:rsid w:val="00197303"/>
    <w:rsid w:val="00197A7E"/>
    <w:rsid w:val="001A01F6"/>
    <w:rsid w:val="001A17EA"/>
    <w:rsid w:val="001A1D17"/>
    <w:rsid w:val="001A22AA"/>
    <w:rsid w:val="001A78EB"/>
    <w:rsid w:val="001A7A18"/>
    <w:rsid w:val="001B1565"/>
    <w:rsid w:val="001B166D"/>
    <w:rsid w:val="001B28B5"/>
    <w:rsid w:val="001B2975"/>
    <w:rsid w:val="001B2BF4"/>
    <w:rsid w:val="001B3972"/>
    <w:rsid w:val="001C122D"/>
    <w:rsid w:val="001C1B5B"/>
    <w:rsid w:val="001C3CB3"/>
    <w:rsid w:val="001C6834"/>
    <w:rsid w:val="001D0628"/>
    <w:rsid w:val="001D09DE"/>
    <w:rsid w:val="001D206E"/>
    <w:rsid w:val="001D2A82"/>
    <w:rsid w:val="001D425F"/>
    <w:rsid w:val="001D569B"/>
    <w:rsid w:val="001D5B2A"/>
    <w:rsid w:val="001E067C"/>
    <w:rsid w:val="001E0CCA"/>
    <w:rsid w:val="001E0CDB"/>
    <w:rsid w:val="001E0EA3"/>
    <w:rsid w:val="001E17BB"/>
    <w:rsid w:val="001E4995"/>
    <w:rsid w:val="001E4B2B"/>
    <w:rsid w:val="001E4E8F"/>
    <w:rsid w:val="001E7A42"/>
    <w:rsid w:val="001F09DC"/>
    <w:rsid w:val="001F43E6"/>
    <w:rsid w:val="002007EE"/>
    <w:rsid w:val="002024FD"/>
    <w:rsid w:val="002077C0"/>
    <w:rsid w:val="0021090A"/>
    <w:rsid w:val="00210A25"/>
    <w:rsid w:val="00213772"/>
    <w:rsid w:val="002144E9"/>
    <w:rsid w:val="00220749"/>
    <w:rsid w:val="0022422C"/>
    <w:rsid w:val="0022639A"/>
    <w:rsid w:val="0022724E"/>
    <w:rsid w:val="00230666"/>
    <w:rsid w:val="00231153"/>
    <w:rsid w:val="0023252E"/>
    <w:rsid w:val="002342D3"/>
    <w:rsid w:val="002353FF"/>
    <w:rsid w:val="00236785"/>
    <w:rsid w:val="002405A9"/>
    <w:rsid w:val="00241C31"/>
    <w:rsid w:val="002423CB"/>
    <w:rsid w:val="0024246B"/>
    <w:rsid w:val="00242DCA"/>
    <w:rsid w:val="0024639A"/>
    <w:rsid w:val="0024673A"/>
    <w:rsid w:val="002473E1"/>
    <w:rsid w:val="0024775A"/>
    <w:rsid w:val="0025286C"/>
    <w:rsid w:val="00254613"/>
    <w:rsid w:val="002572CB"/>
    <w:rsid w:val="00257999"/>
    <w:rsid w:val="0026482E"/>
    <w:rsid w:val="00264C7F"/>
    <w:rsid w:val="0026584F"/>
    <w:rsid w:val="002679D5"/>
    <w:rsid w:val="002714FD"/>
    <w:rsid w:val="002742C6"/>
    <w:rsid w:val="00275F94"/>
    <w:rsid w:val="00276486"/>
    <w:rsid w:val="00281B9C"/>
    <w:rsid w:val="0028237C"/>
    <w:rsid w:val="00284C9B"/>
    <w:rsid w:val="00285CB2"/>
    <w:rsid w:val="00285DA0"/>
    <w:rsid w:val="00290397"/>
    <w:rsid w:val="0029323D"/>
    <w:rsid w:val="00293EB9"/>
    <w:rsid w:val="00294038"/>
    <w:rsid w:val="002962D7"/>
    <w:rsid w:val="002A0A74"/>
    <w:rsid w:val="002A141B"/>
    <w:rsid w:val="002A26B6"/>
    <w:rsid w:val="002A5340"/>
    <w:rsid w:val="002A6A4E"/>
    <w:rsid w:val="002A72EF"/>
    <w:rsid w:val="002A7972"/>
    <w:rsid w:val="002B0344"/>
    <w:rsid w:val="002B1C54"/>
    <w:rsid w:val="002B20A2"/>
    <w:rsid w:val="002B25E1"/>
    <w:rsid w:val="002B2F2D"/>
    <w:rsid w:val="002B3DA4"/>
    <w:rsid w:val="002B425D"/>
    <w:rsid w:val="002B4789"/>
    <w:rsid w:val="002B5A85"/>
    <w:rsid w:val="002B615A"/>
    <w:rsid w:val="002B63A7"/>
    <w:rsid w:val="002C175B"/>
    <w:rsid w:val="002C17A0"/>
    <w:rsid w:val="002C5473"/>
    <w:rsid w:val="002C5543"/>
    <w:rsid w:val="002C6511"/>
    <w:rsid w:val="002D0F7F"/>
    <w:rsid w:val="002D57B9"/>
    <w:rsid w:val="002D601C"/>
    <w:rsid w:val="002D6E89"/>
    <w:rsid w:val="002D7F12"/>
    <w:rsid w:val="002E0198"/>
    <w:rsid w:val="002E034D"/>
    <w:rsid w:val="002E16C7"/>
    <w:rsid w:val="002E1D7C"/>
    <w:rsid w:val="002E4353"/>
    <w:rsid w:val="002E5F04"/>
    <w:rsid w:val="002F3AD9"/>
    <w:rsid w:val="002F449B"/>
    <w:rsid w:val="002F4D86"/>
    <w:rsid w:val="002F5D69"/>
    <w:rsid w:val="002F606E"/>
    <w:rsid w:val="002F7C77"/>
    <w:rsid w:val="00300CB3"/>
    <w:rsid w:val="00301390"/>
    <w:rsid w:val="00301B45"/>
    <w:rsid w:val="00302D3F"/>
    <w:rsid w:val="0030394B"/>
    <w:rsid w:val="00305EB2"/>
    <w:rsid w:val="0030608F"/>
    <w:rsid w:val="003064B6"/>
    <w:rsid w:val="003072C6"/>
    <w:rsid w:val="00310D8E"/>
    <w:rsid w:val="00315663"/>
    <w:rsid w:val="00315BBD"/>
    <w:rsid w:val="00316067"/>
    <w:rsid w:val="00316CFC"/>
    <w:rsid w:val="0031753A"/>
    <w:rsid w:val="00320293"/>
    <w:rsid w:val="00320296"/>
    <w:rsid w:val="00321AB9"/>
    <w:rsid w:val="00322CC2"/>
    <w:rsid w:val="003271DC"/>
    <w:rsid w:val="0032746A"/>
    <w:rsid w:val="003279A8"/>
    <w:rsid w:val="003321B6"/>
    <w:rsid w:val="00332413"/>
    <w:rsid w:val="00333012"/>
    <w:rsid w:val="00333D2D"/>
    <w:rsid w:val="00334B54"/>
    <w:rsid w:val="00335CA3"/>
    <w:rsid w:val="00335CED"/>
    <w:rsid w:val="003360DE"/>
    <w:rsid w:val="0033610F"/>
    <w:rsid w:val="003366A7"/>
    <w:rsid w:val="00336DCE"/>
    <w:rsid w:val="0033739E"/>
    <w:rsid w:val="00337E1D"/>
    <w:rsid w:val="00340F1E"/>
    <w:rsid w:val="00343733"/>
    <w:rsid w:val="00355886"/>
    <w:rsid w:val="00356814"/>
    <w:rsid w:val="003577EB"/>
    <w:rsid w:val="00357C2E"/>
    <w:rsid w:val="003625F6"/>
    <w:rsid w:val="003639E9"/>
    <w:rsid w:val="00363FC3"/>
    <w:rsid w:val="00370765"/>
    <w:rsid w:val="00372480"/>
    <w:rsid w:val="00373C7A"/>
    <w:rsid w:val="00375115"/>
    <w:rsid w:val="00375E91"/>
    <w:rsid w:val="00376405"/>
    <w:rsid w:val="0038019F"/>
    <w:rsid w:val="00380AD2"/>
    <w:rsid w:val="00380C10"/>
    <w:rsid w:val="00382071"/>
    <w:rsid w:val="00383B91"/>
    <w:rsid w:val="00383D43"/>
    <w:rsid w:val="003901E1"/>
    <w:rsid w:val="00390F27"/>
    <w:rsid w:val="003940EF"/>
    <w:rsid w:val="0039626B"/>
    <w:rsid w:val="003A05BA"/>
    <w:rsid w:val="003A18B7"/>
    <w:rsid w:val="003A1BD8"/>
    <w:rsid w:val="003A2F25"/>
    <w:rsid w:val="003A57D3"/>
    <w:rsid w:val="003A5A90"/>
    <w:rsid w:val="003A6D1B"/>
    <w:rsid w:val="003A7AB6"/>
    <w:rsid w:val="003B2334"/>
    <w:rsid w:val="003B2807"/>
    <w:rsid w:val="003B3C5C"/>
    <w:rsid w:val="003C467E"/>
    <w:rsid w:val="003C68F2"/>
    <w:rsid w:val="003C6F10"/>
    <w:rsid w:val="003D58B8"/>
    <w:rsid w:val="003D5CFB"/>
    <w:rsid w:val="003D7889"/>
    <w:rsid w:val="003E0202"/>
    <w:rsid w:val="003E109B"/>
    <w:rsid w:val="003E1229"/>
    <w:rsid w:val="003E1429"/>
    <w:rsid w:val="003E2636"/>
    <w:rsid w:val="003E2E12"/>
    <w:rsid w:val="003E6B1A"/>
    <w:rsid w:val="003F2842"/>
    <w:rsid w:val="003F39CE"/>
    <w:rsid w:val="003F5B98"/>
    <w:rsid w:val="003F5C1C"/>
    <w:rsid w:val="003F789D"/>
    <w:rsid w:val="00401108"/>
    <w:rsid w:val="00402927"/>
    <w:rsid w:val="0040333D"/>
    <w:rsid w:val="00404FD7"/>
    <w:rsid w:val="00407993"/>
    <w:rsid w:val="00411833"/>
    <w:rsid w:val="00412F64"/>
    <w:rsid w:val="004176E4"/>
    <w:rsid w:val="00417BEB"/>
    <w:rsid w:val="00420E3F"/>
    <w:rsid w:val="00422C78"/>
    <w:rsid w:val="00425D45"/>
    <w:rsid w:val="0043145A"/>
    <w:rsid w:val="004324FF"/>
    <w:rsid w:val="00432A55"/>
    <w:rsid w:val="004331AB"/>
    <w:rsid w:val="004354C0"/>
    <w:rsid w:val="0044260A"/>
    <w:rsid w:val="00444D82"/>
    <w:rsid w:val="00451168"/>
    <w:rsid w:val="004564C6"/>
    <w:rsid w:val="004610CC"/>
    <w:rsid w:val="004636AA"/>
    <w:rsid w:val="004641AA"/>
    <w:rsid w:val="00465464"/>
    <w:rsid w:val="00465E7F"/>
    <w:rsid w:val="00465E87"/>
    <w:rsid w:val="00466BDD"/>
    <w:rsid w:val="004722ED"/>
    <w:rsid w:val="0047786A"/>
    <w:rsid w:val="00477A65"/>
    <w:rsid w:val="0048082A"/>
    <w:rsid w:val="00482DB3"/>
    <w:rsid w:val="00486337"/>
    <w:rsid w:val="004873A9"/>
    <w:rsid w:val="0048741A"/>
    <w:rsid w:val="00487A1E"/>
    <w:rsid w:val="0049152F"/>
    <w:rsid w:val="00491875"/>
    <w:rsid w:val="004924DD"/>
    <w:rsid w:val="004927F6"/>
    <w:rsid w:val="00493985"/>
    <w:rsid w:val="004A0236"/>
    <w:rsid w:val="004A369A"/>
    <w:rsid w:val="004A3B3E"/>
    <w:rsid w:val="004A55DB"/>
    <w:rsid w:val="004B0ECD"/>
    <w:rsid w:val="004B3161"/>
    <w:rsid w:val="004B4C42"/>
    <w:rsid w:val="004B7AA2"/>
    <w:rsid w:val="004C07DF"/>
    <w:rsid w:val="004C0953"/>
    <w:rsid w:val="004C5408"/>
    <w:rsid w:val="004C5777"/>
    <w:rsid w:val="004C6C7B"/>
    <w:rsid w:val="004C73A8"/>
    <w:rsid w:val="004C76AE"/>
    <w:rsid w:val="004D0173"/>
    <w:rsid w:val="004D0937"/>
    <w:rsid w:val="004D1056"/>
    <w:rsid w:val="004D1EFD"/>
    <w:rsid w:val="004E1EDE"/>
    <w:rsid w:val="004E21E2"/>
    <w:rsid w:val="004E293F"/>
    <w:rsid w:val="004E380D"/>
    <w:rsid w:val="004E7922"/>
    <w:rsid w:val="004F06E4"/>
    <w:rsid w:val="004F0DFC"/>
    <w:rsid w:val="004F3441"/>
    <w:rsid w:val="004F34FF"/>
    <w:rsid w:val="004F41B2"/>
    <w:rsid w:val="004F4AFC"/>
    <w:rsid w:val="004F52A5"/>
    <w:rsid w:val="004F6E6B"/>
    <w:rsid w:val="00500C8C"/>
    <w:rsid w:val="00501375"/>
    <w:rsid w:val="00501B04"/>
    <w:rsid w:val="00501D3B"/>
    <w:rsid w:val="005022C9"/>
    <w:rsid w:val="0050779D"/>
    <w:rsid w:val="00507BE6"/>
    <w:rsid w:val="00512660"/>
    <w:rsid w:val="005139EA"/>
    <w:rsid w:val="00513A88"/>
    <w:rsid w:val="00515751"/>
    <w:rsid w:val="00520BBB"/>
    <w:rsid w:val="00521BC0"/>
    <w:rsid w:val="00523590"/>
    <w:rsid w:val="00525456"/>
    <w:rsid w:val="00530CA3"/>
    <w:rsid w:val="00530F1A"/>
    <w:rsid w:val="00532236"/>
    <w:rsid w:val="00532616"/>
    <w:rsid w:val="00533762"/>
    <w:rsid w:val="005345F6"/>
    <w:rsid w:val="005366D2"/>
    <w:rsid w:val="00537723"/>
    <w:rsid w:val="00537AF7"/>
    <w:rsid w:val="00540869"/>
    <w:rsid w:val="005412A1"/>
    <w:rsid w:val="00541DFE"/>
    <w:rsid w:val="0054262C"/>
    <w:rsid w:val="00543E6C"/>
    <w:rsid w:val="00544184"/>
    <w:rsid w:val="00544698"/>
    <w:rsid w:val="005511B9"/>
    <w:rsid w:val="00551910"/>
    <w:rsid w:val="00551ED1"/>
    <w:rsid w:val="005525B7"/>
    <w:rsid w:val="0055528B"/>
    <w:rsid w:val="005552FD"/>
    <w:rsid w:val="005600E5"/>
    <w:rsid w:val="00564377"/>
    <w:rsid w:val="00564E8F"/>
    <w:rsid w:val="00570C12"/>
    <w:rsid w:val="00572823"/>
    <w:rsid w:val="005728A4"/>
    <w:rsid w:val="005738F2"/>
    <w:rsid w:val="005763FC"/>
    <w:rsid w:val="00576B1D"/>
    <w:rsid w:val="00576EB4"/>
    <w:rsid w:val="00577B30"/>
    <w:rsid w:val="00582541"/>
    <w:rsid w:val="00582768"/>
    <w:rsid w:val="00582F7F"/>
    <w:rsid w:val="00583461"/>
    <w:rsid w:val="0058384A"/>
    <w:rsid w:val="005841CD"/>
    <w:rsid w:val="005856A4"/>
    <w:rsid w:val="00590730"/>
    <w:rsid w:val="00594929"/>
    <w:rsid w:val="005A3051"/>
    <w:rsid w:val="005A53FE"/>
    <w:rsid w:val="005A5D2E"/>
    <w:rsid w:val="005A69D9"/>
    <w:rsid w:val="005B22DF"/>
    <w:rsid w:val="005B254C"/>
    <w:rsid w:val="005B5275"/>
    <w:rsid w:val="005B566B"/>
    <w:rsid w:val="005B6569"/>
    <w:rsid w:val="005B65C5"/>
    <w:rsid w:val="005B7B78"/>
    <w:rsid w:val="005B7D05"/>
    <w:rsid w:val="005B7D22"/>
    <w:rsid w:val="005C0186"/>
    <w:rsid w:val="005C029E"/>
    <w:rsid w:val="005C0DD8"/>
    <w:rsid w:val="005C1D18"/>
    <w:rsid w:val="005D0AC4"/>
    <w:rsid w:val="005D0C31"/>
    <w:rsid w:val="005D1EDD"/>
    <w:rsid w:val="005D3999"/>
    <w:rsid w:val="005D5A74"/>
    <w:rsid w:val="005E085D"/>
    <w:rsid w:val="005E110B"/>
    <w:rsid w:val="005E34C1"/>
    <w:rsid w:val="005E3FA7"/>
    <w:rsid w:val="005E4870"/>
    <w:rsid w:val="005E494D"/>
    <w:rsid w:val="005E4F4F"/>
    <w:rsid w:val="005E5D92"/>
    <w:rsid w:val="005E7963"/>
    <w:rsid w:val="005E79CC"/>
    <w:rsid w:val="005F0E62"/>
    <w:rsid w:val="005F218C"/>
    <w:rsid w:val="005F3AC8"/>
    <w:rsid w:val="005F4234"/>
    <w:rsid w:val="005F4523"/>
    <w:rsid w:val="00601D4D"/>
    <w:rsid w:val="006021B4"/>
    <w:rsid w:val="00602CA8"/>
    <w:rsid w:val="00605B5B"/>
    <w:rsid w:val="006062D8"/>
    <w:rsid w:val="00606827"/>
    <w:rsid w:val="00610540"/>
    <w:rsid w:val="00610DCB"/>
    <w:rsid w:val="00614B41"/>
    <w:rsid w:val="006166BB"/>
    <w:rsid w:val="00620262"/>
    <w:rsid w:val="00621B4C"/>
    <w:rsid w:val="006222CA"/>
    <w:rsid w:val="00624465"/>
    <w:rsid w:val="00624CBA"/>
    <w:rsid w:val="00625D3D"/>
    <w:rsid w:val="00627C52"/>
    <w:rsid w:val="00630937"/>
    <w:rsid w:val="00636934"/>
    <w:rsid w:val="0064170C"/>
    <w:rsid w:val="00642F26"/>
    <w:rsid w:val="00643DBE"/>
    <w:rsid w:val="00644C1F"/>
    <w:rsid w:val="00646CF9"/>
    <w:rsid w:val="00647EAF"/>
    <w:rsid w:val="00650710"/>
    <w:rsid w:val="006509CB"/>
    <w:rsid w:val="00653B84"/>
    <w:rsid w:val="00653E0D"/>
    <w:rsid w:val="00655106"/>
    <w:rsid w:val="00660126"/>
    <w:rsid w:val="00662CE4"/>
    <w:rsid w:val="0066347F"/>
    <w:rsid w:val="00663DC0"/>
    <w:rsid w:val="00666EB5"/>
    <w:rsid w:val="00670171"/>
    <w:rsid w:val="006727DF"/>
    <w:rsid w:val="006732EB"/>
    <w:rsid w:val="0067603A"/>
    <w:rsid w:val="00677930"/>
    <w:rsid w:val="006821ED"/>
    <w:rsid w:val="00682CAC"/>
    <w:rsid w:val="0068415A"/>
    <w:rsid w:val="006846EF"/>
    <w:rsid w:val="00684F45"/>
    <w:rsid w:val="006865C8"/>
    <w:rsid w:val="00686ADD"/>
    <w:rsid w:val="00686B48"/>
    <w:rsid w:val="00686F9B"/>
    <w:rsid w:val="00687038"/>
    <w:rsid w:val="0068714E"/>
    <w:rsid w:val="006929F7"/>
    <w:rsid w:val="0069374A"/>
    <w:rsid w:val="00694AB8"/>
    <w:rsid w:val="0069544C"/>
    <w:rsid w:val="00695EF7"/>
    <w:rsid w:val="0069692F"/>
    <w:rsid w:val="0069699D"/>
    <w:rsid w:val="006A4662"/>
    <w:rsid w:val="006B2C51"/>
    <w:rsid w:val="006B3E7B"/>
    <w:rsid w:val="006B3FA3"/>
    <w:rsid w:val="006B4188"/>
    <w:rsid w:val="006B5336"/>
    <w:rsid w:val="006B6128"/>
    <w:rsid w:val="006B6361"/>
    <w:rsid w:val="006B7DEB"/>
    <w:rsid w:val="006C026A"/>
    <w:rsid w:val="006C1401"/>
    <w:rsid w:val="006C18C4"/>
    <w:rsid w:val="006C1A6A"/>
    <w:rsid w:val="006C225A"/>
    <w:rsid w:val="006C76F7"/>
    <w:rsid w:val="006C773E"/>
    <w:rsid w:val="006D0356"/>
    <w:rsid w:val="006D27AD"/>
    <w:rsid w:val="006D360C"/>
    <w:rsid w:val="006D5AC9"/>
    <w:rsid w:val="006D66ED"/>
    <w:rsid w:val="006D719F"/>
    <w:rsid w:val="006E5E92"/>
    <w:rsid w:val="006E786B"/>
    <w:rsid w:val="006F0CF2"/>
    <w:rsid w:val="006F217B"/>
    <w:rsid w:val="006F347B"/>
    <w:rsid w:val="006F3AED"/>
    <w:rsid w:val="007002B1"/>
    <w:rsid w:val="00701E67"/>
    <w:rsid w:val="0070297F"/>
    <w:rsid w:val="00704EB7"/>
    <w:rsid w:val="00705742"/>
    <w:rsid w:val="007063E9"/>
    <w:rsid w:val="007104FE"/>
    <w:rsid w:val="00711B0C"/>
    <w:rsid w:val="007121A2"/>
    <w:rsid w:val="00712E0B"/>
    <w:rsid w:val="00713981"/>
    <w:rsid w:val="00715642"/>
    <w:rsid w:val="007176D6"/>
    <w:rsid w:val="00727D54"/>
    <w:rsid w:val="007344C5"/>
    <w:rsid w:val="00734959"/>
    <w:rsid w:val="00735137"/>
    <w:rsid w:val="0073520D"/>
    <w:rsid w:val="007354DC"/>
    <w:rsid w:val="007358D6"/>
    <w:rsid w:val="00737637"/>
    <w:rsid w:val="00745DF5"/>
    <w:rsid w:val="00746A1F"/>
    <w:rsid w:val="00753E4D"/>
    <w:rsid w:val="00761FAD"/>
    <w:rsid w:val="00765CD6"/>
    <w:rsid w:val="00772B27"/>
    <w:rsid w:val="00773781"/>
    <w:rsid w:val="00775972"/>
    <w:rsid w:val="00775FB1"/>
    <w:rsid w:val="0077701D"/>
    <w:rsid w:val="00780226"/>
    <w:rsid w:val="00781AB4"/>
    <w:rsid w:val="00784239"/>
    <w:rsid w:val="007843AD"/>
    <w:rsid w:val="00786DFF"/>
    <w:rsid w:val="00790F15"/>
    <w:rsid w:val="007923B7"/>
    <w:rsid w:val="00792616"/>
    <w:rsid w:val="007926BB"/>
    <w:rsid w:val="0079344C"/>
    <w:rsid w:val="00794F05"/>
    <w:rsid w:val="00795275"/>
    <w:rsid w:val="007967CA"/>
    <w:rsid w:val="007968AE"/>
    <w:rsid w:val="007A0283"/>
    <w:rsid w:val="007A2ED4"/>
    <w:rsid w:val="007A447D"/>
    <w:rsid w:val="007A6F72"/>
    <w:rsid w:val="007B3D72"/>
    <w:rsid w:val="007B45DB"/>
    <w:rsid w:val="007B4890"/>
    <w:rsid w:val="007B6CC6"/>
    <w:rsid w:val="007C02C7"/>
    <w:rsid w:val="007C21EE"/>
    <w:rsid w:val="007C4BDD"/>
    <w:rsid w:val="007C619F"/>
    <w:rsid w:val="007C7F5F"/>
    <w:rsid w:val="007D2B1D"/>
    <w:rsid w:val="007D3A2E"/>
    <w:rsid w:val="007D3CD2"/>
    <w:rsid w:val="007D61CF"/>
    <w:rsid w:val="007D6652"/>
    <w:rsid w:val="007E0236"/>
    <w:rsid w:val="007E343D"/>
    <w:rsid w:val="007E35C9"/>
    <w:rsid w:val="007E7419"/>
    <w:rsid w:val="007E7DF2"/>
    <w:rsid w:val="007F4383"/>
    <w:rsid w:val="007F5EEF"/>
    <w:rsid w:val="00800F60"/>
    <w:rsid w:val="00801601"/>
    <w:rsid w:val="00802D9F"/>
    <w:rsid w:val="008037FA"/>
    <w:rsid w:val="0080434A"/>
    <w:rsid w:val="00806257"/>
    <w:rsid w:val="00810991"/>
    <w:rsid w:val="00810F2B"/>
    <w:rsid w:val="00811EB7"/>
    <w:rsid w:val="00814109"/>
    <w:rsid w:val="00814A9B"/>
    <w:rsid w:val="00814F66"/>
    <w:rsid w:val="00816EE1"/>
    <w:rsid w:val="00817C9E"/>
    <w:rsid w:val="008205AF"/>
    <w:rsid w:val="008225E5"/>
    <w:rsid w:val="00822F32"/>
    <w:rsid w:val="008231FE"/>
    <w:rsid w:val="00823609"/>
    <w:rsid w:val="00825880"/>
    <w:rsid w:val="00831053"/>
    <w:rsid w:val="008314D2"/>
    <w:rsid w:val="0083254D"/>
    <w:rsid w:val="00833AE6"/>
    <w:rsid w:val="00835338"/>
    <w:rsid w:val="00836072"/>
    <w:rsid w:val="00836249"/>
    <w:rsid w:val="00836F00"/>
    <w:rsid w:val="0083772B"/>
    <w:rsid w:val="008406E7"/>
    <w:rsid w:val="00846192"/>
    <w:rsid w:val="008463F6"/>
    <w:rsid w:val="008473BE"/>
    <w:rsid w:val="008473E9"/>
    <w:rsid w:val="0085075A"/>
    <w:rsid w:val="00850806"/>
    <w:rsid w:val="00851AE7"/>
    <w:rsid w:val="0085269F"/>
    <w:rsid w:val="0085300C"/>
    <w:rsid w:val="00853ACD"/>
    <w:rsid w:val="008547CB"/>
    <w:rsid w:val="00856A1B"/>
    <w:rsid w:val="00857BD7"/>
    <w:rsid w:val="00857C02"/>
    <w:rsid w:val="008614F8"/>
    <w:rsid w:val="008621C3"/>
    <w:rsid w:val="00865486"/>
    <w:rsid w:val="00874A17"/>
    <w:rsid w:val="008761AB"/>
    <w:rsid w:val="00876275"/>
    <w:rsid w:val="008767DF"/>
    <w:rsid w:val="0088201D"/>
    <w:rsid w:val="00882B99"/>
    <w:rsid w:val="00883BB5"/>
    <w:rsid w:val="00885594"/>
    <w:rsid w:val="00886121"/>
    <w:rsid w:val="00886BB1"/>
    <w:rsid w:val="00887DC6"/>
    <w:rsid w:val="00887E24"/>
    <w:rsid w:val="0089112C"/>
    <w:rsid w:val="0089276E"/>
    <w:rsid w:val="00893423"/>
    <w:rsid w:val="008A050D"/>
    <w:rsid w:val="008A295B"/>
    <w:rsid w:val="008A2D10"/>
    <w:rsid w:val="008A31F2"/>
    <w:rsid w:val="008A6604"/>
    <w:rsid w:val="008B28A7"/>
    <w:rsid w:val="008B3161"/>
    <w:rsid w:val="008B5482"/>
    <w:rsid w:val="008B6EB8"/>
    <w:rsid w:val="008C0596"/>
    <w:rsid w:val="008C11F4"/>
    <w:rsid w:val="008C2B9D"/>
    <w:rsid w:val="008C2BEC"/>
    <w:rsid w:val="008C341D"/>
    <w:rsid w:val="008C3CDF"/>
    <w:rsid w:val="008C48AB"/>
    <w:rsid w:val="008C5CC3"/>
    <w:rsid w:val="008C6523"/>
    <w:rsid w:val="008C6A4A"/>
    <w:rsid w:val="008C6D0E"/>
    <w:rsid w:val="008C722B"/>
    <w:rsid w:val="008D09D2"/>
    <w:rsid w:val="008D0FD3"/>
    <w:rsid w:val="008D39C5"/>
    <w:rsid w:val="008E1D89"/>
    <w:rsid w:val="008E3E3E"/>
    <w:rsid w:val="008E7FA0"/>
    <w:rsid w:val="008F17F8"/>
    <w:rsid w:val="008F1964"/>
    <w:rsid w:val="008F3F79"/>
    <w:rsid w:val="008F5F87"/>
    <w:rsid w:val="00900A34"/>
    <w:rsid w:val="00900F1F"/>
    <w:rsid w:val="00904019"/>
    <w:rsid w:val="00904D24"/>
    <w:rsid w:val="0090528B"/>
    <w:rsid w:val="00905667"/>
    <w:rsid w:val="00907073"/>
    <w:rsid w:val="00912BEB"/>
    <w:rsid w:val="00913548"/>
    <w:rsid w:val="009167E7"/>
    <w:rsid w:val="00916ECE"/>
    <w:rsid w:val="00920824"/>
    <w:rsid w:val="009208F5"/>
    <w:rsid w:val="00923429"/>
    <w:rsid w:val="0092420F"/>
    <w:rsid w:val="009269E5"/>
    <w:rsid w:val="00926C90"/>
    <w:rsid w:val="009278E9"/>
    <w:rsid w:val="00927D51"/>
    <w:rsid w:val="009314C7"/>
    <w:rsid w:val="00932272"/>
    <w:rsid w:val="00932862"/>
    <w:rsid w:val="00934381"/>
    <w:rsid w:val="00935BBA"/>
    <w:rsid w:val="00935D60"/>
    <w:rsid w:val="00943300"/>
    <w:rsid w:val="009447BB"/>
    <w:rsid w:val="00944C48"/>
    <w:rsid w:val="00946335"/>
    <w:rsid w:val="00951178"/>
    <w:rsid w:val="009513C4"/>
    <w:rsid w:val="00951E66"/>
    <w:rsid w:val="00954470"/>
    <w:rsid w:val="00955C16"/>
    <w:rsid w:val="00955E55"/>
    <w:rsid w:val="009565B1"/>
    <w:rsid w:val="0095776E"/>
    <w:rsid w:val="00960AE2"/>
    <w:rsid w:val="00962200"/>
    <w:rsid w:val="00964D35"/>
    <w:rsid w:val="0096637A"/>
    <w:rsid w:val="00966F54"/>
    <w:rsid w:val="00972C85"/>
    <w:rsid w:val="0097534C"/>
    <w:rsid w:val="009753DC"/>
    <w:rsid w:val="00975E61"/>
    <w:rsid w:val="00975FA3"/>
    <w:rsid w:val="009764B4"/>
    <w:rsid w:val="00976890"/>
    <w:rsid w:val="00976E31"/>
    <w:rsid w:val="009774A4"/>
    <w:rsid w:val="00977C63"/>
    <w:rsid w:val="00980087"/>
    <w:rsid w:val="00980C0B"/>
    <w:rsid w:val="0098179C"/>
    <w:rsid w:val="0098279C"/>
    <w:rsid w:val="00984A6C"/>
    <w:rsid w:val="0098524F"/>
    <w:rsid w:val="00987ABE"/>
    <w:rsid w:val="00990462"/>
    <w:rsid w:val="009906C7"/>
    <w:rsid w:val="00993760"/>
    <w:rsid w:val="009963CD"/>
    <w:rsid w:val="009A009B"/>
    <w:rsid w:val="009A03FE"/>
    <w:rsid w:val="009B112D"/>
    <w:rsid w:val="009B15D3"/>
    <w:rsid w:val="009B169D"/>
    <w:rsid w:val="009B266D"/>
    <w:rsid w:val="009B296C"/>
    <w:rsid w:val="009B5CBF"/>
    <w:rsid w:val="009B7F98"/>
    <w:rsid w:val="009C0364"/>
    <w:rsid w:val="009C184A"/>
    <w:rsid w:val="009C2CA5"/>
    <w:rsid w:val="009C57D7"/>
    <w:rsid w:val="009C6BB6"/>
    <w:rsid w:val="009C6E18"/>
    <w:rsid w:val="009D1EB6"/>
    <w:rsid w:val="009D3E45"/>
    <w:rsid w:val="009D5EDE"/>
    <w:rsid w:val="009D7550"/>
    <w:rsid w:val="009E0009"/>
    <w:rsid w:val="009E53A4"/>
    <w:rsid w:val="009E6F1B"/>
    <w:rsid w:val="009F351F"/>
    <w:rsid w:val="009F3F89"/>
    <w:rsid w:val="009F480E"/>
    <w:rsid w:val="009F5574"/>
    <w:rsid w:val="00A01857"/>
    <w:rsid w:val="00A022A2"/>
    <w:rsid w:val="00A02D15"/>
    <w:rsid w:val="00A03DA1"/>
    <w:rsid w:val="00A0672C"/>
    <w:rsid w:val="00A06BDD"/>
    <w:rsid w:val="00A11403"/>
    <w:rsid w:val="00A13944"/>
    <w:rsid w:val="00A144F1"/>
    <w:rsid w:val="00A165E9"/>
    <w:rsid w:val="00A26B0D"/>
    <w:rsid w:val="00A26EBB"/>
    <w:rsid w:val="00A307E3"/>
    <w:rsid w:val="00A324D2"/>
    <w:rsid w:val="00A3630E"/>
    <w:rsid w:val="00A36C0D"/>
    <w:rsid w:val="00A3735A"/>
    <w:rsid w:val="00A40478"/>
    <w:rsid w:val="00A40779"/>
    <w:rsid w:val="00A40B27"/>
    <w:rsid w:val="00A42F1B"/>
    <w:rsid w:val="00A431A6"/>
    <w:rsid w:val="00A4327A"/>
    <w:rsid w:val="00A448BF"/>
    <w:rsid w:val="00A45332"/>
    <w:rsid w:val="00A457F1"/>
    <w:rsid w:val="00A53ACF"/>
    <w:rsid w:val="00A546BC"/>
    <w:rsid w:val="00A55989"/>
    <w:rsid w:val="00A55C31"/>
    <w:rsid w:val="00A5694A"/>
    <w:rsid w:val="00A62E01"/>
    <w:rsid w:val="00A636AA"/>
    <w:rsid w:val="00A63DA4"/>
    <w:rsid w:val="00A64435"/>
    <w:rsid w:val="00A6462C"/>
    <w:rsid w:val="00A6668C"/>
    <w:rsid w:val="00A708C8"/>
    <w:rsid w:val="00A708E9"/>
    <w:rsid w:val="00A71C1B"/>
    <w:rsid w:val="00A71C22"/>
    <w:rsid w:val="00A71C5B"/>
    <w:rsid w:val="00A728F8"/>
    <w:rsid w:val="00A73C40"/>
    <w:rsid w:val="00A75CD5"/>
    <w:rsid w:val="00A76A86"/>
    <w:rsid w:val="00A76F63"/>
    <w:rsid w:val="00A77670"/>
    <w:rsid w:val="00A82B61"/>
    <w:rsid w:val="00A83DF3"/>
    <w:rsid w:val="00A85915"/>
    <w:rsid w:val="00A909BB"/>
    <w:rsid w:val="00A933B0"/>
    <w:rsid w:val="00A952AB"/>
    <w:rsid w:val="00A9783D"/>
    <w:rsid w:val="00AA2B71"/>
    <w:rsid w:val="00AA45E6"/>
    <w:rsid w:val="00AA5A37"/>
    <w:rsid w:val="00AA600E"/>
    <w:rsid w:val="00AA735C"/>
    <w:rsid w:val="00AB0F62"/>
    <w:rsid w:val="00AB15EB"/>
    <w:rsid w:val="00AB489C"/>
    <w:rsid w:val="00AB50C1"/>
    <w:rsid w:val="00AB6936"/>
    <w:rsid w:val="00AB6CDC"/>
    <w:rsid w:val="00AC0C3B"/>
    <w:rsid w:val="00AC16C7"/>
    <w:rsid w:val="00AC2D63"/>
    <w:rsid w:val="00AC2EE5"/>
    <w:rsid w:val="00AC38AE"/>
    <w:rsid w:val="00AC46F1"/>
    <w:rsid w:val="00AC6D0A"/>
    <w:rsid w:val="00AC7D71"/>
    <w:rsid w:val="00AD031E"/>
    <w:rsid w:val="00AD03B1"/>
    <w:rsid w:val="00AD03D8"/>
    <w:rsid w:val="00AD0711"/>
    <w:rsid w:val="00AD105C"/>
    <w:rsid w:val="00AD15FD"/>
    <w:rsid w:val="00AD3579"/>
    <w:rsid w:val="00AD5924"/>
    <w:rsid w:val="00AD704E"/>
    <w:rsid w:val="00AE023D"/>
    <w:rsid w:val="00AE23E9"/>
    <w:rsid w:val="00AE279C"/>
    <w:rsid w:val="00AE41A3"/>
    <w:rsid w:val="00AE4565"/>
    <w:rsid w:val="00AE517A"/>
    <w:rsid w:val="00AE5B84"/>
    <w:rsid w:val="00AE5FE0"/>
    <w:rsid w:val="00AE60B7"/>
    <w:rsid w:val="00AE6166"/>
    <w:rsid w:val="00AE7929"/>
    <w:rsid w:val="00AE7A0D"/>
    <w:rsid w:val="00AF2AB7"/>
    <w:rsid w:val="00AF2B1C"/>
    <w:rsid w:val="00AF2CDC"/>
    <w:rsid w:val="00AF4D3F"/>
    <w:rsid w:val="00AF7593"/>
    <w:rsid w:val="00AF7B42"/>
    <w:rsid w:val="00B00FC0"/>
    <w:rsid w:val="00B0300B"/>
    <w:rsid w:val="00B046FD"/>
    <w:rsid w:val="00B05457"/>
    <w:rsid w:val="00B056D0"/>
    <w:rsid w:val="00B06CDA"/>
    <w:rsid w:val="00B108B9"/>
    <w:rsid w:val="00B12671"/>
    <w:rsid w:val="00B128A0"/>
    <w:rsid w:val="00B12C01"/>
    <w:rsid w:val="00B13241"/>
    <w:rsid w:val="00B15A1D"/>
    <w:rsid w:val="00B15E3B"/>
    <w:rsid w:val="00B20240"/>
    <w:rsid w:val="00B22355"/>
    <w:rsid w:val="00B23281"/>
    <w:rsid w:val="00B240CB"/>
    <w:rsid w:val="00B25070"/>
    <w:rsid w:val="00B2659A"/>
    <w:rsid w:val="00B27571"/>
    <w:rsid w:val="00B27F62"/>
    <w:rsid w:val="00B27FCD"/>
    <w:rsid w:val="00B30DFD"/>
    <w:rsid w:val="00B3198D"/>
    <w:rsid w:val="00B33B6D"/>
    <w:rsid w:val="00B352C2"/>
    <w:rsid w:val="00B353A9"/>
    <w:rsid w:val="00B36077"/>
    <w:rsid w:val="00B364A2"/>
    <w:rsid w:val="00B368BC"/>
    <w:rsid w:val="00B4164B"/>
    <w:rsid w:val="00B4210B"/>
    <w:rsid w:val="00B426B9"/>
    <w:rsid w:val="00B479A0"/>
    <w:rsid w:val="00B5409A"/>
    <w:rsid w:val="00B55574"/>
    <w:rsid w:val="00B5671A"/>
    <w:rsid w:val="00B60A27"/>
    <w:rsid w:val="00B629EA"/>
    <w:rsid w:val="00B651CA"/>
    <w:rsid w:val="00B6525D"/>
    <w:rsid w:val="00B656D5"/>
    <w:rsid w:val="00B65ABA"/>
    <w:rsid w:val="00B676F2"/>
    <w:rsid w:val="00B6790F"/>
    <w:rsid w:val="00B71B3B"/>
    <w:rsid w:val="00B75C52"/>
    <w:rsid w:val="00B82470"/>
    <w:rsid w:val="00B835C8"/>
    <w:rsid w:val="00B863B5"/>
    <w:rsid w:val="00B87D61"/>
    <w:rsid w:val="00B90B33"/>
    <w:rsid w:val="00B93948"/>
    <w:rsid w:val="00B9443D"/>
    <w:rsid w:val="00B961D3"/>
    <w:rsid w:val="00BA4BC7"/>
    <w:rsid w:val="00BA55B7"/>
    <w:rsid w:val="00BA5E47"/>
    <w:rsid w:val="00BA6531"/>
    <w:rsid w:val="00BA6C37"/>
    <w:rsid w:val="00BA7D57"/>
    <w:rsid w:val="00BA7F91"/>
    <w:rsid w:val="00BB156E"/>
    <w:rsid w:val="00BB3330"/>
    <w:rsid w:val="00BB47D7"/>
    <w:rsid w:val="00BB4A62"/>
    <w:rsid w:val="00BB6CBB"/>
    <w:rsid w:val="00BB7D78"/>
    <w:rsid w:val="00BC01C1"/>
    <w:rsid w:val="00BC2AAD"/>
    <w:rsid w:val="00BC5A34"/>
    <w:rsid w:val="00BC76F2"/>
    <w:rsid w:val="00BD17F5"/>
    <w:rsid w:val="00BD6E05"/>
    <w:rsid w:val="00BD7045"/>
    <w:rsid w:val="00BE21F9"/>
    <w:rsid w:val="00BE3C8F"/>
    <w:rsid w:val="00BE459C"/>
    <w:rsid w:val="00BE54D0"/>
    <w:rsid w:val="00BE5927"/>
    <w:rsid w:val="00BE7C2F"/>
    <w:rsid w:val="00BF2F41"/>
    <w:rsid w:val="00BF66E9"/>
    <w:rsid w:val="00BF6B6C"/>
    <w:rsid w:val="00BF7251"/>
    <w:rsid w:val="00BF7254"/>
    <w:rsid w:val="00BF7F28"/>
    <w:rsid w:val="00C00562"/>
    <w:rsid w:val="00C0134B"/>
    <w:rsid w:val="00C01909"/>
    <w:rsid w:val="00C05787"/>
    <w:rsid w:val="00C1020C"/>
    <w:rsid w:val="00C13059"/>
    <w:rsid w:val="00C139EB"/>
    <w:rsid w:val="00C13F00"/>
    <w:rsid w:val="00C15108"/>
    <w:rsid w:val="00C1516B"/>
    <w:rsid w:val="00C156D4"/>
    <w:rsid w:val="00C1621E"/>
    <w:rsid w:val="00C1666E"/>
    <w:rsid w:val="00C167A3"/>
    <w:rsid w:val="00C20454"/>
    <w:rsid w:val="00C2181C"/>
    <w:rsid w:val="00C21F4D"/>
    <w:rsid w:val="00C2657D"/>
    <w:rsid w:val="00C3048D"/>
    <w:rsid w:val="00C32C32"/>
    <w:rsid w:val="00C33161"/>
    <w:rsid w:val="00C3447A"/>
    <w:rsid w:val="00C35480"/>
    <w:rsid w:val="00C40288"/>
    <w:rsid w:val="00C403DC"/>
    <w:rsid w:val="00C409E2"/>
    <w:rsid w:val="00C416E1"/>
    <w:rsid w:val="00C42C7A"/>
    <w:rsid w:val="00C47BF8"/>
    <w:rsid w:val="00C502BF"/>
    <w:rsid w:val="00C51B1C"/>
    <w:rsid w:val="00C51CB9"/>
    <w:rsid w:val="00C53DCE"/>
    <w:rsid w:val="00C60ED6"/>
    <w:rsid w:val="00C616B0"/>
    <w:rsid w:val="00C61D71"/>
    <w:rsid w:val="00C64BCC"/>
    <w:rsid w:val="00C64CA4"/>
    <w:rsid w:val="00C655F2"/>
    <w:rsid w:val="00C65B4C"/>
    <w:rsid w:val="00C65B61"/>
    <w:rsid w:val="00C70E53"/>
    <w:rsid w:val="00C711E9"/>
    <w:rsid w:val="00C713D2"/>
    <w:rsid w:val="00C72979"/>
    <w:rsid w:val="00C7506D"/>
    <w:rsid w:val="00C75604"/>
    <w:rsid w:val="00C77E56"/>
    <w:rsid w:val="00C80331"/>
    <w:rsid w:val="00C81529"/>
    <w:rsid w:val="00C81BA6"/>
    <w:rsid w:val="00C81E7E"/>
    <w:rsid w:val="00C829DD"/>
    <w:rsid w:val="00C82FC3"/>
    <w:rsid w:val="00C8377C"/>
    <w:rsid w:val="00C83DF6"/>
    <w:rsid w:val="00C85981"/>
    <w:rsid w:val="00C86CAF"/>
    <w:rsid w:val="00C877CD"/>
    <w:rsid w:val="00C902E9"/>
    <w:rsid w:val="00C908A6"/>
    <w:rsid w:val="00C908B7"/>
    <w:rsid w:val="00C91D81"/>
    <w:rsid w:val="00C92101"/>
    <w:rsid w:val="00C92A42"/>
    <w:rsid w:val="00C92B41"/>
    <w:rsid w:val="00C936AC"/>
    <w:rsid w:val="00C96288"/>
    <w:rsid w:val="00C97D0E"/>
    <w:rsid w:val="00CA18F2"/>
    <w:rsid w:val="00CA3F3E"/>
    <w:rsid w:val="00CA44E6"/>
    <w:rsid w:val="00CA4871"/>
    <w:rsid w:val="00CA51EE"/>
    <w:rsid w:val="00CA6722"/>
    <w:rsid w:val="00CA6D4E"/>
    <w:rsid w:val="00CA7B4B"/>
    <w:rsid w:val="00CB36A8"/>
    <w:rsid w:val="00CB3D07"/>
    <w:rsid w:val="00CB4EA4"/>
    <w:rsid w:val="00CB5107"/>
    <w:rsid w:val="00CB6524"/>
    <w:rsid w:val="00CC139A"/>
    <w:rsid w:val="00CC1E7A"/>
    <w:rsid w:val="00CC25C9"/>
    <w:rsid w:val="00CC3374"/>
    <w:rsid w:val="00CC3719"/>
    <w:rsid w:val="00CC4F64"/>
    <w:rsid w:val="00CC5182"/>
    <w:rsid w:val="00CC6986"/>
    <w:rsid w:val="00CD058C"/>
    <w:rsid w:val="00CD067C"/>
    <w:rsid w:val="00CD1158"/>
    <w:rsid w:val="00CD1D2E"/>
    <w:rsid w:val="00CD2988"/>
    <w:rsid w:val="00CD2C1D"/>
    <w:rsid w:val="00CD2E18"/>
    <w:rsid w:val="00CD34D6"/>
    <w:rsid w:val="00CD3B98"/>
    <w:rsid w:val="00CD3DD3"/>
    <w:rsid w:val="00CD4007"/>
    <w:rsid w:val="00CD4216"/>
    <w:rsid w:val="00CD43AC"/>
    <w:rsid w:val="00CD518C"/>
    <w:rsid w:val="00CD6191"/>
    <w:rsid w:val="00CD6916"/>
    <w:rsid w:val="00CD733F"/>
    <w:rsid w:val="00CD7D6D"/>
    <w:rsid w:val="00CE0942"/>
    <w:rsid w:val="00CE0F34"/>
    <w:rsid w:val="00CE1495"/>
    <w:rsid w:val="00CE1733"/>
    <w:rsid w:val="00CE568C"/>
    <w:rsid w:val="00CE56FF"/>
    <w:rsid w:val="00CE6899"/>
    <w:rsid w:val="00CE75F8"/>
    <w:rsid w:val="00CE7CA5"/>
    <w:rsid w:val="00CF1D81"/>
    <w:rsid w:val="00CF2DC9"/>
    <w:rsid w:val="00CF415C"/>
    <w:rsid w:val="00CF4D4F"/>
    <w:rsid w:val="00CF7CB6"/>
    <w:rsid w:val="00D10923"/>
    <w:rsid w:val="00D125CD"/>
    <w:rsid w:val="00D15D99"/>
    <w:rsid w:val="00D2082A"/>
    <w:rsid w:val="00D20B28"/>
    <w:rsid w:val="00D20FA9"/>
    <w:rsid w:val="00D21C23"/>
    <w:rsid w:val="00D311AB"/>
    <w:rsid w:val="00D3133C"/>
    <w:rsid w:val="00D325A8"/>
    <w:rsid w:val="00D35548"/>
    <w:rsid w:val="00D3639E"/>
    <w:rsid w:val="00D402A8"/>
    <w:rsid w:val="00D42134"/>
    <w:rsid w:val="00D43B11"/>
    <w:rsid w:val="00D44073"/>
    <w:rsid w:val="00D442AD"/>
    <w:rsid w:val="00D50BBD"/>
    <w:rsid w:val="00D52F19"/>
    <w:rsid w:val="00D5381D"/>
    <w:rsid w:val="00D554A0"/>
    <w:rsid w:val="00D55A2E"/>
    <w:rsid w:val="00D5618A"/>
    <w:rsid w:val="00D57348"/>
    <w:rsid w:val="00D57528"/>
    <w:rsid w:val="00D5784B"/>
    <w:rsid w:val="00D6147D"/>
    <w:rsid w:val="00D61DC1"/>
    <w:rsid w:val="00D63EFB"/>
    <w:rsid w:val="00D64B7D"/>
    <w:rsid w:val="00D64F20"/>
    <w:rsid w:val="00D6536D"/>
    <w:rsid w:val="00D658AF"/>
    <w:rsid w:val="00D764CA"/>
    <w:rsid w:val="00D770DA"/>
    <w:rsid w:val="00D806FC"/>
    <w:rsid w:val="00D80D67"/>
    <w:rsid w:val="00D81AFE"/>
    <w:rsid w:val="00D83DE9"/>
    <w:rsid w:val="00D8450D"/>
    <w:rsid w:val="00D85185"/>
    <w:rsid w:val="00D86E34"/>
    <w:rsid w:val="00D87F8C"/>
    <w:rsid w:val="00D90166"/>
    <w:rsid w:val="00D9520A"/>
    <w:rsid w:val="00D95AF9"/>
    <w:rsid w:val="00DA09C9"/>
    <w:rsid w:val="00DA1822"/>
    <w:rsid w:val="00DA4BAF"/>
    <w:rsid w:val="00DB5E1F"/>
    <w:rsid w:val="00DC0EA3"/>
    <w:rsid w:val="00DC19D8"/>
    <w:rsid w:val="00DC2613"/>
    <w:rsid w:val="00DC3073"/>
    <w:rsid w:val="00DC3881"/>
    <w:rsid w:val="00DC4512"/>
    <w:rsid w:val="00DC4B22"/>
    <w:rsid w:val="00DC5CB3"/>
    <w:rsid w:val="00DD0F94"/>
    <w:rsid w:val="00DD2544"/>
    <w:rsid w:val="00DD3691"/>
    <w:rsid w:val="00DD4B55"/>
    <w:rsid w:val="00DE1E90"/>
    <w:rsid w:val="00DE24E6"/>
    <w:rsid w:val="00DE7024"/>
    <w:rsid w:val="00DE7504"/>
    <w:rsid w:val="00DF07AD"/>
    <w:rsid w:val="00DF1731"/>
    <w:rsid w:val="00DF30BA"/>
    <w:rsid w:val="00DF3364"/>
    <w:rsid w:val="00DF7EDC"/>
    <w:rsid w:val="00E00C8E"/>
    <w:rsid w:val="00E01499"/>
    <w:rsid w:val="00E020F7"/>
    <w:rsid w:val="00E0296F"/>
    <w:rsid w:val="00E055BB"/>
    <w:rsid w:val="00E11988"/>
    <w:rsid w:val="00E13EE7"/>
    <w:rsid w:val="00E14B24"/>
    <w:rsid w:val="00E15DA9"/>
    <w:rsid w:val="00E2095D"/>
    <w:rsid w:val="00E214B2"/>
    <w:rsid w:val="00E2522D"/>
    <w:rsid w:val="00E25640"/>
    <w:rsid w:val="00E30414"/>
    <w:rsid w:val="00E35287"/>
    <w:rsid w:val="00E35A01"/>
    <w:rsid w:val="00E35A2B"/>
    <w:rsid w:val="00E40232"/>
    <w:rsid w:val="00E40769"/>
    <w:rsid w:val="00E41CBA"/>
    <w:rsid w:val="00E42946"/>
    <w:rsid w:val="00E42E8B"/>
    <w:rsid w:val="00E44A17"/>
    <w:rsid w:val="00E4621A"/>
    <w:rsid w:val="00E53DA3"/>
    <w:rsid w:val="00E546AF"/>
    <w:rsid w:val="00E5570E"/>
    <w:rsid w:val="00E602BF"/>
    <w:rsid w:val="00E60F12"/>
    <w:rsid w:val="00E61F45"/>
    <w:rsid w:val="00E652FB"/>
    <w:rsid w:val="00E66B03"/>
    <w:rsid w:val="00E66C20"/>
    <w:rsid w:val="00E71921"/>
    <w:rsid w:val="00E71C46"/>
    <w:rsid w:val="00E736DD"/>
    <w:rsid w:val="00E739A3"/>
    <w:rsid w:val="00E75ED2"/>
    <w:rsid w:val="00E80425"/>
    <w:rsid w:val="00E8280C"/>
    <w:rsid w:val="00E82BA7"/>
    <w:rsid w:val="00E83686"/>
    <w:rsid w:val="00E83E4C"/>
    <w:rsid w:val="00E83F34"/>
    <w:rsid w:val="00E876AF"/>
    <w:rsid w:val="00E91933"/>
    <w:rsid w:val="00E928E7"/>
    <w:rsid w:val="00E92A81"/>
    <w:rsid w:val="00E92BAA"/>
    <w:rsid w:val="00E94533"/>
    <w:rsid w:val="00E94886"/>
    <w:rsid w:val="00E969B1"/>
    <w:rsid w:val="00EA21D9"/>
    <w:rsid w:val="00EA3E3B"/>
    <w:rsid w:val="00EA5593"/>
    <w:rsid w:val="00EA6023"/>
    <w:rsid w:val="00EA79A5"/>
    <w:rsid w:val="00EB5B8E"/>
    <w:rsid w:val="00EB6552"/>
    <w:rsid w:val="00EC1430"/>
    <w:rsid w:val="00EC18E6"/>
    <w:rsid w:val="00EC1984"/>
    <w:rsid w:val="00EC1B74"/>
    <w:rsid w:val="00EC223F"/>
    <w:rsid w:val="00EC234C"/>
    <w:rsid w:val="00EC4590"/>
    <w:rsid w:val="00EC5AFE"/>
    <w:rsid w:val="00EC6D8E"/>
    <w:rsid w:val="00EC6F04"/>
    <w:rsid w:val="00ED2F67"/>
    <w:rsid w:val="00ED3529"/>
    <w:rsid w:val="00ED4D17"/>
    <w:rsid w:val="00ED6332"/>
    <w:rsid w:val="00EE6779"/>
    <w:rsid w:val="00EE6CD3"/>
    <w:rsid w:val="00EE7063"/>
    <w:rsid w:val="00EF0928"/>
    <w:rsid w:val="00EF0B90"/>
    <w:rsid w:val="00EF20D7"/>
    <w:rsid w:val="00EF2B48"/>
    <w:rsid w:val="00EF3419"/>
    <w:rsid w:val="00EF3A59"/>
    <w:rsid w:val="00EF444D"/>
    <w:rsid w:val="00EF4951"/>
    <w:rsid w:val="00EF4D93"/>
    <w:rsid w:val="00EF6507"/>
    <w:rsid w:val="00EF69BA"/>
    <w:rsid w:val="00F0119C"/>
    <w:rsid w:val="00F01334"/>
    <w:rsid w:val="00F02155"/>
    <w:rsid w:val="00F02BDB"/>
    <w:rsid w:val="00F03679"/>
    <w:rsid w:val="00F0441B"/>
    <w:rsid w:val="00F07623"/>
    <w:rsid w:val="00F0776E"/>
    <w:rsid w:val="00F12310"/>
    <w:rsid w:val="00F13CD9"/>
    <w:rsid w:val="00F1402D"/>
    <w:rsid w:val="00F14416"/>
    <w:rsid w:val="00F15C3F"/>
    <w:rsid w:val="00F24A91"/>
    <w:rsid w:val="00F25521"/>
    <w:rsid w:val="00F2561F"/>
    <w:rsid w:val="00F272CB"/>
    <w:rsid w:val="00F31206"/>
    <w:rsid w:val="00F3136B"/>
    <w:rsid w:val="00F314F1"/>
    <w:rsid w:val="00F327EA"/>
    <w:rsid w:val="00F33641"/>
    <w:rsid w:val="00F33F89"/>
    <w:rsid w:val="00F34573"/>
    <w:rsid w:val="00F41C14"/>
    <w:rsid w:val="00F42842"/>
    <w:rsid w:val="00F42A9B"/>
    <w:rsid w:val="00F44406"/>
    <w:rsid w:val="00F455E5"/>
    <w:rsid w:val="00F458CA"/>
    <w:rsid w:val="00F46AFE"/>
    <w:rsid w:val="00F46E40"/>
    <w:rsid w:val="00F4760A"/>
    <w:rsid w:val="00F51BEB"/>
    <w:rsid w:val="00F52B8E"/>
    <w:rsid w:val="00F53694"/>
    <w:rsid w:val="00F53CFD"/>
    <w:rsid w:val="00F54AF5"/>
    <w:rsid w:val="00F55605"/>
    <w:rsid w:val="00F557E3"/>
    <w:rsid w:val="00F61AA1"/>
    <w:rsid w:val="00F61E78"/>
    <w:rsid w:val="00F621DF"/>
    <w:rsid w:val="00F62519"/>
    <w:rsid w:val="00F635C5"/>
    <w:rsid w:val="00F63CF4"/>
    <w:rsid w:val="00F641B0"/>
    <w:rsid w:val="00F678EB"/>
    <w:rsid w:val="00F71BBD"/>
    <w:rsid w:val="00F736E3"/>
    <w:rsid w:val="00F767E8"/>
    <w:rsid w:val="00F77DD3"/>
    <w:rsid w:val="00F82ED3"/>
    <w:rsid w:val="00F83FCF"/>
    <w:rsid w:val="00F8445F"/>
    <w:rsid w:val="00F8643B"/>
    <w:rsid w:val="00F86A3F"/>
    <w:rsid w:val="00F91297"/>
    <w:rsid w:val="00F9133B"/>
    <w:rsid w:val="00F913C0"/>
    <w:rsid w:val="00F9175D"/>
    <w:rsid w:val="00F92E6F"/>
    <w:rsid w:val="00F95ACA"/>
    <w:rsid w:val="00F97730"/>
    <w:rsid w:val="00FA2B98"/>
    <w:rsid w:val="00FB19B5"/>
    <w:rsid w:val="00FB32A4"/>
    <w:rsid w:val="00FB594D"/>
    <w:rsid w:val="00FB5D60"/>
    <w:rsid w:val="00FB6268"/>
    <w:rsid w:val="00FC1692"/>
    <w:rsid w:val="00FC1AA5"/>
    <w:rsid w:val="00FC49BB"/>
    <w:rsid w:val="00FD616B"/>
    <w:rsid w:val="00FD75D4"/>
    <w:rsid w:val="00FD7A04"/>
    <w:rsid w:val="00FD7B60"/>
    <w:rsid w:val="00FE0A8D"/>
    <w:rsid w:val="00FE1B4D"/>
    <w:rsid w:val="00FE2834"/>
    <w:rsid w:val="00FE367F"/>
    <w:rsid w:val="00FF29DC"/>
    <w:rsid w:val="00FF4433"/>
    <w:rsid w:val="00FF486C"/>
    <w:rsid w:val="00FF65D5"/>
    <w:rsid w:val="00FF67D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BAC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98"/>
    <w:lsdException w:name="footer" w:uiPriority="98"/>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C81E7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8B3161"/>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C81E7E"/>
    <w:rPr>
      <w:rFonts w:ascii="Tahoma" w:hAnsi="Tahoma" w:cs="Tahoma"/>
      <w:sz w:val="16"/>
      <w:szCs w:val="16"/>
    </w:rPr>
  </w:style>
  <w:style w:type="character" w:customStyle="1" w:styleId="BalloonTextChar">
    <w:name w:val="Balloon Text Char"/>
    <w:basedOn w:val="DefaultParagraphFont"/>
    <w:link w:val="BalloonText"/>
    <w:uiPriority w:val="99"/>
    <w:semiHidden/>
    <w:rsid w:val="00C81E7E"/>
    <w:rPr>
      <w:rFonts w:ascii="Tahoma" w:hAnsi="Tahoma" w:cs="Tahoma"/>
      <w:sz w:val="16"/>
      <w:szCs w:val="16"/>
      <w:lang w:eastAsia="en-US"/>
    </w:rPr>
  </w:style>
  <w:style w:type="character" w:customStyle="1" w:styleId="FootnoteTextChar">
    <w:name w:val="Footnote Text Char"/>
    <w:basedOn w:val="DefaultParagraphFont"/>
    <w:link w:val="FootnoteText"/>
    <w:uiPriority w:val="99"/>
    <w:rsid w:val="00874A17"/>
    <w:rPr>
      <w:rFonts w:ascii="Arial" w:eastAsia="MS Gothic" w:hAnsi="Arial" w:cs="Arial"/>
      <w:sz w:val="16"/>
      <w:szCs w:val="16"/>
      <w:lang w:eastAsia="en-US"/>
    </w:rPr>
  </w:style>
  <w:style w:type="character" w:styleId="CommentReference">
    <w:name w:val="annotation reference"/>
    <w:basedOn w:val="DefaultParagraphFont"/>
    <w:uiPriority w:val="99"/>
    <w:semiHidden/>
    <w:unhideWhenUsed/>
    <w:rsid w:val="00466BDD"/>
    <w:rPr>
      <w:sz w:val="16"/>
      <w:szCs w:val="16"/>
    </w:rPr>
  </w:style>
  <w:style w:type="paragraph" w:styleId="CommentText">
    <w:name w:val="annotation text"/>
    <w:basedOn w:val="Normal"/>
    <w:link w:val="CommentTextChar"/>
    <w:uiPriority w:val="99"/>
    <w:unhideWhenUsed/>
    <w:rsid w:val="00466BDD"/>
  </w:style>
  <w:style w:type="character" w:customStyle="1" w:styleId="CommentTextChar">
    <w:name w:val="Comment Text Char"/>
    <w:basedOn w:val="DefaultParagraphFont"/>
    <w:link w:val="CommentText"/>
    <w:uiPriority w:val="99"/>
    <w:rsid w:val="00466BD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66BDD"/>
    <w:rPr>
      <w:b/>
      <w:bCs/>
    </w:rPr>
  </w:style>
  <w:style w:type="character" w:customStyle="1" w:styleId="CommentSubjectChar">
    <w:name w:val="Comment Subject Char"/>
    <w:basedOn w:val="CommentTextChar"/>
    <w:link w:val="CommentSubject"/>
    <w:uiPriority w:val="99"/>
    <w:semiHidden/>
    <w:rsid w:val="00466BDD"/>
    <w:rPr>
      <w:rFonts w:ascii="Cambria" w:hAnsi="Cambria"/>
      <w:b/>
      <w:bCs/>
      <w:lang w:eastAsia="en-US"/>
    </w:rPr>
  </w:style>
  <w:style w:type="paragraph" w:styleId="ListParagraph">
    <w:name w:val="List Paragraph"/>
    <w:basedOn w:val="Normal"/>
    <w:uiPriority w:val="34"/>
    <w:qFormat/>
    <w:rsid w:val="005B254C"/>
    <w:pPr>
      <w:spacing w:after="160" w:line="259"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1D5B2A"/>
    <w:pPr>
      <w:spacing w:after="200"/>
    </w:pPr>
    <w:rPr>
      <w:b/>
      <w:bCs/>
      <w:color w:val="4F81BD" w:themeColor="accent1"/>
      <w:sz w:val="18"/>
      <w:szCs w:val="18"/>
    </w:rPr>
  </w:style>
  <w:style w:type="paragraph" w:styleId="TableofFigures">
    <w:name w:val="table of figures"/>
    <w:basedOn w:val="Normal"/>
    <w:next w:val="Normal"/>
    <w:uiPriority w:val="99"/>
    <w:unhideWhenUsed/>
    <w:rsid w:val="002024FD"/>
  </w:style>
  <w:style w:type="paragraph" w:styleId="NormalWeb">
    <w:name w:val="Normal (Web)"/>
    <w:basedOn w:val="Normal"/>
    <w:uiPriority w:val="99"/>
    <w:semiHidden/>
    <w:unhideWhenUsed/>
    <w:rsid w:val="002F606E"/>
    <w:pPr>
      <w:spacing w:before="100" w:beforeAutospacing="1" w:after="100" w:afterAutospacing="1"/>
    </w:pPr>
    <w:rPr>
      <w:rFonts w:ascii="Times New Roman" w:eastAsiaTheme="minorEastAsia"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98"/>
    <w:lsdException w:name="footer" w:uiPriority="98"/>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C81E7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8B3161"/>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C81E7E"/>
    <w:rPr>
      <w:rFonts w:ascii="Tahoma" w:hAnsi="Tahoma" w:cs="Tahoma"/>
      <w:sz w:val="16"/>
      <w:szCs w:val="16"/>
    </w:rPr>
  </w:style>
  <w:style w:type="character" w:customStyle="1" w:styleId="BalloonTextChar">
    <w:name w:val="Balloon Text Char"/>
    <w:basedOn w:val="DefaultParagraphFont"/>
    <w:link w:val="BalloonText"/>
    <w:uiPriority w:val="99"/>
    <w:semiHidden/>
    <w:rsid w:val="00C81E7E"/>
    <w:rPr>
      <w:rFonts w:ascii="Tahoma" w:hAnsi="Tahoma" w:cs="Tahoma"/>
      <w:sz w:val="16"/>
      <w:szCs w:val="16"/>
      <w:lang w:eastAsia="en-US"/>
    </w:rPr>
  </w:style>
  <w:style w:type="character" w:customStyle="1" w:styleId="FootnoteTextChar">
    <w:name w:val="Footnote Text Char"/>
    <w:basedOn w:val="DefaultParagraphFont"/>
    <w:link w:val="FootnoteText"/>
    <w:uiPriority w:val="99"/>
    <w:rsid w:val="00874A17"/>
    <w:rPr>
      <w:rFonts w:ascii="Arial" w:eastAsia="MS Gothic" w:hAnsi="Arial" w:cs="Arial"/>
      <w:sz w:val="16"/>
      <w:szCs w:val="16"/>
      <w:lang w:eastAsia="en-US"/>
    </w:rPr>
  </w:style>
  <w:style w:type="character" w:styleId="CommentReference">
    <w:name w:val="annotation reference"/>
    <w:basedOn w:val="DefaultParagraphFont"/>
    <w:uiPriority w:val="99"/>
    <w:semiHidden/>
    <w:unhideWhenUsed/>
    <w:rsid w:val="00466BDD"/>
    <w:rPr>
      <w:sz w:val="16"/>
      <w:szCs w:val="16"/>
    </w:rPr>
  </w:style>
  <w:style w:type="paragraph" w:styleId="CommentText">
    <w:name w:val="annotation text"/>
    <w:basedOn w:val="Normal"/>
    <w:link w:val="CommentTextChar"/>
    <w:uiPriority w:val="99"/>
    <w:unhideWhenUsed/>
    <w:rsid w:val="00466BDD"/>
  </w:style>
  <w:style w:type="character" w:customStyle="1" w:styleId="CommentTextChar">
    <w:name w:val="Comment Text Char"/>
    <w:basedOn w:val="DefaultParagraphFont"/>
    <w:link w:val="CommentText"/>
    <w:uiPriority w:val="99"/>
    <w:rsid w:val="00466BD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66BDD"/>
    <w:rPr>
      <w:b/>
      <w:bCs/>
    </w:rPr>
  </w:style>
  <w:style w:type="character" w:customStyle="1" w:styleId="CommentSubjectChar">
    <w:name w:val="Comment Subject Char"/>
    <w:basedOn w:val="CommentTextChar"/>
    <w:link w:val="CommentSubject"/>
    <w:uiPriority w:val="99"/>
    <w:semiHidden/>
    <w:rsid w:val="00466BDD"/>
    <w:rPr>
      <w:rFonts w:ascii="Cambria" w:hAnsi="Cambria"/>
      <w:b/>
      <w:bCs/>
      <w:lang w:eastAsia="en-US"/>
    </w:rPr>
  </w:style>
  <w:style w:type="paragraph" w:styleId="ListParagraph">
    <w:name w:val="List Paragraph"/>
    <w:basedOn w:val="Normal"/>
    <w:uiPriority w:val="34"/>
    <w:qFormat/>
    <w:rsid w:val="005B254C"/>
    <w:pPr>
      <w:spacing w:after="160" w:line="259"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1D5B2A"/>
    <w:pPr>
      <w:spacing w:after="200"/>
    </w:pPr>
    <w:rPr>
      <w:b/>
      <w:bCs/>
      <w:color w:val="4F81BD" w:themeColor="accent1"/>
      <w:sz w:val="18"/>
      <w:szCs w:val="18"/>
    </w:rPr>
  </w:style>
  <w:style w:type="paragraph" w:styleId="TableofFigures">
    <w:name w:val="table of figures"/>
    <w:basedOn w:val="Normal"/>
    <w:next w:val="Normal"/>
    <w:uiPriority w:val="99"/>
    <w:unhideWhenUsed/>
    <w:rsid w:val="002024FD"/>
  </w:style>
  <w:style w:type="paragraph" w:styleId="NormalWeb">
    <w:name w:val="Normal (Web)"/>
    <w:basedOn w:val="Normal"/>
    <w:uiPriority w:val="99"/>
    <w:semiHidden/>
    <w:unhideWhenUsed/>
    <w:rsid w:val="002F606E"/>
    <w:pPr>
      <w:spacing w:before="100" w:beforeAutospacing="1" w:after="100" w:afterAutospacing="1"/>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6399">
      <w:bodyDiv w:val="1"/>
      <w:marLeft w:val="0"/>
      <w:marRight w:val="0"/>
      <w:marTop w:val="0"/>
      <w:marBottom w:val="0"/>
      <w:divBdr>
        <w:top w:val="none" w:sz="0" w:space="0" w:color="auto"/>
        <w:left w:val="none" w:sz="0" w:space="0" w:color="auto"/>
        <w:bottom w:val="none" w:sz="0" w:space="0" w:color="auto"/>
        <w:right w:val="none" w:sz="0" w:space="0" w:color="auto"/>
      </w:divBdr>
    </w:div>
    <w:div w:id="235821011">
      <w:bodyDiv w:val="1"/>
      <w:marLeft w:val="0"/>
      <w:marRight w:val="0"/>
      <w:marTop w:val="0"/>
      <w:marBottom w:val="0"/>
      <w:divBdr>
        <w:top w:val="none" w:sz="0" w:space="0" w:color="auto"/>
        <w:left w:val="none" w:sz="0" w:space="0" w:color="auto"/>
        <w:bottom w:val="none" w:sz="0" w:space="0" w:color="auto"/>
        <w:right w:val="none" w:sz="0" w:space="0" w:color="auto"/>
      </w:divBdr>
    </w:div>
    <w:div w:id="240406266">
      <w:bodyDiv w:val="1"/>
      <w:marLeft w:val="0"/>
      <w:marRight w:val="0"/>
      <w:marTop w:val="0"/>
      <w:marBottom w:val="0"/>
      <w:divBdr>
        <w:top w:val="none" w:sz="0" w:space="0" w:color="auto"/>
        <w:left w:val="none" w:sz="0" w:space="0" w:color="auto"/>
        <w:bottom w:val="none" w:sz="0" w:space="0" w:color="auto"/>
        <w:right w:val="none" w:sz="0" w:space="0" w:color="auto"/>
      </w:divBdr>
    </w:div>
    <w:div w:id="264576033">
      <w:bodyDiv w:val="1"/>
      <w:marLeft w:val="0"/>
      <w:marRight w:val="0"/>
      <w:marTop w:val="0"/>
      <w:marBottom w:val="0"/>
      <w:divBdr>
        <w:top w:val="none" w:sz="0" w:space="0" w:color="auto"/>
        <w:left w:val="none" w:sz="0" w:space="0" w:color="auto"/>
        <w:bottom w:val="none" w:sz="0" w:space="0" w:color="auto"/>
        <w:right w:val="none" w:sz="0" w:space="0" w:color="auto"/>
      </w:divBdr>
    </w:div>
    <w:div w:id="299842764">
      <w:bodyDiv w:val="1"/>
      <w:marLeft w:val="0"/>
      <w:marRight w:val="0"/>
      <w:marTop w:val="0"/>
      <w:marBottom w:val="0"/>
      <w:divBdr>
        <w:top w:val="none" w:sz="0" w:space="0" w:color="auto"/>
        <w:left w:val="none" w:sz="0" w:space="0" w:color="auto"/>
        <w:bottom w:val="none" w:sz="0" w:space="0" w:color="auto"/>
        <w:right w:val="none" w:sz="0" w:space="0" w:color="auto"/>
      </w:divBdr>
    </w:div>
    <w:div w:id="426123582">
      <w:bodyDiv w:val="1"/>
      <w:marLeft w:val="0"/>
      <w:marRight w:val="0"/>
      <w:marTop w:val="0"/>
      <w:marBottom w:val="0"/>
      <w:divBdr>
        <w:top w:val="none" w:sz="0" w:space="0" w:color="auto"/>
        <w:left w:val="none" w:sz="0" w:space="0" w:color="auto"/>
        <w:bottom w:val="none" w:sz="0" w:space="0" w:color="auto"/>
        <w:right w:val="none" w:sz="0" w:space="0" w:color="auto"/>
      </w:divBdr>
    </w:div>
    <w:div w:id="639114237">
      <w:bodyDiv w:val="1"/>
      <w:marLeft w:val="0"/>
      <w:marRight w:val="0"/>
      <w:marTop w:val="0"/>
      <w:marBottom w:val="0"/>
      <w:divBdr>
        <w:top w:val="none" w:sz="0" w:space="0" w:color="auto"/>
        <w:left w:val="none" w:sz="0" w:space="0" w:color="auto"/>
        <w:bottom w:val="none" w:sz="0" w:space="0" w:color="auto"/>
        <w:right w:val="none" w:sz="0" w:space="0" w:color="auto"/>
      </w:divBdr>
    </w:div>
    <w:div w:id="664014784">
      <w:bodyDiv w:val="1"/>
      <w:marLeft w:val="0"/>
      <w:marRight w:val="0"/>
      <w:marTop w:val="0"/>
      <w:marBottom w:val="0"/>
      <w:divBdr>
        <w:top w:val="none" w:sz="0" w:space="0" w:color="auto"/>
        <w:left w:val="none" w:sz="0" w:space="0" w:color="auto"/>
        <w:bottom w:val="none" w:sz="0" w:space="0" w:color="auto"/>
        <w:right w:val="none" w:sz="0" w:space="0" w:color="auto"/>
      </w:divBdr>
    </w:div>
    <w:div w:id="676616869">
      <w:bodyDiv w:val="1"/>
      <w:marLeft w:val="0"/>
      <w:marRight w:val="0"/>
      <w:marTop w:val="0"/>
      <w:marBottom w:val="0"/>
      <w:divBdr>
        <w:top w:val="none" w:sz="0" w:space="0" w:color="auto"/>
        <w:left w:val="none" w:sz="0" w:space="0" w:color="auto"/>
        <w:bottom w:val="none" w:sz="0" w:space="0" w:color="auto"/>
        <w:right w:val="none" w:sz="0" w:space="0" w:color="auto"/>
      </w:divBdr>
    </w:div>
    <w:div w:id="759957547">
      <w:bodyDiv w:val="1"/>
      <w:marLeft w:val="0"/>
      <w:marRight w:val="0"/>
      <w:marTop w:val="0"/>
      <w:marBottom w:val="0"/>
      <w:divBdr>
        <w:top w:val="none" w:sz="0" w:space="0" w:color="auto"/>
        <w:left w:val="none" w:sz="0" w:space="0" w:color="auto"/>
        <w:bottom w:val="none" w:sz="0" w:space="0" w:color="auto"/>
        <w:right w:val="none" w:sz="0" w:space="0" w:color="auto"/>
      </w:divBdr>
    </w:div>
    <w:div w:id="808715084">
      <w:bodyDiv w:val="1"/>
      <w:marLeft w:val="0"/>
      <w:marRight w:val="0"/>
      <w:marTop w:val="0"/>
      <w:marBottom w:val="0"/>
      <w:divBdr>
        <w:top w:val="none" w:sz="0" w:space="0" w:color="auto"/>
        <w:left w:val="none" w:sz="0" w:space="0" w:color="auto"/>
        <w:bottom w:val="none" w:sz="0" w:space="0" w:color="auto"/>
        <w:right w:val="none" w:sz="0" w:space="0" w:color="auto"/>
      </w:divBdr>
    </w:div>
    <w:div w:id="864094900">
      <w:bodyDiv w:val="1"/>
      <w:marLeft w:val="0"/>
      <w:marRight w:val="0"/>
      <w:marTop w:val="0"/>
      <w:marBottom w:val="0"/>
      <w:divBdr>
        <w:top w:val="none" w:sz="0" w:space="0" w:color="auto"/>
        <w:left w:val="none" w:sz="0" w:space="0" w:color="auto"/>
        <w:bottom w:val="none" w:sz="0" w:space="0" w:color="auto"/>
        <w:right w:val="none" w:sz="0" w:space="0" w:color="auto"/>
      </w:divBdr>
    </w:div>
    <w:div w:id="916137262">
      <w:bodyDiv w:val="1"/>
      <w:marLeft w:val="0"/>
      <w:marRight w:val="0"/>
      <w:marTop w:val="0"/>
      <w:marBottom w:val="0"/>
      <w:divBdr>
        <w:top w:val="none" w:sz="0" w:space="0" w:color="auto"/>
        <w:left w:val="none" w:sz="0" w:space="0" w:color="auto"/>
        <w:bottom w:val="none" w:sz="0" w:space="0" w:color="auto"/>
        <w:right w:val="none" w:sz="0" w:space="0" w:color="auto"/>
      </w:divBdr>
    </w:div>
    <w:div w:id="935555268">
      <w:bodyDiv w:val="1"/>
      <w:marLeft w:val="0"/>
      <w:marRight w:val="0"/>
      <w:marTop w:val="0"/>
      <w:marBottom w:val="0"/>
      <w:divBdr>
        <w:top w:val="none" w:sz="0" w:space="0" w:color="auto"/>
        <w:left w:val="none" w:sz="0" w:space="0" w:color="auto"/>
        <w:bottom w:val="none" w:sz="0" w:space="0" w:color="auto"/>
        <w:right w:val="none" w:sz="0" w:space="0" w:color="auto"/>
      </w:divBdr>
    </w:div>
    <w:div w:id="942417210">
      <w:bodyDiv w:val="1"/>
      <w:marLeft w:val="0"/>
      <w:marRight w:val="0"/>
      <w:marTop w:val="0"/>
      <w:marBottom w:val="0"/>
      <w:divBdr>
        <w:top w:val="none" w:sz="0" w:space="0" w:color="auto"/>
        <w:left w:val="none" w:sz="0" w:space="0" w:color="auto"/>
        <w:bottom w:val="none" w:sz="0" w:space="0" w:color="auto"/>
        <w:right w:val="none" w:sz="0" w:space="0" w:color="auto"/>
      </w:divBdr>
    </w:div>
    <w:div w:id="980575236">
      <w:bodyDiv w:val="1"/>
      <w:marLeft w:val="0"/>
      <w:marRight w:val="0"/>
      <w:marTop w:val="0"/>
      <w:marBottom w:val="0"/>
      <w:divBdr>
        <w:top w:val="none" w:sz="0" w:space="0" w:color="auto"/>
        <w:left w:val="none" w:sz="0" w:space="0" w:color="auto"/>
        <w:bottom w:val="none" w:sz="0" w:space="0" w:color="auto"/>
        <w:right w:val="none" w:sz="0" w:space="0" w:color="auto"/>
      </w:divBdr>
    </w:div>
    <w:div w:id="1073116126">
      <w:bodyDiv w:val="1"/>
      <w:marLeft w:val="0"/>
      <w:marRight w:val="0"/>
      <w:marTop w:val="0"/>
      <w:marBottom w:val="0"/>
      <w:divBdr>
        <w:top w:val="none" w:sz="0" w:space="0" w:color="auto"/>
        <w:left w:val="none" w:sz="0" w:space="0" w:color="auto"/>
        <w:bottom w:val="none" w:sz="0" w:space="0" w:color="auto"/>
        <w:right w:val="none" w:sz="0" w:space="0" w:color="auto"/>
      </w:divBdr>
    </w:div>
    <w:div w:id="1157845190">
      <w:bodyDiv w:val="1"/>
      <w:marLeft w:val="0"/>
      <w:marRight w:val="0"/>
      <w:marTop w:val="0"/>
      <w:marBottom w:val="0"/>
      <w:divBdr>
        <w:top w:val="none" w:sz="0" w:space="0" w:color="auto"/>
        <w:left w:val="none" w:sz="0" w:space="0" w:color="auto"/>
        <w:bottom w:val="none" w:sz="0" w:space="0" w:color="auto"/>
        <w:right w:val="none" w:sz="0" w:space="0" w:color="auto"/>
      </w:divBdr>
    </w:div>
    <w:div w:id="1176729584">
      <w:bodyDiv w:val="1"/>
      <w:marLeft w:val="0"/>
      <w:marRight w:val="0"/>
      <w:marTop w:val="0"/>
      <w:marBottom w:val="0"/>
      <w:divBdr>
        <w:top w:val="none" w:sz="0" w:space="0" w:color="auto"/>
        <w:left w:val="none" w:sz="0" w:space="0" w:color="auto"/>
        <w:bottom w:val="none" w:sz="0" w:space="0" w:color="auto"/>
        <w:right w:val="none" w:sz="0" w:space="0" w:color="auto"/>
      </w:divBdr>
    </w:div>
    <w:div w:id="1242714086">
      <w:bodyDiv w:val="1"/>
      <w:marLeft w:val="0"/>
      <w:marRight w:val="0"/>
      <w:marTop w:val="0"/>
      <w:marBottom w:val="0"/>
      <w:divBdr>
        <w:top w:val="none" w:sz="0" w:space="0" w:color="auto"/>
        <w:left w:val="none" w:sz="0" w:space="0" w:color="auto"/>
        <w:bottom w:val="none" w:sz="0" w:space="0" w:color="auto"/>
        <w:right w:val="none" w:sz="0" w:space="0" w:color="auto"/>
      </w:divBdr>
    </w:div>
    <w:div w:id="1420448081">
      <w:bodyDiv w:val="1"/>
      <w:marLeft w:val="0"/>
      <w:marRight w:val="0"/>
      <w:marTop w:val="0"/>
      <w:marBottom w:val="0"/>
      <w:divBdr>
        <w:top w:val="none" w:sz="0" w:space="0" w:color="auto"/>
        <w:left w:val="none" w:sz="0" w:space="0" w:color="auto"/>
        <w:bottom w:val="none" w:sz="0" w:space="0" w:color="auto"/>
        <w:right w:val="none" w:sz="0" w:space="0" w:color="auto"/>
      </w:divBdr>
    </w:div>
    <w:div w:id="1520463604">
      <w:bodyDiv w:val="1"/>
      <w:marLeft w:val="0"/>
      <w:marRight w:val="0"/>
      <w:marTop w:val="0"/>
      <w:marBottom w:val="0"/>
      <w:divBdr>
        <w:top w:val="none" w:sz="0" w:space="0" w:color="auto"/>
        <w:left w:val="none" w:sz="0" w:space="0" w:color="auto"/>
        <w:bottom w:val="none" w:sz="0" w:space="0" w:color="auto"/>
        <w:right w:val="none" w:sz="0" w:space="0" w:color="auto"/>
      </w:divBdr>
    </w:div>
    <w:div w:id="1532037988">
      <w:bodyDiv w:val="1"/>
      <w:marLeft w:val="0"/>
      <w:marRight w:val="0"/>
      <w:marTop w:val="0"/>
      <w:marBottom w:val="0"/>
      <w:divBdr>
        <w:top w:val="none" w:sz="0" w:space="0" w:color="auto"/>
        <w:left w:val="none" w:sz="0" w:space="0" w:color="auto"/>
        <w:bottom w:val="none" w:sz="0" w:space="0" w:color="auto"/>
        <w:right w:val="none" w:sz="0" w:space="0" w:color="auto"/>
      </w:divBdr>
    </w:div>
    <w:div w:id="1541359199">
      <w:bodyDiv w:val="1"/>
      <w:marLeft w:val="0"/>
      <w:marRight w:val="0"/>
      <w:marTop w:val="0"/>
      <w:marBottom w:val="0"/>
      <w:divBdr>
        <w:top w:val="none" w:sz="0" w:space="0" w:color="auto"/>
        <w:left w:val="none" w:sz="0" w:space="0" w:color="auto"/>
        <w:bottom w:val="none" w:sz="0" w:space="0" w:color="auto"/>
        <w:right w:val="none" w:sz="0" w:space="0" w:color="auto"/>
      </w:divBdr>
    </w:div>
    <w:div w:id="1552036481">
      <w:bodyDiv w:val="1"/>
      <w:marLeft w:val="0"/>
      <w:marRight w:val="0"/>
      <w:marTop w:val="0"/>
      <w:marBottom w:val="0"/>
      <w:divBdr>
        <w:top w:val="none" w:sz="0" w:space="0" w:color="auto"/>
        <w:left w:val="none" w:sz="0" w:space="0" w:color="auto"/>
        <w:bottom w:val="none" w:sz="0" w:space="0" w:color="auto"/>
        <w:right w:val="none" w:sz="0" w:space="0" w:color="auto"/>
      </w:divBdr>
    </w:div>
    <w:div w:id="1591427844">
      <w:bodyDiv w:val="1"/>
      <w:marLeft w:val="0"/>
      <w:marRight w:val="0"/>
      <w:marTop w:val="0"/>
      <w:marBottom w:val="0"/>
      <w:divBdr>
        <w:top w:val="none" w:sz="0" w:space="0" w:color="auto"/>
        <w:left w:val="none" w:sz="0" w:space="0" w:color="auto"/>
        <w:bottom w:val="none" w:sz="0" w:space="0" w:color="auto"/>
        <w:right w:val="none" w:sz="0" w:space="0" w:color="auto"/>
      </w:divBdr>
    </w:div>
    <w:div w:id="1634552926">
      <w:bodyDiv w:val="1"/>
      <w:marLeft w:val="0"/>
      <w:marRight w:val="0"/>
      <w:marTop w:val="0"/>
      <w:marBottom w:val="0"/>
      <w:divBdr>
        <w:top w:val="none" w:sz="0" w:space="0" w:color="auto"/>
        <w:left w:val="none" w:sz="0" w:space="0" w:color="auto"/>
        <w:bottom w:val="none" w:sz="0" w:space="0" w:color="auto"/>
        <w:right w:val="none" w:sz="0" w:space="0" w:color="auto"/>
      </w:divBdr>
    </w:div>
    <w:div w:id="1642539016">
      <w:bodyDiv w:val="1"/>
      <w:marLeft w:val="0"/>
      <w:marRight w:val="0"/>
      <w:marTop w:val="0"/>
      <w:marBottom w:val="0"/>
      <w:divBdr>
        <w:top w:val="none" w:sz="0" w:space="0" w:color="auto"/>
        <w:left w:val="none" w:sz="0" w:space="0" w:color="auto"/>
        <w:bottom w:val="none" w:sz="0" w:space="0" w:color="auto"/>
        <w:right w:val="none" w:sz="0" w:space="0" w:color="auto"/>
      </w:divBdr>
    </w:div>
    <w:div w:id="1705909784">
      <w:bodyDiv w:val="1"/>
      <w:marLeft w:val="0"/>
      <w:marRight w:val="0"/>
      <w:marTop w:val="0"/>
      <w:marBottom w:val="0"/>
      <w:divBdr>
        <w:top w:val="none" w:sz="0" w:space="0" w:color="auto"/>
        <w:left w:val="none" w:sz="0" w:space="0" w:color="auto"/>
        <w:bottom w:val="none" w:sz="0" w:space="0" w:color="auto"/>
        <w:right w:val="none" w:sz="0" w:space="0" w:color="auto"/>
      </w:divBdr>
    </w:div>
    <w:div w:id="1777796800">
      <w:bodyDiv w:val="1"/>
      <w:marLeft w:val="0"/>
      <w:marRight w:val="0"/>
      <w:marTop w:val="0"/>
      <w:marBottom w:val="0"/>
      <w:divBdr>
        <w:top w:val="none" w:sz="0" w:space="0" w:color="auto"/>
        <w:left w:val="none" w:sz="0" w:space="0" w:color="auto"/>
        <w:bottom w:val="none" w:sz="0" w:space="0" w:color="auto"/>
        <w:right w:val="none" w:sz="0" w:space="0" w:color="auto"/>
      </w:divBdr>
    </w:div>
    <w:div w:id="1788428213">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54831801">
      <w:bodyDiv w:val="1"/>
      <w:marLeft w:val="0"/>
      <w:marRight w:val="0"/>
      <w:marTop w:val="0"/>
      <w:marBottom w:val="0"/>
      <w:divBdr>
        <w:top w:val="none" w:sz="0" w:space="0" w:color="auto"/>
        <w:left w:val="none" w:sz="0" w:space="0" w:color="auto"/>
        <w:bottom w:val="none" w:sz="0" w:space="0" w:color="auto"/>
        <w:right w:val="none" w:sz="0" w:space="0" w:color="auto"/>
      </w:divBdr>
    </w:div>
    <w:div w:id="1927031426">
      <w:bodyDiv w:val="1"/>
      <w:marLeft w:val="0"/>
      <w:marRight w:val="0"/>
      <w:marTop w:val="0"/>
      <w:marBottom w:val="0"/>
      <w:divBdr>
        <w:top w:val="none" w:sz="0" w:space="0" w:color="auto"/>
        <w:left w:val="none" w:sz="0" w:space="0" w:color="auto"/>
        <w:bottom w:val="none" w:sz="0" w:space="0" w:color="auto"/>
        <w:right w:val="none" w:sz="0" w:space="0" w:color="auto"/>
      </w:divBdr>
    </w:div>
    <w:div w:id="2082095392">
      <w:bodyDiv w:val="1"/>
      <w:marLeft w:val="0"/>
      <w:marRight w:val="0"/>
      <w:marTop w:val="0"/>
      <w:marBottom w:val="0"/>
      <w:divBdr>
        <w:top w:val="none" w:sz="0" w:space="0" w:color="auto"/>
        <w:left w:val="none" w:sz="0" w:space="0" w:color="auto"/>
        <w:bottom w:val="none" w:sz="0" w:space="0" w:color="auto"/>
        <w:right w:val="none" w:sz="0" w:space="0" w:color="auto"/>
      </w:divBdr>
    </w:div>
    <w:div w:id="20955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cancer.org.au/ocp" TargetMode="External"/><Relationship Id="rId10" Type="http://schemas.openxmlformats.org/officeDocument/2006/relationships/image" Target="media/image2.jp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3.gif"/><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N060\GROUP\PH\CancerStrategy&amp;Development\Cancer\Integrated%20Cancer%20Services\VICS%20Statewide%20Projects\OG%20Audit%20results\OG%20Audit%20Results%20Dec%2018%202017%20Mandy\OG%20stage%20by%20ICS%20reside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211602568971489E-2"/>
          <c:y val="4.4416056384560323E-2"/>
          <c:w val="0.88981239081449226"/>
          <c:h val="0.70969146339225075"/>
        </c:manualLayout>
      </c:layout>
      <c:barChart>
        <c:barDir val="col"/>
        <c:grouping val="clustered"/>
        <c:varyColors val="0"/>
        <c:ser>
          <c:idx val="0"/>
          <c:order val="0"/>
          <c:invertIfNegative val="0"/>
          <c:cat>
            <c:strRef>
              <c:f>'OG stage by ICS residence'!$G$13:$G$20</c:f>
              <c:strCache>
                <c:ptCount val="8"/>
                <c:pt idx="0">
                  <c:v>NEMICS (n=34)</c:v>
                </c:pt>
                <c:pt idx="1">
                  <c:v>SMICS (n=16)</c:v>
                </c:pt>
                <c:pt idx="2">
                  <c:v>WCMICS (n=21)</c:v>
                </c:pt>
                <c:pt idx="3">
                  <c:v>BSWRICS (n=9)</c:v>
                </c:pt>
                <c:pt idx="4">
                  <c:v>GRICS (n=13)</c:v>
                </c:pt>
                <c:pt idx="5">
                  <c:v>GICS (n=5)</c:v>
                </c:pt>
                <c:pt idx="6">
                  <c:v>Hume RICS (n=7)</c:v>
                </c:pt>
                <c:pt idx="7">
                  <c:v>LMICS (n=7)</c:v>
                </c:pt>
              </c:strCache>
            </c:strRef>
          </c:cat>
          <c:val>
            <c:numRef>
              <c:f>'OG stage by ICS residence'!$H$13:$H$20</c:f>
              <c:numCache>
                <c:formatCode>General</c:formatCode>
                <c:ptCount val="8"/>
                <c:pt idx="0">
                  <c:v>51</c:v>
                </c:pt>
                <c:pt idx="1">
                  <c:v>29</c:v>
                </c:pt>
                <c:pt idx="2">
                  <c:v>33</c:v>
                </c:pt>
                <c:pt idx="3">
                  <c:v>33</c:v>
                </c:pt>
                <c:pt idx="4">
                  <c:v>76</c:v>
                </c:pt>
                <c:pt idx="5">
                  <c:v>26</c:v>
                </c:pt>
                <c:pt idx="6">
                  <c:v>35</c:v>
                </c:pt>
                <c:pt idx="7">
                  <c:v>26</c:v>
                </c:pt>
              </c:numCache>
            </c:numRef>
          </c:val>
        </c:ser>
        <c:dLbls>
          <c:showLegendKey val="0"/>
          <c:showVal val="0"/>
          <c:showCatName val="0"/>
          <c:showSerName val="0"/>
          <c:showPercent val="0"/>
          <c:showBubbleSize val="0"/>
        </c:dLbls>
        <c:gapWidth val="150"/>
        <c:axId val="147979264"/>
        <c:axId val="148123008"/>
      </c:barChart>
      <c:catAx>
        <c:axId val="147979264"/>
        <c:scaling>
          <c:orientation val="minMax"/>
        </c:scaling>
        <c:delete val="0"/>
        <c:axPos val="b"/>
        <c:title>
          <c:tx>
            <c:rich>
              <a:bodyPr/>
              <a:lstStyle/>
              <a:p>
                <a:pPr>
                  <a:defRPr/>
                </a:pPr>
                <a:r>
                  <a:rPr lang="en-US" sz="900">
                    <a:latin typeface="Arial" panose="020B0604020202020204" pitchFamily="34" charset="0"/>
                    <a:cs typeface="Arial" panose="020B0604020202020204" pitchFamily="34" charset="0"/>
                  </a:rPr>
                  <a:t>ICS of residence</a:t>
                </a:r>
              </a:p>
            </c:rich>
          </c:tx>
          <c:layout>
            <c:manualLayout>
              <c:xMode val="edge"/>
              <c:yMode val="edge"/>
              <c:x val="0.43276777504722735"/>
              <c:y val="0.9251358340355057"/>
            </c:manualLayout>
          </c:layout>
          <c:overlay val="0"/>
        </c:title>
        <c:numFmt formatCode="General" sourceLinked="0"/>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148123008"/>
        <c:crosses val="autoZero"/>
        <c:auto val="1"/>
        <c:lblAlgn val="ctr"/>
        <c:lblOffset val="100"/>
        <c:noMultiLvlLbl val="0"/>
      </c:catAx>
      <c:valAx>
        <c:axId val="148123008"/>
        <c:scaling>
          <c:orientation val="minMax"/>
        </c:scaling>
        <c:delete val="0"/>
        <c:axPos val="l"/>
        <c:majorGridlines/>
        <c:title>
          <c:tx>
            <c:rich>
              <a:bodyPr rot="-5400000" vert="horz"/>
              <a:lstStyle/>
              <a:p>
                <a:pPr>
                  <a:defRPr/>
                </a:pPr>
                <a:r>
                  <a:rPr lang="en-AU" sz="900">
                    <a:latin typeface="Arial" panose="020B0604020202020204" pitchFamily="34" charset="0"/>
                    <a:cs typeface="Arial" panose="020B0604020202020204" pitchFamily="34" charset="0"/>
                  </a:rPr>
                  <a:t>Metastatic</a:t>
                </a:r>
                <a:r>
                  <a:rPr lang="en-AU" sz="900" baseline="0">
                    <a:latin typeface="Arial" panose="020B0604020202020204" pitchFamily="34" charset="0"/>
                    <a:cs typeface="Arial" panose="020B0604020202020204" pitchFamily="34" charset="0"/>
                  </a:rPr>
                  <a:t> disease at diagnosis (%)</a:t>
                </a:r>
                <a:endParaRPr lang="en-AU" sz="900">
                  <a:latin typeface="Arial" panose="020B0604020202020204" pitchFamily="34" charset="0"/>
                  <a:cs typeface="Arial" panose="020B0604020202020204" pitchFamily="34" charset="0"/>
                </a:endParaRPr>
              </a:p>
            </c:rich>
          </c:tx>
          <c:layout>
            <c:manualLayout>
              <c:xMode val="edge"/>
              <c:yMode val="edge"/>
              <c:x val="2.1786448668438738E-2"/>
              <c:y val="6.1012096735140582E-2"/>
            </c:manualLayout>
          </c:layout>
          <c:overlay val="0"/>
        </c:title>
        <c:numFmt formatCode="General" sourceLinked="1"/>
        <c:majorTickMark val="out"/>
        <c:minorTickMark val="none"/>
        <c:tickLblPos val="nextTo"/>
        <c:crossAx val="1479792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F4F2-EB77-48E3-AE77-1504E443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28</Pages>
  <Words>6378</Words>
  <Characters>35237</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Victorian Oesophagogastric Cancer Audit – report 2017</vt:lpstr>
    </vt:vector>
  </TitlesOfParts>
  <Company>Department of Health and Human Services</Company>
  <LinksUpToDate>false</LinksUpToDate>
  <CharactersWithSpaces>41532</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Oesophagogastric Cancer Audit – report 2017</dc:title>
  <dc:subject>Victorian Oesophagogastric Cancer Audit – report 2017</dc:subject>
  <dc:creator>Cancer Strategy and Development</dc:creator>
  <cp:keywords>Victoria, oesophagogastric cancer, audit, integrated cancer services</cp:keywords>
  <cp:lastModifiedBy>Jane Weber</cp:lastModifiedBy>
  <cp:revision>14</cp:revision>
  <cp:lastPrinted>2018-11-18T22:35:00Z</cp:lastPrinted>
  <dcterms:created xsi:type="dcterms:W3CDTF">2018-09-12T04:44:00Z</dcterms:created>
  <dcterms:modified xsi:type="dcterms:W3CDTF">2018-11-18T22:35:00Z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