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B403D" w14:textId="77777777" w:rsidR="00477852" w:rsidRPr="00477852" w:rsidRDefault="00B36088" w:rsidP="001A58D3">
      <w:pPr>
        <w:pStyle w:val="Heading1"/>
        <w:keepLines/>
        <w:pBdr>
          <w:bottom w:val="none" w:sz="0" w:space="0" w:color="auto"/>
        </w:pBdr>
        <w:tabs>
          <w:tab w:val="clear" w:pos="1701"/>
          <w:tab w:val="clear" w:pos="2552"/>
          <w:tab w:val="clear" w:pos="3402"/>
          <w:tab w:val="clear" w:pos="4253"/>
        </w:tabs>
        <w:spacing w:before="0" w:after="440" w:line="440" w:lineRule="atLeast"/>
        <w:rPr>
          <w:b w:val="0"/>
          <w:bCs/>
          <w:color w:val="DA372E"/>
          <w:sz w:val="44"/>
          <w:szCs w:val="44"/>
        </w:rPr>
      </w:pPr>
      <w:bookmarkStart w:id="0" w:name="_Toc411344756"/>
      <w:r>
        <w:rPr>
          <w:b w:val="0"/>
          <w:bCs/>
          <w:color w:val="DA372E"/>
          <w:sz w:val="44"/>
          <w:szCs w:val="44"/>
        </w:rPr>
        <w:t>STIR Bulletin</w:t>
      </w:r>
      <w:r w:rsidR="00477852" w:rsidRPr="00477852">
        <w:rPr>
          <w:b w:val="0"/>
          <w:bCs/>
          <w:color w:val="DA372E"/>
          <w:sz w:val="44"/>
          <w:szCs w:val="44"/>
        </w:rPr>
        <w:t>1</w:t>
      </w:r>
      <w:bookmarkEnd w:id="0"/>
    </w:p>
    <w:p w14:paraId="766C38FA" w14:textId="77777777" w:rsidR="00477852" w:rsidRDefault="00B36088" w:rsidP="001A58D3">
      <w:pPr>
        <w:pStyle w:val="Heading2"/>
        <w:keepNext/>
        <w:keepLines/>
        <w:tabs>
          <w:tab w:val="clear" w:pos="1701"/>
          <w:tab w:val="clear" w:pos="2552"/>
          <w:tab w:val="clear" w:pos="3402"/>
          <w:tab w:val="clear" w:pos="4253"/>
        </w:tabs>
        <w:spacing w:before="240" w:after="90" w:line="320" w:lineRule="atLeast"/>
        <w:rPr>
          <w:rFonts w:ascii="Arial" w:hAnsi="Arial"/>
          <w:b/>
          <w:snapToGrid/>
          <w:color w:val="DA372E"/>
          <w:sz w:val="28"/>
          <w:szCs w:val="28"/>
        </w:rPr>
      </w:pPr>
      <w:r>
        <w:rPr>
          <w:rFonts w:ascii="Arial" w:hAnsi="Arial"/>
          <w:b/>
          <w:snapToGrid/>
          <w:color w:val="DA372E"/>
          <w:sz w:val="28"/>
          <w:szCs w:val="28"/>
        </w:rPr>
        <w:t>Parvovirus case vignette</w:t>
      </w:r>
    </w:p>
    <w:p w14:paraId="30D2C057" w14:textId="77777777" w:rsidR="00B36088" w:rsidRPr="00375291" w:rsidRDefault="00B36088" w:rsidP="00B36088">
      <w:pPr>
        <w:pStyle w:val="Heading2"/>
        <w:keepNext/>
        <w:keepLines/>
        <w:spacing w:before="240" w:after="90" w:line="320" w:lineRule="atLeast"/>
        <w:rPr>
          <w:rFonts w:ascii="Arial" w:hAnsi="Arial"/>
          <w:snapToGrid/>
          <w:szCs w:val="22"/>
        </w:rPr>
      </w:pPr>
      <w:r w:rsidRPr="00375291">
        <w:rPr>
          <w:rFonts w:ascii="Arial" w:hAnsi="Arial"/>
          <w:snapToGrid/>
          <w:szCs w:val="22"/>
        </w:rPr>
        <w:t>A</w:t>
      </w:r>
      <w:r w:rsidR="00376370">
        <w:rPr>
          <w:rFonts w:ascii="Arial" w:hAnsi="Arial"/>
          <w:snapToGrid/>
          <w:szCs w:val="22"/>
        </w:rPr>
        <w:t xml:space="preserve"> teenage male</w:t>
      </w:r>
      <w:r w:rsidRPr="00375291">
        <w:rPr>
          <w:rFonts w:ascii="Arial" w:hAnsi="Arial"/>
          <w:snapToGrid/>
          <w:szCs w:val="22"/>
        </w:rPr>
        <w:t xml:space="preserve"> was transfused a number of red cell units</w:t>
      </w:r>
      <w:r w:rsidR="0007339F">
        <w:rPr>
          <w:rFonts w:ascii="Arial" w:hAnsi="Arial"/>
          <w:snapToGrid/>
          <w:szCs w:val="22"/>
        </w:rPr>
        <w:t xml:space="preserve"> (RBC)</w:t>
      </w:r>
      <w:r w:rsidRPr="00375291">
        <w:rPr>
          <w:rFonts w:ascii="Arial" w:hAnsi="Arial"/>
          <w:snapToGrid/>
          <w:szCs w:val="22"/>
        </w:rPr>
        <w:t xml:space="preserve"> as part of a chronic transfusion regimen. He presented 10 days later with lethargy and a 30g/L drop in haemoglobin. There was no history of bleeding. Investigations showed a new reticulocytopenia, raising suspicion for parvovirus B19</w:t>
      </w:r>
      <w:r w:rsidR="00376370">
        <w:rPr>
          <w:rFonts w:ascii="Arial" w:hAnsi="Arial"/>
          <w:snapToGrid/>
          <w:szCs w:val="22"/>
        </w:rPr>
        <w:t xml:space="preserve"> virus (B19V)</w:t>
      </w:r>
      <w:r w:rsidRPr="00375291">
        <w:rPr>
          <w:rFonts w:ascii="Arial" w:hAnsi="Arial"/>
          <w:snapToGrid/>
          <w:szCs w:val="22"/>
        </w:rPr>
        <w:t xml:space="preserve"> infection. Acute </w:t>
      </w:r>
      <w:r w:rsidR="00376370">
        <w:rPr>
          <w:rFonts w:ascii="Arial" w:hAnsi="Arial"/>
          <w:snapToGrid/>
          <w:szCs w:val="22"/>
        </w:rPr>
        <w:t>B19V</w:t>
      </w:r>
      <w:r w:rsidRPr="00375291">
        <w:rPr>
          <w:rFonts w:ascii="Arial" w:hAnsi="Arial"/>
          <w:snapToGrid/>
          <w:szCs w:val="22"/>
        </w:rPr>
        <w:t xml:space="preserve"> infection was confirmed by peripheral blood polymerase chain reaction (PCR). A blood sample collected prior to transfusion was</w:t>
      </w:r>
      <w:r w:rsidR="00376370">
        <w:rPr>
          <w:rFonts w:ascii="Arial" w:hAnsi="Arial"/>
          <w:snapToGrid/>
          <w:szCs w:val="22"/>
        </w:rPr>
        <w:t xml:space="preserve"> retrospectively</w:t>
      </w:r>
      <w:r w:rsidRPr="00375291">
        <w:rPr>
          <w:rFonts w:ascii="Arial" w:hAnsi="Arial"/>
          <w:snapToGrid/>
          <w:szCs w:val="22"/>
        </w:rPr>
        <w:t xml:space="preserve"> tested for </w:t>
      </w:r>
      <w:r w:rsidR="00376370">
        <w:rPr>
          <w:rFonts w:ascii="Arial" w:hAnsi="Arial"/>
          <w:snapToGrid/>
          <w:szCs w:val="22"/>
        </w:rPr>
        <w:t>B19V</w:t>
      </w:r>
      <w:r w:rsidRPr="00375291">
        <w:rPr>
          <w:rFonts w:ascii="Arial" w:hAnsi="Arial"/>
          <w:snapToGrid/>
          <w:szCs w:val="22"/>
        </w:rPr>
        <w:t xml:space="preserve"> by PCR and was found to be negative. Further history excluded any sick contacts</w:t>
      </w:r>
      <w:r w:rsidR="0007339F">
        <w:rPr>
          <w:rFonts w:ascii="Arial" w:hAnsi="Arial"/>
          <w:snapToGrid/>
          <w:szCs w:val="22"/>
        </w:rPr>
        <w:t xml:space="preserve"> </w:t>
      </w:r>
      <w:r w:rsidRPr="00375291">
        <w:rPr>
          <w:rFonts w:ascii="Arial" w:hAnsi="Arial"/>
          <w:snapToGrid/>
          <w:szCs w:val="22"/>
        </w:rPr>
        <w:t>or other risk factors for parvovirus</w:t>
      </w:r>
      <w:r w:rsidR="0007339F">
        <w:rPr>
          <w:rFonts w:ascii="Arial" w:hAnsi="Arial"/>
          <w:snapToGrid/>
          <w:szCs w:val="22"/>
        </w:rPr>
        <w:t>,</w:t>
      </w:r>
      <w:r w:rsidRPr="00375291">
        <w:rPr>
          <w:rFonts w:ascii="Arial" w:hAnsi="Arial"/>
          <w:snapToGrid/>
          <w:szCs w:val="22"/>
        </w:rPr>
        <w:t xml:space="preserve"> and the transfused red cells were </w:t>
      </w:r>
      <w:r w:rsidR="00376370">
        <w:rPr>
          <w:rFonts w:ascii="Arial" w:hAnsi="Arial"/>
          <w:snapToGrid/>
          <w:szCs w:val="22"/>
        </w:rPr>
        <w:t>investigat</w:t>
      </w:r>
      <w:r w:rsidRPr="00375291">
        <w:rPr>
          <w:rFonts w:ascii="Arial" w:hAnsi="Arial"/>
          <w:snapToGrid/>
          <w:szCs w:val="22"/>
        </w:rPr>
        <w:t xml:space="preserve">ed as </w:t>
      </w:r>
      <w:r w:rsidR="00376370">
        <w:rPr>
          <w:rFonts w:ascii="Arial" w:hAnsi="Arial"/>
          <w:snapToGrid/>
          <w:szCs w:val="22"/>
        </w:rPr>
        <w:t>a possible</w:t>
      </w:r>
      <w:r w:rsidRPr="00375291">
        <w:rPr>
          <w:rFonts w:ascii="Arial" w:hAnsi="Arial"/>
          <w:snapToGrid/>
          <w:szCs w:val="22"/>
        </w:rPr>
        <w:t xml:space="preserve"> source of infection. Donor testing was undertaken for all implicated donors. A single donor tested positive for </w:t>
      </w:r>
      <w:r w:rsidR="00376370">
        <w:rPr>
          <w:rFonts w:ascii="Arial" w:hAnsi="Arial"/>
          <w:snapToGrid/>
          <w:szCs w:val="22"/>
        </w:rPr>
        <w:t>B19V</w:t>
      </w:r>
      <w:r w:rsidRPr="00375291">
        <w:rPr>
          <w:rFonts w:ascii="Arial" w:hAnsi="Arial"/>
          <w:snapToGrid/>
          <w:szCs w:val="22"/>
        </w:rPr>
        <w:t xml:space="preserve"> by PCR. The</w:t>
      </w:r>
      <w:r w:rsidR="00376370">
        <w:rPr>
          <w:rFonts w:ascii="Arial" w:hAnsi="Arial"/>
          <w:snapToGrid/>
          <w:szCs w:val="22"/>
        </w:rPr>
        <w:t xml:space="preserve"> donor was</w:t>
      </w:r>
      <w:r w:rsidRPr="00375291">
        <w:rPr>
          <w:rFonts w:ascii="Arial" w:hAnsi="Arial"/>
          <w:snapToGrid/>
          <w:szCs w:val="22"/>
        </w:rPr>
        <w:t xml:space="preserve"> asymptomatic at the time of the donation. These findings are </w:t>
      </w:r>
      <w:r w:rsidR="00376370">
        <w:rPr>
          <w:rFonts w:ascii="Arial" w:hAnsi="Arial"/>
          <w:snapToGrid/>
          <w:szCs w:val="22"/>
        </w:rPr>
        <w:t>consistent with</w:t>
      </w:r>
      <w:r w:rsidRPr="00375291">
        <w:rPr>
          <w:rFonts w:ascii="Arial" w:hAnsi="Arial"/>
          <w:snapToGrid/>
          <w:szCs w:val="22"/>
        </w:rPr>
        <w:t xml:space="preserve"> transfusion-associated </w:t>
      </w:r>
      <w:r w:rsidR="00376370">
        <w:rPr>
          <w:rFonts w:ascii="Arial" w:hAnsi="Arial"/>
          <w:snapToGrid/>
          <w:szCs w:val="22"/>
        </w:rPr>
        <w:t>B19V</w:t>
      </w:r>
      <w:r w:rsidRPr="00375291">
        <w:rPr>
          <w:rFonts w:ascii="Arial" w:hAnsi="Arial"/>
          <w:snapToGrid/>
          <w:szCs w:val="22"/>
        </w:rPr>
        <w:t xml:space="preserve"> transmission with a subsequent aplastic crisis. The patient r</w:t>
      </w:r>
      <w:r w:rsidR="0007339F">
        <w:rPr>
          <w:rFonts w:ascii="Arial" w:hAnsi="Arial"/>
          <w:snapToGrid/>
          <w:szCs w:val="22"/>
        </w:rPr>
        <w:t xml:space="preserve">equired further transfusion </w:t>
      </w:r>
      <w:r w:rsidR="00376370">
        <w:rPr>
          <w:rFonts w:ascii="Arial" w:hAnsi="Arial"/>
          <w:snapToGrid/>
          <w:szCs w:val="22"/>
        </w:rPr>
        <w:t>support</w:t>
      </w:r>
      <w:r w:rsidRPr="00375291">
        <w:rPr>
          <w:rFonts w:ascii="Arial" w:hAnsi="Arial"/>
          <w:snapToGrid/>
          <w:szCs w:val="22"/>
        </w:rPr>
        <w:t xml:space="preserve"> and </w:t>
      </w:r>
      <w:r w:rsidR="00376370">
        <w:rPr>
          <w:rFonts w:ascii="Arial" w:hAnsi="Arial"/>
          <w:snapToGrid/>
          <w:szCs w:val="22"/>
        </w:rPr>
        <w:t>hospitalisation</w:t>
      </w:r>
      <w:r w:rsidRPr="00375291">
        <w:rPr>
          <w:rFonts w:ascii="Arial" w:hAnsi="Arial"/>
          <w:snapToGrid/>
          <w:szCs w:val="22"/>
        </w:rPr>
        <w:t xml:space="preserve"> for </w:t>
      </w:r>
      <w:r w:rsidR="0007339F">
        <w:rPr>
          <w:rFonts w:ascii="Arial" w:hAnsi="Arial"/>
          <w:snapToGrid/>
          <w:szCs w:val="22"/>
        </w:rPr>
        <w:t>five</w:t>
      </w:r>
      <w:r w:rsidRPr="00375291">
        <w:rPr>
          <w:rFonts w:ascii="Arial" w:hAnsi="Arial"/>
          <w:snapToGrid/>
          <w:szCs w:val="22"/>
        </w:rPr>
        <w:t xml:space="preserve"> days.</w:t>
      </w:r>
    </w:p>
    <w:p w14:paraId="20298447" w14:textId="77777777" w:rsidR="00B36088" w:rsidRPr="00375291" w:rsidRDefault="00B36088" w:rsidP="00B36088">
      <w:pPr>
        <w:pStyle w:val="Heading2"/>
        <w:keepNext/>
        <w:keepLines/>
        <w:spacing w:before="240" w:after="90" w:line="320" w:lineRule="atLeast"/>
        <w:rPr>
          <w:rFonts w:ascii="Arial" w:hAnsi="Arial"/>
          <w:snapToGrid/>
          <w:szCs w:val="22"/>
        </w:rPr>
      </w:pPr>
      <w:r w:rsidRPr="00375291">
        <w:rPr>
          <w:rFonts w:ascii="Arial" w:hAnsi="Arial"/>
          <w:snapToGrid/>
          <w:szCs w:val="22"/>
        </w:rPr>
        <w:t>B19</w:t>
      </w:r>
      <w:r w:rsidR="00376370">
        <w:rPr>
          <w:rFonts w:ascii="Arial" w:hAnsi="Arial"/>
          <w:snapToGrid/>
          <w:szCs w:val="22"/>
        </w:rPr>
        <w:t>V</w:t>
      </w:r>
      <w:r w:rsidRPr="00375291">
        <w:rPr>
          <w:rFonts w:ascii="Arial" w:hAnsi="Arial"/>
          <w:snapToGrid/>
          <w:szCs w:val="22"/>
        </w:rPr>
        <w:t xml:space="preserve"> is a non-enveloped DNA virus with tropism for erythroid precursors (Brown et al</w:t>
      </w:r>
      <w:r w:rsidR="0007339F">
        <w:rPr>
          <w:rFonts w:ascii="Arial" w:hAnsi="Arial"/>
          <w:snapToGrid/>
          <w:szCs w:val="22"/>
        </w:rPr>
        <w:t>.</w:t>
      </w:r>
      <w:r w:rsidRPr="00375291">
        <w:rPr>
          <w:rFonts w:ascii="Arial" w:hAnsi="Arial"/>
          <w:snapToGrid/>
          <w:szCs w:val="22"/>
        </w:rPr>
        <w:t>, 1993). It is a common infection, in particular in children when it causes ‘slapped cheek syndrome’. Parvovirus enters erythroid precursors in the bone marrow by binding to antigens of the P blood group system (Brown et al</w:t>
      </w:r>
      <w:r w:rsidR="0007339F">
        <w:rPr>
          <w:rFonts w:ascii="Arial" w:hAnsi="Arial"/>
          <w:snapToGrid/>
          <w:szCs w:val="22"/>
        </w:rPr>
        <w:t>.</w:t>
      </w:r>
      <w:r w:rsidRPr="00375291">
        <w:rPr>
          <w:rFonts w:ascii="Arial" w:hAnsi="Arial"/>
          <w:snapToGrid/>
          <w:szCs w:val="22"/>
        </w:rPr>
        <w:t>, 1993). The infection of erythroid precursors leads to a transient reduction in erythropoiesis. In patients with chronic haemolysis due to sickle cell disease or membrane abnormalities this can lead to a severe anaemia</w:t>
      </w:r>
      <w:r w:rsidR="0007339F">
        <w:rPr>
          <w:rFonts w:ascii="Arial" w:hAnsi="Arial"/>
          <w:snapToGrid/>
          <w:szCs w:val="22"/>
        </w:rPr>
        <w:t>,</w:t>
      </w:r>
      <w:r w:rsidRPr="00375291">
        <w:rPr>
          <w:rFonts w:ascii="Arial" w:hAnsi="Arial"/>
          <w:snapToGrid/>
          <w:szCs w:val="22"/>
        </w:rPr>
        <w:t xml:space="preserve"> known as an aplastic crisis.</w:t>
      </w:r>
    </w:p>
    <w:p w14:paraId="73C453E2" w14:textId="77777777" w:rsidR="00376370" w:rsidRDefault="00376370" w:rsidP="00376370">
      <w:pPr>
        <w:pStyle w:val="Heading2"/>
        <w:keepNext/>
        <w:keepLines/>
        <w:spacing w:before="240" w:after="90" w:line="320" w:lineRule="atLeas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B19V</w:t>
      </w:r>
      <w:r w:rsidRPr="00376370">
        <w:rPr>
          <w:rFonts w:ascii="Arial" w:hAnsi="Arial"/>
          <w:szCs w:val="22"/>
        </w:rPr>
        <w:t xml:space="preserve"> was first identified in the blood of a healthy blood donor (Cossart </w:t>
      </w:r>
      <w:r w:rsidRPr="00376370">
        <w:rPr>
          <w:rFonts w:ascii="Arial" w:hAnsi="Arial"/>
          <w:i/>
          <w:szCs w:val="22"/>
        </w:rPr>
        <w:t xml:space="preserve">et </w:t>
      </w:r>
      <w:r w:rsidRPr="00376370">
        <w:rPr>
          <w:rFonts w:ascii="Arial" w:hAnsi="Arial"/>
          <w:szCs w:val="22"/>
        </w:rPr>
        <w:t xml:space="preserve">al, 1975).  </w:t>
      </w:r>
      <w:r w:rsidR="002320C8" w:rsidRPr="002320C8">
        <w:rPr>
          <w:rFonts w:ascii="Arial" w:hAnsi="Arial"/>
          <w:szCs w:val="22"/>
        </w:rPr>
        <w:t xml:space="preserve">Viraemia is well documented in blood donors and the prevalence estimates vary from 0.03 to 1% (Juhl et al, 2018). Viraemia occurs 1 week after exposure   reaching very high initial levels with low level viraemia persisting for a longer duration.  </w:t>
      </w:r>
      <w:r w:rsidR="003B62B9" w:rsidRPr="003B62B9">
        <w:rPr>
          <w:rFonts w:ascii="Arial" w:hAnsi="Arial"/>
          <w:szCs w:val="22"/>
        </w:rPr>
        <w:t xml:space="preserve">Approximately 25% of adults are asymptomatic, and most manifest mild, non-specific symptoms that resolve after 5-7 days (Marano </w:t>
      </w:r>
      <w:r w:rsidR="003B62B9" w:rsidRPr="003B62B9">
        <w:rPr>
          <w:rFonts w:ascii="Arial" w:hAnsi="Arial"/>
          <w:i/>
          <w:szCs w:val="22"/>
        </w:rPr>
        <w:t>et al</w:t>
      </w:r>
      <w:r w:rsidR="003B62B9" w:rsidRPr="003B62B9">
        <w:rPr>
          <w:rFonts w:ascii="Arial" w:hAnsi="Arial"/>
          <w:szCs w:val="22"/>
        </w:rPr>
        <w:t>, 2015). Three groups of patients may manifest severe symptoms:  patients with shortened red cell survival, the immunocompromised patient and pregnant women. Severe symptoms may include red cell aplasia or polyarthropathy.</w:t>
      </w:r>
    </w:p>
    <w:p w14:paraId="4DD2F8DE" w14:textId="77777777" w:rsidR="003B62B9" w:rsidRPr="003B62B9" w:rsidRDefault="003B62B9" w:rsidP="003B62B9">
      <w:pPr>
        <w:pStyle w:val="Heading2"/>
        <w:keepNext/>
        <w:keepLines/>
        <w:spacing w:before="240" w:after="90" w:line="320" w:lineRule="atLeast"/>
        <w:rPr>
          <w:rFonts w:ascii="Arial" w:hAnsi="Arial"/>
          <w:szCs w:val="22"/>
        </w:rPr>
      </w:pPr>
      <w:r w:rsidRPr="003B62B9">
        <w:rPr>
          <w:rFonts w:ascii="Arial" w:hAnsi="Arial"/>
          <w:szCs w:val="22"/>
        </w:rPr>
        <w:t>Despite the prevalence of viraemia in blood donors, transfusion-transmission remains a rarely reported event with relatively few reported cases in the literature.</w:t>
      </w:r>
      <w:r w:rsidRPr="003B62B9" w:rsidDel="008C297B">
        <w:rPr>
          <w:rFonts w:ascii="Arial" w:hAnsi="Arial"/>
          <w:szCs w:val="22"/>
        </w:rPr>
        <w:t xml:space="preserve"> </w:t>
      </w:r>
      <w:r w:rsidRPr="003B62B9">
        <w:rPr>
          <w:rFonts w:ascii="Arial" w:hAnsi="Arial"/>
          <w:szCs w:val="22"/>
        </w:rPr>
        <w:t xml:space="preserve">In the majority of cases, there is no significant consequence, which may limit reporting.  In addition, transmission generally only occurs with high viral loads. Recipient immunity and co-transfusion of antibodies may further limit transmission. However, in patients with underlying risk factors for severe manifestations of parvovirus, transfusion-associated infections may cause severe consequences (Norja </w:t>
      </w:r>
      <w:r w:rsidRPr="003B62B9">
        <w:rPr>
          <w:rFonts w:ascii="Arial" w:hAnsi="Arial"/>
          <w:i/>
          <w:szCs w:val="22"/>
        </w:rPr>
        <w:t>et al</w:t>
      </w:r>
      <w:r w:rsidRPr="003B62B9">
        <w:rPr>
          <w:rFonts w:ascii="Arial" w:hAnsi="Arial"/>
          <w:szCs w:val="22"/>
        </w:rPr>
        <w:t xml:space="preserve">, 2012). </w:t>
      </w:r>
    </w:p>
    <w:p w14:paraId="31A2288D" w14:textId="77777777" w:rsidR="003B62B9" w:rsidRPr="00376370" w:rsidRDefault="003B62B9" w:rsidP="00376370">
      <w:pPr>
        <w:pStyle w:val="Heading2"/>
        <w:keepNext/>
        <w:keepLines/>
        <w:spacing w:before="240" w:after="90" w:line="320" w:lineRule="atLeast"/>
        <w:rPr>
          <w:rFonts w:ascii="Arial" w:hAnsi="Arial"/>
          <w:szCs w:val="22"/>
        </w:rPr>
      </w:pPr>
    </w:p>
    <w:p w14:paraId="34FA8323" w14:textId="77777777" w:rsidR="00D95B7D" w:rsidRDefault="00B36088" w:rsidP="00B36088">
      <w:pPr>
        <w:pStyle w:val="Heading2"/>
        <w:keepNext/>
        <w:keepLines/>
        <w:spacing w:before="240" w:after="90" w:line="320" w:lineRule="atLeast"/>
        <w:rPr>
          <w:rFonts w:ascii="Arial" w:hAnsi="Arial"/>
          <w:snapToGrid/>
          <w:szCs w:val="22"/>
        </w:rPr>
      </w:pPr>
      <w:r w:rsidRPr="00375291">
        <w:rPr>
          <w:rFonts w:ascii="Arial" w:hAnsi="Arial"/>
          <w:snapToGrid/>
          <w:szCs w:val="22"/>
        </w:rPr>
        <w:lastRenderedPageBreak/>
        <w:t>Parvovirus B19 can be transmitted through transfusion of plasma-derived products. It is resistant to many methods of viral inactivation (Marano et al</w:t>
      </w:r>
      <w:r w:rsidR="0007339F">
        <w:rPr>
          <w:rFonts w:ascii="Arial" w:hAnsi="Arial"/>
          <w:snapToGrid/>
          <w:szCs w:val="22"/>
        </w:rPr>
        <w:t>.</w:t>
      </w:r>
      <w:r w:rsidRPr="00375291">
        <w:rPr>
          <w:rFonts w:ascii="Arial" w:hAnsi="Arial"/>
          <w:snapToGrid/>
          <w:szCs w:val="22"/>
        </w:rPr>
        <w:t>, 2015), so when combined with the asymptomatic high-level viraemia in many people, parvovirus is frequently identified in blood products (Norja et al</w:t>
      </w:r>
      <w:r w:rsidR="0007339F">
        <w:rPr>
          <w:rFonts w:ascii="Arial" w:hAnsi="Arial"/>
          <w:snapToGrid/>
          <w:szCs w:val="22"/>
        </w:rPr>
        <w:t>.</w:t>
      </w:r>
      <w:r w:rsidRPr="00375291">
        <w:rPr>
          <w:rFonts w:ascii="Arial" w:hAnsi="Arial"/>
          <w:snapToGrid/>
          <w:szCs w:val="22"/>
        </w:rPr>
        <w:t>, 2012). In the majority of cases, there is no significant consequence. However, in patients with underlying risk factors for severe manifestations of parvovirus, transfusion-associated infections may cause severe consequences (Norja et al</w:t>
      </w:r>
      <w:r w:rsidR="0007339F">
        <w:rPr>
          <w:rFonts w:ascii="Arial" w:hAnsi="Arial"/>
          <w:snapToGrid/>
          <w:szCs w:val="22"/>
        </w:rPr>
        <w:t>.</w:t>
      </w:r>
      <w:r w:rsidRPr="00375291">
        <w:rPr>
          <w:rFonts w:ascii="Arial" w:hAnsi="Arial"/>
          <w:snapToGrid/>
          <w:szCs w:val="22"/>
        </w:rPr>
        <w:t xml:space="preserve">, 2012). </w:t>
      </w:r>
    </w:p>
    <w:p w14:paraId="0985AE5C" w14:textId="77777777" w:rsidR="00B36088" w:rsidRPr="00375291" w:rsidRDefault="00376370" w:rsidP="00B36088">
      <w:pPr>
        <w:pStyle w:val="Heading2"/>
        <w:keepNext/>
        <w:keepLines/>
        <w:spacing w:before="240" w:after="90" w:line="320" w:lineRule="atLeast"/>
        <w:rPr>
          <w:rFonts w:ascii="Arial" w:hAnsi="Arial"/>
          <w:snapToGrid/>
          <w:szCs w:val="22"/>
        </w:rPr>
      </w:pPr>
      <w:r w:rsidRPr="00376370">
        <w:rPr>
          <w:rFonts w:ascii="Arial" w:hAnsi="Arial"/>
          <w:snapToGrid/>
          <w:szCs w:val="22"/>
        </w:rPr>
        <w:t>The Blood Service has completed a prevalence study and risk assessment of</w:t>
      </w:r>
      <w:r>
        <w:rPr>
          <w:rFonts w:ascii="Arial" w:hAnsi="Arial"/>
          <w:snapToGrid/>
          <w:szCs w:val="22"/>
        </w:rPr>
        <w:t xml:space="preserve"> parvovirus</w:t>
      </w:r>
      <w:r w:rsidRPr="00376370">
        <w:rPr>
          <w:rFonts w:ascii="Arial" w:hAnsi="Arial"/>
          <w:snapToGrid/>
          <w:szCs w:val="22"/>
        </w:rPr>
        <w:t xml:space="preserve"> B19. The estimated risk of a significant complication was low overall</w:t>
      </w:r>
      <w:r w:rsidR="00D95B7D">
        <w:rPr>
          <w:rFonts w:ascii="Arial" w:hAnsi="Arial"/>
          <w:snapToGrid/>
          <w:szCs w:val="22"/>
        </w:rPr>
        <w:t>,</w:t>
      </w:r>
      <w:r w:rsidRPr="00376370">
        <w:rPr>
          <w:rFonts w:ascii="Arial" w:hAnsi="Arial"/>
          <w:snapToGrid/>
          <w:szCs w:val="22"/>
        </w:rPr>
        <w:t xml:space="preserve"> and the risk from community exposure far exceeded the transfusion risk for all patient and age groups. When published, the Blood Service will seek formal stakeholder feedback on </w:t>
      </w:r>
      <w:r w:rsidR="00D95B7D">
        <w:rPr>
          <w:rFonts w:ascii="Arial" w:hAnsi="Arial"/>
          <w:snapToGrid/>
          <w:szCs w:val="22"/>
        </w:rPr>
        <w:t xml:space="preserve">their </w:t>
      </w:r>
      <w:r w:rsidRPr="00376370">
        <w:rPr>
          <w:rFonts w:ascii="Arial" w:hAnsi="Arial"/>
          <w:snapToGrid/>
          <w:szCs w:val="22"/>
        </w:rPr>
        <w:t>recommendation from the study</w:t>
      </w:r>
      <w:r w:rsidR="00D95B7D">
        <w:rPr>
          <w:rFonts w:ascii="Arial" w:hAnsi="Arial"/>
          <w:snapToGrid/>
          <w:szCs w:val="22"/>
        </w:rPr>
        <w:t>,</w:t>
      </w:r>
      <w:r w:rsidRPr="00376370">
        <w:rPr>
          <w:rFonts w:ascii="Arial" w:hAnsi="Arial"/>
          <w:snapToGrid/>
          <w:szCs w:val="22"/>
        </w:rPr>
        <w:t xml:space="preserve"> that blood donor screening is not implemented. </w:t>
      </w:r>
      <w:r w:rsidR="00052260">
        <w:rPr>
          <w:rFonts w:ascii="Arial" w:hAnsi="Arial"/>
          <w:snapToGrid/>
          <w:szCs w:val="22"/>
        </w:rPr>
        <w:t>The Blood Service</w:t>
      </w:r>
      <w:r w:rsidRPr="00376370">
        <w:rPr>
          <w:rFonts w:ascii="Arial" w:hAnsi="Arial"/>
          <w:snapToGrid/>
          <w:szCs w:val="22"/>
        </w:rPr>
        <w:t xml:space="preserve"> recommend clinicians consider the possibility of </w:t>
      </w:r>
      <w:r>
        <w:rPr>
          <w:rFonts w:ascii="Arial" w:hAnsi="Arial"/>
          <w:snapToGrid/>
          <w:szCs w:val="22"/>
        </w:rPr>
        <w:t xml:space="preserve">parvovirus </w:t>
      </w:r>
      <w:r w:rsidRPr="00376370">
        <w:rPr>
          <w:rFonts w:ascii="Arial" w:hAnsi="Arial"/>
          <w:snapToGrid/>
          <w:szCs w:val="22"/>
        </w:rPr>
        <w:t xml:space="preserve">B19 infection in vulnerable patients. In the event of a clinically compatible illness, prompt </w:t>
      </w:r>
      <w:r w:rsidR="00D95B7D">
        <w:rPr>
          <w:rFonts w:ascii="Arial" w:hAnsi="Arial"/>
          <w:snapToGrid/>
          <w:szCs w:val="22"/>
        </w:rPr>
        <w:t xml:space="preserve">investigation, </w:t>
      </w:r>
      <w:r w:rsidRPr="00376370">
        <w:rPr>
          <w:rFonts w:ascii="Arial" w:hAnsi="Arial"/>
          <w:snapToGrid/>
          <w:szCs w:val="22"/>
        </w:rPr>
        <w:t xml:space="preserve">diagnosis and treatment, </w:t>
      </w:r>
      <w:r w:rsidR="00D95B7D">
        <w:rPr>
          <w:rFonts w:ascii="Arial" w:hAnsi="Arial"/>
          <w:snapToGrid/>
          <w:szCs w:val="22"/>
        </w:rPr>
        <w:t>is advised</w:t>
      </w:r>
      <w:r w:rsidRPr="00376370">
        <w:rPr>
          <w:rFonts w:ascii="Arial" w:hAnsi="Arial"/>
          <w:snapToGrid/>
          <w:szCs w:val="22"/>
        </w:rPr>
        <w:t>.</w:t>
      </w:r>
    </w:p>
    <w:p w14:paraId="687EAE53" w14:textId="77777777" w:rsidR="00B36088" w:rsidRPr="0007339F" w:rsidRDefault="00B36088" w:rsidP="0007339F">
      <w:pPr>
        <w:pStyle w:val="Heading2"/>
        <w:keepNext/>
        <w:keepLines/>
        <w:spacing w:before="120" w:after="90" w:line="320" w:lineRule="atLeast"/>
        <w:rPr>
          <w:rFonts w:ascii="Arial" w:hAnsi="Arial"/>
          <w:b/>
          <w:snapToGrid/>
          <w:szCs w:val="22"/>
        </w:rPr>
      </w:pPr>
      <w:r w:rsidRPr="0007339F">
        <w:rPr>
          <w:rFonts w:ascii="Arial" w:hAnsi="Arial"/>
          <w:b/>
          <w:snapToGrid/>
          <w:szCs w:val="22"/>
        </w:rPr>
        <w:t>References</w:t>
      </w:r>
      <w:r w:rsidR="0007339F" w:rsidRPr="0007339F">
        <w:rPr>
          <w:rFonts w:ascii="Arial" w:hAnsi="Arial"/>
          <w:b/>
          <w:snapToGrid/>
          <w:szCs w:val="22"/>
        </w:rPr>
        <w:t>:</w:t>
      </w:r>
    </w:p>
    <w:p w14:paraId="5EF29B1D" w14:textId="77777777" w:rsidR="00B36088" w:rsidRPr="00375291" w:rsidRDefault="00B36088" w:rsidP="0007339F">
      <w:pPr>
        <w:pStyle w:val="Heading2"/>
        <w:keepNext/>
        <w:keepLines/>
        <w:spacing w:before="120" w:after="90" w:line="320" w:lineRule="atLeast"/>
        <w:rPr>
          <w:rFonts w:ascii="Arial" w:hAnsi="Arial"/>
          <w:snapToGrid/>
          <w:szCs w:val="22"/>
        </w:rPr>
      </w:pPr>
      <w:r w:rsidRPr="00375291">
        <w:rPr>
          <w:rFonts w:ascii="Arial" w:hAnsi="Arial"/>
          <w:snapToGrid/>
          <w:szCs w:val="22"/>
        </w:rPr>
        <w:t xml:space="preserve">Brown K, Anderson S, Young N. 1993. Erythrocyte P antigen: cellular receptor for B19 parvovirus. </w:t>
      </w:r>
      <w:r w:rsidRPr="0007339F">
        <w:rPr>
          <w:rFonts w:ascii="Arial" w:hAnsi="Arial"/>
          <w:i/>
          <w:snapToGrid/>
          <w:szCs w:val="22"/>
        </w:rPr>
        <w:t>Science</w:t>
      </w:r>
      <w:r w:rsidRPr="00375291">
        <w:rPr>
          <w:rFonts w:ascii="Arial" w:hAnsi="Arial"/>
          <w:snapToGrid/>
          <w:szCs w:val="22"/>
        </w:rPr>
        <w:t>. 262: 114-117</w:t>
      </w:r>
    </w:p>
    <w:p w14:paraId="1C359622" w14:textId="77777777" w:rsidR="00B36088" w:rsidRDefault="00B36088" w:rsidP="0007339F">
      <w:pPr>
        <w:pStyle w:val="Heading2"/>
        <w:keepNext/>
        <w:keepLines/>
        <w:spacing w:before="120" w:after="90" w:line="320" w:lineRule="atLeast"/>
        <w:rPr>
          <w:rFonts w:ascii="Arial" w:hAnsi="Arial"/>
          <w:snapToGrid/>
          <w:szCs w:val="22"/>
        </w:rPr>
      </w:pPr>
      <w:r w:rsidRPr="00375291">
        <w:rPr>
          <w:rFonts w:ascii="Arial" w:hAnsi="Arial"/>
          <w:snapToGrid/>
          <w:szCs w:val="22"/>
        </w:rPr>
        <w:t xml:space="preserve">Cossart, Y, Field A, Cant B, Widdows D. 1975. Parvovirus-like particles in human sera. </w:t>
      </w:r>
      <w:r w:rsidR="0007339F" w:rsidRPr="0007339F">
        <w:rPr>
          <w:rFonts w:ascii="Arial" w:hAnsi="Arial"/>
          <w:i/>
          <w:snapToGrid/>
          <w:szCs w:val="22"/>
        </w:rPr>
        <w:t>The</w:t>
      </w:r>
      <w:r w:rsidR="0007339F">
        <w:rPr>
          <w:rFonts w:ascii="Arial" w:hAnsi="Arial"/>
          <w:snapToGrid/>
          <w:szCs w:val="22"/>
        </w:rPr>
        <w:t xml:space="preserve"> </w:t>
      </w:r>
      <w:r w:rsidRPr="0007339F">
        <w:rPr>
          <w:rFonts w:ascii="Arial" w:hAnsi="Arial"/>
          <w:i/>
          <w:snapToGrid/>
          <w:szCs w:val="22"/>
        </w:rPr>
        <w:t>Lancet.</w:t>
      </w:r>
      <w:r w:rsidRPr="00375291">
        <w:rPr>
          <w:rFonts w:ascii="Arial" w:hAnsi="Arial"/>
          <w:snapToGrid/>
          <w:szCs w:val="22"/>
        </w:rPr>
        <w:t xml:space="preserve"> 1: 72-73</w:t>
      </w:r>
    </w:p>
    <w:p w14:paraId="4ECD4DB9" w14:textId="77777777" w:rsidR="003B62B9" w:rsidRPr="003B62B9" w:rsidRDefault="003B62B9" w:rsidP="0007339F">
      <w:pPr>
        <w:pStyle w:val="Heading2"/>
        <w:keepNext/>
        <w:keepLines/>
        <w:spacing w:before="120" w:after="90" w:line="320" w:lineRule="atLeast"/>
        <w:rPr>
          <w:rFonts w:ascii="Arial" w:hAnsi="Arial"/>
          <w:szCs w:val="22"/>
        </w:rPr>
      </w:pPr>
      <w:r w:rsidRPr="003B62B9">
        <w:rPr>
          <w:rFonts w:ascii="Arial" w:hAnsi="Arial"/>
          <w:szCs w:val="22"/>
        </w:rPr>
        <w:t xml:space="preserve">Juhl D, Ozdemir M, Dreier J, et al. </w:t>
      </w:r>
      <w:r>
        <w:rPr>
          <w:rFonts w:ascii="Arial" w:hAnsi="Arial"/>
          <w:szCs w:val="22"/>
        </w:rPr>
        <w:t xml:space="preserve">2015. </w:t>
      </w:r>
      <w:r w:rsidRPr="003B62B9">
        <w:rPr>
          <w:rFonts w:ascii="Arial" w:hAnsi="Arial"/>
          <w:szCs w:val="22"/>
        </w:rPr>
        <w:t>Look-back study on recipients of parvovirus B19 (B19V) DNA</w:t>
      </w:r>
      <w:r>
        <w:rPr>
          <w:rFonts w:ascii="Arial" w:hAnsi="Arial"/>
          <w:szCs w:val="22"/>
        </w:rPr>
        <w:t xml:space="preserve"> </w:t>
      </w:r>
      <w:r w:rsidRPr="003B62B9">
        <w:rPr>
          <w:rFonts w:ascii="Arial" w:hAnsi="Arial"/>
          <w:szCs w:val="22"/>
        </w:rPr>
        <w:t>positive</w:t>
      </w:r>
      <w:r>
        <w:rPr>
          <w:rFonts w:ascii="Arial" w:hAnsi="Arial"/>
          <w:szCs w:val="22"/>
        </w:rPr>
        <w:t xml:space="preserve"> </w:t>
      </w:r>
      <w:r w:rsidRPr="003B62B9">
        <w:rPr>
          <w:rFonts w:ascii="Arial" w:hAnsi="Arial"/>
          <w:szCs w:val="22"/>
        </w:rPr>
        <w:t xml:space="preserve">blood components. </w:t>
      </w:r>
      <w:r w:rsidRPr="003B62B9">
        <w:rPr>
          <w:rFonts w:ascii="Arial" w:hAnsi="Arial"/>
          <w:i/>
          <w:iCs/>
          <w:szCs w:val="22"/>
        </w:rPr>
        <w:t>Vox Sang</w:t>
      </w:r>
      <w:r w:rsidRPr="003B62B9">
        <w:rPr>
          <w:rFonts w:ascii="Arial" w:hAnsi="Arial"/>
          <w:szCs w:val="22"/>
        </w:rPr>
        <w:t>. 109(4): 305-11</w:t>
      </w:r>
    </w:p>
    <w:p w14:paraId="352B94F7" w14:textId="77777777" w:rsidR="00B36088" w:rsidRPr="00375291" w:rsidRDefault="00B36088" w:rsidP="0007339F">
      <w:pPr>
        <w:pStyle w:val="Heading2"/>
        <w:keepNext/>
        <w:keepLines/>
        <w:spacing w:before="120" w:after="90" w:line="320" w:lineRule="atLeast"/>
        <w:rPr>
          <w:rFonts w:ascii="Arial" w:hAnsi="Arial"/>
          <w:snapToGrid/>
          <w:szCs w:val="22"/>
        </w:rPr>
      </w:pPr>
      <w:r w:rsidRPr="00375291">
        <w:rPr>
          <w:rFonts w:ascii="Arial" w:hAnsi="Arial"/>
          <w:snapToGrid/>
          <w:szCs w:val="22"/>
        </w:rPr>
        <w:t xml:space="preserve">Marano G, Vaglio S, Pupella S et al. 2015. Human parvovirus B19 and blood product safety: a tale of twenty years of improvements. </w:t>
      </w:r>
      <w:r w:rsidRPr="0007339F">
        <w:rPr>
          <w:rFonts w:ascii="Arial" w:hAnsi="Arial"/>
          <w:i/>
          <w:snapToGrid/>
          <w:szCs w:val="22"/>
        </w:rPr>
        <w:t>Blood Transfusion</w:t>
      </w:r>
      <w:r w:rsidRPr="00375291">
        <w:rPr>
          <w:rFonts w:ascii="Arial" w:hAnsi="Arial"/>
          <w:snapToGrid/>
          <w:szCs w:val="22"/>
        </w:rPr>
        <w:t>. 13(2): 184-196</w:t>
      </w:r>
    </w:p>
    <w:p w14:paraId="63FE8AA4" w14:textId="77777777" w:rsidR="00B36088" w:rsidRPr="00375291" w:rsidRDefault="00B36088" w:rsidP="0007339F">
      <w:pPr>
        <w:pStyle w:val="Heading2"/>
        <w:keepNext/>
        <w:keepLines/>
        <w:spacing w:before="120" w:after="90" w:line="320" w:lineRule="atLeast"/>
        <w:rPr>
          <w:rFonts w:ascii="Arial" w:hAnsi="Arial"/>
          <w:snapToGrid/>
          <w:szCs w:val="22"/>
        </w:rPr>
      </w:pPr>
      <w:r w:rsidRPr="00375291">
        <w:rPr>
          <w:rFonts w:ascii="Arial" w:hAnsi="Arial"/>
          <w:snapToGrid/>
          <w:szCs w:val="22"/>
        </w:rPr>
        <w:t xml:space="preserve">Norja P, LAssila R and MAkris M. 2012. Parvovirus transmission by blood products – a cause for concern? </w:t>
      </w:r>
      <w:r w:rsidRPr="0007339F">
        <w:rPr>
          <w:rFonts w:ascii="Arial" w:hAnsi="Arial"/>
          <w:i/>
          <w:snapToGrid/>
          <w:szCs w:val="22"/>
        </w:rPr>
        <w:t>British Journal of Haematology</w:t>
      </w:r>
      <w:r w:rsidRPr="00375291">
        <w:rPr>
          <w:rFonts w:ascii="Arial" w:hAnsi="Arial"/>
          <w:snapToGrid/>
          <w:szCs w:val="22"/>
        </w:rPr>
        <w:t>. 159 (4): 385-393</w:t>
      </w:r>
    </w:p>
    <w:p w14:paraId="37199749" w14:textId="77777777" w:rsidR="00375291" w:rsidRDefault="00375291" w:rsidP="00B36088">
      <w:pPr>
        <w:pStyle w:val="Heading2"/>
        <w:keepNext/>
        <w:keepLines/>
        <w:tabs>
          <w:tab w:val="clear" w:pos="1701"/>
          <w:tab w:val="clear" w:pos="2552"/>
          <w:tab w:val="clear" w:pos="3402"/>
          <w:tab w:val="clear" w:pos="4253"/>
        </w:tabs>
        <w:spacing w:before="240" w:after="90" w:line="320" w:lineRule="atLeast"/>
        <w:rPr>
          <w:rFonts w:ascii="Arial" w:hAnsi="Arial"/>
          <w:snapToGrid/>
          <w:szCs w:val="22"/>
        </w:rPr>
      </w:pPr>
    </w:p>
    <w:p w14:paraId="6BCD9FF6" w14:textId="77777777" w:rsidR="00375291" w:rsidRDefault="00375291" w:rsidP="00B36088">
      <w:pPr>
        <w:pStyle w:val="Heading2"/>
        <w:keepNext/>
        <w:keepLines/>
        <w:tabs>
          <w:tab w:val="clear" w:pos="1701"/>
          <w:tab w:val="clear" w:pos="2552"/>
          <w:tab w:val="clear" w:pos="3402"/>
          <w:tab w:val="clear" w:pos="4253"/>
        </w:tabs>
        <w:spacing w:before="240" w:after="90" w:line="320" w:lineRule="atLeast"/>
        <w:rPr>
          <w:rFonts w:ascii="Arial" w:hAnsi="Arial"/>
          <w:i/>
          <w:snapToGrid/>
          <w:szCs w:val="22"/>
        </w:rPr>
      </w:pPr>
      <w:r w:rsidRPr="00375291">
        <w:rPr>
          <w:rFonts w:ascii="Arial" w:hAnsi="Arial"/>
          <w:i/>
          <w:snapToGrid/>
          <w:szCs w:val="22"/>
        </w:rPr>
        <w:t>We would like to acknowledge the health services that provide reports of reactions, incidents and near misses to STIR</w:t>
      </w:r>
      <w:r w:rsidR="0007339F">
        <w:rPr>
          <w:rFonts w:ascii="Arial" w:hAnsi="Arial"/>
          <w:i/>
          <w:snapToGrid/>
          <w:szCs w:val="22"/>
        </w:rPr>
        <w:t>,</w:t>
      </w:r>
      <w:r w:rsidRPr="00375291">
        <w:rPr>
          <w:rFonts w:ascii="Arial" w:hAnsi="Arial"/>
          <w:i/>
          <w:snapToGrid/>
          <w:szCs w:val="22"/>
        </w:rPr>
        <w:t xml:space="preserve"> and the</w:t>
      </w:r>
      <w:r>
        <w:rPr>
          <w:rFonts w:ascii="Arial" w:hAnsi="Arial"/>
          <w:i/>
          <w:snapToGrid/>
          <w:szCs w:val="22"/>
        </w:rPr>
        <w:t xml:space="preserve"> medical, </w:t>
      </w:r>
      <w:r w:rsidR="0007339F">
        <w:rPr>
          <w:rFonts w:ascii="Arial" w:hAnsi="Arial"/>
          <w:i/>
          <w:snapToGrid/>
          <w:szCs w:val="22"/>
        </w:rPr>
        <w:t>nursing,</w:t>
      </w:r>
      <w:r>
        <w:rPr>
          <w:rFonts w:ascii="Arial" w:hAnsi="Arial"/>
          <w:i/>
          <w:snapToGrid/>
          <w:szCs w:val="22"/>
        </w:rPr>
        <w:t xml:space="preserve"> and scientific staff who support and provide expertise to the STIR Expert group.</w:t>
      </w:r>
    </w:p>
    <w:p w14:paraId="4A7E9568" w14:textId="77777777" w:rsidR="00D279A9" w:rsidRDefault="00D279A9" w:rsidP="00D279A9">
      <w:pPr>
        <w:pStyle w:val="DHHSbody"/>
      </w:pPr>
    </w:p>
    <w:p w14:paraId="75368621" w14:textId="77777777" w:rsidR="00D279A9" w:rsidRDefault="00D279A9" w:rsidP="00D279A9">
      <w:pPr>
        <w:pStyle w:val="DHHSbody"/>
      </w:pPr>
      <w:r>
        <w:t>Authorised and published by the Victorian Government, 1 Treasury Place, Melbourne.</w:t>
      </w:r>
    </w:p>
    <w:p w14:paraId="47C4878A" w14:textId="77777777" w:rsidR="00D279A9" w:rsidRDefault="00D279A9" w:rsidP="00D279A9">
      <w:pPr>
        <w:pStyle w:val="DHHSbody"/>
      </w:pPr>
      <w:r>
        <w:t>© State of Victoria, Australia, Department of Health and Human Services</w:t>
      </w:r>
      <w:r>
        <w:rPr>
          <w:color w:val="008950"/>
        </w:rPr>
        <w:t xml:space="preserve"> </w:t>
      </w:r>
      <w:r w:rsidRPr="007B60BD">
        <w:t xml:space="preserve">May </w:t>
      </w:r>
      <w:r>
        <w:rPr>
          <w:color w:val="000000"/>
        </w:rPr>
        <w:t>2020.</w:t>
      </w:r>
    </w:p>
    <w:p w14:paraId="5990942B" w14:textId="77777777" w:rsidR="00D279A9" w:rsidRDefault="00D279A9" w:rsidP="00D279A9">
      <w:pPr>
        <w:spacing w:after="200" w:line="300" w:lineRule="atLeast"/>
        <w:rPr>
          <w:rFonts w:ascii="Arial" w:hAnsi="Arial" w:cs="Arial"/>
          <w:color w:val="007B4B"/>
        </w:rPr>
      </w:pPr>
      <w:r>
        <w:rPr>
          <w:rFonts w:ascii="Arial" w:hAnsi="Arial" w:cs="Arial"/>
        </w:rPr>
        <w:t xml:space="preserve">To receive this publication in an accessible format </w:t>
      </w:r>
      <w:r w:rsidRPr="007B60BD">
        <w:rPr>
          <w:rFonts w:ascii="Arial" w:hAnsi="Arial" w:cs="Arial"/>
        </w:rPr>
        <w:t xml:space="preserve">phone 03 9694 0102, </w:t>
      </w:r>
      <w:r>
        <w:rPr>
          <w:rFonts w:ascii="Arial" w:hAnsi="Arial" w:cs="Arial"/>
        </w:rPr>
        <w:t xml:space="preserve">using the National Relay Service 13 36 77 if required, or email Blood Matters </w:t>
      </w:r>
      <w:hyperlink r:id="rId7" w:history="1">
        <w:r>
          <w:rPr>
            <w:rStyle w:val="Hyperlink"/>
            <w:rFonts w:cs="Arial"/>
          </w:rPr>
          <w:t>bloodmatters@redcrossblood.org.au</w:t>
        </w:r>
      </w:hyperlink>
    </w:p>
    <w:p w14:paraId="1A912A10" w14:textId="77777777" w:rsidR="00D279A9" w:rsidRPr="00691A7A" w:rsidRDefault="00D279A9" w:rsidP="00D279A9">
      <w:pPr>
        <w:pStyle w:val="DHHSbody"/>
        <w:rPr>
          <w:rFonts w:cs="Arial"/>
          <w:sz w:val="22"/>
          <w:szCs w:val="22"/>
        </w:rPr>
      </w:pPr>
      <w:r>
        <w:rPr>
          <w:b/>
          <w:bCs/>
          <w:color w:val="000000"/>
        </w:rPr>
        <w:t xml:space="preserve">ISSN </w:t>
      </w:r>
      <w:r>
        <w:rPr>
          <w:color w:val="000000"/>
        </w:rPr>
        <w:t>2652-6212</w:t>
      </w:r>
      <w:r>
        <w:rPr>
          <w:b/>
          <w:bCs/>
          <w:color w:val="000000"/>
        </w:rPr>
        <w:t xml:space="preserve"> - Online (pdf / word).</w:t>
      </w:r>
    </w:p>
    <w:p w14:paraId="4E0765A1" w14:textId="77777777" w:rsidR="00D279A9" w:rsidRPr="00D279A9" w:rsidRDefault="00D279A9" w:rsidP="00B36088">
      <w:pPr>
        <w:pStyle w:val="Heading2"/>
        <w:keepNext/>
        <w:keepLines/>
        <w:tabs>
          <w:tab w:val="clear" w:pos="1701"/>
          <w:tab w:val="clear" w:pos="2552"/>
          <w:tab w:val="clear" w:pos="3402"/>
          <w:tab w:val="clear" w:pos="4253"/>
        </w:tabs>
        <w:spacing w:before="240" w:after="90" w:line="320" w:lineRule="atLeast"/>
        <w:rPr>
          <w:rFonts w:ascii="Arial" w:hAnsi="Arial"/>
          <w:snapToGrid/>
          <w:szCs w:val="22"/>
        </w:rPr>
      </w:pPr>
    </w:p>
    <w:sectPr w:rsidR="00D279A9" w:rsidRPr="00D279A9" w:rsidSect="00824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25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E19A" w14:textId="77777777" w:rsidR="00824C69" w:rsidRDefault="00824C69" w:rsidP="00AD337A">
      <w:r>
        <w:separator/>
      </w:r>
    </w:p>
  </w:endnote>
  <w:endnote w:type="continuationSeparator" w:id="0">
    <w:p w14:paraId="7B29B7DC" w14:textId="77777777" w:rsidR="00824C69" w:rsidRDefault="00824C69" w:rsidP="00AD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A2B8" w14:textId="3E6B37B2" w:rsidR="00824C69" w:rsidRDefault="009E4A2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446E06" wp14:editId="13747A7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44949fd97171b40b22a2878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21666" w14:textId="5067C65A" w:rsidR="009E4A25" w:rsidRPr="009E4A25" w:rsidRDefault="009E4A25" w:rsidP="009E4A2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E4A2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46E06" id="_x0000_t202" coordsize="21600,21600" o:spt="202" path="m,l,21600r21600,l21600,xe">
              <v:stroke joinstyle="miter"/>
              <v:path gradientshapeok="t" o:connecttype="rect"/>
            </v:shapetype>
            <v:shape id="MSIPCM444949fd97171b40b22a2878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margin-left:0;margin-top:802.3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tNS7dsQIAAE8FAAAO&#10;AAAAAAAAAAAAAAAAAC4CAABkcnMvZTJvRG9jLnhtbFBLAQItABQABgAIAAAAIQBIDV6a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46821666" w14:textId="5067C65A" w:rsidR="009E4A25" w:rsidRPr="009E4A25" w:rsidRDefault="009E4A25" w:rsidP="009E4A2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E4A2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4C6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F557255" wp14:editId="6C10104D">
          <wp:simplePos x="0" y="0"/>
          <wp:positionH relativeFrom="column">
            <wp:posOffset>-648335</wp:posOffset>
          </wp:positionH>
          <wp:positionV relativeFrom="paragraph">
            <wp:posOffset>-277153</wp:posOffset>
          </wp:positionV>
          <wp:extent cx="7569835" cy="871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4"/>
                  <a:stretch/>
                </pic:blipFill>
                <pic:spPr bwMode="auto">
                  <a:xfrm>
                    <a:off x="0" y="0"/>
                    <a:ext cx="7569835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0956" w14:textId="466A5450" w:rsidR="00AD337A" w:rsidRDefault="009E4A2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831525B" wp14:editId="52CBC24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14c843588f9f2d4ec2b0090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F28E39" w14:textId="1B4312A0" w:rsidR="009E4A25" w:rsidRPr="009E4A25" w:rsidRDefault="009E4A25" w:rsidP="009E4A25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9E4A25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1525B" id="_x0000_t202" coordsize="21600,21600" o:spt="202" path="m,l,21600r21600,l21600,xe">
              <v:stroke joinstyle="miter"/>
              <v:path gradientshapeok="t" o:connecttype="rect"/>
            </v:shapetype>
            <v:shape id="MSIPCM14c843588f9f2d4ec2b0090c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Fuc2+utAgAARQ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20F28E39" w14:textId="1B4312A0" w:rsidR="009E4A25" w:rsidRPr="009E4A25" w:rsidRDefault="009E4A25" w:rsidP="009E4A25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9E4A25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337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F4E499E" wp14:editId="396AFEC0">
          <wp:simplePos x="0" y="0"/>
          <wp:positionH relativeFrom="column">
            <wp:posOffset>-648335</wp:posOffset>
          </wp:positionH>
          <wp:positionV relativeFrom="paragraph">
            <wp:posOffset>-252730</wp:posOffset>
          </wp:positionV>
          <wp:extent cx="7569835" cy="8718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4"/>
                  <a:stretch/>
                </pic:blipFill>
                <pic:spPr bwMode="auto">
                  <a:xfrm>
                    <a:off x="0" y="0"/>
                    <a:ext cx="7569835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2BE1" w14:textId="77777777" w:rsidR="009E4A25" w:rsidRDefault="009E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2A5B6" w14:textId="77777777" w:rsidR="00824C69" w:rsidRDefault="00824C69" w:rsidP="00AD337A">
      <w:r>
        <w:separator/>
      </w:r>
    </w:p>
  </w:footnote>
  <w:footnote w:type="continuationSeparator" w:id="0">
    <w:p w14:paraId="18C51008" w14:textId="77777777" w:rsidR="00824C69" w:rsidRDefault="00824C69" w:rsidP="00AD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85A3" w14:textId="77777777" w:rsidR="009E4A25" w:rsidRDefault="009E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117D" w14:textId="77777777" w:rsidR="00AD337A" w:rsidRDefault="00AD337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77FE6F5" wp14:editId="70CC0E82">
          <wp:simplePos x="0" y="0"/>
          <wp:positionH relativeFrom="column">
            <wp:posOffset>5505450</wp:posOffset>
          </wp:positionH>
          <wp:positionV relativeFrom="paragraph">
            <wp:posOffset>-459740</wp:posOffset>
          </wp:positionV>
          <wp:extent cx="1426435" cy="294322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59" b="32204"/>
                  <a:stretch/>
                </pic:blipFill>
                <pic:spPr bwMode="auto">
                  <a:xfrm>
                    <a:off x="0" y="0"/>
                    <a:ext cx="1426435" cy="294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9AE2" w14:textId="77777777" w:rsidR="009E4A25" w:rsidRDefault="009E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0C3"/>
    <w:multiLevelType w:val="multilevel"/>
    <w:tmpl w:val="D122ADF8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851"/>
      </w:pPr>
      <w:rPr>
        <w:rFonts w:hint="default"/>
        <w:b/>
        <w:i w:val="0"/>
        <w:sz w:val="22"/>
        <w:u w:val="none"/>
      </w:rPr>
    </w:lvl>
    <w:lvl w:ilvl="1">
      <w:start w:val="2"/>
      <w:numFmt w:val="none"/>
      <w:lvlText w:val="8.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u w:val="none"/>
      </w:rPr>
    </w:lvl>
    <w:lvl w:ilvl="2">
      <w:start w:val="1"/>
      <w:numFmt w:val="none"/>
      <w:lvlText w:val="8.2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3">
      <w:start w:val="1"/>
      <w:numFmt w:val="lowerRoman"/>
      <w:suff w:val="nothing"/>
      <w:lvlText w:val="(%4)"/>
      <w:lvlJc w:val="left"/>
      <w:pPr>
        <w:ind w:left="1985" w:hanging="567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2912"/>
        </w:tabs>
        <w:ind w:left="851" w:firstLine="17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345D84"/>
    <w:multiLevelType w:val="hybridMultilevel"/>
    <w:tmpl w:val="B27A6402"/>
    <w:lvl w:ilvl="0" w:tplc="C92AEA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0811"/>
    <w:multiLevelType w:val="hybridMultilevel"/>
    <w:tmpl w:val="56E28BCA"/>
    <w:lvl w:ilvl="0" w:tplc="D264C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0C16"/>
    <w:multiLevelType w:val="hybridMultilevel"/>
    <w:tmpl w:val="EE445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D715E5A"/>
    <w:multiLevelType w:val="hybridMultilevel"/>
    <w:tmpl w:val="E1A66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246B"/>
    <w:multiLevelType w:val="hybridMultilevel"/>
    <w:tmpl w:val="C1E2B15E"/>
    <w:lvl w:ilvl="0" w:tplc="CB2AB84A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1E5A"/>
    <w:multiLevelType w:val="multilevel"/>
    <w:tmpl w:val="82C2F15C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9403308"/>
    <w:multiLevelType w:val="hybridMultilevel"/>
    <w:tmpl w:val="513031D2"/>
    <w:lvl w:ilvl="0" w:tplc="C92AEA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67504"/>
    <w:multiLevelType w:val="hybridMultilevel"/>
    <w:tmpl w:val="CA361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4657E"/>
    <w:multiLevelType w:val="hybridMultilevel"/>
    <w:tmpl w:val="9ECEBCF4"/>
    <w:lvl w:ilvl="0" w:tplc="C92AEA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D67"/>
    <w:multiLevelType w:val="hybridMultilevel"/>
    <w:tmpl w:val="AAF05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69"/>
    <w:rsid w:val="00052260"/>
    <w:rsid w:val="00071C92"/>
    <w:rsid w:val="0007339F"/>
    <w:rsid w:val="00142DA9"/>
    <w:rsid w:val="001A58D3"/>
    <w:rsid w:val="00206325"/>
    <w:rsid w:val="002320C8"/>
    <w:rsid w:val="002775CA"/>
    <w:rsid w:val="0029676C"/>
    <w:rsid w:val="002B068A"/>
    <w:rsid w:val="002C3079"/>
    <w:rsid w:val="00373DE7"/>
    <w:rsid w:val="00375291"/>
    <w:rsid w:val="00376370"/>
    <w:rsid w:val="00381452"/>
    <w:rsid w:val="003B62B9"/>
    <w:rsid w:val="00431439"/>
    <w:rsid w:val="004663B8"/>
    <w:rsid w:val="00477852"/>
    <w:rsid w:val="004A2AC3"/>
    <w:rsid w:val="004E0D69"/>
    <w:rsid w:val="004E3C51"/>
    <w:rsid w:val="005E6602"/>
    <w:rsid w:val="00630946"/>
    <w:rsid w:val="006955C6"/>
    <w:rsid w:val="006A0C73"/>
    <w:rsid w:val="007228DE"/>
    <w:rsid w:val="007735FA"/>
    <w:rsid w:val="007A1DF0"/>
    <w:rsid w:val="007B09F8"/>
    <w:rsid w:val="00820914"/>
    <w:rsid w:val="00824C69"/>
    <w:rsid w:val="008358DD"/>
    <w:rsid w:val="009E4A25"/>
    <w:rsid w:val="00A33949"/>
    <w:rsid w:val="00A4408B"/>
    <w:rsid w:val="00AB0747"/>
    <w:rsid w:val="00AC4CBC"/>
    <w:rsid w:val="00AC7A29"/>
    <w:rsid w:val="00AD337A"/>
    <w:rsid w:val="00AE4233"/>
    <w:rsid w:val="00AE6887"/>
    <w:rsid w:val="00AF6356"/>
    <w:rsid w:val="00B00AE2"/>
    <w:rsid w:val="00B34B9E"/>
    <w:rsid w:val="00B36088"/>
    <w:rsid w:val="00B74F0D"/>
    <w:rsid w:val="00BE2726"/>
    <w:rsid w:val="00C84EE1"/>
    <w:rsid w:val="00CA6566"/>
    <w:rsid w:val="00CE644B"/>
    <w:rsid w:val="00D00075"/>
    <w:rsid w:val="00D22DF6"/>
    <w:rsid w:val="00D279A9"/>
    <w:rsid w:val="00D3653A"/>
    <w:rsid w:val="00D47D07"/>
    <w:rsid w:val="00D95B7D"/>
    <w:rsid w:val="00DE77AE"/>
    <w:rsid w:val="00E35B17"/>
    <w:rsid w:val="00EC7E22"/>
    <w:rsid w:val="00EF4402"/>
    <w:rsid w:val="00F55FF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EABD73"/>
  <w15:docId w15:val="{17608254-4FEE-4E20-8603-4FB070ED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68A"/>
    <w:rPr>
      <w:rFonts w:ascii="Verdana" w:hAnsi="Verdana"/>
    </w:rPr>
  </w:style>
  <w:style w:type="paragraph" w:styleId="Heading1">
    <w:name w:val="heading 1"/>
    <w:aliases w:val="h1"/>
    <w:basedOn w:val="Normal"/>
    <w:link w:val="Heading1Char"/>
    <w:uiPriority w:val="1"/>
    <w:qFormat/>
    <w:rsid w:val="002B068A"/>
    <w:pPr>
      <w:keepNext/>
      <w:pBdr>
        <w:bottom w:val="single" w:sz="4" w:space="1" w:color="auto"/>
      </w:pBdr>
      <w:tabs>
        <w:tab w:val="left" w:pos="1701"/>
        <w:tab w:val="left" w:pos="2552"/>
        <w:tab w:val="left" w:pos="3402"/>
        <w:tab w:val="left" w:pos="4253"/>
      </w:tabs>
      <w:spacing w:before="120" w:after="240"/>
      <w:outlineLvl w:val="0"/>
    </w:pPr>
    <w:rPr>
      <w:rFonts w:ascii="Arial" w:hAnsi="Arial"/>
      <w:b/>
      <w:color w:val="0000FF"/>
      <w:sz w:val="22"/>
    </w:rPr>
  </w:style>
  <w:style w:type="paragraph" w:styleId="Heading2">
    <w:name w:val="heading 2"/>
    <w:basedOn w:val="Normal"/>
    <w:link w:val="Heading2Char"/>
    <w:uiPriority w:val="1"/>
    <w:qFormat/>
    <w:rsid w:val="002B068A"/>
    <w:pPr>
      <w:tabs>
        <w:tab w:val="left" w:pos="1701"/>
        <w:tab w:val="left" w:pos="2552"/>
        <w:tab w:val="left" w:pos="3402"/>
        <w:tab w:val="left" w:pos="4253"/>
      </w:tabs>
      <w:spacing w:after="240"/>
      <w:outlineLvl w:val="1"/>
    </w:pPr>
    <w:rPr>
      <w:rFonts w:ascii="Times New Roman" w:hAnsi="Times New Roman"/>
      <w:snapToGrid w:val="0"/>
      <w:sz w:val="22"/>
    </w:rPr>
  </w:style>
  <w:style w:type="paragraph" w:styleId="Heading3">
    <w:name w:val="heading 3"/>
    <w:aliases w:val="Heading 3 Char1,Heading 3 Char Char"/>
    <w:basedOn w:val="Normal"/>
    <w:link w:val="Heading3Char"/>
    <w:uiPriority w:val="1"/>
    <w:qFormat/>
    <w:rsid w:val="002B068A"/>
    <w:pPr>
      <w:tabs>
        <w:tab w:val="left" w:pos="4763"/>
        <w:tab w:val="left" w:pos="6407"/>
        <w:tab w:val="left" w:pos="8222"/>
        <w:tab w:val="right" w:pos="9639"/>
      </w:tabs>
      <w:spacing w:after="240"/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Normal"/>
    <w:link w:val="Heading4Char"/>
    <w:uiPriority w:val="1"/>
    <w:qFormat/>
    <w:rsid w:val="002B068A"/>
    <w:pPr>
      <w:tabs>
        <w:tab w:val="left" w:pos="1701"/>
        <w:tab w:val="left" w:pos="3402"/>
        <w:tab w:val="left" w:pos="4253"/>
      </w:tabs>
      <w:spacing w:after="240"/>
      <w:outlineLvl w:val="3"/>
    </w:pPr>
    <w:rPr>
      <w:rFonts w:ascii="Times New Roman" w:hAnsi="Times New Roman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78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2B068A"/>
    <w:rPr>
      <w:rFonts w:ascii="Arial" w:hAnsi="Arial"/>
      <w:b/>
      <w:color w:val="0000FF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B068A"/>
    <w:rPr>
      <w:snapToGrid w:val="0"/>
      <w:sz w:val="22"/>
    </w:rPr>
  </w:style>
  <w:style w:type="character" w:customStyle="1" w:styleId="Heading3Char">
    <w:name w:val="Heading 3 Char"/>
    <w:aliases w:val="Heading 3 Char1 Char,Heading 3 Char Char Char"/>
    <w:basedOn w:val="DefaultParagraphFont"/>
    <w:link w:val="Heading3"/>
    <w:uiPriority w:val="1"/>
    <w:rsid w:val="002B068A"/>
    <w:rPr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2B068A"/>
    <w:rPr>
      <w:sz w:val="22"/>
    </w:rPr>
  </w:style>
  <w:style w:type="paragraph" w:styleId="ListParagraph">
    <w:name w:val="List Paragraph"/>
    <w:basedOn w:val="Normal"/>
    <w:uiPriority w:val="34"/>
    <w:qFormat/>
    <w:rsid w:val="002B06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7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D3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7A"/>
    <w:rPr>
      <w:rFonts w:ascii="Verdana" w:hAnsi="Verdana"/>
    </w:rPr>
  </w:style>
  <w:style w:type="character" w:customStyle="1" w:styleId="Heading5Char">
    <w:name w:val="Heading 5 Char"/>
    <w:basedOn w:val="DefaultParagraphFont"/>
    <w:link w:val="Heading5"/>
    <w:uiPriority w:val="9"/>
    <w:rsid w:val="0047785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HHSbody">
    <w:name w:val="DHHS body"/>
    <w:qFormat/>
    <w:rsid w:val="00477852"/>
    <w:pPr>
      <w:spacing w:after="120" w:line="270" w:lineRule="atLeast"/>
    </w:pPr>
    <w:rPr>
      <w:rFonts w:ascii="Arial" w:eastAsia="Times" w:hAnsi="Arial"/>
    </w:rPr>
  </w:style>
  <w:style w:type="paragraph" w:customStyle="1" w:styleId="DHHSbullet1">
    <w:name w:val="DHHS bullet 1"/>
    <w:basedOn w:val="DHHSbody"/>
    <w:qFormat/>
    <w:rsid w:val="00477852"/>
    <w:pPr>
      <w:spacing w:after="40"/>
    </w:pPr>
  </w:style>
  <w:style w:type="paragraph" w:customStyle="1" w:styleId="DHHSnumberloweralpha">
    <w:name w:val="DHHS number lower alpha"/>
    <w:basedOn w:val="DHHSbody"/>
    <w:uiPriority w:val="3"/>
    <w:rsid w:val="00477852"/>
    <w:pPr>
      <w:numPr>
        <w:ilvl w:val="2"/>
        <w:numId w:val="14"/>
      </w:numPr>
    </w:pPr>
  </w:style>
  <w:style w:type="paragraph" w:customStyle="1" w:styleId="DHHSnumberloweralphaindent">
    <w:name w:val="DHHS number lower alpha indent"/>
    <w:basedOn w:val="DHHSbody"/>
    <w:uiPriority w:val="3"/>
    <w:rsid w:val="00477852"/>
    <w:pPr>
      <w:numPr>
        <w:ilvl w:val="3"/>
        <w:numId w:val="14"/>
      </w:numPr>
    </w:pPr>
  </w:style>
  <w:style w:type="paragraph" w:customStyle="1" w:styleId="DHHStablefigurenote">
    <w:name w:val="DHHS table/figure note"/>
    <w:uiPriority w:val="4"/>
    <w:rsid w:val="00477852"/>
    <w:pPr>
      <w:spacing w:before="60" w:after="60" w:line="240" w:lineRule="exact"/>
    </w:pPr>
    <w:rPr>
      <w:rFonts w:ascii="Arial" w:hAnsi="Arial"/>
      <w:i/>
      <w:sz w:val="18"/>
    </w:rPr>
  </w:style>
  <w:style w:type="paragraph" w:customStyle="1" w:styleId="DHHStabletext">
    <w:name w:val="DHHS table text"/>
    <w:uiPriority w:val="3"/>
    <w:qFormat/>
    <w:rsid w:val="00477852"/>
    <w:pPr>
      <w:spacing w:before="80" w:after="60"/>
    </w:pPr>
    <w:rPr>
      <w:rFonts w:ascii="Arial" w:hAnsi="Arial"/>
    </w:rPr>
  </w:style>
  <w:style w:type="paragraph" w:customStyle="1" w:styleId="DHHStablecaption">
    <w:name w:val="DHHS table caption"/>
    <w:next w:val="DHHSbody"/>
    <w:uiPriority w:val="3"/>
    <w:qFormat/>
    <w:rsid w:val="00477852"/>
    <w:pPr>
      <w:keepNext/>
      <w:keepLines/>
      <w:spacing w:before="240" w:after="120" w:line="270" w:lineRule="exact"/>
    </w:pPr>
    <w:rPr>
      <w:rFonts w:ascii="Arial" w:hAnsi="Arial"/>
      <w:b/>
    </w:rPr>
  </w:style>
  <w:style w:type="paragraph" w:customStyle="1" w:styleId="DHHSfigurecaption">
    <w:name w:val="DHHS figure caption"/>
    <w:next w:val="DHHSbody"/>
    <w:rsid w:val="00477852"/>
    <w:pPr>
      <w:keepNext/>
      <w:keepLines/>
      <w:spacing w:before="240" w:after="120"/>
    </w:pPr>
    <w:rPr>
      <w:rFonts w:ascii="Arial" w:hAnsi="Arial"/>
      <w:b/>
    </w:rPr>
  </w:style>
  <w:style w:type="paragraph" w:customStyle="1" w:styleId="DHHSbullet2">
    <w:name w:val="DHHS bullet 2"/>
    <w:basedOn w:val="DHHSbody"/>
    <w:uiPriority w:val="2"/>
    <w:qFormat/>
    <w:rsid w:val="00477852"/>
    <w:pPr>
      <w:spacing w:after="40"/>
    </w:pPr>
  </w:style>
  <w:style w:type="paragraph" w:customStyle="1" w:styleId="DHHSnumberdigit">
    <w:name w:val="DHHS number digit"/>
    <w:basedOn w:val="DHHSbody"/>
    <w:uiPriority w:val="2"/>
    <w:rsid w:val="00477852"/>
    <w:pPr>
      <w:numPr>
        <w:numId w:val="14"/>
      </w:numPr>
    </w:pPr>
  </w:style>
  <w:style w:type="paragraph" w:customStyle="1" w:styleId="DHHStablecolhead">
    <w:name w:val="DHHS table col head"/>
    <w:uiPriority w:val="3"/>
    <w:qFormat/>
    <w:rsid w:val="00477852"/>
    <w:pPr>
      <w:spacing w:before="80" w:after="60"/>
    </w:pPr>
    <w:rPr>
      <w:rFonts w:ascii="Arial" w:hAnsi="Arial"/>
      <w:b/>
      <w:color w:val="DA372E"/>
    </w:rPr>
  </w:style>
  <w:style w:type="paragraph" w:customStyle="1" w:styleId="DHHSbodyaftertablefigure">
    <w:name w:val="DHHS body after table/figure"/>
    <w:basedOn w:val="DHHSbody"/>
    <w:next w:val="DHHSbody"/>
    <w:rsid w:val="00477852"/>
    <w:pPr>
      <w:spacing w:before="240"/>
    </w:pPr>
  </w:style>
  <w:style w:type="paragraph" w:customStyle="1" w:styleId="DHHSbullet1lastline">
    <w:name w:val="DHHS bullet 1 last line"/>
    <w:basedOn w:val="DHHSbullet1"/>
    <w:qFormat/>
    <w:rsid w:val="00477852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477852"/>
    <w:p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477852"/>
  </w:style>
  <w:style w:type="numbering" w:customStyle="1" w:styleId="ZZBullets">
    <w:name w:val="ZZ Bullets"/>
    <w:rsid w:val="00477852"/>
    <w:pPr>
      <w:numPr>
        <w:numId w:val="13"/>
      </w:numPr>
    </w:pPr>
  </w:style>
  <w:style w:type="paragraph" w:customStyle="1" w:styleId="DHHSbulletindent">
    <w:name w:val="DHHS bullet indent"/>
    <w:basedOn w:val="DHHSbody"/>
    <w:uiPriority w:val="4"/>
    <w:rsid w:val="00477852"/>
    <w:p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477852"/>
  </w:style>
  <w:style w:type="numbering" w:customStyle="1" w:styleId="ZZNumbers">
    <w:name w:val="ZZ Numbers"/>
    <w:rsid w:val="00477852"/>
    <w:pPr>
      <w:numPr>
        <w:numId w:val="14"/>
      </w:numPr>
    </w:pPr>
  </w:style>
  <w:style w:type="paragraph" w:customStyle="1" w:styleId="DHHSnumberlowerroman">
    <w:name w:val="DHHS number lower roman"/>
    <w:basedOn w:val="DHHSbody"/>
    <w:uiPriority w:val="3"/>
    <w:rsid w:val="00477852"/>
    <w:pPr>
      <w:numPr>
        <w:ilvl w:val="4"/>
        <w:numId w:val="14"/>
      </w:numPr>
    </w:pPr>
  </w:style>
  <w:style w:type="paragraph" w:customStyle="1" w:styleId="DHHSnumberlowerromanindent">
    <w:name w:val="DHHS number lower roman indent"/>
    <w:basedOn w:val="DHHSbody"/>
    <w:uiPriority w:val="3"/>
    <w:rsid w:val="00477852"/>
    <w:pPr>
      <w:numPr>
        <w:ilvl w:val="5"/>
        <w:numId w:val="14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477852"/>
    <w:pPr>
      <w:numPr>
        <w:ilvl w:val="1"/>
      </w:numPr>
    </w:pPr>
  </w:style>
  <w:style w:type="paragraph" w:customStyle="1" w:styleId="DHHSreportsubtitle">
    <w:name w:val="DHHS report subtitle"/>
    <w:basedOn w:val="Normal"/>
    <w:uiPriority w:val="4"/>
    <w:rsid w:val="001A58D3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376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370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370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D27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oodmatters@redcrossblood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STIR Bulletin 1: Parvovirus case vignette</vt:lpstr>
    </vt:vector>
  </TitlesOfParts>
  <Company>Australian Red Cross Blood Service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STIR Bulletin 1: Parvovirus case vignette</dc:title>
  <dc:subject>STIR Bulletin 1: Parvovirus case vignette</dc:subject>
  <dc:creator>Blood Matters</dc:creator>
  <cp:lastModifiedBy>Tyler McPherson (Health)</cp:lastModifiedBy>
  <cp:revision>2</cp:revision>
  <cp:lastPrinted>2016-06-30T05:36:00Z</cp:lastPrinted>
  <dcterms:created xsi:type="dcterms:W3CDTF">2021-10-07T10:37:00Z</dcterms:created>
  <dcterms:modified xsi:type="dcterms:W3CDTF">2021-10-07T10:37:00Z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2021-10-07T10:37:22Z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682f39af-b09c-4b69-86db-15f4bc5403e8</vt:lpwstr>
  </property>
  <property fmtid="{D5CDD505-2E9C-101B-9397-08002B2CF9AE}" pid="8" name="MSIP_Label_43e64453-338c-4f93-8a4d-0039a0a41f2a_ContentBits">
    <vt:lpwstr>2</vt:lpwstr>
  </property>
</Properties>
</file>