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6076E" w14:textId="77777777" w:rsidR="00002990" w:rsidRPr="003072C6" w:rsidRDefault="00AF20D7" w:rsidP="00A55989">
      <w:pPr>
        <w:pStyle w:val="DHHSbodynospace"/>
      </w:pPr>
      <w:r>
        <w:rPr>
          <w:noProof/>
          <w:lang w:eastAsia="en-AU"/>
        </w:rPr>
        <w:drawing>
          <wp:anchor distT="0" distB="0" distL="114300" distR="114300" simplePos="0" relativeHeight="251658240" behindDoc="1" locked="1" layoutInCell="1" allowOverlap="1" wp14:anchorId="7F7ACC32" wp14:editId="24F891E7">
            <wp:simplePos x="0" y="0"/>
            <wp:positionH relativeFrom="page">
              <wp:posOffset>0</wp:posOffset>
            </wp:positionH>
            <wp:positionV relativeFrom="page">
              <wp:posOffset>0</wp:posOffset>
            </wp:positionV>
            <wp:extent cx="7560000" cy="10692000"/>
            <wp:effectExtent l="0" t="0" r="3175"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 Report cover Blood Matters footerbranding2.png"/>
                    <pic:cNvPicPr/>
                  </pic:nvPicPr>
                  <pic:blipFill>
                    <a:blip r:embed="rId8"/>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tbl>
      <w:tblPr>
        <w:tblW w:w="7938" w:type="dxa"/>
        <w:tblInd w:w="113" w:type="dxa"/>
        <w:tblCellMar>
          <w:left w:w="0" w:type="dxa"/>
          <w:right w:w="0" w:type="dxa"/>
        </w:tblCellMar>
        <w:tblLook w:val="0600" w:firstRow="0" w:lastRow="0" w:firstColumn="0" w:lastColumn="0" w:noHBand="1" w:noVBand="1"/>
      </w:tblPr>
      <w:tblGrid>
        <w:gridCol w:w="7938"/>
      </w:tblGrid>
      <w:tr w:rsidR="001817CD" w:rsidRPr="003072C6" w14:paraId="0D91C8B1" w14:textId="77777777" w:rsidTr="00C0160A">
        <w:trPr>
          <w:trHeight w:val="3988"/>
        </w:trPr>
        <w:tc>
          <w:tcPr>
            <w:tcW w:w="7938" w:type="dxa"/>
            <w:shd w:val="clear" w:color="auto" w:fill="auto"/>
          </w:tcPr>
          <w:p w14:paraId="3B97BEA2" w14:textId="4C755874" w:rsidR="00BB6617" w:rsidRDefault="00BB6617" w:rsidP="00E91933">
            <w:pPr>
              <w:pStyle w:val="DHHSreportsubtitleblack"/>
              <w:rPr>
                <w:color w:val="D50032"/>
                <w:sz w:val="50"/>
                <w:szCs w:val="50"/>
              </w:rPr>
            </w:pPr>
            <w:r w:rsidRPr="00BB6617">
              <w:rPr>
                <w:color w:val="D50032"/>
                <w:sz w:val="50"/>
                <w:szCs w:val="50"/>
              </w:rPr>
              <w:t>2020 preoperative anaemia assessment and management in elective surgical procedures survey</w:t>
            </w:r>
            <w:r w:rsidR="00C06F93">
              <w:rPr>
                <w:color w:val="D50032"/>
                <w:sz w:val="50"/>
                <w:szCs w:val="50"/>
              </w:rPr>
              <w:t xml:space="preserve"> report</w:t>
            </w:r>
          </w:p>
          <w:p w14:paraId="4779251E" w14:textId="77777777" w:rsidR="00444D82" w:rsidRPr="003072C6" w:rsidRDefault="00BB6617" w:rsidP="00E91933">
            <w:pPr>
              <w:pStyle w:val="DHHSreportsubtitleblack"/>
            </w:pPr>
            <w:r>
              <w:t>Blood Matters</w:t>
            </w:r>
          </w:p>
        </w:tc>
      </w:tr>
      <w:tr w:rsidR="001817CD" w:rsidRPr="003072C6" w14:paraId="4C65B0CC" w14:textId="77777777" w:rsidTr="00C0160A">
        <w:trPr>
          <w:trHeight w:val="4664"/>
        </w:trPr>
        <w:tc>
          <w:tcPr>
            <w:tcW w:w="10252" w:type="dxa"/>
            <w:shd w:val="clear" w:color="auto" w:fill="auto"/>
          </w:tcPr>
          <w:p w14:paraId="2CCCEB25" w14:textId="77777777" w:rsidR="00502B8F" w:rsidRPr="003072C6" w:rsidRDefault="00502B8F" w:rsidP="00502B8F">
            <w:pPr>
              <w:pStyle w:val="Coverinstructions"/>
            </w:pPr>
          </w:p>
        </w:tc>
      </w:tr>
    </w:tbl>
    <w:p w14:paraId="743C7173" w14:textId="77777777" w:rsidR="0069374A" w:rsidRPr="00256E7C" w:rsidRDefault="0069374A" w:rsidP="00256E7C">
      <w:pPr>
        <w:pStyle w:val="DHHSbody"/>
      </w:pPr>
    </w:p>
    <w:p w14:paraId="4DD945D5" w14:textId="77777777" w:rsidR="00C51B1C" w:rsidRPr="00256E7C" w:rsidRDefault="00C51B1C" w:rsidP="00256E7C">
      <w:pPr>
        <w:pStyle w:val="DHHSbody"/>
        <w:sectPr w:rsidR="00C51B1C" w:rsidRPr="00256E7C" w:rsidSect="00A55989">
          <w:type w:val="oddPage"/>
          <w:pgSz w:w="11906" w:h="16838"/>
          <w:pgMar w:top="3969" w:right="1304" w:bottom="1134" w:left="1304" w:header="454" w:footer="567" w:gutter="0"/>
          <w:cols w:space="720"/>
          <w:docGrid w:linePitch="360"/>
        </w:sectPr>
      </w:pPr>
    </w:p>
    <w:p w14:paraId="01D7D451" w14:textId="3B552FE6" w:rsidR="00AC0C3B" w:rsidRPr="003072C6" w:rsidRDefault="00AC0C3B" w:rsidP="003C1A78">
      <w:pPr>
        <w:pStyle w:val="DHHSbody"/>
      </w:pPr>
    </w:p>
    <w:tbl>
      <w:tblPr>
        <w:tblW w:w="0" w:type="auto"/>
        <w:tblCellMar>
          <w:top w:w="113" w:type="dxa"/>
          <w:left w:w="0" w:type="dxa"/>
          <w:bottom w:w="57" w:type="dxa"/>
          <w:right w:w="0" w:type="dxa"/>
        </w:tblCellMar>
        <w:tblLook w:val="0600" w:firstRow="0" w:lastRow="0" w:firstColumn="0" w:lastColumn="0" w:noHBand="1" w:noVBand="1"/>
      </w:tblPr>
      <w:tblGrid>
        <w:gridCol w:w="9298"/>
      </w:tblGrid>
      <w:tr w:rsidR="00564E8F" w:rsidRPr="003072C6" w14:paraId="16B0DB97" w14:textId="77777777" w:rsidTr="00DE7B07">
        <w:trPr>
          <w:trHeight w:val="4313"/>
        </w:trPr>
        <w:tc>
          <w:tcPr>
            <w:tcW w:w="9401" w:type="dxa"/>
          </w:tcPr>
          <w:p w14:paraId="4FF8CBD7" w14:textId="77777777" w:rsidR="00564E8F" w:rsidRPr="00912C19" w:rsidRDefault="00564E8F" w:rsidP="00031263">
            <w:pPr>
              <w:pStyle w:val="DHHSbody"/>
              <w:rPr>
                <w:color w:val="007B4B"/>
                <w:sz w:val="26"/>
                <w:szCs w:val="26"/>
              </w:rPr>
            </w:pPr>
          </w:p>
        </w:tc>
      </w:tr>
      <w:tr w:rsidR="00564E8F" w:rsidRPr="003072C6" w14:paraId="41CCA9F6" w14:textId="77777777" w:rsidTr="00DE7B07">
        <w:trPr>
          <w:trHeight w:val="5387"/>
        </w:trPr>
        <w:tc>
          <w:tcPr>
            <w:tcW w:w="9401" w:type="dxa"/>
            <w:vAlign w:val="bottom"/>
          </w:tcPr>
          <w:p w14:paraId="19E4EA3A" w14:textId="2B2F3C22" w:rsidR="009D4AA8" w:rsidRPr="003C1A78" w:rsidRDefault="009D4AA8" w:rsidP="009D4AA8">
            <w:pPr>
              <w:spacing w:after="200" w:line="300" w:lineRule="atLeast"/>
              <w:rPr>
                <w:rFonts w:ascii="Arial" w:eastAsia="Times" w:hAnsi="Arial"/>
                <w:color w:val="000000" w:themeColor="text1"/>
                <w:sz w:val="24"/>
                <w:szCs w:val="19"/>
              </w:rPr>
            </w:pPr>
            <w:r w:rsidRPr="003C1A78">
              <w:rPr>
                <w:rFonts w:ascii="Arial" w:eastAsia="Times" w:hAnsi="Arial"/>
                <w:color w:val="000000" w:themeColor="text1"/>
                <w:sz w:val="24"/>
                <w:szCs w:val="19"/>
              </w:rPr>
              <w:t xml:space="preserve">To receive this publication in an accessible format phone </w:t>
            </w:r>
            <w:r w:rsidR="00684074" w:rsidRPr="003C1A78">
              <w:rPr>
                <w:rFonts w:ascii="Arial" w:eastAsia="Times" w:hAnsi="Arial"/>
                <w:color w:val="000000" w:themeColor="text1"/>
                <w:sz w:val="24"/>
                <w:szCs w:val="19"/>
              </w:rPr>
              <w:t>03 96940102</w:t>
            </w:r>
            <w:r w:rsidRPr="003C1A78">
              <w:rPr>
                <w:rFonts w:ascii="Arial" w:eastAsia="Times" w:hAnsi="Arial"/>
                <w:color w:val="000000" w:themeColor="text1"/>
                <w:sz w:val="24"/>
                <w:szCs w:val="19"/>
              </w:rPr>
              <w:t xml:space="preserve">, using the National Relay Service 13 36 77 if required, or email </w:t>
            </w:r>
            <w:hyperlink r:id="rId9" w:history="1">
              <w:r w:rsidR="00684074" w:rsidRPr="003C1A78">
                <w:rPr>
                  <w:rStyle w:val="Hyperlink"/>
                  <w:rFonts w:ascii="Arial" w:eastAsia="Times" w:hAnsi="Arial" w:cs="Arial"/>
                  <w:sz w:val="22"/>
                </w:rPr>
                <w:t>bloodmatters@redcrossblood.org.au</w:t>
              </w:r>
            </w:hyperlink>
            <w:r w:rsidRPr="003C1A78">
              <w:rPr>
                <w:rFonts w:ascii="Arial" w:eastAsia="Times" w:hAnsi="Arial"/>
                <w:color w:val="000000" w:themeColor="text1"/>
                <w:sz w:val="24"/>
                <w:szCs w:val="19"/>
              </w:rPr>
              <w:t xml:space="preserve"> &lt;</w:t>
            </w:r>
            <w:r w:rsidR="008241EF" w:rsidRPr="00243431">
              <w:rPr>
                <w:rFonts w:ascii="Arial" w:eastAsia="Times" w:hAnsi="Arial"/>
                <w:color w:val="000000" w:themeColor="text1"/>
                <w:sz w:val="24"/>
                <w:szCs w:val="19"/>
              </w:rPr>
              <w:t>bloodmatters@redcrossblood.org.au</w:t>
            </w:r>
            <w:r w:rsidRPr="003C1A78">
              <w:rPr>
                <w:rFonts w:ascii="Arial" w:eastAsia="Times" w:hAnsi="Arial"/>
                <w:color w:val="000000" w:themeColor="text1"/>
                <w:sz w:val="24"/>
                <w:szCs w:val="19"/>
              </w:rPr>
              <w:t>&gt;.</w:t>
            </w:r>
          </w:p>
          <w:p w14:paraId="7DFA79A6" w14:textId="77777777" w:rsidR="00551789" w:rsidRPr="003C1A78" w:rsidRDefault="00551789" w:rsidP="00551789">
            <w:pPr>
              <w:pStyle w:val="DHHSbody"/>
              <w:rPr>
                <w:color w:val="000000" w:themeColor="text1"/>
              </w:rPr>
            </w:pPr>
            <w:r w:rsidRPr="003C1A78">
              <w:rPr>
                <w:color w:val="000000" w:themeColor="text1"/>
              </w:rPr>
              <w:t>Authorised and published by the Victorian Government, 1 Treasury Place, Melbourne.</w:t>
            </w:r>
          </w:p>
          <w:p w14:paraId="0D19D98E" w14:textId="2CBF4731" w:rsidR="00551789" w:rsidRPr="003C1A78" w:rsidRDefault="00551789" w:rsidP="00551789">
            <w:pPr>
              <w:pStyle w:val="DHHSbody"/>
              <w:rPr>
                <w:color w:val="000000" w:themeColor="text1"/>
              </w:rPr>
            </w:pPr>
            <w:r w:rsidRPr="003C1A78">
              <w:rPr>
                <w:color w:val="000000" w:themeColor="text1"/>
              </w:rPr>
              <w:t xml:space="preserve">© State of Victoria, Australia, Department of Health and Human Services </w:t>
            </w:r>
            <w:r w:rsidR="008241EF" w:rsidRPr="003C1A78">
              <w:rPr>
                <w:color w:val="000000" w:themeColor="text1"/>
              </w:rPr>
              <w:t>Ju</w:t>
            </w:r>
            <w:r w:rsidR="008241EF">
              <w:rPr>
                <w:color w:val="000000" w:themeColor="text1"/>
              </w:rPr>
              <w:t>ly</w:t>
            </w:r>
            <w:r w:rsidR="008241EF" w:rsidRPr="003C1A78">
              <w:rPr>
                <w:color w:val="000000" w:themeColor="text1"/>
              </w:rPr>
              <w:t xml:space="preserve"> </w:t>
            </w:r>
            <w:r w:rsidR="00684074" w:rsidRPr="003C1A78">
              <w:rPr>
                <w:color w:val="000000" w:themeColor="text1"/>
              </w:rPr>
              <w:t>2020</w:t>
            </w:r>
            <w:r w:rsidRPr="003C1A78">
              <w:rPr>
                <w:color w:val="000000" w:themeColor="text1"/>
              </w:rPr>
              <w:t>.</w:t>
            </w:r>
          </w:p>
          <w:p w14:paraId="33BBE6FE" w14:textId="711844F0" w:rsidR="00551789" w:rsidRPr="003C1A78" w:rsidRDefault="00F23444" w:rsidP="00551789">
            <w:pPr>
              <w:pStyle w:val="DHHSbody"/>
              <w:rPr>
                <w:color w:val="000000" w:themeColor="text1"/>
              </w:rPr>
            </w:pPr>
            <w:r w:rsidRPr="00F23444">
              <w:rPr>
                <w:color w:val="000000" w:themeColor="text1"/>
              </w:rPr>
              <w:t>ISBN 978-1-76096-083-4 (pdf/online/MS word)</w:t>
            </w:r>
            <w:r w:rsidRPr="003C1A78" w:rsidDel="00F23444">
              <w:rPr>
                <w:color w:val="000000" w:themeColor="text1"/>
              </w:rPr>
              <w:t xml:space="preserve"> </w:t>
            </w:r>
          </w:p>
          <w:p w14:paraId="4A995FE9" w14:textId="5C502EEF" w:rsidR="00551789" w:rsidRPr="003C1A78" w:rsidRDefault="00551789" w:rsidP="00551789">
            <w:pPr>
              <w:pStyle w:val="DHHSbody"/>
              <w:rPr>
                <w:color w:val="000000" w:themeColor="text1"/>
                <w:szCs w:val="19"/>
              </w:rPr>
            </w:pPr>
            <w:r w:rsidRPr="003C1A78">
              <w:rPr>
                <w:color w:val="000000" w:themeColor="text1"/>
                <w:szCs w:val="19"/>
              </w:rPr>
              <w:t xml:space="preserve">Available at </w:t>
            </w:r>
            <w:r w:rsidRPr="003C1A78">
              <w:rPr>
                <w:color w:val="000000" w:themeColor="text1"/>
              </w:rPr>
              <w:t>&lt;</w:t>
            </w:r>
            <w:hyperlink r:id="rId10" w:history="1">
              <w:r w:rsidR="00F23444" w:rsidRPr="00F23444">
                <w:rPr>
                  <w:rStyle w:val="Hyperlink"/>
                </w:rPr>
                <w:t>https://www2.health.vic.gov.au/hospitals-and-health-services/patient-care/speciality-diagnostics-therapeutics/blood-matters</w:t>
              </w:r>
            </w:hyperlink>
            <w:r w:rsidRPr="003C1A78">
              <w:rPr>
                <w:color w:val="000000" w:themeColor="text1"/>
              </w:rPr>
              <w:t>&gt;</w:t>
            </w:r>
          </w:p>
          <w:p w14:paraId="79014BFA" w14:textId="77777777" w:rsidR="00564E8F" w:rsidRPr="003072C6" w:rsidRDefault="00564E8F" w:rsidP="00551789">
            <w:pPr>
              <w:pStyle w:val="DHHSbody"/>
            </w:pPr>
          </w:p>
        </w:tc>
      </w:tr>
      <w:tr w:rsidR="009906C7" w:rsidRPr="003072C6" w14:paraId="34290CEE" w14:textId="77777777" w:rsidTr="00DE7B07">
        <w:tc>
          <w:tcPr>
            <w:tcW w:w="9401" w:type="dxa"/>
            <w:vAlign w:val="bottom"/>
          </w:tcPr>
          <w:p w14:paraId="63A10AD2" w14:textId="77777777" w:rsidR="009906C7" w:rsidRPr="003072C6" w:rsidRDefault="009906C7" w:rsidP="003741AD">
            <w:pPr>
              <w:pStyle w:val="DHHSbodynospace"/>
            </w:pPr>
          </w:p>
        </w:tc>
      </w:tr>
    </w:tbl>
    <w:p w14:paraId="25E1DCDB" w14:textId="77777777" w:rsidR="00ED4D17" w:rsidRPr="003072C6" w:rsidRDefault="00ED4D17" w:rsidP="003072C6">
      <w:pPr>
        <w:pStyle w:val="DHHSbody"/>
      </w:pPr>
    </w:p>
    <w:p w14:paraId="03360982" w14:textId="77777777" w:rsidR="008241EF" w:rsidRDefault="008241EF">
      <w:pPr>
        <w:rPr>
          <w:rFonts w:ascii="Arial" w:hAnsi="Arial"/>
          <w:bCs/>
          <w:color w:val="DA372E"/>
          <w:sz w:val="44"/>
          <w:szCs w:val="44"/>
        </w:rPr>
      </w:pPr>
      <w:r>
        <w:rPr>
          <w:rFonts w:ascii="Arial" w:hAnsi="Arial"/>
          <w:bCs/>
          <w:color w:val="DA372E"/>
          <w:sz w:val="44"/>
          <w:szCs w:val="44"/>
        </w:rPr>
        <w:br w:type="page"/>
      </w:r>
    </w:p>
    <w:p w14:paraId="64E28197" w14:textId="42C7B9F7" w:rsidR="00684074" w:rsidRPr="00FA0EAE" w:rsidRDefault="00684074" w:rsidP="003C1A78">
      <w:pPr>
        <w:pStyle w:val="Heading1"/>
      </w:pPr>
      <w:bookmarkStart w:id="0" w:name="_Toc44568677"/>
      <w:r w:rsidRPr="00684074">
        <w:lastRenderedPageBreak/>
        <w:t>Contents</w:t>
      </w:r>
      <w:bookmarkEnd w:id="0"/>
    </w:p>
    <w:p w14:paraId="38FA3DA6" w14:textId="3F831730" w:rsidR="005A18E1" w:rsidRDefault="00B67DCA">
      <w:pPr>
        <w:pStyle w:val="TOC1"/>
        <w:rPr>
          <w:rFonts w:asciiTheme="minorHAnsi" w:eastAsiaTheme="minorEastAsia" w:hAnsiTheme="minorHAnsi" w:cstheme="minorBidi"/>
          <w:b w:val="0"/>
          <w:sz w:val="24"/>
          <w:szCs w:val="24"/>
          <w:lang w:eastAsia="en-GB"/>
        </w:rPr>
      </w:pPr>
      <w:r>
        <w:rPr>
          <w:b w:val="0"/>
        </w:rPr>
        <w:fldChar w:fldCharType="begin"/>
      </w:r>
      <w:r>
        <w:rPr>
          <w:b w:val="0"/>
        </w:rPr>
        <w:instrText xml:space="preserve"> TOC \h \z \t "Heading 1,1,Heading 2,2" </w:instrText>
      </w:r>
      <w:r>
        <w:rPr>
          <w:b w:val="0"/>
        </w:rPr>
        <w:fldChar w:fldCharType="separate"/>
      </w:r>
      <w:hyperlink w:anchor="_Toc44568677" w:history="1">
        <w:r w:rsidR="005A18E1" w:rsidRPr="00C12106">
          <w:rPr>
            <w:rStyle w:val="Hyperlink"/>
          </w:rPr>
          <w:t>Contents</w:t>
        </w:r>
        <w:r w:rsidR="005A18E1">
          <w:rPr>
            <w:webHidden/>
          </w:rPr>
          <w:tab/>
        </w:r>
        <w:r w:rsidR="005A18E1">
          <w:rPr>
            <w:webHidden/>
          </w:rPr>
          <w:fldChar w:fldCharType="begin"/>
        </w:r>
        <w:r w:rsidR="005A18E1">
          <w:rPr>
            <w:webHidden/>
          </w:rPr>
          <w:instrText xml:space="preserve"> PAGEREF _Toc44568677 \h </w:instrText>
        </w:r>
        <w:r w:rsidR="005A18E1">
          <w:rPr>
            <w:webHidden/>
          </w:rPr>
        </w:r>
        <w:r w:rsidR="005A18E1">
          <w:rPr>
            <w:webHidden/>
          </w:rPr>
          <w:fldChar w:fldCharType="separate"/>
        </w:r>
        <w:r w:rsidR="005A18E1">
          <w:rPr>
            <w:webHidden/>
          </w:rPr>
          <w:t>3</w:t>
        </w:r>
        <w:r w:rsidR="005A18E1">
          <w:rPr>
            <w:webHidden/>
          </w:rPr>
          <w:fldChar w:fldCharType="end"/>
        </w:r>
      </w:hyperlink>
    </w:p>
    <w:p w14:paraId="731BE35E" w14:textId="33107E5F" w:rsidR="005A18E1" w:rsidRDefault="00F23444">
      <w:pPr>
        <w:pStyle w:val="TOC1"/>
        <w:rPr>
          <w:rFonts w:asciiTheme="minorHAnsi" w:eastAsiaTheme="minorEastAsia" w:hAnsiTheme="minorHAnsi" w:cstheme="minorBidi"/>
          <w:b w:val="0"/>
          <w:sz w:val="24"/>
          <w:szCs w:val="24"/>
          <w:lang w:eastAsia="en-GB"/>
        </w:rPr>
      </w:pPr>
      <w:hyperlink w:anchor="_Toc44568678" w:history="1">
        <w:r w:rsidR="005A18E1" w:rsidRPr="00C12106">
          <w:rPr>
            <w:rStyle w:val="Hyperlink"/>
          </w:rPr>
          <w:t>Acknowledgements</w:t>
        </w:r>
        <w:r w:rsidR="005A18E1">
          <w:rPr>
            <w:webHidden/>
          </w:rPr>
          <w:tab/>
        </w:r>
        <w:r w:rsidR="005A18E1">
          <w:rPr>
            <w:webHidden/>
          </w:rPr>
          <w:fldChar w:fldCharType="begin"/>
        </w:r>
        <w:r w:rsidR="005A18E1">
          <w:rPr>
            <w:webHidden/>
          </w:rPr>
          <w:instrText xml:space="preserve"> PAGEREF _Toc44568678 \h </w:instrText>
        </w:r>
        <w:r w:rsidR="005A18E1">
          <w:rPr>
            <w:webHidden/>
          </w:rPr>
        </w:r>
        <w:r w:rsidR="005A18E1">
          <w:rPr>
            <w:webHidden/>
          </w:rPr>
          <w:fldChar w:fldCharType="separate"/>
        </w:r>
        <w:r w:rsidR="005A18E1">
          <w:rPr>
            <w:webHidden/>
          </w:rPr>
          <w:t>4</w:t>
        </w:r>
        <w:r w:rsidR="005A18E1">
          <w:rPr>
            <w:webHidden/>
          </w:rPr>
          <w:fldChar w:fldCharType="end"/>
        </w:r>
      </w:hyperlink>
    </w:p>
    <w:p w14:paraId="0FEE73BB" w14:textId="242EE451" w:rsidR="005A18E1" w:rsidRDefault="00F23444">
      <w:pPr>
        <w:pStyle w:val="TOC1"/>
        <w:rPr>
          <w:rFonts w:asciiTheme="minorHAnsi" w:eastAsiaTheme="minorEastAsia" w:hAnsiTheme="minorHAnsi" w:cstheme="minorBidi"/>
          <w:b w:val="0"/>
          <w:sz w:val="24"/>
          <w:szCs w:val="24"/>
          <w:lang w:eastAsia="en-GB"/>
        </w:rPr>
      </w:pPr>
      <w:hyperlink w:anchor="_Toc44568679" w:history="1">
        <w:r w:rsidR="005A18E1" w:rsidRPr="00C12106">
          <w:rPr>
            <w:rStyle w:val="Hyperlink"/>
          </w:rPr>
          <w:t>Limitations</w:t>
        </w:r>
        <w:r w:rsidR="005A18E1">
          <w:rPr>
            <w:webHidden/>
          </w:rPr>
          <w:tab/>
        </w:r>
        <w:r w:rsidR="005A18E1">
          <w:rPr>
            <w:webHidden/>
          </w:rPr>
          <w:fldChar w:fldCharType="begin"/>
        </w:r>
        <w:r w:rsidR="005A18E1">
          <w:rPr>
            <w:webHidden/>
          </w:rPr>
          <w:instrText xml:space="preserve"> PAGEREF _Toc44568679 \h </w:instrText>
        </w:r>
        <w:r w:rsidR="005A18E1">
          <w:rPr>
            <w:webHidden/>
          </w:rPr>
        </w:r>
        <w:r w:rsidR="005A18E1">
          <w:rPr>
            <w:webHidden/>
          </w:rPr>
          <w:fldChar w:fldCharType="separate"/>
        </w:r>
        <w:r w:rsidR="005A18E1">
          <w:rPr>
            <w:webHidden/>
          </w:rPr>
          <w:t>4</w:t>
        </w:r>
        <w:r w:rsidR="005A18E1">
          <w:rPr>
            <w:webHidden/>
          </w:rPr>
          <w:fldChar w:fldCharType="end"/>
        </w:r>
      </w:hyperlink>
    </w:p>
    <w:p w14:paraId="49DA73AC" w14:textId="13DD4939" w:rsidR="005A18E1" w:rsidRDefault="00F23444">
      <w:pPr>
        <w:pStyle w:val="TOC1"/>
        <w:rPr>
          <w:rFonts w:asciiTheme="minorHAnsi" w:eastAsiaTheme="minorEastAsia" w:hAnsiTheme="minorHAnsi" w:cstheme="minorBidi"/>
          <w:b w:val="0"/>
          <w:sz w:val="24"/>
          <w:szCs w:val="24"/>
          <w:lang w:eastAsia="en-GB"/>
        </w:rPr>
      </w:pPr>
      <w:hyperlink w:anchor="_Toc44568680" w:history="1">
        <w:r w:rsidR="005A18E1" w:rsidRPr="00C12106">
          <w:rPr>
            <w:rStyle w:val="Hyperlink"/>
          </w:rPr>
          <w:t>Abbreviations, acronyms and definitions</w:t>
        </w:r>
        <w:r w:rsidR="005A18E1">
          <w:rPr>
            <w:webHidden/>
          </w:rPr>
          <w:tab/>
        </w:r>
        <w:r w:rsidR="005A18E1">
          <w:rPr>
            <w:webHidden/>
          </w:rPr>
          <w:fldChar w:fldCharType="begin"/>
        </w:r>
        <w:r w:rsidR="005A18E1">
          <w:rPr>
            <w:webHidden/>
          </w:rPr>
          <w:instrText xml:space="preserve"> PAGEREF _Toc44568680 \h </w:instrText>
        </w:r>
        <w:r w:rsidR="005A18E1">
          <w:rPr>
            <w:webHidden/>
          </w:rPr>
        </w:r>
        <w:r w:rsidR="005A18E1">
          <w:rPr>
            <w:webHidden/>
          </w:rPr>
          <w:fldChar w:fldCharType="separate"/>
        </w:r>
        <w:r w:rsidR="005A18E1">
          <w:rPr>
            <w:webHidden/>
          </w:rPr>
          <w:t>5</w:t>
        </w:r>
        <w:r w:rsidR="005A18E1">
          <w:rPr>
            <w:webHidden/>
          </w:rPr>
          <w:fldChar w:fldCharType="end"/>
        </w:r>
      </w:hyperlink>
    </w:p>
    <w:p w14:paraId="5C9463CD" w14:textId="113CBAB1" w:rsidR="005A18E1" w:rsidRDefault="00F23444">
      <w:pPr>
        <w:pStyle w:val="TOC1"/>
        <w:rPr>
          <w:rFonts w:asciiTheme="minorHAnsi" w:eastAsiaTheme="minorEastAsia" w:hAnsiTheme="minorHAnsi" w:cstheme="minorBidi"/>
          <w:b w:val="0"/>
          <w:sz w:val="24"/>
          <w:szCs w:val="24"/>
          <w:lang w:eastAsia="en-GB"/>
        </w:rPr>
      </w:pPr>
      <w:hyperlink w:anchor="_Toc44568681" w:history="1">
        <w:r w:rsidR="005A18E1" w:rsidRPr="00C12106">
          <w:rPr>
            <w:rStyle w:val="Hyperlink"/>
          </w:rPr>
          <w:t>Definitions</w:t>
        </w:r>
        <w:r w:rsidR="005A18E1">
          <w:rPr>
            <w:webHidden/>
          </w:rPr>
          <w:tab/>
        </w:r>
        <w:r w:rsidR="005A18E1">
          <w:rPr>
            <w:webHidden/>
          </w:rPr>
          <w:fldChar w:fldCharType="begin"/>
        </w:r>
        <w:r w:rsidR="005A18E1">
          <w:rPr>
            <w:webHidden/>
          </w:rPr>
          <w:instrText xml:space="preserve"> PAGEREF _Toc44568681 \h </w:instrText>
        </w:r>
        <w:r w:rsidR="005A18E1">
          <w:rPr>
            <w:webHidden/>
          </w:rPr>
        </w:r>
        <w:r w:rsidR="005A18E1">
          <w:rPr>
            <w:webHidden/>
          </w:rPr>
          <w:fldChar w:fldCharType="separate"/>
        </w:r>
        <w:r w:rsidR="005A18E1">
          <w:rPr>
            <w:webHidden/>
          </w:rPr>
          <w:t>6</w:t>
        </w:r>
        <w:r w:rsidR="005A18E1">
          <w:rPr>
            <w:webHidden/>
          </w:rPr>
          <w:fldChar w:fldCharType="end"/>
        </w:r>
      </w:hyperlink>
    </w:p>
    <w:p w14:paraId="43C592E7" w14:textId="7D40E5E5" w:rsidR="005A18E1" w:rsidRDefault="00F23444">
      <w:pPr>
        <w:pStyle w:val="TOC1"/>
        <w:rPr>
          <w:rFonts w:asciiTheme="minorHAnsi" w:eastAsiaTheme="minorEastAsia" w:hAnsiTheme="minorHAnsi" w:cstheme="minorBidi"/>
          <w:b w:val="0"/>
          <w:sz w:val="24"/>
          <w:szCs w:val="24"/>
          <w:lang w:eastAsia="en-GB"/>
        </w:rPr>
      </w:pPr>
      <w:hyperlink w:anchor="_Toc44568682" w:history="1">
        <w:r w:rsidR="005A18E1" w:rsidRPr="00C12106">
          <w:rPr>
            <w:rStyle w:val="Hyperlink"/>
          </w:rPr>
          <w:t>Executive summary</w:t>
        </w:r>
        <w:r w:rsidR="005A18E1">
          <w:rPr>
            <w:webHidden/>
          </w:rPr>
          <w:tab/>
        </w:r>
        <w:r w:rsidR="005A18E1">
          <w:rPr>
            <w:webHidden/>
          </w:rPr>
          <w:fldChar w:fldCharType="begin"/>
        </w:r>
        <w:r w:rsidR="005A18E1">
          <w:rPr>
            <w:webHidden/>
          </w:rPr>
          <w:instrText xml:space="preserve"> PAGEREF _Toc44568682 \h </w:instrText>
        </w:r>
        <w:r w:rsidR="005A18E1">
          <w:rPr>
            <w:webHidden/>
          </w:rPr>
        </w:r>
        <w:r w:rsidR="005A18E1">
          <w:rPr>
            <w:webHidden/>
          </w:rPr>
          <w:fldChar w:fldCharType="separate"/>
        </w:r>
        <w:r w:rsidR="005A18E1">
          <w:rPr>
            <w:webHidden/>
          </w:rPr>
          <w:t>7</w:t>
        </w:r>
        <w:r w:rsidR="005A18E1">
          <w:rPr>
            <w:webHidden/>
          </w:rPr>
          <w:fldChar w:fldCharType="end"/>
        </w:r>
      </w:hyperlink>
    </w:p>
    <w:p w14:paraId="0DA1832F" w14:textId="2FA4BD86" w:rsidR="005A18E1" w:rsidRDefault="00F23444">
      <w:pPr>
        <w:pStyle w:val="TOC1"/>
        <w:rPr>
          <w:rFonts w:asciiTheme="minorHAnsi" w:eastAsiaTheme="minorEastAsia" w:hAnsiTheme="minorHAnsi" w:cstheme="minorBidi"/>
          <w:b w:val="0"/>
          <w:sz w:val="24"/>
          <w:szCs w:val="24"/>
          <w:lang w:eastAsia="en-GB"/>
        </w:rPr>
      </w:pPr>
      <w:hyperlink w:anchor="_Toc44568683" w:history="1">
        <w:r w:rsidR="005A18E1" w:rsidRPr="00C12106">
          <w:rPr>
            <w:rStyle w:val="Hyperlink"/>
          </w:rPr>
          <w:t>Patient blood management preoperative anaemia screening pathway checklist</w:t>
        </w:r>
        <w:r w:rsidR="005A18E1">
          <w:rPr>
            <w:webHidden/>
          </w:rPr>
          <w:tab/>
        </w:r>
        <w:r w:rsidR="005A18E1">
          <w:rPr>
            <w:webHidden/>
          </w:rPr>
          <w:fldChar w:fldCharType="begin"/>
        </w:r>
        <w:r w:rsidR="005A18E1">
          <w:rPr>
            <w:webHidden/>
          </w:rPr>
          <w:instrText xml:space="preserve"> PAGEREF _Toc44568683 \h </w:instrText>
        </w:r>
        <w:r w:rsidR="005A18E1">
          <w:rPr>
            <w:webHidden/>
          </w:rPr>
        </w:r>
        <w:r w:rsidR="005A18E1">
          <w:rPr>
            <w:webHidden/>
          </w:rPr>
          <w:fldChar w:fldCharType="separate"/>
        </w:r>
        <w:r w:rsidR="005A18E1">
          <w:rPr>
            <w:webHidden/>
          </w:rPr>
          <w:t>8</w:t>
        </w:r>
        <w:r w:rsidR="005A18E1">
          <w:rPr>
            <w:webHidden/>
          </w:rPr>
          <w:fldChar w:fldCharType="end"/>
        </w:r>
      </w:hyperlink>
    </w:p>
    <w:p w14:paraId="08325EB2" w14:textId="7E89546C" w:rsidR="005A18E1" w:rsidRDefault="00F23444">
      <w:pPr>
        <w:pStyle w:val="TOC1"/>
        <w:rPr>
          <w:rFonts w:asciiTheme="minorHAnsi" w:eastAsiaTheme="minorEastAsia" w:hAnsiTheme="minorHAnsi" w:cstheme="minorBidi"/>
          <w:b w:val="0"/>
          <w:sz w:val="24"/>
          <w:szCs w:val="24"/>
          <w:lang w:eastAsia="en-GB"/>
        </w:rPr>
      </w:pPr>
      <w:hyperlink w:anchor="_Toc44568684" w:history="1">
        <w:r w:rsidR="005A18E1" w:rsidRPr="00C12106">
          <w:rPr>
            <w:rStyle w:val="Hyperlink"/>
          </w:rPr>
          <w:t>Introduction</w:t>
        </w:r>
        <w:r w:rsidR="005A18E1">
          <w:rPr>
            <w:webHidden/>
          </w:rPr>
          <w:tab/>
        </w:r>
        <w:r w:rsidR="005A18E1">
          <w:rPr>
            <w:webHidden/>
          </w:rPr>
          <w:fldChar w:fldCharType="begin"/>
        </w:r>
        <w:r w:rsidR="005A18E1">
          <w:rPr>
            <w:webHidden/>
          </w:rPr>
          <w:instrText xml:space="preserve"> PAGEREF _Toc44568684 \h </w:instrText>
        </w:r>
        <w:r w:rsidR="005A18E1">
          <w:rPr>
            <w:webHidden/>
          </w:rPr>
        </w:r>
        <w:r w:rsidR="005A18E1">
          <w:rPr>
            <w:webHidden/>
          </w:rPr>
          <w:fldChar w:fldCharType="separate"/>
        </w:r>
        <w:r w:rsidR="005A18E1">
          <w:rPr>
            <w:webHidden/>
          </w:rPr>
          <w:t>10</w:t>
        </w:r>
        <w:r w:rsidR="005A18E1">
          <w:rPr>
            <w:webHidden/>
          </w:rPr>
          <w:fldChar w:fldCharType="end"/>
        </w:r>
      </w:hyperlink>
    </w:p>
    <w:p w14:paraId="0F67841F" w14:textId="758527A7" w:rsidR="005A18E1" w:rsidRDefault="00F23444">
      <w:pPr>
        <w:pStyle w:val="TOC2"/>
        <w:rPr>
          <w:rFonts w:asciiTheme="minorHAnsi" w:eastAsiaTheme="minorEastAsia" w:hAnsiTheme="minorHAnsi" w:cstheme="minorBidi"/>
          <w:sz w:val="24"/>
          <w:szCs w:val="24"/>
          <w:lang w:eastAsia="en-GB"/>
        </w:rPr>
      </w:pPr>
      <w:hyperlink w:anchor="_Toc44568685" w:history="1">
        <w:r w:rsidR="005A18E1" w:rsidRPr="00C12106">
          <w:rPr>
            <w:rStyle w:val="Hyperlink"/>
            <w:rFonts w:eastAsia="MS Gothic"/>
          </w:rPr>
          <w:t>Survey aims</w:t>
        </w:r>
        <w:r w:rsidR="005A18E1">
          <w:rPr>
            <w:webHidden/>
          </w:rPr>
          <w:tab/>
        </w:r>
        <w:r w:rsidR="005A18E1">
          <w:rPr>
            <w:webHidden/>
          </w:rPr>
          <w:fldChar w:fldCharType="begin"/>
        </w:r>
        <w:r w:rsidR="005A18E1">
          <w:rPr>
            <w:webHidden/>
          </w:rPr>
          <w:instrText xml:space="preserve"> PAGEREF _Toc44568685 \h </w:instrText>
        </w:r>
        <w:r w:rsidR="005A18E1">
          <w:rPr>
            <w:webHidden/>
          </w:rPr>
        </w:r>
        <w:r w:rsidR="005A18E1">
          <w:rPr>
            <w:webHidden/>
          </w:rPr>
          <w:fldChar w:fldCharType="separate"/>
        </w:r>
        <w:r w:rsidR="005A18E1">
          <w:rPr>
            <w:webHidden/>
          </w:rPr>
          <w:t>11</w:t>
        </w:r>
        <w:r w:rsidR="005A18E1">
          <w:rPr>
            <w:webHidden/>
          </w:rPr>
          <w:fldChar w:fldCharType="end"/>
        </w:r>
      </w:hyperlink>
    </w:p>
    <w:p w14:paraId="1144483F" w14:textId="3FAB929A" w:rsidR="005A18E1" w:rsidRDefault="00F23444">
      <w:pPr>
        <w:pStyle w:val="TOC2"/>
        <w:rPr>
          <w:rFonts w:asciiTheme="minorHAnsi" w:eastAsiaTheme="minorEastAsia" w:hAnsiTheme="minorHAnsi" w:cstheme="minorBidi"/>
          <w:sz w:val="24"/>
          <w:szCs w:val="24"/>
          <w:lang w:eastAsia="en-GB"/>
        </w:rPr>
      </w:pPr>
      <w:hyperlink w:anchor="_Toc44568686" w:history="1">
        <w:r w:rsidR="005A18E1" w:rsidRPr="00C12106">
          <w:rPr>
            <w:rStyle w:val="Hyperlink"/>
            <w:rFonts w:eastAsia="MS Gothic"/>
          </w:rPr>
          <w:t>Objectives</w:t>
        </w:r>
        <w:r w:rsidR="005A18E1">
          <w:rPr>
            <w:webHidden/>
          </w:rPr>
          <w:tab/>
        </w:r>
        <w:r w:rsidR="005A18E1">
          <w:rPr>
            <w:webHidden/>
          </w:rPr>
          <w:fldChar w:fldCharType="begin"/>
        </w:r>
        <w:r w:rsidR="005A18E1">
          <w:rPr>
            <w:webHidden/>
          </w:rPr>
          <w:instrText xml:space="preserve"> PAGEREF _Toc44568686 \h </w:instrText>
        </w:r>
        <w:r w:rsidR="005A18E1">
          <w:rPr>
            <w:webHidden/>
          </w:rPr>
        </w:r>
        <w:r w:rsidR="005A18E1">
          <w:rPr>
            <w:webHidden/>
          </w:rPr>
          <w:fldChar w:fldCharType="separate"/>
        </w:r>
        <w:r w:rsidR="005A18E1">
          <w:rPr>
            <w:webHidden/>
          </w:rPr>
          <w:t>11</w:t>
        </w:r>
        <w:r w:rsidR="005A18E1">
          <w:rPr>
            <w:webHidden/>
          </w:rPr>
          <w:fldChar w:fldCharType="end"/>
        </w:r>
      </w:hyperlink>
    </w:p>
    <w:p w14:paraId="03944818" w14:textId="171A37BD" w:rsidR="005A18E1" w:rsidRDefault="00F23444">
      <w:pPr>
        <w:pStyle w:val="TOC1"/>
        <w:rPr>
          <w:rFonts w:asciiTheme="minorHAnsi" w:eastAsiaTheme="minorEastAsia" w:hAnsiTheme="minorHAnsi" w:cstheme="minorBidi"/>
          <w:b w:val="0"/>
          <w:sz w:val="24"/>
          <w:szCs w:val="24"/>
          <w:lang w:eastAsia="en-GB"/>
        </w:rPr>
      </w:pPr>
      <w:hyperlink w:anchor="_Toc44568687" w:history="1">
        <w:r w:rsidR="005A18E1" w:rsidRPr="00C12106">
          <w:rPr>
            <w:rStyle w:val="Hyperlink"/>
          </w:rPr>
          <w:t>Method</w:t>
        </w:r>
        <w:r w:rsidR="005A18E1">
          <w:rPr>
            <w:webHidden/>
          </w:rPr>
          <w:tab/>
        </w:r>
        <w:r w:rsidR="005A18E1">
          <w:rPr>
            <w:webHidden/>
          </w:rPr>
          <w:fldChar w:fldCharType="begin"/>
        </w:r>
        <w:r w:rsidR="005A18E1">
          <w:rPr>
            <w:webHidden/>
          </w:rPr>
          <w:instrText xml:space="preserve"> PAGEREF _Toc44568687 \h </w:instrText>
        </w:r>
        <w:r w:rsidR="005A18E1">
          <w:rPr>
            <w:webHidden/>
          </w:rPr>
        </w:r>
        <w:r w:rsidR="005A18E1">
          <w:rPr>
            <w:webHidden/>
          </w:rPr>
          <w:fldChar w:fldCharType="separate"/>
        </w:r>
        <w:r w:rsidR="005A18E1">
          <w:rPr>
            <w:webHidden/>
          </w:rPr>
          <w:t>12</w:t>
        </w:r>
        <w:r w:rsidR="005A18E1">
          <w:rPr>
            <w:webHidden/>
          </w:rPr>
          <w:fldChar w:fldCharType="end"/>
        </w:r>
      </w:hyperlink>
    </w:p>
    <w:p w14:paraId="6A9E84D4" w14:textId="31BEE098" w:rsidR="005A18E1" w:rsidRDefault="00F23444">
      <w:pPr>
        <w:pStyle w:val="TOC1"/>
        <w:rPr>
          <w:rFonts w:asciiTheme="minorHAnsi" w:eastAsiaTheme="minorEastAsia" w:hAnsiTheme="minorHAnsi" w:cstheme="minorBidi"/>
          <w:b w:val="0"/>
          <w:sz w:val="24"/>
          <w:szCs w:val="24"/>
          <w:lang w:eastAsia="en-GB"/>
        </w:rPr>
      </w:pPr>
      <w:hyperlink w:anchor="_Toc44568688" w:history="1">
        <w:r w:rsidR="005A18E1" w:rsidRPr="00C12106">
          <w:rPr>
            <w:rStyle w:val="Hyperlink"/>
          </w:rPr>
          <w:t>Results</w:t>
        </w:r>
        <w:r w:rsidR="005A18E1">
          <w:rPr>
            <w:webHidden/>
          </w:rPr>
          <w:tab/>
        </w:r>
        <w:r w:rsidR="005A18E1">
          <w:rPr>
            <w:webHidden/>
          </w:rPr>
          <w:fldChar w:fldCharType="begin"/>
        </w:r>
        <w:r w:rsidR="005A18E1">
          <w:rPr>
            <w:webHidden/>
          </w:rPr>
          <w:instrText xml:space="preserve"> PAGEREF _Toc44568688 \h </w:instrText>
        </w:r>
        <w:r w:rsidR="005A18E1">
          <w:rPr>
            <w:webHidden/>
          </w:rPr>
        </w:r>
        <w:r w:rsidR="005A18E1">
          <w:rPr>
            <w:webHidden/>
          </w:rPr>
          <w:fldChar w:fldCharType="separate"/>
        </w:r>
        <w:r w:rsidR="005A18E1">
          <w:rPr>
            <w:webHidden/>
          </w:rPr>
          <w:t>13</w:t>
        </w:r>
        <w:r w:rsidR="005A18E1">
          <w:rPr>
            <w:webHidden/>
          </w:rPr>
          <w:fldChar w:fldCharType="end"/>
        </w:r>
      </w:hyperlink>
    </w:p>
    <w:p w14:paraId="5E5A9720" w14:textId="6F9C6F5D" w:rsidR="005A18E1" w:rsidRDefault="00F23444">
      <w:pPr>
        <w:pStyle w:val="TOC2"/>
        <w:rPr>
          <w:rFonts w:asciiTheme="minorHAnsi" w:eastAsiaTheme="minorEastAsia" w:hAnsiTheme="minorHAnsi" w:cstheme="minorBidi"/>
          <w:sz w:val="24"/>
          <w:szCs w:val="24"/>
          <w:lang w:eastAsia="en-GB"/>
        </w:rPr>
      </w:pPr>
      <w:hyperlink w:anchor="_Toc44568689" w:history="1">
        <w:r w:rsidR="005A18E1" w:rsidRPr="00C12106">
          <w:rPr>
            <w:rStyle w:val="Hyperlink"/>
            <w:rFonts w:eastAsia="MS Gothic"/>
          </w:rPr>
          <w:t>Screening pathway absent</w:t>
        </w:r>
        <w:r w:rsidR="005A18E1">
          <w:rPr>
            <w:webHidden/>
          </w:rPr>
          <w:tab/>
        </w:r>
        <w:r w:rsidR="005A18E1">
          <w:rPr>
            <w:webHidden/>
          </w:rPr>
          <w:fldChar w:fldCharType="begin"/>
        </w:r>
        <w:r w:rsidR="005A18E1">
          <w:rPr>
            <w:webHidden/>
          </w:rPr>
          <w:instrText xml:space="preserve"> PAGEREF _Toc44568689 \h </w:instrText>
        </w:r>
        <w:r w:rsidR="005A18E1">
          <w:rPr>
            <w:webHidden/>
          </w:rPr>
        </w:r>
        <w:r w:rsidR="005A18E1">
          <w:rPr>
            <w:webHidden/>
          </w:rPr>
          <w:fldChar w:fldCharType="separate"/>
        </w:r>
        <w:r w:rsidR="005A18E1">
          <w:rPr>
            <w:webHidden/>
          </w:rPr>
          <w:t>14</w:t>
        </w:r>
        <w:r w:rsidR="005A18E1">
          <w:rPr>
            <w:webHidden/>
          </w:rPr>
          <w:fldChar w:fldCharType="end"/>
        </w:r>
      </w:hyperlink>
    </w:p>
    <w:p w14:paraId="546485DC" w14:textId="47BD677A" w:rsidR="005A18E1" w:rsidRDefault="00F23444">
      <w:pPr>
        <w:pStyle w:val="TOC2"/>
        <w:rPr>
          <w:rFonts w:asciiTheme="minorHAnsi" w:eastAsiaTheme="minorEastAsia" w:hAnsiTheme="minorHAnsi" w:cstheme="minorBidi"/>
          <w:sz w:val="24"/>
          <w:szCs w:val="24"/>
          <w:lang w:eastAsia="en-GB"/>
        </w:rPr>
      </w:pPr>
      <w:hyperlink w:anchor="_Toc44568690" w:history="1">
        <w:r w:rsidR="005A18E1" w:rsidRPr="00C12106">
          <w:rPr>
            <w:rStyle w:val="Hyperlink"/>
            <w:rFonts w:eastAsia="MS Gothic"/>
          </w:rPr>
          <w:t>Screening pathway present</w:t>
        </w:r>
        <w:r w:rsidR="005A18E1">
          <w:rPr>
            <w:webHidden/>
          </w:rPr>
          <w:tab/>
        </w:r>
        <w:r w:rsidR="005A18E1">
          <w:rPr>
            <w:webHidden/>
          </w:rPr>
          <w:fldChar w:fldCharType="begin"/>
        </w:r>
        <w:r w:rsidR="005A18E1">
          <w:rPr>
            <w:webHidden/>
          </w:rPr>
          <w:instrText xml:space="preserve"> PAGEREF _Toc44568690 \h </w:instrText>
        </w:r>
        <w:r w:rsidR="005A18E1">
          <w:rPr>
            <w:webHidden/>
          </w:rPr>
        </w:r>
        <w:r w:rsidR="005A18E1">
          <w:rPr>
            <w:webHidden/>
          </w:rPr>
          <w:fldChar w:fldCharType="separate"/>
        </w:r>
        <w:r w:rsidR="005A18E1">
          <w:rPr>
            <w:webHidden/>
          </w:rPr>
          <w:t>16</w:t>
        </w:r>
        <w:r w:rsidR="005A18E1">
          <w:rPr>
            <w:webHidden/>
          </w:rPr>
          <w:fldChar w:fldCharType="end"/>
        </w:r>
      </w:hyperlink>
    </w:p>
    <w:p w14:paraId="2F701D98" w14:textId="5EC76A23" w:rsidR="005A18E1" w:rsidRDefault="00F23444">
      <w:pPr>
        <w:pStyle w:val="TOC2"/>
        <w:rPr>
          <w:rFonts w:asciiTheme="minorHAnsi" w:eastAsiaTheme="minorEastAsia" w:hAnsiTheme="minorHAnsi" w:cstheme="minorBidi"/>
          <w:sz w:val="24"/>
          <w:szCs w:val="24"/>
          <w:lang w:eastAsia="en-GB"/>
        </w:rPr>
      </w:pPr>
      <w:hyperlink w:anchor="_Toc44568691" w:history="1">
        <w:r w:rsidR="005A18E1" w:rsidRPr="00C12106">
          <w:rPr>
            <w:rStyle w:val="Hyperlink"/>
            <w:rFonts w:eastAsia="MS Gothic"/>
          </w:rPr>
          <w:t>General practitioner involvement</w:t>
        </w:r>
        <w:r w:rsidR="005A18E1">
          <w:rPr>
            <w:webHidden/>
          </w:rPr>
          <w:tab/>
        </w:r>
        <w:r w:rsidR="005A18E1">
          <w:rPr>
            <w:webHidden/>
          </w:rPr>
          <w:fldChar w:fldCharType="begin"/>
        </w:r>
        <w:r w:rsidR="005A18E1">
          <w:rPr>
            <w:webHidden/>
          </w:rPr>
          <w:instrText xml:space="preserve"> PAGEREF _Toc44568691 \h </w:instrText>
        </w:r>
        <w:r w:rsidR="005A18E1">
          <w:rPr>
            <w:webHidden/>
          </w:rPr>
        </w:r>
        <w:r w:rsidR="005A18E1">
          <w:rPr>
            <w:webHidden/>
          </w:rPr>
          <w:fldChar w:fldCharType="separate"/>
        </w:r>
        <w:r w:rsidR="005A18E1">
          <w:rPr>
            <w:webHidden/>
          </w:rPr>
          <w:t>18</w:t>
        </w:r>
        <w:r w:rsidR="005A18E1">
          <w:rPr>
            <w:webHidden/>
          </w:rPr>
          <w:fldChar w:fldCharType="end"/>
        </w:r>
      </w:hyperlink>
    </w:p>
    <w:p w14:paraId="7B2C0D6F" w14:textId="332F6F80" w:rsidR="005A18E1" w:rsidRDefault="00F23444">
      <w:pPr>
        <w:pStyle w:val="TOC2"/>
        <w:rPr>
          <w:rFonts w:asciiTheme="minorHAnsi" w:eastAsiaTheme="minorEastAsia" w:hAnsiTheme="minorHAnsi" w:cstheme="minorBidi"/>
          <w:sz w:val="24"/>
          <w:szCs w:val="24"/>
          <w:lang w:eastAsia="en-GB"/>
        </w:rPr>
      </w:pPr>
      <w:hyperlink w:anchor="_Toc44568692" w:history="1">
        <w:r w:rsidR="005A18E1" w:rsidRPr="00C12106">
          <w:rPr>
            <w:rStyle w:val="Hyperlink"/>
            <w:rFonts w:eastAsia="MS Gothic"/>
          </w:rPr>
          <w:t>Screening follow up</w:t>
        </w:r>
        <w:r w:rsidR="005A18E1">
          <w:rPr>
            <w:webHidden/>
          </w:rPr>
          <w:tab/>
        </w:r>
        <w:r w:rsidR="005A18E1">
          <w:rPr>
            <w:webHidden/>
          </w:rPr>
          <w:fldChar w:fldCharType="begin"/>
        </w:r>
        <w:r w:rsidR="005A18E1">
          <w:rPr>
            <w:webHidden/>
          </w:rPr>
          <w:instrText xml:space="preserve"> PAGEREF _Toc44568692 \h </w:instrText>
        </w:r>
        <w:r w:rsidR="005A18E1">
          <w:rPr>
            <w:webHidden/>
          </w:rPr>
        </w:r>
        <w:r w:rsidR="005A18E1">
          <w:rPr>
            <w:webHidden/>
          </w:rPr>
          <w:fldChar w:fldCharType="separate"/>
        </w:r>
        <w:r w:rsidR="005A18E1">
          <w:rPr>
            <w:webHidden/>
          </w:rPr>
          <w:t>18</w:t>
        </w:r>
        <w:r w:rsidR="005A18E1">
          <w:rPr>
            <w:webHidden/>
          </w:rPr>
          <w:fldChar w:fldCharType="end"/>
        </w:r>
      </w:hyperlink>
    </w:p>
    <w:p w14:paraId="640C4486" w14:textId="3D932E42" w:rsidR="005A18E1" w:rsidRDefault="00F23444">
      <w:pPr>
        <w:pStyle w:val="TOC2"/>
        <w:rPr>
          <w:rFonts w:asciiTheme="minorHAnsi" w:eastAsiaTheme="minorEastAsia" w:hAnsiTheme="minorHAnsi" w:cstheme="minorBidi"/>
          <w:sz w:val="24"/>
          <w:szCs w:val="24"/>
          <w:lang w:eastAsia="en-GB"/>
        </w:rPr>
      </w:pPr>
      <w:hyperlink w:anchor="_Toc44568693" w:history="1">
        <w:r w:rsidR="005A18E1" w:rsidRPr="00C12106">
          <w:rPr>
            <w:rStyle w:val="Hyperlink"/>
            <w:rFonts w:eastAsia="MS Gothic"/>
          </w:rPr>
          <w:t>Consumer information</w:t>
        </w:r>
        <w:r w:rsidR="005A18E1">
          <w:rPr>
            <w:webHidden/>
          </w:rPr>
          <w:tab/>
        </w:r>
        <w:r w:rsidR="005A18E1">
          <w:rPr>
            <w:webHidden/>
          </w:rPr>
          <w:fldChar w:fldCharType="begin"/>
        </w:r>
        <w:r w:rsidR="005A18E1">
          <w:rPr>
            <w:webHidden/>
          </w:rPr>
          <w:instrText xml:space="preserve"> PAGEREF _Toc44568693 \h </w:instrText>
        </w:r>
        <w:r w:rsidR="005A18E1">
          <w:rPr>
            <w:webHidden/>
          </w:rPr>
        </w:r>
        <w:r w:rsidR="005A18E1">
          <w:rPr>
            <w:webHidden/>
          </w:rPr>
          <w:fldChar w:fldCharType="separate"/>
        </w:r>
        <w:r w:rsidR="005A18E1">
          <w:rPr>
            <w:webHidden/>
          </w:rPr>
          <w:t>19</w:t>
        </w:r>
        <w:r w:rsidR="005A18E1">
          <w:rPr>
            <w:webHidden/>
          </w:rPr>
          <w:fldChar w:fldCharType="end"/>
        </w:r>
      </w:hyperlink>
    </w:p>
    <w:p w14:paraId="45ADA36B" w14:textId="42D73476" w:rsidR="005A18E1" w:rsidRDefault="00F23444">
      <w:pPr>
        <w:pStyle w:val="TOC1"/>
        <w:rPr>
          <w:rFonts w:asciiTheme="minorHAnsi" w:eastAsiaTheme="minorEastAsia" w:hAnsiTheme="minorHAnsi" w:cstheme="minorBidi"/>
          <w:b w:val="0"/>
          <w:sz w:val="24"/>
          <w:szCs w:val="24"/>
          <w:lang w:eastAsia="en-GB"/>
        </w:rPr>
      </w:pPr>
      <w:hyperlink w:anchor="_Toc44568694" w:history="1">
        <w:r w:rsidR="005A18E1" w:rsidRPr="00C12106">
          <w:rPr>
            <w:rStyle w:val="Hyperlink"/>
          </w:rPr>
          <w:t>Survey summary</w:t>
        </w:r>
        <w:r w:rsidR="005A18E1">
          <w:rPr>
            <w:webHidden/>
          </w:rPr>
          <w:tab/>
        </w:r>
        <w:r w:rsidR="005A18E1">
          <w:rPr>
            <w:webHidden/>
          </w:rPr>
          <w:fldChar w:fldCharType="begin"/>
        </w:r>
        <w:r w:rsidR="005A18E1">
          <w:rPr>
            <w:webHidden/>
          </w:rPr>
          <w:instrText xml:space="preserve"> PAGEREF _Toc44568694 \h </w:instrText>
        </w:r>
        <w:r w:rsidR="005A18E1">
          <w:rPr>
            <w:webHidden/>
          </w:rPr>
        </w:r>
        <w:r w:rsidR="005A18E1">
          <w:rPr>
            <w:webHidden/>
          </w:rPr>
          <w:fldChar w:fldCharType="separate"/>
        </w:r>
        <w:r w:rsidR="005A18E1">
          <w:rPr>
            <w:webHidden/>
          </w:rPr>
          <w:t>23</w:t>
        </w:r>
        <w:r w:rsidR="005A18E1">
          <w:rPr>
            <w:webHidden/>
          </w:rPr>
          <w:fldChar w:fldCharType="end"/>
        </w:r>
      </w:hyperlink>
    </w:p>
    <w:p w14:paraId="31631870" w14:textId="0F8805DE" w:rsidR="005A18E1" w:rsidRDefault="00F23444">
      <w:pPr>
        <w:pStyle w:val="TOC1"/>
        <w:rPr>
          <w:rFonts w:asciiTheme="minorHAnsi" w:eastAsiaTheme="minorEastAsia" w:hAnsiTheme="minorHAnsi" w:cstheme="minorBidi"/>
          <w:b w:val="0"/>
          <w:sz w:val="24"/>
          <w:szCs w:val="24"/>
          <w:lang w:eastAsia="en-GB"/>
        </w:rPr>
      </w:pPr>
      <w:hyperlink w:anchor="_Toc44568695" w:history="1">
        <w:r w:rsidR="005A18E1" w:rsidRPr="00C12106">
          <w:rPr>
            <w:rStyle w:val="Hyperlink"/>
          </w:rPr>
          <w:t>Recommendations</w:t>
        </w:r>
        <w:r w:rsidR="005A18E1">
          <w:rPr>
            <w:webHidden/>
          </w:rPr>
          <w:tab/>
        </w:r>
        <w:r w:rsidR="005A18E1">
          <w:rPr>
            <w:webHidden/>
          </w:rPr>
          <w:fldChar w:fldCharType="begin"/>
        </w:r>
        <w:r w:rsidR="005A18E1">
          <w:rPr>
            <w:webHidden/>
          </w:rPr>
          <w:instrText xml:space="preserve"> PAGEREF _Toc44568695 \h </w:instrText>
        </w:r>
        <w:r w:rsidR="005A18E1">
          <w:rPr>
            <w:webHidden/>
          </w:rPr>
        </w:r>
        <w:r w:rsidR="005A18E1">
          <w:rPr>
            <w:webHidden/>
          </w:rPr>
          <w:fldChar w:fldCharType="separate"/>
        </w:r>
        <w:r w:rsidR="005A18E1">
          <w:rPr>
            <w:webHidden/>
          </w:rPr>
          <w:t>24</w:t>
        </w:r>
        <w:r w:rsidR="005A18E1">
          <w:rPr>
            <w:webHidden/>
          </w:rPr>
          <w:fldChar w:fldCharType="end"/>
        </w:r>
      </w:hyperlink>
    </w:p>
    <w:p w14:paraId="41AD4EFD" w14:textId="6E85722E" w:rsidR="005A18E1" w:rsidRDefault="00F23444">
      <w:pPr>
        <w:pStyle w:val="TOC1"/>
        <w:rPr>
          <w:rFonts w:asciiTheme="minorHAnsi" w:eastAsiaTheme="minorEastAsia" w:hAnsiTheme="minorHAnsi" w:cstheme="minorBidi"/>
          <w:b w:val="0"/>
          <w:sz w:val="24"/>
          <w:szCs w:val="24"/>
          <w:lang w:eastAsia="en-GB"/>
        </w:rPr>
      </w:pPr>
      <w:hyperlink w:anchor="_Toc44568696" w:history="1">
        <w:r w:rsidR="005A18E1" w:rsidRPr="00C12106">
          <w:rPr>
            <w:rStyle w:val="Hyperlink"/>
          </w:rPr>
          <w:t>References</w:t>
        </w:r>
        <w:r w:rsidR="005A18E1">
          <w:rPr>
            <w:webHidden/>
          </w:rPr>
          <w:tab/>
        </w:r>
        <w:r w:rsidR="005A18E1">
          <w:rPr>
            <w:webHidden/>
          </w:rPr>
          <w:fldChar w:fldCharType="begin"/>
        </w:r>
        <w:r w:rsidR="005A18E1">
          <w:rPr>
            <w:webHidden/>
          </w:rPr>
          <w:instrText xml:space="preserve"> PAGEREF _Toc44568696 \h </w:instrText>
        </w:r>
        <w:r w:rsidR="005A18E1">
          <w:rPr>
            <w:webHidden/>
          </w:rPr>
        </w:r>
        <w:r w:rsidR="005A18E1">
          <w:rPr>
            <w:webHidden/>
          </w:rPr>
          <w:fldChar w:fldCharType="separate"/>
        </w:r>
        <w:r w:rsidR="005A18E1">
          <w:rPr>
            <w:webHidden/>
          </w:rPr>
          <w:t>25</w:t>
        </w:r>
        <w:r w:rsidR="005A18E1">
          <w:rPr>
            <w:webHidden/>
          </w:rPr>
          <w:fldChar w:fldCharType="end"/>
        </w:r>
      </w:hyperlink>
    </w:p>
    <w:p w14:paraId="30BC12A2" w14:textId="377F3582" w:rsidR="005A18E1" w:rsidRDefault="00F23444">
      <w:pPr>
        <w:pStyle w:val="TOC1"/>
        <w:rPr>
          <w:rFonts w:asciiTheme="minorHAnsi" w:eastAsiaTheme="minorEastAsia" w:hAnsiTheme="minorHAnsi" w:cstheme="minorBidi"/>
          <w:b w:val="0"/>
          <w:sz w:val="24"/>
          <w:szCs w:val="24"/>
          <w:lang w:eastAsia="en-GB"/>
        </w:rPr>
      </w:pPr>
      <w:hyperlink w:anchor="_Toc44568697" w:history="1">
        <w:r w:rsidR="005A18E1" w:rsidRPr="00C12106">
          <w:rPr>
            <w:rStyle w:val="Hyperlink"/>
          </w:rPr>
          <w:t>Appendix 1: Survey tool</w:t>
        </w:r>
        <w:r w:rsidR="005A18E1">
          <w:rPr>
            <w:webHidden/>
          </w:rPr>
          <w:tab/>
        </w:r>
        <w:r w:rsidR="005A18E1">
          <w:rPr>
            <w:webHidden/>
          </w:rPr>
          <w:fldChar w:fldCharType="begin"/>
        </w:r>
        <w:r w:rsidR="005A18E1">
          <w:rPr>
            <w:webHidden/>
          </w:rPr>
          <w:instrText xml:space="preserve"> PAGEREF _Toc44568697 \h </w:instrText>
        </w:r>
        <w:r w:rsidR="005A18E1">
          <w:rPr>
            <w:webHidden/>
          </w:rPr>
        </w:r>
        <w:r w:rsidR="005A18E1">
          <w:rPr>
            <w:webHidden/>
          </w:rPr>
          <w:fldChar w:fldCharType="separate"/>
        </w:r>
        <w:r w:rsidR="005A18E1">
          <w:rPr>
            <w:webHidden/>
          </w:rPr>
          <w:t>27</w:t>
        </w:r>
        <w:r w:rsidR="005A18E1">
          <w:rPr>
            <w:webHidden/>
          </w:rPr>
          <w:fldChar w:fldCharType="end"/>
        </w:r>
      </w:hyperlink>
    </w:p>
    <w:p w14:paraId="3A2398B5" w14:textId="22AC1B3F" w:rsidR="005A18E1" w:rsidRDefault="00F23444">
      <w:pPr>
        <w:pStyle w:val="TOC1"/>
        <w:rPr>
          <w:rFonts w:asciiTheme="minorHAnsi" w:eastAsiaTheme="minorEastAsia" w:hAnsiTheme="minorHAnsi" w:cstheme="minorBidi"/>
          <w:b w:val="0"/>
          <w:sz w:val="24"/>
          <w:szCs w:val="24"/>
          <w:lang w:eastAsia="en-GB"/>
        </w:rPr>
      </w:pPr>
      <w:hyperlink w:anchor="_Toc44568698" w:history="1">
        <w:r w:rsidR="005A18E1" w:rsidRPr="00C12106">
          <w:rPr>
            <w:rStyle w:val="Hyperlink"/>
          </w:rPr>
          <w:t xml:space="preserve">Appendix 2: Recommendations and practice points relevant to preoperative anaemia assessment and management from PBM Module 2 </w:t>
        </w:r>
        <w:r w:rsidR="005A18E1" w:rsidRPr="00C12106">
          <w:rPr>
            <w:rStyle w:val="Hyperlink"/>
            <w:rFonts w:cs="Arial"/>
          </w:rPr>
          <w:t>–</w:t>
        </w:r>
        <w:r w:rsidR="005A18E1" w:rsidRPr="00C12106">
          <w:rPr>
            <w:rStyle w:val="Hyperlink"/>
          </w:rPr>
          <w:t xml:space="preserve"> Perioperative</w:t>
        </w:r>
        <w:r w:rsidR="005A18E1">
          <w:rPr>
            <w:webHidden/>
          </w:rPr>
          <w:tab/>
        </w:r>
        <w:r w:rsidR="005A18E1">
          <w:rPr>
            <w:webHidden/>
          </w:rPr>
          <w:fldChar w:fldCharType="begin"/>
        </w:r>
        <w:r w:rsidR="005A18E1">
          <w:rPr>
            <w:webHidden/>
          </w:rPr>
          <w:instrText xml:space="preserve"> PAGEREF _Toc44568698 \h </w:instrText>
        </w:r>
        <w:r w:rsidR="005A18E1">
          <w:rPr>
            <w:webHidden/>
          </w:rPr>
        </w:r>
        <w:r w:rsidR="005A18E1">
          <w:rPr>
            <w:webHidden/>
          </w:rPr>
          <w:fldChar w:fldCharType="separate"/>
        </w:r>
        <w:r w:rsidR="005A18E1">
          <w:rPr>
            <w:webHidden/>
          </w:rPr>
          <w:t>28</w:t>
        </w:r>
        <w:r w:rsidR="005A18E1">
          <w:rPr>
            <w:webHidden/>
          </w:rPr>
          <w:fldChar w:fldCharType="end"/>
        </w:r>
      </w:hyperlink>
    </w:p>
    <w:p w14:paraId="02A63904" w14:textId="6B5655AA" w:rsidR="005A18E1" w:rsidRDefault="00F23444">
      <w:pPr>
        <w:pStyle w:val="TOC1"/>
        <w:rPr>
          <w:rFonts w:asciiTheme="minorHAnsi" w:eastAsiaTheme="minorEastAsia" w:hAnsiTheme="minorHAnsi" w:cstheme="minorBidi"/>
          <w:b w:val="0"/>
          <w:sz w:val="24"/>
          <w:szCs w:val="24"/>
          <w:lang w:eastAsia="en-GB"/>
        </w:rPr>
      </w:pPr>
      <w:hyperlink w:anchor="_Toc44568699" w:history="1">
        <w:r w:rsidR="005A18E1" w:rsidRPr="00C12106">
          <w:rPr>
            <w:rStyle w:val="Hyperlink"/>
          </w:rPr>
          <w:t>Appendix 3: Preoperative haemoglobin assessment and optimisation template</w:t>
        </w:r>
        <w:r w:rsidR="005A18E1">
          <w:rPr>
            <w:webHidden/>
          </w:rPr>
          <w:tab/>
        </w:r>
        <w:r w:rsidR="005A18E1">
          <w:rPr>
            <w:webHidden/>
          </w:rPr>
          <w:fldChar w:fldCharType="begin"/>
        </w:r>
        <w:r w:rsidR="005A18E1">
          <w:rPr>
            <w:webHidden/>
          </w:rPr>
          <w:instrText xml:space="preserve"> PAGEREF _Toc44568699 \h </w:instrText>
        </w:r>
        <w:r w:rsidR="005A18E1">
          <w:rPr>
            <w:webHidden/>
          </w:rPr>
        </w:r>
        <w:r w:rsidR="005A18E1">
          <w:rPr>
            <w:webHidden/>
          </w:rPr>
          <w:fldChar w:fldCharType="separate"/>
        </w:r>
        <w:r w:rsidR="005A18E1">
          <w:rPr>
            <w:webHidden/>
          </w:rPr>
          <w:t>29</w:t>
        </w:r>
        <w:r w:rsidR="005A18E1">
          <w:rPr>
            <w:webHidden/>
          </w:rPr>
          <w:fldChar w:fldCharType="end"/>
        </w:r>
      </w:hyperlink>
    </w:p>
    <w:p w14:paraId="3DE5F916" w14:textId="54B6DA41" w:rsidR="005A18E1" w:rsidRDefault="00F23444">
      <w:pPr>
        <w:pStyle w:val="TOC1"/>
        <w:rPr>
          <w:rFonts w:asciiTheme="minorHAnsi" w:eastAsiaTheme="minorEastAsia" w:hAnsiTheme="minorHAnsi" w:cstheme="minorBidi"/>
          <w:b w:val="0"/>
          <w:sz w:val="24"/>
          <w:szCs w:val="24"/>
          <w:lang w:eastAsia="en-GB"/>
        </w:rPr>
      </w:pPr>
      <w:hyperlink w:anchor="_Toc44568700" w:history="1">
        <w:r w:rsidR="005A18E1" w:rsidRPr="00C12106">
          <w:rPr>
            <w:rStyle w:val="Hyperlink"/>
          </w:rPr>
          <w:t>Appendix 4: Tools and resources</w:t>
        </w:r>
        <w:r w:rsidR="005A18E1">
          <w:rPr>
            <w:webHidden/>
          </w:rPr>
          <w:tab/>
        </w:r>
        <w:r w:rsidR="005A18E1">
          <w:rPr>
            <w:webHidden/>
          </w:rPr>
          <w:fldChar w:fldCharType="begin"/>
        </w:r>
        <w:r w:rsidR="005A18E1">
          <w:rPr>
            <w:webHidden/>
          </w:rPr>
          <w:instrText xml:space="preserve"> PAGEREF _Toc44568700 \h </w:instrText>
        </w:r>
        <w:r w:rsidR="005A18E1">
          <w:rPr>
            <w:webHidden/>
          </w:rPr>
        </w:r>
        <w:r w:rsidR="005A18E1">
          <w:rPr>
            <w:webHidden/>
          </w:rPr>
          <w:fldChar w:fldCharType="separate"/>
        </w:r>
        <w:r w:rsidR="005A18E1">
          <w:rPr>
            <w:webHidden/>
          </w:rPr>
          <w:t>30</w:t>
        </w:r>
        <w:r w:rsidR="005A18E1">
          <w:rPr>
            <w:webHidden/>
          </w:rPr>
          <w:fldChar w:fldCharType="end"/>
        </w:r>
      </w:hyperlink>
    </w:p>
    <w:p w14:paraId="3A91A865" w14:textId="5B4FA8C1" w:rsidR="005A18E1" w:rsidRDefault="00F23444">
      <w:pPr>
        <w:pStyle w:val="TOC1"/>
        <w:rPr>
          <w:rFonts w:asciiTheme="minorHAnsi" w:eastAsiaTheme="minorEastAsia" w:hAnsiTheme="minorHAnsi" w:cstheme="minorBidi"/>
          <w:b w:val="0"/>
          <w:sz w:val="24"/>
          <w:szCs w:val="24"/>
          <w:lang w:eastAsia="en-GB"/>
        </w:rPr>
      </w:pPr>
      <w:hyperlink w:anchor="_Toc44568701" w:history="1">
        <w:r w:rsidR="005A18E1" w:rsidRPr="00C12106">
          <w:rPr>
            <w:rStyle w:val="Hyperlink"/>
          </w:rPr>
          <w:t>Appendix 5: National PBM collaborative</w:t>
        </w:r>
        <w:r w:rsidR="005A18E1">
          <w:rPr>
            <w:webHidden/>
          </w:rPr>
          <w:tab/>
        </w:r>
        <w:r w:rsidR="005A18E1">
          <w:rPr>
            <w:webHidden/>
          </w:rPr>
          <w:fldChar w:fldCharType="begin"/>
        </w:r>
        <w:r w:rsidR="005A18E1">
          <w:rPr>
            <w:webHidden/>
          </w:rPr>
          <w:instrText xml:space="preserve"> PAGEREF _Toc44568701 \h </w:instrText>
        </w:r>
        <w:r w:rsidR="005A18E1">
          <w:rPr>
            <w:webHidden/>
          </w:rPr>
        </w:r>
        <w:r w:rsidR="005A18E1">
          <w:rPr>
            <w:webHidden/>
          </w:rPr>
          <w:fldChar w:fldCharType="separate"/>
        </w:r>
        <w:r w:rsidR="005A18E1">
          <w:rPr>
            <w:webHidden/>
          </w:rPr>
          <w:t>31</w:t>
        </w:r>
        <w:r w:rsidR="005A18E1">
          <w:rPr>
            <w:webHidden/>
          </w:rPr>
          <w:fldChar w:fldCharType="end"/>
        </w:r>
      </w:hyperlink>
    </w:p>
    <w:p w14:paraId="174BC7BF" w14:textId="0C1E6C92" w:rsidR="00684074" w:rsidRPr="00684074" w:rsidRDefault="00B67DCA" w:rsidP="00684074">
      <w:pPr>
        <w:keepNext/>
        <w:keepLines/>
        <w:tabs>
          <w:tab w:val="right" w:leader="dot" w:pos="9299"/>
        </w:tabs>
        <w:spacing w:after="60" w:line="270" w:lineRule="atLeast"/>
        <w:ind w:right="680"/>
        <w:rPr>
          <w:rFonts w:ascii="Arial" w:hAnsi="Arial"/>
        </w:rPr>
      </w:pPr>
      <w:r>
        <w:rPr>
          <w:rFonts w:ascii="Arial" w:hAnsi="Arial"/>
          <w:b/>
        </w:rPr>
        <w:fldChar w:fldCharType="end"/>
      </w:r>
    </w:p>
    <w:p w14:paraId="513A9937" w14:textId="57F2CA97" w:rsidR="00684074" w:rsidRPr="00684074" w:rsidRDefault="00684074" w:rsidP="00684074">
      <w:pPr>
        <w:spacing w:after="120" w:line="270" w:lineRule="atLeast"/>
        <w:rPr>
          <w:rFonts w:ascii="Arial" w:eastAsia="Times" w:hAnsi="Arial"/>
        </w:rPr>
      </w:pPr>
    </w:p>
    <w:p w14:paraId="5014C0F9" w14:textId="77777777" w:rsidR="00684074" w:rsidRPr="00684074" w:rsidRDefault="00684074" w:rsidP="00684074">
      <w:pPr>
        <w:spacing w:after="120" w:line="270" w:lineRule="atLeast"/>
        <w:rPr>
          <w:rFonts w:ascii="Arial" w:eastAsia="Times" w:hAnsi="Arial"/>
        </w:rPr>
        <w:sectPr w:rsidR="00684074" w:rsidRPr="00684074" w:rsidSect="00C51B1C">
          <w:pgSz w:w="11906" w:h="16838"/>
          <w:pgMar w:top="1701" w:right="1304" w:bottom="1134" w:left="1304" w:header="454" w:footer="567" w:gutter="0"/>
          <w:cols w:space="720"/>
          <w:docGrid w:linePitch="360"/>
        </w:sectPr>
      </w:pPr>
    </w:p>
    <w:p w14:paraId="473C032C" w14:textId="13719E02" w:rsidR="00684074" w:rsidRPr="00FA0EAE" w:rsidRDefault="00684074" w:rsidP="003C1A78">
      <w:pPr>
        <w:pStyle w:val="Heading1"/>
      </w:pPr>
      <w:bookmarkStart w:id="1" w:name="_Toc44568678"/>
      <w:r w:rsidRPr="00684074">
        <w:lastRenderedPageBreak/>
        <w:t>Acknowledgements</w:t>
      </w:r>
      <w:bookmarkEnd w:id="1"/>
    </w:p>
    <w:p w14:paraId="64528C58" w14:textId="51774E59" w:rsidR="00684074" w:rsidRPr="00FA0EAE" w:rsidRDefault="00684074" w:rsidP="003C1A78">
      <w:pPr>
        <w:pStyle w:val="DHHSbody"/>
      </w:pPr>
      <w:r w:rsidRPr="00FA0EAE">
        <w:t>Blood Matters thank</w:t>
      </w:r>
      <w:r w:rsidR="008241EF">
        <w:t>s</w:t>
      </w:r>
      <w:r w:rsidRPr="00FA0EAE">
        <w:t xml:space="preserve"> all the health services that contributed data to this 2020 preoperative anaemia assessment and management in elective surgical procedures survey.</w:t>
      </w:r>
    </w:p>
    <w:p w14:paraId="4DDEF23F" w14:textId="26846241" w:rsidR="00684074" w:rsidRPr="00FA0EAE" w:rsidRDefault="00684074" w:rsidP="003C1A78">
      <w:pPr>
        <w:pStyle w:val="DHHSbody"/>
      </w:pPr>
      <w:r w:rsidRPr="00FA0EAE">
        <w:t xml:space="preserve">The data submitted has enabled </w:t>
      </w:r>
      <w:r w:rsidR="008241EF">
        <w:t>us</w:t>
      </w:r>
      <w:r w:rsidRPr="00FA0EAE">
        <w:t xml:space="preserve"> to prepare this report and </w:t>
      </w:r>
      <w:r w:rsidR="008241EF">
        <w:t>compare the results with</w:t>
      </w:r>
      <w:r w:rsidRPr="00FA0EAE">
        <w:t xml:space="preserve"> elements of an earlier more comprehensive audit conducted in 2015.</w:t>
      </w:r>
    </w:p>
    <w:p w14:paraId="7D003266" w14:textId="77777777" w:rsidR="00684074" w:rsidRPr="00FA0EAE" w:rsidRDefault="00684074" w:rsidP="003C1A78">
      <w:pPr>
        <w:pStyle w:val="DHHSbody"/>
      </w:pPr>
      <w:r w:rsidRPr="00FA0EAE">
        <w:t>Thank you to the project team involved in the various stages of the audit:</w:t>
      </w:r>
    </w:p>
    <w:p w14:paraId="0B9A7941" w14:textId="77777777" w:rsidR="00684074" w:rsidRPr="00FA0EAE" w:rsidRDefault="00684074" w:rsidP="003C1A78">
      <w:pPr>
        <w:pStyle w:val="DHHSbullet1"/>
      </w:pPr>
      <w:r w:rsidRPr="00FA0EAE">
        <w:t>Blood Matters team</w:t>
      </w:r>
    </w:p>
    <w:p w14:paraId="402A7261" w14:textId="77777777" w:rsidR="00684074" w:rsidRPr="00FA0EAE" w:rsidRDefault="00684074" w:rsidP="003C1A78">
      <w:pPr>
        <w:pStyle w:val="DHHSbullet1"/>
      </w:pPr>
      <w:r w:rsidRPr="00FA0EAE">
        <w:t>Blood Matters Advisory Committee.</w:t>
      </w:r>
    </w:p>
    <w:p w14:paraId="476EE0FE" w14:textId="02B8B92B" w:rsidR="00684074" w:rsidRPr="00684074" w:rsidRDefault="00684074" w:rsidP="003C1A78">
      <w:pPr>
        <w:pStyle w:val="Heading1"/>
      </w:pPr>
      <w:bookmarkStart w:id="2" w:name="_Toc44568679"/>
      <w:r w:rsidRPr="00FA0EAE">
        <w:t>Limitations</w:t>
      </w:r>
      <w:bookmarkEnd w:id="2"/>
    </w:p>
    <w:p w14:paraId="03BA38F5" w14:textId="77C1CF3B" w:rsidR="00684074" w:rsidRPr="00FA0EAE" w:rsidRDefault="00684074" w:rsidP="003C1A78">
      <w:pPr>
        <w:pStyle w:val="DHHSbody"/>
      </w:pPr>
      <w:r w:rsidRPr="00684074">
        <w:t xml:space="preserve">The survey was a simple questionnaire aimed at ascertaining how many health services had </w:t>
      </w:r>
      <w:r w:rsidRPr="00FA0EAE">
        <w:t>formalised preoperative anaemia assessment and optimisation pathways and/or templates</w:t>
      </w:r>
      <w:r w:rsidR="008241EF">
        <w:t xml:space="preserve">. It </w:t>
      </w:r>
      <w:r w:rsidRPr="00FA0EAE">
        <w:t>did not measure compliance with assessment process.</w:t>
      </w:r>
    </w:p>
    <w:p w14:paraId="1A27C9D3" w14:textId="77777777" w:rsidR="00684074" w:rsidRPr="00FA0EAE" w:rsidRDefault="00684074" w:rsidP="003C1A78">
      <w:pPr>
        <w:pStyle w:val="DHHSbody"/>
      </w:pPr>
      <w:r w:rsidRPr="00FA0EAE">
        <w:t>Participation was voluntary.</w:t>
      </w:r>
    </w:p>
    <w:p w14:paraId="715A97BB" w14:textId="71698D52" w:rsidR="00684074" w:rsidRPr="00684074" w:rsidRDefault="00684074" w:rsidP="003C1A78">
      <w:pPr>
        <w:pStyle w:val="DHHSbody"/>
      </w:pPr>
      <w:r w:rsidRPr="00FA0EAE">
        <w:t>Data submitted based on surveyor’s interpretation.</w:t>
      </w:r>
    </w:p>
    <w:p w14:paraId="3B7BD3E0" w14:textId="0D90D4C8" w:rsidR="00684074" w:rsidRPr="00684074" w:rsidRDefault="00684074" w:rsidP="003C1A78">
      <w:pPr>
        <w:pStyle w:val="Heading1"/>
      </w:pPr>
      <w:r w:rsidRPr="00684074">
        <w:br w:type="page"/>
      </w:r>
      <w:bookmarkStart w:id="3" w:name="_Toc44568680"/>
      <w:r w:rsidRPr="00684074">
        <w:lastRenderedPageBreak/>
        <w:t xml:space="preserve">Abbreviations, acronyms and </w:t>
      </w:r>
      <w:r w:rsidRPr="00FA0EAE">
        <w:t>definitions</w:t>
      </w:r>
      <w:bookmarkEnd w:id="3"/>
    </w:p>
    <w:p w14:paraId="187C046E" w14:textId="77777777" w:rsidR="00684074" w:rsidRPr="00FA0EAE" w:rsidRDefault="00684074" w:rsidP="003C1A78">
      <w:pPr>
        <w:pStyle w:val="DHHSbody"/>
      </w:pPr>
      <w:r w:rsidRPr="00FA0EAE">
        <w:t>ACSQHC: Australian Commission on Safety and Quality in Health Care</w:t>
      </w:r>
    </w:p>
    <w:p w14:paraId="68C2B172" w14:textId="77777777" w:rsidR="00684074" w:rsidRPr="00FA0EAE" w:rsidRDefault="00684074" w:rsidP="003C1A78">
      <w:pPr>
        <w:pStyle w:val="DHHSbody"/>
      </w:pPr>
      <w:r w:rsidRPr="00FA0EAE">
        <w:t>ACT: Australian Capital Territory</w:t>
      </w:r>
    </w:p>
    <w:p w14:paraId="101E592E" w14:textId="77777777" w:rsidR="00684074" w:rsidRPr="00FA0EAE" w:rsidRDefault="00684074" w:rsidP="003C1A78">
      <w:pPr>
        <w:pStyle w:val="DHHSbody"/>
      </w:pPr>
      <w:r w:rsidRPr="00FA0EAE">
        <w:t>CRP: C-reactive protein</w:t>
      </w:r>
    </w:p>
    <w:p w14:paraId="774FE95D" w14:textId="77777777" w:rsidR="00684074" w:rsidRPr="00FA0EAE" w:rsidRDefault="00684074" w:rsidP="003C1A78">
      <w:pPr>
        <w:pStyle w:val="DHHSbody"/>
      </w:pPr>
      <w:r w:rsidRPr="00FA0EAE">
        <w:t xml:space="preserve">FBE: full blood examination </w:t>
      </w:r>
    </w:p>
    <w:p w14:paraId="4FB882B4" w14:textId="77777777" w:rsidR="00684074" w:rsidRPr="00FA0EAE" w:rsidRDefault="00684074" w:rsidP="003C1A78">
      <w:pPr>
        <w:pStyle w:val="DHHSbody"/>
      </w:pPr>
      <w:r w:rsidRPr="00FA0EAE">
        <w:t>GIT: gastrointestinal</w:t>
      </w:r>
    </w:p>
    <w:p w14:paraId="747B1F36" w14:textId="77777777" w:rsidR="00684074" w:rsidRPr="00FA0EAE" w:rsidRDefault="00684074" w:rsidP="003C1A78">
      <w:pPr>
        <w:pStyle w:val="DHHSbody"/>
      </w:pPr>
      <w:r w:rsidRPr="00FA0EAE">
        <w:t>GP: general practitioner</w:t>
      </w:r>
    </w:p>
    <w:p w14:paraId="32694312" w14:textId="77777777" w:rsidR="00684074" w:rsidRPr="00FA0EAE" w:rsidRDefault="00684074" w:rsidP="003C1A78">
      <w:pPr>
        <w:pStyle w:val="DHHSbody"/>
      </w:pPr>
      <w:r w:rsidRPr="00FA0EAE">
        <w:t>IV: intravenous</w:t>
      </w:r>
    </w:p>
    <w:p w14:paraId="4A91278D" w14:textId="7D51DDE6" w:rsidR="00457BA4" w:rsidRPr="00FA0EAE" w:rsidRDefault="00457BA4" w:rsidP="003C1A78">
      <w:pPr>
        <w:pStyle w:val="DHHSbody"/>
      </w:pPr>
      <w:r w:rsidRPr="00FA0EAE">
        <w:t>MBS: Medicare Benefits Schedule</w:t>
      </w:r>
    </w:p>
    <w:p w14:paraId="0B3EC51C" w14:textId="5D957AB4" w:rsidR="00684074" w:rsidRPr="00FA0EAE" w:rsidRDefault="00684074" w:rsidP="003C1A78">
      <w:pPr>
        <w:pStyle w:val="DHHSbody"/>
      </w:pPr>
      <w:r w:rsidRPr="00FA0EAE">
        <w:t xml:space="preserve">Module 2: National Blood Authority (NBA) 2012, </w:t>
      </w:r>
      <w:r w:rsidRPr="003C1A78">
        <w:t>Patient blood management guidelines</w:t>
      </w:r>
      <w:r w:rsidRPr="00FA0EAE">
        <w:t>, ‘Module 2: Perioperative’.</w:t>
      </w:r>
    </w:p>
    <w:p w14:paraId="021C8629" w14:textId="77777777" w:rsidR="00684074" w:rsidRPr="00FA0EAE" w:rsidRDefault="00684074" w:rsidP="003C1A78">
      <w:pPr>
        <w:pStyle w:val="DHHSbody"/>
      </w:pPr>
      <w:r w:rsidRPr="00FA0EAE">
        <w:t>NBA: National Blood Authority</w:t>
      </w:r>
    </w:p>
    <w:p w14:paraId="1B539535" w14:textId="77777777" w:rsidR="00684074" w:rsidRPr="00FA0EAE" w:rsidRDefault="00684074" w:rsidP="003C1A78">
      <w:pPr>
        <w:pStyle w:val="DHHSbody"/>
      </w:pPr>
      <w:r w:rsidRPr="00FA0EAE">
        <w:t>NT: Northern Territory</w:t>
      </w:r>
    </w:p>
    <w:p w14:paraId="708FE294" w14:textId="77777777" w:rsidR="00684074" w:rsidRPr="00FA0EAE" w:rsidRDefault="00684074" w:rsidP="003C1A78">
      <w:pPr>
        <w:pStyle w:val="DHHSbody"/>
      </w:pPr>
      <w:r w:rsidRPr="00FA0EAE">
        <w:t xml:space="preserve">PBM: patient blood management </w:t>
      </w:r>
    </w:p>
    <w:p w14:paraId="5AF42DD1" w14:textId="77777777" w:rsidR="00684074" w:rsidRPr="00FA0EAE" w:rsidRDefault="00684074" w:rsidP="003C1A78">
      <w:pPr>
        <w:pStyle w:val="DHHSbody"/>
      </w:pPr>
      <w:r w:rsidRPr="00FA0EAE">
        <w:t>RBC: red blood cell</w:t>
      </w:r>
    </w:p>
    <w:p w14:paraId="648E940C" w14:textId="77777777" w:rsidR="00684074" w:rsidRPr="00FA0EAE" w:rsidRDefault="00684074" w:rsidP="003C1A78">
      <w:pPr>
        <w:pStyle w:val="DHHSbody"/>
      </w:pPr>
      <w:r w:rsidRPr="00FA0EAE">
        <w:t>Tas: Tasmania</w:t>
      </w:r>
    </w:p>
    <w:p w14:paraId="4CD28A7E" w14:textId="77777777" w:rsidR="00684074" w:rsidRPr="00FA0EAE" w:rsidRDefault="00684074" w:rsidP="003C1A78">
      <w:pPr>
        <w:pStyle w:val="DHHSbody"/>
      </w:pPr>
      <w:r w:rsidRPr="00FA0EAE">
        <w:t>Lifeblood: Australian Red Cross Lifeblood</w:t>
      </w:r>
    </w:p>
    <w:p w14:paraId="4417E076" w14:textId="77777777" w:rsidR="00684074" w:rsidRPr="00FA0EAE" w:rsidRDefault="00684074" w:rsidP="003C1A78">
      <w:pPr>
        <w:pStyle w:val="DHHSbody"/>
      </w:pPr>
      <w:r w:rsidRPr="00FA0EAE">
        <w:t>Vic: Victoria</w:t>
      </w:r>
    </w:p>
    <w:p w14:paraId="630ADCCA" w14:textId="2A1F8E7F" w:rsidR="00684074" w:rsidRPr="00FA0EAE" w:rsidRDefault="00684074" w:rsidP="003C1A78">
      <w:pPr>
        <w:pStyle w:val="DHHSbody"/>
      </w:pPr>
      <w:r w:rsidRPr="00FA0EAE">
        <w:t xml:space="preserve">WHO: World Health </w:t>
      </w:r>
      <w:r w:rsidR="008241EF" w:rsidRPr="00FA0EAE">
        <w:t>Organization</w:t>
      </w:r>
    </w:p>
    <w:p w14:paraId="32C52DFD" w14:textId="77777777" w:rsidR="00684074" w:rsidRPr="00FA0EAE" w:rsidRDefault="00684074" w:rsidP="003C1A78">
      <w:pPr>
        <w:pStyle w:val="DHHSbody"/>
      </w:pPr>
      <w:r w:rsidRPr="00FA0EAE">
        <w:t>WIP: work in progress</w:t>
      </w:r>
    </w:p>
    <w:p w14:paraId="189CB877" w14:textId="77777777" w:rsidR="008241EF" w:rsidRDefault="008241EF">
      <w:pPr>
        <w:rPr>
          <w:rFonts w:ascii="Arial" w:hAnsi="Arial"/>
          <w:bCs/>
          <w:color w:val="D50032"/>
          <w:sz w:val="44"/>
          <w:szCs w:val="44"/>
        </w:rPr>
      </w:pPr>
      <w:bookmarkStart w:id="4" w:name="_Toc323798639"/>
      <w:r>
        <w:br w:type="page"/>
      </w:r>
    </w:p>
    <w:p w14:paraId="51821F5F" w14:textId="176BAB70" w:rsidR="00684074" w:rsidRPr="00684074" w:rsidRDefault="00684074" w:rsidP="003C1A78">
      <w:pPr>
        <w:pStyle w:val="Heading1"/>
      </w:pPr>
      <w:bookmarkStart w:id="5" w:name="_Toc44568681"/>
      <w:r w:rsidRPr="00684074">
        <w:lastRenderedPageBreak/>
        <w:t>Definitions</w:t>
      </w:r>
      <w:bookmarkEnd w:id="4"/>
      <w:bookmarkEnd w:id="5"/>
    </w:p>
    <w:p w14:paraId="07FA5EE6" w14:textId="77777777" w:rsidR="00684074" w:rsidRPr="00FA0EAE" w:rsidRDefault="00684074" w:rsidP="003C1A78">
      <w:pPr>
        <w:pStyle w:val="DHHSbullet1"/>
      </w:pPr>
      <w:r w:rsidRPr="00FA0EAE">
        <w:t>Blood Matters: Victorian Government funded program run in collaboration with Australian Red Cross Lifeblood to measure and promote the quality, safety and appropriate use of blood and blood products.</w:t>
      </w:r>
    </w:p>
    <w:p w14:paraId="2B1759CC" w14:textId="77777777" w:rsidR="00684074" w:rsidRPr="00FA0EAE" w:rsidRDefault="00684074" w:rsidP="003C1A78">
      <w:pPr>
        <w:pStyle w:val="DHHSbullet1"/>
      </w:pPr>
      <w:r w:rsidRPr="003C1A78">
        <w:t xml:space="preserve">Elective surgery: planned, </w:t>
      </w:r>
      <w:r w:rsidRPr="00FA0EAE">
        <w:t>non-emergency surgery that is medically necessary or beneficial to the patient but does not need be done at a particular time.</w:t>
      </w:r>
    </w:p>
    <w:p w14:paraId="39DCC273" w14:textId="36945920" w:rsidR="00684074" w:rsidRPr="003C1A78" w:rsidRDefault="00684074" w:rsidP="003C1A78">
      <w:pPr>
        <w:pStyle w:val="DHHSbullet1"/>
      </w:pPr>
      <w:r w:rsidRPr="003C1A78">
        <w:t>Patient blood management (PBM): the management and preservation of patients’ own blood to reduce or avoid the need for a blood transfusion (NBA 2012)</w:t>
      </w:r>
      <w:r w:rsidR="008241EF">
        <w:t>.</w:t>
      </w:r>
    </w:p>
    <w:p w14:paraId="651C795C" w14:textId="77777777" w:rsidR="00684074" w:rsidRPr="003C1A78" w:rsidRDefault="00684074" w:rsidP="003C1A78">
      <w:pPr>
        <w:pStyle w:val="DHHSbullet1"/>
      </w:pPr>
      <w:r w:rsidRPr="003C1A78">
        <w:t>Perioperative period: a term used to describe the three distinct phases of any surgical procedure, which includes the preoperative, intraoperative, and the postoperative phase.</w:t>
      </w:r>
    </w:p>
    <w:p w14:paraId="1068B87C" w14:textId="3037C66C" w:rsidR="00684074" w:rsidRPr="003C1A78" w:rsidRDefault="00684074" w:rsidP="003C1A78">
      <w:pPr>
        <w:pStyle w:val="DHHSbullet1"/>
      </w:pPr>
      <w:r w:rsidRPr="003C1A78">
        <w:t>Preoperative period: ‘pertaining to the period before a surgical procedure. Commonly the preoperative period begins with the first preparation of the patient for surgery, such as when the surgery is scheduled’</w:t>
      </w:r>
      <w:r w:rsidR="008241EF">
        <w:t xml:space="preserve"> </w:t>
      </w:r>
      <w:r w:rsidRPr="003C1A78">
        <w:t>(Mosby 2009)</w:t>
      </w:r>
      <w:r w:rsidR="008241EF">
        <w:t>.</w:t>
      </w:r>
    </w:p>
    <w:p w14:paraId="1C7A1C67" w14:textId="77777777" w:rsidR="00684074" w:rsidRPr="003C1A78" w:rsidRDefault="00684074" w:rsidP="003C1A78">
      <w:pPr>
        <w:pStyle w:val="DHHSbullet1"/>
      </w:pPr>
      <w:r w:rsidRPr="003C1A78">
        <w:t>Pathway: defined course of action or route to guide actions. It is expected that preoperative anaemia screening pathways for surgical patients with or at risk of anaemia will vary across health services.</w:t>
      </w:r>
    </w:p>
    <w:p w14:paraId="0C94441A" w14:textId="1CDF58BC" w:rsidR="00684074" w:rsidRPr="00FA0EAE" w:rsidRDefault="00684074" w:rsidP="003C1A78">
      <w:pPr>
        <w:pStyle w:val="DHHSbullet1"/>
        <w:spacing w:after="120"/>
      </w:pPr>
      <w:r w:rsidRPr="003C1A78">
        <w:t>Optimisation of red cell mass: requires identification, assessment and management of preoperative anaemia (NBA 2014)</w:t>
      </w:r>
      <w:r w:rsidR="008241EF">
        <w:t>.</w:t>
      </w:r>
    </w:p>
    <w:p w14:paraId="2F055311" w14:textId="77777777" w:rsidR="00684074" w:rsidRPr="00684074" w:rsidRDefault="00684074" w:rsidP="00684074">
      <w:pPr>
        <w:spacing w:after="120" w:line="270" w:lineRule="atLeast"/>
        <w:rPr>
          <w:rFonts w:ascii="Arial" w:eastAsia="Times" w:hAnsi="Arial"/>
          <w:bCs/>
          <w:color w:val="DA372E"/>
          <w:sz w:val="44"/>
          <w:szCs w:val="44"/>
        </w:rPr>
      </w:pPr>
      <w:r w:rsidRPr="00684074">
        <w:rPr>
          <w:rFonts w:ascii="Arial" w:eastAsia="Times" w:hAnsi="Arial"/>
        </w:rPr>
        <w:br w:type="page"/>
      </w:r>
    </w:p>
    <w:p w14:paraId="7A5080CC" w14:textId="2CFC4D41" w:rsidR="00684074" w:rsidRPr="00684074" w:rsidRDefault="00684074" w:rsidP="003C1A78">
      <w:pPr>
        <w:pStyle w:val="Heading1"/>
      </w:pPr>
      <w:bookmarkStart w:id="6" w:name="_Toc44568682"/>
      <w:r w:rsidRPr="00684074">
        <w:lastRenderedPageBreak/>
        <w:t>Executive summary</w:t>
      </w:r>
      <w:bookmarkEnd w:id="6"/>
    </w:p>
    <w:p w14:paraId="7D6A1934" w14:textId="05596462" w:rsidR="00684074" w:rsidRPr="00FA0EAE" w:rsidRDefault="00684074" w:rsidP="003C1A78">
      <w:pPr>
        <w:pStyle w:val="DHHSbody"/>
      </w:pPr>
      <w:r w:rsidRPr="00FA0EAE">
        <w:t xml:space="preserve">The World Health </w:t>
      </w:r>
      <w:r w:rsidR="008241EF" w:rsidRPr="00FA0EAE">
        <w:t xml:space="preserve">Organization </w:t>
      </w:r>
      <w:r w:rsidRPr="00FA0EAE">
        <w:t xml:space="preserve">(WHO) estimates that anaemia affects approximately 25 per cent of the population </w:t>
      </w:r>
      <w:r w:rsidR="008241EF" w:rsidRPr="00FA0EAE">
        <w:t xml:space="preserve">worldwide </w:t>
      </w:r>
      <w:r w:rsidRPr="00FA0EAE">
        <w:t>(World Health Assembly 2010), leading to public health issues in both developed and developing countries (Bielby et al. 2019).</w:t>
      </w:r>
    </w:p>
    <w:p w14:paraId="6A55CCE9" w14:textId="2FFA75C6" w:rsidR="00684074" w:rsidRPr="00FA0EAE" w:rsidRDefault="00684074" w:rsidP="003C1A78">
      <w:pPr>
        <w:pStyle w:val="DHHSbody"/>
      </w:pPr>
      <w:r w:rsidRPr="00FA0EAE">
        <w:t>Anaemia, if uncorrected, increases the likelihood of blood transfusion, which is independently associated with increased morbidity, mortality and hospital length of stay (PBM Module 2). According to data collected by the American College of Surgeons National Surgical Quality Improvement Program® (NSQIP®)</w:t>
      </w:r>
      <w:r w:rsidR="008241EF">
        <w:t>,</w:t>
      </w:r>
      <w:r w:rsidRPr="00FA0EAE">
        <w:t xml:space="preserve"> preoperative anaemia was associated with a 35 per cent increased risk of one major postoperative complication and a 42 per cent increased risk of death (Clevenger 2015).</w:t>
      </w:r>
    </w:p>
    <w:p w14:paraId="78A2EB92" w14:textId="3552A904" w:rsidR="00684074" w:rsidRPr="00FA0EAE" w:rsidRDefault="00684074" w:rsidP="003C1A78">
      <w:pPr>
        <w:pStyle w:val="DHHSbody"/>
      </w:pPr>
      <w:r w:rsidRPr="00FA0EAE">
        <w:t>Hong et al. (2017) describe iron deficiency as the commonest cause of preoperative anaemia, accounting for 20</w:t>
      </w:r>
      <w:r w:rsidR="008241EF">
        <w:t>–</w:t>
      </w:r>
      <w:r w:rsidRPr="00FA0EAE">
        <w:t>28</w:t>
      </w:r>
      <w:r w:rsidR="008241EF">
        <w:t xml:space="preserve"> per cent</w:t>
      </w:r>
      <w:r w:rsidR="008241EF" w:rsidRPr="00FA0EAE">
        <w:t xml:space="preserve"> </w:t>
      </w:r>
      <w:r w:rsidRPr="00FA0EAE">
        <w:t>of anaemic patients presenting to pre</w:t>
      </w:r>
      <w:r w:rsidR="008241EF">
        <w:t>-</w:t>
      </w:r>
      <w:r w:rsidRPr="00FA0EAE">
        <w:t>admission clinics.</w:t>
      </w:r>
    </w:p>
    <w:p w14:paraId="1D343395" w14:textId="73FD79B6" w:rsidR="00684074" w:rsidRPr="00FA0EAE" w:rsidRDefault="00684074" w:rsidP="003C1A78">
      <w:pPr>
        <w:pStyle w:val="DHHSbody"/>
      </w:pPr>
      <w:r w:rsidRPr="00FA0EAE">
        <w:t>The Australian PBM guidelines outline the importance of anaemia assessment in the perioperative patient and include a preoperative anaemia assessment and optimisation pathway template (NBA 2012). Pathways should include appropriate blood testing (full blood count, renal function, inflammatory markers and haematinics) and assessment of comorbidities, medications, and should ideally be performed to allow time for appropriate management at least six weeks preoperatively (Bielby et al. 2019</w:t>
      </w:r>
      <w:r w:rsidR="008241EF">
        <w:t>;</w:t>
      </w:r>
      <w:r w:rsidR="008241EF" w:rsidRPr="00FA0EAE">
        <w:t xml:space="preserve"> </w:t>
      </w:r>
      <w:r w:rsidRPr="00FA0EAE">
        <w:t>NBA 2012).</w:t>
      </w:r>
    </w:p>
    <w:p w14:paraId="76AB9233" w14:textId="1CB77C8B" w:rsidR="00684074" w:rsidRPr="00FA0EAE" w:rsidRDefault="00684074" w:rsidP="003C1A78">
      <w:pPr>
        <w:pStyle w:val="DHHSbody"/>
      </w:pPr>
      <w:r w:rsidRPr="00FA0EAE">
        <w:t xml:space="preserve">This survey of preoperative anaemia assessment and management was similar to one conducted in 2015. It showed an improved number of pathways are in place, 56 per cent compared </w:t>
      </w:r>
      <w:r w:rsidR="008241EF">
        <w:t>with</w:t>
      </w:r>
      <w:r w:rsidR="008241EF" w:rsidRPr="00FA0EAE">
        <w:t xml:space="preserve"> </w:t>
      </w:r>
      <w:r w:rsidRPr="00FA0EAE">
        <w:t>36 per</w:t>
      </w:r>
      <w:r w:rsidR="008241EF">
        <w:t xml:space="preserve"> </w:t>
      </w:r>
      <w:r w:rsidRPr="00FA0EAE">
        <w:t>cent in 2015. Where pathways are present</w:t>
      </w:r>
      <w:r w:rsidR="008241EF">
        <w:t>,</w:t>
      </w:r>
      <w:r w:rsidRPr="00FA0EAE">
        <w:t xml:space="preserve"> there are limited numbers that fulfi</w:t>
      </w:r>
      <w:r w:rsidR="008241EF">
        <w:t>l</w:t>
      </w:r>
      <w:r w:rsidRPr="00FA0EAE">
        <w:t xml:space="preserve"> all elements of Module 2 PBM template. </w:t>
      </w:r>
    </w:p>
    <w:p w14:paraId="2F149BC6" w14:textId="18A2ACB8" w:rsidR="00684074" w:rsidRPr="00FA0EAE" w:rsidRDefault="00684074" w:rsidP="003C1A78">
      <w:pPr>
        <w:pStyle w:val="DHHSbody"/>
      </w:pPr>
      <w:r w:rsidRPr="00FA0EAE">
        <w:t>Since the previous audit</w:t>
      </w:r>
      <w:r w:rsidR="008241EF">
        <w:t>,</w:t>
      </w:r>
      <w:r w:rsidRPr="00FA0EAE">
        <w:t xml:space="preserve"> there </w:t>
      </w:r>
      <w:r w:rsidR="008241EF">
        <w:t>have</w:t>
      </w:r>
      <w:r w:rsidR="008241EF" w:rsidRPr="00FA0EAE">
        <w:t xml:space="preserve"> </w:t>
      </w:r>
      <w:r w:rsidRPr="00FA0EAE">
        <w:t>been dedicated PBM projects through the ACSQHC</w:t>
      </w:r>
      <w:r w:rsidR="008241EF">
        <w:t>.</w:t>
      </w:r>
      <w:r w:rsidRPr="00FA0EAE">
        <w:t xml:space="preserve"> </w:t>
      </w:r>
      <w:r w:rsidR="008241EF">
        <w:t>Th</w:t>
      </w:r>
      <w:r w:rsidRPr="00FA0EAE">
        <w:t xml:space="preserve">is has worked well for many to get started, but not all health services have had access to resources to help implement PBM. </w:t>
      </w:r>
      <w:r w:rsidR="008241EF">
        <w:t>M</w:t>
      </w:r>
      <w:r w:rsidRPr="00FA0EAE">
        <w:t xml:space="preserve">ost </w:t>
      </w:r>
      <w:r w:rsidR="008241EF">
        <w:t>practitioners</w:t>
      </w:r>
      <w:r w:rsidR="008241EF" w:rsidRPr="00FA0EAE">
        <w:t xml:space="preserve"> </w:t>
      </w:r>
      <w:r w:rsidRPr="00FA0EAE">
        <w:t>acknowledge that PBM is good clinical practice and should be standard of care</w:t>
      </w:r>
      <w:r w:rsidR="008241EF">
        <w:t>. However,</w:t>
      </w:r>
      <w:r w:rsidR="008241EF" w:rsidRPr="00FA0EAE">
        <w:t xml:space="preserve"> </w:t>
      </w:r>
      <w:r w:rsidRPr="00FA0EAE">
        <w:t>it take</w:t>
      </w:r>
      <w:r w:rsidR="008241EF">
        <w:t>s</w:t>
      </w:r>
      <w:r w:rsidRPr="00FA0EAE">
        <w:t xml:space="preserve"> time, effort and resources to develop and implement in health services that are already working hard, which may be a barrier to the more rapid uptake of PBM practice. Where PBM programs are in place, it is important that </w:t>
      </w:r>
      <w:r w:rsidR="00EE7C39">
        <w:t>these practices</w:t>
      </w:r>
      <w:r w:rsidR="00EE7C39" w:rsidRPr="00FA0EAE">
        <w:t xml:space="preserve"> </w:t>
      </w:r>
      <w:r w:rsidR="00EE7C39">
        <w:t>are part of processes rather than up to individuals.</w:t>
      </w:r>
    </w:p>
    <w:p w14:paraId="44A8CE7A" w14:textId="7831AC8E" w:rsidR="00684074" w:rsidRPr="00FA0EAE" w:rsidRDefault="00684074" w:rsidP="003C1A78">
      <w:pPr>
        <w:pStyle w:val="DHHSbody"/>
      </w:pPr>
      <w:r w:rsidRPr="00FA0EAE">
        <w:t>This survey shows that there is room for improvement in both the development and the quality of anaemia assessment and management pathways. Blood Matters recommends that health services review and assess their compliance with the recommendations (</w:t>
      </w:r>
      <w:r w:rsidR="00B67DCA">
        <w:t>p. 24</w:t>
      </w:r>
      <w:r w:rsidRPr="00FA0EAE">
        <w:t>) regarding appropriate preoperative anaemia assessment and management.</w:t>
      </w:r>
    </w:p>
    <w:p w14:paraId="1B05E61B" w14:textId="76726E95" w:rsidR="00684074" w:rsidRPr="00FA0EAE" w:rsidRDefault="00684074" w:rsidP="003C1A78">
      <w:pPr>
        <w:pStyle w:val="DHHSbody"/>
      </w:pPr>
      <w:r w:rsidRPr="00FA0EAE">
        <w:t xml:space="preserve">Note: The checklist on </w:t>
      </w:r>
      <w:r w:rsidR="00EE7C39" w:rsidRPr="00FA0EAE">
        <w:t>p</w:t>
      </w:r>
      <w:r w:rsidR="00EE7C39">
        <w:t>.</w:t>
      </w:r>
      <w:r w:rsidR="00EE7C39" w:rsidRPr="00FA0EAE">
        <w:t xml:space="preserve"> </w:t>
      </w:r>
      <w:r w:rsidR="00F23444">
        <w:t>8</w:t>
      </w:r>
      <w:r w:rsidR="00F23444" w:rsidRPr="00FA0EAE">
        <w:t xml:space="preserve"> </w:t>
      </w:r>
      <w:r w:rsidRPr="00FA0EAE">
        <w:t>will help health services undertake this assessment.</w:t>
      </w:r>
    </w:p>
    <w:p w14:paraId="4C594DBC" w14:textId="1EDFA9CB" w:rsidR="00684074" w:rsidRPr="00684074" w:rsidRDefault="00684074" w:rsidP="003C1A78">
      <w:pPr>
        <w:pStyle w:val="Heading1"/>
        <w:spacing w:after="360"/>
      </w:pPr>
      <w:r w:rsidRPr="00684074">
        <w:br w:type="page"/>
      </w:r>
      <w:bookmarkStart w:id="7" w:name="_Toc44568683"/>
      <w:r w:rsidRPr="00684074">
        <w:lastRenderedPageBreak/>
        <w:t xml:space="preserve">Patient blood </w:t>
      </w:r>
      <w:r w:rsidRPr="00FA0EAE">
        <w:t>management</w:t>
      </w:r>
      <w:r w:rsidRPr="00684074">
        <w:t xml:space="preserve"> preoperative anaemia screening pathway checklist</w:t>
      </w:r>
      <w:bookmarkEnd w:id="7"/>
    </w:p>
    <w:p w14:paraId="1907FA6B" w14:textId="77777777" w:rsidR="00684074" w:rsidRPr="00684074" w:rsidRDefault="00684074" w:rsidP="003C1A78">
      <w:pPr>
        <w:pStyle w:val="DHHSbody"/>
      </w:pPr>
      <w:r w:rsidRPr="00684074">
        <w:t xml:space="preserve">Health services can use this checklist to determine compliance with strategies included in the </w:t>
      </w:r>
      <w:r w:rsidRPr="00684074">
        <w:rPr>
          <w:i/>
        </w:rPr>
        <w:t>National patient blood management guidelines</w:t>
      </w:r>
      <w:r w:rsidRPr="00684074">
        <w:t xml:space="preserve">, ‘Module 2: Perioperative’, and the </w:t>
      </w:r>
      <w:r w:rsidRPr="00684074">
        <w:rPr>
          <w:i/>
        </w:rPr>
        <w:t>ACSQHC National safety and quality health service standards</w:t>
      </w:r>
      <w:r w:rsidRPr="00684074">
        <w:t xml:space="preserve"> to optimise blood volume and red cell mass.</w:t>
      </w:r>
    </w:p>
    <w:tbl>
      <w:tblPr>
        <w:tblStyle w:val="TableGrid1"/>
        <w:tblW w:w="8616" w:type="dxa"/>
        <w:tblLayout w:type="fixed"/>
        <w:tblLook w:val="04A0" w:firstRow="1" w:lastRow="0" w:firstColumn="1" w:lastColumn="0" w:noHBand="0" w:noVBand="1"/>
      </w:tblPr>
      <w:tblGrid>
        <w:gridCol w:w="5896"/>
        <w:gridCol w:w="680"/>
        <w:gridCol w:w="680"/>
        <w:gridCol w:w="680"/>
        <w:gridCol w:w="680"/>
      </w:tblGrid>
      <w:tr w:rsidR="00EE7C39" w:rsidRPr="00684074" w14:paraId="43FB18EF" w14:textId="77777777" w:rsidTr="003C1A78">
        <w:tc>
          <w:tcPr>
            <w:tcW w:w="5896" w:type="dxa"/>
          </w:tcPr>
          <w:p w14:paraId="621E9B88" w14:textId="77777777" w:rsidR="00684074" w:rsidRPr="00684074" w:rsidRDefault="00684074" w:rsidP="003C1A78">
            <w:pPr>
              <w:pStyle w:val="DHHStablecolhead"/>
            </w:pPr>
            <w:r w:rsidRPr="00684074">
              <w:t>Element</w:t>
            </w:r>
          </w:p>
        </w:tc>
        <w:tc>
          <w:tcPr>
            <w:tcW w:w="680" w:type="dxa"/>
          </w:tcPr>
          <w:p w14:paraId="4B41A73E" w14:textId="5FCBA1CD" w:rsidR="00684074" w:rsidRPr="00684074" w:rsidRDefault="00684074" w:rsidP="003C1A78">
            <w:pPr>
              <w:pStyle w:val="DHHStablecolhead"/>
            </w:pPr>
            <w:r w:rsidRPr="00684074">
              <w:t>Y</w:t>
            </w:r>
          </w:p>
        </w:tc>
        <w:tc>
          <w:tcPr>
            <w:tcW w:w="680" w:type="dxa"/>
          </w:tcPr>
          <w:p w14:paraId="30B9D283" w14:textId="220B12B0" w:rsidR="00684074" w:rsidRPr="00684074" w:rsidRDefault="00684074" w:rsidP="003C1A78">
            <w:pPr>
              <w:pStyle w:val="DHHStablecolhead"/>
            </w:pPr>
            <w:r w:rsidRPr="00684074">
              <w:t>N</w:t>
            </w:r>
          </w:p>
        </w:tc>
        <w:tc>
          <w:tcPr>
            <w:tcW w:w="680" w:type="dxa"/>
          </w:tcPr>
          <w:p w14:paraId="63CDAF06" w14:textId="3F294405" w:rsidR="00684074" w:rsidRPr="00684074" w:rsidRDefault="00EE7C39" w:rsidP="003C1A78">
            <w:pPr>
              <w:pStyle w:val="DHHStablecolhead"/>
              <w:rPr>
                <w:sz w:val="16"/>
              </w:rPr>
            </w:pPr>
            <w:r>
              <w:rPr>
                <w:sz w:val="16"/>
              </w:rPr>
              <w:t>WIP</w:t>
            </w:r>
          </w:p>
        </w:tc>
        <w:tc>
          <w:tcPr>
            <w:tcW w:w="680" w:type="dxa"/>
          </w:tcPr>
          <w:p w14:paraId="64C0654D" w14:textId="545128DD" w:rsidR="00684074" w:rsidRPr="00684074" w:rsidRDefault="00EE7C39" w:rsidP="003C1A78">
            <w:pPr>
              <w:pStyle w:val="DHHStablecolhead"/>
              <w:rPr>
                <w:sz w:val="16"/>
              </w:rPr>
            </w:pPr>
            <w:r>
              <w:rPr>
                <w:sz w:val="16"/>
              </w:rPr>
              <w:t>N/A</w:t>
            </w:r>
          </w:p>
        </w:tc>
      </w:tr>
      <w:tr w:rsidR="00EE7C39" w:rsidRPr="00684074" w14:paraId="51CC18CB" w14:textId="77777777" w:rsidTr="003C1A78">
        <w:tc>
          <w:tcPr>
            <w:tcW w:w="5896" w:type="dxa"/>
          </w:tcPr>
          <w:p w14:paraId="12F85A20" w14:textId="77777777" w:rsidR="00684074" w:rsidRPr="00FA0EAE" w:rsidRDefault="00684074" w:rsidP="003C1A78">
            <w:pPr>
              <w:pStyle w:val="DHHStabletext"/>
            </w:pPr>
            <w:r w:rsidRPr="00FA0EAE">
              <w:t>Does your health service have a staff education program about patient blood management?</w:t>
            </w:r>
          </w:p>
        </w:tc>
        <w:tc>
          <w:tcPr>
            <w:tcW w:w="680" w:type="dxa"/>
          </w:tcPr>
          <w:p w14:paraId="5CA6342C" w14:textId="77777777" w:rsidR="00684074" w:rsidRPr="00684074" w:rsidRDefault="00684074" w:rsidP="00684074">
            <w:pPr>
              <w:spacing w:before="80" w:after="60"/>
              <w:jc w:val="center"/>
              <w:rPr>
                <w:rFonts w:ascii="Arial" w:hAnsi="Arial" w:cs="Arial"/>
              </w:rPr>
            </w:pPr>
          </w:p>
        </w:tc>
        <w:tc>
          <w:tcPr>
            <w:tcW w:w="680" w:type="dxa"/>
          </w:tcPr>
          <w:p w14:paraId="6F2C5ED0" w14:textId="77777777" w:rsidR="00684074" w:rsidRPr="00684074" w:rsidRDefault="00684074" w:rsidP="00684074">
            <w:pPr>
              <w:spacing w:before="80" w:after="60"/>
              <w:jc w:val="center"/>
              <w:rPr>
                <w:rFonts w:ascii="Arial" w:hAnsi="Arial" w:cs="Arial"/>
              </w:rPr>
            </w:pPr>
          </w:p>
        </w:tc>
        <w:tc>
          <w:tcPr>
            <w:tcW w:w="680" w:type="dxa"/>
          </w:tcPr>
          <w:p w14:paraId="143E41CF" w14:textId="77777777" w:rsidR="00684074" w:rsidRPr="00684074" w:rsidRDefault="00684074" w:rsidP="00684074">
            <w:pPr>
              <w:spacing w:before="80" w:after="60"/>
              <w:jc w:val="center"/>
              <w:rPr>
                <w:rFonts w:ascii="Arial" w:hAnsi="Arial" w:cs="Arial"/>
              </w:rPr>
            </w:pPr>
          </w:p>
        </w:tc>
        <w:tc>
          <w:tcPr>
            <w:tcW w:w="680" w:type="dxa"/>
          </w:tcPr>
          <w:p w14:paraId="336F5993" w14:textId="77777777" w:rsidR="00684074" w:rsidRPr="00684074" w:rsidRDefault="00684074" w:rsidP="00684074">
            <w:pPr>
              <w:spacing w:before="80" w:after="60"/>
              <w:jc w:val="center"/>
              <w:rPr>
                <w:rFonts w:ascii="Arial" w:hAnsi="Arial" w:cs="Arial"/>
              </w:rPr>
            </w:pPr>
          </w:p>
        </w:tc>
      </w:tr>
      <w:tr w:rsidR="00EE7C39" w:rsidRPr="00684074" w14:paraId="3831B799" w14:textId="77777777" w:rsidTr="003C1A78">
        <w:tc>
          <w:tcPr>
            <w:tcW w:w="5896" w:type="dxa"/>
          </w:tcPr>
          <w:p w14:paraId="1DE00D06" w14:textId="77777777" w:rsidR="00684074" w:rsidRPr="00FA0EAE" w:rsidRDefault="00684074" w:rsidP="003C1A78">
            <w:pPr>
              <w:pStyle w:val="DHHStabletext"/>
            </w:pPr>
            <w:r w:rsidRPr="00FA0EAE">
              <w:t>Does your health service have a preoperative anaemia screening pathway for surgical patients with or at risk of anaemia? (PBM Module 2 recommendation 1; ACSQHC National Standards 7.1 and 7.9)</w:t>
            </w:r>
          </w:p>
        </w:tc>
        <w:tc>
          <w:tcPr>
            <w:tcW w:w="680" w:type="dxa"/>
          </w:tcPr>
          <w:p w14:paraId="37605A86" w14:textId="77777777" w:rsidR="00684074" w:rsidRPr="00684074" w:rsidRDefault="00684074" w:rsidP="00684074">
            <w:pPr>
              <w:spacing w:before="80" w:after="60"/>
              <w:jc w:val="center"/>
              <w:rPr>
                <w:rFonts w:ascii="Arial" w:hAnsi="Arial" w:cs="Arial"/>
              </w:rPr>
            </w:pPr>
          </w:p>
        </w:tc>
        <w:tc>
          <w:tcPr>
            <w:tcW w:w="680" w:type="dxa"/>
          </w:tcPr>
          <w:p w14:paraId="067D9B21" w14:textId="77777777" w:rsidR="00684074" w:rsidRPr="00684074" w:rsidRDefault="00684074" w:rsidP="00684074">
            <w:pPr>
              <w:spacing w:before="80" w:after="60"/>
              <w:jc w:val="center"/>
              <w:rPr>
                <w:rFonts w:ascii="Arial" w:hAnsi="Arial" w:cs="Arial"/>
              </w:rPr>
            </w:pPr>
          </w:p>
        </w:tc>
        <w:tc>
          <w:tcPr>
            <w:tcW w:w="680" w:type="dxa"/>
          </w:tcPr>
          <w:p w14:paraId="1BB4E94D" w14:textId="77777777" w:rsidR="00684074" w:rsidRPr="00684074" w:rsidRDefault="00684074" w:rsidP="00684074">
            <w:pPr>
              <w:spacing w:before="80" w:after="60"/>
              <w:jc w:val="center"/>
              <w:rPr>
                <w:rFonts w:ascii="Arial" w:hAnsi="Arial" w:cs="Arial"/>
              </w:rPr>
            </w:pPr>
          </w:p>
        </w:tc>
        <w:tc>
          <w:tcPr>
            <w:tcW w:w="680" w:type="dxa"/>
          </w:tcPr>
          <w:p w14:paraId="0666FE2D" w14:textId="77777777" w:rsidR="00684074" w:rsidRPr="00684074" w:rsidRDefault="00684074" w:rsidP="00684074">
            <w:pPr>
              <w:spacing w:before="80" w:after="60"/>
              <w:jc w:val="center"/>
              <w:rPr>
                <w:rFonts w:ascii="Arial" w:hAnsi="Arial" w:cs="Arial"/>
              </w:rPr>
            </w:pPr>
          </w:p>
        </w:tc>
      </w:tr>
      <w:tr w:rsidR="00EE7C39" w:rsidRPr="00684074" w14:paraId="416A2B63" w14:textId="77777777" w:rsidTr="003C1A78">
        <w:tc>
          <w:tcPr>
            <w:tcW w:w="5896" w:type="dxa"/>
          </w:tcPr>
          <w:p w14:paraId="665D4BB6" w14:textId="77777777" w:rsidR="00684074" w:rsidRPr="00FA0EAE" w:rsidRDefault="00684074" w:rsidP="003C1A78">
            <w:pPr>
              <w:pStyle w:val="DHHStabletext"/>
            </w:pPr>
            <w:r w:rsidRPr="00FA0EAE">
              <w:t>If your health service has multiple sites, is this pathway used for all campuses within your health service that perform elective surgical procedures?</w:t>
            </w:r>
          </w:p>
        </w:tc>
        <w:tc>
          <w:tcPr>
            <w:tcW w:w="680" w:type="dxa"/>
          </w:tcPr>
          <w:p w14:paraId="242E6ADF" w14:textId="77777777" w:rsidR="00684074" w:rsidRPr="00684074" w:rsidRDefault="00684074" w:rsidP="00684074">
            <w:pPr>
              <w:spacing w:before="80" w:after="60"/>
              <w:jc w:val="center"/>
              <w:rPr>
                <w:rFonts w:ascii="Arial" w:hAnsi="Arial" w:cs="Arial"/>
              </w:rPr>
            </w:pPr>
          </w:p>
        </w:tc>
        <w:tc>
          <w:tcPr>
            <w:tcW w:w="680" w:type="dxa"/>
          </w:tcPr>
          <w:p w14:paraId="23C6BA1D" w14:textId="77777777" w:rsidR="00684074" w:rsidRPr="00684074" w:rsidRDefault="00684074" w:rsidP="00684074">
            <w:pPr>
              <w:spacing w:before="80" w:after="60"/>
              <w:jc w:val="center"/>
              <w:rPr>
                <w:rFonts w:ascii="Arial" w:hAnsi="Arial" w:cs="Arial"/>
              </w:rPr>
            </w:pPr>
          </w:p>
        </w:tc>
        <w:tc>
          <w:tcPr>
            <w:tcW w:w="680" w:type="dxa"/>
          </w:tcPr>
          <w:p w14:paraId="19DEC0DB" w14:textId="77777777" w:rsidR="00684074" w:rsidRPr="00684074" w:rsidRDefault="00684074" w:rsidP="00684074">
            <w:pPr>
              <w:spacing w:before="80" w:after="60"/>
              <w:jc w:val="center"/>
              <w:rPr>
                <w:rFonts w:ascii="Arial" w:hAnsi="Arial" w:cs="Arial"/>
              </w:rPr>
            </w:pPr>
          </w:p>
        </w:tc>
        <w:tc>
          <w:tcPr>
            <w:tcW w:w="680" w:type="dxa"/>
          </w:tcPr>
          <w:p w14:paraId="11994EA1" w14:textId="77777777" w:rsidR="00684074" w:rsidRPr="00684074" w:rsidRDefault="00684074" w:rsidP="00684074">
            <w:pPr>
              <w:spacing w:before="80" w:after="60"/>
              <w:jc w:val="center"/>
              <w:rPr>
                <w:rFonts w:ascii="Arial" w:hAnsi="Arial" w:cs="Arial"/>
              </w:rPr>
            </w:pPr>
          </w:p>
        </w:tc>
      </w:tr>
      <w:tr w:rsidR="00EE7C39" w:rsidRPr="00684074" w14:paraId="152CD40C" w14:textId="77777777" w:rsidTr="003C1A78">
        <w:tc>
          <w:tcPr>
            <w:tcW w:w="5896" w:type="dxa"/>
          </w:tcPr>
          <w:p w14:paraId="210F57F3" w14:textId="77777777" w:rsidR="00684074" w:rsidRPr="00FA0EAE" w:rsidRDefault="00684074" w:rsidP="003C1A78">
            <w:pPr>
              <w:pStyle w:val="DHHStabletext"/>
            </w:pPr>
            <w:r w:rsidRPr="00FA0EAE">
              <w:t>Does the anaemia screening pathway stipulate the timing of preoperative assessment to allow optimisation of the patient’s haemoglobin and iron stores? [according to surgical priorities] (PBM Module 2, practice point (PP) 1, PP 4, PP 5)</w:t>
            </w:r>
          </w:p>
        </w:tc>
        <w:tc>
          <w:tcPr>
            <w:tcW w:w="680" w:type="dxa"/>
          </w:tcPr>
          <w:p w14:paraId="64ADB6BA" w14:textId="77777777" w:rsidR="00684074" w:rsidRPr="00684074" w:rsidRDefault="00684074" w:rsidP="00684074">
            <w:pPr>
              <w:spacing w:before="80" w:after="60"/>
              <w:jc w:val="center"/>
              <w:rPr>
                <w:rFonts w:ascii="Arial" w:hAnsi="Arial" w:cs="Arial"/>
              </w:rPr>
            </w:pPr>
          </w:p>
        </w:tc>
        <w:tc>
          <w:tcPr>
            <w:tcW w:w="680" w:type="dxa"/>
          </w:tcPr>
          <w:p w14:paraId="7747F946" w14:textId="77777777" w:rsidR="00684074" w:rsidRPr="00684074" w:rsidRDefault="00684074" w:rsidP="00684074">
            <w:pPr>
              <w:spacing w:before="80" w:after="60"/>
              <w:jc w:val="center"/>
              <w:rPr>
                <w:rFonts w:ascii="Arial" w:hAnsi="Arial" w:cs="Arial"/>
              </w:rPr>
            </w:pPr>
          </w:p>
        </w:tc>
        <w:tc>
          <w:tcPr>
            <w:tcW w:w="680" w:type="dxa"/>
          </w:tcPr>
          <w:p w14:paraId="1F32EE5D" w14:textId="77777777" w:rsidR="00684074" w:rsidRPr="00684074" w:rsidRDefault="00684074" w:rsidP="00684074">
            <w:pPr>
              <w:spacing w:before="80" w:after="60"/>
              <w:jc w:val="center"/>
              <w:rPr>
                <w:rFonts w:ascii="Arial" w:hAnsi="Arial" w:cs="Arial"/>
              </w:rPr>
            </w:pPr>
          </w:p>
        </w:tc>
        <w:tc>
          <w:tcPr>
            <w:tcW w:w="680" w:type="dxa"/>
          </w:tcPr>
          <w:p w14:paraId="7FEF2A0B" w14:textId="77777777" w:rsidR="00684074" w:rsidRPr="00684074" w:rsidRDefault="00684074" w:rsidP="00684074">
            <w:pPr>
              <w:spacing w:before="80" w:after="60"/>
              <w:jc w:val="center"/>
              <w:rPr>
                <w:rFonts w:ascii="Arial" w:hAnsi="Arial" w:cs="Arial"/>
              </w:rPr>
            </w:pPr>
          </w:p>
        </w:tc>
      </w:tr>
      <w:tr w:rsidR="00EE7C39" w:rsidRPr="00684074" w14:paraId="313BD754" w14:textId="77777777" w:rsidTr="003C1A78">
        <w:tc>
          <w:tcPr>
            <w:tcW w:w="5896" w:type="dxa"/>
          </w:tcPr>
          <w:p w14:paraId="73CF8123" w14:textId="77777777" w:rsidR="00684074" w:rsidRPr="00FA0EAE" w:rsidRDefault="00684074" w:rsidP="003C1A78">
            <w:pPr>
              <w:pStyle w:val="DHHStabletext"/>
            </w:pPr>
            <w:r w:rsidRPr="00FA0EAE">
              <w:t xml:space="preserve">Are general practitioners or shared care options included in the anaemia screening pathway? (PBM Module 2, recommendation 1) </w:t>
            </w:r>
          </w:p>
        </w:tc>
        <w:tc>
          <w:tcPr>
            <w:tcW w:w="680" w:type="dxa"/>
          </w:tcPr>
          <w:p w14:paraId="7A99FF11" w14:textId="77777777" w:rsidR="00684074" w:rsidRPr="00684074" w:rsidRDefault="00684074" w:rsidP="00684074">
            <w:pPr>
              <w:spacing w:before="80" w:after="60"/>
              <w:jc w:val="center"/>
              <w:rPr>
                <w:rFonts w:ascii="Arial" w:hAnsi="Arial" w:cs="Arial"/>
              </w:rPr>
            </w:pPr>
          </w:p>
        </w:tc>
        <w:tc>
          <w:tcPr>
            <w:tcW w:w="680" w:type="dxa"/>
          </w:tcPr>
          <w:p w14:paraId="00DB29FD" w14:textId="77777777" w:rsidR="00684074" w:rsidRPr="00684074" w:rsidRDefault="00684074" w:rsidP="00684074">
            <w:pPr>
              <w:spacing w:before="80" w:after="60"/>
              <w:jc w:val="center"/>
              <w:rPr>
                <w:rFonts w:ascii="Arial" w:hAnsi="Arial" w:cs="Arial"/>
              </w:rPr>
            </w:pPr>
          </w:p>
        </w:tc>
        <w:tc>
          <w:tcPr>
            <w:tcW w:w="680" w:type="dxa"/>
          </w:tcPr>
          <w:p w14:paraId="72E6774B" w14:textId="77777777" w:rsidR="00684074" w:rsidRPr="00684074" w:rsidRDefault="00684074" w:rsidP="00684074">
            <w:pPr>
              <w:spacing w:before="80" w:after="60"/>
              <w:jc w:val="center"/>
              <w:rPr>
                <w:rFonts w:ascii="Arial" w:hAnsi="Arial" w:cs="Arial"/>
              </w:rPr>
            </w:pPr>
          </w:p>
        </w:tc>
        <w:tc>
          <w:tcPr>
            <w:tcW w:w="680" w:type="dxa"/>
          </w:tcPr>
          <w:p w14:paraId="0E7B74C8" w14:textId="77777777" w:rsidR="00684074" w:rsidRPr="00684074" w:rsidRDefault="00684074" w:rsidP="00684074">
            <w:pPr>
              <w:spacing w:before="80" w:after="60"/>
              <w:jc w:val="center"/>
              <w:rPr>
                <w:rFonts w:ascii="Arial" w:hAnsi="Arial" w:cs="Arial"/>
              </w:rPr>
            </w:pPr>
          </w:p>
        </w:tc>
      </w:tr>
      <w:tr w:rsidR="00EE7C39" w:rsidRPr="00684074" w14:paraId="75380A64" w14:textId="77777777" w:rsidTr="003C1A78">
        <w:tc>
          <w:tcPr>
            <w:tcW w:w="5896" w:type="dxa"/>
          </w:tcPr>
          <w:p w14:paraId="5FC06D9B" w14:textId="77777777" w:rsidR="00684074" w:rsidRPr="00FA0EAE" w:rsidRDefault="00684074" w:rsidP="003C1A78">
            <w:pPr>
              <w:pStyle w:val="DHHStabletext"/>
            </w:pPr>
            <w:r w:rsidRPr="00FA0EAE">
              <w:t>Does the pathway include a preoperative haemoglobin assessment and optimisation template?</w:t>
            </w:r>
          </w:p>
        </w:tc>
        <w:tc>
          <w:tcPr>
            <w:tcW w:w="680" w:type="dxa"/>
          </w:tcPr>
          <w:p w14:paraId="7439C712" w14:textId="77777777" w:rsidR="00684074" w:rsidRPr="00684074" w:rsidRDefault="00684074" w:rsidP="00684074">
            <w:pPr>
              <w:spacing w:before="80" w:after="60"/>
              <w:jc w:val="center"/>
              <w:rPr>
                <w:rFonts w:ascii="Arial" w:hAnsi="Arial" w:cs="Arial"/>
              </w:rPr>
            </w:pPr>
          </w:p>
        </w:tc>
        <w:tc>
          <w:tcPr>
            <w:tcW w:w="680" w:type="dxa"/>
          </w:tcPr>
          <w:p w14:paraId="6796EFBA" w14:textId="77777777" w:rsidR="00684074" w:rsidRPr="00684074" w:rsidRDefault="00684074" w:rsidP="00684074">
            <w:pPr>
              <w:spacing w:before="80" w:after="60"/>
              <w:jc w:val="center"/>
              <w:rPr>
                <w:rFonts w:ascii="Arial" w:hAnsi="Arial" w:cs="Arial"/>
              </w:rPr>
            </w:pPr>
          </w:p>
        </w:tc>
        <w:tc>
          <w:tcPr>
            <w:tcW w:w="680" w:type="dxa"/>
          </w:tcPr>
          <w:p w14:paraId="2477ABE2" w14:textId="77777777" w:rsidR="00684074" w:rsidRPr="00684074" w:rsidRDefault="00684074" w:rsidP="00684074">
            <w:pPr>
              <w:spacing w:before="80" w:after="60"/>
              <w:jc w:val="center"/>
              <w:rPr>
                <w:rFonts w:ascii="Arial" w:hAnsi="Arial" w:cs="Arial"/>
              </w:rPr>
            </w:pPr>
          </w:p>
        </w:tc>
        <w:tc>
          <w:tcPr>
            <w:tcW w:w="680" w:type="dxa"/>
          </w:tcPr>
          <w:p w14:paraId="1E09B380" w14:textId="77777777" w:rsidR="00684074" w:rsidRPr="00684074" w:rsidRDefault="00684074" w:rsidP="00684074">
            <w:pPr>
              <w:spacing w:before="80" w:after="60"/>
              <w:jc w:val="center"/>
              <w:rPr>
                <w:rFonts w:ascii="Arial" w:hAnsi="Arial" w:cs="Arial"/>
              </w:rPr>
            </w:pPr>
          </w:p>
        </w:tc>
      </w:tr>
      <w:tr w:rsidR="00EE7C39" w:rsidRPr="00684074" w14:paraId="161F50E7" w14:textId="77777777" w:rsidTr="003C1A78">
        <w:tc>
          <w:tcPr>
            <w:tcW w:w="5896" w:type="dxa"/>
          </w:tcPr>
          <w:p w14:paraId="01F396D1" w14:textId="77777777" w:rsidR="00684074" w:rsidRPr="00684074" w:rsidRDefault="00684074" w:rsidP="003C1A78">
            <w:pPr>
              <w:pStyle w:val="DHHStabletext"/>
            </w:pPr>
            <w:r w:rsidRPr="00684074">
              <w:t xml:space="preserve">Does the anaemia screening </w:t>
            </w:r>
            <w:r w:rsidRPr="00FA0EAE">
              <w:t>pathway</w:t>
            </w:r>
            <w:r w:rsidRPr="00684074">
              <w:t xml:space="preserve">/template include the following tests? </w:t>
            </w:r>
          </w:p>
          <w:p w14:paraId="78ED8665" w14:textId="77777777" w:rsidR="00684074" w:rsidRPr="00684074" w:rsidRDefault="00684074" w:rsidP="00123C13">
            <w:pPr>
              <w:numPr>
                <w:ilvl w:val="6"/>
                <w:numId w:val="17"/>
              </w:numPr>
              <w:spacing w:before="80" w:after="60"/>
              <w:ind w:left="227" w:hanging="227"/>
              <w:rPr>
                <w:rFonts w:ascii="Arial" w:hAnsi="Arial" w:cs="Arial"/>
              </w:rPr>
            </w:pPr>
            <w:r w:rsidRPr="00684074">
              <w:rPr>
                <w:rFonts w:ascii="Arial" w:hAnsi="Arial" w:cs="Arial"/>
              </w:rPr>
              <w:t>FBE (Full blood examination)</w:t>
            </w:r>
          </w:p>
          <w:p w14:paraId="4B49D2EB" w14:textId="77777777" w:rsidR="00684074" w:rsidRPr="00684074" w:rsidRDefault="00684074" w:rsidP="00123C13">
            <w:pPr>
              <w:numPr>
                <w:ilvl w:val="6"/>
                <w:numId w:val="17"/>
              </w:numPr>
              <w:spacing w:before="80" w:after="60"/>
              <w:ind w:left="227" w:hanging="227"/>
              <w:rPr>
                <w:rFonts w:ascii="Arial" w:hAnsi="Arial" w:cs="Arial"/>
              </w:rPr>
            </w:pPr>
            <w:r w:rsidRPr="00684074">
              <w:rPr>
                <w:rFonts w:ascii="Arial" w:hAnsi="Arial" w:cs="Arial"/>
              </w:rPr>
              <w:t xml:space="preserve">Iron studies including ferritin </w:t>
            </w:r>
          </w:p>
          <w:p w14:paraId="6A2D6672" w14:textId="0E6B67E8" w:rsidR="00684074" w:rsidRPr="00684074" w:rsidRDefault="00684074" w:rsidP="00123C13">
            <w:pPr>
              <w:numPr>
                <w:ilvl w:val="6"/>
                <w:numId w:val="17"/>
              </w:numPr>
              <w:spacing w:before="80" w:after="60"/>
              <w:ind w:left="227" w:hanging="227"/>
              <w:rPr>
                <w:rFonts w:ascii="Arial" w:hAnsi="Arial" w:cs="Arial"/>
              </w:rPr>
            </w:pPr>
            <w:r w:rsidRPr="00684074">
              <w:rPr>
                <w:rFonts w:ascii="Arial" w:hAnsi="Arial" w:cs="Arial"/>
              </w:rPr>
              <w:t>CRP</w:t>
            </w:r>
          </w:p>
          <w:p w14:paraId="6AC024E3" w14:textId="1DD89BEB" w:rsidR="00684074" w:rsidRPr="00684074" w:rsidRDefault="00684074" w:rsidP="00123C13">
            <w:pPr>
              <w:numPr>
                <w:ilvl w:val="6"/>
                <w:numId w:val="17"/>
              </w:numPr>
              <w:spacing w:before="80" w:after="60"/>
              <w:ind w:left="227" w:hanging="227"/>
              <w:rPr>
                <w:rFonts w:ascii="Arial" w:hAnsi="Arial" w:cs="Arial"/>
              </w:rPr>
            </w:pPr>
            <w:r w:rsidRPr="00684074">
              <w:rPr>
                <w:rFonts w:ascii="Arial" w:hAnsi="Arial" w:cs="Arial"/>
              </w:rPr>
              <w:t xml:space="preserve">Renal function </w:t>
            </w:r>
          </w:p>
          <w:p w14:paraId="685413DF" w14:textId="721913DF" w:rsidR="00684074" w:rsidRPr="00684074" w:rsidRDefault="00684074" w:rsidP="00123C13">
            <w:pPr>
              <w:numPr>
                <w:ilvl w:val="6"/>
                <w:numId w:val="17"/>
              </w:numPr>
              <w:spacing w:before="80" w:after="60"/>
              <w:ind w:left="227" w:hanging="227"/>
              <w:rPr>
                <w:rFonts w:ascii="Arial" w:hAnsi="Arial" w:cs="Arial"/>
              </w:rPr>
            </w:pPr>
            <w:r w:rsidRPr="00684074">
              <w:rPr>
                <w:rFonts w:ascii="Arial" w:hAnsi="Arial" w:cs="Arial"/>
              </w:rPr>
              <w:t>B12</w:t>
            </w:r>
            <w:r w:rsidR="00EE7C39">
              <w:rPr>
                <w:rFonts w:ascii="Arial" w:hAnsi="Arial" w:cs="Arial"/>
              </w:rPr>
              <w:t xml:space="preserve"> and folate</w:t>
            </w:r>
            <w:r w:rsidR="00EE7C39">
              <w:rPr>
                <w:rStyle w:val="FootnoteReference"/>
                <w:rFonts w:ascii="Arial" w:hAnsi="Arial" w:cs="Arial"/>
              </w:rPr>
              <w:footnoteReference w:id="1"/>
            </w:r>
          </w:p>
          <w:p w14:paraId="030CB123" w14:textId="63BE926F" w:rsidR="00684074" w:rsidRPr="00684074" w:rsidRDefault="00684074" w:rsidP="00FA0EAE">
            <w:pPr>
              <w:spacing w:before="80" w:after="60"/>
              <w:rPr>
                <w:rFonts w:ascii="Arial" w:hAnsi="Arial" w:cs="Arial"/>
              </w:rPr>
            </w:pPr>
            <w:r w:rsidRPr="00684074">
              <w:rPr>
                <w:rFonts w:ascii="Arial" w:hAnsi="Arial" w:cs="Arial"/>
              </w:rPr>
              <w:t>(PBM Module 2, Optimisation template)</w:t>
            </w:r>
          </w:p>
        </w:tc>
        <w:tc>
          <w:tcPr>
            <w:tcW w:w="680" w:type="dxa"/>
          </w:tcPr>
          <w:p w14:paraId="18F4420A" w14:textId="77777777" w:rsidR="00684074" w:rsidRPr="00684074" w:rsidRDefault="00684074" w:rsidP="00684074">
            <w:pPr>
              <w:spacing w:before="80" w:after="60"/>
              <w:jc w:val="center"/>
              <w:rPr>
                <w:rFonts w:ascii="Arial" w:hAnsi="Arial" w:cs="Arial"/>
              </w:rPr>
            </w:pPr>
          </w:p>
        </w:tc>
        <w:tc>
          <w:tcPr>
            <w:tcW w:w="680" w:type="dxa"/>
          </w:tcPr>
          <w:p w14:paraId="6D96478F" w14:textId="77777777" w:rsidR="00684074" w:rsidRPr="00684074" w:rsidRDefault="00684074" w:rsidP="00684074">
            <w:pPr>
              <w:spacing w:before="80" w:after="60"/>
              <w:jc w:val="center"/>
              <w:rPr>
                <w:rFonts w:ascii="Arial" w:hAnsi="Arial" w:cs="Arial"/>
              </w:rPr>
            </w:pPr>
          </w:p>
        </w:tc>
        <w:tc>
          <w:tcPr>
            <w:tcW w:w="680" w:type="dxa"/>
          </w:tcPr>
          <w:p w14:paraId="39442632" w14:textId="77777777" w:rsidR="00684074" w:rsidRPr="00684074" w:rsidRDefault="00684074" w:rsidP="00684074">
            <w:pPr>
              <w:spacing w:before="80" w:after="60"/>
              <w:jc w:val="center"/>
              <w:rPr>
                <w:rFonts w:ascii="Arial" w:hAnsi="Arial" w:cs="Arial"/>
              </w:rPr>
            </w:pPr>
          </w:p>
        </w:tc>
        <w:tc>
          <w:tcPr>
            <w:tcW w:w="680" w:type="dxa"/>
          </w:tcPr>
          <w:p w14:paraId="067A1FB7" w14:textId="77777777" w:rsidR="00684074" w:rsidRPr="00684074" w:rsidRDefault="00684074" w:rsidP="00684074">
            <w:pPr>
              <w:spacing w:before="80" w:after="60"/>
              <w:jc w:val="center"/>
              <w:rPr>
                <w:rFonts w:ascii="Arial" w:hAnsi="Arial" w:cs="Arial"/>
              </w:rPr>
            </w:pPr>
          </w:p>
        </w:tc>
      </w:tr>
      <w:tr w:rsidR="00EE7C39" w:rsidRPr="00684074" w14:paraId="1C0ADCF3" w14:textId="77777777" w:rsidTr="003C1A78">
        <w:tc>
          <w:tcPr>
            <w:tcW w:w="5896" w:type="dxa"/>
          </w:tcPr>
          <w:p w14:paraId="4A6F61D8" w14:textId="77777777" w:rsidR="00684074" w:rsidRPr="00684074" w:rsidRDefault="00684074" w:rsidP="003C1A78">
            <w:pPr>
              <w:pStyle w:val="DHHStabletext"/>
            </w:pPr>
            <w:r w:rsidRPr="00684074">
              <w:t xml:space="preserve">Does the anaemia screening pathway specify roles and responsibilities for each of the steps in the pathway, including whose role it is to identify at-risk anaemia patients to refer for further investigation and/or treatment? </w:t>
            </w:r>
          </w:p>
        </w:tc>
        <w:tc>
          <w:tcPr>
            <w:tcW w:w="680" w:type="dxa"/>
          </w:tcPr>
          <w:p w14:paraId="2E097097" w14:textId="77777777" w:rsidR="00684074" w:rsidRPr="00684074" w:rsidRDefault="00684074" w:rsidP="00684074">
            <w:pPr>
              <w:spacing w:before="80" w:after="60"/>
              <w:jc w:val="center"/>
              <w:rPr>
                <w:rFonts w:ascii="Arial" w:hAnsi="Arial" w:cs="Arial"/>
              </w:rPr>
            </w:pPr>
          </w:p>
        </w:tc>
        <w:tc>
          <w:tcPr>
            <w:tcW w:w="680" w:type="dxa"/>
          </w:tcPr>
          <w:p w14:paraId="3B311185" w14:textId="77777777" w:rsidR="00684074" w:rsidRPr="00684074" w:rsidRDefault="00684074" w:rsidP="00684074">
            <w:pPr>
              <w:spacing w:before="80" w:after="60"/>
              <w:jc w:val="center"/>
              <w:rPr>
                <w:rFonts w:ascii="Arial" w:hAnsi="Arial" w:cs="Arial"/>
              </w:rPr>
            </w:pPr>
          </w:p>
        </w:tc>
        <w:tc>
          <w:tcPr>
            <w:tcW w:w="680" w:type="dxa"/>
          </w:tcPr>
          <w:p w14:paraId="6479EBCA" w14:textId="77777777" w:rsidR="00684074" w:rsidRPr="00684074" w:rsidRDefault="00684074" w:rsidP="00684074">
            <w:pPr>
              <w:spacing w:before="80" w:after="60"/>
              <w:jc w:val="center"/>
              <w:rPr>
                <w:rFonts w:ascii="Arial" w:hAnsi="Arial" w:cs="Arial"/>
              </w:rPr>
            </w:pPr>
          </w:p>
        </w:tc>
        <w:tc>
          <w:tcPr>
            <w:tcW w:w="680" w:type="dxa"/>
          </w:tcPr>
          <w:p w14:paraId="3457815F" w14:textId="77777777" w:rsidR="00684074" w:rsidRPr="00684074" w:rsidRDefault="00684074" w:rsidP="00684074">
            <w:pPr>
              <w:spacing w:before="80" w:after="60"/>
              <w:jc w:val="center"/>
              <w:rPr>
                <w:rFonts w:ascii="Arial" w:hAnsi="Arial" w:cs="Arial"/>
              </w:rPr>
            </w:pPr>
          </w:p>
        </w:tc>
      </w:tr>
      <w:tr w:rsidR="00EE7C39" w:rsidRPr="00684074" w14:paraId="2169E7BF" w14:textId="77777777" w:rsidTr="003C1A78">
        <w:tc>
          <w:tcPr>
            <w:tcW w:w="5896" w:type="dxa"/>
          </w:tcPr>
          <w:p w14:paraId="67CB1C09" w14:textId="77777777" w:rsidR="00684074" w:rsidRPr="00684074" w:rsidRDefault="00684074" w:rsidP="003C1A78">
            <w:pPr>
              <w:pStyle w:val="DHHStabletext"/>
            </w:pPr>
            <w:r w:rsidRPr="00684074">
              <w:t>Does the screening pathway/template include discussion/advice from or referral to a specialist?? (PBM Module 2 – PP6, PP7, template)</w:t>
            </w:r>
          </w:p>
        </w:tc>
        <w:tc>
          <w:tcPr>
            <w:tcW w:w="680" w:type="dxa"/>
          </w:tcPr>
          <w:p w14:paraId="75FF633A" w14:textId="77777777" w:rsidR="00684074" w:rsidRPr="00684074" w:rsidRDefault="00684074" w:rsidP="00684074">
            <w:pPr>
              <w:spacing w:before="80" w:after="60"/>
              <w:jc w:val="center"/>
              <w:rPr>
                <w:rFonts w:ascii="Arial" w:hAnsi="Arial" w:cs="Arial"/>
              </w:rPr>
            </w:pPr>
          </w:p>
        </w:tc>
        <w:tc>
          <w:tcPr>
            <w:tcW w:w="680" w:type="dxa"/>
          </w:tcPr>
          <w:p w14:paraId="618E9FBB" w14:textId="77777777" w:rsidR="00684074" w:rsidRPr="00684074" w:rsidRDefault="00684074" w:rsidP="00684074">
            <w:pPr>
              <w:spacing w:before="80" w:after="60"/>
              <w:jc w:val="center"/>
              <w:rPr>
                <w:rFonts w:ascii="Arial" w:hAnsi="Arial" w:cs="Arial"/>
              </w:rPr>
            </w:pPr>
          </w:p>
        </w:tc>
        <w:tc>
          <w:tcPr>
            <w:tcW w:w="680" w:type="dxa"/>
          </w:tcPr>
          <w:p w14:paraId="3792A5EC" w14:textId="77777777" w:rsidR="00684074" w:rsidRPr="00684074" w:rsidRDefault="00684074" w:rsidP="00684074">
            <w:pPr>
              <w:spacing w:before="80" w:after="60"/>
              <w:jc w:val="center"/>
              <w:rPr>
                <w:rFonts w:ascii="Arial" w:hAnsi="Arial" w:cs="Arial"/>
              </w:rPr>
            </w:pPr>
          </w:p>
        </w:tc>
        <w:tc>
          <w:tcPr>
            <w:tcW w:w="680" w:type="dxa"/>
          </w:tcPr>
          <w:p w14:paraId="0FF4122C" w14:textId="77777777" w:rsidR="00684074" w:rsidRPr="00684074" w:rsidRDefault="00684074" w:rsidP="00684074">
            <w:pPr>
              <w:spacing w:before="80" w:after="60"/>
              <w:jc w:val="center"/>
              <w:rPr>
                <w:rFonts w:ascii="Arial" w:hAnsi="Arial" w:cs="Arial"/>
              </w:rPr>
            </w:pPr>
          </w:p>
        </w:tc>
      </w:tr>
      <w:tr w:rsidR="00EE7C39" w:rsidRPr="00684074" w14:paraId="2DFA36A9" w14:textId="77777777" w:rsidTr="003C1A78">
        <w:tc>
          <w:tcPr>
            <w:tcW w:w="5896" w:type="dxa"/>
          </w:tcPr>
          <w:p w14:paraId="76EC41FB" w14:textId="77777777" w:rsidR="00684074" w:rsidRPr="00684074" w:rsidRDefault="00684074" w:rsidP="00684074">
            <w:pPr>
              <w:spacing w:before="80" w:after="60"/>
              <w:rPr>
                <w:rFonts w:ascii="Arial" w:hAnsi="Arial" w:cs="Arial"/>
              </w:rPr>
            </w:pPr>
            <w:r w:rsidRPr="00684074">
              <w:rPr>
                <w:rFonts w:ascii="Arial" w:hAnsi="Arial" w:cs="Arial"/>
              </w:rPr>
              <w:t>Does the pathway stipulate the provision of written consumer information?</w:t>
            </w:r>
          </w:p>
        </w:tc>
        <w:tc>
          <w:tcPr>
            <w:tcW w:w="680" w:type="dxa"/>
          </w:tcPr>
          <w:p w14:paraId="60AC31D8" w14:textId="77777777" w:rsidR="00684074" w:rsidRPr="00684074" w:rsidRDefault="00684074" w:rsidP="00684074">
            <w:pPr>
              <w:spacing w:before="80" w:after="60"/>
              <w:jc w:val="center"/>
              <w:rPr>
                <w:rFonts w:ascii="Arial" w:hAnsi="Arial" w:cs="Arial"/>
              </w:rPr>
            </w:pPr>
          </w:p>
        </w:tc>
        <w:tc>
          <w:tcPr>
            <w:tcW w:w="680" w:type="dxa"/>
          </w:tcPr>
          <w:p w14:paraId="49010874" w14:textId="77777777" w:rsidR="00684074" w:rsidRPr="00684074" w:rsidRDefault="00684074" w:rsidP="00684074">
            <w:pPr>
              <w:spacing w:before="80" w:after="60"/>
              <w:jc w:val="center"/>
              <w:rPr>
                <w:rFonts w:ascii="Arial" w:hAnsi="Arial" w:cs="Arial"/>
              </w:rPr>
            </w:pPr>
          </w:p>
        </w:tc>
        <w:tc>
          <w:tcPr>
            <w:tcW w:w="680" w:type="dxa"/>
          </w:tcPr>
          <w:p w14:paraId="47AE33F0" w14:textId="77777777" w:rsidR="00684074" w:rsidRPr="00684074" w:rsidRDefault="00684074" w:rsidP="00684074">
            <w:pPr>
              <w:spacing w:before="80" w:after="60"/>
              <w:jc w:val="center"/>
              <w:rPr>
                <w:rFonts w:ascii="Arial" w:hAnsi="Arial" w:cs="Arial"/>
              </w:rPr>
            </w:pPr>
          </w:p>
        </w:tc>
        <w:tc>
          <w:tcPr>
            <w:tcW w:w="680" w:type="dxa"/>
          </w:tcPr>
          <w:p w14:paraId="010B6A50" w14:textId="77777777" w:rsidR="00684074" w:rsidRPr="00684074" w:rsidRDefault="00684074" w:rsidP="00684074">
            <w:pPr>
              <w:spacing w:before="80" w:after="60"/>
              <w:jc w:val="center"/>
              <w:rPr>
                <w:rFonts w:ascii="Arial" w:hAnsi="Arial" w:cs="Arial"/>
              </w:rPr>
            </w:pPr>
          </w:p>
        </w:tc>
      </w:tr>
    </w:tbl>
    <w:p w14:paraId="3EACE8B7" w14:textId="77777777" w:rsidR="00684074" w:rsidRPr="00684074" w:rsidRDefault="00684074" w:rsidP="003C1A78">
      <w:pPr>
        <w:pStyle w:val="DHHSbody"/>
        <w:rPr>
          <w:bCs/>
          <w:color w:val="DA372E"/>
          <w:sz w:val="44"/>
          <w:szCs w:val="44"/>
        </w:rPr>
      </w:pPr>
      <w:r w:rsidRPr="00684074">
        <w:lastRenderedPageBreak/>
        <w:t xml:space="preserve">This page has been </w:t>
      </w:r>
      <w:r w:rsidRPr="00FA0EAE">
        <w:t>deliberately</w:t>
      </w:r>
      <w:r w:rsidRPr="00684074">
        <w:t xml:space="preserve"> left blank.</w:t>
      </w:r>
    </w:p>
    <w:p w14:paraId="0A687FA3" w14:textId="77777777" w:rsidR="00684074" w:rsidRPr="00684074" w:rsidRDefault="00684074" w:rsidP="00684074">
      <w:pPr>
        <w:rPr>
          <w:rFonts w:ascii="Arial" w:hAnsi="Arial"/>
          <w:bCs/>
          <w:color w:val="DA372E"/>
          <w:sz w:val="44"/>
          <w:szCs w:val="44"/>
        </w:rPr>
      </w:pPr>
      <w:r w:rsidRPr="00684074">
        <w:br w:type="page"/>
      </w:r>
    </w:p>
    <w:p w14:paraId="65F54ACF" w14:textId="2B6F4B64" w:rsidR="00684074" w:rsidRPr="00FA0EAE" w:rsidRDefault="00684074" w:rsidP="003C1A78">
      <w:pPr>
        <w:pStyle w:val="Heading1"/>
      </w:pPr>
      <w:bookmarkStart w:id="8" w:name="_Toc44568684"/>
      <w:r w:rsidRPr="00684074">
        <w:lastRenderedPageBreak/>
        <w:t>Introduction</w:t>
      </w:r>
      <w:bookmarkEnd w:id="8"/>
    </w:p>
    <w:p w14:paraId="0E43C2B1" w14:textId="596DAD1A" w:rsidR="00684074" w:rsidRPr="00FA0EAE" w:rsidRDefault="00684074" w:rsidP="003C1A78">
      <w:pPr>
        <w:pStyle w:val="DHHSbody"/>
      </w:pPr>
      <w:r w:rsidRPr="00FA0EAE">
        <w:t xml:space="preserve">Patient blood management (PBM) has been a main focus for the National Blood Authority (NBA) since 2006 when the decision was made to replace the National Health and Medical Research Council/Australasian Society of Blood Transfusion </w:t>
      </w:r>
      <w:r w:rsidRPr="003C1A78">
        <w:rPr>
          <w:i/>
          <w:iCs/>
        </w:rPr>
        <w:t xml:space="preserve">Guidelines on the </w:t>
      </w:r>
      <w:r w:rsidR="00A46F47" w:rsidRPr="00FA0EAE">
        <w:rPr>
          <w:i/>
          <w:iCs/>
        </w:rPr>
        <w:t>use of blood and blood products</w:t>
      </w:r>
      <w:r w:rsidR="00A46F47" w:rsidRPr="00FA0EAE">
        <w:t xml:space="preserve"> </w:t>
      </w:r>
      <w:r w:rsidRPr="00FA0EAE">
        <w:t>(2001) with patient</w:t>
      </w:r>
      <w:r w:rsidR="00A46F47">
        <w:t>-</w:t>
      </w:r>
      <w:r w:rsidRPr="00FA0EAE">
        <w:t>focused guidelines (</w:t>
      </w:r>
      <w:r w:rsidR="00A46F47">
        <w:t xml:space="preserve">the </w:t>
      </w:r>
      <w:r w:rsidRPr="00FA0EAE">
        <w:t>PBM guidelines). In addition, WHO reaffirmed the importance of optimising the patient’s own blood volume before surgery at the 2010 World Health Assembly. PBM is a patient-centred approach that aims to improve clinical outcomes by avoiding unnecessary exposure to blood components. It includes the three pillars:</w:t>
      </w:r>
    </w:p>
    <w:p w14:paraId="5890AB75" w14:textId="6BA8354E" w:rsidR="00684074" w:rsidRPr="00684074" w:rsidRDefault="00684074" w:rsidP="003C1A78">
      <w:pPr>
        <w:pStyle w:val="DHHSbullet1"/>
      </w:pPr>
      <w:r w:rsidRPr="00684074">
        <w:t xml:space="preserve">Pillar </w:t>
      </w:r>
      <w:r w:rsidR="00EE7C39">
        <w:t>1</w:t>
      </w:r>
      <w:r w:rsidRPr="00684074">
        <w:t>: optimisation of blood volume and red cell mass</w:t>
      </w:r>
    </w:p>
    <w:p w14:paraId="410E9952" w14:textId="6AFB0294" w:rsidR="00684074" w:rsidRPr="00684074" w:rsidRDefault="00684074" w:rsidP="003C1A78">
      <w:pPr>
        <w:pStyle w:val="DHHSbullet1"/>
      </w:pPr>
      <w:r w:rsidRPr="00684074">
        <w:t xml:space="preserve">Pillar </w:t>
      </w:r>
      <w:r w:rsidR="00EE7C39">
        <w:t>2</w:t>
      </w:r>
      <w:r w:rsidRPr="00684074">
        <w:t>: minimisation of blood loss</w:t>
      </w:r>
    </w:p>
    <w:p w14:paraId="681CB541" w14:textId="432F0CD0" w:rsidR="00684074" w:rsidRPr="00684074" w:rsidRDefault="00684074" w:rsidP="003C1A78">
      <w:pPr>
        <w:pStyle w:val="DHHSbullet1"/>
      </w:pPr>
      <w:r w:rsidRPr="00684074">
        <w:t xml:space="preserve">Pillar </w:t>
      </w:r>
      <w:r w:rsidR="00EE7C39">
        <w:t>3</w:t>
      </w:r>
      <w:r w:rsidRPr="00684074">
        <w:t>: optimisation of the patient’s tolerance of anaemia.</w:t>
      </w:r>
    </w:p>
    <w:p w14:paraId="4B6EC334" w14:textId="77777777" w:rsidR="00684074" w:rsidRPr="00684074" w:rsidRDefault="00684074" w:rsidP="003C1A78">
      <w:pPr>
        <w:pStyle w:val="DHHSbodyafterbullets"/>
        <w:rPr>
          <w:lang w:val="en"/>
        </w:rPr>
      </w:pPr>
      <w:r w:rsidRPr="00684074">
        <w:rPr>
          <w:lang w:val="en"/>
        </w:rPr>
        <w:t xml:space="preserve">The PBM guideline ‘Module 2: Perioperative’ (Module 2) was released in 2012 (NBA 2012) and is currently under review. It contains six recommendations and five practice points related to the management of </w:t>
      </w:r>
      <w:r w:rsidRPr="00684074">
        <w:t>anaemia</w:t>
      </w:r>
      <w:r w:rsidRPr="00684074">
        <w:rPr>
          <w:lang w:val="en"/>
        </w:rPr>
        <w:t xml:space="preserve"> in the perioperative patient to:</w:t>
      </w:r>
    </w:p>
    <w:p w14:paraId="7343859E" w14:textId="4B9A15B8" w:rsidR="00684074" w:rsidRPr="00FA0EAE" w:rsidRDefault="00684074" w:rsidP="003C1A78">
      <w:pPr>
        <w:pStyle w:val="DHHSbullet1"/>
      </w:pPr>
      <w:r w:rsidRPr="00FA0EAE">
        <w:t>improve practice related to the assessment and management of reversible anaemia prior to surgery</w:t>
      </w:r>
    </w:p>
    <w:p w14:paraId="0069F58A" w14:textId="3EF4A22B" w:rsidR="00684074" w:rsidRPr="00FA0EAE" w:rsidRDefault="00684074" w:rsidP="003C1A78">
      <w:pPr>
        <w:pStyle w:val="DHHSbullet1"/>
      </w:pPr>
      <w:r w:rsidRPr="00FA0EAE">
        <w:t>improve outcomes for patients undergoing elective surgical procedures.</w:t>
      </w:r>
    </w:p>
    <w:p w14:paraId="41A8D8C3" w14:textId="7D7CC9AA" w:rsidR="00684074" w:rsidRPr="00684074" w:rsidRDefault="00684074" w:rsidP="003C1A78">
      <w:pPr>
        <w:pStyle w:val="DHHSbodyafterbullets"/>
      </w:pPr>
      <w:r w:rsidRPr="00684074">
        <w:t xml:space="preserve">It is well accepted that preoperative management of anaemia increases haemoglobin levels and reduces perioperative transfusion </w:t>
      </w:r>
      <w:r w:rsidRPr="00FA0EAE">
        <w:t>rates</w:t>
      </w:r>
      <w:r w:rsidRPr="00684074">
        <w:t>. Althoff</w:t>
      </w:r>
      <w:r w:rsidR="00A97226">
        <w:t>’s</w:t>
      </w:r>
      <w:r w:rsidRPr="00684074">
        <w:t xml:space="preserve"> (2019) meta-analysis of multimodal, multidisciplinary PBM programs found that programs such as these were associated with a decreased transfusion rate and a significant decrease in length of stay, overall complications, and mortality rate</w:t>
      </w:r>
      <w:r w:rsidR="00A97226">
        <w:t>.</w:t>
      </w:r>
      <w:r w:rsidR="00A97226" w:rsidRPr="00684074">
        <w:t xml:space="preserve"> </w:t>
      </w:r>
      <w:r w:rsidR="00A97226">
        <w:t>T</w:t>
      </w:r>
      <w:r w:rsidRPr="00684074">
        <w:t>he highest impact</w:t>
      </w:r>
      <w:r w:rsidR="00A97226">
        <w:t xml:space="preserve"> was</w:t>
      </w:r>
      <w:r w:rsidRPr="00684074">
        <w:t xml:space="preserve"> for patients undergoing orthopaedic and cardiac surgical procedures.</w:t>
      </w:r>
    </w:p>
    <w:p w14:paraId="05907E3F" w14:textId="77777777" w:rsidR="00684074" w:rsidRPr="00684074" w:rsidRDefault="00684074" w:rsidP="003C1A78">
      <w:pPr>
        <w:pStyle w:val="DHHSbody"/>
      </w:pPr>
      <w:r w:rsidRPr="00684074">
        <w:t xml:space="preserve">However, the implementation of preoperative anaemia screening and management programs can be disconnected at times. One study found only four of seven European health services had a policy in place aimed at assessing and managing anaemia before considering transfusion (Bruun 2016). Further, assessing and identifying preoperative anaemia does not guarantee management, as found by Van der Linden (2016), where treatment rate of preoperative anaemia ranged from zero per cent to 41 per cent. </w:t>
      </w:r>
    </w:p>
    <w:p w14:paraId="1347DC5B" w14:textId="4948305F" w:rsidR="00684074" w:rsidRPr="00684074" w:rsidRDefault="00684074" w:rsidP="003C1A78">
      <w:pPr>
        <w:pStyle w:val="DHHSbody"/>
      </w:pPr>
      <w:r w:rsidRPr="00684074">
        <w:t>More recently, Jung-K</w:t>
      </w:r>
      <w:r w:rsidRPr="00684074">
        <w:rPr>
          <w:rFonts w:cs="Arial"/>
        </w:rPr>
        <w:t>ö</w:t>
      </w:r>
      <w:r w:rsidRPr="00684074">
        <w:t xml:space="preserve">nig et al. (2020) found large variations regarding method of implementation of preoperative anaemia management in </w:t>
      </w:r>
      <w:r w:rsidR="00A97226">
        <w:t>10</w:t>
      </w:r>
      <w:r w:rsidR="00A97226" w:rsidRPr="00684074">
        <w:t xml:space="preserve"> </w:t>
      </w:r>
      <w:r w:rsidRPr="00684074">
        <w:t xml:space="preserve">European hospitals. While the majority of surveyed health services had at least some form of preoperative anaemia management in place, there remained a large potential for improvement, for instance with regard to better utilisation of waiting times to optimise red cell mass. </w:t>
      </w:r>
    </w:p>
    <w:p w14:paraId="46DD3BA4" w14:textId="77777777" w:rsidR="00684074" w:rsidRPr="00684074" w:rsidRDefault="00684074" w:rsidP="003C1A78">
      <w:pPr>
        <w:pStyle w:val="DHHSbody"/>
        <w:rPr>
          <w:lang w:val="en"/>
        </w:rPr>
      </w:pPr>
      <w:r w:rsidRPr="00684074">
        <w:rPr>
          <w:lang w:val="en"/>
        </w:rPr>
        <w:t xml:space="preserve">Similar results were found in 2015, when Blood Matters conducted an audit to assess if preoperative pathways for patients undergoing elective surgical procedures were in place (part A) and actual practice (part B) of health services. That audit found few health services (36 per cent) had a formalised process for optimising patient haemoglobin prior to elective surgery; that is, a pathway or algorithm that sets out the process for assessment and management of these patients in the preoperative period. Recommendations for health services were made as part of the report from this 2015 audit. </w:t>
      </w:r>
    </w:p>
    <w:p w14:paraId="3045DF57" w14:textId="55E76A74" w:rsidR="00684074" w:rsidRPr="00684074" w:rsidRDefault="00684074" w:rsidP="003C1A78">
      <w:pPr>
        <w:pStyle w:val="DHHSbody"/>
        <w:rPr>
          <w:lang w:val="en"/>
        </w:rPr>
      </w:pPr>
      <w:r w:rsidRPr="00684074">
        <w:rPr>
          <w:lang w:val="en"/>
        </w:rPr>
        <w:t xml:space="preserve">2015 </w:t>
      </w:r>
      <w:r w:rsidR="00A97226">
        <w:rPr>
          <w:lang w:val="en"/>
        </w:rPr>
        <w:t>r</w:t>
      </w:r>
      <w:r w:rsidR="00A97226" w:rsidRPr="00684074">
        <w:rPr>
          <w:lang w:val="en"/>
        </w:rPr>
        <w:t xml:space="preserve">ecommendations </w:t>
      </w:r>
      <w:r w:rsidRPr="00684074">
        <w:rPr>
          <w:lang w:val="en"/>
        </w:rPr>
        <w:t>for health services were to ensure:</w:t>
      </w:r>
    </w:p>
    <w:p w14:paraId="0395E181" w14:textId="77777777" w:rsidR="00684074" w:rsidRPr="003C1A78" w:rsidRDefault="00684074" w:rsidP="003C1A78">
      <w:pPr>
        <w:pStyle w:val="DHHSbullet1"/>
      </w:pPr>
      <w:r w:rsidRPr="003C1A78">
        <w:t>they have in place or develop a multidisciplinary, multimodal patient blood management (PBM) program that includes preoperative anaemia assessment and optimisation</w:t>
      </w:r>
    </w:p>
    <w:p w14:paraId="27F8BDA0" w14:textId="5EAA8A5D" w:rsidR="00684074" w:rsidRPr="003C1A78" w:rsidRDefault="00684074" w:rsidP="003C1A78">
      <w:pPr>
        <w:pStyle w:val="DHHSbullet1"/>
      </w:pPr>
      <w:r w:rsidRPr="003C1A78">
        <w:lastRenderedPageBreak/>
        <w:t>the PBM program clearly defines the roles and responsibility for anaemia assessment and follow</w:t>
      </w:r>
      <w:r w:rsidR="005629FD">
        <w:t xml:space="preserve"> </w:t>
      </w:r>
      <w:r w:rsidRPr="003C1A78">
        <w:t>up</w:t>
      </w:r>
    </w:p>
    <w:p w14:paraId="0C8F599A" w14:textId="77777777" w:rsidR="00684074" w:rsidRPr="003C1A78" w:rsidRDefault="00684074" w:rsidP="003C1A78">
      <w:pPr>
        <w:pStyle w:val="DHHSbullet1"/>
      </w:pPr>
      <w:r w:rsidRPr="003C1A78">
        <w:t>the PBM program clearly defines timing of assessment to appropriately manage anaemia within the clinical urgency of surgery</w:t>
      </w:r>
    </w:p>
    <w:p w14:paraId="726D1E71" w14:textId="77777777" w:rsidR="00684074" w:rsidRPr="003C1A78" w:rsidRDefault="00684074" w:rsidP="003C1A78">
      <w:pPr>
        <w:pStyle w:val="DHHSbullet1"/>
      </w:pPr>
      <w:r w:rsidRPr="003C1A78">
        <w:t>the PBM program includes strategies to educate staff, such as the use of BloodSafe eLearning Australia Patient Blood Management courses, in particular the ‘Perioperative’ and ‘Iron deficiency anaemia’ courses</w:t>
      </w:r>
    </w:p>
    <w:p w14:paraId="5F35C96A" w14:textId="77777777" w:rsidR="00684074" w:rsidRPr="003C1A78" w:rsidRDefault="00684074" w:rsidP="003C1A78">
      <w:pPr>
        <w:pStyle w:val="DHHSbullet1"/>
      </w:pPr>
      <w:r w:rsidRPr="003C1A78">
        <w:t xml:space="preserve">a process is in place to review current pathways or implement a pathway where no pathway is in place </w:t>
      </w:r>
    </w:p>
    <w:p w14:paraId="2D7CC4CC" w14:textId="77777777" w:rsidR="00684074" w:rsidRPr="003C1A78" w:rsidRDefault="00684074" w:rsidP="003C1A78">
      <w:pPr>
        <w:pStyle w:val="DHHSbullet1"/>
      </w:pPr>
      <w:r w:rsidRPr="003C1A78">
        <w:t xml:space="preserve">compliance with the pathway is regularly monitored, reported and actions undertaken to address any gaps identified. </w:t>
      </w:r>
    </w:p>
    <w:p w14:paraId="769517B8" w14:textId="77777777" w:rsidR="00684074" w:rsidRPr="00684074" w:rsidRDefault="00684074" w:rsidP="003C1A78">
      <w:pPr>
        <w:pStyle w:val="DHHSbodyafterbullets"/>
        <w:rPr>
          <w:lang w:val="en"/>
        </w:rPr>
      </w:pPr>
      <w:r w:rsidRPr="00684074">
        <w:rPr>
          <w:lang w:val="en"/>
        </w:rPr>
        <w:t xml:space="preserve">In 2020 Blood Matters undertook a survey reexamining questions included in part A of the 2015 audit, to assess if health services </w:t>
      </w:r>
      <w:r w:rsidRPr="003C1A78">
        <w:t>have</w:t>
      </w:r>
      <w:r w:rsidRPr="00684074">
        <w:rPr>
          <w:lang w:val="en"/>
        </w:rPr>
        <w:t xml:space="preserve"> taken on these recommendations and see what changes have been made.</w:t>
      </w:r>
    </w:p>
    <w:p w14:paraId="50BBF3AA" w14:textId="77777777" w:rsidR="00684074" w:rsidRPr="00684074" w:rsidRDefault="00684074" w:rsidP="003C1A78">
      <w:pPr>
        <w:pStyle w:val="Heading2"/>
        <w:rPr>
          <w:rFonts w:eastAsia="MS Gothic"/>
        </w:rPr>
      </w:pPr>
      <w:bookmarkStart w:id="9" w:name="_Toc44568685"/>
      <w:r w:rsidRPr="00684074">
        <w:rPr>
          <w:rFonts w:eastAsia="MS Gothic"/>
        </w:rPr>
        <w:t>Survey aims</w:t>
      </w:r>
      <w:bookmarkEnd w:id="9"/>
    </w:p>
    <w:p w14:paraId="557FAA7B" w14:textId="77777777" w:rsidR="00684074" w:rsidRPr="003C1A78" w:rsidRDefault="00684074" w:rsidP="003C1A78">
      <w:pPr>
        <w:pStyle w:val="DHHSbody"/>
      </w:pPr>
      <w:r w:rsidRPr="003C1A78">
        <w:t xml:space="preserve">This Blood Matters survey of preoperative </w:t>
      </w:r>
      <w:r w:rsidRPr="00FA0EAE">
        <w:t>anaemia</w:t>
      </w:r>
      <w:r w:rsidRPr="003C1A78">
        <w:t xml:space="preserve"> assessment and management was designed to:</w:t>
      </w:r>
    </w:p>
    <w:p w14:paraId="1DBC15D7" w14:textId="77777777" w:rsidR="00684074" w:rsidRPr="00FA0EAE" w:rsidRDefault="00684074" w:rsidP="003C1A78">
      <w:pPr>
        <w:pStyle w:val="DHHSbullet1"/>
      </w:pPr>
      <w:r w:rsidRPr="00FA0EAE">
        <w:t>determine what processes are in place at health services to assess and manage anaemia in the elective preoperative patient</w:t>
      </w:r>
    </w:p>
    <w:p w14:paraId="539E94D3" w14:textId="22EB0616" w:rsidR="00684074" w:rsidRPr="00FA0EAE" w:rsidRDefault="00684074" w:rsidP="003C1A78">
      <w:pPr>
        <w:pStyle w:val="DHHSbullet1"/>
      </w:pPr>
      <w:r w:rsidRPr="00FA0EAE">
        <w:t>explore if any improvement in the above processes has occurred since the last audit in 2015</w:t>
      </w:r>
      <w:r w:rsidR="00A97226">
        <w:t>.</w:t>
      </w:r>
    </w:p>
    <w:p w14:paraId="05C03394" w14:textId="77777777" w:rsidR="00684074" w:rsidRPr="00FA0EAE" w:rsidRDefault="00684074" w:rsidP="003C1A78">
      <w:pPr>
        <w:pStyle w:val="Heading2"/>
        <w:rPr>
          <w:rFonts w:eastAsia="MS Gothic"/>
        </w:rPr>
      </w:pPr>
      <w:bookmarkStart w:id="10" w:name="_Toc44568686"/>
      <w:r w:rsidRPr="00684074">
        <w:rPr>
          <w:rFonts w:eastAsia="MS Gothic"/>
        </w:rPr>
        <w:t>Objectives</w:t>
      </w:r>
      <w:bookmarkEnd w:id="10"/>
    </w:p>
    <w:p w14:paraId="39876ED6" w14:textId="77777777" w:rsidR="00684074" w:rsidRPr="00FA0EAE" w:rsidRDefault="00684074" w:rsidP="003C1A78">
      <w:pPr>
        <w:pStyle w:val="DHHSbody"/>
      </w:pPr>
      <w:r w:rsidRPr="00684074">
        <w:t>To determine:</w:t>
      </w:r>
    </w:p>
    <w:p w14:paraId="1BB3D8D1" w14:textId="2660D27A" w:rsidR="00684074" w:rsidRPr="00FA0EAE" w:rsidRDefault="00684074" w:rsidP="003C1A78">
      <w:pPr>
        <w:pStyle w:val="DHHSbullet1"/>
      </w:pPr>
      <w:r w:rsidRPr="00FA0EAE">
        <w:t>if health services have a screening pathway for assessment of preoperative anaemia, as defined in Module 2</w:t>
      </w:r>
    </w:p>
    <w:p w14:paraId="5D9191EE" w14:textId="2BCEBF12" w:rsidR="00684074" w:rsidRPr="00FA0EAE" w:rsidRDefault="00684074" w:rsidP="003C1A78">
      <w:pPr>
        <w:pStyle w:val="DHHSbullet1"/>
      </w:pPr>
      <w:r w:rsidRPr="00FA0EAE">
        <w:t>where a screening pathway is in place, whether it uses a preoperative haemoglobin assessment and optimisation template</w:t>
      </w:r>
      <w:r w:rsidR="00A97226">
        <w:t>.</w:t>
      </w:r>
    </w:p>
    <w:p w14:paraId="349846A8" w14:textId="77777777" w:rsidR="00684074" w:rsidRPr="00684074" w:rsidRDefault="00684074" w:rsidP="00684074">
      <w:pPr>
        <w:spacing w:after="40" w:line="270" w:lineRule="atLeast"/>
        <w:ind w:left="284" w:hanging="284"/>
        <w:rPr>
          <w:rFonts w:ascii="Arial" w:eastAsia="Times" w:hAnsi="Arial"/>
          <w:lang w:val="en"/>
        </w:rPr>
      </w:pPr>
      <w:r w:rsidRPr="00684074">
        <w:rPr>
          <w:rFonts w:ascii="Arial" w:eastAsia="Times" w:hAnsi="Arial"/>
        </w:rPr>
        <w:br w:type="page"/>
      </w:r>
    </w:p>
    <w:p w14:paraId="50DB63C9" w14:textId="16915372" w:rsidR="00684074" w:rsidRPr="00FA0EAE" w:rsidRDefault="00684074" w:rsidP="003C1A78">
      <w:pPr>
        <w:pStyle w:val="Heading1"/>
      </w:pPr>
      <w:bookmarkStart w:id="11" w:name="_Toc44568687"/>
      <w:r w:rsidRPr="00684074">
        <w:lastRenderedPageBreak/>
        <w:t>Method</w:t>
      </w:r>
      <w:bookmarkEnd w:id="11"/>
    </w:p>
    <w:p w14:paraId="0B8FFE2C" w14:textId="6B09B6C1" w:rsidR="00684074" w:rsidRPr="00684074" w:rsidRDefault="00684074" w:rsidP="003C1A78">
      <w:pPr>
        <w:pStyle w:val="DHHSbody"/>
      </w:pPr>
      <w:r w:rsidRPr="00684074">
        <w:t xml:space="preserve">One hundred and </w:t>
      </w:r>
      <w:r w:rsidR="005629FD">
        <w:t>29</w:t>
      </w:r>
      <w:r w:rsidRPr="00684074">
        <w:t xml:space="preserve"> health services from Victoria, Tasmania, Australian Capital Territory and the Northern Territory that perform surgery were invited to participate in the audit. The surveyors were not trained</w:t>
      </w:r>
      <w:r w:rsidR="00A97226">
        <w:t>,</w:t>
      </w:r>
      <w:r w:rsidR="00A97226" w:rsidRPr="00684074">
        <w:t xml:space="preserve"> </w:t>
      </w:r>
      <w:r w:rsidRPr="00684074">
        <w:t xml:space="preserve">however, the Blood Matters secretariat was available to provide guidance and clarification throughout the survey. </w:t>
      </w:r>
    </w:p>
    <w:p w14:paraId="2E16A3E5" w14:textId="77777777" w:rsidR="00684074" w:rsidRPr="00684074" w:rsidRDefault="00684074" w:rsidP="003C1A78">
      <w:pPr>
        <w:pStyle w:val="DHHSbody"/>
      </w:pPr>
      <w:r w:rsidRPr="00684074">
        <w:t xml:space="preserve">Surveyors submitted data via an online web tool, Lime Survey, from 1 February to 29 February 2020. </w:t>
      </w:r>
    </w:p>
    <w:p w14:paraId="359A4DBA" w14:textId="77777777" w:rsidR="00684074" w:rsidRPr="00684074" w:rsidRDefault="00684074" w:rsidP="003C1A78">
      <w:pPr>
        <w:pStyle w:val="DHHSbody"/>
      </w:pPr>
      <w:r w:rsidRPr="00684074">
        <w:t>The survey was a simple questionnaire aimed at ascertaining how many health services had formalised preoperative anaemia assessment and optimisation pathways and/or templates.</w:t>
      </w:r>
    </w:p>
    <w:p w14:paraId="7BA4A19F" w14:textId="77777777" w:rsidR="00684074" w:rsidRPr="00684074" w:rsidRDefault="00684074" w:rsidP="003C1A78">
      <w:pPr>
        <w:pStyle w:val="DHHSbody"/>
      </w:pPr>
      <w:r w:rsidRPr="00684074">
        <w:t>After the survey, each participating health service was sent a summary of their data for verification and invited to correct any discrepancies or incomplete records.</w:t>
      </w:r>
    </w:p>
    <w:p w14:paraId="75D954C8" w14:textId="77777777" w:rsidR="00684074" w:rsidRPr="00684074" w:rsidRDefault="00684074" w:rsidP="003C1A78">
      <w:pPr>
        <w:pStyle w:val="DHHSbody"/>
      </w:pPr>
      <w:r w:rsidRPr="00684074">
        <w:t>Health services’ policies and pathways were compared with Module 2 recommendations and practice points (Appendix 2) and optimisation template (Appendix 3) to determine if all identified elements of the preoperative anaemia screening assessment are included.</w:t>
      </w:r>
    </w:p>
    <w:p w14:paraId="2D967EF5" w14:textId="77777777" w:rsidR="00684074" w:rsidRPr="00684074" w:rsidRDefault="00684074" w:rsidP="00684074">
      <w:pPr>
        <w:rPr>
          <w:rFonts w:ascii="Arial" w:hAnsi="Arial"/>
          <w:bCs/>
          <w:color w:val="DA372E"/>
          <w:sz w:val="44"/>
          <w:szCs w:val="44"/>
        </w:rPr>
      </w:pPr>
      <w:r w:rsidRPr="00684074">
        <w:br w:type="page"/>
      </w:r>
    </w:p>
    <w:p w14:paraId="0191520D" w14:textId="3BF072FB" w:rsidR="00684074" w:rsidRPr="00FA0EAE" w:rsidRDefault="00684074" w:rsidP="003C1A78">
      <w:pPr>
        <w:pStyle w:val="Heading1"/>
      </w:pPr>
      <w:bookmarkStart w:id="12" w:name="_Toc44568688"/>
      <w:r w:rsidRPr="00684074">
        <w:lastRenderedPageBreak/>
        <w:t>Results</w:t>
      </w:r>
      <w:bookmarkEnd w:id="12"/>
    </w:p>
    <w:p w14:paraId="3F05766B" w14:textId="77777777" w:rsidR="00684074" w:rsidRPr="00684074" w:rsidRDefault="00684074" w:rsidP="003C1A78">
      <w:pPr>
        <w:pStyle w:val="DHHSbody"/>
      </w:pPr>
      <w:r w:rsidRPr="00684074">
        <w:t xml:space="preserve">Patient blood management aims to improve the clinical outcomes of patients by avoiding unnecessary exposure to blood components. Recommendation 1 from Module 2 states: </w:t>
      </w:r>
    </w:p>
    <w:p w14:paraId="4F9CBB77" w14:textId="3CEF4D4A" w:rsidR="00684074" w:rsidRPr="00684074" w:rsidRDefault="00A97226" w:rsidP="003C1A78">
      <w:pPr>
        <w:pStyle w:val="DHHSquote"/>
      </w:pPr>
      <w:r>
        <w:t>‘</w:t>
      </w:r>
      <w:r w:rsidR="00684074" w:rsidRPr="00684074">
        <w:t xml:space="preserve">Health-care services should establish a multidisciplinary, </w:t>
      </w:r>
      <w:r w:rsidR="00684074" w:rsidRPr="00FA0EAE">
        <w:t>multimodal</w:t>
      </w:r>
      <w:r w:rsidR="00684074" w:rsidRPr="00684074">
        <w:t xml:space="preserve"> perioperative patient blood management program. This should include preoperative optimisation of red cell mass and coagulation status; minimisation of perioperative blood loss, including meticulous attention to surgical haemostasis; and tolerance of postoperative anaemia</w:t>
      </w:r>
      <w:r w:rsidRPr="00684074">
        <w:t>.</w:t>
      </w:r>
      <w:r>
        <w:t>’</w:t>
      </w:r>
    </w:p>
    <w:p w14:paraId="4AD0AC4E" w14:textId="77777777" w:rsidR="00684074" w:rsidRPr="00684074" w:rsidRDefault="00684074" w:rsidP="003C1A78">
      <w:pPr>
        <w:pStyle w:val="DHHSbody"/>
      </w:pPr>
      <w:r w:rsidRPr="00684074">
        <w:t xml:space="preserve">This survey addressed preoperative optimisation of red cell mass. Module 2 includes an algorithm for preoperative screening and management of anaemia. Health services are </w:t>
      </w:r>
      <w:r w:rsidRPr="00FA0EAE">
        <w:t>encouraged</w:t>
      </w:r>
      <w:r w:rsidRPr="00684074">
        <w:t xml:space="preserve"> to use the algorithm, adjusted to meet local circumstances (NBA 2012). </w:t>
      </w:r>
    </w:p>
    <w:p w14:paraId="426F11A4" w14:textId="77777777" w:rsidR="00684074" w:rsidRPr="00684074" w:rsidRDefault="00684074" w:rsidP="003C1A78">
      <w:pPr>
        <w:pStyle w:val="DHHSbody"/>
      </w:pPr>
      <w:r w:rsidRPr="00684074">
        <w:t xml:space="preserve">Sixty-three health services responded to the survey (response rate 49 per cent). This compares favourably to the 56 health services responding in 2015 (response rate 40 per cent). Table 1 outlines the demographics of the health services invited and responding, including peer grouping, as defined by Australian Institute of Health and Welfare of the reporting health services. </w:t>
      </w:r>
    </w:p>
    <w:p w14:paraId="3A048A3C" w14:textId="77777777" w:rsidR="00684074" w:rsidRPr="00684074" w:rsidRDefault="00684074" w:rsidP="00684074">
      <w:pPr>
        <w:keepNext/>
        <w:keepLines/>
        <w:spacing w:before="240" w:after="120" w:line="270" w:lineRule="exact"/>
        <w:rPr>
          <w:rFonts w:ascii="Arial" w:hAnsi="Arial"/>
          <w:b/>
        </w:rPr>
      </w:pPr>
      <w:r w:rsidRPr="00684074">
        <w:rPr>
          <w:rFonts w:ascii="Arial" w:hAnsi="Arial"/>
          <w:b/>
        </w:rPr>
        <w:t>Table 1: Peer group of responding health services</w:t>
      </w:r>
    </w:p>
    <w:tbl>
      <w:tblPr>
        <w:tblStyle w:val="TableGrid1"/>
        <w:tblW w:w="0" w:type="auto"/>
        <w:tblLook w:val="04A0" w:firstRow="1" w:lastRow="0" w:firstColumn="1" w:lastColumn="0" w:noHBand="0" w:noVBand="1"/>
      </w:tblPr>
      <w:tblGrid>
        <w:gridCol w:w="2937"/>
        <w:gridCol w:w="2005"/>
        <w:gridCol w:w="2005"/>
        <w:gridCol w:w="2005"/>
      </w:tblGrid>
      <w:tr w:rsidR="00C20407" w:rsidRPr="00684074" w14:paraId="7E770A45" w14:textId="77777777" w:rsidTr="003C1A78">
        <w:trPr>
          <w:tblHeader/>
        </w:trPr>
        <w:tc>
          <w:tcPr>
            <w:tcW w:w="2937" w:type="dxa"/>
            <w:tcBorders>
              <w:bottom w:val="single" w:sz="4" w:space="0" w:color="auto"/>
            </w:tcBorders>
          </w:tcPr>
          <w:p w14:paraId="5B37E87A" w14:textId="77777777" w:rsidR="00C20407" w:rsidRPr="00FA0EAE" w:rsidRDefault="00C20407" w:rsidP="003C1A78">
            <w:pPr>
              <w:pStyle w:val="DHHStablecolhead"/>
            </w:pPr>
          </w:p>
        </w:tc>
        <w:tc>
          <w:tcPr>
            <w:tcW w:w="2005" w:type="dxa"/>
            <w:tcBorders>
              <w:bottom w:val="single" w:sz="4" w:space="0" w:color="auto"/>
            </w:tcBorders>
          </w:tcPr>
          <w:p w14:paraId="0ADE7182" w14:textId="77777777" w:rsidR="00C20407" w:rsidRPr="00FA0EAE" w:rsidRDefault="00C20407" w:rsidP="003C1A78">
            <w:pPr>
              <w:pStyle w:val="DHHStablecolhead"/>
            </w:pPr>
            <w:r w:rsidRPr="00FA0EAE">
              <w:t>Number of private health services</w:t>
            </w:r>
          </w:p>
        </w:tc>
        <w:tc>
          <w:tcPr>
            <w:tcW w:w="2005" w:type="dxa"/>
            <w:tcBorders>
              <w:bottom w:val="single" w:sz="4" w:space="0" w:color="auto"/>
            </w:tcBorders>
          </w:tcPr>
          <w:p w14:paraId="12B52BE5" w14:textId="77777777" w:rsidR="00C20407" w:rsidRPr="00FA0EAE" w:rsidRDefault="00C20407" w:rsidP="003C1A78">
            <w:pPr>
              <w:pStyle w:val="DHHStablecolhead"/>
            </w:pPr>
            <w:r w:rsidRPr="00FA0EAE">
              <w:t>Number of public health services</w:t>
            </w:r>
          </w:p>
        </w:tc>
        <w:tc>
          <w:tcPr>
            <w:tcW w:w="2005" w:type="dxa"/>
            <w:tcBorders>
              <w:bottom w:val="single" w:sz="4" w:space="0" w:color="auto"/>
            </w:tcBorders>
          </w:tcPr>
          <w:p w14:paraId="4B61B55A" w14:textId="77777777" w:rsidR="00C20407" w:rsidRPr="00FA0EAE" w:rsidRDefault="00C20407" w:rsidP="003C1A78">
            <w:pPr>
              <w:pStyle w:val="DHHStablecolhead"/>
            </w:pPr>
            <w:r w:rsidRPr="00FA0EAE">
              <w:t>Total number of health services</w:t>
            </w:r>
          </w:p>
        </w:tc>
      </w:tr>
      <w:tr w:rsidR="00C20407" w:rsidRPr="00684074" w14:paraId="239B689A" w14:textId="77777777" w:rsidTr="003C1A78">
        <w:tc>
          <w:tcPr>
            <w:tcW w:w="2937" w:type="dxa"/>
            <w:tcBorders>
              <w:bottom w:val="single" w:sz="4" w:space="0" w:color="auto"/>
            </w:tcBorders>
            <w:shd w:val="clear" w:color="auto" w:fill="E7E6E6" w:themeFill="background2"/>
          </w:tcPr>
          <w:p w14:paraId="37D1EB55" w14:textId="77777777" w:rsidR="00C20407" w:rsidRPr="00684074" w:rsidRDefault="00C20407" w:rsidP="00684074">
            <w:pPr>
              <w:spacing w:before="80" w:after="60"/>
              <w:rPr>
                <w:rFonts w:ascii="Arial" w:hAnsi="Arial"/>
                <w:szCs w:val="24"/>
                <w:lang w:eastAsia="en-AU"/>
              </w:rPr>
            </w:pPr>
            <w:r w:rsidRPr="00684074">
              <w:rPr>
                <w:rFonts w:ascii="Arial" w:hAnsi="Arial"/>
                <w:szCs w:val="24"/>
                <w:lang w:eastAsia="en-AU"/>
              </w:rPr>
              <w:t>Number invited</w:t>
            </w:r>
          </w:p>
        </w:tc>
        <w:tc>
          <w:tcPr>
            <w:tcW w:w="2005" w:type="dxa"/>
            <w:tcBorders>
              <w:bottom w:val="single" w:sz="4" w:space="0" w:color="auto"/>
            </w:tcBorders>
            <w:shd w:val="clear" w:color="auto" w:fill="E7E6E6" w:themeFill="background2"/>
          </w:tcPr>
          <w:p w14:paraId="0B3DF5DF" w14:textId="77777777" w:rsidR="00C20407" w:rsidRPr="00684074" w:rsidRDefault="00C20407" w:rsidP="00684074">
            <w:pPr>
              <w:spacing w:before="80" w:after="60"/>
              <w:jc w:val="right"/>
              <w:rPr>
                <w:rFonts w:ascii="Arial" w:hAnsi="Arial"/>
                <w:szCs w:val="24"/>
                <w:lang w:eastAsia="en-AU"/>
              </w:rPr>
            </w:pPr>
            <w:r w:rsidRPr="00684074">
              <w:rPr>
                <w:rFonts w:ascii="Arial" w:hAnsi="Arial"/>
                <w:szCs w:val="24"/>
                <w:lang w:eastAsia="en-AU"/>
              </w:rPr>
              <w:t>48</w:t>
            </w:r>
          </w:p>
        </w:tc>
        <w:tc>
          <w:tcPr>
            <w:tcW w:w="2005" w:type="dxa"/>
            <w:tcBorders>
              <w:bottom w:val="single" w:sz="4" w:space="0" w:color="auto"/>
            </w:tcBorders>
            <w:shd w:val="clear" w:color="auto" w:fill="E7E6E6" w:themeFill="background2"/>
          </w:tcPr>
          <w:p w14:paraId="630E2541" w14:textId="77777777" w:rsidR="00C20407" w:rsidRPr="00684074" w:rsidRDefault="00C20407" w:rsidP="00684074">
            <w:pPr>
              <w:spacing w:before="80" w:after="60"/>
              <w:jc w:val="right"/>
              <w:rPr>
                <w:rFonts w:ascii="Arial" w:hAnsi="Arial"/>
                <w:szCs w:val="24"/>
                <w:lang w:eastAsia="en-AU"/>
              </w:rPr>
            </w:pPr>
            <w:r w:rsidRPr="00684074">
              <w:rPr>
                <w:rFonts w:ascii="Arial" w:hAnsi="Arial"/>
                <w:szCs w:val="24"/>
                <w:lang w:eastAsia="en-AU"/>
              </w:rPr>
              <w:t>81</w:t>
            </w:r>
          </w:p>
        </w:tc>
        <w:tc>
          <w:tcPr>
            <w:tcW w:w="2005" w:type="dxa"/>
            <w:tcBorders>
              <w:bottom w:val="single" w:sz="4" w:space="0" w:color="auto"/>
            </w:tcBorders>
            <w:shd w:val="clear" w:color="auto" w:fill="E7E6E6" w:themeFill="background2"/>
          </w:tcPr>
          <w:p w14:paraId="30B82620" w14:textId="77777777" w:rsidR="00C20407" w:rsidRPr="00684074" w:rsidRDefault="00C20407" w:rsidP="00684074">
            <w:pPr>
              <w:spacing w:before="80" w:after="60"/>
              <w:jc w:val="right"/>
              <w:rPr>
                <w:rFonts w:ascii="Arial" w:hAnsi="Arial"/>
                <w:szCs w:val="24"/>
                <w:lang w:eastAsia="en-AU"/>
              </w:rPr>
            </w:pPr>
            <w:r w:rsidRPr="00684074">
              <w:rPr>
                <w:rFonts w:ascii="Arial" w:hAnsi="Arial"/>
                <w:szCs w:val="24"/>
                <w:lang w:eastAsia="en-AU"/>
              </w:rPr>
              <w:t>129</w:t>
            </w:r>
          </w:p>
        </w:tc>
      </w:tr>
      <w:tr w:rsidR="00F60B17" w:rsidRPr="00684074" w14:paraId="5EDA4BA2" w14:textId="77777777" w:rsidTr="003C1A78">
        <w:tc>
          <w:tcPr>
            <w:tcW w:w="2937" w:type="dxa"/>
            <w:tcBorders>
              <w:bottom w:val="single" w:sz="4" w:space="0" w:color="auto"/>
            </w:tcBorders>
            <w:shd w:val="clear" w:color="auto" w:fill="auto"/>
          </w:tcPr>
          <w:p w14:paraId="4A2866EA" w14:textId="21911FD2" w:rsidR="00F60B17" w:rsidRPr="00684074" w:rsidRDefault="00F60B17" w:rsidP="00F60B17">
            <w:pPr>
              <w:spacing w:before="80" w:after="60"/>
              <w:rPr>
                <w:rFonts w:ascii="Arial" w:hAnsi="Arial"/>
                <w:szCs w:val="24"/>
                <w:lang w:eastAsia="en-AU"/>
              </w:rPr>
            </w:pPr>
            <w:r w:rsidRPr="00684074">
              <w:rPr>
                <w:rFonts w:ascii="Arial" w:hAnsi="Arial"/>
                <w:szCs w:val="24"/>
                <w:lang w:eastAsia="en-AU"/>
              </w:rPr>
              <w:t>Principal referral</w:t>
            </w:r>
            <w:r>
              <w:rPr>
                <w:rFonts w:ascii="Arial" w:hAnsi="Arial"/>
                <w:szCs w:val="24"/>
                <w:lang w:eastAsia="en-AU"/>
              </w:rPr>
              <w:t xml:space="preserve"> responses</w:t>
            </w:r>
          </w:p>
        </w:tc>
        <w:tc>
          <w:tcPr>
            <w:tcW w:w="2005" w:type="dxa"/>
            <w:tcBorders>
              <w:bottom w:val="single" w:sz="4" w:space="0" w:color="auto"/>
            </w:tcBorders>
            <w:shd w:val="clear" w:color="auto" w:fill="auto"/>
          </w:tcPr>
          <w:p w14:paraId="0B010909" w14:textId="09D4C08F"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w:t>
            </w:r>
          </w:p>
        </w:tc>
        <w:tc>
          <w:tcPr>
            <w:tcW w:w="2005" w:type="dxa"/>
            <w:tcBorders>
              <w:bottom w:val="single" w:sz="4" w:space="0" w:color="auto"/>
            </w:tcBorders>
            <w:shd w:val="clear" w:color="auto" w:fill="auto"/>
          </w:tcPr>
          <w:p w14:paraId="41C45292" w14:textId="41EBD7D6"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8</w:t>
            </w:r>
          </w:p>
        </w:tc>
        <w:tc>
          <w:tcPr>
            <w:tcW w:w="2005" w:type="dxa"/>
            <w:tcBorders>
              <w:bottom w:val="single" w:sz="4" w:space="0" w:color="auto"/>
            </w:tcBorders>
            <w:shd w:val="clear" w:color="auto" w:fill="auto"/>
          </w:tcPr>
          <w:p w14:paraId="23A07CA3" w14:textId="0FC3F4D4"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8</w:t>
            </w:r>
          </w:p>
        </w:tc>
      </w:tr>
      <w:tr w:rsidR="00F60B17" w:rsidRPr="00684074" w14:paraId="324C9FC2" w14:textId="77777777" w:rsidTr="003C1A78">
        <w:tc>
          <w:tcPr>
            <w:tcW w:w="2937" w:type="dxa"/>
            <w:tcBorders>
              <w:bottom w:val="single" w:sz="4" w:space="0" w:color="auto"/>
            </w:tcBorders>
            <w:shd w:val="clear" w:color="auto" w:fill="auto"/>
          </w:tcPr>
          <w:p w14:paraId="60FE1502" w14:textId="14867064" w:rsidR="00F60B17" w:rsidRPr="00684074" w:rsidRDefault="00F60B17" w:rsidP="00F60B17">
            <w:pPr>
              <w:spacing w:before="80" w:after="60"/>
              <w:rPr>
                <w:rFonts w:ascii="Arial" w:hAnsi="Arial"/>
                <w:szCs w:val="24"/>
                <w:lang w:eastAsia="en-AU"/>
              </w:rPr>
            </w:pPr>
            <w:r w:rsidRPr="00684074">
              <w:rPr>
                <w:rFonts w:ascii="Arial" w:hAnsi="Arial"/>
                <w:szCs w:val="24"/>
                <w:lang w:eastAsia="en-AU"/>
              </w:rPr>
              <w:t>Group A</w:t>
            </w:r>
            <w:r>
              <w:rPr>
                <w:rFonts w:ascii="Arial" w:hAnsi="Arial"/>
                <w:szCs w:val="24"/>
                <w:lang w:eastAsia="en-AU"/>
              </w:rPr>
              <w:t xml:space="preserve"> responses</w:t>
            </w:r>
          </w:p>
        </w:tc>
        <w:tc>
          <w:tcPr>
            <w:tcW w:w="2005" w:type="dxa"/>
            <w:tcBorders>
              <w:bottom w:val="single" w:sz="4" w:space="0" w:color="auto"/>
            </w:tcBorders>
            <w:shd w:val="clear" w:color="auto" w:fill="auto"/>
          </w:tcPr>
          <w:p w14:paraId="0E78D5BB" w14:textId="2A94B0C7"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3</w:t>
            </w:r>
          </w:p>
        </w:tc>
        <w:tc>
          <w:tcPr>
            <w:tcW w:w="2005" w:type="dxa"/>
            <w:tcBorders>
              <w:bottom w:val="single" w:sz="4" w:space="0" w:color="auto"/>
            </w:tcBorders>
            <w:shd w:val="clear" w:color="auto" w:fill="auto"/>
          </w:tcPr>
          <w:p w14:paraId="4CAC1EE8" w14:textId="254E8475"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18</w:t>
            </w:r>
          </w:p>
        </w:tc>
        <w:tc>
          <w:tcPr>
            <w:tcW w:w="2005" w:type="dxa"/>
            <w:tcBorders>
              <w:bottom w:val="single" w:sz="4" w:space="0" w:color="auto"/>
            </w:tcBorders>
            <w:shd w:val="clear" w:color="auto" w:fill="auto"/>
          </w:tcPr>
          <w:p w14:paraId="022A7810" w14:textId="503C3EE4"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21</w:t>
            </w:r>
          </w:p>
        </w:tc>
      </w:tr>
      <w:tr w:rsidR="00F60B17" w:rsidRPr="00684074" w14:paraId="16B29E29" w14:textId="77777777" w:rsidTr="003C1A78">
        <w:tc>
          <w:tcPr>
            <w:tcW w:w="2937" w:type="dxa"/>
            <w:tcBorders>
              <w:bottom w:val="single" w:sz="4" w:space="0" w:color="auto"/>
            </w:tcBorders>
            <w:shd w:val="clear" w:color="auto" w:fill="auto"/>
          </w:tcPr>
          <w:p w14:paraId="51E574A7" w14:textId="66406D81" w:rsidR="00F60B17" w:rsidRPr="00684074" w:rsidRDefault="00F60B17" w:rsidP="00F60B17">
            <w:pPr>
              <w:spacing w:before="80" w:after="60"/>
              <w:rPr>
                <w:rFonts w:ascii="Arial" w:hAnsi="Arial"/>
                <w:szCs w:val="24"/>
                <w:lang w:eastAsia="en-AU"/>
              </w:rPr>
            </w:pPr>
            <w:r w:rsidRPr="00684074">
              <w:rPr>
                <w:rFonts w:ascii="Arial" w:hAnsi="Arial"/>
                <w:szCs w:val="24"/>
                <w:lang w:eastAsia="en-AU"/>
              </w:rPr>
              <w:t>Group B</w:t>
            </w:r>
            <w:r>
              <w:rPr>
                <w:rFonts w:ascii="Arial" w:hAnsi="Arial"/>
                <w:szCs w:val="24"/>
                <w:lang w:eastAsia="en-AU"/>
              </w:rPr>
              <w:t xml:space="preserve"> responses</w:t>
            </w:r>
          </w:p>
        </w:tc>
        <w:tc>
          <w:tcPr>
            <w:tcW w:w="2005" w:type="dxa"/>
            <w:tcBorders>
              <w:bottom w:val="single" w:sz="4" w:space="0" w:color="auto"/>
            </w:tcBorders>
            <w:shd w:val="clear" w:color="auto" w:fill="auto"/>
          </w:tcPr>
          <w:p w14:paraId="6AB91AAF" w14:textId="3083D831" w:rsidR="00F60B17" w:rsidRPr="00684074" w:rsidRDefault="00F60B17" w:rsidP="00F60B17">
            <w:pPr>
              <w:spacing w:before="80" w:after="60"/>
              <w:jc w:val="right"/>
              <w:rPr>
                <w:rFonts w:ascii="Arial" w:hAnsi="Arial"/>
                <w:szCs w:val="24"/>
                <w:lang w:eastAsia="en-AU"/>
              </w:rPr>
            </w:pPr>
            <w:r w:rsidRPr="00684074">
              <w:rPr>
                <w:rFonts w:ascii="Arial" w:hAnsi="Arial"/>
                <w:szCs w:val="24"/>
              </w:rPr>
              <w:t>3</w:t>
            </w:r>
          </w:p>
        </w:tc>
        <w:tc>
          <w:tcPr>
            <w:tcW w:w="2005" w:type="dxa"/>
            <w:tcBorders>
              <w:bottom w:val="single" w:sz="4" w:space="0" w:color="auto"/>
            </w:tcBorders>
            <w:shd w:val="clear" w:color="auto" w:fill="auto"/>
          </w:tcPr>
          <w:p w14:paraId="5A419A9E" w14:textId="4D099BDA"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5</w:t>
            </w:r>
          </w:p>
        </w:tc>
        <w:tc>
          <w:tcPr>
            <w:tcW w:w="2005" w:type="dxa"/>
            <w:tcBorders>
              <w:bottom w:val="single" w:sz="4" w:space="0" w:color="auto"/>
            </w:tcBorders>
            <w:shd w:val="clear" w:color="auto" w:fill="auto"/>
          </w:tcPr>
          <w:p w14:paraId="21D58095" w14:textId="04ACE20D"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8</w:t>
            </w:r>
          </w:p>
        </w:tc>
      </w:tr>
      <w:tr w:rsidR="00F60B17" w:rsidRPr="00684074" w14:paraId="7826FE74" w14:textId="77777777" w:rsidTr="003C1A78">
        <w:tc>
          <w:tcPr>
            <w:tcW w:w="2937" w:type="dxa"/>
            <w:tcBorders>
              <w:bottom w:val="single" w:sz="4" w:space="0" w:color="auto"/>
            </w:tcBorders>
            <w:shd w:val="clear" w:color="auto" w:fill="auto"/>
          </w:tcPr>
          <w:p w14:paraId="22CFFE57" w14:textId="301B0711" w:rsidR="00F60B17" w:rsidRPr="00684074" w:rsidRDefault="00F60B17" w:rsidP="00F60B17">
            <w:pPr>
              <w:spacing w:before="80" w:after="60"/>
              <w:rPr>
                <w:rFonts w:ascii="Arial" w:hAnsi="Arial"/>
                <w:szCs w:val="24"/>
                <w:lang w:eastAsia="en-AU"/>
              </w:rPr>
            </w:pPr>
            <w:r w:rsidRPr="00684074">
              <w:rPr>
                <w:rFonts w:ascii="Arial" w:hAnsi="Arial"/>
                <w:szCs w:val="24"/>
                <w:lang w:eastAsia="en-AU"/>
              </w:rPr>
              <w:t>Group C</w:t>
            </w:r>
            <w:r>
              <w:rPr>
                <w:rFonts w:ascii="Arial" w:hAnsi="Arial"/>
                <w:szCs w:val="24"/>
                <w:lang w:eastAsia="en-AU"/>
              </w:rPr>
              <w:t xml:space="preserve"> responses</w:t>
            </w:r>
          </w:p>
        </w:tc>
        <w:tc>
          <w:tcPr>
            <w:tcW w:w="2005" w:type="dxa"/>
            <w:tcBorders>
              <w:bottom w:val="single" w:sz="4" w:space="0" w:color="auto"/>
            </w:tcBorders>
            <w:shd w:val="clear" w:color="auto" w:fill="auto"/>
          </w:tcPr>
          <w:p w14:paraId="205D24E0" w14:textId="0738067F" w:rsidR="00F60B17" w:rsidRPr="00684074" w:rsidRDefault="00F60B17" w:rsidP="00F60B17">
            <w:pPr>
              <w:spacing w:before="80" w:after="60"/>
              <w:jc w:val="right"/>
              <w:rPr>
                <w:rFonts w:ascii="Arial" w:hAnsi="Arial"/>
                <w:szCs w:val="24"/>
                <w:lang w:eastAsia="en-AU"/>
              </w:rPr>
            </w:pPr>
            <w:r w:rsidRPr="00684074">
              <w:rPr>
                <w:rFonts w:ascii="Arial" w:hAnsi="Arial"/>
                <w:szCs w:val="24"/>
              </w:rPr>
              <w:t>2</w:t>
            </w:r>
          </w:p>
        </w:tc>
        <w:tc>
          <w:tcPr>
            <w:tcW w:w="2005" w:type="dxa"/>
            <w:tcBorders>
              <w:bottom w:val="single" w:sz="4" w:space="0" w:color="auto"/>
            </w:tcBorders>
            <w:shd w:val="clear" w:color="auto" w:fill="auto"/>
          </w:tcPr>
          <w:p w14:paraId="305C73FA" w14:textId="0B5DFDB2"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18</w:t>
            </w:r>
          </w:p>
        </w:tc>
        <w:tc>
          <w:tcPr>
            <w:tcW w:w="2005" w:type="dxa"/>
            <w:tcBorders>
              <w:bottom w:val="single" w:sz="4" w:space="0" w:color="auto"/>
            </w:tcBorders>
            <w:shd w:val="clear" w:color="auto" w:fill="auto"/>
          </w:tcPr>
          <w:p w14:paraId="65DA060D" w14:textId="2FDA5B0D"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20</w:t>
            </w:r>
          </w:p>
        </w:tc>
      </w:tr>
      <w:tr w:rsidR="00F60B17" w:rsidRPr="00684074" w14:paraId="1CE10F8F" w14:textId="77777777" w:rsidTr="003C1A78">
        <w:tc>
          <w:tcPr>
            <w:tcW w:w="2937" w:type="dxa"/>
            <w:tcBorders>
              <w:bottom w:val="single" w:sz="4" w:space="0" w:color="auto"/>
            </w:tcBorders>
            <w:shd w:val="clear" w:color="auto" w:fill="auto"/>
          </w:tcPr>
          <w:p w14:paraId="52B1E3DB" w14:textId="6D96DDCE" w:rsidR="00F60B17" w:rsidRPr="00684074" w:rsidRDefault="00F60B17" w:rsidP="00F60B17">
            <w:pPr>
              <w:spacing w:before="80" w:after="60"/>
              <w:rPr>
                <w:rFonts w:ascii="Arial" w:hAnsi="Arial"/>
                <w:szCs w:val="24"/>
                <w:lang w:eastAsia="en-AU"/>
              </w:rPr>
            </w:pPr>
            <w:r w:rsidRPr="00684074">
              <w:rPr>
                <w:rFonts w:ascii="Arial" w:hAnsi="Arial"/>
                <w:szCs w:val="24"/>
                <w:lang w:eastAsia="en-AU"/>
              </w:rPr>
              <w:t>Group D</w:t>
            </w:r>
            <w:r>
              <w:rPr>
                <w:rFonts w:ascii="Arial" w:hAnsi="Arial"/>
                <w:szCs w:val="24"/>
                <w:lang w:eastAsia="en-AU"/>
              </w:rPr>
              <w:t xml:space="preserve"> responses</w:t>
            </w:r>
          </w:p>
        </w:tc>
        <w:tc>
          <w:tcPr>
            <w:tcW w:w="2005" w:type="dxa"/>
            <w:tcBorders>
              <w:bottom w:val="single" w:sz="4" w:space="0" w:color="auto"/>
            </w:tcBorders>
            <w:shd w:val="clear" w:color="auto" w:fill="auto"/>
          </w:tcPr>
          <w:p w14:paraId="0D7F3715" w14:textId="49D06A02" w:rsidR="00F60B17" w:rsidRPr="00684074" w:rsidRDefault="00F60B17" w:rsidP="00F60B17">
            <w:pPr>
              <w:spacing w:before="80" w:after="60"/>
              <w:jc w:val="right"/>
              <w:rPr>
                <w:rFonts w:ascii="Arial" w:hAnsi="Arial"/>
                <w:szCs w:val="24"/>
                <w:lang w:eastAsia="en-AU"/>
              </w:rPr>
            </w:pPr>
            <w:r w:rsidRPr="00684074">
              <w:rPr>
                <w:rFonts w:ascii="Arial" w:hAnsi="Arial"/>
                <w:szCs w:val="24"/>
              </w:rPr>
              <w:t>2</w:t>
            </w:r>
          </w:p>
        </w:tc>
        <w:tc>
          <w:tcPr>
            <w:tcW w:w="2005" w:type="dxa"/>
            <w:tcBorders>
              <w:bottom w:val="single" w:sz="4" w:space="0" w:color="auto"/>
            </w:tcBorders>
            <w:shd w:val="clear" w:color="auto" w:fill="auto"/>
          </w:tcPr>
          <w:p w14:paraId="6470D108" w14:textId="5B7FA9C3"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w:t>
            </w:r>
          </w:p>
        </w:tc>
        <w:tc>
          <w:tcPr>
            <w:tcW w:w="2005" w:type="dxa"/>
            <w:tcBorders>
              <w:bottom w:val="single" w:sz="4" w:space="0" w:color="auto"/>
            </w:tcBorders>
            <w:shd w:val="clear" w:color="auto" w:fill="auto"/>
          </w:tcPr>
          <w:p w14:paraId="571006C8" w14:textId="4BA09247"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2</w:t>
            </w:r>
          </w:p>
        </w:tc>
      </w:tr>
      <w:tr w:rsidR="00F60B17" w:rsidRPr="00684074" w14:paraId="6F71EF57" w14:textId="77777777" w:rsidTr="00F60B17">
        <w:tc>
          <w:tcPr>
            <w:tcW w:w="2937" w:type="dxa"/>
            <w:tcBorders>
              <w:bottom w:val="single" w:sz="4" w:space="0" w:color="auto"/>
            </w:tcBorders>
            <w:shd w:val="clear" w:color="auto" w:fill="auto"/>
          </w:tcPr>
          <w:p w14:paraId="40844471" w14:textId="0B601758" w:rsidR="00F60B17" w:rsidRPr="00684074" w:rsidRDefault="00F60B17" w:rsidP="00F60B17">
            <w:pPr>
              <w:spacing w:before="80" w:after="60"/>
              <w:rPr>
                <w:rFonts w:ascii="Arial" w:hAnsi="Arial"/>
                <w:szCs w:val="24"/>
                <w:lang w:eastAsia="en-AU"/>
              </w:rPr>
            </w:pPr>
            <w:r w:rsidRPr="00684074">
              <w:rPr>
                <w:rFonts w:ascii="Arial" w:hAnsi="Arial"/>
                <w:szCs w:val="24"/>
                <w:lang w:eastAsia="en-AU"/>
              </w:rPr>
              <w:t>Unpeered</w:t>
            </w:r>
            <w:r>
              <w:rPr>
                <w:rFonts w:ascii="Arial" w:hAnsi="Arial"/>
                <w:szCs w:val="24"/>
                <w:lang w:eastAsia="en-AU"/>
              </w:rPr>
              <w:t xml:space="preserve"> responses</w:t>
            </w:r>
          </w:p>
        </w:tc>
        <w:tc>
          <w:tcPr>
            <w:tcW w:w="2005" w:type="dxa"/>
            <w:tcBorders>
              <w:bottom w:val="single" w:sz="4" w:space="0" w:color="auto"/>
            </w:tcBorders>
            <w:shd w:val="clear" w:color="auto" w:fill="auto"/>
          </w:tcPr>
          <w:p w14:paraId="2D42739A" w14:textId="546B86F4" w:rsidR="00F60B17" w:rsidRPr="00684074" w:rsidRDefault="00F60B17" w:rsidP="00F60B17">
            <w:pPr>
              <w:spacing w:before="80" w:after="60"/>
              <w:jc w:val="right"/>
              <w:rPr>
                <w:rFonts w:ascii="Arial" w:hAnsi="Arial"/>
                <w:szCs w:val="24"/>
              </w:rPr>
            </w:pPr>
            <w:r w:rsidRPr="00684074">
              <w:rPr>
                <w:rFonts w:ascii="Arial" w:hAnsi="Arial"/>
                <w:szCs w:val="24"/>
              </w:rPr>
              <w:t>1</w:t>
            </w:r>
          </w:p>
        </w:tc>
        <w:tc>
          <w:tcPr>
            <w:tcW w:w="2005" w:type="dxa"/>
            <w:tcBorders>
              <w:bottom w:val="single" w:sz="4" w:space="0" w:color="auto"/>
            </w:tcBorders>
            <w:shd w:val="clear" w:color="auto" w:fill="auto"/>
          </w:tcPr>
          <w:p w14:paraId="6959AF8A" w14:textId="3C2527C4"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3</w:t>
            </w:r>
          </w:p>
        </w:tc>
        <w:tc>
          <w:tcPr>
            <w:tcW w:w="2005" w:type="dxa"/>
            <w:tcBorders>
              <w:bottom w:val="single" w:sz="4" w:space="0" w:color="auto"/>
            </w:tcBorders>
            <w:shd w:val="clear" w:color="auto" w:fill="auto"/>
          </w:tcPr>
          <w:p w14:paraId="30B01DBF" w14:textId="78735DF8"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4</w:t>
            </w:r>
          </w:p>
        </w:tc>
      </w:tr>
      <w:tr w:rsidR="00F60B17" w:rsidRPr="00684074" w14:paraId="06F9E9BA" w14:textId="77777777" w:rsidTr="00F60B17">
        <w:tc>
          <w:tcPr>
            <w:tcW w:w="2937" w:type="dxa"/>
            <w:tcBorders>
              <w:bottom w:val="single" w:sz="4" w:space="0" w:color="auto"/>
            </w:tcBorders>
            <w:shd w:val="clear" w:color="auto" w:fill="auto"/>
          </w:tcPr>
          <w:p w14:paraId="449D2CE5" w14:textId="7CE8F624" w:rsidR="00F60B17" w:rsidRPr="00684074" w:rsidRDefault="00F60B17" w:rsidP="00F60B17">
            <w:pPr>
              <w:spacing w:before="80" w:after="60"/>
              <w:rPr>
                <w:rFonts w:ascii="Arial" w:hAnsi="Arial"/>
                <w:szCs w:val="24"/>
                <w:lang w:eastAsia="en-AU"/>
              </w:rPr>
            </w:pPr>
            <w:r w:rsidRPr="00684074">
              <w:rPr>
                <w:rFonts w:ascii="Arial" w:hAnsi="Arial"/>
                <w:szCs w:val="24"/>
                <w:lang w:eastAsia="en-AU"/>
              </w:rPr>
              <w:t>Total</w:t>
            </w:r>
          </w:p>
        </w:tc>
        <w:tc>
          <w:tcPr>
            <w:tcW w:w="2005" w:type="dxa"/>
            <w:tcBorders>
              <w:bottom w:val="single" w:sz="4" w:space="0" w:color="auto"/>
            </w:tcBorders>
            <w:shd w:val="clear" w:color="auto" w:fill="auto"/>
          </w:tcPr>
          <w:p w14:paraId="1037B772" w14:textId="77777777" w:rsidR="00F60B17" w:rsidRPr="00684074" w:rsidRDefault="00F60B17" w:rsidP="00F60B17">
            <w:pPr>
              <w:spacing w:before="80" w:after="60"/>
              <w:jc w:val="right"/>
              <w:rPr>
                <w:rFonts w:ascii="Arial" w:hAnsi="Arial"/>
                <w:szCs w:val="24"/>
              </w:rPr>
            </w:pPr>
            <w:r w:rsidRPr="00684074">
              <w:rPr>
                <w:rFonts w:ascii="Arial" w:hAnsi="Arial"/>
                <w:szCs w:val="24"/>
              </w:rPr>
              <w:t>11</w:t>
            </w:r>
          </w:p>
          <w:p w14:paraId="5CD030FF" w14:textId="44854756" w:rsidR="00F60B17" w:rsidRPr="00684074" w:rsidRDefault="00F60B17" w:rsidP="00F60B17">
            <w:pPr>
              <w:spacing w:before="80" w:after="60"/>
              <w:jc w:val="right"/>
              <w:rPr>
                <w:rFonts w:ascii="Arial" w:hAnsi="Arial"/>
                <w:szCs w:val="24"/>
              </w:rPr>
            </w:pPr>
            <w:r w:rsidRPr="00684074">
              <w:rPr>
                <w:rFonts w:ascii="Arial" w:hAnsi="Arial"/>
                <w:szCs w:val="24"/>
              </w:rPr>
              <w:t>(response rate 23%)</w:t>
            </w:r>
          </w:p>
        </w:tc>
        <w:tc>
          <w:tcPr>
            <w:tcW w:w="2005" w:type="dxa"/>
            <w:tcBorders>
              <w:bottom w:val="single" w:sz="4" w:space="0" w:color="auto"/>
            </w:tcBorders>
            <w:shd w:val="clear" w:color="auto" w:fill="auto"/>
          </w:tcPr>
          <w:p w14:paraId="480E8D8D" w14:textId="77777777"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52</w:t>
            </w:r>
          </w:p>
          <w:p w14:paraId="39F47E61" w14:textId="715935DB" w:rsidR="00F60B17" w:rsidRPr="00684074" w:rsidRDefault="00F60B17" w:rsidP="00F60B17">
            <w:pPr>
              <w:spacing w:before="80" w:after="60"/>
              <w:jc w:val="right"/>
              <w:rPr>
                <w:rFonts w:ascii="Arial" w:hAnsi="Arial"/>
                <w:szCs w:val="24"/>
                <w:lang w:eastAsia="en-AU"/>
              </w:rPr>
            </w:pPr>
            <w:r w:rsidRPr="00684074">
              <w:rPr>
                <w:rFonts w:ascii="Arial" w:hAnsi="Arial"/>
                <w:szCs w:val="24"/>
              </w:rPr>
              <w:t>(response rate 64%)</w:t>
            </w:r>
          </w:p>
        </w:tc>
        <w:tc>
          <w:tcPr>
            <w:tcW w:w="2005" w:type="dxa"/>
            <w:tcBorders>
              <w:bottom w:val="single" w:sz="4" w:space="0" w:color="auto"/>
            </w:tcBorders>
            <w:shd w:val="clear" w:color="auto" w:fill="auto"/>
          </w:tcPr>
          <w:p w14:paraId="06741862" w14:textId="77777777" w:rsidR="00F60B17" w:rsidRPr="00684074" w:rsidRDefault="00F60B17" w:rsidP="00F60B17">
            <w:pPr>
              <w:spacing w:before="80" w:after="60"/>
              <w:jc w:val="right"/>
              <w:rPr>
                <w:rFonts w:ascii="Arial" w:hAnsi="Arial"/>
                <w:szCs w:val="24"/>
                <w:lang w:eastAsia="en-AU"/>
              </w:rPr>
            </w:pPr>
            <w:r w:rsidRPr="00684074">
              <w:rPr>
                <w:rFonts w:ascii="Arial" w:hAnsi="Arial"/>
                <w:szCs w:val="24"/>
                <w:lang w:eastAsia="en-AU"/>
              </w:rPr>
              <w:t>63</w:t>
            </w:r>
          </w:p>
          <w:p w14:paraId="73A11D9C" w14:textId="2ED82AF7" w:rsidR="00F60B17" w:rsidRPr="00684074" w:rsidRDefault="00F60B17" w:rsidP="00F60B17">
            <w:pPr>
              <w:spacing w:before="80" w:after="60"/>
              <w:jc w:val="right"/>
              <w:rPr>
                <w:rFonts w:ascii="Arial" w:hAnsi="Arial"/>
                <w:szCs w:val="24"/>
                <w:lang w:eastAsia="en-AU"/>
              </w:rPr>
            </w:pPr>
            <w:r w:rsidRPr="00684074">
              <w:rPr>
                <w:rFonts w:ascii="Arial" w:hAnsi="Arial"/>
                <w:szCs w:val="24"/>
              </w:rPr>
              <w:t>(response rate 49%)</w:t>
            </w:r>
          </w:p>
        </w:tc>
      </w:tr>
    </w:tbl>
    <w:p w14:paraId="620A4440" w14:textId="77777777" w:rsidR="00684074" w:rsidRPr="00684074" w:rsidRDefault="00684074" w:rsidP="003C1A78">
      <w:pPr>
        <w:pStyle w:val="DHHSbodyaftertablefigure"/>
      </w:pPr>
      <w:r w:rsidRPr="00684074">
        <w:t>Figure 1 summarises information reported about the presence of preoperative anaemia pathways and the inclusions.</w:t>
      </w:r>
    </w:p>
    <w:p w14:paraId="3EE92C35" w14:textId="77777777" w:rsidR="00684074" w:rsidRPr="00684074" w:rsidRDefault="00684074" w:rsidP="00684074">
      <w:pPr>
        <w:rPr>
          <w:rFonts w:ascii="Arial" w:eastAsia="Times" w:hAnsi="Arial"/>
        </w:rPr>
      </w:pPr>
    </w:p>
    <w:p w14:paraId="1251C8BF" w14:textId="449E21DE" w:rsidR="00684074" w:rsidRDefault="00684074" w:rsidP="00F60B17">
      <w:pPr>
        <w:pStyle w:val="DHHSfigurecaption"/>
      </w:pPr>
      <w:r w:rsidRPr="00684074">
        <w:lastRenderedPageBreak/>
        <w:t>Figure 1: Information reported about preoperative anaemia screening pathways</w:t>
      </w:r>
    </w:p>
    <w:p w14:paraId="0186289B" w14:textId="05216484" w:rsidR="00F60B17" w:rsidRPr="003C1A78" w:rsidRDefault="00F60B17" w:rsidP="003C1A78">
      <w:pPr>
        <w:pStyle w:val="DHHSbody"/>
      </w:pPr>
      <w:r>
        <w:rPr>
          <w:noProof/>
          <w:lang w:eastAsia="en-AU"/>
        </w:rPr>
        <w:drawing>
          <wp:inline distT="0" distB="0" distL="0" distR="0" wp14:anchorId="6D19D246" wp14:editId="518C2768">
            <wp:extent cx="5759450" cy="4210685"/>
            <wp:effectExtent l="0" t="0" r="6350" b="5715"/>
            <wp:docPr id="28" name="Picture 28" descr="Summary of pathway information discussed in the main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ntitled.png"/>
                    <pic:cNvPicPr/>
                  </pic:nvPicPr>
                  <pic:blipFill>
                    <a:blip r:embed="rId11"/>
                    <a:stretch>
                      <a:fillRect/>
                    </a:stretch>
                  </pic:blipFill>
                  <pic:spPr>
                    <a:xfrm>
                      <a:off x="0" y="0"/>
                      <a:ext cx="5759450" cy="4210685"/>
                    </a:xfrm>
                    <a:prstGeom prst="rect">
                      <a:avLst/>
                    </a:prstGeom>
                  </pic:spPr>
                </pic:pic>
              </a:graphicData>
            </a:graphic>
          </wp:inline>
        </w:drawing>
      </w:r>
    </w:p>
    <w:p w14:paraId="16A7C388" w14:textId="77777777" w:rsidR="00684074" w:rsidRPr="00684074" w:rsidRDefault="00684074" w:rsidP="003C1A78">
      <w:pPr>
        <w:pStyle w:val="Heading2"/>
        <w:rPr>
          <w:rFonts w:eastAsia="MS Gothic"/>
        </w:rPr>
      </w:pPr>
      <w:bookmarkStart w:id="13" w:name="_Toc44568689"/>
      <w:r w:rsidRPr="00684074">
        <w:rPr>
          <w:rFonts w:eastAsia="MS Gothic"/>
        </w:rPr>
        <w:t>Screening pathway absent</w:t>
      </w:r>
      <w:bookmarkEnd w:id="13"/>
    </w:p>
    <w:p w14:paraId="7C0BD7BD" w14:textId="77777777" w:rsidR="003633A0" w:rsidRDefault="00684074" w:rsidP="003633A0">
      <w:pPr>
        <w:pStyle w:val="DHHSbody"/>
      </w:pPr>
      <w:r w:rsidRPr="00684074">
        <w:t xml:space="preserve">In the 2020 survey, 28 (44 per cent) health services reported no screening pathway, which was an improvement from 2015 when 36 (64 per cent) health services reported no screening pathway in place. </w:t>
      </w:r>
    </w:p>
    <w:p w14:paraId="3D050369" w14:textId="5EE7C20A" w:rsidR="00684074" w:rsidRPr="00684074" w:rsidRDefault="00684074" w:rsidP="003C1A78">
      <w:pPr>
        <w:pStyle w:val="DHHSbody"/>
      </w:pPr>
      <w:r w:rsidRPr="00684074">
        <w:t>Of the health services without a screening pathway in 2015, 14 (39 per cent) reported that they had plans to introduce in the next 12 months (Figure 2). The 2020 survey showed that eight achieved this and two were still planning. The remaining four did not participate in the 2020 survey. An additional five health services that had no plans for implementation in 2015 have done so in the interim, with another six planning to implement in the next 12 months.</w:t>
      </w:r>
    </w:p>
    <w:p w14:paraId="0460A62B" w14:textId="77777777" w:rsidR="00684074" w:rsidRPr="00684074" w:rsidRDefault="00684074" w:rsidP="003C1A78">
      <w:pPr>
        <w:pStyle w:val="DHHSbody"/>
      </w:pPr>
      <w:r w:rsidRPr="00684074">
        <w:t>In the 2020 survey, 16 of the 28 health services reported that they had plans to introduce a screening pathway in the next 12 months.</w:t>
      </w:r>
    </w:p>
    <w:p w14:paraId="0AD37CFE" w14:textId="77777777" w:rsidR="00684074" w:rsidRPr="00684074" w:rsidRDefault="00684074" w:rsidP="003C1A78">
      <w:pPr>
        <w:pStyle w:val="DHHSfigurecaption"/>
        <w:rPr>
          <w:rFonts w:eastAsia="Times"/>
        </w:rPr>
      </w:pPr>
      <w:bookmarkStart w:id="14" w:name="_Hlk40255234"/>
      <w:r w:rsidRPr="00684074">
        <w:rPr>
          <w:rFonts w:eastAsia="Times"/>
        </w:rPr>
        <w:lastRenderedPageBreak/>
        <w:t>Figure 2: Progress of health services reporting no pathway in 2015 audit towards implementing a pathway in 2020</w:t>
      </w:r>
    </w:p>
    <w:bookmarkEnd w:id="14"/>
    <w:p w14:paraId="6E6EC6AE" w14:textId="66669DDA" w:rsidR="00684074" w:rsidRPr="00684074" w:rsidRDefault="00147D5C" w:rsidP="00684074">
      <w:pPr>
        <w:spacing w:after="120" w:line="270" w:lineRule="atLeast"/>
        <w:rPr>
          <w:rFonts w:ascii="Arial" w:eastAsia="Times" w:hAnsi="Arial"/>
        </w:rPr>
      </w:pPr>
      <w:r>
        <w:rPr>
          <w:rFonts w:ascii="Arial" w:eastAsia="Times" w:hAnsi="Arial"/>
          <w:noProof/>
          <w:lang w:eastAsia="en-AU"/>
        </w:rPr>
        <w:drawing>
          <wp:inline distT="0" distB="0" distL="0" distR="0" wp14:anchorId="62D92A03" wp14:editId="7BEDA1D7">
            <wp:extent cx="5932170" cy="4218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170" cy="4218940"/>
                    </a:xfrm>
                    <a:prstGeom prst="rect">
                      <a:avLst/>
                    </a:prstGeom>
                    <a:noFill/>
                  </pic:spPr>
                </pic:pic>
              </a:graphicData>
            </a:graphic>
          </wp:inline>
        </w:drawing>
      </w:r>
    </w:p>
    <w:p w14:paraId="36797F55" w14:textId="702FA17B" w:rsidR="003633A0" w:rsidRPr="00FA0EAE" w:rsidRDefault="003633A0" w:rsidP="003C1A78">
      <w:pPr>
        <w:pStyle w:val="DHHStablefigurenote"/>
        <w:rPr>
          <w:rFonts w:eastAsia="Times"/>
        </w:rPr>
      </w:pPr>
      <w:r w:rsidRPr="00FA0EAE">
        <w:t>Note: the ‘Did not submit n = 10’ includes three health services that were not invited due to closure (</w:t>
      </w:r>
      <w:r w:rsidRPr="00CC3228">
        <w:rPr>
          <w:i/>
        </w:rPr>
        <w:t>n</w:t>
      </w:r>
      <w:r w:rsidRPr="00FA0EAE">
        <w:t> = 1) or do not perform elective surgery (</w:t>
      </w:r>
      <w:r w:rsidRPr="00CC3228">
        <w:rPr>
          <w:i/>
        </w:rPr>
        <w:t>n</w:t>
      </w:r>
      <w:r w:rsidRPr="00FA0EAE">
        <w:t> = 2)</w:t>
      </w:r>
    </w:p>
    <w:p w14:paraId="7B2E5DED" w14:textId="1AE121A0" w:rsidR="00684074" w:rsidRPr="00684074" w:rsidRDefault="00684074" w:rsidP="003C1A78">
      <w:pPr>
        <w:pStyle w:val="DHHSbodyaftertablefigure"/>
      </w:pPr>
      <w:r w:rsidRPr="00684074">
        <w:t xml:space="preserve">Where no screening pathway was in place, 23 of the 28 (82 per cent) health services reported that anaemia identification was addressed by preoperative assessment in other areas as shown in Table </w:t>
      </w:r>
      <w:r w:rsidR="0033795C">
        <w:t>2</w:t>
      </w:r>
      <w:r w:rsidRPr="00684074">
        <w:t>.</w:t>
      </w:r>
    </w:p>
    <w:p w14:paraId="02A2C8B2" w14:textId="49E545E0" w:rsidR="00684074" w:rsidRPr="00684074" w:rsidRDefault="00684074" w:rsidP="003C1A78">
      <w:pPr>
        <w:pStyle w:val="DHHStablecaption"/>
      </w:pPr>
      <w:r w:rsidRPr="00684074">
        <w:t xml:space="preserve">Table </w:t>
      </w:r>
      <w:r w:rsidR="006A7B58">
        <w:t>2</w:t>
      </w:r>
      <w:r w:rsidRPr="00684074">
        <w:t xml:space="preserve">: Area for preoperative </w:t>
      </w:r>
      <w:r w:rsidRPr="00FA0EAE">
        <w:t>assessment</w:t>
      </w:r>
      <w:r w:rsidRPr="00684074">
        <w:t xml:space="preserve"> of anaemia when an anaemia screening pathway not in place</w:t>
      </w:r>
    </w:p>
    <w:tbl>
      <w:tblPr>
        <w:tblStyle w:val="TableGrid1"/>
        <w:tblW w:w="0" w:type="auto"/>
        <w:tblLook w:val="04A0" w:firstRow="1" w:lastRow="0" w:firstColumn="1" w:lastColumn="0" w:noHBand="0" w:noVBand="1"/>
      </w:tblPr>
      <w:tblGrid>
        <w:gridCol w:w="4846"/>
        <w:gridCol w:w="3645"/>
      </w:tblGrid>
      <w:tr w:rsidR="00684074" w:rsidRPr="00684074" w14:paraId="09211660" w14:textId="77777777" w:rsidTr="003C1A78">
        <w:trPr>
          <w:tblHeader/>
        </w:trPr>
        <w:tc>
          <w:tcPr>
            <w:tcW w:w="4846" w:type="dxa"/>
          </w:tcPr>
          <w:p w14:paraId="39F9FA47" w14:textId="77777777" w:rsidR="00684074" w:rsidRPr="00FA0EAE" w:rsidRDefault="00684074" w:rsidP="003C1A78">
            <w:pPr>
              <w:pStyle w:val="DHHStablecolhead"/>
            </w:pPr>
            <w:r w:rsidRPr="00684074">
              <w:t xml:space="preserve">Area </w:t>
            </w:r>
          </w:p>
        </w:tc>
        <w:tc>
          <w:tcPr>
            <w:tcW w:w="3645" w:type="dxa"/>
          </w:tcPr>
          <w:p w14:paraId="460356AD" w14:textId="77777777" w:rsidR="00684074" w:rsidRPr="00684074" w:rsidRDefault="00684074" w:rsidP="003C1A78">
            <w:pPr>
              <w:pStyle w:val="DHHStablecolhead"/>
            </w:pPr>
            <w:r w:rsidRPr="00684074">
              <w:t xml:space="preserve">Number (%) of health </w:t>
            </w:r>
            <w:r w:rsidRPr="00FA0EAE">
              <w:t>services</w:t>
            </w:r>
            <w:r w:rsidRPr="00684074">
              <w:rPr>
                <w:vertAlign w:val="superscript"/>
              </w:rPr>
              <w:footnoteReference w:id="2"/>
            </w:r>
          </w:p>
        </w:tc>
      </w:tr>
      <w:tr w:rsidR="00684074" w:rsidRPr="00684074" w14:paraId="76E5C2E3" w14:textId="77777777" w:rsidTr="00684074">
        <w:tc>
          <w:tcPr>
            <w:tcW w:w="4846" w:type="dxa"/>
          </w:tcPr>
          <w:p w14:paraId="55640716" w14:textId="77777777" w:rsidR="00684074" w:rsidRPr="00FA0EAE" w:rsidRDefault="00684074" w:rsidP="003C1A78">
            <w:pPr>
              <w:pStyle w:val="DHHStabletext"/>
              <w:rPr>
                <w:rFonts w:eastAsia="Times"/>
              </w:rPr>
            </w:pPr>
            <w:r w:rsidRPr="00FA0EAE">
              <w:rPr>
                <w:rFonts w:eastAsia="Times"/>
              </w:rPr>
              <w:t>Preadmission clinic</w:t>
            </w:r>
          </w:p>
        </w:tc>
        <w:tc>
          <w:tcPr>
            <w:tcW w:w="3645" w:type="dxa"/>
          </w:tcPr>
          <w:p w14:paraId="7970C941" w14:textId="77777777" w:rsidR="00684074" w:rsidRPr="00FA0EAE" w:rsidRDefault="00684074" w:rsidP="003C1A78">
            <w:pPr>
              <w:pStyle w:val="DHHStabletext"/>
              <w:jc w:val="right"/>
              <w:rPr>
                <w:rFonts w:eastAsia="Times"/>
              </w:rPr>
            </w:pPr>
            <w:r w:rsidRPr="00FA0EAE">
              <w:rPr>
                <w:rFonts w:eastAsia="Times"/>
              </w:rPr>
              <w:t>19 (83%)</w:t>
            </w:r>
          </w:p>
        </w:tc>
      </w:tr>
      <w:tr w:rsidR="00684074" w:rsidRPr="00684074" w14:paraId="0A6F81C2" w14:textId="77777777" w:rsidTr="00684074">
        <w:tc>
          <w:tcPr>
            <w:tcW w:w="4846" w:type="dxa"/>
          </w:tcPr>
          <w:p w14:paraId="67727D77" w14:textId="77777777" w:rsidR="00684074" w:rsidRPr="00FA0EAE" w:rsidRDefault="00684074" w:rsidP="003C1A78">
            <w:pPr>
              <w:pStyle w:val="DHHStabletext"/>
              <w:rPr>
                <w:rFonts w:eastAsia="Times"/>
              </w:rPr>
            </w:pPr>
            <w:r w:rsidRPr="00FA0EAE">
              <w:rPr>
                <w:rFonts w:eastAsia="Times"/>
              </w:rPr>
              <w:t>GP</w:t>
            </w:r>
          </w:p>
        </w:tc>
        <w:tc>
          <w:tcPr>
            <w:tcW w:w="3645" w:type="dxa"/>
          </w:tcPr>
          <w:p w14:paraId="2E4439F0" w14:textId="77777777" w:rsidR="00684074" w:rsidRPr="00FA0EAE" w:rsidRDefault="00684074" w:rsidP="003C1A78">
            <w:pPr>
              <w:pStyle w:val="DHHStabletext"/>
              <w:jc w:val="right"/>
              <w:rPr>
                <w:rFonts w:eastAsia="Times"/>
              </w:rPr>
            </w:pPr>
            <w:r w:rsidRPr="00FA0EAE">
              <w:rPr>
                <w:rFonts w:eastAsia="Times"/>
              </w:rPr>
              <w:t>13 (57%)</w:t>
            </w:r>
          </w:p>
        </w:tc>
      </w:tr>
      <w:tr w:rsidR="00684074" w:rsidRPr="00684074" w14:paraId="3AD7762E" w14:textId="77777777" w:rsidTr="00684074">
        <w:tc>
          <w:tcPr>
            <w:tcW w:w="4846" w:type="dxa"/>
          </w:tcPr>
          <w:p w14:paraId="72D1B395" w14:textId="77777777" w:rsidR="00684074" w:rsidRPr="00FA0EAE" w:rsidRDefault="00684074" w:rsidP="003C1A78">
            <w:pPr>
              <w:pStyle w:val="DHHStabletext"/>
              <w:rPr>
                <w:rFonts w:eastAsia="Times"/>
              </w:rPr>
            </w:pPr>
            <w:r w:rsidRPr="00FA0EAE">
              <w:rPr>
                <w:rFonts w:eastAsia="Times"/>
              </w:rPr>
              <w:t>Specialist rooms : Surgeon</w:t>
            </w:r>
          </w:p>
        </w:tc>
        <w:tc>
          <w:tcPr>
            <w:tcW w:w="3645" w:type="dxa"/>
          </w:tcPr>
          <w:p w14:paraId="71E35F99" w14:textId="77777777" w:rsidR="00684074" w:rsidRPr="00FA0EAE" w:rsidRDefault="00684074" w:rsidP="003C1A78">
            <w:pPr>
              <w:pStyle w:val="DHHStabletext"/>
              <w:jc w:val="right"/>
              <w:rPr>
                <w:rFonts w:eastAsia="Times"/>
              </w:rPr>
            </w:pPr>
            <w:r w:rsidRPr="00FA0EAE">
              <w:rPr>
                <w:rFonts w:eastAsia="Times"/>
              </w:rPr>
              <w:t>14 (61%)</w:t>
            </w:r>
          </w:p>
        </w:tc>
      </w:tr>
      <w:tr w:rsidR="00684074" w:rsidRPr="00684074" w14:paraId="09E7702B" w14:textId="77777777" w:rsidTr="00684074">
        <w:tc>
          <w:tcPr>
            <w:tcW w:w="4846" w:type="dxa"/>
          </w:tcPr>
          <w:p w14:paraId="76DD9774" w14:textId="77777777" w:rsidR="00684074" w:rsidRPr="00FA0EAE" w:rsidRDefault="00684074" w:rsidP="003C1A78">
            <w:pPr>
              <w:pStyle w:val="DHHStabletext"/>
              <w:rPr>
                <w:rFonts w:eastAsia="Times"/>
              </w:rPr>
            </w:pPr>
            <w:r w:rsidRPr="00FA0EAE">
              <w:rPr>
                <w:rFonts w:eastAsia="Times"/>
              </w:rPr>
              <w:t>Specialist rooms: Anaesthetist</w:t>
            </w:r>
          </w:p>
        </w:tc>
        <w:tc>
          <w:tcPr>
            <w:tcW w:w="3645" w:type="dxa"/>
          </w:tcPr>
          <w:p w14:paraId="2E0827B1" w14:textId="77777777" w:rsidR="00684074" w:rsidRPr="00FA0EAE" w:rsidRDefault="00684074" w:rsidP="003C1A78">
            <w:pPr>
              <w:pStyle w:val="DHHStabletext"/>
              <w:jc w:val="right"/>
              <w:rPr>
                <w:rFonts w:eastAsia="Times"/>
              </w:rPr>
            </w:pPr>
            <w:r w:rsidRPr="00FA0EAE">
              <w:rPr>
                <w:rFonts w:eastAsia="Times"/>
              </w:rPr>
              <w:t>9 (39%)</w:t>
            </w:r>
          </w:p>
        </w:tc>
      </w:tr>
      <w:tr w:rsidR="00684074" w:rsidRPr="00684074" w14:paraId="27C24A4F" w14:textId="77777777" w:rsidTr="00684074">
        <w:tc>
          <w:tcPr>
            <w:tcW w:w="4846" w:type="dxa"/>
          </w:tcPr>
          <w:p w14:paraId="0EC6E450" w14:textId="77777777" w:rsidR="00684074" w:rsidRPr="00FA0EAE" w:rsidRDefault="00684074" w:rsidP="003C1A78">
            <w:pPr>
              <w:pStyle w:val="DHHStabletext"/>
              <w:rPr>
                <w:rFonts w:eastAsia="Times"/>
              </w:rPr>
            </w:pPr>
            <w:r w:rsidRPr="00FA0EAE">
              <w:rPr>
                <w:rFonts w:eastAsia="Times"/>
              </w:rPr>
              <w:t>Specialist rooms: Physician</w:t>
            </w:r>
          </w:p>
        </w:tc>
        <w:tc>
          <w:tcPr>
            <w:tcW w:w="3645" w:type="dxa"/>
          </w:tcPr>
          <w:p w14:paraId="7F31777F" w14:textId="77777777" w:rsidR="00684074" w:rsidRPr="00FA0EAE" w:rsidRDefault="00684074" w:rsidP="003C1A78">
            <w:pPr>
              <w:pStyle w:val="DHHStabletext"/>
              <w:jc w:val="right"/>
              <w:rPr>
                <w:rFonts w:eastAsia="Times"/>
              </w:rPr>
            </w:pPr>
            <w:r w:rsidRPr="00FA0EAE">
              <w:rPr>
                <w:rFonts w:eastAsia="Times"/>
              </w:rPr>
              <w:t>7 (30%)</w:t>
            </w:r>
          </w:p>
        </w:tc>
      </w:tr>
    </w:tbl>
    <w:p w14:paraId="2902A729" w14:textId="3259B3BA" w:rsidR="00684074" w:rsidRPr="00684074" w:rsidRDefault="00684074" w:rsidP="003C1A78">
      <w:pPr>
        <w:pStyle w:val="DHHSbodyaftertablefigure"/>
      </w:pPr>
      <w:r w:rsidRPr="00FA0EAE">
        <w:t>Where</w:t>
      </w:r>
      <w:r w:rsidRPr="00684074">
        <w:t xml:space="preserve"> the introduction of a pathway was not being considered in 2020 (n = 12), the reasons reported are outlined in Table </w:t>
      </w:r>
      <w:r w:rsidR="0033795C">
        <w:t>3</w:t>
      </w:r>
      <w:r w:rsidRPr="00684074">
        <w:t>.</w:t>
      </w:r>
    </w:p>
    <w:p w14:paraId="65D3871D" w14:textId="2D11F024" w:rsidR="00684074" w:rsidRPr="00684074" w:rsidRDefault="00684074" w:rsidP="003C1A78">
      <w:pPr>
        <w:pStyle w:val="DHHStablecaption"/>
        <w:rPr>
          <w:rFonts w:eastAsia="Times"/>
        </w:rPr>
      </w:pPr>
      <w:r w:rsidRPr="00684074">
        <w:rPr>
          <w:rFonts w:eastAsia="Times"/>
        </w:rPr>
        <w:lastRenderedPageBreak/>
        <w:t xml:space="preserve">Table </w:t>
      </w:r>
      <w:r w:rsidR="006A7B58">
        <w:rPr>
          <w:rFonts w:eastAsia="Times"/>
        </w:rPr>
        <w:t>3</w:t>
      </w:r>
      <w:r w:rsidRPr="00684074">
        <w:rPr>
          <w:rFonts w:eastAsia="Times"/>
        </w:rPr>
        <w:t>: Reasons why the introduction of anaemia screening pathway is not being considered</w:t>
      </w:r>
    </w:p>
    <w:tbl>
      <w:tblPr>
        <w:tblStyle w:val="TableGrid1"/>
        <w:tblW w:w="0" w:type="auto"/>
        <w:tblLook w:val="04A0" w:firstRow="1" w:lastRow="0" w:firstColumn="1" w:lastColumn="0" w:noHBand="0" w:noVBand="1"/>
      </w:tblPr>
      <w:tblGrid>
        <w:gridCol w:w="4846"/>
        <w:gridCol w:w="3645"/>
      </w:tblGrid>
      <w:tr w:rsidR="00684074" w:rsidRPr="00684074" w14:paraId="7225AEAB" w14:textId="77777777" w:rsidTr="003C1A78">
        <w:trPr>
          <w:tblHeader/>
        </w:trPr>
        <w:tc>
          <w:tcPr>
            <w:tcW w:w="4846" w:type="dxa"/>
          </w:tcPr>
          <w:p w14:paraId="7EF35EB7" w14:textId="77777777" w:rsidR="00684074" w:rsidRPr="00FA0EAE" w:rsidRDefault="00684074" w:rsidP="003C1A78">
            <w:pPr>
              <w:pStyle w:val="DHHStablecolhead"/>
            </w:pPr>
            <w:r w:rsidRPr="00684074">
              <w:t>Reason</w:t>
            </w:r>
          </w:p>
        </w:tc>
        <w:tc>
          <w:tcPr>
            <w:tcW w:w="3645" w:type="dxa"/>
          </w:tcPr>
          <w:p w14:paraId="598583FF" w14:textId="77777777" w:rsidR="00684074" w:rsidRPr="00684074" w:rsidRDefault="00684074" w:rsidP="003C1A78">
            <w:pPr>
              <w:pStyle w:val="DHHStablecolhead"/>
            </w:pPr>
            <w:r w:rsidRPr="00FA0EAE">
              <w:t>Number</w:t>
            </w:r>
            <w:r w:rsidRPr="00684074">
              <w:t xml:space="preserve"> (%) of health services</w:t>
            </w:r>
            <w:r w:rsidRPr="00684074">
              <w:rPr>
                <w:vertAlign w:val="superscript"/>
              </w:rPr>
              <w:footnoteReference w:id="3"/>
            </w:r>
          </w:p>
        </w:tc>
      </w:tr>
      <w:tr w:rsidR="00684074" w:rsidRPr="00684074" w14:paraId="79F2A430" w14:textId="77777777" w:rsidTr="00684074">
        <w:tc>
          <w:tcPr>
            <w:tcW w:w="4846" w:type="dxa"/>
          </w:tcPr>
          <w:p w14:paraId="2AAAB894" w14:textId="77777777" w:rsidR="00684074" w:rsidRPr="00FA0EAE" w:rsidRDefault="00684074" w:rsidP="003C1A78">
            <w:pPr>
              <w:pStyle w:val="DHHStabletext"/>
            </w:pPr>
            <w:r w:rsidRPr="00FA0EAE">
              <w:t>Limited surgery in the health service</w:t>
            </w:r>
          </w:p>
        </w:tc>
        <w:tc>
          <w:tcPr>
            <w:tcW w:w="3645" w:type="dxa"/>
          </w:tcPr>
          <w:p w14:paraId="7277D350" w14:textId="77777777" w:rsidR="00684074" w:rsidRPr="00FA0EAE" w:rsidRDefault="00684074" w:rsidP="003C1A78">
            <w:pPr>
              <w:pStyle w:val="DHHStabletext"/>
              <w:jc w:val="right"/>
            </w:pPr>
            <w:r w:rsidRPr="00FA0EAE">
              <w:t>3 (25%)</w:t>
            </w:r>
          </w:p>
        </w:tc>
      </w:tr>
      <w:tr w:rsidR="00684074" w:rsidRPr="00684074" w14:paraId="358EF474" w14:textId="77777777" w:rsidTr="00684074">
        <w:tc>
          <w:tcPr>
            <w:tcW w:w="4846" w:type="dxa"/>
          </w:tcPr>
          <w:p w14:paraId="6C91B6A7" w14:textId="77777777" w:rsidR="00684074" w:rsidRPr="00FA0EAE" w:rsidRDefault="00684074" w:rsidP="003C1A78">
            <w:pPr>
              <w:pStyle w:val="DHHStabletext"/>
            </w:pPr>
            <w:r w:rsidRPr="00FA0EAE">
              <w:t>Other priorities in the health service</w:t>
            </w:r>
          </w:p>
        </w:tc>
        <w:tc>
          <w:tcPr>
            <w:tcW w:w="3645" w:type="dxa"/>
          </w:tcPr>
          <w:p w14:paraId="2D191031" w14:textId="77777777" w:rsidR="00684074" w:rsidRPr="00FA0EAE" w:rsidRDefault="00684074" w:rsidP="003C1A78">
            <w:pPr>
              <w:pStyle w:val="DHHStabletext"/>
              <w:jc w:val="right"/>
            </w:pPr>
            <w:r w:rsidRPr="00FA0EAE">
              <w:t>1 (8%)</w:t>
            </w:r>
          </w:p>
        </w:tc>
      </w:tr>
      <w:tr w:rsidR="00684074" w:rsidRPr="00684074" w14:paraId="60F5401D" w14:textId="77777777" w:rsidTr="00684074">
        <w:tc>
          <w:tcPr>
            <w:tcW w:w="4846" w:type="dxa"/>
          </w:tcPr>
          <w:p w14:paraId="4844D903" w14:textId="77777777" w:rsidR="00684074" w:rsidRPr="00FA0EAE" w:rsidRDefault="00684074" w:rsidP="003C1A78">
            <w:pPr>
              <w:pStyle w:val="DHHStabletext"/>
            </w:pPr>
            <w:r w:rsidRPr="00FA0EAE">
              <w:t>Limited clinical leadership/support (sponsorship) for this type of program</w:t>
            </w:r>
          </w:p>
        </w:tc>
        <w:tc>
          <w:tcPr>
            <w:tcW w:w="3645" w:type="dxa"/>
          </w:tcPr>
          <w:p w14:paraId="14461DE3" w14:textId="77777777" w:rsidR="00684074" w:rsidRPr="00FA0EAE" w:rsidRDefault="00684074" w:rsidP="003C1A78">
            <w:pPr>
              <w:pStyle w:val="DHHStabletext"/>
              <w:jc w:val="right"/>
            </w:pPr>
            <w:r w:rsidRPr="00FA0EAE">
              <w:t>1 (8%)</w:t>
            </w:r>
          </w:p>
        </w:tc>
      </w:tr>
      <w:tr w:rsidR="00684074" w:rsidRPr="00684074" w14:paraId="040F5615" w14:textId="77777777" w:rsidTr="00684074">
        <w:tc>
          <w:tcPr>
            <w:tcW w:w="4846" w:type="dxa"/>
          </w:tcPr>
          <w:p w14:paraId="3BA990A5" w14:textId="77777777" w:rsidR="00684074" w:rsidRPr="00FA0EAE" w:rsidRDefault="00684074" w:rsidP="003C1A78">
            <w:pPr>
              <w:pStyle w:val="DHHStabletext"/>
            </w:pPr>
            <w:r w:rsidRPr="00FA0EAE">
              <w:t>No identified need</w:t>
            </w:r>
          </w:p>
        </w:tc>
        <w:tc>
          <w:tcPr>
            <w:tcW w:w="3645" w:type="dxa"/>
          </w:tcPr>
          <w:p w14:paraId="731EEA4C" w14:textId="77777777" w:rsidR="00684074" w:rsidRPr="00FA0EAE" w:rsidDel="007A3274" w:rsidRDefault="00684074" w:rsidP="003C1A78">
            <w:pPr>
              <w:pStyle w:val="DHHStabletext"/>
              <w:jc w:val="right"/>
            </w:pPr>
            <w:r w:rsidRPr="00FA0EAE">
              <w:t>4 (33%)</w:t>
            </w:r>
          </w:p>
        </w:tc>
      </w:tr>
      <w:tr w:rsidR="00684074" w:rsidRPr="00684074" w14:paraId="562157F9" w14:textId="77777777" w:rsidTr="00684074">
        <w:tc>
          <w:tcPr>
            <w:tcW w:w="4846" w:type="dxa"/>
          </w:tcPr>
          <w:p w14:paraId="5B660977" w14:textId="77777777" w:rsidR="00684074" w:rsidRPr="00FA0EAE" w:rsidRDefault="00684074" w:rsidP="003C1A78">
            <w:pPr>
              <w:pStyle w:val="DHHStabletext"/>
            </w:pPr>
            <w:r w:rsidRPr="00FA0EAE">
              <w:t>Never considered</w:t>
            </w:r>
          </w:p>
        </w:tc>
        <w:tc>
          <w:tcPr>
            <w:tcW w:w="3645" w:type="dxa"/>
          </w:tcPr>
          <w:p w14:paraId="74861004" w14:textId="77777777" w:rsidR="00684074" w:rsidRPr="00FA0EAE" w:rsidDel="007A3274" w:rsidRDefault="00684074" w:rsidP="003C1A78">
            <w:pPr>
              <w:pStyle w:val="DHHStabletext"/>
              <w:jc w:val="right"/>
            </w:pPr>
            <w:r w:rsidRPr="00FA0EAE">
              <w:t>1 (8%)</w:t>
            </w:r>
          </w:p>
        </w:tc>
      </w:tr>
      <w:tr w:rsidR="00684074" w:rsidRPr="00684074" w14:paraId="78C405EB" w14:textId="77777777" w:rsidTr="00684074">
        <w:tc>
          <w:tcPr>
            <w:tcW w:w="4846" w:type="dxa"/>
          </w:tcPr>
          <w:p w14:paraId="5838C24C" w14:textId="77777777" w:rsidR="00684074" w:rsidRPr="00FA0EAE" w:rsidRDefault="00684074" w:rsidP="003C1A78">
            <w:pPr>
              <w:pStyle w:val="DHHStabletext"/>
            </w:pPr>
            <w:r w:rsidRPr="00FA0EAE">
              <w:t>Other (no specific policy but covered elsewhere)</w:t>
            </w:r>
          </w:p>
        </w:tc>
        <w:tc>
          <w:tcPr>
            <w:tcW w:w="3645" w:type="dxa"/>
          </w:tcPr>
          <w:p w14:paraId="1482CB75" w14:textId="77777777" w:rsidR="00684074" w:rsidRPr="00FA0EAE" w:rsidRDefault="00684074" w:rsidP="003C1A78">
            <w:pPr>
              <w:pStyle w:val="DHHStabletext"/>
              <w:jc w:val="right"/>
            </w:pPr>
            <w:r w:rsidRPr="00FA0EAE">
              <w:t>3 (25%)</w:t>
            </w:r>
          </w:p>
        </w:tc>
      </w:tr>
    </w:tbl>
    <w:p w14:paraId="646D4EFC" w14:textId="08B9069D" w:rsidR="00684074" w:rsidRDefault="00684074" w:rsidP="00B6282A">
      <w:pPr>
        <w:pStyle w:val="DHHSfigurecaption"/>
      </w:pPr>
      <w:r w:rsidRPr="00684074">
        <w:t>Figure 3: No screening pathways (2020 survey) – alternative screening or plans to introduce screening</w:t>
      </w:r>
    </w:p>
    <w:p w14:paraId="3D3F77B9" w14:textId="0898AC0F" w:rsidR="00B6282A" w:rsidRPr="003C1A78" w:rsidRDefault="00147D5C" w:rsidP="003C1A78">
      <w:pPr>
        <w:pStyle w:val="DHHSbody"/>
      </w:pPr>
      <w:bookmarkStart w:id="15" w:name="_GoBack"/>
      <w:bookmarkEnd w:id="15"/>
      <w:r>
        <w:rPr>
          <w:noProof/>
          <w:lang w:eastAsia="en-AU"/>
        </w:rPr>
        <w:drawing>
          <wp:inline distT="0" distB="0" distL="0" distR="0" wp14:anchorId="737318B0" wp14:editId="3B92C4E7">
            <wp:extent cx="5487035" cy="2310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7035" cy="2310765"/>
                    </a:xfrm>
                    <a:prstGeom prst="rect">
                      <a:avLst/>
                    </a:prstGeom>
                    <a:noFill/>
                  </pic:spPr>
                </pic:pic>
              </a:graphicData>
            </a:graphic>
          </wp:inline>
        </w:drawing>
      </w:r>
    </w:p>
    <w:p w14:paraId="3EEA067D" w14:textId="77777777" w:rsidR="00684074" w:rsidRPr="00684074" w:rsidRDefault="00684074" w:rsidP="003C1A78">
      <w:pPr>
        <w:pStyle w:val="DHHSbodyaftertablefigure"/>
      </w:pPr>
      <w:r w:rsidRPr="00684074">
        <w:t>Three health services reported no plan to implement a screening pathway in the near future and reported that preoperative assessment of anaemia does not occur elsewhere in the process (Figure 3). Two health services stated that there was no identified need or limited surgery, and therefore no screening pathway was being considered. One health service did not respond to the question.</w:t>
      </w:r>
    </w:p>
    <w:p w14:paraId="3307CBB8" w14:textId="77777777" w:rsidR="00684074" w:rsidRPr="00684074" w:rsidRDefault="00684074" w:rsidP="003C1A78">
      <w:pPr>
        <w:pStyle w:val="Heading2"/>
        <w:rPr>
          <w:rFonts w:eastAsia="MS Gothic"/>
        </w:rPr>
      </w:pPr>
      <w:bookmarkStart w:id="16" w:name="_Toc44568690"/>
      <w:r w:rsidRPr="00684074">
        <w:rPr>
          <w:rFonts w:eastAsia="MS Gothic"/>
        </w:rPr>
        <w:t>Screening pathway present</w:t>
      </w:r>
      <w:bookmarkEnd w:id="16"/>
    </w:p>
    <w:p w14:paraId="4D1F114F" w14:textId="77777777" w:rsidR="00684074" w:rsidRPr="00684074" w:rsidRDefault="00684074" w:rsidP="003C1A78">
      <w:pPr>
        <w:pStyle w:val="DHHSbody"/>
      </w:pPr>
      <w:r w:rsidRPr="00684074">
        <w:t>Of the 63 reporting health services in the 2020 survey, 35 (56 per cent) reported that a preoperative anaemia screening pathway was in place for elective surgical patients. This is an improvement from the 2015 audit where only 20 (36 per cent) of the 56 reporting health services had a pathway.</w:t>
      </w:r>
    </w:p>
    <w:p w14:paraId="3BE7D7C5" w14:textId="77777777" w:rsidR="00684074" w:rsidRPr="00684074" w:rsidRDefault="00684074" w:rsidP="003C1A78">
      <w:pPr>
        <w:pStyle w:val="DHHSbody"/>
      </w:pPr>
      <w:r w:rsidRPr="00684074">
        <w:t xml:space="preserve">Where a screening pathway was in place, 31 (89 per cent) reported the pathway included a preoperative haemoglobin assessment and optimisation template (2015: n = 14, 70 per cent). Most often this is the NBA template or a modified version of this (n = 22, 71 per cent). Table 2 indicates the type of template used. </w:t>
      </w:r>
    </w:p>
    <w:p w14:paraId="484D72C3" w14:textId="6BEB65AF" w:rsidR="00684074" w:rsidRPr="00684074" w:rsidRDefault="00684074" w:rsidP="003C1A78">
      <w:pPr>
        <w:keepNext/>
        <w:keepLines/>
        <w:spacing w:before="240" w:after="120"/>
        <w:rPr>
          <w:rFonts w:ascii="Arial" w:hAnsi="Arial"/>
          <w:b/>
        </w:rPr>
      </w:pPr>
      <w:r w:rsidRPr="00684074">
        <w:rPr>
          <w:rFonts w:ascii="Arial" w:hAnsi="Arial"/>
          <w:b/>
        </w:rPr>
        <w:lastRenderedPageBreak/>
        <w:t xml:space="preserve">Table </w:t>
      </w:r>
      <w:r w:rsidR="006A7B58">
        <w:rPr>
          <w:rFonts w:ascii="Arial" w:hAnsi="Arial"/>
          <w:b/>
        </w:rPr>
        <w:t>4</w:t>
      </w:r>
      <w:r w:rsidRPr="00684074">
        <w:rPr>
          <w:rFonts w:ascii="Arial" w:hAnsi="Arial"/>
          <w:b/>
        </w:rPr>
        <w:t>: Type of anaemia screening template</w:t>
      </w:r>
    </w:p>
    <w:tbl>
      <w:tblPr>
        <w:tblStyle w:val="TableGrid1"/>
        <w:tblW w:w="0" w:type="auto"/>
        <w:tblLook w:val="04A0" w:firstRow="1" w:lastRow="0" w:firstColumn="1" w:lastColumn="0" w:noHBand="0" w:noVBand="1"/>
      </w:tblPr>
      <w:tblGrid>
        <w:gridCol w:w="2861"/>
        <w:gridCol w:w="2772"/>
        <w:gridCol w:w="2858"/>
      </w:tblGrid>
      <w:tr w:rsidR="00684074" w:rsidRPr="00684074" w14:paraId="70BF45F7" w14:textId="77777777" w:rsidTr="003C1A78">
        <w:trPr>
          <w:tblHeader/>
        </w:trPr>
        <w:tc>
          <w:tcPr>
            <w:tcW w:w="2861" w:type="dxa"/>
          </w:tcPr>
          <w:p w14:paraId="5E3886A5" w14:textId="77777777" w:rsidR="00684074" w:rsidRPr="00684074" w:rsidRDefault="00684074" w:rsidP="003C1A78">
            <w:pPr>
              <w:pStyle w:val="DHHStablecolhead"/>
              <w:keepNext/>
              <w:keepLines/>
            </w:pPr>
            <w:r w:rsidRPr="00684074">
              <w:t>Preoperative anaemia screening template</w:t>
            </w:r>
          </w:p>
        </w:tc>
        <w:tc>
          <w:tcPr>
            <w:tcW w:w="2772" w:type="dxa"/>
          </w:tcPr>
          <w:p w14:paraId="39923FAF" w14:textId="77777777" w:rsidR="00684074" w:rsidRPr="00684074" w:rsidRDefault="00684074" w:rsidP="003C1A78">
            <w:pPr>
              <w:pStyle w:val="DHHStablecolhead"/>
              <w:keepNext/>
              <w:keepLines/>
            </w:pPr>
            <w:r w:rsidRPr="00684074">
              <w:t>2020: Number (%) of health services</w:t>
            </w:r>
          </w:p>
        </w:tc>
        <w:tc>
          <w:tcPr>
            <w:tcW w:w="2858" w:type="dxa"/>
          </w:tcPr>
          <w:p w14:paraId="3AA1EAF3" w14:textId="77777777" w:rsidR="00684074" w:rsidRPr="00684074" w:rsidRDefault="00684074" w:rsidP="003C1A78">
            <w:pPr>
              <w:pStyle w:val="DHHStablecolhead"/>
              <w:keepNext/>
              <w:keepLines/>
            </w:pPr>
            <w:r w:rsidRPr="00684074">
              <w:t>2015: Number (%) of health services</w:t>
            </w:r>
          </w:p>
        </w:tc>
      </w:tr>
      <w:tr w:rsidR="00684074" w:rsidRPr="00684074" w14:paraId="3733D053" w14:textId="77777777" w:rsidTr="00684074">
        <w:tc>
          <w:tcPr>
            <w:tcW w:w="2861" w:type="dxa"/>
          </w:tcPr>
          <w:p w14:paraId="74EBFED3" w14:textId="77777777" w:rsidR="00684074" w:rsidRPr="00684074" w:rsidRDefault="00684074" w:rsidP="003C1A78">
            <w:pPr>
              <w:keepNext/>
              <w:keepLines/>
              <w:spacing w:before="80" w:after="60"/>
              <w:rPr>
                <w:rFonts w:ascii="Arial" w:hAnsi="Arial"/>
                <w:szCs w:val="24"/>
              </w:rPr>
            </w:pPr>
            <w:r w:rsidRPr="00684074">
              <w:rPr>
                <w:rFonts w:ascii="Arial" w:hAnsi="Arial"/>
                <w:szCs w:val="24"/>
              </w:rPr>
              <w:t>NBA template used</w:t>
            </w:r>
          </w:p>
        </w:tc>
        <w:tc>
          <w:tcPr>
            <w:tcW w:w="2772" w:type="dxa"/>
          </w:tcPr>
          <w:p w14:paraId="1C9BECA6" w14:textId="77777777" w:rsidR="00684074" w:rsidRPr="00684074" w:rsidRDefault="00684074" w:rsidP="003C1A78">
            <w:pPr>
              <w:pStyle w:val="DHHStabletext"/>
              <w:jc w:val="right"/>
            </w:pPr>
            <w:r w:rsidRPr="00684074">
              <w:t>12 (39%)</w:t>
            </w:r>
          </w:p>
        </w:tc>
        <w:tc>
          <w:tcPr>
            <w:tcW w:w="2858" w:type="dxa"/>
          </w:tcPr>
          <w:p w14:paraId="24D269DC" w14:textId="77777777" w:rsidR="00684074" w:rsidRPr="00684074" w:rsidRDefault="00684074" w:rsidP="003C1A78">
            <w:pPr>
              <w:pStyle w:val="DHHStabletext"/>
              <w:jc w:val="right"/>
            </w:pPr>
            <w:r w:rsidRPr="00684074">
              <w:t>3 (21%)</w:t>
            </w:r>
          </w:p>
        </w:tc>
      </w:tr>
      <w:tr w:rsidR="00684074" w:rsidRPr="00684074" w14:paraId="5399A4AD" w14:textId="77777777" w:rsidTr="00684074">
        <w:tc>
          <w:tcPr>
            <w:tcW w:w="2861" w:type="dxa"/>
          </w:tcPr>
          <w:p w14:paraId="59CBCADB" w14:textId="77777777" w:rsidR="00684074" w:rsidRPr="00684074" w:rsidRDefault="00684074" w:rsidP="003C1A78">
            <w:pPr>
              <w:keepNext/>
              <w:keepLines/>
              <w:spacing w:before="80" w:after="60"/>
              <w:rPr>
                <w:rFonts w:ascii="Arial" w:hAnsi="Arial"/>
                <w:szCs w:val="24"/>
              </w:rPr>
            </w:pPr>
            <w:r w:rsidRPr="00684074">
              <w:rPr>
                <w:rFonts w:ascii="Arial" w:hAnsi="Arial"/>
                <w:szCs w:val="24"/>
              </w:rPr>
              <w:t>Modified NBA template</w:t>
            </w:r>
          </w:p>
        </w:tc>
        <w:tc>
          <w:tcPr>
            <w:tcW w:w="2772" w:type="dxa"/>
          </w:tcPr>
          <w:p w14:paraId="7A321111" w14:textId="77777777" w:rsidR="00684074" w:rsidRPr="00684074" w:rsidRDefault="00684074" w:rsidP="003C1A78">
            <w:pPr>
              <w:pStyle w:val="DHHStabletext"/>
              <w:jc w:val="right"/>
            </w:pPr>
            <w:r w:rsidRPr="00684074">
              <w:t>10 (32%)</w:t>
            </w:r>
          </w:p>
        </w:tc>
        <w:tc>
          <w:tcPr>
            <w:tcW w:w="2858" w:type="dxa"/>
          </w:tcPr>
          <w:p w14:paraId="6DC5AD63" w14:textId="77777777" w:rsidR="00684074" w:rsidRPr="00684074" w:rsidRDefault="00684074" w:rsidP="003C1A78">
            <w:pPr>
              <w:pStyle w:val="DHHStabletext"/>
              <w:jc w:val="right"/>
            </w:pPr>
            <w:r w:rsidRPr="00684074">
              <w:t>7(50%)</w:t>
            </w:r>
          </w:p>
        </w:tc>
      </w:tr>
      <w:tr w:rsidR="00684074" w:rsidRPr="00684074" w14:paraId="1C7D2659" w14:textId="77777777" w:rsidTr="00684074">
        <w:tc>
          <w:tcPr>
            <w:tcW w:w="2861" w:type="dxa"/>
          </w:tcPr>
          <w:p w14:paraId="484F6879" w14:textId="77777777" w:rsidR="00684074" w:rsidRPr="00684074" w:rsidRDefault="00684074" w:rsidP="003C1A78">
            <w:pPr>
              <w:keepNext/>
              <w:keepLines/>
              <w:spacing w:before="80" w:after="60"/>
              <w:rPr>
                <w:rFonts w:ascii="Arial" w:hAnsi="Arial"/>
                <w:szCs w:val="24"/>
              </w:rPr>
            </w:pPr>
            <w:r w:rsidRPr="00684074">
              <w:rPr>
                <w:rFonts w:ascii="Arial" w:hAnsi="Arial"/>
                <w:szCs w:val="24"/>
              </w:rPr>
              <w:t>Health service designed template</w:t>
            </w:r>
          </w:p>
        </w:tc>
        <w:tc>
          <w:tcPr>
            <w:tcW w:w="2772" w:type="dxa"/>
          </w:tcPr>
          <w:p w14:paraId="2967CBD1" w14:textId="77777777" w:rsidR="00684074" w:rsidRPr="00684074" w:rsidRDefault="00684074" w:rsidP="003C1A78">
            <w:pPr>
              <w:pStyle w:val="DHHStabletext"/>
              <w:jc w:val="right"/>
            </w:pPr>
            <w:r w:rsidRPr="00684074">
              <w:t>9 (29%)</w:t>
            </w:r>
          </w:p>
        </w:tc>
        <w:tc>
          <w:tcPr>
            <w:tcW w:w="2858" w:type="dxa"/>
          </w:tcPr>
          <w:p w14:paraId="0E02CCF2" w14:textId="77777777" w:rsidR="00684074" w:rsidRPr="00684074" w:rsidRDefault="00684074" w:rsidP="003C1A78">
            <w:pPr>
              <w:pStyle w:val="DHHStabletext"/>
              <w:jc w:val="right"/>
            </w:pPr>
            <w:r w:rsidRPr="00684074">
              <w:t>4(29%)</w:t>
            </w:r>
          </w:p>
        </w:tc>
      </w:tr>
      <w:tr w:rsidR="00684074" w:rsidRPr="00684074" w14:paraId="40B337C5" w14:textId="77777777" w:rsidTr="00684074">
        <w:tc>
          <w:tcPr>
            <w:tcW w:w="2861" w:type="dxa"/>
          </w:tcPr>
          <w:p w14:paraId="0834F449" w14:textId="77777777" w:rsidR="00684074" w:rsidRPr="00684074" w:rsidRDefault="00684074" w:rsidP="003C1A78">
            <w:pPr>
              <w:keepNext/>
              <w:keepLines/>
              <w:spacing w:before="80" w:after="60"/>
              <w:rPr>
                <w:rFonts w:ascii="Arial" w:hAnsi="Arial"/>
                <w:szCs w:val="24"/>
              </w:rPr>
            </w:pPr>
            <w:r w:rsidRPr="00684074">
              <w:rPr>
                <w:rFonts w:ascii="Arial" w:hAnsi="Arial"/>
                <w:szCs w:val="24"/>
              </w:rPr>
              <w:t>Total</w:t>
            </w:r>
          </w:p>
        </w:tc>
        <w:tc>
          <w:tcPr>
            <w:tcW w:w="2772" w:type="dxa"/>
          </w:tcPr>
          <w:p w14:paraId="728C40B9" w14:textId="77777777" w:rsidR="00684074" w:rsidRPr="00684074" w:rsidRDefault="00684074" w:rsidP="003C1A78">
            <w:pPr>
              <w:pStyle w:val="DHHStabletext"/>
              <w:jc w:val="right"/>
            </w:pPr>
            <w:r w:rsidRPr="00684074">
              <w:t>31</w:t>
            </w:r>
          </w:p>
        </w:tc>
        <w:tc>
          <w:tcPr>
            <w:tcW w:w="2858" w:type="dxa"/>
          </w:tcPr>
          <w:p w14:paraId="099BFFDB" w14:textId="77777777" w:rsidR="00684074" w:rsidRPr="00684074" w:rsidRDefault="00684074" w:rsidP="003C1A78">
            <w:pPr>
              <w:pStyle w:val="DHHStabletext"/>
              <w:jc w:val="right"/>
            </w:pPr>
            <w:r w:rsidRPr="00684074">
              <w:t>14</w:t>
            </w:r>
          </w:p>
        </w:tc>
      </w:tr>
    </w:tbl>
    <w:p w14:paraId="68877DFA" w14:textId="7143AF3E" w:rsidR="00684074" w:rsidRPr="00684074" w:rsidRDefault="00684074" w:rsidP="003C1A78">
      <w:pPr>
        <w:pStyle w:val="DHHSbodyaftertablefigure"/>
      </w:pPr>
      <w:r w:rsidRPr="00684074">
        <w:t xml:space="preserve">As shown in Table </w:t>
      </w:r>
      <w:r w:rsidR="00CF2C22">
        <w:t>5</w:t>
      </w:r>
      <w:r w:rsidRPr="00684074">
        <w:t xml:space="preserve">, the most common surgical area covered by the anaemia screening pathway was orthopaedic (n = 30; 97 per cent). The orthopaedic group </w:t>
      </w:r>
      <w:r w:rsidR="00741C65">
        <w:t>has</w:t>
      </w:r>
      <w:r w:rsidR="00741C65" w:rsidRPr="00684074">
        <w:t xml:space="preserve"> </w:t>
      </w:r>
      <w:r w:rsidRPr="00684074">
        <w:t>been a focus of PBM initiatives</w:t>
      </w:r>
      <w:r w:rsidR="00741C65">
        <w:t>,</w:t>
      </w:r>
      <w:r w:rsidRPr="00684074">
        <w:t xml:space="preserve"> as there is often time between the </w:t>
      </w:r>
      <w:r w:rsidRPr="00FA0EAE">
        <w:t>decision</w:t>
      </w:r>
      <w:r w:rsidRPr="00684074">
        <w:t xml:space="preserve"> to perform surgery and the time surgery occurs, allowing health services to engage in assessment and management of identified anaemia or iron deficiency. For some other surgical groups, the time between listing for surgery and receiving surgery may be shorter, e.g. GIT surgery for patients with cancer or cardiothoracic surgery, which may limit screening practice. However PBM is still important in these groups. .</w:t>
      </w:r>
    </w:p>
    <w:p w14:paraId="30F8D65C" w14:textId="1711ABAF" w:rsidR="00684074" w:rsidRPr="00684074" w:rsidRDefault="00684074" w:rsidP="003C1A78">
      <w:pPr>
        <w:pStyle w:val="DHHStablecaption"/>
      </w:pPr>
      <w:r w:rsidRPr="00684074">
        <w:t xml:space="preserve">Table </w:t>
      </w:r>
      <w:r w:rsidR="006A7B58">
        <w:t>5</w:t>
      </w:r>
      <w:r w:rsidRPr="00684074">
        <w:t>: Surgery type included in anaemia screening pathways</w:t>
      </w:r>
    </w:p>
    <w:tbl>
      <w:tblPr>
        <w:tblStyle w:val="TableGrid1"/>
        <w:tblW w:w="0" w:type="auto"/>
        <w:tblLook w:val="04A0" w:firstRow="1" w:lastRow="0" w:firstColumn="1" w:lastColumn="0" w:noHBand="0" w:noVBand="1"/>
      </w:tblPr>
      <w:tblGrid>
        <w:gridCol w:w="2865"/>
        <w:gridCol w:w="2785"/>
        <w:gridCol w:w="2841"/>
      </w:tblGrid>
      <w:tr w:rsidR="00684074" w:rsidRPr="00684074" w14:paraId="46D40BC7" w14:textId="77777777" w:rsidTr="00CF2C22">
        <w:trPr>
          <w:tblHeader/>
        </w:trPr>
        <w:tc>
          <w:tcPr>
            <w:tcW w:w="2865" w:type="dxa"/>
          </w:tcPr>
          <w:p w14:paraId="55444889" w14:textId="77777777" w:rsidR="00684074" w:rsidRPr="00684074" w:rsidRDefault="00684074" w:rsidP="00CF2C22">
            <w:pPr>
              <w:pStyle w:val="DHHStablecolhead"/>
            </w:pPr>
            <w:r w:rsidRPr="00684074">
              <w:t>Surgery type</w:t>
            </w:r>
          </w:p>
        </w:tc>
        <w:tc>
          <w:tcPr>
            <w:tcW w:w="2785" w:type="dxa"/>
          </w:tcPr>
          <w:p w14:paraId="379F83B1" w14:textId="77777777" w:rsidR="00684074" w:rsidRPr="00684074" w:rsidRDefault="00684074" w:rsidP="00CF2C22">
            <w:pPr>
              <w:pStyle w:val="DHHStablecolhead"/>
            </w:pPr>
            <w:r w:rsidRPr="00684074">
              <w:t>Number of health services performing surgery type</w:t>
            </w:r>
          </w:p>
          <w:p w14:paraId="7D8BE18F" w14:textId="77777777" w:rsidR="00684074" w:rsidRPr="00684074" w:rsidRDefault="00684074" w:rsidP="00CF2C22">
            <w:pPr>
              <w:pStyle w:val="DHHStablecolhead"/>
            </w:pPr>
            <w:r w:rsidRPr="00684074">
              <w:t>(n = 35)</w:t>
            </w:r>
          </w:p>
        </w:tc>
        <w:tc>
          <w:tcPr>
            <w:tcW w:w="2841" w:type="dxa"/>
          </w:tcPr>
          <w:p w14:paraId="7A5916FE" w14:textId="77777777" w:rsidR="00684074" w:rsidRPr="00684074" w:rsidRDefault="00684074" w:rsidP="00CF2C22">
            <w:pPr>
              <w:pStyle w:val="DHHStablecolhead"/>
            </w:pPr>
            <w:r w:rsidRPr="00684074">
              <w:t>Number (%) of health services with preoperative anaemia pathway by surgery type</w:t>
            </w:r>
          </w:p>
        </w:tc>
      </w:tr>
      <w:tr w:rsidR="00684074" w:rsidRPr="00684074" w14:paraId="56353D38" w14:textId="77777777" w:rsidTr="00684074">
        <w:tc>
          <w:tcPr>
            <w:tcW w:w="2865" w:type="dxa"/>
          </w:tcPr>
          <w:p w14:paraId="4FD4B4B9" w14:textId="77777777" w:rsidR="00684074" w:rsidRPr="00684074" w:rsidRDefault="00684074" w:rsidP="00CF2C22">
            <w:pPr>
              <w:pStyle w:val="DHHStabletext"/>
              <w:rPr>
                <w:rFonts w:eastAsia="Times"/>
              </w:rPr>
            </w:pPr>
            <w:r w:rsidRPr="00684074">
              <w:rPr>
                <w:rFonts w:eastAsia="Times"/>
              </w:rPr>
              <w:t>Orthopaedic</w:t>
            </w:r>
          </w:p>
        </w:tc>
        <w:tc>
          <w:tcPr>
            <w:tcW w:w="2785" w:type="dxa"/>
          </w:tcPr>
          <w:p w14:paraId="2E25F879" w14:textId="77777777" w:rsidR="00684074" w:rsidRPr="00FA0EAE" w:rsidRDefault="00684074" w:rsidP="00CF2C22">
            <w:pPr>
              <w:pStyle w:val="DHHStabletext"/>
              <w:jc w:val="right"/>
              <w:rPr>
                <w:rFonts w:eastAsia="Times"/>
              </w:rPr>
            </w:pPr>
            <w:r w:rsidRPr="00FA0EAE">
              <w:rPr>
                <w:rFonts w:eastAsia="Times"/>
              </w:rPr>
              <w:t>31</w:t>
            </w:r>
          </w:p>
        </w:tc>
        <w:tc>
          <w:tcPr>
            <w:tcW w:w="2841" w:type="dxa"/>
          </w:tcPr>
          <w:p w14:paraId="01B9F694" w14:textId="77777777" w:rsidR="00684074" w:rsidRPr="00FA0EAE" w:rsidRDefault="00684074" w:rsidP="00CF2C22">
            <w:pPr>
              <w:pStyle w:val="DHHStabletext"/>
              <w:jc w:val="right"/>
              <w:rPr>
                <w:rFonts w:eastAsia="Times"/>
              </w:rPr>
            </w:pPr>
            <w:r w:rsidRPr="00FA0EAE">
              <w:rPr>
                <w:rFonts w:eastAsia="Times"/>
              </w:rPr>
              <w:t>30 (97%)</w:t>
            </w:r>
          </w:p>
        </w:tc>
      </w:tr>
      <w:tr w:rsidR="00684074" w:rsidRPr="00684074" w14:paraId="507927C9" w14:textId="77777777" w:rsidTr="00684074">
        <w:tc>
          <w:tcPr>
            <w:tcW w:w="2865" w:type="dxa"/>
          </w:tcPr>
          <w:p w14:paraId="537A62B0" w14:textId="77777777" w:rsidR="00684074" w:rsidRPr="00684074" w:rsidRDefault="00684074" w:rsidP="00CF2C22">
            <w:pPr>
              <w:pStyle w:val="DHHStabletext"/>
              <w:rPr>
                <w:rFonts w:eastAsia="Times"/>
              </w:rPr>
            </w:pPr>
            <w:r w:rsidRPr="00684074">
              <w:rPr>
                <w:rFonts w:eastAsia="Times"/>
              </w:rPr>
              <w:t>Cardiothoracic</w:t>
            </w:r>
          </w:p>
        </w:tc>
        <w:tc>
          <w:tcPr>
            <w:tcW w:w="2785" w:type="dxa"/>
          </w:tcPr>
          <w:p w14:paraId="1928E683" w14:textId="77777777" w:rsidR="00684074" w:rsidRPr="00FA0EAE" w:rsidRDefault="00684074" w:rsidP="00CF2C22">
            <w:pPr>
              <w:pStyle w:val="DHHStabletext"/>
              <w:jc w:val="right"/>
              <w:rPr>
                <w:rFonts w:eastAsia="Times"/>
              </w:rPr>
            </w:pPr>
            <w:r w:rsidRPr="00FA0EAE">
              <w:rPr>
                <w:rFonts w:eastAsia="Times"/>
              </w:rPr>
              <w:t>15</w:t>
            </w:r>
          </w:p>
        </w:tc>
        <w:tc>
          <w:tcPr>
            <w:tcW w:w="2841" w:type="dxa"/>
          </w:tcPr>
          <w:p w14:paraId="511FEAA2" w14:textId="77777777" w:rsidR="00684074" w:rsidRPr="00FA0EAE" w:rsidRDefault="00684074" w:rsidP="00CF2C22">
            <w:pPr>
              <w:pStyle w:val="DHHStabletext"/>
              <w:jc w:val="right"/>
              <w:rPr>
                <w:rFonts w:eastAsia="Times"/>
              </w:rPr>
            </w:pPr>
            <w:r w:rsidRPr="00FA0EAE">
              <w:rPr>
                <w:rFonts w:eastAsia="Times"/>
              </w:rPr>
              <w:t>6 (40%)</w:t>
            </w:r>
          </w:p>
        </w:tc>
      </w:tr>
      <w:tr w:rsidR="00684074" w:rsidRPr="00684074" w14:paraId="19880D4C" w14:textId="77777777" w:rsidTr="00684074">
        <w:tc>
          <w:tcPr>
            <w:tcW w:w="2865" w:type="dxa"/>
          </w:tcPr>
          <w:p w14:paraId="52F8292D" w14:textId="77777777" w:rsidR="00684074" w:rsidRPr="00684074" w:rsidRDefault="00684074" w:rsidP="00CF2C22">
            <w:pPr>
              <w:pStyle w:val="DHHStabletext"/>
              <w:rPr>
                <w:rFonts w:eastAsia="Times"/>
              </w:rPr>
            </w:pPr>
            <w:r w:rsidRPr="00684074">
              <w:rPr>
                <w:rFonts w:eastAsia="Times"/>
              </w:rPr>
              <w:t>Gynaecology</w:t>
            </w:r>
          </w:p>
        </w:tc>
        <w:tc>
          <w:tcPr>
            <w:tcW w:w="2785" w:type="dxa"/>
          </w:tcPr>
          <w:p w14:paraId="1550976A" w14:textId="77777777" w:rsidR="00684074" w:rsidRPr="00FA0EAE" w:rsidRDefault="00684074" w:rsidP="00CF2C22">
            <w:pPr>
              <w:pStyle w:val="DHHStabletext"/>
              <w:jc w:val="right"/>
              <w:rPr>
                <w:rFonts w:eastAsia="Times"/>
              </w:rPr>
            </w:pPr>
            <w:r w:rsidRPr="00FA0EAE">
              <w:rPr>
                <w:rFonts w:eastAsia="Times"/>
              </w:rPr>
              <w:t>34</w:t>
            </w:r>
          </w:p>
        </w:tc>
        <w:tc>
          <w:tcPr>
            <w:tcW w:w="2841" w:type="dxa"/>
          </w:tcPr>
          <w:p w14:paraId="4FCD7ED8" w14:textId="77777777" w:rsidR="00684074" w:rsidRPr="00FA0EAE" w:rsidRDefault="00684074" w:rsidP="00CF2C22">
            <w:pPr>
              <w:pStyle w:val="DHHStabletext"/>
              <w:jc w:val="right"/>
              <w:rPr>
                <w:rFonts w:eastAsia="Times"/>
              </w:rPr>
            </w:pPr>
            <w:r w:rsidRPr="00FA0EAE">
              <w:rPr>
                <w:rFonts w:eastAsia="Times"/>
              </w:rPr>
              <w:t>21 (62%)</w:t>
            </w:r>
          </w:p>
        </w:tc>
      </w:tr>
      <w:tr w:rsidR="00684074" w:rsidRPr="00684074" w14:paraId="36B4F7FE" w14:textId="77777777" w:rsidTr="00684074">
        <w:tc>
          <w:tcPr>
            <w:tcW w:w="2865" w:type="dxa"/>
          </w:tcPr>
          <w:p w14:paraId="1372D482" w14:textId="77777777" w:rsidR="00684074" w:rsidRPr="00684074" w:rsidRDefault="00684074" w:rsidP="00CF2C22">
            <w:pPr>
              <w:pStyle w:val="DHHStabletext"/>
              <w:rPr>
                <w:rFonts w:eastAsia="Times"/>
              </w:rPr>
            </w:pPr>
            <w:r w:rsidRPr="00684074">
              <w:rPr>
                <w:rFonts w:eastAsia="Times"/>
              </w:rPr>
              <w:t>Vascular</w:t>
            </w:r>
          </w:p>
        </w:tc>
        <w:tc>
          <w:tcPr>
            <w:tcW w:w="2785" w:type="dxa"/>
          </w:tcPr>
          <w:p w14:paraId="374F4609" w14:textId="77777777" w:rsidR="00684074" w:rsidRPr="00FA0EAE" w:rsidRDefault="00684074" w:rsidP="00CF2C22">
            <w:pPr>
              <w:pStyle w:val="DHHStabletext"/>
              <w:jc w:val="right"/>
              <w:rPr>
                <w:rFonts w:eastAsia="Times"/>
              </w:rPr>
            </w:pPr>
            <w:r w:rsidRPr="00FA0EAE">
              <w:rPr>
                <w:rFonts w:eastAsia="Times"/>
              </w:rPr>
              <w:t>21</w:t>
            </w:r>
          </w:p>
        </w:tc>
        <w:tc>
          <w:tcPr>
            <w:tcW w:w="2841" w:type="dxa"/>
          </w:tcPr>
          <w:p w14:paraId="773E93B1" w14:textId="77777777" w:rsidR="00684074" w:rsidRPr="00FA0EAE" w:rsidRDefault="00684074" w:rsidP="00CF2C22">
            <w:pPr>
              <w:pStyle w:val="DHHStabletext"/>
              <w:jc w:val="right"/>
              <w:rPr>
                <w:rFonts w:eastAsia="Times"/>
              </w:rPr>
            </w:pPr>
            <w:r w:rsidRPr="00FA0EAE">
              <w:rPr>
                <w:rFonts w:eastAsia="Times"/>
              </w:rPr>
              <w:t>11 (52%)</w:t>
            </w:r>
          </w:p>
        </w:tc>
      </w:tr>
      <w:tr w:rsidR="00684074" w:rsidRPr="00684074" w14:paraId="417B33E0" w14:textId="77777777" w:rsidTr="00684074">
        <w:tc>
          <w:tcPr>
            <w:tcW w:w="2865" w:type="dxa"/>
          </w:tcPr>
          <w:p w14:paraId="579AAD81" w14:textId="77777777" w:rsidR="00684074" w:rsidRPr="00684074" w:rsidRDefault="00684074" w:rsidP="00CF2C22">
            <w:pPr>
              <w:pStyle w:val="DHHStabletext"/>
              <w:rPr>
                <w:rFonts w:eastAsia="Times"/>
              </w:rPr>
            </w:pPr>
            <w:r w:rsidRPr="00684074">
              <w:rPr>
                <w:rFonts w:eastAsia="Times"/>
              </w:rPr>
              <w:t>Urology</w:t>
            </w:r>
          </w:p>
        </w:tc>
        <w:tc>
          <w:tcPr>
            <w:tcW w:w="2785" w:type="dxa"/>
          </w:tcPr>
          <w:p w14:paraId="63FF0CB8" w14:textId="77777777" w:rsidR="00684074" w:rsidRPr="00FA0EAE" w:rsidRDefault="00684074" w:rsidP="00CF2C22">
            <w:pPr>
              <w:pStyle w:val="DHHStabletext"/>
              <w:jc w:val="right"/>
              <w:rPr>
                <w:rFonts w:eastAsia="Times"/>
              </w:rPr>
            </w:pPr>
            <w:r w:rsidRPr="00FA0EAE">
              <w:rPr>
                <w:rFonts w:eastAsia="Times"/>
              </w:rPr>
              <w:t>32</w:t>
            </w:r>
          </w:p>
        </w:tc>
        <w:tc>
          <w:tcPr>
            <w:tcW w:w="2841" w:type="dxa"/>
          </w:tcPr>
          <w:p w14:paraId="4A97ED66" w14:textId="77777777" w:rsidR="00684074" w:rsidRPr="00FA0EAE" w:rsidRDefault="00684074" w:rsidP="00CF2C22">
            <w:pPr>
              <w:pStyle w:val="DHHStabletext"/>
              <w:jc w:val="right"/>
              <w:rPr>
                <w:rFonts w:eastAsia="Times"/>
              </w:rPr>
            </w:pPr>
            <w:r w:rsidRPr="00FA0EAE">
              <w:rPr>
                <w:rFonts w:eastAsia="Times"/>
              </w:rPr>
              <w:t>19 (59%)</w:t>
            </w:r>
          </w:p>
        </w:tc>
      </w:tr>
      <w:tr w:rsidR="00684074" w:rsidRPr="00684074" w14:paraId="4CEF532C" w14:textId="77777777" w:rsidTr="00684074">
        <w:tc>
          <w:tcPr>
            <w:tcW w:w="2865" w:type="dxa"/>
          </w:tcPr>
          <w:p w14:paraId="2E81FFB4" w14:textId="77777777" w:rsidR="00684074" w:rsidRPr="00684074" w:rsidRDefault="00684074" w:rsidP="00CF2C22">
            <w:pPr>
              <w:pStyle w:val="DHHStabletext"/>
              <w:rPr>
                <w:rFonts w:eastAsia="Times"/>
              </w:rPr>
            </w:pPr>
            <w:r w:rsidRPr="00684074">
              <w:rPr>
                <w:rFonts w:eastAsia="Times"/>
              </w:rPr>
              <w:t>GIT</w:t>
            </w:r>
          </w:p>
        </w:tc>
        <w:tc>
          <w:tcPr>
            <w:tcW w:w="2785" w:type="dxa"/>
          </w:tcPr>
          <w:p w14:paraId="4C3B6260" w14:textId="77777777" w:rsidR="00684074" w:rsidRPr="00FA0EAE" w:rsidRDefault="00684074" w:rsidP="00CF2C22">
            <w:pPr>
              <w:pStyle w:val="DHHStabletext"/>
              <w:jc w:val="right"/>
              <w:rPr>
                <w:rFonts w:eastAsia="Times"/>
              </w:rPr>
            </w:pPr>
            <w:r w:rsidRPr="00FA0EAE">
              <w:rPr>
                <w:rFonts w:eastAsia="Times"/>
              </w:rPr>
              <w:t>32</w:t>
            </w:r>
          </w:p>
        </w:tc>
        <w:tc>
          <w:tcPr>
            <w:tcW w:w="2841" w:type="dxa"/>
          </w:tcPr>
          <w:p w14:paraId="1D39C961" w14:textId="77777777" w:rsidR="00684074" w:rsidRPr="00FA0EAE" w:rsidRDefault="00684074" w:rsidP="00CF2C22">
            <w:pPr>
              <w:pStyle w:val="DHHStabletext"/>
              <w:jc w:val="right"/>
              <w:rPr>
                <w:rFonts w:eastAsia="Times"/>
              </w:rPr>
            </w:pPr>
            <w:r w:rsidRPr="00FA0EAE">
              <w:rPr>
                <w:rFonts w:eastAsia="Times"/>
              </w:rPr>
              <w:t>20 (63%)</w:t>
            </w:r>
          </w:p>
        </w:tc>
      </w:tr>
      <w:tr w:rsidR="00684074" w:rsidRPr="00684074" w14:paraId="75DD9B13" w14:textId="77777777" w:rsidTr="00684074">
        <w:tc>
          <w:tcPr>
            <w:tcW w:w="2865" w:type="dxa"/>
          </w:tcPr>
          <w:p w14:paraId="14569D06" w14:textId="77777777" w:rsidR="00684074" w:rsidRPr="00684074" w:rsidRDefault="00684074" w:rsidP="00CF2C22">
            <w:pPr>
              <w:pStyle w:val="DHHStabletext"/>
              <w:rPr>
                <w:rFonts w:eastAsia="Times"/>
              </w:rPr>
            </w:pPr>
            <w:r w:rsidRPr="00684074">
              <w:rPr>
                <w:rFonts w:eastAsia="Times"/>
              </w:rPr>
              <w:t>Hepatobiliary</w:t>
            </w:r>
          </w:p>
        </w:tc>
        <w:tc>
          <w:tcPr>
            <w:tcW w:w="2785" w:type="dxa"/>
          </w:tcPr>
          <w:p w14:paraId="59D2A115" w14:textId="77777777" w:rsidR="00684074" w:rsidRPr="00FA0EAE" w:rsidRDefault="00684074" w:rsidP="00CF2C22">
            <w:pPr>
              <w:pStyle w:val="DHHStabletext"/>
              <w:jc w:val="right"/>
              <w:rPr>
                <w:rFonts w:eastAsia="Times"/>
              </w:rPr>
            </w:pPr>
            <w:r w:rsidRPr="00FA0EAE">
              <w:rPr>
                <w:rFonts w:eastAsia="Times"/>
              </w:rPr>
              <w:t>24</w:t>
            </w:r>
          </w:p>
        </w:tc>
        <w:tc>
          <w:tcPr>
            <w:tcW w:w="2841" w:type="dxa"/>
          </w:tcPr>
          <w:p w14:paraId="007A7B6C" w14:textId="77777777" w:rsidR="00684074" w:rsidRPr="00FA0EAE" w:rsidRDefault="00684074" w:rsidP="00CF2C22">
            <w:pPr>
              <w:pStyle w:val="DHHStabletext"/>
              <w:jc w:val="right"/>
              <w:rPr>
                <w:rFonts w:eastAsia="Times"/>
              </w:rPr>
            </w:pPr>
            <w:r w:rsidRPr="00FA0EAE">
              <w:rPr>
                <w:rFonts w:eastAsia="Times"/>
              </w:rPr>
              <w:t>10 (42%)</w:t>
            </w:r>
          </w:p>
        </w:tc>
      </w:tr>
      <w:tr w:rsidR="00684074" w:rsidRPr="00684074" w14:paraId="22C3C477" w14:textId="77777777" w:rsidTr="00684074">
        <w:tc>
          <w:tcPr>
            <w:tcW w:w="2865" w:type="dxa"/>
          </w:tcPr>
          <w:p w14:paraId="519314A0" w14:textId="77777777" w:rsidR="00684074" w:rsidRPr="00684074" w:rsidRDefault="00684074" w:rsidP="00CF2C22">
            <w:pPr>
              <w:pStyle w:val="DHHStabletext"/>
              <w:rPr>
                <w:rFonts w:eastAsia="Times"/>
              </w:rPr>
            </w:pPr>
            <w:r w:rsidRPr="00684074">
              <w:rPr>
                <w:rFonts w:eastAsia="Times"/>
              </w:rPr>
              <w:t>General surgery</w:t>
            </w:r>
          </w:p>
        </w:tc>
        <w:tc>
          <w:tcPr>
            <w:tcW w:w="2785" w:type="dxa"/>
          </w:tcPr>
          <w:p w14:paraId="128B12B9" w14:textId="77777777" w:rsidR="00684074" w:rsidRPr="00FA0EAE" w:rsidRDefault="00684074" w:rsidP="00CF2C22">
            <w:pPr>
              <w:pStyle w:val="DHHStabletext"/>
              <w:jc w:val="right"/>
              <w:rPr>
                <w:rFonts w:eastAsia="Times"/>
              </w:rPr>
            </w:pPr>
            <w:r w:rsidRPr="00FA0EAE">
              <w:rPr>
                <w:rFonts w:eastAsia="Times"/>
              </w:rPr>
              <w:t>33</w:t>
            </w:r>
          </w:p>
        </w:tc>
        <w:tc>
          <w:tcPr>
            <w:tcW w:w="2841" w:type="dxa"/>
          </w:tcPr>
          <w:p w14:paraId="7C59F974" w14:textId="77777777" w:rsidR="00684074" w:rsidRPr="00FA0EAE" w:rsidRDefault="00684074" w:rsidP="00CF2C22">
            <w:pPr>
              <w:pStyle w:val="DHHStabletext"/>
              <w:jc w:val="right"/>
              <w:rPr>
                <w:rFonts w:eastAsia="Times"/>
              </w:rPr>
            </w:pPr>
            <w:r w:rsidRPr="00FA0EAE">
              <w:rPr>
                <w:rFonts w:eastAsia="Times"/>
              </w:rPr>
              <w:t>17 (52%)</w:t>
            </w:r>
          </w:p>
        </w:tc>
      </w:tr>
    </w:tbl>
    <w:p w14:paraId="4532A228" w14:textId="77777777" w:rsidR="006A7B58" w:rsidRDefault="00684074" w:rsidP="00741C65">
      <w:pPr>
        <w:pStyle w:val="DHHSbodyaftertablefigure"/>
      </w:pPr>
      <w:r w:rsidRPr="00684074">
        <w:t xml:space="preserve">Where a preoperative anaemia screening pathway is in place, health services were asked to report which pathology tests were included in the pathway (Table 6). The majority, but not all, included a FBE (n = 34, 97 per cent) and iron studies (n = 33, 94 per cent). </w:t>
      </w:r>
    </w:p>
    <w:p w14:paraId="4F1CF22D" w14:textId="77777777" w:rsidR="006A7B58" w:rsidRDefault="00684074" w:rsidP="006A7B58">
      <w:pPr>
        <w:pStyle w:val="DHHSbody"/>
      </w:pPr>
      <w:r w:rsidRPr="00684074">
        <w:t xml:space="preserve">Further tests that could help to diagnose the cause of anaemia were less commonly </w:t>
      </w:r>
      <w:r w:rsidRPr="00FA0EAE">
        <w:t>included</w:t>
      </w:r>
      <w:r w:rsidRPr="00684074">
        <w:t xml:space="preserve">: renal function (n = 27, 77 per cent) and CRP (n = 24, 69 per cent) being the most common. </w:t>
      </w:r>
    </w:p>
    <w:p w14:paraId="0CEF3C65" w14:textId="23C0CF08" w:rsidR="00684074" w:rsidRPr="00684074" w:rsidRDefault="006A7B58" w:rsidP="00CF2C22">
      <w:pPr>
        <w:pStyle w:val="DHHSbody"/>
      </w:pPr>
      <w:r>
        <w:t>Compared with</w:t>
      </w:r>
      <w:r w:rsidR="0019273B">
        <w:t xml:space="preserve"> 2015, t</w:t>
      </w:r>
      <w:r w:rsidR="00684074" w:rsidRPr="00684074">
        <w:t>here has been an increase in appropriate pathology testing included in the preoperative anaemia screening pathway. Other tests such as B12 and folate are less commonly included, but should be considered in patients where anaemia is present but not diagnosed</w:t>
      </w:r>
      <w:r w:rsidR="008F1A8A">
        <w:t>. Testing of vitamin</w:t>
      </w:r>
      <w:r w:rsidR="008F1A8A" w:rsidRPr="008F1A8A">
        <w:t xml:space="preserve"> </w:t>
      </w:r>
      <w:r w:rsidR="008F1A8A">
        <w:t>B12/</w:t>
      </w:r>
      <w:r>
        <w:t>folate</w:t>
      </w:r>
      <w:r w:rsidRPr="008F1A8A">
        <w:t xml:space="preserve"> </w:t>
      </w:r>
      <w:r w:rsidR="008F1A8A" w:rsidRPr="008F1A8A">
        <w:t xml:space="preserve">should not be considered routine testing; however, </w:t>
      </w:r>
      <w:r>
        <w:t>this is</w:t>
      </w:r>
      <w:r w:rsidRPr="008F1A8A">
        <w:t xml:space="preserve"> </w:t>
      </w:r>
      <w:r w:rsidR="008F1A8A" w:rsidRPr="008F1A8A">
        <w:t xml:space="preserve">a targeted test based on clinical symptoms or risk factors </w:t>
      </w:r>
      <w:r w:rsidR="008F1A8A">
        <w:t xml:space="preserve">as identified within the </w:t>
      </w:r>
      <w:r w:rsidR="008F1A8A" w:rsidRPr="0077446C">
        <w:t>Medicare Benefits Schedule</w:t>
      </w:r>
      <w:r w:rsidR="008F1A8A">
        <w:t xml:space="preserve"> (MBS) vitamin B12</w:t>
      </w:r>
      <w:r w:rsidR="00F243DF">
        <w:t xml:space="preserve"> t</w:t>
      </w:r>
      <w:r w:rsidR="008F1A8A">
        <w:t>esting report</w:t>
      </w:r>
      <w:r w:rsidR="008F1A8A" w:rsidRPr="008F1A8A">
        <w:t xml:space="preserve"> (</w:t>
      </w:r>
      <w:r>
        <w:t>refer to</w:t>
      </w:r>
      <w:r w:rsidRPr="008F1A8A">
        <w:t xml:space="preserve"> </w:t>
      </w:r>
      <w:r w:rsidR="008F1A8A" w:rsidRPr="008F1A8A">
        <w:t>Figure 1.3, Australian Government Department of Health 2014).</w:t>
      </w:r>
    </w:p>
    <w:p w14:paraId="50ECA71D" w14:textId="77777777" w:rsidR="00684074" w:rsidRPr="00684074" w:rsidRDefault="00684074" w:rsidP="00CF2C22">
      <w:pPr>
        <w:pStyle w:val="DHHStablecaption"/>
        <w:rPr>
          <w:rFonts w:eastAsia="Times"/>
        </w:rPr>
      </w:pPr>
      <w:r w:rsidRPr="00684074">
        <w:rPr>
          <w:rFonts w:eastAsia="Times"/>
        </w:rPr>
        <w:lastRenderedPageBreak/>
        <w:t>Table 6: Tests included in anaemia screening pathway</w:t>
      </w:r>
    </w:p>
    <w:tbl>
      <w:tblPr>
        <w:tblStyle w:val="TableGrid1"/>
        <w:tblW w:w="0" w:type="auto"/>
        <w:tblLook w:val="04A0" w:firstRow="1" w:lastRow="0" w:firstColumn="1" w:lastColumn="0" w:noHBand="0" w:noVBand="1"/>
      </w:tblPr>
      <w:tblGrid>
        <w:gridCol w:w="2767"/>
        <w:gridCol w:w="3092"/>
        <w:gridCol w:w="3093"/>
      </w:tblGrid>
      <w:tr w:rsidR="00684074" w:rsidRPr="00684074" w14:paraId="7F1B8727" w14:textId="77777777" w:rsidTr="00CF2C22">
        <w:trPr>
          <w:tblHeader/>
        </w:trPr>
        <w:tc>
          <w:tcPr>
            <w:tcW w:w="2767" w:type="dxa"/>
          </w:tcPr>
          <w:p w14:paraId="21D3D4C2" w14:textId="77777777" w:rsidR="00684074" w:rsidRPr="00684074" w:rsidRDefault="00684074" w:rsidP="00CF2C22">
            <w:pPr>
              <w:pStyle w:val="DHHStablecolhead"/>
            </w:pPr>
            <w:r w:rsidRPr="00684074">
              <w:t>Tests</w:t>
            </w:r>
          </w:p>
        </w:tc>
        <w:tc>
          <w:tcPr>
            <w:tcW w:w="3092" w:type="dxa"/>
          </w:tcPr>
          <w:p w14:paraId="5695EC6B" w14:textId="77777777" w:rsidR="00684074" w:rsidRPr="00684074" w:rsidRDefault="00684074" w:rsidP="00CF2C22">
            <w:pPr>
              <w:pStyle w:val="DHHStablecolhead"/>
            </w:pPr>
            <w:r w:rsidRPr="00684074">
              <w:t>2020 (</w:t>
            </w:r>
            <w:r w:rsidRPr="00CC3228">
              <w:rPr>
                <w:i/>
              </w:rPr>
              <w:t>n</w:t>
            </w:r>
            <w:r w:rsidRPr="00684074">
              <w:t xml:space="preserve"> = 35) </w:t>
            </w:r>
            <w:r w:rsidRPr="00684074">
              <w:br/>
              <w:t>Number of health services (%)</w:t>
            </w:r>
          </w:p>
        </w:tc>
        <w:tc>
          <w:tcPr>
            <w:tcW w:w="3093" w:type="dxa"/>
          </w:tcPr>
          <w:p w14:paraId="509BABD2" w14:textId="77777777" w:rsidR="00684074" w:rsidRPr="00684074" w:rsidRDefault="00684074" w:rsidP="00CF2C22">
            <w:pPr>
              <w:pStyle w:val="DHHStablecolhead"/>
            </w:pPr>
            <w:r w:rsidRPr="00684074">
              <w:t>2015 (</w:t>
            </w:r>
            <w:r w:rsidRPr="00CC3228">
              <w:rPr>
                <w:i/>
              </w:rPr>
              <w:t>n</w:t>
            </w:r>
            <w:r w:rsidRPr="00684074">
              <w:t xml:space="preserve"> = 20) </w:t>
            </w:r>
            <w:r w:rsidRPr="00684074">
              <w:br/>
              <w:t xml:space="preserve">Number of health </w:t>
            </w:r>
            <w:r w:rsidRPr="00FA0EAE">
              <w:t>services</w:t>
            </w:r>
            <w:r w:rsidRPr="00684074">
              <w:t xml:space="preserve"> (%)</w:t>
            </w:r>
          </w:p>
        </w:tc>
      </w:tr>
      <w:tr w:rsidR="00684074" w:rsidRPr="00684074" w14:paraId="5997481F" w14:textId="77777777" w:rsidTr="00684074">
        <w:tc>
          <w:tcPr>
            <w:tcW w:w="2767" w:type="dxa"/>
          </w:tcPr>
          <w:p w14:paraId="5E1CEAA3" w14:textId="77777777" w:rsidR="00684074" w:rsidRPr="00FA0EAE" w:rsidRDefault="00684074" w:rsidP="00CF2C22">
            <w:pPr>
              <w:pStyle w:val="DHHStabletext"/>
            </w:pPr>
            <w:r w:rsidRPr="00FA0EAE">
              <w:t>FBE</w:t>
            </w:r>
          </w:p>
        </w:tc>
        <w:tc>
          <w:tcPr>
            <w:tcW w:w="3092" w:type="dxa"/>
          </w:tcPr>
          <w:p w14:paraId="166258A4" w14:textId="77777777" w:rsidR="00684074" w:rsidRPr="00FA0EAE" w:rsidRDefault="00684074" w:rsidP="00CF2C22">
            <w:pPr>
              <w:pStyle w:val="DHHStabletext"/>
              <w:jc w:val="right"/>
            </w:pPr>
            <w:r w:rsidRPr="00FA0EAE">
              <w:t>34 (97%)</w:t>
            </w:r>
          </w:p>
        </w:tc>
        <w:tc>
          <w:tcPr>
            <w:tcW w:w="3093" w:type="dxa"/>
          </w:tcPr>
          <w:p w14:paraId="55EF54DB" w14:textId="77777777" w:rsidR="00684074" w:rsidRPr="00FA0EAE" w:rsidRDefault="00684074" w:rsidP="00CF2C22">
            <w:pPr>
              <w:pStyle w:val="DHHStabletext"/>
              <w:jc w:val="right"/>
            </w:pPr>
            <w:r w:rsidRPr="00FA0EAE">
              <w:t>17 (85%)</w:t>
            </w:r>
          </w:p>
        </w:tc>
      </w:tr>
      <w:tr w:rsidR="00684074" w:rsidRPr="00684074" w14:paraId="53E9AABD" w14:textId="77777777" w:rsidTr="00684074">
        <w:tc>
          <w:tcPr>
            <w:tcW w:w="2767" w:type="dxa"/>
          </w:tcPr>
          <w:p w14:paraId="1BB6C30D" w14:textId="77777777" w:rsidR="00684074" w:rsidRPr="00FA0EAE" w:rsidRDefault="00684074" w:rsidP="00CF2C22">
            <w:pPr>
              <w:pStyle w:val="DHHStabletext"/>
            </w:pPr>
            <w:r w:rsidRPr="00FA0EAE">
              <w:t>Iron studies, including ferritin</w:t>
            </w:r>
          </w:p>
        </w:tc>
        <w:tc>
          <w:tcPr>
            <w:tcW w:w="3092" w:type="dxa"/>
          </w:tcPr>
          <w:p w14:paraId="4D6591E1" w14:textId="77777777" w:rsidR="00684074" w:rsidRPr="00FA0EAE" w:rsidRDefault="00684074" w:rsidP="00CF2C22">
            <w:pPr>
              <w:pStyle w:val="DHHStabletext"/>
              <w:jc w:val="right"/>
            </w:pPr>
            <w:r w:rsidRPr="00FA0EAE">
              <w:t>33 (94%)</w:t>
            </w:r>
          </w:p>
        </w:tc>
        <w:tc>
          <w:tcPr>
            <w:tcW w:w="3093" w:type="dxa"/>
          </w:tcPr>
          <w:p w14:paraId="4C9A3B81" w14:textId="77777777" w:rsidR="00684074" w:rsidRPr="00FA0EAE" w:rsidRDefault="00684074" w:rsidP="00CF2C22">
            <w:pPr>
              <w:pStyle w:val="DHHStabletext"/>
              <w:jc w:val="right"/>
            </w:pPr>
            <w:r w:rsidRPr="00FA0EAE">
              <w:t>13 (65%)</w:t>
            </w:r>
          </w:p>
        </w:tc>
      </w:tr>
      <w:tr w:rsidR="00684074" w:rsidRPr="00684074" w14:paraId="1253DCDC" w14:textId="77777777" w:rsidTr="00684074">
        <w:tc>
          <w:tcPr>
            <w:tcW w:w="2767" w:type="dxa"/>
          </w:tcPr>
          <w:p w14:paraId="4647FD8F" w14:textId="77777777" w:rsidR="00684074" w:rsidRPr="00FA0EAE" w:rsidRDefault="00684074" w:rsidP="00CF2C22">
            <w:pPr>
              <w:pStyle w:val="DHHStabletext"/>
            </w:pPr>
            <w:r w:rsidRPr="00FA0EAE">
              <w:t>Renal function</w:t>
            </w:r>
          </w:p>
        </w:tc>
        <w:tc>
          <w:tcPr>
            <w:tcW w:w="3092" w:type="dxa"/>
          </w:tcPr>
          <w:p w14:paraId="52D73C2D" w14:textId="77777777" w:rsidR="00684074" w:rsidRPr="00FA0EAE" w:rsidRDefault="00684074" w:rsidP="00CF2C22">
            <w:pPr>
              <w:pStyle w:val="DHHStabletext"/>
              <w:jc w:val="right"/>
            </w:pPr>
            <w:r w:rsidRPr="00FA0EAE">
              <w:t>27 (77%)</w:t>
            </w:r>
          </w:p>
        </w:tc>
        <w:tc>
          <w:tcPr>
            <w:tcW w:w="3093" w:type="dxa"/>
          </w:tcPr>
          <w:p w14:paraId="262C7366" w14:textId="77777777" w:rsidR="00684074" w:rsidRPr="00FA0EAE" w:rsidRDefault="00684074" w:rsidP="00CF2C22">
            <w:pPr>
              <w:pStyle w:val="DHHStabletext"/>
              <w:jc w:val="right"/>
            </w:pPr>
            <w:r w:rsidRPr="00FA0EAE">
              <w:t>14 (70%)</w:t>
            </w:r>
          </w:p>
        </w:tc>
      </w:tr>
      <w:tr w:rsidR="00684074" w:rsidRPr="00684074" w14:paraId="7FBF0372" w14:textId="77777777" w:rsidTr="00684074">
        <w:tc>
          <w:tcPr>
            <w:tcW w:w="2767" w:type="dxa"/>
          </w:tcPr>
          <w:p w14:paraId="364C9E5E" w14:textId="77777777" w:rsidR="00684074" w:rsidRPr="00FA0EAE" w:rsidRDefault="00684074" w:rsidP="00CF2C22">
            <w:pPr>
              <w:pStyle w:val="DHHStabletext"/>
            </w:pPr>
            <w:r w:rsidRPr="00FA0EAE">
              <w:t>CRP</w:t>
            </w:r>
          </w:p>
        </w:tc>
        <w:tc>
          <w:tcPr>
            <w:tcW w:w="3092" w:type="dxa"/>
          </w:tcPr>
          <w:p w14:paraId="346449B3" w14:textId="77777777" w:rsidR="00684074" w:rsidRPr="00FA0EAE" w:rsidRDefault="00684074" w:rsidP="00CF2C22">
            <w:pPr>
              <w:pStyle w:val="DHHStabletext"/>
              <w:jc w:val="right"/>
            </w:pPr>
            <w:r w:rsidRPr="00FA0EAE">
              <w:t>24 (69%)</w:t>
            </w:r>
          </w:p>
        </w:tc>
        <w:tc>
          <w:tcPr>
            <w:tcW w:w="3093" w:type="dxa"/>
          </w:tcPr>
          <w:p w14:paraId="066C31CC" w14:textId="77777777" w:rsidR="00684074" w:rsidRPr="00FA0EAE" w:rsidRDefault="00684074" w:rsidP="00CF2C22">
            <w:pPr>
              <w:pStyle w:val="DHHStabletext"/>
              <w:jc w:val="right"/>
            </w:pPr>
            <w:r w:rsidRPr="00FA0EAE">
              <w:t>10 (50%)</w:t>
            </w:r>
          </w:p>
        </w:tc>
      </w:tr>
      <w:tr w:rsidR="00684074" w:rsidRPr="00684074" w14:paraId="3EA2E4C6" w14:textId="77777777" w:rsidTr="00684074">
        <w:tc>
          <w:tcPr>
            <w:tcW w:w="2767" w:type="dxa"/>
          </w:tcPr>
          <w:p w14:paraId="5DF43049" w14:textId="0ACF2DFC" w:rsidR="00684074" w:rsidRPr="00FA0EAE" w:rsidRDefault="00684074" w:rsidP="00CF2C22">
            <w:pPr>
              <w:pStyle w:val="DHHStabletext"/>
            </w:pPr>
            <w:r w:rsidRPr="00FA0EAE">
              <w:t>B12</w:t>
            </w:r>
            <w:r w:rsidR="00A352A0" w:rsidRPr="00FA0EAE">
              <w:rPr>
                <w:rStyle w:val="FootnoteReference"/>
              </w:rPr>
              <w:footnoteReference w:id="4"/>
            </w:r>
          </w:p>
        </w:tc>
        <w:tc>
          <w:tcPr>
            <w:tcW w:w="3092" w:type="dxa"/>
          </w:tcPr>
          <w:p w14:paraId="7BED54BB" w14:textId="77777777" w:rsidR="00684074" w:rsidRPr="00FA0EAE" w:rsidRDefault="00684074" w:rsidP="00CF2C22">
            <w:pPr>
              <w:pStyle w:val="DHHStabletext"/>
              <w:jc w:val="right"/>
            </w:pPr>
            <w:r w:rsidRPr="00FA0EAE">
              <w:t>4 (11%)</w:t>
            </w:r>
          </w:p>
        </w:tc>
        <w:tc>
          <w:tcPr>
            <w:tcW w:w="3093" w:type="dxa"/>
          </w:tcPr>
          <w:p w14:paraId="5AD87F92" w14:textId="77777777" w:rsidR="00684074" w:rsidRPr="00FA0EAE" w:rsidRDefault="00684074" w:rsidP="00CF2C22">
            <w:pPr>
              <w:pStyle w:val="DHHStabletext"/>
              <w:jc w:val="right"/>
            </w:pPr>
            <w:r w:rsidRPr="00FA0EAE">
              <w:t>3 (15%)</w:t>
            </w:r>
          </w:p>
        </w:tc>
      </w:tr>
      <w:tr w:rsidR="00684074" w:rsidRPr="00684074" w14:paraId="70FE6056" w14:textId="77777777" w:rsidTr="00684074">
        <w:tc>
          <w:tcPr>
            <w:tcW w:w="2767" w:type="dxa"/>
          </w:tcPr>
          <w:p w14:paraId="0A2F4684" w14:textId="46EF030B" w:rsidR="00684074" w:rsidRPr="00FA0EAE" w:rsidRDefault="00684074" w:rsidP="00CF2C22">
            <w:pPr>
              <w:pStyle w:val="DHHStabletext"/>
            </w:pPr>
            <w:r w:rsidRPr="00FA0EAE">
              <w:t>Folate</w:t>
            </w:r>
            <w:r w:rsidR="00A352A0" w:rsidRPr="00FA0EAE">
              <w:rPr>
                <w:rStyle w:val="FootnoteReference"/>
              </w:rPr>
              <w:footnoteReference w:id="5"/>
            </w:r>
          </w:p>
        </w:tc>
        <w:tc>
          <w:tcPr>
            <w:tcW w:w="3092" w:type="dxa"/>
          </w:tcPr>
          <w:p w14:paraId="52B0ED79" w14:textId="77777777" w:rsidR="00684074" w:rsidRPr="00FA0EAE" w:rsidRDefault="00684074" w:rsidP="00CF2C22">
            <w:pPr>
              <w:pStyle w:val="DHHStabletext"/>
              <w:jc w:val="right"/>
            </w:pPr>
            <w:r w:rsidRPr="00FA0EAE">
              <w:t>5 (14%)</w:t>
            </w:r>
          </w:p>
        </w:tc>
        <w:tc>
          <w:tcPr>
            <w:tcW w:w="3093" w:type="dxa"/>
          </w:tcPr>
          <w:p w14:paraId="68932BA6" w14:textId="77777777" w:rsidR="00684074" w:rsidRPr="00FA0EAE" w:rsidRDefault="00684074" w:rsidP="00CF2C22">
            <w:pPr>
              <w:pStyle w:val="DHHStabletext"/>
              <w:jc w:val="right"/>
            </w:pPr>
            <w:r w:rsidRPr="00FA0EAE">
              <w:t>3 (15%)</w:t>
            </w:r>
          </w:p>
        </w:tc>
      </w:tr>
    </w:tbl>
    <w:p w14:paraId="1D8E60E6" w14:textId="77777777" w:rsidR="006A7B58" w:rsidRDefault="00684074" w:rsidP="006A7B58">
      <w:pPr>
        <w:pStyle w:val="DHHSbodyaftertablefigure"/>
      </w:pPr>
      <w:r w:rsidRPr="00684074">
        <w:t>Module 2 template recommends that all patients at risk of blood loss should have a FBE (including haemoglobin), iron studies (</w:t>
      </w:r>
      <w:r w:rsidRPr="00FA0EAE">
        <w:t>including</w:t>
      </w:r>
      <w:r w:rsidRPr="00684074">
        <w:t xml:space="preserve"> ferritin), CRP and renal function tests performed to assist with anaemia assessment. </w:t>
      </w:r>
    </w:p>
    <w:p w14:paraId="6B5B9193" w14:textId="2CCF08B9" w:rsidR="00684074" w:rsidRPr="00684074" w:rsidRDefault="00684074" w:rsidP="00CF2C22">
      <w:pPr>
        <w:pStyle w:val="DHHSbody"/>
      </w:pPr>
      <w:r w:rsidRPr="00684074">
        <w:t xml:space="preserve">For the benefit of the patient and time efficiency, health services may want to consider if all these tests could be ordered and completed at the same time, to prevent patients requiring multiple blood tests, and to facilitate early recognition and management of any identified anaemia. </w:t>
      </w:r>
    </w:p>
    <w:p w14:paraId="32ECB488" w14:textId="77777777" w:rsidR="00684074" w:rsidRPr="00684074" w:rsidRDefault="00684074" w:rsidP="00CF2C22">
      <w:pPr>
        <w:pStyle w:val="Heading2"/>
        <w:rPr>
          <w:rFonts w:eastAsia="MS Gothic"/>
        </w:rPr>
      </w:pPr>
      <w:bookmarkStart w:id="17" w:name="_Toc44568691"/>
      <w:r w:rsidRPr="00684074">
        <w:rPr>
          <w:rFonts w:eastAsia="MS Gothic"/>
        </w:rPr>
        <w:t>General practitioner involvement</w:t>
      </w:r>
      <w:bookmarkEnd w:id="17"/>
    </w:p>
    <w:p w14:paraId="3DD69043" w14:textId="77777777" w:rsidR="00684074" w:rsidRPr="00684074" w:rsidRDefault="00684074" w:rsidP="00CF2C22">
      <w:pPr>
        <w:pStyle w:val="DHHSbody"/>
      </w:pPr>
      <w:r w:rsidRPr="00684074">
        <w:t xml:space="preserve">The NBA recommends involving general practitioners (GPs) in the preoperative haemoglobin assessment process, which may include development of referral forms/template letters for GPs highlighting their roles and responsibilities in preoperative anaemia investigation </w:t>
      </w:r>
      <w:r w:rsidRPr="00FA0EAE">
        <w:t>and</w:t>
      </w:r>
      <w:r w:rsidRPr="00684074">
        <w:t xml:space="preserve"> management (NBA 2014). Fifteen (43 per cent) health services reported GPs were included in the screening pathway.</w:t>
      </w:r>
    </w:p>
    <w:p w14:paraId="6B691F6C" w14:textId="77777777" w:rsidR="00684074" w:rsidRPr="00FA0EAE" w:rsidRDefault="00684074" w:rsidP="00CF2C22">
      <w:pPr>
        <w:pStyle w:val="Heading2"/>
        <w:rPr>
          <w:rFonts w:eastAsia="MS Gothic"/>
        </w:rPr>
      </w:pPr>
      <w:bookmarkStart w:id="18" w:name="_Toc44568692"/>
      <w:r w:rsidRPr="00684074">
        <w:rPr>
          <w:rFonts w:eastAsia="MS Gothic"/>
        </w:rPr>
        <w:t>Screening follow up</w:t>
      </w:r>
      <w:bookmarkEnd w:id="18"/>
    </w:p>
    <w:p w14:paraId="6F80A974" w14:textId="77777777" w:rsidR="006A7B58" w:rsidRDefault="00684074" w:rsidP="00CF2C22">
      <w:pPr>
        <w:pStyle w:val="DHHSbody"/>
      </w:pPr>
      <w:r w:rsidRPr="00684074">
        <w:t xml:space="preserve">An imperative part of the assessment screening pathway is defining whose role and responsibility it is to review test results, identify anaemia in at-risk patients, and subsequently commence the process of further investigation, or management as required. </w:t>
      </w:r>
    </w:p>
    <w:p w14:paraId="3AE75E35" w14:textId="7A281A2A" w:rsidR="00684074" w:rsidRPr="00684074" w:rsidRDefault="00684074" w:rsidP="00CF2C22">
      <w:pPr>
        <w:pStyle w:val="DHHSbody"/>
      </w:pPr>
      <w:r w:rsidRPr="00684074">
        <w:t xml:space="preserve">Twenty-two (63 per cent) pathways explicitly stated whose role and responsibility it was to identify at-risk patients to refer for investigation and/or management (Table 7). In 2015, the audit asked if the pathway stipulated who was responsible for follow up of results of testing, 16 (80 per cent) responded that this was included, but the audit did not ask for details of who held this responsibility. Without the pathway documenting who is responsible for follow up there is the chance that although testing is performed there is no follow up on abnormal results. </w:t>
      </w:r>
    </w:p>
    <w:p w14:paraId="5915E75A" w14:textId="77777777" w:rsidR="00684074" w:rsidRPr="00684074" w:rsidRDefault="00684074" w:rsidP="00CF2C22">
      <w:pPr>
        <w:keepNext/>
        <w:keepLines/>
        <w:spacing w:after="120"/>
        <w:rPr>
          <w:rFonts w:ascii="Arial" w:eastAsia="Times" w:hAnsi="Arial"/>
          <w:b/>
        </w:rPr>
      </w:pPr>
      <w:bookmarkStart w:id="19" w:name="_Hlk40267790"/>
      <w:r w:rsidRPr="00684074">
        <w:rPr>
          <w:rFonts w:ascii="Arial" w:eastAsia="Times" w:hAnsi="Arial"/>
          <w:b/>
        </w:rPr>
        <w:lastRenderedPageBreak/>
        <w:t>Table 7: Positions assigned primary role for patient follow up</w:t>
      </w:r>
    </w:p>
    <w:tbl>
      <w:tblPr>
        <w:tblStyle w:val="TableGrid5"/>
        <w:tblW w:w="0" w:type="auto"/>
        <w:tblLook w:val="04A0" w:firstRow="1" w:lastRow="0" w:firstColumn="1" w:lastColumn="0" w:noHBand="0" w:noVBand="1"/>
      </w:tblPr>
      <w:tblGrid>
        <w:gridCol w:w="4497"/>
        <w:gridCol w:w="4411"/>
      </w:tblGrid>
      <w:tr w:rsidR="00684074" w:rsidRPr="00684074" w14:paraId="61FCF6B5" w14:textId="77777777" w:rsidTr="00CF2C22">
        <w:trPr>
          <w:tblHeader/>
        </w:trPr>
        <w:tc>
          <w:tcPr>
            <w:tcW w:w="4497" w:type="dxa"/>
          </w:tcPr>
          <w:p w14:paraId="38594834" w14:textId="77777777" w:rsidR="00684074" w:rsidRPr="00684074" w:rsidRDefault="00684074" w:rsidP="00CF2C22">
            <w:pPr>
              <w:pStyle w:val="DHHStablecolhead"/>
              <w:keepNext/>
              <w:keepLines/>
            </w:pPr>
            <w:r w:rsidRPr="00684074">
              <w:t>Position title with primary responsibility to provide follow up</w:t>
            </w:r>
          </w:p>
        </w:tc>
        <w:tc>
          <w:tcPr>
            <w:tcW w:w="4411" w:type="dxa"/>
          </w:tcPr>
          <w:p w14:paraId="5433CAEE" w14:textId="77777777" w:rsidR="00684074" w:rsidRPr="00684074" w:rsidRDefault="00684074" w:rsidP="00CF2C22">
            <w:pPr>
              <w:pStyle w:val="DHHStablecolhead"/>
              <w:keepNext/>
              <w:keepLines/>
            </w:pPr>
            <w:r w:rsidRPr="00684074">
              <w:t xml:space="preserve">Number of health </w:t>
            </w:r>
            <w:r w:rsidRPr="00FA0EAE">
              <w:t>services</w:t>
            </w:r>
            <w:r w:rsidRPr="00684074">
              <w:t xml:space="preserve"> (%)</w:t>
            </w:r>
            <w:r w:rsidRPr="00684074">
              <w:rPr>
                <w:vertAlign w:val="superscript"/>
              </w:rPr>
              <w:footnoteReference w:id="6"/>
            </w:r>
            <w:r w:rsidRPr="00684074">
              <w:br/>
            </w:r>
            <w:r w:rsidRPr="00CC3228">
              <w:rPr>
                <w:i/>
              </w:rPr>
              <w:t>n</w:t>
            </w:r>
            <w:r w:rsidRPr="00684074">
              <w:t xml:space="preserve"> = 22</w:t>
            </w:r>
          </w:p>
        </w:tc>
      </w:tr>
      <w:tr w:rsidR="00684074" w:rsidRPr="00684074" w14:paraId="13C97F83" w14:textId="77777777" w:rsidTr="00684074">
        <w:trPr>
          <w:trHeight w:val="394"/>
        </w:trPr>
        <w:tc>
          <w:tcPr>
            <w:tcW w:w="4497" w:type="dxa"/>
          </w:tcPr>
          <w:p w14:paraId="40916D53" w14:textId="77777777" w:rsidR="00684074" w:rsidRPr="00CF2C22" w:rsidRDefault="00684074" w:rsidP="00CF2C22">
            <w:pPr>
              <w:pStyle w:val="DHHStabletext"/>
              <w:keepNext/>
              <w:keepLines/>
            </w:pPr>
            <w:r w:rsidRPr="00CF2C22">
              <w:t>Surgical liaison/coordinator nurse</w:t>
            </w:r>
          </w:p>
        </w:tc>
        <w:tc>
          <w:tcPr>
            <w:tcW w:w="4411" w:type="dxa"/>
          </w:tcPr>
          <w:p w14:paraId="261BCE63" w14:textId="77777777" w:rsidR="00684074" w:rsidRPr="00684074" w:rsidRDefault="00684074" w:rsidP="00CF2C22">
            <w:pPr>
              <w:pStyle w:val="DHHStabletext"/>
              <w:jc w:val="right"/>
              <w:rPr>
                <w:lang w:eastAsia="en-AU"/>
              </w:rPr>
            </w:pPr>
            <w:r w:rsidRPr="00684074">
              <w:rPr>
                <w:lang w:eastAsia="en-AU"/>
              </w:rPr>
              <w:t>7 (32%)</w:t>
            </w:r>
          </w:p>
        </w:tc>
      </w:tr>
      <w:tr w:rsidR="00684074" w:rsidRPr="00684074" w14:paraId="05657798" w14:textId="77777777" w:rsidTr="00684074">
        <w:tc>
          <w:tcPr>
            <w:tcW w:w="4497" w:type="dxa"/>
          </w:tcPr>
          <w:p w14:paraId="342D8C5F" w14:textId="77777777" w:rsidR="00684074" w:rsidRPr="00CF2C22" w:rsidRDefault="00684074" w:rsidP="00CF2C22">
            <w:pPr>
              <w:pStyle w:val="DHHStabletext"/>
              <w:keepNext/>
              <w:keepLines/>
            </w:pPr>
            <w:r w:rsidRPr="00CF2C22">
              <w:t>Anaesthetist</w:t>
            </w:r>
          </w:p>
        </w:tc>
        <w:tc>
          <w:tcPr>
            <w:tcW w:w="4411" w:type="dxa"/>
          </w:tcPr>
          <w:p w14:paraId="526EF2CD" w14:textId="77777777" w:rsidR="00684074" w:rsidRPr="00684074" w:rsidRDefault="00684074" w:rsidP="00CF2C22">
            <w:pPr>
              <w:pStyle w:val="DHHStabletext"/>
              <w:jc w:val="right"/>
              <w:rPr>
                <w:rFonts w:cs="Arial"/>
                <w:lang w:eastAsia="en-AU"/>
              </w:rPr>
            </w:pPr>
            <w:r w:rsidRPr="00684074">
              <w:rPr>
                <w:rFonts w:cs="Arial"/>
                <w:lang w:eastAsia="en-AU"/>
              </w:rPr>
              <w:t>6 (27%)</w:t>
            </w:r>
          </w:p>
        </w:tc>
      </w:tr>
      <w:tr w:rsidR="00684074" w:rsidRPr="00684074" w14:paraId="206F6C64" w14:textId="77777777" w:rsidTr="00684074">
        <w:tc>
          <w:tcPr>
            <w:tcW w:w="4497" w:type="dxa"/>
          </w:tcPr>
          <w:p w14:paraId="20A9C2E2" w14:textId="77777777" w:rsidR="00684074" w:rsidRPr="00CF2C22" w:rsidRDefault="00684074" w:rsidP="00CF2C22">
            <w:pPr>
              <w:pStyle w:val="DHHStabletext"/>
              <w:keepNext/>
              <w:keepLines/>
            </w:pPr>
            <w:r w:rsidRPr="00CF2C22">
              <w:t>Surgeon</w:t>
            </w:r>
          </w:p>
        </w:tc>
        <w:tc>
          <w:tcPr>
            <w:tcW w:w="4411" w:type="dxa"/>
          </w:tcPr>
          <w:p w14:paraId="2BA62893" w14:textId="77777777" w:rsidR="00684074" w:rsidRPr="00684074" w:rsidRDefault="00684074" w:rsidP="00CF2C22">
            <w:pPr>
              <w:pStyle w:val="DHHStabletext"/>
              <w:jc w:val="right"/>
              <w:rPr>
                <w:rFonts w:cs="Arial"/>
                <w:lang w:eastAsia="en-AU"/>
              </w:rPr>
            </w:pPr>
            <w:r w:rsidRPr="00684074">
              <w:rPr>
                <w:rFonts w:cs="Arial"/>
                <w:lang w:eastAsia="en-AU"/>
              </w:rPr>
              <w:t>1 (5%)</w:t>
            </w:r>
          </w:p>
        </w:tc>
      </w:tr>
      <w:tr w:rsidR="00684074" w:rsidRPr="00684074" w14:paraId="3331E267" w14:textId="77777777" w:rsidTr="00684074">
        <w:tc>
          <w:tcPr>
            <w:tcW w:w="4497" w:type="dxa"/>
          </w:tcPr>
          <w:p w14:paraId="6D9DFBC3" w14:textId="77777777" w:rsidR="00684074" w:rsidRPr="00CF2C22" w:rsidRDefault="00684074" w:rsidP="00CF2C22">
            <w:pPr>
              <w:pStyle w:val="DHHStabletext"/>
              <w:keepNext/>
              <w:keepLines/>
            </w:pPr>
            <w:r w:rsidRPr="00CF2C22">
              <w:t>Haematologist</w:t>
            </w:r>
          </w:p>
        </w:tc>
        <w:tc>
          <w:tcPr>
            <w:tcW w:w="4411" w:type="dxa"/>
          </w:tcPr>
          <w:p w14:paraId="60D053F6" w14:textId="77777777" w:rsidR="00684074" w:rsidRPr="00684074" w:rsidRDefault="00684074" w:rsidP="00CF2C22">
            <w:pPr>
              <w:pStyle w:val="DHHStabletext"/>
              <w:jc w:val="right"/>
              <w:rPr>
                <w:rFonts w:cs="Arial"/>
                <w:lang w:eastAsia="en-AU"/>
              </w:rPr>
            </w:pPr>
            <w:r w:rsidRPr="00684074">
              <w:rPr>
                <w:rFonts w:cs="Arial"/>
                <w:lang w:eastAsia="en-AU"/>
              </w:rPr>
              <w:t>-</w:t>
            </w:r>
          </w:p>
        </w:tc>
      </w:tr>
      <w:tr w:rsidR="00684074" w:rsidRPr="00684074" w14:paraId="262085FE" w14:textId="77777777" w:rsidTr="00684074">
        <w:tc>
          <w:tcPr>
            <w:tcW w:w="4497" w:type="dxa"/>
          </w:tcPr>
          <w:p w14:paraId="1BC761B0" w14:textId="77777777" w:rsidR="00684074" w:rsidRPr="00CF2C22" w:rsidRDefault="00684074" w:rsidP="00CF2C22">
            <w:pPr>
              <w:pStyle w:val="DHHStabletext"/>
              <w:keepNext/>
              <w:keepLines/>
            </w:pPr>
            <w:r w:rsidRPr="00CF2C22">
              <w:t>General outpatient clinic coordinator</w:t>
            </w:r>
          </w:p>
        </w:tc>
        <w:tc>
          <w:tcPr>
            <w:tcW w:w="4411" w:type="dxa"/>
          </w:tcPr>
          <w:p w14:paraId="4AFB4F5D" w14:textId="77777777" w:rsidR="00684074" w:rsidRPr="00684074" w:rsidRDefault="00684074" w:rsidP="00CF2C22">
            <w:pPr>
              <w:pStyle w:val="DHHStabletext"/>
              <w:jc w:val="right"/>
              <w:rPr>
                <w:rFonts w:cs="Arial"/>
                <w:lang w:eastAsia="en-AU"/>
              </w:rPr>
            </w:pPr>
            <w:r w:rsidRPr="00684074">
              <w:rPr>
                <w:rFonts w:cs="Arial"/>
                <w:lang w:eastAsia="en-AU"/>
              </w:rPr>
              <w:t>-</w:t>
            </w:r>
          </w:p>
        </w:tc>
      </w:tr>
      <w:tr w:rsidR="00684074" w:rsidRPr="00684074" w14:paraId="73879672" w14:textId="77777777" w:rsidTr="00684074">
        <w:tc>
          <w:tcPr>
            <w:tcW w:w="4497" w:type="dxa"/>
          </w:tcPr>
          <w:p w14:paraId="48C127A2" w14:textId="77777777" w:rsidR="00684074" w:rsidRPr="00CF2C22" w:rsidRDefault="00684074" w:rsidP="00CF2C22">
            <w:pPr>
              <w:pStyle w:val="DHHStabletext"/>
              <w:keepNext/>
              <w:keepLines/>
            </w:pPr>
            <w:r w:rsidRPr="00CF2C22">
              <w:t>Anaemia clinic coordinator</w:t>
            </w:r>
          </w:p>
          <w:p w14:paraId="351A3AD5" w14:textId="77777777" w:rsidR="00684074" w:rsidRPr="00CF2C22" w:rsidRDefault="00684074" w:rsidP="00CF2C22">
            <w:pPr>
              <w:pStyle w:val="DHHStabletext"/>
              <w:keepNext/>
              <w:keepLines/>
            </w:pPr>
          </w:p>
        </w:tc>
        <w:tc>
          <w:tcPr>
            <w:tcW w:w="4411" w:type="dxa"/>
          </w:tcPr>
          <w:p w14:paraId="4A4FD412" w14:textId="77777777" w:rsidR="00684074" w:rsidRPr="00684074" w:rsidRDefault="00684074" w:rsidP="00CF2C22">
            <w:pPr>
              <w:pStyle w:val="DHHStabletext"/>
              <w:jc w:val="right"/>
              <w:rPr>
                <w:lang w:eastAsia="en-AU"/>
              </w:rPr>
            </w:pPr>
            <w:r w:rsidRPr="00684074">
              <w:rPr>
                <w:lang w:eastAsia="en-AU"/>
              </w:rPr>
              <w:t>-</w:t>
            </w:r>
          </w:p>
        </w:tc>
      </w:tr>
      <w:tr w:rsidR="00684074" w:rsidRPr="00684074" w14:paraId="17BA15CB" w14:textId="77777777" w:rsidTr="00684074">
        <w:tc>
          <w:tcPr>
            <w:tcW w:w="4497" w:type="dxa"/>
          </w:tcPr>
          <w:p w14:paraId="33A38070" w14:textId="77777777" w:rsidR="00684074" w:rsidRPr="00CF2C22" w:rsidRDefault="00684074" w:rsidP="00CF2C22">
            <w:pPr>
              <w:pStyle w:val="DHHStabletext"/>
              <w:keepNext/>
              <w:keepLines/>
            </w:pPr>
            <w:r w:rsidRPr="00CF2C22">
              <w:t>Other: Anaesthetic liaison nurse</w:t>
            </w:r>
          </w:p>
        </w:tc>
        <w:tc>
          <w:tcPr>
            <w:tcW w:w="4411" w:type="dxa"/>
          </w:tcPr>
          <w:p w14:paraId="22830741" w14:textId="77777777" w:rsidR="00684074" w:rsidRPr="00684074" w:rsidRDefault="00684074" w:rsidP="00CF2C22">
            <w:pPr>
              <w:pStyle w:val="DHHStabletext"/>
              <w:jc w:val="right"/>
              <w:rPr>
                <w:rFonts w:cs="Arial"/>
                <w:lang w:eastAsia="en-AU"/>
              </w:rPr>
            </w:pPr>
            <w:r w:rsidRPr="00684074">
              <w:rPr>
                <w:rFonts w:cs="Arial"/>
                <w:lang w:eastAsia="en-AU"/>
              </w:rPr>
              <w:t>4 (18%)</w:t>
            </w:r>
          </w:p>
        </w:tc>
      </w:tr>
      <w:tr w:rsidR="00684074" w:rsidRPr="00684074" w14:paraId="5FF59599" w14:textId="77777777" w:rsidTr="00684074">
        <w:tc>
          <w:tcPr>
            <w:tcW w:w="4497" w:type="dxa"/>
          </w:tcPr>
          <w:p w14:paraId="58E2C3AB" w14:textId="77777777" w:rsidR="00684074" w:rsidRPr="00CF2C22" w:rsidRDefault="00684074" w:rsidP="00CF2C22">
            <w:pPr>
              <w:pStyle w:val="DHHStabletext"/>
              <w:keepNext/>
              <w:keepLines/>
            </w:pPr>
            <w:r w:rsidRPr="00CF2C22">
              <w:t>Other: multiple roles stated (GP/HMO/Anaesthetist)</w:t>
            </w:r>
          </w:p>
        </w:tc>
        <w:tc>
          <w:tcPr>
            <w:tcW w:w="4411" w:type="dxa"/>
          </w:tcPr>
          <w:p w14:paraId="0E79566F" w14:textId="77777777" w:rsidR="00684074" w:rsidRPr="00684074" w:rsidRDefault="00684074" w:rsidP="00CF2C22">
            <w:pPr>
              <w:pStyle w:val="DHHStabletext"/>
              <w:jc w:val="right"/>
              <w:rPr>
                <w:rFonts w:cs="Arial"/>
                <w:lang w:eastAsia="en-AU"/>
              </w:rPr>
            </w:pPr>
            <w:r w:rsidRPr="00684074">
              <w:rPr>
                <w:rFonts w:cs="Arial"/>
                <w:lang w:eastAsia="en-AU"/>
              </w:rPr>
              <w:t>3 (14%)</w:t>
            </w:r>
          </w:p>
        </w:tc>
      </w:tr>
      <w:tr w:rsidR="00684074" w:rsidRPr="00684074" w14:paraId="4E8FCB8B" w14:textId="77777777" w:rsidTr="00684074">
        <w:tc>
          <w:tcPr>
            <w:tcW w:w="4497" w:type="dxa"/>
          </w:tcPr>
          <w:p w14:paraId="6B78EE0A" w14:textId="77777777" w:rsidR="00684074" w:rsidRPr="00CF2C22" w:rsidRDefault="00684074" w:rsidP="00CF2C22">
            <w:pPr>
              <w:pStyle w:val="DHHStabletext"/>
              <w:keepNext/>
              <w:keepLines/>
            </w:pPr>
            <w:r w:rsidRPr="00CF2C22">
              <w:t>Other: clinician seeing patient</w:t>
            </w:r>
          </w:p>
        </w:tc>
        <w:tc>
          <w:tcPr>
            <w:tcW w:w="4411" w:type="dxa"/>
          </w:tcPr>
          <w:p w14:paraId="1950DF36" w14:textId="77777777" w:rsidR="00684074" w:rsidRPr="00684074" w:rsidRDefault="00684074" w:rsidP="00CF2C22">
            <w:pPr>
              <w:pStyle w:val="DHHStabletext"/>
              <w:jc w:val="right"/>
              <w:rPr>
                <w:rFonts w:cs="Arial"/>
                <w:lang w:eastAsia="en-AU"/>
              </w:rPr>
            </w:pPr>
            <w:r w:rsidRPr="00684074">
              <w:rPr>
                <w:rFonts w:cs="Arial"/>
                <w:lang w:eastAsia="en-AU"/>
              </w:rPr>
              <w:t>1 (5%)</w:t>
            </w:r>
          </w:p>
        </w:tc>
      </w:tr>
    </w:tbl>
    <w:bookmarkEnd w:id="19"/>
    <w:p w14:paraId="4673056F" w14:textId="6ACDD94D" w:rsidR="00684074" w:rsidRPr="00684074" w:rsidRDefault="00684074" w:rsidP="00CF2C22">
      <w:pPr>
        <w:pStyle w:val="DHHSbodyaftertablefigure"/>
      </w:pPr>
      <w:r w:rsidRPr="00684074">
        <w:t>Eleven (50 per cent) health services nominated nurse roles as being responsible for the patient follow up. Nurses working in preoperative assessment roles have developed the skills and knowledge to recognise the need for follow up</w:t>
      </w:r>
      <w:r w:rsidR="006A7B58">
        <w:t>.</w:t>
      </w:r>
      <w:r w:rsidR="006A7B58" w:rsidRPr="00684074">
        <w:t xml:space="preserve"> </w:t>
      </w:r>
      <w:r w:rsidR="006A7B58">
        <w:t>They also have the</w:t>
      </w:r>
      <w:r w:rsidRPr="00684074">
        <w:t xml:space="preserve"> organisational </w:t>
      </w:r>
      <w:r w:rsidR="0033795C">
        <w:t xml:space="preserve">support </w:t>
      </w:r>
      <w:r w:rsidR="006A7B58">
        <w:t>needed</w:t>
      </w:r>
      <w:r w:rsidRPr="00684074">
        <w:t xml:space="preserve"> to make referrals to ensure appropriate patient management. </w:t>
      </w:r>
    </w:p>
    <w:p w14:paraId="45A45B40" w14:textId="77777777" w:rsidR="00684074" w:rsidRPr="00684074" w:rsidRDefault="00684074" w:rsidP="00CF2C22">
      <w:pPr>
        <w:pStyle w:val="Heading2"/>
        <w:rPr>
          <w:rFonts w:eastAsia="MS Gothic"/>
        </w:rPr>
      </w:pPr>
      <w:bookmarkStart w:id="20" w:name="_Toc44568693"/>
      <w:r w:rsidRPr="00684074">
        <w:rPr>
          <w:rFonts w:eastAsia="MS Gothic"/>
        </w:rPr>
        <w:t>Consumer information</w:t>
      </w:r>
      <w:bookmarkEnd w:id="20"/>
    </w:p>
    <w:p w14:paraId="4D4D7D9E" w14:textId="39D9DE94" w:rsidR="00684074" w:rsidRPr="00684074" w:rsidRDefault="00684074" w:rsidP="00CF2C22">
      <w:pPr>
        <w:pStyle w:val="DHHSbody"/>
      </w:pPr>
      <w:r w:rsidRPr="00684074">
        <w:t xml:space="preserve">The NBA (2014) recommends establishing requirements for patient information materials related to the preoperative haemoglobin assessment process. This may include patient blood management brochures, information on iron therapy, and </w:t>
      </w:r>
      <w:r w:rsidRPr="00FA0EAE">
        <w:t>information</w:t>
      </w:r>
      <w:r w:rsidRPr="00684074">
        <w:t xml:space="preserve"> regarding the risks, benefits and alternatives to transfusion. Ten (30 per cent) health services reported that their pathway stipulated the provision of written consumer information. This is unchanged since the 2015 audit, where six (30 per cent)</w:t>
      </w:r>
      <w:r w:rsidR="006A7B58">
        <w:t xml:space="preserve"> </w:t>
      </w:r>
      <w:r w:rsidRPr="00684074">
        <w:t>health services reported that patient information was included in the process. This may be an area for health services to work toward improving.</w:t>
      </w:r>
    </w:p>
    <w:p w14:paraId="30D8E84C" w14:textId="5C48179D" w:rsidR="00684074" w:rsidRPr="00684074" w:rsidRDefault="00684074" w:rsidP="00CF2C22">
      <w:pPr>
        <w:pStyle w:val="DHHSbody"/>
      </w:pPr>
      <w:r w:rsidRPr="00684074">
        <w:t>Where written consumer information was part of the pathway</w:t>
      </w:r>
      <w:r w:rsidR="00FA0EAE">
        <w:t>,</w:t>
      </w:r>
      <w:r w:rsidRPr="00684074">
        <w:t xml:space="preserve"> the </w:t>
      </w:r>
      <w:r w:rsidRPr="00FA0EAE">
        <w:t>following</w:t>
      </w:r>
      <w:r w:rsidRPr="00684074">
        <w:t xml:space="preserve"> topics were included (Table 8).</w:t>
      </w:r>
    </w:p>
    <w:p w14:paraId="0C54738B" w14:textId="77777777" w:rsidR="00684074" w:rsidRPr="00684074" w:rsidRDefault="00684074" w:rsidP="00CF2C22">
      <w:pPr>
        <w:pStyle w:val="DHHStablecaption"/>
      </w:pPr>
      <w:r w:rsidRPr="00684074">
        <w:t>Table 8: Consumer information (topics) included in screening pathway</w:t>
      </w:r>
      <w:r w:rsidRPr="00684074">
        <w:rPr>
          <w:vertAlign w:val="superscript"/>
        </w:rPr>
        <w:footnoteReference w:id="7"/>
      </w:r>
      <w:r w:rsidRPr="00684074">
        <w:t xml:space="preserve"> </w:t>
      </w:r>
    </w:p>
    <w:tbl>
      <w:tblPr>
        <w:tblStyle w:val="TableGrid1"/>
        <w:tblW w:w="0" w:type="auto"/>
        <w:tblLook w:val="04A0" w:firstRow="1" w:lastRow="0" w:firstColumn="1" w:lastColumn="0" w:noHBand="0" w:noVBand="1"/>
      </w:tblPr>
      <w:tblGrid>
        <w:gridCol w:w="3081"/>
        <w:gridCol w:w="2703"/>
        <w:gridCol w:w="2707"/>
      </w:tblGrid>
      <w:tr w:rsidR="00684074" w:rsidRPr="00123C13" w14:paraId="32BD7565" w14:textId="77777777" w:rsidTr="00CF2C22">
        <w:trPr>
          <w:tblHeader/>
        </w:trPr>
        <w:tc>
          <w:tcPr>
            <w:tcW w:w="3081" w:type="dxa"/>
          </w:tcPr>
          <w:p w14:paraId="1EE15D5C" w14:textId="77777777" w:rsidR="00684074" w:rsidRPr="00123C13" w:rsidRDefault="00684074" w:rsidP="00CF2C22">
            <w:pPr>
              <w:pStyle w:val="DHHStablecolhead"/>
            </w:pPr>
            <w:r w:rsidRPr="00123C13">
              <w:t>Topics included</w:t>
            </w:r>
          </w:p>
        </w:tc>
        <w:tc>
          <w:tcPr>
            <w:tcW w:w="2703" w:type="dxa"/>
          </w:tcPr>
          <w:p w14:paraId="46C75F4C" w14:textId="77777777" w:rsidR="00684074" w:rsidRPr="00123C13" w:rsidRDefault="00684074" w:rsidP="00CF2C22">
            <w:pPr>
              <w:pStyle w:val="DHHStablecolhead"/>
            </w:pPr>
            <w:r w:rsidRPr="00123C13">
              <w:t>2020 (</w:t>
            </w:r>
            <w:r w:rsidRPr="00CC3228">
              <w:rPr>
                <w:i/>
              </w:rPr>
              <w:t>n</w:t>
            </w:r>
            <w:r w:rsidRPr="00123C13">
              <w:t xml:space="preserve"> = 10): Number (%) of health services </w:t>
            </w:r>
          </w:p>
        </w:tc>
        <w:tc>
          <w:tcPr>
            <w:tcW w:w="2707" w:type="dxa"/>
          </w:tcPr>
          <w:p w14:paraId="699FCE62" w14:textId="77777777" w:rsidR="00684074" w:rsidRPr="00123C13" w:rsidRDefault="00684074" w:rsidP="00CF2C22">
            <w:pPr>
              <w:pStyle w:val="DHHStablecolhead"/>
            </w:pPr>
            <w:r w:rsidRPr="00123C13">
              <w:t>2015 (</w:t>
            </w:r>
            <w:r w:rsidRPr="00CC3228">
              <w:rPr>
                <w:i/>
              </w:rPr>
              <w:t>n</w:t>
            </w:r>
            <w:r w:rsidRPr="00123C13">
              <w:t xml:space="preserve"> = 6): Number (%) of health services </w:t>
            </w:r>
          </w:p>
        </w:tc>
      </w:tr>
      <w:tr w:rsidR="00684074" w:rsidRPr="00123C13" w14:paraId="130C3012" w14:textId="77777777" w:rsidTr="00684074">
        <w:tc>
          <w:tcPr>
            <w:tcW w:w="3081" w:type="dxa"/>
          </w:tcPr>
          <w:p w14:paraId="294D7DD5" w14:textId="77777777" w:rsidR="00684074" w:rsidRPr="00123C13" w:rsidRDefault="00684074" w:rsidP="00CF2C22">
            <w:pPr>
              <w:pStyle w:val="DHHStabletext"/>
            </w:pPr>
            <w:r w:rsidRPr="00123C13">
              <w:t>Patient blood management program</w:t>
            </w:r>
          </w:p>
        </w:tc>
        <w:tc>
          <w:tcPr>
            <w:tcW w:w="2703" w:type="dxa"/>
          </w:tcPr>
          <w:p w14:paraId="1CE11B90" w14:textId="77777777" w:rsidR="00684074" w:rsidRPr="00FA0EAE" w:rsidRDefault="00684074" w:rsidP="00CF2C22">
            <w:pPr>
              <w:pStyle w:val="DHHStabletext"/>
              <w:jc w:val="right"/>
            </w:pPr>
            <w:r w:rsidRPr="00FA0EAE">
              <w:t>3 (30%)</w:t>
            </w:r>
          </w:p>
        </w:tc>
        <w:tc>
          <w:tcPr>
            <w:tcW w:w="2707" w:type="dxa"/>
          </w:tcPr>
          <w:p w14:paraId="02EB2C39" w14:textId="77777777" w:rsidR="00684074" w:rsidRPr="00FA0EAE" w:rsidRDefault="00684074" w:rsidP="00CF2C22">
            <w:pPr>
              <w:pStyle w:val="DHHStabletext"/>
              <w:jc w:val="right"/>
            </w:pPr>
            <w:r w:rsidRPr="00FA0EAE">
              <w:t>2 (33%)</w:t>
            </w:r>
          </w:p>
        </w:tc>
      </w:tr>
      <w:tr w:rsidR="00684074" w:rsidRPr="00123C13" w14:paraId="1DB821B1" w14:textId="77777777" w:rsidTr="00684074">
        <w:tc>
          <w:tcPr>
            <w:tcW w:w="3081" w:type="dxa"/>
          </w:tcPr>
          <w:p w14:paraId="559CE035" w14:textId="77777777" w:rsidR="00684074" w:rsidRPr="00123C13" w:rsidRDefault="00684074" w:rsidP="00CF2C22">
            <w:pPr>
              <w:pStyle w:val="DHHStabletext"/>
            </w:pPr>
            <w:r w:rsidRPr="00123C13">
              <w:t>IV iron</w:t>
            </w:r>
          </w:p>
        </w:tc>
        <w:tc>
          <w:tcPr>
            <w:tcW w:w="2703" w:type="dxa"/>
          </w:tcPr>
          <w:p w14:paraId="7E522E89" w14:textId="77777777" w:rsidR="00684074" w:rsidRPr="00FA0EAE" w:rsidDel="00ED1161" w:rsidRDefault="00684074" w:rsidP="00CF2C22">
            <w:pPr>
              <w:pStyle w:val="DHHStabletext"/>
              <w:jc w:val="right"/>
            </w:pPr>
            <w:r w:rsidRPr="00FA0EAE">
              <w:t>9 (90%)</w:t>
            </w:r>
          </w:p>
        </w:tc>
        <w:tc>
          <w:tcPr>
            <w:tcW w:w="2707" w:type="dxa"/>
          </w:tcPr>
          <w:p w14:paraId="31D04371" w14:textId="77777777" w:rsidR="00684074" w:rsidRPr="00FA0EAE" w:rsidRDefault="00684074" w:rsidP="00CF2C22">
            <w:pPr>
              <w:pStyle w:val="DHHStabletext"/>
              <w:jc w:val="right"/>
            </w:pPr>
            <w:r w:rsidRPr="00FA0EAE">
              <w:t>not asked</w:t>
            </w:r>
          </w:p>
        </w:tc>
      </w:tr>
      <w:tr w:rsidR="00684074" w:rsidRPr="00123C13" w14:paraId="660F44B1" w14:textId="77777777" w:rsidTr="00684074">
        <w:tc>
          <w:tcPr>
            <w:tcW w:w="3081" w:type="dxa"/>
          </w:tcPr>
          <w:p w14:paraId="3BF13C66" w14:textId="77777777" w:rsidR="00684074" w:rsidRPr="00123C13" w:rsidRDefault="00684074" w:rsidP="00CF2C22">
            <w:pPr>
              <w:pStyle w:val="DHHStabletext"/>
            </w:pPr>
            <w:r w:rsidRPr="00123C13">
              <w:t>Oral iron</w:t>
            </w:r>
          </w:p>
        </w:tc>
        <w:tc>
          <w:tcPr>
            <w:tcW w:w="2703" w:type="dxa"/>
          </w:tcPr>
          <w:p w14:paraId="30A6D844" w14:textId="77777777" w:rsidR="00684074" w:rsidRPr="00FA0EAE" w:rsidDel="00ED1161" w:rsidRDefault="00684074" w:rsidP="00CF2C22">
            <w:pPr>
              <w:pStyle w:val="DHHStabletext"/>
              <w:jc w:val="right"/>
            </w:pPr>
            <w:r w:rsidRPr="00FA0EAE">
              <w:t>7 (70%)</w:t>
            </w:r>
          </w:p>
        </w:tc>
        <w:tc>
          <w:tcPr>
            <w:tcW w:w="2707" w:type="dxa"/>
          </w:tcPr>
          <w:p w14:paraId="0BC37FEC" w14:textId="77777777" w:rsidR="00684074" w:rsidRPr="00FA0EAE" w:rsidRDefault="00684074" w:rsidP="00CF2C22">
            <w:pPr>
              <w:pStyle w:val="DHHStabletext"/>
              <w:jc w:val="right"/>
            </w:pPr>
            <w:r w:rsidRPr="00FA0EAE">
              <w:t>not asked</w:t>
            </w:r>
          </w:p>
        </w:tc>
      </w:tr>
      <w:tr w:rsidR="00684074" w:rsidRPr="00123C13" w14:paraId="74BB9DE8" w14:textId="77777777" w:rsidTr="00684074">
        <w:tc>
          <w:tcPr>
            <w:tcW w:w="3081" w:type="dxa"/>
          </w:tcPr>
          <w:p w14:paraId="72CB30D6" w14:textId="77777777" w:rsidR="00684074" w:rsidRPr="00123C13" w:rsidRDefault="00684074" w:rsidP="00CF2C22">
            <w:pPr>
              <w:pStyle w:val="DHHStabletext"/>
            </w:pPr>
            <w:r w:rsidRPr="00123C13">
              <w:t>Dietary iron</w:t>
            </w:r>
          </w:p>
        </w:tc>
        <w:tc>
          <w:tcPr>
            <w:tcW w:w="2703" w:type="dxa"/>
          </w:tcPr>
          <w:p w14:paraId="781D6937" w14:textId="77777777" w:rsidR="00684074" w:rsidRPr="00FA0EAE" w:rsidDel="00ED1161" w:rsidRDefault="00684074" w:rsidP="00CF2C22">
            <w:pPr>
              <w:pStyle w:val="DHHStabletext"/>
              <w:jc w:val="right"/>
            </w:pPr>
            <w:r w:rsidRPr="00FA0EAE">
              <w:t>3 (30%)</w:t>
            </w:r>
          </w:p>
        </w:tc>
        <w:tc>
          <w:tcPr>
            <w:tcW w:w="2707" w:type="dxa"/>
          </w:tcPr>
          <w:p w14:paraId="1B5A5D57" w14:textId="77777777" w:rsidR="00684074" w:rsidRPr="00FA0EAE" w:rsidRDefault="00684074" w:rsidP="00CF2C22">
            <w:pPr>
              <w:pStyle w:val="DHHStabletext"/>
              <w:jc w:val="right"/>
            </w:pPr>
            <w:r w:rsidRPr="00FA0EAE">
              <w:t>not asked</w:t>
            </w:r>
          </w:p>
        </w:tc>
      </w:tr>
      <w:tr w:rsidR="00684074" w:rsidRPr="00123C13" w14:paraId="614AC02E" w14:textId="77777777" w:rsidTr="00684074">
        <w:tc>
          <w:tcPr>
            <w:tcW w:w="3081" w:type="dxa"/>
          </w:tcPr>
          <w:p w14:paraId="5CA5BC2C" w14:textId="77777777" w:rsidR="00684074" w:rsidRPr="00123C13" w:rsidRDefault="00684074" w:rsidP="00CF2C22">
            <w:pPr>
              <w:pStyle w:val="DHHStabletext"/>
            </w:pPr>
            <w:r w:rsidRPr="00123C13">
              <w:t>Dietary, oral, IV iron (2015 only)</w:t>
            </w:r>
          </w:p>
        </w:tc>
        <w:tc>
          <w:tcPr>
            <w:tcW w:w="2703" w:type="dxa"/>
          </w:tcPr>
          <w:p w14:paraId="5D30DD97" w14:textId="77777777" w:rsidR="00684074" w:rsidRPr="00FA0EAE" w:rsidRDefault="00684074" w:rsidP="00CF2C22">
            <w:pPr>
              <w:pStyle w:val="DHHStabletext"/>
              <w:jc w:val="right"/>
            </w:pPr>
            <w:r w:rsidRPr="00FA0EAE">
              <w:t>not asked</w:t>
            </w:r>
          </w:p>
        </w:tc>
        <w:tc>
          <w:tcPr>
            <w:tcW w:w="2707" w:type="dxa"/>
          </w:tcPr>
          <w:p w14:paraId="36B1E27E" w14:textId="77777777" w:rsidR="00684074" w:rsidRPr="00FA0EAE" w:rsidRDefault="00684074" w:rsidP="00CF2C22">
            <w:pPr>
              <w:pStyle w:val="DHHStabletext"/>
              <w:jc w:val="right"/>
            </w:pPr>
            <w:r w:rsidRPr="00FA0EAE">
              <w:t>3 (50%)</w:t>
            </w:r>
          </w:p>
        </w:tc>
      </w:tr>
      <w:tr w:rsidR="00684074" w:rsidRPr="00123C13" w14:paraId="7CCE4356" w14:textId="77777777" w:rsidTr="00684074">
        <w:tc>
          <w:tcPr>
            <w:tcW w:w="3081" w:type="dxa"/>
          </w:tcPr>
          <w:p w14:paraId="0BBB9EB3" w14:textId="77777777" w:rsidR="00684074" w:rsidRPr="00123C13" w:rsidRDefault="00684074" w:rsidP="00CF2C22">
            <w:pPr>
              <w:pStyle w:val="DHHStabletext"/>
            </w:pPr>
            <w:r w:rsidRPr="00123C13">
              <w:lastRenderedPageBreak/>
              <w:t>Risks, benefits and alternatives to transfusion</w:t>
            </w:r>
          </w:p>
        </w:tc>
        <w:tc>
          <w:tcPr>
            <w:tcW w:w="2703" w:type="dxa"/>
          </w:tcPr>
          <w:p w14:paraId="37C3E16A" w14:textId="77777777" w:rsidR="00684074" w:rsidRPr="00FA0EAE" w:rsidRDefault="00684074" w:rsidP="00CF2C22">
            <w:pPr>
              <w:pStyle w:val="DHHStabletext"/>
              <w:jc w:val="right"/>
            </w:pPr>
            <w:r w:rsidRPr="00FA0EAE">
              <w:t>3 (30%)</w:t>
            </w:r>
          </w:p>
        </w:tc>
        <w:tc>
          <w:tcPr>
            <w:tcW w:w="2707" w:type="dxa"/>
          </w:tcPr>
          <w:p w14:paraId="70AB75AC" w14:textId="77777777" w:rsidR="00684074" w:rsidRPr="00FA0EAE" w:rsidRDefault="00684074" w:rsidP="00CF2C22">
            <w:pPr>
              <w:pStyle w:val="DHHStabletext"/>
              <w:jc w:val="right"/>
            </w:pPr>
            <w:r w:rsidRPr="00FA0EAE">
              <w:t>3 (50%)</w:t>
            </w:r>
          </w:p>
        </w:tc>
      </w:tr>
      <w:tr w:rsidR="00684074" w:rsidRPr="00123C13" w14:paraId="42B69414" w14:textId="77777777" w:rsidTr="00684074">
        <w:tc>
          <w:tcPr>
            <w:tcW w:w="3081" w:type="dxa"/>
          </w:tcPr>
          <w:p w14:paraId="0FFA4430" w14:textId="1F04C15F" w:rsidR="00684074" w:rsidRPr="00123C13" w:rsidRDefault="00684074" w:rsidP="00CF2C22">
            <w:pPr>
              <w:pStyle w:val="DHHStabletext"/>
            </w:pPr>
            <w:r w:rsidRPr="00123C13">
              <w:t>Other (including blood test information and PBM information in development)</w:t>
            </w:r>
          </w:p>
        </w:tc>
        <w:tc>
          <w:tcPr>
            <w:tcW w:w="2703" w:type="dxa"/>
          </w:tcPr>
          <w:p w14:paraId="0F16A85A" w14:textId="77777777" w:rsidR="00684074" w:rsidRPr="00FA0EAE" w:rsidRDefault="00684074" w:rsidP="00CF2C22">
            <w:pPr>
              <w:pStyle w:val="DHHStabletext"/>
              <w:jc w:val="right"/>
            </w:pPr>
            <w:r w:rsidRPr="00FA0EAE">
              <w:t>-</w:t>
            </w:r>
          </w:p>
        </w:tc>
        <w:tc>
          <w:tcPr>
            <w:tcW w:w="2707" w:type="dxa"/>
          </w:tcPr>
          <w:p w14:paraId="73454009" w14:textId="77777777" w:rsidR="00684074" w:rsidRPr="00FA0EAE" w:rsidRDefault="00684074" w:rsidP="00CF2C22">
            <w:pPr>
              <w:pStyle w:val="DHHStabletext"/>
              <w:jc w:val="right"/>
            </w:pPr>
            <w:r w:rsidRPr="00FA0EAE">
              <w:t>3 (50%)</w:t>
            </w:r>
          </w:p>
        </w:tc>
      </w:tr>
    </w:tbl>
    <w:p w14:paraId="60FD799E" w14:textId="6D96C49F" w:rsidR="00684074" w:rsidRPr="00684074" w:rsidRDefault="00684074" w:rsidP="00CF2C22">
      <w:pPr>
        <w:pStyle w:val="DHHSbodyaftertablefigure"/>
        <w:rPr>
          <w:color w:val="DA372E"/>
          <w:sz w:val="28"/>
        </w:rPr>
      </w:pPr>
      <w:r w:rsidRPr="00684074">
        <w:t xml:space="preserve">Tables 9 and 10 summarise the number of health services with a screening </w:t>
      </w:r>
      <w:r w:rsidR="00FA0EAE">
        <w:t>pathway,</w:t>
      </w:r>
      <w:r w:rsidRPr="00684074">
        <w:t xml:space="preserve"> as they align </w:t>
      </w:r>
      <w:r w:rsidR="00FA0EAE">
        <w:t>with</w:t>
      </w:r>
      <w:r w:rsidR="00FA0EAE" w:rsidRPr="00684074">
        <w:t xml:space="preserve"> </w:t>
      </w:r>
      <w:r w:rsidRPr="00684074">
        <w:t xml:space="preserve">the elements of Module 2 PBM template. The number of health services with a pathway has improved over the last five </w:t>
      </w:r>
      <w:r w:rsidRPr="00FA0EAE">
        <w:t>years</w:t>
      </w:r>
      <w:r w:rsidRPr="00684074">
        <w:t xml:space="preserve"> from 36 per cent to 56 per cent. The reported pathways have also shown an improvement in becoming more multimodal and multidisciplinary.</w:t>
      </w:r>
      <w:r w:rsidRPr="00684074">
        <w:rPr>
          <w:color w:val="DA372E"/>
          <w:sz w:val="28"/>
        </w:rPr>
        <w:br w:type="page"/>
      </w:r>
    </w:p>
    <w:p w14:paraId="78DCC6DB" w14:textId="287A3193" w:rsidR="00684074" w:rsidRPr="00FA0EAE" w:rsidRDefault="00684074" w:rsidP="00CF2C22">
      <w:pPr>
        <w:pStyle w:val="DHHStablecaption"/>
      </w:pPr>
      <w:r w:rsidRPr="00CF2C22">
        <w:rPr>
          <w:rFonts w:eastAsia="MS Gothic"/>
        </w:rPr>
        <w:lastRenderedPageBreak/>
        <w:t>Table 9:</w:t>
      </w:r>
      <w:r w:rsidR="00FA0EAE" w:rsidRPr="00CF2C22">
        <w:rPr>
          <w:rFonts w:eastAsia="MS Gothic"/>
        </w:rPr>
        <w:t xml:space="preserve"> </w:t>
      </w:r>
      <w:r w:rsidRPr="00FA0EAE">
        <w:t xml:space="preserve">Summary of number of health services with a screening pathway as aligned to the elements of Module 2 PBM template </w:t>
      </w:r>
    </w:p>
    <w:tbl>
      <w:tblPr>
        <w:tblStyle w:val="TableGrid1"/>
        <w:tblW w:w="8365" w:type="dxa"/>
        <w:tblLayout w:type="fixed"/>
        <w:tblLook w:val="04A0" w:firstRow="1" w:lastRow="0" w:firstColumn="1" w:lastColumn="0" w:noHBand="0" w:noVBand="1"/>
      </w:tblPr>
      <w:tblGrid>
        <w:gridCol w:w="4537"/>
        <w:gridCol w:w="1914"/>
        <w:gridCol w:w="1914"/>
      </w:tblGrid>
      <w:tr w:rsidR="00684074" w:rsidRPr="00A64360" w14:paraId="6D0AFD1C" w14:textId="77777777" w:rsidTr="00684074">
        <w:tc>
          <w:tcPr>
            <w:tcW w:w="4537" w:type="dxa"/>
          </w:tcPr>
          <w:p w14:paraId="48C5C00F" w14:textId="4A06D26C" w:rsidR="00684074" w:rsidRPr="00FA0EAE" w:rsidRDefault="00FA0EAE" w:rsidP="00CF2C22">
            <w:pPr>
              <w:pStyle w:val="DHHStablecolhead"/>
            </w:pPr>
            <w:r w:rsidRPr="00A64360">
              <w:t>Element</w:t>
            </w:r>
          </w:p>
        </w:tc>
        <w:tc>
          <w:tcPr>
            <w:tcW w:w="1914" w:type="dxa"/>
          </w:tcPr>
          <w:p w14:paraId="4B87F3C1" w14:textId="77777777" w:rsidR="00684074" w:rsidRDefault="00684074" w:rsidP="00FA0EAE">
            <w:pPr>
              <w:pStyle w:val="DHHStablecolhead"/>
            </w:pPr>
            <w:r w:rsidRPr="00FA0EAE">
              <w:t>2020</w:t>
            </w:r>
            <w:r w:rsidR="00FA0EAE">
              <w:t xml:space="preserve"> Yes</w:t>
            </w:r>
          </w:p>
          <w:p w14:paraId="6565ED11" w14:textId="31C7665D" w:rsidR="00FA0EAE" w:rsidRPr="00FA0EAE" w:rsidRDefault="00F23444" w:rsidP="00CF2C22">
            <w:pPr>
              <w:pStyle w:val="DHHStablecolhead"/>
            </w:pPr>
            <w:r>
              <w:rPr>
                <w:i/>
              </w:rPr>
              <w:t>n</w:t>
            </w:r>
            <w:r>
              <w:t xml:space="preserve"> </w:t>
            </w:r>
            <w:r w:rsidR="00FA0EAE">
              <w:t>(%)</w:t>
            </w:r>
          </w:p>
        </w:tc>
        <w:tc>
          <w:tcPr>
            <w:tcW w:w="1914" w:type="dxa"/>
          </w:tcPr>
          <w:p w14:paraId="051C0EC7" w14:textId="5288A36F" w:rsidR="00684074" w:rsidRDefault="00684074" w:rsidP="00FA0EAE">
            <w:pPr>
              <w:pStyle w:val="DHHStablecolhead"/>
            </w:pPr>
            <w:r w:rsidRPr="00FA0EAE">
              <w:t>2015</w:t>
            </w:r>
            <w:r w:rsidR="00FA0EAE">
              <w:t xml:space="preserve"> Yes</w:t>
            </w:r>
          </w:p>
          <w:p w14:paraId="12449B6A" w14:textId="4F0F6649" w:rsidR="00FA0EAE" w:rsidRPr="00FA0EAE" w:rsidRDefault="00F23444" w:rsidP="00CF2C22">
            <w:pPr>
              <w:pStyle w:val="DHHStablecolhead"/>
            </w:pPr>
            <w:r>
              <w:rPr>
                <w:i/>
              </w:rPr>
              <w:t>n</w:t>
            </w:r>
            <w:r>
              <w:t xml:space="preserve"> </w:t>
            </w:r>
            <w:r w:rsidR="00FA0EAE">
              <w:t>(%)</w:t>
            </w:r>
          </w:p>
        </w:tc>
      </w:tr>
      <w:tr w:rsidR="00684074" w:rsidRPr="00A64360" w14:paraId="04D02C0E" w14:textId="77777777" w:rsidTr="00684074">
        <w:tc>
          <w:tcPr>
            <w:tcW w:w="4537" w:type="dxa"/>
          </w:tcPr>
          <w:p w14:paraId="0088E9EC" w14:textId="77777777" w:rsidR="00684074" w:rsidRPr="00A64360" w:rsidRDefault="00684074" w:rsidP="00CF2C22">
            <w:pPr>
              <w:pStyle w:val="DHHStabletext"/>
            </w:pPr>
            <w:r w:rsidRPr="00A64360">
              <w:t>Number of health services responding</w:t>
            </w:r>
          </w:p>
        </w:tc>
        <w:tc>
          <w:tcPr>
            <w:tcW w:w="1914" w:type="dxa"/>
          </w:tcPr>
          <w:p w14:paraId="1F82AA60" w14:textId="77777777" w:rsidR="00684074" w:rsidRPr="00FA0EAE" w:rsidRDefault="00684074" w:rsidP="00CF2C22">
            <w:pPr>
              <w:pStyle w:val="DHHStabletext"/>
              <w:jc w:val="right"/>
            </w:pPr>
            <w:r w:rsidRPr="00FA0EAE">
              <w:t>63</w:t>
            </w:r>
          </w:p>
        </w:tc>
        <w:tc>
          <w:tcPr>
            <w:tcW w:w="1914" w:type="dxa"/>
          </w:tcPr>
          <w:p w14:paraId="72CEDBB9" w14:textId="77777777" w:rsidR="00684074" w:rsidRPr="00FA0EAE" w:rsidRDefault="00684074" w:rsidP="00CF2C22">
            <w:pPr>
              <w:pStyle w:val="DHHStabletext"/>
              <w:jc w:val="right"/>
            </w:pPr>
            <w:r w:rsidRPr="00FA0EAE">
              <w:t>56</w:t>
            </w:r>
          </w:p>
        </w:tc>
      </w:tr>
      <w:tr w:rsidR="00684074" w:rsidRPr="00A64360" w14:paraId="6D45B6A2" w14:textId="77777777" w:rsidTr="00684074">
        <w:tc>
          <w:tcPr>
            <w:tcW w:w="4537" w:type="dxa"/>
          </w:tcPr>
          <w:p w14:paraId="4136B6E1" w14:textId="77777777" w:rsidR="00684074" w:rsidRPr="00A64360" w:rsidRDefault="00684074" w:rsidP="00CF2C22">
            <w:pPr>
              <w:pStyle w:val="DHHStabletext"/>
            </w:pPr>
            <w:r w:rsidRPr="00A64360">
              <w:t>Does your health service have a preoperative anaemia screening pathway for surgical patients with or at risk of anaemia? (PBM Module 2 recommendation 1; ACSQHC National Standards 7.1 and 7.9)</w:t>
            </w:r>
          </w:p>
        </w:tc>
        <w:tc>
          <w:tcPr>
            <w:tcW w:w="1914" w:type="dxa"/>
          </w:tcPr>
          <w:p w14:paraId="6B12AC81" w14:textId="77777777" w:rsidR="00684074" w:rsidRPr="00FA0EAE" w:rsidRDefault="00684074" w:rsidP="00CF2C22">
            <w:pPr>
              <w:pStyle w:val="DHHStabletext"/>
              <w:jc w:val="right"/>
            </w:pPr>
            <w:r w:rsidRPr="00FA0EAE">
              <w:t>35 (56%)</w:t>
            </w:r>
          </w:p>
        </w:tc>
        <w:tc>
          <w:tcPr>
            <w:tcW w:w="1914" w:type="dxa"/>
          </w:tcPr>
          <w:p w14:paraId="4670B7BD" w14:textId="77777777" w:rsidR="00684074" w:rsidRPr="00FA0EAE" w:rsidRDefault="00684074" w:rsidP="00CF2C22">
            <w:pPr>
              <w:pStyle w:val="DHHStabletext"/>
              <w:jc w:val="right"/>
            </w:pPr>
            <w:r w:rsidRPr="00FA0EAE">
              <w:t>20 (36%)</w:t>
            </w:r>
          </w:p>
        </w:tc>
      </w:tr>
      <w:tr w:rsidR="00684074" w:rsidRPr="00A64360" w14:paraId="47807EBC" w14:textId="77777777" w:rsidTr="00684074">
        <w:tc>
          <w:tcPr>
            <w:tcW w:w="4537" w:type="dxa"/>
          </w:tcPr>
          <w:p w14:paraId="267C510D" w14:textId="394964F4" w:rsidR="00684074" w:rsidRPr="00A64360" w:rsidRDefault="00684074" w:rsidP="00CF2C22">
            <w:pPr>
              <w:pStyle w:val="DHHStabletext"/>
            </w:pPr>
            <w:r w:rsidRPr="00A64360">
              <w:t>Does the anaemia screening pathway stipulate the timing of preoperative assessment to allow optimisation of the patient’s haemoglobin and iron stores</w:t>
            </w:r>
            <w:r w:rsidR="00FA0EAE">
              <w:t xml:space="preserve"> (according to surgical priorities)</w:t>
            </w:r>
            <w:r w:rsidRPr="00A64360">
              <w:t>? (PBM Module 2, practice point (PP) 1, PP 4, PP 5)</w:t>
            </w:r>
          </w:p>
        </w:tc>
        <w:tc>
          <w:tcPr>
            <w:tcW w:w="1914" w:type="dxa"/>
          </w:tcPr>
          <w:p w14:paraId="0A3E1E4B" w14:textId="77777777" w:rsidR="00684074" w:rsidRPr="00FA0EAE" w:rsidRDefault="00684074" w:rsidP="00CF2C22">
            <w:pPr>
              <w:pStyle w:val="DHHStabletext"/>
              <w:jc w:val="right"/>
            </w:pPr>
            <w:r w:rsidRPr="00FA0EAE">
              <w:t>25 (40%)</w:t>
            </w:r>
          </w:p>
        </w:tc>
        <w:tc>
          <w:tcPr>
            <w:tcW w:w="1914" w:type="dxa"/>
          </w:tcPr>
          <w:p w14:paraId="0C1CCA10" w14:textId="77777777" w:rsidR="00684074" w:rsidRPr="00FA0EAE" w:rsidRDefault="00684074" w:rsidP="00CF2C22">
            <w:pPr>
              <w:pStyle w:val="DHHStabletext"/>
              <w:jc w:val="right"/>
            </w:pPr>
            <w:r w:rsidRPr="00FA0EAE">
              <w:t>Did not ask</w:t>
            </w:r>
          </w:p>
        </w:tc>
      </w:tr>
      <w:tr w:rsidR="00684074" w:rsidRPr="00A64360" w14:paraId="60FA6F16" w14:textId="77777777" w:rsidTr="00684074">
        <w:tc>
          <w:tcPr>
            <w:tcW w:w="4537" w:type="dxa"/>
          </w:tcPr>
          <w:p w14:paraId="278AD19C" w14:textId="77777777" w:rsidR="00684074" w:rsidRPr="00A64360" w:rsidRDefault="00684074" w:rsidP="00CF2C22">
            <w:pPr>
              <w:pStyle w:val="DHHStabletext"/>
            </w:pPr>
            <w:r w:rsidRPr="00A64360">
              <w:t xml:space="preserve">Are general practitioners or shared care options included in the anaemia screening pathway? (PBM Module 2, recommendation 1) </w:t>
            </w:r>
          </w:p>
        </w:tc>
        <w:tc>
          <w:tcPr>
            <w:tcW w:w="1914" w:type="dxa"/>
          </w:tcPr>
          <w:p w14:paraId="139802F3" w14:textId="77777777" w:rsidR="00684074" w:rsidRPr="00FA0EAE" w:rsidRDefault="00684074" w:rsidP="00CF2C22">
            <w:pPr>
              <w:pStyle w:val="DHHStabletext"/>
              <w:jc w:val="right"/>
            </w:pPr>
            <w:r w:rsidRPr="00FA0EAE">
              <w:t>15 (24%)</w:t>
            </w:r>
          </w:p>
        </w:tc>
        <w:tc>
          <w:tcPr>
            <w:tcW w:w="1914" w:type="dxa"/>
          </w:tcPr>
          <w:p w14:paraId="49B5DD5F" w14:textId="77777777" w:rsidR="00684074" w:rsidRPr="00FA0EAE" w:rsidRDefault="00684074" w:rsidP="00CF2C22">
            <w:pPr>
              <w:pStyle w:val="DHHStabletext"/>
              <w:jc w:val="right"/>
            </w:pPr>
            <w:r w:rsidRPr="00FA0EAE">
              <w:t>7 (13%)</w:t>
            </w:r>
          </w:p>
        </w:tc>
      </w:tr>
      <w:tr w:rsidR="00684074" w:rsidRPr="00A64360" w14:paraId="014A1FAC" w14:textId="77777777" w:rsidTr="00684074">
        <w:tc>
          <w:tcPr>
            <w:tcW w:w="4537" w:type="dxa"/>
          </w:tcPr>
          <w:p w14:paraId="02847636" w14:textId="77777777" w:rsidR="00684074" w:rsidRPr="00A64360" w:rsidRDefault="00684074" w:rsidP="00CF2C22">
            <w:pPr>
              <w:pStyle w:val="DHHStabletext"/>
            </w:pPr>
            <w:r w:rsidRPr="00A64360">
              <w:t>Does the pathway include a preoperative haemoglobin assessment and optimisation template?</w:t>
            </w:r>
          </w:p>
        </w:tc>
        <w:tc>
          <w:tcPr>
            <w:tcW w:w="1914" w:type="dxa"/>
          </w:tcPr>
          <w:p w14:paraId="2EB7B994" w14:textId="77777777" w:rsidR="00684074" w:rsidRPr="00FA0EAE" w:rsidRDefault="00684074" w:rsidP="00CF2C22">
            <w:pPr>
              <w:pStyle w:val="DHHStabletext"/>
              <w:jc w:val="right"/>
            </w:pPr>
            <w:r w:rsidRPr="00FA0EAE">
              <w:t>31 (49%)</w:t>
            </w:r>
          </w:p>
        </w:tc>
        <w:tc>
          <w:tcPr>
            <w:tcW w:w="1914" w:type="dxa"/>
          </w:tcPr>
          <w:p w14:paraId="595732F1" w14:textId="77777777" w:rsidR="00684074" w:rsidRPr="00FA0EAE" w:rsidRDefault="00684074" w:rsidP="00CF2C22">
            <w:pPr>
              <w:pStyle w:val="DHHStabletext"/>
              <w:jc w:val="right"/>
            </w:pPr>
            <w:r w:rsidRPr="00FA0EAE">
              <w:t>12 (21%)</w:t>
            </w:r>
          </w:p>
        </w:tc>
      </w:tr>
      <w:tr w:rsidR="00684074" w:rsidRPr="00A64360" w14:paraId="3382C9F4" w14:textId="77777777" w:rsidTr="00684074">
        <w:tc>
          <w:tcPr>
            <w:tcW w:w="4537" w:type="dxa"/>
          </w:tcPr>
          <w:p w14:paraId="13ADADFA" w14:textId="77777777" w:rsidR="00684074" w:rsidRPr="00FA0EAE" w:rsidRDefault="00684074" w:rsidP="00CF2C22">
            <w:pPr>
              <w:pStyle w:val="DHHStabletext"/>
            </w:pPr>
            <w:r w:rsidRPr="00FA0EAE">
              <w:rPr>
                <w:rFonts w:eastAsia="Calibri"/>
              </w:rPr>
              <w:t>D</w:t>
            </w:r>
            <w:r w:rsidRPr="00FA0EAE">
              <w:t xml:space="preserve">oes the anaemia screening pathway/template include the following tests? </w:t>
            </w:r>
          </w:p>
          <w:p w14:paraId="08F814E9" w14:textId="77777777" w:rsidR="00684074" w:rsidRPr="00A64360" w:rsidRDefault="00684074" w:rsidP="00CF2C22">
            <w:pPr>
              <w:pStyle w:val="DHHStablebullet1"/>
            </w:pPr>
            <w:r w:rsidRPr="00A64360">
              <w:t>FBE</w:t>
            </w:r>
          </w:p>
        </w:tc>
        <w:tc>
          <w:tcPr>
            <w:tcW w:w="1914" w:type="dxa"/>
            <w:vAlign w:val="bottom"/>
          </w:tcPr>
          <w:p w14:paraId="3046D964" w14:textId="77777777" w:rsidR="00684074" w:rsidRPr="00FA0EAE" w:rsidRDefault="00684074" w:rsidP="00CF2C22">
            <w:pPr>
              <w:pStyle w:val="DHHStabletext"/>
              <w:jc w:val="right"/>
            </w:pPr>
            <w:r w:rsidRPr="00FA0EAE">
              <w:t>34 (54%)</w:t>
            </w:r>
          </w:p>
        </w:tc>
        <w:tc>
          <w:tcPr>
            <w:tcW w:w="1914" w:type="dxa"/>
            <w:vAlign w:val="bottom"/>
          </w:tcPr>
          <w:p w14:paraId="290EB000" w14:textId="77777777" w:rsidR="00684074" w:rsidRPr="00FA0EAE" w:rsidRDefault="00684074" w:rsidP="00CF2C22">
            <w:pPr>
              <w:pStyle w:val="DHHStabletext"/>
              <w:jc w:val="right"/>
            </w:pPr>
            <w:r w:rsidRPr="00FA0EAE">
              <w:t>15 (27%)</w:t>
            </w:r>
          </w:p>
        </w:tc>
      </w:tr>
      <w:tr w:rsidR="00684074" w:rsidRPr="00A64360" w14:paraId="25A34B37" w14:textId="77777777" w:rsidTr="00684074">
        <w:tc>
          <w:tcPr>
            <w:tcW w:w="4537" w:type="dxa"/>
          </w:tcPr>
          <w:p w14:paraId="3B8A5E95" w14:textId="77777777" w:rsidR="00684074" w:rsidRPr="00A64360" w:rsidRDefault="00684074" w:rsidP="00CF2C22">
            <w:pPr>
              <w:pStyle w:val="DHHStablebullet1"/>
            </w:pPr>
            <w:r w:rsidRPr="00A64360">
              <w:t xml:space="preserve">Iron studies including ferritin </w:t>
            </w:r>
          </w:p>
        </w:tc>
        <w:tc>
          <w:tcPr>
            <w:tcW w:w="1914" w:type="dxa"/>
          </w:tcPr>
          <w:p w14:paraId="465B6085" w14:textId="77777777" w:rsidR="00684074" w:rsidRPr="00FA0EAE" w:rsidRDefault="00684074" w:rsidP="00CF2C22">
            <w:pPr>
              <w:pStyle w:val="DHHStabletext"/>
              <w:jc w:val="right"/>
            </w:pPr>
            <w:r w:rsidRPr="00FA0EAE">
              <w:t>33 (52%)</w:t>
            </w:r>
          </w:p>
        </w:tc>
        <w:tc>
          <w:tcPr>
            <w:tcW w:w="1914" w:type="dxa"/>
          </w:tcPr>
          <w:p w14:paraId="3A929D24" w14:textId="77777777" w:rsidR="00684074" w:rsidRPr="00FA0EAE" w:rsidRDefault="00684074" w:rsidP="00CF2C22">
            <w:pPr>
              <w:pStyle w:val="DHHStabletext"/>
              <w:jc w:val="right"/>
            </w:pPr>
            <w:r w:rsidRPr="00FA0EAE">
              <w:t>12 (21%)</w:t>
            </w:r>
          </w:p>
        </w:tc>
      </w:tr>
      <w:tr w:rsidR="00684074" w:rsidRPr="00A64360" w14:paraId="2B1696CA" w14:textId="77777777" w:rsidTr="00684074">
        <w:tc>
          <w:tcPr>
            <w:tcW w:w="4537" w:type="dxa"/>
          </w:tcPr>
          <w:p w14:paraId="04894E5B" w14:textId="77777777" w:rsidR="00684074" w:rsidRPr="00A64360" w:rsidRDefault="00684074" w:rsidP="00CF2C22">
            <w:pPr>
              <w:pStyle w:val="DHHStablebullet1"/>
            </w:pPr>
            <w:r w:rsidRPr="00A64360">
              <w:t>CRP</w:t>
            </w:r>
          </w:p>
        </w:tc>
        <w:tc>
          <w:tcPr>
            <w:tcW w:w="1914" w:type="dxa"/>
          </w:tcPr>
          <w:p w14:paraId="228FB694" w14:textId="77777777" w:rsidR="00684074" w:rsidRPr="00FA0EAE" w:rsidRDefault="00684074" w:rsidP="00CF2C22">
            <w:pPr>
              <w:pStyle w:val="DHHStabletext"/>
              <w:jc w:val="right"/>
            </w:pPr>
            <w:r w:rsidRPr="00FA0EAE">
              <w:t>24 (38%)</w:t>
            </w:r>
          </w:p>
        </w:tc>
        <w:tc>
          <w:tcPr>
            <w:tcW w:w="1914" w:type="dxa"/>
          </w:tcPr>
          <w:p w14:paraId="7E5C041C" w14:textId="77777777" w:rsidR="00684074" w:rsidRPr="00FA0EAE" w:rsidRDefault="00684074" w:rsidP="00CF2C22">
            <w:pPr>
              <w:pStyle w:val="DHHStabletext"/>
              <w:jc w:val="right"/>
            </w:pPr>
            <w:r w:rsidRPr="00FA0EAE">
              <w:t>10 (18%)</w:t>
            </w:r>
          </w:p>
        </w:tc>
      </w:tr>
      <w:tr w:rsidR="00684074" w:rsidRPr="00A64360" w14:paraId="07601687" w14:textId="77777777" w:rsidTr="00684074">
        <w:tc>
          <w:tcPr>
            <w:tcW w:w="4537" w:type="dxa"/>
          </w:tcPr>
          <w:p w14:paraId="1CA39D86" w14:textId="77777777" w:rsidR="00684074" w:rsidRPr="00A64360" w:rsidRDefault="00684074" w:rsidP="00CF2C22">
            <w:pPr>
              <w:pStyle w:val="DHHStablebullet1"/>
            </w:pPr>
            <w:r w:rsidRPr="00A64360">
              <w:t>Renal function test</w:t>
            </w:r>
          </w:p>
        </w:tc>
        <w:tc>
          <w:tcPr>
            <w:tcW w:w="1914" w:type="dxa"/>
          </w:tcPr>
          <w:p w14:paraId="4BDEE4DC" w14:textId="77777777" w:rsidR="00684074" w:rsidRPr="00FA0EAE" w:rsidRDefault="00684074" w:rsidP="00CF2C22">
            <w:pPr>
              <w:pStyle w:val="DHHStabletext"/>
              <w:jc w:val="right"/>
            </w:pPr>
            <w:r w:rsidRPr="00FA0EAE">
              <w:t>27 (43%)</w:t>
            </w:r>
          </w:p>
        </w:tc>
        <w:tc>
          <w:tcPr>
            <w:tcW w:w="1914" w:type="dxa"/>
          </w:tcPr>
          <w:p w14:paraId="40FEBB31" w14:textId="77777777" w:rsidR="00684074" w:rsidRPr="00FA0EAE" w:rsidRDefault="00684074" w:rsidP="00CF2C22">
            <w:pPr>
              <w:pStyle w:val="DHHStabletext"/>
              <w:jc w:val="right"/>
            </w:pPr>
            <w:r w:rsidRPr="00FA0EAE">
              <w:t>13 (23%)</w:t>
            </w:r>
          </w:p>
        </w:tc>
      </w:tr>
      <w:tr w:rsidR="00684074" w:rsidRPr="00A64360" w14:paraId="2A476D2C" w14:textId="77777777" w:rsidTr="00684074">
        <w:tc>
          <w:tcPr>
            <w:tcW w:w="4537" w:type="dxa"/>
          </w:tcPr>
          <w:p w14:paraId="0C4CF6B6" w14:textId="77777777" w:rsidR="00684074" w:rsidRPr="00A64360" w:rsidRDefault="00684074" w:rsidP="00CF2C22">
            <w:pPr>
              <w:pStyle w:val="DHHStabletext"/>
              <w:rPr>
                <w:rFonts w:eastAsia="Calibri"/>
              </w:rPr>
            </w:pPr>
            <w:r w:rsidRPr="00A64360">
              <w:rPr>
                <w:rFonts w:eastAsia="Times"/>
              </w:rPr>
              <w:t xml:space="preserve">Does the anaemia screening pathway specify roles and </w:t>
            </w:r>
            <w:r w:rsidRPr="00FA0EAE">
              <w:rPr>
                <w:rFonts w:eastAsia="Times"/>
              </w:rPr>
              <w:t>responsibilities</w:t>
            </w:r>
            <w:r w:rsidRPr="00A64360">
              <w:rPr>
                <w:rFonts w:eastAsia="Times"/>
              </w:rPr>
              <w:t>:</w:t>
            </w:r>
          </w:p>
          <w:p w14:paraId="7FA16A65" w14:textId="77777777" w:rsidR="00684074" w:rsidRPr="00A64360" w:rsidRDefault="00684074" w:rsidP="00CF2C22">
            <w:pPr>
              <w:pStyle w:val="DHHStablebullet1"/>
              <w:rPr>
                <w:rFonts w:eastAsia="Calibri"/>
              </w:rPr>
            </w:pPr>
            <w:r w:rsidRPr="00A64360">
              <w:rPr>
                <w:rFonts w:eastAsia="Times"/>
              </w:rPr>
              <w:t xml:space="preserve">for all </w:t>
            </w:r>
            <w:r w:rsidRPr="00FA0EAE">
              <w:rPr>
                <w:rFonts w:eastAsia="Times"/>
              </w:rPr>
              <w:t>steps</w:t>
            </w:r>
            <w:r w:rsidRPr="00A64360">
              <w:rPr>
                <w:rFonts w:eastAsia="Times"/>
              </w:rPr>
              <w:t xml:space="preserve"> included</w:t>
            </w:r>
          </w:p>
          <w:p w14:paraId="6E7BB36D" w14:textId="77777777" w:rsidR="00684074" w:rsidRPr="00A64360" w:rsidRDefault="00684074" w:rsidP="00CF2C22">
            <w:pPr>
              <w:pStyle w:val="DHHStablebullet1"/>
              <w:rPr>
                <w:rFonts w:eastAsia="Calibri"/>
              </w:rPr>
            </w:pPr>
            <w:r w:rsidRPr="00A64360">
              <w:rPr>
                <w:rFonts w:eastAsia="Times"/>
              </w:rPr>
              <w:t>whose role it is to identify at-risk anaemia patients to refer for further investigation and/or treatment? (PBM Module 2, recommendation 1)</w:t>
            </w:r>
          </w:p>
        </w:tc>
        <w:tc>
          <w:tcPr>
            <w:tcW w:w="1914" w:type="dxa"/>
          </w:tcPr>
          <w:p w14:paraId="1A9F5DDA" w14:textId="77777777" w:rsidR="00684074" w:rsidRPr="00FA0EAE" w:rsidRDefault="00684074" w:rsidP="00CF2C22">
            <w:pPr>
              <w:pStyle w:val="DHHStabletext"/>
              <w:jc w:val="right"/>
            </w:pPr>
            <w:r w:rsidRPr="00FA0EAE">
              <w:t>22 (35%)</w:t>
            </w:r>
          </w:p>
        </w:tc>
        <w:tc>
          <w:tcPr>
            <w:tcW w:w="1914" w:type="dxa"/>
          </w:tcPr>
          <w:p w14:paraId="6EE03468" w14:textId="77777777" w:rsidR="00684074" w:rsidRPr="00FA0EAE" w:rsidRDefault="00684074" w:rsidP="00CF2C22">
            <w:pPr>
              <w:pStyle w:val="DHHStabletext"/>
              <w:jc w:val="right"/>
            </w:pPr>
            <w:r w:rsidRPr="00FA0EAE">
              <w:t>14 (25%)</w:t>
            </w:r>
          </w:p>
        </w:tc>
      </w:tr>
      <w:tr w:rsidR="00684074" w:rsidRPr="00A64360" w14:paraId="56D36D55" w14:textId="77777777" w:rsidTr="00684074">
        <w:tc>
          <w:tcPr>
            <w:tcW w:w="4537" w:type="dxa"/>
          </w:tcPr>
          <w:p w14:paraId="11340056" w14:textId="77777777" w:rsidR="00684074" w:rsidRPr="00A64360" w:rsidRDefault="00684074" w:rsidP="00CF2C22">
            <w:pPr>
              <w:pStyle w:val="DHHStabletext"/>
            </w:pPr>
            <w:r w:rsidRPr="00A64360">
              <w:t xml:space="preserve">Does the screening pathway/template include discussion/advice from or </w:t>
            </w:r>
            <w:r w:rsidRPr="00FA0EAE">
              <w:t>referral</w:t>
            </w:r>
            <w:r w:rsidRPr="00A64360">
              <w:t xml:space="preserve"> to a specialist? (PBM Module 2 – PP6, PP7, template)</w:t>
            </w:r>
          </w:p>
        </w:tc>
        <w:tc>
          <w:tcPr>
            <w:tcW w:w="1914" w:type="dxa"/>
          </w:tcPr>
          <w:p w14:paraId="12FDA46F" w14:textId="77777777" w:rsidR="00684074" w:rsidRPr="00FA0EAE" w:rsidRDefault="00684074" w:rsidP="00CF2C22">
            <w:pPr>
              <w:pStyle w:val="DHHStabletext"/>
              <w:jc w:val="right"/>
            </w:pPr>
            <w:r w:rsidRPr="00FA0EAE">
              <w:t>31 (89%)</w:t>
            </w:r>
          </w:p>
        </w:tc>
        <w:tc>
          <w:tcPr>
            <w:tcW w:w="1914" w:type="dxa"/>
          </w:tcPr>
          <w:p w14:paraId="2799EADA" w14:textId="77777777" w:rsidR="00684074" w:rsidRPr="00FA0EAE" w:rsidRDefault="00684074" w:rsidP="00CF2C22">
            <w:pPr>
              <w:pStyle w:val="DHHStabletext"/>
              <w:jc w:val="right"/>
            </w:pPr>
            <w:r w:rsidRPr="00FA0EAE">
              <w:t>Did not ask</w:t>
            </w:r>
          </w:p>
        </w:tc>
      </w:tr>
      <w:tr w:rsidR="00684074" w:rsidRPr="00A64360" w14:paraId="7A799C7A" w14:textId="77777777" w:rsidTr="00684074">
        <w:tc>
          <w:tcPr>
            <w:tcW w:w="4537" w:type="dxa"/>
          </w:tcPr>
          <w:p w14:paraId="0816424E" w14:textId="77777777" w:rsidR="00684074" w:rsidRPr="00FA0EAE" w:rsidRDefault="00684074" w:rsidP="00CF2C22">
            <w:pPr>
              <w:pStyle w:val="DHHStabletext"/>
            </w:pPr>
            <w:r w:rsidRPr="00A64360">
              <w:t>Does the pathway stipulate the provision of written consumer information?</w:t>
            </w:r>
          </w:p>
        </w:tc>
        <w:tc>
          <w:tcPr>
            <w:tcW w:w="1914" w:type="dxa"/>
          </w:tcPr>
          <w:p w14:paraId="58FA5771" w14:textId="77777777" w:rsidR="00684074" w:rsidRPr="00FA0EAE" w:rsidRDefault="00684074" w:rsidP="00CF2C22">
            <w:pPr>
              <w:pStyle w:val="DHHStabletext"/>
              <w:jc w:val="right"/>
            </w:pPr>
            <w:r w:rsidRPr="00FA0EAE">
              <w:t>10 (16%)</w:t>
            </w:r>
          </w:p>
        </w:tc>
        <w:tc>
          <w:tcPr>
            <w:tcW w:w="1914" w:type="dxa"/>
          </w:tcPr>
          <w:p w14:paraId="16F9713B" w14:textId="77777777" w:rsidR="00684074" w:rsidRPr="00FA0EAE" w:rsidRDefault="00684074" w:rsidP="00CF2C22">
            <w:pPr>
              <w:pStyle w:val="DHHStabletext"/>
              <w:jc w:val="right"/>
            </w:pPr>
            <w:r w:rsidRPr="00FA0EAE">
              <w:t>6 (11%)</w:t>
            </w:r>
          </w:p>
        </w:tc>
      </w:tr>
    </w:tbl>
    <w:p w14:paraId="388AB4F3" w14:textId="77777777" w:rsidR="00684074" w:rsidRPr="00684074" w:rsidRDefault="00684074" w:rsidP="00CF2C22">
      <w:pPr>
        <w:pStyle w:val="DHHStablecaption"/>
      </w:pPr>
      <w:r w:rsidRPr="00684074">
        <w:lastRenderedPageBreak/>
        <w:t>Table 10: Number of health services meeting each element of the checklist (Table 9)</w:t>
      </w:r>
    </w:p>
    <w:tbl>
      <w:tblPr>
        <w:tblStyle w:val="TableGrid1"/>
        <w:tblW w:w="8364" w:type="dxa"/>
        <w:tblLook w:val="04A0" w:firstRow="1" w:lastRow="0" w:firstColumn="1" w:lastColumn="0" w:noHBand="0" w:noVBand="1"/>
      </w:tblPr>
      <w:tblGrid>
        <w:gridCol w:w="2694"/>
        <w:gridCol w:w="2835"/>
        <w:gridCol w:w="2835"/>
      </w:tblGrid>
      <w:tr w:rsidR="00684074" w:rsidRPr="00A64360" w14:paraId="0381279F" w14:textId="77777777" w:rsidTr="00684074">
        <w:tc>
          <w:tcPr>
            <w:tcW w:w="2694" w:type="dxa"/>
          </w:tcPr>
          <w:p w14:paraId="6305A223" w14:textId="77777777" w:rsidR="00684074" w:rsidRPr="00FA0EAE" w:rsidRDefault="00684074" w:rsidP="00CF2C22">
            <w:pPr>
              <w:pStyle w:val="DHHStablecolhead"/>
              <w:keepNext/>
              <w:keepLines/>
            </w:pPr>
            <w:r w:rsidRPr="00FA0EAE">
              <w:t>Number of elements met within the checklist</w:t>
            </w:r>
          </w:p>
        </w:tc>
        <w:tc>
          <w:tcPr>
            <w:tcW w:w="2835" w:type="dxa"/>
          </w:tcPr>
          <w:p w14:paraId="6A2A1684" w14:textId="77777777" w:rsidR="00684074" w:rsidRPr="00FA0EAE" w:rsidRDefault="00684074" w:rsidP="00CF2C22">
            <w:pPr>
              <w:pStyle w:val="DHHStablecolhead"/>
              <w:keepNext/>
              <w:keepLines/>
            </w:pPr>
            <w:r w:rsidRPr="00FA0EAE">
              <w:t>2020: Survey responses</w:t>
            </w:r>
          </w:p>
          <w:p w14:paraId="6BAEC52E" w14:textId="77777777" w:rsidR="00684074" w:rsidRPr="00FA0EAE" w:rsidRDefault="00684074" w:rsidP="00CF2C22">
            <w:pPr>
              <w:pStyle w:val="DHHStablecolhead"/>
              <w:keepNext/>
              <w:keepLines/>
            </w:pPr>
            <w:r w:rsidRPr="00FA0EAE">
              <w:t>(</w:t>
            </w:r>
            <w:r w:rsidRPr="00CC3228">
              <w:rPr>
                <w:i/>
              </w:rPr>
              <w:t>n</w:t>
            </w:r>
            <w:r w:rsidRPr="00FA0EAE">
              <w:t xml:space="preserve"> = 63)</w:t>
            </w:r>
          </w:p>
        </w:tc>
        <w:tc>
          <w:tcPr>
            <w:tcW w:w="2835" w:type="dxa"/>
          </w:tcPr>
          <w:p w14:paraId="2ACF5FE3" w14:textId="77777777" w:rsidR="00684074" w:rsidRPr="00FA0EAE" w:rsidRDefault="00684074" w:rsidP="00CF2C22">
            <w:pPr>
              <w:pStyle w:val="DHHStablecolhead"/>
              <w:keepNext/>
              <w:keepLines/>
            </w:pPr>
            <w:r w:rsidRPr="00FA0EAE">
              <w:t>2015: Survey responses</w:t>
            </w:r>
          </w:p>
          <w:p w14:paraId="709E49C6" w14:textId="77777777" w:rsidR="00684074" w:rsidRPr="00FA0EAE" w:rsidRDefault="00684074" w:rsidP="00CF2C22">
            <w:pPr>
              <w:pStyle w:val="DHHStablecolhead"/>
              <w:keepNext/>
              <w:keepLines/>
            </w:pPr>
            <w:r w:rsidRPr="00FA0EAE">
              <w:t>(</w:t>
            </w:r>
            <w:r w:rsidRPr="00CC3228">
              <w:rPr>
                <w:i/>
              </w:rPr>
              <w:t>n</w:t>
            </w:r>
            <w:r w:rsidRPr="00FA0EAE">
              <w:t xml:space="preserve"> = 56)</w:t>
            </w:r>
          </w:p>
        </w:tc>
      </w:tr>
      <w:tr w:rsidR="00684074" w:rsidRPr="00A64360" w14:paraId="13074199" w14:textId="77777777" w:rsidTr="00684074">
        <w:tc>
          <w:tcPr>
            <w:tcW w:w="2694" w:type="dxa"/>
          </w:tcPr>
          <w:p w14:paraId="0CD9A774" w14:textId="77777777" w:rsidR="00684074" w:rsidRPr="00FA0EAE" w:rsidRDefault="00684074" w:rsidP="00CF2C22">
            <w:pPr>
              <w:pStyle w:val="DHHStabletext"/>
              <w:keepNext/>
              <w:keepLines/>
            </w:pPr>
            <w:r w:rsidRPr="00FA0EAE">
              <w:t>11 elements</w:t>
            </w:r>
          </w:p>
        </w:tc>
        <w:tc>
          <w:tcPr>
            <w:tcW w:w="2835" w:type="dxa"/>
          </w:tcPr>
          <w:p w14:paraId="14F9B275" w14:textId="77777777" w:rsidR="00684074" w:rsidRPr="00FA0EAE" w:rsidRDefault="00684074" w:rsidP="00CF2C22">
            <w:pPr>
              <w:pStyle w:val="DHHStabletext"/>
              <w:keepNext/>
              <w:keepLines/>
              <w:jc w:val="right"/>
            </w:pPr>
            <w:r w:rsidRPr="00FA0EAE">
              <w:t>5 (8%) – all elements</w:t>
            </w:r>
          </w:p>
        </w:tc>
        <w:tc>
          <w:tcPr>
            <w:tcW w:w="2835" w:type="dxa"/>
          </w:tcPr>
          <w:p w14:paraId="4A3FF783" w14:textId="77777777" w:rsidR="00684074" w:rsidRPr="00FA0EAE" w:rsidRDefault="00684074" w:rsidP="00CF2C22">
            <w:pPr>
              <w:pStyle w:val="DHHStabletext"/>
              <w:keepNext/>
              <w:keepLines/>
              <w:jc w:val="right"/>
            </w:pPr>
            <w:r w:rsidRPr="00FA0EAE">
              <w:t>NA</w:t>
            </w:r>
          </w:p>
        </w:tc>
      </w:tr>
      <w:tr w:rsidR="00684074" w:rsidRPr="00A64360" w14:paraId="407B5A7C" w14:textId="77777777" w:rsidTr="00684074">
        <w:tc>
          <w:tcPr>
            <w:tcW w:w="2694" w:type="dxa"/>
          </w:tcPr>
          <w:p w14:paraId="186C385E" w14:textId="77777777" w:rsidR="00684074" w:rsidRPr="00FA0EAE" w:rsidRDefault="00684074" w:rsidP="00CF2C22">
            <w:pPr>
              <w:pStyle w:val="DHHStabletext"/>
              <w:keepNext/>
              <w:keepLines/>
            </w:pPr>
            <w:r w:rsidRPr="00FA0EAE">
              <w:t xml:space="preserve">10 elements </w:t>
            </w:r>
          </w:p>
        </w:tc>
        <w:tc>
          <w:tcPr>
            <w:tcW w:w="2835" w:type="dxa"/>
          </w:tcPr>
          <w:p w14:paraId="0ABB20F4" w14:textId="77777777" w:rsidR="00684074" w:rsidRPr="00FA0EAE" w:rsidRDefault="00684074" w:rsidP="00CF2C22">
            <w:pPr>
              <w:pStyle w:val="DHHStabletext"/>
              <w:keepNext/>
              <w:keepLines/>
              <w:jc w:val="right"/>
            </w:pPr>
            <w:r w:rsidRPr="00FA0EAE">
              <w:t>4 (6%)</w:t>
            </w:r>
          </w:p>
        </w:tc>
        <w:tc>
          <w:tcPr>
            <w:tcW w:w="2835" w:type="dxa"/>
          </w:tcPr>
          <w:p w14:paraId="47EBE9F6" w14:textId="77777777" w:rsidR="00684074" w:rsidRPr="00FA0EAE" w:rsidRDefault="00684074" w:rsidP="00CF2C22">
            <w:pPr>
              <w:pStyle w:val="DHHStabletext"/>
              <w:keepNext/>
              <w:keepLines/>
              <w:jc w:val="right"/>
            </w:pPr>
            <w:r w:rsidRPr="00FA0EAE">
              <w:t>NA</w:t>
            </w:r>
          </w:p>
        </w:tc>
      </w:tr>
      <w:tr w:rsidR="00684074" w:rsidRPr="00A64360" w14:paraId="67D08F8E" w14:textId="77777777" w:rsidTr="00684074">
        <w:tc>
          <w:tcPr>
            <w:tcW w:w="2694" w:type="dxa"/>
          </w:tcPr>
          <w:p w14:paraId="574B11E6" w14:textId="77777777" w:rsidR="00684074" w:rsidRPr="00FA0EAE" w:rsidRDefault="00684074" w:rsidP="00CF2C22">
            <w:pPr>
              <w:pStyle w:val="DHHStabletext"/>
              <w:keepNext/>
              <w:keepLines/>
            </w:pPr>
            <w:r w:rsidRPr="00FA0EAE">
              <w:t xml:space="preserve">9 elements </w:t>
            </w:r>
          </w:p>
        </w:tc>
        <w:tc>
          <w:tcPr>
            <w:tcW w:w="2835" w:type="dxa"/>
          </w:tcPr>
          <w:p w14:paraId="75FA9000" w14:textId="77777777" w:rsidR="00684074" w:rsidRPr="00FA0EAE" w:rsidRDefault="00684074" w:rsidP="00CF2C22">
            <w:pPr>
              <w:pStyle w:val="DHHStabletext"/>
              <w:keepNext/>
              <w:keepLines/>
              <w:jc w:val="right"/>
            </w:pPr>
            <w:r w:rsidRPr="00FA0EAE">
              <w:t>7 (11%)</w:t>
            </w:r>
          </w:p>
        </w:tc>
        <w:tc>
          <w:tcPr>
            <w:tcW w:w="2835" w:type="dxa"/>
          </w:tcPr>
          <w:p w14:paraId="28733BF9" w14:textId="77777777" w:rsidR="00684074" w:rsidRPr="00FA0EAE" w:rsidRDefault="00684074" w:rsidP="00CF2C22">
            <w:pPr>
              <w:pStyle w:val="DHHStabletext"/>
              <w:keepNext/>
              <w:keepLines/>
              <w:jc w:val="right"/>
            </w:pPr>
            <w:r w:rsidRPr="00FA0EAE">
              <w:t>2 (4%) – all elements</w:t>
            </w:r>
          </w:p>
        </w:tc>
      </w:tr>
      <w:tr w:rsidR="00684074" w:rsidRPr="00A64360" w14:paraId="6121ABC6" w14:textId="77777777" w:rsidTr="00684074">
        <w:tc>
          <w:tcPr>
            <w:tcW w:w="2694" w:type="dxa"/>
          </w:tcPr>
          <w:p w14:paraId="47201B18" w14:textId="77777777" w:rsidR="00684074" w:rsidRPr="00FA0EAE" w:rsidRDefault="00684074" w:rsidP="00CF2C22">
            <w:pPr>
              <w:pStyle w:val="DHHStabletext"/>
              <w:keepNext/>
              <w:keepLines/>
            </w:pPr>
            <w:r w:rsidRPr="00FA0EAE">
              <w:t xml:space="preserve">8 elements </w:t>
            </w:r>
          </w:p>
        </w:tc>
        <w:tc>
          <w:tcPr>
            <w:tcW w:w="2835" w:type="dxa"/>
          </w:tcPr>
          <w:p w14:paraId="35BC3FC3" w14:textId="77777777" w:rsidR="00684074" w:rsidRPr="00FA0EAE" w:rsidRDefault="00684074" w:rsidP="00CF2C22">
            <w:pPr>
              <w:pStyle w:val="DHHStabletext"/>
              <w:keepNext/>
              <w:keepLines/>
              <w:jc w:val="right"/>
            </w:pPr>
            <w:r w:rsidRPr="00FA0EAE">
              <w:t>9 (14%)</w:t>
            </w:r>
          </w:p>
        </w:tc>
        <w:tc>
          <w:tcPr>
            <w:tcW w:w="2835" w:type="dxa"/>
          </w:tcPr>
          <w:p w14:paraId="11E6DFBA" w14:textId="77777777" w:rsidR="00684074" w:rsidRPr="00FA0EAE" w:rsidRDefault="00684074" w:rsidP="00CF2C22">
            <w:pPr>
              <w:pStyle w:val="DHHStabletext"/>
              <w:keepNext/>
              <w:keepLines/>
              <w:jc w:val="right"/>
            </w:pPr>
            <w:r w:rsidRPr="00FA0EAE">
              <w:t>3 (5%)</w:t>
            </w:r>
          </w:p>
        </w:tc>
      </w:tr>
      <w:tr w:rsidR="00684074" w:rsidRPr="00A64360" w14:paraId="59D29BA7" w14:textId="77777777" w:rsidTr="00684074">
        <w:tc>
          <w:tcPr>
            <w:tcW w:w="2694" w:type="dxa"/>
          </w:tcPr>
          <w:p w14:paraId="63C7B686" w14:textId="77777777" w:rsidR="00684074" w:rsidRPr="00FA0EAE" w:rsidRDefault="00684074" w:rsidP="00CF2C22">
            <w:pPr>
              <w:pStyle w:val="DHHStabletext"/>
              <w:keepNext/>
              <w:keepLines/>
            </w:pPr>
            <w:r w:rsidRPr="00FA0EAE">
              <w:t xml:space="preserve">7 elements </w:t>
            </w:r>
          </w:p>
        </w:tc>
        <w:tc>
          <w:tcPr>
            <w:tcW w:w="2835" w:type="dxa"/>
          </w:tcPr>
          <w:p w14:paraId="7FB22C96" w14:textId="77777777" w:rsidR="00684074" w:rsidRPr="00FA0EAE" w:rsidRDefault="00684074" w:rsidP="00CF2C22">
            <w:pPr>
              <w:pStyle w:val="DHHStabletext"/>
              <w:keepNext/>
              <w:keepLines/>
              <w:jc w:val="right"/>
            </w:pPr>
            <w:r w:rsidRPr="00FA0EAE">
              <w:t>5 (8%)</w:t>
            </w:r>
          </w:p>
        </w:tc>
        <w:tc>
          <w:tcPr>
            <w:tcW w:w="2835" w:type="dxa"/>
          </w:tcPr>
          <w:p w14:paraId="716564A2" w14:textId="77777777" w:rsidR="00684074" w:rsidRPr="00FA0EAE" w:rsidRDefault="00684074" w:rsidP="00CF2C22">
            <w:pPr>
              <w:pStyle w:val="DHHStabletext"/>
              <w:keepNext/>
              <w:keepLines/>
              <w:jc w:val="right"/>
            </w:pPr>
            <w:r w:rsidRPr="00FA0EAE">
              <w:t>6 (11%)</w:t>
            </w:r>
          </w:p>
        </w:tc>
      </w:tr>
      <w:tr w:rsidR="00684074" w:rsidRPr="00A64360" w14:paraId="22C05207" w14:textId="77777777" w:rsidTr="00684074">
        <w:tc>
          <w:tcPr>
            <w:tcW w:w="2694" w:type="dxa"/>
          </w:tcPr>
          <w:p w14:paraId="7FAA38CB" w14:textId="77777777" w:rsidR="00684074" w:rsidRPr="00FA0EAE" w:rsidRDefault="00684074" w:rsidP="00CF2C22">
            <w:pPr>
              <w:pStyle w:val="DHHStabletext"/>
              <w:keepNext/>
              <w:keepLines/>
            </w:pPr>
            <w:r w:rsidRPr="00FA0EAE">
              <w:t>6 elements</w:t>
            </w:r>
          </w:p>
        </w:tc>
        <w:tc>
          <w:tcPr>
            <w:tcW w:w="2835" w:type="dxa"/>
          </w:tcPr>
          <w:p w14:paraId="4051CFDD" w14:textId="77777777" w:rsidR="00684074" w:rsidRPr="00FA0EAE" w:rsidRDefault="00684074" w:rsidP="00CF2C22">
            <w:pPr>
              <w:pStyle w:val="DHHStabletext"/>
              <w:keepNext/>
              <w:keepLines/>
              <w:jc w:val="right"/>
            </w:pPr>
            <w:r w:rsidRPr="00FA0EAE">
              <w:t>1 (2%)</w:t>
            </w:r>
          </w:p>
        </w:tc>
        <w:tc>
          <w:tcPr>
            <w:tcW w:w="2835" w:type="dxa"/>
          </w:tcPr>
          <w:p w14:paraId="1DA01E8A" w14:textId="77777777" w:rsidR="00684074" w:rsidRPr="00FA0EAE" w:rsidRDefault="00684074" w:rsidP="00CF2C22">
            <w:pPr>
              <w:pStyle w:val="DHHStabletext"/>
              <w:keepNext/>
              <w:keepLines/>
              <w:jc w:val="right"/>
            </w:pPr>
            <w:r w:rsidRPr="00FA0EAE">
              <w:t>2 (4%)</w:t>
            </w:r>
          </w:p>
        </w:tc>
      </w:tr>
      <w:tr w:rsidR="00684074" w:rsidRPr="00A64360" w14:paraId="56F3796C" w14:textId="77777777" w:rsidTr="00684074">
        <w:tc>
          <w:tcPr>
            <w:tcW w:w="2694" w:type="dxa"/>
          </w:tcPr>
          <w:p w14:paraId="47178B5E" w14:textId="77777777" w:rsidR="00684074" w:rsidRPr="00FA0EAE" w:rsidRDefault="00684074" w:rsidP="00CF2C22">
            <w:pPr>
              <w:pStyle w:val="DHHStabletext"/>
              <w:keepNext/>
              <w:keepLines/>
            </w:pPr>
            <w:r w:rsidRPr="00FA0EAE">
              <w:t>5 elements</w:t>
            </w:r>
          </w:p>
        </w:tc>
        <w:tc>
          <w:tcPr>
            <w:tcW w:w="2835" w:type="dxa"/>
          </w:tcPr>
          <w:p w14:paraId="6D4A7128" w14:textId="77777777" w:rsidR="00684074" w:rsidRPr="00FA0EAE" w:rsidRDefault="00684074" w:rsidP="00CF2C22">
            <w:pPr>
              <w:pStyle w:val="DHHStabletext"/>
              <w:keepNext/>
              <w:keepLines/>
              <w:jc w:val="right"/>
            </w:pPr>
            <w:r w:rsidRPr="00FA0EAE">
              <w:t>4 (6%)</w:t>
            </w:r>
          </w:p>
        </w:tc>
        <w:tc>
          <w:tcPr>
            <w:tcW w:w="2835" w:type="dxa"/>
          </w:tcPr>
          <w:p w14:paraId="5BE40DD5" w14:textId="77777777" w:rsidR="00684074" w:rsidRPr="00FA0EAE" w:rsidRDefault="00684074" w:rsidP="00CF2C22">
            <w:pPr>
              <w:pStyle w:val="DHHStabletext"/>
              <w:keepNext/>
              <w:keepLines/>
              <w:jc w:val="right"/>
            </w:pPr>
            <w:r w:rsidRPr="00FA0EAE">
              <w:t>1 (2%)</w:t>
            </w:r>
          </w:p>
        </w:tc>
      </w:tr>
      <w:tr w:rsidR="00684074" w:rsidRPr="00A64360" w14:paraId="0FB10ACE" w14:textId="77777777" w:rsidTr="00684074">
        <w:tc>
          <w:tcPr>
            <w:tcW w:w="2694" w:type="dxa"/>
          </w:tcPr>
          <w:p w14:paraId="5586044B" w14:textId="77777777" w:rsidR="00684074" w:rsidRPr="00FA0EAE" w:rsidRDefault="00684074" w:rsidP="00CF2C22">
            <w:pPr>
              <w:pStyle w:val="DHHStabletext"/>
              <w:keepNext/>
              <w:keepLines/>
            </w:pPr>
            <w:r w:rsidRPr="00FA0EAE">
              <w:t>4 elements</w:t>
            </w:r>
          </w:p>
        </w:tc>
        <w:tc>
          <w:tcPr>
            <w:tcW w:w="2835" w:type="dxa"/>
          </w:tcPr>
          <w:p w14:paraId="115F85D8" w14:textId="77777777" w:rsidR="00684074" w:rsidRPr="00FA0EAE" w:rsidRDefault="00684074" w:rsidP="00CF2C22">
            <w:pPr>
              <w:pStyle w:val="DHHStabletext"/>
              <w:keepNext/>
              <w:keepLines/>
              <w:jc w:val="right"/>
            </w:pPr>
            <w:r w:rsidRPr="00FA0EAE">
              <w:t>-</w:t>
            </w:r>
          </w:p>
        </w:tc>
        <w:tc>
          <w:tcPr>
            <w:tcW w:w="2835" w:type="dxa"/>
          </w:tcPr>
          <w:p w14:paraId="189E65B8" w14:textId="77777777" w:rsidR="00684074" w:rsidRPr="00FA0EAE" w:rsidRDefault="00684074" w:rsidP="00CF2C22">
            <w:pPr>
              <w:pStyle w:val="DHHStabletext"/>
              <w:keepNext/>
              <w:keepLines/>
              <w:jc w:val="right"/>
            </w:pPr>
            <w:r w:rsidRPr="00FA0EAE">
              <w:t>1 (2%)</w:t>
            </w:r>
          </w:p>
        </w:tc>
      </w:tr>
      <w:tr w:rsidR="00684074" w:rsidRPr="00A64360" w14:paraId="21EAF296" w14:textId="77777777" w:rsidTr="00684074">
        <w:tc>
          <w:tcPr>
            <w:tcW w:w="2694" w:type="dxa"/>
          </w:tcPr>
          <w:p w14:paraId="15F834D7" w14:textId="77777777" w:rsidR="00684074" w:rsidRPr="00FA0EAE" w:rsidRDefault="00684074" w:rsidP="00CF2C22">
            <w:pPr>
              <w:pStyle w:val="DHHStabletext"/>
              <w:keepNext/>
              <w:keepLines/>
            </w:pPr>
            <w:r w:rsidRPr="00FA0EAE">
              <w:t>3 elements</w:t>
            </w:r>
          </w:p>
        </w:tc>
        <w:tc>
          <w:tcPr>
            <w:tcW w:w="2835" w:type="dxa"/>
          </w:tcPr>
          <w:p w14:paraId="6E0FD1D4" w14:textId="77777777" w:rsidR="00684074" w:rsidRPr="00FA0EAE" w:rsidRDefault="00684074" w:rsidP="00CF2C22">
            <w:pPr>
              <w:pStyle w:val="DHHStabletext"/>
              <w:keepNext/>
              <w:keepLines/>
              <w:jc w:val="right"/>
            </w:pPr>
            <w:r w:rsidRPr="00FA0EAE">
              <w:t>-</w:t>
            </w:r>
          </w:p>
        </w:tc>
        <w:tc>
          <w:tcPr>
            <w:tcW w:w="2835" w:type="dxa"/>
          </w:tcPr>
          <w:p w14:paraId="6FF194EB" w14:textId="77777777" w:rsidR="00684074" w:rsidRPr="00FA0EAE" w:rsidRDefault="00684074" w:rsidP="00CF2C22">
            <w:pPr>
              <w:pStyle w:val="DHHStabletext"/>
              <w:keepNext/>
              <w:keepLines/>
              <w:jc w:val="right"/>
            </w:pPr>
            <w:r w:rsidRPr="00FA0EAE">
              <w:t>3 (5%)</w:t>
            </w:r>
          </w:p>
        </w:tc>
      </w:tr>
      <w:tr w:rsidR="00684074" w:rsidRPr="00A64360" w14:paraId="482B32A2" w14:textId="77777777" w:rsidTr="00684074">
        <w:tc>
          <w:tcPr>
            <w:tcW w:w="2694" w:type="dxa"/>
          </w:tcPr>
          <w:p w14:paraId="4D6917AB" w14:textId="77777777" w:rsidR="00684074" w:rsidRPr="00FA0EAE" w:rsidRDefault="00684074" w:rsidP="00CF2C22">
            <w:pPr>
              <w:pStyle w:val="DHHStabletext"/>
              <w:keepNext/>
              <w:keepLines/>
            </w:pPr>
            <w:r w:rsidRPr="00FA0EAE">
              <w:t>2 elements</w:t>
            </w:r>
          </w:p>
        </w:tc>
        <w:tc>
          <w:tcPr>
            <w:tcW w:w="2835" w:type="dxa"/>
          </w:tcPr>
          <w:p w14:paraId="53BDD748" w14:textId="77777777" w:rsidR="00684074" w:rsidRPr="00FA0EAE" w:rsidRDefault="00684074" w:rsidP="00CF2C22">
            <w:pPr>
              <w:pStyle w:val="DHHStabletext"/>
              <w:keepNext/>
              <w:keepLines/>
              <w:jc w:val="right"/>
            </w:pPr>
            <w:r w:rsidRPr="00FA0EAE">
              <w:t>-</w:t>
            </w:r>
          </w:p>
        </w:tc>
        <w:tc>
          <w:tcPr>
            <w:tcW w:w="2835" w:type="dxa"/>
          </w:tcPr>
          <w:p w14:paraId="34F8CF08" w14:textId="77777777" w:rsidR="00684074" w:rsidRPr="00FA0EAE" w:rsidRDefault="00684074" w:rsidP="00CF2C22">
            <w:pPr>
              <w:pStyle w:val="DHHStabletext"/>
              <w:keepNext/>
              <w:keepLines/>
              <w:jc w:val="right"/>
            </w:pPr>
            <w:r w:rsidRPr="00FA0EAE">
              <w:t>1 (2%)</w:t>
            </w:r>
          </w:p>
        </w:tc>
      </w:tr>
      <w:tr w:rsidR="00684074" w:rsidRPr="00A64360" w14:paraId="29B5F90F" w14:textId="77777777" w:rsidTr="00684074">
        <w:tc>
          <w:tcPr>
            <w:tcW w:w="2694" w:type="dxa"/>
          </w:tcPr>
          <w:p w14:paraId="3C424AB1" w14:textId="77777777" w:rsidR="00684074" w:rsidRPr="00FA0EAE" w:rsidRDefault="00684074" w:rsidP="00CF2C22">
            <w:pPr>
              <w:pStyle w:val="DHHStabletext"/>
              <w:keepNext/>
              <w:keepLines/>
            </w:pPr>
            <w:r w:rsidRPr="00FA0EAE">
              <w:t>1 element</w:t>
            </w:r>
          </w:p>
        </w:tc>
        <w:tc>
          <w:tcPr>
            <w:tcW w:w="2835" w:type="dxa"/>
          </w:tcPr>
          <w:p w14:paraId="563839F9" w14:textId="77777777" w:rsidR="00684074" w:rsidRPr="00FA0EAE" w:rsidRDefault="00684074" w:rsidP="00CF2C22">
            <w:pPr>
              <w:pStyle w:val="DHHStabletext"/>
              <w:keepNext/>
              <w:keepLines/>
              <w:jc w:val="right"/>
            </w:pPr>
            <w:r w:rsidRPr="00FA0EAE">
              <w:t>-</w:t>
            </w:r>
          </w:p>
        </w:tc>
        <w:tc>
          <w:tcPr>
            <w:tcW w:w="2835" w:type="dxa"/>
          </w:tcPr>
          <w:p w14:paraId="4614DED9" w14:textId="77777777" w:rsidR="00684074" w:rsidRPr="00FA0EAE" w:rsidRDefault="00684074" w:rsidP="00CF2C22">
            <w:pPr>
              <w:pStyle w:val="DHHStabletext"/>
              <w:keepNext/>
              <w:keepLines/>
              <w:jc w:val="right"/>
            </w:pPr>
            <w:r w:rsidRPr="00FA0EAE">
              <w:t>1 (2%)</w:t>
            </w:r>
          </w:p>
        </w:tc>
      </w:tr>
      <w:tr w:rsidR="00684074" w:rsidRPr="00A64360" w14:paraId="71ECECEC" w14:textId="77777777" w:rsidTr="00684074">
        <w:tc>
          <w:tcPr>
            <w:tcW w:w="2694" w:type="dxa"/>
          </w:tcPr>
          <w:p w14:paraId="45208034" w14:textId="77777777" w:rsidR="00684074" w:rsidRPr="00FA0EAE" w:rsidRDefault="00684074" w:rsidP="00CF2C22">
            <w:pPr>
              <w:pStyle w:val="DHHStabletext"/>
            </w:pPr>
            <w:r w:rsidRPr="00FA0EAE">
              <w:t>health services with no pathway</w:t>
            </w:r>
          </w:p>
        </w:tc>
        <w:tc>
          <w:tcPr>
            <w:tcW w:w="2835" w:type="dxa"/>
          </w:tcPr>
          <w:p w14:paraId="0AE316DF" w14:textId="77777777" w:rsidR="00684074" w:rsidRPr="00FA0EAE" w:rsidRDefault="00684074" w:rsidP="00CF2C22">
            <w:pPr>
              <w:pStyle w:val="DHHStabletext"/>
              <w:jc w:val="right"/>
            </w:pPr>
            <w:r w:rsidRPr="00FA0EAE">
              <w:t>28 (44%)</w:t>
            </w:r>
          </w:p>
        </w:tc>
        <w:tc>
          <w:tcPr>
            <w:tcW w:w="2835" w:type="dxa"/>
          </w:tcPr>
          <w:p w14:paraId="44F12388" w14:textId="77777777" w:rsidR="00684074" w:rsidRPr="00FA0EAE" w:rsidRDefault="00684074" w:rsidP="00CF2C22">
            <w:pPr>
              <w:pStyle w:val="DHHStabletext"/>
              <w:jc w:val="right"/>
            </w:pPr>
            <w:r w:rsidRPr="00FA0EAE">
              <w:t>36 (64%)</w:t>
            </w:r>
          </w:p>
        </w:tc>
      </w:tr>
    </w:tbl>
    <w:p w14:paraId="294A15BE" w14:textId="77777777" w:rsidR="00684074" w:rsidRPr="00684074" w:rsidRDefault="00684074" w:rsidP="00684074">
      <w:pPr>
        <w:rPr>
          <w:rFonts w:ascii="Arial" w:hAnsi="Arial"/>
          <w:b/>
          <w:color w:val="DA372E"/>
          <w:sz w:val="28"/>
          <w:szCs w:val="28"/>
        </w:rPr>
      </w:pPr>
    </w:p>
    <w:p w14:paraId="1A30E52E" w14:textId="77777777" w:rsidR="00684074" w:rsidRPr="00684074" w:rsidRDefault="00684074" w:rsidP="00684074">
      <w:pPr>
        <w:spacing w:after="120" w:line="270" w:lineRule="atLeast"/>
        <w:rPr>
          <w:rFonts w:ascii="Arial" w:eastAsia="Times" w:hAnsi="Arial"/>
          <w:b/>
          <w:color w:val="DA372E"/>
          <w:sz w:val="28"/>
          <w:szCs w:val="28"/>
        </w:rPr>
      </w:pPr>
      <w:r w:rsidRPr="00684074">
        <w:rPr>
          <w:rFonts w:ascii="Arial" w:eastAsia="Times" w:hAnsi="Arial"/>
        </w:rPr>
        <w:br w:type="page"/>
      </w:r>
    </w:p>
    <w:p w14:paraId="60D4D04E" w14:textId="2CDD4578" w:rsidR="00684074" w:rsidRPr="00684074" w:rsidRDefault="00684074" w:rsidP="00CF2C22">
      <w:pPr>
        <w:pStyle w:val="Heading1"/>
      </w:pPr>
      <w:bookmarkStart w:id="21" w:name="0_pgfId-1105732"/>
      <w:bookmarkStart w:id="22" w:name="_Toc44568694"/>
      <w:bookmarkEnd w:id="21"/>
      <w:r w:rsidRPr="00684074">
        <w:lastRenderedPageBreak/>
        <w:t>Survey summary</w:t>
      </w:r>
      <w:bookmarkEnd w:id="22"/>
    </w:p>
    <w:p w14:paraId="1B4D4E7E" w14:textId="4D338CA0" w:rsidR="00FC141D" w:rsidRDefault="00684074" w:rsidP="00CF2C22">
      <w:pPr>
        <w:pStyle w:val="DHHSbody"/>
      </w:pPr>
      <w:r w:rsidRPr="00684074">
        <w:t xml:space="preserve">The survey data shows there has been an increase in the number (and proportion) of health services with processes for optimising patient red cell mass prior to elective surgery (n = 35, 56 per cent compared </w:t>
      </w:r>
      <w:r w:rsidR="00FA0EAE">
        <w:t>with</w:t>
      </w:r>
      <w:r w:rsidR="00FA0EAE" w:rsidRPr="00684074">
        <w:t xml:space="preserve"> </w:t>
      </w:r>
      <w:r w:rsidRPr="00684074">
        <w:t>n = 20, 36 per cent in 2015</w:t>
      </w:r>
      <w:r w:rsidR="00FA0EAE" w:rsidRPr="00684074">
        <w:t>)</w:t>
      </w:r>
      <w:r w:rsidR="00FA0EAE">
        <w:t>. T</w:t>
      </w:r>
      <w:r w:rsidRPr="00684074">
        <w:t xml:space="preserve">hat is, </w:t>
      </w:r>
      <w:r w:rsidR="00FC141D">
        <w:t xml:space="preserve">these health services have </w:t>
      </w:r>
      <w:r w:rsidRPr="00684074">
        <w:t xml:space="preserve">a pathway or algorithm that sets out the process for assessment and management of these patients in the preoperative period. </w:t>
      </w:r>
    </w:p>
    <w:p w14:paraId="5F481BD2" w14:textId="6126746C" w:rsidR="00684074" w:rsidRPr="00684074" w:rsidRDefault="00684074" w:rsidP="00CF2C22">
      <w:pPr>
        <w:pStyle w:val="DHHSbody"/>
      </w:pPr>
      <w:r w:rsidRPr="00684074">
        <w:t xml:space="preserve">Where health services did not have a pathway, 23 (82 per cent) reported that anaemia identification was addressed by preoperative assessment in other areas. However, a recognised pathway is a helpful tool to ensure consistency of assessment and follow up. </w:t>
      </w:r>
    </w:p>
    <w:p w14:paraId="6C603F2C" w14:textId="77777777" w:rsidR="00684074" w:rsidRPr="00684074" w:rsidRDefault="00684074" w:rsidP="00CF2C22">
      <w:pPr>
        <w:pStyle w:val="DHHSbody"/>
      </w:pPr>
      <w:r w:rsidRPr="00684074">
        <w:t xml:space="preserve">Of those health services without a current pathway, 16 (57 per cent) are </w:t>
      </w:r>
      <w:r w:rsidRPr="00FC141D">
        <w:t>considering</w:t>
      </w:r>
      <w:r w:rsidRPr="00684074">
        <w:t xml:space="preserve"> adopting a pathway in the next 12 months.</w:t>
      </w:r>
    </w:p>
    <w:p w14:paraId="43646CCD" w14:textId="77777777" w:rsidR="00684074" w:rsidRPr="00684074" w:rsidRDefault="00684074" w:rsidP="00CF2C22">
      <w:pPr>
        <w:pStyle w:val="DHHSbody"/>
      </w:pPr>
      <w:r w:rsidRPr="00684074">
        <w:t xml:space="preserve">While the improvement in the number of preoperative assessment processes/pathways is promising, there is still much work to be done in health services to include all </w:t>
      </w:r>
      <w:r w:rsidRPr="00FC141D">
        <w:t>the</w:t>
      </w:r>
      <w:r w:rsidRPr="00684074">
        <w:t xml:space="preserve"> elements that are consistent with the best practice guidelines demonstrating a multimodal, multidisciplinary approach. </w:t>
      </w:r>
    </w:p>
    <w:p w14:paraId="7EAECB03" w14:textId="77777777" w:rsidR="00684074" w:rsidRPr="00684074" w:rsidRDefault="00684074" w:rsidP="00CF2C22">
      <w:pPr>
        <w:pStyle w:val="DHHSbody"/>
      </w:pPr>
      <w:r w:rsidRPr="00684074">
        <w:t xml:space="preserve">Blood Matters recommends that health services review the process of preoperative anaemia assessment and management in light of the survey findings, to determine the </w:t>
      </w:r>
      <w:r w:rsidRPr="00FC141D">
        <w:t>level</w:t>
      </w:r>
      <w:r w:rsidRPr="00684074">
        <w:t xml:space="preserve"> of alignment of those pathways with the </w:t>
      </w:r>
      <w:r w:rsidRPr="00684074">
        <w:rPr>
          <w:i/>
        </w:rPr>
        <w:t>PBM guidelines,</w:t>
      </w:r>
      <w:r w:rsidRPr="00684074">
        <w:t xml:space="preserve"> ‘Module 2: Perioperative’ elements, and the ACSQHC </w:t>
      </w:r>
      <w:r w:rsidRPr="00684074">
        <w:rPr>
          <w:i/>
        </w:rPr>
        <w:t>National safety and quality health service standards</w:t>
      </w:r>
      <w:r w:rsidRPr="00684074">
        <w:t>.</w:t>
      </w:r>
    </w:p>
    <w:p w14:paraId="12AF2A6E" w14:textId="1CD3ED91" w:rsidR="00684074" w:rsidRPr="00684074" w:rsidRDefault="00684074" w:rsidP="00CF2C22">
      <w:pPr>
        <w:pStyle w:val="DHHSbody"/>
      </w:pPr>
      <w:r w:rsidRPr="00684074">
        <w:t>A checklist to assist health services with this review is included at the beginning of this report (</w:t>
      </w:r>
      <w:r w:rsidR="00FC141D">
        <w:t>p.</w:t>
      </w:r>
      <w:r w:rsidR="00FC141D" w:rsidRPr="00684074">
        <w:t xml:space="preserve"> </w:t>
      </w:r>
      <w:r w:rsidR="00F23444">
        <w:t>8</w:t>
      </w:r>
      <w:r w:rsidRPr="00684074">
        <w:t xml:space="preserve">). </w:t>
      </w:r>
    </w:p>
    <w:p w14:paraId="48D693DA" w14:textId="00DFBA99" w:rsidR="00FC141D" w:rsidRDefault="00FC141D" w:rsidP="00CF2C22">
      <w:pPr>
        <w:pStyle w:val="DHHSbody"/>
      </w:pPr>
      <w:r>
        <w:t>We acknowledge</w:t>
      </w:r>
      <w:r w:rsidR="00684074" w:rsidRPr="00684074">
        <w:t xml:space="preserve"> that many factors such as local health service infrastructure, staff, </w:t>
      </w:r>
      <w:r w:rsidR="00684074" w:rsidRPr="00FC141D">
        <w:t>physical</w:t>
      </w:r>
      <w:r w:rsidR="00684074" w:rsidRPr="00684074">
        <w:t xml:space="preserve"> and economic resources differ between hospitals, and individualisation is important for the acceptance of any change. </w:t>
      </w:r>
    </w:p>
    <w:p w14:paraId="64FB66A5" w14:textId="3D03136E" w:rsidR="00684074" w:rsidRPr="00684074" w:rsidRDefault="00684074" w:rsidP="00CF2C22">
      <w:pPr>
        <w:pStyle w:val="DHHSbody"/>
      </w:pPr>
      <w:r w:rsidRPr="00684074">
        <w:t xml:space="preserve">For this reason, anaemia screening pathways need to be specifically designed according to local conditions (Meybohm 2017). It is further noted that the operational and cultural changes required to implement best practice clinical measures such as PBM at a health service level can be significant (NBA 2017). Successful implementation requires not only clinical champions but a </w:t>
      </w:r>
      <w:r w:rsidRPr="00FC141D">
        <w:t>multidisciplinary</w:t>
      </w:r>
      <w:r w:rsidRPr="00684074">
        <w:t xml:space="preserve"> collaborative approach.</w:t>
      </w:r>
    </w:p>
    <w:p w14:paraId="1B9DB9FC" w14:textId="302BE50A" w:rsidR="00684074" w:rsidRPr="00684074" w:rsidRDefault="00684074" w:rsidP="00CF2C22">
      <w:pPr>
        <w:pStyle w:val="DHHSbody"/>
      </w:pPr>
      <w:r w:rsidRPr="00684074">
        <w:t>The ACSQHC led a National Patient Blood Management Collaborative (2015</w:t>
      </w:r>
      <w:r w:rsidR="00FC141D">
        <w:t>–</w:t>
      </w:r>
      <w:r w:rsidRPr="00684074">
        <w:t xml:space="preserve">2017) to support improvements in the management of anaemia for patients having elective gastrointestinal, gynaecological and orthopaedic surgery procedures. Twelve health services participated in process improvement projects using </w:t>
      </w:r>
      <w:r w:rsidR="00FC141D">
        <w:t>‘</w:t>
      </w:r>
      <w:r w:rsidRPr="00684074">
        <w:t>Plan, Do, Study, Act’ cycles applied to trialling and evaluating local initiatives</w:t>
      </w:r>
      <w:r w:rsidR="00FC141D">
        <w:t>. This</w:t>
      </w:r>
      <w:r w:rsidRPr="00684074">
        <w:t xml:space="preserve"> </w:t>
      </w:r>
      <w:r w:rsidR="00FC141D">
        <w:t>aimed to reduce</w:t>
      </w:r>
      <w:r w:rsidRPr="00684074">
        <w:t xml:space="preserve"> the number of patients proceeding to surgery with unknown levels of haemoglobin or iron stores. Over the project period</w:t>
      </w:r>
      <w:r w:rsidR="00FC141D">
        <w:t>,</w:t>
      </w:r>
      <w:r w:rsidRPr="00684074">
        <w:t xml:space="preserve"> assessment rates for iron deficiency more than doubled for each surgical specialty (Appendix 5).</w:t>
      </w:r>
    </w:p>
    <w:p w14:paraId="0CF4BD8F" w14:textId="77777777" w:rsidR="00684074" w:rsidRPr="00684074" w:rsidRDefault="00684074" w:rsidP="00684074">
      <w:pPr>
        <w:spacing w:after="120" w:line="270" w:lineRule="atLeast"/>
        <w:rPr>
          <w:rFonts w:ascii="Arial" w:eastAsia="Times" w:hAnsi="Arial"/>
        </w:rPr>
      </w:pPr>
    </w:p>
    <w:p w14:paraId="2418D597" w14:textId="77777777" w:rsidR="00684074" w:rsidRPr="00684074" w:rsidRDefault="00684074" w:rsidP="00684074">
      <w:pPr>
        <w:rPr>
          <w:rFonts w:ascii="Arial" w:hAnsi="Arial"/>
          <w:b/>
          <w:color w:val="DA372E"/>
          <w:sz w:val="28"/>
          <w:szCs w:val="28"/>
        </w:rPr>
      </w:pPr>
      <w:r w:rsidRPr="00684074">
        <w:br w:type="page"/>
      </w:r>
    </w:p>
    <w:p w14:paraId="67C6D5FF" w14:textId="45075AEB" w:rsidR="00684074" w:rsidRPr="00F258C8" w:rsidRDefault="00684074" w:rsidP="00CF2C22">
      <w:pPr>
        <w:pStyle w:val="Heading1"/>
      </w:pPr>
      <w:bookmarkStart w:id="23" w:name="_Toc44568695"/>
      <w:r w:rsidRPr="00684074">
        <w:lastRenderedPageBreak/>
        <w:t>Recommendations</w:t>
      </w:r>
      <w:bookmarkEnd w:id="23"/>
    </w:p>
    <w:p w14:paraId="520C972A" w14:textId="39F3B227" w:rsidR="00684074" w:rsidRPr="00FC141D" w:rsidRDefault="00684074" w:rsidP="00CF2C22">
      <w:pPr>
        <w:pStyle w:val="DHHSbody"/>
      </w:pPr>
      <w:r w:rsidRPr="00FC141D">
        <w:t xml:space="preserve">Participating health services </w:t>
      </w:r>
      <w:r w:rsidR="00FC141D" w:rsidRPr="00FC141D">
        <w:t xml:space="preserve">should </w:t>
      </w:r>
      <w:r w:rsidRPr="00FC141D">
        <w:t xml:space="preserve">report their individual and comparative data to their </w:t>
      </w:r>
      <w:r w:rsidR="00FC141D" w:rsidRPr="00FC141D">
        <w:t xml:space="preserve">blood </w:t>
      </w:r>
      <w:r w:rsidRPr="00FC141D">
        <w:t>management</w:t>
      </w:r>
      <w:r w:rsidR="00FC141D" w:rsidRPr="00FC141D">
        <w:t xml:space="preserve"> or </w:t>
      </w:r>
      <w:r w:rsidRPr="00FC141D">
        <w:t xml:space="preserve">health service transfusion committee for review and action to address </w:t>
      </w:r>
      <w:r w:rsidR="00FC141D" w:rsidRPr="00FC141D">
        <w:t xml:space="preserve">gaps in </w:t>
      </w:r>
      <w:r w:rsidRPr="00FC141D">
        <w:t>preoperative anaemia assessment.</w:t>
      </w:r>
    </w:p>
    <w:p w14:paraId="481005F1" w14:textId="356305B7" w:rsidR="00684074" w:rsidRPr="00FC141D" w:rsidRDefault="00684074" w:rsidP="00CF2C22">
      <w:pPr>
        <w:pStyle w:val="DHHSbody"/>
      </w:pPr>
      <w:r w:rsidRPr="00FC141D">
        <w:t xml:space="preserve">Non-participating health services should include this report as a </w:t>
      </w:r>
      <w:r w:rsidR="00FC141D" w:rsidRPr="00FC141D">
        <w:t xml:space="preserve">blood </w:t>
      </w:r>
      <w:r w:rsidRPr="00FC141D">
        <w:t>management</w:t>
      </w:r>
      <w:r w:rsidR="00FC141D" w:rsidRPr="00FC141D">
        <w:t xml:space="preserve"> or </w:t>
      </w:r>
      <w:r w:rsidRPr="00FC141D">
        <w:t>health service transfusion committee agenda item to review</w:t>
      </w:r>
      <w:r w:rsidR="00FC141D" w:rsidRPr="00FC141D">
        <w:t>.</w:t>
      </w:r>
      <w:r w:rsidRPr="00FC141D">
        <w:t xml:space="preserve"> </w:t>
      </w:r>
      <w:r w:rsidR="00FC141D" w:rsidRPr="00FC141D">
        <w:t xml:space="preserve">The committee should </w:t>
      </w:r>
      <w:r w:rsidRPr="00FC141D">
        <w:t>make recommendations around practice to address preoperative anaemia assessment.</w:t>
      </w:r>
    </w:p>
    <w:p w14:paraId="29C0C6AB" w14:textId="77777777" w:rsidR="00684074" w:rsidRPr="00FC141D" w:rsidRDefault="00684074" w:rsidP="00CF2C22">
      <w:pPr>
        <w:pStyle w:val="DHHSbody"/>
      </w:pPr>
      <w:r w:rsidRPr="00FC141D">
        <w:t>Health services should ensure that:</w:t>
      </w:r>
    </w:p>
    <w:p w14:paraId="639258F9" w14:textId="6C334686" w:rsidR="00684074" w:rsidRPr="00FC141D" w:rsidRDefault="00684074" w:rsidP="00CF2C22">
      <w:pPr>
        <w:pStyle w:val="DHHSbullet1"/>
      </w:pPr>
      <w:r w:rsidRPr="00FC141D">
        <w:t>they have, or develop</w:t>
      </w:r>
      <w:r w:rsidR="00FC141D">
        <w:t>,</w:t>
      </w:r>
      <w:r w:rsidRPr="00FC141D">
        <w:t xml:space="preserve"> a multidisciplinary, multimodal PBM program that includes preoperative anaemia assessment and optimisation covering all elements as outlined in the PBM Module 2 template (at least)</w:t>
      </w:r>
    </w:p>
    <w:p w14:paraId="006C33E9" w14:textId="55B0F6D9" w:rsidR="00684074" w:rsidRPr="00FC141D" w:rsidRDefault="00684074" w:rsidP="00CF2C22">
      <w:pPr>
        <w:pStyle w:val="DHHSbullet1"/>
      </w:pPr>
      <w:r w:rsidRPr="00FC141D">
        <w:t xml:space="preserve">the PBM program clearly defines the roles and </w:t>
      </w:r>
      <w:r w:rsidR="00FC141D" w:rsidRPr="00FC141D">
        <w:t>responsibilit</w:t>
      </w:r>
      <w:r w:rsidR="00FC141D">
        <w:t>ies</w:t>
      </w:r>
      <w:r w:rsidR="00FC141D" w:rsidRPr="00FC141D">
        <w:t xml:space="preserve"> </w:t>
      </w:r>
      <w:r w:rsidRPr="00FC141D">
        <w:t>for anaemia assessment and follow- up</w:t>
      </w:r>
    </w:p>
    <w:p w14:paraId="521010E4" w14:textId="77777777" w:rsidR="00684074" w:rsidRPr="00FC141D" w:rsidRDefault="00684074" w:rsidP="00CF2C22">
      <w:pPr>
        <w:pStyle w:val="DHHSbullet1"/>
      </w:pPr>
      <w:r w:rsidRPr="00FC141D">
        <w:t>the PBM program clearly defines the timing of assessments to appropriately manage anaemia within the clinical urgency of surgery</w:t>
      </w:r>
    </w:p>
    <w:p w14:paraId="4D64CADA" w14:textId="77777777" w:rsidR="00684074" w:rsidRPr="00FC141D" w:rsidRDefault="00684074" w:rsidP="00CF2C22">
      <w:pPr>
        <w:pStyle w:val="DHHSbullet1"/>
      </w:pPr>
      <w:r w:rsidRPr="00FC141D">
        <w:t>patient information is made available</w:t>
      </w:r>
    </w:p>
    <w:p w14:paraId="2EC6F233" w14:textId="77777777" w:rsidR="00684074" w:rsidRPr="00FC141D" w:rsidRDefault="00684074" w:rsidP="00CF2C22">
      <w:pPr>
        <w:pStyle w:val="DHHSbullet1"/>
      </w:pPr>
      <w:r w:rsidRPr="00FC141D">
        <w:t xml:space="preserve">a process is in place to review current pathways or implement a pathway where no pathway is in place </w:t>
      </w:r>
    </w:p>
    <w:p w14:paraId="214662AD" w14:textId="77777777" w:rsidR="00684074" w:rsidRPr="00FC141D" w:rsidRDefault="00684074" w:rsidP="00CF2C22">
      <w:pPr>
        <w:pStyle w:val="DHHSbullet1"/>
      </w:pPr>
      <w:r w:rsidRPr="00FC141D">
        <w:t>compliance with the pathway is regularly monitored, reported and actions undertaken to address any gaps identified</w:t>
      </w:r>
    </w:p>
    <w:p w14:paraId="244439A7" w14:textId="77777777" w:rsidR="00684074" w:rsidRPr="00FC141D" w:rsidRDefault="00684074" w:rsidP="00CF2C22">
      <w:pPr>
        <w:pStyle w:val="DHHSbullet1"/>
      </w:pPr>
      <w:r w:rsidRPr="00FC141D">
        <w:t>the PBM program includes strategies to educate staff, such as the use of BloodSafe eLearning Australia Patient Blood Management courses, in particular the ‘Perioperative’ and ‘Iron deficiency anaemia’ courses.</w:t>
      </w:r>
    </w:p>
    <w:p w14:paraId="686474FC" w14:textId="77777777" w:rsidR="00684074" w:rsidRPr="00684074" w:rsidRDefault="00684074" w:rsidP="00684074">
      <w:pPr>
        <w:spacing w:after="120" w:line="270" w:lineRule="atLeast"/>
        <w:rPr>
          <w:rFonts w:ascii="Arial" w:eastAsia="Times" w:hAnsi="Arial"/>
        </w:rPr>
      </w:pPr>
    </w:p>
    <w:p w14:paraId="70E8E606" w14:textId="77777777" w:rsidR="00684074" w:rsidRPr="00684074" w:rsidRDefault="00684074" w:rsidP="00684074">
      <w:pPr>
        <w:spacing w:after="120" w:line="270" w:lineRule="atLeast"/>
        <w:rPr>
          <w:rFonts w:ascii="Arial" w:eastAsia="Times" w:hAnsi="Arial"/>
        </w:rPr>
      </w:pPr>
      <w:r w:rsidRPr="00684074">
        <w:rPr>
          <w:rFonts w:ascii="Arial" w:eastAsia="Times" w:hAnsi="Arial"/>
        </w:rPr>
        <w:br w:type="page"/>
      </w:r>
    </w:p>
    <w:p w14:paraId="31CD6566" w14:textId="0BE57152" w:rsidR="00684074" w:rsidRPr="00FC141D" w:rsidRDefault="00684074" w:rsidP="00CF2C22">
      <w:pPr>
        <w:pStyle w:val="Heading1"/>
      </w:pPr>
      <w:bookmarkStart w:id="24" w:name="_Toc44568696"/>
      <w:r w:rsidRPr="00684074">
        <w:lastRenderedPageBreak/>
        <w:t>References</w:t>
      </w:r>
      <w:bookmarkEnd w:id="24"/>
    </w:p>
    <w:p w14:paraId="2FB7BF37" w14:textId="6E9F5AF8" w:rsidR="00684074" w:rsidRPr="00684074" w:rsidRDefault="00684074" w:rsidP="00CF2C22">
      <w:pPr>
        <w:pStyle w:val="DHHSbody"/>
      </w:pPr>
      <w:r w:rsidRPr="00684074">
        <w:t xml:space="preserve">Althoff FC 2019, </w:t>
      </w:r>
      <w:r w:rsidR="00FC141D">
        <w:t>‘</w:t>
      </w:r>
      <w:r w:rsidRPr="00684074">
        <w:t xml:space="preserve">Multimodal </w:t>
      </w:r>
      <w:r w:rsidR="00FC141D" w:rsidRPr="00684074">
        <w:t>patient blood management program based on a three-pillar strate</w:t>
      </w:r>
      <w:r w:rsidRPr="00684074">
        <w:t>gy</w:t>
      </w:r>
      <w:r w:rsidR="00FC141D">
        <w:t>’</w:t>
      </w:r>
      <w:r w:rsidRPr="00684074">
        <w:t xml:space="preserve">, </w:t>
      </w:r>
      <w:r w:rsidRPr="00CF2C22">
        <w:rPr>
          <w:i/>
          <w:iCs/>
        </w:rPr>
        <w:t>Annals of Surgery</w:t>
      </w:r>
      <w:r w:rsidR="00FC141D">
        <w:t>,</w:t>
      </w:r>
      <w:r w:rsidR="00FC141D" w:rsidRPr="00684074">
        <w:t xml:space="preserve"> </w:t>
      </w:r>
      <w:r w:rsidR="00FC141D">
        <w:t>v</w:t>
      </w:r>
      <w:r w:rsidR="00FC141D" w:rsidRPr="00684074">
        <w:t>ol</w:t>
      </w:r>
      <w:r w:rsidR="00FC141D">
        <w:t>.</w:t>
      </w:r>
      <w:r w:rsidR="00FC141D" w:rsidRPr="00684074">
        <w:t xml:space="preserve"> </w:t>
      </w:r>
      <w:r w:rsidRPr="00684074">
        <w:t>269</w:t>
      </w:r>
      <w:r w:rsidR="00FC141D">
        <w:t>,</w:t>
      </w:r>
      <w:r w:rsidRPr="00684074">
        <w:t xml:space="preserve"> </w:t>
      </w:r>
      <w:r w:rsidR="00FC141D">
        <w:t>no.</w:t>
      </w:r>
      <w:r w:rsidRPr="00684074">
        <w:t xml:space="preserve"> 5, p</w:t>
      </w:r>
      <w:r w:rsidR="00FC141D">
        <w:t>p.</w:t>
      </w:r>
      <w:r w:rsidRPr="00684074">
        <w:t xml:space="preserve"> 794</w:t>
      </w:r>
      <w:r w:rsidR="00FC141D">
        <w:t>–</w:t>
      </w:r>
      <w:r w:rsidRPr="00684074">
        <w:t>804.</w:t>
      </w:r>
    </w:p>
    <w:p w14:paraId="20FB1BC4" w14:textId="412BF696" w:rsidR="0077446C" w:rsidRDefault="0077446C" w:rsidP="00CF2C22">
      <w:pPr>
        <w:pStyle w:val="DHHSbody"/>
      </w:pPr>
      <w:r>
        <w:t>Australian Government Department of Health</w:t>
      </w:r>
      <w:r w:rsidR="00FC141D">
        <w:t xml:space="preserve"> 2014, </w:t>
      </w:r>
      <w:r w:rsidRPr="00CF2C22">
        <w:rPr>
          <w:i/>
          <w:iCs/>
        </w:rPr>
        <w:t xml:space="preserve">MBS </w:t>
      </w:r>
      <w:r w:rsidR="00FC141D" w:rsidRPr="00CF2C22">
        <w:rPr>
          <w:i/>
          <w:iCs/>
        </w:rPr>
        <w:t>reviews:</w:t>
      </w:r>
      <w:r w:rsidRPr="00CF2C22">
        <w:rPr>
          <w:i/>
          <w:iCs/>
        </w:rPr>
        <w:t xml:space="preserve"> </w:t>
      </w:r>
      <w:r w:rsidR="00FC141D" w:rsidRPr="00CF2C22">
        <w:rPr>
          <w:i/>
          <w:iCs/>
        </w:rPr>
        <w:t xml:space="preserve">vitamin </w:t>
      </w:r>
      <w:r w:rsidRPr="00CF2C22">
        <w:rPr>
          <w:i/>
          <w:iCs/>
        </w:rPr>
        <w:t xml:space="preserve">B12 </w:t>
      </w:r>
      <w:r w:rsidR="00FC141D" w:rsidRPr="00CF2C22">
        <w:rPr>
          <w:i/>
          <w:iCs/>
        </w:rPr>
        <w:t>testing report</w:t>
      </w:r>
      <w:r w:rsidRPr="00CF2C22">
        <w:rPr>
          <w:i/>
          <w:iCs/>
        </w:rPr>
        <w:t>, February 2014</w:t>
      </w:r>
      <w:r w:rsidR="00FC141D">
        <w:rPr>
          <w:i/>
          <w:iCs/>
        </w:rPr>
        <w:t>,</w:t>
      </w:r>
      <w:r>
        <w:t xml:space="preserve"> </w:t>
      </w:r>
      <w:r w:rsidR="00FC141D">
        <w:t>&lt;</w:t>
      </w:r>
      <w:hyperlink r:id="rId14" w:history="1">
        <w:r w:rsidR="00CC3228" w:rsidRPr="00CC3228">
          <w:rPr>
            <w:rStyle w:val="Hyperlink"/>
          </w:rPr>
          <w:t>https://www1.health.gov.au/internet/main/publishing.nsf/Content/7C28F0B6D06F9FFCCA257EB9001D769B/$File/Vitamin%20B12%20testing%20Review%20Report.pdf</w:t>
        </w:r>
      </w:hyperlink>
      <w:r w:rsidR="00CC3228" w:rsidRPr="00CC3228" w:rsidDel="00CC3228">
        <w:t xml:space="preserve"> </w:t>
      </w:r>
      <w:r w:rsidR="00FC141D">
        <w:t>&gt;,</w:t>
      </w:r>
      <w:r>
        <w:t xml:space="preserve"> accessed June 2020</w:t>
      </w:r>
      <w:r w:rsidR="00FC141D">
        <w:t>.</w:t>
      </w:r>
    </w:p>
    <w:p w14:paraId="372F6D8F" w14:textId="0D96AC4D" w:rsidR="00684074" w:rsidRPr="00684074" w:rsidRDefault="00684074" w:rsidP="00CF2C22">
      <w:pPr>
        <w:pStyle w:val="DHHSbody"/>
      </w:pPr>
      <w:r w:rsidRPr="00684074">
        <w:t>Bielby L, Moss R, Mo A, McQuilten Z, Wood E</w:t>
      </w:r>
      <w:r w:rsidR="00FC141D">
        <w:t xml:space="preserve"> 2019,</w:t>
      </w:r>
      <w:r w:rsidRPr="00684074">
        <w:t xml:space="preserve"> </w:t>
      </w:r>
      <w:r w:rsidR="00FC141D">
        <w:t>‘</w:t>
      </w:r>
      <w:r w:rsidRPr="00684074">
        <w:t>The role of the transfusion practitioner in the management of anaemia</w:t>
      </w:r>
      <w:r w:rsidR="00FC141D">
        <w:t>’,</w:t>
      </w:r>
      <w:r w:rsidRPr="00684074">
        <w:t xml:space="preserve"> </w:t>
      </w:r>
      <w:r w:rsidRPr="00CF2C22">
        <w:rPr>
          <w:i/>
          <w:iCs/>
        </w:rPr>
        <w:t>ISBT Science Series</w:t>
      </w:r>
      <w:r w:rsidR="00FC141D">
        <w:t xml:space="preserve">, vol. </w:t>
      </w:r>
      <w:r w:rsidRPr="00684074">
        <w:t xml:space="preserve">0, </w:t>
      </w:r>
      <w:r w:rsidR="00FC141D">
        <w:t xml:space="preserve">no. </w:t>
      </w:r>
      <w:r w:rsidRPr="00684074">
        <w:t>1–9. DOI: 10.1111/voxs.12523</w:t>
      </w:r>
      <w:r w:rsidR="00FC141D">
        <w:t>.</w:t>
      </w:r>
    </w:p>
    <w:p w14:paraId="318AD2DA" w14:textId="4DE21BA1" w:rsidR="00684074" w:rsidRPr="00684074" w:rsidRDefault="00684074" w:rsidP="00CF2C22">
      <w:pPr>
        <w:pStyle w:val="DHHSbody"/>
      </w:pPr>
      <w:r w:rsidRPr="00684074">
        <w:t xml:space="preserve">Bruun MT, Pendry K, Georgsen J, et al. 2016, </w:t>
      </w:r>
      <w:r w:rsidR="00FC141D">
        <w:t>‘</w:t>
      </w:r>
      <w:r w:rsidRPr="00684074">
        <w:t>Patient Blood Management in Europe: surveys on top indications for red blood cell use and Patient Blood Management organization and activities in seven European university hospitals</w:t>
      </w:r>
      <w:r w:rsidR="00FC141D">
        <w:t>’,</w:t>
      </w:r>
      <w:r w:rsidRPr="00684074">
        <w:t xml:space="preserve"> </w:t>
      </w:r>
      <w:r w:rsidRPr="00CF2C22">
        <w:rPr>
          <w:i/>
          <w:iCs/>
        </w:rPr>
        <w:t>Vox Sang</w:t>
      </w:r>
      <w:r w:rsidR="00FC141D">
        <w:t>,</w:t>
      </w:r>
      <w:r w:rsidRPr="00684074">
        <w:t xml:space="preserve"> </w:t>
      </w:r>
      <w:r w:rsidR="00FC141D">
        <w:t xml:space="preserve">vol. </w:t>
      </w:r>
      <w:r w:rsidRPr="00684074">
        <w:t>111</w:t>
      </w:r>
      <w:r w:rsidR="00FC141D">
        <w:t xml:space="preserve">, pp. </w:t>
      </w:r>
      <w:r w:rsidRPr="00684074">
        <w:t>391–398</w:t>
      </w:r>
      <w:r w:rsidR="00FC141D">
        <w:t>.</w:t>
      </w:r>
    </w:p>
    <w:p w14:paraId="35C7CF1C" w14:textId="77777777" w:rsidR="00684074" w:rsidRPr="00684074" w:rsidRDefault="00684074" w:rsidP="00CF2C22">
      <w:pPr>
        <w:pStyle w:val="DHHSbody"/>
      </w:pPr>
      <w:r w:rsidRPr="00684074">
        <w:t xml:space="preserve">Clevenger B, Mallett SV, Klein AA and Richards T 2015, ‘Patient blood management to reduce surgical risk’, </w:t>
      </w:r>
      <w:r w:rsidRPr="00684074">
        <w:rPr>
          <w:i/>
        </w:rPr>
        <w:t>British Journal of Surgery</w:t>
      </w:r>
      <w:r w:rsidRPr="00684074">
        <w:t>, vol. 102, pp. 1325–1337.</w:t>
      </w:r>
    </w:p>
    <w:p w14:paraId="4D613DD0" w14:textId="75B065FF" w:rsidR="00684074" w:rsidRPr="00684074" w:rsidRDefault="00684074" w:rsidP="00CF2C22">
      <w:pPr>
        <w:pStyle w:val="DHHSbody"/>
        <w:rPr>
          <w:color w:val="222222"/>
          <w:lang w:val="en" w:eastAsia="en-AU"/>
        </w:rPr>
      </w:pPr>
      <w:r w:rsidRPr="00684074">
        <w:rPr>
          <w:color w:val="222222"/>
          <w:lang w:val="en" w:eastAsia="en-AU"/>
        </w:rPr>
        <w:t>Hong FS, Sieradzki N, Pollock C, et al.</w:t>
      </w:r>
      <w:r w:rsidR="00FC141D">
        <w:rPr>
          <w:color w:val="222222"/>
          <w:lang w:val="en" w:eastAsia="en-AU"/>
        </w:rPr>
        <w:t xml:space="preserve"> 2017, ’</w:t>
      </w:r>
      <w:r w:rsidRPr="00684074">
        <w:rPr>
          <w:color w:val="222222"/>
          <w:lang w:val="en" w:eastAsia="en-AU"/>
        </w:rPr>
        <w:t>Prevalence and causes of preoperative anaemia in elective major surgery patients</w:t>
      </w:r>
      <w:r w:rsidR="00FC141D">
        <w:rPr>
          <w:color w:val="222222"/>
          <w:lang w:val="en" w:eastAsia="en-AU"/>
        </w:rPr>
        <w:t>’</w:t>
      </w:r>
      <w:r w:rsidR="00FC141D" w:rsidRPr="00CF2C22">
        <w:rPr>
          <w:i/>
          <w:iCs/>
          <w:color w:val="222222"/>
          <w:lang w:val="en" w:eastAsia="en-AU"/>
        </w:rPr>
        <w:t xml:space="preserve">, </w:t>
      </w:r>
      <w:r w:rsidRPr="00CF2C22">
        <w:rPr>
          <w:i/>
          <w:iCs/>
          <w:color w:val="222222"/>
          <w:lang w:val="en" w:eastAsia="en-AU"/>
        </w:rPr>
        <w:t xml:space="preserve">Internal </w:t>
      </w:r>
      <w:r w:rsidR="00FC141D">
        <w:rPr>
          <w:i/>
          <w:iCs/>
          <w:color w:val="222222"/>
          <w:lang w:val="en" w:eastAsia="en-AU"/>
        </w:rPr>
        <w:t>M</w:t>
      </w:r>
      <w:r w:rsidR="00FC141D" w:rsidRPr="00CF2C22">
        <w:rPr>
          <w:i/>
          <w:iCs/>
          <w:color w:val="222222"/>
          <w:lang w:val="en" w:eastAsia="en-AU"/>
        </w:rPr>
        <w:t xml:space="preserve">edicine </w:t>
      </w:r>
      <w:r w:rsidR="00FC141D">
        <w:rPr>
          <w:i/>
          <w:iCs/>
          <w:color w:val="222222"/>
          <w:lang w:val="en" w:eastAsia="en-AU"/>
        </w:rPr>
        <w:t>J</w:t>
      </w:r>
      <w:r w:rsidR="00FC141D" w:rsidRPr="00CF2C22">
        <w:rPr>
          <w:i/>
          <w:iCs/>
          <w:color w:val="222222"/>
          <w:lang w:val="en" w:eastAsia="en-AU"/>
        </w:rPr>
        <w:t>ournal</w:t>
      </w:r>
      <w:r w:rsidR="00FC141D">
        <w:rPr>
          <w:color w:val="222222"/>
          <w:lang w:val="en" w:eastAsia="en-AU"/>
        </w:rPr>
        <w:t>,</w:t>
      </w:r>
      <w:r w:rsidRPr="00684074">
        <w:rPr>
          <w:color w:val="222222"/>
          <w:lang w:val="en" w:eastAsia="en-AU"/>
        </w:rPr>
        <w:t xml:space="preserve"> </w:t>
      </w:r>
      <w:r w:rsidR="00FC141D">
        <w:rPr>
          <w:color w:val="222222"/>
          <w:lang w:val="en" w:eastAsia="en-AU"/>
        </w:rPr>
        <w:t xml:space="preserve">vol. </w:t>
      </w:r>
      <w:r w:rsidRPr="00684074">
        <w:rPr>
          <w:color w:val="222222"/>
          <w:lang w:val="en" w:eastAsia="en-AU"/>
        </w:rPr>
        <w:t>47</w:t>
      </w:r>
      <w:r w:rsidR="00FC141D">
        <w:rPr>
          <w:color w:val="222222"/>
          <w:lang w:val="en" w:eastAsia="en-AU"/>
        </w:rPr>
        <w:t>, pp.</w:t>
      </w:r>
      <w:r w:rsidR="00FC141D" w:rsidRPr="00684074">
        <w:rPr>
          <w:color w:val="222222"/>
          <w:lang w:val="en" w:eastAsia="en-AU"/>
        </w:rPr>
        <w:t xml:space="preserve"> </w:t>
      </w:r>
      <w:r w:rsidRPr="00684074">
        <w:rPr>
          <w:color w:val="222222"/>
          <w:lang w:val="en" w:eastAsia="en-AU"/>
        </w:rPr>
        <w:t>1400</w:t>
      </w:r>
      <w:r w:rsidR="00FC141D">
        <w:rPr>
          <w:color w:val="222222"/>
          <w:lang w:val="en" w:eastAsia="en-AU"/>
        </w:rPr>
        <w:t>–</w:t>
      </w:r>
      <w:r w:rsidRPr="00684074">
        <w:rPr>
          <w:color w:val="222222"/>
          <w:lang w:val="en" w:eastAsia="en-AU"/>
        </w:rPr>
        <w:t>4.</w:t>
      </w:r>
    </w:p>
    <w:p w14:paraId="268D29D5" w14:textId="0C1402A1" w:rsidR="00684074" w:rsidRPr="00684074" w:rsidRDefault="00684074" w:rsidP="00CF2C22">
      <w:pPr>
        <w:pStyle w:val="DHHSbody"/>
        <w:rPr>
          <w:i/>
          <w:iCs/>
          <w:color w:val="222222"/>
          <w:lang w:val="en" w:eastAsia="en-AU"/>
        </w:rPr>
      </w:pPr>
      <w:r w:rsidRPr="00684074">
        <w:rPr>
          <w:color w:val="222222"/>
          <w:lang w:val="en" w:eastAsia="en-AU"/>
        </w:rPr>
        <w:t xml:space="preserve">Goodnough LT, Maniatis A, Earnshaw P, Benon G, Beris P, Bisbe E, Fergusson DA, Gombotz H, Habler O, Monk TG, Ozier Y, Slappendel R and Szpalski M 2011, ‘Detection, evaluation, and management of preoperative anaemia in the elective orthopaedic surgical patient: NATA guidelines’ </w:t>
      </w:r>
      <w:r w:rsidRPr="00684074">
        <w:rPr>
          <w:i/>
          <w:iCs/>
          <w:color w:val="222222"/>
          <w:lang w:val="en" w:eastAsia="en-AU"/>
        </w:rPr>
        <w:t>British Journal of Anaesthesiology</w:t>
      </w:r>
      <w:r w:rsidRPr="00684074">
        <w:rPr>
          <w:iCs/>
          <w:color w:val="222222"/>
          <w:lang w:val="en" w:eastAsia="en-AU"/>
        </w:rPr>
        <w:t>, vol. 106, no. 1, pp. 13</w:t>
      </w:r>
      <w:r w:rsidRPr="00684074">
        <w:rPr>
          <w:i/>
          <w:iCs/>
          <w:color w:val="222222"/>
          <w:lang w:val="en" w:eastAsia="en-AU"/>
        </w:rPr>
        <w:t>22</w:t>
      </w:r>
      <w:r w:rsidR="00FC141D">
        <w:rPr>
          <w:i/>
          <w:iCs/>
          <w:color w:val="222222"/>
          <w:lang w:val="en" w:eastAsia="en-AU"/>
        </w:rPr>
        <w:t>.</w:t>
      </w:r>
    </w:p>
    <w:p w14:paraId="2CE57F3F" w14:textId="26CA85C9" w:rsidR="00684074" w:rsidRPr="00684074" w:rsidRDefault="00684074" w:rsidP="00CF2C22">
      <w:pPr>
        <w:pStyle w:val="DHHSbody"/>
      </w:pPr>
      <w:r w:rsidRPr="00684074">
        <w:rPr>
          <w:lang w:eastAsia="en-AU"/>
        </w:rPr>
        <w:t>Halm EA, Wang JJ, Boockvar K, Penrod J, Silberzweig SB, Magaziner J, et al.</w:t>
      </w:r>
      <w:r w:rsidR="00FC141D">
        <w:rPr>
          <w:lang w:eastAsia="en-AU"/>
        </w:rPr>
        <w:t xml:space="preserve"> 2004,</w:t>
      </w:r>
      <w:r w:rsidRPr="00684074">
        <w:rPr>
          <w:lang w:eastAsia="en-AU"/>
        </w:rPr>
        <w:t xml:space="preserve"> </w:t>
      </w:r>
      <w:r w:rsidR="00FC141D">
        <w:rPr>
          <w:lang w:eastAsia="en-AU"/>
        </w:rPr>
        <w:t>‘</w:t>
      </w:r>
      <w:r w:rsidRPr="00684074">
        <w:rPr>
          <w:lang w:eastAsia="en-AU"/>
        </w:rPr>
        <w:t>The effect of</w:t>
      </w:r>
      <w:r w:rsidR="00FC141D">
        <w:rPr>
          <w:lang w:eastAsia="en-AU"/>
        </w:rPr>
        <w:t xml:space="preserve"> </w:t>
      </w:r>
      <w:r w:rsidRPr="00684074">
        <w:rPr>
          <w:lang w:eastAsia="en-AU"/>
        </w:rPr>
        <w:t>perioperative anaemia on clinical and functional outcomes in patients with hip fracture</w:t>
      </w:r>
      <w:r w:rsidR="00FC141D">
        <w:rPr>
          <w:lang w:eastAsia="en-AU"/>
        </w:rPr>
        <w:t>’,</w:t>
      </w:r>
      <w:r w:rsidRPr="00684074">
        <w:rPr>
          <w:lang w:eastAsia="en-AU"/>
        </w:rPr>
        <w:t xml:space="preserve"> </w:t>
      </w:r>
      <w:r w:rsidRPr="00CF2C22">
        <w:rPr>
          <w:i/>
          <w:iCs/>
          <w:lang w:eastAsia="en-AU"/>
        </w:rPr>
        <w:t>J</w:t>
      </w:r>
      <w:r w:rsidR="00FC141D" w:rsidRPr="00CF2C22">
        <w:rPr>
          <w:i/>
          <w:iCs/>
          <w:lang w:eastAsia="en-AU"/>
        </w:rPr>
        <w:t xml:space="preserve"> </w:t>
      </w:r>
      <w:r w:rsidRPr="00CF2C22">
        <w:rPr>
          <w:i/>
          <w:iCs/>
          <w:lang w:eastAsia="en-AU"/>
        </w:rPr>
        <w:t>Orthop Trauma</w:t>
      </w:r>
      <w:r w:rsidR="00FC141D">
        <w:rPr>
          <w:lang w:eastAsia="en-AU"/>
        </w:rPr>
        <w:t xml:space="preserve">, vol. </w:t>
      </w:r>
      <w:r w:rsidRPr="00684074">
        <w:rPr>
          <w:lang w:eastAsia="en-AU"/>
        </w:rPr>
        <w:t>18</w:t>
      </w:r>
      <w:r w:rsidR="00FC141D">
        <w:rPr>
          <w:lang w:eastAsia="en-AU"/>
        </w:rPr>
        <w:t>, pp.</w:t>
      </w:r>
      <w:r w:rsidRPr="00684074">
        <w:rPr>
          <w:lang w:eastAsia="en-AU"/>
        </w:rPr>
        <w:t>369–74.</w:t>
      </w:r>
    </w:p>
    <w:p w14:paraId="2CC79D12" w14:textId="766BD744" w:rsidR="00684074" w:rsidRPr="00684074" w:rsidRDefault="00684074" w:rsidP="00CF2C22">
      <w:pPr>
        <w:pStyle w:val="DHHSbody"/>
      </w:pPr>
      <w:r w:rsidRPr="00684074">
        <w:t>Jung</w:t>
      </w:r>
      <w:r w:rsidRPr="00684074">
        <w:rPr>
          <w:rFonts w:ascii="Cambria Math" w:hAnsi="Cambria Math" w:cs="Cambria Math"/>
        </w:rPr>
        <w:t>‐</w:t>
      </w:r>
      <w:r w:rsidRPr="00684074">
        <w:t>K</w:t>
      </w:r>
      <w:r w:rsidRPr="00684074">
        <w:rPr>
          <w:rFonts w:cs="Arial"/>
        </w:rPr>
        <w:t>ö</w:t>
      </w:r>
      <w:r w:rsidRPr="00684074">
        <w:t xml:space="preserve">nig M 2020, </w:t>
      </w:r>
      <w:r w:rsidR="00FC141D">
        <w:t>‘</w:t>
      </w:r>
      <w:r w:rsidRPr="00684074">
        <w:t xml:space="preserve">Programmes for the management of preoperative anaemia: audit in </w:t>
      </w:r>
      <w:r w:rsidR="00FC141D">
        <w:t>10</w:t>
      </w:r>
      <w:r w:rsidR="00FC141D" w:rsidRPr="00684074">
        <w:t xml:space="preserve"> </w:t>
      </w:r>
      <w:r w:rsidRPr="00684074">
        <w:t>European hospitals within the PaBloE (Patient Blood Management in Europe) Working Group</w:t>
      </w:r>
      <w:r w:rsidR="00FC141D">
        <w:t>’,</w:t>
      </w:r>
      <w:r w:rsidR="00FC141D" w:rsidRPr="00684074">
        <w:t xml:space="preserve"> </w:t>
      </w:r>
      <w:r w:rsidRPr="00CF2C22">
        <w:rPr>
          <w:i/>
          <w:iCs/>
        </w:rPr>
        <w:t>Vox Sang</w:t>
      </w:r>
      <w:r w:rsidRPr="00684074">
        <w:t xml:space="preserve">, </w:t>
      </w:r>
      <w:r w:rsidR="00FC141D">
        <w:t xml:space="preserve">vol. </w:t>
      </w:r>
      <w:r w:rsidRPr="00684074">
        <w:t>115</w:t>
      </w:r>
      <w:r w:rsidR="00FC141D">
        <w:t>, pp.</w:t>
      </w:r>
      <w:r w:rsidR="00FC141D" w:rsidRPr="00684074">
        <w:t xml:space="preserve"> </w:t>
      </w:r>
      <w:r w:rsidRPr="00684074">
        <w:t>182</w:t>
      </w:r>
      <w:r w:rsidR="00FC141D">
        <w:t>–</w:t>
      </w:r>
      <w:r w:rsidRPr="00684074">
        <w:t>191.</w:t>
      </w:r>
    </w:p>
    <w:p w14:paraId="00E176F6" w14:textId="5F6DD879" w:rsidR="00684074" w:rsidRPr="00684074" w:rsidRDefault="00684074" w:rsidP="00CF2C22">
      <w:pPr>
        <w:pStyle w:val="DHHSbody"/>
      </w:pPr>
      <w:r w:rsidRPr="00684074">
        <w:t>Meybohm</w:t>
      </w:r>
      <w:r w:rsidR="00FC141D">
        <w:t xml:space="preserve"> P</w:t>
      </w:r>
      <w:r w:rsidRPr="00684074">
        <w:t>, Richards</w:t>
      </w:r>
      <w:r w:rsidR="00FC141D">
        <w:t xml:space="preserve"> T</w:t>
      </w:r>
      <w:r w:rsidRPr="00684074">
        <w:t>, Isbister</w:t>
      </w:r>
      <w:r w:rsidR="00FC141D">
        <w:t xml:space="preserve"> J</w:t>
      </w:r>
      <w:r w:rsidRPr="00684074">
        <w:t xml:space="preserve"> et al</w:t>
      </w:r>
      <w:r w:rsidR="00FC141D">
        <w:t>.</w:t>
      </w:r>
      <w:r w:rsidR="00FC141D" w:rsidRPr="00684074">
        <w:t xml:space="preserve"> </w:t>
      </w:r>
      <w:r w:rsidRPr="00684074">
        <w:t>2017</w:t>
      </w:r>
      <w:r w:rsidR="00FC141D">
        <w:t>,</w:t>
      </w:r>
      <w:r w:rsidR="00FC141D" w:rsidRPr="00684074">
        <w:t xml:space="preserve"> </w:t>
      </w:r>
      <w:r w:rsidR="00FC141D">
        <w:t>‘</w:t>
      </w:r>
      <w:r w:rsidRPr="00684074">
        <w:t xml:space="preserve">Patient </w:t>
      </w:r>
      <w:r w:rsidR="00FC141D" w:rsidRPr="00684074">
        <w:t>blood management bundles to facilitate implementatio</w:t>
      </w:r>
      <w:r w:rsidRPr="00684074">
        <w:t>n</w:t>
      </w:r>
      <w:r w:rsidR="00FC141D">
        <w:t>’</w:t>
      </w:r>
      <w:r w:rsidRPr="00684074">
        <w:t xml:space="preserve">, </w:t>
      </w:r>
      <w:r w:rsidRPr="00684074">
        <w:rPr>
          <w:i/>
        </w:rPr>
        <w:t>Transfusion Medicine Reviews</w:t>
      </w:r>
      <w:r w:rsidRPr="00684074">
        <w:t xml:space="preserve">, </w:t>
      </w:r>
      <w:r w:rsidR="00FC141D">
        <w:t>vol.</w:t>
      </w:r>
      <w:r w:rsidR="00FC141D" w:rsidRPr="00684074">
        <w:t xml:space="preserve"> </w:t>
      </w:r>
      <w:r w:rsidRPr="00684074">
        <w:t xml:space="preserve">31, </w:t>
      </w:r>
      <w:r w:rsidR="00FC141D">
        <w:t>no.</w:t>
      </w:r>
      <w:r w:rsidR="00FC141D" w:rsidRPr="00684074">
        <w:t xml:space="preserve"> </w:t>
      </w:r>
      <w:r w:rsidRPr="00684074">
        <w:t xml:space="preserve">1, </w:t>
      </w:r>
      <w:r w:rsidR="00FC141D">
        <w:t xml:space="preserve">pp. </w:t>
      </w:r>
      <w:r w:rsidRPr="00684074">
        <w:t>62</w:t>
      </w:r>
      <w:r w:rsidR="00FC141D">
        <w:t>–</w:t>
      </w:r>
      <w:r w:rsidRPr="00684074">
        <w:t>71</w:t>
      </w:r>
      <w:r w:rsidR="00FC141D">
        <w:t>.</w:t>
      </w:r>
    </w:p>
    <w:p w14:paraId="649D706A" w14:textId="77777777" w:rsidR="00684074" w:rsidRPr="00684074" w:rsidRDefault="00684074" w:rsidP="00CF2C22">
      <w:pPr>
        <w:pStyle w:val="DHHSbody"/>
      </w:pPr>
      <w:r w:rsidRPr="00684074">
        <w:t xml:space="preserve">Minck S, Robinson K , Saxon B, Spigiel T and Thomson A 2013, ‘Patient blood management: the GP’s guide’, </w:t>
      </w:r>
      <w:r w:rsidRPr="00684074">
        <w:rPr>
          <w:i/>
        </w:rPr>
        <w:t>Australian Family Physician</w:t>
      </w:r>
      <w:r w:rsidRPr="00684074">
        <w:t xml:space="preserve">, vol. 42, no.5, pp. 291–297. </w:t>
      </w:r>
    </w:p>
    <w:p w14:paraId="06EE836E" w14:textId="3956ED48" w:rsidR="00684074" w:rsidRPr="00684074" w:rsidRDefault="00684074" w:rsidP="00CF2C22">
      <w:pPr>
        <w:pStyle w:val="DHHSbody"/>
      </w:pPr>
      <w:r w:rsidRPr="00684074">
        <w:t>Mosby's Medical Dictionary</w:t>
      </w:r>
      <w:r w:rsidR="00FC141D">
        <w:t xml:space="preserve"> 2009</w:t>
      </w:r>
      <w:r w:rsidRPr="00684074">
        <w:t>, 8th edition, Elsevier</w:t>
      </w:r>
      <w:r w:rsidR="00FC141D">
        <w:t>,</w:t>
      </w:r>
      <w:r w:rsidR="00FC141D" w:rsidRPr="00684074">
        <w:t xml:space="preserve"> </w:t>
      </w:r>
      <w:r w:rsidR="00FC141D" w:rsidRPr="00F258C8">
        <w:t>&lt;</w:t>
      </w:r>
      <w:r w:rsidR="00FC141D" w:rsidRPr="00B11F6D">
        <w:t>http://medical-dictionary.thefreedictionary.com/preoperative&gt;.</w:t>
      </w:r>
    </w:p>
    <w:p w14:paraId="0734C7A4" w14:textId="77777777" w:rsidR="00684074" w:rsidRPr="00684074" w:rsidRDefault="00684074" w:rsidP="00CF2C22">
      <w:pPr>
        <w:pStyle w:val="DHHSbody"/>
      </w:pPr>
      <w:r w:rsidRPr="00684074">
        <w:t xml:space="preserve">Myers E, Grady P and Dolan AM 2004, ‘The influence of preclinical anaemia on outcome following total hip replacement’, </w:t>
      </w:r>
      <w:r w:rsidRPr="00684074">
        <w:rPr>
          <w:i/>
        </w:rPr>
        <w:t>Archives of Orthopaedic Trauma Surgery</w:t>
      </w:r>
      <w:r w:rsidRPr="00684074">
        <w:t>, vol. 124, pp. 699–701.</w:t>
      </w:r>
    </w:p>
    <w:p w14:paraId="0EDB864B" w14:textId="5D63EBB5" w:rsidR="00684074" w:rsidRPr="00684074" w:rsidRDefault="00684074" w:rsidP="00CF2C22">
      <w:pPr>
        <w:pStyle w:val="DHHSbody"/>
      </w:pPr>
      <w:r w:rsidRPr="00684074">
        <w:t xml:space="preserve">National Blood Authority NBA 2012, </w:t>
      </w:r>
      <w:r w:rsidRPr="00684074">
        <w:rPr>
          <w:i/>
        </w:rPr>
        <w:t>Patient blood management guidelines</w:t>
      </w:r>
      <w:r w:rsidRPr="00684074">
        <w:t xml:space="preserve">, ‘Module 2: Perioperative’, NBA, Canberra, Australia, </w:t>
      </w:r>
      <w:r w:rsidR="00FC141D" w:rsidRPr="00F258C8">
        <w:t>&lt;</w:t>
      </w:r>
      <w:r w:rsidR="00CC3228" w:rsidRPr="00CC3228">
        <w:t xml:space="preserve"> </w:t>
      </w:r>
      <w:hyperlink r:id="rId15" w:history="1">
        <w:r w:rsidR="00CC3228" w:rsidRPr="00985A87">
          <w:rPr>
            <w:rStyle w:val="Hyperlink"/>
          </w:rPr>
          <w:t>https://www.blood.gov.au/pbm-module-2</w:t>
        </w:r>
      </w:hyperlink>
      <w:r w:rsidR="00CC3228">
        <w:t xml:space="preserve"> </w:t>
      </w:r>
      <w:r w:rsidR="00FC141D" w:rsidRPr="00B11F6D">
        <w:t>&gt;.</w:t>
      </w:r>
      <w:r w:rsidRPr="00F258C8">
        <w:t xml:space="preserve"> </w:t>
      </w:r>
    </w:p>
    <w:p w14:paraId="16BBA911" w14:textId="1DD95E91" w:rsidR="00684074" w:rsidRPr="00684074" w:rsidRDefault="00684074" w:rsidP="00CF2C22">
      <w:pPr>
        <w:pStyle w:val="DHHSbody"/>
      </w:pPr>
      <w:r w:rsidRPr="00684074">
        <w:t xml:space="preserve">National Blood Authority 2015, ‘Preoperative bleeding risk assessment tool: guidance for Australian health providers’, </w:t>
      </w:r>
      <w:r w:rsidR="00FC141D" w:rsidRPr="00F258C8">
        <w:t>&lt;</w:t>
      </w:r>
      <w:r w:rsidR="00CC3228" w:rsidRPr="00CC3228">
        <w:rPr>
          <w:rFonts w:ascii="Cambria" w:eastAsia="Times New Roman" w:hAnsi="Cambria"/>
        </w:rPr>
        <w:t xml:space="preserve"> </w:t>
      </w:r>
      <w:hyperlink r:id="rId16" w:history="1">
        <w:r w:rsidR="00CC3228" w:rsidRPr="00CC3228">
          <w:rPr>
            <w:rStyle w:val="Hyperlink"/>
          </w:rPr>
          <w:t>https://www.blood.gov.au/system/files/documents/preoperative-bleeding-risk-assessment-v5.pdf</w:t>
        </w:r>
      </w:hyperlink>
      <w:r w:rsidR="00CC3228" w:rsidRPr="00CC3228">
        <w:t xml:space="preserve"> </w:t>
      </w:r>
      <w:r w:rsidR="00FC141D" w:rsidRPr="00B11F6D">
        <w:t>&gt;.</w:t>
      </w:r>
      <w:r w:rsidRPr="00F258C8">
        <w:t xml:space="preserve"> </w:t>
      </w:r>
    </w:p>
    <w:p w14:paraId="38519F08" w14:textId="3C776505" w:rsidR="00684074" w:rsidRPr="00684074" w:rsidRDefault="00684074" w:rsidP="00CF2C22">
      <w:pPr>
        <w:pStyle w:val="DHHSbody"/>
      </w:pPr>
      <w:r w:rsidRPr="00684074">
        <w:t xml:space="preserve">National Blood Authority 2014, ‘Preoperative anaemia identification, assessment and management: case study – guidance for Australian health providers’, </w:t>
      </w:r>
      <w:r w:rsidR="00FC141D" w:rsidRPr="00F258C8">
        <w:lastRenderedPageBreak/>
        <w:t>&lt;</w:t>
      </w:r>
      <w:hyperlink r:id="rId17" w:history="1">
        <w:r w:rsidR="00CC3228" w:rsidRPr="00CC3228">
          <w:rPr>
            <w:rStyle w:val="Hyperlink"/>
          </w:rPr>
          <w:t>https://www.blood.gov.au/system/files/documents/preoperative-anaemia-identification-assessment-and-management-case-study%20grey%20cover%20v4.pdf%3E.</w:t>
        </w:r>
      </w:hyperlink>
      <w:r w:rsidR="00CC3228">
        <w:t>&gt;</w:t>
      </w:r>
    </w:p>
    <w:p w14:paraId="3EE4CC37" w14:textId="026EE0BD" w:rsidR="006A6967" w:rsidRDefault="00684074" w:rsidP="00FC141D">
      <w:pPr>
        <w:pStyle w:val="DHHSbody"/>
      </w:pPr>
      <w:r w:rsidRPr="00684074">
        <w:t>National Blood Authority 2017</w:t>
      </w:r>
      <w:r w:rsidR="00FC141D">
        <w:t>,</w:t>
      </w:r>
      <w:r w:rsidR="00FC141D" w:rsidRPr="00684074">
        <w:t xml:space="preserve"> </w:t>
      </w:r>
      <w:r w:rsidRPr="00CF2C22">
        <w:rPr>
          <w:i/>
          <w:iCs/>
        </w:rPr>
        <w:t xml:space="preserve">National </w:t>
      </w:r>
      <w:r w:rsidR="006A6967" w:rsidRPr="00CF2C22">
        <w:rPr>
          <w:i/>
          <w:iCs/>
        </w:rPr>
        <w:t xml:space="preserve">patient blood management implementation strategy </w:t>
      </w:r>
      <w:r w:rsidRPr="00CF2C22">
        <w:rPr>
          <w:i/>
          <w:iCs/>
        </w:rPr>
        <w:t>2017–2021</w:t>
      </w:r>
      <w:r w:rsidR="006A6967">
        <w:t xml:space="preserve">, </w:t>
      </w:r>
      <w:r w:rsidR="006A6967" w:rsidRPr="00F258C8">
        <w:t>&lt;</w:t>
      </w:r>
      <w:r w:rsidR="00CC3228" w:rsidRPr="00CC3228">
        <w:rPr>
          <w:rFonts w:ascii="Cambria" w:eastAsia="Times New Roman" w:hAnsi="Cambria"/>
        </w:rPr>
        <w:t xml:space="preserve"> </w:t>
      </w:r>
      <w:hyperlink r:id="rId18" w:history="1">
        <w:r w:rsidR="00CC3228" w:rsidRPr="00CC3228">
          <w:rPr>
            <w:rStyle w:val="Hyperlink"/>
          </w:rPr>
          <w:t>https://www.blood.gov.au/implementing-pbm</w:t>
        </w:r>
      </w:hyperlink>
      <w:r w:rsidR="00CC3228" w:rsidRPr="00CC3228">
        <w:t xml:space="preserve"> </w:t>
      </w:r>
      <w:r w:rsidR="006A6967" w:rsidRPr="00B11F6D">
        <w:t>&gt;</w:t>
      </w:r>
      <w:r w:rsidRPr="00F258C8">
        <w:t>.</w:t>
      </w:r>
    </w:p>
    <w:p w14:paraId="2E4ED60A" w14:textId="3CE32FC6" w:rsidR="00684074" w:rsidRPr="00684074" w:rsidRDefault="00684074" w:rsidP="00CF2C22">
      <w:pPr>
        <w:pStyle w:val="DHHSbody"/>
      </w:pPr>
      <w:r w:rsidRPr="00684074">
        <w:t xml:space="preserve">Van der Linden P, Hardy JF 2016, </w:t>
      </w:r>
      <w:r w:rsidR="006A6967">
        <w:t>‘</w:t>
      </w:r>
      <w:r w:rsidRPr="00684074">
        <w:t>Implementation of patient blood management remains extremely variable in Europe and Canada: the NATA bench-mark project: An observational study</w:t>
      </w:r>
      <w:r w:rsidR="006A6967">
        <w:t>’,</w:t>
      </w:r>
      <w:r w:rsidR="006A6967" w:rsidRPr="00684074">
        <w:t xml:space="preserve"> </w:t>
      </w:r>
      <w:r w:rsidRPr="00CF2C22">
        <w:rPr>
          <w:i/>
          <w:iCs/>
        </w:rPr>
        <w:t>Eur J Anaesthesiol</w:t>
      </w:r>
      <w:r w:rsidR="006A6967">
        <w:t>,</w:t>
      </w:r>
      <w:r w:rsidRPr="00684074">
        <w:t xml:space="preserve"> </w:t>
      </w:r>
      <w:r w:rsidR="006A6967">
        <w:t xml:space="preserve">vol. </w:t>
      </w:r>
      <w:r w:rsidRPr="00684074">
        <w:t>33</w:t>
      </w:r>
      <w:r w:rsidR="006A6967">
        <w:t xml:space="preserve">, pp. </w:t>
      </w:r>
      <w:r w:rsidRPr="00684074">
        <w:t>913–921</w:t>
      </w:r>
      <w:r w:rsidR="006A6967">
        <w:t>.</w:t>
      </w:r>
    </w:p>
    <w:p w14:paraId="21761933" w14:textId="44ECB8A2" w:rsidR="00684074" w:rsidRPr="00684074" w:rsidRDefault="00684074" w:rsidP="00CF2C22">
      <w:pPr>
        <w:pStyle w:val="DHHSbody"/>
      </w:pPr>
      <w:r w:rsidRPr="00684074">
        <w:rPr>
          <w:lang w:val="en"/>
        </w:rPr>
        <w:t>World Health Assembly</w:t>
      </w:r>
      <w:r w:rsidR="006A6967">
        <w:rPr>
          <w:lang w:val="en"/>
        </w:rPr>
        <w:t xml:space="preserve"> </w:t>
      </w:r>
      <w:r w:rsidRPr="00684074">
        <w:rPr>
          <w:lang w:val="en"/>
        </w:rPr>
        <w:t>2010</w:t>
      </w:r>
      <w:r w:rsidR="006A6967">
        <w:rPr>
          <w:lang w:val="en"/>
        </w:rPr>
        <w:t>,</w:t>
      </w:r>
      <w:r w:rsidRPr="00684074">
        <w:rPr>
          <w:lang w:val="en"/>
        </w:rPr>
        <w:t xml:space="preserve"> </w:t>
      </w:r>
      <w:r w:rsidR="006A6967">
        <w:rPr>
          <w:lang w:val="en"/>
        </w:rPr>
        <w:t>‘</w:t>
      </w:r>
      <w:r w:rsidRPr="00684074">
        <w:rPr>
          <w:lang w:val="en"/>
        </w:rPr>
        <w:t>Availability, safety and quality of blood products</w:t>
      </w:r>
      <w:r w:rsidR="006A6967">
        <w:rPr>
          <w:lang w:val="en"/>
        </w:rPr>
        <w:t>’, i</w:t>
      </w:r>
      <w:r w:rsidRPr="00684074">
        <w:rPr>
          <w:lang w:val="en"/>
        </w:rPr>
        <w:t xml:space="preserve">n: </w:t>
      </w:r>
      <w:r w:rsidRPr="00CF2C22">
        <w:rPr>
          <w:i/>
          <w:iCs/>
          <w:lang w:val="en"/>
        </w:rPr>
        <w:t>Sixty-third World Health Assembly Resolutions, Geneva, 17–21 May 2010. Resolutions and decisions, annexes (WHA63/2010/REC/1)</w:t>
      </w:r>
      <w:r w:rsidRPr="00684074">
        <w:rPr>
          <w:lang w:val="en"/>
        </w:rPr>
        <w:t>, resolution WHA63.20:39–42.</w:t>
      </w:r>
    </w:p>
    <w:p w14:paraId="4AB16BA7" w14:textId="5BD1DDB7" w:rsidR="00684074" w:rsidRPr="00684074" w:rsidRDefault="00684074" w:rsidP="00CF2C22">
      <w:pPr>
        <w:pStyle w:val="DHHSbody"/>
      </w:pPr>
      <w:r w:rsidRPr="00684074">
        <w:t xml:space="preserve">World Health Organization 2001, </w:t>
      </w:r>
      <w:r w:rsidRPr="00684074">
        <w:rPr>
          <w:i/>
        </w:rPr>
        <w:t>Iron deficiency anaemia: assessment, prevention, and control – a guide for programme managers</w:t>
      </w:r>
      <w:r w:rsidRPr="00684074">
        <w:t xml:space="preserve">, WHO, Geneva, 2001, </w:t>
      </w:r>
      <w:r w:rsidR="006A6967" w:rsidRPr="00F258C8">
        <w:t>&lt;</w:t>
      </w:r>
      <w:r w:rsidR="00CC3228" w:rsidRPr="00CC3228">
        <w:rPr>
          <w:rFonts w:ascii="Cambria" w:eastAsia="Times New Roman" w:hAnsi="Cambria"/>
        </w:rPr>
        <w:t xml:space="preserve"> </w:t>
      </w:r>
      <w:hyperlink r:id="rId19" w:history="1">
        <w:r w:rsidR="00CC3228" w:rsidRPr="00CC3228">
          <w:rPr>
            <w:rStyle w:val="Hyperlink"/>
          </w:rPr>
          <w:t>https://www.who.int/nutrition/publications/en/ida_assessment_prevention_control.pdf</w:t>
        </w:r>
      </w:hyperlink>
      <w:r w:rsidR="00CC3228" w:rsidRPr="00CC3228">
        <w:t xml:space="preserve"> </w:t>
      </w:r>
      <w:r w:rsidR="006A6967" w:rsidRPr="00B11F6D">
        <w:t>&gt;.</w:t>
      </w:r>
      <w:r w:rsidRPr="00684074">
        <w:t xml:space="preserve"> </w:t>
      </w:r>
    </w:p>
    <w:p w14:paraId="137BD35E" w14:textId="77777777" w:rsidR="00684074" w:rsidRPr="00684074" w:rsidRDefault="00684074" w:rsidP="00684074">
      <w:pPr>
        <w:spacing w:after="120" w:line="270" w:lineRule="atLeast"/>
        <w:rPr>
          <w:rFonts w:ascii="Arial" w:eastAsia="Times" w:hAnsi="Arial"/>
          <w:bCs/>
          <w:color w:val="DA372E"/>
          <w:sz w:val="44"/>
          <w:szCs w:val="44"/>
        </w:rPr>
      </w:pPr>
      <w:r w:rsidRPr="00684074">
        <w:rPr>
          <w:rFonts w:ascii="Arial" w:eastAsia="Times" w:hAnsi="Arial"/>
        </w:rPr>
        <w:br w:type="page"/>
      </w:r>
    </w:p>
    <w:p w14:paraId="10686DA1" w14:textId="11910E86" w:rsidR="00684074" w:rsidRDefault="00684074" w:rsidP="00CF2C22">
      <w:pPr>
        <w:pStyle w:val="Heading1"/>
      </w:pPr>
      <w:bookmarkStart w:id="25" w:name="_Toc41402077"/>
      <w:bookmarkStart w:id="26" w:name="_Toc44568697"/>
      <w:r w:rsidRPr="00684074">
        <w:lastRenderedPageBreak/>
        <w:t>Appendix 1: Survey tool</w:t>
      </w:r>
      <w:bookmarkEnd w:id="25"/>
      <w:bookmarkEnd w:id="26"/>
    </w:p>
    <w:p w14:paraId="04E6DFE2" w14:textId="4760CF5D" w:rsidR="006A6967" w:rsidRPr="006A6967" w:rsidRDefault="006A6967" w:rsidP="00CF2C22">
      <w:pPr>
        <w:pStyle w:val="DHHSbody"/>
      </w:pPr>
      <w:r>
        <w:t xml:space="preserve">Download a copy of the </w:t>
      </w:r>
      <w:hyperlink r:id="rId20" w:history="1">
        <w:r w:rsidRPr="006A6967">
          <w:rPr>
            <w:rStyle w:val="Hyperlink"/>
          </w:rPr>
          <w:t>2020 survey tool</w:t>
        </w:r>
      </w:hyperlink>
      <w:r>
        <w:t xml:space="preserve"> &lt;</w:t>
      </w:r>
      <w:r w:rsidRPr="006A6967">
        <w:t xml:space="preserve"> https://www2.health.vic.gov.au/hospitals-and-health-services/patient-care/speciality-diagnostics-therapeutics/blood-matters/~/link.aspx?_id=AD4FA9905E1C460A92788DC93E46307D&amp;_z=z</w:t>
      </w:r>
      <w:r>
        <w:t xml:space="preserve">&gt;. </w:t>
      </w:r>
    </w:p>
    <w:p w14:paraId="114280F9" w14:textId="075965E8" w:rsidR="00684074" w:rsidRPr="00684074" w:rsidRDefault="00684074" w:rsidP="00684074">
      <w:pPr>
        <w:spacing w:after="120" w:line="270" w:lineRule="atLeast"/>
        <w:rPr>
          <w:rFonts w:ascii="Arial" w:eastAsia="Times" w:hAnsi="Arial"/>
        </w:rPr>
      </w:pPr>
      <w:r w:rsidRPr="00684074">
        <w:rPr>
          <w:rFonts w:ascii="Arial" w:eastAsia="Times" w:hAnsi="Arial"/>
        </w:rPr>
        <w:t xml:space="preserve"> </w:t>
      </w:r>
      <w:bookmarkStart w:id="27" w:name="_Toc41402078"/>
      <w:bookmarkEnd w:id="27"/>
    </w:p>
    <w:p w14:paraId="3F5A8EDF" w14:textId="030797A0" w:rsidR="00684074" w:rsidRPr="00684074" w:rsidRDefault="00684074" w:rsidP="00684074">
      <w:r w:rsidRPr="00684074">
        <w:br w:type="page"/>
      </w:r>
    </w:p>
    <w:p w14:paraId="1027E69E" w14:textId="00B263C6" w:rsidR="00684074" w:rsidRDefault="00684074" w:rsidP="006A6967">
      <w:pPr>
        <w:pStyle w:val="Heading1"/>
      </w:pPr>
      <w:bookmarkStart w:id="28" w:name="_Toc323798659"/>
      <w:bookmarkStart w:id="29" w:name="_Toc41402079"/>
      <w:bookmarkStart w:id="30" w:name="_Toc44568698"/>
      <w:r w:rsidRPr="00684074">
        <w:lastRenderedPageBreak/>
        <w:t>Appendix 2:</w:t>
      </w:r>
      <w:bookmarkStart w:id="31" w:name="_Toc41402080"/>
      <w:bookmarkEnd w:id="28"/>
      <w:bookmarkEnd w:id="29"/>
      <w:r w:rsidRPr="00684074">
        <w:br/>
        <w:t xml:space="preserve">Recommendations and practice points relevant to </w:t>
      </w:r>
      <w:r w:rsidRPr="006A6967">
        <w:t>preoperative</w:t>
      </w:r>
      <w:r w:rsidRPr="00684074">
        <w:t xml:space="preserve"> anaemia assessment and management from PBM Module 2 </w:t>
      </w:r>
      <w:r w:rsidRPr="00684074">
        <w:rPr>
          <w:rFonts w:cs="Arial"/>
        </w:rPr>
        <w:t>–</w:t>
      </w:r>
      <w:r w:rsidRPr="00684074">
        <w:t xml:space="preserve"> Perioperative</w:t>
      </w:r>
      <w:bookmarkEnd w:id="30"/>
      <w:bookmarkEnd w:id="31"/>
    </w:p>
    <w:p w14:paraId="22CFC59C" w14:textId="21C13013" w:rsidR="00684074" w:rsidRPr="00684074" w:rsidRDefault="006A6967" w:rsidP="00B11F6D">
      <w:pPr>
        <w:pStyle w:val="DHHSbody"/>
      </w:pPr>
      <w:r>
        <w:t xml:space="preserve">Access the </w:t>
      </w:r>
      <w:hyperlink r:id="rId21" w:history="1">
        <w:r w:rsidRPr="006A6967">
          <w:rPr>
            <w:rStyle w:val="Hyperlink"/>
          </w:rPr>
          <w:t>Patient blood management guidelines: Module 2 – perioperative</w:t>
        </w:r>
      </w:hyperlink>
      <w:r>
        <w:t xml:space="preserve"> &lt;h</w:t>
      </w:r>
      <w:r w:rsidRPr="006A6967">
        <w:t>ttps://www.blood.gov.au/pbm-module-2</w:t>
      </w:r>
      <w:r>
        <w:t>&gt; for recommendations and practice points relating to perioperative anaemia.</w:t>
      </w:r>
    </w:p>
    <w:p w14:paraId="595B7437" w14:textId="634E0A90" w:rsidR="00684074" w:rsidRPr="00684074" w:rsidRDefault="00684074" w:rsidP="00684074"/>
    <w:p w14:paraId="248645C9" w14:textId="77777777" w:rsidR="00684074" w:rsidRPr="00684074" w:rsidRDefault="00684074" w:rsidP="00684074">
      <w:pPr>
        <w:rPr>
          <w:rFonts w:ascii="Arial" w:hAnsi="Arial"/>
          <w:bCs/>
          <w:color w:val="DA372E"/>
          <w:sz w:val="44"/>
          <w:szCs w:val="44"/>
        </w:rPr>
      </w:pPr>
      <w:r w:rsidRPr="00684074">
        <w:br w:type="page"/>
      </w:r>
    </w:p>
    <w:p w14:paraId="4E3007C3" w14:textId="77777777" w:rsidR="00684074" w:rsidRPr="00684074" w:rsidRDefault="00684074" w:rsidP="00684074">
      <w:pPr>
        <w:keepNext/>
        <w:keepLines/>
        <w:spacing w:before="520" w:after="440" w:line="440" w:lineRule="atLeast"/>
        <w:outlineLvl w:val="0"/>
        <w:rPr>
          <w:rFonts w:ascii="Arial" w:hAnsi="Arial"/>
          <w:bCs/>
          <w:color w:val="DA372E"/>
          <w:sz w:val="44"/>
          <w:szCs w:val="44"/>
        </w:rPr>
        <w:sectPr w:rsidR="00684074" w:rsidRPr="00684074" w:rsidSect="00684074">
          <w:headerReference w:type="even" r:id="rId22"/>
          <w:headerReference w:type="default" r:id="rId23"/>
          <w:footerReference w:type="even" r:id="rId24"/>
          <w:footerReference w:type="default" r:id="rId25"/>
          <w:footerReference w:type="first" r:id="rId26"/>
          <w:pgSz w:w="11906" w:h="16838" w:code="9"/>
          <w:pgMar w:top="1701" w:right="1418" w:bottom="1134" w:left="1418" w:header="454" w:footer="510" w:gutter="0"/>
          <w:cols w:space="720"/>
          <w:docGrid w:linePitch="360"/>
        </w:sectPr>
      </w:pPr>
    </w:p>
    <w:p w14:paraId="23A69238" w14:textId="2E003352" w:rsidR="00684074" w:rsidRDefault="00684074" w:rsidP="00B11F6D">
      <w:pPr>
        <w:pStyle w:val="Heading1"/>
      </w:pPr>
      <w:bookmarkStart w:id="32" w:name="_Toc323798661"/>
      <w:bookmarkStart w:id="33" w:name="_Toc41402081"/>
      <w:bookmarkStart w:id="34" w:name="_Toc44568699"/>
      <w:r w:rsidRPr="00684074">
        <w:lastRenderedPageBreak/>
        <w:t xml:space="preserve">Appendix </w:t>
      </w:r>
      <w:bookmarkEnd w:id="32"/>
      <w:r w:rsidRPr="00684074">
        <w:t xml:space="preserve">3: </w:t>
      </w:r>
      <w:r w:rsidRPr="006A6967">
        <w:t>Preoperative</w:t>
      </w:r>
      <w:r w:rsidRPr="00684074">
        <w:t xml:space="preserve"> haemoglobin assessment and optimisation template</w:t>
      </w:r>
      <w:bookmarkEnd w:id="33"/>
      <w:bookmarkEnd w:id="34"/>
      <w:r w:rsidRPr="00684074">
        <w:t xml:space="preserve"> </w:t>
      </w:r>
    </w:p>
    <w:p w14:paraId="58BD8D1B" w14:textId="772AAF0E" w:rsidR="006A6967" w:rsidRPr="00684074" w:rsidRDefault="00053CD4" w:rsidP="00B11F6D">
      <w:pPr>
        <w:pStyle w:val="DHHSbody"/>
      </w:pPr>
      <w:r>
        <w:t xml:space="preserve">Access the </w:t>
      </w:r>
      <w:hyperlink r:id="rId27" w:history="1">
        <w:r w:rsidRPr="00053CD4">
          <w:rPr>
            <w:rStyle w:val="Hyperlink"/>
          </w:rPr>
          <w:t>Preoperative haemoglobin assessment and optimisation template</w:t>
        </w:r>
      </w:hyperlink>
      <w:r>
        <w:t xml:space="preserve"> &lt;</w:t>
      </w:r>
      <w:r w:rsidR="006A6967" w:rsidRPr="006A6967">
        <w:t>https://www.blood.gov.au/system/files/documents/pbm-preoperative-template_0.pptx</w:t>
      </w:r>
      <w:r>
        <w:t>&gt;.</w:t>
      </w:r>
    </w:p>
    <w:p w14:paraId="484421AB" w14:textId="61CB3C29" w:rsidR="00684074" w:rsidRPr="00684074" w:rsidRDefault="00684074" w:rsidP="00684074"/>
    <w:p w14:paraId="78CC8737" w14:textId="77951D2A" w:rsidR="00684074" w:rsidRPr="00684074" w:rsidRDefault="00684074" w:rsidP="00684074">
      <w:pPr>
        <w:rPr>
          <w:rFonts w:ascii="Arial" w:eastAsia="Times" w:hAnsi="Arial"/>
        </w:rPr>
      </w:pPr>
      <w:r w:rsidRPr="00684074">
        <w:br w:type="page"/>
      </w:r>
    </w:p>
    <w:p w14:paraId="2B6B545F" w14:textId="72F1E72E" w:rsidR="00684074" w:rsidRPr="00684074" w:rsidRDefault="00684074" w:rsidP="00B11F6D">
      <w:pPr>
        <w:pStyle w:val="Heading1"/>
      </w:pPr>
      <w:bookmarkStart w:id="35" w:name="_Toc41402082"/>
      <w:bookmarkStart w:id="36" w:name="_Toc44568700"/>
      <w:r w:rsidRPr="00684074">
        <w:lastRenderedPageBreak/>
        <w:t>Appendix 4: Tools and resources</w:t>
      </w:r>
      <w:bookmarkEnd w:id="35"/>
      <w:bookmarkEnd w:id="36"/>
    </w:p>
    <w:p w14:paraId="797B607E" w14:textId="4AD113CF" w:rsidR="00684074" w:rsidRPr="00053CD4" w:rsidRDefault="00684074" w:rsidP="00B11F6D">
      <w:pPr>
        <w:pStyle w:val="DHHSbody"/>
      </w:pPr>
      <w:r w:rsidRPr="00053CD4">
        <w:t xml:space="preserve">Australian Commission on Safety and Quality in Healthcare: National patient blood management collaborative </w:t>
      </w:r>
      <w:r w:rsidR="00053CD4" w:rsidRPr="00053CD4">
        <w:t>&lt;</w:t>
      </w:r>
      <w:r w:rsidR="00CC3228" w:rsidRPr="00CC3228">
        <w:rPr>
          <w:rFonts w:ascii="Cambria" w:eastAsia="Times New Roman" w:hAnsi="Cambria"/>
        </w:rPr>
        <w:t xml:space="preserve"> </w:t>
      </w:r>
      <w:hyperlink r:id="rId28" w:history="1">
        <w:r w:rsidR="00CC3228" w:rsidRPr="00CC3228">
          <w:rPr>
            <w:rStyle w:val="Hyperlink"/>
          </w:rPr>
          <w:t>https://www.safetyandquality.gov.au/national-priorities/pbm-collaborative/latest-news/%3E</w:t>
        </w:r>
      </w:hyperlink>
    </w:p>
    <w:p w14:paraId="0D31C5A7" w14:textId="34499590" w:rsidR="00684074" w:rsidRPr="00053CD4" w:rsidRDefault="00684074" w:rsidP="00B11F6D">
      <w:pPr>
        <w:pStyle w:val="DHHSbody"/>
      </w:pPr>
      <w:r w:rsidRPr="00053CD4">
        <w:t xml:space="preserve">Australian Red Cross Blood Service – Iron deficiency anaemia </w:t>
      </w:r>
      <w:r w:rsidR="00053CD4">
        <w:t>&lt;</w:t>
      </w:r>
      <w:r w:rsidR="00CC3228" w:rsidRPr="00CC3228">
        <w:rPr>
          <w:rFonts w:ascii="Cambria" w:eastAsia="Times New Roman" w:hAnsi="Cambria"/>
        </w:rPr>
        <w:t xml:space="preserve"> </w:t>
      </w:r>
      <w:hyperlink r:id="rId29" w:history="1">
        <w:r w:rsidR="00CC3228" w:rsidRPr="00CC3228">
          <w:rPr>
            <w:rStyle w:val="Hyperlink"/>
          </w:rPr>
          <w:t>https://transfusion.com.au/transfusion_practice/anaemia_management/iron_deficiency_anaemia</w:t>
        </w:r>
      </w:hyperlink>
      <w:r w:rsidR="00CC3228" w:rsidRPr="00CC3228">
        <w:t xml:space="preserve"> </w:t>
      </w:r>
      <w:r w:rsidR="00053CD4">
        <w:t>&gt;</w:t>
      </w:r>
      <w:r w:rsidRPr="00053CD4">
        <w:t xml:space="preserve"> </w:t>
      </w:r>
    </w:p>
    <w:p w14:paraId="49783F28" w14:textId="0BE81FEE" w:rsidR="00684074" w:rsidRPr="00053CD4" w:rsidRDefault="00684074" w:rsidP="00B11F6D">
      <w:pPr>
        <w:pStyle w:val="DHHSbody"/>
      </w:pPr>
      <w:r w:rsidRPr="00053CD4">
        <w:t xml:space="preserve">BloodSafe eLearning Australia – Iron deficiency anaemia app </w:t>
      </w:r>
      <w:r w:rsidR="00053CD4" w:rsidRPr="00053CD4">
        <w:t>&lt;</w:t>
      </w:r>
      <w:r w:rsidR="00CC3228" w:rsidRPr="00CC3228">
        <w:rPr>
          <w:rFonts w:ascii="Cambria" w:eastAsia="Times New Roman" w:hAnsi="Cambria"/>
        </w:rPr>
        <w:t xml:space="preserve"> </w:t>
      </w:r>
      <w:hyperlink r:id="rId30" w:history="1">
        <w:r w:rsidR="00CC3228" w:rsidRPr="00CC3228">
          <w:rPr>
            <w:rStyle w:val="Hyperlink"/>
          </w:rPr>
          <w:t>https://bloodsafelearning.org.au/resource-centre/other-resources/ida-app/</w:t>
        </w:r>
      </w:hyperlink>
      <w:r w:rsidR="00CC3228">
        <w:t>&gt;</w:t>
      </w:r>
    </w:p>
    <w:p w14:paraId="251BB0CF" w14:textId="53724F65" w:rsidR="00684074" w:rsidRPr="00684074" w:rsidRDefault="00684074" w:rsidP="00B11F6D">
      <w:pPr>
        <w:pStyle w:val="DHHSbody"/>
      </w:pPr>
      <w:r w:rsidRPr="00684074">
        <w:t xml:space="preserve">British Society of Gastroenterology – Guidelines for the management of iron deficiency anaemia </w:t>
      </w:r>
      <w:r w:rsidR="00053CD4">
        <w:t>&lt;</w:t>
      </w:r>
      <w:r w:rsidR="00CC3228" w:rsidRPr="00CC3228">
        <w:rPr>
          <w:rFonts w:ascii="Cambria" w:eastAsia="Times New Roman" w:hAnsi="Cambria"/>
        </w:rPr>
        <w:t xml:space="preserve"> </w:t>
      </w:r>
      <w:hyperlink r:id="rId31" w:history="1">
        <w:r w:rsidR="00CC3228" w:rsidRPr="00CC3228">
          <w:rPr>
            <w:rStyle w:val="Hyperlink"/>
          </w:rPr>
          <w:t>https://www.bsg.org.uk/wp-content/uploads/2019/12/Guidelines-for-the-management-of-iron.pdf</w:t>
        </w:r>
      </w:hyperlink>
      <w:r w:rsidR="00CC3228" w:rsidRPr="00CC3228">
        <w:t xml:space="preserve"> </w:t>
      </w:r>
      <w:r w:rsidR="00053CD4">
        <w:t>&gt;</w:t>
      </w:r>
      <w:r w:rsidRPr="00684074">
        <w:t xml:space="preserve"> </w:t>
      </w:r>
    </w:p>
    <w:p w14:paraId="325AAF6B" w14:textId="6A960F45" w:rsidR="00684074" w:rsidRPr="00053CD4" w:rsidRDefault="00684074" w:rsidP="00B11F6D">
      <w:pPr>
        <w:pStyle w:val="DHHSbody"/>
      </w:pPr>
      <w:r w:rsidRPr="00053CD4">
        <w:t xml:space="preserve">National Blood Authority – Iron product choice and dose calculation guide for adults </w:t>
      </w:r>
      <w:r w:rsidR="00015C9A">
        <w:t>&lt;</w:t>
      </w:r>
      <w:r w:rsidR="00CC3228" w:rsidRPr="00CC3228">
        <w:rPr>
          <w:rFonts w:ascii="Cambria" w:eastAsia="Times New Roman" w:hAnsi="Cambria"/>
        </w:rPr>
        <w:t xml:space="preserve"> </w:t>
      </w:r>
      <w:hyperlink r:id="rId32" w:history="1">
        <w:r w:rsidR="00CC3228" w:rsidRPr="00CC3228">
          <w:rPr>
            <w:rStyle w:val="Hyperlink"/>
          </w:rPr>
          <w:t>https://www.blood.gov.au/iron-product-choice-and-dose-calculation-guide-adults</w:t>
        </w:r>
      </w:hyperlink>
      <w:r w:rsidR="00CC3228" w:rsidRPr="00CC3228">
        <w:t xml:space="preserve"> </w:t>
      </w:r>
      <w:r w:rsidR="00015C9A">
        <w:t>&gt;</w:t>
      </w:r>
    </w:p>
    <w:p w14:paraId="5C087AE1" w14:textId="352D4914" w:rsidR="00684074" w:rsidRPr="00015C9A" w:rsidRDefault="00684074" w:rsidP="00B11F6D">
      <w:pPr>
        <w:pStyle w:val="DHHSbody"/>
      </w:pPr>
      <w:r w:rsidRPr="00684074">
        <w:t>Na</w:t>
      </w:r>
      <w:r w:rsidRPr="00015C9A">
        <w:t xml:space="preserve">tional Blood Authority – Preoperative anaemia identification, assessment and management case study </w:t>
      </w:r>
      <w:r w:rsidR="00015C9A">
        <w:t>&lt;</w:t>
      </w:r>
      <w:r w:rsidR="00CC3228" w:rsidRPr="00CC3228">
        <w:rPr>
          <w:rFonts w:ascii="Cambria" w:eastAsia="Times New Roman" w:hAnsi="Cambria"/>
        </w:rPr>
        <w:t xml:space="preserve"> </w:t>
      </w:r>
      <w:hyperlink r:id="rId33" w:history="1">
        <w:r w:rsidR="00CC3228" w:rsidRPr="00CC3228">
          <w:rPr>
            <w:rStyle w:val="Hyperlink"/>
          </w:rPr>
          <w:t>https://www.blood.gov.au/preoperative-anaemia-identification-assessment-and-management-case-study</w:t>
        </w:r>
      </w:hyperlink>
      <w:r w:rsidR="00CC3228" w:rsidRPr="00CC3228">
        <w:t xml:space="preserve"> </w:t>
      </w:r>
      <w:r w:rsidR="00015C9A">
        <w:t>&gt;</w:t>
      </w:r>
    </w:p>
    <w:p w14:paraId="4C5EEFDD" w14:textId="17D39E29" w:rsidR="00684074" w:rsidRPr="00015C9A" w:rsidRDefault="00684074" w:rsidP="00B11F6D">
      <w:pPr>
        <w:pStyle w:val="DHHSbody"/>
      </w:pPr>
      <w:r w:rsidRPr="00015C9A">
        <w:t xml:space="preserve">NPS MedicineWise – Fit for surgery: managing iron deficiency anaemia </w:t>
      </w:r>
      <w:r w:rsidR="00015C9A">
        <w:t>&lt;</w:t>
      </w:r>
      <w:r w:rsidR="00CC3228" w:rsidRPr="00CC3228">
        <w:rPr>
          <w:rFonts w:eastAsia="Times New Roman" w:cs="Arial"/>
          <w:color w:val="1F497D"/>
          <w:sz w:val="22"/>
          <w:szCs w:val="22"/>
        </w:rPr>
        <w:t xml:space="preserve"> </w:t>
      </w:r>
      <w:hyperlink r:id="rId34" w:history="1">
        <w:r w:rsidR="00CC3228" w:rsidRPr="00CC3228">
          <w:rPr>
            <w:rStyle w:val="Hyperlink"/>
          </w:rPr>
          <w:t>https://www.blood.gov.au/system/files/documents/fit-for-surgery-algorithm-chronic_0.pdf</w:t>
        </w:r>
      </w:hyperlink>
      <w:r w:rsidR="00CC3228" w:rsidRPr="00CC3228">
        <w:t xml:space="preserve"> </w:t>
      </w:r>
      <w:r w:rsidR="00015C9A">
        <w:t>&gt;</w:t>
      </w:r>
    </w:p>
    <w:p w14:paraId="7124E13A" w14:textId="14EB2AC3" w:rsidR="00684074" w:rsidRPr="00684074" w:rsidRDefault="00684074" w:rsidP="00B11F6D">
      <w:pPr>
        <w:pStyle w:val="DHHSbody"/>
      </w:pPr>
      <w:r w:rsidRPr="00684074">
        <w:t xml:space="preserve">SA Health BloodSafe – the following resources are available: </w:t>
      </w:r>
      <w:r w:rsidR="00015C9A">
        <w:t>&lt;</w:t>
      </w:r>
      <w:r w:rsidR="008A4207" w:rsidRPr="008A4207">
        <w:t xml:space="preserve"> </w:t>
      </w:r>
      <w:hyperlink r:id="rId35" w:history="1">
        <w:r w:rsidR="00D87245" w:rsidRPr="00D87245">
          <w:rPr>
            <w:rStyle w:val="Hyperlink"/>
          </w:rPr>
          <w:t>https://www.sahealth.sa.gov.au/wps/wcm/connect/public+content/sa+health+internet/clinical+resources/clinical+programs+and+practice+guidelines/blood+organ+and+tissue/blood+management/anaemia+management</w:t>
        </w:r>
      </w:hyperlink>
      <w:r w:rsidR="00D87245" w:rsidRPr="00D87245">
        <w:t xml:space="preserve"> </w:t>
      </w:r>
      <w:r w:rsidR="008A4207">
        <w:t>&gt;</w:t>
      </w:r>
      <w:r w:rsidR="008A4207" w:rsidRPr="008A4207" w:rsidDel="008A4207">
        <w:t xml:space="preserve"> </w:t>
      </w:r>
      <w:r w:rsidRPr="00684074">
        <w:t xml:space="preserve"> </w:t>
      </w:r>
    </w:p>
    <w:p w14:paraId="2EE15626" w14:textId="77777777" w:rsidR="00684074" w:rsidRPr="00684074" w:rsidRDefault="00684074" w:rsidP="008A4207">
      <w:pPr>
        <w:pStyle w:val="DHHSbody"/>
        <w:numPr>
          <w:ilvl w:val="0"/>
          <w:numId w:val="24"/>
        </w:numPr>
      </w:pPr>
      <w:r w:rsidRPr="00684074">
        <w:t xml:space="preserve">IV iron preparations chart and oral iron dosing chart for clinicians including colour illustrations and preparation table of oral and IV iron preparations available in Australia. </w:t>
      </w:r>
    </w:p>
    <w:p w14:paraId="15B2AED3" w14:textId="77777777" w:rsidR="00684074" w:rsidRPr="00684074" w:rsidRDefault="00684074" w:rsidP="008A4207">
      <w:pPr>
        <w:pStyle w:val="DHHSbody"/>
        <w:numPr>
          <w:ilvl w:val="0"/>
          <w:numId w:val="24"/>
        </w:numPr>
      </w:pPr>
      <w:r w:rsidRPr="00684074">
        <w:t>Prescribing checklist for IV iron – guidance on the indications, contradictions and precautions for the use of IV iron.</w:t>
      </w:r>
    </w:p>
    <w:p w14:paraId="52B69B91" w14:textId="6580841A" w:rsidR="00684074" w:rsidRPr="00015C9A" w:rsidRDefault="00684074" w:rsidP="00D87245">
      <w:pPr>
        <w:pStyle w:val="DHHSbody"/>
      </w:pPr>
      <w:r w:rsidRPr="00684074">
        <w:t>Treatment of iron deficiency anaemia in pregnancy – Guide to treatment of iron deficiency anaemia in pregnancy from the Women's Hospital, Melbourne</w:t>
      </w:r>
      <w:r w:rsidR="00015C9A">
        <w:t xml:space="preserve"> &lt;</w:t>
      </w:r>
      <w:hyperlink r:id="rId36" w:history="1">
        <w:r w:rsidR="00D87245" w:rsidRPr="00D87245">
          <w:rPr>
            <w:rStyle w:val="Hyperlink"/>
          </w:rPr>
          <w:t>https://thewomens.r.worldssl.net/images/uploads/downloadable-records/clinical-guidelines/iron_deficiency_-_management_in_maternity_and_gynaecology_patients_51118.pdf</w:t>
        </w:r>
      </w:hyperlink>
      <w:r w:rsidR="00015C9A">
        <w:t>&gt;</w:t>
      </w:r>
    </w:p>
    <w:p w14:paraId="427AEB3C" w14:textId="0C5EB6E1" w:rsidR="00684074" w:rsidRPr="00684074" w:rsidRDefault="00684074" w:rsidP="00B11F6D">
      <w:pPr>
        <w:pStyle w:val="DHHSbody"/>
      </w:pPr>
      <w:r w:rsidRPr="00684074">
        <w:t>Iron therapy –fact sheet in 1</w:t>
      </w:r>
      <w:r w:rsidR="006F42B3">
        <w:t>8</w:t>
      </w:r>
      <w:r w:rsidRPr="00684074">
        <w:t xml:space="preserve"> languages, </w:t>
      </w:r>
      <w:r w:rsidR="006F42B3">
        <w:t>&lt;</w:t>
      </w:r>
      <w:r w:rsidR="00D87245" w:rsidRPr="00D87245">
        <w:rPr>
          <w:rFonts w:ascii="Cambria" w:eastAsia="Times New Roman" w:hAnsi="Cambria"/>
        </w:rPr>
        <w:t xml:space="preserve"> </w:t>
      </w:r>
      <w:hyperlink r:id="rId37" w:history="1">
        <w:r w:rsidR="00D87245" w:rsidRPr="00D87245">
          <w:rPr>
            <w:rStyle w:val="Hyperlink"/>
          </w:rPr>
          <w:t>https://www.sahealth.sa.gov.au/wps/wcm/connect/public+content/sa+health+internet/conditions/blood+organ+and+tissue/iron+deficiency+and+iron+therapy</w:t>
        </w:r>
      </w:hyperlink>
      <w:r w:rsidR="00D87245" w:rsidRPr="00D87245">
        <w:t xml:space="preserve"> </w:t>
      </w:r>
      <w:r w:rsidR="006F42B3">
        <w:t>&gt;</w:t>
      </w:r>
    </w:p>
    <w:p w14:paraId="009F3A50" w14:textId="77777777" w:rsidR="00684074" w:rsidRPr="00684074" w:rsidRDefault="00684074" w:rsidP="00B11F6D">
      <w:pPr>
        <w:pStyle w:val="DHHSbody"/>
      </w:pPr>
      <w:r w:rsidRPr="00684074">
        <w:t>Iron disorders patient information resources list – resources for consumers related to both haemochromatosis and iron deficiency.</w:t>
      </w:r>
    </w:p>
    <w:p w14:paraId="778CB68C" w14:textId="3C112A6E" w:rsidR="00684074" w:rsidRPr="00684074" w:rsidRDefault="00684074" w:rsidP="008A4207">
      <w:pPr>
        <w:pStyle w:val="DHHSbody"/>
        <w:numPr>
          <w:ilvl w:val="0"/>
          <w:numId w:val="25"/>
        </w:numPr>
      </w:pPr>
      <w:r w:rsidRPr="00684074">
        <w:t xml:space="preserve">Victorian State Government – Better health channel: Iron deficiency – adults </w:t>
      </w:r>
      <w:r w:rsidR="00015C9A">
        <w:t>&lt;</w:t>
      </w:r>
      <w:r w:rsidR="00D87245" w:rsidRPr="00D87245">
        <w:rPr>
          <w:rFonts w:ascii="Cambria" w:eastAsia="Times New Roman" w:hAnsi="Cambria"/>
        </w:rPr>
        <w:t xml:space="preserve"> </w:t>
      </w:r>
      <w:hyperlink r:id="rId38" w:history="1">
        <w:r w:rsidR="00D87245" w:rsidRPr="00D87245">
          <w:rPr>
            <w:rStyle w:val="Hyperlink"/>
          </w:rPr>
          <w:t>https://www.betterhealth.vic.gov.au/health/conditionsandtreatments/iron-deficiency-adults</w:t>
        </w:r>
      </w:hyperlink>
      <w:r w:rsidR="00D87245" w:rsidRPr="00D87245">
        <w:t xml:space="preserve"> </w:t>
      </w:r>
      <w:r w:rsidR="00015C9A">
        <w:t>&gt;</w:t>
      </w:r>
      <w:r w:rsidRPr="00684074">
        <w:t xml:space="preserve"> </w:t>
      </w:r>
    </w:p>
    <w:p w14:paraId="6C440E7F" w14:textId="047D8B76" w:rsidR="00684074" w:rsidRPr="00684074" w:rsidRDefault="00684074" w:rsidP="008A4207">
      <w:pPr>
        <w:pStyle w:val="DHHSbody"/>
        <w:numPr>
          <w:ilvl w:val="0"/>
          <w:numId w:val="25"/>
        </w:numPr>
      </w:pPr>
      <w:r w:rsidRPr="00684074">
        <w:t xml:space="preserve">Victorian State Government – Better health channel: Iron </w:t>
      </w:r>
      <w:r w:rsidR="00015C9A">
        <w:t>&lt;</w:t>
      </w:r>
      <w:r w:rsidR="00D87245" w:rsidRPr="00D87245">
        <w:rPr>
          <w:rFonts w:ascii="Cambria" w:eastAsia="Times New Roman" w:hAnsi="Cambria"/>
        </w:rPr>
        <w:t xml:space="preserve"> </w:t>
      </w:r>
      <w:hyperlink r:id="rId39" w:history="1">
        <w:r w:rsidR="00D87245" w:rsidRPr="00D87245">
          <w:rPr>
            <w:rStyle w:val="Hyperlink"/>
          </w:rPr>
          <w:t>https://www.betterhealth.vic.gov.au/health/conditionsandtreatments/iron</w:t>
        </w:r>
      </w:hyperlink>
      <w:r w:rsidR="00D87245" w:rsidRPr="00D87245">
        <w:t xml:space="preserve"> </w:t>
      </w:r>
      <w:r w:rsidR="00015C9A">
        <w:t>&gt;</w:t>
      </w:r>
      <w:r w:rsidRPr="00684074">
        <w:t xml:space="preserve"> </w:t>
      </w:r>
    </w:p>
    <w:p w14:paraId="09ED0A43" w14:textId="439DDEC2" w:rsidR="00684074" w:rsidRPr="00015C9A" w:rsidRDefault="00684074" w:rsidP="00B11F6D">
      <w:pPr>
        <w:pStyle w:val="DHHSbody"/>
      </w:pPr>
      <w:r w:rsidRPr="00684074">
        <w:t xml:space="preserve">Western Australian Department of Health – About patient blood management </w:t>
      </w:r>
      <w:r w:rsidR="00015C9A">
        <w:t>&lt;</w:t>
      </w:r>
      <w:r w:rsidR="00D87245" w:rsidRPr="00D87245">
        <w:rPr>
          <w:rFonts w:ascii="Cambria" w:eastAsia="Times New Roman" w:hAnsi="Cambria"/>
        </w:rPr>
        <w:t xml:space="preserve"> </w:t>
      </w:r>
      <w:hyperlink r:id="rId40" w:history="1">
        <w:r w:rsidR="00D87245" w:rsidRPr="00D87245">
          <w:rPr>
            <w:rStyle w:val="Hyperlink"/>
          </w:rPr>
          <w:t>https://healthywa.wa.gov.au/Articles/N_R/Patient-blood-management</w:t>
        </w:r>
      </w:hyperlink>
      <w:r w:rsidR="00D87245" w:rsidRPr="00D87245">
        <w:t xml:space="preserve"> </w:t>
      </w:r>
      <w:r w:rsidR="00015C9A">
        <w:t>&gt;</w:t>
      </w:r>
      <w:r w:rsidRPr="00015C9A">
        <w:t xml:space="preserve"> </w:t>
      </w:r>
    </w:p>
    <w:p w14:paraId="65AF6402" w14:textId="77777777" w:rsidR="00684074" w:rsidRPr="00684074" w:rsidRDefault="00684074" w:rsidP="00684074">
      <w:pPr>
        <w:rPr>
          <w:rFonts w:ascii="Arial" w:hAnsi="Arial"/>
          <w:bCs/>
          <w:color w:val="DA372E"/>
          <w:sz w:val="44"/>
          <w:szCs w:val="44"/>
        </w:rPr>
      </w:pPr>
      <w:r w:rsidRPr="00684074">
        <w:br w:type="page"/>
      </w:r>
    </w:p>
    <w:p w14:paraId="149C9F5C" w14:textId="77777777" w:rsidR="00684074" w:rsidRPr="00684074" w:rsidRDefault="00684074" w:rsidP="00B11F6D">
      <w:pPr>
        <w:pStyle w:val="Heading1"/>
      </w:pPr>
      <w:bookmarkStart w:id="37" w:name="_Toc41402083"/>
      <w:bookmarkStart w:id="38" w:name="_Toc44568701"/>
      <w:r w:rsidRPr="00684074">
        <w:lastRenderedPageBreak/>
        <w:t xml:space="preserve">Appendix 5: National </w:t>
      </w:r>
      <w:r w:rsidRPr="00015C9A">
        <w:t>PBM</w:t>
      </w:r>
      <w:r w:rsidRPr="00684074">
        <w:t xml:space="preserve"> collaborative</w:t>
      </w:r>
      <w:bookmarkEnd w:id="37"/>
      <w:bookmarkEnd w:id="38"/>
      <w:r w:rsidRPr="00684074">
        <w:t xml:space="preserve"> </w:t>
      </w:r>
    </w:p>
    <w:p w14:paraId="5369EE09" w14:textId="77777777" w:rsidR="00684074" w:rsidRPr="00015C9A" w:rsidRDefault="00684074" w:rsidP="00B11F6D">
      <w:pPr>
        <w:pStyle w:val="DHHSbody"/>
      </w:pPr>
      <w:r w:rsidRPr="00015C9A">
        <w:t xml:space="preserve">While blood and blood products can be lifesaving, their administration may also be hazardous for patients. Patients undergoing major elective surgery are at increased risk of needing a transfusion. Blood transfusions can be avoided in many patients through better patient blood management (PBM). PBM involves optimising blood volume and red cell mass, minimising blood loss and optimising the patient’s tolerance of anaemia. The National Blood Authority’s PBM Guidelines, and the Australian Commission on Safety and Quality in Health Care (the Commission) National Safety and Quality Health Service Standard 7: Blood and Blood Products assist clinicians to improve PBM. For elective surgical patients preoperative anaemia management reduces the likelihood a transfusion will be required. </w:t>
      </w:r>
    </w:p>
    <w:p w14:paraId="21DDBBFE" w14:textId="6E0F344F" w:rsidR="00684074" w:rsidRPr="00015C9A" w:rsidRDefault="00684074" w:rsidP="00B11F6D">
      <w:pPr>
        <w:pStyle w:val="DHHSbody"/>
      </w:pPr>
      <w:r w:rsidRPr="00015C9A">
        <w:t xml:space="preserve">From April 2015 to April 2017, the Australian Commission </w:t>
      </w:r>
      <w:r w:rsidR="00015C9A" w:rsidRPr="00015C9A">
        <w:t>o</w:t>
      </w:r>
      <w:r w:rsidR="00015C9A">
        <w:t>n</w:t>
      </w:r>
      <w:r w:rsidR="00015C9A" w:rsidRPr="00015C9A">
        <w:t xml:space="preserve"> </w:t>
      </w:r>
      <w:r w:rsidRPr="00015C9A">
        <w:t>Safety and Quality in Health Care led a National Patient Blood Management Collaborative to support improvements in the management of anaemia for patients having elective gastrointestinal, gynaecological and orthopaedic surgery procedures. Twelve health services across Australia participated in the project, trialling and evaluating local ‘Plan, Do, Study, Act’ cycles aimed at reducing the number of patients proceeding to surgery with unknown levels of haemoglobin or iron stores. Over the project period assessment rates for iron deficiency more than doubled for each surgical specialty.</w:t>
      </w:r>
    </w:p>
    <w:p w14:paraId="5281C841" w14:textId="22F9E2D8" w:rsidR="00684074" w:rsidRPr="00684074" w:rsidRDefault="00684074" w:rsidP="00B11F6D">
      <w:pPr>
        <w:pStyle w:val="DHHStablecaption"/>
        <w:rPr>
          <w:rFonts w:eastAsia="Times"/>
        </w:rPr>
      </w:pPr>
      <w:r w:rsidRPr="00684074">
        <w:rPr>
          <w:rFonts w:eastAsia="Times"/>
        </w:rPr>
        <w:t>Table</w:t>
      </w:r>
      <w:r w:rsidR="008A4207">
        <w:rPr>
          <w:rFonts w:eastAsia="Times"/>
        </w:rPr>
        <w:t xml:space="preserve"> 11</w:t>
      </w:r>
      <w:r w:rsidRPr="00684074">
        <w:rPr>
          <w:rFonts w:eastAsia="Times"/>
        </w:rPr>
        <w:t xml:space="preserve">: Assessment rates for iron deficiency from 2015 to </w:t>
      </w:r>
      <w:r w:rsidRPr="00015C9A">
        <w:rPr>
          <w:rFonts w:eastAsia="Times"/>
        </w:rPr>
        <w:t>2017</w:t>
      </w:r>
    </w:p>
    <w:tbl>
      <w:tblPr>
        <w:tblStyle w:val="TableGrid1"/>
        <w:tblW w:w="0" w:type="auto"/>
        <w:tblLook w:val="04A0" w:firstRow="1" w:lastRow="0" w:firstColumn="1" w:lastColumn="0" w:noHBand="0" w:noVBand="1"/>
      </w:tblPr>
      <w:tblGrid>
        <w:gridCol w:w="3020"/>
        <w:gridCol w:w="3020"/>
        <w:gridCol w:w="3020"/>
      </w:tblGrid>
      <w:tr w:rsidR="00684074" w:rsidRPr="00647DB6" w14:paraId="5173F059" w14:textId="77777777" w:rsidTr="00684074">
        <w:tc>
          <w:tcPr>
            <w:tcW w:w="3020" w:type="dxa"/>
          </w:tcPr>
          <w:p w14:paraId="57EC3C4E" w14:textId="77777777" w:rsidR="00684074" w:rsidRPr="00015C9A" w:rsidRDefault="00684074" w:rsidP="00B11F6D">
            <w:pPr>
              <w:pStyle w:val="DHHStablecolhead"/>
              <w:rPr>
                <w:rFonts w:eastAsia="Times"/>
              </w:rPr>
            </w:pPr>
            <w:r w:rsidRPr="00015C9A">
              <w:rPr>
                <w:rFonts w:eastAsia="Times"/>
              </w:rPr>
              <w:t>Surgery type</w:t>
            </w:r>
          </w:p>
        </w:tc>
        <w:tc>
          <w:tcPr>
            <w:tcW w:w="3020" w:type="dxa"/>
          </w:tcPr>
          <w:p w14:paraId="1CD25C3F" w14:textId="77777777" w:rsidR="00684074" w:rsidRPr="00015C9A" w:rsidRDefault="00684074" w:rsidP="00B11F6D">
            <w:pPr>
              <w:pStyle w:val="DHHStablecolhead"/>
              <w:rPr>
                <w:rFonts w:eastAsia="Times"/>
              </w:rPr>
            </w:pPr>
            <w:r w:rsidRPr="00015C9A">
              <w:rPr>
                <w:rFonts w:eastAsia="Times"/>
              </w:rPr>
              <w:t>2015: assessment rate</w:t>
            </w:r>
          </w:p>
        </w:tc>
        <w:tc>
          <w:tcPr>
            <w:tcW w:w="3020" w:type="dxa"/>
          </w:tcPr>
          <w:p w14:paraId="4D29A38B" w14:textId="77777777" w:rsidR="00684074" w:rsidRPr="00015C9A" w:rsidRDefault="00684074" w:rsidP="00B11F6D">
            <w:pPr>
              <w:pStyle w:val="DHHStablecolhead"/>
              <w:rPr>
                <w:rFonts w:eastAsia="Times"/>
              </w:rPr>
            </w:pPr>
            <w:r w:rsidRPr="00015C9A">
              <w:rPr>
                <w:rFonts w:eastAsia="Times"/>
              </w:rPr>
              <w:t>2017: assessment rate</w:t>
            </w:r>
          </w:p>
        </w:tc>
      </w:tr>
      <w:tr w:rsidR="00684074" w:rsidRPr="00647DB6" w14:paraId="7553CF39" w14:textId="77777777" w:rsidTr="00684074">
        <w:tc>
          <w:tcPr>
            <w:tcW w:w="3020" w:type="dxa"/>
          </w:tcPr>
          <w:p w14:paraId="67D872E7" w14:textId="77777777" w:rsidR="00684074" w:rsidRPr="00015C9A" w:rsidRDefault="00684074" w:rsidP="00B11F6D">
            <w:pPr>
              <w:pStyle w:val="DHHStabletext"/>
              <w:rPr>
                <w:rFonts w:eastAsia="Times"/>
              </w:rPr>
            </w:pPr>
            <w:r w:rsidRPr="00015C9A">
              <w:rPr>
                <w:rFonts w:eastAsia="Times"/>
              </w:rPr>
              <w:t xml:space="preserve">Gastrointestinal </w:t>
            </w:r>
          </w:p>
        </w:tc>
        <w:tc>
          <w:tcPr>
            <w:tcW w:w="3020" w:type="dxa"/>
          </w:tcPr>
          <w:p w14:paraId="75BCE952" w14:textId="77777777" w:rsidR="00684074" w:rsidRPr="00015C9A" w:rsidRDefault="00684074" w:rsidP="00B11F6D">
            <w:pPr>
              <w:pStyle w:val="DHHStabletext"/>
              <w:jc w:val="right"/>
              <w:rPr>
                <w:rFonts w:eastAsia="Times"/>
              </w:rPr>
            </w:pPr>
            <w:r w:rsidRPr="00015C9A">
              <w:rPr>
                <w:rFonts w:eastAsia="Times"/>
              </w:rPr>
              <w:t>25%</w:t>
            </w:r>
          </w:p>
        </w:tc>
        <w:tc>
          <w:tcPr>
            <w:tcW w:w="3020" w:type="dxa"/>
          </w:tcPr>
          <w:p w14:paraId="6B4FF416" w14:textId="77777777" w:rsidR="00684074" w:rsidRPr="00015C9A" w:rsidRDefault="00684074" w:rsidP="00B11F6D">
            <w:pPr>
              <w:pStyle w:val="DHHStabletext"/>
              <w:jc w:val="right"/>
              <w:rPr>
                <w:rFonts w:eastAsia="Times"/>
              </w:rPr>
            </w:pPr>
            <w:r w:rsidRPr="00015C9A">
              <w:rPr>
                <w:rFonts w:eastAsia="Times"/>
              </w:rPr>
              <w:t>57%</w:t>
            </w:r>
          </w:p>
        </w:tc>
      </w:tr>
      <w:tr w:rsidR="00684074" w:rsidRPr="00647DB6" w14:paraId="0BE01542" w14:textId="77777777" w:rsidTr="00684074">
        <w:tc>
          <w:tcPr>
            <w:tcW w:w="3020" w:type="dxa"/>
          </w:tcPr>
          <w:p w14:paraId="2B41B8D1" w14:textId="77777777" w:rsidR="00684074" w:rsidRPr="00015C9A" w:rsidRDefault="00684074" w:rsidP="00B11F6D">
            <w:pPr>
              <w:pStyle w:val="DHHStabletext"/>
              <w:rPr>
                <w:rFonts w:eastAsia="Times"/>
              </w:rPr>
            </w:pPr>
            <w:r w:rsidRPr="00015C9A">
              <w:rPr>
                <w:rFonts w:eastAsia="Times"/>
              </w:rPr>
              <w:t xml:space="preserve">Orthopaedic </w:t>
            </w:r>
          </w:p>
        </w:tc>
        <w:tc>
          <w:tcPr>
            <w:tcW w:w="3020" w:type="dxa"/>
          </w:tcPr>
          <w:p w14:paraId="135BEE30" w14:textId="77777777" w:rsidR="00684074" w:rsidRPr="00015C9A" w:rsidRDefault="00684074" w:rsidP="00B11F6D">
            <w:pPr>
              <w:pStyle w:val="DHHStabletext"/>
              <w:jc w:val="right"/>
              <w:rPr>
                <w:rFonts w:eastAsia="Times"/>
              </w:rPr>
            </w:pPr>
            <w:r w:rsidRPr="00015C9A">
              <w:rPr>
                <w:rFonts w:eastAsia="Times"/>
              </w:rPr>
              <w:t>35%</w:t>
            </w:r>
          </w:p>
        </w:tc>
        <w:tc>
          <w:tcPr>
            <w:tcW w:w="3020" w:type="dxa"/>
          </w:tcPr>
          <w:p w14:paraId="48CD6D1F" w14:textId="77777777" w:rsidR="00684074" w:rsidRPr="00015C9A" w:rsidRDefault="00684074" w:rsidP="00B11F6D">
            <w:pPr>
              <w:pStyle w:val="DHHStabletext"/>
              <w:jc w:val="right"/>
              <w:rPr>
                <w:rFonts w:eastAsia="Times"/>
              </w:rPr>
            </w:pPr>
            <w:r w:rsidRPr="00015C9A">
              <w:rPr>
                <w:rFonts w:eastAsia="Times"/>
              </w:rPr>
              <w:t>71%</w:t>
            </w:r>
          </w:p>
        </w:tc>
      </w:tr>
      <w:tr w:rsidR="00684074" w:rsidRPr="00647DB6" w14:paraId="005A79E8" w14:textId="77777777" w:rsidTr="00684074">
        <w:tc>
          <w:tcPr>
            <w:tcW w:w="3020" w:type="dxa"/>
          </w:tcPr>
          <w:p w14:paraId="2E9C3408" w14:textId="77777777" w:rsidR="00684074" w:rsidRPr="00015C9A" w:rsidRDefault="00684074" w:rsidP="00B11F6D">
            <w:pPr>
              <w:pStyle w:val="DHHStabletext"/>
              <w:rPr>
                <w:rFonts w:eastAsia="Times"/>
              </w:rPr>
            </w:pPr>
            <w:r w:rsidRPr="00015C9A">
              <w:rPr>
                <w:rFonts w:eastAsia="Times"/>
              </w:rPr>
              <w:t>Gynaecology</w:t>
            </w:r>
          </w:p>
        </w:tc>
        <w:tc>
          <w:tcPr>
            <w:tcW w:w="3020" w:type="dxa"/>
          </w:tcPr>
          <w:p w14:paraId="3984F372" w14:textId="77777777" w:rsidR="00684074" w:rsidRPr="00015C9A" w:rsidRDefault="00684074" w:rsidP="00B11F6D">
            <w:pPr>
              <w:pStyle w:val="DHHStabletext"/>
              <w:jc w:val="right"/>
              <w:rPr>
                <w:rFonts w:eastAsia="Times"/>
              </w:rPr>
            </w:pPr>
            <w:r w:rsidRPr="00015C9A">
              <w:rPr>
                <w:rFonts w:eastAsia="Times"/>
              </w:rPr>
              <w:t>18%</w:t>
            </w:r>
          </w:p>
        </w:tc>
        <w:tc>
          <w:tcPr>
            <w:tcW w:w="3020" w:type="dxa"/>
          </w:tcPr>
          <w:p w14:paraId="3C7C1C67" w14:textId="77777777" w:rsidR="00684074" w:rsidRPr="00015C9A" w:rsidRDefault="00684074" w:rsidP="00B11F6D">
            <w:pPr>
              <w:pStyle w:val="DHHStabletext"/>
              <w:jc w:val="right"/>
              <w:rPr>
                <w:rFonts w:eastAsia="Times"/>
              </w:rPr>
            </w:pPr>
            <w:r w:rsidRPr="00015C9A">
              <w:rPr>
                <w:rFonts w:eastAsia="Times"/>
              </w:rPr>
              <w:t>42%</w:t>
            </w:r>
          </w:p>
        </w:tc>
      </w:tr>
    </w:tbl>
    <w:p w14:paraId="51A69A50" w14:textId="1F6A3309" w:rsidR="00AC0C3B" w:rsidRPr="00256E7C" w:rsidRDefault="00684074" w:rsidP="00256E7C">
      <w:pPr>
        <w:pStyle w:val="DHHSbody"/>
      </w:pPr>
      <w:r w:rsidRPr="00684074">
        <w:t>More information can be found at</w:t>
      </w:r>
      <w:r w:rsidR="00015C9A">
        <w:t xml:space="preserve"> the Australian Commission on</w:t>
      </w:r>
      <w:r w:rsidRPr="00684074">
        <w:t xml:space="preserve"> </w:t>
      </w:r>
      <w:r w:rsidR="00015C9A">
        <w:t xml:space="preserve">Safety and Quality in Health Care’s </w:t>
      </w:r>
      <w:hyperlink r:id="rId41" w:history="1">
        <w:r w:rsidR="005629FD" w:rsidRPr="005629FD">
          <w:rPr>
            <w:rStyle w:val="Hyperlink"/>
          </w:rPr>
          <w:t>Patient Blood Management Collective website</w:t>
        </w:r>
      </w:hyperlink>
      <w:r w:rsidR="005629FD">
        <w:t xml:space="preserve"> </w:t>
      </w:r>
      <w:r w:rsidR="00015C9A">
        <w:t>&lt;</w:t>
      </w:r>
      <w:r w:rsidR="00015C9A" w:rsidRPr="00B11F6D">
        <w:t>http://www.safetyandquality.gov.au/national-priorities/pbm-collaborative/latest-news/</w:t>
      </w:r>
      <w:r w:rsidR="00015C9A">
        <w:t>&gt;</w:t>
      </w:r>
      <w:r w:rsidR="005629FD">
        <w:t>.</w:t>
      </w:r>
    </w:p>
    <w:sectPr w:rsidR="00AC0C3B" w:rsidRPr="00256E7C" w:rsidSect="00BA5E47">
      <w:headerReference w:type="even" r:id="rId42"/>
      <w:headerReference w:type="default" r:id="rId43"/>
      <w:footerReference w:type="even" r:id="rId44"/>
      <w:footerReference w:type="default" r:id="rId45"/>
      <w:footerReference w:type="first" r:id="rId46"/>
      <w:pgSz w:w="11906" w:h="16838"/>
      <w:pgMar w:top="1701" w:right="1304" w:bottom="1134" w:left="1304" w:header="454" w:footer="51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5F2D" w16cex:dateUtc="2020-07-01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CF424D" w16cid:durableId="22A75F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0975C" w14:textId="77777777" w:rsidR="00F23444" w:rsidRDefault="00F23444">
      <w:r>
        <w:separator/>
      </w:r>
    </w:p>
  </w:endnote>
  <w:endnote w:type="continuationSeparator" w:id="0">
    <w:p w14:paraId="101D0AD0" w14:textId="77777777" w:rsidR="00F23444" w:rsidRDefault="00F2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1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7BA30" w14:textId="57560B64" w:rsidR="00F23444" w:rsidRPr="008114D1" w:rsidRDefault="00F23444" w:rsidP="00E969B1">
    <w:pPr>
      <w:pStyle w:val="DHHSfooter"/>
    </w:pPr>
    <w:r>
      <w:t xml:space="preserve">Page </w:t>
    </w:r>
    <w:r w:rsidRPr="005A39EC">
      <w:fldChar w:fldCharType="begin"/>
    </w:r>
    <w:r w:rsidRPr="005A39EC">
      <w:instrText xml:space="preserve"> PAGE </w:instrText>
    </w:r>
    <w:r w:rsidRPr="005A39EC">
      <w:fldChar w:fldCharType="separate"/>
    </w:r>
    <w:r w:rsidR="00147D5C">
      <w:rPr>
        <w:noProof/>
      </w:rPr>
      <w:t>24</w:t>
    </w:r>
    <w:r w:rsidRPr="005A39EC">
      <w:fldChar w:fldCharType="end"/>
    </w:r>
    <w:r>
      <w:tab/>
      <w:t xml:space="preserve"> P</w:t>
    </w:r>
    <w:r w:rsidRPr="009D10F5">
      <w:t xml:space="preserve">reoperative anaemia assessment and management in elective surgical procedures </w:t>
    </w:r>
    <w: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25D30" w14:textId="3F2F7267" w:rsidR="00F23444" w:rsidRPr="0031753A" w:rsidRDefault="00F23444" w:rsidP="00E969B1">
    <w:pPr>
      <w:pStyle w:val="DHHSfooter"/>
    </w:pPr>
    <w:r>
      <w:t>Pr</w:t>
    </w:r>
    <w:r w:rsidRPr="009D10F5">
      <w:t>eoperative anaemia assessment and management in elective surgical procedures 20</w:t>
    </w:r>
    <w:r>
      <w:t>20</w:t>
    </w:r>
    <w:r w:rsidRPr="0031753A">
      <w:tab/>
      <w:t xml:space="preserve">Page </w:t>
    </w:r>
    <w:r w:rsidRPr="0031753A">
      <w:fldChar w:fldCharType="begin"/>
    </w:r>
    <w:r w:rsidRPr="0031753A">
      <w:instrText xml:space="preserve"> PAGE </w:instrText>
    </w:r>
    <w:r w:rsidRPr="0031753A">
      <w:fldChar w:fldCharType="separate"/>
    </w:r>
    <w:r w:rsidR="00147D5C">
      <w:rPr>
        <w:noProof/>
      </w:rPr>
      <w:t>23</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D3A6" w14:textId="77777777" w:rsidR="00F23444" w:rsidRPr="001A7E04" w:rsidRDefault="00F23444" w:rsidP="00AC0C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C5A5" w14:textId="3FA9E99D" w:rsidR="00F23444" w:rsidRPr="008114D1" w:rsidRDefault="00F23444" w:rsidP="00E969B1">
    <w:pPr>
      <w:pStyle w:val="DHHSfooter"/>
    </w:pPr>
    <w:r>
      <w:t xml:space="preserve">Page </w:t>
    </w:r>
    <w:r w:rsidRPr="005A39EC">
      <w:fldChar w:fldCharType="begin"/>
    </w:r>
    <w:r w:rsidRPr="005A39EC">
      <w:instrText xml:space="preserve"> PAGE </w:instrText>
    </w:r>
    <w:r w:rsidRPr="005A39EC">
      <w:fldChar w:fldCharType="separate"/>
    </w:r>
    <w:r w:rsidR="00147D5C">
      <w:rPr>
        <w:noProof/>
      </w:rPr>
      <w:t>30</w:t>
    </w:r>
    <w:r w:rsidRPr="005A39EC">
      <w:fldChar w:fldCharType="end"/>
    </w:r>
    <w:r>
      <w:tab/>
      <w:t xml:space="preserve"> P</w:t>
    </w:r>
    <w:r w:rsidRPr="009D10F5">
      <w:t xml:space="preserve">reoperative anaemia assessment and management in elective surgical procedures </w:t>
    </w:r>
    <w:r>
      <w:t>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24AF" w14:textId="69A1AFF7" w:rsidR="00F23444" w:rsidRPr="0031753A" w:rsidRDefault="00F23444" w:rsidP="00E969B1">
    <w:pPr>
      <w:pStyle w:val="DHHSfooter"/>
    </w:pPr>
    <w:r>
      <w:t>Pr</w:t>
    </w:r>
    <w:r w:rsidRPr="009D10F5">
      <w:t>eoperative anaemia assessment and management in elective surgical procedures 20</w:t>
    </w:r>
    <w:r>
      <w:t>20</w:t>
    </w:r>
    <w:r w:rsidRPr="0031753A">
      <w:tab/>
      <w:t xml:space="preserve">Page </w:t>
    </w:r>
    <w:r w:rsidRPr="0031753A">
      <w:fldChar w:fldCharType="begin"/>
    </w:r>
    <w:r w:rsidRPr="0031753A">
      <w:instrText xml:space="preserve"> PAGE </w:instrText>
    </w:r>
    <w:r w:rsidRPr="0031753A">
      <w:fldChar w:fldCharType="separate"/>
    </w:r>
    <w:r w:rsidR="00147D5C">
      <w:rPr>
        <w:noProof/>
      </w:rPr>
      <w:t>29</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3D7F" w14:textId="77777777" w:rsidR="00F23444" w:rsidRPr="001A7E04" w:rsidRDefault="00F23444"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B3EBA" w14:textId="77777777" w:rsidR="00F23444" w:rsidRDefault="00F23444">
      <w:r>
        <w:separator/>
      </w:r>
    </w:p>
  </w:footnote>
  <w:footnote w:type="continuationSeparator" w:id="0">
    <w:p w14:paraId="1D896256" w14:textId="77777777" w:rsidR="00F23444" w:rsidRDefault="00F23444">
      <w:r>
        <w:continuationSeparator/>
      </w:r>
    </w:p>
  </w:footnote>
  <w:footnote w:id="1">
    <w:p w14:paraId="73F06C02" w14:textId="5A176225" w:rsidR="00F23444" w:rsidRPr="008F1A8A" w:rsidRDefault="00F23444" w:rsidP="00EE7C39">
      <w:pPr>
        <w:rPr>
          <w:rFonts w:ascii="Arial" w:hAnsi="Arial" w:cs="Arial"/>
          <w:sz w:val="16"/>
        </w:rPr>
      </w:pPr>
      <w:r>
        <w:rPr>
          <w:rStyle w:val="FootnoteReference"/>
        </w:rPr>
        <w:footnoteRef/>
      </w:r>
      <w:r>
        <w:t xml:space="preserve"> </w:t>
      </w:r>
      <w:r w:rsidRPr="003C1A78">
        <w:rPr>
          <w:rStyle w:val="FootnoteTextChar"/>
        </w:rPr>
        <w:t>B12/folate should not be considered routine testing. However, they are a targeted test based on clinical symptoms or risk factors (refer to Figure 1.3, Australian Government Department of Health 2014).</w:t>
      </w:r>
    </w:p>
    <w:p w14:paraId="4DCD061B" w14:textId="696C881A" w:rsidR="00F23444" w:rsidRDefault="00F23444">
      <w:pPr>
        <w:pStyle w:val="FootnoteText"/>
      </w:pPr>
    </w:p>
  </w:footnote>
  <w:footnote w:id="2">
    <w:p w14:paraId="0AA61640" w14:textId="1E981196" w:rsidR="00F23444" w:rsidRDefault="00F23444" w:rsidP="003C1A78">
      <w:pPr>
        <w:pStyle w:val="FootnoteText"/>
      </w:pPr>
      <w:r>
        <w:rPr>
          <w:rStyle w:val="FootnoteReference"/>
        </w:rPr>
        <w:footnoteRef/>
      </w:r>
      <w:r>
        <w:t xml:space="preserve"> Total greater than 100 per cent as multiple responses could be selected.</w:t>
      </w:r>
    </w:p>
  </w:footnote>
  <w:footnote w:id="3">
    <w:p w14:paraId="20B0420F" w14:textId="77777777" w:rsidR="00F23444" w:rsidRDefault="00F23444" w:rsidP="00684074">
      <w:pPr>
        <w:pStyle w:val="FootnoteText"/>
      </w:pPr>
      <w:r>
        <w:rPr>
          <w:rStyle w:val="FootnoteReference"/>
        </w:rPr>
        <w:footnoteRef/>
      </w:r>
      <w:r>
        <w:t xml:space="preserve"> Total greater than 100 per cent as multiple responses could be selected. One health service provided no response.</w:t>
      </w:r>
    </w:p>
  </w:footnote>
  <w:footnote w:id="4">
    <w:p w14:paraId="4923D724" w14:textId="34F59A18" w:rsidR="00F23444" w:rsidRDefault="00F23444">
      <w:pPr>
        <w:pStyle w:val="FootnoteText"/>
      </w:pPr>
      <w:r>
        <w:rPr>
          <w:rStyle w:val="FootnoteReference"/>
        </w:rPr>
        <w:footnoteRef/>
      </w:r>
      <w:r>
        <w:t xml:space="preserve"> </w:t>
      </w:r>
      <w:r w:rsidRPr="008F1A8A">
        <w:t xml:space="preserve">Targeted test based on clinical symptoms or risk factors </w:t>
      </w:r>
      <w:r>
        <w:t>(Australian Government Department of Health 2014).</w:t>
      </w:r>
    </w:p>
  </w:footnote>
  <w:footnote w:id="5">
    <w:p w14:paraId="5A5487FF" w14:textId="65D44C1D" w:rsidR="00F23444" w:rsidRDefault="00F23444">
      <w:pPr>
        <w:pStyle w:val="FootnoteText"/>
      </w:pPr>
      <w:r>
        <w:rPr>
          <w:rStyle w:val="FootnoteReference"/>
        </w:rPr>
        <w:footnoteRef/>
      </w:r>
      <w:r>
        <w:t xml:space="preserve"> </w:t>
      </w:r>
      <w:r w:rsidRPr="008F1A8A">
        <w:t>Targeted test based on clinical symptoms or risk factors (Australian Government Department of Health 2014).</w:t>
      </w:r>
    </w:p>
  </w:footnote>
  <w:footnote w:id="6">
    <w:p w14:paraId="24E304C1" w14:textId="77777777" w:rsidR="00F23444" w:rsidRPr="00FE2615" w:rsidRDefault="00F23444" w:rsidP="003C1A78">
      <w:pPr>
        <w:pStyle w:val="FootnoteText"/>
      </w:pPr>
      <w:r w:rsidRPr="00FE2615">
        <w:rPr>
          <w:rStyle w:val="FootnoteReference"/>
        </w:rPr>
        <w:footnoteRef/>
      </w:r>
      <w:r w:rsidRPr="00FE2615">
        <w:t xml:space="preserve"> The sum of the percentages may not be exactly 100 due to rounding errors.</w:t>
      </w:r>
    </w:p>
  </w:footnote>
  <w:footnote w:id="7">
    <w:p w14:paraId="343A28A5" w14:textId="77777777" w:rsidR="00F23444" w:rsidRDefault="00F23444" w:rsidP="00684074">
      <w:pPr>
        <w:pStyle w:val="DHHStablefigurenote"/>
      </w:pPr>
      <w:r>
        <w:rPr>
          <w:rStyle w:val="FootnoteReference"/>
        </w:rPr>
        <w:footnoteRef/>
      </w:r>
      <w:r>
        <w:t xml:space="preserve"> </w:t>
      </w:r>
      <w:r w:rsidRPr="00684074">
        <w:rPr>
          <w:rFonts w:eastAsia="Calibri"/>
        </w:rPr>
        <w:t>Percentage greater than 100, as multiple responses could be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2E5B" w14:textId="77777777" w:rsidR="00F23444" w:rsidRPr="0069374A" w:rsidRDefault="00F23444"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1D066" w14:textId="77777777" w:rsidR="00F23444" w:rsidRDefault="00F23444" w:rsidP="00E969B1">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F21D" w14:textId="77777777" w:rsidR="00F23444" w:rsidRPr="0069374A" w:rsidRDefault="00F23444" w:rsidP="00E969B1">
    <w:pPr>
      <w:pStyle w:val="DHHS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96186" w14:textId="77777777" w:rsidR="00F23444" w:rsidRDefault="00F23444"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C2528A7"/>
    <w:multiLevelType w:val="hybridMultilevel"/>
    <w:tmpl w:val="8C32F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B0BBD"/>
    <w:multiLevelType w:val="hybridMultilevel"/>
    <w:tmpl w:val="0DB65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20297"/>
    <w:multiLevelType w:val="hybridMultilevel"/>
    <w:tmpl w:val="F3989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15417"/>
    <w:multiLevelType w:val="hybridMultilevel"/>
    <w:tmpl w:val="5A98D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0C78D532"/>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3EFD1E60"/>
    <w:multiLevelType w:val="hybridMultilevel"/>
    <w:tmpl w:val="C52A54B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360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614D0"/>
    <w:multiLevelType w:val="hybridMultilevel"/>
    <w:tmpl w:val="64C4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F1AE3C5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B482D12"/>
    <w:multiLevelType w:val="hybridMultilevel"/>
    <w:tmpl w:val="9E000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9912608"/>
    <w:multiLevelType w:val="hybridMultilevel"/>
    <w:tmpl w:val="506A5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3D3AFC"/>
    <w:multiLevelType w:val="hybridMultilevel"/>
    <w:tmpl w:val="7F740EE6"/>
    <w:styleLink w:val="ZZBullets1"/>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A71B9"/>
    <w:multiLevelType w:val="hybridMultilevel"/>
    <w:tmpl w:val="46909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6"/>
  </w:num>
  <w:num w:numId="4">
    <w:abstractNumId w:val="0"/>
  </w:num>
  <w:num w:numId="5">
    <w:abstractNumId w:val="7"/>
  </w:num>
  <w:num w:numId="6">
    <w:abstractNumId w:val="13"/>
  </w:num>
  <w:num w:numId="7">
    <w:abstractNumId w:val="10"/>
  </w:num>
  <w:num w:numId="8">
    <w:abstractNumId w:val="0"/>
  </w:num>
  <w:num w:numId="9">
    <w:abstractNumId w:val="13"/>
  </w:num>
  <w:num w:numId="10">
    <w:abstractNumId w:val="7"/>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1"/>
  </w:num>
  <w:num w:numId="19">
    <w:abstractNumId w:val="9"/>
  </w:num>
  <w:num w:numId="20">
    <w:abstractNumId w:val="14"/>
  </w:num>
  <w:num w:numId="21">
    <w:abstractNumId w:val="3"/>
  </w:num>
  <w:num w:numId="22">
    <w:abstractNumId w:val="2"/>
  </w:num>
  <w:num w:numId="23">
    <w:abstractNumId w:val="12"/>
  </w:num>
  <w:num w:numId="24">
    <w:abstractNumId w:val="16"/>
  </w:num>
  <w:num w:numId="2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17"/>
    <w:rsid w:val="00002990"/>
    <w:rsid w:val="000048AC"/>
    <w:rsid w:val="00014FC4"/>
    <w:rsid w:val="00015C9A"/>
    <w:rsid w:val="00020AAB"/>
    <w:rsid w:val="000223A4"/>
    <w:rsid w:val="00022E60"/>
    <w:rsid w:val="00026C19"/>
    <w:rsid w:val="00031263"/>
    <w:rsid w:val="00053CD4"/>
    <w:rsid w:val="0005587D"/>
    <w:rsid w:val="00060E93"/>
    <w:rsid w:val="00064936"/>
    <w:rsid w:val="000734F8"/>
    <w:rsid w:val="000736B8"/>
    <w:rsid w:val="000817CB"/>
    <w:rsid w:val="000873EF"/>
    <w:rsid w:val="000A1282"/>
    <w:rsid w:val="000B3792"/>
    <w:rsid w:val="000C6242"/>
    <w:rsid w:val="000C68DB"/>
    <w:rsid w:val="000D2C32"/>
    <w:rsid w:val="000E2320"/>
    <w:rsid w:val="000E6F72"/>
    <w:rsid w:val="000F0478"/>
    <w:rsid w:val="000F0A50"/>
    <w:rsid w:val="00103D5E"/>
    <w:rsid w:val="00104EA7"/>
    <w:rsid w:val="00105FAD"/>
    <w:rsid w:val="0011155B"/>
    <w:rsid w:val="00111A6A"/>
    <w:rsid w:val="00121BF1"/>
    <w:rsid w:val="00123C13"/>
    <w:rsid w:val="00127A8B"/>
    <w:rsid w:val="00134BE5"/>
    <w:rsid w:val="001412D1"/>
    <w:rsid w:val="001423E3"/>
    <w:rsid w:val="001475EA"/>
    <w:rsid w:val="00147D5C"/>
    <w:rsid w:val="001504F5"/>
    <w:rsid w:val="001517BD"/>
    <w:rsid w:val="0017248D"/>
    <w:rsid w:val="00173626"/>
    <w:rsid w:val="0017614A"/>
    <w:rsid w:val="00176455"/>
    <w:rsid w:val="0018177B"/>
    <w:rsid w:val="001817CD"/>
    <w:rsid w:val="0018235E"/>
    <w:rsid w:val="001834B7"/>
    <w:rsid w:val="00184ADD"/>
    <w:rsid w:val="001870C2"/>
    <w:rsid w:val="0018768C"/>
    <w:rsid w:val="0019273B"/>
    <w:rsid w:val="00192BA0"/>
    <w:rsid w:val="00197303"/>
    <w:rsid w:val="001A17EA"/>
    <w:rsid w:val="001A1D17"/>
    <w:rsid w:val="001A22AA"/>
    <w:rsid w:val="001A7A18"/>
    <w:rsid w:val="001B1565"/>
    <w:rsid w:val="001B166D"/>
    <w:rsid w:val="001B28B5"/>
    <w:rsid w:val="001B2975"/>
    <w:rsid w:val="001C08A9"/>
    <w:rsid w:val="001C122D"/>
    <w:rsid w:val="001D1DD0"/>
    <w:rsid w:val="001D2A82"/>
    <w:rsid w:val="001D569B"/>
    <w:rsid w:val="001E0EA3"/>
    <w:rsid w:val="001E3F3D"/>
    <w:rsid w:val="001E4995"/>
    <w:rsid w:val="001E7A42"/>
    <w:rsid w:val="001F09DC"/>
    <w:rsid w:val="001F43E6"/>
    <w:rsid w:val="00213772"/>
    <w:rsid w:val="00215D68"/>
    <w:rsid w:val="00220749"/>
    <w:rsid w:val="0022422C"/>
    <w:rsid w:val="0022724E"/>
    <w:rsid w:val="00230666"/>
    <w:rsid w:val="00231153"/>
    <w:rsid w:val="0023252E"/>
    <w:rsid w:val="00241C31"/>
    <w:rsid w:val="00256E7C"/>
    <w:rsid w:val="002679D5"/>
    <w:rsid w:val="002714FD"/>
    <w:rsid w:val="00274BD3"/>
    <w:rsid w:val="00275F94"/>
    <w:rsid w:val="00277D12"/>
    <w:rsid w:val="00281B9C"/>
    <w:rsid w:val="00284C9B"/>
    <w:rsid w:val="00293BE1"/>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26D5"/>
    <w:rsid w:val="0030394B"/>
    <w:rsid w:val="003072C6"/>
    <w:rsid w:val="00310D8E"/>
    <w:rsid w:val="00315BBD"/>
    <w:rsid w:val="0031753A"/>
    <w:rsid w:val="00320293"/>
    <w:rsid w:val="00322CC2"/>
    <w:rsid w:val="003271DC"/>
    <w:rsid w:val="00332FA0"/>
    <w:rsid w:val="00334B54"/>
    <w:rsid w:val="0033739E"/>
    <w:rsid w:val="0033795C"/>
    <w:rsid w:val="00343733"/>
    <w:rsid w:val="00355886"/>
    <w:rsid w:val="00356814"/>
    <w:rsid w:val="003633A0"/>
    <w:rsid w:val="003741AD"/>
    <w:rsid w:val="0038019F"/>
    <w:rsid w:val="00382071"/>
    <w:rsid w:val="003A2F25"/>
    <w:rsid w:val="003B2807"/>
    <w:rsid w:val="003B28AB"/>
    <w:rsid w:val="003C1A21"/>
    <w:rsid w:val="003C1A78"/>
    <w:rsid w:val="003C68F2"/>
    <w:rsid w:val="003D58B8"/>
    <w:rsid w:val="003D5CFB"/>
    <w:rsid w:val="003E2636"/>
    <w:rsid w:val="003E2E12"/>
    <w:rsid w:val="003F39CE"/>
    <w:rsid w:val="00401108"/>
    <w:rsid w:val="00402927"/>
    <w:rsid w:val="00407993"/>
    <w:rsid w:val="00410AFD"/>
    <w:rsid w:val="00411833"/>
    <w:rsid w:val="00412F64"/>
    <w:rsid w:val="00417BEB"/>
    <w:rsid w:val="00417CC6"/>
    <w:rsid w:val="004324FF"/>
    <w:rsid w:val="00432A55"/>
    <w:rsid w:val="004372B7"/>
    <w:rsid w:val="0044260A"/>
    <w:rsid w:val="00444D82"/>
    <w:rsid w:val="004564C6"/>
    <w:rsid w:val="00457BA4"/>
    <w:rsid w:val="004610CC"/>
    <w:rsid w:val="00465464"/>
    <w:rsid w:val="00465E87"/>
    <w:rsid w:val="0047786A"/>
    <w:rsid w:val="00477A65"/>
    <w:rsid w:val="00482DB3"/>
    <w:rsid w:val="004A0236"/>
    <w:rsid w:val="004A369A"/>
    <w:rsid w:val="004A3B3E"/>
    <w:rsid w:val="004B08B8"/>
    <w:rsid w:val="004C5777"/>
    <w:rsid w:val="004D0173"/>
    <w:rsid w:val="004D1056"/>
    <w:rsid w:val="004D2B7B"/>
    <w:rsid w:val="004D3577"/>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2B8F"/>
    <w:rsid w:val="005052A3"/>
    <w:rsid w:val="0050779D"/>
    <w:rsid w:val="005139EA"/>
    <w:rsid w:val="00520BBB"/>
    <w:rsid w:val="00524310"/>
    <w:rsid w:val="00525456"/>
    <w:rsid w:val="00530452"/>
    <w:rsid w:val="00532236"/>
    <w:rsid w:val="005338EA"/>
    <w:rsid w:val="00541DFE"/>
    <w:rsid w:val="00543E6C"/>
    <w:rsid w:val="00544184"/>
    <w:rsid w:val="00551789"/>
    <w:rsid w:val="00553F68"/>
    <w:rsid w:val="00554502"/>
    <w:rsid w:val="005552FD"/>
    <w:rsid w:val="005600E5"/>
    <w:rsid w:val="005629FD"/>
    <w:rsid w:val="00564E8F"/>
    <w:rsid w:val="005728A4"/>
    <w:rsid w:val="005763FC"/>
    <w:rsid w:val="00576EB4"/>
    <w:rsid w:val="00577B30"/>
    <w:rsid w:val="00582768"/>
    <w:rsid w:val="00583461"/>
    <w:rsid w:val="005856A4"/>
    <w:rsid w:val="00590730"/>
    <w:rsid w:val="005A18E1"/>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06C23"/>
    <w:rsid w:val="00620262"/>
    <w:rsid w:val="00621B4C"/>
    <w:rsid w:val="00627C52"/>
    <w:rsid w:val="00630937"/>
    <w:rsid w:val="00647DB6"/>
    <w:rsid w:val="00653B84"/>
    <w:rsid w:val="00653E0D"/>
    <w:rsid w:val="00684074"/>
    <w:rsid w:val="006865C8"/>
    <w:rsid w:val="00686B48"/>
    <w:rsid w:val="00687038"/>
    <w:rsid w:val="0068714E"/>
    <w:rsid w:val="006872F5"/>
    <w:rsid w:val="006929F7"/>
    <w:rsid w:val="0069374A"/>
    <w:rsid w:val="00694AB8"/>
    <w:rsid w:val="0069598B"/>
    <w:rsid w:val="00695EF7"/>
    <w:rsid w:val="0069699D"/>
    <w:rsid w:val="006A6967"/>
    <w:rsid w:val="006A7B58"/>
    <w:rsid w:val="006B2C51"/>
    <w:rsid w:val="006B6361"/>
    <w:rsid w:val="006D24CE"/>
    <w:rsid w:val="006D360C"/>
    <w:rsid w:val="006D5259"/>
    <w:rsid w:val="006D5AC9"/>
    <w:rsid w:val="006D66ED"/>
    <w:rsid w:val="006E5B8B"/>
    <w:rsid w:val="006E786B"/>
    <w:rsid w:val="006F3E0E"/>
    <w:rsid w:val="006F42B3"/>
    <w:rsid w:val="007002B1"/>
    <w:rsid w:val="00704EB7"/>
    <w:rsid w:val="00705742"/>
    <w:rsid w:val="007104FE"/>
    <w:rsid w:val="00711B0C"/>
    <w:rsid w:val="007121A2"/>
    <w:rsid w:val="00713981"/>
    <w:rsid w:val="007176D6"/>
    <w:rsid w:val="00727D54"/>
    <w:rsid w:val="00731EF2"/>
    <w:rsid w:val="007344C5"/>
    <w:rsid w:val="00734959"/>
    <w:rsid w:val="00735137"/>
    <w:rsid w:val="0073520D"/>
    <w:rsid w:val="00741C65"/>
    <w:rsid w:val="00757391"/>
    <w:rsid w:val="0077446C"/>
    <w:rsid w:val="00780226"/>
    <w:rsid w:val="00781AB4"/>
    <w:rsid w:val="007923B7"/>
    <w:rsid w:val="00792616"/>
    <w:rsid w:val="007926BB"/>
    <w:rsid w:val="0079344C"/>
    <w:rsid w:val="007968AE"/>
    <w:rsid w:val="007A0283"/>
    <w:rsid w:val="007C02C7"/>
    <w:rsid w:val="007C21EE"/>
    <w:rsid w:val="007D3A2E"/>
    <w:rsid w:val="007D6652"/>
    <w:rsid w:val="007E343D"/>
    <w:rsid w:val="007F4383"/>
    <w:rsid w:val="007F5858"/>
    <w:rsid w:val="007F6862"/>
    <w:rsid w:val="00801601"/>
    <w:rsid w:val="0080169A"/>
    <w:rsid w:val="008036A7"/>
    <w:rsid w:val="00810991"/>
    <w:rsid w:val="00814A9B"/>
    <w:rsid w:val="00814F66"/>
    <w:rsid w:val="00817C9E"/>
    <w:rsid w:val="008205AF"/>
    <w:rsid w:val="008225E5"/>
    <w:rsid w:val="008241EF"/>
    <w:rsid w:val="00831053"/>
    <w:rsid w:val="008314D2"/>
    <w:rsid w:val="0083254D"/>
    <w:rsid w:val="00836249"/>
    <w:rsid w:val="00836F00"/>
    <w:rsid w:val="00846192"/>
    <w:rsid w:val="00850806"/>
    <w:rsid w:val="00856A1B"/>
    <w:rsid w:val="008621C3"/>
    <w:rsid w:val="00865486"/>
    <w:rsid w:val="008669BE"/>
    <w:rsid w:val="008747BB"/>
    <w:rsid w:val="00876275"/>
    <w:rsid w:val="00882B99"/>
    <w:rsid w:val="00886121"/>
    <w:rsid w:val="008A295B"/>
    <w:rsid w:val="008A4207"/>
    <w:rsid w:val="008A5B97"/>
    <w:rsid w:val="008A6604"/>
    <w:rsid w:val="008B1C73"/>
    <w:rsid w:val="008B5482"/>
    <w:rsid w:val="008C11F4"/>
    <w:rsid w:val="008C2BEC"/>
    <w:rsid w:val="008C6523"/>
    <w:rsid w:val="008C6D0E"/>
    <w:rsid w:val="008D09D2"/>
    <w:rsid w:val="008D39C5"/>
    <w:rsid w:val="008E1D89"/>
    <w:rsid w:val="008E3E3E"/>
    <w:rsid w:val="008F1A8A"/>
    <w:rsid w:val="008F5F87"/>
    <w:rsid w:val="00900A34"/>
    <w:rsid w:val="00906132"/>
    <w:rsid w:val="00907073"/>
    <w:rsid w:val="00912C19"/>
    <w:rsid w:val="009208F5"/>
    <w:rsid w:val="00927D51"/>
    <w:rsid w:val="00932272"/>
    <w:rsid w:val="00932862"/>
    <w:rsid w:val="00935D60"/>
    <w:rsid w:val="009433C2"/>
    <w:rsid w:val="009447BB"/>
    <w:rsid w:val="00944C48"/>
    <w:rsid w:val="00946335"/>
    <w:rsid w:val="009513C4"/>
    <w:rsid w:val="009533F4"/>
    <w:rsid w:val="00955E55"/>
    <w:rsid w:val="00956D62"/>
    <w:rsid w:val="00962200"/>
    <w:rsid w:val="00966F54"/>
    <w:rsid w:val="00975E61"/>
    <w:rsid w:val="00976E31"/>
    <w:rsid w:val="00977C63"/>
    <w:rsid w:val="00980087"/>
    <w:rsid w:val="00980C0B"/>
    <w:rsid w:val="0098524F"/>
    <w:rsid w:val="00987ABE"/>
    <w:rsid w:val="009906C7"/>
    <w:rsid w:val="009963CD"/>
    <w:rsid w:val="009A632B"/>
    <w:rsid w:val="009B266D"/>
    <w:rsid w:val="009B5CBF"/>
    <w:rsid w:val="009B797B"/>
    <w:rsid w:val="009C184A"/>
    <w:rsid w:val="009C2CA5"/>
    <w:rsid w:val="009D3E45"/>
    <w:rsid w:val="009D4AA8"/>
    <w:rsid w:val="009E4235"/>
    <w:rsid w:val="009F351F"/>
    <w:rsid w:val="009F3F89"/>
    <w:rsid w:val="009F480E"/>
    <w:rsid w:val="009F4C1B"/>
    <w:rsid w:val="00A022A2"/>
    <w:rsid w:val="00A02D15"/>
    <w:rsid w:val="00A11403"/>
    <w:rsid w:val="00A26B0D"/>
    <w:rsid w:val="00A352A0"/>
    <w:rsid w:val="00A3735A"/>
    <w:rsid w:val="00A42F1B"/>
    <w:rsid w:val="00A44EBE"/>
    <w:rsid w:val="00A46F47"/>
    <w:rsid w:val="00A546BC"/>
    <w:rsid w:val="00A55989"/>
    <w:rsid w:val="00A5694A"/>
    <w:rsid w:val="00A63DA4"/>
    <w:rsid w:val="00A64360"/>
    <w:rsid w:val="00A73A66"/>
    <w:rsid w:val="00A75CD5"/>
    <w:rsid w:val="00A763D5"/>
    <w:rsid w:val="00A83DF3"/>
    <w:rsid w:val="00A85915"/>
    <w:rsid w:val="00A86270"/>
    <w:rsid w:val="00A952AB"/>
    <w:rsid w:val="00A97226"/>
    <w:rsid w:val="00A9783D"/>
    <w:rsid w:val="00AA45E6"/>
    <w:rsid w:val="00AA5A37"/>
    <w:rsid w:val="00AB489C"/>
    <w:rsid w:val="00AB50C1"/>
    <w:rsid w:val="00AB6936"/>
    <w:rsid w:val="00AC0C3B"/>
    <w:rsid w:val="00AC2D63"/>
    <w:rsid w:val="00AD03D8"/>
    <w:rsid w:val="00AD0711"/>
    <w:rsid w:val="00AD704E"/>
    <w:rsid w:val="00AE5FE0"/>
    <w:rsid w:val="00AE60B7"/>
    <w:rsid w:val="00AF20D7"/>
    <w:rsid w:val="00AF2AB7"/>
    <w:rsid w:val="00AF2B1C"/>
    <w:rsid w:val="00AF4D3F"/>
    <w:rsid w:val="00B0300B"/>
    <w:rsid w:val="00B05457"/>
    <w:rsid w:val="00B057F5"/>
    <w:rsid w:val="00B11F6D"/>
    <w:rsid w:val="00B126CB"/>
    <w:rsid w:val="00B128A0"/>
    <w:rsid w:val="00B145B3"/>
    <w:rsid w:val="00B20240"/>
    <w:rsid w:val="00B23281"/>
    <w:rsid w:val="00B27571"/>
    <w:rsid w:val="00B4164B"/>
    <w:rsid w:val="00B47350"/>
    <w:rsid w:val="00B5409A"/>
    <w:rsid w:val="00B55574"/>
    <w:rsid w:val="00B6282A"/>
    <w:rsid w:val="00B6525D"/>
    <w:rsid w:val="00B65ABA"/>
    <w:rsid w:val="00B67097"/>
    <w:rsid w:val="00B6790F"/>
    <w:rsid w:val="00B67DCA"/>
    <w:rsid w:val="00B7021C"/>
    <w:rsid w:val="00B71B3B"/>
    <w:rsid w:val="00B853DB"/>
    <w:rsid w:val="00B87D61"/>
    <w:rsid w:val="00B93948"/>
    <w:rsid w:val="00BA4BC7"/>
    <w:rsid w:val="00BA55B7"/>
    <w:rsid w:val="00BA5E47"/>
    <w:rsid w:val="00BA7D57"/>
    <w:rsid w:val="00BB156E"/>
    <w:rsid w:val="00BB3330"/>
    <w:rsid w:val="00BB47D7"/>
    <w:rsid w:val="00BB4A62"/>
    <w:rsid w:val="00BB6617"/>
    <w:rsid w:val="00BC01C1"/>
    <w:rsid w:val="00BC45A1"/>
    <w:rsid w:val="00BC5A34"/>
    <w:rsid w:val="00BD17F5"/>
    <w:rsid w:val="00BD6371"/>
    <w:rsid w:val="00BD6E05"/>
    <w:rsid w:val="00BE54D0"/>
    <w:rsid w:val="00BF6B6C"/>
    <w:rsid w:val="00BF7251"/>
    <w:rsid w:val="00BF7F28"/>
    <w:rsid w:val="00C0160A"/>
    <w:rsid w:val="00C01909"/>
    <w:rsid w:val="00C046E0"/>
    <w:rsid w:val="00C05787"/>
    <w:rsid w:val="00C06F93"/>
    <w:rsid w:val="00C11871"/>
    <w:rsid w:val="00C13059"/>
    <w:rsid w:val="00C156D4"/>
    <w:rsid w:val="00C167A3"/>
    <w:rsid w:val="00C20407"/>
    <w:rsid w:val="00C2181C"/>
    <w:rsid w:val="00C2657D"/>
    <w:rsid w:val="00C26A87"/>
    <w:rsid w:val="00C3745D"/>
    <w:rsid w:val="00C416E1"/>
    <w:rsid w:val="00C47BF8"/>
    <w:rsid w:val="00C51B1C"/>
    <w:rsid w:val="00C53DCE"/>
    <w:rsid w:val="00C655F2"/>
    <w:rsid w:val="00C65B4C"/>
    <w:rsid w:val="00C65B61"/>
    <w:rsid w:val="00C70E53"/>
    <w:rsid w:val="00C72979"/>
    <w:rsid w:val="00C742E5"/>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B4FC7"/>
    <w:rsid w:val="00CC139A"/>
    <w:rsid w:val="00CC1E7A"/>
    <w:rsid w:val="00CC3228"/>
    <w:rsid w:val="00CC4F64"/>
    <w:rsid w:val="00CD058C"/>
    <w:rsid w:val="00CD37C6"/>
    <w:rsid w:val="00CD3B98"/>
    <w:rsid w:val="00CD4216"/>
    <w:rsid w:val="00CD518C"/>
    <w:rsid w:val="00CD733F"/>
    <w:rsid w:val="00CD7C65"/>
    <w:rsid w:val="00CE0942"/>
    <w:rsid w:val="00CE7CA5"/>
    <w:rsid w:val="00CF1D81"/>
    <w:rsid w:val="00CF2C22"/>
    <w:rsid w:val="00CF2DC9"/>
    <w:rsid w:val="00CF7CB6"/>
    <w:rsid w:val="00D12D13"/>
    <w:rsid w:val="00D311AB"/>
    <w:rsid w:val="00D32290"/>
    <w:rsid w:val="00D325A8"/>
    <w:rsid w:val="00D442AD"/>
    <w:rsid w:val="00D5618A"/>
    <w:rsid w:val="00D5784B"/>
    <w:rsid w:val="00D63EFB"/>
    <w:rsid w:val="00D658AF"/>
    <w:rsid w:val="00D70A79"/>
    <w:rsid w:val="00D83DE9"/>
    <w:rsid w:val="00D8450D"/>
    <w:rsid w:val="00D87245"/>
    <w:rsid w:val="00D95AF9"/>
    <w:rsid w:val="00DA09C9"/>
    <w:rsid w:val="00DA1822"/>
    <w:rsid w:val="00DB5E1F"/>
    <w:rsid w:val="00DB708E"/>
    <w:rsid w:val="00DC19D8"/>
    <w:rsid w:val="00DC2613"/>
    <w:rsid w:val="00DC4512"/>
    <w:rsid w:val="00DD3691"/>
    <w:rsid w:val="00DD4B55"/>
    <w:rsid w:val="00DE1E90"/>
    <w:rsid w:val="00DE24E6"/>
    <w:rsid w:val="00DE5C8A"/>
    <w:rsid w:val="00DE7B07"/>
    <w:rsid w:val="00DF07AD"/>
    <w:rsid w:val="00DF3364"/>
    <w:rsid w:val="00E0374E"/>
    <w:rsid w:val="00E0461F"/>
    <w:rsid w:val="00E055BB"/>
    <w:rsid w:val="00E11988"/>
    <w:rsid w:val="00E15DA9"/>
    <w:rsid w:val="00E2095D"/>
    <w:rsid w:val="00E30414"/>
    <w:rsid w:val="00E3043F"/>
    <w:rsid w:val="00E31F36"/>
    <w:rsid w:val="00E40769"/>
    <w:rsid w:val="00E42E8B"/>
    <w:rsid w:val="00E60F12"/>
    <w:rsid w:val="00E645ED"/>
    <w:rsid w:val="00E652FB"/>
    <w:rsid w:val="00E66C20"/>
    <w:rsid w:val="00E71C46"/>
    <w:rsid w:val="00E731B7"/>
    <w:rsid w:val="00E75ED2"/>
    <w:rsid w:val="00E80B94"/>
    <w:rsid w:val="00E8280C"/>
    <w:rsid w:val="00E83E4C"/>
    <w:rsid w:val="00E91933"/>
    <w:rsid w:val="00E92A81"/>
    <w:rsid w:val="00E969B1"/>
    <w:rsid w:val="00EA117B"/>
    <w:rsid w:val="00EA44EB"/>
    <w:rsid w:val="00EB6552"/>
    <w:rsid w:val="00EC18E6"/>
    <w:rsid w:val="00EC1984"/>
    <w:rsid w:val="00EC234C"/>
    <w:rsid w:val="00ED3529"/>
    <w:rsid w:val="00ED4D17"/>
    <w:rsid w:val="00EE6CD3"/>
    <w:rsid w:val="00EE7C39"/>
    <w:rsid w:val="00EF20D7"/>
    <w:rsid w:val="00EF3419"/>
    <w:rsid w:val="00F0119C"/>
    <w:rsid w:val="00F02BDB"/>
    <w:rsid w:val="00F0441B"/>
    <w:rsid w:val="00F07623"/>
    <w:rsid w:val="00F07D0B"/>
    <w:rsid w:val="00F2073E"/>
    <w:rsid w:val="00F23444"/>
    <w:rsid w:val="00F243DF"/>
    <w:rsid w:val="00F258C8"/>
    <w:rsid w:val="00F3136B"/>
    <w:rsid w:val="00F314F1"/>
    <w:rsid w:val="00F327EA"/>
    <w:rsid w:val="00F33641"/>
    <w:rsid w:val="00F42842"/>
    <w:rsid w:val="00F43EE0"/>
    <w:rsid w:val="00F46E40"/>
    <w:rsid w:val="00F4760A"/>
    <w:rsid w:val="00F529FE"/>
    <w:rsid w:val="00F52B8E"/>
    <w:rsid w:val="00F53CFD"/>
    <w:rsid w:val="00F54AF5"/>
    <w:rsid w:val="00F557E3"/>
    <w:rsid w:val="00F60B17"/>
    <w:rsid w:val="00F61E78"/>
    <w:rsid w:val="00F635C5"/>
    <w:rsid w:val="00F736E3"/>
    <w:rsid w:val="00F767E8"/>
    <w:rsid w:val="00F86A3F"/>
    <w:rsid w:val="00F91297"/>
    <w:rsid w:val="00F9133B"/>
    <w:rsid w:val="00F97730"/>
    <w:rsid w:val="00FA0EAE"/>
    <w:rsid w:val="00FB32A4"/>
    <w:rsid w:val="00FB594D"/>
    <w:rsid w:val="00FC141D"/>
    <w:rsid w:val="00FC2AF1"/>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29D395C"/>
  <w15:docId w15:val="{9F3B0B97-91DB-43AE-B6A8-2C0A38D1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160A"/>
    <w:rPr>
      <w:rFonts w:ascii="Cambria" w:hAnsi="Cambria"/>
      <w:lang w:eastAsia="en-US"/>
    </w:rPr>
  </w:style>
  <w:style w:type="paragraph" w:styleId="Heading1">
    <w:name w:val="heading 1"/>
    <w:next w:val="DHHSbody"/>
    <w:link w:val="Heading1Char"/>
    <w:uiPriority w:val="1"/>
    <w:qFormat/>
    <w:rsid w:val="00BD6371"/>
    <w:pPr>
      <w:keepNext/>
      <w:keepLines/>
      <w:spacing w:before="520" w:after="440" w:line="440" w:lineRule="atLeast"/>
      <w:outlineLvl w:val="0"/>
    </w:pPr>
    <w:rPr>
      <w:rFonts w:ascii="Arial" w:hAnsi="Arial"/>
      <w:bCs/>
      <w:color w:val="D50032"/>
      <w:sz w:val="44"/>
      <w:szCs w:val="44"/>
      <w:lang w:eastAsia="en-US"/>
    </w:rPr>
  </w:style>
  <w:style w:type="paragraph" w:styleId="Heading2">
    <w:name w:val="heading 2"/>
    <w:next w:val="DHHSbody"/>
    <w:link w:val="Heading2Char"/>
    <w:uiPriority w:val="1"/>
    <w:qFormat/>
    <w:rsid w:val="00BD637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D6371"/>
    <w:rPr>
      <w:rFonts w:ascii="Arial" w:hAnsi="Arial"/>
      <w:bCs/>
      <w:color w:val="D50032"/>
      <w:sz w:val="44"/>
      <w:szCs w:val="44"/>
      <w:lang w:eastAsia="en-US"/>
    </w:rPr>
  </w:style>
  <w:style w:type="character" w:customStyle="1" w:styleId="Heading2Char">
    <w:name w:val="Heading 2 Char"/>
    <w:link w:val="Heading2"/>
    <w:uiPriority w:val="1"/>
    <w:rsid w:val="00BD6371"/>
    <w:rPr>
      <w:rFonts w:ascii="Arial" w:hAnsi="Arial"/>
      <w:b/>
      <w:color w:val="D50032"/>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8"/>
    <w:rsid w:val="004E380D"/>
  </w:style>
  <w:style w:type="paragraph" w:styleId="Footer">
    <w:name w:val="footer"/>
    <w:basedOn w:val="DHHSfooter"/>
    <w:link w:val="FooterChar"/>
    <w:uiPriority w:val="98"/>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DE7B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BD6371"/>
    <w:pPr>
      <w:keepLines/>
      <w:spacing w:after="240" w:line="580" w:lineRule="atLeast"/>
    </w:pPr>
    <w:rPr>
      <w:rFonts w:ascii="Arial" w:hAnsi="Arial"/>
      <w:color w:val="D50032"/>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DE7B07"/>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pink">
    <w:name w:val="DHHS report main title pink"/>
    <w:uiPriority w:val="4"/>
    <w:rsid w:val="00AF20D7"/>
    <w:pPr>
      <w:keepLines/>
      <w:spacing w:after="240" w:line="580" w:lineRule="atLeast"/>
    </w:pPr>
    <w:rPr>
      <w:rFonts w:ascii="Arial" w:hAnsi="Arial"/>
      <w:bCs/>
      <w:color w:val="D50032"/>
      <w:sz w:val="50"/>
      <w:szCs w:val="50"/>
      <w:lang w:eastAsia="en-US"/>
    </w:rPr>
  </w:style>
  <w:style w:type="paragraph" w:customStyle="1" w:styleId="DHHSreportsubtitleblack">
    <w:name w:val="DHHS report subtitle black"/>
    <w:uiPriority w:val="4"/>
    <w:rsid w:val="00DB708E"/>
    <w:pPr>
      <w:spacing w:after="120" w:line="380" w:lineRule="atLeast"/>
    </w:pPr>
    <w:rPr>
      <w:rFonts w:ascii="Arial" w:hAnsi="Arial"/>
      <w:bCs/>
      <w:sz w:val="30"/>
      <w:szCs w:val="30"/>
      <w:lang w:eastAsia="en-US"/>
    </w:rPr>
  </w:style>
  <w:style w:type="paragraph" w:customStyle="1" w:styleId="Coverinstructions">
    <w:name w:val="Cover instructions"/>
    <w:rsid w:val="00AF20D7"/>
    <w:pPr>
      <w:spacing w:after="200" w:line="320" w:lineRule="atLeast"/>
    </w:pPr>
    <w:rPr>
      <w:rFonts w:ascii="Arial" w:hAnsi="Arial"/>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7F5858"/>
    <w:pPr>
      <w:numPr>
        <w:numId w:val="2"/>
      </w:numPr>
      <w:spacing w:after="40"/>
    </w:pPr>
  </w:style>
  <w:style w:type="paragraph" w:customStyle="1" w:styleId="DHHSnumberloweralpha">
    <w:name w:val="DHHS number lower alpha"/>
    <w:basedOn w:val="DHHSbody"/>
    <w:uiPriority w:val="3"/>
    <w:rsid w:val="008669BE"/>
    <w:pPr>
      <w:numPr>
        <w:numId w:val="8"/>
      </w:numPr>
    </w:pPr>
  </w:style>
  <w:style w:type="paragraph" w:customStyle="1" w:styleId="DHHSnumberloweralphaindent">
    <w:name w:val="DHHS number lower alpha indent"/>
    <w:basedOn w:val="DHHSbody"/>
    <w:uiPriority w:val="3"/>
    <w:rsid w:val="008669BE"/>
    <w:pPr>
      <w:numPr>
        <w:ilvl w:val="1"/>
        <w:numId w:val="8"/>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7F5858"/>
    <w:pPr>
      <w:numPr>
        <w:ilvl w:val="1"/>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8669BE"/>
    <w:pPr>
      <w:numPr>
        <w:numId w:val="3"/>
      </w:numPr>
    </w:pPr>
  </w:style>
  <w:style w:type="paragraph" w:customStyle="1" w:styleId="DHHStablecolhead">
    <w:name w:val="DHHS table col head"/>
    <w:uiPriority w:val="3"/>
    <w:qFormat/>
    <w:rsid w:val="00BD6371"/>
    <w:pPr>
      <w:spacing w:before="80" w:after="60"/>
    </w:pPr>
    <w:rPr>
      <w:rFonts w:ascii="Arial" w:hAnsi="Arial"/>
      <w:b/>
      <w:color w:val="D50032"/>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BD6371"/>
    <w:pPr>
      <w:spacing w:before="0"/>
      <w:outlineLvl w:val="9"/>
    </w:pPr>
  </w:style>
  <w:style w:type="character" w:customStyle="1" w:styleId="DHHSTOCheadingreportChar">
    <w:name w:val="DHHS TOC heading report Char"/>
    <w:link w:val="DHHSTOCheadingreport"/>
    <w:uiPriority w:val="5"/>
    <w:rsid w:val="00BD6371"/>
    <w:rPr>
      <w:rFonts w:ascii="Arial" w:hAnsi="Arial"/>
      <w:bCs/>
      <w:color w:val="D50032"/>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7F5858"/>
    <w:pPr>
      <w:numPr>
        <w:numId w:val="2"/>
      </w:numPr>
    </w:pPr>
  </w:style>
  <w:style w:type="paragraph" w:customStyle="1" w:styleId="DHHSnumberlowerroman">
    <w:name w:val="DHHS number lower roman"/>
    <w:basedOn w:val="DHHSbody"/>
    <w:uiPriority w:val="3"/>
    <w:rsid w:val="008669BE"/>
    <w:pPr>
      <w:numPr>
        <w:numId w:val="10"/>
      </w:numPr>
    </w:pPr>
  </w:style>
  <w:style w:type="paragraph" w:customStyle="1" w:styleId="DHHSnumberlowerromanindent">
    <w:name w:val="DHHS number lower roman indent"/>
    <w:basedOn w:val="DHHSbody"/>
    <w:uiPriority w:val="3"/>
    <w:rsid w:val="008669BE"/>
    <w:pPr>
      <w:numPr>
        <w:ilvl w:val="1"/>
        <w:numId w:val="10"/>
      </w:numPr>
    </w:pPr>
  </w:style>
  <w:style w:type="paragraph" w:customStyle="1" w:styleId="DHHSnumberdigitindent">
    <w:name w:val="DHHS number digit indent"/>
    <w:basedOn w:val="DHHSnumberloweralphaindent"/>
    <w:uiPriority w:val="3"/>
    <w:rsid w:val="00C0160A"/>
    <w:pPr>
      <w:numPr>
        <w:numId w:val="3"/>
      </w:numPr>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C0160A"/>
    <w:pPr>
      <w:numPr>
        <w:ilvl w:val="2"/>
        <w:numId w:val="3"/>
      </w:numPr>
    </w:pPr>
  </w:style>
  <w:style w:type="paragraph" w:customStyle="1" w:styleId="DHHSbulletafternumbers2">
    <w:name w:val="DHHS bullet after numbers 2"/>
    <w:basedOn w:val="DHHSbody"/>
    <w:rsid w:val="00C0160A"/>
    <w:pPr>
      <w:numPr>
        <w:ilvl w:val="3"/>
        <w:numId w:val="3"/>
      </w:numPr>
    </w:pPr>
  </w:style>
  <w:style w:type="paragraph" w:customStyle="1" w:styleId="DHHSquotebullet1">
    <w:name w:val="DHHS quote bullet 1"/>
    <w:basedOn w:val="DHHSquote"/>
    <w:rsid w:val="008669BE"/>
    <w:pPr>
      <w:numPr>
        <w:numId w:val="9"/>
      </w:numPr>
    </w:pPr>
  </w:style>
  <w:style w:type="paragraph" w:customStyle="1" w:styleId="DHHSquotebullet2">
    <w:name w:val="DHHS quote bullet 2"/>
    <w:basedOn w:val="DHHSquote"/>
    <w:rsid w:val="008669BE"/>
    <w:pPr>
      <w:numPr>
        <w:ilvl w:val="1"/>
        <w:numId w:val="9"/>
      </w:numPr>
    </w:pPr>
  </w:style>
  <w:style w:type="paragraph" w:customStyle="1" w:styleId="DHHStablebullet1">
    <w:name w:val="DHHS table bullet 1"/>
    <w:basedOn w:val="DHHStabletext"/>
    <w:uiPriority w:val="3"/>
    <w:qFormat/>
    <w:rsid w:val="008669BE"/>
    <w:pPr>
      <w:numPr>
        <w:numId w:val="11"/>
      </w:numPr>
    </w:pPr>
  </w:style>
  <w:style w:type="paragraph" w:customStyle="1" w:styleId="DHHStablebullet2">
    <w:name w:val="DHHS table bullet 2"/>
    <w:basedOn w:val="DHHStabletext"/>
    <w:uiPriority w:val="11"/>
    <w:rsid w:val="008669BE"/>
    <w:pPr>
      <w:numPr>
        <w:ilvl w:val="1"/>
        <w:numId w:val="11"/>
      </w:numPr>
    </w:pPr>
  </w:style>
  <w:style w:type="numbering" w:customStyle="1" w:styleId="ZZNumbersdigit">
    <w:name w:val="ZZ Numbers digit"/>
    <w:rsid w:val="00C0160A"/>
    <w:pPr>
      <w:numPr>
        <w:numId w:val="3"/>
      </w:numPr>
    </w:pPr>
  </w:style>
  <w:style w:type="numbering" w:customStyle="1" w:styleId="ZZNumbersloweralpha">
    <w:name w:val="ZZ Numbers lower alpha"/>
    <w:basedOn w:val="NoList"/>
    <w:rsid w:val="008669BE"/>
    <w:pPr>
      <w:numPr>
        <w:numId w:val="4"/>
      </w:numPr>
    </w:pPr>
  </w:style>
  <w:style w:type="numbering" w:customStyle="1" w:styleId="ZZQuotebullets">
    <w:name w:val="ZZ Quote bullets"/>
    <w:basedOn w:val="ZZNumbersdigit"/>
    <w:rsid w:val="008669BE"/>
    <w:pPr>
      <w:numPr>
        <w:numId w:val="6"/>
      </w:numPr>
    </w:pPr>
  </w:style>
  <w:style w:type="numbering" w:customStyle="1" w:styleId="ZZNumberslowerroman">
    <w:name w:val="ZZ Numbers lower roman"/>
    <w:basedOn w:val="ZZQuotebullets"/>
    <w:rsid w:val="008669BE"/>
    <w:pPr>
      <w:numPr>
        <w:numId w:val="5"/>
      </w:numPr>
    </w:pPr>
  </w:style>
  <w:style w:type="numbering" w:customStyle="1" w:styleId="ZZTablebullets">
    <w:name w:val="ZZ Table bullets"/>
    <w:basedOn w:val="NoList"/>
    <w:rsid w:val="008669BE"/>
    <w:pPr>
      <w:numPr>
        <w:numId w:val="7"/>
      </w:numPr>
    </w:pPr>
  </w:style>
  <w:style w:type="character" w:customStyle="1" w:styleId="HeaderChar">
    <w:name w:val="Header Char"/>
    <w:basedOn w:val="DefaultParagraphFont"/>
    <w:link w:val="Header"/>
    <w:uiPriority w:val="98"/>
    <w:rsid w:val="00684074"/>
    <w:rPr>
      <w:rFonts w:ascii="Arial" w:hAnsi="Arial" w:cs="Arial"/>
      <w:sz w:val="18"/>
      <w:szCs w:val="18"/>
      <w:lang w:eastAsia="en-US"/>
    </w:rPr>
  </w:style>
  <w:style w:type="character" w:customStyle="1" w:styleId="FooterChar">
    <w:name w:val="Footer Char"/>
    <w:basedOn w:val="DefaultParagraphFont"/>
    <w:link w:val="Footer"/>
    <w:uiPriority w:val="98"/>
    <w:rsid w:val="00684074"/>
    <w:rPr>
      <w:rFonts w:ascii="Arial" w:hAnsi="Arial" w:cs="Arial"/>
      <w:sz w:val="18"/>
      <w:szCs w:val="18"/>
      <w:lang w:eastAsia="en-US"/>
    </w:rPr>
  </w:style>
  <w:style w:type="table" w:customStyle="1" w:styleId="TableGrid1">
    <w:name w:val="Table Grid1"/>
    <w:basedOn w:val="TableNormal"/>
    <w:next w:val="TableGrid"/>
    <w:uiPriority w:val="59"/>
    <w:rsid w:val="00684074"/>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8"/>
    <w:rsid w:val="00684074"/>
    <w:rPr>
      <w:rFonts w:ascii="Arial" w:eastAsia="MS Gothic" w:hAnsi="Arial" w:cs="Arial"/>
      <w:sz w:val="16"/>
      <w:szCs w:val="16"/>
      <w:lang w:eastAsia="en-US"/>
    </w:rPr>
  </w:style>
  <w:style w:type="paragraph" w:customStyle="1" w:styleId="DHHSreportmaintitlewhite">
    <w:name w:val="DHHS report main title white"/>
    <w:uiPriority w:val="4"/>
    <w:rsid w:val="00684074"/>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684074"/>
    <w:pPr>
      <w:spacing w:after="120" w:line="380" w:lineRule="atLeast"/>
    </w:pPr>
    <w:rPr>
      <w:rFonts w:ascii="Arial" w:hAnsi="Arial"/>
      <w:bCs/>
      <w:color w:val="FFFFFF"/>
      <w:sz w:val="30"/>
      <w:szCs w:val="30"/>
      <w:lang w:eastAsia="en-US"/>
    </w:rPr>
  </w:style>
  <w:style w:type="paragraph" w:styleId="BalloonText">
    <w:name w:val="Balloon Text"/>
    <w:basedOn w:val="Normal"/>
    <w:link w:val="BalloonTextChar"/>
    <w:uiPriority w:val="99"/>
    <w:semiHidden/>
    <w:unhideWhenUsed/>
    <w:rsid w:val="00684074"/>
    <w:rPr>
      <w:rFonts w:ascii="Tahoma" w:hAnsi="Tahoma" w:cs="Tahoma"/>
      <w:sz w:val="16"/>
      <w:szCs w:val="16"/>
    </w:rPr>
  </w:style>
  <w:style w:type="character" w:customStyle="1" w:styleId="BalloonTextChar">
    <w:name w:val="Balloon Text Char"/>
    <w:basedOn w:val="DefaultParagraphFont"/>
    <w:link w:val="BalloonText"/>
    <w:uiPriority w:val="99"/>
    <w:semiHidden/>
    <w:rsid w:val="00684074"/>
    <w:rPr>
      <w:rFonts w:ascii="Tahoma" w:hAnsi="Tahoma" w:cs="Tahoma"/>
      <w:sz w:val="16"/>
      <w:szCs w:val="16"/>
      <w:lang w:eastAsia="en-US"/>
    </w:rPr>
  </w:style>
  <w:style w:type="paragraph" w:customStyle="1" w:styleId="DHHSbullet1lastline">
    <w:name w:val="DHHS bullet 1 last line"/>
    <w:basedOn w:val="DHHSbullet1"/>
    <w:qFormat/>
    <w:rsid w:val="00684074"/>
    <w:pPr>
      <w:numPr>
        <w:numId w:val="0"/>
      </w:numPr>
      <w:spacing w:after="120"/>
      <w:ind w:left="284" w:hanging="284"/>
    </w:pPr>
  </w:style>
  <w:style w:type="paragraph" w:customStyle="1" w:styleId="DHHSbullet2lastline">
    <w:name w:val="DHHS bullet 2 last line"/>
    <w:basedOn w:val="DHHSbullet2"/>
    <w:uiPriority w:val="2"/>
    <w:qFormat/>
    <w:rsid w:val="00684074"/>
    <w:pPr>
      <w:numPr>
        <w:ilvl w:val="0"/>
        <w:numId w:val="0"/>
      </w:numPr>
      <w:spacing w:after="120"/>
      <w:ind w:left="567" w:hanging="283"/>
    </w:pPr>
  </w:style>
  <w:style w:type="paragraph" w:customStyle="1" w:styleId="DHHStablebullet">
    <w:name w:val="DHHS table bullet"/>
    <w:basedOn w:val="DHHStabletext"/>
    <w:uiPriority w:val="3"/>
    <w:qFormat/>
    <w:rsid w:val="00684074"/>
    <w:pPr>
      <w:ind w:left="227" w:hanging="227"/>
    </w:pPr>
  </w:style>
  <w:style w:type="numbering" w:customStyle="1" w:styleId="ZZBullets1">
    <w:name w:val="ZZ Bullets1"/>
    <w:rsid w:val="00684074"/>
    <w:pPr>
      <w:numPr>
        <w:numId w:val="1"/>
      </w:numPr>
    </w:pPr>
  </w:style>
  <w:style w:type="paragraph" w:customStyle="1" w:styleId="DHHSbulletindent">
    <w:name w:val="DHHS bullet indent"/>
    <w:basedOn w:val="DHHSbody"/>
    <w:uiPriority w:val="4"/>
    <w:rsid w:val="00684074"/>
    <w:pPr>
      <w:spacing w:after="40"/>
      <w:ind w:left="680" w:hanging="283"/>
    </w:pPr>
  </w:style>
  <w:style w:type="paragraph" w:customStyle="1" w:styleId="DHHSbulletindentlastline">
    <w:name w:val="DHHS bullet indent last line"/>
    <w:basedOn w:val="DHHSbody"/>
    <w:uiPriority w:val="4"/>
    <w:rsid w:val="00684074"/>
    <w:pPr>
      <w:ind w:left="680" w:hanging="283"/>
    </w:pPr>
  </w:style>
  <w:style w:type="numbering" w:customStyle="1" w:styleId="ZZNumbers">
    <w:name w:val="ZZ Numbers"/>
    <w:rsid w:val="00684074"/>
    <w:pPr>
      <w:numPr>
        <w:numId w:val="16"/>
      </w:numPr>
    </w:pPr>
  </w:style>
  <w:style w:type="table" w:customStyle="1" w:styleId="TableGrid11">
    <w:name w:val="Table Grid11"/>
    <w:basedOn w:val="TableNormal"/>
    <w:next w:val="TableGrid"/>
    <w:uiPriority w:val="59"/>
    <w:rsid w:val="006840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40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4074"/>
    <w:rPr>
      <w:sz w:val="16"/>
      <w:szCs w:val="16"/>
    </w:rPr>
  </w:style>
  <w:style w:type="paragraph" w:customStyle="1" w:styleId="CommentText1">
    <w:name w:val="Comment Text1"/>
    <w:basedOn w:val="Normal"/>
    <w:next w:val="CommentText"/>
    <w:link w:val="CommentTextChar"/>
    <w:uiPriority w:val="99"/>
    <w:unhideWhenUsed/>
    <w:rsid w:val="00684074"/>
    <w:pPr>
      <w:spacing w:after="200"/>
    </w:pPr>
    <w:rPr>
      <w:rFonts w:ascii="Calibri" w:eastAsia="Calibri" w:hAnsi="Calibri"/>
    </w:rPr>
  </w:style>
  <w:style w:type="character" w:customStyle="1" w:styleId="CommentTextChar">
    <w:name w:val="Comment Text Char"/>
    <w:basedOn w:val="DefaultParagraphFont"/>
    <w:link w:val="CommentText1"/>
    <w:uiPriority w:val="99"/>
    <w:rsid w:val="00684074"/>
    <w:rPr>
      <w:rFonts w:ascii="Calibri" w:eastAsia="Calibri" w:hAnsi="Calibri" w:cs="Times New Roman"/>
      <w:lang w:eastAsia="en-US"/>
    </w:rPr>
  </w:style>
  <w:style w:type="paragraph" w:styleId="CommentText">
    <w:name w:val="annotation text"/>
    <w:basedOn w:val="Normal"/>
    <w:link w:val="CommentTextChar1"/>
    <w:uiPriority w:val="99"/>
    <w:semiHidden/>
    <w:unhideWhenUsed/>
    <w:rsid w:val="00684074"/>
  </w:style>
  <w:style w:type="character" w:customStyle="1" w:styleId="CommentTextChar1">
    <w:name w:val="Comment Text Char1"/>
    <w:basedOn w:val="DefaultParagraphFont"/>
    <w:link w:val="CommentText"/>
    <w:uiPriority w:val="99"/>
    <w:semiHidden/>
    <w:rsid w:val="0068407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684074"/>
    <w:rPr>
      <w:b/>
      <w:bCs/>
    </w:rPr>
  </w:style>
  <w:style w:type="character" w:customStyle="1" w:styleId="CommentSubjectChar">
    <w:name w:val="Comment Subject Char"/>
    <w:basedOn w:val="CommentTextChar1"/>
    <w:link w:val="CommentSubject"/>
    <w:uiPriority w:val="99"/>
    <w:semiHidden/>
    <w:rsid w:val="00684074"/>
    <w:rPr>
      <w:rFonts w:ascii="Cambria" w:hAnsi="Cambria"/>
      <w:b/>
      <w:bCs/>
      <w:lang w:eastAsia="en-US"/>
    </w:rPr>
  </w:style>
  <w:style w:type="character" w:styleId="HTMLCite">
    <w:name w:val="HTML Cite"/>
    <w:basedOn w:val="DefaultParagraphFont"/>
    <w:uiPriority w:val="99"/>
    <w:semiHidden/>
    <w:unhideWhenUsed/>
    <w:rsid w:val="00684074"/>
    <w:rPr>
      <w:i/>
      <w:iCs/>
    </w:rPr>
  </w:style>
  <w:style w:type="character" w:customStyle="1" w:styleId="cit-doi1">
    <w:name w:val="cit-doi1"/>
    <w:basedOn w:val="DefaultParagraphFont"/>
    <w:rsid w:val="00684074"/>
  </w:style>
  <w:style w:type="character" w:customStyle="1" w:styleId="cit-auth2">
    <w:name w:val="cit-auth2"/>
    <w:basedOn w:val="DefaultParagraphFont"/>
    <w:rsid w:val="00684074"/>
  </w:style>
  <w:style w:type="character" w:customStyle="1" w:styleId="cit-sep2">
    <w:name w:val="cit-sep2"/>
    <w:basedOn w:val="DefaultParagraphFont"/>
    <w:rsid w:val="00684074"/>
  </w:style>
  <w:style w:type="character" w:customStyle="1" w:styleId="cit-title4">
    <w:name w:val="cit-title4"/>
    <w:basedOn w:val="DefaultParagraphFont"/>
    <w:rsid w:val="00684074"/>
  </w:style>
  <w:style w:type="character" w:customStyle="1" w:styleId="cit-print-date2">
    <w:name w:val="cit-print-date2"/>
    <w:basedOn w:val="DefaultParagraphFont"/>
    <w:rsid w:val="00684074"/>
  </w:style>
  <w:style w:type="character" w:customStyle="1" w:styleId="cit-vol2">
    <w:name w:val="cit-vol2"/>
    <w:basedOn w:val="DefaultParagraphFont"/>
    <w:rsid w:val="00684074"/>
  </w:style>
  <w:style w:type="character" w:customStyle="1" w:styleId="cit-issue">
    <w:name w:val="cit-issue"/>
    <w:basedOn w:val="DefaultParagraphFont"/>
    <w:rsid w:val="00684074"/>
  </w:style>
  <w:style w:type="character" w:customStyle="1" w:styleId="cit-pages2">
    <w:name w:val="cit-pages2"/>
    <w:basedOn w:val="DefaultParagraphFont"/>
    <w:rsid w:val="00684074"/>
  </w:style>
  <w:style w:type="character" w:customStyle="1" w:styleId="cit-first-page">
    <w:name w:val="cit-first-page"/>
    <w:basedOn w:val="DefaultParagraphFont"/>
    <w:rsid w:val="00684074"/>
  </w:style>
  <w:style w:type="character" w:customStyle="1" w:styleId="cit-last-page2">
    <w:name w:val="cit-last-page2"/>
    <w:basedOn w:val="DefaultParagraphFont"/>
    <w:rsid w:val="00684074"/>
  </w:style>
  <w:style w:type="paragraph" w:customStyle="1" w:styleId="Default">
    <w:name w:val="Default"/>
    <w:rsid w:val="0068407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84074"/>
    <w:pPr>
      <w:ind w:left="720"/>
      <w:contextualSpacing/>
    </w:pPr>
  </w:style>
  <w:style w:type="paragraph" w:styleId="Revision">
    <w:name w:val="Revision"/>
    <w:hidden/>
    <w:uiPriority w:val="99"/>
    <w:rsid w:val="00684074"/>
    <w:rPr>
      <w:rFonts w:ascii="Cambria" w:hAnsi="Cambria"/>
      <w:lang w:eastAsia="en-US"/>
    </w:rPr>
  </w:style>
  <w:style w:type="character" w:customStyle="1" w:styleId="st1">
    <w:name w:val="st1"/>
    <w:basedOn w:val="DefaultParagraphFont"/>
    <w:rsid w:val="00684074"/>
  </w:style>
  <w:style w:type="character" w:customStyle="1" w:styleId="sp1">
    <w:name w:val="sp1"/>
    <w:basedOn w:val="DefaultParagraphFont"/>
    <w:rsid w:val="00684074"/>
    <w:rPr>
      <w:sz w:val="19"/>
      <w:szCs w:val="19"/>
      <w:vertAlign w:val="baseline"/>
    </w:rPr>
  </w:style>
  <w:style w:type="paragraph" w:styleId="NormalWeb">
    <w:name w:val="Normal (Web)"/>
    <w:basedOn w:val="Normal"/>
    <w:uiPriority w:val="99"/>
    <w:semiHidden/>
    <w:unhideWhenUsed/>
    <w:rsid w:val="00684074"/>
    <w:pPr>
      <w:spacing w:before="100" w:beforeAutospacing="1" w:after="100" w:afterAutospacing="1"/>
    </w:pPr>
    <w:rPr>
      <w:rFonts w:ascii="Times New Roman" w:hAnsi="Times New Roman"/>
      <w:sz w:val="24"/>
      <w:szCs w:val="24"/>
      <w:lang w:eastAsia="en-AU"/>
    </w:rPr>
  </w:style>
  <w:style w:type="paragraph" w:customStyle="1" w:styleId="DHHSmainsubheading">
    <w:name w:val="DHHS main subheading"/>
    <w:uiPriority w:val="8"/>
    <w:rsid w:val="00684074"/>
    <w:rPr>
      <w:rFonts w:ascii="Arial" w:hAnsi="Arial"/>
      <w:color w:val="FF0000"/>
      <w:sz w:val="28"/>
      <w:szCs w:val="24"/>
      <w:lang w:eastAsia="en-US"/>
    </w:rPr>
  </w:style>
  <w:style w:type="paragraph" w:customStyle="1" w:styleId="Healthbody">
    <w:name w:val="Health body"/>
    <w:rsid w:val="00684074"/>
    <w:pPr>
      <w:spacing w:after="120" w:line="270" w:lineRule="atLeast"/>
    </w:pPr>
    <w:rPr>
      <w:rFonts w:ascii="Arial" w:eastAsia="Times" w:hAnsi="Arial"/>
      <w:lang w:eastAsia="en-US"/>
    </w:rPr>
  </w:style>
  <w:style w:type="table" w:customStyle="1" w:styleId="TableGrid3">
    <w:name w:val="Table Grid3"/>
    <w:basedOn w:val="TableNormal"/>
    <w:next w:val="TableGrid"/>
    <w:uiPriority w:val="59"/>
    <w:rsid w:val="00684074"/>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84074"/>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84074"/>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684074"/>
  </w:style>
  <w:style w:type="character" w:customStyle="1" w:styleId="UnresolvedMention">
    <w:name w:val="Unresolved Mention"/>
    <w:basedOn w:val="DefaultParagraphFont"/>
    <w:uiPriority w:val="99"/>
    <w:semiHidden/>
    <w:unhideWhenUsed/>
    <w:rsid w:val="00824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20235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blood.gov.au/implementing-pbm" TargetMode="External"/><Relationship Id="rId26" Type="http://schemas.openxmlformats.org/officeDocument/2006/relationships/footer" Target="footer3.xml"/><Relationship Id="rId39" Type="http://schemas.openxmlformats.org/officeDocument/2006/relationships/hyperlink" Target="https://www.betterhealth.vic.gov.au/health/conditionsandtreatments/iron" TargetMode="External"/><Relationship Id="rId3" Type="http://schemas.openxmlformats.org/officeDocument/2006/relationships/styles" Target="styles.xml"/><Relationship Id="rId21" Type="http://schemas.openxmlformats.org/officeDocument/2006/relationships/hyperlink" Target="ttps://www.blood.gov.au/pbm-module-2" TargetMode="External"/><Relationship Id="rId34" Type="http://schemas.openxmlformats.org/officeDocument/2006/relationships/hyperlink" Target="https://www.blood.gov.au/system/files/documents/fit-for-surgery-algorithm-chronic_0.pdf" TargetMode="External"/><Relationship Id="rId42" Type="http://schemas.openxmlformats.org/officeDocument/2006/relationships/header" Target="header3.xm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blood.gov.au/system/files/documents/preoperative-anaemia-identification-assessment-and-management-case-study%20grey%20cover%20v4.pdf%3E." TargetMode="External"/><Relationship Id="rId25" Type="http://schemas.openxmlformats.org/officeDocument/2006/relationships/footer" Target="footer2.xml"/><Relationship Id="rId33" Type="http://schemas.openxmlformats.org/officeDocument/2006/relationships/hyperlink" Target="https://www.blood.gov.au/preoperative-anaemia-identification-assessment-and-management-case-study" TargetMode="External"/><Relationship Id="rId38" Type="http://schemas.openxmlformats.org/officeDocument/2006/relationships/hyperlink" Target="https://www.betterhealth.vic.gov.au/health/conditionsandtreatments/iron-deficiency-adults"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blood.gov.au/system/files/documents/preoperative-bleeding-risk-assessment-v5.pdf" TargetMode="External"/><Relationship Id="rId20" Type="http://schemas.openxmlformats.org/officeDocument/2006/relationships/hyperlink" Target="https://www2.health.vic.gov.au/hospitals-and-health-services/patient-care/speciality-diagnostics-therapeutics/blood-matters/~/link.aspx?_id=AD4FA9905E1C460A92788DC93E46307D&amp;_z=z" TargetMode="External"/><Relationship Id="rId29" Type="http://schemas.openxmlformats.org/officeDocument/2006/relationships/hyperlink" Target="https://transfusion.com.au/transfusion_practice/anaemia_management/iron_deficiency_anaemia" TargetMode="External"/><Relationship Id="rId41" Type="http://schemas.openxmlformats.org/officeDocument/2006/relationships/hyperlink" Target="http://www.safetyandquality.gov.au/national-priorities/pbm-collaborative/latest-n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hyperlink" Target="https://www.blood.gov.au/iron-product-choice-and-dose-calculation-guide-adults" TargetMode="External"/><Relationship Id="rId37" Type="http://schemas.openxmlformats.org/officeDocument/2006/relationships/hyperlink" Target="https://www.sahealth.sa.gov.au/wps/wcm/connect/public+content/sa+health+internet/conditions/blood+organ+and+tissue/iron+deficiency+and+iron+therapy" TargetMode="External"/><Relationship Id="rId40" Type="http://schemas.openxmlformats.org/officeDocument/2006/relationships/hyperlink" Target="https://healthywa.wa.gov.au/Articles/N_R/Patient-blood-management"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blood.gov.au/pbm-module-2" TargetMode="External"/><Relationship Id="rId23" Type="http://schemas.openxmlformats.org/officeDocument/2006/relationships/header" Target="header2.xml"/><Relationship Id="rId28" Type="http://schemas.openxmlformats.org/officeDocument/2006/relationships/hyperlink" Target="https://www.safetyandquality.gov.au/national-priorities/pbm-collaborative/latest-news/%3E" TargetMode="External"/><Relationship Id="rId36" Type="http://schemas.openxmlformats.org/officeDocument/2006/relationships/hyperlink" Target="https://thewomens.r.worldssl.net/images/uploads/downloadable-records/clinical-guidelines/iron_deficiency_-_management_in_maternity_and_gynaecology_patients_51118.pdf" TargetMode="External"/><Relationship Id="rId49" Type="http://schemas.microsoft.com/office/2018/08/relationships/commentsExtensible" Target="commentsExtensible.xml"/><Relationship Id="rId10" Type="http://schemas.openxmlformats.org/officeDocument/2006/relationships/hyperlink" Target="https://www2.health.vic.gov.au/hospitals-and-health-services/patient-care/speciality-diagnostics-therapeutics/blood-matters" TargetMode="External"/><Relationship Id="rId19" Type="http://schemas.openxmlformats.org/officeDocument/2006/relationships/hyperlink" Target="https://www.who.int/nutrition/publications/en/ida_assessment_prevention_control.pdf" TargetMode="External"/><Relationship Id="rId31" Type="http://schemas.openxmlformats.org/officeDocument/2006/relationships/hyperlink" Target="https://www.bsg.org.uk/wp-content/uploads/2019/12/Guidelines-for-the-management-of-iron.pdf"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bloodmatters@redcrossblood.org.au" TargetMode="External"/><Relationship Id="rId14" Type="http://schemas.openxmlformats.org/officeDocument/2006/relationships/hyperlink" Target="https://www1.health.gov.au/internet/main/publishing.nsf/Content/7C28F0B6D06F9FFCCA257EB9001D769B/$File/Vitamin%20B12%20testing%20Review%20Report.pdf" TargetMode="External"/><Relationship Id="rId22" Type="http://schemas.openxmlformats.org/officeDocument/2006/relationships/header" Target="header1.xml"/><Relationship Id="rId27" Type="http://schemas.openxmlformats.org/officeDocument/2006/relationships/hyperlink" Target="https://www.blood.gov.au/system/files/documents/pbm-preoperative-template_0.pptx" TargetMode="External"/><Relationship Id="rId30" Type="http://schemas.openxmlformats.org/officeDocument/2006/relationships/hyperlink" Target="https://bloodsafelearning.org.au/resource-centre/other-resources/ida-app/" TargetMode="External"/><Relationship Id="rId35" Type="http://schemas.openxmlformats.org/officeDocument/2006/relationships/hyperlink" Target="https://www.sahealth.sa.gov.au/wps/wcm/connect/public+content/sa+health+internet/clinical+resources/clinical+programs+and+practice+guidelines/blood+organ+and+tissue/blood+management/anaemia+management" TargetMode="External"/><Relationship Id="rId43" Type="http://schemas.openxmlformats.org/officeDocument/2006/relationships/header" Target="header4.xml"/><Relationship Id="rId48"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0\Branding%20and%20templates\BloodMatters_Lifeblood%20brand%20Final\Blood%20Matters%20Report%20White%20cover%2006%20Pink%20199%20Dec%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DB3687-6816-934E-BDCF-E81C551C659C}">
  <we:reference id="wa104380773" version="1.0.0.2" store="en-GB"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1480-709B-47C6-B672-125D4FB1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Blood Matters Report White cover 06 Pink 199 Dec 2019</Template>
  <TotalTime>42</TotalTime>
  <Pages>31</Pages>
  <Words>6090</Words>
  <Characters>41274</Characters>
  <Application>Microsoft Office Word</Application>
  <DocSecurity>0</DocSecurity>
  <Lines>343</Lines>
  <Paragraphs>94</Paragraphs>
  <ScaleCrop>false</ScaleCrop>
  <HeadingPairs>
    <vt:vector size="2" baseType="variant">
      <vt:variant>
        <vt:lpstr>Title</vt:lpstr>
      </vt:variant>
      <vt:variant>
        <vt:i4>1</vt:i4>
      </vt:variant>
    </vt:vector>
  </HeadingPairs>
  <TitlesOfParts>
    <vt:vector size="1" baseType="lpstr">
      <vt:lpstr>2020 preoperative anaemia assessment and management in elective surgical procedures survey report</vt:lpstr>
    </vt:vector>
  </TitlesOfParts>
  <Manager/>
  <Company>Department of Health and Human Services</Company>
  <LinksUpToDate>false</LinksUpToDate>
  <CharactersWithSpaces>47270</CharactersWithSpaces>
  <SharedDoc>false</SharedDoc>
  <HyperlinkBase/>
  <HLinks>
    <vt:vector size="66" baseType="variant">
      <vt:variant>
        <vt:i4>7864376</vt:i4>
      </vt:variant>
      <vt:variant>
        <vt:i4>54</vt:i4>
      </vt:variant>
      <vt:variant>
        <vt:i4>0</vt:i4>
      </vt:variant>
      <vt:variant>
        <vt:i4>5</vt:i4>
      </vt:variant>
      <vt:variant>
        <vt:lpwstr>https://intranet.dhhs.vic.gov.au/templates-our-visual-style</vt:lpwstr>
      </vt:variant>
      <vt:variant>
        <vt:lpwstr/>
      </vt:variant>
      <vt:variant>
        <vt:i4>1048626</vt:i4>
      </vt:variant>
      <vt:variant>
        <vt:i4>47</vt:i4>
      </vt:variant>
      <vt:variant>
        <vt:i4>0</vt:i4>
      </vt:variant>
      <vt:variant>
        <vt:i4>5</vt:i4>
      </vt:variant>
      <vt:variant>
        <vt:lpwstr/>
      </vt:variant>
      <vt:variant>
        <vt:lpwstr>_Toc442704404</vt:lpwstr>
      </vt:variant>
      <vt:variant>
        <vt:i4>1048626</vt:i4>
      </vt:variant>
      <vt:variant>
        <vt:i4>41</vt:i4>
      </vt:variant>
      <vt:variant>
        <vt:i4>0</vt:i4>
      </vt:variant>
      <vt:variant>
        <vt:i4>5</vt:i4>
      </vt:variant>
      <vt:variant>
        <vt:lpwstr/>
      </vt:variant>
      <vt:variant>
        <vt:lpwstr>_Toc442704403</vt:lpwstr>
      </vt:variant>
      <vt:variant>
        <vt:i4>1048626</vt:i4>
      </vt:variant>
      <vt:variant>
        <vt:i4>35</vt:i4>
      </vt:variant>
      <vt:variant>
        <vt:i4>0</vt:i4>
      </vt:variant>
      <vt:variant>
        <vt:i4>5</vt:i4>
      </vt:variant>
      <vt:variant>
        <vt:lpwstr/>
      </vt:variant>
      <vt:variant>
        <vt:lpwstr>_Toc442704402</vt:lpwstr>
      </vt:variant>
      <vt:variant>
        <vt:i4>1048626</vt:i4>
      </vt:variant>
      <vt:variant>
        <vt:i4>29</vt:i4>
      </vt:variant>
      <vt:variant>
        <vt:i4>0</vt:i4>
      </vt:variant>
      <vt:variant>
        <vt:i4>5</vt:i4>
      </vt:variant>
      <vt:variant>
        <vt:lpwstr/>
      </vt:variant>
      <vt:variant>
        <vt:lpwstr>_Toc442704401</vt:lpwstr>
      </vt:variant>
      <vt:variant>
        <vt:i4>1048626</vt:i4>
      </vt:variant>
      <vt:variant>
        <vt:i4>23</vt:i4>
      </vt:variant>
      <vt:variant>
        <vt:i4>0</vt:i4>
      </vt:variant>
      <vt:variant>
        <vt:i4>5</vt:i4>
      </vt:variant>
      <vt:variant>
        <vt:lpwstr/>
      </vt:variant>
      <vt:variant>
        <vt:lpwstr>_Toc442704400</vt:lpwstr>
      </vt:variant>
      <vt:variant>
        <vt:i4>1638453</vt:i4>
      </vt:variant>
      <vt:variant>
        <vt:i4>17</vt:i4>
      </vt:variant>
      <vt:variant>
        <vt:i4>0</vt:i4>
      </vt:variant>
      <vt:variant>
        <vt:i4>5</vt:i4>
      </vt:variant>
      <vt:variant>
        <vt:lpwstr/>
      </vt:variant>
      <vt:variant>
        <vt:lpwstr>_Toc442704399</vt:lpwstr>
      </vt:variant>
      <vt:variant>
        <vt:i4>1638453</vt:i4>
      </vt:variant>
      <vt:variant>
        <vt:i4>11</vt:i4>
      </vt:variant>
      <vt:variant>
        <vt:i4>0</vt:i4>
      </vt:variant>
      <vt:variant>
        <vt:i4>5</vt:i4>
      </vt:variant>
      <vt:variant>
        <vt:lpwstr/>
      </vt:variant>
      <vt:variant>
        <vt:lpwstr>_Toc442704398</vt:lpwstr>
      </vt:variant>
      <vt:variant>
        <vt:i4>7602296</vt:i4>
      </vt:variant>
      <vt:variant>
        <vt:i4>6</vt:i4>
      </vt:variant>
      <vt:variant>
        <vt:i4>0</vt:i4>
      </vt:variant>
      <vt:variant>
        <vt:i4>5</vt:i4>
      </vt:variant>
      <vt:variant>
        <vt:lpwstr>https://intranet.dhhs.vic.gov.au/graphic-design-process</vt:lpwstr>
      </vt:variant>
      <vt:variant>
        <vt:lpwstr/>
      </vt:variant>
      <vt:variant>
        <vt:i4>7209064</vt:i4>
      </vt:variant>
      <vt:variant>
        <vt:i4>3</vt:i4>
      </vt:variant>
      <vt:variant>
        <vt:i4>0</vt:i4>
      </vt:variant>
      <vt:variant>
        <vt:i4>5</vt:i4>
      </vt:variant>
      <vt:variant>
        <vt:lpwstr>https://intranet.dhhs.vic.gov.au/print-and-distribute-communications-materials</vt:lpwstr>
      </vt:variant>
      <vt:variant>
        <vt:lpwstr/>
      </vt:variant>
      <vt:variant>
        <vt:i4>7143443</vt:i4>
      </vt:variant>
      <vt:variant>
        <vt:i4>0</vt:i4>
      </vt:variant>
      <vt:variant>
        <vt:i4>0</vt:i4>
      </vt:variant>
      <vt:variant>
        <vt:i4>5</vt:i4>
      </vt:variant>
      <vt:variant>
        <vt:lpwstr>http://library.intranet.vic.gov.au/client/en_AU/vglsweb-depi/?rm=ISBN0%7C%7C%7C1%7C%7C%7C0%7C%7C%7Ctrue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preoperative anaemia assessment and management in elective surgical procedures survey report</dc:title>
  <dc:subject>Patient blood management</dc:subject>
  <dc:creator>Blood Matters</dc:creator>
  <cp:keywords>anaemia, blood management</cp:keywords>
  <dc:description/>
  <cp:lastModifiedBy>Linley Bielby</cp:lastModifiedBy>
  <cp:revision>4</cp:revision>
  <cp:lastPrinted>2017-07-07T00:32:00Z</cp:lastPrinted>
  <dcterms:created xsi:type="dcterms:W3CDTF">2020-07-27T01:20:00Z</dcterms:created>
  <dcterms:modified xsi:type="dcterms:W3CDTF">2020-07-27T02:06:00Z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