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97C24" w14:textId="6EFEDE38" w:rsidR="00306E5F" w:rsidRPr="00BE2218" w:rsidRDefault="00C00109" w:rsidP="00DE6028">
      <w:pPr>
        <w:pStyle w:val="Spacerparatopoffirstpage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5887C" wp14:editId="4B055248">
                <wp:simplePos x="0" y="0"/>
                <wp:positionH relativeFrom="column">
                  <wp:posOffset>2376805</wp:posOffset>
                </wp:positionH>
                <wp:positionV relativeFrom="paragraph">
                  <wp:posOffset>5080</wp:posOffset>
                </wp:positionV>
                <wp:extent cx="7024370" cy="8851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4370" cy="885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F4D0CE" w14:textId="1C372A62" w:rsidR="00C00109" w:rsidRPr="007B44BE" w:rsidRDefault="00C00109" w:rsidP="009F7BC6">
                            <w:pPr>
                              <w:pStyle w:val="VAHImainheading"/>
                            </w:pPr>
                            <w:r>
                              <w:rPr>
                                <w:b w:val="0"/>
                              </w:rPr>
                              <w:t>Extended</w:t>
                            </w:r>
                            <w:r w:rsidRPr="002411E3">
                              <w:rPr>
                                <w:b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</w:rPr>
                              <w:t xml:space="preserve">mental health treatment setting </w:t>
                            </w:r>
                            <w:r w:rsidRPr="002411E3">
                              <w:rPr>
                                <w:b w:val="0"/>
                              </w:rPr>
                              <w:t xml:space="preserve">quarterly </w:t>
                            </w:r>
                            <w:r>
                              <w:rPr>
                                <w:b w:val="0"/>
                              </w:rPr>
                              <w:t>KPI report</w:t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b w:val="0"/>
                              </w:rPr>
                              <w:tab/>
                            </w:r>
                            <w:r w:rsidR="00F3488D">
                              <w:rPr>
                                <w:rFonts w:ascii="VIC Medium" w:hAnsi="VIC Medium"/>
                                <w:sz w:val="28"/>
                                <w:szCs w:val="28"/>
                              </w:rPr>
                              <w:t>July – September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588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7.15pt;margin-top:.4pt;width:553.1pt;height: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" filled="f" stroked="f" strokeweight=".5pt">
                <v:textbox>
                  <w:txbxContent>
                    <w:p w14:paraId="16F4D0CE" w14:textId="1C372A62" w:rsidR="00C00109" w:rsidRPr="007B44BE" w:rsidRDefault="00C00109" w:rsidP="009F7BC6">
                      <w:pPr>
                        <w:pStyle w:val="VAHImainheading"/>
                      </w:pPr>
                      <w:r>
                        <w:rPr>
                          <w:b w:val="0"/>
                        </w:rPr>
                        <w:t>Extended</w:t>
                      </w:r>
                      <w:r w:rsidRPr="002411E3">
                        <w:rPr>
                          <w:b w:val="0"/>
                        </w:rPr>
                        <w:t xml:space="preserve"> </w:t>
                      </w:r>
                      <w:r>
                        <w:rPr>
                          <w:b w:val="0"/>
                        </w:rPr>
                        <w:t xml:space="preserve">mental health treatment setting </w:t>
                      </w:r>
                      <w:r w:rsidRPr="002411E3">
                        <w:rPr>
                          <w:b w:val="0"/>
                        </w:rPr>
                        <w:t xml:space="preserve">quarterly </w:t>
                      </w:r>
                      <w:r>
                        <w:rPr>
                          <w:b w:val="0"/>
                        </w:rPr>
                        <w:t>KPI report</w:t>
                      </w:r>
                      <w:r>
                        <w:rPr>
                          <w:b w:val="0"/>
                        </w:rPr>
                        <w:tab/>
                      </w:r>
                      <w:r>
                        <w:rPr>
                          <w:b w:val="0"/>
                        </w:rPr>
                        <w:tab/>
                      </w:r>
                      <w:r w:rsidR="00F3488D">
                        <w:rPr>
                          <w:rFonts w:ascii="VIC Medium" w:hAnsi="VIC Medium"/>
                          <w:sz w:val="28"/>
                          <w:szCs w:val="28"/>
                        </w:rPr>
                        <w:t>July – September 2019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30F56">
        <w:drawing>
          <wp:anchor distT="0" distB="0" distL="114300" distR="114300" simplePos="0" relativeHeight="251658240" behindDoc="1" locked="0" layoutInCell="1" allowOverlap="1" wp14:anchorId="7D7DFA02" wp14:editId="64ED08C0">
            <wp:simplePos x="0" y="0"/>
            <wp:positionH relativeFrom="column">
              <wp:posOffset>-540386</wp:posOffset>
            </wp:positionH>
            <wp:positionV relativeFrom="paragraph">
              <wp:posOffset>-269875</wp:posOffset>
            </wp:positionV>
            <wp:extent cx="10691495" cy="1509496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ultMentalHealthQuarterly_banne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91495" cy="150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C32CB" w14:textId="77777777" w:rsidR="00A62D44" w:rsidRPr="00BE2218" w:rsidRDefault="00A62D44" w:rsidP="004C6EEE">
      <w:pPr>
        <w:pStyle w:val="Sectionbreakfirstpage"/>
        <w:rPr>
          <w:rFonts w:ascii="VIC" w:hAnsi="VIC"/>
        </w:rPr>
        <w:sectPr w:rsidR="00A62D44" w:rsidRPr="00BE2218" w:rsidSect="003D5030">
          <w:pgSz w:w="16838" w:h="11906" w:orient="landscape" w:code="9"/>
          <w:pgMar w:top="425" w:right="851" w:bottom="1418" w:left="851" w:header="510" w:footer="510" w:gutter="0"/>
          <w:cols w:space="708"/>
          <w:docGrid w:linePitch="360"/>
        </w:sectPr>
      </w:pPr>
    </w:p>
    <w:tbl>
      <w:tblPr>
        <w:tblW w:w="26582" w:type="dxa"/>
        <w:tblLook w:val="04A0" w:firstRow="1" w:lastRow="0" w:firstColumn="1" w:lastColumn="0" w:noHBand="0" w:noVBand="1"/>
      </w:tblPr>
      <w:tblGrid>
        <w:gridCol w:w="13291"/>
        <w:gridCol w:w="13291"/>
      </w:tblGrid>
      <w:tr w:rsidR="00CF11E1" w:rsidRPr="00BE2218" w14:paraId="11B668E7" w14:textId="77777777" w:rsidTr="00A47400">
        <w:trPr>
          <w:trHeight w:val="1106"/>
        </w:trPr>
        <w:tc>
          <w:tcPr>
            <w:tcW w:w="13291" w:type="dxa"/>
            <w:vAlign w:val="bottom"/>
          </w:tcPr>
          <w:p w14:paraId="219554B0" w14:textId="25134305" w:rsidR="00CF11E1" w:rsidRPr="00BE2218" w:rsidRDefault="00CF11E1" w:rsidP="007B44BE">
            <w:pPr>
              <w:pStyle w:val="VAHImainheading"/>
            </w:pPr>
          </w:p>
        </w:tc>
        <w:tc>
          <w:tcPr>
            <w:tcW w:w="13291" w:type="dxa"/>
            <w:shd w:val="clear" w:color="auto" w:fill="auto"/>
            <w:vAlign w:val="bottom"/>
          </w:tcPr>
          <w:p w14:paraId="78DEAD97" w14:textId="77777777" w:rsidR="00CF11E1" w:rsidRPr="00BE2218" w:rsidRDefault="00CF11E1" w:rsidP="007B44BE">
            <w:pPr>
              <w:pStyle w:val="VAHImainheading"/>
            </w:pPr>
            <w:bookmarkStart w:id="0" w:name="_Toc410762195"/>
          </w:p>
        </w:tc>
      </w:tr>
      <w:tr w:rsidR="00CF11E1" w:rsidRPr="00BE2218" w14:paraId="75BF6B3D" w14:textId="77777777" w:rsidTr="00CF11E1">
        <w:trPr>
          <w:trHeight w:hRule="exact" w:val="709"/>
        </w:trPr>
        <w:tc>
          <w:tcPr>
            <w:tcW w:w="13291" w:type="dxa"/>
          </w:tcPr>
          <w:p w14:paraId="1DE320E4" w14:textId="77777777" w:rsidR="00CF11E1" w:rsidRPr="00BE2218" w:rsidRDefault="00CF11E1" w:rsidP="007B44BE">
            <w:pPr>
              <w:pStyle w:val="VAHImainsubheading"/>
            </w:pPr>
          </w:p>
        </w:tc>
        <w:tc>
          <w:tcPr>
            <w:tcW w:w="13291" w:type="dxa"/>
            <w:shd w:val="clear" w:color="auto" w:fill="auto"/>
            <w:tcMar>
              <w:top w:w="340" w:type="dxa"/>
              <w:bottom w:w="680" w:type="dxa"/>
            </w:tcMar>
          </w:tcPr>
          <w:p w14:paraId="2D717C6F" w14:textId="77777777" w:rsidR="00CF11E1" w:rsidRPr="00BE2218" w:rsidRDefault="00CF11E1" w:rsidP="007B44BE">
            <w:pPr>
              <w:pStyle w:val="VAHImainsubheading"/>
            </w:pPr>
          </w:p>
        </w:tc>
      </w:tr>
    </w:tbl>
    <w:p w14:paraId="4B81F6D9" w14:textId="77777777" w:rsidR="00CF11E1" w:rsidRPr="000B0CCC" w:rsidRDefault="00CF11E1" w:rsidP="00E36C2D">
      <w:pPr>
        <w:pStyle w:val="Heading1"/>
        <w:rPr>
          <w:sz w:val="22"/>
          <w:szCs w:val="22"/>
        </w:rPr>
      </w:pPr>
      <w:bookmarkStart w:id="1" w:name="_Toc22208485"/>
      <w:bookmarkEnd w:id="0"/>
      <w:r w:rsidRPr="000B0CCC">
        <w:rPr>
          <w:sz w:val="22"/>
          <w:szCs w:val="22"/>
        </w:rPr>
        <w:t>Contents</w:t>
      </w:r>
      <w:bookmarkEnd w:id="1"/>
      <w:r w:rsidR="00E30F56" w:rsidRPr="000B0CCC">
        <w:rPr>
          <w:sz w:val="22"/>
          <w:szCs w:val="22"/>
        </w:rPr>
        <w:t xml:space="preserve"> </w:t>
      </w:r>
    </w:p>
    <w:p w14:paraId="0287604B" w14:textId="4ED859F7" w:rsidR="00C15426" w:rsidRPr="00C15426" w:rsidRDefault="00CF11E1">
      <w:pPr>
        <w:pStyle w:val="TOC1"/>
        <w:rPr>
          <w:rFonts w:ascii="VIC" w:eastAsiaTheme="minorEastAsia" w:hAnsi="VIC" w:cstheme="minorBidi"/>
          <w:sz w:val="20"/>
          <w:lang w:eastAsia="en-AU"/>
        </w:rPr>
      </w:pPr>
      <w:r w:rsidRPr="00C15426">
        <w:rPr>
          <w:rFonts w:ascii="VIC" w:hAnsi="VIC"/>
          <w:sz w:val="20"/>
        </w:rPr>
        <w:fldChar w:fldCharType="begin"/>
      </w:r>
      <w:r w:rsidRPr="00C15426">
        <w:rPr>
          <w:rFonts w:ascii="VIC" w:hAnsi="VIC"/>
          <w:sz w:val="20"/>
        </w:rPr>
        <w:instrText xml:space="preserve"> TOC \h \z \t "Heading 1,1,Heading 2,2" </w:instrText>
      </w:r>
      <w:r w:rsidRPr="00C15426">
        <w:rPr>
          <w:rFonts w:ascii="VIC" w:hAnsi="VIC"/>
          <w:sz w:val="20"/>
        </w:rPr>
        <w:fldChar w:fldCharType="separate"/>
      </w:r>
      <w:hyperlink w:anchor="_Toc22208485" w:history="1">
        <w:r w:rsidR="00C15426" w:rsidRPr="00C15426">
          <w:rPr>
            <w:rStyle w:val="Hyperlink"/>
            <w:rFonts w:ascii="VIC" w:hAnsi="VIC"/>
            <w:sz w:val="20"/>
          </w:rPr>
          <w:t>Contents</w:t>
        </w:r>
        <w:r w:rsidR="00C15426" w:rsidRPr="00C15426">
          <w:rPr>
            <w:rFonts w:ascii="VIC" w:hAnsi="VIC"/>
            <w:webHidden/>
            <w:sz w:val="20"/>
          </w:rPr>
          <w:tab/>
        </w:r>
        <w:r w:rsidR="00C15426" w:rsidRPr="00C15426">
          <w:rPr>
            <w:rFonts w:ascii="VIC" w:hAnsi="VIC"/>
            <w:webHidden/>
            <w:sz w:val="20"/>
          </w:rPr>
          <w:fldChar w:fldCharType="begin"/>
        </w:r>
        <w:r w:rsidR="00C15426" w:rsidRPr="00C15426">
          <w:rPr>
            <w:rFonts w:ascii="VIC" w:hAnsi="VIC"/>
            <w:webHidden/>
            <w:sz w:val="20"/>
          </w:rPr>
          <w:instrText xml:space="preserve"> PAGEREF _Toc22208485 \h </w:instrText>
        </w:r>
        <w:r w:rsidR="00C15426" w:rsidRPr="00C15426">
          <w:rPr>
            <w:rFonts w:ascii="VIC" w:hAnsi="VIC"/>
            <w:webHidden/>
            <w:sz w:val="20"/>
          </w:rPr>
        </w:r>
        <w:r w:rsidR="00C15426" w:rsidRPr="00C15426">
          <w:rPr>
            <w:rFonts w:ascii="VIC" w:hAnsi="VIC"/>
            <w:webHidden/>
            <w:sz w:val="20"/>
          </w:rPr>
          <w:fldChar w:fldCharType="separate"/>
        </w:r>
        <w:r w:rsidR="00C15426" w:rsidRPr="00C15426">
          <w:rPr>
            <w:rFonts w:ascii="VIC" w:hAnsi="VIC"/>
            <w:webHidden/>
            <w:sz w:val="20"/>
          </w:rPr>
          <w:t>1</w:t>
        </w:r>
        <w:r w:rsidR="00C15426" w:rsidRPr="00C15426">
          <w:rPr>
            <w:rFonts w:ascii="VIC" w:hAnsi="VIC"/>
            <w:webHidden/>
            <w:sz w:val="20"/>
          </w:rPr>
          <w:fldChar w:fldCharType="end"/>
        </w:r>
      </w:hyperlink>
    </w:p>
    <w:p w14:paraId="1E85CF86" w14:textId="5C284A73" w:rsidR="00C15426" w:rsidRPr="00C15426" w:rsidRDefault="00334CCF">
      <w:pPr>
        <w:pStyle w:val="TOC1"/>
        <w:rPr>
          <w:rFonts w:ascii="VIC" w:eastAsiaTheme="minorEastAsia" w:hAnsi="VIC" w:cstheme="minorBidi"/>
          <w:sz w:val="20"/>
          <w:lang w:eastAsia="en-AU"/>
        </w:rPr>
      </w:pPr>
      <w:hyperlink w:anchor="_Toc22208486" w:history="1">
        <w:r w:rsidR="00C15426" w:rsidRPr="00C15426">
          <w:rPr>
            <w:rStyle w:val="Hyperlink"/>
            <w:rFonts w:ascii="VIC" w:hAnsi="VIC"/>
            <w:sz w:val="20"/>
          </w:rPr>
          <w:t>Residential (CCU) 2019-20 Q1</w:t>
        </w:r>
        <w:r w:rsidR="00C15426" w:rsidRPr="00C15426">
          <w:rPr>
            <w:rFonts w:ascii="VIC" w:hAnsi="VIC"/>
            <w:webHidden/>
            <w:sz w:val="20"/>
          </w:rPr>
          <w:tab/>
        </w:r>
        <w:r w:rsidR="00C15426" w:rsidRPr="00C15426">
          <w:rPr>
            <w:rFonts w:ascii="VIC" w:hAnsi="VIC"/>
            <w:webHidden/>
            <w:sz w:val="20"/>
          </w:rPr>
          <w:fldChar w:fldCharType="begin"/>
        </w:r>
        <w:r w:rsidR="00C15426" w:rsidRPr="00C15426">
          <w:rPr>
            <w:rFonts w:ascii="VIC" w:hAnsi="VIC"/>
            <w:webHidden/>
            <w:sz w:val="20"/>
          </w:rPr>
          <w:instrText xml:space="preserve"> PAGEREF _Toc22208486 \h </w:instrText>
        </w:r>
        <w:r w:rsidR="00C15426" w:rsidRPr="00C15426">
          <w:rPr>
            <w:rFonts w:ascii="VIC" w:hAnsi="VIC"/>
            <w:webHidden/>
            <w:sz w:val="20"/>
          </w:rPr>
        </w:r>
        <w:r w:rsidR="00C15426" w:rsidRPr="00C15426">
          <w:rPr>
            <w:rFonts w:ascii="VIC" w:hAnsi="VIC"/>
            <w:webHidden/>
            <w:sz w:val="20"/>
          </w:rPr>
          <w:fldChar w:fldCharType="separate"/>
        </w:r>
        <w:r w:rsidR="00C15426" w:rsidRPr="00C15426">
          <w:rPr>
            <w:rFonts w:ascii="VIC" w:hAnsi="VIC"/>
            <w:webHidden/>
            <w:sz w:val="20"/>
          </w:rPr>
          <w:t>2</w:t>
        </w:r>
        <w:r w:rsidR="00C15426" w:rsidRPr="00C15426">
          <w:rPr>
            <w:rFonts w:ascii="VIC" w:hAnsi="VIC"/>
            <w:webHidden/>
            <w:sz w:val="20"/>
          </w:rPr>
          <w:fldChar w:fldCharType="end"/>
        </w:r>
      </w:hyperlink>
    </w:p>
    <w:p w14:paraId="0E771CF4" w14:textId="76CD8ACE" w:rsidR="00C15426" w:rsidRPr="00C15426" w:rsidRDefault="00334CCF">
      <w:pPr>
        <w:pStyle w:val="TOC1"/>
        <w:rPr>
          <w:rFonts w:ascii="VIC" w:eastAsiaTheme="minorEastAsia" w:hAnsi="VIC" w:cstheme="minorBidi"/>
          <w:sz w:val="20"/>
          <w:lang w:eastAsia="en-AU"/>
        </w:rPr>
      </w:pPr>
      <w:hyperlink w:anchor="_Toc22208487" w:history="1">
        <w:r w:rsidR="00C15426" w:rsidRPr="00C15426">
          <w:rPr>
            <w:rStyle w:val="Hyperlink"/>
            <w:rFonts w:ascii="VIC" w:hAnsi="VIC"/>
            <w:sz w:val="20"/>
          </w:rPr>
          <w:t>Extended care 2019-20 Q1</w:t>
        </w:r>
        <w:r w:rsidR="00C15426" w:rsidRPr="00C15426">
          <w:rPr>
            <w:rFonts w:ascii="VIC" w:hAnsi="VIC"/>
            <w:webHidden/>
            <w:sz w:val="20"/>
          </w:rPr>
          <w:tab/>
        </w:r>
        <w:r w:rsidR="00C15426" w:rsidRPr="00C15426">
          <w:rPr>
            <w:rFonts w:ascii="VIC" w:hAnsi="VIC"/>
            <w:webHidden/>
            <w:sz w:val="20"/>
          </w:rPr>
          <w:fldChar w:fldCharType="begin"/>
        </w:r>
        <w:r w:rsidR="00C15426" w:rsidRPr="00C15426">
          <w:rPr>
            <w:rFonts w:ascii="VIC" w:hAnsi="VIC"/>
            <w:webHidden/>
            <w:sz w:val="20"/>
          </w:rPr>
          <w:instrText xml:space="preserve"> PAGEREF _Toc22208487 \h </w:instrText>
        </w:r>
        <w:r w:rsidR="00C15426" w:rsidRPr="00C15426">
          <w:rPr>
            <w:rFonts w:ascii="VIC" w:hAnsi="VIC"/>
            <w:webHidden/>
            <w:sz w:val="20"/>
          </w:rPr>
        </w:r>
        <w:r w:rsidR="00C15426" w:rsidRPr="00C15426">
          <w:rPr>
            <w:rFonts w:ascii="VIC" w:hAnsi="VIC"/>
            <w:webHidden/>
            <w:sz w:val="20"/>
          </w:rPr>
          <w:fldChar w:fldCharType="separate"/>
        </w:r>
        <w:r w:rsidR="00C15426" w:rsidRPr="00C15426">
          <w:rPr>
            <w:rFonts w:ascii="VIC" w:hAnsi="VIC"/>
            <w:webHidden/>
            <w:sz w:val="20"/>
          </w:rPr>
          <w:t>3</w:t>
        </w:r>
        <w:r w:rsidR="00C15426" w:rsidRPr="00C15426">
          <w:rPr>
            <w:rFonts w:ascii="VIC" w:hAnsi="VIC"/>
            <w:webHidden/>
            <w:sz w:val="20"/>
          </w:rPr>
          <w:fldChar w:fldCharType="end"/>
        </w:r>
      </w:hyperlink>
    </w:p>
    <w:p w14:paraId="0A9E7BE2" w14:textId="2A9C5F07" w:rsidR="00C15426" w:rsidRPr="00C15426" w:rsidRDefault="00334CCF">
      <w:pPr>
        <w:pStyle w:val="TOC1"/>
        <w:rPr>
          <w:rFonts w:ascii="VIC" w:eastAsiaTheme="minorEastAsia" w:hAnsi="VIC" w:cstheme="minorBidi"/>
          <w:sz w:val="20"/>
          <w:lang w:eastAsia="en-AU"/>
        </w:rPr>
      </w:pPr>
      <w:hyperlink w:anchor="_Toc22208488" w:history="1">
        <w:r w:rsidR="00C15426" w:rsidRPr="00C15426">
          <w:rPr>
            <w:rStyle w:val="Hyperlink"/>
            <w:rFonts w:ascii="VIC" w:hAnsi="VIC"/>
            <w:sz w:val="20"/>
          </w:rPr>
          <w:t>Metropolitan PARC 2019-20 Q1</w:t>
        </w:r>
        <w:r w:rsidR="00C15426" w:rsidRPr="00C15426">
          <w:rPr>
            <w:rFonts w:ascii="VIC" w:hAnsi="VIC"/>
            <w:webHidden/>
            <w:sz w:val="20"/>
          </w:rPr>
          <w:tab/>
        </w:r>
        <w:r w:rsidR="00C15426" w:rsidRPr="00C15426">
          <w:rPr>
            <w:rFonts w:ascii="VIC" w:hAnsi="VIC"/>
            <w:webHidden/>
            <w:sz w:val="20"/>
          </w:rPr>
          <w:fldChar w:fldCharType="begin"/>
        </w:r>
        <w:r w:rsidR="00C15426" w:rsidRPr="00C15426">
          <w:rPr>
            <w:rFonts w:ascii="VIC" w:hAnsi="VIC"/>
            <w:webHidden/>
            <w:sz w:val="20"/>
          </w:rPr>
          <w:instrText xml:space="preserve"> PAGEREF _Toc22208488 \h </w:instrText>
        </w:r>
        <w:r w:rsidR="00C15426" w:rsidRPr="00C15426">
          <w:rPr>
            <w:rFonts w:ascii="VIC" w:hAnsi="VIC"/>
            <w:webHidden/>
            <w:sz w:val="20"/>
          </w:rPr>
        </w:r>
        <w:r w:rsidR="00C15426" w:rsidRPr="00C15426">
          <w:rPr>
            <w:rFonts w:ascii="VIC" w:hAnsi="VIC"/>
            <w:webHidden/>
            <w:sz w:val="20"/>
          </w:rPr>
          <w:fldChar w:fldCharType="separate"/>
        </w:r>
        <w:r w:rsidR="00C15426" w:rsidRPr="00C15426">
          <w:rPr>
            <w:rFonts w:ascii="VIC" w:hAnsi="VIC"/>
            <w:webHidden/>
            <w:sz w:val="20"/>
          </w:rPr>
          <w:t>4</w:t>
        </w:r>
        <w:r w:rsidR="00C15426" w:rsidRPr="00C15426">
          <w:rPr>
            <w:rFonts w:ascii="VIC" w:hAnsi="VIC"/>
            <w:webHidden/>
            <w:sz w:val="20"/>
          </w:rPr>
          <w:fldChar w:fldCharType="end"/>
        </w:r>
      </w:hyperlink>
    </w:p>
    <w:p w14:paraId="7D034C43" w14:textId="1139979C" w:rsidR="00C15426" w:rsidRPr="00C15426" w:rsidRDefault="00334CCF">
      <w:pPr>
        <w:pStyle w:val="TOC1"/>
        <w:rPr>
          <w:rFonts w:ascii="VIC" w:eastAsiaTheme="minorEastAsia" w:hAnsi="VIC" w:cstheme="minorBidi"/>
          <w:sz w:val="20"/>
          <w:lang w:eastAsia="en-AU"/>
        </w:rPr>
      </w:pPr>
      <w:hyperlink w:anchor="_Toc22208489" w:history="1">
        <w:r w:rsidR="00C15426" w:rsidRPr="00C15426">
          <w:rPr>
            <w:rStyle w:val="Hyperlink"/>
            <w:rFonts w:ascii="VIC" w:hAnsi="VIC"/>
            <w:sz w:val="20"/>
          </w:rPr>
          <w:t>Rural PARC 2019-20 Q1</w:t>
        </w:r>
        <w:r w:rsidR="00C15426" w:rsidRPr="00C15426">
          <w:rPr>
            <w:rFonts w:ascii="VIC" w:hAnsi="VIC"/>
            <w:webHidden/>
            <w:sz w:val="20"/>
          </w:rPr>
          <w:tab/>
        </w:r>
        <w:r w:rsidR="00C15426" w:rsidRPr="00C15426">
          <w:rPr>
            <w:rFonts w:ascii="VIC" w:hAnsi="VIC"/>
            <w:webHidden/>
            <w:sz w:val="20"/>
          </w:rPr>
          <w:fldChar w:fldCharType="begin"/>
        </w:r>
        <w:r w:rsidR="00C15426" w:rsidRPr="00C15426">
          <w:rPr>
            <w:rFonts w:ascii="VIC" w:hAnsi="VIC"/>
            <w:webHidden/>
            <w:sz w:val="20"/>
          </w:rPr>
          <w:instrText xml:space="preserve"> PAGEREF _Toc22208489 \h </w:instrText>
        </w:r>
        <w:r w:rsidR="00C15426" w:rsidRPr="00C15426">
          <w:rPr>
            <w:rFonts w:ascii="VIC" w:hAnsi="VIC"/>
            <w:webHidden/>
            <w:sz w:val="20"/>
          </w:rPr>
        </w:r>
        <w:r w:rsidR="00C15426" w:rsidRPr="00C15426">
          <w:rPr>
            <w:rFonts w:ascii="VIC" w:hAnsi="VIC"/>
            <w:webHidden/>
            <w:sz w:val="20"/>
          </w:rPr>
          <w:fldChar w:fldCharType="separate"/>
        </w:r>
        <w:r w:rsidR="00C15426" w:rsidRPr="00C15426">
          <w:rPr>
            <w:rFonts w:ascii="VIC" w:hAnsi="VIC"/>
            <w:webHidden/>
            <w:sz w:val="20"/>
          </w:rPr>
          <w:t>5</w:t>
        </w:r>
        <w:r w:rsidR="00C15426" w:rsidRPr="00C15426">
          <w:rPr>
            <w:rFonts w:ascii="VIC" w:hAnsi="VIC"/>
            <w:webHidden/>
            <w:sz w:val="20"/>
          </w:rPr>
          <w:fldChar w:fldCharType="end"/>
        </w:r>
      </w:hyperlink>
    </w:p>
    <w:p w14:paraId="0291AB44" w14:textId="51580754" w:rsidR="00C15426" w:rsidRPr="00C15426" w:rsidRDefault="00334CCF">
      <w:pPr>
        <w:pStyle w:val="TOC1"/>
        <w:rPr>
          <w:rFonts w:ascii="VIC" w:eastAsiaTheme="minorEastAsia" w:hAnsi="VIC" w:cstheme="minorBidi"/>
          <w:sz w:val="20"/>
          <w:lang w:eastAsia="en-AU"/>
        </w:rPr>
      </w:pPr>
      <w:hyperlink w:anchor="_Toc22208490" w:history="1">
        <w:r w:rsidR="00C15426" w:rsidRPr="00C15426">
          <w:rPr>
            <w:rStyle w:val="Hyperlink"/>
            <w:rFonts w:ascii="VIC" w:hAnsi="VIC"/>
            <w:sz w:val="20"/>
          </w:rPr>
          <w:t>Indicator descriptions and notes</w:t>
        </w:r>
        <w:r w:rsidR="00C15426" w:rsidRPr="00C15426">
          <w:rPr>
            <w:rFonts w:ascii="VIC" w:hAnsi="VIC"/>
            <w:webHidden/>
            <w:sz w:val="20"/>
          </w:rPr>
          <w:tab/>
        </w:r>
        <w:r w:rsidR="00C15426" w:rsidRPr="00C15426">
          <w:rPr>
            <w:rFonts w:ascii="VIC" w:hAnsi="VIC"/>
            <w:webHidden/>
            <w:sz w:val="20"/>
          </w:rPr>
          <w:fldChar w:fldCharType="begin"/>
        </w:r>
        <w:r w:rsidR="00C15426" w:rsidRPr="00C15426">
          <w:rPr>
            <w:rFonts w:ascii="VIC" w:hAnsi="VIC"/>
            <w:webHidden/>
            <w:sz w:val="20"/>
          </w:rPr>
          <w:instrText xml:space="preserve"> PAGEREF _Toc22208490 \h </w:instrText>
        </w:r>
        <w:r w:rsidR="00C15426" w:rsidRPr="00C15426">
          <w:rPr>
            <w:rFonts w:ascii="VIC" w:hAnsi="VIC"/>
            <w:webHidden/>
            <w:sz w:val="20"/>
          </w:rPr>
        </w:r>
        <w:r w:rsidR="00C15426" w:rsidRPr="00C15426">
          <w:rPr>
            <w:rFonts w:ascii="VIC" w:hAnsi="VIC"/>
            <w:webHidden/>
            <w:sz w:val="20"/>
          </w:rPr>
          <w:fldChar w:fldCharType="separate"/>
        </w:r>
        <w:r w:rsidR="00C15426" w:rsidRPr="00C15426">
          <w:rPr>
            <w:rFonts w:ascii="VIC" w:hAnsi="VIC"/>
            <w:webHidden/>
            <w:sz w:val="20"/>
          </w:rPr>
          <w:t>6</w:t>
        </w:r>
        <w:r w:rsidR="00C15426" w:rsidRPr="00C15426">
          <w:rPr>
            <w:rFonts w:ascii="VIC" w:hAnsi="VIC"/>
            <w:webHidden/>
            <w:sz w:val="20"/>
          </w:rPr>
          <w:fldChar w:fldCharType="end"/>
        </w:r>
      </w:hyperlink>
    </w:p>
    <w:p w14:paraId="0A7F47BD" w14:textId="08A379E1" w:rsidR="00CF11E1" w:rsidRPr="0067289E" w:rsidRDefault="00CF11E1" w:rsidP="00CF11E1">
      <w:pPr>
        <w:pStyle w:val="VAHIbody"/>
        <w:spacing w:before="240"/>
        <w:sectPr w:rsidR="00CF11E1" w:rsidRPr="0067289E" w:rsidSect="004367B3">
          <w:type w:val="continuous"/>
          <w:pgSz w:w="16838" w:h="11906" w:orient="landscape"/>
          <w:pgMar w:top="851" w:right="851" w:bottom="851" w:left="851" w:header="567" w:footer="510" w:gutter="0"/>
          <w:cols w:space="720"/>
          <w:docGrid w:linePitch="272"/>
        </w:sectPr>
      </w:pPr>
      <w:r w:rsidRPr="00C15426">
        <w:rPr>
          <w:rFonts w:eastAsia="Times New Roman"/>
        </w:rPr>
        <w:fldChar w:fldCharType="end"/>
      </w:r>
    </w:p>
    <w:p w14:paraId="4FEFCA9E" w14:textId="199948A3" w:rsidR="00BE2218" w:rsidRDefault="00334CCF" w:rsidP="008D13A2">
      <w:pPr>
        <w:pStyle w:val="VAHInumberlowerromanindent"/>
        <w:numPr>
          <w:ilvl w:val="0"/>
          <w:numId w:val="0"/>
        </w:numPr>
        <w:ind w:left="794"/>
        <w:rPr>
          <w:rFonts w:eastAsia="MS Gothic" w:cs="Arial"/>
          <w:color w:val="004EA8"/>
          <w:kern w:val="32"/>
          <w:sz w:val="36"/>
          <w:szCs w:val="40"/>
        </w:rPr>
      </w:pPr>
      <w:bookmarkStart w:id="2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2884653D" wp14:editId="51992588">
            <wp:simplePos x="0" y="0"/>
            <wp:positionH relativeFrom="column">
              <wp:align>right</wp:align>
            </wp:positionH>
            <wp:positionV relativeFrom="margin">
              <wp:posOffset>5760720</wp:posOffset>
            </wp:positionV>
            <wp:extent cx="1173600" cy="687600"/>
            <wp:effectExtent l="0" t="0" r="762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9"/>
                    <a:srcRect l="62788"/>
                    <a:stretch/>
                  </pic:blipFill>
                  <pic:spPr bwMode="auto">
                    <a:xfrm>
                      <a:off x="0" y="0"/>
                      <a:ext cx="1173600" cy="68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  <w:r w:rsidR="00BE2218">
        <w:br w:type="page"/>
      </w:r>
    </w:p>
    <w:tbl>
      <w:tblPr>
        <w:tblW w:w="15745" w:type="dxa"/>
        <w:tblInd w:w="-294" w:type="dxa"/>
        <w:tblBorders>
          <w:insideH w:val="single" w:sz="4" w:space="0" w:color="244C5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5"/>
        <w:gridCol w:w="2695"/>
        <w:gridCol w:w="1212"/>
        <w:gridCol w:w="1213"/>
        <w:gridCol w:w="1213"/>
        <w:gridCol w:w="1213"/>
        <w:gridCol w:w="1212"/>
        <w:gridCol w:w="1213"/>
        <w:gridCol w:w="1213"/>
        <w:gridCol w:w="1213"/>
        <w:gridCol w:w="1213"/>
      </w:tblGrid>
      <w:tr w:rsidR="00E67EC5" w:rsidRPr="00A6366B" w14:paraId="437E05E8" w14:textId="77777777" w:rsidTr="00CF600E">
        <w:trPr>
          <w:trHeight w:val="1062"/>
          <w:tblHeader/>
        </w:trPr>
        <w:tc>
          <w:tcPr>
            <w:tcW w:w="4830" w:type="dxa"/>
            <w:gridSpan w:val="2"/>
            <w:shd w:val="clear" w:color="auto" w:fill="FFFFFF"/>
            <w:vAlign w:val="bottom"/>
          </w:tcPr>
          <w:p w14:paraId="4C6080BD" w14:textId="6A8CEC29" w:rsidR="00E67EC5" w:rsidRPr="00592F37" w:rsidRDefault="00E67EC5" w:rsidP="00E67EC5">
            <w:pPr>
              <w:pStyle w:val="Heading1"/>
              <w:spacing w:before="0" w:line="240" w:lineRule="auto"/>
              <w:rPr>
                <w:color w:val="244C5A"/>
                <w:sz w:val="28"/>
                <w:szCs w:val="28"/>
              </w:rPr>
            </w:pPr>
            <w:bookmarkStart w:id="3" w:name="_Toc17978050"/>
            <w:bookmarkStart w:id="4" w:name="_Toc21699119"/>
            <w:bookmarkStart w:id="5" w:name="_Toc22208486"/>
            <w:r>
              <w:rPr>
                <w:color w:val="244C5A"/>
                <w:sz w:val="22"/>
                <w:szCs w:val="28"/>
              </w:rPr>
              <w:lastRenderedPageBreak/>
              <w:t>Residential (CCU)</w:t>
            </w:r>
            <w:r w:rsidRPr="00052DAD">
              <w:rPr>
                <w:color w:val="244C5A"/>
                <w:sz w:val="22"/>
                <w:szCs w:val="28"/>
              </w:rPr>
              <w:br w:type="textWrapping" w:clear="all"/>
            </w:r>
            <w:r>
              <w:rPr>
                <w:color w:val="244C5A"/>
                <w:sz w:val="22"/>
                <w:szCs w:val="28"/>
              </w:rPr>
              <w:t>2019-20 Q1</w:t>
            </w:r>
            <w:bookmarkEnd w:id="3"/>
            <w:bookmarkEnd w:id="4"/>
            <w:bookmarkEnd w:id="5"/>
          </w:p>
        </w:tc>
        <w:tc>
          <w:tcPr>
            <w:tcW w:w="1212" w:type="dxa"/>
            <w:shd w:val="clear" w:color="auto" w:fill="FFFFFF"/>
            <w:vAlign w:val="bottom"/>
          </w:tcPr>
          <w:p w14:paraId="2D37B0FF" w14:textId="4E992FDA" w:rsidR="00E67EC5" w:rsidRPr="00E67EC5" w:rsidRDefault="00E67EC5" w:rsidP="00E67EC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 xml:space="preserve">Beds per </w:t>
            </w:r>
            <w:r w:rsidR="00CF600E">
              <w:rPr>
                <w:sz w:val="16"/>
              </w:rPr>
              <w:br w:type="textWrapping" w:clear="all"/>
            </w:r>
            <w:r w:rsidRPr="00E67EC5">
              <w:rPr>
                <w:sz w:val="16"/>
              </w:rPr>
              <w:t>10,000 population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4C8DF469" w14:textId="163A023A" w:rsidR="00E67EC5" w:rsidRPr="00E67EC5" w:rsidRDefault="00E67EC5" w:rsidP="00E67EC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>Bed occupancy (incl leave)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7CE64ECF" w14:textId="62F2DBF8" w:rsidR="00E67EC5" w:rsidRPr="00E67EC5" w:rsidRDefault="00E67EC5" w:rsidP="00E67EC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>Leave days per occupied bed days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2A6A6645" w14:textId="4EF05588" w:rsidR="00E67EC5" w:rsidRPr="00E67EC5" w:rsidRDefault="00E67EC5" w:rsidP="00E67EC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>Average duration of treatment to date (days)</w:t>
            </w:r>
          </w:p>
        </w:tc>
        <w:tc>
          <w:tcPr>
            <w:tcW w:w="1212" w:type="dxa"/>
            <w:shd w:val="clear" w:color="auto" w:fill="FFFFFF"/>
            <w:vAlign w:val="bottom"/>
          </w:tcPr>
          <w:p w14:paraId="4EE21D56" w14:textId="3B49F872" w:rsidR="00E67EC5" w:rsidRPr="00E67EC5" w:rsidRDefault="00E67EC5" w:rsidP="00E67EC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>Consumers concurrently on a CTO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538C55E4" w14:textId="156E7361" w:rsidR="00E67EC5" w:rsidRPr="00E67EC5" w:rsidRDefault="00E67EC5" w:rsidP="00E67EC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proofErr w:type="spellStart"/>
            <w:r w:rsidRPr="00E67EC5">
              <w:rPr>
                <w:sz w:val="16"/>
              </w:rPr>
              <w:t>HoNOS</w:t>
            </w:r>
            <w:proofErr w:type="spellEnd"/>
            <w:r w:rsidRPr="00E67EC5">
              <w:rPr>
                <w:sz w:val="16"/>
              </w:rPr>
              <w:t xml:space="preserve"> compliance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49C7EA03" w14:textId="0B622103" w:rsidR="00E67EC5" w:rsidRPr="00E67EC5" w:rsidRDefault="00E67EC5" w:rsidP="00E67EC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 xml:space="preserve">Average </w:t>
            </w:r>
            <w:proofErr w:type="spellStart"/>
            <w:r w:rsidRPr="00E67EC5">
              <w:rPr>
                <w:sz w:val="16"/>
              </w:rPr>
              <w:t>HoNOS</w:t>
            </w:r>
            <w:proofErr w:type="spellEnd"/>
            <w:r w:rsidRPr="00E67EC5">
              <w:rPr>
                <w:sz w:val="16"/>
              </w:rPr>
              <w:t xml:space="preserve"> at episode</w:t>
            </w:r>
            <w:r w:rsidR="00CF600E">
              <w:rPr>
                <w:sz w:val="16"/>
              </w:rPr>
              <w:t xml:space="preserve"> </w:t>
            </w:r>
            <w:r w:rsidRPr="00E67EC5">
              <w:rPr>
                <w:sz w:val="16"/>
              </w:rPr>
              <w:t>start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15695B4C" w14:textId="61D48B94" w:rsidR="00E67EC5" w:rsidRPr="00E67EC5" w:rsidRDefault="00E67EC5" w:rsidP="00E67EC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 xml:space="preserve">BASIS32 </w:t>
            </w:r>
            <w:r w:rsidR="00CF600E">
              <w:rPr>
                <w:sz w:val="16"/>
              </w:rPr>
              <w:br w:type="textWrapping" w:clear="all"/>
            </w:r>
            <w:r w:rsidRPr="00E67EC5">
              <w:rPr>
                <w:sz w:val="16"/>
              </w:rPr>
              <w:t>offered</w:t>
            </w:r>
          </w:p>
        </w:tc>
        <w:tc>
          <w:tcPr>
            <w:tcW w:w="1213" w:type="dxa"/>
            <w:shd w:val="clear" w:color="auto" w:fill="FFFFFF"/>
            <w:vAlign w:val="bottom"/>
          </w:tcPr>
          <w:p w14:paraId="05E01CCC" w14:textId="629DC9BB" w:rsidR="00E67EC5" w:rsidRPr="00E67EC5" w:rsidRDefault="00E67EC5" w:rsidP="00E67EC5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E67EC5">
              <w:rPr>
                <w:sz w:val="16"/>
              </w:rPr>
              <w:t>BASIS32 completed</w:t>
            </w:r>
          </w:p>
        </w:tc>
      </w:tr>
      <w:tr w:rsidR="008D13A2" w:rsidRPr="00A6366B" w14:paraId="5AEF62E7" w14:textId="77777777" w:rsidTr="00EC71A3">
        <w:trPr>
          <w:trHeight w:val="340"/>
        </w:trPr>
        <w:tc>
          <w:tcPr>
            <w:tcW w:w="2135" w:type="dxa"/>
            <w:shd w:val="clear" w:color="auto" w:fill="BFCED6"/>
          </w:tcPr>
          <w:p w14:paraId="54B56F45" w14:textId="4491470A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bookmarkStart w:id="6" w:name="_Hlk15473260"/>
            <w:r w:rsidRPr="006F4A3D">
              <w:rPr>
                <w:rFonts w:ascii="VIC" w:eastAsia="Verdana" w:hAnsi="VIC"/>
                <w:color w:val="000000"/>
                <w:sz w:val="18"/>
                <w:szCs w:val="18"/>
              </w:rPr>
              <w:t>Alfred Health</w:t>
            </w:r>
          </w:p>
        </w:tc>
        <w:tc>
          <w:tcPr>
            <w:tcW w:w="2695" w:type="dxa"/>
            <w:shd w:val="clear" w:color="auto" w:fill="BFCED6"/>
          </w:tcPr>
          <w:p w14:paraId="4F7A89AD" w14:textId="4D96E49F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Inner South East (The Alfred)</w:t>
            </w:r>
          </w:p>
        </w:tc>
        <w:tc>
          <w:tcPr>
            <w:tcW w:w="1212" w:type="dxa"/>
            <w:shd w:val="clear" w:color="auto" w:fill="BFCED6"/>
          </w:tcPr>
          <w:p w14:paraId="2B0082FF" w14:textId="30CD84FA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213" w:type="dxa"/>
            <w:shd w:val="clear" w:color="auto" w:fill="BFCED6"/>
          </w:tcPr>
          <w:p w14:paraId="4DAE3F9C" w14:textId="577333CD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86 %</w:t>
            </w:r>
          </w:p>
        </w:tc>
        <w:tc>
          <w:tcPr>
            <w:tcW w:w="1213" w:type="dxa"/>
            <w:shd w:val="clear" w:color="auto" w:fill="BFCED6"/>
          </w:tcPr>
          <w:p w14:paraId="30CB2EBF" w14:textId="79971629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1 %</w:t>
            </w:r>
          </w:p>
        </w:tc>
        <w:tc>
          <w:tcPr>
            <w:tcW w:w="1213" w:type="dxa"/>
            <w:shd w:val="clear" w:color="auto" w:fill="BFCED6"/>
          </w:tcPr>
          <w:p w14:paraId="7DCD1E83" w14:textId="343A292B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215.6</w:t>
            </w:r>
          </w:p>
        </w:tc>
        <w:tc>
          <w:tcPr>
            <w:tcW w:w="1212" w:type="dxa"/>
            <w:shd w:val="clear" w:color="auto" w:fill="BFCED6"/>
          </w:tcPr>
          <w:p w14:paraId="41189295" w14:textId="364A1D48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39 %</w:t>
            </w:r>
          </w:p>
        </w:tc>
        <w:tc>
          <w:tcPr>
            <w:tcW w:w="1213" w:type="dxa"/>
            <w:shd w:val="clear" w:color="auto" w:fill="BFCED6"/>
          </w:tcPr>
          <w:p w14:paraId="66BC35DE" w14:textId="545211A5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64 %</w:t>
            </w:r>
          </w:p>
        </w:tc>
        <w:tc>
          <w:tcPr>
            <w:tcW w:w="1213" w:type="dxa"/>
            <w:shd w:val="clear" w:color="auto" w:fill="BFCED6"/>
          </w:tcPr>
          <w:p w14:paraId="5D6B7A63" w14:textId="6B7BD383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1213" w:type="dxa"/>
            <w:shd w:val="clear" w:color="auto" w:fill="BFCED6"/>
          </w:tcPr>
          <w:p w14:paraId="7F4301A7" w14:textId="086E2A00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86 %</w:t>
            </w:r>
          </w:p>
        </w:tc>
        <w:tc>
          <w:tcPr>
            <w:tcW w:w="1213" w:type="dxa"/>
            <w:shd w:val="clear" w:color="auto" w:fill="BFCED6"/>
          </w:tcPr>
          <w:p w14:paraId="48A34DC4" w14:textId="054DFA93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31 %</w:t>
            </w:r>
          </w:p>
        </w:tc>
      </w:tr>
      <w:tr w:rsidR="008D13A2" w:rsidRPr="00A6366B" w14:paraId="681BA44E" w14:textId="77777777" w:rsidTr="00EC71A3">
        <w:trPr>
          <w:trHeight w:val="340"/>
        </w:trPr>
        <w:tc>
          <w:tcPr>
            <w:tcW w:w="2135" w:type="dxa"/>
          </w:tcPr>
          <w:p w14:paraId="2CB2150E" w14:textId="22F85142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6F4A3D">
              <w:rPr>
                <w:rFonts w:ascii="VIC" w:eastAsia="Verdana" w:hAnsi="VIC"/>
                <w:color w:val="000000"/>
                <w:sz w:val="18"/>
                <w:szCs w:val="18"/>
              </w:rPr>
              <w:t>Austin Health</w:t>
            </w:r>
          </w:p>
        </w:tc>
        <w:tc>
          <w:tcPr>
            <w:tcW w:w="2695" w:type="dxa"/>
          </w:tcPr>
          <w:p w14:paraId="46DE8B75" w14:textId="60FF7C3A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North East (Austin)</w:t>
            </w:r>
          </w:p>
        </w:tc>
        <w:tc>
          <w:tcPr>
            <w:tcW w:w="1212" w:type="dxa"/>
          </w:tcPr>
          <w:p w14:paraId="6298EB62" w14:textId="444DA4C5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213" w:type="dxa"/>
          </w:tcPr>
          <w:p w14:paraId="1F8AED50" w14:textId="71B70263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77 %</w:t>
            </w:r>
          </w:p>
        </w:tc>
        <w:tc>
          <w:tcPr>
            <w:tcW w:w="1213" w:type="dxa"/>
          </w:tcPr>
          <w:p w14:paraId="2FBEE051" w14:textId="14E39497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1213" w:type="dxa"/>
          </w:tcPr>
          <w:p w14:paraId="48B05D7D" w14:textId="79C82BCF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395.5</w:t>
            </w:r>
          </w:p>
        </w:tc>
        <w:tc>
          <w:tcPr>
            <w:tcW w:w="1212" w:type="dxa"/>
          </w:tcPr>
          <w:p w14:paraId="30FF6AFD" w14:textId="0F45A4E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13 %</w:t>
            </w:r>
          </w:p>
        </w:tc>
        <w:tc>
          <w:tcPr>
            <w:tcW w:w="1213" w:type="dxa"/>
          </w:tcPr>
          <w:p w14:paraId="51B838F0" w14:textId="7DD4F455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87 %</w:t>
            </w:r>
          </w:p>
        </w:tc>
        <w:tc>
          <w:tcPr>
            <w:tcW w:w="1213" w:type="dxa"/>
          </w:tcPr>
          <w:p w14:paraId="236D1E8A" w14:textId="6DAE51B8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1213" w:type="dxa"/>
          </w:tcPr>
          <w:p w14:paraId="2C395552" w14:textId="5381EEF6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71 %</w:t>
            </w:r>
          </w:p>
        </w:tc>
        <w:tc>
          <w:tcPr>
            <w:tcW w:w="1213" w:type="dxa"/>
          </w:tcPr>
          <w:p w14:paraId="2E8B05AE" w14:textId="3AB93B98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64 %</w:t>
            </w:r>
          </w:p>
        </w:tc>
      </w:tr>
      <w:bookmarkEnd w:id="6"/>
      <w:tr w:rsidR="008D13A2" w:rsidRPr="00A6366B" w14:paraId="2479B07E" w14:textId="77777777" w:rsidTr="00EC71A3">
        <w:trPr>
          <w:trHeight w:val="340"/>
        </w:trPr>
        <w:tc>
          <w:tcPr>
            <w:tcW w:w="2135" w:type="dxa"/>
            <w:vMerge w:val="restart"/>
            <w:shd w:val="clear" w:color="auto" w:fill="BFCED6"/>
          </w:tcPr>
          <w:p w14:paraId="077B22C0" w14:textId="06D4AD0C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6F4A3D">
              <w:rPr>
                <w:rFonts w:ascii="VIC" w:eastAsia="Verdana" w:hAnsi="VIC"/>
                <w:color w:val="000000"/>
                <w:sz w:val="18"/>
                <w:szCs w:val="18"/>
              </w:rPr>
              <w:t>Eastern Health</w:t>
            </w:r>
          </w:p>
        </w:tc>
        <w:tc>
          <w:tcPr>
            <w:tcW w:w="2695" w:type="dxa"/>
            <w:shd w:val="clear" w:color="auto" w:fill="BFCED6"/>
          </w:tcPr>
          <w:p w14:paraId="19F0CE22" w14:textId="1FF3977F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Central East (Box Hill)</w:t>
            </w:r>
          </w:p>
        </w:tc>
        <w:tc>
          <w:tcPr>
            <w:tcW w:w="1212" w:type="dxa"/>
            <w:shd w:val="clear" w:color="auto" w:fill="BFCED6"/>
          </w:tcPr>
          <w:p w14:paraId="4620B289" w14:textId="5F07ACA4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213" w:type="dxa"/>
            <w:shd w:val="clear" w:color="auto" w:fill="BFCED6"/>
          </w:tcPr>
          <w:p w14:paraId="6F6E16D8" w14:textId="4476F0AF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77 %</w:t>
            </w:r>
          </w:p>
        </w:tc>
        <w:tc>
          <w:tcPr>
            <w:tcW w:w="1213" w:type="dxa"/>
            <w:shd w:val="clear" w:color="auto" w:fill="BFCED6"/>
          </w:tcPr>
          <w:p w14:paraId="6D6F5DF1" w14:textId="21FC5300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213" w:type="dxa"/>
            <w:shd w:val="clear" w:color="auto" w:fill="BFCED6"/>
          </w:tcPr>
          <w:p w14:paraId="6473E1F5" w14:textId="6808F047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199.8</w:t>
            </w:r>
          </w:p>
        </w:tc>
        <w:tc>
          <w:tcPr>
            <w:tcW w:w="1212" w:type="dxa"/>
            <w:shd w:val="clear" w:color="auto" w:fill="BFCED6"/>
          </w:tcPr>
          <w:p w14:paraId="4CB05423" w14:textId="39F6C65C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48 %</w:t>
            </w:r>
          </w:p>
        </w:tc>
        <w:tc>
          <w:tcPr>
            <w:tcW w:w="1213" w:type="dxa"/>
            <w:shd w:val="clear" w:color="auto" w:fill="BFCED6"/>
          </w:tcPr>
          <w:p w14:paraId="23989E47" w14:textId="4B2486D8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83 %</w:t>
            </w:r>
          </w:p>
        </w:tc>
        <w:tc>
          <w:tcPr>
            <w:tcW w:w="1213" w:type="dxa"/>
            <w:shd w:val="clear" w:color="auto" w:fill="BFCED6"/>
          </w:tcPr>
          <w:p w14:paraId="30FCE249" w14:textId="5355FAFD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1213" w:type="dxa"/>
            <w:shd w:val="clear" w:color="auto" w:fill="BFCED6"/>
          </w:tcPr>
          <w:p w14:paraId="7081D1D9" w14:textId="248A92A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55 %</w:t>
            </w:r>
          </w:p>
        </w:tc>
        <w:tc>
          <w:tcPr>
            <w:tcW w:w="1213" w:type="dxa"/>
            <w:shd w:val="clear" w:color="auto" w:fill="BFCED6"/>
          </w:tcPr>
          <w:p w14:paraId="3F5C6F0A" w14:textId="7329DDB9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41 %</w:t>
            </w:r>
          </w:p>
        </w:tc>
      </w:tr>
      <w:tr w:rsidR="008D13A2" w:rsidRPr="00A6366B" w14:paraId="3A2E3850" w14:textId="77777777" w:rsidTr="00EC71A3">
        <w:trPr>
          <w:trHeight w:val="340"/>
        </w:trPr>
        <w:tc>
          <w:tcPr>
            <w:tcW w:w="2135" w:type="dxa"/>
            <w:vMerge/>
            <w:shd w:val="clear" w:color="auto" w:fill="BFCED6"/>
          </w:tcPr>
          <w:p w14:paraId="6B748672" w14:textId="77777777" w:rsidR="008D13A2" w:rsidRPr="00382424" w:rsidRDefault="008D13A2" w:rsidP="008D13A2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BFCED6"/>
          </w:tcPr>
          <w:p w14:paraId="7056B7DA" w14:textId="37E7500A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Outer East (Maroondah)</w:t>
            </w:r>
          </w:p>
        </w:tc>
        <w:tc>
          <w:tcPr>
            <w:tcW w:w="1212" w:type="dxa"/>
            <w:shd w:val="clear" w:color="auto" w:fill="BFCED6"/>
          </w:tcPr>
          <w:p w14:paraId="49D80A86" w14:textId="3FF65252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213" w:type="dxa"/>
            <w:shd w:val="clear" w:color="auto" w:fill="BFCED6"/>
          </w:tcPr>
          <w:p w14:paraId="001898EA" w14:textId="67C0E097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91 %</w:t>
            </w:r>
          </w:p>
        </w:tc>
        <w:tc>
          <w:tcPr>
            <w:tcW w:w="1213" w:type="dxa"/>
            <w:shd w:val="clear" w:color="auto" w:fill="BFCED6"/>
          </w:tcPr>
          <w:p w14:paraId="4AAF0181" w14:textId="6D74E1A9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213" w:type="dxa"/>
            <w:shd w:val="clear" w:color="auto" w:fill="BFCED6"/>
          </w:tcPr>
          <w:p w14:paraId="36D98A0E" w14:textId="3802044F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368.5</w:t>
            </w:r>
          </w:p>
        </w:tc>
        <w:tc>
          <w:tcPr>
            <w:tcW w:w="1212" w:type="dxa"/>
            <w:shd w:val="clear" w:color="auto" w:fill="BFCED6"/>
          </w:tcPr>
          <w:p w14:paraId="52921A8B" w14:textId="406C248A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11 %</w:t>
            </w:r>
          </w:p>
        </w:tc>
        <w:tc>
          <w:tcPr>
            <w:tcW w:w="1213" w:type="dxa"/>
            <w:shd w:val="clear" w:color="auto" w:fill="BFCED6"/>
          </w:tcPr>
          <w:p w14:paraId="4A113012" w14:textId="0FC293CF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72 %</w:t>
            </w:r>
          </w:p>
        </w:tc>
        <w:tc>
          <w:tcPr>
            <w:tcW w:w="1213" w:type="dxa"/>
            <w:shd w:val="clear" w:color="auto" w:fill="BFCED6"/>
          </w:tcPr>
          <w:p w14:paraId="106DF9C2" w14:textId="36AD1F3A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1213" w:type="dxa"/>
            <w:shd w:val="clear" w:color="auto" w:fill="BFCED6"/>
          </w:tcPr>
          <w:p w14:paraId="66134B6F" w14:textId="2A93C24C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65 %</w:t>
            </w:r>
          </w:p>
        </w:tc>
        <w:tc>
          <w:tcPr>
            <w:tcW w:w="1213" w:type="dxa"/>
            <w:shd w:val="clear" w:color="auto" w:fill="BFCED6"/>
          </w:tcPr>
          <w:p w14:paraId="0D41D7DD" w14:textId="0191A95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12 %</w:t>
            </w:r>
          </w:p>
        </w:tc>
      </w:tr>
      <w:tr w:rsidR="008D13A2" w:rsidRPr="00A6366B" w14:paraId="26234983" w14:textId="77777777" w:rsidTr="00EC71A3">
        <w:trPr>
          <w:trHeight w:val="340"/>
        </w:trPr>
        <w:tc>
          <w:tcPr>
            <w:tcW w:w="2135" w:type="dxa"/>
            <w:vMerge/>
            <w:shd w:val="clear" w:color="auto" w:fill="BFCED6"/>
          </w:tcPr>
          <w:p w14:paraId="1A332C0F" w14:textId="77777777" w:rsidR="008D13A2" w:rsidRPr="00382424" w:rsidRDefault="008D13A2" w:rsidP="008D13A2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BFCED6"/>
          </w:tcPr>
          <w:p w14:paraId="382DEA81" w14:textId="47C4B9B9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12" w:type="dxa"/>
            <w:shd w:val="clear" w:color="auto" w:fill="BFCED6"/>
          </w:tcPr>
          <w:p w14:paraId="548A3366" w14:textId="6115CE30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213" w:type="dxa"/>
            <w:shd w:val="clear" w:color="auto" w:fill="BFCED6"/>
          </w:tcPr>
          <w:p w14:paraId="54E2B668" w14:textId="1C93FB6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84 %</w:t>
            </w:r>
          </w:p>
        </w:tc>
        <w:tc>
          <w:tcPr>
            <w:tcW w:w="1213" w:type="dxa"/>
            <w:shd w:val="clear" w:color="auto" w:fill="BFCED6"/>
          </w:tcPr>
          <w:p w14:paraId="187C9245" w14:textId="74216554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213" w:type="dxa"/>
            <w:shd w:val="clear" w:color="auto" w:fill="BFCED6"/>
          </w:tcPr>
          <w:p w14:paraId="7E041669" w14:textId="40393476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284.1</w:t>
            </w:r>
          </w:p>
        </w:tc>
        <w:tc>
          <w:tcPr>
            <w:tcW w:w="1212" w:type="dxa"/>
            <w:shd w:val="clear" w:color="auto" w:fill="BFCED6"/>
          </w:tcPr>
          <w:p w14:paraId="7DDCC6EE" w14:textId="6D9E70E6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27 %</w:t>
            </w:r>
          </w:p>
        </w:tc>
        <w:tc>
          <w:tcPr>
            <w:tcW w:w="1213" w:type="dxa"/>
            <w:shd w:val="clear" w:color="auto" w:fill="BFCED6"/>
          </w:tcPr>
          <w:p w14:paraId="19C8A45B" w14:textId="725E262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76 %</w:t>
            </w:r>
          </w:p>
        </w:tc>
        <w:tc>
          <w:tcPr>
            <w:tcW w:w="1213" w:type="dxa"/>
            <w:shd w:val="clear" w:color="auto" w:fill="BFCED6"/>
          </w:tcPr>
          <w:p w14:paraId="4155EF54" w14:textId="20EBB204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1213" w:type="dxa"/>
            <w:shd w:val="clear" w:color="auto" w:fill="BFCED6"/>
          </w:tcPr>
          <w:p w14:paraId="18CB532B" w14:textId="0D190E4F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60 %</w:t>
            </w:r>
          </w:p>
        </w:tc>
        <w:tc>
          <w:tcPr>
            <w:tcW w:w="1213" w:type="dxa"/>
            <w:shd w:val="clear" w:color="auto" w:fill="BFCED6"/>
          </w:tcPr>
          <w:p w14:paraId="4B425071" w14:textId="1546B1C9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25 %</w:t>
            </w:r>
          </w:p>
        </w:tc>
      </w:tr>
      <w:tr w:rsidR="008D13A2" w:rsidRPr="00A6366B" w14:paraId="7BFAF8EB" w14:textId="77777777" w:rsidTr="00EC71A3">
        <w:trPr>
          <w:trHeight w:val="340"/>
        </w:trPr>
        <w:tc>
          <w:tcPr>
            <w:tcW w:w="2135" w:type="dxa"/>
            <w:vMerge w:val="restart"/>
          </w:tcPr>
          <w:p w14:paraId="32C7ECB9" w14:textId="0892CBD8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6F4A3D">
              <w:rPr>
                <w:rFonts w:ascii="VIC" w:eastAsia="Verdana" w:hAnsi="VIC"/>
                <w:color w:val="000000"/>
                <w:sz w:val="18"/>
                <w:szCs w:val="18"/>
              </w:rPr>
              <w:t>Melbourne Health</w:t>
            </w:r>
          </w:p>
        </w:tc>
        <w:tc>
          <w:tcPr>
            <w:tcW w:w="2695" w:type="dxa"/>
          </w:tcPr>
          <w:p w14:paraId="3AD14FA5" w14:textId="4BBFBD83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Inner West (RMH)</w:t>
            </w:r>
          </w:p>
        </w:tc>
        <w:tc>
          <w:tcPr>
            <w:tcW w:w="1212" w:type="dxa"/>
          </w:tcPr>
          <w:p w14:paraId="0AE95000" w14:textId="15D62422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213" w:type="dxa"/>
          </w:tcPr>
          <w:p w14:paraId="33AEC86C" w14:textId="5334E226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74 %</w:t>
            </w:r>
          </w:p>
        </w:tc>
        <w:tc>
          <w:tcPr>
            <w:tcW w:w="1213" w:type="dxa"/>
          </w:tcPr>
          <w:p w14:paraId="534BA875" w14:textId="2ED4B5A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2 %</w:t>
            </w:r>
          </w:p>
        </w:tc>
        <w:tc>
          <w:tcPr>
            <w:tcW w:w="1213" w:type="dxa"/>
          </w:tcPr>
          <w:p w14:paraId="188A6673" w14:textId="314AA0F0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440.7</w:t>
            </w:r>
          </w:p>
        </w:tc>
        <w:tc>
          <w:tcPr>
            <w:tcW w:w="1212" w:type="dxa"/>
          </w:tcPr>
          <w:p w14:paraId="10890A5E" w14:textId="170CF108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42 %</w:t>
            </w:r>
          </w:p>
        </w:tc>
        <w:tc>
          <w:tcPr>
            <w:tcW w:w="1213" w:type="dxa"/>
          </w:tcPr>
          <w:p w14:paraId="745F81A6" w14:textId="66876B36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50 %</w:t>
            </w:r>
          </w:p>
        </w:tc>
        <w:tc>
          <w:tcPr>
            <w:tcW w:w="1213" w:type="dxa"/>
          </w:tcPr>
          <w:p w14:paraId="0EFDC4C7" w14:textId="7428F65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1213" w:type="dxa"/>
          </w:tcPr>
          <w:p w14:paraId="3872C95B" w14:textId="628068BC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39 %</w:t>
            </w:r>
          </w:p>
        </w:tc>
        <w:tc>
          <w:tcPr>
            <w:tcW w:w="1213" w:type="dxa"/>
          </w:tcPr>
          <w:p w14:paraId="26A37157" w14:textId="733EE669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33 %</w:t>
            </w:r>
          </w:p>
        </w:tc>
      </w:tr>
      <w:tr w:rsidR="008D13A2" w:rsidRPr="00A6366B" w14:paraId="5B606AFC" w14:textId="77777777" w:rsidTr="00EC71A3">
        <w:trPr>
          <w:trHeight w:val="340"/>
        </w:trPr>
        <w:tc>
          <w:tcPr>
            <w:tcW w:w="2135" w:type="dxa"/>
            <w:vMerge/>
          </w:tcPr>
          <w:p w14:paraId="662C5C9C" w14:textId="77777777" w:rsidR="008D13A2" w:rsidRPr="00382424" w:rsidRDefault="008D13A2" w:rsidP="008D13A2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</w:tcPr>
          <w:p w14:paraId="4EE9B5A5" w14:textId="3C8F4214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proofErr w:type="spellStart"/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Mid West</w:t>
            </w:r>
            <w:proofErr w:type="spellEnd"/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 xml:space="preserve"> (Sunshine)</w:t>
            </w:r>
          </w:p>
        </w:tc>
        <w:tc>
          <w:tcPr>
            <w:tcW w:w="1212" w:type="dxa"/>
          </w:tcPr>
          <w:p w14:paraId="76EA6723" w14:textId="5EE6DBB8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213" w:type="dxa"/>
          </w:tcPr>
          <w:p w14:paraId="19838EA5" w14:textId="5988159B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83 %</w:t>
            </w:r>
          </w:p>
        </w:tc>
        <w:tc>
          <w:tcPr>
            <w:tcW w:w="1213" w:type="dxa"/>
          </w:tcPr>
          <w:p w14:paraId="67041D31" w14:textId="54B1CD80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16 %</w:t>
            </w:r>
          </w:p>
        </w:tc>
        <w:tc>
          <w:tcPr>
            <w:tcW w:w="1213" w:type="dxa"/>
          </w:tcPr>
          <w:p w14:paraId="23E0C50F" w14:textId="44257A72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173.6</w:t>
            </w:r>
          </w:p>
        </w:tc>
        <w:tc>
          <w:tcPr>
            <w:tcW w:w="1212" w:type="dxa"/>
          </w:tcPr>
          <w:p w14:paraId="00F48547" w14:textId="6CD7442C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27 %</w:t>
            </w:r>
          </w:p>
        </w:tc>
        <w:tc>
          <w:tcPr>
            <w:tcW w:w="1213" w:type="dxa"/>
          </w:tcPr>
          <w:p w14:paraId="3FA9AA71" w14:textId="195F473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84 %</w:t>
            </w:r>
          </w:p>
        </w:tc>
        <w:tc>
          <w:tcPr>
            <w:tcW w:w="1213" w:type="dxa"/>
          </w:tcPr>
          <w:p w14:paraId="6AFC8CFD" w14:textId="773CE7B7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213" w:type="dxa"/>
          </w:tcPr>
          <w:p w14:paraId="75B9A657" w14:textId="769261A5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54 %</w:t>
            </w:r>
          </w:p>
        </w:tc>
        <w:tc>
          <w:tcPr>
            <w:tcW w:w="1213" w:type="dxa"/>
          </w:tcPr>
          <w:p w14:paraId="6E2F4F1D" w14:textId="68B8F50B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43 %</w:t>
            </w:r>
          </w:p>
        </w:tc>
      </w:tr>
      <w:tr w:rsidR="008D13A2" w:rsidRPr="00A6366B" w14:paraId="69991398" w14:textId="77777777" w:rsidTr="00EC71A3">
        <w:trPr>
          <w:trHeight w:val="340"/>
        </w:trPr>
        <w:tc>
          <w:tcPr>
            <w:tcW w:w="2135" w:type="dxa"/>
            <w:vMerge/>
          </w:tcPr>
          <w:p w14:paraId="1CF51A25" w14:textId="77777777" w:rsidR="008D13A2" w:rsidRPr="00382424" w:rsidRDefault="008D13A2" w:rsidP="008D13A2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</w:tcPr>
          <w:p w14:paraId="01F8B3B2" w14:textId="2B6F34DC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North West (Broadmeadows)</w:t>
            </w:r>
          </w:p>
        </w:tc>
        <w:tc>
          <w:tcPr>
            <w:tcW w:w="1212" w:type="dxa"/>
          </w:tcPr>
          <w:p w14:paraId="3D125442" w14:textId="644B9B89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213" w:type="dxa"/>
          </w:tcPr>
          <w:p w14:paraId="03374259" w14:textId="439AB8C7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77 %</w:t>
            </w:r>
          </w:p>
        </w:tc>
        <w:tc>
          <w:tcPr>
            <w:tcW w:w="1213" w:type="dxa"/>
          </w:tcPr>
          <w:p w14:paraId="79F8F6B1" w14:textId="21AF7440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12 %</w:t>
            </w:r>
          </w:p>
        </w:tc>
        <w:tc>
          <w:tcPr>
            <w:tcW w:w="1213" w:type="dxa"/>
          </w:tcPr>
          <w:p w14:paraId="5F1CE481" w14:textId="630B7970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187.5</w:t>
            </w:r>
          </w:p>
        </w:tc>
        <w:tc>
          <w:tcPr>
            <w:tcW w:w="1212" w:type="dxa"/>
          </w:tcPr>
          <w:p w14:paraId="72771189" w14:textId="4A3EB4C0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32 %</w:t>
            </w:r>
          </w:p>
        </w:tc>
        <w:tc>
          <w:tcPr>
            <w:tcW w:w="1213" w:type="dxa"/>
          </w:tcPr>
          <w:p w14:paraId="5CE8AB74" w14:textId="62A8F547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100 %</w:t>
            </w:r>
          </w:p>
        </w:tc>
        <w:tc>
          <w:tcPr>
            <w:tcW w:w="1213" w:type="dxa"/>
          </w:tcPr>
          <w:p w14:paraId="6506768D" w14:textId="06D6823B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213" w:type="dxa"/>
          </w:tcPr>
          <w:p w14:paraId="43FEF143" w14:textId="6E4ED850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82 %</w:t>
            </w:r>
          </w:p>
        </w:tc>
        <w:tc>
          <w:tcPr>
            <w:tcW w:w="1213" w:type="dxa"/>
          </w:tcPr>
          <w:p w14:paraId="267A82B7" w14:textId="61CD6ED2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79 %</w:t>
            </w:r>
          </w:p>
        </w:tc>
      </w:tr>
      <w:tr w:rsidR="008D13A2" w:rsidRPr="00A6366B" w14:paraId="00CE03B3" w14:textId="77777777" w:rsidTr="00EC71A3">
        <w:trPr>
          <w:trHeight w:val="340"/>
        </w:trPr>
        <w:tc>
          <w:tcPr>
            <w:tcW w:w="2135" w:type="dxa"/>
            <w:vMerge/>
          </w:tcPr>
          <w:p w14:paraId="3091ACB3" w14:textId="77777777" w:rsidR="008D13A2" w:rsidRPr="00382424" w:rsidRDefault="008D13A2" w:rsidP="008D13A2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</w:tcPr>
          <w:p w14:paraId="5F9B19E1" w14:textId="15D0208A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Northern</w:t>
            </w:r>
          </w:p>
        </w:tc>
        <w:tc>
          <w:tcPr>
            <w:tcW w:w="1212" w:type="dxa"/>
          </w:tcPr>
          <w:p w14:paraId="5C3CB82F" w14:textId="6C7D1E61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213" w:type="dxa"/>
          </w:tcPr>
          <w:p w14:paraId="2072CF0C" w14:textId="17035DAF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82 %</w:t>
            </w:r>
          </w:p>
        </w:tc>
        <w:tc>
          <w:tcPr>
            <w:tcW w:w="1213" w:type="dxa"/>
          </w:tcPr>
          <w:p w14:paraId="6F7DCF61" w14:textId="772DD285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213" w:type="dxa"/>
          </w:tcPr>
          <w:p w14:paraId="4889BC24" w14:textId="33F23140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671.3</w:t>
            </w:r>
          </w:p>
        </w:tc>
        <w:tc>
          <w:tcPr>
            <w:tcW w:w="1212" w:type="dxa"/>
          </w:tcPr>
          <w:p w14:paraId="67038D50" w14:textId="6D5844A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39 %</w:t>
            </w:r>
          </w:p>
        </w:tc>
        <w:tc>
          <w:tcPr>
            <w:tcW w:w="1213" w:type="dxa"/>
          </w:tcPr>
          <w:p w14:paraId="0E5126E8" w14:textId="6E4FBEA5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81 %</w:t>
            </w:r>
          </w:p>
        </w:tc>
        <w:tc>
          <w:tcPr>
            <w:tcW w:w="1213" w:type="dxa"/>
          </w:tcPr>
          <w:p w14:paraId="5A4E5AE3" w14:textId="0451AE77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213" w:type="dxa"/>
          </w:tcPr>
          <w:p w14:paraId="0B0190AF" w14:textId="4C9EBBB5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54 %</w:t>
            </w:r>
          </w:p>
        </w:tc>
        <w:tc>
          <w:tcPr>
            <w:tcW w:w="1213" w:type="dxa"/>
          </w:tcPr>
          <w:p w14:paraId="5618315C" w14:textId="0093FC9A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27 %</w:t>
            </w:r>
          </w:p>
        </w:tc>
      </w:tr>
      <w:tr w:rsidR="008D13A2" w:rsidRPr="00A6366B" w14:paraId="29A804D6" w14:textId="77777777" w:rsidTr="00EC71A3">
        <w:trPr>
          <w:trHeight w:val="340"/>
        </w:trPr>
        <w:tc>
          <w:tcPr>
            <w:tcW w:w="2135" w:type="dxa"/>
            <w:vMerge/>
          </w:tcPr>
          <w:p w14:paraId="7A708A65" w14:textId="77777777" w:rsidR="008D13A2" w:rsidRPr="00382424" w:rsidRDefault="008D13A2" w:rsidP="008D13A2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</w:tcPr>
          <w:p w14:paraId="4A7A3084" w14:textId="0186D508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12" w:type="dxa"/>
          </w:tcPr>
          <w:p w14:paraId="4CA405A7" w14:textId="2CA7382C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213" w:type="dxa"/>
          </w:tcPr>
          <w:p w14:paraId="4B79BF5E" w14:textId="2622C688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79 %</w:t>
            </w:r>
          </w:p>
        </w:tc>
        <w:tc>
          <w:tcPr>
            <w:tcW w:w="1213" w:type="dxa"/>
          </w:tcPr>
          <w:p w14:paraId="18AF61FA" w14:textId="1F270685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7 %</w:t>
            </w:r>
          </w:p>
        </w:tc>
        <w:tc>
          <w:tcPr>
            <w:tcW w:w="1213" w:type="dxa"/>
          </w:tcPr>
          <w:p w14:paraId="1B4E6BB8" w14:textId="3731D381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350.2</w:t>
            </w:r>
          </w:p>
        </w:tc>
        <w:tc>
          <w:tcPr>
            <w:tcW w:w="1212" w:type="dxa"/>
          </w:tcPr>
          <w:p w14:paraId="2A8738A7" w14:textId="0D8BBA05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34 %</w:t>
            </w:r>
          </w:p>
        </w:tc>
        <w:tc>
          <w:tcPr>
            <w:tcW w:w="1213" w:type="dxa"/>
          </w:tcPr>
          <w:p w14:paraId="20952B19" w14:textId="446C0BD0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82 %</w:t>
            </w:r>
          </w:p>
        </w:tc>
        <w:tc>
          <w:tcPr>
            <w:tcW w:w="1213" w:type="dxa"/>
          </w:tcPr>
          <w:p w14:paraId="15A31C0D" w14:textId="000DF4AC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213" w:type="dxa"/>
          </w:tcPr>
          <w:p w14:paraId="2D77DA84" w14:textId="32701040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59 %</w:t>
            </w:r>
          </w:p>
        </w:tc>
        <w:tc>
          <w:tcPr>
            <w:tcW w:w="1213" w:type="dxa"/>
          </w:tcPr>
          <w:p w14:paraId="6A06D1D7" w14:textId="102C2FB6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47 %</w:t>
            </w:r>
          </w:p>
        </w:tc>
      </w:tr>
      <w:tr w:rsidR="008D13A2" w:rsidRPr="00A6366B" w14:paraId="0BE131A9" w14:textId="77777777" w:rsidTr="00EC71A3">
        <w:trPr>
          <w:trHeight w:val="340"/>
        </w:trPr>
        <w:tc>
          <w:tcPr>
            <w:tcW w:w="2135" w:type="dxa"/>
            <w:vMerge w:val="restart"/>
            <w:shd w:val="clear" w:color="auto" w:fill="BFCED6"/>
          </w:tcPr>
          <w:p w14:paraId="0AABE0E4" w14:textId="39175E07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6F4A3D">
              <w:rPr>
                <w:rFonts w:ascii="VIC" w:eastAsia="Verdana" w:hAnsi="VIC"/>
                <w:color w:val="000000"/>
                <w:sz w:val="18"/>
                <w:szCs w:val="18"/>
              </w:rPr>
              <w:t>Monash Health</w:t>
            </w:r>
          </w:p>
        </w:tc>
        <w:tc>
          <w:tcPr>
            <w:tcW w:w="2695" w:type="dxa"/>
            <w:shd w:val="clear" w:color="auto" w:fill="BFCED6"/>
          </w:tcPr>
          <w:p w14:paraId="7EDF359C" w14:textId="4A05D4C3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Dandenong</w:t>
            </w:r>
          </w:p>
        </w:tc>
        <w:tc>
          <w:tcPr>
            <w:tcW w:w="1212" w:type="dxa"/>
            <w:shd w:val="clear" w:color="auto" w:fill="BFCED6"/>
          </w:tcPr>
          <w:p w14:paraId="54189702" w14:textId="5CC0121B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213" w:type="dxa"/>
            <w:shd w:val="clear" w:color="auto" w:fill="BFCED6"/>
          </w:tcPr>
          <w:p w14:paraId="4E6612F3" w14:textId="4F838AC5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94 %</w:t>
            </w:r>
          </w:p>
        </w:tc>
        <w:tc>
          <w:tcPr>
            <w:tcW w:w="1213" w:type="dxa"/>
            <w:shd w:val="clear" w:color="auto" w:fill="BFCED6"/>
          </w:tcPr>
          <w:p w14:paraId="3CF1CB58" w14:textId="046F962A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213" w:type="dxa"/>
            <w:shd w:val="clear" w:color="auto" w:fill="BFCED6"/>
          </w:tcPr>
          <w:p w14:paraId="2312CB5C" w14:textId="47E080A1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332.9</w:t>
            </w:r>
          </w:p>
        </w:tc>
        <w:tc>
          <w:tcPr>
            <w:tcW w:w="1212" w:type="dxa"/>
            <w:shd w:val="clear" w:color="auto" w:fill="BFCED6"/>
          </w:tcPr>
          <w:p w14:paraId="23103A7A" w14:textId="0AB3833F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46 %</w:t>
            </w:r>
          </w:p>
        </w:tc>
        <w:tc>
          <w:tcPr>
            <w:tcW w:w="1213" w:type="dxa"/>
            <w:shd w:val="clear" w:color="auto" w:fill="BFCED6"/>
          </w:tcPr>
          <w:p w14:paraId="40A01AAF" w14:textId="23BECACD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92 %</w:t>
            </w:r>
          </w:p>
        </w:tc>
        <w:tc>
          <w:tcPr>
            <w:tcW w:w="1213" w:type="dxa"/>
            <w:shd w:val="clear" w:color="auto" w:fill="BFCED6"/>
          </w:tcPr>
          <w:p w14:paraId="592C8689" w14:textId="6976D5D0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1213" w:type="dxa"/>
            <w:shd w:val="clear" w:color="auto" w:fill="BFCED6"/>
          </w:tcPr>
          <w:p w14:paraId="1C32233E" w14:textId="0EF58760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82 %</w:t>
            </w:r>
          </w:p>
        </w:tc>
        <w:tc>
          <w:tcPr>
            <w:tcW w:w="1213" w:type="dxa"/>
            <w:shd w:val="clear" w:color="auto" w:fill="BFCED6"/>
          </w:tcPr>
          <w:p w14:paraId="4A7EC376" w14:textId="7C57162F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59 %</w:t>
            </w:r>
          </w:p>
        </w:tc>
      </w:tr>
      <w:tr w:rsidR="008D13A2" w:rsidRPr="00A6366B" w14:paraId="2C1EB32B" w14:textId="77777777" w:rsidTr="00EC71A3">
        <w:trPr>
          <w:trHeight w:val="340"/>
        </w:trPr>
        <w:tc>
          <w:tcPr>
            <w:tcW w:w="2135" w:type="dxa"/>
            <w:vMerge/>
            <w:shd w:val="clear" w:color="auto" w:fill="BFCED6"/>
          </w:tcPr>
          <w:p w14:paraId="5D15D1C1" w14:textId="77777777" w:rsidR="008D13A2" w:rsidRPr="00382424" w:rsidRDefault="008D13A2" w:rsidP="008D13A2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BFCED6"/>
          </w:tcPr>
          <w:p w14:paraId="291CB880" w14:textId="3F078CE8" w:rsidR="008D13A2" w:rsidRPr="00382424" w:rsidRDefault="008D13A2" w:rsidP="008D13A2">
            <w:pPr>
              <w:pStyle w:val="DHHStabletext"/>
              <w:spacing w:before="0" w:after="0"/>
              <w:rPr>
                <w:rFonts w:ascii="VIC" w:hAnsi="VIC"/>
                <w:w w:val="105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Middle South (Monash Adult)</w:t>
            </w:r>
          </w:p>
        </w:tc>
        <w:tc>
          <w:tcPr>
            <w:tcW w:w="1212" w:type="dxa"/>
            <w:shd w:val="clear" w:color="auto" w:fill="BFCED6"/>
          </w:tcPr>
          <w:p w14:paraId="4DDEC2BE" w14:textId="1FB56405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213" w:type="dxa"/>
            <w:shd w:val="clear" w:color="auto" w:fill="BFCED6"/>
          </w:tcPr>
          <w:p w14:paraId="75E1CE5C" w14:textId="0CCACF17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96 %</w:t>
            </w:r>
          </w:p>
        </w:tc>
        <w:tc>
          <w:tcPr>
            <w:tcW w:w="1213" w:type="dxa"/>
            <w:shd w:val="clear" w:color="auto" w:fill="BFCED6"/>
          </w:tcPr>
          <w:p w14:paraId="72B6895E" w14:textId="5B774C77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213" w:type="dxa"/>
            <w:shd w:val="clear" w:color="auto" w:fill="BFCED6"/>
          </w:tcPr>
          <w:p w14:paraId="5FC0D55B" w14:textId="0ABD6A65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262.6</w:t>
            </w:r>
          </w:p>
        </w:tc>
        <w:tc>
          <w:tcPr>
            <w:tcW w:w="1212" w:type="dxa"/>
            <w:shd w:val="clear" w:color="auto" w:fill="BFCED6"/>
          </w:tcPr>
          <w:p w14:paraId="03C5E7CB" w14:textId="1FA74D28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20 %</w:t>
            </w:r>
          </w:p>
        </w:tc>
        <w:tc>
          <w:tcPr>
            <w:tcW w:w="1213" w:type="dxa"/>
            <w:shd w:val="clear" w:color="auto" w:fill="BFCED6"/>
          </w:tcPr>
          <w:p w14:paraId="5A5A0127" w14:textId="7047AE4D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97 %</w:t>
            </w:r>
          </w:p>
        </w:tc>
        <w:tc>
          <w:tcPr>
            <w:tcW w:w="1213" w:type="dxa"/>
            <w:shd w:val="clear" w:color="auto" w:fill="BFCED6"/>
          </w:tcPr>
          <w:p w14:paraId="49EB2E07" w14:textId="08F6B7B6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1213" w:type="dxa"/>
            <w:shd w:val="clear" w:color="auto" w:fill="BFCED6"/>
          </w:tcPr>
          <w:p w14:paraId="5E519BDB" w14:textId="7BF27EC8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79 %</w:t>
            </w:r>
          </w:p>
        </w:tc>
        <w:tc>
          <w:tcPr>
            <w:tcW w:w="1213" w:type="dxa"/>
            <w:shd w:val="clear" w:color="auto" w:fill="BFCED6"/>
          </w:tcPr>
          <w:p w14:paraId="7BD50E2D" w14:textId="20F6AB4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61 %</w:t>
            </w:r>
          </w:p>
        </w:tc>
      </w:tr>
      <w:tr w:rsidR="008D13A2" w:rsidRPr="00A6366B" w14:paraId="7C2A0A14" w14:textId="77777777" w:rsidTr="00EC71A3">
        <w:trPr>
          <w:trHeight w:val="340"/>
        </w:trPr>
        <w:tc>
          <w:tcPr>
            <w:tcW w:w="2135" w:type="dxa"/>
            <w:vMerge/>
            <w:shd w:val="clear" w:color="auto" w:fill="BFCED6"/>
          </w:tcPr>
          <w:p w14:paraId="30CC4D24" w14:textId="77777777" w:rsidR="008D13A2" w:rsidRPr="00382424" w:rsidRDefault="008D13A2" w:rsidP="008D13A2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BFCED6"/>
          </w:tcPr>
          <w:p w14:paraId="28B833B9" w14:textId="26D89DE3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12" w:type="dxa"/>
            <w:shd w:val="clear" w:color="auto" w:fill="BFCED6"/>
          </w:tcPr>
          <w:p w14:paraId="3DA50B49" w14:textId="5F2DE4C1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1213" w:type="dxa"/>
            <w:shd w:val="clear" w:color="auto" w:fill="BFCED6"/>
          </w:tcPr>
          <w:p w14:paraId="7FAEC981" w14:textId="7EADB167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95 %</w:t>
            </w:r>
          </w:p>
        </w:tc>
        <w:tc>
          <w:tcPr>
            <w:tcW w:w="1213" w:type="dxa"/>
            <w:shd w:val="clear" w:color="auto" w:fill="BFCED6"/>
          </w:tcPr>
          <w:p w14:paraId="6F755FD5" w14:textId="687BAED5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213" w:type="dxa"/>
            <w:shd w:val="clear" w:color="auto" w:fill="BFCED6"/>
          </w:tcPr>
          <w:p w14:paraId="04EA65E5" w14:textId="6BEF094D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300.8</w:t>
            </w:r>
          </w:p>
        </w:tc>
        <w:tc>
          <w:tcPr>
            <w:tcW w:w="1212" w:type="dxa"/>
            <w:shd w:val="clear" w:color="auto" w:fill="BFCED6"/>
          </w:tcPr>
          <w:p w14:paraId="2F53AAE1" w14:textId="4C44CCB4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34 %</w:t>
            </w:r>
          </w:p>
        </w:tc>
        <w:tc>
          <w:tcPr>
            <w:tcW w:w="1213" w:type="dxa"/>
            <w:shd w:val="clear" w:color="auto" w:fill="BFCED6"/>
          </w:tcPr>
          <w:p w14:paraId="37CF456B" w14:textId="066DE771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94 %</w:t>
            </w:r>
          </w:p>
        </w:tc>
        <w:tc>
          <w:tcPr>
            <w:tcW w:w="1213" w:type="dxa"/>
            <w:shd w:val="clear" w:color="auto" w:fill="BFCED6"/>
          </w:tcPr>
          <w:p w14:paraId="25A6DEE2" w14:textId="4154898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1213" w:type="dxa"/>
            <w:shd w:val="clear" w:color="auto" w:fill="BFCED6"/>
          </w:tcPr>
          <w:p w14:paraId="0DC142BF" w14:textId="632DEC91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81 %</w:t>
            </w:r>
          </w:p>
        </w:tc>
        <w:tc>
          <w:tcPr>
            <w:tcW w:w="1213" w:type="dxa"/>
            <w:shd w:val="clear" w:color="auto" w:fill="BFCED6"/>
          </w:tcPr>
          <w:p w14:paraId="4A2A472B" w14:textId="73D96AA9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60 %</w:t>
            </w:r>
          </w:p>
        </w:tc>
      </w:tr>
      <w:tr w:rsidR="008D13A2" w:rsidRPr="00A6366B" w14:paraId="7D1851CB" w14:textId="77777777" w:rsidTr="00EC71A3">
        <w:trPr>
          <w:trHeight w:val="340"/>
        </w:trPr>
        <w:tc>
          <w:tcPr>
            <w:tcW w:w="2135" w:type="dxa"/>
          </w:tcPr>
          <w:p w14:paraId="73D18CB6" w14:textId="36B74102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6F4A3D">
              <w:rPr>
                <w:rFonts w:ascii="VIC" w:eastAsia="Verdana" w:hAnsi="VIC"/>
                <w:color w:val="000000"/>
                <w:sz w:val="18"/>
                <w:szCs w:val="18"/>
              </w:rPr>
              <w:t>Peninsula Health</w:t>
            </w:r>
          </w:p>
        </w:tc>
        <w:tc>
          <w:tcPr>
            <w:tcW w:w="2695" w:type="dxa"/>
          </w:tcPr>
          <w:p w14:paraId="49100E3D" w14:textId="3860946E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Peninsula</w:t>
            </w:r>
          </w:p>
        </w:tc>
        <w:tc>
          <w:tcPr>
            <w:tcW w:w="1212" w:type="dxa"/>
          </w:tcPr>
          <w:p w14:paraId="07FF1833" w14:textId="6C2B24E3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213" w:type="dxa"/>
          </w:tcPr>
          <w:p w14:paraId="60500E6E" w14:textId="4E330C01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89 %</w:t>
            </w:r>
          </w:p>
        </w:tc>
        <w:tc>
          <w:tcPr>
            <w:tcW w:w="1213" w:type="dxa"/>
          </w:tcPr>
          <w:p w14:paraId="7A466ABF" w14:textId="17605FCD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10 %</w:t>
            </w:r>
          </w:p>
        </w:tc>
        <w:tc>
          <w:tcPr>
            <w:tcW w:w="1213" w:type="dxa"/>
          </w:tcPr>
          <w:p w14:paraId="7A7A2AF4" w14:textId="6748025A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537.2</w:t>
            </w:r>
          </w:p>
        </w:tc>
        <w:tc>
          <w:tcPr>
            <w:tcW w:w="1212" w:type="dxa"/>
          </w:tcPr>
          <w:p w14:paraId="3BCEBF5D" w14:textId="508F3074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38 %</w:t>
            </w:r>
          </w:p>
        </w:tc>
        <w:tc>
          <w:tcPr>
            <w:tcW w:w="1213" w:type="dxa"/>
          </w:tcPr>
          <w:p w14:paraId="05901BD8" w14:textId="2042B25A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84 %</w:t>
            </w:r>
          </w:p>
        </w:tc>
        <w:tc>
          <w:tcPr>
            <w:tcW w:w="1213" w:type="dxa"/>
          </w:tcPr>
          <w:p w14:paraId="0488E4C5" w14:textId="39C0E2DD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1213" w:type="dxa"/>
          </w:tcPr>
          <w:p w14:paraId="12BD0EFE" w14:textId="37CC0CA8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81 %</w:t>
            </w:r>
          </w:p>
        </w:tc>
        <w:tc>
          <w:tcPr>
            <w:tcW w:w="1213" w:type="dxa"/>
          </w:tcPr>
          <w:p w14:paraId="79F4ED4D" w14:textId="2A0E50BD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6 %</w:t>
            </w:r>
          </w:p>
        </w:tc>
      </w:tr>
      <w:tr w:rsidR="008D13A2" w:rsidRPr="00A6366B" w14:paraId="1167B823" w14:textId="77777777" w:rsidTr="00EC71A3">
        <w:trPr>
          <w:trHeight w:val="340"/>
        </w:trPr>
        <w:tc>
          <w:tcPr>
            <w:tcW w:w="2135" w:type="dxa"/>
            <w:shd w:val="clear" w:color="auto" w:fill="BFCED6"/>
          </w:tcPr>
          <w:p w14:paraId="05BDDF9D" w14:textId="20F6B42A" w:rsidR="008D13A2" w:rsidRPr="00382424" w:rsidRDefault="008D13A2" w:rsidP="008D13A2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6F4A3D">
              <w:rPr>
                <w:rFonts w:ascii="VIC" w:eastAsia="Verdana" w:hAnsi="VIC"/>
                <w:color w:val="000000"/>
                <w:sz w:val="18"/>
                <w:szCs w:val="18"/>
              </w:rPr>
              <w:t>St Vincent's Hospital</w:t>
            </w:r>
          </w:p>
        </w:tc>
        <w:tc>
          <w:tcPr>
            <w:tcW w:w="2695" w:type="dxa"/>
            <w:shd w:val="clear" w:color="auto" w:fill="BFCED6"/>
          </w:tcPr>
          <w:p w14:paraId="60383A23" w14:textId="5AEFB76C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Inner East (St Vincent's)</w:t>
            </w:r>
          </w:p>
        </w:tc>
        <w:tc>
          <w:tcPr>
            <w:tcW w:w="1212" w:type="dxa"/>
            <w:shd w:val="clear" w:color="auto" w:fill="BFCED6"/>
          </w:tcPr>
          <w:p w14:paraId="681B4214" w14:textId="395C90E4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13" w:type="dxa"/>
            <w:shd w:val="clear" w:color="auto" w:fill="BFCED6"/>
          </w:tcPr>
          <w:p w14:paraId="78C2F2A5" w14:textId="2F2F3F77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62 %</w:t>
            </w:r>
          </w:p>
        </w:tc>
        <w:tc>
          <w:tcPr>
            <w:tcW w:w="1213" w:type="dxa"/>
            <w:shd w:val="clear" w:color="auto" w:fill="BFCED6"/>
          </w:tcPr>
          <w:p w14:paraId="69E3AE08" w14:textId="42A27A64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4 %</w:t>
            </w:r>
          </w:p>
        </w:tc>
        <w:tc>
          <w:tcPr>
            <w:tcW w:w="1213" w:type="dxa"/>
            <w:shd w:val="clear" w:color="auto" w:fill="BFCED6"/>
          </w:tcPr>
          <w:p w14:paraId="5E98601E" w14:textId="6E3E3713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248.6</w:t>
            </w:r>
          </w:p>
        </w:tc>
        <w:tc>
          <w:tcPr>
            <w:tcW w:w="1212" w:type="dxa"/>
            <w:shd w:val="clear" w:color="auto" w:fill="BFCED6"/>
          </w:tcPr>
          <w:p w14:paraId="16AC385E" w14:textId="63D3D18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11 %</w:t>
            </w:r>
          </w:p>
        </w:tc>
        <w:tc>
          <w:tcPr>
            <w:tcW w:w="1213" w:type="dxa"/>
            <w:shd w:val="clear" w:color="auto" w:fill="BFCED6"/>
          </w:tcPr>
          <w:p w14:paraId="67FB1CFA" w14:textId="501B25F4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87 %</w:t>
            </w:r>
          </w:p>
        </w:tc>
        <w:tc>
          <w:tcPr>
            <w:tcW w:w="1213" w:type="dxa"/>
            <w:shd w:val="clear" w:color="auto" w:fill="BFCED6"/>
          </w:tcPr>
          <w:p w14:paraId="279390D1" w14:textId="3C8BD4A9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1213" w:type="dxa"/>
            <w:shd w:val="clear" w:color="auto" w:fill="BFCED6"/>
          </w:tcPr>
          <w:p w14:paraId="63276E47" w14:textId="5B6A3B1F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57 %</w:t>
            </w:r>
          </w:p>
        </w:tc>
        <w:tc>
          <w:tcPr>
            <w:tcW w:w="1213" w:type="dxa"/>
            <w:shd w:val="clear" w:color="auto" w:fill="BFCED6"/>
          </w:tcPr>
          <w:p w14:paraId="7ABE7726" w14:textId="156B0B67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35 %</w:t>
            </w:r>
          </w:p>
        </w:tc>
      </w:tr>
      <w:tr w:rsidR="008D13A2" w:rsidRPr="00A6366B" w14:paraId="0B1C8314" w14:textId="77777777" w:rsidTr="00EC71A3">
        <w:trPr>
          <w:trHeight w:val="340"/>
        </w:trPr>
        <w:tc>
          <w:tcPr>
            <w:tcW w:w="2135" w:type="dxa"/>
          </w:tcPr>
          <w:p w14:paraId="530FDC8C" w14:textId="13159B13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6F4A3D">
              <w:rPr>
                <w:rFonts w:ascii="VIC" w:eastAsia="Verdana" w:hAnsi="VIC"/>
                <w:color w:val="000000"/>
                <w:sz w:val="18"/>
                <w:szCs w:val="18"/>
              </w:rPr>
              <w:t>Mercy Health</w:t>
            </w:r>
          </w:p>
        </w:tc>
        <w:tc>
          <w:tcPr>
            <w:tcW w:w="2695" w:type="dxa"/>
          </w:tcPr>
          <w:p w14:paraId="228CCBCA" w14:textId="2D846C8A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South West (Werribee)</w:t>
            </w:r>
          </w:p>
        </w:tc>
        <w:tc>
          <w:tcPr>
            <w:tcW w:w="1212" w:type="dxa"/>
          </w:tcPr>
          <w:p w14:paraId="0E72D190" w14:textId="4C44B164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213" w:type="dxa"/>
          </w:tcPr>
          <w:p w14:paraId="65DE383C" w14:textId="02561935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96 %</w:t>
            </w:r>
          </w:p>
        </w:tc>
        <w:tc>
          <w:tcPr>
            <w:tcW w:w="1213" w:type="dxa"/>
          </w:tcPr>
          <w:p w14:paraId="1920351C" w14:textId="3C11AB7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213" w:type="dxa"/>
          </w:tcPr>
          <w:p w14:paraId="03A22873" w14:textId="0CECE52F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465.0</w:t>
            </w:r>
          </w:p>
        </w:tc>
        <w:tc>
          <w:tcPr>
            <w:tcW w:w="1212" w:type="dxa"/>
          </w:tcPr>
          <w:p w14:paraId="7EF67CDF" w14:textId="7720EF79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29 %</w:t>
            </w:r>
          </w:p>
        </w:tc>
        <w:tc>
          <w:tcPr>
            <w:tcW w:w="1213" w:type="dxa"/>
          </w:tcPr>
          <w:p w14:paraId="51216096" w14:textId="458FE606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75 %</w:t>
            </w:r>
          </w:p>
        </w:tc>
        <w:tc>
          <w:tcPr>
            <w:tcW w:w="1213" w:type="dxa"/>
          </w:tcPr>
          <w:p w14:paraId="088331CA" w14:textId="3C7851C4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213" w:type="dxa"/>
          </w:tcPr>
          <w:p w14:paraId="2C19B6F3" w14:textId="6EE5A105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66 %</w:t>
            </w:r>
          </w:p>
        </w:tc>
        <w:tc>
          <w:tcPr>
            <w:tcW w:w="1213" w:type="dxa"/>
          </w:tcPr>
          <w:p w14:paraId="718C5454" w14:textId="7A5F2E54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29 %</w:t>
            </w:r>
          </w:p>
        </w:tc>
      </w:tr>
      <w:tr w:rsidR="008D13A2" w:rsidRPr="008D13A2" w14:paraId="31F0BD6D" w14:textId="77777777" w:rsidTr="00EC71A3">
        <w:trPr>
          <w:trHeight w:val="312"/>
        </w:trPr>
        <w:tc>
          <w:tcPr>
            <w:tcW w:w="2135" w:type="dxa"/>
            <w:shd w:val="clear" w:color="auto" w:fill="B1C9E8"/>
          </w:tcPr>
          <w:p w14:paraId="5FDD5C66" w14:textId="77777777" w:rsidR="008D13A2" w:rsidRPr="008D13A2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hAnsi="VIC"/>
                <w:color w:val="000000" w:themeColor="text1"/>
                <w:w w:val="105"/>
                <w:sz w:val="18"/>
                <w:szCs w:val="18"/>
              </w:rPr>
              <w:t>TOTAL METRO</w:t>
            </w:r>
          </w:p>
        </w:tc>
        <w:tc>
          <w:tcPr>
            <w:tcW w:w="2695" w:type="dxa"/>
            <w:shd w:val="clear" w:color="auto" w:fill="B1C9E8"/>
          </w:tcPr>
          <w:p w14:paraId="4A2E8F7E" w14:textId="308153EA" w:rsidR="008D13A2" w:rsidRPr="008D13A2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12" w:type="dxa"/>
            <w:shd w:val="clear" w:color="auto" w:fill="B1C9E8"/>
          </w:tcPr>
          <w:p w14:paraId="7743B7D3" w14:textId="6C7CF42C" w:rsidR="008D13A2" w:rsidRPr="008D13A2" w:rsidRDefault="008D13A2" w:rsidP="008D13A2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1213" w:type="dxa"/>
            <w:shd w:val="clear" w:color="auto" w:fill="B1C9E8"/>
          </w:tcPr>
          <w:p w14:paraId="7BF01ECC" w14:textId="10B036B8" w:rsidR="008D13A2" w:rsidRPr="008D13A2" w:rsidRDefault="008D13A2" w:rsidP="008D13A2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>83 %</w:t>
            </w:r>
          </w:p>
        </w:tc>
        <w:tc>
          <w:tcPr>
            <w:tcW w:w="1213" w:type="dxa"/>
            <w:shd w:val="clear" w:color="auto" w:fill="B1C9E8"/>
          </w:tcPr>
          <w:p w14:paraId="45DA6FC5" w14:textId="532FF8B3" w:rsidR="008D13A2" w:rsidRPr="008D13A2" w:rsidRDefault="008D13A2" w:rsidP="008D13A2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>5 %</w:t>
            </w:r>
          </w:p>
        </w:tc>
        <w:tc>
          <w:tcPr>
            <w:tcW w:w="1213" w:type="dxa"/>
            <w:shd w:val="clear" w:color="auto" w:fill="B1C9E8"/>
          </w:tcPr>
          <w:p w14:paraId="67FEB58D" w14:textId="7264CC48" w:rsidR="008D13A2" w:rsidRPr="008D13A2" w:rsidRDefault="008D13A2" w:rsidP="008D13A2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>346.6</w:t>
            </w:r>
          </w:p>
        </w:tc>
        <w:tc>
          <w:tcPr>
            <w:tcW w:w="1212" w:type="dxa"/>
            <w:shd w:val="clear" w:color="auto" w:fill="B1C9E8"/>
          </w:tcPr>
          <w:p w14:paraId="3187CC06" w14:textId="1FFDDD85" w:rsidR="008D13A2" w:rsidRPr="008D13A2" w:rsidRDefault="008D13A2" w:rsidP="008D13A2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>31 %</w:t>
            </w:r>
          </w:p>
        </w:tc>
        <w:tc>
          <w:tcPr>
            <w:tcW w:w="1213" w:type="dxa"/>
            <w:shd w:val="clear" w:color="auto" w:fill="B1C9E8"/>
          </w:tcPr>
          <w:p w14:paraId="41AAC7F0" w14:textId="6927F86D" w:rsidR="008D13A2" w:rsidRPr="008D13A2" w:rsidRDefault="008D13A2" w:rsidP="008D13A2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>81 %</w:t>
            </w:r>
          </w:p>
        </w:tc>
        <w:tc>
          <w:tcPr>
            <w:tcW w:w="1213" w:type="dxa"/>
            <w:shd w:val="clear" w:color="auto" w:fill="B1C9E8"/>
          </w:tcPr>
          <w:p w14:paraId="4FC52026" w14:textId="3D7267E2" w:rsidR="008D13A2" w:rsidRPr="008D13A2" w:rsidRDefault="008D13A2" w:rsidP="008D13A2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>15.9</w:t>
            </w:r>
          </w:p>
        </w:tc>
        <w:tc>
          <w:tcPr>
            <w:tcW w:w="1213" w:type="dxa"/>
            <w:shd w:val="clear" w:color="auto" w:fill="B1C9E8"/>
          </w:tcPr>
          <w:p w14:paraId="586F231A" w14:textId="69080D5C" w:rsidR="008D13A2" w:rsidRPr="008D13A2" w:rsidRDefault="008D13A2" w:rsidP="008D13A2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>68 %</w:t>
            </w:r>
          </w:p>
        </w:tc>
        <w:tc>
          <w:tcPr>
            <w:tcW w:w="1213" w:type="dxa"/>
            <w:shd w:val="clear" w:color="auto" w:fill="B1C9E8"/>
          </w:tcPr>
          <w:p w14:paraId="3AA2795B" w14:textId="74F56E77" w:rsidR="008D13A2" w:rsidRPr="008D13A2" w:rsidRDefault="008D13A2" w:rsidP="008D13A2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>39 %</w:t>
            </w:r>
          </w:p>
        </w:tc>
      </w:tr>
      <w:tr w:rsidR="008D13A2" w:rsidRPr="00A6366B" w14:paraId="0402741F" w14:textId="77777777" w:rsidTr="00EC71A3">
        <w:trPr>
          <w:trHeight w:val="340"/>
        </w:trPr>
        <w:tc>
          <w:tcPr>
            <w:tcW w:w="2135" w:type="dxa"/>
            <w:shd w:val="clear" w:color="auto" w:fill="BFCED6"/>
          </w:tcPr>
          <w:p w14:paraId="7AF61C5B" w14:textId="46CF974D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6F4A3D">
              <w:rPr>
                <w:rFonts w:ascii="VIC" w:eastAsia="Verdana" w:hAnsi="VIC"/>
                <w:color w:val="000000"/>
                <w:sz w:val="18"/>
                <w:szCs w:val="18"/>
              </w:rPr>
              <w:t>Ballarat Health</w:t>
            </w:r>
          </w:p>
        </w:tc>
        <w:tc>
          <w:tcPr>
            <w:tcW w:w="2695" w:type="dxa"/>
            <w:shd w:val="clear" w:color="auto" w:fill="BFCED6"/>
          </w:tcPr>
          <w:p w14:paraId="4EAAC705" w14:textId="216AF7FD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Grampians</w:t>
            </w:r>
          </w:p>
        </w:tc>
        <w:tc>
          <w:tcPr>
            <w:tcW w:w="1212" w:type="dxa"/>
            <w:shd w:val="clear" w:color="auto" w:fill="BFCED6"/>
          </w:tcPr>
          <w:p w14:paraId="08A1DD51" w14:textId="1FB8620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213" w:type="dxa"/>
            <w:shd w:val="clear" w:color="auto" w:fill="BFCED6"/>
          </w:tcPr>
          <w:p w14:paraId="44B41F61" w14:textId="7F966EF3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44 %</w:t>
            </w:r>
          </w:p>
        </w:tc>
        <w:tc>
          <w:tcPr>
            <w:tcW w:w="1213" w:type="dxa"/>
            <w:shd w:val="clear" w:color="auto" w:fill="BFCED6"/>
          </w:tcPr>
          <w:p w14:paraId="4D24937F" w14:textId="492B6580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28 %</w:t>
            </w:r>
          </w:p>
        </w:tc>
        <w:tc>
          <w:tcPr>
            <w:tcW w:w="1213" w:type="dxa"/>
            <w:shd w:val="clear" w:color="auto" w:fill="BFCED6"/>
          </w:tcPr>
          <w:p w14:paraId="0F3B3F03" w14:textId="20E1B7D8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379.3</w:t>
            </w:r>
          </w:p>
        </w:tc>
        <w:tc>
          <w:tcPr>
            <w:tcW w:w="1212" w:type="dxa"/>
            <w:shd w:val="clear" w:color="auto" w:fill="BFCED6"/>
          </w:tcPr>
          <w:p w14:paraId="6EED21B1" w14:textId="0E5692D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50 %</w:t>
            </w:r>
          </w:p>
        </w:tc>
        <w:tc>
          <w:tcPr>
            <w:tcW w:w="1213" w:type="dxa"/>
            <w:shd w:val="clear" w:color="auto" w:fill="BFCED6"/>
          </w:tcPr>
          <w:p w14:paraId="1A3267B5" w14:textId="2A4D075F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42 %</w:t>
            </w:r>
          </w:p>
        </w:tc>
        <w:tc>
          <w:tcPr>
            <w:tcW w:w="1213" w:type="dxa"/>
            <w:shd w:val="clear" w:color="auto" w:fill="BFCED6"/>
          </w:tcPr>
          <w:p w14:paraId="1AC14D85" w14:textId="68208E3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213" w:type="dxa"/>
            <w:shd w:val="clear" w:color="auto" w:fill="BFCED6"/>
          </w:tcPr>
          <w:p w14:paraId="04C794BA" w14:textId="43FDCC58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25 %</w:t>
            </w:r>
          </w:p>
        </w:tc>
        <w:tc>
          <w:tcPr>
            <w:tcW w:w="1213" w:type="dxa"/>
            <w:shd w:val="clear" w:color="auto" w:fill="BFCED6"/>
          </w:tcPr>
          <w:p w14:paraId="77A159E4" w14:textId="7A95346A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8 %</w:t>
            </w:r>
          </w:p>
        </w:tc>
      </w:tr>
      <w:tr w:rsidR="008D13A2" w:rsidRPr="00A6366B" w14:paraId="2560D548" w14:textId="77777777" w:rsidTr="00EC71A3">
        <w:trPr>
          <w:trHeight w:val="340"/>
        </w:trPr>
        <w:tc>
          <w:tcPr>
            <w:tcW w:w="2135" w:type="dxa"/>
            <w:shd w:val="clear" w:color="auto" w:fill="FFFFFF" w:themeFill="background1"/>
          </w:tcPr>
          <w:p w14:paraId="6D2D7923" w14:textId="5C19FF0D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6F4A3D">
              <w:rPr>
                <w:rFonts w:ascii="VIC" w:eastAsia="Verdana" w:hAnsi="VIC"/>
                <w:color w:val="000000"/>
                <w:sz w:val="18"/>
                <w:szCs w:val="18"/>
              </w:rPr>
              <w:t>Barwon Health</w:t>
            </w:r>
            <w:r w:rsidR="00C15426">
              <w:rPr>
                <w:rFonts w:ascii="VIC" w:eastAsia="Verdana" w:hAnsi="VIC"/>
                <w:color w:val="000000"/>
                <w:sz w:val="18"/>
                <w:szCs w:val="18"/>
              </w:rPr>
              <w:t>†</w:t>
            </w:r>
          </w:p>
        </w:tc>
        <w:tc>
          <w:tcPr>
            <w:tcW w:w="2695" w:type="dxa"/>
            <w:shd w:val="clear" w:color="auto" w:fill="FFFFFF" w:themeFill="background1"/>
          </w:tcPr>
          <w:p w14:paraId="048D368B" w14:textId="71ECB827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Barwon</w:t>
            </w:r>
          </w:p>
        </w:tc>
        <w:tc>
          <w:tcPr>
            <w:tcW w:w="1212" w:type="dxa"/>
            <w:shd w:val="clear" w:color="auto" w:fill="FFFFFF" w:themeFill="background1"/>
          </w:tcPr>
          <w:p w14:paraId="38722BAB" w14:textId="2161A80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213" w:type="dxa"/>
            <w:shd w:val="clear" w:color="auto" w:fill="FFFFFF" w:themeFill="background1"/>
          </w:tcPr>
          <w:p w14:paraId="0F02094E" w14:textId="3A78EC8A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76 %</w:t>
            </w:r>
          </w:p>
        </w:tc>
        <w:tc>
          <w:tcPr>
            <w:tcW w:w="1213" w:type="dxa"/>
            <w:shd w:val="clear" w:color="auto" w:fill="FFFFFF" w:themeFill="background1"/>
          </w:tcPr>
          <w:p w14:paraId="5C2BA211" w14:textId="4C17409A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8 %</w:t>
            </w:r>
          </w:p>
        </w:tc>
        <w:tc>
          <w:tcPr>
            <w:tcW w:w="1213" w:type="dxa"/>
            <w:shd w:val="clear" w:color="auto" w:fill="FFFFFF" w:themeFill="background1"/>
          </w:tcPr>
          <w:p w14:paraId="10F550E0" w14:textId="33161EF3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126.8</w:t>
            </w:r>
          </w:p>
        </w:tc>
        <w:tc>
          <w:tcPr>
            <w:tcW w:w="1212" w:type="dxa"/>
            <w:shd w:val="clear" w:color="auto" w:fill="FFFFFF" w:themeFill="background1"/>
          </w:tcPr>
          <w:p w14:paraId="2E2C6E07" w14:textId="72AE234C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32 %</w:t>
            </w:r>
          </w:p>
        </w:tc>
        <w:tc>
          <w:tcPr>
            <w:tcW w:w="1213" w:type="dxa"/>
            <w:shd w:val="clear" w:color="auto" w:fill="FFFFFF" w:themeFill="background1"/>
          </w:tcPr>
          <w:p w14:paraId="7985D569" w14:textId="1D8CFE57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100 %</w:t>
            </w:r>
          </w:p>
        </w:tc>
        <w:tc>
          <w:tcPr>
            <w:tcW w:w="1213" w:type="dxa"/>
            <w:shd w:val="clear" w:color="auto" w:fill="FFFFFF" w:themeFill="background1"/>
          </w:tcPr>
          <w:p w14:paraId="1E59194E" w14:textId="45062074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1213" w:type="dxa"/>
            <w:shd w:val="clear" w:color="auto" w:fill="FFFFFF" w:themeFill="background1"/>
          </w:tcPr>
          <w:p w14:paraId="5B2C7810" w14:textId="1717DB9C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25 %</w:t>
            </w:r>
          </w:p>
        </w:tc>
        <w:tc>
          <w:tcPr>
            <w:tcW w:w="1213" w:type="dxa"/>
            <w:shd w:val="clear" w:color="auto" w:fill="FFFFFF" w:themeFill="background1"/>
          </w:tcPr>
          <w:p w14:paraId="5406D687" w14:textId="09509E81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45 %</w:t>
            </w:r>
          </w:p>
        </w:tc>
      </w:tr>
      <w:tr w:rsidR="008D13A2" w:rsidRPr="00A6366B" w14:paraId="704511E8" w14:textId="77777777" w:rsidTr="00EC71A3">
        <w:trPr>
          <w:trHeight w:val="340"/>
        </w:trPr>
        <w:tc>
          <w:tcPr>
            <w:tcW w:w="2135" w:type="dxa"/>
            <w:shd w:val="clear" w:color="auto" w:fill="BFCED6"/>
          </w:tcPr>
          <w:p w14:paraId="07A1F082" w14:textId="1EC33C90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6F4A3D">
              <w:rPr>
                <w:rFonts w:ascii="VIC" w:eastAsia="Verdana" w:hAnsi="VIC"/>
                <w:color w:val="000000"/>
                <w:sz w:val="18"/>
                <w:szCs w:val="18"/>
              </w:rPr>
              <w:t>Bendigo Health</w:t>
            </w:r>
          </w:p>
        </w:tc>
        <w:tc>
          <w:tcPr>
            <w:tcW w:w="2695" w:type="dxa"/>
            <w:shd w:val="clear" w:color="auto" w:fill="BFCED6"/>
          </w:tcPr>
          <w:p w14:paraId="6A945303" w14:textId="70E40E7C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Loddon/Southern Mallee</w:t>
            </w:r>
          </w:p>
        </w:tc>
        <w:tc>
          <w:tcPr>
            <w:tcW w:w="1212" w:type="dxa"/>
            <w:shd w:val="clear" w:color="auto" w:fill="BFCED6"/>
          </w:tcPr>
          <w:p w14:paraId="5741853C" w14:textId="780CAED8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213" w:type="dxa"/>
            <w:shd w:val="clear" w:color="auto" w:fill="BFCED6"/>
          </w:tcPr>
          <w:p w14:paraId="07A14543" w14:textId="199C81CB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71 %</w:t>
            </w:r>
          </w:p>
        </w:tc>
        <w:tc>
          <w:tcPr>
            <w:tcW w:w="1213" w:type="dxa"/>
            <w:shd w:val="clear" w:color="auto" w:fill="BFCED6"/>
          </w:tcPr>
          <w:p w14:paraId="50EAD57C" w14:textId="242BFCD3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213" w:type="dxa"/>
            <w:shd w:val="clear" w:color="auto" w:fill="BFCED6"/>
          </w:tcPr>
          <w:p w14:paraId="5C0CCE16" w14:textId="468EE758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1212" w:type="dxa"/>
            <w:shd w:val="clear" w:color="auto" w:fill="BFCED6"/>
          </w:tcPr>
          <w:p w14:paraId="724B0C3D" w14:textId="734DF9C0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33 %</w:t>
            </w:r>
          </w:p>
        </w:tc>
        <w:tc>
          <w:tcPr>
            <w:tcW w:w="1213" w:type="dxa"/>
            <w:shd w:val="clear" w:color="auto" w:fill="BFCED6"/>
          </w:tcPr>
          <w:p w14:paraId="44216FBA" w14:textId="11733257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68 %</w:t>
            </w:r>
          </w:p>
        </w:tc>
        <w:tc>
          <w:tcPr>
            <w:tcW w:w="1213" w:type="dxa"/>
            <w:shd w:val="clear" w:color="auto" w:fill="BFCED6"/>
          </w:tcPr>
          <w:p w14:paraId="51C81E3E" w14:textId="0B5EE330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1213" w:type="dxa"/>
            <w:shd w:val="clear" w:color="auto" w:fill="BFCED6"/>
          </w:tcPr>
          <w:p w14:paraId="053D0B0A" w14:textId="523E6906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55 %</w:t>
            </w:r>
          </w:p>
        </w:tc>
        <w:tc>
          <w:tcPr>
            <w:tcW w:w="1213" w:type="dxa"/>
            <w:shd w:val="clear" w:color="auto" w:fill="BFCED6"/>
          </w:tcPr>
          <w:p w14:paraId="11DD424C" w14:textId="3F4FFB0C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45 %</w:t>
            </w:r>
          </w:p>
        </w:tc>
      </w:tr>
      <w:tr w:rsidR="008D13A2" w:rsidRPr="00A6366B" w14:paraId="447CC3B0" w14:textId="77777777" w:rsidTr="00EC71A3">
        <w:trPr>
          <w:trHeight w:val="340"/>
        </w:trPr>
        <w:tc>
          <w:tcPr>
            <w:tcW w:w="2135" w:type="dxa"/>
            <w:shd w:val="clear" w:color="auto" w:fill="FFFFFF" w:themeFill="background1"/>
          </w:tcPr>
          <w:p w14:paraId="3E4C1322" w14:textId="0CC00F07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6F4A3D">
              <w:rPr>
                <w:rFonts w:ascii="VIC" w:eastAsia="Verdana" w:hAnsi="VIC"/>
                <w:color w:val="000000"/>
                <w:sz w:val="18"/>
                <w:szCs w:val="18"/>
              </w:rPr>
              <w:t>Goulburn Valley Health</w:t>
            </w:r>
          </w:p>
        </w:tc>
        <w:tc>
          <w:tcPr>
            <w:tcW w:w="2695" w:type="dxa"/>
            <w:shd w:val="clear" w:color="auto" w:fill="FFFFFF" w:themeFill="background1"/>
          </w:tcPr>
          <w:p w14:paraId="0786C69D" w14:textId="243CAAA8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Goulburn &amp; Southern</w:t>
            </w:r>
          </w:p>
        </w:tc>
        <w:tc>
          <w:tcPr>
            <w:tcW w:w="1212" w:type="dxa"/>
            <w:shd w:val="clear" w:color="auto" w:fill="FFFFFF" w:themeFill="background1"/>
          </w:tcPr>
          <w:p w14:paraId="587E1E8B" w14:textId="466BB863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13" w:type="dxa"/>
            <w:shd w:val="clear" w:color="auto" w:fill="FFFFFF" w:themeFill="background1"/>
          </w:tcPr>
          <w:p w14:paraId="7966AC75" w14:textId="2D8D8123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119 %</w:t>
            </w:r>
          </w:p>
        </w:tc>
        <w:tc>
          <w:tcPr>
            <w:tcW w:w="1213" w:type="dxa"/>
            <w:shd w:val="clear" w:color="auto" w:fill="FFFFFF" w:themeFill="background1"/>
          </w:tcPr>
          <w:p w14:paraId="72F30F45" w14:textId="289FE705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213" w:type="dxa"/>
            <w:shd w:val="clear" w:color="auto" w:fill="FFFFFF" w:themeFill="background1"/>
          </w:tcPr>
          <w:p w14:paraId="719DB330" w14:textId="196E735A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265.9</w:t>
            </w:r>
          </w:p>
        </w:tc>
        <w:tc>
          <w:tcPr>
            <w:tcW w:w="1212" w:type="dxa"/>
            <w:shd w:val="clear" w:color="auto" w:fill="FFFFFF" w:themeFill="background1"/>
          </w:tcPr>
          <w:p w14:paraId="49F032A5" w14:textId="3D4BF094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13 %</w:t>
            </w:r>
          </w:p>
        </w:tc>
        <w:tc>
          <w:tcPr>
            <w:tcW w:w="1213" w:type="dxa"/>
            <w:shd w:val="clear" w:color="auto" w:fill="FFFFFF" w:themeFill="background1"/>
          </w:tcPr>
          <w:p w14:paraId="1ED3C7AC" w14:textId="2559300A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22 %</w:t>
            </w:r>
          </w:p>
        </w:tc>
        <w:tc>
          <w:tcPr>
            <w:tcW w:w="1213" w:type="dxa"/>
            <w:shd w:val="clear" w:color="auto" w:fill="FFFFFF" w:themeFill="background1"/>
          </w:tcPr>
          <w:p w14:paraId="3D9FE242" w14:textId="77777777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FFFFFF" w:themeFill="background1"/>
          </w:tcPr>
          <w:p w14:paraId="39B7D079" w14:textId="6994B40A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22 %</w:t>
            </w:r>
          </w:p>
        </w:tc>
        <w:tc>
          <w:tcPr>
            <w:tcW w:w="1213" w:type="dxa"/>
            <w:shd w:val="clear" w:color="auto" w:fill="FFFFFF" w:themeFill="background1"/>
          </w:tcPr>
          <w:p w14:paraId="5BC58B45" w14:textId="08CBDD9F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22 %</w:t>
            </w:r>
          </w:p>
        </w:tc>
      </w:tr>
      <w:tr w:rsidR="008D13A2" w:rsidRPr="00A6366B" w14:paraId="4B5E0B75" w14:textId="77777777" w:rsidTr="00EC71A3">
        <w:trPr>
          <w:trHeight w:val="340"/>
        </w:trPr>
        <w:tc>
          <w:tcPr>
            <w:tcW w:w="2135" w:type="dxa"/>
            <w:shd w:val="clear" w:color="auto" w:fill="BFCED6"/>
          </w:tcPr>
          <w:p w14:paraId="58F4A0A9" w14:textId="11B4B1E9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6F4A3D">
              <w:rPr>
                <w:rFonts w:ascii="VIC" w:eastAsia="Verdana" w:hAnsi="VIC"/>
                <w:color w:val="000000"/>
                <w:sz w:val="18"/>
                <w:szCs w:val="18"/>
              </w:rPr>
              <w:t>Latrobe Regional</w:t>
            </w:r>
            <w:r w:rsidR="00C15426">
              <w:rPr>
                <w:rFonts w:ascii="VIC" w:eastAsia="Verdana" w:hAnsi="VIC"/>
                <w:color w:val="000000"/>
                <w:sz w:val="18"/>
                <w:szCs w:val="18"/>
              </w:rPr>
              <w:t>†</w:t>
            </w:r>
          </w:p>
        </w:tc>
        <w:tc>
          <w:tcPr>
            <w:tcW w:w="2695" w:type="dxa"/>
            <w:shd w:val="clear" w:color="auto" w:fill="BFCED6"/>
          </w:tcPr>
          <w:p w14:paraId="3BC46805" w14:textId="2EF518F9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Gippsland</w:t>
            </w:r>
          </w:p>
        </w:tc>
        <w:tc>
          <w:tcPr>
            <w:tcW w:w="1212" w:type="dxa"/>
            <w:shd w:val="clear" w:color="auto" w:fill="BFCED6"/>
          </w:tcPr>
          <w:p w14:paraId="78D76A45" w14:textId="0BCBDDF4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213" w:type="dxa"/>
            <w:shd w:val="clear" w:color="auto" w:fill="BFCED6"/>
          </w:tcPr>
          <w:p w14:paraId="7B14CCD4" w14:textId="270E96C9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91 %</w:t>
            </w:r>
          </w:p>
        </w:tc>
        <w:tc>
          <w:tcPr>
            <w:tcW w:w="1213" w:type="dxa"/>
            <w:shd w:val="clear" w:color="auto" w:fill="BFCED6"/>
          </w:tcPr>
          <w:p w14:paraId="6802D347" w14:textId="75BB58E2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9 %</w:t>
            </w:r>
          </w:p>
        </w:tc>
        <w:tc>
          <w:tcPr>
            <w:tcW w:w="1213" w:type="dxa"/>
            <w:shd w:val="clear" w:color="auto" w:fill="BFCED6"/>
          </w:tcPr>
          <w:p w14:paraId="4F704B25" w14:textId="2F4DDB53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155.8</w:t>
            </w:r>
          </w:p>
        </w:tc>
        <w:tc>
          <w:tcPr>
            <w:tcW w:w="1212" w:type="dxa"/>
            <w:shd w:val="clear" w:color="auto" w:fill="BFCED6"/>
          </w:tcPr>
          <w:p w14:paraId="21FFAA0D" w14:textId="58E3D77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46 %</w:t>
            </w:r>
          </w:p>
        </w:tc>
        <w:tc>
          <w:tcPr>
            <w:tcW w:w="1213" w:type="dxa"/>
            <w:shd w:val="clear" w:color="auto" w:fill="BFCED6"/>
          </w:tcPr>
          <w:p w14:paraId="682B85DE" w14:textId="37CEDC88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92 %</w:t>
            </w:r>
          </w:p>
        </w:tc>
        <w:tc>
          <w:tcPr>
            <w:tcW w:w="1213" w:type="dxa"/>
            <w:shd w:val="clear" w:color="auto" w:fill="BFCED6"/>
          </w:tcPr>
          <w:p w14:paraId="68BB8AFC" w14:textId="15EF2C7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1213" w:type="dxa"/>
            <w:shd w:val="clear" w:color="auto" w:fill="BFCED6"/>
          </w:tcPr>
          <w:p w14:paraId="7DCFD09E" w14:textId="138AA482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71 %</w:t>
            </w:r>
          </w:p>
        </w:tc>
        <w:tc>
          <w:tcPr>
            <w:tcW w:w="1213" w:type="dxa"/>
            <w:shd w:val="clear" w:color="auto" w:fill="BFCED6"/>
          </w:tcPr>
          <w:p w14:paraId="28832CE5" w14:textId="48D5D4AF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54 %</w:t>
            </w:r>
          </w:p>
        </w:tc>
      </w:tr>
      <w:tr w:rsidR="008D13A2" w:rsidRPr="00A6366B" w14:paraId="23B3D7DA" w14:textId="77777777" w:rsidTr="00EC71A3">
        <w:trPr>
          <w:trHeight w:val="340"/>
        </w:trPr>
        <w:tc>
          <w:tcPr>
            <w:tcW w:w="2135" w:type="dxa"/>
            <w:shd w:val="clear" w:color="auto" w:fill="FFFFFF" w:themeFill="background1"/>
          </w:tcPr>
          <w:p w14:paraId="2B66F437" w14:textId="32BB67CF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6F4A3D">
              <w:rPr>
                <w:rFonts w:ascii="VIC" w:eastAsia="Verdana" w:hAnsi="VIC"/>
                <w:color w:val="000000"/>
                <w:sz w:val="18"/>
                <w:szCs w:val="18"/>
              </w:rPr>
              <w:t>Albury Wodonga Health</w:t>
            </w:r>
          </w:p>
        </w:tc>
        <w:tc>
          <w:tcPr>
            <w:tcW w:w="2695" w:type="dxa"/>
            <w:shd w:val="clear" w:color="auto" w:fill="FFFFFF" w:themeFill="background1"/>
          </w:tcPr>
          <w:p w14:paraId="27B3AC50" w14:textId="00B895F7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North East &amp; Border</w:t>
            </w:r>
          </w:p>
        </w:tc>
        <w:tc>
          <w:tcPr>
            <w:tcW w:w="1212" w:type="dxa"/>
            <w:shd w:val="clear" w:color="auto" w:fill="FFFFFF" w:themeFill="background1"/>
          </w:tcPr>
          <w:p w14:paraId="32E633BC" w14:textId="445DD9C8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213" w:type="dxa"/>
            <w:shd w:val="clear" w:color="auto" w:fill="FFFFFF" w:themeFill="background1"/>
          </w:tcPr>
          <w:p w14:paraId="445B6F64" w14:textId="5F789836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89 %</w:t>
            </w:r>
          </w:p>
        </w:tc>
        <w:tc>
          <w:tcPr>
            <w:tcW w:w="1213" w:type="dxa"/>
            <w:shd w:val="clear" w:color="auto" w:fill="FFFFFF" w:themeFill="background1"/>
          </w:tcPr>
          <w:p w14:paraId="02CD1CBC" w14:textId="30742AA8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5 %</w:t>
            </w:r>
          </w:p>
        </w:tc>
        <w:tc>
          <w:tcPr>
            <w:tcW w:w="1213" w:type="dxa"/>
            <w:shd w:val="clear" w:color="auto" w:fill="FFFFFF" w:themeFill="background1"/>
          </w:tcPr>
          <w:p w14:paraId="11D3FDC4" w14:textId="73953D1B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844.8</w:t>
            </w:r>
          </w:p>
        </w:tc>
        <w:tc>
          <w:tcPr>
            <w:tcW w:w="1212" w:type="dxa"/>
            <w:shd w:val="clear" w:color="auto" w:fill="FFFFFF" w:themeFill="background1"/>
          </w:tcPr>
          <w:p w14:paraId="0CBAF4CB" w14:textId="3F5618FD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10 %</w:t>
            </w:r>
          </w:p>
        </w:tc>
        <w:tc>
          <w:tcPr>
            <w:tcW w:w="1213" w:type="dxa"/>
            <w:shd w:val="clear" w:color="auto" w:fill="FFFFFF" w:themeFill="background1"/>
          </w:tcPr>
          <w:p w14:paraId="7B4DB6C8" w14:textId="65097634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81 %</w:t>
            </w:r>
          </w:p>
        </w:tc>
        <w:tc>
          <w:tcPr>
            <w:tcW w:w="1213" w:type="dxa"/>
            <w:shd w:val="clear" w:color="auto" w:fill="FFFFFF" w:themeFill="background1"/>
          </w:tcPr>
          <w:p w14:paraId="6F6A08D8" w14:textId="37088FF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1213" w:type="dxa"/>
            <w:shd w:val="clear" w:color="auto" w:fill="FFFFFF" w:themeFill="background1"/>
          </w:tcPr>
          <w:p w14:paraId="51E23FC7" w14:textId="5E88DAB7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75 %</w:t>
            </w:r>
          </w:p>
        </w:tc>
        <w:tc>
          <w:tcPr>
            <w:tcW w:w="1213" w:type="dxa"/>
            <w:shd w:val="clear" w:color="auto" w:fill="FFFFFF" w:themeFill="background1"/>
          </w:tcPr>
          <w:p w14:paraId="6FB59220" w14:textId="433B7758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66 %</w:t>
            </w:r>
          </w:p>
        </w:tc>
      </w:tr>
      <w:tr w:rsidR="008D13A2" w:rsidRPr="008D13A2" w14:paraId="17EEE0DD" w14:textId="77777777" w:rsidTr="00EC71A3">
        <w:trPr>
          <w:trHeight w:val="312"/>
        </w:trPr>
        <w:tc>
          <w:tcPr>
            <w:tcW w:w="2135" w:type="dxa"/>
            <w:shd w:val="clear" w:color="auto" w:fill="B1C9E8"/>
          </w:tcPr>
          <w:p w14:paraId="64952D6C" w14:textId="60896356" w:rsidR="008D13A2" w:rsidRPr="008D13A2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hAnsi="VIC"/>
                <w:color w:val="000000" w:themeColor="text1"/>
                <w:w w:val="105"/>
                <w:sz w:val="18"/>
                <w:szCs w:val="18"/>
              </w:rPr>
              <w:t>TOTAL RURAL</w:t>
            </w:r>
            <w:r w:rsidR="00C15426">
              <w:rPr>
                <w:rFonts w:ascii="VIC" w:hAnsi="VIC"/>
                <w:color w:val="000000" w:themeColor="text1"/>
                <w:w w:val="105"/>
                <w:sz w:val="18"/>
                <w:szCs w:val="18"/>
              </w:rPr>
              <w:t>†</w:t>
            </w:r>
          </w:p>
        </w:tc>
        <w:tc>
          <w:tcPr>
            <w:tcW w:w="2695" w:type="dxa"/>
            <w:shd w:val="clear" w:color="auto" w:fill="B1C9E8"/>
          </w:tcPr>
          <w:p w14:paraId="49FC6A04" w14:textId="5B5E5524" w:rsidR="008D13A2" w:rsidRPr="008D13A2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12" w:type="dxa"/>
            <w:shd w:val="clear" w:color="auto" w:fill="B1C9E8"/>
          </w:tcPr>
          <w:p w14:paraId="737BF6DD" w14:textId="4CF52EAD" w:rsidR="008D13A2" w:rsidRPr="008D13A2" w:rsidRDefault="008D13A2" w:rsidP="008D13A2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1213" w:type="dxa"/>
            <w:shd w:val="clear" w:color="auto" w:fill="B1C9E8"/>
          </w:tcPr>
          <w:p w14:paraId="75BA6D33" w14:textId="750C9290" w:rsidR="008D13A2" w:rsidRPr="008D13A2" w:rsidRDefault="008D13A2" w:rsidP="008D13A2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>76 %</w:t>
            </w:r>
          </w:p>
        </w:tc>
        <w:tc>
          <w:tcPr>
            <w:tcW w:w="1213" w:type="dxa"/>
            <w:shd w:val="clear" w:color="auto" w:fill="B1C9E8"/>
          </w:tcPr>
          <w:p w14:paraId="0BFC338B" w14:textId="7E5F97D8" w:rsidR="008D13A2" w:rsidRPr="008D13A2" w:rsidRDefault="008D13A2" w:rsidP="008D13A2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>6 %</w:t>
            </w:r>
          </w:p>
        </w:tc>
        <w:tc>
          <w:tcPr>
            <w:tcW w:w="1213" w:type="dxa"/>
            <w:shd w:val="clear" w:color="auto" w:fill="B1C9E8"/>
          </w:tcPr>
          <w:p w14:paraId="65521244" w14:textId="34512B49" w:rsidR="008D13A2" w:rsidRPr="008D13A2" w:rsidRDefault="008D13A2" w:rsidP="008D13A2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>362.8</w:t>
            </w:r>
          </w:p>
        </w:tc>
        <w:tc>
          <w:tcPr>
            <w:tcW w:w="1212" w:type="dxa"/>
            <w:shd w:val="clear" w:color="auto" w:fill="B1C9E8"/>
          </w:tcPr>
          <w:p w14:paraId="1893B271" w14:textId="28F66610" w:rsidR="008D13A2" w:rsidRPr="008D13A2" w:rsidRDefault="008D13A2" w:rsidP="008D13A2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>28 %</w:t>
            </w:r>
          </w:p>
        </w:tc>
        <w:tc>
          <w:tcPr>
            <w:tcW w:w="1213" w:type="dxa"/>
            <w:shd w:val="clear" w:color="auto" w:fill="B1C9E8"/>
          </w:tcPr>
          <w:p w14:paraId="75315690" w14:textId="0FB645CA" w:rsidR="008D13A2" w:rsidRPr="008D13A2" w:rsidRDefault="008D13A2" w:rsidP="008D13A2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>77 %</w:t>
            </w:r>
          </w:p>
        </w:tc>
        <w:tc>
          <w:tcPr>
            <w:tcW w:w="1213" w:type="dxa"/>
            <w:shd w:val="clear" w:color="auto" w:fill="B1C9E8"/>
          </w:tcPr>
          <w:p w14:paraId="00D2D764" w14:textId="5E9FFEEB" w:rsidR="008D13A2" w:rsidRPr="008D13A2" w:rsidRDefault="008D13A2" w:rsidP="008D13A2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>14.9</w:t>
            </w:r>
          </w:p>
        </w:tc>
        <w:tc>
          <w:tcPr>
            <w:tcW w:w="1213" w:type="dxa"/>
            <w:shd w:val="clear" w:color="auto" w:fill="B1C9E8"/>
          </w:tcPr>
          <w:p w14:paraId="339DBB38" w14:textId="3B03617A" w:rsidR="008D13A2" w:rsidRPr="008D13A2" w:rsidRDefault="008D13A2" w:rsidP="008D13A2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>55 %</w:t>
            </w:r>
          </w:p>
        </w:tc>
        <w:tc>
          <w:tcPr>
            <w:tcW w:w="1213" w:type="dxa"/>
            <w:shd w:val="clear" w:color="auto" w:fill="B1C9E8"/>
          </w:tcPr>
          <w:p w14:paraId="45242D69" w14:textId="0BBF5293" w:rsidR="008D13A2" w:rsidRPr="008D13A2" w:rsidRDefault="008D13A2" w:rsidP="008D13A2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>48 %</w:t>
            </w:r>
          </w:p>
        </w:tc>
      </w:tr>
      <w:tr w:rsidR="008D13A2" w:rsidRPr="008D13A2" w14:paraId="0F29555D" w14:textId="77777777" w:rsidTr="00EC71A3">
        <w:trPr>
          <w:trHeight w:val="312"/>
        </w:trPr>
        <w:tc>
          <w:tcPr>
            <w:tcW w:w="2135" w:type="dxa"/>
            <w:shd w:val="clear" w:color="auto" w:fill="244C5A"/>
          </w:tcPr>
          <w:p w14:paraId="7B9FC9BF" w14:textId="059C843A" w:rsidR="008D13A2" w:rsidRPr="008D13A2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color w:val="FFFFFF" w:themeColor="background1"/>
                <w:sz w:val="18"/>
                <w:szCs w:val="18"/>
              </w:rPr>
            </w:pPr>
            <w:r w:rsidRPr="008D13A2">
              <w:rPr>
                <w:rFonts w:ascii="VIC" w:hAnsi="VIC"/>
                <w:color w:val="FFFFFF" w:themeColor="background1"/>
                <w:w w:val="105"/>
                <w:sz w:val="18"/>
                <w:szCs w:val="18"/>
              </w:rPr>
              <w:t>TOTAL STATEWIDE</w:t>
            </w:r>
            <w:r w:rsidR="00C15426">
              <w:rPr>
                <w:rFonts w:ascii="VIC" w:hAnsi="VIC"/>
                <w:color w:val="FFFFFF" w:themeColor="background1"/>
                <w:w w:val="105"/>
                <w:sz w:val="18"/>
                <w:szCs w:val="18"/>
              </w:rPr>
              <w:t>†</w:t>
            </w:r>
          </w:p>
        </w:tc>
        <w:tc>
          <w:tcPr>
            <w:tcW w:w="2695" w:type="dxa"/>
            <w:shd w:val="clear" w:color="auto" w:fill="244C5A"/>
          </w:tcPr>
          <w:p w14:paraId="3C0BABB5" w14:textId="45CF8F4B" w:rsidR="008D13A2" w:rsidRPr="008D13A2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color w:val="FFFFFF" w:themeColor="background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212" w:type="dxa"/>
            <w:shd w:val="clear" w:color="auto" w:fill="244C5A"/>
          </w:tcPr>
          <w:p w14:paraId="26C71A65" w14:textId="46B90B6F" w:rsidR="008D13A2" w:rsidRPr="008D13A2" w:rsidRDefault="008D13A2" w:rsidP="008D13A2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FFFFFF"/>
                <w:sz w:val="18"/>
                <w:szCs w:val="18"/>
              </w:rPr>
              <w:t>0.9</w:t>
            </w:r>
          </w:p>
        </w:tc>
        <w:tc>
          <w:tcPr>
            <w:tcW w:w="1213" w:type="dxa"/>
            <w:shd w:val="clear" w:color="auto" w:fill="244C5A"/>
          </w:tcPr>
          <w:p w14:paraId="3F4C4DCA" w14:textId="43F87D56" w:rsidR="008D13A2" w:rsidRPr="008D13A2" w:rsidRDefault="008D13A2" w:rsidP="008D13A2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FFFFFF"/>
                <w:sz w:val="18"/>
                <w:szCs w:val="18"/>
              </w:rPr>
              <w:t>81 %</w:t>
            </w:r>
          </w:p>
        </w:tc>
        <w:tc>
          <w:tcPr>
            <w:tcW w:w="1213" w:type="dxa"/>
            <w:shd w:val="clear" w:color="auto" w:fill="244C5A"/>
          </w:tcPr>
          <w:p w14:paraId="6D510197" w14:textId="2EED282E" w:rsidR="008D13A2" w:rsidRPr="008D13A2" w:rsidRDefault="008D13A2" w:rsidP="008D13A2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FFFFFF"/>
                <w:sz w:val="18"/>
                <w:szCs w:val="18"/>
              </w:rPr>
              <w:t>5 %</w:t>
            </w:r>
          </w:p>
        </w:tc>
        <w:tc>
          <w:tcPr>
            <w:tcW w:w="1213" w:type="dxa"/>
            <w:shd w:val="clear" w:color="auto" w:fill="244C5A"/>
          </w:tcPr>
          <w:p w14:paraId="57B6FB6F" w14:textId="5B2B41AE" w:rsidR="008D13A2" w:rsidRPr="008D13A2" w:rsidRDefault="008D13A2" w:rsidP="008D13A2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FFFFFF"/>
                <w:sz w:val="18"/>
                <w:szCs w:val="18"/>
              </w:rPr>
              <w:t>351.2</w:t>
            </w:r>
          </w:p>
        </w:tc>
        <w:tc>
          <w:tcPr>
            <w:tcW w:w="1212" w:type="dxa"/>
            <w:shd w:val="clear" w:color="auto" w:fill="244C5A"/>
          </w:tcPr>
          <w:p w14:paraId="21D8BBA6" w14:textId="2583894D" w:rsidR="008D13A2" w:rsidRPr="008D13A2" w:rsidRDefault="008D13A2" w:rsidP="008D13A2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FFFFFF"/>
                <w:sz w:val="18"/>
                <w:szCs w:val="18"/>
              </w:rPr>
              <w:t>30 %</w:t>
            </w:r>
          </w:p>
        </w:tc>
        <w:tc>
          <w:tcPr>
            <w:tcW w:w="1213" w:type="dxa"/>
            <w:shd w:val="clear" w:color="auto" w:fill="244C5A"/>
          </w:tcPr>
          <w:p w14:paraId="12A39F7B" w14:textId="423727B0" w:rsidR="008D13A2" w:rsidRPr="008D13A2" w:rsidRDefault="008D13A2" w:rsidP="008D13A2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FFFFFF"/>
                <w:sz w:val="18"/>
                <w:szCs w:val="18"/>
              </w:rPr>
              <w:t>80 %</w:t>
            </w:r>
          </w:p>
        </w:tc>
        <w:tc>
          <w:tcPr>
            <w:tcW w:w="1213" w:type="dxa"/>
            <w:shd w:val="clear" w:color="auto" w:fill="244C5A"/>
          </w:tcPr>
          <w:p w14:paraId="2A29F2CC" w14:textId="58FA672C" w:rsidR="008D13A2" w:rsidRPr="008D13A2" w:rsidRDefault="008D13A2" w:rsidP="008D13A2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FFFFFF"/>
                <w:sz w:val="18"/>
                <w:szCs w:val="18"/>
              </w:rPr>
              <w:t>15.6</w:t>
            </w:r>
          </w:p>
        </w:tc>
        <w:tc>
          <w:tcPr>
            <w:tcW w:w="1213" w:type="dxa"/>
            <w:shd w:val="clear" w:color="auto" w:fill="244C5A"/>
          </w:tcPr>
          <w:p w14:paraId="26545008" w14:textId="1954F3D4" w:rsidR="008D13A2" w:rsidRPr="008D13A2" w:rsidRDefault="008D13A2" w:rsidP="008D13A2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FFFFFF"/>
                <w:sz w:val="18"/>
                <w:szCs w:val="18"/>
              </w:rPr>
              <w:t>65 %</w:t>
            </w:r>
          </w:p>
        </w:tc>
        <w:tc>
          <w:tcPr>
            <w:tcW w:w="1213" w:type="dxa"/>
            <w:shd w:val="clear" w:color="auto" w:fill="244C5A"/>
          </w:tcPr>
          <w:p w14:paraId="0B8F072B" w14:textId="6B1AD49E" w:rsidR="008D13A2" w:rsidRPr="008D13A2" w:rsidRDefault="008D13A2" w:rsidP="008D13A2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FFFFFF"/>
                <w:sz w:val="18"/>
                <w:szCs w:val="18"/>
              </w:rPr>
              <w:t>41 %</w:t>
            </w:r>
          </w:p>
        </w:tc>
      </w:tr>
    </w:tbl>
    <w:p w14:paraId="68F4E4EA" w14:textId="28DF4CE1" w:rsidR="00BF031D" w:rsidRDefault="00BF031D">
      <w:pPr>
        <w:rPr>
          <w:sz w:val="6"/>
        </w:rPr>
      </w:pPr>
    </w:p>
    <w:p w14:paraId="19952C75" w14:textId="2620C5A3" w:rsidR="00BF031D" w:rsidRDefault="00BF031D">
      <w:pPr>
        <w:widowControl/>
        <w:rPr>
          <w:sz w:val="6"/>
        </w:rPr>
      </w:pPr>
    </w:p>
    <w:tbl>
      <w:tblPr>
        <w:tblW w:w="15745" w:type="dxa"/>
        <w:tblInd w:w="-294" w:type="dxa"/>
        <w:tblBorders>
          <w:insideH w:val="single" w:sz="4" w:space="0" w:color="244C5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5"/>
        <w:gridCol w:w="2695"/>
        <w:gridCol w:w="1364"/>
        <w:gridCol w:w="1364"/>
        <w:gridCol w:w="1365"/>
        <w:gridCol w:w="1364"/>
        <w:gridCol w:w="1364"/>
        <w:gridCol w:w="1365"/>
        <w:gridCol w:w="1364"/>
        <w:gridCol w:w="1365"/>
      </w:tblGrid>
      <w:tr w:rsidR="003C29FF" w:rsidRPr="00A6366B" w14:paraId="70BAF4FA" w14:textId="77777777" w:rsidTr="003C29FF">
        <w:trPr>
          <w:trHeight w:val="1062"/>
          <w:tblHeader/>
        </w:trPr>
        <w:tc>
          <w:tcPr>
            <w:tcW w:w="4830" w:type="dxa"/>
            <w:gridSpan w:val="2"/>
            <w:shd w:val="clear" w:color="auto" w:fill="FFFFFF"/>
            <w:vAlign w:val="bottom"/>
          </w:tcPr>
          <w:p w14:paraId="1F4244AD" w14:textId="0D8E25BB" w:rsidR="003C29FF" w:rsidRPr="00592F37" w:rsidRDefault="003C29FF" w:rsidP="003C29FF">
            <w:pPr>
              <w:pStyle w:val="Heading1"/>
              <w:spacing w:before="0" w:line="240" w:lineRule="auto"/>
              <w:rPr>
                <w:color w:val="244C5A"/>
                <w:sz w:val="28"/>
                <w:szCs w:val="28"/>
              </w:rPr>
            </w:pPr>
            <w:bookmarkStart w:id="7" w:name="_Toc22208487"/>
            <w:r>
              <w:rPr>
                <w:color w:val="244C5A"/>
                <w:sz w:val="22"/>
                <w:szCs w:val="28"/>
              </w:rPr>
              <w:t>Extended care</w:t>
            </w:r>
            <w:r w:rsidRPr="00052DAD">
              <w:rPr>
                <w:color w:val="244C5A"/>
                <w:sz w:val="22"/>
                <w:szCs w:val="28"/>
              </w:rPr>
              <w:br w:type="textWrapping" w:clear="all"/>
            </w:r>
            <w:r>
              <w:rPr>
                <w:color w:val="244C5A"/>
                <w:sz w:val="22"/>
                <w:szCs w:val="28"/>
              </w:rPr>
              <w:t>2019-20 Q1</w:t>
            </w:r>
            <w:bookmarkEnd w:id="7"/>
          </w:p>
        </w:tc>
        <w:tc>
          <w:tcPr>
            <w:tcW w:w="1364" w:type="dxa"/>
            <w:shd w:val="clear" w:color="auto" w:fill="FFFFFF"/>
            <w:vAlign w:val="bottom"/>
          </w:tcPr>
          <w:p w14:paraId="4C51657B" w14:textId="6BC02BA1" w:rsidR="003C29FF" w:rsidRPr="003C29FF" w:rsidRDefault="003C29FF" w:rsidP="003C29FF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>Bed occupancy (incl leave)</w:t>
            </w:r>
          </w:p>
        </w:tc>
        <w:tc>
          <w:tcPr>
            <w:tcW w:w="1364" w:type="dxa"/>
            <w:shd w:val="clear" w:color="auto" w:fill="FFFFFF"/>
            <w:vAlign w:val="bottom"/>
          </w:tcPr>
          <w:p w14:paraId="69AF0835" w14:textId="0489CE94" w:rsidR="003C29FF" w:rsidRPr="003C29FF" w:rsidRDefault="003C29FF" w:rsidP="003C29FF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>Leave days per occupied bed days</w:t>
            </w:r>
          </w:p>
        </w:tc>
        <w:tc>
          <w:tcPr>
            <w:tcW w:w="1365" w:type="dxa"/>
            <w:shd w:val="clear" w:color="auto" w:fill="FFFFFF"/>
            <w:vAlign w:val="bottom"/>
          </w:tcPr>
          <w:p w14:paraId="7ADAC200" w14:textId="22934128" w:rsidR="003C29FF" w:rsidRPr="003C29FF" w:rsidRDefault="003C29FF" w:rsidP="003C29FF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>Average duration of treatment to date (days)</w:t>
            </w:r>
          </w:p>
        </w:tc>
        <w:tc>
          <w:tcPr>
            <w:tcW w:w="1364" w:type="dxa"/>
            <w:shd w:val="clear" w:color="auto" w:fill="FFFFFF"/>
            <w:vAlign w:val="bottom"/>
          </w:tcPr>
          <w:p w14:paraId="355177A8" w14:textId="145D2033" w:rsidR="003C29FF" w:rsidRPr="003C29FF" w:rsidRDefault="003C29FF" w:rsidP="003C29FF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>Seclusions per 1,000 bed days</w:t>
            </w:r>
          </w:p>
        </w:tc>
        <w:tc>
          <w:tcPr>
            <w:tcW w:w="1364" w:type="dxa"/>
            <w:shd w:val="clear" w:color="auto" w:fill="FFFFFF"/>
            <w:vAlign w:val="bottom"/>
          </w:tcPr>
          <w:p w14:paraId="1168330A" w14:textId="1847019C" w:rsidR="003C29FF" w:rsidRPr="003C29FF" w:rsidRDefault="003C29FF" w:rsidP="003C29FF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proofErr w:type="spellStart"/>
            <w:r w:rsidRPr="003C29FF">
              <w:rPr>
                <w:sz w:val="16"/>
              </w:rPr>
              <w:t>HoNOS</w:t>
            </w:r>
            <w:proofErr w:type="spellEnd"/>
            <w:r w:rsidRPr="003C29FF">
              <w:rPr>
                <w:sz w:val="16"/>
              </w:rPr>
              <w:t xml:space="preserve"> compliance</w:t>
            </w:r>
          </w:p>
        </w:tc>
        <w:tc>
          <w:tcPr>
            <w:tcW w:w="1365" w:type="dxa"/>
            <w:shd w:val="clear" w:color="auto" w:fill="FFFFFF"/>
            <w:vAlign w:val="bottom"/>
          </w:tcPr>
          <w:p w14:paraId="657AB34A" w14:textId="0F12546B" w:rsidR="003C29FF" w:rsidRPr="003C29FF" w:rsidRDefault="003C29FF" w:rsidP="003C29FF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 xml:space="preserve">Average </w:t>
            </w:r>
            <w:proofErr w:type="spellStart"/>
            <w:r w:rsidRPr="003C29FF">
              <w:rPr>
                <w:sz w:val="16"/>
              </w:rPr>
              <w:t>HoNOS</w:t>
            </w:r>
            <w:proofErr w:type="spellEnd"/>
            <w:r w:rsidRPr="003C29FF">
              <w:rPr>
                <w:sz w:val="16"/>
              </w:rPr>
              <w:t xml:space="preserve"> at episode start</w:t>
            </w:r>
          </w:p>
        </w:tc>
        <w:tc>
          <w:tcPr>
            <w:tcW w:w="1364" w:type="dxa"/>
            <w:shd w:val="clear" w:color="auto" w:fill="FFFFFF"/>
            <w:vAlign w:val="bottom"/>
          </w:tcPr>
          <w:p w14:paraId="2F3D019D" w14:textId="1D7E49F4" w:rsidR="003C29FF" w:rsidRPr="003C29FF" w:rsidRDefault="003C29FF" w:rsidP="003C29FF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 xml:space="preserve">BASIS32 </w:t>
            </w:r>
            <w:r>
              <w:rPr>
                <w:sz w:val="16"/>
              </w:rPr>
              <w:br w:type="textWrapping" w:clear="all"/>
            </w:r>
            <w:r w:rsidRPr="003C29FF">
              <w:rPr>
                <w:sz w:val="16"/>
              </w:rPr>
              <w:t>offered</w:t>
            </w:r>
          </w:p>
        </w:tc>
        <w:tc>
          <w:tcPr>
            <w:tcW w:w="1365" w:type="dxa"/>
            <w:shd w:val="clear" w:color="auto" w:fill="FFFFFF"/>
            <w:vAlign w:val="bottom"/>
          </w:tcPr>
          <w:p w14:paraId="5273B4CF" w14:textId="4B1CA416" w:rsidR="003C29FF" w:rsidRPr="003C29FF" w:rsidRDefault="003C29FF" w:rsidP="003C29FF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3C29FF">
              <w:rPr>
                <w:sz w:val="16"/>
              </w:rPr>
              <w:t>BASIS32 completed</w:t>
            </w:r>
          </w:p>
        </w:tc>
      </w:tr>
      <w:tr w:rsidR="008D13A2" w:rsidRPr="00A6366B" w14:paraId="581FAFBE" w14:textId="77777777" w:rsidTr="003C29FF">
        <w:trPr>
          <w:trHeight w:val="454"/>
        </w:trPr>
        <w:tc>
          <w:tcPr>
            <w:tcW w:w="2135" w:type="dxa"/>
            <w:shd w:val="clear" w:color="auto" w:fill="BFCED6"/>
          </w:tcPr>
          <w:p w14:paraId="4F550871" w14:textId="3E6152E0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056F4E">
              <w:rPr>
                <w:rFonts w:ascii="VIC" w:eastAsia="Verdana" w:hAnsi="VIC"/>
                <w:color w:val="000000"/>
                <w:sz w:val="18"/>
                <w:szCs w:val="18"/>
              </w:rPr>
              <w:t>Austin Health</w:t>
            </w:r>
          </w:p>
        </w:tc>
        <w:tc>
          <w:tcPr>
            <w:tcW w:w="2695" w:type="dxa"/>
            <w:shd w:val="clear" w:color="auto" w:fill="BFCED6"/>
          </w:tcPr>
          <w:p w14:paraId="0C31A701" w14:textId="543A1C96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North East (Austin)</w:t>
            </w:r>
          </w:p>
        </w:tc>
        <w:tc>
          <w:tcPr>
            <w:tcW w:w="1364" w:type="dxa"/>
            <w:shd w:val="clear" w:color="auto" w:fill="BFCED6"/>
          </w:tcPr>
          <w:p w14:paraId="67E07D92" w14:textId="54678640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73 %</w:t>
            </w:r>
          </w:p>
        </w:tc>
        <w:tc>
          <w:tcPr>
            <w:tcW w:w="1364" w:type="dxa"/>
            <w:shd w:val="clear" w:color="auto" w:fill="BFCED6"/>
          </w:tcPr>
          <w:p w14:paraId="2A3E2A53" w14:textId="22962456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9 %</w:t>
            </w:r>
          </w:p>
        </w:tc>
        <w:tc>
          <w:tcPr>
            <w:tcW w:w="1365" w:type="dxa"/>
            <w:shd w:val="clear" w:color="auto" w:fill="BFCED6"/>
          </w:tcPr>
          <w:p w14:paraId="2DEA754A" w14:textId="74FCBDF9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734.6</w:t>
            </w:r>
          </w:p>
        </w:tc>
        <w:tc>
          <w:tcPr>
            <w:tcW w:w="1364" w:type="dxa"/>
            <w:shd w:val="clear" w:color="auto" w:fill="BFCED6"/>
          </w:tcPr>
          <w:p w14:paraId="16A26822" w14:textId="1F10E548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64" w:type="dxa"/>
            <w:shd w:val="clear" w:color="auto" w:fill="BFCED6"/>
          </w:tcPr>
          <w:p w14:paraId="6F81A86E" w14:textId="6638BD51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68 %</w:t>
            </w:r>
          </w:p>
        </w:tc>
        <w:tc>
          <w:tcPr>
            <w:tcW w:w="1365" w:type="dxa"/>
            <w:shd w:val="clear" w:color="auto" w:fill="BFCED6"/>
          </w:tcPr>
          <w:p w14:paraId="5C277A1F" w14:textId="29C3B52D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364" w:type="dxa"/>
            <w:shd w:val="clear" w:color="auto" w:fill="BFCED6"/>
          </w:tcPr>
          <w:p w14:paraId="7184E255" w14:textId="540A56A3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54 %</w:t>
            </w:r>
          </w:p>
        </w:tc>
        <w:tc>
          <w:tcPr>
            <w:tcW w:w="1365" w:type="dxa"/>
            <w:shd w:val="clear" w:color="auto" w:fill="BFCED6"/>
          </w:tcPr>
          <w:p w14:paraId="11EBC660" w14:textId="2BAA9C82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</w:tr>
      <w:tr w:rsidR="008D13A2" w:rsidRPr="00A6366B" w14:paraId="49A24217" w14:textId="77777777" w:rsidTr="003C29FF">
        <w:trPr>
          <w:trHeight w:val="454"/>
        </w:trPr>
        <w:tc>
          <w:tcPr>
            <w:tcW w:w="2135" w:type="dxa"/>
          </w:tcPr>
          <w:p w14:paraId="52A5F9CB" w14:textId="61DB443C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056F4E">
              <w:rPr>
                <w:rFonts w:ascii="VIC" w:eastAsia="Verdana" w:hAnsi="VIC"/>
                <w:color w:val="000000"/>
                <w:sz w:val="18"/>
                <w:szCs w:val="18"/>
              </w:rPr>
              <w:t>Melbourne Health</w:t>
            </w:r>
          </w:p>
        </w:tc>
        <w:tc>
          <w:tcPr>
            <w:tcW w:w="2695" w:type="dxa"/>
          </w:tcPr>
          <w:p w14:paraId="446CBE8E" w14:textId="627BD2A4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proofErr w:type="spellStart"/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Mid West</w:t>
            </w:r>
            <w:proofErr w:type="spellEnd"/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 xml:space="preserve"> (Sunshine)</w:t>
            </w:r>
          </w:p>
        </w:tc>
        <w:tc>
          <w:tcPr>
            <w:tcW w:w="1364" w:type="dxa"/>
          </w:tcPr>
          <w:p w14:paraId="1AD73750" w14:textId="434CD457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98 %</w:t>
            </w:r>
          </w:p>
        </w:tc>
        <w:tc>
          <w:tcPr>
            <w:tcW w:w="1364" w:type="dxa"/>
          </w:tcPr>
          <w:p w14:paraId="4D71B6DA" w14:textId="757AE39F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14 %</w:t>
            </w:r>
          </w:p>
        </w:tc>
        <w:tc>
          <w:tcPr>
            <w:tcW w:w="1365" w:type="dxa"/>
          </w:tcPr>
          <w:p w14:paraId="1E80AB47" w14:textId="067B38AF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1,005.0</w:t>
            </w:r>
          </w:p>
        </w:tc>
        <w:tc>
          <w:tcPr>
            <w:tcW w:w="1364" w:type="dxa"/>
          </w:tcPr>
          <w:p w14:paraId="493793B7" w14:textId="403A5708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64" w:type="dxa"/>
          </w:tcPr>
          <w:p w14:paraId="742AB3E9" w14:textId="1929B65C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100 %</w:t>
            </w:r>
          </w:p>
        </w:tc>
        <w:tc>
          <w:tcPr>
            <w:tcW w:w="1365" w:type="dxa"/>
          </w:tcPr>
          <w:p w14:paraId="2544E915" w14:textId="7045A2D6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1364" w:type="dxa"/>
          </w:tcPr>
          <w:p w14:paraId="5FAE92C9" w14:textId="3A84ED85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77 %</w:t>
            </w:r>
          </w:p>
        </w:tc>
        <w:tc>
          <w:tcPr>
            <w:tcW w:w="1365" w:type="dxa"/>
          </w:tcPr>
          <w:p w14:paraId="4741FFC9" w14:textId="1898D1DF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39 %</w:t>
            </w:r>
          </w:p>
        </w:tc>
      </w:tr>
      <w:tr w:rsidR="008D13A2" w:rsidRPr="00A6366B" w14:paraId="079909C0" w14:textId="77777777" w:rsidTr="003C29FF">
        <w:trPr>
          <w:trHeight w:val="454"/>
        </w:trPr>
        <w:tc>
          <w:tcPr>
            <w:tcW w:w="2135" w:type="dxa"/>
            <w:vMerge w:val="restart"/>
            <w:shd w:val="clear" w:color="auto" w:fill="BFCED6"/>
          </w:tcPr>
          <w:p w14:paraId="29A75A6B" w14:textId="263D5124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056F4E">
              <w:rPr>
                <w:rFonts w:ascii="VIC" w:eastAsia="Verdana" w:hAnsi="VIC"/>
                <w:color w:val="000000"/>
                <w:sz w:val="18"/>
                <w:szCs w:val="18"/>
              </w:rPr>
              <w:t>Monash Health</w:t>
            </w:r>
          </w:p>
        </w:tc>
        <w:tc>
          <w:tcPr>
            <w:tcW w:w="2695" w:type="dxa"/>
            <w:shd w:val="clear" w:color="auto" w:fill="BFCED6"/>
          </w:tcPr>
          <w:p w14:paraId="1444716C" w14:textId="68D37B95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Casey</w:t>
            </w:r>
          </w:p>
        </w:tc>
        <w:tc>
          <w:tcPr>
            <w:tcW w:w="1364" w:type="dxa"/>
            <w:shd w:val="clear" w:color="auto" w:fill="BFCED6"/>
          </w:tcPr>
          <w:p w14:paraId="20BFF8B4" w14:textId="1438F805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58 %</w:t>
            </w:r>
          </w:p>
        </w:tc>
        <w:tc>
          <w:tcPr>
            <w:tcW w:w="1364" w:type="dxa"/>
            <w:shd w:val="clear" w:color="auto" w:fill="BFCED6"/>
          </w:tcPr>
          <w:p w14:paraId="7FB4DB44" w14:textId="688F9914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1 %</w:t>
            </w:r>
          </w:p>
        </w:tc>
        <w:tc>
          <w:tcPr>
            <w:tcW w:w="1365" w:type="dxa"/>
            <w:shd w:val="clear" w:color="auto" w:fill="BFCED6"/>
          </w:tcPr>
          <w:p w14:paraId="584CC3A7" w14:textId="67F0761F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179.1</w:t>
            </w:r>
          </w:p>
        </w:tc>
        <w:tc>
          <w:tcPr>
            <w:tcW w:w="1364" w:type="dxa"/>
            <w:shd w:val="clear" w:color="auto" w:fill="BFCED6"/>
          </w:tcPr>
          <w:p w14:paraId="13FAB291" w14:textId="0EF065A5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64" w:type="dxa"/>
            <w:shd w:val="clear" w:color="auto" w:fill="BFCED6"/>
          </w:tcPr>
          <w:p w14:paraId="13A11070" w14:textId="37783160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100 %</w:t>
            </w:r>
          </w:p>
        </w:tc>
        <w:tc>
          <w:tcPr>
            <w:tcW w:w="1365" w:type="dxa"/>
            <w:shd w:val="clear" w:color="auto" w:fill="BFCED6"/>
          </w:tcPr>
          <w:p w14:paraId="25004F2A" w14:textId="190AFFD4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1364" w:type="dxa"/>
            <w:shd w:val="clear" w:color="auto" w:fill="BFCED6"/>
          </w:tcPr>
          <w:p w14:paraId="17E9B3C2" w14:textId="56051439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365" w:type="dxa"/>
            <w:shd w:val="clear" w:color="auto" w:fill="BFCED6"/>
          </w:tcPr>
          <w:p w14:paraId="7BA1E779" w14:textId="1BE5AEF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</w:tr>
      <w:tr w:rsidR="008D13A2" w:rsidRPr="00A6366B" w14:paraId="3864AB94" w14:textId="77777777" w:rsidTr="003C29FF">
        <w:trPr>
          <w:trHeight w:val="454"/>
        </w:trPr>
        <w:tc>
          <w:tcPr>
            <w:tcW w:w="2135" w:type="dxa"/>
            <w:vMerge/>
            <w:shd w:val="clear" w:color="auto" w:fill="BFCED6"/>
          </w:tcPr>
          <w:p w14:paraId="1517C426" w14:textId="77777777" w:rsidR="008D13A2" w:rsidRPr="00382424" w:rsidRDefault="008D13A2" w:rsidP="008D13A2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BFCED6"/>
          </w:tcPr>
          <w:p w14:paraId="4BCC9E86" w14:textId="52B0D164" w:rsidR="008D13A2" w:rsidRPr="00382424" w:rsidRDefault="008D13A2" w:rsidP="008D13A2">
            <w:pPr>
              <w:pStyle w:val="DHHStabletext"/>
              <w:spacing w:before="0" w:after="0"/>
              <w:rPr>
                <w:rFonts w:ascii="VIC" w:hAnsi="VIC"/>
                <w:w w:val="105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Dandenong</w:t>
            </w:r>
          </w:p>
        </w:tc>
        <w:tc>
          <w:tcPr>
            <w:tcW w:w="1364" w:type="dxa"/>
            <w:shd w:val="clear" w:color="auto" w:fill="BFCED6"/>
          </w:tcPr>
          <w:p w14:paraId="03EA67C7" w14:textId="645DD7C5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90 %</w:t>
            </w:r>
          </w:p>
        </w:tc>
        <w:tc>
          <w:tcPr>
            <w:tcW w:w="1364" w:type="dxa"/>
            <w:shd w:val="clear" w:color="auto" w:fill="BFCED6"/>
          </w:tcPr>
          <w:p w14:paraId="529C02C0" w14:textId="7F2B96BA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6 %</w:t>
            </w:r>
          </w:p>
        </w:tc>
        <w:tc>
          <w:tcPr>
            <w:tcW w:w="1365" w:type="dxa"/>
            <w:shd w:val="clear" w:color="auto" w:fill="BFCED6"/>
          </w:tcPr>
          <w:p w14:paraId="46226833" w14:textId="46424891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628.2</w:t>
            </w:r>
          </w:p>
        </w:tc>
        <w:tc>
          <w:tcPr>
            <w:tcW w:w="1364" w:type="dxa"/>
            <w:shd w:val="clear" w:color="auto" w:fill="BFCED6"/>
          </w:tcPr>
          <w:p w14:paraId="31044E4F" w14:textId="77E6CB33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364" w:type="dxa"/>
            <w:shd w:val="clear" w:color="auto" w:fill="BFCED6"/>
          </w:tcPr>
          <w:p w14:paraId="0D3D081D" w14:textId="6C0E4C46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98 %</w:t>
            </w:r>
          </w:p>
        </w:tc>
        <w:tc>
          <w:tcPr>
            <w:tcW w:w="1365" w:type="dxa"/>
            <w:shd w:val="clear" w:color="auto" w:fill="BFCED6"/>
          </w:tcPr>
          <w:p w14:paraId="796D0B16" w14:textId="7B91173B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1364" w:type="dxa"/>
            <w:shd w:val="clear" w:color="auto" w:fill="BFCED6"/>
          </w:tcPr>
          <w:p w14:paraId="674F40ED" w14:textId="083531B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94 %</w:t>
            </w:r>
          </w:p>
        </w:tc>
        <w:tc>
          <w:tcPr>
            <w:tcW w:w="1365" w:type="dxa"/>
            <w:shd w:val="clear" w:color="auto" w:fill="BFCED6"/>
          </w:tcPr>
          <w:p w14:paraId="667AC0B4" w14:textId="7BC1EA83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7 %</w:t>
            </w:r>
          </w:p>
        </w:tc>
      </w:tr>
      <w:tr w:rsidR="008D13A2" w:rsidRPr="00A6366B" w14:paraId="2D925D14" w14:textId="77777777" w:rsidTr="003C29FF">
        <w:trPr>
          <w:trHeight w:val="454"/>
        </w:trPr>
        <w:tc>
          <w:tcPr>
            <w:tcW w:w="2135" w:type="dxa"/>
            <w:vMerge/>
            <w:shd w:val="clear" w:color="auto" w:fill="BFCED6"/>
          </w:tcPr>
          <w:p w14:paraId="09172F60" w14:textId="77777777" w:rsidR="008D13A2" w:rsidRPr="00382424" w:rsidRDefault="008D13A2" w:rsidP="008D13A2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BFCED6"/>
          </w:tcPr>
          <w:p w14:paraId="59812AD9" w14:textId="35D23864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64" w:type="dxa"/>
            <w:shd w:val="clear" w:color="auto" w:fill="BFCED6"/>
          </w:tcPr>
          <w:p w14:paraId="4B55B0C8" w14:textId="5CCA3249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85 %</w:t>
            </w:r>
          </w:p>
        </w:tc>
        <w:tc>
          <w:tcPr>
            <w:tcW w:w="1364" w:type="dxa"/>
            <w:shd w:val="clear" w:color="auto" w:fill="BFCED6"/>
          </w:tcPr>
          <w:p w14:paraId="316BBC5A" w14:textId="53F8122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5 %</w:t>
            </w:r>
          </w:p>
        </w:tc>
        <w:tc>
          <w:tcPr>
            <w:tcW w:w="1365" w:type="dxa"/>
            <w:shd w:val="clear" w:color="auto" w:fill="BFCED6"/>
          </w:tcPr>
          <w:p w14:paraId="0D259E6B" w14:textId="6EDE4B9F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575.8</w:t>
            </w:r>
          </w:p>
        </w:tc>
        <w:tc>
          <w:tcPr>
            <w:tcW w:w="1364" w:type="dxa"/>
            <w:shd w:val="clear" w:color="auto" w:fill="BFCED6"/>
          </w:tcPr>
          <w:p w14:paraId="773B1A8D" w14:textId="6107F597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364" w:type="dxa"/>
            <w:shd w:val="clear" w:color="auto" w:fill="BFCED6"/>
          </w:tcPr>
          <w:p w14:paraId="31768F74" w14:textId="0965922D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98 %</w:t>
            </w:r>
          </w:p>
        </w:tc>
        <w:tc>
          <w:tcPr>
            <w:tcW w:w="1365" w:type="dxa"/>
            <w:shd w:val="clear" w:color="auto" w:fill="BFCED6"/>
          </w:tcPr>
          <w:p w14:paraId="2C6A3546" w14:textId="18A5868A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364" w:type="dxa"/>
            <w:shd w:val="clear" w:color="auto" w:fill="BFCED6"/>
          </w:tcPr>
          <w:p w14:paraId="018A99FF" w14:textId="21272CD5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80 %</w:t>
            </w:r>
          </w:p>
        </w:tc>
        <w:tc>
          <w:tcPr>
            <w:tcW w:w="1365" w:type="dxa"/>
            <w:shd w:val="clear" w:color="auto" w:fill="BFCED6"/>
          </w:tcPr>
          <w:p w14:paraId="3D427DC4" w14:textId="76EFB2E7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6 %</w:t>
            </w:r>
          </w:p>
        </w:tc>
      </w:tr>
      <w:tr w:rsidR="008D13A2" w:rsidRPr="008D13A2" w14:paraId="12F15975" w14:textId="77777777" w:rsidTr="003C29FF">
        <w:trPr>
          <w:trHeight w:val="454"/>
        </w:trPr>
        <w:tc>
          <w:tcPr>
            <w:tcW w:w="2135" w:type="dxa"/>
            <w:shd w:val="clear" w:color="auto" w:fill="B1C9E8"/>
          </w:tcPr>
          <w:p w14:paraId="27CDA6D0" w14:textId="77777777" w:rsidR="008D13A2" w:rsidRPr="008D13A2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hAnsi="VIC"/>
                <w:color w:val="000000" w:themeColor="text1"/>
                <w:w w:val="105"/>
                <w:sz w:val="18"/>
                <w:szCs w:val="18"/>
              </w:rPr>
              <w:t>TOTAL METRO</w:t>
            </w:r>
          </w:p>
        </w:tc>
        <w:tc>
          <w:tcPr>
            <w:tcW w:w="2695" w:type="dxa"/>
            <w:shd w:val="clear" w:color="auto" w:fill="B1C9E8"/>
          </w:tcPr>
          <w:p w14:paraId="17855401" w14:textId="64AF4BB7" w:rsidR="008D13A2" w:rsidRPr="008D13A2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64" w:type="dxa"/>
            <w:shd w:val="clear" w:color="auto" w:fill="B1C9E8"/>
          </w:tcPr>
          <w:p w14:paraId="70F4670D" w14:textId="33F898CD" w:rsidR="008D13A2" w:rsidRPr="008D13A2" w:rsidRDefault="008D13A2" w:rsidP="008D13A2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>84 %</w:t>
            </w:r>
          </w:p>
        </w:tc>
        <w:tc>
          <w:tcPr>
            <w:tcW w:w="1364" w:type="dxa"/>
            <w:shd w:val="clear" w:color="auto" w:fill="B1C9E8"/>
          </w:tcPr>
          <w:p w14:paraId="6B2262DE" w14:textId="630ACAD6" w:rsidR="008D13A2" w:rsidRPr="008D13A2" w:rsidRDefault="008D13A2" w:rsidP="008D13A2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>9 %</w:t>
            </w:r>
          </w:p>
        </w:tc>
        <w:tc>
          <w:tcPr>
            <w:tcW w:w="1365" w:type="dxa"/>
            <w:shd w:val="clear" w:color="auto" w:fill="B1C9E8"/>
          </w:tcPr>
          <w:p w14:paraId="2137D650" w14:textId="30144FD5" w:rsidR="008D13A2" w:rsidRPr="008D13A2" w:rsidRDefault="008D13A2" w:rsidP="008D13A2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>721.0</w:t>
            </w:r>
          </w:p>
        </w:tc>
        <w:tc>
          <w:tcPr>
            <w:tcW w:w="1364" w:type="dxa"/>
            <w:shd w:val="clear" w:color="auto" w:fill="B1C9E8"/>
          </w:tcPr>
          <w:p w14:paraId="762571AF" w14:textId="16475AED" w:rsidR="008D13A2" w:rsidRPr="008D13A2" w:rsidRDefault="008D13A2" w:rsidP="008D13A2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>2.7</w:t>
            </w:r>
          </w:p>
        </w:tc>
        <w:tc>
          <w:tcPr>
            <w:tcW w:w="1364" w:type="dxa"/>
            <w:shd w:val="clear" w:color="auto" w:fill="B1C9E8"/>
          </w:tcPr>
          <w:p w14:paraId="15873060" w14:textId="4A77E095" w:rsidR="008D13A2" w:rsidRPr="008D13A2" w:rsidRDefault="008D13A2" w:rsidP="008D13A2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>89 %</w:t>
            </w:r>
          </w:p>
        </w:tc>
        <w:tc>
          <w:tcPr>
            <w:tcW w:w="1365" w:type="dxa"/>
            <w:shd w:val="clear" w:color="auto" w:fill="B1C9E8"/>
          </w:tcPr>
          <w:p w14:paraId="7E5798A1" w14:textId="73EF8D97" w:rsidR="008D13A2" w:rsidRPr="008D13A2" w:rsidRDefault="008D13A2" w:rsidP="008D13A2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>17.1</w:t>
            </w:r>
          </w:p>
        </w:tc>
        <w:tc>
          <w:tcPr>
            <w:tcW w:w="1364" w:type="dxa"/>
            <w:shd w:val="clear" w:color="auto" w:fill="B1C9E8"/>
          </w:tcPr>
          <w:p w14:paraId="01875CD1" w14:textId="4817D569" w:rsidR="008D13A2" w:rsidRPr="008D13A2" w:rsidRDefault="008D13A2" w:rsidP="008D13A2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>72 %</w:t>
            </w:r>
          </w:p>
        </w:tc>
        <w:tc>
          <w:tcPr>
            <w:tcW w:w="1365" w:type="dxa"/>
            <w:shd w:val="clear" w:color="auto" w:fill="B1C9E8"/>
          </w:tcPr>
          <w:p w14:paraId="41006903" w14:textId="55630B37" w:rsidR="008D13A2" w:rsidRPr="008D13A2" w:rsidRDefault="008D13A2" w:rsidP="008D13A2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>12 %</w:t>
            </w:r>
          </w:p>
        </w:tc>
      </w:tr>
      <w:tr w:rsidR="008D13A2" w:rsidRPr="00A6366B" w14:paraId="75DE3D25" w14:textId="77777777" w:rsidTr="003C29FF">
        <w:trPr>
          <w:trHeight w:val="454"/>
        </w:trPr>
        <w:tc>
          <w:tcPr>
            <w:tcW w:w="2135" w:type="dxa"/>
            <w:shd w:val="clear" w:color="auto" w:fill="BFCED6"/>
          </w:tcPr>
          <w:p w14:paraId="5001A01D" w14:textId="648C4D10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056F4E">
              <w:rPr>
                <w:rFonts w:ascii="VIC" w:eastAsia="Verdana" w:hAnsi="VIC"/>
                <w:color w:val="000000"/>
                <w:sz w:val="18"/>
                <w:szCs w:val="18"/>
              </w:rPr>
              <w:t>Ballarat Health</w:t>
            </w:r>
          </w:p>
        </w:tc>
        <w:tc>
          <w:tcPr>
            <w:tcW w:w="2695" w:type="dxa"/>
            <w:shd w:val="clear" w:color="auto" w:fill="BFCED6"/>
          </w:tcPr>
          <w:p w14:paraId="696864BB" w14:textId="71283336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Grampians</w:t>
            </w:r>
          </w:p>
        </w:tc>
        <w:tc>
          <w:tcPr>
            <w:tcW w:w="1364" w:type="dxa"/>
            <w:shd w:val="clear" w:color="auto" w:fill="BFCED6"/>
          </w:tcPr>
          <w:p w14:paraId="64ED3EDC" w14:textId="2E418545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97 %</w:t>
            </w:r>
          </w:p>
        </w:tc>
        <w:tc>
          <w:tcPr>
            <w:tcW w:w="1364" w:type="dxa"/>
            <w:shd w:val="clear" w:color="auto" w:fill="BFCED6"/>
          </w:tcPr>
          <w:p w14:paraId="7C917175" w14:textId="22A27C37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2 %</w:t>
            </w:r>
          </w:p>
        </w:tc>
        <w:tc>
          <w:tcPr>
            <w:tcW w:w="1365" w:type="dxa"/>
            <w:shd w:val="clear" w:color="auto" w:fill="BFCED6"/>
          </w:tcPr>
          <w:p w14:paraId="72BA9926" w14:textId="4E83FCC8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516.1</w:t>
            </w:r>
          </w:p>
        </w:tc>
        <w:tc>
          <w:tcPr>
            <w:tcW w:w="1364" w:type="dxa"/>
            <w:shd w:val="clear" w:color="auto" w:fill="BFCED6"/>
          </w:tcPr>
          <w:p w14:paraId="7B924C8C" w14:textId="38856457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1364" w:type="dxa"/>
            <w:shd w:val="clear" w:color="auto" w:fill="BFCED6"/>
          </w:tcPr>
          <w:p w14:paraId="368F9FE7" w14:textId="706735B8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76 %</w:t>
            </w:r>
          </w:p>
        </w:tc>
        <w:tc>
          <w:tcPr>
            <w:tcW w:w="1365" w:type="dxa"/>
            <w:shd w:val="clear" w:color="auto" w:fill="BFCED6"/>
          </w:tcPr>
          <w:p w14:paraId="3EF6434D" w14:textId="4284C510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1364" w:type="dxa"/>
            <w:shd w:val="clear" w:color="auto" w:fill="BFCED6"/>
          </w:tcPr>
          <w:p w14:paraId="0880A769" w14:textId="7A88BBF8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59 %</w:t>
            </w:r>
          </w:p>
        </w:tc>
        <w:tc>
          <w:tcPr>
            <w:tcW w:w="1365" w:type="dxa"/>
            <w:shd w:val="clear" w:color="auto" w:fill="BFCED6"/>
          </w:tcPr>
          <w:p w14:paraId="4AA310BB" w14:textId="6AA00C08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6 %</w:t>
            </w:r>
          </w:p>
        </w:tc>
      </w:tr>
      <w:tr w:rsidR="008D13A2" w:rsidRPr="00A6366B" w14:paraId="139A8C9C" w14:textId="77777777" w:rsidTr="003C29FF">
        <w:trPr>
          <w:trHeight w:val="454"/>
        </w:trPr>
        <w:tc>
          <w:tcPr>
            <w:tcW w:w="2135" w:type="dxa"/>
            <w:shd w:val="clear" w:color="auto" w:fill="FFFFFF" w:themeFill="background1"/>
          </w:tcPr>
          <w:p w14:paraId="69DC9E03" w14:textId="7BEF2A2D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056F4E">
              <w:rPr>
                <w:rFonts w:ascii="VIC" w:eastAsia="Verdana" w:hAnsi="VIC"/>
                <w:color w:val="000000"/>
                <w:sz w:val="18"/>
                <w:szCs w:val="18"/>
              </w:rPr>
              <w:t>Bendigo Health</w:t>
            </w:r>
          </w:p>
        </w:tc>
        <w:tc>
          <w:tcPr>
            <w:tcW w:w="2695" w:type="dxa"/>
            <w:shd w:val="clear" w:color="auto" w:fill="FFFFFF" w:themeFill="background1"/>
          </w:tcPr>
          <w:p w14:paraId="4FA6D6BE" w14:textId="5D400EA3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Loddon/Southern Mallee</w:t>
            </w:r>
          </w:p>
        </w:tc>
        <w:tc>
          <w:tcPr>
            <w:tcW w:w="1364" w:type="dxa"/>
            <w:shd w:val="clear" w:color="auto" w:fill="FFFFFF" w:themeFill="background1"/>
          </w:tcPr>
          <w:p w14:paraId="4E892850" w14:textId="7D7E79F9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72 %</w:t>
            </w:r>
          </w:p>
        </w:tc>
        <w:tc>
          <w:tcPr>
            <w:tcW w:w="1364" w:type="dxa"/>
            <w:shd w:val="clear" w:color="auto" w:fill="FFFFFF" w:themeFill="background1"/>
          </w:tcPr>
          <w:p w14:paraId="7EDC7779" w14:textId="781A41D6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11 %</w:t>
            </w:r>
          </w:p>
        </w:tc>
        <w:tc>
          <w:tcPr>
            <w:tcW w:w="1365" w:type="dxa"/>
            <w:shd w:val="clear" w:color="auto" w:fill="FFFFFF" w:themeFill="background1"/>
          </w:tcPr>
          <w:p w14:paraId="6AE06B2B" w14:textId="225C9CAA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156.8</w:t>
            </w:r>
          </w:p>
        </w:tc>
        <w:tc>
          <w:tcPr>
            <w:tcW w:w="1364" w:type="dxa"/>
            <w:shd w:val="clear" w:color="auto" w:fill="FFFFFF" w:themeFill="background1"/>
          </w:tcPr>
          <w:p w14:paraId="3E7C4788" w14:textId="55F2EB37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64" w:type="dxa"/>
            <w:shd w:val="clear" w:color="auto" w:fill="FFFFFF" w:themeFill="background1"/>
          </w:tcPr>
          <w:p w14:paraId="40D11070" w14:textId="6336856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69 %</w:t>
            </w:r>
          </w:p>
        </w:tc>
        <w:tc>
          <w:tcPr>
            <w:tcW w:w="1365" w:type="dxa"/>
            <w:shd w:val="clear" w:color="auto" w:fill="FFFFFF" w:themeFill="background1"/>
          </w:tcPr>
          <w:p w14:paraId="2F705EF9" w14:textId="3DA9AEB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1364" w:type="dxa"/>
            <w:shd w:val="clear" w:color="auto" w:fill="FFFFFF" w:themeFill="background1"/>
          </w:tcPr>
          <w:p w14:paraId="04F83879" w14:textId="77777777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 w:themeFill="background1"/>
          </w:tcPr>
          <w:p w14:paraId="419B2E68" w14:textId="77777777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</w:p>
        </w:tc>
      </w:tr>
      <w:tr w:rsidR="008D13A2" w:rsidRPr="00A6366B" w14:paraId="617B09FC" w14:textId="77777777" w:rsidTr="003C29FF">
        <w:trPr>
          <w:trHeight w:val="454"/>
        </w:trPr>
        <w:tc>
          <w:tcPr>
            <w:tcW w:w="2135" w:type="dxa"/>
            <w:shd w:val="clear" w:color="auto" w:fill="BFCED6"/>
          </w:tcPr>
          <w:p w14:paraId="2B10E98E" w14:textId="4829C5F8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056F4E">
              <w:rPr>
                <w:rFonts w:ascii="VIC" w:eastAsia="Verdana" w:hAnsi="VIC"/>
                <w:color w:val="000000"/>
                <w:sz w:val="18"/>
                <w:szCs w:val="18"/>
              </w:rPr>
              <w:t>Latrobe Regional</w:t>
            </w:r>
            <w:r w:rsidR="00C15426">
              <w:rPr>
                <w:rFonts w:ascii="VIC" w:eastAsia="Verdana" w:hAnsi="VIC"/>
                <w:color w:val="000000"/>
                <w:sz w:val="18"/>
                <w:szCs w:val="18"/>
              </w:rPr>
              <w:t>†</w:t>
            </w:r>
          </w:p>
        </w:tc>
        <w:tc>
          <w:tcPr>
            <w:tcW w:w="2695" w:type="dxa"/>
            <w:shd w:val="clear" w:color="auto" w:fill="BFCED6"/>
          </w:tcPr>
          <w:p w14:paraId="42DCBEDB" w14:textId="1D48B53E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Gippsland</w:t>
            </w:r>
          </w:p>
        </w:tc>
        <w:tc>
          <w:tcPr>
            <w:tcW w:w="1364" w:type="dxa"/>
            <w:shd w:val="clear" w:color="auto" w:fill="BFCED6"/>
          </w:tcPr>
          <w:p w14:paraId="2992C255" w14:textId="095DDB1A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100 %</w:t>
            </w:r>
          </w:p>
        </w:tc>
        <w:tc>
          <w:tcPr>
            <w:tcW w:w="1364" w:type="dxa"/>
            <w:shd w:val="clear" w:color="auto" w:fill="BFCED6"/>
          </w:tcPr>
          <w:p w14:paraId="7E360A7F" w14:textId="70AB242C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2 %</w:t>
            </w:r>
          </w:p>
        </w:tc>
        <w:tc>
          <w:tcPr>
            <w:tcW w:w="1365" w:type="dxa"/>
            <w:shd w:val="clear" w:color="auto" w:fill="BFCED6"/>
          </w:tcPr>
          <w:p w14:paraId="7A3D9F3F" w14:textId="7097A0DF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1364" w:type="dxa"/>
            <w:shd w:val="clear" w:color="auto" w:fill="BFCED6"/>
          </w:tcPr>
          <w:p w14:paraId="2913307F" w14:textId="040372A4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64" w:type="dxa"/>
            <w:shd w:val="clear" w:color="auto" w:fill="BFCED6"/>
          </w:tcPr>
          <w:p w14:paraId="60382E4F" w14:textId="1351B926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68 %</w:t>
            </w:r>
          </w:p>
        </w:tc>
        <w:tc>
          <w:tcPr>
            <w:tcW w:w="1365" w:type="dxa"/>
            <w:shd w:val="clear" w:color="auto" w:fill="BFCED6"/>
          </w:tcPr>
          <w:p w14:paraId="6655730D" w14:textId="4138A9CA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1364" w:type="dxa"/>
            <w:shd w:val="clear" w:color="auto" w:fill="BFCED6"/>
          </w:tcPr>
          <w:p w14:paraId="772B9834" w14:textId="35D6930F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24 %</w:t>
            </w:r>
          </w:p>
        </w:tc>
        <w:tc>
          <w:tcPr>
            <w:tcW w:w="1365" w:type="dxa"/>
            <w:shd w:val="clear" w:color="auto" w:fill="BFCED6"/>
          </w:tcPr>
          <w:p w14:paraId="5E7B04F7" w14:textId="03D476C7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</w:tr>
      <w:tr w:rsidR="008D13A2" w:rsidRPr="00A6366B" w14:paraId="629A367E" w14:textId="77777777" w:rsidTr="003C29FF">
        <w:trPr>
          <w:trHeight w:val="454"/>
        </w:trPr>
        <w:tc>
          <w:tcPr>
            <w:tcW w:w="2135" w:type="dxa"/>
            <w:shd w:val="clear" w:color="auto" w:fill="FFFFFF" w:themeFill="background1"/>
          </w:tcPr>
          <w:p w14:paraId="483AE023" w14:textId="37DA2E2A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056F4E">
              <w:rPr>
                <w:rFonts w:ascii="VIC" w:eastAsia="Verdana" w:hAnsi="VIC"/>
                <w:color w:val="000000"/>
                <w:sz w:val="18"/>
                <w:szCs w:val="18"/>
              </w:rPr>
              <w:t>South West Health</w:t>
            </w:r>
            <w:r w:rsidR="00C15426">
              <w:rPr>
                <w:rFonts w:ascii="VIC" w:eastAsia="Verdana" w:hAnsi="VIC"/>
                <w:color w:val="000000"/>
                <w:sz w:val="18"/>
                <w:szCs w:val="18"/>
              </w:rPr>
              <w:t>†</w:t>
            </w:r>
          </w:p>
        </w:tc>
        <w:tc>
          <w:tcPr>
            <w:tcW w:w="2695" w:type="dxa"/>
            <w:shd w:val="clear" w:color="auto" w:fill="FFFFFF" w:themeFill="background1"/>
          </w:tcPr>
          <w:p w14:paraId="15B58585" w14:textId="2EAB60DD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South West Health Care</w:t>
            </w:r>
          </w:p>
        </w:tc>
        <w:tc>
          <w:tcPr>
            <w:tcW w:w="1364" w:type="dxa"/>
            <w:shd w:val="clear" w:color="auto" w:fill="FFFFFF" w:themeFill="background1"/>
          </w:tcPr>
          <w:p w14:paraId="6FCFFAE2" w14:textId="7FAFC34A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96 %</w:t>
            </w:r>
          </w:p>
        </w:tc>
        <w:tc>
          <w:tcPr>
            <w:tcW w:w="1364" w:type="dxa"/>
            <w:shd w:val="clear" w:color="auto" w:fill="FFFFFF" w:themeFill="background1"/>
          </w:tcPr>
          <w:p w14:paraId="18D89974" w14:textId="14E3F941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19 %</w:t>
            </w:r>
          </w:p>
        </w:tc>
        <w:tc>
          <w:tcPr>
            <w:tcW w:w="1365" w:type="dxa"/>
            <w:shd w:val="clear" w:color="auto" w:fill="FFFFFF" w:themeFill="background1"/>
          </w:tcPr>
          <w:p w14:paraId="4883B99A" w14:textId="08DDE066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233.5</w:t>
            </w:r>
          </w:p>
        </w:tc>
        <w:tc>
          <w:tcPr>
            <w:tcW w:w="1364" w:type="dxa"/>
            <w:shd w:val="clear" w:color="auto" w:fill="FFFFFF" w:themeFill="background1"/>
          </w:tcPr>
          <w:p w14:paraId="00742736" w14:textId="42F65BDB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64" w:type="dxa"/>
            <w:shd w:val="clear" w:color="auto" w:fill="FFFFFF" w:themeFill="background1"/>
          </w:tcPr>
          <w:p w14:paraId="0310E311" w14:textId="002EC03F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63 %</w:t>
            </w:r>
          </w:p>
        </w:tc>
        <w:tc>
          <w:tcPr>
            <w:tcW w:w="1365" w:type="dxa"/>
            <w:shd w:val="clear" w:color="auto" w:fill="FFFFFF" w:themeFill="background1"/>
          </w:tcPr>
          <w:p w14:paraId="39E3A93E" w14:textId="1C91E2A4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1364" w:type="dxa"/>
            <w:shd w:val="clear" w:color="auto" w:fill="FFFFFF" w:themeFill="background1"/>
          </w:tcPr>
          <w:p w14:paraId="6DE078FC" w14:textId="23B0786F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365" w:type="dxa"/>
            <w:shd w:val="clear" w:color="auto" w:fill="FFFFFF" w:themeFill="background1"/>
          </w:tcPr>
          <w:p w14:paraId="578E5BC0" w14:textId="44090DCB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</w:tr>
      <w:tr w:rsidR="008D13A2" w:rsidRPr="008D13A2" w14:paraId="1CF0A167" w14:textId="77777777" w:rsidTr="003C29FF">
        <w:trPr>
          <w:trHeight w:val="454"/>
        </w:trPr>
        <w:tc>
          <w:tcPr>
            <w:tcW w:w="2135" w:type="dxa"/>
            <w:shd w:val="clear" w:color="auto" w:fill="B1C9E8"/>
          </w:tcPr>
          <w:p w14:paraId="3EE3D9F7" w14:textId="14E888F0" w:rsidR="008D13A2" w:rsidRPr="008D13A2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hAnsi="VIC"/>
                <w:color w:val="000000" w:themeColor="text1"/>
                <w:w w:val="105"/>
                <w:sz w:val="18"/>
                <w:szCs w:val="18"/>
              </w:rPr>
              <w:t>TOTAL RURAL</w:t>
            </w:r>
            <w:r w:rsidR="00C15426">
              <w:rPr>
                <w:rFonts w:ascii="VIC" w:hAnsi="VIC"/>
                <w:color w:val="000000" w:themeColor="text1"/>
                <w:w w:val="105"/>
                <w:sz w:val="18"/>
                <w:szCs w:val="18"/>
              </w:rPr>
              <w:t>†</w:t>
            </w:r>
          </w:p>
        </w:tc>
        <w:tc>
          <w:tcPr>
            <w:tcW w:w="2695" w:type="dxa"/>
            <w:shd w:val="clear" w:color="auto" w:fill="B1C9E8"/>
          </w:tcPr>
          <w:p w14:paraId="462DA070" w14:textId="2A630BED" w:rsidR="008D13A2" w:rsidRPr="008D13A2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64" w:type="dxa"/>
            <w:shd w:val="clear" w:color="auto" w:fill="B1C9E8"/>
          </w:tcPr>
          <w:p w14:paraId="5F70BC02" w14:textId="34CD3B25" w:rsidR="008D13A2" w:rsidRPr="008D13A2" w:rsidRDefault="008D13A2" w:rsidP="008D13A2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>86 %</w:t>
            </w:r>
          </w:p>
        </w:tc>
        <w:tc>
          <w:tcPr>
            <w:tcW w:w="1364" w:type="dxa"/>
            <w:shd w:val="clear" w:color="auto" w:fill="B1C9E8"/>
          </w:tcPr>
          <w:p w14:paraId="02E971F8" w14:textId="4062CF30" w:rsidR="008D13A2" w:rsidRPr="008D13A2" w:rsidRDefault="008D13A2" w:rsidP="008D13A2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>8 %</w:t>
            </w:r>
          </w:p>
        </w:tc>
        <w:tc>
          <w:tcPr>
            <w:tcW w:w="1365" w:type="dxa"/>
            <w:shd w:val="clear" w:color="auto" w:fill="B1C9E8"/>
          </w:tcPr>
          <w:p w14:paraId="50C5F762" w14:textId="29B328A0" w:rsidR="008D13A2" w:rsidRPr="008D13A2" w:rsidRDefault="008D13A2" w:rsidP="008D13A2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>203.9</w:t>
            </w:r>
          </w:p>
        </w:tc>
        <w:tc>
          <w:tcPr>
            <w:tcW w:w="1364" w:type="dxa"/>
            <w:shd w:val="clear" w:color="auto" w:fill="B1C9E8"/>
          </w:tcPr>
          <w:p w14:paraId="55B03E99" w14:textId="592A40D7" w:rsidR="008D13A2" w:rsidRPr="008D13A2" w:rsidRDefault="008D13A2" w:rsidP="008D13A2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1364" w:type="dxa"/>
            <w:shd w:val="clear" w:color="auto" w:fill="B1C9E8"/>
          </w:tcPr>
          <w:p w14:paraId="655E55D0" w14:textId="45065338" w:rsidR="008D13A2" w:rsidRPr="008D13A2" w:rsidRDefault="008D13A2" w:rsidP="008D13A2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>69 %</w:t>
            </w:r>
          </w:p>
        </w:tc>
        <w:tc>
          <w:tcPr>
            <w:tcW w:w="1365" w:type="dxa"/>
            <w:shd w:val="clear" w:color="auto" w:fill="B1C9E8"/>
          </w:tcPr>
          <w:p w14:paraId="6F0EEB6B" w14:textId="1EB36064" w:rsidR="008D13A2" w:rsidRPr="008D13A2" w:rsidRDefault="008D13A2" w:rsidP="008D13A2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>16.4</w:t>
            </w:r>
          </w:p>
        </w:tc>
        <w:tc>
          <w:tcPr>
            <w:tcW w:w="1364" w:type="dxa"/>
            <w:shd w:val="clear" w:color="auto" w:fill="B1C9E8"/>
          </w:tcPr>
          <w:p w14:paraId="2A6A666D" w14:textId="62859605" w:rsidR="008D13A2" w:rsidRPr="008D13A2" w:rsidRDefault="008D13A2" w:rsidP="008D13A2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>31 %</w:t>
            </w:r>
          </w:p>
        </w:tc>
        <w:tc>
          <w:tcPr>
            <w:tcW w:w="1365" w:type="dxa"/>
            <w:shd w:val="clear" w:color="auto" w:fill="B1C9E8"/>
          </w:tcPr>
          <w:p w14:paraId="4EE8357E" w14:textId="39D938C6" w:rsidR="008D13A2" w:rsidRPr="008D13A2" w:rsidRDefault="008D13A2" w:rsidP="008D13A2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>2 %</w:t>
            </w:r>
          </w:p>
        </w:tc>
      </w:tr>
      <w:tr w:rsidR="008D13A2" w:rsidRPr="008D13A2" w14:paraId="043BE0CA" w14:textId="77777777" w:rsidTr="003C29FF">
        <w:trPr>
          <w:trHeight w:val="454"/>
        </w:trPr>
        <w:tc>
          <w:tcPr>
            <w:tcW w:w="2135" w:type="dxa"/>
            <w:shd w:val="clear" w:color="auto" w:fill="244C5A"/>
          </w:tcPr>
          <w:p w14:paraId="566CB94B" w14:textId="537A4652" w:rsidR="008D13A2" w:rsidRPr="008D13A2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color w:val="FFFFFF" w:themeColor="background1"/>
                <w:sz w:val="18"/>
                <w:szCs w:val="18"/>
              </w:rPr>
            </w:pPr>
            <w:r w:rsidRPr="008D13A2">
              <w:rPr>
                <w:rFonts w:ascii="VIC" w:hAnsi="VIC"/>
                <w:color w:val="FFFFFF" w:themeColor="background1"/>
                <w:w w:val="105"/>
                <w:sz w:val="18"/>
                <w:szCs w:val="18"/>
              </w:rPr>
              <w:t>TOTAL STATEWIDE</w:t>
            </w:r>
            <w:r w:rsidR="00C15426">
              <w:rPr>
                <w:rFonts w:ascii="VIC" w:hAnsi="VIC"/>
                <w:color w:val="FFFFFF" w:themeColor="background1"/>
                <w:w w:val="105"/>
                <w:sz w:val="18"/>
                <w:szCs w:val="18"/>
              </w:rPr>
              <w:t>†</w:t>
            </w:r>
          </w:p>
        </w:tc>
        <w:tc>
          <w:tcPr>
            <w:tcW w:w="2695" w:type="dxa"/>
            <w:shd w:val="clear" w:color="auto" w:fill="244C5A"/>
          </w:tcPr>
          <w:p w14:paraId="240D5A06" w14:textId="5D63E08A" w:rsidR="008D13A2" w:rsidRPr="008D13A2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color w:val="FFFFFF" w:themeColor="background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364" w:type="dxa"/>
            <w:shd w:val="clear" w:color="auto" w:fill="244C5A"/>
          </w:tcPr>
          <w:p w14:paraId="2F43619C" w14:textId="5BA9FB74" w:rsidR="008D13A2" w:rsidRPr="008D13A2" w:rsidRDefault="008D13A2" w:rsidP="008D13A2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FFFFFF"/>
                <w:sz w:val="18"/>
                <w:szCs w:val="18"/>
              </w:rPr>
              <w:t>85 %</w:t>
            </w:r>
          </w:p>
        </w:tc>
        <w:tc>
          <w:tcPr>
            <w:tcW w:w="1364" w:type="dxa"/>
            <w:shd w:val="clear" w:color="auto" w:fill="244C5A"/>
          </w:tcPr>
          <w:p w14:paraId="470477CF" w14:textId="23206B82" w:rsidR="008D13A2" w:rsidRPr="008D13A2" w:rsidRDefault="008D13A2" w:rsidP="008D13A2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FFFFFF"/>
                <w:sz w:val="18"/>
                <w:szCs w:val="18"/>
              </w:rPr>
              <w:t>8 %</w:t>
            </w:r>
          </w:p>
        </w:tc>
        <w:tc>
          <w:tcPr>
            <w:tcW w:w="1365" w:type="dxa"/>
            <w:shd w:val="clear" w:color="auto" w:fill="244C5A"/>
          </w:tcPr>
          <w:p w14:paraId="11752DBF" w14:textId="2DC90FF4" w:rsidR="008D13A2" w:rsidRPr="008D13A2" w:rsidRDefault="008D13A2" w:rsidP="008D13A2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FFFFFF"/>
                <w:sz w:val="18"/>
                <w:szCs w:val="18"/>
              </w:rPr>
              <w:t>526.1</w:t>
            </w:r>
          </w:p>
        </w:tc>
        <w:tc>
          <w:tcPr>
            <w:tcW w:w="1364" w:type="dxa"/>
            <w:shd w:val="clear" w:color="auto" w:fill="244C5A"/>
          </w:tcPr>
          <w:p w14:paraId="5768C14A" w14:textId="1575C030" w:rsidR="008D13A2" w:rsidRPr="008D13A2" w:rsidRDefault="008D13A2" w:rsidP="008D13A2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FFFFFF"/>
                <w:sz w:val="18"/>
                <w:szCs w:val="18"/>
              </w:rPr>
              <w:t>3.2</w:t>
            </w:r>
          </w:p>
        </w:tc>
        <w:tc>
          <w:tcPr>
            <w:tcW w:w="1364" w:type="dxa"/>
            <w:shd w:val="clear" w:color="auto" w:fill="244C5A"/>
          </w:tcPr>
          <w:p w14:paraId="68CC29F8" w14:textId="615A9BEC" w:rsidR="008D13A2" w:rsidRPr="008D13A2" w:rsidRDefault="008D13A2" w:rsidP="008D13A2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FFFFFF"/>
                <w:sz w:val="18"/>
                <w:szCs w:val="18"/>
              </w:rPr>
              <w:t>81 %</w:t>
            </w:r>
          </w:p>
        </w:tc>
        <w:tc>
          <w:tcPr>
            <w:tcW w:w="1365" w:type="dxa"/>
            <w:shd w:val="clear" w:color="auto" w:fill="244C5A"/>
          </w:tcPr>
          <w:p w14:paraId="7B72F31F" w14:textId="6C1C8632" w:rsidR="008D13A2" w:rsidRPr="008D13A2" w:rsidRDefault="008D13A2" w:rsidP="008D13A2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FFFFFF"/>
                <w:sz w:val="18"/>
                <w:szCs w:val="18"/>
              </w:rPr>
              <w:t>16.7</w:t>
            </w:r>
          </w:p>
        </w:tc>
        <w:tc>
          <w:tcPr>
            <w:tcW w:w="1364" w:type="dxa"/>
            <w:shd w:val="clear" w:color="auto" w:fill="244C5A"/>
          </w:tcPr>
          <w:p w14:paraId="03E5D8E9" w14:textId="1D5527B9" w:rsidR="008D13A2" w:rsidRPr="008D13A2" w:rsidRDefault="008D13A2" w:rsidP="008D13A2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FFFFFF"/>
                <w:sz w:val="18"/>
                <w:szCs w:val="18"/>
              </w:rPr>
              <w:t>59 %</w:t>
            </w:r>
          </w:p>
        </w:tc>
        <w:tc>
          <w:tcPr>
            <w:tcW w:w="1365" w:type="dxa"/>
            <w:shd w:val="clear" w:color="auto" w:fill="244C5A"/>
          </w:tcPr>
          <w:p w14:paraId="23BF24CF" w14:textId="66E1ABE9" w:rsidR="008D13A2" w:rsidRPr="008D13A2" w:rsidRDefault="008D13A2" w:rsidP="008D13A2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FFFFFF"/>
                <w:sz w:val="18"/>
                <w:szCs w:val="18"/>
              </w:rPr>
              <w:t>9 %</w:t>
            </w:r>
          </w:p>
        </w:tc>
      </w:tr>
    </w:tbl>
    <w:p w14:paraId="2AE83252" w14:textId="2E5820C7" w:rsidR="00257865" w:rsidRDefault="00257865">
      <w:pPr>
        <w:widowControl/>
        <w:rPr>
          <w:sz w:val="6"/>
        </w:rPr>
      </w:pPr>
      <w:r>
        <w:rPr>
          <w:sz w:val="6"/>
        </w:rPr>
        <w:br w:type="page"/>
      </w:r>
    </w:p>
    <w:p w14:paraId="05EE3A61" w14:textId="77777777" w:rsidR="0069621D" w:rsidRPr="00FF4734" w:rsidRDefault="0069621D">
      <w:pPr>
        <w:rPr>
          <w:sz w:val="6"/>
        </w:rPr>
      </w:pPr>
    </w:p>
    <w:tbl>
      <w:tblPr>
        <w:tblW w:w="15534" w:type="dxa"/>
        <w:tblInd w:w="-294" w:type="dxa"/>
        <w:tblBorders>
          <w:insideH w:val="single" w:sz="4" w:space="0" w:color="244C5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2410"/>
        <w:gridCol w:w="2833"/>
        <w:gridCol w:w="1090"/>
        <w:gridCol w:w="1090"/>
        <w:gridCol w:w="1090"/>
        <w:gridCol w:w="1090"/>
        <w:gridCol w:w="1090"/>
        <w:gridCol w:w="1090"/>
        <w:gridCol w:w="1090"/>
        <w:gridCol w:w="1091"/>
      </w:tblGrid>
      <w:tr w:rsidR="00C714A8" w:rsidRPr="00A6366B" w14:paraId="45533157" w14:textId="77777777" w:rsidTr="00C714A8">
        <w:trPr>
          <w:trHeight w:val="1062"/>
          <w:tblHeader/>
        </w:trPr>
        <w:tc>
          <w:tcPr>
            <w:tcW w:w="6813" w:type="dxa"/>
            <w:gridSpan w:val="3"/>
            <w:shd w:val="clear" w:color="auto" w:fill="FFFFFF"/>
            <w:vAlign w:val="bottom"/>
          </w:tcPr>
          <w:p w14:paraId="714F56DB" w14:textId="71929A47" w:rsidR="00C714A8" w:rsidRPr="00EC71A3" w:rsidRDefault="00C00109" w:rsidP="00EC71A3">
            <w:pPr>
              <w:pStyle w:val="Heading1"/>
              <w:spacing w:before="0" w:line="240" w:lineRule="auto"/>
              <w:rPr>
                <w:rFonts w:eastAsia="Verdana"/>
                <w:bCs w:val="0"/>
                <w:color w:val="244C5A"/>
                <w:sz w:val="22"/>
              </w:rPr>
            </w:pPr>
            <w:bookmarkStart w:id="8" w:name="_Toc22208488"/>
            <w:r>
              <w:rPr>
                <w:bCs w:val="0"/>
                <w:color w:val="244C5A"/>
                <w:sz w:val="22"/>
              </w:rPr>
              <w:t xml:space="preserve">Metropolitan </w:t>
            </w:r>
            <w:r w:rsidR="00EC71A3">
              <w:rPr>
                <w:bCs w:val="0"/>
                <w:color w:val="244C5A"/>
                <w:sz w:val="22"/>
              </w:rPr>
              <w:t>PARC</w:t>
            </w:r>
            <w:r w:rsidR="00EC71A3" w:rsidRPr="00EC71A3">
              <w:rPr>
                <w:bCs w:val="0"/>
                <w:color w:val="244C5A"/>
                <w:sz w:val="22"/>
              </w:rPr>
              <w:br w:type="textWrapping" w:clear="all"/>
              <w:t>2019-20 Q1</w:t>
            </w:r>
            <w:bookmarkEnd w:id="8"/>
          </w:p>
        </w:tc>
        <w:tc>
          <w:tcPr>
            <w:tcW w:w="1090" w:type="dxa"/>
            <w:shd w:val="clear" w:color="auto" w:fill="FFFFFF"/>
            <w:vAlign w:val="bottom"/>
          </w:tcPr>
          <w:p w14:paraId="0BC40606" w14:textId="266AECEC" w:rsidR="00C714A8" w:rsidRPr="00C714A8" w:rsidRDefault="00C714A8" w:rsidP="00C714A8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Bed occupancy (incl leave)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7A27CE65" w14:textId="4F961BE1" w:rsidR="00C714A8" w:rsidRPr="00C714A8" w:rsidRDefault="00C714A8" w:rsidP="00C714A8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Average length of stay (days)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6425FE10" w14:textId="58DC59BF" w:rsidR="00C714A8" w:rsidRPr="00C714A8" w:rsidRDefault="00C714A8" w:rsidP="00C714A8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Leave days per occupied bed days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209091F1" w14:textId="7C548769" w:rsidR="00C714A8" w:rsidRPr="00C714A8" w:rsidRDefault="00C714A8" w:rsidP="00C714A8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Average duration of treatment to date (days)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653B9421" w14:textId="75258DFA" w:rsidR="00C714A8" w:rsidRPr="00C714A8" w:rsidRDefault="00C714A8" w:rsidP="00C714A8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Separations followed by an acute admission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39AE9E10" w14:textId="5DD5E834" w:rsidR="00C714A8" w:rsidRPr="00C714A8" w:rsidRDefault="00C714A8" w:rsidP="00C714A8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Consumers concurrently on a CTO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7833C01A" w14:textId="7239F08C" w:rsidR="00C714A8" w:rsidRPr="00C714A8" w:rsidRDefault="00C714A8" w:rsidP="00C714A8">
            <w:pPr>
              <w:pStyle w:val="VAHItablecolhead"/>
              <w:rPr>
                <w:sz w:val="16"/>
              </w:rPr>
            </w:pPr>
            <w:proofErr w:type="spellStart"/>
            <w:r w:rsidRPr="00C714A8">
              <w:rPr>
                <w:sz w:val="16"/>
              </w:rPr>
              <w:t>HoNOS</w:t>
            </w:r>
            <w:proofErr w:type="spellEnd"/>
            <w:r w:rsidRPr="00C714A8">
              <w:rPr>
                <w:sz w:val="16"/>
              </w:rPr>
              <w:t xml:space="preserve"> compliance</w:t>
            </w:r>
          </w:p>
        </w:tc>
        <w:tc>
          <w:tcPr>
            <w:tcW w:w="1091" w:type="dxa"/>
            <w:shd w:val="clear" w:color="auto" w:fill="FFFFFF"/>
            <w:vAlign w:val="bottom"/>
          </w:tcPr>
          <w:p w14:paraId="7AF2B11D" w14:textId="07A19333" w:rsidR="00C714A8" w:rsidRPr="00C714A8" w:rsidRDefault="00C714A8" w:rsidP="00C714A8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 xml:space="preserve">Average </w:t>
            </w:r>
            <w:proofErr w:type="spellStart"/>
            <w:r w:rsidRPr="00C714A8">
              <w:rPr>
                <w:sz w:val="16"/>
              </w:rPr>
              <w:t>HoNOS</w:t>
            </w:r>
            <w:proofErr w:type="spellEnd"/>
            <w:r w:rsidRPr="00C714A8">
              <w:rPr>
                <w:sz w:val="16"/>
              </w:rPr>
              <w:t xml:space="preserve"> at episode start</w:t>
            </w:r>
          </w:p>
        </w:tc>
      </w:tr>
      <w:tr w:rsidR="008D13A2" w:rsidRPr="00A6366B" w14:paraId="5333F54C" w14:textId="77777777" w:rsidTr="00257865">
        <w:trPr>
          <w:trHeight w:val="284"/>
        </w:trPr>
        <w:tc>
          <w:tcPr>
            <w:tcW w:w="1570" w:type="dxa"/>
            <w:shd w:val="clear" w:color="auto" w:fill="BFCED6"/>
          </w:tcPr>
          <w:p w14:paraId="2398BEC2" w14:textId="4EA111CC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6F4A3D">
              <w:rPr>
                <w:rFonts w:ascii="VIC" w:eastAsia="Verdana" w:hAnsi="VIC"/>
                <w:color w:val="000000"/>
                <w:sz w:val="18"/>
                <w:szCs w:val="18"/>
              </w:rPr>
              <w:t>Alfred Health</w:t>
            </w:r>
          </w:p>
        </w:tc>
        <w:tc>
          <w:tcPr>
            <w:tcW w:w="2410" w:type="dxa"/>
            <w:shd w:val="clear" w:color="auto" w:fill="BFCED6"/>
          </w:tcPr>
          <w:p w14:paraId="35DADE63" w14:textId="1434A132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6F4A3D">
              <w:rPr>
                <w:rFonts w:ascii="VIC" w:eastAsia="Verdana" w:hAnsi="VIC"/>
                <w:color w:val="000000"/>
                <w:sz w:val="18"/>
                <w:szCs w:val="18"/>
              </w:rPr>
              <w:t>Inner South East (The Alfred)</w:t>
            </w:r>
          </w:p>
        </w:tc>
        <w:tc>
          <w:tcPr>
            <w:tcW w:w="2833" w:type="dxa"/>
            <w:shd w:val="clear" w:color="auto" w:fill="BFCED6"/>
          </w:tcPr>
          <w:p w14:paraId="28924180" w14:textId="3F95FCA7" w:rsidR="008D13A2" w:rsidRPr="005B1FEF" w:rsidRDefault="008D13A2" w:rsidP="008D13A2">
            <w:pPr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Alfred PARC</w:t>
            </w:r>
          </w:p>
        </w:tc>
        <w:tc>
          <w:tcPr>
            <w:tcW w:w="1090" w:type="dxa"/>
            <w:shd w:val="clear" w:color="auto" w:fill="BFCED6"/>
          </w:tcPr>
          <w:p w14:paraId="0DE7948F" w14:textId="780A6563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80 %</w:t>
            </w:r>
          </w:p>
        </w:tc>
        <w:tc>
          <w:tcPr>
            <w:tcW w:w="1090" w:type="dxa"/>
            <w:shd w:val="clear" w:color="auto" w:fill="BFCED6"/>
          </w:tcPr>
          <w:p w14:paraId="083AE940" w14:textId="41E0752F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1090" w:type="dxa"/>
            <w:shd w:val="clear" w:color="auto" w:fill="BFCED6"/>
          </w:tcPr>
          <w:p w14:paraId="5712F1AC" w14:textId="5AFC6D68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0CCE40E2" w14:textId="20FE06C0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1090" w:type="dxa"/>
            <w:shd w:val="clear" w:color="auto" w:fill="BFCED6"/>
          </w:tcPr>
          <w:p w14:paraId="5F9BD912" w14:textId="4C55B0AB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7 %</w:t>
            </w:r>
          </w:p>
        </w:tc>
        <w:tc>
          <w:tcPr>
            <w:tcW w:w="1090" w:type="dxa"/>
            <w:shd w:val="clear" w:color="auto" w:fill="BFCED6"/>
          </w:tcPr>
          <w:p w14:paraId="78E35F80" w14:textId="0E675D73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13 %</w:t>
            </w:r>
          </w:p>
        </w:tc>
        <w:tc>
          <w:tcPr>
            <w:tcW w:w="1090" w:type="dxa"/>
            <w:shd w:val="clear" w:color="auto" w:fill="BFCED6"/>
          </w:tcPr>
          <w:p w14:paraId="44448A1C" w14:textId="2E78C9A3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94 %</w:t>
            </w:r>
          </w:p>
        </w:tc>
        <w:tc>
          <w:tcPr>
            <w:tcW w:w="1091" w:type="dxa"/>
            <w:shd w:val="clear" w:color="auto" w:fill="BFCED6"/>
          </w:tcPr>
          <w:p w14:paraId="45D3BB25" w14:textId="6ADC4947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11.4</w:t>
            </w:r>
          </w:p>
        </w:tc>
      </w:tr>
      <w:tr w:rsidR="008D13A2" w:rsidRPr="00A6366B" w14:paraId="5372D05D" w14:textId="77777777" w:rsidTr="00257865">
        <w:trPr>
          <w:trHeight w:val="284"/>
        </w:trPr>
        <w:tc>
          <w:tcPr>
            <w:tcW w:w="1570" w:type="dxa"/>
          </w:tcPr>
          <w:p w14:paraId="543D80AE" w14:textId="469A8AA4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6F4A3D">
              <w:rPr>
                <w:rFonts w:ascii="VIC" w:eastAsia="Verdana" w:hAnsi="VIC"/>
                <w:color w:val="000000"/>
                <w:sz w:val="18"/>
                <w:szCs w:val="18"/>
              </w:rPr>
              <w:t>Austin Health</w:t>
            </w:r>
          </w:p>
        </w:tc>
        <w:tc>
          <w:tcPr>
            <w:tcW w:w="2410" w:type="dxa"/>
          </w:tcPr>
          <w:p w14:paraId="567E633C" w14:textId="31C586A7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6F4A3D">
              <w:rPr>
                <w:rFonts w:ascii="VIC" w:eastAsia="Verdana" w:hAnsi="VIC"/>
                <w:color w:val="000000"/>
                <w:sz w:val="18"/>
                <w:szCs w:val="18"/>
              </w:rPr>
              <w:t>North East (Austin)</w:t>
            </w:r>
          </w:p>
        </w:tc>
        <w:tc>
          <w:tcPr>
            <w:tcW w:w="2833" w:type="dxa"/>
          </w:tcPr>
          <w:p w14:paraId="49B1CE56" w14:textId="75374BFC" w:rsidR="008D13A2" w:rsidRPr="005B1FEF" w:rsidRDefault="008D13A2" w:rsidP="008D13A2">
            <w:pPr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Austin PARC</w:t>
            </w:r>
          </w:p>
        </w:tc>
        <w:tc>
          <w:tcPr>
            <w:tcW w:w="1090" w:type="dxa"/>
          </w:tcPr>
          <w:p w14:paraId="45459567" w14:textId="656AF03D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71 %</w:t>
            </w:r>
          </w:p>
        </w:tc>
        <w:tc>
          <w:tcPr>
            <w:tcW w:w="1090" w:type="dxa"/>
          </w:tcPr>
          <w:p w14:paraId="19817A4B" w14:textId="528F515D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1090" w:type="dxa"/>
          </w:tcPr>
          <w:p w14:paraId="173D5BFA" w14:textId="5F314AA1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12 %</w:t>
            </w:r>
          </w:p>
        </w:tc>
        <w:tc>
          <w:tcPr>
            <w:tcW w:w="1090" w:type="dxa"/>
          </w:tcPr>
          <w:p w14:paraId="27FE394C" w14:textId="0108E745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1090" w:type="dxa"/>
          </w:tcPr>
          <w:p w14:paraId="5EE8EA48" w14:textId="4D9D014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12 %</w:t>
            </w:r>
          </w:p>
        </w:tc>
        <w:tc>
          <w:tcPr>
            <w:tcW w:w="1090" w:type="dxa"/>
          </w:tcPr>
          <w:p w14:paraId="2870A58C" w14:textId="1B47F2D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8 %</w:t>
            </w:r>
          </w:p>
        </w:tc>
        <w:tc>
          <w:tcPr>
            <w:tcW w:w="1090" w:type="dxa"/>
          </w:tcPr>
          <w:p w14:paraId="1F7FD45F" w14:textId="323CF24F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100 %</w:t>
            </w:r>
          </w:p>
        </w:tc>
        <w:tc>
          <w:tcPr>
            <w:tcW w:w="1091" w:type="dxa"/>
          </w:tcPr>
          <w:p w14:paraId="048BBA17" w14:textId="67289B5C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14.1</w:t>
            </w:r>
          </w:p>
        </w:tc>
      </w:tr>
      <w:tr w:rsidR="008D13A2" w:rsidRPr="00A6366B" w14:paraId="1A5C8578" w14:textId="77777777" w:rsidTr="00257865">
        <w:trPr>
          <w:trHeight w:val="284"/>
        </w:trPr>
        <w:tc>
          <w:tcPr>
            <w:tcW w:w="1570" w:type="dxa"/>
            <w:vMerge w:val="restart"/>
            <w:shd w:val="clear" w:color="auto" w:fill="BFCED6"/>
          </w:tcPr>
          <w:p w14:paraId="65482139" w14:textId="7A4411C2" w:rsidR="008D13A2" w:rsidRPr="00C714A8" w:rsidRDefault="008D13A2" w:rsidP="008D13A2">
            <w:pPr>
              <w:rPr>
                <w:rFonts w:ascii="VIC" w:hAnsi="VIC"/>
                <w:sz w:val="18"/>
                <w:szCs w:val="18"/>
              </w:rPr>
            </w:pPr>
            <w:r w:rsidRPr="006F4A3D">
              <w:rPr>
                <w:rFonts w:ascii="VIC" w:eastAsia="Verdana" w:hAnsi="VIC"/>
                <w:color w:val="000000"/>
                <w:sz w:val="18"/>
                <w:szCs w:val="18"/>
              </w:rPr>
              <w:t>Eastern Health</w:t>
            </w:r>
          </w:p>
        </w:tc>
        <w:tc>
          <w:tcPr>
            <w:tcW w:w="2410" w:type="dxa"/>
            <w:shd w:val="clear" w:color="auto" w:fill="BFCED6"/>
          </w:tcPr>
          <w:p w14:paraId="1B2F7B53" w14:textId="214D5757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6F4A3D">
              <w:rPr>
                <w:rFonts w:ascii="VIC" w:eastAsia="Verdana" w:hAnsi="VIC"/>
                <w:color w:val="000000"/>
                <w:sz w:val="18"/>
                <w:szCs w:val="18"/>
              </w:rPr>
              <w:t>Central East (Box Hill)</w:t>
            </w:r>
          </w:p>
        </w:tc>
        <w:tc>
          <w:tcPr>
            <w:tcW w:w="2833" w:type="dxa"/>
            <w:shd w:val="clear" w:color="auto" w:fill="BFCED6"/>
          </w:tcPr>
          <w:p w14:paraId="079ADD0C" w14:textId="0ACA5207" w:rsidR="008D13A2" w:rsidRPr="005B1FEF" w:rsidRDefault="008D13A2" w:rsidP="008D13A2">
            <w:pPr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Linwood House PARC</w:t>
            </w:r>
          </w:p>
        </w:tc>
        <w:tc>
          <w:tcPr>
            <w:tcW w:w="1090" w:type="dxa"/>
            <w:shd w:val="clear" w:color="auto" w:fill="BFCED6"/>
          </w:tcPr>
          <w:p w14:paraId="5B1ECA2F" w14:textId="0EB98287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75 %</w:t>
            </w:r>
          </w:p>
        </w:tc>
        <w:tc>
          <w:tcPr>
            <w:tcW w:w="1090" w:type="dxa"/>
            <w:shd w:val="clear" w:color="auto" w:fill="BFCED6"/>
          </w:tcPr>
          <w:p w14:paraId="473F4916" w14:textId="7DD1406B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1090" w:type="dxa"/>
            <w:shd w:val="clear" w:color="auto" w:fill="BFCED6"/>
          </w:tcPr>
          <w:p w14:paraId="61E3ACED" w14:textId="5FA13EBB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766DFB6D" w14:textId="47F0817F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1090" w:type="dxa"/>
            <w:shd w:val="clear" w:color="auto" w:fill="BFCED6"/>
          </w:tcPr>
          <w:p w14:paraId="7453840C" w14:textId="70A4BEC0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8 %</w:t>
            </w:r>
          </w:p>
        </w:tc>
        <w:tc>
          <w:tcPr>
            <w:tcW w:w="1090" w:type="dxa"/>
            <w:shd w:val="clear" w:color="auto" w:fill="BFCED6"/>
          </w:tcPr>
          <w:p w14:paraId="42FDBF83" w14:textId="7B36AEE0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22 %</w:t>
            </w:r>
          </w:p>
        </w:tc>
        <w:tc>
          <w:tcPr>
            <w:tcW w:w="1090" w:type="dxa"/>
            <w:shd w:val="clear" w:color="auto" w:fill="BFCED6"/>
          </w:tcPr>
          <w:p w14:paraId="3BD27183" w14:textId="7BDFD390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100 %</w:t>
            </w:r>
          </w:p>
        </w:tc>
        <w:tc>
          <w:tcPr>
            <w:tcW w:w="1091" w:type="dxa"/>
            <w:shd w:val="clear" w:color="auto" w:fill="BFCED6"/>
          </w:tcPr>
          <w:p w14:paraId="1BA8E7DF" w14:textId="54C435D2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12.9</w:t>
            </w:r>
          </w:p>
        </w:tc>
      </w:tr>
      <w:tr w:rsidR="008D13A2" w:rsidRPr="00A6366B" w14:paraId="058BE2F6" w14:textId="77777777" w:rsidTr="00257865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6A78FD4B" w14:textId="77777777" w:rsidR="008D13A2" w:rsidRPr="00382424" w:rsidRDefault="008D13A2" w:rsidP="008D13A2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CED6"/>
          </w:tcPr>
          <w:p w14:paraId="3E9A28FF" w14:textId="2F1C6160" w:rsidR="008D13A2" w:rsidRPr="00382424" w:rsidRDefault="008D13A2" w:rsidP="008D13A2">
            <w:pPr>
              <w:pStyle w:val="DHHStabletext"/>
              <w:spacing w:before="0" w:after="0"/>
              <w:rPr>
                <w:rFonts w:ascii="VIC" w:hAnsi="VIC"/>
                <w:w w:val="105"/>
                <w:sz w:val="18"/>
                <w:szCs w:val="18"/>
              </w:rPr>
            </w:pPr>
            <w:r w:rsidRPr="006F4A3D">
              <w:rPr>
                <w:rFonts w:ascii="VIC" w:eastAsia="Verdana" w:hAnsi="VIC"/>
                <w:color w:val="000000"/>
                <w:sz w:val="18"/>
                <w:szCs w:val="18"/>
              </w:rPr>
              <w:t>Outer East (Maroondah)</w:t>
            </w:r>
          </w:p>
        </w:tc>
        <w:tc>
          <w:tcPr>
            <w:tcW w:w="2833" w:type="dxa"/>
            <w:shd w:val="clear" w:color="auto" w:fill="BFCED6"/>
          </w:tcPr>
          <w:p w14:paraId="3B23970D" w14:textId="026F2BB3" w:rsidR="008D13A2" w:rsidRPr="005B1FEF" w:rsidRDefault="008D13A2" w:rsidP="008D13A2">
            <w:pPr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Maroondah PARC</w:t>
            </w:r>
          </w:p>
        </w:tc>
        <w:tc>
          <w:tcPr>
            <w:tcW w:w="1090" w:type="dxa"/>
            <w:shd w:val="clear" w:color="auto" w:fill="BFCED6"/>
          </w:tcPr>
          <w:p w14:paraId="5F66B473" w14:textId="7DEC1FA8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96 %</w:t>
            </w:r>
          </w:p>
        </w:tc>
        <w:tc>
          <w:tcPr>
            <w:tcW w:w="1090" w:type="dxa"/>
            <w:shd w:val="clear" w:color="auto" w:fill="BFCED6"/>
          </w:tcPr>
          <w:p w14:paraId="02257ABF" w14:textId="6687619F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1090" w:type="dxa"/>
            <w:shd w:val="clear" w:color="auto" w:fill="BFCED6"/>
          </w:tcPr>
          <w:p w14:paraId="72E29221" w14:textId="72B90FC3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790CE44A" w14:textId="409EA779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1090" w:type="dxa"/>
            <w:shd w:val="clear" w:color="auto" w:fill="BFCED6"/>
          </w:tcPr>
          <w:p w14:paraId="7E9ED5CD" w14:textId="218B9BB5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16 %</w:t>
            </w:r>
          </w:p>
        </w:tc>
        <w:tc>
          <w:tcPr>
            <w:tcW w:w="1090" w:type="dxa"/>
            <w:shd w:val="clear" w:color="auto" w:fill="BFCED6"/>
          </w:tcPr>
          <w:p w14:paraId="2E7D2178" w14:textId="03E144ED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17 %</w:t>
            </w:r>
          </w:p>
        </w:tc>
        <w:tc>
          <w:tcPr>
            <w:tcW w:w="1090" w:type="dxa"/>
            <w:shd w:val="clear" w:color="auto" w:fill="BFCED6"/>
          </w:tcPr>
          <w:p w14:paraId="6BBA024E" w14:textId="741DE73A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99 %</w:t>
            </w:r>
          </w:p>
        </w:tc>
        <w:tc>
          <w:tcPr>
            <w:tcW w:w="1091" w:type="dxa"/>
            <w:shd w:val="clear" w:color="auto" w:fill="BFCED6"/>
          </w:tcPr>
          <w:p w14:paraId="1179C626" w14:textId="3A3C7F93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16.2</w:t>
            </w:r>
          </w:p>
        </w:tc>
      </w:tr>
      <w:tr w:rsidR="008D13A2" w:rsidRPr="00A6366B" w14:paraId="0AB2E8A8" w14:textId="77777777" w:rsidTr="00257865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628EAE83" w14:textId="77777777" w:rsidR="008D13A2" w:rsidRPr="00382424" w:rsidRDefault="008D13A2" w:rsidP="008D13A2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CED6"/>
          </w:tcPr>
          <w:p w14:paraId="16C9CBCE" w14:textId="6ED05F43" w:rsidR="008D13A2" w:rsidRPr="00382424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6F4A3D">
              <w:rPr>
                <w:rFonts w:ascii="VIC" w:eastAsia="Verdana" w:hAnsi="VIC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833" w:type="dxa"/>
            <w:shd w:val="clear" w:color="auto" w:fill="BFCED6"/>
          </w:tcPr>
          <w:p w14:paraId="569C6D1C" w14:textId="49AC81B6" w:rsidR="008D13A2" w:rsidRPr="005B1FEF" w:rsidRDefault="008D13A2" w:rsidP="008D13A2">
            <w:pPr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shd w:val="clear" w:color="auto" w:fill="BFCED6"/>
          </w:tcPr>
          <w:p w14:paraId="4A12ABC1" w14:textId="79F8FB4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86 %</w:t>
            </w:r>
          </w:p>
        </w:tc>
        <w:tc>
          <w:tcPr>
            <w:tcW w:w="1090" w:type="dxa"/>
            <w:shd w:val="clear" w:color="auto" w:fill="BFCED6"/>
          </w:tcPr>
          <w:p w14:paraId="4953EA1F" w14:textId="5FCDD785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090" w:type="dxa"/>
            <w:shd w:val="clear" w:color="auto" w:fill="BFCED6"/>
          </w:tcPr>
          <w:p w14:paraId="33498D64" w14:textId="76D1F0A4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27C1FEE9" w14:textId="6F09AFEC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1090" w:type="dxa"/>
            <w:shd w:val="clear" w:color="auto" w:fill="BFCED6"/>
          </w:tcPr>
          <w:p w14:paraId="585CF25B" w14:textId="61AEE3BF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12 %</w:t>
            </w:r>
          </w:p>
        </w:tc>
        <w:tc>
          <w:tcPr>
            <w:tcW w:w="1090" w:type="dxa"/>
            <w:shd w:val="clear" w:color="auto" w:fill="BFCED6"/>
          </w:tcPr>
          <w:p w14:paraId="00CA725E" w14:textId="0D640FB3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19 %</w:t>
            </w:r>
          </w:p>
        </w:tc>
        <w:tc>
          <w:tcPr>
            <w:tcW w:w="1090" w:type="dxa"/>
            <w:shd w:val="clear" w:color="auto" w:fill="BFCED6"/>
          </w:tcPr>
          <w:p w14:paraId="00F621F5" w14:textId="52BAFC6D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99 %</w:t>
            </w:r>
          </w:p>
        </w:tc>
        <w:tc>
          <w:tcPr>
            <w:tcW w:w="1091" w:type="dxa"/>
            <w:shd w:val="clear" w:color="auto" w:fill="BFCED6"/>
          </w:tcPr>
          <w:p w14:paraId="71922370" w14:textId="6A72B67D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14.8</w:t>
            </w:r>
          </w:p>
        </w:tc>
      </w:tr>
      <w:tr w:rsidR="008D13A2" w:rsidRPr="00A6366B" w14:paraId="5AD545C0" w14:textId="77777777" w:rsidTr="00257865">
        <w:trPr>
          <w:trHeight w:val="284"/>
        </w:trPr>
        <w:tc>
          <w:tcPr>
            <w:tcW w:w="1570" w:type="dxa"/>
            <w:vMerge w:val="restart"/>
            <w:shd w:val="clear" w:color="auto" w:fill="FFFFFF" w:themeFill="background1"/>
          </w:tcPr>
          <w:p w14:paraId="21223B21" w14:textId="07FF9E8E" w:rsidR="008D13A2" w:rsidRPr="00382424" w:rsidRDefault="008D13A2" w:rsidP="008D13A2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/>
                <w:sz w:val="18"/>
                <w:szCs w:val="18"/>
              </w:rPr>
              <w:t>Melbourne Health</w:t>
            </w:r>
          </w:p>
        </w:tc>
        <w:tc>
          <w:tcPr>
            <w:tcW w:w="2410" w:type="dxa"/>
            <w:shd w:val="clear" w:color="auto" w:fill="FFFFFF" w:themeFill="background1"/>
          </w:tcPr>
          <w:p w14:paraId="39432B05" w14:textId="745E3B93" w:rsidR="008D13A2" w:rsidRPr="006F4A3D" w:rsidRDefault="008D13A2" w:rsidP="008D13A2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6F4A3D">
              <w:rPr>
                <w:rFonts w:ascii="VIC" w:eastAsia="Verdana" w:hAnsi="VIC"/>
                <w:color w:val="000000"/>
                <w:sz w:val="18"/>
                <w:szCs w:val="18"/>
              </w:rPr>
              <w:t>Inner West (RMH)</w:t>
            </w:r>
          </w:p>
        </w:tc>
        <w:tc>
          <w:tcPr>
            <w:tcW w:w="2833" w:type="dxa"/>
            <w:shd w:val="clear" w:color="auto" w:fill="FFFFFF" w:themeFill="background1"/>
          </w:tcPr>
          <w:p w14:paraId="60D623F9" w14:textId="38B41B07" w:rsidR="008D13A2" w:rsidRPr="005B1FEF" w:rsidRDefault="008D13A2" w:rsidP="008D13A2">
            <w:pPr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Arion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122EFA66" w14:textId="707DB767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83 %</w:t>
            </w:r>
          </w:p>
        </w:tc>
        <w:tc>
          <w:tcPr>
            <w:tcW w:w="1090" w:type="dxa"/>
            <w:shd w:val="clear" w:color="auto" w:fill="FFFFFF" w:themeFill="background1"/>
          </w:tcPr>
          <w:p w14:paraId="2F48E6F5" w14:textId="21F1DEC9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1090" w:type="dxa"/>
            <w:shd w:val="clear" w:color="auto" w:fill="FFFFFF" w:themeFill="background1"/>
          </w:tcPr>
          <w:p w14:paraId="1AD11EEC" w14:textId="56FC7BF1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11 %</w:t>
            </w:r>
          </w:p>
        </w:tc>
        <w:tc>
          <w:tcPr>
            <w:tcW w:w="1090" w:type="dxa"/>
            <w:shd w:val="clear" w:color="auto" w:fill="FFFFFF" w:themeFill="background1"/>
          </w:tcPr>
          <w:p w14:paraId="639BF602" w14:textId="2F2BABDC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1090" w:type="dxa"/>
            <w:shd w:val="clear" w:color="auto" w:fill="FFFFFF" w:themeFill="background1"/>
          </w:tcPr>
          <w:p w14:paraId="7139A65B" w14:textId="396CF28F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20 %</w:t>
            </w:r>
          </w:p>
        </w:tc>
        <w:tc>
          <w:tcPr>
            <w:tcW w:w="1090" w:type="dxa"/>
            <w:shd w:val="clear" w:color="auto" w:fill="FFFFFF" w:themeFill="background1"/>
          </w:tcPr>
          <w:p w14:paraId="4BAFE605" w14:textId="23A23769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34 %</w:t>
            </w:r>
          </w:p>
        </w:tc>
        <w:tc>
          <w:tcPr>
            <w:tcW w:w="1090" w:type="dxa"/>
            <w:shd w:val="clear" w:color="auto" w:fill="FFFFFF" w:themeFill="background1"/>
          </w:tcPr>
          <w:p w14:paraId="6754D7E6" w14:textId="21347A5B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38 %</w:t>
            </w:r>
          </w:p>
        </w:tc>
        <w:tc>
          <w:tcPr>
            <w:tcW w:w="1091" w:type="dxa"/>
            <w:shd w:val="clear" w:color="auto" w:fill="FFFFFF" w:themeFill="background1"/>
          </w:tcPr>
          <w:p w14:paraId="36183C7D" w14:textId="7546CC46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14.2</w:t>
            </w:r>
          </w:p>
        </w:tc>
      </w:tr>
      <w:tr w:rsidR="008D13A2" w:rsidRPr="00A6366B" w14:paraId="3EB04D4A" w14:textId="77777777" w:rsidTr="00257865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0EE50843" w14:textId="77777777" w:rsidR="008D13A2" w:rsidRPr="00382424" w:rsidRDefault="008D13A2" w:rsidP="008D13A2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37A9A0E" w14:textId="5E20764E" w:rsidR="008D13A2" w:rsidRPr="006F4A3D" w:rsidRDefault="008D13A2" w:rsidP="008D13A2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proofErr w:type="spellStart"/>
            <w:r w:rsidRPr="006F4A3D">
              <w:rPr>
                <w:rFonts w:ascii="VIC" w:eastAsia="Verdana" w:hAnsi="VIC"/>
                <w:color w:val="000000"/>
                <w:sz w:val="18"/>
                <w:szCs w:val="18"/>
              </w:rPr>
              <w:t>Mid West</w:t>
            </w:r>
            <w:proofErr w:type="spellEnd"/>
            <w:r w:rsidRPr="006F4A3D">
              <w:rPr>
                <w:rFonts w:ascii="VIC" w:eastAsia="Verdana" w:hAnsi="VIC"/>
                <w:color w:val="000000"/>
                <w:sz w:val="18"/>
                <w:szCs w:val="18"/>
              </w:rPr>
              <w:t xml:space="preserve"> (Sunshine)</w:t>
            </w:r>
          </w:p>
        </w:tc>
        <w:tc>
          <w:tcPr>
            <w:tcW w:w="2833" w:type="dxa"/>
            <w:shd w:val="clear" w:color="auto" w:fill="FFFFFF" w:themeFill="background1"/>
          </w:tcPr>
          <w:p w14:paraId="1174C8E8" w14:textId="7926535C" w:rsidR="008D13A2" w:rsidRPr="005B1FEF" w:rsidRDefault="008D13A2" w:rsidP="008D13A2">
            <w:pPr>
              <w:rPr>
                <w:rFonts w:ascii="VIC" w:hAnsi="VIC"/>
                <w:sz w:val="18"/>
                <w:szCs w:val="18"/>
              </w:rPr>
            </w:pPr>
            <w:proofErr w:type="spellStart"/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Mid West</w:t>
            </w:r>
            <w:proofErr w:type="spellEnd"/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 xml:space="preserve">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484C1A23" w14:textId="4E58DED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86 %</w:t>
            </w:r>
          </w:p>
        </w:tc>
        <w:tc>
          <w:tcPr>
            <w:tcW w:w="1090" w:type="dxa"/>
            <w:shd w:val="clear" w:color="auto" w:fill="FFFFFF" w:themeFill="background1"/>
          </w:tcPr>
          <w:p w14:paraId="2A9390D9" w14:textId="426ABA99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1090" w:type="dxa"/>
            <w:shd w:val="clear" w:color="auto" w:fill="FFFFFF" w:themeFill="background1"/>
          </w:tcPr>
          <w:p w14:paraId="7A28B064" w14:textId="13855228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FFFFFF" w:themeFill="background1"/>
          </w:tcPr>
          <w:p w14:paraId="0603EB30" w14:textId="7CAD8273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090" w:type="dxa"/>
            <w:shd w:val="clear" w:color="auto" w:fill="FFFFFF" w:themeFill="background1"/>
          </w:tcPr>
          <w:p w14:paraId="5F62317B" w14:textId="27725F47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5 %</w:t>
            </w:r>
          </w:p>
        </w:tc>
        <w:tc>
          <w:tcPr>
            <w:tcW w:w="1090" w:type="dxa"/>
            <w:shd w:val="clear" w:color="auto" w:fill="FFFFFF" w:themeFill="background1"/>
          </w:tcPr>
          <w:p w14:paraId="5511197E" w14:textId="69BDF70A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6 %</w:t>
            </w:r>
          </w:p>
        </w:tc>
        <w:tc>
          <w:tcPr>
            <w:tcW w:w="1090" w:type="dxa"/>
            <w:shd w:val="clear" w:color="auto" w:fill="FFFFFF" w:themeFill="background1"/>
          </w:tcPr>
          <w:p w14:paraId="32C0814A" w14:textId="37BB2914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100 %</w:t>
            </w:r>
          </w:p>
        </w:tc>
        <w:tc>
          <w:tcPr>
            <w:tcW w:w="1091" w:type="dxa"/>
            <w:shd w:val="clear" w:color="auto" w:fill="FFFFFF" w:themeFill="background1"/>
          </w:tcPr>
          <w:p w14:paraId="0C0BE080" w14:textId="2223B411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13.3</w:t>
            </w:r>
          </w:p>
        </w:tc>
      </w:tr>
      <w:tr w:rsidR="008D13A2" w:rsidRPr="00A6366B" w14:paraId="3CD12387" w14:textId="77777777" w:rsidTr="00257865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623F0164" w14:textId="77777777" w:rsidR="008D13A2" w:rsidRPr="00382424" w:rsidRDefault="008D13A2" w:rsidP="008D13A2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62536FE" w14:textId="1E676A93" w:rsidR="008D13A2" w:rsidRPr="006F4A3D" w:rsidRDefault="008D13A2" w:rsidP="008D13A2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6F4A3D">
              <w:rPr>
                <w:rFonts w:ascii="VIC" w:eastAsia="Verdana" w:hAnsi="VIC"/>
                <w:color w:val="000000"/>
                <w:sz w:val="18"/>
                <w:szCs w:val="18"/>
              </w:rPr>
              <w:t>North West (Broadmeadows)</w:t>
            </w:r>
          </w:p>
        </w:tc>
        <w:tc>
          <w:tcPr>
            <w:tcW w:w="2833" w:type="dxa"/>
            <w:shd w:val="clear" w:color="auto" w:fill="FFFFFF" w:themeFill="background1"/>
          </w:tcPr>
          <w:p w14:paraId="7CBB63B2" w14:textId="2B8851BA" w:rsidR="008D13A2" w:rsidRPr="005B1FEF" w:rsidRDefault="008D13A2" w:rsidP="008D13A2">
            <w:pPr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Broadmeadows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3BEC910F" w14:textId="27B40EF5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84 %</w:t>
            </w:r>
          </w:p>
        </w:tc>
        <w:tc>
          <w:tcPr>
            <w:tcW w:w="1090" w:type="dxa"/>
            <w:shd w:val="clear" w:color="auto" w:fill="FFFFFF" w:themeFill="background1"/>
          </w:tcPr>
          <w:p w14:paraId="7D85CDC7" w14:textId="41AEA44C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1090" w:type="dxa"/>
            <w:shd w:val="clear" w:color="auto" w:fill="FFFFFF" w:themeFill="background1"/>
          </w:tcPr>
          <w:p w14:paraId="113449A0" w14:textId="63E1C289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7 %</w:t>
            </w:r>
          </w:p>
        </w:tc>
        <w:tc>
          <w:tcPr>
            <w:tcW w:w="1090" w:type="dxa"/>
            <w:shd w:val="clear" w:color="auto" w:fill="FFFFFF" w:themeFill="background1"/>
          </w:tcPr>
          <w:p w14:paraId="1DF93C32" w14:textId="66F0F42F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090" w:type="dxa"/>
            <w:shd w:val="clear" w:color="auto" w:fill="FFFFFF" w:themeFill="background1"/>
          </w:tcPr>
          <w:p w14:paraId="7D86FF0F" w14:textId="44D496ED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12 %</w:t>
            </w:r>
          </w:p>
        </w:tc>
        <w:tc>
          <w:tcPr>
            <w:tcW w:w="1090" w:type="dxa"/>
            <w:shd w:val="clear" w:color="auto" w:fill="FFFFFF" w:themeFill="background1"/>
          </w:tcPr>
          <w:p w14:paraId="3EF3EBCB" w14:textId="2AAED27F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17 %</w:t>
            </w:r>
          </w:p>
        </w:tc>
        <w:tc>
          <w:tcPr>
            <w:tcW w:w="1090" w:type="dxa"/>
            <w:shd w:val="clear" w:color="auto" w:fill="FFFFFF" w:themeFill="background1"/>
          </w:tcPr>
          <w:p w14:paraId="37364B61" w14:textId="0FCE2828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100 %</w:t>
            </w:r>
          </w:p>
        </w:tc>
        <w:tc>
          <w:tcPr>
            <w:tcW w:w="1091" w:type="dxa"/>
            <w:shd w:val="clear" w:color="auto" w:fill="FFFFFF" w:themeFill="background1"/>
          </w:tcPr>
          <w:p w14:paraId="2EA9A2A3" w14:textId="72E74E16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14.9</w:t>
            </w:r>
          </w:p>
        </w:tc>
      </w:tr>
      <w:tr w:rsidR="008D13A2" w:rsidRPr="00A6366B" w14:paraId="03C014CD" w14:textId="77777777" w:rsidTr="00257865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45665FCA" w14:textId="77777777" w:rsidR="008D13A2" w:rsidRPr="00382424" w:rsidRDefault="008D13A2" w:rsidP="008D13A2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375A73F" w14:textId="007053E3" w:rsidR="008D13A2" w:rsidRPr="006F4A3D" w:rsidRDefault="008D13A2" w:rsidP="008D13A2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6F4A3D">
              <w:rPr>
                <w:rFonts w:ascii="VIC" w:eastAsia="Verdana" w:hAnsi="VIC"/>
                <w:color w:val="000000"/>
                <w:sz w:val="18"/>
                <w:szCs w:val="18"/>
              </w:rPr>
              <w:t>Northern</w:t>
            </w:r>
          </w:p>
        </w:tc>
        <w:tc>
          <w:tcPr>
            <w:tcW w:w="2833" w:type="dxa"/>
            <w:shd w:val="clear" w:color="auto" w:fill="FFFFFF" w:themeFill="background1"/>
          </w:tcPr>
          <w:p w14:paraId="539DD92D" w14:textId="06696D4C" w:rsidR="008D13A2" w:rsidRPr="005B1FEF" w:rsidRDefault="008D13A2" w:rsidP="008D13A2">
            <w:pPr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Northern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69A18383" w14:textId="1592A3BA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83 %</w:t>
            </w:r>
          </w:p>
        </w:tc>
        <w:tc>
          <w:tcPr>
            <w:tcW w:w="1090" w:type="dxa"/>
            <w:shd w:val="clear" w:color="auto" w:fill="FFFFFF" w:themeFill="background1"/>
          </w:tcPr>
          <w:p w14:paraId="743F3591" w14:textId="359FC301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1090" w:type="dxa"/>
            <w:shd w:val="clear" w:color="auto" w:fill="FFFFFF" w:themeFill="background1"/>
          </w:tcPr>
          <w:p w14:paraId="37F6FAFB" w14:textId="4D08CC30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FFFFFF" w:themeFill="background1"/>
          </w:tcPr>
          <w:p w14:paraId="19073A0A" w14:textId="658E2A92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1090" w:type="dxa"/>
            <w:shd w:val="clear" w:color="auto" w:fill="FFFFFF" w:themeFill="background1"/>
          </w:tcPr>
          <w:p w14:paraId="454A56B7" w14:textId="1A041AC7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17 %</w:t>
            </w:r>
          </w:p>
        </w:tc>
        <w:tc>
          <w:tcPr>
            <w:tcW w:w="1090" w:type="dxa"/>
            <w:shd w:val="clear" w:color="auto" w:fill="FFFFFF" w:themeFill="background1"/>
          </w:tcPr>
          <w:p w14:paraId="4FED9674" w14:textId="2A8401D0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5 %</w:t>
            </w:r>
          </w:p>
        </w:tc>
        <w:tc>
          <w:tcPr>
            <w:tcW w:w="1090" w:type="dxa"/>
            <w:shd w:val="clear" w:color="auto" w:fill="FFFFFF" w:themeFill="background1"/>
          </w:tcPr>
          <w:p w14:paraId="69F69C73" w14:textId="254640E9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92 %</w:t>
            </w:r>
          </w:p>
        </w:tc>
        <w:tc>
          <w:tcPr>
            <w:tcW w:w="1091" w:type="dxa"/>
            <w:shd w:val="clear" w:color="auto" w:fill="FFFFFF" w:themeFill="background1"/>
          </w:tcPr>
          <w:p w14:paraId="68B1B029" w14:textId="1334F4E7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12.6</w:t>
            </w:r>
          </w:p>
        </w:tc>
      </w:tr>
      <w:tr w:rsidR="008D13A2" w:rsidRPr="00A6366B" w14:paraId="083D34F1" w14:textId="77777777" w:rsidTr="00257865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10C5CB7F" w14:textId="77777777" w:rsidR="008D13A2" w:rsidRPr="00382424" w:rsidRDefault="008D13A2" w:rsidP="008D13A2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F1C7FC9" w14:textId="704ECDB4" w:rsidR="008D13A2" w:rsidRPr="006F4A3D" w:rsidRDefault="008D13A2" w:rsidP="008D13A2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6F4A3D">
              <w:rPr>
                <w:rFonts w:ascii="VIC" w:eastAsia="Verdana" w:hAnsi="VIC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833" w:type="dxa"/>
            <w:shd w:val="clear" w:color="auto" w:fill="FFFFFF" w:themeFill="background1"/>
          </w:tcPr>
          <w:p w14:paraId="535F01C8" w14:textId="3A1294FA" w:rsidR="008D13A2" w:rsidRPr="005B1FEF" w:rsidRDefault="008D13A2" w:rsidP="008D13A2">
            <w:pPr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shd w:val="clear" w:color="auto" w:fill="FFFFFF" w:themeFill="background1"/>
          </w:tcPr>
          <w:p w14:paraId="7ED44598" w14:textId="75EA07EB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84 %</w:t>
            </w:r>
          </w:p>
        </w:tc>
        <w:tc>
          <w:tcPr>
            <w:tcW w:w="1090" w:type="dxa"/>
            <w:shd w:val="clear" w:color="auto" w:fill="FFFFFF" w:themeFill="background1"/>
          </w:tcPr>
          <w:p w14:paraId="307EE6A9" w14:textId="2E3EBF0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1090" w:type="dxa"/>
            <w:shd w:val="clear" w:color="auto" w:fill="FFFFFF" w:themeFill="background1"/>
          </w:tcPr>
          <w:p w14:paraId="0F63A06A" w14:textId="38343927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4 %</w:t>
            </w:r>
          </w:p>
        </w:tc>
        <w:tc>
          <w:tcPr>
            <w:tcW w:w="1090" w:type="dxa"/>
            <w:shd w:val="clear" w:color="auto" w:fill="FFFFFF" w:themeFill="background1"/>
          </w:tcPr>
          <w:p w14:paraId="7C0DACC4" w14:textId="4681686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1090" w:type="dxa"/>
            <w:shd w:val="clear" w:color="auto" w:fill="FFFFFF" w:themeFill="background1"/>
          </w:tcPr>
          <w:p w14:paraId="33A9C620" w14:textId="6D9026F0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12 %</w:t>
            </w:r>
          </w:p>
        </w:tc>
        <w:tc>
          <w:tcPr>
            <w:tcW w:w="1090" w:type="dxa"/>
            <w:shd w:val="clear" w:color="auto" w:fill="FFFFFF" w:themeFill="background1"/>
          </w:tcPr>
          <w:p w14:paraId="13229B42" w14:textId="4E32C35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14 %</w:t>
            </w:r>
          </w:p>
        </w:tc>
        <w:tc>
          <w:tcPr>
            <w:tcW w:w="1090" w:type="dxa"/>
            <w:shd w:val="clear" w:color="auto" w:fill="FFFFFF" w:themeFill="background1"/>
          </w:tcPr>
          <w:p w14:paraId="197D1CB4" w14:textId="0C7DC27F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87 %</w:t>
            </w:r>
          </w:p>
        </w:tc>
        <w:tc>
          <w:tcPr>
            <w:tcW w:w="1091" w:type="dxa"/>
            <w:shd w:val="clear" w:color="auto" w:fill="FFFFFF" w:themeFill="background1"/>
          </w:tcPr>
          <w:p w14:paraId="31AB0074" w14:textId="4F9B3157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13.6</w:t>
            </w:r>
          </w:p>
        </w:tc>
      </w:tr>
      <w:tr w:rsidR="008D13A2" w:rsidRPr="00A6366B" w14:paraId="6B65A7B0" w14:textId="77777777" w:rsidTr="00257865">
        <w:trPr>
          <w:trHeight w:val="284"/>
        </w:trPr>
        <w:tc>
          <w:tcPr>
            <w:tcW w:w="1570" w:type="dxa"/>
            <w:vMerge w:val="restart"/>
            <w:shd w:val="clear" w:color="auto" w:fill="BFCED6"/>
          </w:tcPr>
          <w:p w14:paraId="5E2578FF" w14:textId="01CB0E4E" w:rsidR="008D13A2" w:rsidRPr="00382424" w:rsidRDefault="008D13A2" w:rsidP="008D13A2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6F4A3D">
              <w:rPr>
                <w:rFonts w:ascii="VIC" w:eastAsia="Verdana" w:hAnsi="VIC"/>
                <w:color w:val="000000"/>
                <w:sz w:val="18"/>
                <w:szCs w:val="18"/>
              </w:rPr>
              <w:t>Monash Health</w:t>
            </w:r>
          </w:p>
        </w:tc>
        <w:tc>
          <w:tcPr>
            <w:tcW w:w="2410" w:type="dxa"/>
            <w:vMerge w:val="restart"/>
            <w:shd w:val="clear" w:color="auto" w:fill="BFCED6"/>
          </w:tcPr>
          <w:p w14:paraId="5E9FA720" w14:textId="3FA9B39B" w:rsidR="008D13A2" w:rsidRPr="006F4A3D" w:rsidRDefault="008D13A2" w:rsidP="008D13A2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erdana" w:hAnsi="VIC"/>
                <w:color w:val="000000"/>
                <w:sz w:val="18"/>
                <w:szCs w:val="18"/>
              </w:rPr>
              <w:t>Casey</w:t>
            </w:r>
          </w:p>
        </w:tc>
        <w:tc>
          <w:tcPr>
            <w:tcW w:w="2833" w:type="dxa"/>
            <w:shd w:val="clear" w:color="auto" w:fill="BFCED6"/>
          </w:tcPr>
          <w:p w14:paraId="2DDB6452" w14:textId="70BBFA5F" w:rsidR="008D13A2" w:rsidRPr="005B1FEF" w:rsidRDefault="008D13A2" w:rsidP="008D13A2">
            <w:pPr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Casey Adult PARC</w:t>
            </w:r>
          </w:p>
        </w:tc>
        <w:tc>
          <w:tcPr>
            <w:tcW w:w="1090" w:type="dxa"/>
            <w:shd w:val="clear" w:color="auto" w:fill="BFCED6"/>
          </w:tcPr>
          <w:p w14:paraId="54A474A1" w14:textId="7681141B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97 %</w:t>
            </w:r>
          </w:p>
        </w:tc>
        <w:tc>
          <w:tcPr>
            <w:tcW w:w="1090" w:type="dxa"/>
            <w:shd w:val="clear" w:color="auto" w:fill="BFCED6"/>
          </w:tcPr>
          <w:p w14:paraId="441B3255" w14:textId="50ED4AEA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090" w:type="dxa"/>
            <w:shd w:val="clear" w:color="auto" w:fill="BFCED6"/>
          </w:tcPr>
          <w:p w14:paraId="6266CBA8" w14:textId="3A5FDDA2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1C9FD1A3" w14:textId="0AC6558A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1090" w:type="dxa"/>
            <w:shd w:val="clear" w:color="auto" w:fill="BFCED6"/>
          </w:tcPr>
          <w:p w14:paraId="3A3A1961" w14:textId="75CC3FC2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9 %</w:t>
            </w:r>
          </w:p>
        </w:tc>
        <w:tc>
          <w:tcPr>
            <w:tcW w:w="1090" w:type="dxa"/>
            <w:shd w:val="clear" w:color="auto" w:fill="BFCED6"/>
          </w:tcPr>
          <w:p w14:paraId="61EC7CCC" w14:textId="37B6F142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7 %</w:t>
            </w:r>
          </w:p>
        </w:tc>
        <w:tc>
          <w:tcPr>
            <w:tcW w:w="1090" w:type="dxa"/>
            <w:shd w:val="clear" w:color="auto" w:fill="BFCED6"/>
          </w:tcPr>
          <w:p w14:paraId="230BF70B" w14:textId="00524D84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88 %</w:t>
            </w:r>
          </w:p>
        </w:tc>
        <w:tc>
          <w:tcPr>
            <w:tcW w:w="1091" w:type="dxa"/>
            <w:shd w:val="clear" w:color="auto" w:fill="BFCED6"/>
          </w:tcPr>
          <w:p w14:paraId="487C80CA" w14:textId="707480F0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13.5</w:t>
            </w:r>
          </w:p>
        </w:tc>
      </w:tr>
      <w:tr w:rsidR="008D13A2" w:rsidRPr="00A6366B" w14:paraId="6F34885E" w14:textId="77777777" w:rsidTr="00257865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435372EA" w14:textId="77777777" w:rsidR="008D13A2" w:rsidRPr="00382424" w:rsidRDefault="008D13A2" w:rsidP="008D13A2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FCED6"/>
          </w:tcPr>
          <w:p w14:paraId="736C64E1" w14:textId="6BE5DC13" w:rsidR="008D13A2" w:rsidRPr="006F4A3D" w:rsidRDefault="008D13A2" w:rsidP="008D13A2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BFCED6"/>
          </w:tcPr>
          <w:p w14:paraId="2066FED5" w14:textId="0F3A4F72" w:rsidR="008D13A2" w:rsidRPr="005B1FEF" w:rsidRDefault="008D13A2" w:rsidP="008D13A2">
            <w:pPr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Casey Extended PARC</w:t>
            </w:r>
          </w:p>
        </w:tc>
        <w:tc>
          <w:tcPr>
            <w:tcW w:w="1090" w:type="dxa"/>
            <w:shd w:val="clear" w:color="auto" w:fill="BFCED6"/>
          </w:tcPr>
          <w:p w14:paraId="2A4AE4DB" w14:textId="4B068AA6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92 %</w:t>
            </w:r>
          </w:p>
        </w:tc>
        <w:tc>
          <w:tcPr>
            <w:tcW w:w="1090" w:type="dxa"/>
            <w:shd w:val="clear" w:color="auto" w:fill="BFCED6"/>
          </w:tcPr>
          <w:p w14:paraId="163A773C" w14:textId="5501F206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1090" w:type="dxa"/>
            <w:shd w:val="clear" w:color="auto" w:fill="BFCED6"/>
          </w:tcPr>
          <w:p w14:paraId="5BFCEBD2" w14:textId="46AEA35A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10EFCBE1" w14:textId="34BD7F00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1090" w:type="dxa"/>
            <w:shd w:val="clear" w:color="auto" w:fill="BFCED6"/>
          </w:tcPr>
          <w:p w14:paraId="5A6D427D" w14:textId="64BDEB87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29 %</w:t>
            </w:r>
          </w:p>
        </w:tc>
        <w:tc>
          <w:tcPr>
            <w:tcW w:w="1090" w:type="dxa"/>
            <w:shd w:val="clear" w:color="auto" w:fill="BFCED6"/>
          </w:tcPr>
          <w:p w14:paraId="2C9CA7C1" w14:textId="650193A6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41 %</w:t>
            </w:r>
          </w:p>
        </w:tc>
        <w:tc>
          <w:tcPr>
            <w:tcW w:w="1090" w:type="dxa"/>
            <w:shd w:val="clear" w:color="auto" w:fill="BFCED6"/>
          </w:tcPr>
          <w:p w14:paraId="37110C2D" w14:textId="088A3FF1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100 %</w:t>
            </w:r>
          </w:p>
        </w:tc>
        <w:tc>
          <w:tcPr>
            <w:tcW w:w="1091" w:type="dxa"/>
            <w:shd w:val="clear" w:color="auto" w:fill="BFCED6"/>
          </w:tcPr>
          <w:p w14:paraId="10DC51A3" w14:textId="3AC3C4F6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10.6</w:t>
            </w:r>
          </w:p>
        </w:tc>
      </w:tr>
      <w:tr w:rsidR="008D13A2" w:rsidRPr="00A6366B" w14:paraId="754A6DC2" w14:textId="77777777" w:rsidTr="00257865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1D36DFE2" w14:textId="77777777" w:rsidR="008D13A2" w:rsidRPr="00382424" w:rsidRDefault="008D13A2" w:rsidP="008D13A2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FCED6"/>
          </w:tcPr>
          <w:p w14:paraId="5D37B399" w14:textId="1ACFA9A3" w:rsidR="008D13A2" w:rsidRPr="006F4A3D" w:rsidRDefault="008D13A2" w:rsidP="008D13A2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BFCED6"/>
          </w:tcPr>
          <w:p w14:paraId="3CF1CDE6" w14:textId="43C88CA9" w:rsidR="008D13A2" w:rsidRPr="005B1FEF" w:rsidRDefault="008D13A2" w:rsidP="008D13A2">
            <w:pPr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090" w:type="dxa"/>
            <w:shd w:val="clear" w:color="auto" w:fill="BFCED6"/>
          </w:tcPr>
          <w:p w14:paraId="2374B7D0" w14:textId="7FC9058F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95 %</w:t>
            </w:r>
          </w:p>
        </w:tc>
        <w:tc>
          <w:tcPr>
            <w:tcW w:w="1090" w:type="dxa"/>
            <w:shd w:val="clear" w:color="auto" w:fill="BFCED6"/>
          </w:tcPr>
          <w:p w14:paraId="4FBC766F" w14:textId="5DE73AC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1090" w:type="dxa"/>
            <w:shd w:val="clear" w:color="auto" w:fill="BFCED6"/>
          </w:tcPr>
          <w:p w14:paraId="0C18724B" w14:textId="0AC7D46B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20E5654A" w14:textId="2F2CCFB5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1090" w:type="dxa"/>
            <w:shd w:val="clear" w:color="auto" w:fill="BFCED6"/>
          </w:tcPr>
          <w:p w14:paraId="1B6B8AA5" w14:textId="65292D7D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11 %</w:t>
            </w:r>
          </w:p>
        </w:tc>
        <w:tc>
          <w:tcPr>
            <w:tcW w:w="1090" w:type="dxa"/>
            <w:shd w:val="clear" w:color="auto" w:fill="BFCED6"/>
          </w:tcPr>
          <w:p w14:paraId="07B2AFB7" w14:textId="77C31356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15 %</w:t>
            </w:r>
          </w:p>
        </w:tc>
        <w:tc>
          <w:tcPr>
            <w:tcW w:w="1090" w:type="dxa"/>
            <w:shd w:val="clear" w:color="auto" w:fill="BFCED6"/>
          </w:tcPr>
          <w:p w14:paraId="1F656E18" w14:textId="11C9BEE9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90 %</w:t>
            </w:r>
          </w:p>
        </w:tc>
        <w:tc>
          <w:tcPr>
            <w:tcW w:w="1091" w:type="dxa"/>
            <w:shd w:val="clear" w:color="auto" w:fill="BFCED6"/>
          </w:tcPr>
          <w:p w14:paraId="6D0BB5CD" w14:textId="03AD9D15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13.0</w:t>
            </w:r>
          </w:p>
        </w:tc>
      </w:tr>
      <w:tr w:rsidR="008D13A2" w:rsidRPr="00A6366B" w14:paraId="4E6E6223" w14:textId="77777777" w:rsidTr="00257865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5133FB62" w14:textId="77777777" w:rsidR="008D13A2" w:rsidRPr="00382424" w:rsidRDefault="008D13A2" w:rsidP="008D13A2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BFCED6"/>
          </w:tcPr>
          <w:p w14:paraId="523FC747" w14:textId="2193749F" w:rsidR="008D13A2" w:rsidRPr="006F4A3D" w:rsidRDefault="008D13A2" w:rsidP="008D13A2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>
              <w:rPr>
                <w:rFonts w:ascii="VIC" w:eastAsia="Verdana" w:hAnsi="VIC"/>
                <w:color w:val="000000"/>
                <w:sz w:val="18"/>
                <w:szCs w:val="18"/>
              </w:rPr>
              <w:t>Dandenong</w:t>
            </w:r>
          </w:p>
        </w:tc>
        <w:tc>
          <w:tcPr>
            <w:tcW w:w="2833" w:type="dxa"/>
            <w:shd w:val="clear" w:color="auto" w:fill="BFCED6"/>
          </w:tcPr>
          <w:p w14:paraId="73CCBF1D" w14:textId="7B9B6A7D" w:rsidR="008D13A2" w:rsidRPr="005B1FEF" w:rsidRDefault="008D13A2" w:rsidP="008D13A2">
            <w:pPr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Dandenong Youth PARC*</w:t>
            </w:r>
          </w:p>
        </w:tc>
        <w:tc>
          <w:tcPr>
            <w:tcW w:w="1090" w:type="dxa"/>
            <w:shd w:val="clear" w:color="auto" w:fill="BFCED6"/>
          </w:tcPr>
          <w:p w14:paraId="10CCB0F3" w14:textId="14513526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83 %</w:t>
            </w:r>
          </w:p>
        </w:tc>
        <w:tc>
          <w:tcPr>
            <w:tcW w:w="1090" w:type="dxa"/>
            <w:shd w:val="clear" w:color="auto" w:fill="BFCED6"/>
          </w:tcPr>
          <w:p w14:paraId="17AD2608" w14:textId="0A70B079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1090" w:type="dxa"/>
            <w:shd w:val="clear" w:color="auto" w:fill="BFCED6"/>
          </w:tcPr>
          <w:p w14:paraId="6898CCE2" w14:textId="202ED83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48F8DAFC" w14:textId="402A8489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090" w:type="dxa"/>
            <w:shd w:val="clear" w:color="auto" w:fill="BFCED6"/>
          </w:tcPr>
          <w:p w14:paraId="0DF5CA12" w14:textId="3A2B5695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18 %</w:t>
            </w:r>
          </w:p>
        </w:tc>
        <w:tc>
          <w:tcPr>
            <w:tcW w:w="1090" w:type="dxa"/>
            <w:shd w:val="clear" w:color="auto" w:fill="BFCED6"/>
          </w:tcPr>
          <w:p w14:paraId="2955C3D2" w14:textId="2BA571AA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9 %</w:t>
            </w:r>
          </w:p>
        </w:tc>
        <w:tc>
          <w:tcPr>
            <w:tcW w:w="1090" w:type="dxa"/>
            <w:shd w:val="clear" w:color="auto" w:fill="BFCED6"/>
          </w:tcPr>
          <w:p w14:paraId="7AAA9596" w14:textId="050650F1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87 %</w:t>
            </w:r>
          </w:p>
        </w:tc>
        <w:tc>
          <w:tcPr>
            <w:tcW w:w="1091" w:type="dxa"/>
            <w:shd w:val="clear" w:color="auto" w:fill="BFCED6"/>
          </w:tcPr>
          <w:p w14:paraId="5A461A5E" w14:textId="5E5BDA48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12.8</w:t>
            </w:r>
          </w:p>
        </w:tc>
      </w:tr>
      <w:tr w:rsidR="008D13A2" w:rsidRPr="00A6366B" w14:paraId="7EDC808A" w14:textId="77777777" w:rsidTr="00257865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0F4E62AD" w14:textId="77777777" w:rsidR="008D13A2" w:rsidRPr="00382424" w:rsidRDefault="008D13A2" w:rsidP="008D13A2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FCED6"/>
          </w:tcPr>
          <w:p w14:paraId="4D2C4C4E" w14:textId="77777777" w:rsidR="008D13A2" w:rsidRPr="006F4A3D" w:rsidRDefault="008D13A2" w:rsidP="008D13A2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BFCED6"/>
          </w:tcPr>
          <w:p w14:paraId="377834C9" w14:textId="03922C37" w:rsidR="008D13A2" w:rsidRPr="005B1FEF" w:rsidRDefault="008D13A2" w:rsidP="008D13A2">
            <w:pPr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Springvale Women's PARC</w:t>
            </w:r>
          </w:p>
        </w:tc>
        <w:tc>
          <w:tcPr>
            <w:tcW w:w="1090" w:type="dxa"/>
            <w:shd w:val="clear" w:color="auto" w:fill="BFCED6"/>
          </w:tcPr>
          <w:p w14:paraId="198DE4CE" w14:textId="19B6E67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71 %</w:t>
            </w:r>
          </w:p>
        </w:tc>
        <w:tc>
          <w:tcPr>
            <w:tcW w:w="1090" w:type="dxa"/>
            <w:shd w:val="clear" w:color="auto" w:fill="BFCED6"/>
          </w:tcPr>
          <w:p w14:paraId="738F67E2" w14:textId="18B51F35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1090" w:type="dxa"/>
            <w:shd w:val="clear" w:color="auto" w:fill="BFCED6"/>
          </w:tcPr>
          <w:p w14:paraId="5F913A04" w14:textId="777AE6E7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616BA177" w14:textId="40F92407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1090" w:type="dxa"/>
            <w:shd w:val="clear" w:color="auto" w:fill="BFCED6"/>
          </w:tcPr>
          <w:p w14:paraId="791E2F4A" w14:textId="30E800FA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3 %</w:t>
            </w:r>
          </w:p>
        </w:tc>
        <w:tc>
          <w:tcPr>
            <w:tcW w:w="1090" w:type="dxa"/>
            <w:shd w:val="clear" w:color="auto" w:fill="BFCED6"/>
          </w:tcPr>
          <w:p w14:paraId="16091AA7" w14:textId="4F7A47E4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14 %</w:t>
            </w:r>
          </w:p>
        </w:tc>
        <w:tc>
          <w:tcPr>
            <w:tcW w:w="1090" w:type="dxa"/>
            <w:shd w:val="clear" w:color="auto" w:fill="BFCED6"/>
          </w:tcPr>
          <w:p w14:paraId="23BB2892" w14:textId="2124E433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98 %</w:t>
            </w:r>
          </w:p>
        </w:tc>
        <w:tc>
          <w:tcPr>
            <w:tcW w:w="1091" w:type="dxa"/>
            <w:shd w:val="clear" w:color="auto" w:fill="BFCED6"/>
          </w:tcPr>
          <w:p w14:paraId="76503A61" w14:textId="1F53415C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9.9</w:t>
            </w:r>
          </w:p>
        </w:tc>
      </w:tr>
      <w:tr w:rsidR="008D13A2" w:rsidRPr="00A6366B" w14:paraId="75B7AE18" w14:textId="77777777" w:rsidTr="00257865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7D6D075D" w14:textId="77777777" w:rsidR="008D13A2" w:rsidRPr="00382424" w:rsidRDefault="008D13A2" w:rsidP="008D13A2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FCED6"/>
          </w:tcPr>
          <w:p w14:paraId="5AC06A94" w14:textId="77777777" w:rsidR="008D13A2" w:rsidRPr="006F4A3D" w:rsidRDefault="008D13A2" w:rsidP="008D13A2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BFCED6"/>
          </w:tcPr>
          <w:p w14:paraId="22C589E8" w14:textId="73C1B97F" w:rsidR="008D13A2" w:rsidRPr="005B1FEF" w:rsidRDefault="008D13A2" w:rsidP="008D13A2">
            <w:pPr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090" w:type="dxa"/>
            <w:shd w:val="clear" w:color="auto" w:fill="BFCED6"/>
          </w:tcPr>
          <w:p w14:paraId="0F485077" w14:textId="69F62968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77 %</w:t>
            </w:r>
          </w:p>
        </w:tc>
        <w:tc>
          <w:tcPr>
            <w:tcW w:w="1090" w:type="dxa"/>
            <w:shd w:val="clear" w:color="auto" w:fill="BFCED6"/>
          </w:tcPr>
          <w:p w14:paraId="6443AE22" w14:textId="239F66C1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090" w:type="dxa"/>
            <w:shd w:val="clear" w:color="auto" w:fill="BFCED6"/>
          </w:tcPr>
          <w:p w14:paraId="137C4471" w14:textId="3535CA23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215A60B8" w14:textId="6B987A40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1090" w:type="dxa"/>
            <w:shd w:val="clear" w:color="auto" w:fill="BFCED6"/>
          </w:tcPr>
          <w:p w14:paraId="233D3921" w14:textId="5396EBC6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12 %</w:t>
            </w:r>
          </w:p>
        </w:tc>
        <w:tc>
          <w:tcPr>
            <w:tcW w:w="1090" w:type="dxa"/>
            <w:shd w:val="clear" w:color="auto" w:fill="BFCED6"/>
          </w:tcPr>
          <w:p w14:paraId="7EC568FF" w14:textId="5FDFF4F4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11 %</w:t>
            </w:r>
          </w:p>
        </w:tc>
        <w:tc>
          <w:tcPr>
            <w:tcW w:w="1090" w:type="dxa"/>
            <w:shd w:val="clear" w:color="auto" w:fill="BFCED6"/>
          </w:tcPr>
          <w:p w14:paraId="2F55D542" w14:textId="2DC50F4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91 %</w:t>
            </w:r>
          </w:p>
        </w:tc>
        <w:tc>
          <w:tcPr>
            <w:tcW w:w="1091" w:type="dxa"/>
            <w:shd w:val="clear" w:color="auto" w:fill="BFCED6"/>
          </w:tcPr>
          <w:p w14:paraId="7659FFCF" w14:textId="7BE8F4E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11.6</w:t>
            </w:r>
          </w:p>
        </w:tc>
      </w:tr>
      <w:tr w:rsidR="008D13A2" w:rsidRPr="00A6366B" w14:paraId="650B5071" w14:textId="77777777" w:rsidTr="00257865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16BCF298" w14:textId="77777777" w:rsidR="008D13A2" w:rsidRPr="00382424" w:rsidRDefault="008D13A2" w:rsidP="008D13A2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CED6"/>
          </w:tcPr>
          <w:p w14:paraId="69B38091" w14:textId="310E19D8" w:rsidR="008D13A2" w:rsidRPr="006F4A3D" w:rsidRDefault="008D13A2" w:rsidP="008D13A2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6F4A3D">
              <w:rPr>
                <w:rFonts w:ascii="VIC" w:eastAsia="Verdana" w:hAnsi="VIC"/>
                <w:color w:val="000000"/>
                <w:sz w:val="18"/>
                <w:szCs w:val="18"/>
              </w:rPr>
              <w:t>Middle South (Monash Adult)</w:t>
            </w:r>
          </w:p>
        </w:tc>
        <w:tc>
          <w:tcPr>
            <w:tcW w:w="2833" w:type="dxa"/>
            <w:shd w:val="clear" w:color="auto" w:fill="BFCED6"/>
          </w:tcPr>
          <w:p w14:paraId="2658223B" w14:textId="05FF0E3D" w:rsidR="008D13A2" w:rsidRPr="005B1FEF" w:rsidRDefault="008D13A2" w:rsidP="008D13A2">
            <w:pPr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Clayton PARC</w:t>
            </w:r>
          </w:p>
        </w:tc>
        <w:tc>
          <w:tcPr>
            <w:tcW w:w="1090" w:type="dxa"/>
            <w:shd w:val="clear" w:color="auto" w:fill="BFCED6"/>
          </w:tcPr>
          <w:p w14:paraId="1E25E5F6" w14:textId="24D1DF2D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74 %</w:t>
            </w:r>
          </w:p>
        </w:tc>
        <w:tc>
          <w:tcPr>
            <w:tcW w:w="1090" w:type="dxa"/>
            <w:shd w:val="clear" w:color="auto" w:fill="BFCED6"/>
          </w:tcPr>
          <w:p w14:paraId="2EF3CE82" w14:textId="226B90D9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1090" w:type="dxa"/>
            <w:shd w:val="clear" w:color="auto" w:fill="BFCED6"/>
          </w:tcPr>
          <w:p w14:paraId="5A461749" w14:textId="13A0A3F6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4DF81EFD" w14:textId="14BEC0A7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1090" w:type="dxa"/>
            <w:shd w:val="clear" w:color="auto" w:fill="BFCED6"/>
          </w:tcPr>
          <w:p w14:paraId="42C9B716" w14:textId="74F1878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9 %</w:t>
            </w:r>
          </w:p>
        </w:tc>
        <w:tc>
          <w:tcPr>
            <w:tcW w:w="1090" w:type="dxa"/>
            <w:shd w:val="clear" w:color="auto" w:fill="BFCED6"/>
          </w:tcPr>
          <w:p w14:paraId="4F81A567" w14:textId="70EA37F6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10 %</w:t>
            </w:r>
          </w:p>
        </w:tc>
        <w:tc>
          <w:tcPr>
            <w:tcW w:w="1090" w:type="dxa"/>
            <w:shd w:val="clear" w:color="auto" w:fill="BFCED6"/>
          </w:tcPr>
          <w:p w14:paraId="450E1603" w14:textId="6471CF6D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98 %</w:t>
            </w:r>
          </w:p>
        </w:tc>
        <w:tc>
          <w:tcPr>
            <w:tcW w:w="1091" w:type="dxa"/>
            <w:shd w:val="clear" w:color="auto" w:fill="BFCED6"/>
          </w:tcPr>
          <w:p w14:paraId="3BB3352A" w14:textId="7D2F7A8F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13.8</w:t>
            </w:r>
          </w:p>
        </w:tc>
      </w:tr>
      <w:tr w:rsidR="008D13A2" w:rsidRPr="00A6366B" w14:paraId="5807F5CC" w14:textId="77777777" w:rsidTr="00257865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3620A70E" w14:textId="77777777" w:rsidR="008D13A2" w:rsidRPr="00382424" w:rsidRDefault="008D13A2" w:rsidP="008D13A2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CED6"/>
          </w:tcPr>
          <w:p w14:paraId="1DB59E4D" w14:textId="05023D47" w:rsidR="008D13A2" w:rsidRPr="006F4A3D" w:rsidRDefault="008D13A2" w:rsidP="008D13A2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6F4A3D">
              <w:rPr>
                <w:rFonts w:ascii="VIC" w:eastAsia="Verdana" w:hAnsi="VIC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833" w:type="dxa"/>
            <w:shd w:val="clear" w:color="auto" w:fill="BFCED6"/>
          </w:tcPr>
          <w:p w14:paraId="5B86BE1F" w14:textId="217DCAB8" w:rsidR="008D13A2" w:rsidRPr="005B1FEF" w:rsidRDefault="008D13A2" w:rsidP="008D13A2">
            <w:pPr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shd w:val="clear" w:color="auto" w:fill="BFCED6"/>
          </w:tcPr>
          <w:p w14:paraId="5B389668" w14:textId="71D6B79A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84 %</w:t>
            </w:r>
          </w:p>
        </w:tc>
        <w:tc>
          <w:tcPr>
            <w:tcW w:w="1090" w:type="dxa"/>
            <w:shd w:val="clear" w:color="auto" w:fill="BFCED6"/>
          </w:tcPr>
          <w:p w14:paraId="24EF0A3F" w14:textId="554E8914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1090" w:type="dxa"/>
            <w:shd w:val="clear" w:color="auto" w:fill="BFCED6"/>
          </w:tcPr>
          <w:p w14:paraId="0168CD09" w14:textId="40EDA11A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2C8E83F3" w14:textId="774A3E4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1090" w:type="dxa"/>
            <w:shd w:val="clear" w:color="auto" w:fill="BFCED6"/>
          </w:tcPr>
          <w:p w14:paraId="7268C529" w14:textId="76452AB2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11 %</w:t>
            </w:r>
          </w:p>
        </w:tc>
        <w:tc>
          <w:tcPr>
            <w:tcW w:w="1090" w:type="dxa"/>
            <w:shd w:val="clear" w:color="auto" w:fill="BFCED6"/>
          </w:tcPr>
          <w:p w14:paraId="3860B0F7" w14:textId="5683F250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12 %</w:t>
            </w:r>
          </w:p>
        </w:tc>
        <w:tc>
          <w:tcPr>
            <w:tcW w:w="1090" w:type="dxa"/>
            <w:shd w:val="clear" w:color="auto" w:fill="BFCED6"/>
          </w:tcPr>
          <w:p w14:paraId="72550A37" w14:textId="1EF3C673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92 %</w:t>
            </w:r>
          </w:p>
        </w:tc>
        <w:tc>
          <w:tcPr>
            <w:tcW w:w="1091" w:type="dxa"/>
            <w:shd w:val="clear" w:color="auto" w:fill="BFCED6"/>
          </w:tcPr>
          <w:p w14:paraId="7071C7B9" w14:textId="0910E606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12.5</w:t>
            </w:r>
          </w:p>
        </w:tc>
      </w:tr>
      <w:tr w:rsidR="008D13A2" w:rsidRPr="00A6366B" w14:paraId="46485EFF" w14:textId="77777777" w:rsidTr="00257865">
        <w:trPr>
          <w:trHeight w:val="284"/>
        </w:trPr>
        <w:tc>
          <w:tcPr>
            <w:tcW w:w="1570" w:type="dxa"/>
            <w:vMerge w:val="restart"/>
            <w:shd w:val="clear" w:color="auto" w:fill="FFFFFF" w:themeFill="background1"/>
          </w:tcPr>
          <w:p w14:paraId="0B45650D" w14:textId="00953AC6" w:rsidR="008D13A2" w:rsidRPr="00382424" w:rsidRDefault="008D13A2" w:rsidP="008D13A2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6F4A3D">
              <w:rPr>
                <w:rFonts w:ascii="VIC" w:eastAsia="Verdana" w:hAnsi="VIC"/>
                <w:color w:val="000000"/>
                <w:sz w:val="18"/>
                <w:szCs w:val="18"/>
              </w:rPr>
              <w:t>Peninsula Health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004253C2" w14:textId="2037D606" w:rsidR="008D13A2" w:rsidRPr="006F4A3D" w:rsidRDefault="008D13A2" w:rsidP="008D13A2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6F4A3D">
              <w:rPr>
                <w:rFonts w:ascii="VIC" w:eastAsia="Verdana" w:hAnsi="VIC"/>
                <w:color w:val="000000"/>
                <w:sz w:val="18"/>
                <w:szCs w:val="18"/>
              </w:rPr>
              <w:t>Peninsula</w:t>
            </w:r>
          </w:p>
        </w:tc>
        <w:tc>
          <w:tcPr>
            <w:tcW w:w="2833" w:type="dxa"/>
            <w:shd w:val="clear" w:color="auto" w:fill="FFFFFF" w:themeFill="background1"/>
          </w:tcPr>
          <w:p w14:paraId="0B93D727" w14:textId="2618A71E" w:rsidR="008D13A2" w:rsidRPr="005B1FEF" w:rsidRDefault="008D13A2" w:rsidP="008D13A2">
            <w:pPr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Peninsula PARC, Adult</w:t>
            </w:r>
          </w:p>
        </w:tc>
        <w:tc>
          <w:tcPr>
            <w:tcW w:w="1090" w:type="dxa"/>
            <w:shd w:val="clear" w:color="auto" w:fill="FFFFFF" w:themeFill="background1"/>
          </w:tcPr>
          <w:p w14:paraId="41B1A3F3" w14:textId="1ACFFD99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84 %</w:t>
            </w:r>
          </w:p>
        </w:tc>
        <w:tc>
          <w:tcPr>
            <w:tcW w:w="1090" w:type="dxa"/>
            <w:shd w:val="clear" w:color="auto" w:fill="FFFFFF" w:themeFill="background1"/>
          </w:tcPr>
          <w:p w14:paraId="56EB6CA5" w14:textId="384085F0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090" w:type="dxa"/>
            <w:shd w:val="clear" w:color="auto" w:fill="FFFFFF" w:themeFill="background1"/>
          </w:tcPr>
          <w:p w14:paraId="20B3DC85" w14:textId="1E5F1A3D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11 %</w:t>
            </w:r>
          </w:p>
        </w:tc>
        <w:tc>
          <w:tcPr>
            <w:tcW w:w="1090" w:type="dxa"/>
            <w:shd w:val="clear" w:color="auto" w:fill="FFFFFF" w:themeFill="background1"/>
          </w:tcPr>
          <w:p w14:paraId="2F1FA758" w14:textId="417E45AA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1090" w:type="dxa"/>
            <w:shd w:val="clear" w:color="auto" w:fill="FFFFFF" w:themeFill="background1"/>
          </w:tcPr>
          <w:p w14:paraId="6C63AA51" w14:textId="24436AB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7 %</w:t>
            </w:r>
          </w:p>
        </w:tc>
        <w:tc>
          <w:tcPr>
            <w:tcW w:w="1090" w:type="dxa"/>
            <w:shd w:val="clear" w:color="auto" w:fill="FFFFFF" w:themeFill="background1"/>
          </w:tcPr>
          <w:p w14:paraId="4689CCFA" w14:textId="4962C8A6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4 %</w:t>
            </w:r>
          </w:p>
        </w:tc>
        <w:tc>
          <w:tcPr>
            <w:tcW w:w="1090" w:type="dxa"/>
            <w:shd w:val="clear" w:color="auto" w:fill="FFFFFF" w:themeFill="background1"/>
          </w:tcPr>
          <w:p w14:paraId="18F5E18D" w14:textId="6DB86909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98 %</w:t>
            </w:r>
          </w:p>
        </w:tc>
        <w:tc>
          <w:tcPr>
            <w:tcW w:w="1091" w:type="dxa"/>
            <w:shd w:val="clear" w:color="auto" w:fill="FFFFFF" w:themeFill="background1"/>
          </w:tcPr>
          <w:p w14:paraId="2F896DDC" w14:textId="56A26B37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14.3</w:t>
            </w:r>
          </w:p>
        </w:tc>
      </w:tr>
      <w:tr w:rsidR="008D13A2" w:rsidRPr="00A6366B" w14:paraId="5157AE19" w14:textId="77777777" w:rsidTr="00257865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7AE66BB8" w14:textId="77777777" w:rsidR="008D13A2" w:rsidRPr="00382424" w:rsidRDefault="008D13A2" w:rsidP="008D13A2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74BF76C3" w14:textId="77777777" w:rsidR="008D13A2" w:rsidRPr="006F4A3D" w:rsidRDefault="008D13A2" w:rsidP="008D13A2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703C2008" w14:textId="5765A0B8" w:rsidR="008D13A2" w:rsidRPr="005B1FEF" w:rsidRDefault="008D13A2" w:rsidP="008D13A2">
            <w:pPr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Peninsula PARC, Youth (16-17)</w:t>
            </w:r>
          </w:p>
        </w:tc>
        <w:tc>
          <w:tcPr>
            <w:tcW w:w="1090" w:type="dxa"/>
            <w:shd w:val="clear" w:color="auto" w:fill="FFFFFF" w:themeFill="background1"/>
          </w:tcPr>
          <w:p w14:paraId="4DA5C339" w14:textId="70D38BA2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68 %</w:t>
            </w:r>
          </w:p>
        </w:tc>
        <w:tc>
          <w:tcPr>
            <w:tcW w:w="1090" w:type="dxa"/>
            <w:shd w:val="clear" w:color="auto" w:fill="FFFFFF" w:themeFill="background1"/>
          </w:tcPr>
          <w:p w14:paraId="6B3F4655" w14:textId="7EA0A90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1090" w:type="dxa"/>
            <w:shd w:val="clear" w:color="auto" w:fill="FFFFFF" w:themeFill="background1"/>
          </w:tcPr>
          <w:p w14:paraId="757A28E8" w14:textId="74826AC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35 %</w:t>
            </w:r>
          </w:p>
        </w:tc>
        <w:tc>
          <w:tcPr>
            <w:tcW w:w="1090" w:type="dxa"/>
            <w:shd w:val="clear" w:color="auto" w:fill="FFFFFF" w:themeFill="background1"/>
          </w:tcPr>
          <w:p w14:paraId="6A803A33" w14:textId="4A485041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1090" w:type="dxa"/>
            <w:shd w:val="clear" w:color="auto" w:fill="FFFFFF" w:themeFill="background1"/>
          </w:tcPr>
          <w:p w14:paraId="5445A259" w14:textId="533BAB59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FFFFFF" w:themeFill="background1"/>
          </w:tcPr>
          <w:p w14:paraId="0E7218C9" w14:textId="33295817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FFFFFF" w:themeFill="background1"/>
          </w:tcPr>
          <w:p w14:paraId="7EF9C4D2" w14:textId="54252D44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87 %</w:t>
            </w:r>
          </w:p>
        </w:tc>
        <w:tc>
          <w:tcPr>
            <w:tcW w:w="1091" w:type="dxa"/>
            <w:shd w:val="clear" w:color="auto" w:fill="FFFFFF" w:themeFill="background1"/>
          </w:tcPr>
          <w:p w14:paraId="4A2D9270" w14:textId="31466B69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15.0</w:t>
            </w:r>
          </w:p>
        </w:tc>
      </w:tr>
      <w:tr w:rsidR="008D13A2" w:rsidRPr="00A6366B" w14:paraId="6E4A7E2E" w14:textId="77777777" w:rsidTr="00257865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26374387" w14:textId="77777777" w:rsidR="008D13A2" w:rsidRPr="00382424" w:rsidRDefault="008D13A2" w:rsidP="008D13A2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3126552E" w14:textId="77777777" w:rsidR="008D13A2" w:rsidRPr="006F4A3D" w:rsidRDefault="008D13A2" w:rsidP="008D13A2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269E95F6" w14:textId="342CC288" w:rsidR="008D13A2" w:rsidRPr="005B1FEF" w:rsidRDefault="008D13A2" w:rsidP="008D13A2">
            <w:pPr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Peninsula PARC, Youth (18-25)</w:t>
            </w:r>
          </w:p>
        </w:tc>
        <w:tc>
          <w:tcPr>
            <w:tcW w:w="1090" w:type="dxa"/>
            <w:shd w:val="clear" w:color="auto" w:fill="FFFFFF" w:themeFill="background1"/>
          </w:tcPr>
          <w:p w14:paraId="2CEBC673" w14:textId="342FAAC2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98 %</w:t>
            </w:r>
          </w:p>
        </w:tc>
        <w:tc>
          <w:tcPr>
            <w:tcW w:w="1090" w:type="dxa"/>
            <w:shd w:val="clear" w:color="auto" w:fill="FFFFFF" w:themeFill="background1"/>
          </w:tcPr>
          <w:p w14:paraId="6C28F993" w14:textId="23B695AB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1090" w:type="dxa"/>
            <w:shd w:val="clear" w:color="auto" w:fill="FFFFFF" w:themeFill="background1"/>
          </w:tcPr>
          <w:p w14:paraId="7AFB6766" w14:textId="2E9875A6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18 %</w:t>
            </w:r>
          </w:p>
        </w:tc>
        <w:tc>
          <w:tcPr>
            <w:tcW w:w="1090" w:type="dxa"/>
            <w:shd w:val="clear" w:color="auto" w:fill="FFFFFF" w:themeFill="background1"/>
          </w:tcPr>
          <w:p w14:paraId="19BA9C95" w14:textId="29E62172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1090" w:type="dxa"/>
            <w:shd w:val="clear" w:color="auto" w:fill="FFFFFF" w:themeFill="background1"/>
          </w:tcPr>
          <w:p w14:paraId="2715C298" w14:textId="7C9DD878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3 %</w:t>
            </w:r>
          </w:p>
        </w:tc>
        <w:tc>
          <w:tcPr>
            <w:tcW w:w="1090" w:type="dxa"/>
            <w:shd w:val="clear" w:color="auto" w:fill="FFFFFF" w:themeFill="background1"/>
          </w:tcPr>
          <w:p w14:paraId="08D6F91E" w14:textId="4E866D6D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5 %</w:t>
            </w:r>
          </w:p>
        </w:tc>
        <w:tc>
          <w:tcPr>
            <w:tcW w:w="1090" w:type="dxa"/>
            <w:shd w:val="clear" w:color="auto" w:fill="FFFFFF" w:themeFill="background1"/>
          </w:tcPr>
          <w:p w14:paraId="663FA274" w14:textId="1620D5ED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99 %</w:t>
            </w:r>
          </w:p>
        </w:tc>
        <w:tc>
          <w:tcPr>
            <w:tcW w:w="1091" w:type="dxa"/>
            <w:shd w:val="clear" w:color="auto" w:fill="FFFFFF" w:themeFill="background1"/>
          </w:tcPr>
          <w:p w14:paraId="3A1FBAB5" w14:textId="04BBAB16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14.2</w:t>
            </w:r>
          </w:p>
        </w:tc>
      </w:tr>
      <w:tr w:rsidR="008D13A2" w:rsidRPr="00A6366B" w14:paraId="26E5C1C9" w14:textId="77777777" w:rsidTr="00257865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520D38CF" w14:textId="77777777" w:rsidR="008D13A2" w:rsidRPr="00382424" w:rsidRDefault="008D13A2" w:rsidP="008D13A2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604942BA" w14:textId="77777777" w:rsidR="008D13A2" w:rsidRPr="006F4A3D" w:rsidRDefault="008D13A2" w:rsidP="008D13A2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7591B820" w14:textId="27610A4A" w:rsidR="008D13A2" w:rsidRPr="005B1FEF" w:rsidRDefault="008D13A2" w:rsidP="008D13A2">
            <w:pPr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090" w:type="dxa"/>
            <w:shd w:val="clear" w:color="auto" w:fill="FFFFFF" w:themeFill="background1"/>
          </w:tcPr>
          <w:p w14:paraId="7251ACAB" w14:textId="50D4708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87 %</w:t>
            </w:r>
          </w:p>
        </w:tc>
        <w:tc>
          <w:tcPr>
            <w:tcW w:w="1090" w:type="dxa"/>
            <w:shd w:val="clear" w:color="auto" w:fill="FFFFFF" w:themeFill="background1"/>
          </w:tcPr>
          <w:p w14:paraId="4259FE81" w14:textId="00EECFDB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1090" w:type="dxa"/>
            <w:shd w:val="clear" w:color="auto" w:fill="FFFFFF" w:themeFill="background1"/>
          </w:tcPr>
          <w:p w14:paraId="11856160" w14:textId="64A8B6FC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17 %</w:t>
            </w:r>
          </w:p>
        </w:tc>
        <w:tc>
          <w:tcPr>
            <w:tcW w:w="1090" w:type="dxa"/>
            <w:shd w:val="clear" w:color="auto" w:fill="FFFFFF" w:themeFill="background1"/>
          </w:tcPr>
          <w:p w14:paraId="44F5506E" w14:textId="3780C4C1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1090" w:type="dxa"/>
            <w:shd w:val="clear" w:color="auto" w:fill="FFFFFF" w:themeFill="background1"/>
          </w:tcPr>
          <w:p w14:paraId="121B5A6A" w14:textId="6208F1EF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5 %</w:t>
            </w:r>
          </w:p>
        </w:tc>
        <w:tc>
          <w:tcPr>
            <w:tcW w:w="1090" w:type="dxa"/>
            <w:shd w:val="clear" w:color="auto" w:fill="FFFFFF" w:themeFill="background1"/>
          </w:tcPr>
          <w:p w14:paraId="3E684ECD" w14:textId="0C364527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4 %</w:t>
            </w:r>
          </w:p>
        </w:tc>
        <w:tc>
          <w:tcPr>
            <w:tcW w:w="1090" w:type="dxa"/>
            <w:shd w:val="clear" w:color="auto" w:fill="FFFFFF" w:themeFill="background1"/>
          </w:tcPr>
          <w:p w14:paraId="16FAFC42" w14:textId="1907AF27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97 %</w:t>
            </w:r>
          </w:p>
        </w:tc>
        <w:tc>
          <w:tcPr>
            <w:tcW w:w="1091" w:type="dxa"/>
            <w:shd w:val="clear" w:color="auto" w:fill="FFFFFF" w:themeFill="background1"/>
          </w:tcPr>
          <w:p w14:paraId="42A3F473" w14:textId="56D737AB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14.3</w:t>
            </w:r>
          </w:p>
        </w:tc>
      </w:tr>
      <w:tr w:rsidR="008D13A2" w:rsidRPr="00A6366B" w14:paraId="00F0B8D3" w14:textId="77777777" w:rsidTr="00257865">
        <w:trPr>
          <w:trHeight w:val="284"/>
        </w:trPr>
        <w:tc>
          <w:tcPr>
            <w:tcW w:w="1570" w:type="dxa"/>
            <w:shd w:val="clear" w:color="auto" w:fill="BFCED6"/>
          </w:tcPr>
          <w:p w14:paraId="6D753866" w14:textId="6D576F71" w:rsidR="008D13A2" w:rsidRPr="00382424" w:rsidRDefault="008D13A2" w:rsidP="008D13A2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6F4A3D">
              <w:rPr>
                <w:rFonts w:ascii="VIC" w:eastAsia="Verdana" w:hAnsi="VIC"/>
                <w:color w:val="000000"/>
                <w:sz w:val="18"/>
                <w:szCs w:val="18"/>
              </w:rPr>
              <w:t>St Vincent's Hospital</w:t>
            </w:r>
          </w:p>
        </w:tc>
        <w:tc>
          <w:tcPr>
            <w:tcW w:w="2410" w:type="dxa"/>
            <w:shd w:val="clear" w:color="auto" w:fill="BFCED6"/>
          </w:tcPr>
          <w:p w14:paraId="45019245" w14:textId="4E5B439A" w:rsidR="008D13A2" w:rsidRPr="006F4A3D" w:rsidRDefault="008D13A2" w:rsidP="008D13A2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6F4A3D">
              <w:rPr>
                <w:rFonts w:ascii="VIC" w:eastAsia="Verdana" w:hAnsi="VIC"/>
                <w:color w:val="000000"/>
                <w:sz w:val="18"/>
                <w:szCs w:val="18"/>
              </w:rPr>
              <w:t>Inner East (St Vincent's)</w:t>
            </w:r>
          </w:p>
        </w:tc>
        <w:tc>
          <w:tcPr>
            <w:tcW w:w="2833" w:type="dxa"/>
            <w:shd w:val="clear" w:color="auto" w:fill="BFCED6"/>
          </w:tcPr>
          <w:p w14:paraId="68554C96" w14:textId="4C5494E8" w:rsidR="008D13A2" w:rsidRPr="005B1FEF" w:rsidRDefault="008D13A2" w:rsidP="008D13A2">
            <w:pPr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St Vincent's PARC</w:t>
            </w:r>
          </w:p>
        </w:tc>
        <w:tc>
          <w:tcPr>
            <w:tcW w:w="1090" w:type="dxa"/>
            <w:shd w:val="clear" w:color="auto" w:fill="BFCED6"/>
          </w:tcPr>
          <w:p w14:paraId="2B68096F" w14:textId="63E1608B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76 %</w:t>
            </w:r>
          </w:p>
        </w:tc>
        <w:tc>
          <w:tcPr>
            <w:tcW w:w="1090" w:type="dxa"/>
            <w:shd w:val="clear" w:color="auto" w:fill="BFCED6"/>
          </w:tcPr>
          <w:p w14:paraId="513EB33A" w14:textId="5841B3A6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1090" w:type="dxa"/>
            <w:shd w:val="clear" w:color="auto" w:fill="BFCED6"/>
          </w:tcPr>
          <w:p w14:paraId="6D6E91FB" w14:textId="6B95CA82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20 %</w:t>
            </w:r>
          </w:p>
        </w:tc>
        <w:tc>
          <w:tcPr>
            <w:tcW w:w="1090" w:type="dxa"/>
            <w:shd w:val="clear" w:color="auto" w:fill="BFCED6"/>
          </w:tcPr>
          <w:p w14:paraId="45E34930" w14:textId="6C86C9F2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090" w:type="dxa"/>
            <w:shd w:val="clear" w:color="auto" w:fill="BFCED6"/>
          </w:tcPr>
          <w:p w14:paraId="3B7B8BC8" w14:textId="09FE3856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5 %</w:t>
            </w:r>
          </w:p>
        </w:tc>
        <w:tc>
          <w:tcPr>
            <w:tcW w:w="1090" w:type="dxa"/>
            <w:shd w:val="clear" w:color="auto" w:fill="BFCED6"/>
          </w:tcPr>
          <w:p w14:paraId="0DAE4D3A" w14:textId="78C3F29C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9 %</w:t>
            </w:r>
          </w:p>
        </w:tc>
        <w:tc>
          <w:tcPr>
            <w:tcW w:w="1090" w:type="dxa"/>
            <w:shd w:val="clear" w:color="auto" w:fill="BFCED6"/>
          </w:tcPr>
          <w:p w14:paraId="2893C268" w14:textId="103F53CB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95 %</w:t>
            </w:r>
          </w:p>
        </w:tc>
        <w:tc>
          <w:tcPr>
            <w:tcW w:w="1091" w:type="dxa"/>
            <w:shd w:val="clear" w:color="auto" w:fill="BFCED6"/>
          </w:tcPr>
          <w:p w14:paraId="72D56E2D" w14:textId="687E55C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16.6</w:t>
            </w:r>
          </w:p>
        </w:tc>
      </w:tr>
      <w:tr w:rsidR="008D13A2" w:rsidRPr="00A6366B" w14:paraId="01DDC31B" w14:textId="77777777" w:rsidTr="00257865">
        <w:trPr>
          <w:trHeight w:val="284"/>
        </w:trPr>
        <w:tc>
          <w:tcPr>
            <w:tcW w:w="1570" w:type="dxa"/>
            <w:shd w:val="clear" w:color="auto" w:fill="FFFFFF" w:themeFill="background1"/>
          </w:tcPr>
          <w:p w14:paraId="40A1A097" w14:textId="2FDAE0D0" w:rsidR="008D13A2" w:rsidRPr="00382424" w:rsidRDefault="008D13A2" w:rsidP="008D13A2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6F4A3D">
              <w:rPr>
                <w:rFonts w:ascii="VIC" w:eastAsia="Verdana" w:hAnsi="VIC"/>
                <w:color w:val="000000"/>
                <w:sz w:val="18"/>
                <w:szCs w:val="18"/>
              </w:rPr>
              <w:t>Mercy Health</w:t>
            </w:r>
          </w:p>
        </w:tc>
        <w:tc>
          <w:tcPr>
            <w:tcW w:w="2410" w:type="dxa"/>
            <w:shd w:val="clear" w:color="auto" w:fill="FFFFFF" w:themeFill="background1"/>
          </w:tcPr>
          <w:p w14:paraId="139AA99C" w14:textId="7AEF5C68" w:rsidR="008D13A2" w:rsidRPr="006F4A3D" w:rsidRDefault="008D13A2" w:rsidP="008D13A2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6F4A3D">
              <w:rPr>
                <w:rFonts w:ascii="VIC" w:eastAsia="Verdana" w:hAnsi="VIC"/>
                <w:color w:val="000000"/>
                <w:sz w:val="18"/>
                <w:szCs w:val="18"/>
              </w:rPr>
              <w:t>South West (Werribee)</w:t>
            </w:r>
          </w:p>
        </w:tc>
        <w:tc>
          <w:tcPr>
            <w:tcW w:w="2833" w:type="dxa"/>
            <w:shd w:val="clear" w:color="auto" w:fill="FFFFFF" w:themeFill="background1"/>
          </w:tcPr>
          <w:p w14:paraId="2F69769A" w14:textId="358ECDE3" w:rsidR="008D13A2" w:rsidRPr="005B1FEF" w:rsidRDefault="008D13A2" w:rsidP="008D13A2">
            <w:pPr>
              <w:rPr>
                <w:rFonts w:ascii="VIC" w:hAnsi="VIC"/>
                <w:sz w:val="18"/>
                <w:szCs w:val="18"/>
              </w:rPr>
            </w:pPr>
            <w:proofErr w:type="spellStart"/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Werribee</w:t>
            </w:r>
            <w:proofErr w:type="spellEnd"/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 xml:space="preserve">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7BF7BCDF" w14:textId="427D4CE4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93 %</w:t>
            </w:r>
          </w:p>
        </w:tc>
        <w:tc>
          <w:tcPr>
            <w:tcW w:w="1090" w:type="dxa"/>
            <w:shd w:val="clear" w:color="auto" w:fill="FFFFFF" w:themeFill="background1"/>
          </w:tcPr>
          <w:p w14:paraId="6A15A96D" w14:textId="5BFB8EFC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1090" w:type="dxa"/>
            <w:shd w:val="clear" w:color="auto" w:fill="FFFFFF" w:themeFill="background1"/>
          </w:tcPr>
          <w:p w14:paraId="5C11A286" w14:textId="5CA93050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FFFFFF" w:themeFill="background1"/>
          </w:tcPr>
          <w:p w14:paraId="2B94C60C" w14:textId="61AF53F0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1090" w:type="dxa"/>
            <w:shd w:val="clear" w:color="auto" w:fill="FFFFFF" w:themeFill="background1"/>
          </w:tcPr>
          <w:p w14:paraId="057E8C43" w14:textId="1E340717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14 %</w:t>
            </w:r>
          </w:p>
        </w:tc>
        <w:tc>
          <w:tcPr>
            <w:tcW w:w="1090" w:type="dxa"/>
            <w:shd w:val="clear" w:color="auto" w:fill="FFFFFF" w:themeFill="background1"/>
          </w:tcPr>
          <w:p w14:paraId="62D787E8" w14:textId="4D00BC38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19 %</w:t>
            </w:r>
          </w:p>
        </w:tc>
        <w:tc>
          <w:tcPr>
            <w:tcW w:w="1090" w:type="dxa"/>
            <w:shd w:val="clear" w:color="auto" w:fill="FFFFFF" w:themeFill="background1"/>
          </w:tcPr>
          <w:p w14:paraId="5D38EA0B" w14:textId="30419965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91 %</w:t>
            </w:r>
          </w:p>
        </w:tc>
        <w:tc>
          <w:tcPr>
            <w:tcW w:w="1091" w:type="dxa"/>
            <w:shd w:val="clear" w:color="auto" w:fill="FFFFFF" w:themeFill="background1"/>
          </w:tcPr>
          <w:p w14:paraId="0185B783" w14:textId="5FA6847E" w:rsidR="008D13A2" w:rsidRPr="005B1FEF" w:rsidRDefault="008D13A2" w:rsidP="008D13A2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206085">
              <w:rPr>
                <w:rFonts w:ascii="VIC" w:eastAsia="Verdana" w:hAnsi="VIC"/>
                <w:color w:val="000000"/>
                <w:sz w:val="18"/>
                <w:szCs w:val="18"/>
              </w:rPr>
              <w:t>11.6</w:t>
            </w:r>
          </w:p>
        </w:tc>
      </w:tr>
      <w:tr w:rsidR="008D13A2" w:rsidRPr="008D13A2" w14:paraId="61D74D0B" w14:textId="77777777" w:rsidTr="00257865">
        <w:trPr>
          <w:trHeight w:val="284"/>
        </w:trPr>
        <w:tc>
          <w:tcPr>
            <w:tcW w:w="1570" w:type="dxa"/>
            <w:shd w:val="clear" w:color="auto" w:fill="B1C9E8"/>
          </w:tcPr>
          <w:p w14:paraId="5DF3BEE2" w14:textId="77777777" w:rsidR="008D13A2" w:rsidRPr="008D13A2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hAnsi="VIC"/>
                <w:color w:val="000000" w:themeColor="text1"/>
                <w:w w:val="105"/>
                <w:sz w:val="18"/>
                <w:szCs w:val="18"/>
              </w:rPr>
              <w:t>TOTAL METRO</w:t>
            </w:r>
          </w:p>
        </w:tc>
        <w:tc>
          <w:tcPr>
            <w:tcW w:w="2410" w:type="dxa"/>
            <w:shd w:val="clear" w:color="auto" w:fill="B1C9E8"/>
          </w:tcPr>
          <w:p w14:paraId="6AEED8D7" w14:textId="77777777" w:rsidR="008D13A2" w:rsidRPr="008D13A2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B1C9E8"/>
          </w:tcPr>
          <w:p w14:paraId="6801A0CC" w14:textId="1235B695" w:rsidR="008D13A2" w:rsidRPr="008D13A2" w:rsidRDefault="008D13A2" w:rsidP="008D13A2">
            <w:pPr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shd w:val="clear" w:color="auto" w:fill="B1C9E8"/>
          </w:tcPr>
          <w:p w14:paraId="21829325" w14:textId="31AA3FAE" w:rsidR="008D13A2" w:rsidRPr="008D13A2" w:rsidRDefault="008D13A2" w:rsidP="008D13A2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>84 %</w:t>
            </w:r>
          </w:p>
        </w:tc>
        <w:tc>
          <w:tcPr>
            <w:tcW w:w="1090" w:type="dxa"/>
            <w:shd w:val="clear" w:color="auto" w:fill="B1C9E8"/>
          </w:tcPr>
          <w:p w14:paraId="2953AE89" w14:textId="6B59CFF9" w:rsidR="008D13A2" w:rsidRPr="008D13A2" w:rsidRDefault="008D13A2" w:rsidP="008D13A2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>20.2</w:t>
            </w:r>
          </w:p>
        </w:tc>
        <w:tc>
          <w:tcPr>
            <w:tcW w:w="1090" w:type="dxa"/>
            <w:shd w:val="clear" w:color="auto" w:fill="B1C9E8"/>
          </w:tcPr>
          <w:p w14:paraId="0A5B8B2D" w14:textId="6F8C7485" w:rsidR="008D13A2" w:rsidRPr="008D13A2" w:rsidRDefault="008D13A2" w:rsidP="008D13A2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>5 %</w:t>
            </w:r>
          </w:p>
        </w:tc>
        <w:tc>
          <w:tcPr>
            <w:tcW w:w="1090" w:type="dxa"/>
            <w:shd w:val="clear" w:color="auto" w:fill="B1C9E8"/>
          </w:tcPr>
          <w:p w14:paraId="74F6E2CF" w14:textId="7A5F1643" w:rsidR="008D13A2" w:rsidRPr="008D13A2" w:rsidRDefault="008D13A2" w:rsidP="008D13A2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>23.6</w:t>
            </w:r>
          </w:p>
        </w:tc>
        <w:tc>
          <w:tcPr>
            <w:tcW w:w="1090" w:type="dxa"/>
            <w:shd w:val="clear" w:color="auto" w:fill="B1C9E8"/>
          </w:tcPr>
          <w:p w14:paraId="3E681882" w14:textId="2CE60399" w:rsidR="008D13A2" w:rsidRPr="008D13A2" w:rsidRDefault="008D13A2" w:rsidP="008D13A2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>10 %</w:t>
            </w:r>
          </w:p>
        </w:tc>
        <w:tc>
          <w:tcPr>
            <w:tcW w:w="1090" w:type="dxa"/>
            <w:shd w:val="clear" w:color="auto" w:fill="B1C9E8"/>
          </w:tcPr>
          <w:p w14:paraId="3A811010" w14:textId="0F24D6C8" w:rsidR="008D13A2" w:rsidRPr="008D13A2" w:rsidRDefault="008D13A2" w:rsidP="008D13A2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>12 %</w:t>
            </w:r>
          </w:p>
        </w:tc>
        <w:tc>
          <w:tcPr>
            <w:tcW w:w="1090" w:type="dxa"/>
            <w:shd w:val="clear" w:color="auto" w:fill="B1C9E8"/>
          </w:tcPr>
          <w:p w14:paraId="6690F450" w14:textId="1350741A" w:rsidR="008D13A2" w:rsidRPr="008D13A2" w:rsidRDefault="008D13A2" w:rsidP="008D13A2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>93 %</w:t>
            </w:r>
          </w:p>
        </w:tc>
        <w:tc>
          <w:tcPr>
            <w:tcW w:w="1091" w:type="dxa"/>
            <w:shd w:val="clear" w:color="auto" w:fill="B1C9E8"/>
          </w:tcPr>
          <w:p w14:paraId="045211AE" w14:textId="1082BAD4" w:rsidR="008D13A2" w:rsidRPr="008D13A2" w:rsidRDefault="008D13A2" w:rsidP="008D13A2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000000" w:themeColor="text1"/>
                <w:sz w:val="18"/>
                <w:szCs w:val="18"/>
              </w:rPr>
              <w:t>13.6</w:t>
            </w:r>
          </w:p>
        </w:tc>
      </w:tr>
      <w:tr w:rsidR="008D13A2" w:rsidRPr="008D13A2" w14:paraId="05984D72" w14:textId="77777777" w:rsidTr="00257865">
        <w:trPr>
          <w:trHeight w:val="284"/>
        </w:trPr>
        <w:tc>
          <w:tcPr>
            <w:tcW w:w="1570" w:type="dxa"/>
            <w:shd w:val="clear" w:color="auto" w:fill="244C5A"/>
          </w:tcPr>
          <w:p w14:paraId="21627F3E" w14:textId="2FCC08AD" w:rsidR="008D13A2" w:rsidRPr="008D13A2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color w:val="FFFFFF" w:themeColor="background1"/>
                <w:sz w:val="18"/>
                <w:szCs w:val="18"/>
              </w:rPr>
            </w:pPr>
            <w:r w:rsidRPr="008D13A2">
              <w:rPr>
                <w:rFonts w:ascii="VIC" w:hAnsi="VIC"/>
                <w:color w:val="FFFFFF" w:themeColor="background1"/>
                <w:w w:val="105"/>
                <w:sz w:val="18"/>
                <w:szCs w:val="18"/>
              </w:rPr>
              <w:t>TOTAL STATEWIDE</w:t>
            </w:r>
            <w:r w:rsidR="00C15426">
              <w:rPr>
                <w:rFonts w:ascii="VIC" w:hAnsi="VIC"/>
                <w:color w:val="FFFFFF" w:themeColor="background1"/>
                <w:w w:val="105"/>
                <w:sz w:val="18"/>
                <w:szCs w:val="18"/>
              </w:rPr>
              <w:t>†</w:t>
            </w:r>
          </w:p>
        </w:tc>
        <w:tc>
          <w:tcPr>
            <w:tcW w:w="2410" w:type="dxa"/>
            <w:shd w:val="clear" w:color="auto" w:fill="244C5A"/>
          </w:tcPr>
          <w:p w14:paraId="5AB83EE5" w14:textId="77777777" w:rsidR="008D13A2" w:rsidRPr="008D13A2" w:rsidRDefault="008D13A2" w:rsidP="008D13A2">
            <w:pPr>
              <w:pStyle w:val="DHHStabletext"/>
              <w:spacing w:before="0" w:after="0"/>
              <w:rPr>
                <w:rFonts w:ascii="VIC" w:eastAsia="Verdana" w:hAnsi="VIC" w:cs="Verdan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244C5A"/>
          </w:tcPr>
          <w:p w14:paraId="6951BB12" w14:textId="0245FF08" w:rsidR="008D13A2" w:rsidRPr="008D13A2" w:rsidRDefault="008D13A2" w:rsidP="008D13A2">
            <w:pPr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shd w:val="clear" w:color="auto" w:fill="244C5A"/>
          </w:tcPr>
          <w:p w14:paraId="7F82803F" w14:textId="5255893B" w:rsidR="008D13A2" w:rsidRPr="008D13A2" w:rsidRDefault="008D13A2" w:rsidP="008D13A2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FFFFFF"/>
                <w:sz w:val="18"/>
                <w:szCs w:val="18"/>
              </w:rPr>
              <w:t>82 %</w:t>
            </w:r>
          </w:p>
        </w:tc>
        <w:tc>
          <w:tcPr>
            <w:tcW w:w="1090" w:type="dxa"/>
            <w:shd w:val="clear" w:color="auto" w:fill="244C5A"/>
          </w:tcPr>
          <w:p w14:paraId="4C7EE181" w14:textId="367E8689" w:rsidR="008D13A2" w:rsidRPr="008D13A2" w:rsidRDefault="008D13A2" w:rsidP="008D13A2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FFFFFF"/>
                <w:sz w:val="18"/>
                <w:szCs w:val="18"/>
              </w:rPr>
              <w:t>19.4</w:t>
            </w:r>
          </w:p>
        </w:tc>
        <w:tc>
          <w:tcPr>
            <w:tcW w:w="1090" w:type="dxa"/>
            <w:shd w:val="clear" w:color="auto" w:fill="244C5A"/>
          </w:tcPr>
          <w:p w14:paraId="3A9DEC01" w14:textId="2EFC080B" w:rsidR="008D13A2" w:rsidRPr="008D13A2" w:rsidRDefault="008D13A2" w:rsidP="008D13A2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FFFFFF"/>
                <w:sz w:val="18"/>
                <w:szCs w:val="18"/>
              </w:rPr>
              <w:t>4 %</w:t>
            </w:r>
          </w:p>
        </w:tc>
        <w:tc>
          <w:tcPr>
            <w:tcW w:w="1090" w:type="dxa"/>
            <w:shd w:val="clear" w:color="auto" w:fill="244C5A"/>
          </w:tcPr>
          <w:p w14:paraId="5773A98B" w14:textId="15CD5269" w:rsidR="008D13A2" w:rsidRPr="008D13A2" w:rsidRDefault="008D13A2" w:rsidP="008D13A2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FFFFFF"/>
                <w:sz w:val="18"/>
                <w:szCs w:val="18"/>
              </w:rPr>
              <w:t>23.6</w:t>
            </w:r>
          </w:p>
        </w:tc>
        <w:tc>
          <w:tcPr>
            <w:tcW w:w="1090" w:type="dxa"/>
            <w:shd w:val="clear" w:color="auto" w:fill="244C5A"/>
          </w:tcPr>
          <w:p w14:paraId="0B3C28C5" w14:textId="00DF3368" w:rsidR="008D13A2" w:rsidRPr="008D13A2" w:rsidRDefault="008D13A2" w:rsidP="008D13A2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FFFFFF"/>
                <w:sz w:val="18"/>
                <w:szCs w:val="18"/>
              </w:rPr>
              <w:t>12 %</w:t>
            </w:r>
          </w:p>
        </w:tc>
        <w:tc>
          <w:tcPr>
            <w:tcW w:w="1090" w:type="dxa"/>
            <w:shd w:val="clear" w:color="auto" w:fill="244C5A"/>
          </w:tcPr>
          <w:p w14:paraId="1DF4B6EE" w14:textId="0DC3C52C" w:rsidR="008D13A2" w:rsidRPr="008D13A2" w:rsidRDefault="008D13A2" w:rsidP="008D13A2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FFFFFF"/>
                <w:sz w:val="18"/>
                <w:szCs w:val="18"/>
              </w:rPr>
              <w:t>11 %</w:t>
            </w:r>
          </w:p>
        </w:tc>
        <w:tc>
          <w:tcPr>
            <w:tcW w:w="1090" w:type="dxa"/>
            <w:shd w:val="clear" w:color="auto" w:fill="244C5A"/>
          </w:tcPr>
          <w:p w14:paraId="3CFDA9CB" w14:textId="2A6FD8CB" w:rsidR="008D13A2" w:rsidRPr="008D13A2" w:rsidRDefault="008D13A2" w:rsidP="008D13A2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FFFFFF"/>
                <w:sz w:val="18"/>
                <w:szCs w:val="18"/>
              </w:rPr>
              <w:t>87 %</w:t>
            </w:r>
          </w:p>
        </w:tc>
        <w:tc>
          <w:tcPr>
            <w:tcW w:w="1091" w:type="dxa"/>
            <w:shd w:val="clear" w:color="auto" w:fill="244C5A"/>
          </w:tcPr>
          <w:p w14:paraId="501A8620" w14:textId="1FDC9E61" w:rsidR="008D13A2" w:rsidRPr="008D13A2" w:rsidRDefault="008D13A2" w:rsidP="008D13A2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8D13A2">
              <w:rPr>
                <w:rFonts w:ascii="VIC" w:eastAsia="Verdana" w:hAnsi="VIC"/>
                <w:color w:val="FFFFFF"/>
                <w:sz w:val="18"/>
                <w:szCs w:val="18"/>
              </w:rPr>
              <w:t>13.8</w:t>
            </w:r>
          </w:p>
        </w:tc>
      </w:tr>
    </w:tbl>
    <w:p w14:paraId="7402350F" w14:textId="77777777" w:rsidR="00C00109" w:rsidRPr="00C00109" w:rsidRDefault="00C00109">
      <w:pPr>
        <w:rPr>
          <w:sz w:val="6"/>
        </w:rPr>
      </w:pPr>
    </w:p>
    <w:tbl>
      <w:tblPr>
        <w:tblW w:w="15534" w:type="dxa"/>
        <w:tblInd w:w="-294" w:type="dxa"/>
        <w:tblBorders>
          <w:insideH w:val="single" w:sz="4" w:space="0" w:color="244C5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2410"/>
        <w:gridCol w:w="2833"/>
        <w:gridCol w:w="1090"/>
        <w:gridCol w:w="1090"/>
        <w:gridCol w:w="1090"/>
        <w:gridCol w:w="1090"/>
        <w:gridCol w:w="1090"/>
        <w:gridCol w:w="1090"/>
        <w:gridCol w:w="1090"/>
        <w:gridCol w:w="1091"/>
      </w:tblGrid>
      <w:tr w:rsidR="00C00109" w:rsidRPr="00A6366B" w14:paraId="5273A342" w14:textId="77777777" w:rsidTr="00C00109">
        <w:trPr>
          <w:trHeight w:val="1062"/>
          <w:tblHeader/>
        </w:trPr>
        <w:tc>
          <w:tcPr>
            <w:tcW w:w="6813" w:type="dxa"/>
            <w:gridSpan w:val="3"/>
            <w:shd w:val="clear" w:color="auto" w:fill="FFFFFF"/>
            <w:vAlign w:val="bottom"/>
          </w:tcPr>
          <w:p w14:paraId="68BBA16F" w14:textId="21C61F91" w:rsidR="00C00109" w:rsidRPr="00EC71A3" w:rsidRDefault="00C00109" w:rsidP="00C00109">
            <w:pPr>
              <w:pStyle w:val="Heading1"/>
              <w:spacing w:before="0" w:line="240" w:lineRule="auto"/>
              <w:rPr>
                <w:rFonts w:eastAsia="Verdana"/>
                <w:bCs w:val="0"/>
                <w:color w:val="244C5A"/>
                <w:sz w:val="22"/>
              </w:rPr>
            </w:pPr>
            <w:bookmarkStart w:id="9" w:name="_Toc22208489"/>
            <w:r>
              <w:rPr>
                <w:bCs w:val="0"/>
                <w:color w:val="244C5A"/>
                <w:sz w:val="22"/>
              </w:rPr>
              <w:t>Rural PARC</w:t>
            </w:r>
            <w:r w:rsidRPr="00EC71A3">
              <w:rPr>
                <w:bCs w:val="0"/>
                <w:color w:val="244C5A"/>
                <w:sz w:val="22"/>
              </w:rPr>
              <w:br w:type="textWrapping" w:clear="all"/>
              <w:t>2019-20 Q1</w:t>
            </w:r>
            <w:bookmarkEnd w:id="9"/>
          </w:p>
        </w:tc>
        <w:tc>
          <w:tcPr>
            <w:tcW w:w="1090" w:type="dxa"/>
            <w:shd w:val="clear" w:color="auto" w:fill="FFFFFF"/>
            <w:vAlign w:val="bottom"/>
          </w:tcPr>
          <w:p w14:paraId="012D1DF5" w14:textId="77777777" w:rsidR="00C00109" w:rsidRPr="00C714A8" w:rsidRDefault="00C00109" w:rsidP="00C00109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Bed occupancy (incl leave)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3AE2F26E" w14:textId="77777777" w:rsidR="00C00109" w:rsidRPr="00C714A8" w:rsidRDefault="00C00109" w:rsidP="00C00109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Average length of stay (days)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2F7B492B" w14:textId="77777777" w:rsidR="00C00109" w:rsidRPr="00C714A8" w:rsidRDefault="00C00109" w:rsidP="00C00109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Leave days per occupied bed days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27B2C872" w14:textId="77777777" w:rsidR="00C00109" w:rsidRPr="00C714A8" w:rsidRDefault="00C00109" w:rsidP="00C00109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Average duration of treatment to date (days)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10C07E61" w14:textId="77777777" w:rsidR="00C00109" w:rsidRPr="00C714A8" w:rsidRDefault="00C00109" w:rsidP="00C00109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Separations followed by an acute admission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43BD1539" w14:textId="77777777" w:rsidR="00C00109" w:rsidRPr="00C714A8" w:rsidRDefault="00C00109" w:rsidP="00C00109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>Consumers concurrently on a CTO</w:t>
            </w:r>
          </w:p>
        </w:tc>
        <w:tc>
          <w:tcPr>
            <w:tcW w:w="1090" w:type="dxa"/>
            <w:shd w:val="clear" w:color="auto" w:fill="FFFFFF"/>
            <w:vAlign w:val="bottom"/>
          </w:tcPr>
          <w:p w14:paraId="47E3F835" w14:textId="77777777" w:rsidR="00C00109" w:rsidRPr="00C714A8" w:rsidRDefault="00C00109" w:rsidP="00C00109">
            <w:pPr>
              <w:pStyle w:val="VAHItablecolhead"/>
              <w:rPr>
                <w:sz w:val="16"/>
              </w:rPr>
            </w:pPr>
            <w:proofErr w:type="spellStart"/>
            <w:r w:rsidRPr="00C714A8">
              <w:rPr>
                <w:sz w:val="16"/>
              </w:rPr>
              <w:t>HoNOS</w:t>
            </w:r>
            <w:proofErr w:type="spellEnd"/>
            <w:r w:rsidRPr="00C714A8">
              <w:rPr>
                <w:sz w:val="16"/>
              </w:rPr>
              <w:t xml:space="preserve"> compliance</w:t>
            </w:r>
          </w:p>
        </w:tc>
        <w:tc>
          <w:tcPr>
            <w:tcW w:w="1091" w:type="dxa"/>
            <w:shd w:val="clear" w:color="auto" w:fill="FFFFFF"/>
            <w:vAlign w:val="bottom"/>
          </w:tcPr>
          <w:p w14:paraId="0FB5F48E" w14:textId="77777777" w:rsidR="00C00109" w:rsidRPr="00C714A8" w:rsidRDefault="00C00109" w:rsidP="00C00109">
            <w:pPr>
              <w:pStyle w:val="VAHItablecolhead"/>
              <w:rPr>
                <w:rFonts w:eastAsia="Verdana"/>
                <w:color w:val="244C5A"/>
                <w:sz w:val="16"/>
              </w:rPr>
            </w:pPr>
            <w:r w:rsidRPr="00C714A8">
              <w:rPr>
                <w:sz w:val="16"/>
              </w:rPr>
              <w:t xml:space="preserve">Average </w:t>
            </w:r>
            <w:proofErr w:type="spellStart"/>
            <w:r w:rsidRPr="00C714A8">
              <w:rPr>
                <w:sz w:val="16"/>
              </w:rPr>
              <w:t>HoNOS</w:t>
            </w:r>
            <w:proofErr w:type="spellEnd"/>
            <w:r w:rsidRPr="00C714A8">
              <w:rPr>
                <w:sz w:val="16"/>
              </w:rPr>
              <w:t xml:space="preserve"> at episode start</w:t>
            </w:r>
          </w:p>
        </w:tc>
      </w:tr>
      <w:tr w:rsidR="00C15426" w:rsidRPr="00A6366B" w14:paraId="0953BCE6" w14:textId="77777777" w:rsidTr="00C00109">
        <w:trPr>
          <w:trHeight w:val="284"/>
        </w:trPr>
        <w:tc>
          <w:tcPr>
            <w:tcW w:w="1570" w:type="dxa"/>
            <w:shd w:val="clear" w:color="auto" w:fill="BFCED6"/>
          </w:tcPr>
          <w:p w14:paraId="394AF33E" w14:textId="7400884F" w:rsidR="00C15426" w:rsidRPr="00C15426" w:rsidRDefault="00C15426" w:rsidP="00C15426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Barwon Health</w:t>
            </w:r>
            <w:r>
              <w:rPr>
                <w:rFonts w:ascii="VIC" w:eastAsia="Verdana" w:hAnsi="VIC"/>
                <w:color w:val="000000"/>
                <w:sz w:val="18"/>
                <w:szCs w:val="18"/>
              </w:rPr>
              <w:t>†</w:t>
            </w:r>
          </w:p>
        </w:tc>
        <w:tc>
          <w:tcPr>
            <w:tcW w:w="2410" w:type="dxa"/>
            <w:shd w:val="clear" w:color="auto" w:fill="BFCED6"/>
          </w:tcPr>
          <w:p w14:paraId="0B626A51" w14:textId="5410436F" w:rsidR="00C15426" w:rsidRPr="00C15426" w:rsidRDefault="00C15426" w:rsidP="00C15426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Barwon</w:t>
            </w:r>
          </w:p>
        </w:tc>
        <w:tc>
          <w:tcPr>
            <w:tcW w:w="2833" w:type="dxa"/>
            <w:shd w:val="clear" w:color="auto" w:fill="BFCED6"/>
          </w:tcPr>
          <w:p w14:paraId="59956244" w14:textId="579E5DC8" w:rsidR="00C15426" w:rsidRPr="00C15426" w:rsidRDefault="00C15426" w:rsidP="00C15426">
            <w:pPr>
              <w:rPr>
                <w:rFonts w:ascii="VIC" w:hAnsi="VIC"/>
                <w:sz w:val="18"/>
                <w:szCs w:val="18"/>
              </w:rPr>
            </w:pPr>
            <w:proofErr w:type="spellStart"/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Barwon</w:t>
            </w:r>
            <w:proofErr w:type="spellEnd"/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 xml:space="preserve"> PARC</w:t>
            </w:r>
          </w:p>
        </w:tc>
        <w:tc>
          <w:tcPr>
            <w:tcW w:w="1090" w:type="dxa"/>
            <w:shd w:val="clear" w:color="auto" w:fill="BFCED6"/>
          </w:tcPr>
          <w:p w14:paraId="52E7B76C" w14:textId="6D0B321E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81 %</w:t>
            </w:r>
          </w:p>
        </w:tc>
        <w:tc>
          <w:tcPr>
            <w:tcW w:w="1090" w:type="dxa"/>
            <w:shd w:val="clear" w:color="auto" w:fill="BFCED6"/>
          </w:tcPr>
          <w:p w14:paraId="1E749995" w14:textId="3767AE4C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1090" w:type="dxa"/>
            <w:shd w:val="clear" w:color="auto" w:fill="BFCED6"/>
          </w:tcPr>
          <w:p w14:paraId="7A349974" w14:textId="6B0B669C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13 %</w:t>
            </w:r>
          </w:p>
        </w:tc>
        <w:tc>
          <w:tcPr>
            <w:tcW w:w="1090" w:type="dxa"/>
            <w:shd w:val="clear" w:color="auto" w:fill="BFCED6"/>
          </w:tcPr>
          <w:p w14:paraId="4EEFFD69" w14:textId="6AFDDA8A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1090" w:type="dxa"/>
            <w:shd w:val="clear" w:color="auto" w:fill="BFCED6"/>
          </w:tcPr>
          <w:p w14:paraId="67D9922A" w14:textId="0655419D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3 %</w:t>
            </w:r>
          </w:p>
        </w:tc>
        <w:tc>
          <w:tcPr>
            <w:tcW w:w="1090" w:type="dxa"/>
            <w:shd w:val="clear" w:color="auto" w:fill="BFCED6"/>
          </w:tcPr>
          <w:p w14:paraId="20C93A1D" w14:textId="3F823D65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9 %</w:t>
            </w:r>
          </w:p>
        </w:tc>
        <w:tc>
          <w:tcPr>
            <w:tcW w:w="1090" w:type="dxa"/>
            <w:shd w:val="clear" w:color="auto" w:fill="BFCED6"/>
          </w:tcPr>
          <w:p w14:paraId="62C730BE" w14:textId="20722170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100 %</w:t>
            </w:r>
          </w:p>
        </w:tc>
        <w:tc>
          <w:tcPr>
            <w:tcW w:w="1091" w:type="dxa"/>
            <w:shd w:val="clear" w:color="auto" w:fill="BFCED6"/>
          </w:tcPr>
          <w:p w14:paraId="0EA5CA6F" w14:textId="324F303C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15.1</w:t>
            </w:r>
          </w:p>
        </w:tc>
      </w:tr>
      <w:tr w:rsidR="00C15426" w:rsidRPr="00A6366B" w14:paraId="65E49EEB" w14:textId="77777777" w:rsidTr="00C00109">
        <w:trPr>
          <w:trHeight w:val="284"/>
        </w:trPr>
        <w:tc>
          <w:tcPr>
            <w:tcW w:w="1570" w:type="dxa"/>
            <w:vMerge w:val="restart"/>
            <w:shd w:val="clear" w:color="auto" w:fill="BFCED6"/>
          </w:tcPr>
          <w:p w14:paraId="4D9D0FC2" w14:textId="5C59F72F" w:rsidR="00C15426" w:rsidRPr="00C15426" w:rsidRDefault="00C15426" w:rsidP="00C15426">
            <w:pPr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Bendigo Health</w:t>
            </w:r>
          </w:p>
        </w:tc>
        <w:tc>
          <w:tcPr>
            <w:tcW w:w="2410" w:type="dxa"/>
            <w:shd w:val="clear" w:color="auto" w:fill="BFCED6"/>
          </w:tcPr>
          <w:p w14:paraId="1D727605" w14:textId="532512AC" w:rsidR="00C15426" w:rsidRPr="00C15426" w:rsidRDefault="00C15426" w:rsidP="00C15426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Loddon/Southern Mallee</w:t>
            </w:r>
          </w:p>
        </w:tc>
        <w:tc>
          <w:tcPr>
            <w:tcW w:w="2833" w:type="dxa"/>
            <w:shd w:val="clear" w:color="auto" w:fill="BFCED6"/>
          </w:tcPr>
          <w:p w14:paraId="4B2670E9" w14:textId="72343C94" w:rsidR="00C15426" w:rsidRPr="00C15426" w:rsidRDefault="00C15426" w:rsidP="00C15426">
            <w:pPr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Bendigo PARC</w:t>
            </w:r>
          </w:p>
        </w:tc>
        <w:tc>
          <w:tcPr>
            <w:tcW w:w="1090" w:type="dxa"/>
            <w:shd w:val="clear" w:color="auto" w:fill="BFCED6"/>
          </w:tcPr>
          <w:p w14:paraId="1CC68558" w14:textId="2F862A60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75 %</w:t>
            </w:r>
          </w:p>
        </w:tc>
        <w:tc>
          <w:tcPr>
            <w:tcW w:w="1090" w:type="dxa"/>
            <w:shd w:val="clear" w:color="auto" w:fill="BFCED6"/>
          </w:tcPr>
          <w:p w14:paraId="06F64DA0" w14:textId="3125F179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1090" w:type="dxa"/>
            <w:shd w:val="clear" w:color="auto" w:fill="BFCED6"/>
          </w:tcPr>
          <w:p w14:paraId="320C9FA2" w14:textId="77B36849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1 %</w:t>
            </w:r>
          </w:p>
        </w:tc>
        <w:tc>
          <w:tcPr>
            <w:tcW w:w="1090" w:type="dxa"/>
            <w:shd w:val="clear" w:color="auto" w:fill="BFCED6"/>
          </w:tcPr>
          <w:p w14:paraId="2954DFA5" w14:textId="08A0BD10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090" w:type="dxa"/>
            <w:shd w:val="clear" w:color="auto" w:fill="BFCED6"/>
          </w:tcPr>
          <w:p w14:paraId="381495F5" w14:textId="22EA7857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23 %</w:t>
            </w:r>
          </w:p>
        </w:tc>
        <w:tc>
          <w:tcPr>
            <w:tcW w:w="1090" w:type="dxa"/>
            <w:shd w:val="clear" w:color="auto" w:fill="BFCED6"/>
          </w:tcPr>
          <w:p w14:paraId="08C9A9C1" w14:textId="550A9710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5 %</w:t>
            </w:r>
          </w:p>
        </w:tc>
        <w:tc>
          <w:tcPr>
            <w:tcW w:w="1090" w:type="dxa"/>
            <w:shd w:val="clear" w:color="auto" w:fill="BFCED6"/>
          </w:tcPr>
          <w:p w14:paraId="3B820B1C" w14:textId="7505D11E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68 %</w:t>
            </w:r>
          </w:p>
        </w:tc>
        <w:tc>
          <w:tcPr>
            <w:tcW w:w="1091" w:type="dxa"/>
            <w:shd w:val="clear" w:color="auto" w:fill="BFCED6"/>
          </w:tcPr>
          <w:p w14:paraId="06F0FB48" w14:textId="25605067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15.3</w:t>
            </w:r>
          </w:p>
        </w:tc>
      </w:tr>
      <w:tr w:rsidR="00C15426" w:rsidRPr="00A6366B" w14:paraId="5627B73F" w14:textId="77777777" w:rsidTr="00C00109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0EB18C32" w14:textId="77777777" w:rsidR="00C15426" w:rsidRPr="00C15426" w:rsidRDefault="00C15426" w:rsidP="00C15426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CED6"/>
          </w:tcPr>
          <w:p w14:paraId="4C5C0014" w14:textId="77777777" w:rsidR="00C15426" w:rsidRPr="00C15426" w:rsidRDefault="00C15426" w:rsidP="00C15426">
            <w:pPr>
              <w:pStyle w:val="DHHStabletext"/>
              <w:spacing w:before="0" w:after="0"/>
              <w:rPr>
                <w:rFonts w:ascii="VIC" w:hAnsi="VIC"/>
                <w:w w:val="105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Outer East (Maroondah)</w:t>
            </w:r>
          </w:p>
        </w:tc>
        <w:tc>
          <w:tcPr>
            <w:tcW w:w="2833" w:type="dxa"/>
            <w:shd w:val="clear" w:color="auto" w:fill="BFCED6"/>
          </w:tcPr>
          <w:p w14:paraId="007BD5AA" w14:textId="495B1C3D" w:rsidR="00C15426" w:rsidRPr="00C15426" w:rsidRDefault="00C15426" w:rsidP="00C15426">
            <w:pPr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Bendigo Youth PARC*</w:t>
            </w:r>
          </w:p>
        </w:tc>
        <w:tc>
          <w:tcPr>
            <w:tcW w:w="1090" w:type="dxa"/>
            <w:shd w:val="clear" w:color="auto" w:fill="BFCED6"/>
          </w:tcPr>
          <w:p w14:paraId="29C0786E" w14:textId="73A8AE0D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89 %</w:t>
            </w:r>
          </w:p>
        </w:tc>
        <w:tc>
          <w:tcPr>
            <w:tcW w:w="1090" w:type="dxa"/>
            <w:shd w:val="clear" w:color="auto" w:fill="BFCED6"/>
          </w:tcPr>
          <w:p w14:paraId="57D8EB1A" w14:textId="50E1244F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1090" w:type="dxa"/>
            <w:shd w:val="clear" w:color="auto" w:fill="BFCED6"/>
          </w:tcPr>
          <w:p w14:paraId="37C0334D" w14:textId="34AEEFFB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637CF3E0" w14:textId="502FAA76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1090" w:type="dxa"/>
            <w:shd w:val="clear" w:color="auto" w:fill="BFCED6"/>
          </w:tcPr>
          <w:p w14:paraId="4BA4CF96" w14:textId="7A8BA5D8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16 %</w:t>
            </w:r>
          </w:p>
        </w:tc>
        <w:tc>
          <w:tcPr>
            <w:tcW w:w="1090" w:type="dxa"/>
            <w:shd w:val="clear" w:color="auto" w:fill="BFCED6"/>
          </w:tcPr>
          <w:p w14:paraId="0CBC86F6" w14:textId="205EFE94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5 %</w:t>
            </w:r>
          </w:p>
        </w:tc>
        <w:tc>
          <w:tcPr>
            <w:tcW w:w="1090" w:type="dxa"/>
            <w:shd w:val="clear" w:color="auto" w:fill="BFCED6"/>
          </w:tcPr>
          <w:p w14:paraId="37923A33" w14:textId="34514F88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88 %</w:t>
            </w:r>
          </w:p>
        </w:tc>
        <w:tc>
          <w:tcPr>
            <w:tcW w:w="1091" w:type="dxa"/>
            <w:shd w:val="clear" w:color="auto" w:fill="BFCED6"/>
          </w:tcPr>
          <w:p w14:paraId="7FCF7E28" w14:textId="6D3DA4C9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17.1</w:t>
            </w:r>
          </w:p>
        </w:tc>
      </w:tr>
      <w:tr w:rsidR="00C15426" w:rsidRPr="00A6366B" w14:paraId="0D0F3E5B" w14:textId="77777777" w:rsidTr="00C00109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4CADC952" w14:textId="77777777" w:rsidR="00C15426" w:rsidRPr="00C15426" w:rsidRDefault="00C15426" w:rsidP="00C15426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FCED6"/>
          </w:tcPr>
          <w:p w14:paraId="42113C09" w14:textId="77777777" w:rsidR="00C15426" w:rsidRPr="00C15426" w:rsidRDefault="00C15426" w:rsidP="00C15426">
            <w:pPr>
              <w:pStyle w:val="DHHStabletext"/>
              <w:spacing w:before="0" w:after="0"/>
              <w:rPr>
                <w:rFonts w:ascii="VIC" w:eastAsia="Verdana" w:hAnsi="VIC" w:cs="Verdana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833" w:type="dxa"/>
            <w:shd w:val="clear" w:color="auto" w:fill="BFCED6"/>
          </w:tcPr>
          <w:p w14:paraId="2A38F8AB" w14:textId="0240F590" w:rsidR="00C15426" w:rsidRPr="00C15426" w:rsidRDefault="00C15426" w:rsidP="00C15426">
            <w:pPr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090" w:type="dxa"/>
            <w:shd w:val="clear" w:color="auto" w:fill="BFCED6"/>
          </w:tcPr>
          <w:p w14:paraId="66A871F7" w14:textId="1340B118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82 %</w:t>
            </w:r>
          </w:p>
        </w:tc>
        <w:tc>
          <w:tcPr>
            <w:tcW w:w="1090" w:type="dxa"/>
            <w:shd w:val="clear" w:color="auto" w:fill="BFCED6"/>
          </w:tcPr>
          <w:p w14:paraId="6728F342" w14:textId="4AABC5BE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090" w:type="dxa"/>
            <w:shd w:val="clear" w:color="auto" w:fill="BFCED6"/>
          </w:tcPr>
          <w:p w14:paraId="290925B6" w14:textId="062D1829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BFCED6"/>
          </w:tcPr>
          <w:p w14:paraId="5EF87ED2" w14:textId="4AB8ABF3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1090" w:type="dxa"/>
            <w:shd w:val="clear" w:color="auto" w:fill="BFCED6"/>
          </w:tcPr>
          <w:p w14:paraId="7E2637F8" w14:textId="6163720B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20 %</w:t>
            </w:r>
          </w:p>
        </w:tc>
        <w:tc>
          <w:tcPr>
            <w:tcW w:w="1090" w:type="dxa"/>
            <w:shd w:val="clear" w:color="auto" w:fill="BFCED6"/>
          </w:tcPr>
          <w:p w14:paraId="1B3E24B3" w14:textId="0A803AC4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5 %</w:t>
            </w:r>
          </w:p>
        </w:tc>
        <w:tc>
          <w:tcPr>
            <w:tcW w:w="1090" w:type="dxa"/>
            <w:shd w:val="clear" w:color="auto" w:fill="BFCED6"/>
          </w:tcPr>
          <w:p w14:paraId="3A12A764" w14:textId="67FF945B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78 %</w:t>
            </w:r>
          </w:p>
        </w:tc>
        <w:tc>
          <w:tcPr>
            <w:tcW w:w="1091" w:type="dxa"/>
            <w:shd w:val="clear" w:color="auto" w:fill="BFCED6"/>
          </w:tcPr>
          <w:p w14:paraId="78AC824A" w14:textId="2778B9F8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16.3</w:t>
            </w:r>
          </w:p>
        </w:tc>
      </w:tr>
      <w:tr w:rsidR="00C15426" w:rsidRPr="00A6366B" w14:paraId="6DB6B789" w14:textId="77777777" w:rsidTr="00C00109">
        <w:trPr>
          <w:trHeight w:val="284"/>
        </w:trPr>
        <w:tc>
          <w:tcPr>
            <w:tcW w:w="1570" w:type="dxa"/>
            <w:vMerge w:val="restart"/>
            <w:shd w:val="clear" w:color="auto" w:fill="FFFFFF" w:themeFill="background1"/>
          </w:tcPr>
          <w:p w14:paraId="1CD7EB13" w14:textId="1B7F0E59" w:rsidR="00C15426" w:rsidRPr="00C15426" w:rsidRDefault="00C15426" w:rsidP="00C15426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Goulburn Valley Health</w:t>
            </w:r>
          </w:p>
        </w:tc>
        <w:tc>
          <w:tcPr>
            <w:tcW w:w="2410" w:type="dxa"/>
            <w:shd w:val="clear" w:color="auto" w:fill="FFFFFF" w:themeFill="background1"/>
          </w:tcPr>
          <w:p w14:paraId="2261EC5B" w14:textId="499F744E" w:rsidR="00C15426" w:rsidRPr="00C15426" w:rsidRDefault="00C15426" w:rsidP="00C15426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Goulburn &amp; Southern</w:t>
            </w:r>
          </w:p>
        </w:tc>
        <w:tc>
          <w:tcPr>
            <w:tcW w:w="2833" w:type="dxa"/>
            <w:shd w:val="clear" w:color="auto" w:fill="FFFFFF" w:themeFill="background1"/>
          </w:tcPr>
          <w:p w14:paraId="21B5183B" w14:textId="0A382806" w:rsidR="00C15426" w:rsidRPr="00C15426" w:rsidRDefault="00C15426" w:rsidP="00C15426">
            <w:pPr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Goulburn Valley MIF 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3B6F599D" w14:textId="4646C8E5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104 %</w:t>
            </w:r>
          </w:p>
        </w:tc>
        <w:tc>
          <w:tcPr>
            <w:tcW w:w="1090" w:type="dxa"/>
            <w:shd w:val="clear" w:color="auto" w:fill="FFFFFF" w:themeFill="background1"/>
          </w:tcPr>
          <w:p w14:paraId="39CDAF22" w14:textId="227D2F34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1090" w:type="dxa"/>
            <w:shd w:val="clear" w:color="auto" w:fill="FFFFFF" w:themeFill="background1"/>
          </w:tcPr>
          <w:p w14:paraId="22C46FB0" w14:textId="0D37D515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FFFFFF" w:themeFill="background1"/>
          </w:tcPr>
          <w:p w14:paraId="64FD7F96" w14:textId="4F4AE208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1090" w:type="dxa"/>
            <w:shd w:val="clear" w:color="auto" w:fill="FFFFFF" w:themeFill="background1"/>
          </w:tcPr>
          <w:p w14:paraId="6C1496B9" w14:textId="2CA30B37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21 %</w:t>
            </w:r>
          </w:p>
        </w:tc>
        <w:tc>
          <w:tcPr>
            <w:tcW w:w="1090" w:type="dxa"/>
            <w:shd w:val="clear" w:color="auto" w:fill="FFFFFF" w:themeFill="background1"/>
          </w:tcPr>
          <w:p w14:paraId="6CE7335C" w14:textId="33E0C246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9 %</w:t>
            </w:r>
          </w:p>
        </w:tc>
        <w:tc>
          <w:tcPr>
            <w:tcW w:w="1090" w:type="dxa"/>
            <w:shd w:val="clear" w:color="auto" w:fill="FFFFFF" w:themeFill="background1"/>
          </w:tcPr>
          <w:p w14:paraId="7CAA4FDF" w14:textId="4DEF869F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18 %</w:t>
            </w:r>
          </w:p>
        </w:tc>
        <w:tc>
          <w:tcPr>
            <w:tcW w:w="1091" w:type="dxa"/>
            <w:shd w:val="clear" w:color="auto" w:fill="FFFFFF" w:themeFill="background1"/>
          </w:tcPr>
          <w:p w14:paraId="2CC71D2B" w14:textId="6D8CCD4D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16.1</w:t>
            </w:r>
          </w:p>
        </w:tc>
      </w:tr>
      <w:tr w:rsidR="00C15426" w:rsidRPr="00A6366B" w14:paraId="4A762113" w14:textId="77777777" w:rsidTr="00C00109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15ABF676" w14:textId="77777777" w:rsidR="00C15426" w:rsidRPr="00C15426" w:rsidRDefault="00C15426" w:rsidP="00C15426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11AD1BB" w14:textId="77777777" w:rsidR="00C15426" w:rsidRPr="00C15426" w:rsidRDefault="00C15426" w:rsidP="00C15426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proofErr w:type="spellStart"/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Mid West</w:t>
            </w:r>
            <w:proofErr w:type="spellEnd"/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 xml:space="preserve"> (Sunshine)</w:t>
            </w:r>
          </w:p>
        </w:tc>
        <w:tc>
          <w:tcPr>
            <w:tcW w:w="2833" w:type="dxa"/>
            <w:shd w:val="clear" w:color="auto" w:fill="FFFFFF" w:themeFill="background1"/>
          </w:tcPr>
          <w:p w14:paraId="7CECA3A2" w14:textId="7D8E5310" w:rsidR="00C15426" w:rsidRPr="00C15426" w:rsidRDefault="00C15426" w:rsidP="00C15426">
            <w:pPr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090" w:type="dxa"/>
            <w:shd w:val="clear" w:color="auto" w:fill="FFFFFF" w:themeFill="background1"/>
          </w:tcPr>
          <w:p w14:paraId="1D4E809B" w14:textId="4C0C5894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104 %</w:t>
            </w:r>
          </w:p>
        </w:tc>
        <w:tc>
          <w:tcPr>
            <w:tcW w:w="1090" w:type="dxa"/>
            <w:shd w:val="clear" w:color="auto" w:fill="FFFFFF" w:themeFill="background1"/>
          </w:tcPr>
          <w:p w14:paraId="67A877F9" w14:textId="25CFC0A1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1090" w:type="dxa"/>
            <w:shd w:val="clear" w:color="auto" w:fill="FFFFFF" w:themeFill="background1"/>
          </w:tcPr>
          <w:p w14:paraId="450F781A" w14:textId="40211823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FFFFFF" w:themeFill="background1"/>
          </w:tcPr>
          <w:p w14:paraId="7D7F65D1" w14:textId="4DC56E1D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1090" w:type="dxa"/>
            <w:shd w:val="clear" w:color="auto" w:fill="FFFFFF" w:themeFill="background1"/>
          </w:tcPr>
          <w:p w14:paraId="1B72041B" w14:textId="6577F495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21 %</w:t>
            </w:r>
          </w:p>
        </w:tc>
        <w:tc>
          <w:tcPr>
            <w:tcW w:w="1090" w:type="dxa"/>
            <w:shd w:val="clear" w:color="auto" w:fill="FFFFFF" w:themeFill="background1"/>
          </w:tcPr>
          <w:p w14:paraId="001438FC" w14:textId="7A8BD420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9 %</w:t>
            </w:r>
          </w:p>
        </w:tc>
        <w:tc>
          <w:tcPr>
            <w:tcW w:w="1090" w:type="dxa"/>
            <w:shd w:val="clear" w:color="auto" w:fill="FFFFFF" w:themeFill="background1"/>
          </w:tcPr>
          <w:p w14:paraId="22DABF5D" w14:textId="359C97F9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18 %</w:t>
            </w:r>
          </w:p>
        </w:tc>
        <w:tc>
          <w:tcPr>
            <w:tcW w:w="1091" w:type="dxa"/>
            <w:shd w:val="clear" w:color="auto" w:fill="FFFFFF" w:themeFill="background1"/>
          </w:tcPr>
          <w:p w14:paraId="3CEC25E2" w14:textId="46CAD685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16.1</w:t>
            </w:r>
          </w:p>
        </w:tc>
      </w:tr>
      <w:tr w:rsidR="00C15426" w:rsidRPr="00A6366B" w14:paraId="7974344F" w14:textId="77777777" w:rsidTr="00C00109">
        <w:trPr>
          <w:trHeight w:val="284"/>
        </w:trPr>
        <w:tc>
          <w:tcPr>
            <w:tcW w:w="1570" w:type="dxa"/>
            <w:vMerge w:val="restart"/>
            <w:shd w:val="clear" w:color="auto" w:fill="BFCED6"/>
          </w:tcPr>
          <w:p w14:paraId="6E51F210" w14:textId="244130F9" w:rsidR="00C15426" w:rsidRPr="00C15426" w:rsidRDefault="00C15426" w:rsidP="00C15426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Latrobe Regional</w:t>
            </w:r>
            <w:r>
              <w:rPr>
                <w:rFonts w:ascii="VIC" w:eastAsia="Verdana" w:hAnsi="VIC"/>
                <w:color w:val="000000"/>
                <w:sz w:val="18"/>
                <w:szCs w:val="18"/>
              </w:rPr>
              <w:t>†</w:t>
            </w:r>
          </w:p>
        </w:tc>
        <w:tc>
          <w:tcPr>
            <w:tcW w:w="2410" w:type="dxa"/>
            <w:vMerge w:val="restart"/>
            <w:shd w:val="clear" w:color="auto" w:fill="BFCED6"/>
          </w:tcPr>
          <w:p w14:paraId="58C02FCB" w14:textId="2ADF7F8E" w:rsidR="00C15426" w:rsidRPr="00C15426" w:rsidRDefault="00C15426" w:rsidP="00C15426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Gippsland</w:t>
            </w:r>
          </w:p>
        </w:tc>
        <w:tc>
          <w:tcPr>
            <w:tcW w:w="2833" w:type="dxa"/>
            <w:shd w:val="clear" w:color="auto" w:fill="BFCED6"/>
          </w:tcPr>
          <w:p w14:paraId="5FF672CF" w14:textId="533EDA74" w:rsidR="00C15426" w:rsidRPr="00C15426" w:rsidRDefault="00C15426" w:rsidP="00C15426">
            <w:pPr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PARCS - Prevention / Recovery Care Service</w:t>
            </w:r>
          </w:p>
        </w:tc>
        <w:tc>
          <w:tcPr>
            <w:tcW w:w="1090" w:type="dxa"/>
            <w:shd w:val="clear" w:color="auto" w:fill="BFCED6"/>
          </w:tcPr>
          <w:p w14:paraId="0C9F56E7" w14:textId="5A831022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70 %</w:t>
            </w:r>
          </w:p>
        </w:tc>
        <w:tc>
          <w:tcPr>
            <w:tcW w:w="1090" w:type="dxa"/>
            <w:shd w:val="clear" w:color="auto" w:fill="BFCED6"/>
          </w:tcPr>
          <w:p w14:paraId="57D59E61" w14:textId="5D736C86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1090" w:type="dxa"/>
            <w:shd w:val="clear" w:color="auto" w:fill="BFCED6"/>
          </w:tcPr>
          <w:p w14:paraId="3929CD80" w14:textId="06B2605E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10 %</w:t>
            </w:r>
          </w:p>
        </w:tc>
        <w:tc>
          <w:tcPr>
            <w:tcW w:w="1090" w:type="dxa"/>
            <w:shd w:val="clear" w:color="auto" w:fill="BFCED6"/>
          </w:tcPr>
          <w:p w14:paraId="13BD6E4F" w14:textId="00F96CEC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1090" w:type="dxa"/>
            <w:shd w:val="clear" w:color="auto" w:fill="BFCED6"/>
          </w:tcPr>
          <w:p w14:paraId="653D9920" w14:textId="1949F1D0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9 %</w:t>
            </w:r>
          </w:p>
        </w:tc>
        <w:tc>
          <w:tcPr>
            <w:tcW w:w="1090" w:type="dxa"/>
            <w:shd w:val="clear" w:color="auto" w:fill="BFCED6"/>
          </w:tcPr>
          <w:p w14:paraId="072844F5" w14:textId="3F1C0168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3 %</w:t>
            </w:r>
          </w:p>
        </w:tc>
        <w:tc>
          <w:tcPr>
            <w:tcW w:w="1090" w:type="dxa"/>
            <w:shd w:val="clear" w:color="auto" w:fill="BFCED6"/>
          </w:tcPr>
          <w:p w14:paraId="2EEA26CC" w14:textId="2647FA74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92 %</w:t>
            </w:r>
          </w:p>
        </w:tc>
        <w:tc>
          <w:tcPr>
            <w:tcW w:w="1091" w:type="dxa"/>
            <w:shd w:val="clear" w:color="auto" w:fill="BFCED6"/>
          </w:tcPr>
          <w:p w14:paraId="67DF3800" w14:textId="25595DA8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9.8</w:t>
            </w:r>
          </w:p>
        </w:tc>
      </w:tr>
      <w:tr w:rsidR="00C15426" w:rsidRPr="00A6366B" w14:paraId="20F81A1F" w14:textId="77777777" w:rsidTr="00C00109">
        <w:trPr>
          <w:trHeight w:val="284"/>
        </w:trPr>
        <w:tc>
          <w:tcPr>
            <w:tcW w:w="1570" w:type="dxa"/>
            <w:vMerge/>
            <w:shd w:val="clear" w:color="auto" w:fill="BFCED6"/>
          </w:tcPr>
          <w:p w14:paraId="7A07B282" w14:textId="77777777" w:rsidR="00C15426" w:rsidRPr="00C15426" w:rsidRDefault="00C15426" w:rsidP="00C15426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BFCED6"/>
          </w:tcPr>
          <w:p w14:paraId="14581027" w14:textId="77777777" w:rsidR="00C15426" w:rsidRPr="00C15426" w:rsidRDefault="00C15426" w:rsidP="00C15426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BFCED6"/>
          </w:tcPr>
          <w:p w14:paraId="11706370" w14:textId="4AD84527" w:rsidR="00C15426" w:rsidRPr="00C15426" w:rsidRDefault="00C15426" w:rsidP="00C15426">
            <w:pPr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090" w:type="dxa"/>
            <w:shd w:val="clear" w:color="auto" w:fill="BFCED6"/>
          </w:tcPr>
          <w:p w14:paraId="1FA38D2A" w14:textId="1FFA814C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70 %</w:t>
            </w:r>
          </w:p>
        </w:tc>
        <w:tc>
          <w:tcPr>
            <w:tcW w:w="1090" w:type="dxa"/>
            <w:shd w:val="clear" w:color="auto" w:fill="BFCED6"/>
          </w:tcPr>
          <w:p w14:paraId="606B570D" w14:textId="5728C7FC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1090" w:type="dxa"/>
            <w:shd w:val="clear" w:color="auto" w:fill="BFCED6"/>
          </w:tcPr>
          <w:p w14:paraId="10F782EA" w14:textId="032EEA78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10 %</w:t>
            </w:r>
          </w:p>
        </w:tc>
        <w:tc>
          <w:tcPr>
            <w:tcW w:w="1090" w:type="dxa"/>
            <w:shd w:val="clear" w:color="auto" w:fill="BFCED6"/>
          </w:tcPr>
          <w:p w14:paraId="026601C9" w14:textId="3A00A5A6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1090" w:type="dxa"/>
            <w:shd w:val="clear" w:color="auto" w:fill="BFCED6"/>
          </w:tcPr>
          <w:p w14:paraId="1E5F2708" w14:textId="2E2EB937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9 %</w:t>
            </w:r>
          </w:p>
        </w:tc>
        <w:tc>
          <w:tcPr>
            <w:tcW w:w="1090" w:type="dxa"/>
            <w:shd w:val="clear" w:color="auto" w:fill="BFCED6"/>
          </w:tcPr>
          <w:p w14:paraId="43691B6D" w14:textId="56ACFDB3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3 %</w:t>
            </w:r>
          </w:p>
        </w:tc>
        <w:tc>
          <w:tcPr>
            <w:tcW w:w="1090" w:type="dxa"/>
            <w:shd w:val="clear" w:color="auto" w:fill="BFCED6"/>
          </w:tcPr>
          <w:p w14:paraId="324DF3F3" w14:textId="6561C44F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92 %</w:t>
            </w:r>
          </w:p>
        </w:tc>
        <w:tc>
          <w:tcPr>
            <w:tcW w:w="1091" w:type="dxa"/>
            <w:shd w:val="clear" w:color="auto" w:fill="BFCED6"/>
          </w:tcPr>
          <w:p w14:paraId="73947276" w14:textId="21D2A6BF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9.8</w:t>
            </w:r>
          </w:p>
        </w:tc>
      </w:tr>
      <w:tr w:rsidR="00C15426" w:rsidRPr="00A6366B" w14:paraId="71966422" w14:textId="77777777" w:rsidTr="00C00109">
        <w:trPr>
          <w:trHeight w:val="284"/>
        </w:trPr>
        <w:tc>
          <w:tcPr>
            <w:tcW w:w="1570" w:type="dxa"/>
            <w:shd w:val="clear" w:color="auto" w:fill="FFFFFF" w:themeFill="background1"/>
          </w:tcPr>
          <w:p w14:paraId="299861E5" w14:textId="48155257" w:rsidR="00C15426" w:rsidRPr="00C15426" w:rsidRDefault="00C15426" w:rsidP="00C15426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Mildura Base Hospital</w:t>
            </w:r>
          </w:p>
        </w:tc>
        <w:tc>
          <w:tcPr>
            <w:tcW w:w="2410" w:type="dxa"/>
            <w:shd w:val="clear" w:color="auto" w:fill="FFFFFF" w:themeFill="background1"/>
          </w:tcPr>
          <w:p w14:paraId="55F06329" w14:textId="7073749D" w:rsidR="00C15426" w:rsidRPr="00C15426" w:rsidRDefault="00C15426" w:rsidP="00C15426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Northern Mallee</w:t>
            </w:r>
          </w:p>
        </w:tc>
        <w:tc>
          <w:tcPr>
            <w:tcW w:w="2833" w:type="dxa"/>
            <w:shd w:val="clear" w:color="auto" w:fill="FFFFFF" w:themeFill="background1"/>
          </w:tcPr>
          <w:p w14:paraId="0218F4FD" w14:textId="091E06A6" w:rsidR="00C15426" w:rsidRPr="00C15426" w:rsidRDefault="00C15426" w:rsidP="00C15426">
            <w:pPr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PARC</w:t>
            </w:r>
          </w:p>
        </w:tc>
        <w:tc>
          <w:tcPr>
            <w:tcW w:w="1090" w:type="dxa"/>
            <w:shd w:val="clear" w:color="auto" w:fill="FFFFFF" w:themeFill="background1"/>
          </w:tcPr>
          <w:p w14:paraId="127B4044" w14:textId="5A199684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70 %</w:t>
            </w:r>
          </w:p>
        </w:tc>
        <w:tc>
          <w:tcPr>
            <w:tcW w:w="1090" w:type="dxa"/>
            <w:shd w:val="clear" w:color="auto" w:fill="FFFFFF" w:themeFill="background1"/>
          </w:tcPr>
          <w:p w14:paraId="1D5D2695" w14:textId="59E2FEDD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1090" w:type="dxa"/>
            <w:shd w:val="clear" w:color="auto" w:fill="FFFFFF" w:themeFill="background1"/>
          </w:tcPr>
          <w:p w14:paraId="199DDD40" w14:textId="7C5934FF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FFFFFF" w:themeFill="background1"/>
          </w:tcPr>
          <w:p w14:paraId="583D9FCA" w14:textId="5D879AE4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1090" w:type="dxa"/>
            <w:shd w:val="clear" w:color="auto" w:fill="FFFFFF" w:themeFill="background1"/>
          </w:tcPr>
          <w:p w14:paraId="4F27E36C" w14:textId="67B4F306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17 %</w:t>
            </w:r>
          </w:p>
        </w:tc>
        <w:tc>
          <w:tcPr>
            <w:tcW w:w="1090" w:type="dxa"/>
            <w:shd w:val="clear" w:color="auto" w:fill="FFFFFF" w:themeFill="background1"/>
          </w:tcPr>
          <w:p w14:paraId="484C744F" w14:textId="4EE5CFDF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16 %</w:t>
            </w:r>
          </w:p>
        </w:tc>
        <w:tc>
          <w:tcPr>
            <w:tcW w:w="1090" w:type="dxa"/>
            <w:shd w:val="clear" w:color="auto" w:fill="FFFFFF" w:themeFill="background1"/>
          </w:tcPr>
          <w:p w14:paraId="3816DEE1" w14:textId="65EC5CA6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91 %</w:t>
            </w:r>
          </w:p>
        </w:tc>
        <w:tc>
          <w:tcPr>
            <w:tcW w:w="1091" w:type="dxa"/>
            <w:shd w:val="clear" w:color="auto" w:fill="FFFFFF" w:themeFill="background1"/>
          </w:tcPr>
          <w:p w14:paraId="607131F5" w14:textId="416C4B5B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14.7</w:t>
            </w:r>
          </w:p>
        </w:tc>
      </w:tr>
      <w:tr w:rsidR="00C15426" w:rsidRPr="00A6366B" w14:paraId="7779DB07" w14:textId="77777777" w:rsidTr="00C00109">
        <w:trPr>
          <w:trHeight w:val="284"/>
        </w:trPr>
        <w:tc>
          <w:tcPr>
            <w:tcW w:w="1570" w:type="dxa"/>
            <w:shd w:val="clear" w:color="auto" w:fill="BFCED6"/>
          </w:tcPr>
          <w:p w14:paraId="63825423" w14:textId="4F0045C7" w:rsidR="00C15426" w:rsidRPr="00C15426" w:rsidRDefault="00C15426" w:rsidP="00C15426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Albury Wodonga Health</w:t>
            </w:r>
          </w:p>
        </w:tc>
        <w:tc>
          <w:tcPr>
            <w:tcW w:w="2410" w:type="dxa"/>
            <w:shd w:val="clear" w:color="auto" w:fill="BFCED6"/>
          </w:tcPr>
          <w:p w14:paraId="19E2A985" w14:textId="76EE520F" w:rsidR="00C15426" w:rsidRPr="00C15426" w:rsidRDefault="00C15426" w:rsidP="00C15426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North East &amp; Border</w:t>
            </w:r>
          </w:p>
        </w:tc>
        <w:tc>
          <w:tcPr>
            <w:tcW w:w="2833" w:type="dxa"/>
            <w:shd w:val="clear" w:color="auto" w:fill="BFCED6"/>
          </w:tcPr>
          <w:p w14:paraId="278E0EE3" w14:textId="28C7564A" w:rsidR="00C15426" w:rsidRPr="00C15426" w:rsidRDefault="00C15426" w:rsidP="00C15426">
            <w:pPr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Jarrah Retreat PARC</w:t>
            </w:r>
          </w:p>
        </w:tc>
        <w:tc>
          <w:tcPr>
            <w:tcW w:w="1090" w:type="dxa"/>
            <w:shd w:val="clear" w:color="auto" w:fill="BFCED6"/>
          </w:tcPr>
          <w:p w14:paraId="0FDDDD74" w14:textId="55E92A01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56 %</w:t>
            </w:r>
          </w:p>
        </w:tc>
        <w:tc>
          <w:tcPr>
            <w:tcW w:w="1090" w:type="dxa"/>
            <w:shd w:val="clear" w:color="auto" w:fill="BFCED6"/>
          </w:tcPr>
          <w:p w14:paraId="4D856D74" w14:textId="4BBC23BC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090" w:type="dxa"/>
            <w:shd w:val="clear" w:color="auto" w:fill="BFCED6"/>
          </w:tcPr>
          <w:p w14:paraId="12C4CB78" w14:textId="0CCFD255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9 %</w:t>
            </w:r>
          </w:p>
        </w:tc>
        <w:tc>
          <w:tcPr>
            <w:tcW w:w="1090" w:type="dxa"/>
            <w:shd w:val="clear" w:color="auto" w:fill="BFCED6"/>
          </w:tcPr>
          <w:p w14:paraId="22BE6348" w14:textId="6852E284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1090" w:type="dxa"/>
            <w:shd w:val="clear" w:color="auto" w:fill="BFCED6"/>
          </w:tcPr>
          <w:p w14:paraId="7CF38CD5" w14:textId="0B14B028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5 %</w:t>
            </w:r>
          </w:p>
        </w:tc>
        <w:tc>
          <w:tcPr>
            <w:tcW w:w="1090" w:type="dxa"/>
            <w:shd w:val="clear" w:color="auto" w:fill="BFCED6"/>
          </w:tcPr>
          <w:p w14:paraId="266EB2C1" w14:textId="000A7D0F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8 %</w:t>
            </w:r>
          </w:p>
        </w:tc>
        <w:tc>
          <w:tcPr>
            <w:tcW w:w="1090" w:type="dxa"/>
            <w:shd w:val="clear" w:color="auto" w:fill="BFCED6"/>
          </w:tcPr>
          <w:p w14:paraId="7FCC54D3" w14:textId="303AAE58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63 %</w:t>
            </w:r>
          </w:p>
        </w:tc>
        <w:tc>
          <w:tcPr>
            <w:tcW w:w="1091" w:type="dxa"/>
            <w:shd w:val="clear" w:color="auto" w:fill="BFCED6"/>
          </w:tcPr>
          <w:p w14:paraId="5CDF2421" w14:textId="4F6F28B0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14.7</w:t>
            </w:r>
          </w:p>
        </w:tc>
      </w:tr>
      <w:tr w:rsidR="00C15426" w:rsidRPr="00A6366B" w14:paraId="2E230F3A" w14:textId="77777777" w:rsidTr="00C00109">
        <w:trPr>
          <w:trHeight w:val="284"/>
        </w:trPr>
        <w:tc>
          <w:tcPr>
            <w:tcW w:w="1570" w:type="dxa"/>
            <w:vMerge w:val="restart"/>
            <w:shd w:val="clear" w:color="auto" w:fill="FFFFFF" w:themeFill="background1"/>
          </w:tcPr>
          <w:p w14:paraId="18D4A1F8" w14:textId="77918250" w:rsidR="00C15426" w:rsidRPr="00C15426" w:rsidRDefault="00C15426" w:rsidP="00C15426">
            <w:pPr>
              <w:pStyle w:val="DHHStabletext"/>
              <w:spacing w:before="0" w:after="0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South West Health</w:t>
            </w:r>
            <w:r>
              <w:rPr>
                <w:rFonts w:ascii="VIC" w:eastAsia="Verdana" w:hAnsi="VIC"/>
                <w:color w:val="000000"/>
                <w:sz w:val="18"/>
                <w:szCs w:val="18"/>
              </w:rPr>
              <w:t>†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14:paraId="3056557A" w14:textId="33958A25" w:rsidR="00C15426" w:rsidRPr="00C15426" w:rsidRDefault="00C15426" w:rsidP="00C15426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South West Health Care</w:t>
            </w:r>
          </w:p>
        </w:tc>
        <w:tc>
          <w:tcPr>
            <w:tcW w:w="2833" w:type="dxa"/>
            <w:shd w:val="clear" w:color="auto" w:fill="FFFFFF" w:themeFill="background1"/>
          </w:tcPr>
          <w:p w14:paraId="7B19ED80" w14:textId="10F6C93F" w:rsidR="00C15426" w:rsidRPr="00C15426" w:rsidRDefault="00C15426" w:rsidP="00C15426">
            <w:pPr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PARC Inpat</w:t>
            </w:r>
          </w:p>
        </w:tc>
        <w:tc>
          <w:tcPr>
            <w:tcW w:w="1090" w:type="dxa"/>
            <w:shd w:val="clear" w:color="auto" w:fill="FFFFFF" w:themeFill="background1"/>
          </w:tcPr>
          <w:p w14:paraId="2CB952F1" w14:textId="35E32F41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76 %</w:t>
            </w:r>
          </w:p>
        </w:tc>
        <w:tc>
          <w:tcPr>
            <w:tcW w:w="1090" w:type="dxa"/>
            <w:shd w:val="clear" w:color="auto" w:fill="FFFFFF" w:themeFill="background1"/>
          </w:tcPr>
          <w:p w14:paraId="5CAFC2BD" w14:textId="62BF64A0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1090" w:type="dxa"/>
            <w:shd w:val="clear" w:color="auto" w:fill="FFFFFF" w:themeFill="background1"/>
          </w:tcPr>
          <w:p w14:paraId="5DCEA8AC" w14:textId="6505C676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FFFFFF" w:themeFill="background1"/>
          </w:tcPr>
          <w:p w14:paraId="5C29AA6C" w14:textId="511C5643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1090" w:type="dxa"/>
            <w:shd w:val="clear" w:color="auto" w:fill="FFFFFF" w:themeFill="background1"/>
          </w:tcPr>
          <w:p w14:paraId="457BC634" w14:textId="1FE56EC3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7 %</w:t>
            </w:r>
          </w:p>
        </w:tc>
        <w:tc>
          <w:tcPr>
            <w:tcW w:w="1090" w:type="dxa"/>
            <w:shd w:val="clear" w:color="auto" w:fill="FFFFFF" w:themeFill="background1"/>
          </w:tcPr>
          <w:p w14:paraId="386F91FB" w14:textId="320B4B38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FFFFFF" w:themeFill="background1"/>
          </w:tcPr>
          <w:p w14:paraId="2B4022E6" w14:textId="2DE35544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80 %</w:t>
            </w:r>
          </w:p>
        </w:tc>
        <w:tc>
          <w:tcPr>
            <w:tcW w:w="1091" w:type="dxa"/>
            <w:shd w:val="clear" w:color="auto" w:fill="FFFFFF" w:themeFill="background1"/>
          </w:tcPr>
          <w:p w14:paraId="5687ADCA" w14:textId="258E8CEE" w:rsidR="00C15426" w:rsidRPr="00C15426" w:rsidRDefault="00C15426" w:rsidP="00C15426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11.1</w:t>
            </w:r>
          </w:p>
        </w:tc>
      </w:tr>
      <w:tr w:rsidR="00C15426" w:rsidRPr="00A6366B" w14:paraId="41A9D36C" w14:textId="77777777" w:rsidTr="00C00109">
        <w:trPr>
          <w:trHeight w:val="284"/>
        </w:trPr>
        <w:tc>
          <w:tcPr>
            <w:tcW w:w="1570" w:type="dxa"/>
            <w:vMerge/>
            <w:shd w:val="clear" w:color="auto" w:fill="FFFFFF" w:themeFill="background1"/>
          </w:tcPr>
          <w:p w14:paraId="68C20BA2" w14:textId="77777777" w:rsidR="00C15426" w:rsidRPr="006F4A3D" w:rsidRDefault="00C15426" w:rsidP="00C15426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14:paraId="77452FCC" w14:textId="77777777" w:rsidR="00C15426" w:rsidRPr="006F4A3D" w:rsidRDefault="00C15426" w:rsidP="00C15426">
            <w:pPr>
              <w:pStyle w:val="DHHStabletext"/>
              <w:spacing w:before="0" w:after="0"/>
              <w:rPr>
                <w:rFonts w:ascii="VIC" w:eastAsia="Verdana" w:hAnsi="VIC"/>
                <w:color w:val="00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FFFFFF" w:themeFill="background1"/>
          </w:tcPr>
          <w:p w14:paraId="34479F2B" w14:textId="68C14A92" w:rsidR="00C15426" w:rsidRPr="00C15426" w:rsidRDefault="00C15426" w:rsidP="00C15426">
            <w:pPr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1090" w:type="dxa"/>
            <w:shd w:val="clear" w:color="auto" w:fill="FFFFFF" w:themeFill="background1"/>
          </w:tcPr>
          <w:p w14:paraId="3AB20A6A" w14:textId="5A56A126" w:rsidR="00C15426" w:rsidRPr="00C15426" w:rsidRDefault="00C15426" w:rsidP="00C15426">
            <w:pPr>
              <w:jc w:val="center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76 %</w:t>
            </w:r>
          </w:p>
        </w:tc>
        <w:tc>
          <w:tcPr>
            <w:tcW w:w="1090" w:type="dxa"/>
            <w:shd w:val="clear" w:color="auto" w:fill="FFFFFF" w:themeFill="background1"/>
          </w:tcPr>
          <w:p w14:paraId="5B465D85" w14:textId="48710E0A" w:rsidR="00C15426" w:rsidRPr="00C15426" w:rsidRDefault="00C15426" w:rsidP="00C15426">
            <w:pPr>
              <w:jc w:val="center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1090" w:type="dxa"/>
            <w:shd w:val="clear" w:color="auto" w:fill="FFFFFF" w:themeFill="background1"/>
          </w:tcPr>
          <w:p w14:paraId="357EAF6D" w14:textId="34346A4E" w:rsidR="00C15426" w:rsidRPr="00C15426" w:rsidRDefault="00C15426" w:rsidP="00C15426">
            <w:pPr>
              <w:jc w:val="center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FFFFFF" w:themeFill="background1"/>
          </w:tcPr>
          <w:p w14:paraId="581CC8F4" w14:textId="59DEEF8D" w:rsidR="00C15426" w:rsidRPr="00C15426" w:rsidRDefault="00C15426" w:rsidP="00C15426">
            <w:pPr>
              <w:jc w:val="center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1090" w:type="dxa"/>
            <w:shd w:val="clear" w:color="auto" w:fill="FFFFFF" w:themeFill="background1"/>
          </w:tcPr>
          <w:p w14:paraId="6356291B" w14:textId="5898DD6C" w:rsidR="00C15426" w:rsidRPr="00C15426" w:rsidRDefault="00C15426" w:rsidP="00C15426">
            <w:pPr>
              <w:jc w:val="center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7 %</w:t>
            </w:r>
          </w:p>
        </w:tc>
        <w:tc>
          <w:tcPr>
            <w:tcW w:w="1090" w:type="dxa"/>
            <w:shd w:val="clear" w:color="auto" w:fill="FFFFFF" w:themeFill="background1"/>
          </w:tcPr>
          <w:p w14:paraId="7B73E34C" w14:textId="7B7352F8" w:rsidR="00C15426" w:rsidRPr="00C15426" w:rsidRDefault="00C15426" w:rsidP="00C15426">
            <w:pPr>
              <w:jc w:val="center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0 %</w:t>
            </w:r>
          </w:p>
        </w:tc>
        <w:tc>
          <w:tcPr>
            <w:tcW w:w="1090" w:type="dxa"/>
            <w:shd w:val="clear" w:color="auto" w:fill="FFFFFF" w:themeFill="background1"/>
          </w:tcPr>
          <w:p w14:paraId="27E3C96E" w14:textId="1242F307" w:rsidR="00C15426" w:rsidRPr="00C15426" w:rsidRDefault="00C15426" w:rsidP="00C15426">
            <w:pPr>
              <w:jc w:val="center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80 %</w:t>
            </w:r>
          </w:p>
        </w:tc>
        <w:tc>
          <w:tcPr>
            <w:tcW w:w="1091" w:type="dxa"/>
            <w:shd w:val="clear" w:color="auto" w:fill="FFFFFF" w:themeFill="background1"/>
          </w:tcPr>
          <w:p w14:paraId="68B34D50" w14:textId="2D71FBA2" w:rsidR="00C15426" w:rsidRPr="00C15426" w:rsidRDefault="00C15426" w:rsidP="00C15426">
            <w:pPr>
              <w:jc w:val="center"/>
              <w:rPr>
                <w:rFonts w:ascii="VIC" w:eastAsia="Verdana" w:hAnsi="VIC"/>
                <w:color w:val="000000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/>
                <w:sz w:val="18"/>
                <w:szCs w:val="18"/>
              </w:rPr>
              <w:t>11.1</w:t>
            </w:r>
          </w:p>
        </w:tc>
      </w:tr>
      <w:tr w:rsidR="00C15426" w:rsidRPr="00C15426" w14:paraId="4D9D7A08" w14:textId="77777777" w:rsidTr="00C00109">
        <w:trPr>
          <w:trHeight w:val="284"/>
        </w:trPr>
        <w:tc>
          <w:tcPr>
            <w:tcW w:w="1570" w:type="dxa"/>
            <w:shd w:val="clear" w:color="auto" w:fill="B1C9E8"/>
          </w:tcPr>
          <w:p w14:paraId="120BECAE" w14:textId="20B91619" w:rsidR="00C15426" w:rsidRPr="00C15426" w:rsidRDefault="00C15426" w:rsidP="00C15426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  <w:r w:rsidRPr="00C15426">
              <w:rPr>
                <w:rFonts w:ascii="VIC" w:hAnsi="VIC"/>
                <w:color w:val="000000" w:themeColor="text1"/>
                <w:w w:val="105"/>
                <w:sz w:val="18"/>
                <w:szCs w:val="18"/>
              </w:rPr>
              <w:t>TOTAL RURAL</w:t>
            </w:r>
            <w:r>
              <w:rPr>
                <w:rFonts w:ascii="VIC" w:hAnsi="VIC"/>
                <w:color w:val="000000" w:themeColor="text1"/>
                <w:w w:val="105"/>
                <w:sz w:val="18"/>
                <w:szCs w:val="18"/>
              </w:rPr>
              <w:t>†</w:t>
            </w:r>
          </w:p>
        </w:tc>
        <w:tc>
          <w:tcPr>
            <w:tcW w:w="2410" w:type="dxa"/>
            <w:shd w:val="clear" w:color="auto" w:fill="B1C9E8"/>
          </w:tcPr>
          <w:p w14:paraId="6E83830F" w14:textId="77777777" w:rsidR="00C15426" w:rsidRPr="00C15426" w:rsidRDefault="00C15426" w:rsidP="00C15426">
            <w:pPr>
              <w:pStyle w:val="DHHStabletext"/>
              <w:spacing w:before="0" w:after="0"/>
              <w:rPr>
                <w:rFonts w:ascii="VIC" w:eastAsia="Verdana" w:hAnsi="VIC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B1C9E8"/>
          </w:tcPr>
          <w:p w14:paraId="4647CAF6" w14:textId="0F76E16C" w:rsidR="00C15426" w:rsidRPr="00C15426" w:rsidRDefault="00C15426" w:rsidP="00C15426">
            <w:pPr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shd w:val="clear" w:color="auto" w:fill="B1C9E8"/>
          </w:tcPr>
          <w:p w14:paraId="4B422A97" w14:textId="06DF2CB2" w:rsidR="00C15426" w:rsidRPr="00C15426" w:rsidRDefault="00C15426" w:rsidP="00C15426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 w:themeColor="text1"/>
                <w:sz w:val="18"/>
                <w:szCs w:val="18"/>
              </w:rPr>
              <w:t>77 %</w:t>
            </w:r>
          </w:p>
        </w:tc>
        <w:tc>
          <w:tcPr>
            <w:tcW w:w="1090" w:type="dxa"/>
            <w:shd w:val="clear" w:color="auto" w:fill="B1C9E8"/>
          </w:tcPr>
          <w:p w14:paraId="4468B9EC" w14:textId="4EF0B041" w:rsidR="00C15426" w:rsidRPr="00C15426" w:rsidRDefault="00C15426" w:rsidP="00C15426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 w:themeColor="text1"/>
                <w:sz w:val="18"/>
                <w:szCs w:val="18"/>
              </w:rPr>
              <w:t>17.4</w:t>
            </w:r>
          </w:p>
        </w:tc>
        <w:tc>
          <w:tcPr>
            <w:tcW w:w="1090" w:type="dxa"/>
            <w:shd w:val="clear" w:color="auto" w:fill="B1C9E8"/>
          </w:tcPr>
          <w:p w14:paraId="00B16F20" w14:textId="4D41F54C" w:rsidR="00C15426" w:rsidRPr="00C15426" w:rsidRDefault="00C15426" w:rsidP="00C15426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 w:themeColor="text1"/>
                <w:sz w:val="18"/>
                <w:szCs w:val="18"/>
              </w:rPr>
              <w:t>3 %</w:t>
            </w:r>
          </w:p>
        </w:tc>
        <w:tc>
          <w:tcPr>
            <w:tcW w:w="1090" w:type="dxa"/>
            <w:shd w:val="clear" w:color="auto" w:fill="B1C9E8"/>
          </w:tcPr>
          <w:p w14:paraId="3200D0AE" w14:textId="348D28F5" w:rsidR="00C15426" w:rsidRPr="00C15426" w:rsidRDefault="00C15426" w:rsidP="00C15426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 w:themeColor="text1"/>
                <w:sz w:val="18"/>
                <w:szCs w:val="18"/>
              </w:rPr>
              <w:t>23.5</w:t>
            </w:r>
          </w:p>
        </w:tc>
        <w:tc>
          <w:tcPr>
            <w:tcW w:w="1090" w:type="dxa"/>
            <w:shd w:val="clear" w:color="auto" w:fill="B1C9E8"/>
          </w:tcPr>
          <w:p w14:paraId="64526393" w14:textId="28836CCC" w:rsidR="00C15426" w:rsidRPr="00C15426" w:rsidRDefault="00C15426" w:rsidP="00C15426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 w:themeColor="text1"/>
                <w:sz w:val="18"/>
                <w:szCs w:val="18"/>
              </w:rPr>
              <w:t>14 %</w:t>
            </w:r>
          </w:p>
        </w:tc>
        <w:tc>
          <w:tcPr>
            <w:tcW w:w="1090" w:type="dxa"/>
            <w:shd w:val="clear" w:color="auto" w:fill="B1C9E8"/>
          </w:tcPr>
          <w:p w14:paraId="47C2E4DE" w14:textId="54F03085" w:rsidR="00C15426" w:rsidRPr="00C15426" w:rsidRDefault="00C15426" w:rsidP="00C15426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 w:themeColor="text1"/>
                <w:sz w:val="18"/>
                <w:szCs w:val="18"/>
              </w:rPr>
              <w:t>6 %</w:t>
            </w:r>
          </w:p>
        </w:tc>
        <w:tc>
          <w:tcPr>
            <w:tcW w:w="1090" w:type="dxa"/>
            <w:shd w:val="clear" w:color="auto" w:fill="B1C9E8"/>
          </w:tcPr>
          <w:p w14:paraId="1AD2EE5E" w14:textId="27552C58" w:rsidR="00C15426" w:rsidRPr="00C15426" w:rsidRDefault="00C15426" w:rsidP="00C15426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 w:themeColor="text1"/>
                <w:sz w:val="18"/>
                <w:szCs w:val="18"/>
              </w:rPr>
              <w:t>74 %</w:t>
            </w:r>
          </w:p>
        </w:tc>
        <w:tc>
          <w:tcPr>
            <w:tcW w:w="1091" w:type="dxa"/>
            <w:shd w:val="clear" w:color="auto" w:fill="B1C9E8"/>
          </w:tcPr>
          <w:p w14:paraId="290F5E32" w14:textId="65058DE4" w:rsidR="00C15426" w:rsidRPr="00C15426" w:rsidRDefault="00C15426" w:rsidP="00C15426">
            <w:pPr>
              <w:jc w:val="center"/>
              <w:rPr>
                <w:rFonts w:ascii="VIC" w:hAnsi="VIC"/>
                <w:color w:val="000000" w:themeColor="text1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000000" w:themeColor="text1"/>
                <w:sz w:val="18"/>
                <w:szCs w:val="18"/>
              </w:rPr>
              <w:t>14.3</w:t>
            </w:r>
          </w:p>
        </w:tc>
      </w:tr>
      <w:tr w:rsidR="00C15426" w:rsidRPr="008D13A2" w14:paraId="7385EDD7" w14:textId="77777777" w:rsidTr="00C00109">
        <w:trPr>
          <w:trHeight w:val="284"/>
        </w:trPr>
        <w:tc>
          <w:tcPr>
            <w:tcW w:w="1570" w:type="dxa"/>
            <w:shd w:val="clear" w:color="auto" w:fill="244C5A"/>
          </w:tcPr>
          <w:p w14:paraId="2D5F64E4" w14:textId="2CAA6A34" w:rsidR="00C15426" w:rsidRPr="008D13A2" w:rsidRDefault="00C15426" w:rsidP="00C15426">
            <w:pPr>
              <w:pStyle w:val="DHHStabletext"/>
              <w:spacing w:before="0" w:after="0"/>
              <w:rPr>
                <w:rFonts w:ascii="VIC" w:eastAsia="Verdana" w:hAnsi="VIC" w:cs="Verdana"/>
                <w:color w:val="FFFFFF" w:themeColor="background1"/>
                <w:sz w:val="18"/>
                <w:szCs w:val="18"/>
              </w:rPr>
            </w:pPr>
            <w:r w:rsidRPr="008D13A2">
              <w:rPr>
                <w:rFonts w:ascii="VIC" w:hAnsi="VIC"/>
                <w:color w:val="FFFFFF" w:themeColor="background1"/>
                <w:w w:val="105"/>
                <w:sz w:val="18"/>
                <w:szCs w:val="18"/>
              </w:rPr>
              <w:t>TOTAL STATEWIDE</w:t>
            </w:r>
            <w:r>
              <w:rPr>
                <w:rFonts w:ascii="VIC" w:hAnsi="VIC"/>
                <w:color w:val="FFFFFF" w:themeColor="background1"/>
                <w:w w:val="105"/>
                <w:sz w:val="18"/>
                <w:szCs w:val="18"/>
              </w:rPr>
              <w:t>†</w:t>
            </w:r>
          </w:p>
        </w:tc>
        <w:tc>
          <w:tcPr>
            <w:tcW w:w="2410" w:type="dxa"/>
            <w:shd w:val="clear" w:color="auto" w:fill="244C5A"/>
          </w:tcPr>
          <w:p w14:paraId="3FAE4C74" w14:textId="77777777" w:rsidR="00C15426" w:rsidRPr="008D13A2" w:rsidRDefault="00C15426" w:rsidP="00C15426">
            <w:pPr>
              <w:pStyle w:val="DHHStabletext"/>
              <w:spacing w:before="0" w:after="0"/>
              <w:rPr>
                <w:rFonts w:ascii="VIC" w:eastAsia="Verdana" w:hAnsi="VIC" w:cs="Verdan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244C5A"/>
          </w:tcPr>
          <w:p w14:paraId="1CB7DEE0" w14:textId="168EF508" w:rsidR="00C15426" w:rsidRPr="00C15426" w:rsidRDefault="00C15426" w:rsidP="00C15426">
            <w:pPr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shd w:val="clear" w:color="auto" w:fill="244C5A"/>
          </w:tcPr>
          <w:p w14:paraId="54EDFDF5" w14:textId="0EFD8327" w:rsidR="00C15426" w:rsidRPr="00C15426" w:rsidRDefault="00C15426" w:rsidP="00C15426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FFFFFF"/>
                <w:sz w:val="18"/>
                <w:szCs w:val="18"/>
              </w:rPr>
              <w:t>82 %</w:t>
            </w:r>
          </w:p>
        </w:tc>
        <w:tc>
          <w:tcPr>
            <w:tcW w:w="1090" w:type="dxa"/>
            <w:shd w:val="clear" w:color="auto" w:fill="244C5A"/>
          </w:tcPr>
          <w:p w14:paraId="49347DE4" w14:textId="5C49F0FE" w:rsidR="00C15426" w:rsidRPr="00C15426" w:rsidRDefault="00C15426" w:rsidP="00C15426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FFFFFF"/>
                <w:sz w:val="18"/>
                <w:szCs w:val="18"/>
              </w:rPr>
              <w:t>19.4</w:t>
            </w:r>
          </w:p>
        </w:tc>
        <w:tc>
          <w:tcPr>
            <w:tcW w:w="1090" w:type="dxa"/>
            <w:shd w:val="clear" w:color="auto" w:fill="244C5A"/>
          </w:tcPr>
          <w:p w14:paraId="7DCE5E27" w14:textId="2A133EFB" w:rsidR="00C15426" w:rsidRPr="00C15426" w:rsidRDefault="00C15426" w:rsidP="00C15426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FFFFFF"/>
                <w:sz w:val="18"/>
                <w:szCs w:val="18"/>
              </w:rPr>
              <w:t>4 %</w:t>
            </w:r>
          </w:p>
        </w:tc>
        <w:tc>
          <w:tcPr>
            <w:tcW w:w="1090" w:type="dxa"/>
            <w:shd w:val="clear" w:color="auto" w:fill="244C5A"/>
          </w:tcPr>
          <w:p w14:paraId="70FF0590" w14:textId="784533FD" w:rsidR="00C15426" w:rsidRPr="00C15426" w:rsidRDefault="00C15426" w:rsidP="00C15426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FFFFFF"/>
                <w:sz w:val="18"/>
                <w:szCs w:val="18"/>
              </w:rPr>
              <w:t>23.6</w:t>
            </w:r>
          </w:p>
        </w:tc>
        <w:tc>
          <w:tcPr>
            <w:tcW w:w="1090" w:type="dxa"/>
            <w:shd w:val="clear" w:color="auto" w:fill="244C5A"/>
          </w:tcPr>
          <w:p w14:paraId="028547D9" w14:textId="1CA17EC9" w:rsidR="00C15426" w:rsidRPr="00C15426" w:rsidRDefault="00C15426" w:rsidP="00C15426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FFFFFF"/>
                <w:sz w:val="18"/>
                <w:szCs w:val="18"/>
              </w:rPr>
              <w:t>12 %</w:t>
            </w:r>
          </w:p>
        </w:tc>
        <w:tc>
          <w:tcPr>
            <w:tcW w:w="1090" w:type="dxa"/>
            <w:shd w:val="clear" w:color="auto" w:fill="244C5A"/>
          </w:tcPr>
          <w:p w14:paraId="4E21FDEA" w14:textId="0DF9574D" w:rsidR="00C15426" w:rsidRPr="00C15426" w:rsidRDefault="00C15426" w:rsidP="00C15426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FFFFFF"/>
                <w:sz w:val="18"/>
                <w:szCs w:val="18"/>
              </w:rPr>
              <w:t>11 %</w:t>
            </w:r>
          </w:p>
        </w:tc>
        <w:tc>
          <w:tcPr>
            <w:tcW w:w="1090" w:type="dxa"/>
            <w:shd w:val="clear" w:color="auto" w:fill="244C5A"/>
          </w:tcPr>
          <w:p w14:paraId="0916C8B0" w14:textId="02CC8786" w:rsidR="00C15426" w:rsidRPr="00C15426" w:rsidRDefault="00C15426" w:rsidP="00C15426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FFFFFF"/>
                <w:sz w:val="18"/>
                <w:szCs w:val="18"/>
              </w:rPr>
              <w:t>87 %</w:t>
            </w:r>
          </w:p>
        </w:tc>
        <w:tc>
          <w:tcPr>
            <w:tcW w:w="1091" w:type="dxa"/>
            <w:shd w:val="clear" w:color="auto" w:fill="244C5A"/>
          </w:tcPr>
          <w:p w14:paraId="4A1DC7C7" w14:textId="3D3D4A9B" w:rsidR="00C15426" w:rsidRPr="00C15426" w:rsidRDefault="00C15426" w:rsidP="00C15426">
            <w:pPr>
              <w:jc w:val="center"/>
              <w:rPr>
                <w:rFonts w:ascii="VIC" w:hAnsi="VIC"/>
                <w:color w:val="FFFFFF" w:themeColor="background1"/>
                <w:sz w:val="18"/>
                <w:szCs w:val="18"/>
              </w:rPr>
            </w:pPr>
            <w:r w:rsidRPr="00C15426">
              <w:rPr>
                <w:rFonts w:ascii="VIC" w:eastAsia="Verdana" w:hAnsi="VIC"/>
                <w:color w:val="FFFFFF"/>
                <w:sz w:val="18"/>
                <w:szCs w:val="18"/>
              </w:rPr>
              <w:t>13.8</w:t>
            </w:r>
          </w:p>
        </w:tc>
      </w:tr>
    </w:tbl>
    <w:p w14:paraId="06DAA8EF" w14:textId="77777777" w:rsidR="00C00109" w:rsidRDefault="00C00109" w:rsidP="00E36C2D">
      <w:pPr>
        <w:pStyle w:val="Heading1"/>
        <w:rPr>
          <w:sz w:val="22"/>
          <w:szCs w:val="22"/>
        </w:rPr>
      </w:pPr>
    </w:p>
    <w:p w14:paraId="0D65DB41" w14:textId="77777777" w:rsidR="00C15426" w:rsidRDefault="00C15426">
      <w:pPr>
        <w:widowControl/>
        <w:rPr>
          <w:rFonts w:ascii="VIC Medium" w:eastAsia="MS Gothic" w:hAnsi="VIC Medium" w:cs="Arial"/>
          <w:bCs/>
          <w:color w:val="2E5E6D"/>
          <w:kern w:val="32"/>
          <w:lang w:val="en-AU"/>
        </w:rPr>
      </w:pPr>
      <w:r>
        <w:br w:type="page"/>
      </w:r>
    </w:p>
    <w:p w14:paraId="162C6D25" w14:textId="401F5753" w:rsidR="00CF11E1" w:rsidRDefault="005A5E67" w:rsidP="00E36C2D">
      <w:pPr>
        <w:pStyle w:val="Heading1"/>
        <w:rPr>
          <w:sz w:val="22"/>
          <w:szCs w:val="22"/>
        </w:rPr>
      </w:pPr>
      <w:bookmarkStart w:id="10" w:name="_Toc22208490"/>
      <w:r>
        <w:rPr>
          <w:sz w:val="22"/>
          <w:szCs w:val="22"/>
        </w:rPr>
        <w:lastRenderedPageBreak/>
        <w:t>Indicator descriptions and notes</w:t>
      </w:r>
      <w:bookmarkEnd w:id="10"/>
    </w:p>
    <w:p w14:paraId="109FF7A2" w14:textId="1477E6E6" w:rsidR="00C00109" w:rsidRDefault="00C00109" w:rsidP="00C00109">
      <w:pPr>
        <w:pStyle w:val="VAHIbody"/>
        <w:spacing w:line="240" w:lineRule="auto"/>
        <w:rPr>
          <w:rFonts w:eastAsia="Calibri"/>
          <w:color w:val="696969"/>
          <w:sz w:val="18"/>
          <w:szCs w:val="18"/>
          <w:lang w:val="en-US"/>
        </w:rPr>
      </w:pPr>
      <w:bookmarkStart w:id="11" w:name="_Hlk22058920"/>
      <w:r w:rsidRPr="00C00109">
        <w:rPr>
          <w:rFonts w:eastAsia="Calibri"/>
          <w:color w:val="696969"/>
          <w:sz w:val="18"/>
          <w:szCs w:val="18"/>
          <w:lang w:val="en-US"/>
        </w:rPr>
        <w:t xml:space="preserve">*Youth PARC </w:t>
      </w:r>
      <w:proofErr w:type="spellStart"/>
      <w:r w:rsidRPr="00C00109">
        <w:rPr>
          <w:rFonts w:eastAsia="Calibri"/>
          <w:color w:val="696969"/>
          <w:sz w:val="18"/>
          <w:szCs w:val="18"/>
          <w:lang w:val="en-US"/>
        </w:rPr>
        <w:t>HoNOS</w:t>
      </w:r>
      <w:proofErr w:type="spellEnd"/>
      <w:r w:rsidRPr="00C00109">
        <w:rPr>
          <w:rFonts w:eastAsia="Calibri"/>
          <w:color w:val="696969"/>
          <w:sz w:val="18"/>
          <w:szCs w:val="18"/>
          <w:lang w:val="en-US"/>
        </w:rPr>
        <w:t xml:space="preserve"> KPIs reflect the scale applicable to the outcome measurement setting their </w:t>
      </w:r>
      <w:proofErr w:type="spellStart"/>
      <w:r w:rsidRPr="00C00109">
        <w:rPr>
          <w:rFonts w:eastAsia="Calibri"/>
          <w:color w:val="696969"/>
          <w:sz w:val="18"/>
          <w:szCs w:val="18"/>
          <w:lang w:val="en-US"/>
        </w:rPr>
        <w:t>subcentre</w:t>
      </w:r>
      <w:proofErr w:type="spellEnd"/>
      <w:r w:rsidRPr="00C00109">
        <w:rPr>
          <w:rFonts w:eastAsia="Calibri"/>
          <w:color w:val="696969"/>
          <w:sz w:val="18"/>
          <w:szCs w:val="18"/>
          <w:lang w:val="en-US"/>
        </w:rPr>
        <w:t xml:space="preserve"> was set up with</w:t>
      </w:r>
      <w:r>
        <w:rPr>
          <w:rFonts w:eastAsia="Calibri"/>
          <w:color w:val="696969"/>
          <w:sz w:val="18"/>
          <w:szCs w:val="18"/>
          <w:lang w:val="en-US"/>
        </w:rPr>
        <w:t xml:space="preserve"> (</w:t>
      </w:r>
      <w:r w:rsidRPr="00C00109">
        <w:rPr>
          <w:rFonts w:eastAsia="Calibri"/>
          <w:color w:val="696969"/>
          <w:sz w:val="18"/>
          <w:szCs w:val="18"/>
          <w:lang w:val="en-US"/>
        </w:rPr>
        <w:t>e</w:t>
      </w:r>
      <w:r>
        <w:rPr>
          <w:rFonts w:eastAsia="Calibri"/>
          <w:color w:val="696969"/>
          <w:sz w:val="18"/>
          <w:szCs w:val="18"/>
          <w:lang w:val="en-US"/>
        </w:rPr>
        <w:t>.</w:t>
      </w:r>
      <w:r w:rsidRPr="00C00109">
        <w:rPr>
          <w:rFonts w:eastAsia="Calibri"/>
          <w:color w:val="696969"/>
          <w:sz w:val="18"/>
          <w:szCs w:val="18"/>
          <w:lang w:val="en-US"/>
        </w:rPr>
        <w:t>g. Dandenong Youth PARC is set up with an adult outcome</w:t>
      </w:r>
      <w:r>
        <w:rPr>
          <w:rFonts w:eastAsia="Calibri"/>
          <w:color w:val="696969"/>
          <w:sz w:val="18"/>
          <w:szCs w:val="18"/>
          <w:lang w:val="en-US"/>
        </w:rPr>
        <w:t xml:space="preserve"> </w:t>
      </w:r>
      <w:r w:rsidRPr="00C00109">
        <w:rPr>
          <w:rFonts w:eastAsia="Calibri"/>
          <w:color w:val="696969"/>
          <w:sz w:val="18"/>
          <w:szCs w:val="18"/>
          <w:lang w:val="en-US"/>
        </w:rPr>
        <w:t xml:space="preserve">measurement setting, so rates displayed here include </w:t>
      </w:r>
      <w:proofErr w:type="spellStart"/>
      <w:r w:rsidRPr="00C00109">
        <w:rPr>
          <w:rFonts w:eastAsia="Calibri"/>
          <w:color w:val="696969"/>
          <w:sz w:val="18"/>
          <w:szCs w:val="18"/>
          <w:lang w:val="en-US"/>
        </w:rPr>
        <w:t>HoNOS</w:t>
      </w:r>
      <w:proofErr w:type="spellEnd"/>
      <w:r w:rsidRPr="00C00109">
        <w:rPr>
          <w:rFonts w:eastAsia="Calibri"/>
          <w:color w:val="696969"/>
          <w:sz w:val="18"/>
          <w:szCs w:val="18"/>
          <w:lang w:val="en-US"/>
        </w:rPr>
        <w:t xml:space="preserve"> entries and exclude any </w:t>
      </w:r>
      <w:proofErr w:type="spellStart"/>
      <w:r w:rsidRPr="00C00109">
        <w:rPr>
          <w:rFonts w:eastAsia="Calibri"/>
          <w:color w:val="696969"/>
          <w:sz w:val="18"/>
          <w:szCs w:val="18"/>
          <w:lang w:val="en-US"/>
        </w:rPr>
        <w:t>HoNOSCA</w:t>
      </w:r>
      <w:proofErr w:type="spellEnd"/>
      <w:r w:rsidRPr="00C00109">
        <w:rPr>
          <w:rFonts w:eastAsia="Calibri"/>
          <w:color w:val="696969"/>
          <w:sz w:val="18"/>
          <w:szCs w:val="18"/>
          <w:lang w:val="en-US"/>
        </w:rPr>
        <w:t xml:space="preserve"> entries. Peninsula Youth PARC (16-17) </w:t>
      </w:r>
      <w:proofErr w:type="spellStart"/>
      <w:r w:rsidRPr="00C00109">
        <w:rPr>
          <w:rFonts w:eastAsia="Calibri"/>
          <w:color w:val="696969"/>
          <w:sz w:val="18"/>
          <w:szCs w:val="18"/>
          <w:lang w:val="en-US"/>
        </w:rPr>
        <w:t>subcentre</w:t>
      </w:r>
      <w:proofErr w:type="spellEnd"/>
      <w:r w:rsidRPr="00C00109">
        <w:rPr>
          <w:rFonts w:eastAsia="Calibri"/>
          <w:color w:val="696969"/>
          <w:sz w:val="18"/>
          <w:szCs w:val="18"/>
          <w:lang w:val="en-US"/>
        </w:rPr>
        <w:t xml:space="preserve"> is set up with a CAMHS outcome</w:t>
      </w:r>
      <w:r>
        <w:rPr>
          <w:rFonts w:eastAsia="Calibri"/>
          <w:color w:val="696969"/>
          <w:sz w:val="18"/>
          <w:szCs w:val="18"/>
          <w:lang w:val="en-US"/>
        </w:rPr>
        <w:t xml:space="preserve"> </w:t>
      </w:r>
      <w:r w:rsidRPr="00C00109">
        <w:rPr>
          <w:rFonts w:eastAsia="Calibri"/>
          <w:color w:val="696969"/>
          <w:sz w:val="18"/>
          <w:szCs w:val="18"/>
          <w:lang w:val="en-US"/>
        </w:rPr>
        <w:t xml:space="preserve">measurement setting, so rates displayed here include only </w:t>
      </w:r>
      <w:proofErr w:type="spellStart"/>
      <w:r w:rsidRPr="00C00109">
        <w:rPr>
          <w:rFonts w:eastAsia="Calibri"/>
          <w:color w:val="696969"/>
          <w:sz w:val="18"/>
          <w:szCs w:val="18"/>
          <w:lang w:val="en-US"/>
        </w:rPr>
        <w:t>HoNOSCA</w:t>
      </w:r>
      <w:proofErr w:type="spellEnd"/>
      <w:r w:rsidRPr="00C00109">
        <w:rPr>
          <w:rFonts w:eastAsia="Calibri"/>
          <w:color w:val="696969"/>
          <w:sz w:val="18"/>
          <w:szCs w:val="18"/>
          <w:lang w:val="en-US"/>
        </w:rPr>
        <w:t xml:space="preserve"> entries</w:t>
      </w:r>
      <w:r>
        <w:rPr>
          <w:rFonts w:eastAsia="Calibri"/>
          <w:color w:val="696969"/>
          <w:sz w:val="18"/>
          <w:szCs w:val="18"/>
          <w:lang w:val="en-US"/>
        </w:rPr>
        <w:t>)</w:t>
      </w:r>
      <w:r w:rsidRPr="00C00109">
        <w:rPr>
          <w:rFonts w:eastAsia="Calibri"/>
          <w:color w:val="696969"/>
          <w:sz w:val="18"/>
          <w:szCs w:val="18"/>
          <w:lang w:val="en-US"/>
        </w:rPr>
        <w:t>.</w:t>
      </w:r>
    </w:p>
    <w:p w14:paraId="7A33AFEE" w14:textId="6B2F4CBE" w:rsidR="00C00109" w:rsidRPr="00DA3737" w:rsidRDefault="00C00109" w:rsidP="00C00109">
      <w:pPr>
        <w:pStyle w:val="VAHIbody"/>
        <w:spacing w:line="240" w:lineRule="auto"/>
      </w:pPr>
      <w:r>
        <w:rPr>
          <w:rFonts w:eastAsia="Calibri"/>
          <w:color w:val="696969"/>
          <w:sz w:val="18"/>
          <w:szCs w:val="18"/>
          <w:lang w:val="en-US"/>
        </w:rPr>
        <w:t xml:space="preserve">† </w:t>
      </w:r>
      <w:r w:rsidRPr="0047361C">
        <w:rPr>
          <w:rFonts w:eastAsia="Calibri"/>
          <w:color w:val="696969"/>
          <w:sz w:val="18"/>
          <w:szCs w:val="18"/>
          <w:lang w:val="en-US"/>
        </w:rPr>
        <w:t xml:space="preserve">July to September 2019 data may be incomplete for </w:t>
      </w:r>
      <w:proofErr w:type="spellStart"/>
      <w:r>
        <w:rPr>
          <w:rFonts w:eastAsia="Calibri"/>
          <w:color w:val="696969"/>
          <w:sz w:val="18"/>
          <w:szCs w:val="18"/>
          <w:lang w:val="en-US"/>
        </w:rPr>
        <w:t>Barwon</w:t>
      </w:r>
      <w:proofErr w:type="spellEnd"/>
      <w:r>
        <w:rPr>
          <w:rFonts w:eastAsia="Calibri"/>
          <w:color w:val="696969"/>
          <w:sz w:val="18"/>
          <w:szCs w:val="18"/>
          <w:lang w:val="en-US"/>
        </w:rPr>
        <w:t xml:space="preserve"> Health</w:t>
      </w:r>
      <w:r w:rsidRPr="0047361C">
        <w:rPr>
          <w:rFonts w:eastAsia="Calibri"/>
          <w:color w:val="696969"/>
          <w:sz w:val="18"/>
          <w:szCs w:val="18"/>
          <w:lang w:val="en-US"/>
        </w:rPr>
        <w:t xml:space="preserve">, Latrobe Regional Hospital and South West Health Care. </w:t>
      </w:r>
      <w:r>
        <w:rPr>
          <w:rFonts w:eastAsia="Calibri"/>
          <w:color w:val="696969"/>
          <w:sz w:val="18"/>
          <w:szCs w:val="18"/>
          <w:lang w:val="en-US"/>
        </w:rPr>
        <w:t>Total s</w:t>
      </w:r>
      <w:r w:rsidRPr="0047361C">
        <w:rPr>
          <w:rFonts w:eastAsia="Calibri"/>
          <w:color w:val="696969"/>
          <w:sz w:val="18"/>
          <w:szCs w:val="18"/>
          <w:lang w:val="en-US"/>
        </w:rPr>
        <w:t xml:space="preserve">tatewide </w:t>
      </w:r>
      <w:r>
        <w:rPr>
          <w:rFonts w:eastAsia="Calibri"/>
          <w:color w:val="696969"/>
          <w:sz w:val="18"/>
          <w:szCs w:val="18"/>
          <w:lang w:val="en-US"/>
        </w:rPr>
        <w:t xml:space="preserve">and rural </w:t>
      </w:r>
      <w:r w:rsidRPr="0047361C">
        <w:rPr>
          <w:rFonts w:eastAsia="Calibri"/>
          <w:color w:val="696969"/>
          <w:sz w:val="18"/>
          <w:szCs w:val="18"/>
          <w:lang w:val="en-US"/>
        </w:rPr>
        <w:t>results should be interpreted with caution.</w:t>
      </w:r>
    </w:p>
    <w:tbl>
      <w:tblPr>
        <w:tblW w:w="15026" w:type="dxa"/>
        <w:tblBorders>
          <w:insideH w:val="single" w:sz="4" w:space="0" w:color="244C5A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2"/>
        <w:gridCol w:w="1842"/>
        <w:gridCol w:w="5103"/>
        <w:gridCol w:w="1559"/>
        <w:gridCol w:w="4820"/>
      </w:tblGrid>
      <w:tr w:rsidR="00873CC2" w:rsidRPr="000B0CCC" w14:paraId="7DA4132B" w14:textId="77777777" w:rsidTr="000B0CCC">
        <w:trPr>
          <w:cantSplit/>
          <w:tblHeader/>
        </w:trPr>
        <w:tc>
          <w:tcPr>
            <w:tcW w:w="1702" w:type="dxa"/>
            <w:shd w:val="clear" w:color="auto" w:fill="auto"/>
          </w:tcPr>
          <w:bookmarkEnd w:id="11"/>
          <w:p w14:paraId="4163DDD6" w14:textId="77777777" w:rsidR="00CF11E1" w:rsidRPr="000B0CCC" w:rsidRDefault="00CF11E1" w:rsidP="00E36C2D">
            <w:pPr>
              <w:pStyle w:val="VAHItablecolheadBOLD"/>
              <w:rPr>
                <w:rFonts w:ascii="VIC Medium" w:hAnsi="VIC Medium"/>
                <w:b w:val="0"/>
                <w:sz w:val="22"/>
                <w:szCs w:val="22"/>
              </w:rPr>
            </w:pPr>
            <w:r w:rsidRPr="000B0CCC">
              <w:rPr>
                <w:rFonts w:ascii="VIC Medium" w:hAnsi="VIC Medium"/>
                <w:b w:val="0"/>
                <w:sz w:val="22"/>
                <w:szCs w:val="22"/>
              </w:rPr>
              <w:t>Setting</w:t>
            </w:r>
          </w:p>
        </w:tc>
        <w:tc>
          <w:tcPr>
            <w:tcW w:w="1842" w:type="dxa"/>
          </w:tcPr>
          <w:p w14:paraId="2F4239D4" w14:textId="77777777" w:rsidR="00CF11E1" w:rsidRPr="000B0CCC" w:rsidRDefault="00E06C7B" w:rsidP="00E36C2D">
            <w:pPr>
              <w:pStyle w:val="VAHItablecolheadBOLD"/>
              <w:rPr>
                <w:rFonts w:ascii="VIC Medium" w:hAnsi="VIC Medium"/>
                <w:b w:val="0"/>
                <w:sz w:val="22"/>
                <w:szCs w:val="22"/>
              </w:rPr>
            </w:pPr>
            <w:r w:rsidRPr="000B0CCC">
              <w:rPr>
                <w:rFonts w:ascii="VIC Medium" w:hAnsi="VIC Medium"/>
                <w:b w:val="0"/>
                <w:sz w:val="22"/>
                <w:szCs w:val="22"/>
              </w:rPr>
              <w:t>KPI</w:t>
            </w:r>
          </w:p>
        </w:tc>
        <w:tc>
          <w:tcPr>
            <w:tcW w:w="5103" w:type="dxa"/>
          </w:tcPr>
          <w:p w14:paraId="1AB140C0" w14:textId="77777777" w:rsidR="00CF11E1" w:rsidRPr="000B0CCC" w:rsidRDefault="00CF11E1" w:rsidP="00E36C2D">
            <w:pPr>
              <w:pStyle w:val="VAHItablecolheadBOLD"/>
              <w:rPr>
                <w:rFonts w:ascii="VIC Medium" w:hAnsi="VIC Medium"/>
                <w:b w:val="0"/>
                <w:sz w:val="22"/>
                <w:szCs w:val="22"/>
              </w:rPr>
            </w:pPr>
            <w:r w:rsidRPr="000B0CCC">
              <w:rPr>
                <w:rFonts w:ascii="VIC Medium" w:hAnsi="VIC Medium"/>
                <w:b w:val="0"/>
                <w:sz w:val="22"/>
                <w:szCs w:val="22"/>
              </w:rPr>
              <w:t>Description</w:t>
            </w:r>
          </w:p>
        </w:tc>
        <w:tc>
          <w:tcPr>
            <w:tcW w:w="1559" w:type="dxa"/>
          </w:tcPr>
          <w:p w14:paraId="1D0DCB36" w14:textId="77777777" w:rsidR="00CF11E1" w:rsidRPr="000B0CCC" w:rsidRDefault="00CF11E1" w:rsidP="00E36C2D">
            <w:pPr>
              <w:pStyle w:val="VAHItablecolheadBOLD"/>
              <w:rPr>
                <w:rFonts w:ascii="VIC Medium" w:hAnsi="VIC Medium"/>
                <w:b w:val="0"/>
                <w:sz w:val="22"/>
                <w:szCs w:val="22"/>
              </w:rPr>
            </w:pPr>
            <w:r w:rsidRPr="000B0CCC">
              <w:rPr>
                <w:rFonts w:ascii="VIC Medium" w:hAnsi="VIC Medium"/>
                <w:b w:val="0"/>
                <w:sz w:val="22"/>
                <w:szCs w:val="22"/>
              </w:rPr>
              <w:t>Target</w:t>
            </w:r>
          </w:p>
        </w:tc>
        <w:tc>
          <w:tcPr>
            <w:tcW w:w="4820" w:type="dxa"/>
          </w:tcPr>
          <w:p w14:paraId="353998B4" w14:textId="77777777" w:rsidR="00CF11E1" w:rsidRPr="000B0CCC" w:rsidRDefault="005A5E67" w:rsidP="00E36C2D">
            <w:pPr>
              <w:pStyle w:val="VAHItablecolheadBOLD"/>
              <w:rPr>
                <w:rFonts w:ascii="VIC Medium" w:hAnsi="VIC Medium"/>
                <w:b w:val="0"/>
                <w:sz w:val="22"/>
                <w:szCs w:val="22"/>
              </w:rPr>
            </w:pPr>
            <w:r>
              <w:rPr>
                <w:rFonts w:ascii="VIC Medium" w:hAnsi="VIC Medium"/>
                <w:b w:val="0"/>
                <w:sz w:val="22"/>
                <w:szCs w:val="22"/>
              </w:rPr>
              <w:t>Notes</w:t>
            </w:r>
          </w:p>
        </w:tc>
      </w:tr>
      <w:tr w:rsidR="003C29FF" w:rsidRPr="0069621D" w14:paraId="1B57C156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2927A24D" w14:textId="02780760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  <w:r w:rsidRPr="00C15426">
              <w:rPr>
                <w:color w:val="696969"/>
              </w:rPr>
              <w:t>Residential (CCU)</w:t>
            </w:r>
          </w:p>
        </w:tc>
        <w:tc>
          <w:tcPr>
            <w:tcW w:w="1842" w:type="dxa"/>
          </w:tcPr>
          <w:p w14:paraId="708A1C17" w14:textId="413EA645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Beds per 10,000 population</w:t>
            </w:r>
          </w:p>
        </w:tc>
        <w:tc>
          <w:tcPr>
            <w:tcW w:w="5103" w:type="dxa"/>
          </w:tcPr>
          <w:p w14:paraId="7D64A06D" w14:textId="3A014A5E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Number of funded residential community care unit (CCU) beds per 10,000 population aged 18 to 64 years in the area mental health service.</w:t>
            </w:r>
          </w:p>
        </w:tc>
        <w:tc>
          <w:tcPr>
            <w:tcW w:w="1559" w:type="dxa"/>
          </w:tcPr>
          <w:p w14:paraId="186B8264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6F75F57D" w14:textId="248891B6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Population estimates are based on Victoria in Future 2016.</w:t>
            </w:r>
          </w:p>
        </w:tc>
      </w:tr>
      <w:tr w:rsidR="003C29FF" w:rsidRPr="0069621D" w14:paraId="16D49F57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10A0BCB6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01745C00" w14:textId="19C05D11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Bed occupancy (incl leave)</w:t>
            </w:r>
          </w:p>
        </w:tc>
        <w:tc>
          <w:tcPr>
            <w:tcW w:w="5103" w:type="dxa"/>
          </w:tcPr>
          <w:p w14:paraId="67FA2338" w14:textId="51B90BFA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Rate of occupied bed hours (including leave) per funded bed hours within residential community care units (CCU).</w:t>
            </w:r>
          </w:p>
        </w:tc>
        <w:tc>
          <w:tcPr>
            <w:tcW w:w="1559" w:type="dxa"/>
          </w:tcPr>
          <w:p w14:paraId="02261688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0A3B0FAA" w14:textId="430D68D6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</w:tr>
      <w:tr w:rsidR="003C29FF" w:rsidRPr="0069621D" w14:paraId="42567377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75F18803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4DFBCD9E" w14:textId="4799D8D4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Leave days per occupied bed days</w:t>
            </w:r>
          </w:p>
        </w:tc>
        <w:tc>
          <w:tcPr>
            <w:tcW w:w="5103" w:type="dxa"/>
          </w:tcPr>
          <w:p w14:paraId="500C05A2" w14:textId="0DFCE287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Rate of leave days per occupied bed days within a residential unit.</w:t>
            </w:r>
          </w:p>
        </w:tc>
        <w:tc>
          <w:tcPr>
            <w:tcW w:w="1559" w:type="dxa"/>
          </w:tcPr>
          <w:p w14:paraId="7840EC84" w14:textId="398B0AEB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6DBE8DE5" w14:textId="6650AACC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Measure can provide context around whether high levels of leave could be managed in a less restrictive environment.</w:t>
            </w:r>
          </w:p>
        </w:tc>
      </w:tr>
      <w:tr w:rsidR="003C29FF" w:rsidRPr="0069621D" w14:paraId="02CA2FC1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09987E04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3A271481" w14:textId="2A7EB217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Average duration of treatment to date (days)</w:t>
            </w:r>
          </w:p>
        </w:tc>
        <w:tc>
          <w:tcPr>
            <w:tcW w:w="5103" w:type="dxa"/>
          </w:tcPr>
          <w:p w14:paraId="084A636C" w14:textId="0D03F22E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Average duration of care to date (days) within a residential unit, including leave.</w:t>
            </w:r>
          </w:p>
        </w:tc>
        <w:tc>
          <w:tcPr>
            <w:tcW w:w="1559" w:type="dxa"/>
          </w:tcPr>
          <w:p w14:paraId="28D4CF72" w14:textId="297AC286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07271E83" w14:textId="0A85119A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This measure reports the actual length of care for services and is not dependant on separations or admission events.</w:t>
            </w:r>
          </w:p>
        </w:tc>
      </w:tr>
      <w:tr w:rsidR="003C29FF" w:rsidRPr="0069621D" w14:paraId="592AF5BC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2196C061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2F5F04BC" w14:textId="78260874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Consumers concurrently on a CTO</w:t>
            </w:r>
          </w:p>
        </w:tc>
        <w:tc>
          <w:tcPr>
            <w:tcW w:w="5103" w:type="dxa"/>
          </w:tcPr>
          <w:p w14:paraId="6B457351" w14:textId="55BF4E64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Percentage of open residential episodes where the consumer was concurrently on a Community Treatment Order (CTO).</w:t>
            </w:r>
          </w:p>
        </w:tc>
        <w:tc>
          <w:tcPr>
            <w:tcW w:w="1559" w:type="dxa"/>
          </w:tcPr>
          <w:p w14:paraId="6265CE27" w14:textId="14D4A2B9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58AF53B4" w14:textId="5B4D764C" w:rsidR="003C29FF" w:rsidRPr="00C15426" w:rsidRDefault="003C29FF" w:rsidP="003C29FF">
            <w:pPr>
              <w:tabs>
                <w:tab w:val="left" w:pos="1320"/>
              </w:tabs>
              <w:rPr>
                <w:rFonts w:ascii="VIC" w:hAnsi="VIC"/>
                <w:color w:val="696969"/>
                <w:sz w:val="18"/>
                <w:szCs w:val="18"/>
                <w:lang w:val="en-AU"/>
              </w:rPr>
            </w:pPr>
            <w:r w:rsidRPr="00C15426">
              <w:rPr>
                <w:rFonts w:ascii="VIC" w:hAnsi="VIC"/>
                <w:color w:val="696969"/>
                <w:sz w:val="18"/>
                <w:szCs w:val="18"/>
              </w:rPr>
              <w:t>Measure counts distinct episodes and not distinct consumers (a consumer may have more than 1 episode open during the reference period).</w:t>
            </w:r>
          </w:p>
        </w:tc>
      </w:tr>
      <w:tr w:rsidR="003C29FF" w:rsidRPr="0069621D" w14:paraId="781F5EBD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602202DD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13D4C2C3" w14:textId="758B00B7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proofErr w:type="spellStart"/>
            <w:r w:rsidRPr="00C15426">
              <w:rPr>
                <w:color w:val="696969"/>
              </w:rPr>
              <w:t>HoNOS</w:t>
            </w:r>
            <w:proofErr w:type="spellEnd"/>
            <w:r w:rsidRPr="00C15426">
              <w:rPr>
                <w:color w:val="696969"/>
              </w:rPr>
              <w:t xml:space="preserve"> compliance</w:t>
            </w:r>
          </w:p>
        </w:tc>
        <w:tc>
          <w:tcPr>
            <w:tcW w:w="5103" w:type="dxa"/>
          </w:tcPr>
          <w:p w14:paraId="64406A96" w14:textId="5F524627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 xml:space="preserve">Percentage of required collection events in a residential unit where a </w:t>
            </w:r>
            <w:proofErr w:type="spellStart"/>
            <w:r w:rsidRPr="00C15426">
              <w:rPr>
                <w:color w:val="696969"/>
              </w:rPr>
              <w:t>HoNOS</w:t>
            </w:r>
            <w:proofErr w:type="spellEnd"/>
            <w:r w:rsidRPr="00C15426">
              <w:rPr>
                <w:color w:val="696969"/>
              </w:rPr>
              <w:t xml:space="preserve"> outcome measurement scale (HNSADL/HoNOS65) was completed, excluding invalid </w:t>
            </w:r>
            <w:proofErr w:type="spellStart"/>
            <w:r w:rsidRPr="00C15426">
              <w:rPr>
                <w:color w:val="696969"/>
              </w:rPr>
              <w:t>HoNOS</w:t>
            </w:r>
            <w:proofErr w:type="spellEnd"/>
            <w:r w:rsidRPr="00C15426">
              <w:rPr>
                <w:color w:val="696969"/>
              </w:rPr>
              <w:t xml:space="preserve"> scores (more than two times rated as '9').</w:t>
            </w:r>
          </w:p>
        </w:tc>
        <w:tc>
          <w:tcPr>
            <w:tcW w:w="1559" w:type="dxa"/>
          </w:tcPr>
          <w:p w14:paraId="1645DBBB" w14:textId="0A5C126E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85.0 %</w:t>
            </w:r>
          </w:p>
        </w:tc>
        <w:tc>
          <w:tcPr>
            <w:tcW w:w="4820" w:type="dxa"/>
          </w:tcPr>
          <w:p w14:paraId="110B433E" w14:textId="55F7B052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Results during 2011, 2012, 2016 and 2017 were affected by industrial activity and should be interpreted with caution.</w:t>
            </w:r>
          </w:p>
        </w:tc>
      </w:tr>
      <w:tr w:rsidR="003C29FF" w:rsidRPr="0069621D" w14:paraId="057BE954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668261DC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32F10FA9" w14:textId="5C128B73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 xml:space="preserve">Average </w:t>
            </w:r>
            <w:proofErr w:type="spellStart"/>
            <w:r w:rsidRPr="00C15426">
              <w:rPr>
                <w:color w:val="696969"/>
              </w:rPr>
              <w:t>HoNOS</w:t>
            </w:r>
            <w:proofErr w:type="spellEnd"/>
            <w:r w:rsidRPr="00C15426">
              <w:rPr>
                <w:color w:val="696969"/>
              </w:rPr>
              <w:t xml:space="preserve"> at episode start</w:t>
            </w:r>
          </w:p>
        </w:tc>
        <w:tc>
          <w:tcPr>
            <w:tcW w:w="5103" w:type="dxa"/>
          </w:tcPr>
          <w:p w14:paraId="64F29EF5" w14:textId="1FD39B3D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 xml:space="preserve">Average </w:t>
            </w:r>
            <w:proofErr w:type="spellStart"/>
            <w:r w:rsidRPr="00C15426">
              <w:rPr>
                <w:color w:val="696969"/>
              </w:rPr>
              <w:t>HoNOS</w:t>
            </w:r>
            <w:proofErr w:type="spellEnd"/>
            <w:r w:rsidRPr="00C15426">
              <w:rPr>
                <w:color w:val="696969"/>
              </w:rPr>
              <w:t xml:space="preserve"> total score (HNSADL/HoNOS65) collected on residential episode start, excluding invalid </w:t>
            </w:r>
            <w:proofErr w:type="spellStart"/>
            <w:r w:rsidRPr="00C15426">
              <w:rPr>
                <w:color w:val="696969"/>
              </w:rPr>
              <w:t>HoNOS</w:t>
            </w:r>
            <w:proofErr w:type="spellEnd"/>
            <w:r w:rsidRPr="00C15426">
              <w:rPr>
                <w:color w:val="696969"/>
              </w:rPr>
              <w:t xml:space="preserve"> scores (more than two times rated as '9').</w:t>
            </w:r>
          </w:p>
        </w:tc>
        <w:tc>
          <w:tcPr>
            <w:tcW w:w="1559" w:type="dxa"/>
          </w:tcPr>
          <w:p w14:paraId="4AC911AB" w14:textId="0A8CE63C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1EB79FD8" w14:textId="10C21124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 xml:space="preserve">Measure reports symptom severity at episode commencement. Dates used in measure calculation are based on </w:t>
            </w:r>
            <w:proofErr w:type="spellStart"/>
            <w:r w:rsidRPr="00C15426">
              <w:rPr>
                <w:color w:val="696969"/>
              </w:rPr>
              <w:t>HoNOS</w:t>
            </w:r>
            <w:proofErr w:type="spellEnd"/>
            <w:r w:rsidRPr="00C15426">
              <w:rPr>
                <w:color w:val="696969"/>
              </w:rPr>
              <w:t xml:space="preserve"> completion date. Results during 2011, 2012, 2016 and 2017 were affected by industrial activity and should be interpreted with caution.</w:t>
            </w:r>
          </w:p>
        </w:tc>
      </w:tr>
      <w:tr w:rsidR="003C29FF" w:rsidRPr="0069621D" w14:paraId="1501EE19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7DB2F668" w14:textId="00185358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55A3EB24" w14:textId="41CB1B40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BASIS32 offered</w:t>
            </w:r>
          </w:p>
        </w:tc>
        <w:tc>
          <w:tcPr>
            <w:tcW w:w="5103" w:type="dxa"/>
          </w:tcPr>
          <w:p w14:paraId="0C80AB8F" w14:textId="06872DFD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Percentage of collection occasions in a residential setting where clinicians offered a relevant consumer self-assessment measurement scale (BASIS-32).</w:t>
            </w:r>
          </w:p>
        </w:tc>
        <w:tc>
          <w:tcPr>
            <w:tcW w:w="1559" w:type="dxa"/>
          </w:tcPr>
          <w:p w14:paraId="3F423A82" w14:textId="0AFC005B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6ACB517C" w14:textId="08021B11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Measure can be an indicator of services that actively seek consumer feedback and have systems in place to ensure that at a minimum the consumer measures are considered for collection. Results during 2011, 2012, 2016 and 2017 were affected by industrial activity and should be interpreted with caution.</w:t>
            </w:r>
          </w:p>
        </w:tc>
      </w:tr>
      <w:tr w:rsidR="003C29FF" w:rsidRPr="0069621D" w14:paraId="4217DCC2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0617E5DD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5DDA0C46" w14:textId="2F9A3A1A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BASIS32 completed</w:t>
            </w:r>
          </w:p>
        </w:tc>
        <w:tc>
          <w:tcPr>
            <w:tcW w:w="5103" w:type="dxa"/>
          </w:tcPr>
          <w:p w14:paraId="1115D417" w14:textId="6D0C6ABC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Percentage of collection occasions in a residential setting where consumers completed a relevant consumer self-assessment measurement scale (BASIS-32).</w:t>
            </w:r>
          </w:p>
        </w:tc>
        <w:tc>
          <w:tcPr>
            <w:tcW w:w="1559" w:type="dxa"/>
          </w:tcPr>
          <w:p w14:paraId="0D763719" w14:textId="1067A97B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0B2C6B2A" w14:textId="182358B4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Measure can be an indicator of service engagement with families and carers. Results during 2011, 2012, 2016 and 2017 were affected by industrial activity and should be interpreted with caution.</w:t>
            </w:r>
          </w:p>
        </w:tc>
      </w:tr>
      <w:tr w:rsidR="003C29FF" w:rsidRPr="0069621D" w14:paraId="46EEAD99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287CE8A7" w14:textId="1F0EA6AB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  <w:r w:rsidRPr="00C15426">
              <w:rPr>
                <w:color w:val="696969"/>
              </w:rPr>
              <w:t>PARC</w:t>
            </w:r>
          </w:p>
        </w:tc>
        <w:tc>
          <w:tcPr>
            <w:tcW w:w="1842" w:type="dxa"/>
          </w:tcPr>
          <w:p w14:paraId="5AF610E7" w14:textId="3647D28E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Bed occupancy (incl leave)</w:t>
            </w:r>
          </w:p>
        </w:tc>
        <w:tc>
          <w:tcPr>
            <w:tcW w:w="5103" w:type="dxa"/>
          </w:tcPr>
          <w:p w14:paraId="2CF35DA3" w14:textId="59726ACB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Rate of occupied bed hours (including leave) per funded bed hours within prevention and recovery care (PARC) units.</w:t>
            </w:r>
          </w:p>
        </w:tc>
        <w:tc>
          <w:tcPr>
            <w:tcW w:w="1559" w:type="dxa"/>
          </w:tcPr>
          <w:p w14:paraId="0F5C0963" w14:textId="755E7A75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58E0E644" w14:textId="1577E45C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</w:tr>
      <w:tr w:rsidR="003C29FF" w:rsidRPr="0069621D" w14:paraId="130EC93A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4D8699D4" w14:textId="51D35649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3FC82C4A" w14:textId="5FC2D5A9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Average length of stay (days)</w:t>
            </w:r>
          </w:p>
        </w:tc>
        <w:tc>
          <w:tcPr>
            <w:tcW w:w="5103" w:type="dxa"/>
          </w:tcPr>
          <w:p w14:paraId="7D57D74A" w14:textId="176EA7DB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Average length of stay (days) of separations from prevention and recovery care (PARC) units, excluding separations where the consumer was subsequently admitted to an acute inpatient unit.</w:t>
            </w:r>
          </w:p>
        </w:tc>
        <w:tc>
          <w:tcPr>
            <w:tcW w:w="1559" w:type="dxa"/>
          </w:tcPr>
          <w:p w14:paraId="2DEB2BDE" w14:textId="4A1E1D29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31FEB266" w14:textId="005182CB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</w:tr>
      <w:tr w:rsidR="003C29FF" w:rsidRPr="0069621D" w14:paraId="5D05BCEE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394A6533" w14:textId="52135181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76193907" w14:textId="6EBDA134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Leave days per occupied bed days</w:t>
            </w:r>
          </w:p>
        </w:tc>
        <w:tc>
          <w:tcPr>
            <w:tcW w:w="5103" w:type="dxa"/>
          </w:tcPr>
          <w:p w14:paraId="40ADCA23" w14:textId="17448C21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Rate of leave days per occupied bed days within a prevention and recovery care (PARC) unit.</w:t>
            </w:r>
          </w:p>
        </w:tc>
        <w:tc>
          <w:tcPr>
            <w:tcW w:w="1559" w:type="dxa"/>
          </w:tcPr>
          <w:p w14:paraId="66307FA6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6D9DE276" w14:textId="654FEB96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Measure can provide context around whether high levels of leave could be managed in a less restrictive environment.</w:t>
            </w:r>
          </w:p>
        </w:tc>
      </w:tr>
      <w:tr w:rsidR="003C29FF" w:rsidRPr="0069621D" w14:paraId="2860F4E4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402DDE3D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3AB39397" w14:textId="1B34A10C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Average duration of treatment to date (days)</w:t>
            </w:r>
          </w:p>
        </w:tc>
        <w:tc>
          <w:tcPr>
            <w:tcW w:w="5103" w:type="dxa"/>
          </w:tcPr>
          <w:p w14:paraId="1631E1FF" w14:textId="6EA25695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Average duration of care to date (days) within a prevention and recovery care (PARC) unit, including leave.</w:t>
            </w:r>
          </w:p>
        </w:tc>
        <w:tc>
          <w:tcPr>
            <w:tcW w:w="1559" w:type="dxa"/>
          </w:tcPr>
          <w:p w14:paraId="12B7BAD2" w14:textId="64E079E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2D86D332" w14:textId="3EF33A21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This measure reports the actual length of care for services and is not dependant on separations or admission events.</w:t>
            </w:r>
          </w:p>
        </w:tc>
      </w:tr>
      <w:tr w:rsidR="003C29FF" w:rsidRPr="0069621D" w14:paraId="4C106A7E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2A9F8C7F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45DDAA6B" w14:textId="56260700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Separations followed by an acute admission</w:t>
            </w:r>
          </w:p>
        </w:tc>
        <w:tc>
          <w:tcPr>
            <w:tcW w:w="5103" w:type="dxa"/>
          </w:tcPr>
          <w:p w14:paraId="63DFB33F" w14:textId="4AC8F319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Percentage of separations from a prevention and recovery care (PARC) unit where the consumer was subsequently admitted to an acute inpatient unit within 7 days of separation.</w:t>
            </w:r>
          </w:p>
        </w:tc>
        <w:tc>
          <w:tcPr>
            <w:tcW w:w="1559" w:type="dxa"/>
          </w:tcPr>
          <w:p w14:paraId="17EC52B4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602D7C8F" w14:textId="1A22F49B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</w:tr>
      <w:tr w:rsidR="003C29FF" w:rsidRPr="0069621D" w14:paraId="0B00DCC7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2CD236DF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178FCD59" w14:textId="2B85C2FF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Consumers concurrently on a CTO</w:t>
            </w:r>
          </w:p>
        </w:tc>
        <w:tc>
          <w:tcPr>
            <w:tcW w:w="5103" w:type="dxa"/>
          </w:tcPr>
          <w:p w14:paraId="02C59BFD" w14:textId="37CD4437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Percentage of open prevention and recovery care (PARC) episodes where the consumer was concurrently on a Community Treatment Order (CTO).</w:t>
            </w:r>
          </w:p>
        </w:tc>
        <w:tc>
          <w:tcPr>
            <w:tcW w:w="1559" w:type="dxa"/>
          </w:tcPr>
          <w:p w14:paraId="71FDE56A" w14:textId="6F98A143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34570FAB" w14:textId="2725D0ED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Measure counts distinct episodes and not distinct consumers (a consumer may have more than 1 episode open during the reference period).</w:t>
            </w:r>
          </w:p>
        </w:tc>
      </w:tr>
      <w:tr w:rsidR="003C29FF" w:rsidRPr="0069621D" w14:paraId="49BDEAE8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3B2286F9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36A0DFA4" w14:textId="7C1C780B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proofErr w:type="spellStart"/>
            <w:r w:rsidRPr="00C15426">
              <w:rPr>
                <w:color w:val="696969"/>
              </w:rPr>
              <w:t>HoNOS</w:t>
            </w:r>
            <w:proofErr w:type="spellEnd"/>
            <w:r w:rsidRPr="00C15426">
              <w:rPr>
                <w:color w:val="696969"/>
              </w:rPr>
              <w:t xml:space="preserve"> compliance</w:t>
            </w:r>
          </w:p>
        </w:tc>
        <w:tc>
          <w:tcPr>
            <w:tcW w:w="5103" w:type="dxa"/>
          </w:tcPr>
          <w:p w14:paraId="54B0609B" w14:textId="1AFCFC47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 xml:space="preserve">Percentage of required collection events in a prevention and recovery care (PARC) unit where a </w:t>
            </w:r>
            <w:proofErr w:type="spellStart"/>
            <w:r w:rsidRPr="00C15426">
              <w:rPr>
                <w:color w:val="696969"/>
              </w:rPr>
              <w:t>HoNOS</w:t>
            </w:r>
            <w:proofErr w:type="spellEnd"/>
            <w:r w:rsidRPr="00C15426">
              <w:rPr>
                <w:color w:val="696969"/>
              </w:rPr>
              <w:t xml:space="preserve"> outcome measurement scale (HNSADL) was completed, excluding invalid </w:t>
            </w:r>
            <w:proofErr w:type="spellStart"/>
            <w:r w:rsidRPr="00C15426">
              <w:rPr>
                <w:color w:val="696969"/>
              </w:rPr>
              <w:t>HoNOS</w:t>
            </w:r>
            <w:proofErr w:type="spellEnd"/>
            <w:r w:rsidRPr="00C15426">
              <w:rPr>
                <w:color w:val="696969"/>
              </w:rPr>
              <w:t xml:space="preserve"> scores (more than two times rated as '9').</w:t>
            </w:r>
          </w:p>
        </w:tc>
        <w:tc>
          <w:tcPr>
            <w:tcW w:w="1559" w:type="dxa"/>
          </w:tcPr>
          <w:p w14:paraId="0D7705D6" w14:textId="7666E9DC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85.0 %</w:t>
            </w:r>
          </w:p>
        </w:tc>
        <w:tc>
          <w:tcPr>
            <w:tcW w:w="4820" w:type="dxa"/>
          </w:tcPr>
          <w:p w14:paraId="2A2788F5" w14:textId="14165595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Results during 2011, 2012, 2016 and 2017 were affected by industrial activity and should be interpreted with caution.</w:t>
            </w:r>
          </w:p>
        </w:tc>
      </w:tr>
      <w:tr w:rsidR="003C29FF" w:rsidRPr="0069621D" w14:paraId="34B4389C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15E9A033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1842" w:type="dxa"/>
          </w:tcPr>
          <w:p w14:paraId="3EB376CE" w14:textId="56BB7948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 xml:space="preserve">Average </w:t>
            </w:r>
            <w:proofErr w:type="spellStart"/>
            <w:r w:rsidRPr="00C15426">
              <w:rPr>
                <w:color w:val="696969"/>
              </w:rPr>
              <w:t>HoNOS</w:t>
            </w:r>
            <w:proofErr w:type="spellEnd"/>
            <w:r w:rsidRPr="00C15426">
              <w:rPr>
                <w:color w:val="696969"/>
              </w:rPr>
              <w:t xml:space="preserve"> at episode start</w:t>
            </w:r>
          </w:p>
        </w:tc>
        <w:tc>
          <w:tcPr>
            <w:tcW w:w="5103" w:type="dxa"/>
          </w:tcPr>
          <w:p w14:paraId="05E1921C" w14:textId="3FC40650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 xml:space="preserve">Average </w:t>
            </w:r>
            <w:proofErr w:type="spellStart"/>
            <w:r w:rsidRPr="00C15426">
              <w:rPr>
                <w:color w:val="696969"/>
              </w:rPr>
              <w:t>HoNOS</w:t>
            </w:r>
            <w:proofErr w:type="spellEnd"/>
            <w:r w:rsidRPr="00C15426">
              <w:rPr>
                <w:color w:val="696969"/>
              </w:rPr>
              <w:t xml:space="preserve"> total score (HNSADL) collected on prevention and recovery care (PARC) episode start, excluding invalid scores (more than two times rated as '9').</w:t>
            </w:r>
          </w:p>
        </w:tc>
        <w:tc>
          <w:tcPr>
            <w:tcW w:w="1559" w:type="dxa"/>
          </w:tcPr>
          <w:p w14:paraId="39AEE469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057D5861" w14:textId="689A4935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 xml:space="preserve">Measure reports symptom severity at episode commencement. Dates used in measure calculation are based on </w:t>
            </w:r>
            <w:proofErr w:type="spellStart"/>
            <w:r w:rsidRPr="00C15426">
              <w:rPr>
                <w:color w:val="696969"/>
              </w:rPr>
              <w:t>HoNOS</w:t>
            </w:r>
            <w:proofErr w:type="spellEnd"/>
            <w:r w:rsidRPr="00C15426">
              <w:rPr>
                <w:color w:val="696969"/>
              </w:rPr>
              <w:t xml:space="preserve"> completion date. Results during 2011, 2012, 2016 and 2017 were affected by industrial activity and should be interpreted with caution.</w:t>
            </w:r>
          </w:p>
        </w:tc>
      </w:tr>
      <w:tr w:rsidR="003C29FF" w:rsidRPr="0069621D" w14:paraId="12C4D44E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00EC9B6E" w14:textId="01F752F2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  <w:r w:rsidRPr="00C15426">
              <w:rPr>
                <w:color w:val="696969"/>
              </w:rPr>
              <w:t>Extended Care</w:t>
            </w:r>
          </w:p>
        </w:tc>
        <w:tc>
          <w:tcPr>
            <w:tcW w:w="1842" w:type="dxa"/>
          </w:tcPr>
          <w:p w14:paraId="10138DE0" w14:textId="0F7FDF92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Bed occupancy (incl leave)</w:t>
            </w:r>
          </w:p>
        </w:tc>
        <w:tc>
          <w:tcPr>
            <w:tcW w:w="5103" w:type="dxa"/>
          </w:tcPr>
          <w:p w14:paraId="593685B8" w14:textId="0AC86EA4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Rate of occupied bed hours (including leave) per funded bed hours within secure extended care units (SECU).</w:t>
            </w:r>
          </w:p>
        </w:tc>
        <w:tc>
          <w:tcPr>
            <w:tcW w:w="1559" w:type="dxa"/>
          </w:tcPr>
          <w:p w14:paraId="1BB4C3CB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00C7F9BF" w14:textId="464934E3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</w:p>
        </w:tc>
      </w:tr>
      <w:tr w:rsidR="003C29FF" w:rsidRPr="0069621D" w14:paraId="7E04582B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2F1E8BAD" w14:textId="77777777" w:rsidR="003C29FF" w:rsidRPr="00C15426" w:rsidRDefault="003C29FF" w:rsidP="003C29FF">
            <w:pPr>
              <w:pStyle w:val="VAHItabletext"/>
              <w:rPr>
                <w:color w:val="696969"/>
              </w:rPr>
            </w:pPr>
          </w:p>
        </w:tc>
        <w:tc>
          <w:tcPr>
            <w:tcW w:w="1842" w:type="dxa"/>
          </w:tcPr>
          <w:p w14:paraId="41E13401" w14:textId="72DBC2C9" w:rsidR="003C29FF" w:rsidRPr="00C15426" w:rsidRDefault="003C29FF" w:rsidP="003C29FF">
            <w:pPr>
              <w:pStyle w:val="VAHItabletext"/>
              <w:rPr>
                <w:color w:val="696969"/>
              </w:rPr>
            </w:pPr>
            <w:r w:rsidRPr="00C15426">
              <w:rPr>
                <w:color w:val="696969"/>
              </w:rPr>
              <w:t>Leave days per occupied bed days</w:t>
            </w:r>
          </w:p>
        </w:tc>
        <w:tc>
          <w:tcPr>
            <w:tcW w:w="5103" w:type="dxa"/>
          </w:tcPr>
          <w:p w14:paraId="7794E121" w14:textId="73CC8E5B" w:rsidR="003C29FF" w:rsidRPr="00C15426" w:rsidRDefault="003C29FF" w:rsidP="003C29FF">
            <w:pPr>
              <w:pStyle w:val="VAHItabletext"/>
              <w:rPr>
                <w:color w:val="696969"/>
              </w:rPr>
            </w:pPr>
            <w:r w:rsidRPr="00C15426">
              <w:rPr>
                <w:color w:val="696969"/>
              </w:rPr>
              <w:t>Rate of leave days per occupied bed days within a secure extended care unit (SECU).</w:t>
            </w:r>
          </w:p>
        </w:tc>
        <w:tc>
          <w:tcPr>
            <w:tcW w:w="1559" w:type="dxa"/>
          </w:tcPr>
          <w:p w14:paraId="258D95DE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43BB2843" w14:textId="097E2449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Measure can provide context around whether high levels of leave could be managed in a less restrictive environment.</w:t>
            </w:r>
          </w:p>
        </w:tc>
      </w:tr>
      <w:tr w:rsidR="003C29FF" w:rsidRPr="0069621D" w14:paraId="22378C6F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160966DF" w14:textId="77777777" w:rsidR="003C29FF" w:rsidRPr="00C15426" w:rsidRDefault="003C29FF" w:rsidP="003C29FF">
            <w:pPr>
              <w:pStyle w:val="VAHItabletext"/>
              <w:rPr>
                <w:color w:val="696969"/>
              </w:rPr>
            </w:pPr>
          </w:p>
        </w:tc>
        <w:tc>
          <w:tcPr>
            <w:tcW w:w="1842" w:type="dxa"/>
          </w:tcPr>
          <w:p w14:paraId="01BC27B2" w14:textId="4742B54C" w:rsidR="003C29FF" w:rsidRPr="00C15426" w:rsidRDefault="003C29FF" w:rsidP="003C29FF">
            <w:pPr>
              <w:pStyle w:val="VAHItabletext"/>
              <w:rPr>
                <w:color w:val="696969"/>
              </w:rPr>
            </w:pPr>
            <w:r w:rsidRPr="00C15426">
              <w:rPr>
                <w:color w:val="696969"/>
              </w:rPr>
              <w:t>Average duration of treatment to date (days)</w:t>
            </w:r>
          </w:p>
        </w:tc>
        <w:tc>
          <w:tcPr>
            <w:tcW w:w="5103" w:type="dxa"/>
          </w:tcPr>
          <w:p w14:paraId="2A4B915C" w14:textId="653207F6" w:rsidR="003C29FF" w:rsidRPr="00C15426" w:rsidRDefault="003C29FF" w:rsidP="003C29FF">
            <w:pPr>
              <w:pStyle w:val="VAHItabletext"/>
              <w:rPr>
                <w:color w:val="696969"/>
              </w:rPr>
            </w:pPr>
            <w:r w:rsidRPr="00C15426">
              <w:rPr>
                <w:color w:val="696969"/>
              </w:rPr>
              <w:t>Average duration of care to date (days) within a secure extended care unit (SECU), including leave.</w:t>
            </w:r>
          </w:p>
        </w:tc>
        <w:tc>
          <w:tcPr>
            <w:tcW w:w="1559" w:type="dxa"/>
          </w:tcPr>
          <w:p w14:paraId="30144B05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158ECC12" w14:textId="4B686306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This measure reports the actual length of care for services and is not dependant on separations or admission events.</w:t>
            </w:r>
          </w:p>
        </w:tc>
      </w:tr>
      <w:tr w:rsidR="003C29FF" w:rsidRPr="0069621D" w14:paraId="1002545F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2D3A671C" w14:textId="77777777" w:rsidR="003C29FF" w:rsidRPr="00C15426" w:rsidRDefault="003C29FF" w:rsidP="003C29FF">
            <w:pPr>
              <w:pStyle w:val="VAHItabletext"/>
              <w:rPr>
                <w:color w:val="696969"/>
              </w:rPr>
            </w:pPr>
          </w:p>
        </w:tc>
        <w:tc>
          <w:tcPr>
            <w:tcW w:w="1842" w:type="dxa"/>
          </w:tcPr>
          <w:p w14:paraId="34927058" w14:textId="7EABC447" w:rsidR="003C29FF" w:rsidRPr="00C15426" w:rsidRDefault="003C29FF" w:rsidP="003C29FF">
            <w:pPr>
              <w:pStyle w:val="VAHItabletext"/>
              <w:rPr>
                <w:color w:val="696969"/>
              </w:rPr>
            </w:pPr>
            <w:r w:rsidRPr="00C15426">
              <w:rPr>
                <w:color w:val="696969"/>
              </w:rPr>
              <w:t>Seclusions per 1,000 bed days</w:t>
            </w:r>
          </w:p>
        </w:tc>
        <w:tc>
          <w:tcPr>
            <w:tcW w:w="5103" w:type="dxa"/>
          </w:tcPr>
          <w:p w14:paraId="70ECB6C5" w14:textId="1E95D59A" w:rsidR="003C29FF" w:rsidRPr="00C15426" w:rsidRDefault="003C29FF" w:rsidP="003C29FF">
            <w:pPr>
              <w:pStyle w:val="VAHItabletext"/>
              <w:rPr>
                <w:color w:val="696969"/>
              </w:rPr>
            </w:pPr>
            <w:r w:rsidRPr="00C15426">
              <w:rPr>
                <w:color w:val="696969"/>
              </w:rPr>
              <w:t>Rate of ended seclusion episodes per 1,000 occupied bed days within secure extended care units (SECU), excluding leave and same day stays.</w:t>
            </w:r>
          </w:p>
        </w:tc>
        <w:tc>
          <w:tcPr>
            <w:tcW w:w="1559" w:type="dxa"/>
          </w:tcPr>
          <w:p w14:paraId="442CA11C" w14:textId="75302785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  <w:r w:rsidRPr="00C15426">
              <w:rPr>
                <w:color w:val="696969"/>
              </w:rPr>
              <w:t>15.0</w:t>
            </w:r>
          </w:p>
        </w:tc>
        <w:tc>
          <w:tcPr>
            <w:tcW w:w="4820" w:type="dxa"/>
          </w:tcPr>
          <w:p w14:paraId="7F2D82DD" w14:textId="53690A75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Calculation of bed days involves converting minutes into days.</w:t>
            </w:r>
          </w:p>
        </w:tc>
      </w:tr>
      <w:tr w:rsidR="003C29FF" w:rsidRPr="0069621D" w14:paraId="382ADBF8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476EF3F5" w14:textId="77777777" w:rsidR="003C29FF" w:rsidRPr="00C15426" w:rsidRDefault="003C29FF" w:rsidP="003C29FF">
            <w:pPr>
              <w:pStyle w:val="VAHItabletext"/>
              <w:rPr>
                <w:color w:val="696969"/>
              </w:rPr>
            </w:pPr>
          </w:p>
        </w:tc>
        <w:tc>
          <w:tcPr>
            <w:tcW w:w="1842" w:type="dxa"/>
          </w:tcPr>
          <w:p w14:paraId="0691DBE5" w14:textId="7FC30F21" w:rsidR="003C29FF" w:rsidRPr="00C15426" w:rsidRDefault="003C29FF" w:rsidP="003C29FF">
            <w:pPr>
              <w:pStyle w:val="VAHItabletext"/>
              <w:rPr>
                <w:color w:val="696969"/>
              </w:rPr>
            </w:pPr>
            <w:proofErr w:type="spellStart"/>
            <w:r w:rsidRPr="00C15426">
              <w:rPr>
                <w:color w:val="696969"/>
              </w:rPr>
              <w:t>HoNOS</w:t>
            </w:r>
            <w:proofErr w:type="spellEnd"/>
            <w:r w:rsidRPr="00C15426">
              <w:rPr>
                <w:color w:val="696969"/>
              </w:rPr>
              <w:t xml:space="preserve"> compliance</w:t>
            </w:r>
          </w:p>
        </w:tc>
        <w:tc>
          <w:tcPr>
            <w:tcW w:w="5103" w:type="dxa"/>
          </w:tcPr>
          <w:p w14:paraId="24AD8429" w14:textId="79286304" w:rsidR="003C29FF" w:rsidRPr="00C15426" w:rsidRDefault="003C29FF" w:rsidP="003C29FF">
            <w:pPr>
              <w:pStyle w:val="VAHItabletext"/>
              <w:rPr>
                <w:color w:val="696969"/>
              </w:rPr>
            </w:pPr>
            <w:r w:rsidRPr="00C15426">
              <w:rPr>
                <w:color w:val="696969"/>
              </w:rPr>
              <w:t xml:space="preserve">Percentage of required collection events in a secure extended care unit (SECU) where a </w:t>
            </w:r>
            <w:proofErr w:type="spellStart"/>
            <w:r w:rsidRPr="00C15426">
              <w:rPr>
                <w:color w:val="696969"/>
              </w:rPr>
              <w:t>HoNOS</w:t>
            </w:r>
            <w:proofErr w:type="spellEnd"/>
            <w:r w:rsidRPr="00C15426">
              <w:rPr>
                <w:color w:val="696969"/>
              </w:rPr>
              <w:t xml:space="preserve"> outcome measurement scale (HNSADL) was completed, excluding invalid </w:t>
            </w:r>
            <w:proofErr w:type="spellStart"/>
            <w:r w:rsidRPr="00C15426">
              <w:rPr>
                <w:color w:val="696969"/>
              </w:rPr>
              <w:t>HoNOS</w:t>
            </w:r>
            <w:proofErr w:type="spellEnd"/>
            <w:r w:rsidRPr="00C15426">
              <w:rPr>
                <w:color w:val="696969"/>
              </w:rPr>
              <w:t xml:space="preserve"> scores (more than two times rated as '9').</w:t>
            </w:r>
          </w:p>
        </w:tc>
        <w:tc>
          <w:tcPr>
            <w:tcW w:w="1559" w:type="dxa"/>
          </w:tcPr>
          <w:p w14:paraId="2FB3D391" w14:textId="1D6B7E60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  <w:r w:rsidRPr="00C15426">
              <w:rPr>
                <w:color w:val="696969"/>
              </w:rPr>
              <w:t>85.0 %</w:t>
            </w:r>
          </w:p>
        </w:tc>
        <w:tc>
          <w:tcPr>
            <w:tcW w:w="4820" w:type="dxa"/>
          </w:tcPr>
          <w:p w14:paraId="20C81DC5" w14:textId="3FDBEE55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Results during 2011, 2012, 2016 and 2017 were affected by industrial activity and should be interpreted with caution.</w:t>
            </w:r>
          </w:p>
        </w:tc>
      </w:tr>
      <w:tr w:rsidR="003C29FF" w:rsidRPr="0069621D" w14:paraId="6F0B67B6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536BA0C3" w14:textId="77777777" w:rsidR="003C29FF" w:rsidRPr="00C15426" w:rsidRDefault="003C29FF" w:rsidP="003C29FF">
            <w:pPr>
              <w:pStyle w:val="VAHItabletext"/>
              <w:rPr>
                <w:color w:val="696969"/>
              </w:rPr>
            </w:pPr>
          </w:p>
        </w:tc>
        <w:tc>
          <w:tcPr>
            <w:tcW w:w="1842" w:type="dxa"/>
          </w:tcPr>
          <w:p w14:paraId="630334B3" w14:textId="73531B53" w:rsidR="003C29FF" w:rsidRPr="00C15426" w:rsidRDefault="003C29FF" w:rsidP="003C29FF">
            <w:pPr>
              <w:pStyle w:val="VAHItabletext"/>
              <w:rPr>
                <w:color w:val="696969"/>
              </w:rPr>
            </w:pPr>
            <w:r w:rsidRPr="00C15426">
              <w:rPr>
                <w:color w:val="696969"/>
              </w:rPr>
              <w:t xml:space="preserve">Average </w:t>
            </w:r>
            <w:proofErr w:type="spellStart"/>
            <w:r w:rsidRPr="00C15426">
              <w:rPr>
                <w:color w:val="696969"/>
              </w:rPr>
              <w:t>HoNOS</w:t>
            </w:r>
            <w:proofErr w:type="spellEnd"/>
            <w:r w:rsidRPr="00C15426">
              <w:rPr>
                <w:color w:val="696969"/>
              </w:rPr>
              <w:t xml:space="preserve"> at episode start</w:t>
            </w:r>
          </w:p>
        </w:tc>
        <w:tc>
          <w:tcPr>
            <w:tcW w:w="5103" w:type="dxa"/>
          </w:tcPr>
          <w:p w14:paraId="0D09AB65" w14:textId="564C474C" w:rsidR="003C29FF" w:rsidRPr="00C15426" w:rsidRDefault="003C29FF" w:rsidP="003C29FF">
            <w:pPr>
              <w:pStyle w:val="VAHItabletext"/>
              <w:rPr>
                <w:color w:val="696969"/>
              </w:rPr>
            </w:pPr>
            <w:r w:rsidRPr="00C15426">
              <w:rPr>
                <w:color w:val="696969"/>
              </w:rPr>
              <w:t xml:space="preserve">Average </w:t>
            </w:r>
            <w:proofErr w:type="spellStart"/>
            <w:r w:rsidRPr="00C15426">
              <w:rPr>
                <w:color w:val="696969"/>
              </w:rPr>
              <w:t>HoNOS</w:t>
            </w:r>
            <w:proofErr w:type="spellEnd"/>
            <w:r w:rsidRPr="00C15426">
              <w:rPr>
                <w:color w:val="696969"/>
              </w:rPr>
              <w:t xml:space="preserve"> total score (HNSADL) collected on secure extended care unit (SECU) episode start, excluding invalid scores (more than two times rated as '9').</w:t>
            </w:r>
          </w:p>
        </w:tc>
        <w:tc>
          <w:tcPr>
            <w:tcW w:w="1559" w:type="dxa"/>
          </w:tcPr>
          <w:p w14:paraId="4700F88A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0B4B9E7A" w14:textId="47580A19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 xml:space="preserve">Measure reports symptom severity at episode commencement. Dates used in measure calculation are based on </w:t>
            </w:r>
            <w:proofErr w:type="spellStart"/>
            <w:r w:rsidRPr="00C15426">
              <w:rPr>
                <w:color w:val="696969"/>
              </w:rPr>
              <w:t>HoNOS</w:t>
            </w:r>
            <w:proofErr w:type="spellEnd"/>
            <w:r w:rsidRPr="00C15426">
              <w:rPr>
                <w:color w:val="696969"/>
              </w:rPr>
              <w:t xml:space="preserve"> completion date. Results during 2011, 2012, 2016 and 2017 were affected by industrial activity and should be interpreted with caution.</w:t>
            </w:r>
          </w:p>
        </w:tc>
      </w:tr>
      <w:tr w:rsidR="003C29FF" w:rsidRPr="0069621D" w14:paraId="309F686B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246978BE" w14:textId="77777777" w:rsidR="003C29FF" w:rsidRPr="00C15426" w:rsidRDefault="003C29FF" w:rsidP="003C29FF">
            <w:pPr>
              <w:pStyle w:val="VAHItabletext"/>
              <w:rPr>
                <w:color w:val="696969"/>
              </w:rPr>
            </w:pPr>
          </w:p>
        </w:tc>
        <w:tc>
          <w:tcPr>
            <w:tcW w:w="1842" w:type="dxa"/>
          </w:tcPr>
          <w:p w14:paraId="7D49C6F8" w14:textId="1788329B" w:rsidR="003C29FF" w:rsidRPr="00C15426" w:rsidRDefault="003C29FF" w:rsidP="003C29FF">
            <w:pPr>
              <w:pStyle w:val="VAHItabletext"/>
              <w:rPr>
                <w:color w:val="696969"/>
              </w:rPr>
            </w:pPr>
            <w:r w:rsidRPr="00C15426">
              <w:rPr>
                <w:color w:val="696969"/>
              </w:rPr>
              <w:t>BASIS32 offered</w:t>
            </w:r>
          </w:p>
        </w:tc>
        <w:tc>
          <w:tcPr>
            <w:tcW w:w="5103" w:type="dxa"/>
          </w:tcPr>
          <w:p w14:paraId="12630FE8" w14:textId="5F0A2FC3" w:rsidR="003C29FF" w:rsidRPr="00C15426" w:rsidRDefault="003C29FF" w:rsidP="003C29FF">
            <w:pPr>
              <w:pStyle w:val="VAHItabletext"/>
              <w:rPr>
                <w:color w:val="696969"/>
              </w:rPr>
            </w:pPr>
            <w:r w:rsidRPr="00C15426">
              <w:rPr>
                <w:color w:val="696969"/>
              </w:rPr>
              <w:t>Percentage of collection occasions in a secure extended care unit (SECU) where clinicians offered a relevant consumer self-assessment measurement scale (BASIS-32).</w:t>
            </w:r>
          </w:p>
        </w:tc>
        <w:tc>
          <w:tcPr>
            <w:tcW w:w="1559" w:type="dxa"/>
          </w:tcPr>
          <w:p w14:paraId="7D65FBD6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4C7B48A9" w14:textId="24D7224F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Measure can be an indicator of services that actively seek consumer feedback and have systems in place to ensure that at a minimum the consumer measures are considered for collection. Results during 2011, 2012, 2016 and 2017 were affected by industrial activity and should be interpreted with caution.</w:t>
            </w:r>
          </w:p>
        </w:tc>
      </w:tr>
      <w:tr w:rsidR="003C29FF" w:rsidRPr="0069621D" w14:paraId="4E8E52F2" w14:textId="77777777" w:rsidTr="000B0CCC">
        <w:trPr>
          <w:cantSplit/>
        </w:trPr>
        <w:tc>
          <w:tcPr>
            <w:tcW w:w="1702" w:type="dxa"/>
            <w:shd w:val="clear" w:color="auto" w:fill="auto"/>
          </w:tcPr>
          <w:p w14:paraId="10DB92ED" w14:textId="77777777" w:rsidR="003C29FF" w:rsidRPr="00C15426" w:rsidRDefault="003C29FF" w:rsidP="003C29FF">
            <w:pPr>
              <w:pStyle w:val="VAHItabletext"/>
              <w:rPr>
                <w:color w:val="696969"/>
              </w:rPr>
            </w:pPr>
          </w:p>
        </w:tc>
        <w:tc>
          <w:tcPr>
            <w:tcW w:w="1842" w:type="dxa"/>
          </w:tcPr>
          <w:p w14:paraId="52A052E2" w14:textId="6C4BFBB3" w:rsidR="003C29FF" w:rsidRPr="00C15426" w:rsidRDefault="003C29FF" w:rsidP="003C29FF">
            <w:pPr>
              <w:pStyle w:val="VAHItabletext"/>
              <w:rPr>
                <w:color w:val="696969"/>
              </w:rPr>
            </w:pPr>
            <w:r w:rsidRPr="00C15426">
              <w:rPr>
                <w:color w:val="696969"/>
              </w:rPr>
              <w:t>BASIS32 completed</w:t>
            </w:r>
          </w:p>
        </w:tc>
        <w:tc>
          <w:tcPr>
            <w:tcW w:w="5103" w:type="dxa"/>
          </w:tcPr>
          <w:p w14:paraId="6B987833" w14:textId="3A03FB69" w:rsidR="003C29FF" w:rsidRPr="00C15426" w:rsidRDefault="003C29FF" w:rsidP="003C29FF">
            <w:pPr>
              <w:pStyle w:val="VAHItabletext"/>
              <w:rPr>
                <w:color w:val="696969"/>
              </w:rPr>
            </w:pPr>
            <w:r w:rsidRPr="00C15426">
              <w:rPr>
                <w:color w:val="696969"/>
              </w:rPr>
              <w:t>Percentage of collection occasions in a secure extended care unit (SECU) where consumers completed a relevant consumer self-assessment measurement scale (BASIS-32).</w:t>
            </w:r>
          </w:p>
        </w:tc>
        <w:tc>
          <w:tcPr>
            <w:tcW w:w="1559" w:type="dxa"/>
          </w:tcPr>
          <w:p w14:paraId="53481D09" w14:textId="77777777" w:rsidR="003C29FF" w:rsidRPr="00C15426" w:rsidRDefault="003C29FF" w:rsidP="003C29FF">
            <w:pPr>
              <w:pStyle w:val="VAHItabletext"/>
              <w:rPr>
                <w:color w:val="696969"/>
                <w:szCs w:val="18"/>
              </w:rPr>
            </w:pPr>
          </w:p>
        </w:tc>
        <w:tc>
          <w:tcPr>
            <w:tcW w:w="4820" w:type="dxa"/>
          </w:tcPr>
          <w:p w14:paraId="108EBA50" w14:textId="45D0CEE0" w:rsidR="003C29FF" w:rsidRPr="00C15426" w:rsidRDefault="003C29FF" w:rsidP="003C29FF">
            <w:pPr>
              <w:pStyle w:val="VAHItabletext"/>
              <w:rPr>
                <w:rFonts w:eastAsia="Verdana" w:cs="Verdana"/>
                <w:color w:val="696969"/>
                <w:szCs w:val="18"/>
              </w:rPr>
            </w:pPr>
            <w:r w:rsidRPr="00C15426">
              <w:rPr>
                <w:color w:val="696969"/>
              </w:rPr>
              <w:t>Measure can be an indicator of service engagement with families and carers. Results during 2011, 2012, 2016 and 2017 were affected by industrial activity and should be interpreted with caution.</w:t>
            </w:r>
          </w:p>
        </w:tc>
      </w:tr>
    </w:tbl>
    <w:p w14:paraId="2AF81F08" w14:textId="77777777" w:rsidR="00873CC2" w:rsidRPr="00C15426" w:rsidRDefault="00873CC2" w:rsidP="00CF11E1">
      <w:pPr>
        <w:pStyle w:val="VAHIbody"/>
        <w:rPr>
          <w:i/>
          <w:color w:val="D50032"/>
          <w:sz w:val="22"/>
          <w:szCs w:val="26"/>
        </w:rPr>
      </w:pPr>
    </w:p>
    <w:tbl>
      <w:tblPr>
        <w:tblW w:w="15139" w:type="dxa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5139"/>
      </w:tblGrid>
      <w:tr w:rsidR="00CF11E1" w:rsidRPr="00BE2218" w14:paraId="201E00D6" w14:textId="77777777" w:rsidTr="00A47400">
        <w:trPr>
          <w:cantSplit/>
        </w:trPr>
        <w:tc>
          <w:tcPr>
            <w:tcW w:w="4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B40C3" w14:textId="77777777" w:rsidR="00EB619F" w:rsidRPr="00BE2218" w:rsidRDefault="00EB619F" w:rsidP="00EB619F">
            <w:pPr>
              <w:pStyle w:val="VAHIaccessibilitypara"/>
            </w:pPr>
            <w:bookmarkStart w:id="12" w:name="_Hlk15375552"/>
            <w:r w:rsidRPr="00BE2218">
              <w:t>To receive this publication in an accessible format phone</w:t>
            </w:r>
            <w:r w:rsidR="00622CCB">
              <w:t xml:space="preserve"> (03)</w:t>
            </w:r>
            <w:r w:rsidRPr="00BE2218">
              <w:t xml:space="preserve"> 9096 1878, using the National Relay Service 13 36 77 if required, or email Victorian Agency for Health Information &lt;</w:t>
            </w:r>
            <w:hyperlink r:id="rId10" w:history="1">
              <w:r w:rsidRPr="00BE2218">
                <w:rPr>
                  <w:rStyle w:val="Hyperlink"/>
                </w:rPr>
                <w:t>vahi@vahi.vic.gov.au</w:t>
              </w:r>
            </w:hyperlink>
            <w:r w:rsidRPr="00BE2218">
              <w:t>&gt;</w:t>
            </w:r>
          </w:p>
          <w:p w14:paraId="0F803DED" w14:textId="77777777" w:rsidR="00CF11E1" w:rsidRPr="00BE2218" w:rsidRDefault="00CF11E1" w:rsidP="00A47400">
            <w:pPr>
              <w:pStyle w:val="VAHIbody"/>
            </w:pPr>
            <w:r w:rsidRPr="00BE2218">
              <w:t>Authorised and published by the Victorian Government, 1 Treasury Place, Melbourne.</w:t>
            </w:r>
          </w:p>
          <w:p w14:paraId="45D472B5" w14:textId="526EEF36" w:rsidR="00CF11E1" w:rsidRPr="00BE2218" w:rsidRDefault="00CF11E1" w:rsidP="00A47400">
            <w:pPr>
              <w:pStyle w:val="VAHIbody"/>
            </w:pPr>
            <w:r w:rsidRPr="00BE2218">
              <w:t xml:space="preserve">© State of Victoria, Department of Health and Human Services </w:t>
            </w:r>
            <w:r w:rsidR="009F7BC6">
              <w:t>October</w:t>
            </w:r>
            <w:r w:rsidRPr="00BE2218">
              <w:t xml:space="preserve"> 201</w:t>
            </w:r>
            <w:r w:rsidR="00622CCB">
              <w:t>9</w:t>
            </w:r>
          </w:p>
          <w:p w14:paraId="024159C8" w14:textId="2D83E854" w:rsidR="00CF11E1" w:rsidRPr="00BE2218" w:rsidRDefault="003C29FF" w:rsidP="00A47400">
            <w:pPr>
              <w:pStyle w:val="VAHIbody"/>
            </w:pPr>
            <w:r w:rsidRPr="00ED556E">
              <w:t xml:space="preserve">Available from </w:t>
            </w:r>
            <w:hyperlink r:id="rId11" w:history="1">
              <w:r w:rsidRPr="00ED556E">
                <w:rPr>
                  <w:rStyle w:val="Hyperlink"/>
                </w:rPr>
                <w:t>Extended treatment mental health performance indicator reports page</w:t>
              </w:r>
            </w:hyperlink>
            <w:r w:rsidRPr="00ED556E">
              <w:t xml:space="preserve"> &lt; https://www2.health.vic.gov.au/mental-health/research-and-reporting/mental-health-performance-reports/extended-treatment-performance-indicator-reports&gt; on the </w:t>
            </w:r>
            <w:proofErr w:type="spellStart"/>
            <w:r w:rsidRPr="00ED556E">
              <w:t>Health.vic</w:t>
            </w:r>
            <w:proofErr w:type="spellEnd"/>
            <w:r w:rsidRPr="00ED556E">
              <w:t xml:space="preserve"> website.</w:t>
            </w:r>
          </w:p>
        </w:tc>
      </w:tr>
      <w:bookmarkEnd w:id="12"/>
    </w:tbl>
    <w:p w14:paraId="3A12C78B" w14:textId="77777777" w:rsidR="00B2752E" w:rsidRPr="00C15426" w:rsidRDefault="00B2752E" w:rsidP="00C15426">
      <w:pPr>
        <w:pStyle w:val="VAHITOCheadingfactsheet"/>
        <w:rPr>
          <w:rFonts w:ascii="VIC" w:hAnsi="VIC"/>
          <w:sz w:val="2"/>
        </w:rPr>
      </w:pPr>
    </w:p>
    <w:sectPr w:rsidR="00B2752E" w:rsidRPr="00C15426" w:rsidSect="00873CC2">
      <w:headerReference w:type="default" r:id="rId12"/>
      <w:footerReference w:type="default" r:id="rId13"/>
      <w:type w:val="continuous"/>
      <w:pgSz w:w="16838" w:h="11906" w:orient="landscape"/>
      <w:pgMar w:top="851" w:right="851" w:bottom="1244" w:left="851" w:header="56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7B505" w14:textId="77777777" w:rsidR="00C00109" w:rsidRDefault="00C00109">
      <w:r>
        <w:separator/>
      </w:r>
    </w:p>
  </w:endnote>
  <w:endnote w:type="continuationSeparator" w:id="0">
    <w:p w14:paraId="72E806BE" w14:textId="77777777" w:rsidR="00C00109" w:rsidRDefault="00C0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C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361D" w14:textId="17E58AB1" w:rsidR="00C00109" w:rsidRDefault="00C00109" w:rsidP="000B0CCC">
    <w:pPr>
      <w:pStyle w:val="VAHIfooter"/>
      <w:rPr>
        <w:b w:val="0"/>
        <w:color w:val="244C5A"/>
      </w:rPr>
    </w:pPr>
    <w:r w:rsidRPr="000B0CCC">
      <w:rPr>
        <w:b w:val="0"/>
        <w:color w:val="244C5A"/>
        <w:sz w:val="16"/>
        <w:szCs w:val="16"/>
      </w:rPr>
      <w:t>Data Source: CMI/ODS, as at 1</w:t>
    </w:r>
    <w:r>
      <w:rPr>
        <w:b w:val="0"/>
        <w:color w:val="244C5A"/>
        <w:sz w:val="16"/>
        <w:szCs w:val="16"/>
      </w:rPr>
      <w:t>3</w:t>
    </w:r>
    <w:r w:rsidRPr="000B0CCC">
      <w:rPr>
        <w:b w:val="0"/>
        <w:color w:val="244C5A"/>
        <w:sz w:val="16"/>
        <w:szCs w:val="16"/>
      </w:rPr>
      <w:t xml:space="preserve"> </w:t>
    </w:r>
    <w:r>
      <w:rPr>
        <w:b w:val="0"/>
        <w:color w:val="244C5A"/>
        <w:sz w:val="16"/>
        <w:szCs w:val="16"/>
      </w:rPr>
      <w:t>October</w:t>
    </w:r>
    <w:r w:rsidRPr="000B0CCC">
      <w:rPr>
        <w:b w:val="0"/>
        <w:color w:val="244C5A"/>
        <w:sz w:val="16"/>
        <w:szCs w:val="16"/>
      </w:rPr>
      <w:t xml:space="preserve"> 2019 and </w:t>
    </w:r>
    <w:r>
      <w:rPr>
        <w:b w:val="0"/>
        <w:color w:val="244C5A"/>
        <w:sz w:val="16"/>
        <w:szCs w:val="16"/>
      </w:rPr>
      <w:t xml:space="preserve">estimated residential population </w:t>
    </w:r>
    <w:r w:rsidRPr="000B0CCC">
      <w:rPr>
        <w:b w:val="0"/>
        <w:color w:val="244C5A"/>
        <w:sz w:val="16"/>
        <w:szCs w:val="16"/>
      </w:rPr>
      <w:t xml:space="preserve">as at </w:t>
    </w:r>
    <w:r>
      <w:rPr>
        <w:b w:val="0"/>
        <w:color w:val="244C5A"/>
        <w:sz w:val="16"/>
        <w:szCs w:val="16"/>
      </w:rPr>
      <w:t xml:space="preserve">1 </w:t>
    </w:r>
    <w:r w:rsidR="00E35413">
      <w:rPr>
        <w:b w:val="0"/>
        <w:color w:val="244C5A"/>
        <w:sz w:val="16"/>
        <w:szCs w:val="16"/>
      </w:rPr>
      <w:t>July 2011</w:t>
    </w:r>
    <w:r w:rsidRPr="000B0CCC">
      <w:rPr>
        <w:b w:val="0"/>
        <w:color w:val="244C5A"/>
        <w:sz w:val="16"/>
        <w:szCs w:val="16"/>
      </w:rPr>
      <w:t>.</w:t>
    </w:r>
    <w:r w:rsidRPr="0069621D">
      <w:rPr>
        <w:b w:val="0"/>
        <w:color w:val="244C5A"/>
      </w:rPr>
      <w:t xml:space="preserve"> </w:t>
    </w:r>
    <w:r>
      <w:rPr>
        <w:b w:val="0"/>
        <w:color w:val="244C5A"/>
      </w:rPr>
      <w:tab/>
    </w:r>
    <w:r w:rsidRPr="000B0CCC">
      <w:rPr>
        <w:rFonts w:ascii="VIC SemiBold" w:hAnsi="VIC SemiBold"/>
        <w:b w:val="0"/>
        <w:color w:val="244C5A"/>
      </w:rPr>
      <w:t>Victorian Agency for Health Information</w:t>
    </w:r>
  </w:p>
  <w:p w14:paraId="4FEACEF3" w14:textId="33F472A0" w:rsidR="00C00109" w:rsidRPr="000B0CCC" w:rsidRDefault="00C00109" w:rsidP="000B0CCC">
    <w:pPr>
      <w:pStyle w:val="VAHIfooter"/>
      <w:rPr>
        <w:b w:val="0"/>
        <w:color w:val="244C5A"/>
      </w:rPr>
    </w:pPr>
    <w:r w:rsidRPr="000B0CCC">
      <w:rPr>
        <w:b w:val="0"/>
        <w:color w:val="244C5A"/>
        <w:sz w:val="16"/>
        <w:szCs w:val="16"/>
      </w:rPr>
      <w:t>Blank results indicate KPI result is not applicable in this instance.</w:t>
    </w:r>
    <w:r>
      <w:rPr>
        <w:b w:val="0"/>
        <w:color w:val="244C5A"/>
      </w:rPr>
      <w:tab/>
    </w:r>
    <w:r w:rsidRPr="0069621D">
      <w:rPr>
        <w:rFonts w:ascii="VIC SemiBold" w:hAnsi="VIC SemiBold"/>
        <w:b w:val="0"/>
        <w:color w:val="244C5A"/>
      </w:rPr>
      <w:fldChar w:fldCharType="begin"/>
    </w:r>
    <w:r w:rsidRPr="0069621D">
      <w:rPr>
        <w:rFonts w:ascii="VIC SemiBold" w:hAnsi="VIC SemiBold"/>
        <w:b w:val="0"/>
        <w:color w:val="244C5A"/>
      </w:rPr>
      <w:instrText xml:space="preserve"> PAGE </w:instrText>
    </w:r>
    <w:r w:rsidRPr="0069621D">
      <w:rPr>
        <w:rFonts w:ascii="VIC SemiBold" w:hAnsi="VIC SemiBold"/>
        <w:b w:val="0"/>
        <w:color w:val="244C5A"/>
      </w:rPr>
      <w:fldChar w:fldCharType="separate"/>
    </w:r>
    <w:r>
      <w:rPr>
        <w:rFonts w:ascii="VIC SemiBold" w:hAnsi="VIC SemiBold"/>
        <w:b w:val="0"/>
        <w:color w:val="244C5A"/>
      </w:rPr>
      <w:t>2</w:t>
    </w:r>
    <w:r w:rsidRPr="0069621D">
      <w:rPr>
        <w:rFonts w:ascii="VIC SemiBold" w:hAnsi="VIC SemiBold"/>
        <w:b w:val="0"/>
        <w:color w:val="244C5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13A3F" w14:textId="77777777" w:rsidR="00C00109" w:rsidRDefault="00C00109" w:rsidP="002862F1">
      <w:pPr>
        <w:spacing w:before="120"/>
      </w:pPr>
      <w:r>
        <w:separator/>
      </w:r>
    </w:p>
  </w:footnote>
  <w:footnote w:type="continuationSeparator" w:id="0">
    <w:p w14:paraId="33BA48A4" w14:textId="77777777" w:rsidR="00C00109" w:rsidRDefault="00C00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660A6" w14:textId="69FA0C2B" w:rsidR="00C00109" w:rsidRPr="00052DAD" w:rsidRDefault="00C00109" w:rsidP="008D13A2">
    <w:pPr>
      <w:ind w:hanging="284"/>
      <w:rPr>
        <w:rFonts w:ascii="VIC Medium" w:hAnsi="VIC Medium"/>
        <w:color w:val="244C5A"/>
        <w:szCs w:val="24"/>
      </w:rPr>
    </w:pPr>
    <w:r>
      <w:rPr>
        <w:rFonts w:ascii="VIC Medium" w:hAnsi="VIC Medium"/>
        <w:color w:val="244C5A"/>
        <w:szCs w:val="24"/>
      </w:rPr>
      <w:t>Extended mental health treatment setting</w:t>
    </w:r>
    <w:r w:rsidRPr="00052DAD">
      <w:rPr>
        <w:rFonts w:ascii="VIC Medium" w:hAnsi="VIC Medium"/>
        <w:color w:val="244C5A"/>
        <w:szCs w:val="24"/>
      </w:rPr>
      <w:t xml:space="preserve"> quarterly KPI report, </w:t>
    </w:r>
    <w:r>
      <w:rPr>
        <w:rFonts w:ascii="VIC Medium" w:hAnsi="VIC Medium"/>
        <w:color w:val="244C5A"/>
        <w:szCs w:val="24"/>
      </w:rPr>
      <w:t>2019-20 Q1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BA9C9226"/>
    <w:numStyleLink w:val="ZZNumbers"/>
  </w:abstractNum>
  <w:abstractNum w:abstractNumId="3" w15:restartNumberingAfterBreak="0">
    <w:nsid w:val="2B370F66"/>
    <w:multiLevelType w:val="multilevel"/>
    <w:tmpl w:val="BA9C9226"/>
    <w:numStyleLink w:val="ZZNumbers"/>
  </w:abstractNum>
  <w:abstractNum w:abstractNumId="4" w15:restartNumberingAfterBreak="0">
    <w:nsid w:val="3C4303A5"/>
    <w:multiLevelType w:val="multilevel"/>
    <w:tmpl w:val="BA9C9226"/>
    <w:styleLink w:val="ZZNumbers"/>
    <w:lvl w:ilvl="0">
      <w:start w:val="1"/>
      <w:numFmt w:val="decimal"/>
      <w:pStyle w:val="VAHI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VAHI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VAHI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VAHI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VAHI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VAHI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VAHI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VAHI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VAHI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VAHI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VAHI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VAHI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VAHI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E1"/>
    <w:rsid w:val="000052DA"/>
    <w:rsid w:val="000072B6"/>
    <w:rsid w:val="0001021B"/>
    <w:rsid w:val="00011D89"/>
    <w:rsid w:val="00024D89"/>
    <w:rsid w:val="00033D81"/>
    <w:rsid w:val="00041BF0"/>
    <w:rsid w:val="0004326C"/>
    <w:rsid w:val="0004536B"/>
    <w:rsid w:val="00046B68"/>
    <w:rsid w:val="000527DD"/>
    <w:rsid w:val="00052DAD"/>
    <w:rsid w:val="000578B2"/>
    <w:rsid w:val="00060959"/>
    <w:rsid w:val="00064864"/>
    <w:rsid w:val="000663CD"/>
    <w:rsid w:val="000669AD"/>
    <w:rsid w:val="00074219"/>
    <w:rsid w:val="00074ED5"/>
    <w:rsid w:val="0007697A"/>
    <w:rsid w:val="0008469C"/>
    <w:rsid w:val="0008494B"/>
    <w:rsid w:val="00094DA3"/>
    <w:rsid w:val="00096CD1"/>
    <w:rsid w:val="000A012C"/>
    <w:rsid w:val="000A0EB9"/>
    <w:rsid w:val="000A186C"/>
    <w:rsid w:val="000B092E"/>
    <w:rsid w:val="000B0CCC"/>
    <w:rsid w:val="000B0E2B"/>
    <w:rsid w:val="000B543D"/>
    <w:rsid w:val="000B5BF7"/>
    <w:rsid w:val="000B6BC8"/>
    <w:rsid w:val="000C42EA"/>
    <w:rsid w:val="000C4546"/>
    <w:rsid w:val="000D1242"/>
    <w:rsid w:val="000D3BE3"/>
    <w:rsid w:val="000E3CC7"/>
    <w:rsid w:val="000E6BD4"/>
    <w:rsid w:val="000F1F1E"/>
    <w:rsid w:val="000F2259"/>
    <w:rsid w:val="001005E4"/>
    <w:rsid w:val="0010392D"/>
    <w:rsid w:val="00104FE3"/>
    <w:rsid w:val="00120BD3"/>
    <w:rsid w:val="00122558"/>
    <w:rsid w:val="00122FEA"/>
    <w:rsid w:val="001232BD"/>
    <w:rsid w:val="00124ED5"/>
    <w:rsid w:val="00134B30"/>
    <w:rsid w:val="00141731"/>
    <w:rsid w:val="001447B3"/>
    <w:rsid w:val="00152073"/>
    <w:rsid w:val="00161939"/>
    <w:rsid w:val="00161AA0"/>
    <w:rsid w:val="00162093"/>
    <w:rsid w:val="001645B1"/>
    <w:rsid w:val="001666C9"/>
    <w:rsid w:val="00167287"/>
    <w:rsid w:val="001771DD"/>
    <w:rsid w:val="00177995"/>
    <w:rsid w:val="00177A8C"/>
    <w:rsid w:val="00186B33"/>
    <w:rsid w:val="00187F13"/>
    <w:rsid w:val="00192F9D"/>
    <w:rsid w:val="00196B90"/>
    <w:rsid w:val="00196EB8"/>
    <w:rsid w:val="001979FF"/>
    <w:rsid w:val="00197B17"/>
    <w:rsid w:val="001A3ACE"/>
    <w:rsid w:val="001A6501"/>
    <w:rsid w:val="001B50A4"/>
    <w:rsid w:val="001C2A72"/>
    <w:rsid w:val="001D0B75"/>
    <w:rsid w:val="001D3A15"/>
    <w:rsid w:val="001D3C09"/>
    <w:rsid w:val="001D44E8"/>
    <w:rsid w:val="001D5E43"/>
    <w:rsid w:val="001D60EC"/>
    <w:rsid w:val="001E0879"/>
    <w:rsid w:val="001E44DF"/>
    <w:rsid w:val="001E68A5"/>
    <w:rsid w:val="001E73EF"/>
    <w:rsid w:val="001F3826"/>
    <w:rsid w:val="001F6E46"/>
    <w:rsid w:val="001F7C91"/>
    <w:rsid w:val="00206463"/>
    <w:rsid w:val="00206F2F"/>
    <w:rsid w:val="0021053D"/>
    <w:rsid w:val="00210A92"/>
    <w:rsid w:val="00212308"/>
    <w:rsid w:val="002131E2"/>
    <w:rsid w:val="00216C03"/>
    <w:rsid w:val="002206B2"/>
    <w:rsid w:val="00220C04"/>
    <w:rsid w:val="0022243F"/>
    <w:rsid w:val="0022701F"/>
    <w:rsid w:val="002323FD"/>
    <w:rsid w:val="002333F5"/>
    <w:rsid w:val="00234596"/>
    <w:rsid w:val="002411E3"/>
    <w:rsid w:val="002432E1"/>
    <w:rsid w:val="00244DBA"/>
    <w:rsid w:val="00246C5E"/>
    <w:rsid w:val="00251343"/>
    <w:rsid w:val="00254F58"/>
    <w:rsid w:val="00257865"/>
    <w:rsid w:val="00257984"/>
    <w:rsid w:val="002620BC"/>
    <w:rsid w:val="00262802"/>
    <w:rsid w:val="00263A90"/>
    <w:rsid w:val="0026408B"/>
    <w:rsid w:val="00267C3E"/>
    <w:rsid w:val="002709BB"/>
    <w:rsid w:val="002763B3"/>
    <w:rsid w:val="002802E3"/>
    <w:rsid w:val="00280702"/>
    <w:rsid w:val="0028213D"/>
    <w:rsid w:val="002862F1"/>
    <w:rsid w:val="00287080"/>
    <w:rsid w:val="00291373"/>
    <w:rsid w:val="00292F07"/>
    <w:rsid w:val="0029597D"/>
    <w:rsid w:val="002962C3"/>
    <w:rsid w:val="002A483C"/>
    <w:rsid w:val="002B1729"/>
    <w:rsid w:val="002B4DD4"/>
    <w:rsid w:val="002B5277"/>
    <w:rsid w:val="002B77C1"/>
    <w:rsid w:val="002C2728"/>
    <w:rsid w:val="002D5006"/>
    <w:rsid w:val="002E01D0"/>
    <w:rsid w:val="002E161D"/>
    <w:rsid w:val="002E211E"/>
    <w:rsid w:val="002E635D"/>
    <w:rsid w:val="002E6C95"/>
    <w:rsid w:val="002E7C36"/>
    <w:rsid w:val="002F235A"/>
    <w:rsid w:val="002F5F31"/>
    <w:rsid w:val="002F7F61"/>
    <w:rsid w:val="00302216"/>
    <w:rsid w:val="00303E53"/>
    <w:rsid w:val="003041C3"/>
    <w:rsid w:val="00305D25"/>
    <w:rsid w:val="00306CDE"/>
    <w:rsid w:val="00306E5F"/>
    <w:rsid w:val="00307E14"/>
    <w:rsid w:val="00310351"/>
    <w:rsid w:val="00314054"/>
    <w:rsid w:val="00316F27"/>
    <w:rsid w:val="00327870"/>
    <w:rsid w:val="0033259D"/>
    <w:rsid w:val="00334CCF"/>
    <w:rsid w:val="00335B2C"/>
    <w:rsid w:val="003406C6"/>
    <w:rsid w:val="003418CC"/>
    <w:rsid w:val="00344EBE"/>
    <w:rsid w:val="003459BD"/>
    <w:rsid w:val="00350D38"/>
    <w:rsid w:val="0036022F"/>
    <w:rsid w:val="003613F9"/>
    <w:rsid w:val="00371A91"/>
    <w:rsid w:val="0037290E"/>
    <w:rsid w:val="003744CF"/>
    <w:rsid w:val="00374717"/>
    <w:rsid w:val="0037676C"/>
    <w:rsid w:val="003829E5"/>
    <w:rsid w:val="003956CC"/>
    <w:rsid w:val="00395C9A"/>
    <w:rsid w:val="003A3438"/>
    <w:rsid w:val="003A6B67"/>
    <w:rsid w:val="003B15E6"/>
    <w:rsid w:val="003B303A"/>
    <w:rsid w:val="003B4630"/>
    <w:rsid w:val="003C2045"/>
    <w:rsid w:val="003C2440"/>
    <w:rsid w:val="003C29FF"/>
    <w:rsid w:val="003C43A1"/>
    <w:rsid w:val="003C4FC0"/>
    <w:rsid w:val="003C55F4"/>
    <w:rsid w:val="003C7A3F"/>
    <w:rsid w:val="003D3E8F"/>
    <w:rsid w:val="003D5030"/>
    <w:rsid w:val="003D6475"/>
    <w:rsid w:val="003E2E5F"/>
    <w:rsid w:val="003F0445"/>
    <w:rsid w:val="003F0CF0"/>
    <w:rsid w:val="003F3289"/>
    <w:rsid w:val="00401FCF"/>
    <w:rsid w:val="00406285"/>
    <w:rsid w:val="004118F0"/>
    <w:rsid w:val="004148F9"/>
    <w:rsid w:val="0042084E"/>
    <w:rsid w:val="0042175D"/>
    <w:rsid w:val="00421EEF"/>
    <w:rsid w:val="00424D65"/>
    <w:rsid w:val="004278E1"/>
    <w:rsid w:val="004323E3"/>
    <w:rsid w:val="004367B3"/>
    <w:rsid w:val="004415CD"/>
    <w:rsid w:val="00442C6C"/>
    <w:rsid w:val="00442F1C"/>
    <w:rsid w:val="00443CBE"/>
    <w:rsid w:val="00443E8A"/>
    <w:rsid w:val="004441BC"/>
    <w:rsid w:val="0045230A"/>
    <w:rsid w:val="00457337"/>
    <w:rsid w:val="00466B5E"/>
    <w:rsid w:val="0047372D"/>
    <w:rsid w:val="004743DD"/>
    <w:rsid w:val="00474CEA"/>
    <w:rsid w:val="00483968"/>
    <w:rsid w:val="0048442F"/>
    <w:rsid w:val="00484F86"/>
    <w:rsid w:val="004900E6"/>
    <w:rsid w:val="00490746"/>
    <w:rsid w:val="00490852"/>
    <w:rsid w:val="00492D85"/>
    <w:rsid w:val="00492F30"/>
    <w:rsid w:val="004946F4"/>
    <w:rsid w:val="0049487E"/>
    <w:rsid w:val="004A160D"/>
    <w:rsid w:val="004A3E81"/>
    <w:rsid w:val="004A5C62"/>
    <w:rsid w:val="004A707D"/>
    <w:rsid w:val="004B06FA"/>
    <w:rsid w:val="004C6EEE"/>
    <w:rsid w:val="004C702B"/>
    <w:rsid w:val="004D016B"/>
    <w:rsid w:val="004D1B22"/>
    <w:rsid w:val="004D2C4F"/>
    <w:rsid w:val="004D36F2"/>
    <w:rsid w:val="004E138F"/>
    <w:rsid w:val="004E4649"/>
    <w:rsid w:val="004E5C2B"/>
    <w:rsid w:val="004E7DBA"/>
    <w:rsid w:val="004F00DD"/>
    <w:rsid w:val="004F2133"/>
    <w:rsid w:val="004F55F1"/>
    <w:rsid w:val="004F6936"/>
    <w:rsid w:val="005027C0"/>
    <w:rsid w:val="00503DC6"/>
    <w:rsid w:val="00506F5D"/>
    <w:rsid w:val="005126D0"/>
    <w:rsid w:val="005143D4"/>
    <w:rsid w:val="0051568D"/>
    <w:rsid w:val="00526C15"/>
    <w:rsid w:val="005273B4"/>
    <w:rsid w:val="00536499"/>
    <w:rsid w:val="00541ADB"/>
    <w:rsid w:val="00543903"/>
    <w:rsid w:val="00547A95"/>
    <w:rsid w:val="00557E03"/>
    <w:rsid w:val="00572031"/>
    <w:rsid w:val="00576E84"/>
    <w:rsid w:val="00582B8C"/>
    <w:rsid w:val="0058757E"/>
    <w:rsid w:val="005954CE"/>
    <w:rsid w:val="00596A4B"/>
    <w:rsid w:val="00597507"/>
    <w:rsid w:val="005A5E67"/>
    <w:rsid w:val="005A7945"/>
    <w:rsid w:val="005B21B6"/>
    <w:rsid w:val="005B3A08"/>
    <w:rsid w:val="005B7A63"/>
    <w:rsid w:val="005C06BE"/>
    <w:rsid w:val="005C0955"/>
    <w:rsid w:val="005C49DA"/>
    <w:rsid w:val="005C50F3"/>
    <w:rsid w:val="005C5D91"/>
    <w:rsid w:val="005C77D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05F1B"/>
    <w:rsid w:val="00610D7C"/>
    <w:rsid w:val="00613414"/>
    <w:rsid w:val="00622CCB"/>
    <w:rsid w:val="0062408D"/>
    <w:rsid w:val="006240CC"/>
    <w:rsid w:val="00626B01"/>
    <w:rsid w:val="00627DA7"/>
    <w:rsid w:val="00634B13"/>
    <w:rsid w:val="006358B4"/>
    <w:rsid w:val="006419AA"/>
    <w:rsid w:val="006447F0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1143"/>
    <w:rsid w:val="0067289E"/>
    <w:rsid w:val="00677574"/>
    <w:rsid w:val="0068454C"/>
    <w:rsid w:val="00691B62"/>
    <w:rsid w:val="00693D14"/>
    <w:rsid w:val="0069621D"/>
    <w:rsid w:val="00697E36"/>
    <w:rsid w:val="006A18C2"/>
    <w:rsid w:val="006B077C"/>
    <w:rsid w:val="006D2A3F"/>
    <w:rsid w:val="006E138B"/>
    <w:rsid w:val="006F1FDC"/>
    <w:rsid w:val="007013EF"/>
    <w:rsid w:val="007034E7"/>
    <w:rsid w:val="00706F89"/>
    <w:rsid w:val="007216AA"/>
    <w:rsid w:val="00721AB5"/>
    <w:rsid w:val="00721DEF"/>
    <w:rsid w:val="00724A43"/>
    <w:rsid w:val="007346E4"/>
    <w:rsid w:val="00740F22"/>
    <w:rsid w:val="00741F1A"/>
    <w:rsid w:val="007450F8"/>
    <w:rsid w:val="007463DD"/>
    <w:rsid w:val="00746614"/>
    <w:rsid w:val="0074696E"/>
    <w:rsid w:val="00746D90"/>
    <w:rsid w:val="00750135"/>
    <w:rsid w:val="00752B28"/>
    <w:rsid w:val="00754E36"/>
    <w:rsid w:val="00757BA3"/>
    <w:rsid w:val="00763139"/>
    <w:rsid w:val="00770F37"/>
    <w:rsid w:val="00772D5E"/>
    <w:rsid w:val="00776928"/>
    <w:rsid w:val="007836EA"/>
    <w:rsid w:val="00786F16"/>
    <w:rsid w:val="00796E20"/>
    <w:rsid w:val="00797C32"/>
    <w:rsid w:val="007B08C1"/>
    <w:rsid w:val="007B0914"/>
    <w:rsid w:val="007B1374"/>
    <w:rsid w:val="007B44BE"/>
    <w:rsid w:val="007B589F"/>
    <w:rsid w:val="007B6186"/>
    <w:rsid w:val="007C14D9"/>
    <w:rsid w:val="007C7301"/>
    <w:rsid w:val="007C774A"/>
    <w:rsid w:val="007C7859"/>
    <w:rsid w:val="007D2BDE"/>
    <w:rsid w:val="007D2FB6"/>
    <w:rsid w:val="007E0DE2"/>
    <w:rsid w:val="007F209B"/>
    <w:rsid w:val="007F31B6"/>
    <w:rsid w:val="007F4356"/>
    <w:rsid w:val="007F546C"/>
    <w:rsid w:val="007F665E"/>
    <w:rsid w:val="00800412"/>
    <w:rsid w:val="0080587B"/>
    <w:rsid w:val="00806468"/>
    <w:rsid w:val="008155F0"/>
    <w:rsid w:val="00816735"/>
    <w:rsid w:val="00820141"/>
    <w:rsid w:val="008204A8"/>
    <w:rsid w:val="00820E0C"/>
    <w:rsid w:val="00821AE7"/>
    <w:rsid w:val="008338A2"/>
    <w:rsid w:val="00840DF3"/>
    <w:rsid w:val="0084417C"/>
    <w:rsid w:val="00853EE4"/>
    <w:rsid w:val="00855535"/>
    <w:rsid w:val="00856385"/>
    <w:rsid w:val="008633F0"/>
    <w:rsid w:val="00867D9D"/>
    <w:rsid w:val="00872E0A"/>
    <w:rsid w:val="00873CC2"/>
    <w:rsid w:val="00875285"/>
    <w:rsid w:val="00884B62"/>
    <w:rsid w:val="0088529C"/>
    <w:rsid w:val="00887903"/>
    <w:rsid w:val="0089270A"/>
    <w:rsid w:val="00893AF6"/>
    <w:rsid w:val="00894BC4"/>
    <w:rsid w:val="008B2EE4"/>
    <w:rsid w:val="008B2F9E"/>
    <w:rsid w:val="008B4D3D"/>
    <w:rsid w:val="008B57C7"/>
    <w:rsid w:val="008C2F92"/>
    <w:rsid w:val="008C65EB"/>
    <w:rsid w:val="008D13A2"/>
    <w:rsid w:val="008D1D00"/>
    <w:rsid w:val="008D2F4B"/>
    <w:rsid w:val="008D4236"/>
    <w:rsid w:val="008D462F"/>
    <w:rsid w:val="008E4376"/>
    <w:rsid w:val="008E7A0A"/>
    <w:rsid w:val="00900615"/>
    <w:rsid w:val="00900719"/>
    <w:rsid w:val="009017AC"/>
    <w:rsid w:val="00905030"/>
    <w:rsid w:val="00905360"/>
    <w:rsid w:val="00906490"/>
    <w:rsid w:val="009111B2"/>
    <w:rsid w:val="00913170"/>
    <w:rsid w:val="00915444"/>
    <w:rsid w:val="009224E5"/>
    <w:rsid w:val="00924AE1"/>
    <w:rsid w:val="00925F82"/>
    <w:rsid w:val="009269B1"/>
    <w:rsid w:val="0092724D"/>
    <w:rsid w:val="00937BD9"/>
    <w:rsid w:val="00941BD3"/>
    <w:rsid w:val="00950E2C"/>
    <w:rsid w:val="00951D50"/>
    <w:rsid w:val="009525EB"/>
    <w:rsid w:val="0095645E"/>
    <w:rsid w:val="00961400"/>
    <w:rsid w:val="00963646"/>
    <w:rsid w:val="00973843"/>
    <w:rsid w:val="009853E1"/>
    <w:rsid w:val="00986E6B"/>
    <w:rsid w:val="00991769"/>
    <w:rsid w:val="00994386"/>
    <w:rsid w:val="009A13D8"/>
    <w:rsid w:val="009A279E"/>
    <w:rsid w:val="009B0A6F"/>
    <w:rsid w:val="009B59E9"/>
    <w:rsid w:val="009B6D65"/>
    <w:rsid w:val="009C6851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4451"/>
    <w:rsid w:val="009F6BCB"/>
    <w:rsid w:val="009F7B78"/>
    <w:rsid w:val="009F7BC6"/>
    <w:rsid w:val="00A0057A"/>
    <w:rsid w:val="00A11421"/>
    <w:rsid w:val="00A157B1"/>
    <w:rsid w:val="00A22229"/>
    <w:rsid w:val="00A2613E"/>
    <w:rsid w:val="00A44882"/>
    <w:rsid w:val="00A47400"/>
    <w:rsid w:val="00A507C5"/>
    <w:rsid w:val="00A54715"/>
    <w:rsid w:val="00A6061C"/>
    <w:rsid w:val="00A62787"/>
    <w:rsid w:val="00A62A86"/>
    <w:rsid w:val="00A62D44"/>
    <w:rsid w:val="00A67263"/>
    <w:rsid w:val="00A7161C"/>
    <w:rsid w:val="00A77AA3"/>
    <w:rsid w:val="00A872E5"/>
    <w:rsid w:val="00A96E65"/>
    <w:rsid w:val="00A97C72"/>
    <w:rsid w:val="00AA325B"/>
    <w:rsid w:val="00AA5797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5B68"/>
    <w:rsid w:val="00AD6466"/>
    <w:rsid w:val="00AE126A"/>
    <w:rsid w:val="00AE3005"/>
    <w:rsid w:val="00AE59A0"/>
    <w:rsid w:val="00AF0C57"/>
    <w:rsid w:val="00AF26F3"/>
    <w:rsid w:val="00B00672"/>
    <w:rsid w:val="00B01B4D"/>
    <w:rsid w:val="00B033C5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40A29"/>
    <w:rsid w:val="00B431E8"/>
    <w:rsid w:val="00B45141"/>
    <w:rsid w:val="00B5273A"/>
    <w:rsid w:val="00B62B50"/>
    <w:rsid w:val="00B635B7"/>
    <w:rsid w:val="00B63AE8"/>
    <w:rsid w:val="00B65950"/>
    <w:rsid w:val="00B659FE"/>
    <w:rsid w:val="00B672C0"/>
    <w:rsid w:val="00B75646"/>
    <w:rsid w:val="00B806AB"/>
    <w:rsid w:val="00B84CF2"/>
    <w:rsid w:val="00B869B4"/>
    <w:rsid w:val="00B90729"/>
    <w:rsid w:val="00B907DA"/>
    <w:rsid w:val="00B950BC"/>
    <w:rsid w:val="00B9714C"/>
    <w:rsid w:val="00BA3F8D"/>
    <w:rsid w:val="00BA4845"/>
    <w:rsid w:val="00BB7A10"/>
    <w:rsid w:val="00BC7D4F"/>
    <w:rsid w:val="00BC7ED7"/>
    <w:rsid w:val="00BD2850"/>
    <w:rsid w:val="00BD5EAD"/>
    <w:rsid w:val="00BD730B"/>
    <w:rsid w:val="00BE2218"/>
    <w:rsid w:val="00BE28D2"/>
    <w:rsid w:val="00BE72C0"/>
    <w:rsid w:val="00BF031D"/>
    <w:rsid w:val="00BF5F6F"/>
    <w:rsid w:val="00BF7F58"/>
    <w:rsid w:val="00C00109"/>
    <w:rsid w:val="00C01381"/>
    <w:rsid w:val="00C079B8"/>
    <w:rsid w:val="00C123EA"/>
    <w:rsid w:val="00C125E4"/>
    <w:rsid w:val="00C12A49"/>
    <w:rsid w:val="00C133EE"/>
    <w:rsid w:val="00C15426"/>
    <w:rsid w:val="00C27DE9"/>
    <w:rsid w:val="00C33388"/>
    <w:rsid w:val="00C4173A"/>
    <w:rsid w:val="00C41C2E"/>
    <w:rsid w:val="00C602FF"/>
    <w:rsid w:val="00C61174"/>
    <w:rsid w:val="00C6148F"/>
    <w:rsid w:val="00C62F7A"/>
    <w:rsid w:val="00C63B9C"/>
    <w:rsid w:val="00C6682F"/>
    <w:rsid w:val="00C714A8"/>
    <w:rsid w:val="00C7275E"/>
    <w:rsid w:val="00C74C5D"/>
    <w:rsid w:val="00C863C4"/>
    <w:rsid w:val="00C91665"/>
    <w:rsid w:val="00C93C3E"/>
    <w:rsid w:val="00CA12E3"/>
    <w:rsid w:val="00CA2943"/>
    <w:rsid w:val="00CA6611"/>
    <w:rsid w:val="00CA6B58"/>
    <w:rsid w:val="00CB605E"/>
    <w:rsid w:val="00CC0C72"/>
    <w:rsid w:val="00CC2BFD"/>
    <w:rsid w:val="00CD3476"/>
    <w:rsid w:val="00CD64DF"/>
    <w:rsid w:val="00CE18BF"/>
    <w:rsid w:val="00CF11E1"/>
    <w:rsid w:val="00CF2F50"/>
    <w:rsid w:val="00CF41DA"/>
    <w:rsid w:val="00CF600E"/>
    <w:rsid w:val="00D02919"/>
    <w:rsid w:val="00D04C61"/>
    <w:rsid w:val="00D0539B"/>
    <w:rsid w:val="00D05B8D"/>
    <w:rsid w:val="00D065A2"/>
    <w:rsid w:val="00D067E7"/>
    <w:rsid w:val="00D07F00"/>
    <w:rsid w:val="00D1790F"/>
    <w:rsid w:val="00D33E72"/>
    <w:rsid w:val="00D34EA5"/>
    <w:rsid w:val="00D35BD6"/>
    <w:rsid w:val="00D361B5"/>
    <w:rsid w:val="00D411A2"/>
    <w:rsid w:val="00D44673"/>
    <w:rsid w:val="00D46971"/>
    <w:rsid w:val="00D46C84"/>
    <w:rsid w:val="00D50B9C"/>
    <w:rsid w:val="00D51FA7"/>
    <w:rsid w:val="00D52D73"/>
    <w:rsid w:val="00D52E58"/>
    <w:rsid w:val="00D714CC"/>
    <w:rsid w:val="00D75769"/>
    <w:rsid w:val="00D75EA7"/>
    <w:rsid w:val="00D81F21"/>
    <w:rsid w:val="00D9522F"/>
    <w:rsid w:val="00D95470"/>
    <w:rsid w:val="00DA2619"/>
    <w:rsid w:val="00DA4239"/>
    <w:rsid w:val="00DB0B61"/>
    <w:rsid w:val="00DB17C1"/>
    <w:rsid w:val="00DC090B"/>
    <w:rsid w:val="00DC2CF1"/>
    <w:rsid w:val="00DC4FCF"/>
    <w:rsid w:val="00DC50E0"/>
    <w:rsid w:val="00DC6386"/>
    <w:rsid w:val="00DD1130"/>
    <w:rsid w:val="00DD1951"/>
    <w:rsid w:val="00DD6628"/>
    <w:rsid w:val="00DE09D5"/>
    <w:rsid w:val="00DE3250"/>
    <w:rsid w:val="00DE6028"/>
    <w:rsid w:val="00DE78A3"/>
    <w:rsid w:val="00DF1A71"/>
    <w:rsid w:val="00DF68C7"/>
    <w:rsid w:val="00DF731A"/>
    <w:rsid w:val="00E03057"/>
    <w:rsid w:val="00E06C7B"/>
    <w:rsid w:val="00E14388"/>
    <w:rsid w:val="00E170DC"/>
    <w:rsid w:val="00E21842"/>
    <w:rsid w:val="00E264CD"/>
    <w:rsid w:val="00E26818"/>
    <w:rsid w:val="00E27FFC"/>
    <w:rsid w:val="00E30B15"/>
    <w:rsid w:val="00E30F56"/>
    <w:rsid w:val="00E35413"/>
    <w:rsid w:val="00E36C2D"/>
    <w:rsid w:val="00E40181"/>
    <w:rsid w:val="00E41359"/>
    <w:rsid w:val="00E43426"/>
    <w:rsid w:val="00E45931"/>
    <w:rsid w:val="00E53A79"/>
    <w:rsid w:val="00E57A16"/>
    <w:rsid w:val="00E629A1"/>
    <w:rsid w:val="00E6552A"/>
    <w:rsid w:val="00E67D1F"/>
    <w:rsid w:val="00E67EC5"/>
    <w:rsid w:val="00E82C55"/>
    <w:rsid w:val="00E87893"/>
    <w:rsid w:val="00E92AC3"/>
    <w:rsid w:val="00E95B83"/>
    <w:rsid w:val="00EB00E0"/>
    <w:rsid w:val="00EB619F"/>
    <w:rsid w:val="00EC059F"/>
    <w:rsid w:val="00EC1F24"/>
    <w:rsid w:val="00EC22F6"/>
    <w:rsid w:val="00EC4749"/>
    <w:rsid w:val="00EC71A3"/>
    <w:rsid w:val="00ED5B9B"/>
    <w:rsid w:val="00ED6BAD"/>
    <w:rsid w:val="00ED7447"/>
    <w:rsid w:val="00ED79F1"/>
    <w:rsid w:val="00EE1488"/>
    <w:rsid w:val="00EE4D5D"/>
    <w:rsid w:val="00EE5131"/>
    <w:rsid w:val="00EF109B"/>
    <w:rsid w:val="00EF36AF"/>
    <w:rsid w:val="00F00F9C"/>
    <w:rsid w:val="00F02ABA"/>
    <w:rsid w:val="00F0437A"/>
    <w:rsid w:val="00F048E6"/>
    <w:rsid w:val="00F11037"/>
    <w:rsid w:val="00F16F1B"/>
    <w:rsid w:val="00F213F4"/>
    <w:rsid w:val="00F250A9"/>
    <w:rsid w:val="00F26794"/>
    <w:rsid w:val="00F30FF4"/>
    <w:rsid w:val="00F3122E"/>
    <w:rsid w:val="00F331AD"/>
    <w:rsid w:val="00F3488D"/>
    <w:rsid w:val="00F43A37"/>
    <w:rsid w:val="00F4641B"/>
    <w:rsid w:val="00F46EB8"/>
    <w:rsid w:val="00F511E4"/>
    <w:rsid w:val="00F52D09"/>
    <w:rsid w:val="00F52E08"/>
    <w:rsid w:val="00F55B21"/>
    <w:rsid w:val="00F56EF6"/>
    <w:rsid w:val="00F575C2"/>
    <w:rsid w:val="00F61A9F"/>
    <w:rsid w:val="00F64696"/>
    <w:rsid w:val="00F65AA9"/>
    <w:rsid w:val="00F668CA"/>
    <w:rsid w:val="00F6768F"/>
    <w:rsid w:val="00F725AE"/>
    <w:rsid w:val="00F72C2C"/>
    <w:rsid w:val="00F76CAB"/>
    <w:rsid w:val="00F772C6"/>
    <w:rsid w:val="00F85195"/>
    <w:rsid w:val="00F92503"/>
    <w:rsid w:val="00F938BA"/>
    <w:rsid w:val="00FA2C46"/>
    <w:rsid w:val="00FA6B67"/>
    <w:rsid w:val="00FB4CDA"/>
    <w:rsid w:val="00FC0F81"/>
    <w:rsid w:val="00FC395C"/>
    <w:rsid w:val="00FD3766"/>
    <w:rsid w:val="00FD47C4"/>
    <w:rsid w:val="00FE2DCF"/>
    <w:rsid w:val="00FF13B7"/>
    <w:rsid w:val="00FF2FCE"/>
    <w:rsid w:val="00FF4734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87866D5"/>
  <w15:chartTrackingRefBased/>
  <w15:docId w15:val="{DE6D84F2-EDE6-4006-B60E-A87615F8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0" w:unhideWhenUsed="1"/>
    <w:lsdException w:name="toc 4" w:semiHidden="1" w:uiPriority="5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86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aliases w:val="VAHI_Heading 1"/>
    <w:next w:val="VAHIbody"/>
    <w:link w:val="Heading1Char"/>
    <w:uiPriority w:val="1"/>
    <w:qFormat/>
    <w:rsid w:val="00E36C2D"/>
    <w:pPr>
      <w:keepNext/>
      <w:keepLines/>
      <w:spacing w:before="320" w:after="200" w:line="440" w:lineRule="atLeast"/>
      <w:outlineLvl w:val="0"/>
    </w:pPr>
    <w:rPr>
      <w:rFonts w:ascii="VIC Medium" w:eastAsia="MS Gothic" w:hAnsi="VIC Medium" w:cs="Arial"/>
      <w:bCs/>
      <w:color w:val="2E5E6D"/>
      <w:kern w:val="32"/>
      <w:sz w:val="36"/>
      <w:szCs w:val="40"/>
      <w:lang w:eastAsia="en-US"/>
    </w:rPr>
  </w:style>
  <w:style w:type="paragraph" w:styleId="Heading2">
    <w:name w:val="heading 2"/>
    <w:aliases w:val="Heading 2_VAHI"/>
    <w:next w:val="VAHIbody"/>
    <w:link w:val="Heading2Char"/>
    <w:uiPriority w:val="1"/>
    <w:qFormat/>
    <w:rsid w:val="003D5030"/>
    <w:pPr>
      <w:keepNext/>
      <w:keepLines/>
      <w:spacing w:before="240" w:after="90" w:line="320" w:lineRule="atLeast"/>
      <w:outlineLvl w:val="1"/>
    </w:pPr>
    <w:rPr>
      <w:rFonts w:ascii="VIC SemiBold" w:hAnsi="VIC SemiBold"/>
      <w:b/>
      <w:color w:val="004EA8"/>
      <w:sz w:val="28"/>
      <w:szCs w:val="28"/>
      <w:lang w:eastAsia="en-US"/>
    </w:rPr>
  </w:style>
  <w:style w:type="paragraph" w:styleId="Heading3">
    <w:name w:val="heading 3"/>
    <w:aliases w:val="Heading 3_VAHI"/>
    <w:next w:val="VAHIbody"/>
    <w:link w:val="Heading3Char"/>
    <w:uiPriority w:val="1"/>
    <w:qFormat/>
    <w:rsid w:val="003D5030"/>
    <w:pPr>
      <w:keepNext/>
      <w:keepLines/>
      <w:spacing w:before="280" w:after="120" w:line="280" w:lineRule="atLeast"/>
      <w:outlineLvl w:val="2"/>
    </w:pPr>
    <w:rPr>
      <w:rFonts w:ascii="VIC Medium" w:eastAsia="MS Gothic" w:hAnsi="VIC Medium"/>
      <w:bCs/>
      <w:sz w:val="24"/>
      <w:szCs w:val="26"/>
      <w:lang w:eastAsia="en-US"/>
    </w:rPr>
  </w:style>
  <w:style w:type="paragraph" w:styleId="Heading4">
    <w:name w:val="heading 4"/>
    <w:aliases w:val="Heading 4_VAHI"/>
    <w:next w:val="VAHIbody"/>
    <w:link w:val="Heading4Char"/>
    <w:uiPriority w:val="1"/>
    <w:qFormat/>
    <w:rsid w:val="003D5030"/>
    <w:pPr>
      <w:keepNext/>
      <w:keepLines/>
      <w:spacing w:before="240" w:after="120" w:line="240" w:lineRule="atLeast"/>
      <w:outlineLvl w:val="3"/>
    </w:pPr>
    <w:rPr>
      <w:rFonts w:ascii="VIC SemiBold" w:eastAsia="MS Mincho" w:hAnsi="VIC SemiBold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HIbody">
    <w:name w:val="VAHI body"/>
    <w:qFormat/>
    <w:rsid w:val="007B44BE"/>
    <w:pPr>
      <w:spacing w:after="120" w:line="270" w:lineRule="atLeast"/>
    </w:pPr>
    <w:rPr>
      <w:rFonts w:ascii="VIC" w:eastAsia="Times" w:hAnsi="VIC"/>
      <w:lang w:eastAsia="en-US"/>
    </w:rPr>
  </w:style>
  <w:style w:type="character" w:customStyle="1" w:styleId="Heading1Char">
    <w:name w:val="Heading 1 Char"/>
    <w:aliases w:val="VAHI_Heading 1 Char"/>
    <w:link w:val="Heading1"/>
    <w:uiPriority w:val="1"/>
    <w:rsid w:val="00E36C2D"/>
    <w:rPr>
      <w:rFonts w:ascii="VIC Medium" w:eastAsia="MS Gothic" w:hAnsi="VIC Medium" w:cs="Arial"/>
      <w:bCs/>
      <w:color w:val="2E5E6D"/>
      <w:kern w:val="32"/>
      <w:sz w:val="36"/>
      <w:szCs w:val="40"/>
      <w:lang w:eastAsia="en-US"/>
    </w:rPr>
  </w:style>
  <w:style w:type="character" w:customStyle="1" w:styleId="Heading2Char">
    <w:name w:val="Heading 2 Char"/>
    <w:aliases w:val="Heading 2_VAHI Char"/>
    <w:link w:val="Heading2"/>
    <w:uiPriority w:val="1"/>
    <w:rsid w:val="003D5030"/>
    <w:rPr>
      <w:rFonts w:ascii="VIC SemiBold" w:hAnsi="VIC SemiBold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aliases w:val="Heading 3_VAHI Char"/>
    <w:link w:val="Heading3"/>
    <w:uiPriority w:val="1"/>
    <w:rsid w:val="003D5030"/>
    <w:rPr>
      <w:rFonts w:ascii="VIC Medium" w:eastAsia="MS Gothic" w:hAnsi="VIC Medium"/>
      <w:bCs/>
      <w:sz w:val="24"/>
      <w:szCs w:val="26"/>
      <w:lang w:eastAsia="en-US"/>
    </w:rPr>
  </w:style>
  <w:style w:type="character" w:customStyle="1" w:styleId="Heading4Char">
    <w:name w:val="Heading 4 Char"/>
    <w:aliases w:val="Heading 4_VAHI Char"/>
    <w:link w:val="Heading4"/>
    <w:uiPriority w:val="1"/>
    <w:rsid w:val="003D5030"/>
    <w:rPr>
      <w:rFonts w:ascii="VIC SemiBold" w:eastAsia="MS Mincho" w:hAnsi="VIC SemiBold"/>
      <w:b/>
      <w:bCs/>
      <w:lang w:eastAsia="en-US"/>
    </w:rPr>
  </w:style>
  <w:style w:type="table" w:customStyle="1" w:styleId="VAHITable">
    <w:name w:val="VAHI Table"/>
    <w:basedOn w:val="TableNormal"/>
    <w:uiPriority w:val="99"/>
    <w:rsid w:val="00AD6466"/>
    <w:rPr>
      <w:rFonts w:ascii="VIC" w:hAnsi="VIC"/>
    </w:rPr>
    <w:tblPr/>
  </w:style>
  <w:style w:type="paragraph" w:styleId="Footer">
    <w:name w:val="footer"/>
    <w:basedOn w:val="VAHIfooter"/>
    <w:uiPriority w:val="8"/>
    <w:rsid w:val="00C27DE9"/>
    <w:pPr>
      <w:tabs>
        <w:tab w:val="right" w:pos="10206"/>
      </w:tabs>
    </w:pPr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VAHItabletext6pt">
    <w:name w:val="VAHI table text + 6pt"/>
    <w:basedOn w:val="VAHI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HIbodynospace">
    <w:name w:val="VAHI body no space"/>
    <w:basedOn w:val="VAHIbody"/>
    <w:uiPriority w:val="1"/>
    <w:rsid w:val="007B44BE"/>
    <w:pPr>
      <w:spacing w:after="0"/>
    </w:pPr>
  </w:style>
  <w:style w:type="paragraph" w:customStyle="1" w:styleId="VAHIbullet1">
    <w:name w:val="VAHI bullet 1"/>
    <w:basedOn w:val="VAHIbody"/>
    <w:qFormat/>
    <w:rsid w:val="007B44BE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aliases w:val="VAHI_TOC 1"/>
    <w:uiPriority w:val="39"/>
    <w:rsid w:val="007B44BE"/>
    <w:pPr>
      <w:keepLines/>
      <w:tabs>
        <w:tab w:val="right" w:leader="dot" w:pos="9072"/>
      </w:tabs>
      <w:spacing w:before="120" w:after="60"/>
      <w:ind w:right="680"/>
    </w:pPr>
    <w:rPr>
      <w:rFonts w:ascii="VIC Medium" w:hAnsi="VIC Medium"/>
      <w:noProof/>
      <w:sz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VAHIfigurecaptionChar">
    <w:name w:val="VAHI figure caption Char"/>
    <w:link w:val="VAHIfigurecaption"/>
    <w:uiPriority w:val="4"/>
    <w:rsid w:val="007B44BE"/>
    <w:rPr>
      <w:rFonts w:ascii="VIC SemiBold" w:hAnsi="VIC SemiBold"/>
      <w:b/>
      <w:lang w:eastAsia="en-US"/>
    </w:rPr>
  </w:style>
  <w:style w:type="paragraph" w:customStyle="1" w:styleId="VAHITOCheadingfactsheet">
    <w:name w:val="VAHI TOC heading fact sheet"/>
    <w:basedOn w:val="Heading2"/>
    <w:next w:val="VAHIbody"/>
    <w:link w:val="VAHITOCheadingfactsheetChar"/>
    <w:uiPriority w:val="4"/>
    <w:rsid w:val="00A62A86"/>
    <w:pPr>
      <w:spacing w:before="0" w:after="200"/>
      <w:outlineLvl w:val="9"/>
    </w:pPr>
  </w:style>
  <w:style w:type="character" w:customStyle="1" w:styleId="VAHITOCheadingfactsheetChar">
    <w:name w:val="VAHI TOC heading fact sheet Char"/>
    <w:link w:val="VAHITOCheadingfactsheet"/>
    <w:uiPriority w:val="4"/>
    <w:rsid w:val="00A62A8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AA5797"/>
    <w:pPr>
      <w:keepLines/>
      <w:tabs>
        <w:tab w:val="right" w:leader="dot" w:pos="9072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VAHI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VAHItabletext">
    <w:name w:val="VAHI_table text"/>
    <w:basedOn w:val="VAHItablecolhead"/>
    <w:uiPriority w:val="3"/>
    <w:qFormat/>
    <w:rsid w:val="00AD5B68"/>
    <w:pPr>
      <w:jc w:val="left"/>
    </w:pPr>
    <w:rPr>
      <w:color w:val="000000" w:themeColor="text1"/>
    </w:rPr>
  </w:style>
  <w:style w:type="paragraph" w:customStyle="1" w:styleId="VAHItablecaption">
    <w:name w:val="VAHI table caption"/>
    <w:next w:val="VAHIbody"/>
    <w:uiPriority w:val="3"/>
    <w:qFormat/>
    <w:rsid w:val="003D5030"/>
    <w:pPr>
      <w:keepNext/>
      <w:keepLines/>
      <w:spacing w:before="240" w:after="120" w:line="240" w:lineRule="atLeast"/>
    </w:pPr>
    <w:rPr>
      <w:rFonts w:ascii="VIC" w:hAnsi="VIC"/>
      <w:lang w:eastAsia="en-US"/>
    </w:rPr>
  </w:style>
  <w:style w:type="paragraph" w:customStyle="1" w:styleId="VAHImainheading">
    <w:name w:val="VAHI main heading"/>
    <w:uiPriority w:val="8"/>
    <w:rsid w:val="007B44BE"/>
    <w:pPr>
      <w:spacing w:line="560" w:lineRule="atLeast"/>
    </w:pPr>
    <w:rPr>
      <w:rFonts w:ascii="VIC SemiBold" w:hAnsi="VIC SemiBold"/>
      <w:b/>
      <w:color w:val="FFFFFF"/>
      <w:sz w:val="50"/>
      <w:szCs w:val="50"/>
      <w:lang w:eastAsia="en-US"/>
    </w:rPr>
  </w:style>
  <w:style w:type="paragraph" w:customStyle="1" w:styleId="VAHIaccessibilitypara">
    <w:name w:val="VAHI accessibility para"/>
    <w:uiPriority w:val="8"/>
    <w:rsid w:val="007B44BE"/>
    <w:pPr>
      <w:spacing w:after="200" w:line="300" w:lineRule="atLeast"/>
    </w:pPr>
    <w:rPr>
      <w:rFonts w:ascii="VIC" w:eastAsia="Times" w:hAnsi="VIC"/>
      <w:sz w:val="24"/>
      <w:szCs w:val="19"/>
      <w:lang w:eastAsia="en-US"/>
    </w:rPr>
  </w:style>
  <w:style w:type="paragraph" w:customStyle="1" w:styleId="VAHIfigurecaption">
    <w:name w:val="VAHI figure caption"/>
    <w:next w:val="VAHIbody"/>
    <w:link w:val="VAHIfigurecaptionChar"/>
    <w:uiPriority w:val="4"/>
    <w:rsid w:val="007B44BE"/>
    <w:pPr>
      <w:keepNext/>
      <w:keepLines/>
      <w:spacing w:before="240" w:after="120"/>
    </w:pPr>
    <w:rPr>
      <w:rFonts w:ascii="VIC SemiBold" w:hAnsi="VIC SemiBold"/>
      <w:b/>
      <w:lang w:eastAsia="en-US"/>
    </w:rPr>
  </w:style>
  <w:style w:type="paragraph" w:customStyle="1" w:styleId="VAHIbullet2">
    <w:name w:val="VAHI bullet 2"/>
    <w:basedOn w:val="VAHIbody"/>
    <w:uiPriority w:val="2"/>
    <w:qFormat/>
    <w:rsid w:val="007B44BE"/>
    <w:pPr>
      <w:numPr>
        <w:ilvl w:val="2"/>
        <w:numId w:val="7"/>
      </w:numPr>
      <w:spacing w:after="40"/>
    </w:pPr>
  </w:style>
  <w:style w:type="character" w:styleId="Strong">
    <w:name w:val="Strong"/>
    <w:uiPriority w:val="22"/>
    <w:qFormat/>
    <w:rsid w:val="0048442F"/>
    <w:rPr>
      <w:b/>
      <w:bCs/>
    </w:rPr>
  </w:style>
  <w:style w:type="table" w:customStyle="1" w:styleId="VAHITable1">
    <w:name w:val="VAHI Table 1"/>
    <w:basedOn w:val="TableNormal"/>
    <w:uiPriority w:val="99"/>
    <w:rsid w:val="00AD6466"/>
    <w:rPr>
      <w:rFonts w:ascii="VIC" w:hAnsi="VIC"/>
      <w:sz w:val="18"/>
    </w:rPr>
    <w:tblPr>
      <w:tblBorders>
        <w:top w:val="single" w:sz="4" w:space="0" w:color="0064B7"/>
        <w:left w:val="single" w:sz="4" w:space="0" w:color="0064B7"/>
        <w:bottom w:val="single" w:sz="4" w:space="0" w:color="0064B7"/>
        <w:right w:val="single" w:sz="4" w:space="0" w:color="0064B7"/>
        <w:insideH w:val="single" w:sz="4" w:space="0" w:color="0064B7"/>
        <w:insideV w:val="single" w:sz="4" w:space="0" w:color="0064B7"/>
      </w:tblBorders>
    </w:tbl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VAHItablebullet">
    <w:name w:val="VAHI table bullet"/>
    <w:basedOn w:val="VAHItabletext"/>
    <w:uiPriority w:val="3"/>
    <w:qFormat/>
    <w:rsid w:val="0051568D"/>
    <w:pPr>
      <w:numPr>
        <w:ilvl w:val="6"/>
        <w:numId w:val="7"/>
      </w:numPr>
    </w:pPr>
  </w:style>
  <w:style w:type="paragraph" w:customStyle="1" w:styleId="VAHItablecolhead">
    <w:name w:val="VAHI_table col head"/>
    <w:basedOn w:val="Normal"/>
    <w:uiPriority w:val="3"/>
    <w:qFormat/>
    <w:rsid w:val="00E36C2D"/>
    <w:pPr>
      <w:widowControl/>
      <w:jc w:val="center"/>
    </w:pPr>
    <w:rPr>
      <w:rFonts w:ascii="VIC" w:eastAsia="Times New Roman" w:hAnsi="VIC"/>
      <w:color w:val="2E5E6D"/>
      <w:sz w:val="18"/>
      <w:szCs w:val="20"/>
      <w:lang w:val="en-AU"/>
    </w:rPr>
  </w:style>
  <w:style w:type="paragraph" w:customStyle="1" w:styleId="VAHIbulletindent">
    <w:name w:val="VAHI bullet indent"/>
    <w:basedOn w:val="VAHIbody"/>
    <w:uiPriority w:val="4"/>
    <w:rsid w:val="007B44BE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VAHIbullet1lastline">
    <w:name w:val="VAHI bullet 1 last line"/>
    <w:basedOn w:val="VAHIbullet1"/>
    <w:qFormat/>
    <w:rsid w:val="007B44BE"/>
    <w:pPr>
      <w:numPr>
        <w:ilvl w:val="1"/>
      </w:numPr>
      <w:spacing w:after="120"/>
    </w:pPr>
  </w:style>
  <w:style w:type="paragraph" w:customStyle="1" w:styleId="VAHIbullet2lastline">
    <w:name w:val="VAHI bullet 2 last line"/>
    <w:basedOn w:val="VAHIbullet2"/>
    <w:uiPriority w:val="2"/>
    <w:qFormat/>
    <w:rsid w:val="007B44BE"/>
    <w:pPr>
      <w:numPr>
        <w:ilvl w:val="3"/>
      </w:numPr>
      <w:spacing w:after="120"/>
    </w:pPr>
  </w:style>
  <w:style w:type="paragraph" w:customStyle="1" w:styleId="VAHImainsubheading">
    <w:name w:val="VAHI main subheading"/>
    <w:uiPriority w:val="8"/>
    <w:rsid w:val="007B44BE"/>
    <w:rPr>
      <w:rFonts w:ascii="VIC Medium" w:hAnsi="VIC Medium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3D5030"/>
    <w:pPr>
      <w:spacing w:before="60" w:after="60" w:line="200" w:lineRule="atLeast"/>
    </w:pPr>
    <w:rPr>
      <w:rFonts w:ascii="VIC Light" w:eastAsia="MS Gothic" w:hAnsi="VIC Light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D5030"/>
    <w:rPr>
      <w:rFonts w:ascii="VIC Light" w:eastAsia="MS Gothic" w:hAnsi="VIC Light" w:cs="Arial"/>
      <w:sz w:val="16"/>
      <w:szCs w:val="16"/>
      <w:lang w:val="en-US" w:eastAsia="en-US"/>
    </w:rPr>
  </w:style>
  <w:style w:type="character" w:styleId="UnresolvedMention">
    <w:name w:val="Unresolved Mention"/>
    <w:uiPriority w:val="99"/>
    <w:semiHidden/>
    <w:unhideWhenUsed/>
    <w:rsid w:val="00CF11E1"/>
    <w:rPr>
      <w:color w:val="605E5C"/>
      <w:shd w:val="clear" w:color="auto" w:fill="E1DFDD"/>
    </w:rPr>
  </w:style>
  <w:style w:type="paragraph" w:customStyle="1" w:styleId="Spacerparatopoffirstpage">
    <w:name w:val="Spacer para top of first page"/>
    <w:basedOn w:val="VAHI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VAHIbulletindentlastline">
    <w:name w:val="VAHI bullet indent last line"/>
    <w:basedOn w:val="VAHIbody"/>
    <w:uiPriority w:val="4"/>
    <w:rsid w:val="007B44BE"/>
    <w:pPr>
      <w:numPr>
        <w:ilvl w:val="5"/>
        <w:numId w:val="7"/>
      </w:numPr>
    </w:pPr>
  </w:style>
  <w:style w:type="paragraph" w:customStyle="1" w:styleId="VAHInumberdigit">
    <w:name w:val="VAHI number digit"/>
    <w:basedOn w:val="VAHIbody"/>
    <w:uiPriority w:val="4"/>
    <w:rsid w:val="003D5030"/>
    <w:pPr>
      <w:numPr>
        <w:numId w:val="8"/>
      </w:numPr>
    </w:pPr>
  </w:style>
  <w:style w:type="paragraph" w:customStyle="1" w:styleId="VAHInumberloweralphaindent">
    <w:name w:val="VAHI number lower alpha indent"/>
    <w:basedOn w:val="VAHIbody"/>
    <w:uiPriority w:val="4"/>
    <w:qFormat/>
    <w:rsid w:val="003D5030"/>
    <w:pPr>
      <w:numPr>
        <w:ilvl w:val="3"/>
        <w:numId w:val="8"/>
      </w:numPr>
    </w:pPr>
  </w:style>
  <w:style w:type="paragraph" w:customStyle="1" w:styleId="VAHInumberdigitindent">
    <w:name w:val="VAHI number digit indent"/>
    <w:basedOn w:val="VAHInumberloweralphaindent"/>
    <w:uiPriority w:val="4"/>
    <w:qFormat/>
    <w:rsid w:val="00152073"/>
    <w:pPr>
      <w:numPr>
        <w:ilvl w:val="1"/>
      </w:numPr>
    </w:pPr>
  </w:style>
  <w:style w:type="paragraph" w:customStyle="1" w:styleId="VAHInumberloweralpha">
    <w:name w:val="VAHI number lower alpha"/>
    <w:basedOn w:val="VAHIbody"/>
    <w:uiPriority w:val="4"/>
    <w:qFormat/>
    <w:rsid w:val="003D5030"/>
    <w:pPr>
      <w:numPr>
        <w:ilvl w:val="2"/>
        <w:numId w:val="8"/>
      </w:numPr>
    </w:pPr>
  </w:style>
  <w:style w:type="paragraph" w:customStyle="1" w:styleId="VAHInumberlowerroman">
    <w:name w:val="VAHI number lower roman"/>
    <w:basedOn w:val="VAHIbody"/>
    <w:uiPriority w:val="4"/>
    <w:qFormat/>
    <w:rsid w:val="003D5030"/>
    <w:pPr>
      <w:numPr>
        <w:ilvl w:val="4"/>
        <w:numId w:val="8"/>
      </w:numPr>
    </w:pPr>
  </w:style>
  <w:style w:type="paragraph" w:customStyle="1" w:styleId="VAHInumberlowerromanindent">
    <w:name w:val="VAHI number lower roman indent"/>
    <w:basedOn w:val="VAHIbody"/>
    <w:uiPriority w:val="4"/>
    <w:qFormat/>
    <w:rsid w:val="003D5030"/>
    <w:pPr>
      <w:numPr>
        <w:ilvl w:val="5"/>
        <w:numId w:val="8"/>
      </w:numPr>
    </w:pPr>
  </w:style>
  <w:style w:type="paragraph" w:customStyle="1" w:styleId="VAHIquote">
    <w:name w:val="VAHI quote"/>
    <w:basedOn w:val="VAHIbody"/>
    <w:uiPriority w:val="3"/>
    <w:qFormat/>
    <w:rsid w:val="003D5030"/>
    <w:pPr>
      <w:ind w:left="397"/>
    </w:pPr>
    <w:rPr>
      <w:szCs w:val="18"/>
    </w:rPr>
  </w:style>
  <w:style w:type="paragraph" w:customStyle="1" w:styleId="VAHItablefigurenote">
    <w:name w:val="VAHI table/figure note"/>
    <w:uiPriority w:val="4"/>
    <w:rsid w:val="003D5030"/>
    <w:pPr>
      <w:spacing w:before="60" w:after="60" w:line="240" w:lineRule="exact"/>
    </w:pPr>
    <w:rPr>
      <w:rFonts w:ascii="VIC Light" w:hAnsi="VIC Light"/>
      <w:sz w:val="18"/>
      <w:lang w:eastAsia="en-US"/>
    </w:rPr>
  </w:style>
  <w:style w:type="paragraph" w:customStyle="1" w:styleId="VAHIbodyaftertablefigure">
    <w:name w:val="VAHI body after table/figure"/>
    <w:basedOn w:val="VAHIbody"/>
    <w:next w:val="VAHIbody"/>
    <w:uiPriority w:val="1"/>
    <w:rsid w:val="007B44BE"/>
    <w:pPr>
      <w:spacing w:before="240"/>
    </w:pPr>
  </w:style>
  <w:style w:type="paragraph" w:customStyle="1" w:styleId="VAHIfooter">
    <w:name w:val="VAHI footer"/>
    <w:uiPriority w:val="11"/>
    <w:rsid w:val="00E36C2D"/>
    <w:pPr>
      <w:tabs>
        <w:tab w:val="right" w:pos="15139"/>
      </w:tabs>
    </w:pPr>
    <w:rPr>
      <w:rFonts w:ascii="VIC" w:hAnsi="VIC" w:cs="Arial"/>
      <w:b/>
      <w:color w:val="2E5E6D"/>
      <w:sz w:val="18"/>
      <w:szCs w:val="18"/>
      <w:lang w:eastAsia="en-US"/>
    </w:rPr>
  </w:style>
  <w:style w:type="paragraph" w:customStyle="1" w:styleId="VAHItablecolheadBOLD">
    <w:name w:val="VAHI_table col head BOLD"/>
    <w:basedOn w:val="VAHItablecolhead"/>
    <w:qFormat/>
    <w:rsid w:val="00E36C2D"/>
    <w:pPr>
      <w:jc w:val="left"/>
    </w:pPr>
    <w:rPr>
      <w:b/>
      <w:sz w:val="21"/>
    </w:rPr>
  </w:style>
  <w:style w:type="paragraph" w:customStyle="1" w:styleId="VAHITABLETEXTNUMBERS">
    <w:name w:val="VAHI_TABLE TEXT NUMBERS"/>
    <w:basedOn w:val="VAHItabletext"/>
    <w:qFormat/>
    <w:rsid w:val="00AD5B68"/>
    <w:pPr>
      <w:jc w:val="center"/>
    </w:pPr>
    <w:rPr>
      <w:w w:val="105"/>
      <w:sz w:val="16"/>
    </w:rPr>
  </w:style>
  <w:style w:type="paragraph" w:customStyle="1" w:styleId="VAHItabletextbold">
    <w:name w:val="VAHI_table text bold"/>
    <w:basedOn w:val="VAHItabletext"/>
    <w:qFormat/>
    <w:rsid w:val="00873CC2"/>
    <w:rPr>
      <w:b/>
      <w:w w:val="105"/>
    </w:rPr>
  </w:style>
  <w:style w:type="paragraph" w:customStyle="1" w:styleId="VAHITABLETEXTNUMBERSBOLD">
    <w:name w:val="VAHI_TABLE TEXT NUMBERS BOLD"/>
    <w:basedOn w:val="VAHITABLETEXTNUMBERS"/>
    <w:qFormat/>
    <w:rsid w:val="00873CC2"/>
    <w:rPr>
      <w:b/>
    </w:rPr>
  </w:style>
  <w:style w:type="paragraph" w:styleId="Header">
    <w:name w:val="header"/>
    <w:basedOn w:val="Normal"/>
    <w:link w:val="HeaderChar"/>
    <w:uiPriority w:val="10"/>
    <w:unhideWhenUsed/>
    <w:rsid w:val="00E36C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0"/>
    <w:rsid w:val="00E36C2D"/>
    <w:rPr>
      <w:rFonts w:ascii="Calibri" w:eastAsia="Calibri" w:hAnsi="Calibri"/>
      <w:sz w:val="22"/>
      <w:szCs w:val="22"/>
      <w:lang w:val="en-US" w:eastAsia="en-US"/>
    </w:rPr>
  </w:style>
  <w:style w:type="paragraph" w:customStyle="1" w:styleId="DHHStabletext">
    <w:name w:val="DHHS table text"/>
    <w:uiPriority w:val="3"/>
    <w:qFormat/>
    <w:rsid w:val="007B08C1"/>
    <w:pPr>
      <w:spacing w:before="80" w:after="60"/>
    </w:pPr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57"/>
    <w:rPr>
      <w:rFonts w:ascii="Segoe UI" w:eastAsia="Calibr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goo2005\AppData\Local\Microsoft\Windows\INetCache\Content.Outlook\6LG5SB5C\Extended%20treatment%20mental%20health%20performance%20indicator%20reports%20pa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hi@vahi.vic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Visual%20style\DHHS%20Factsheet%20Landscape%2003%20Blue%20294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640C4-D09F-4D58-9127-F61F762E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Landscape 03 Blue 2945.dot</Template>
  <TotalTime>58</TotalTime>
  <Pages>9</Pages>
  <Words>2858</Words>
  <Characters>13389</Characters>
  <Application>Microsoft Office Word</Application>
  <DocSecurity>0</DocSecurity>
  <Lines>111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mental health treatment setting quarterly KPI report Q1</vt:lpstr>
    </vt:vector>
  </TitlesOfParts>
  <Company>Department of Health and Human Services</Company>
  <LinksUpToDate>false</LinksUpToDate>
  <CharactersWithSpaces>16215</CharactersWithSpaces>
  <SharedDoc>false</SharedDoc>
  <HyperlinkBase/>
  <HLinks>
    <vt:vector size="36" baseType="variant">
      <vt:variant>
        <vt:i4>2555941</vt:i4>
      </vt:variant>
      <vt:variant>
        <vt:i4>24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21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18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15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_Toc440620742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_Toc440620741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mental health treatment setting quarterly KPI report Q1</dc:title>
  <dc:subject/>
  <dc:creator>Victorian Agency for Health Information</dc:creator>
  <cp:keywords/>
  <cp:lastModifiedBy>Daniel Mendoza (DHHS)</cp:lastModifiedBy>
  <cp:revision>13</cp:revision>
  <cp:lastPrinted>2019-09-16T06:35:00Z</cp:lastPrinted>
  <dcterms:created xsi:type="dcterms:W3CDTF">2019-10-11T05:28:00Z</dcterms:created>
  <dcterms:modified xsi:type="dcterms:W3CDTF">2019-10-22T04:23:00Z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