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B3B5" w14:textId="77777777" w:rsidR="000435EE" w:rsidRPr="004C6EEE" w:rsidRDefault="000435EE" w:rsidP="000435EE">
      <w:pPr>
        <w:pStyle w:val="Spacerparatopoffirstpage"/>
      </w:pPr>
      <w:r>
        <w:rPr>
          <w:lang w:eastAsia="en-AU"/>
        </w:rPr>
        <w:drawing>
          <wp:anchor distT="0" distB="0" distL="114300" distR="114300" simplePos="0" relativeHeight="251657216" behindDoc="1" locked="1" layoutInCell="0" allowOverlap="1" wp14:anchorId="4F9884C8" wp14:editId="292ABC28">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FEB9D" w14:textId="77777777" w:rsidR="000435EE" w:rsidRPr="004C6EEE" w:rsidRDefault="000435EE" w:rsidP="000435EE">
      <w:pPr>
        <w:pStyle w:val="Sectionbreakfirstpage"/>
        <w:sectPr w:rsidR="000435EE"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0435EE" w14:paraId="08196AD6" w14:textId="77777777" w:rsidTr="009C035A">
        <w:trPr>
          <w:trHeight w:val="1247"/>
        </w:trPr>
        <w:tc>
          <w:tcPr>
            <w:tcW w:w="8046" w:type="dxa"/>
            <w:shd w:val="clear" w:color="auto" w:fill="auto"/>
            <w:vAlign w:val="bottom"/>
          </w:tcPr>
          <w:p w14:paraId="5C2EBD1A" w14:textId="10188DE5" w:rsidR="000435EE" w:rsidRPr="00161AA0" w:rsidRDefault="000435EE" w:rsidP="009C035A">
            <w:pPr>
              <w:pStyle w:val="DHHSmainheading"/>
            </w:pPr>
            <w:bookmarkStart w:id="0" w:name="_Hlk31974528"/>
            <w:r w:rsidRPr="006B2E3D">
              <w:t>Bulletin</w:t>
            </w:r>
            <w:r>
              <w:t xml:space="preserve"> #</w:t>
            </w:r>
            <w:bookmarkEnd w:id="0"/>
            <w:r w:rsidR="00EC5890">
              <w:t>51</w:t>
            </w:r>
          </w:p>
        </w:tc>
      </w:tr>
      <w:tr w:rsidR="000435EE" w14:paraId="2872F3EC" w14:textId="77777777" w:rsidTr="009C035A">
        <w:trPr>
          <w:trHeight w:hRule="exact" w:val="1162"/>
        </w:trPr>
        <w:tc>
          <w:tcPr>
            <w:tcW w:w="8046" w:type="dxa"/>
            <w:shd w:val="clear" w:color="auto" w:fill="auto"/>
            <w:tcMar>
              <w:top w:w="170" w:type="dxa"/>
              <w:bottom w:w="510" w:type="dxa"/>
            </w:tcMar>
          </w:tcPr>
          <w:p w14:paraId="522445CB" w14:textId="057DB2E8" w:rsidR="000435EE" w:rsidRDefault="000435EE" w:rsidP="009C035A">
            <w:pPr>
              <w:pStyle w:val="DHHSmainsubheading"/>
              <w:rPr>
                <w:szCs w:val="28"/>
              </w:rPr>
            </w:pPr>
            <w:r>
              <w:rPr>
                <w:szCs w:val="28"/>
              </w:rPr>
              <w:t>Mental Health –</w:t>
            </w:r>
            <w:r w:rsidR="00531386" w:rsidRPr="00531386">
              <w:rPr>
                <w:szCs w:val="28"/>
              </w:rPr>
              <w:tab/>
              <w:t>Stabilising and reinforcing mental health care capacity</w:t>
            </w:r>
          </w:p>
          <w:p w14:paraId="54966379" w14:textId="02A5E6D6" w:rsidR="000435EE" w:rsidRPr="00AD784C" w:rsidRDefault="00E53759" w:rsidP="00E53759">
            <w:pPr>
              <w:pStyle w:val="DHHSmainsubheading"/>
              <w:jc w:val="center"/>
              <w:rPr>
                <w:szCs w:val="28"/>
              </w:rPr>
            </w:pPr>
            <w:r>
              <w:rPr>
                <w:szCs w:val="28"/>
              </w:rPr>
              <w:t xml:space="preserve">                                                                      </w:t>
            </w:r>
            <w:r w:rsidR="00FC4D22">
              <w:rPr>
                <w:szCs w:val="28"/>
              </w:rPr>
              <w:t>October</w:t>
            </w:r>
            <w:r w:rsidR="000435EE">
              <w:rPr>
                <w:szCs w:val="28"/>
              </w:rPr>
              <w:t xml:space="preserve"> 2020</w:t>
            </w:r>
          </w:p>
        </w:tc>
      </w:tr>
    </w:tbl>
    <w:p w14:paraId="5D046BD7" w14:textId="77777777" w:rsidR="000435EE" w:rsidRDefault="000435EE" w:rsidP="000435EE">
      <w:pPr>
        <w:pStyle w:val="DHHSbody"/>
        <w:sectPr w:rsidR="000435EE"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1" w:name="_Toc440566508"/>
    </w:p>
    <w:bookmarkEnd w:id="1"/>
    <w:p w14:paraId="0B8017C1" w14:textId="77777777" w:rsidR="009A1259" w:rsidRPr="009A1259" w:rsidRDefault="009A1259" w:rsidP="009A1259">
      <w:pPr>
        <w:pStyle w:val="DHHSmainsubheading"/>
        <w:rPr>
          <w:rFonts w:eastAsia="MS Gothic" w:cs="Arial"/>
          <w:bCs/>
          <w:color w:val="004EA8"/>
          <w:kern w:val="32"/>
          <w:sz w:val="36"/>
          <w:szCs w:val="40"/>
        </w:rPr>
      </w:pPr>
      <w:r w:rsidRPr="009A1259">
        <w:rPr>
          <w:rFonts w:eastAsia="MS Gothic" w:cs="Arial"/>
          <w:bCs/>
          <w:color w:val="004EA8"/>
          <w:kern w:val="32"/>
          <w:sz w:val="36"/>
          <w:szCs w:val="40"/>
        </w:rPr>
        <w:t>Stabilising and reinforcing mental health care capacity</w:t>
      </w:r>
    </w:p>
    <w:p w14:paraId="4DB80CA0" w14:textId="2C201751" w:rsidR="000435EE" w:rsidRPr="00E91666" w:rsidRDefault="0080254F" w:rsidP="000435EE">
      <w:pPr>
        <w:pStyle w:val="Heading1"/>
        <w:spacing w:before="0"/>
      </w:pPr>
      <w:r>
        <w:t xml:space="preserve"> </w:t>
      </w:r>
      <w:r w:rsidR="000435EE" w:rsidRPr="00B95A98">
        <w:rPr>
          <w:rStyle w:val="Heading2Char"/>
          <w:rFonts w:eastAsia="MS Gothic"/>
        </w:rPr>
        <w:t>Purpose</w:t>
      </w:r>
    </w:p>
    <w:p w14:paraId="191148B3" w14:textId="6A0F6282" w:rsidR="0066383B" w:rsidRPr="0066383B" w:rsidRDefault="0066383B" w:rsidP="0066383B">
      <w:pPr>
        <w:pStyle w:val="DHHSbody"/>
        <w:numPr>
          <w:ilvl w:val="0"/>
          <w:numId w:val="1"/>
        </w:numPr>
      </w:pPr>
      <w:r w:rsidRPr="00583BC4">
        <w:rPr>
          <w:rFonts w:cs="Arial"/>
        </w:rPr>
        <w:t>This document provides an overview</w:t>
      </w:r>
      <w:r>
        <w:rPr>
          <w:rFonts w:cs="Arial"/>
        </w:rPr>
        <w:t xml:space="preserve"> of activity data reporting requirements as part of the </w:t>
      </w:r>
      <w:r w:rsidRPr="0066383B">
        <w:rPr>
          <w:rFonts w:cs="Arial"/>
        </w:rPr>
        <w:t>Stabilising and Reinforcing Mental Health Care Capacity Funding Package</w:t>
      </w:r>
      <w:r w:rsidR="00234470">
        <w:rPr>
          <w:rFonts w:cs="Arial"/>
        </w:rPr>
        <w:t xml:space="preserve"> (CCFP)</w:t>
      </w:r>
      <w:r>
        <w:rPr>
          <w:rFonts w:cs="Arial"/>
        </w:rPr>
        <w:t xml:space="preserve">. </w:t>
      </w:r>
    </w:p>
    <w:p w14:paraId="47A9257E" w14:textId="4D84864F" w:rsidR="000435EE" w:rsidRDefault="000435EE" w:rsidP="000435EE">
      <w:pPr>
        <w:pStyle w:val="Heading2"/>
      </w:pPr>
      <w:r w:rsidRPr="00E91666">
        <w:t>Background</w:t>
      </w:r>
      <w:r>
        <w:t xml:space="preserve"> </w:t>
      </w:r>
      <w:r w:rsidR="00964E45">
        <w:t xml:space="preserve"> </w:t>
      </w:r>
    </w:p>
    <w:p w14:paraId="5931DC06" w14:textId="5AC931DF" w:rsidR="00B77CEB" w:rsidRDefault="00B77CEB" w:rsidP="00573BD8">
      <w:pPr>
        <w:pStyle w:val="DHHSbody"/>
        <w:jc w:val="both"/>
        <w:rPr>
          <w:rFonts w:cs="Arial"/>
          <w:color w:val="000000" w:themeColor="text1"/>
        </w:rPr>
      </w:pPr>
      <w:r>
        <w:rPr>
          <w:rFonts w:cs="Arial"/>
          <w:color w:val="000000" w:themeColor="text1"/>
        </w:rPr>
        <w:t xml:space="preserve">In August 2020, the Victorian Government announced a $59.7 million funding package </w:t>
      </w:r>
      <w:r w:rsidRPr="1AE07FFC">
        <w:t>for additional mental health services and infrastructure to mitigate existing pressures and stabilise service capacity ahead of an expected increase in demand as a result of the second wave of the COVID-19 pandemic.</w:t>
      </w:r>
      <w:r>
        <w:t xml:space="preserve"> Under this funding package, funding of $21.7 million will be provided to 18 health services for four key clinical mental health service initiatives:</w:t>
      </w:r>
    </w:p>
    <w:p w14:paraId="6856E07E" w14:textId="77777777" w:rsidR="0066383B" w:rsidRDefault="0066383B" w:rsidP="00573BD8">
      <w:pPr>
        <w:pStyle w:val="DHHSbody"/>
        <w:numPr>
          <w:ilvl w:val="0"/>
          <w:numId w:val="18"/>
        </w:numPr>
        <w:jc w:val="both"/>
      </w:pPr>
      <w:r w:rsidRPr="0066383B">
        <w:rPr>
          <w:b/>
          <w:bCs/>
        </w:rPr>
        <w:t>Expanded Hours Clinics:</w:t>
      </w:r>
      <w:r>
        <w:t xml:space="preserve"> Funding to extend operating hours (evenings and weekends) for community mental health clinics and services to help provide increased COVID safe access and meet demand for face-to-face services, reduce risk of clients presenting to EDs at crisis point and taking pressure off EDs and Acute mental health beds.</w:t>
      </w:r>
    </w:p>
    <w:p w14:paraId="67EF371C" w14:textId="77777777" w:rsidR="0066383B" w:rsidRDefault="0066383B" w:rsidP="00573BD8">
      <w:pPr>
        <w:pStyle w:val="DHHSbody"/>
        <w:numPr>
          <w:ilvl w:val="0"/>
          <w:numId w:val="18"/>
        </w:numPr>
        <w:jc w:val="both"/>
      </w:pPr>
      <w:r w:rsidRPr="0066383B">
        <w:rPr>
          <w:b/>
          <w:bCs/>
        </w:rPr>
        <w:t>Additional capacity in Acute Inpatient Units:</w:t>
      </w:r>
      <w:r>
        <w:t xml:space="preserve"> Funding to expand allied health services (including lived experience workforce) and medical coverage within acute and non-acute admitted settings from five to seven days a week to improve continuity of care and provide additional therapeutic treatment, enabling more appropriate treatment and flow in COVID safe settings to manage demand.</w:t>
      </w:r>
    </w:p>
    <w:p w14:paraId="5F22183E" w14:textId="295AC54C" w:rsidR="0066383B" w:rsidRDefault="0066383B" w:rsidP="00573BD8">
      <w:pPr>
        <w:pStyle w:val="DHHSbody"/>
        <w:numPr>
          <w:ilvl w:val="0"/>
          <w:numId w:val="18"/>
        </w:numPr>
        <w:jc w:val="both"/>
      </w:pPr>
      <w:r w:rsidRPr="0066383B">
        <w:rPr>
          <w:b/>
          <w:bCs/>
        </w:rPr>
        <w:t>Secondary Consultation and Liaison:</w:t>
      </w:r>
      <w:r>
        <w:t xml:space="preserve"> Funding to increase access to specialist mental health consultation and liaison services in general acute admissions (all settings) and via arrangements with PHNs to establish secondary consultation and capacity building for General Practitioners, taking pressure of EDs and Acute mental health beds.</w:t>
      </w:r>
    </w:p>
    <w:p w14:paraId="41B9DAFC" w14:textId="5156466B" w:rsidR="0066383B" w:rsidRPr="0066383B" w:rsidRDefault="0066383B" w:rsidP="00573BD8">
      <w:pPr>
        <w:pStyle w:val="DHHSbody"/>
        <w:numPr>
          <w:ilvl w:val="0"/>
          <w:numId w:val="18"/>
        </w:numPr>
        <w:jc w:val="both"/>
      </w:pPr>
      <w:r w:rsidRPr="0066383B">
        <w:rPr>
          <w:b/>
          <w:bCs/>
        </w:rPr>
        <w:t>Assertive Acute Assessment Outreach:</w:t>
      </w:r>
      <w:r>
        <w:t xml:space="preserve"> Funding to increase access to assertive outreach specialist mental health assessment and services via extension to assessment and triage teams.</w:t>
      </w:r>
    </w:p>
    <w:p w14:paraId="5BAB5F89" w14:textId="77777777" w:rsidR="00A45ED9" w:rsidRDefault="00A45ED9" w:rsidP="00573BD8">
      <w:pPr>
        <w:pStyle w:val="Heading2"/>
        <w:jc w:val="both"/>
      </w:pPr>
      <w:bookmarkStart w:id="2" w:name="_Toc410717546"/>
      <w:bookmarkStart w:id="3" w:name="_Toc440566510"/>
      <w:r>
        <w:t xml:space="preserve">New service recipient code  </w:t>
      </w:r>
    </w:p>
    <w:p w14:paraId="587CFF6F" w14:textId="55C8F51F" w:rsidR="00A45ED9" w:rsidRPr="00A45ED9" w:rsidRDefault="00A54E4A" w:rsidP="00573BD8">
      <w:pPr>
        <w:pStyle w:val="DHHSbody"/>
        <w:jc w:val="both"/>
      </w:pPr>
      <w:r>
        <w:t xml:space="preserve">To identify activity with </w:t>
      </w:r>
      <w:r w:rsidRPr="00A54E4A">
        <w:t xml:space="preserve">HeadtoHelp </w:t>
      </w:r>
      <w:r>
        <w:t>clinics: W</w:t>
      </w:r>
      <w:r w:rsidR="00A45ED9" w:rsidRPr="00A45ED9">
        <w:t xml:space="preserve">here contacts are provided by </w:t>
      </w:r>
      <w:r w:rsidR="00206D93">
        <w:t>initiative 3,</w:t>
      </w:r>
      <w:r w:rsidR="00A45ED9" w:rsidRPr="00A45ED9">
        <w:t xml:space="preserve"> Secondary Consultation and Liaison service</w:t>
      </w:r>
      <w:r w:rsidR="00206D93">
        <w:t>,</w:t>
      </w:r>
      <w:r w:rsidR="00A45ED9" w:rsidRPr="00A45ED9">
        <w:t xml:space="preserve"> to a PHN commissioned mental health service, this must be recorded against the newly created Primary Mental Health Service recipient code:</w:t>
      </w:r>
    </w:p>
    <w:p w14:paraId="4E60180B" w14:textId="77777777" w:rsidR="00A45ED9" w:rsidRPr="00A45ED9" w:rsidRDefault="00A45ED9" w:rsidP="00573BD8">
      <w:pPr>
        <w:pStyle w:val="DHHSbody"/>
        <w:jc w:val="both"/>
      </w:pPr>
      <w:r w:rsidRPr="00A45ED9">
        <w:t>116</w:t>
      </w:r>
      <w:r w:rsidRPr="00A45ED9">
        <w:tab/>
        <w:t>Primary Mental Health Services</w:t>
      </w:r>
    </w:p>
    <w:p w14:paraId="0DE0F10C" w14:textId="77777777" w:rsidR="00D172AC" w:rsidRDefault="00D172AC" w:rsidP="00573BD8">
      <w:pPr>
        <w:pStyle w:val="Heading2"/>
        <w:jc w:val="both"/>
        <w:sectPr w:rsidR="00D172AC" w:rsidSect="00F01E5F">
          <w:type w:val="continuous"/>
          <w:pgSz w:w="11906" w:h="16838" w:code="9"/>
          <w:pgMar w:top="1418" w:right="851" w:bottom="1134" w:left="851" w:header="567" w:footer="510" w:gutter="0"/>
          <w:cols w:space="340"/>
          <w:titlePg/>
          <w:docGrid w:linePitch="360"/>
        </w:sectPr>
      </w:pPr>
    </w:p>
    <w:p w14:paraId="727E4F0F" w14:textId="6663632F" w:rsidR="00CB48E0" w:rsidRDefault="00CB48E0" w:rsidP="00573BD8">
      <w:pPr>
        <w:pStyle w:val="Heading2"/>
        <w:jc w:val="both"/>
      </w:pPr>
      <w:r w:rsidRPr="00D253E9">
        <w:lastRenderedPageBreak/>
        <w:t>Subcentre / Program</w:t>
      </w:r>
      <w:r w:rsidR="00D253E9">
        <w:t xml:space="preserve"> setup</w:t>
      </w:r>
    </w:p>
    <w:p w14:paraId="62704E0A" w14:textId="735454FD" w:rsidR="00D172AC" w:rsidRDefault="00CA2A64" w:rsidP="00573BD8">
      <w:pPr>
        <w:pStyle w:val="DHHSbody"/>
        <w:jc w:val="both"/>
        <w:rPr>
          <w:rFonts w:cs="Arial"/>
        </w:rPr>
      </w:pPr>
      <w:r>
        <w:t xml:space="preserve">As </w:t>
      </w:r>
      <w:r w:rsidR="007F4402">
        <w:rPr>
          <w:rFonts w:cs="Arial"/>
        </w:rPr>
        <w:t>the CCFP</w:t>
      </w:r>
      <w:r>
        <w:rPr>
          <w:rFonts w:cs="Arial"/>
        </w:rPr>
        <w:t xml:space="preserve"> extends existing community mental health services, there is no </w:t>
      </w:r>
      <w:r w:rsidR="008D5149">
        <w:rPr>
          <w:rFonts w:cs="Arial"/>
        </w:rPr>
        <w:t xml:space="preserve">DHHS </w:t>
      </w:r>
      <w:r>
        <w:rPr>
          <w:rFonts w:cs="Arial"/>
        </w:rPr>
        <w:t xml:space="preserve">requirement to create a new subcentre, though services may choose to do this for local operational reasons. Using the below program </w:t>
      </w:r>
      <w:r w:rsidR="008D5149">
        <w:rPr>
          <w:rFonts w:cs="Arial"/>
        </w:rPr>
        <w:t>description and</w:t>
      </w:r>
      <w:r w:rsidR="00FC4D22">
        <w:rPr>
          <w:rFonts w:cs="Arial"/>
        </w:rPr>
        <w:t xml:space="preserve"> fund source</w:t>
      </w:r>
      <w:r>
        <w:rPr>
          <w:rFonts w:cs="Arial"/>
        </w:rPr>
        <w:t xml:space="preserve">, services </w:t>
      </w:r>
      <w:r w:rsidR="008D5149">
        <w:rPr>
          <w:rFonts w:cs="Arial"/>
        </w:rPr>
        <w:t>should create</w:t>
      </w:r>
      <w:r w:rsidR="00D172AC">
        <w:rPr>
          <w:rFonts w:cs="Arial"/>
        </w:rPr>
        <w:t xml:space="preserve"> new programs</w:t>
      </w:r>
      <w:r w:rsidR="008D5149">
        <w:rPr>
          <w:rFonts w:cs="Arial"/>
        </w:rPr>
        <w:t xml:space="preserve"> and link these programs to existing subcentres</w:t>
      </w:r>
      <w:r w:rsidR="00D172AC">
        <w:rPr>
          <w:rFonts w:cs="Arial"/>
        </w:rPr>
        <w:t>. It is important that the fund source for the newly cr</w:t>
      </w:r>
      <w:bookmarkStart w:id="4" w:name="_GoBack"/>
      <w:bookmarkEnd w:id="4"/>
      <w:r w:rsidR="00D172AC">
        <w:rPr>
          <w:rFonts w:cs="Arial"/>
        </w:rPr>
        <w:t xml:space="preserve">eated CMI programs is “Public Health Emergency”. </w:t>
      </w:r>
    </w:p>
    <w:p w14:paraId="4CA5C620" w14:textId="1B5BB5E6" w:rsidR="00CA2A64" w:rsidRDefault="00D172AC" w:rsidP="00573BD8">
      <w:pPr>
        <w:pStyle w:val="DHHSbody"/>
        <w:jc w:val="both"/>
        <w:rPr>
          <w:rFonts w:cs="Arial"/>
        </w:rPr>
      </w:pPr>
      <w:r>
        <w:rPr>
          <w:rFonts w:cs="Arial"/>
        </w:rPr>
        <w:t>The</w:t>
      </w:r>
      <w:r w:rsidR="00FC4D22">
        <w:rPr>
          <w:rFonts w:cs="Arial"/>
        </w:rPr>
        <w:t xml:space="preserve"> </w:t>
      </w:r>
      <w:r>
        <w:rPr>
          <w:rFonts w:cs="Arial"/>
        </w:rPr>
        <w:t xml:space="preserve">new CCFP program’s </w:t>
      </w:r>
      <w:r>
        <w:rPr>
          <w:rFonts w:cs="Arial"/>
        </w:rPr>
        <w:t>target population</w:t>
      </w:r>
      <w:r>
        <w:rPr>
          <w:rFonts w:cs="Arial"/>
        </w:rPr>
        <w:t xml:space="preserve">, </w:t>
      </w:r>
      <w:r w:rsidR="00FC4D22">
        <w:rPr>
          <w:rFonts w:cs="Arial"/>
        </w:rPr>
        <w:t>program type</w:t>
      </w:r>
      <w:r>
        <w:rPr>
          <w:rFonts w:cs="Arial"/>
        </w:rPr>
        <w:t>,</w:t>
      </w:r>
      <w:r w:rsidR="00FC4D22">
        <w:rPr>
          <w:rFonts w:cs="Arial"/>
        </w:rPr>
        <w:t xml:space="preserve"> </w:t>
      </w:r>
      <w:r>
        <w:rPr>
          <w:rFonts w:cs="Arial"/>
        </w:rPr>
        <w:t>and classification</w:t>
      </w:r>
      <w:r w:rsidR="00FC4D22">
        <w:rPr>
          <w:rFonts w:cs="Arial"/>
        </w:rPr>
        <w:t xml:space="preserve"> fields </w:t>
      </w:r>
      <w:r>
        <w:rPr>
          <w:rFonts w:cs="Arial"/>
        </w:rPr>
        <w:t>should align with the existing CMI programs linked to the subcentre</w:t>
      </w:r>
      <w:r w:rsidR="00FC4D22">
        <w:rPr>
          <w:rFonts w:cs="Arial"/>
        </w:rPr>
        <w:t>.</w:t>
      </w:r>
    </w:p>
    <w:p w14:paraId="4F990BF5" w14:textId="59F5EAB3" w:rsidR="001E6E2B" w:rsidRDefault="001E6E2B" w:rsidP="001E6E2B">
      <w:pPr>
        <w:pStyle w:val="Heading3"/>
        <w:rPr>
          <w:sz w:val="20"/>
          <w:szCs w:val="20"/>
        </w:rPr>
      </w:pPr>
      <w:bookmarkStart w:id="5" w:name="_Hlk47628869"/>
      <w:bookmarkEnd w:id="2"/>
      <w:bookmarkEnd w:id="3"/>
      <w:r w:rsidRPr="00DF2CE2">
        <w:rPr>
          <w:sz w:val="20"/>
          <w:szCs w:val="20"/>
        </w:rPr>
        <w:t>Program</w:t>
      </w:r>
    </w:p>
    <w:tbl>
      <w:tblPr>
        <w:tblStyle w:val="TableGrid"/>
        <w:tblW w:w="10516" w:type="dxa"/>
        <w:tblLayout w:type="fixed"/>
        <w:tblLook w:val="04A0" w:firstRow="1" w:lastRow="0" w:firstColumn="1" w:lastColumn="0" w:noHBand="0" w:noVBand="1"/>
      </w:tblPr>
      <w:tblGrid>
        <w:gridCol w:w="1447"/>
        <w:gridCol w:w="1701"/>
        <w:gridCol w:w="1488"/>
        <w:gridCol w:w="1818"/>
        <w:gridCol w:w="1510"/>
        <w:gridCol w:w="1276"/>
        <w:gridCol w:w="1276"/>
      </w:tblGrid>
      <w:tr w:rsidR="00CA2A64" w:rsidRPr="00DF2CE2" w14:paraId="26431EF7" w14:textId="77777777" w:rsidTr="000E3966">
        <w:tc>
          <w:tcPr>
            <w:tcW w:w="1447" w:type="dxa"/>
            <w:tcBorders>
              <w:left w:val="single" w:sz="4" w:space="0" w:color="auto"/>
              <w:bottom w:val="single" w:sz="4" w:space="0" w:color="auto"/>
              <w:right w:val="single" w:sz="4" w:space="0" w:color="auto"/>
            </w:tcBorders>
            <w:shd w:val="clear" w:color="auto" w:fill="D9E2F3"/>
          </w:tcPr>
          <w:p w14:paraId="257723F9" w14:textId="7A33F6FC" w:rsidR="00CA2A64" w:rsidRPr="00DF2CE2" w:rsidRDefault="00CA2A64" w:rsidP="000E3966">
            <w:pPr>
              <w:pStyle w:val="DHHSbody"/>
              <w:rPr>
                <w:b/>
              </w:rPr>
            </w:pPr>
            <w:r w:rsidRPr="00DF2CE2">
              <w:rPr>
                <w:b/>
              </w:rPr>
              <w:t>Description</w:t>
            </w:r>
          </w:p>
        </w:tc>
        <w:tc>
          <w:tcPr>
            <w:tcW w:w="1701" w:type="dxa"/>
            <w:tcBorders>
              <w:left w:val="single" w:sz="4" w:space="0" w:color="auto"/>
              <w:bottom w:val="single" w:sz="4" w:space="0" w:color="auto"/>
              <w:right w:val="single" w:sz="4" w:space="0" w:color="auto"/>
            </w:tcBorders>
            <w:shd w:val="clear" w:color="auto" w:fill="D9E2F3"/>
          </w:tcPr>
          <w:p w14:paraId="66ABCD10" w14:textId="001D2C2A" w:rsidR="00CA2A64" w:rsidRPr="00DF2CE2" w:rsidRDefault="00CA2A64" w:rsidP="000E3966">
            <w:pPr>
              <w:pStyle w:val="DHHSbody"/>
              <w:rPr>
                <w:b/>
              </w:rPr>
            </w:pPr>
            <w:r w:rsidRPr="00DF2CE2">
              <w:rPr>
                <w:b/>
              </w:rPr>
              <w:t>Classification</w:t>
            </w:r>
          </w:p>
        </w:tc>
        <w:tc>
          <w:tcPr>
            <w:tcW w:w="1488" w:type="dxa"/>
            <w:tcBorders>
              <w:left w:val="single" w:sz="4" w:space="0" w:color="auto"/>
              <w:bottom w:val="single" w:sz="4" w:space="0" w:color="auto"/>
              <w:right w:val="single" w:sz="4" w:space="0" w:color="auto"/>
            </w:tcBorders>
            <w:shd w:val="clear" w:color="auto" w:fill="D9E2F3"/>
          </w:tcPr>
          <w:p w14:paraId="67E6D532" w14:textId="5A6C198D" w:rsidR="00CA2A64" w:rsidRPr="00DF2CE2" w:rsidRDefault="00CA2A64" w:rsidP="000E3966">
            <w:pPr>
              <w:pStyle w:val="DHHSbody"/>
              <w:rPr>
                <w:b/>
              </w:rPr>
            </w:pPr>
            <w:r w:rsidRPr="00DF2CE2">
              <w:rPr>
                <w:b/>
              </w:rPr>
              <w:t>Prog</w:t>
            </w:r>
            <w:r>
              <w:rPr>
                <w:b/>
              </w:rPr>
              <w:t xml:space="preserve"> </w:t>
            </w:r>
            <w:r w:rsidRPr="00DF2CE2">
              <w:rPr>
                <w:b/>
              </w:rPr>
              <w:t>Type</w:t>
            </w:r>
          </w:p>
        </w:tc>
        <w:tc>
          <w:tcPr>
            <w:tcW w:w="1818" w:type="dxa"/>
            <w:tcBorders>
              <w:left w:val="single" w:sz="4" w:space="0" w:color="auto"/>
              <w:bottom w:val="single" w:sz="4" w:space="0" w:color="auto"/>
              <w:right w:val="single" w:sz="4" w:space="0" w:color="auto"/>
            </w:tcBorders>
            <w:shd w:val="clear" w:color="auto" w:fill="D9E2F3"/>
          </w:tcPr>
          <w:p w14:paraId="1D8DDF12" w14:textId="29AB197F" w:rsidR="00CA2A64" w:rsidRPr="00DF2CE2" w:rsidRDefault="00CA2A64" w:rsidP="000E3966">
            <w:pPr>
              <w:pStyle w:val="DHHSbody"/>
              <w:rPr>
                <w:b/>
              </w:rPr>
            </w:pPr>
            <w:r w:rsidRPr="00DF2CE2">
              <w:rPr>
                <w:b/>
              </w:rPr>
              <w:t>Target Population</w:t>
            </w:r>
          </w:p>
        </w:tc>
        <w:tc>
          <w:tcPr>
            <w:tcW w:w="1510" w:type="dxa"/>
            <w:tcBorders>
              <w:left w:val="single" w:sz="4" w:space="0" w:color="auto"/>
              <w:bottom w:val="single" w:sz="4" w:space="0" w:color="auto"/>
              <w:right w:val="single" w:sz="4" w:space="0" w:color="auto"/>
            </w:tcBorders>
            <w:shd w:val="clear" w:color="auto" w:fill="D9E2F3"/>
          </w:tcPr>
          <w:p w14:paraId="66B36B56" w14:textId="39666E88" w:rsidR="00CA2A64" w:rsidRPr="00DF2CE2" w:rsidRDefault="00CA2A64" w:rsidP="000E3966">
            <w:pPr>
              <w:pStyle w:val="DHHSbody"/>
              <w:rPr>
                <w:b/>
              </w:rPr>
            </w:pPr>
            <w:r w:rsidRPr="00DF2CE2">
              <w:rPr>
                <w:b/>
              </w:rPr>
              <w:t>Fund Source</w:t>
            </w:r>
          </w:p>
        </w:tc>
        <w:tc>
          <w:tcPr>
            <w:tcW w:w="1276" w:type="dxa"/>
            <w:tcBorders>
              <w:left w:val="single" w:sz="4" w:space="0" w:color="auto"/>
              <w:bottom w:val="single" w:sz="4" w:space="0" w:color="auto"/>
              <w:right w:val="single" w:sz="4" w:space="0" w:color="auto"/>
            </w:tcBorders>
            <w:shd w:val="clear" w:color="auto" w:fill="D9E2F3"/>
          </w:tcPr>
          <w:p w14:paraId="0C29AC1F" w14:textId="61955839" w:rsidR="00CA2A64" w:rsidRPr="00DF2CE2" w:rsidRDefault="00CA2A64" w:rsidP="000E3966">
            <w:pPr>
              <w:pStyle w:val="DHHSbody"/>
              <w:rPr>
                <w:b/>
              </w:rPr>
            </w:pPr>
            <w:r w:rsidRPr="00DF2CE2">
              <w:rPr>
                <w:b/>
              </w:rPr>
              <w:t>AMHS</w:t>
            </w:r>
          </w:p>
        </w:tc>
        <w:tc>
          <w:tcPr>
            <w:tcW w:w="1276" w:type="dxa"/>
            <w:tcBorders>
              <w:left w:val="single" w:sz="4" w:space="0" w:color="auto"/>
              <w:bottom w:val="single" w:sz="4" w:space="0" w:color="auto"/>
            </w:tcBorders>
            <w:shd w:val="clear" w:color="auto" w:fill="D9E2F3"/>
          </w:tcPr>
          <w:p w14:paraId="35BCC7A0" w14:textId="200B0396" w:rsidR="00CA2A64" w:rsidRPr="00DF2CE2" w:rsidRDefault="00CA2A64" w:rsidP="000E3966">
            <w:pPr>
              <w:pStyle w:val="DHHSbody"/>
              <w:rPr>
                <w:b/>
              </w:rPr>
            </w:pPr>
            <w:r w:rsidRPr="00DF2CE2">
              <w:rPr>
                <w:b/>
              </w:rPr>
              <w:t>Start Date</w:t>
            </w:r>
          </w:p>
        </w:tc>
      </w:tr>
      <w:tr w:rsidR="00CA2A64" w:rsidRPr="00DF2CE2" w14:paraId="15A6E8AC" w14:textId="77777777" w:rsidTr="000E3966">
        <w:tc>
          <w:tcPr>
            <w:tcW w:w="1447" w:type="dxa"/>
            <w:tcBorders>
              <w:bottom w:val="single" w:sz="4" w:space="0" w:color="auto"/>
            </w:tcBorders>
          </w:tcPr>
          <w:p w14:paraId="7807BB66" w14:textId="45393DF0" w:rsidR="00CA2A64" w:rsidRPr="00DF2CE2" w:rsidRDefault="008D5149" w:rsidP="000E3966">
            <w:pPr>
              <w:pStyle w:val="DHHSbody"/>
              <w:rPr>
                <w:rFonts w:cs="Arial"/>
                <w:color w:val="000000"/>
                <w:shd w:val="clear" w:color="auto" w:fill="FFFFFF"/>
                <w:lang w:eastAsia="en-US"/>
              </w:rPr>
            </w:pPr>
            <w:r>
              <w:rPr>
                <w:rFonts w:cs="Arial"/>
                <w:color w:val="000000"/>
                <w:shd w:val="clear" w:color="auto" w:fill="FFFFFF"/>
                <w:lang w:eastAsia="en-US"/>
              </w:rPr>
              <w:t>1</w:t>
            </w:r>
            <w:r w:rsidR="00CA2A64">
              <w:rPr>
                <w:rFonts w:cs="Arial"/>
                <w:color w:val="000000"/>
                <w:shd w:val="clear" w:color="auto" w:fill="FFFFFF"/>
                <w:lang w:eastAsia="en-US"/>
              </w:rPr>
              <w:t>-CCFP-</w:t>
            </w:r>
            <w:r>
              <w:rPr>
                <w:rFonts w:cs="Arial"/>
                <w:color w:val="000000"/>
                <w:shd w:val="clear" w:color="auto" w:fill="FFFFFF"/>
                <w:lang w:eastAsia="en-US"/>
              </w:rPr>
              <w:t>Expanded</w:t>
            </w:r>
            <w:r w:rsidR="00CA2A64">
              <w:rPr>
                <w:rFonts w:cs="Arial"/>
                <w:color w:val="000000"/>
                <w:shd w:val="clear" w:color="auto" w:fill="FFFFFF"/>
                <w:lang w:eastAsia="en-US"/>
              </w:rPr>
              <w:t xml:space="preserve"> Hours</w:t>
            </w:r>
          </w:p>
        </w:tc>
        <w:tc>
          <w:tcPr>
            <w:tcW w:w="1701" w:type="dxa"/>
            <w:tcBorders>
              <w:bottom w:val="single" w:sz="4" w:space="0" w:color="auto"/>
            </w:tcBorders>
          </w:tcPr>
          <w:p w14:paraId="5BAD37CE" w14:textId="08362AB7" w:rsidR="00CA2A64" w:rsidRPr="00FC4D22" w:rsidRDefault="00FC4D22" w:rsidP="000E3966">
            <w:pPr>
              <w:pStyle w:val="DHHSbody"/>
              <w:rPr>
                <w:rFonts w:cs="Arial"/>
                <w:i/>
                <w:iCs/>
                <w:color w:val="000000"/>
                <w:shd w:val="clear" w:color="auto" w:fill="FFFFFF"/>
                <w:lang w:eastAsia="en-US"/>
              </w:rPr>
            </w:pPr>
            <w:r w:rsidRPr="00FC4D22">
              <w:rPr>
                <w:rFonts w:cs="Arial"/>
                <w:i/>
                <w:iCs/>
                <w:color w:val="000000"/>
                <w:shd w:val="clear" w:color="auto" w:fill="FFFFFF"/>
                <w:lang w:eastAsia="en-US"/>
              </w:rPr>
              <w:t>(align with existing programs)</w:t>
            </w:r>
          </w:p>
        </w:tc>
        <w:tc>
          <w:tcPr>
            <w:tcW w:w="1488" w:type="dxa"/>
            <w:tcBorders>
              <w:bottom w:val="single" w:sz="4" w:space="0" w:color="auto"/>
            </w:tcBorders>
          </w:tcPr>
          <w:p w14:paraId="1F42CE80" w14:textId="28A83AAA" w:rsidR="00CA2A64" w:rsidRPr="00FC4D22" w:rsidRDefault="00FC4D22" w:rsidP="000E3966">
            <w:pPr>
              <w:rPr>
                <w:rFonts w:ascii="Arial" w:eastAsia="Times" w:hAnsi="Arial" w:cs="Arial"/>
                <w:i/>
                <w:iCs/>
                <w:color w:val="000000"/>
                <w:sz w:val="20"/>
                <w:szCs w:val="20"/>
                <w:shd w:val="clear" w:color="auto" w:fill="FFFFFF"/>
                <w:lang w:eastAsia="en-US"/>
              </w:rPr>
            </w:pPr>
            <w:r w:rsidRPr="00FC4D22">
              <w:rPr>
                <w:rFonts w:ascii="Arial" w:eastAsia="Times" w:hAnsi="Arial" w:cs="Arial"/>
                <w:i/>
                <w:iCs/>
                <w:color w:val="000000"/>
                <w:sz w:val="20"/>
                <w:szCs w:val="20"/>
                <w:shd w:val="clear" w:color="auto" w:fill="FFFFFF"/>
                <w:lang w:eastAsia="en-US"/>
              </w:rPr>
              <w:t>(align with existing programs)</w:t>
            </w:r>
          </w:p>
        </w:tc>
        <w:tc>
          <w:tcPr>
            <w:tcW w:w="1818" w:type="dxa"/>
            <w:tcBorders>
              <w:bottom w:val="single" w:sz="4" w:space="0" w:color="auto"/>
            </w:tcBorders>
          </w:tcPr>
          <w:p w14:paraId="60F8D738" w14:textId="0D8B00BE" w:rsidR="00CA2A64" w:rsidRPr="00FC4D22" w:rsidRDefault="00FC4D22" w:rsidP="000E3966">
            <w:pPr>
              <w:pStyle w:val="DHHSbody"/>
              <w:rPr>
                <w:rFonts w:cs="Arial"/>
                <w:i/>
                <w:iCs/>
                <w:color w:val="000000"/>
                <w:shd w:val="clear" w:color="auto" w:fill="FFFFFF"/>
                <w:lang w:eastAsia="en-US"/>
              </w:rPr>
            </w:pPr>
            <w:r w:rsidRPr="00FC4D22">
              <w:rPr>
                <w:rFonts w:cs="Arial"/>
                <w:i/>
                <w:iCs/>
                <w:color w:val="000000"/>
                <w:shd w:val="clear" w:color="auto" w:fill="FFFFFF"/>
                <w:lang w:eastAsia="en-US"/>
              </w:rPr>
              <w:t>(align with existing programs)</w:t>
            </w:r>
          </w:p>
        </w:tc>
        <w:tc>
          <w:tcPr>
            <w:tcW w:w="1510" w:type="dxa"/>
            <w:tcBorders>
              <w:bottom w:val="single" w:sz="4" w:space="0" w:color="auto"/>
            </w:tcBorders>
          </w:tcPr>
          <w:p w14:paraId="45656D90" w14:textId="2B483E4E" w:rsidR="00CA2A64" w:rsidRPr="00DF2CE2" w:rsidRDefault="00CA2A64" w:rsidP="000E3966">
            <w:pPr>
              <w:pStyle w:val="DHHSbody"/>
              <w:rPr>
                <w:rFonts w:cs="Arial"/>
                <w:color w:val="000000"/>
                <w:shd w:val="clear" w:color="auto" w:fill="FFFFFF"/>
                <w:lang w:eastAsia="en-US"/>
              </w:rPr>
            </w:pPr>
            <w:r>
              <w:rPr>
                <w:rFonts w:cs="Arial"/>
                <w:color w:val="000000"/>
                <w:shd w:val="clear" w:color="auto" w:fill="FFFFFF"/>
                <w:lang w:eastAsia="en-US"/>
              </w:rPr>
              <w:t>Public Health Emergency</w:t>
            </w:r>
          </w:p>
        </w:tc>
        <w:tc>
          <w:tcPr>
            <w:tcW w:w="1276" w:type="dxa"/>
            <w:tcBorders>
              <w:bottom w:val="single" w:sz="4" w:space="0" w:color="auto"/>
            </w:tcBorders>
          </w:tcPr>
          <w:p w14:paraId="5F290E91" w14:textId="5D449656" w:rsidR="00CA2A64" w:rsidRPr="00DF2CE2" w:rsidRDefault="00FC4D22" w:rsidP="000E3966">
            <w:pPr>
              <w:pStyle w:val="DHHSbody"/>
              <w:rPr>
                <w:rFonts w:cs="Arial"/>
                <w:color w:val="000000"/>
                <w:shd w:val="clear" w:color="auto" w:fill="FFFFFF"/>
                <w:lang w:eastAsia="en-US"/>
              </w:rPr>
            </w:pPr>
            <w:r w:rsidRPr="00FC4D22">
              <w:rPr>
                <w:rFonts w:cs="Arial"/>
                <w:i/>
                <w:iCs/>
                <w:color w:val="000000"/>
                <w:shd w:val="clear" w:color="auto" w:fill="FFFFFF"/>
                <w:lang w:eastAsia="en-US"/>
              </w:rPr>
              <w:t>(align with existing programs)</w:t>
            </w:r>
          </w:p>
        </w:tc>
        <w:tc>
          <w:tcPr>
            <w:tcW w:w="1276" w:type="dxa"/>
            <w:tcBorders>
              <w:bottom w:val="single" w:sz="4" w:space="0" w:color="auto"/>
            </w:tcBorders>
          </w:tcPr>
          <w:p w14:paraId="4520C809" w14:textId="36971670" w:rsidR="00CA2A64" w:rsidRPr="00DF2CE2" w:rsidRDefault="00CA2A64" w:rsidP="000E3966">
            <w:pPr>
              <w:pStyle w:val="DHHSbody"/>
              <w:rPr>
                <w:rFonts w:cs="Arial"/>
                <w:color w:val="000000"/>
                <w:shd w:val="clear" w:color="auto" w:fill="FFFFFF"/>
                <w:lang w:eastAsia="en-US"/>
              </w:rPr>
            </w:pPr>
            <w:r>
              <w:rPr>
                <w:rFonts w:cs="Arial"/>
                <w:color w:val="000000"/>
                <w:shd w:val="clear" w:color="auto" w:fill="FFFFFF"/>
                <w:lang w:eastAsia="en-US"/>
              </w:rPr>
              <w:t>01/11/2020</w:t>
            </w:r>
          </w:p>
        </w:tc>
      </w:tr>
    </w:tbl>
    <w:p w14:paraId="3F38DB70" w14:textId="77777777" w:rsidR="00CA2A64" w:rsidRDefault="00CA2A64" w:rsidP="00CA2A64"/>
    <w:tbl>
      <w:tblPr>
        <w:tblStyle w:val="TableGrid"/>
        <w:tblW w:w="10516" w:type="dxa"/>
        <w:tblLayout w:type="fixed"/>
        <w:tblLook w:val="04A0" w:firstRow="1" w:lastRow="0" w:firstColumn="1" w:lastColumn="0" w:noHBand="0" w:noVBand="1"/>
      </w:tblPr>
      <w:tblGrid>
        <w:gridCol w:w="1447"/>
        <w:gridCol w:w="1701"/>
        <w:gridCol w:w="1488"/>
        <w:gridCol w:w="1818"/>
        <w:gridCol w:w="1510"/>
        <w:gridCol w:w="1276"/>
        <w:gridCol w:w="1276"/>
      </w:tblGrid>
      <w:tr w:rsidR="001E6E2B" w:rsidRPr="00DF2CE2" w14:paraId="0A1263FB" w14:textId="77777777" w:rsidTr="00234470">
        <w:tc>
          <w:tcPr>
            <w:tcW w:w="1447" w:type="dxa"/>
            <w:tcBorders>
              <w:left w:val="single" w:sz="4" w:space="0" w:color="auto"/>
              <w:bottom w:val="single" w:sz="4" w:space="0" w:color="auto"/>
              <w:right w:val="single" w:sz="4" w:space="0" w:color="auto"/>
            </w:tcBorders>
            <w:shd w:val="clear" w:color="auto" w:fill="D9E2F3"/>
          </w:tcPr>
          <w:p w14:paraId="3D6CA473" w14:textId="77777777" w:rsidR="001E6E2B" w:rsidRPr="00DF2CE2" w:rsidRDefault="001E6E2B" w:rsidP="001E2A27">
            <w:pPr>
              <w:pStyle w:val="DHHSbody"/>
              <w:rPr>
                <w:b/>
              </w:rPr>
            </w:pPr>
            <w:r w:rsidRPr="00DF2CE2">
              <w:rPr>
                <w:b/>
              </w:rPr>
              <w:t>Description</w:t>
            </w:r>
          </w:p>
        </w:tc>
        <w:tc>
          <w:tcPr>
            <w:tcW w:w="1701" w:type="dxa"/>
            <w:tcBorders>
              <w:left w:val="single" w:sz="4" w:space="0" w:color="auto"/>
              <w:bottom w:val="single" w:sz="4" w:space="0" w:color="auto"/>
              <w:right w:val="single" w:sz="4" w:space="0" w:color="auto"/>
            </w:tcBorders>
            <w:shd w:val="clear" w:color="auto" w:fill="D9E2F3"/>
          </w:tcPr>
          <w:p w14:paraId="0BED9F94" w14:textId="77777777" w:rsidR="001E6E2B" w:rsidRPr="00DF2CE2" w:rsidRDefault="001E6E2B" w:rsidP="001E2A27">
            <w:pPr>
              <w:pStyle w:val="DHHSbody"/>
              <w:rPr>
                <w:b/>
              </w:rPr>
            </w:pPr>
            <w:r w:rsidRPr="00DF2CE2">
              <w:rPr>
                <w:b/>
              </w:rPr>
              <w:t>Classification</w:t>
            </w:r>
          </w:p>
        </w:tc>
        <w:tc>
          <w:tcPr>
            <w:tcW w:w="1488" w:type="dxa"/>
            <w:tcBorders>
              <w:left w:val="single" w:sz="4" w:space="0" w:color="auto"/>
              <w:bottom w:val="single" w:sz="4" w:space="0" w:color="auto"/>
              <w:right w:val="single" w:sz="4" w:space="0" w:color="auto"/>
            </w:tcBorders>
            <w:shd w:val="clear" w:color="auto" w:fill="D9E2F3"/>
          </w:tcPr>
          <w:p w14:paraId="360FB567" w14:textId="0F752BF5" w:rsidR="001E6E2B" w:rsidRPr="00DF2CE2" w:rsidRDefault="001E6E2B" w:rsidP="001E2A27">
            <w:pPr>
              <w:pStyle w:val="DHHSbody"/>
              <w:rPr>
                <w:b/>
              </w:rPr>
            </w:pPr>
            <w:r w:rsidRPr="00DF2CE2">
              <w:rPr>
                <w:b/>
              </w:rPr>
              <w:t>Prog</w:t>
            </w:r>
            <w:r w:rsidR="00234470">
              <w:rPr>
                <w:b/>
              </w:rPr>
              <w:t xml:space="preserve"> </w:t>
            </w:r>
            <w:r w:rsidRPr="00DF2CE2">
              <w:rPr>
                <w:b/>
              </w:rPr>
              <w:t>Type</w:t>
            </w:r>
          </w:p>
        </w:tc>
        <w:tc>
          <w:tcPr>
            <w:tcW w:w="1818" w:type="dxa"/>
            <w:tcBorders>
              <w:left w:val="single" w:sz="4" w:space="0" w:color="auto"/>
              <w:bottom w:val="single" w:sz="4" w:space="0" w:color="auto"/>
              <w:right w:val="single" w:sz="4" w:space="0" w:color="auto"/>
            </w:tcBorders>
            <w:shd w:val="clear" w:color="auto" w:fill="D9E2F3"/>
          </w:tcPr>
          <w:p w14:paraId="13AEF295" w14:textId="77777777" w:rsidR="001E6E2B" w:rsidRPr="00DF2CE2" w:rsidRDefault="001E6E2B" w:rsidP="001E2A27">
            <w:pPr>
              <w:pStyle w:val="DHHSbody"/>
              <w:rPr>
                <w:b/>
              </w:rPr>
            </w:pPr>
            <w:r w:rsidRPr="00DF2CE2">
              <w:rPr>
                <w:b/>
              </w:rPr>
              <w:t>Target Population</w:t>
            </w:r>
          </w:p>
        </w:tc>
        <w:tc>
          <w:tcPr>
            <w:tcW w:w="1510" w:type="dxa"/>
            <w:tcBorders>
              <w:left w:val="single" w:sz="4" w:space="0" w:color="auto"/>
              <w:bottom w:val="single" w:sz="4" w:space="0" w:color="auto"/>
              <w:right w:val="single" w:sz="4" w:space="0" w:color="auto"/>
            </w:tcBorders>
            <w:shd w:val="clear" w:color="auto" w:fill="D9E2F3"/>
          </w:tcPr>
          <w:p w14:paraId="399D0084" w14:textId="77777777" w:rsidR="001E6E2B" w:rsidRPr="00DF2CE2" w:rsidRDefault="001E6E2B" w:rsidP="001E2A27">
            <w:pPr>
              <w:pStyle w:val="DHHSbody"/>
              <w:rPr>
                <w:b/>
              </w:rPr>
            </w:pPr>
            <w:r w:rsidRPr="00DF2CE2">
              <w:rPr>
                <w:b/>
              </w:rPr>
              <w:t>Fund Source</w:t>
            </w:r>
          </w:p>
        </w:tc>
        <w:tc>
          <w:tcPr>
            <w:tcW w:w="1276" w:type="dxa"/>
            <w:tcBorders>
              <w:left w:val="single" w:sz="4" w:space="0" w:color="auto"/>
              <w:bottom w:val="single" w:sz="4" w:space="0" w:color="auto"/>
              <w:right w:val="single" w:sz="4" w:space="0" w:color="auto"/>
            </w:tcBorders>
            <w:shd w:val="clear" w:color="auto" w:fill="D9E2F3"/>
          </w:tcPr>
          <w:p w14:paraId="57299F3E" w14:textId="77777777" w:rsidR="001E6E2B" w:rsidRPr="00DF2CE2" w:rsidRDefault="001E6E2B" w:rsidP="001E2A27">
            <w:pPr>
              <w:pStyle w:val="DHHSbody"/>
              <w:rPr>
                <w:b/>
              </w:rPr>
            </w:pPr>
            <w:r w:rsidRPr="00DF2CE2">
              <w:rPr>
                <w:b/>
              </w:rPr>
              <w:t>AMHS</w:t>
            </w:r>
          </w:p>
        </w:tc>
        <w:tc>
          <w:tcPr>
            <w:tcW w:w="1276" w:type="dxa"/>
            <w:tcBorders>
              <w:left w:val="single" w:sz="4" w:space="0" w:color="auto"/>
              <w:bottom w:val="single" w:sz="4" w:space="0" w:color="auto"/>
            </w:tcBorders>
            <w:shd w:val="clear" w:color="auto" w:fill="D9E2F3"/>
          </w:tcPr>
          <w:p w14:paraId="72CEFED0" w14:textId="77777777" w:rsidR="001E6E2B" w:rsidRPr="00DF2CE2" w:rsidRDefault="001E6E2B" w:rsidP="001E2A27">
            <w:pPr>
              <w:pStyle w:val="DHHSbody"/>
              <w:rPr>
                <w:b/>
              </w:rPr>
            </w:pPr>
            <w:r w:rsidRPr="00DF2CE2">
              <w:rPr>
                <w:b/>
              </w:rPr>
              <w:t>Start Date</w:t>
            </w:r>
          </w:p>
        </w:tc>
      </w:tr>
      <w:tr w:rsidR="00FC4D22" w:rsidRPr="00DF2CE2" w14:paraId="6ABBC2EB" w14:textId="77777777" w:rsidTr="00206D93">
        <w:tc>
          <w:tcPr>
            <w:tcW w:w="1447" w:type="dxa"/>
          </w:tcPr>
          <w:p w14:paraId="7E9255BE" w14:textId="6364AFCC" w:rsidR="00FC4D22" w:rsidRPr="00DF2CE2" w:rsidRDefault="00FC4D22" w:rsidP="00FC4D22">
            <w:pPr>
              <w:pStyle w:val="DHHSbody"/>
              <w:rPr>
                <w:rFonts w:cs="Arial"/>
                <w:color w:val="000000"/>
                <w:shd w:val="clear" w:color="auto" w:fill="FFFFFF"/>
                <w:lang w:eastAsia="en-US"/>
              </w:rPr>
            </w:pPr>
            <w:r>
              <w:rPr>
                <w:rFonts w:cs="Arial"/>
                <w:color w:val="000000"/>
                <w:shd w:val="clear" w:color="auto" w:fill="FFFFFF"/>
                <w:lang w:eastAsia="en-US"/>
              </w:rPr>
              <w:t>3-CCFP-Secondary CL</w:t>
            </w:r>
          </w:p>
        </w:tc>
        <w:tc>
          <w:tcPr>
            <w:tcW w:w="1701" w:type="dxa"/>
          </w:tcPr>
          <w:p w14:paraId="4EF057C1" w14:textId="0EEF6E92" w:rsidR="00FC4D22" w:rsidRPr="00DF2CE2" w:rsidRDefault="00FC4D22" w:rsidP="00FC4D22">
            <w:pPr>
              <w:pStyle w:val="DHHSbody"/>
              <w:rPr>
                <w:rFonts w:cs="Arial"/>
                <w:color w:val="000000"/>
                <w:shd w:val="clear" w:color="auto" w:fill="FFFFFF"/>
                <w:lang w:eastAsia="en-US"/>
              </w:rPr>
            </w:pPr>
            <w:r w:rsidRPr="00FC4D22">
              <w:rPr>
                <w:rFonts w:cs="Arial"/>
                <w:i/>
                <w:iCs/>
                <w:color w:val="000000"/>
                <w:shd w:val="clear" w:color="auto" w:fill="FFFFFF"/>
                <w:lang w:eastAsia="en-US"/>
              </w:rPr>
              <w:t>(align with existing programs)</w:t>
            </w:r>
          </w:p>
        </w:tc>
        <w:tc>
          <w:tcPr>
            <w:tcW w:w="1488" w:type="dxa"/>
          </w:tcPr>
          <w:p w14:paraId="75635928" w14:textId="29D8B03F" w:rsidR="00FC4D22" w:rsidRPr="00DF2CE2" w:rsidRDefault="00FC4D22" w:rsidP="00FC4D22">
            <w:pPr>
              <w:rPr>
                <w:rFonts w:ascii="Arial" w:eastAsia="Times" w:hAnsi="Arial" w:cs="Arial"/>
                <w:color w:val="000000"/>
                <w:sz w:val="20"/>
                <w:szCs w:val="20"/>
                <w:shd w:val="clear" w:color="auto" w:fill="FFFFFF"/>
                <w:lang w:eastAsia="en-US"/>
              </w:rPr>
            </w:pPr>
            <w:r w:rsidRPr="00FC4D22">
              <w:rPr>
                <w:rFonts w:ascii="Arial" w:eastAsia="Times" w:hAnsi="Arial" w:cs="Arial"/>
                <w:i/>
                <w:iCs/>
                <w:color w:val="000000"/>
                <w:sz w:val="20"/>
                <w:szCs w:val="20"/>
                <w:shd w:val="clear" w:color="auto" w:fill="FFFFFF"/>
                <w:lang w:eastAsia="en-US"/>
              </w:rPr>
              <w:t>(align with existing programs)</w:t>
            </w:r>
          </w:p>
        </w:tc>
        <w:tc>
          <w:tcPr>
            <w:tcW w:w="1818" w:type="dxa"/>
          </w:tcPr>
          <w:p w14:paraId="7F604FC2" w14:textId="63A3A205" w:rsidR="00FC4D22" w:rsidRPr="00DF2CE2" w:rsidRDefault="00FC4D22" w:rsidP="00FC4D22">
            <w:pPr>
              <w:pStyle w:val="DHHSbody"/>
              <w:rPr>
                <w:rFonts w:cs="Arial"/>
                <w:color w:val="000000"/>
                <w:shd w:val="clear" w:color="auto" w:fill="FFFFFF"/>
                <w:lang w:eastAsia="en-US"/>
              </w:rPr>
            </w:pPr>
            <w:r w:rsidRPr="00FC4D22">
              <w:rPr>
                <w:rFonts w:cs="Arial"/>
                <w:i/>
                <w:iCs/>
                <w:color w:val="000000"/>
                <w:shd w:val="clear" w:color="auto" w:fill="FFFFFF"/>
                <w:lang w:eastAsia="en-US"/>
              </w:rPr>
              <w:t>(align with existing programs)</w:t>
            </w:r>
          </w:p>
        </w:tc>
        <w:tc>
          <w:tcPr>
            <w:tcW w:w="1510" w:type="dxa"/>
          </w:tcPr>
          <w:p w14:paraId="2CE0CBF9" w14:textId="5F1120F9" w:rsidR="00FC4D22" w:rsidRPr="00DF2CE2" w:rsidRDefault="00FC4D22" w:rsidP="00FC4D22">
            <w:pPr>
              <w:pStyle w:val="DHHSbody"/>
              <w:rPr>
                <w:rFonts w:cs="Arial"/>
                <w:color w:val="000000"/>
                <w:shd w:val="clear" w:color="auto" w:fill="FFFFFF"/>
                <w:lang w:eastAsia="en-US"/>
              </w:rPr>
            </w:pPr>
            <w:r>
              <w:rPr>
                <w:rFonts w:cs="Arial"/>
                <w:color w:val="000000"/>
                <w:shd w:val="clear" w:color="auto" w:fill="FFFFFF"/>
                <w:lang w:eastAsia="en-US"/>
              </w:rPr>
              <w:t>Public Health Emergency</w:t>
            </w:r>
          </w:p>
        </w:tc>
        <w:tc>
          <w:tcPr>
            <w:tcW w:w="1276" w:type="dxa"/>
          </w:tcPr>
          <w:p w14:paraId="46FDEB18" w14:textId="1A62B778" w:rsidR="00FC4D22" w:rsidRPr="00DF2CE2" w:rsidRDefault="00FC4D22" w:rsidP="00FC4D22">
            <w:pPr>
              <w:pStyle w:val="DHHSbody"/>
              <w:rPr>
                <w:rFonts w:cs="Arial"/>
                <w:color w:val="000000"/>
                <w:shd w:val="clear" w:color="auto" w:fill="FFFFFF"/>
                <w:lang w:eastAsia="en-US"/>
              </w:rPr>
            </w:pPr>
            <w:r w:rsidRPr="00FC4D22">
              <w:rPr>
                <w:rFonts w:cs="Arial"/>
                <w:i/>
                <w:iCs/>
                <w:color w:val="000000"/>
                <w:shd w:val="clear" w:color="auto" w:fill="FFFFFF"/>
                <w:lang w:eastAsia="en-US"/>
              </w:rPr>
              <w:t>(align with existing programs)</w:t>
            </w:r>
          </w:p>
        </w:tc>
        <w:tc>
          <w:tcPr>
            <w:tcW w:w="1276" w:type="dxa"/>
          </w:tcPr>
          <w:p w14:paraId="1630D72E" w14:textId="19A52822" w:rsidR="00FC4D22" w:rsidRPr="00DF2CE2" w:rsidRDefault="00FC4D22" w:rsidP="00FC4D22">
            <w:pPr>
              <w:pStyle w:val="DHHSbody"/>
              <w:rPr>
                <w:rFonts w:cs="Arial"/>
                <w:color w:val="000000"/>
                <w:shd w:val="clear" w:color="auto" w:fill="FFFFFF"/>
                <w:lang w:eastAsia="en-US"/>
              </w:rPr>
            </w:pPr>
            <w:r>
              <w:rPr>
                <w:rFonts w:cs="Arial"/>
                <w:color w:val="000000"/>
                <w:shd w:val="clear" w:color="auto" w:fill="FFFFFF"/>
                <w:lang w:eastAsia="en-US"/>
              </w:rPr>
              <w:t>01/11/2020</w:t>
            </w:r>
          </w:p>
        </w:tc>
      </w:tr>
      <w:bookmarkEnd w:id="5"/>
    </w:tbl>
    <w:p w14:paraId="7983C408" w14:textId="657333C4" w:rsidR="001E6E2B" w:rsidRDefault="001E6E2B"/>
    <w:tbl>
      <w:tblPr>
        <w:tblStyle w:val="TableGrid"/>
        <w:tblW w:w="10516" w:type="dxa"/>
        <w:tblLayout w:type="fixed"/>
        <w:tblLook w:val="04A0" w:firstRow="1" w:lastRow="0" w:firstColumn="1" w:lastColumn="0" w:noHBand="0" w:noVBand="1"/>
      </w:tblPr>
      <w:tblGrid>
        <w:gridCol w:w="1447"/>
        <w:gridCol w:w="1701"/>
        <w:gridCol w:w="1488"/>
        <w:gridCol w:w="1818"/>
        <w:gridCol w:w="1510"/>
        <w:gridCol w:w="1276"/>
        <w:gridCol w:w="1276"/>
      </w:tblGrid>
      <w:tr w:rsidR="00234470" w:rsidRPr="00DF2CE2" w14:paraId="6DFAD11B" w14:textId="77777777" w:rsidTr="000E3966">
        <w:tc>
          <w:tcPr>
            <w:tcW w:w="1447" w:type="dxa"/>
            <w:tcBorders>
              <w:left w:val="single" w:sz="4" w:space="0" w:color="auto"/>
              <w:bottom w:val="single" w:sz="4" w:space="0" w:color="auto"/>
              <w:right w:val="single" w:sz="4" w:space="0" w:color="auto"/>
            </w:tcBorders>
            <w:shd w:val="clear" w:color="auto" w:fill="D9E2F3"/>
          </w:tcPr>
          <w:p w14:paraId="4F1CCA67" w14:textId="77777777" w:rsidR="00234470" w:rsidRPr="00DF2CE2" w:rsidRDefault="00234470" w:rsidP="000E3966">
            <w:pPr>
              <w:pStyle w:val="DHHSbody"/>
              <w:rPr>
                <w:b/>
              </w:rPr>
            </w:pPr>
            <w:r w:rsidRPr="00DF2CE2">
              <w:rPr>
                <w:b/>
              </w:rPr>
              <w:t>Description</w:t>
            </w:r>
          </w:p>
        </w:tc>
        <w:tc>
          <w:tcPr>
            <w:tcW w:w="1701" w:type="dxa"/>
            <w:tcBorders>
              <w:left w:val="single" w:sz="4" w:space="0" w:color="auto"/>
              <w:bottom w:val="single" w:sz="4" w:space="0" w:color="auto"/>
              <w:right w:val="single" w:sz="4" w:space="0" w:color="auto"/>
            </w:tcBorders>
            <w:shd w:val="clear" w:color="auto" w:fill="D9E2F3"/>
          </w:tcPr>
          <w:p w14:paraId="1E8DC243" w14:textId="77777777" w:rsidR="00234470" w:rsidRPr="00DF2CE2" w:rsidRDefault="00234470" w:rsidP="000E3966">
            <w:pPr>
              <w:pStyle w:val="DHHSbody"/>
              <w:rPr>
                <w:b/>
              </w:rPr>
            </w:pPr>
            <w:r w:rsidRPr="00DF2CE2">
              <w:rPr>
                <w:b/>
              </w:rPr>
              <w:t>Classification</w:t>
            </w:r>
          </w:p>
        </w:tc>
        <w:tc>
          <w:tcPr>
            <w:tcW w:w="1488" w:type="dxa"/>
            <w:tcBorders>
              <w:left w:val="single" w:sz="4" w:space="0" w:color="auto"/>
              <w:bottom w:val="single" w:sz="4" w:space="0" w:color="auto"/>
              <w:right w:val="single" w:sz="4" w:space="0" w:color="auto"/>
            </w:tcBorders>
            <w:shd w:val="clear" w:color="auto" w:fill="D9E2F3"/>
          </w:tcPr>
          <w:p w14:paraId="3F624CF2" w14:textId="77777777" w:rsidR="00234470" w:rsidRPr="00DF2CE2" w:rsidRDefault="00234470" w:rsidP="000E3966">
            <w:pPr>
              <w:pStyle w:val="DHHSbody"/>
              <w:rPr>
                <w:b/>
              </w:rPr>
            </w:pPr>
            <w:r w:rsidRPr="00DF2CE2">
              <w:rPr>
                <w:b/>
              </w:rPr>
              <w:t>Prog</w:t>
            </w:r>
            <w:r>
              <w:rPr>
                <w:b/>
              </w:rPr>
              <w:t xml:space="preserve"> </w:t>
            </w:r>
            <w:r w:rsidRPr="00DF2CE2">
              <w:rPr>
                <w:b/>
              </w:rPr>
              <w:t>Type</w:t>
            </w:r>
          </w:p>
        </w:tc>
        <w:tc>
          <w:tcPr>
            <w:tcW w:w="1818" w:type="dxa"/>
            <w:tcBorders>
              <w:left w:val="single" w:sz="4" w:space="0" w:color="auto"/>
              <w:bottom w:val="single" w:sz="4" w:space="0" w:color="auto"/>
              <w:right w:val="single" w:sz="4" w:space="0" w:color="auto"/>
            </w:tcBorders>
            <w:shd w:val="clear" w:color="auto" w:fill="D9E2F3"/>
          </w:tcPr>
          <w:p w14:paraId="392EBA21" w14:textId="77777777" w:rsidR="00234470" w:rsidRPr="00DF2CE2" w:rsidRDefault="00234470" w:rsidP="000E3966">
            <w:pPr>
              <w:pStyle w:val="DHHSbody"/>
              <w:rPr>
                <w:b/>
              </w:rPr>
            </w:pPr>
            <w:r w:rsidRPr="00DF2CE2">
              <w:rPr>
                <w:b/>
              </w:rPr>
              <w:t>Target Population</w:t>
            </w:r>
          </w:p>
        </w:tc>
        <w:tc>
          <w:tcPr>
            <w:tcW w:w="1510" w:type="dxa"/>
            <w:tcBorders>
              <w:left w:val="single" w:sz="4" w:space="0" w:color="auto"/>
              <w:bottom w:val="single" w:sz="4" w:space="0" w:color="auto"/>
              <w:right w:val="single" w:sz="4" w:space="0" w:color="auto"/>
            </w:tcBorders>
            <w:shd w:val="clear" w:color="auto" w:fill="D9E2F3"/>
          </w:tcPr>
          <w:p w14:paraId="50A75223" w14:textId="77777777" w:rsidR="00234470" w:rsidRPr="00DF2CE2" w:rsidRDefault="00234470" w:rsidP="000E3966">
            <w:pPr>
              <w:pStyle w:val="DHHSbody"/>
              <w:rPr>
                <w:b/>
              </w:rPr>
            </w:pPr>
            <w:r w:rsidRPr="00DF2CE2">
              <w:rPr>
                <w:b/>
              </w:rPr>
              <w:t>Fund Source</w:t>
            </w:r>
          </w:p>
        </w:tc>
        <w:tc>
          <w:tcPr>
            <w:tcW w:w="1276" w:type="dxa"/>
            <w:tcBorders>
              <w:left w:val="single" w:sz="4" w:space="0" w:color="auto"/>
              <w:bottom w:val="single" w:sz="4" w:space="0" w:color="auto"/>
              <w:right w:val="single" w:sz="4" w:space="0" w:color="auto"/>
            </w:tcBorders>
            <w:shd w:val="clear" w:color="auto" w:fill="D9E2F3"/>
          </w:tcPr>
          <w:p w14:paraId="3E06F3DD" w14:textId="77777777" w:rsidR="00234470" w:rsidRPr="00DF2CE2" w:rsidRDefault="00234470" w:rsidP="000E3966">
            <w:pPr>
              <w:pStyle w:val="DHHSbody"/>
              <w:rPr>
                <w:b/>
              </w:rPr>
            </w:pPr>
            <w:r w:rsidRPr="00DF2CE2">
              <w:rPr>
                <w:b/>
              </w:rPr>
              <w:t>AMHS</w:t>
            </w:r>
          </w:p>
        </w:tc>
        <w:tc>
          <w:tcPr>
            <w:tcW w:w="1276" w:type="dxa"/>
            <w:tcBorders>
              <w:left w:val="single" w:sz="4" w:space="0" w:color="auto"/>
              <w:bottom w:val="single" w:sz="4" w:space="0" w:color="auto"/>
            </w:tcBorders>
            <w:shd w:val="clear" w:color="auto" w:fill="D9E2F3"/>
          </w:tcPr>
          <w:p w14:paraId="2BC63563" w14:textId="77777777" w:rsidR="00234470" w:rsidRPr="00DF2CE2" w:rsidRDefault="00234470" w:rsidP="000E3966">
            <w:pPr>
              <w:pStyle w:val="DHHSbody"/>
              <w:rPr>
                <w:b/>
              </w:rPr>
            </w:pPr>
            <w:r w:rsidRPr="00DF2CE2">
              <w:rPr>
                <w:b/>
              </w:rPr>
              <w:t>Start Date</w:t>
            </w:r>
          </w:p>
        </w:tc>
      </w:tr>
      <w:tr w:rsidR="00FC4D22" w:rsidRPr="00DF2CE2" w14:paraId="447EC064" w14:textId="77777777" w:rsidTr="000E3966">
        <w:tc>
          <w:tcPr>
            <w:tcW w:w="1447" w:type="dxa"/>
            <w:tcBorders>
              <w:bottom w:val="single" w:sz="4" w:space="0" w:color="auto"/>
            </w:tcBorders>
          </w:tcPr>
          <w:p w14:paraId="4A34F736" w14:textId="7315102D" w:rsidR="00FC4D22" w:rsidRPr="00DF2CE2" w:rsidRDefault="00FC4D22" w:rsidP="00FC4D22">
            <w:pPr>
              <w:pStyle w:val="DHHSbody"/>
              <w:rPr>
                <w:rFonts w:cs="Arial"/>
                <w:color w:val="000000"/>
                <w:shd w:val="clear" w:color="auto" w:fill="FFFFFF"/>
                <w:lang w:eastAsia="en-US"/>
              </w:rPr>
            </w:pPr>
            <w:r>
              <w:rPr>
                <w:rFonts w:cs="Arial"/>
                <w:color w:val="000000"/>
                <w:shd w:val="clear" w:color="auto" w:fill="FFFFFF"/>
                <w:lang w:eastAsia="en-US"/>
              </w:rPr>
              <w:t>4-CCFP-Assertive outreach</w:t>
            </w:r>
          </w:p>
        </w:tc>
        <w:tc>
          <w:tcPr>
            <w:tcW w:w="1701" w:type="dxa"/>
            <w:tcBorders>
              <w:bottom w:val="single" w:sz="4" w:space="0" w:color="auto"/>
            </w:tcBorders>
          </w:tcPr>
          <w:p w14:paraId="6CFCBCF0" w14:textId="5FF064B9" w:rsidR="00FC4D22" w:rsidRPr="00DF2CE2" w:rsidRDefault="00FC4D22" w:rsidP="00FC4D22">
            <w:pPr>
              <w:pStyle w:val="DHHSbody"/>
              <w:rPr>
                <w:rFonts w:cs="Arial"/>
                <w:color w:val="000000"/>
                <w:shd w:val="clear" w:color="auto" w:fill="FFFFFF"/>
                <w:lang w:eastAsia="en-US"/>
              </w:rPr>
            </w:pPr>
            <w:r w:rsidRPr="00FC4D22">
              <w:rPr>
                <w:rFonts w:cs="Arial"/>
                <w:i/>
                <w:iCs/>
                <w:color w:val="000000"/>
                <w:shd w:val="clear" w:color="auto" w:fill="FFFFFF"/>
                <w:lang w:eastAsia="en-US"/>
              </w:rPr>
              <w:t>(align with existing programs)</w:t>
            </w:r>
          </w:p>
        </w:tc>
        <w:tc>
          <w:tcPr>
            <w:tcW w:w="1488" w:type="dxa"/>
            <w:tcBorders>
              <w:bottom w:val="single" w:sz="4" w:space="0" w:color="auto"/>
            </w:tcBorders>
          </w:tcPr>
          <w:p w14:paraId="36E939BA" w14:textId="69A0787A" w:rsidR="00FC4D22" w:rsidRPr="00DF2CE2" w:rsidRDefault="00FC4D22" w:rsidP="00FC4D22">
            <w:pPr>
              <w:rPr>
                <w:rFonts w:ascii="Arial" w:eastAsia="Times" w:hAnsi="Arial" w:cs="Arial"/>
                <w:color w:val="000000"/>
                <w:sz w:val="20"/>
                <w:szCs w:val="20"/>
                <w:shd w:val="clear" w:color="auto" w:fill="FFFFFF"/>
                <w:lang w:eastAsia="en-US"/>
              </w:rPr>
            </w:pPr>
            <w:r w:rsidRPr="00FC4D22">
              <w:rPr>
                <w:rFonts w:ascii="Arial" w:eastAsia="Times" w:hAnsi="Arial" w:cs="Arial"/>
                <w:i/>
                <w:iCs/>
                <w:color w:val="000000"/>
                <w:sz w:val="20"/>
                <w:szCs w:val="20"/>
                <w:shd w:val="clear" w:color="auto" w:fill="FFFFFF"/>
                <w:lang w:eastAsia="en-US"/>
              </w:rPr>
              <w:t>(align with existing programs)</w:t>
            </w:r>
          </w:p>
        </w:tc>
        <w:tc>
          <w:tcPr>
            <w:tcW w:w="1818" w:type="dxa"/>
            <w:tcBorders>
              <w:bottom w:val="single" w:sz="4" w:space="0" w:color="auto"/>
            </w:tcBorders>
          </w:tcPr>
          <w:p w14:paraId="2C5855D6" w14:textId="056338CB" w:rsidR="00FC4D22" w:rsidRPr="00DF2CE2" w:rsidRDefault="00FC4D22" w:rsidP="00FC4D22">
            <w:pPr>
              <w:pStyle w:val="DHHSbody"/>
              <w:rPr>
                <w:rFonts w:cs="Arial"/>
                <w:color w:val="000000"/>
                <w:shd w:val="clear" w:color="auto" w:fill="FFFFFF"/>
                <w:lang w:eastAsia="en-US"/>
              </w:rPr>
            </w:pPr>
            <w:r w:rsidRPr="00FC4D22">
              <w:rPr>
                <w:rFonts w:cs="Arial"/>
                <w:i/>
                <w:iCs/>
                <w:color w:val="000000"/>
                <w:shd w:val="clear" w:color="auto" w:fill="FFFFFF"/>
                <w:lang w:eastAsia="en-US"/>
              </w:rPr>
              <w:t>(align with existing programs)</w:t>
            </w:r>
          </w:p>
        </w:tc>
        <w:tc>
          <w:tcPr>
            <w:tcW w:w="1510" w:type="dxa"/>
            <w:tcBorders>
              <w:bottom w:val="single" w:sz="4" w:space="0" w:color="auto"/>
            </w:tcBorders>
          </w:tcPr>
          <w:p w14:paraId="53E1AE3C" w14:textId="22EC1F24" w:rsidR="00FC4D22" w:rsidRPr="00DF2CE2" w:rsidRDefault="00FC4D22" w:rsidP="00FC4D22">
            <w:pPr>
              <w:pStyle w:val="DHHSbody"/>
              <w:rPr>
                <w:rFonts w:cs="Arial"/>
                <w:color w:val="000000"/>
                <w:shd w:val="clear" w:color="auto" w:fill="FFFFFF"/>
                <w:lang w:eastAsia="en-US"/>
              </w:rPr>
            </w:pPr>
            <w:r>
              <w:rPr>
                <w:rFonts w:cs="Arial"/>
                <w:color w:val="000000"/>
                <w:shd w:val="clear" w:color="auto" w:fill="FFFFFF"/>
                <w:lang w:eastAsia="en-US"/>
              </w:rPr>
              <w:t>Public Health Emergency</w:t>
            </w:r>
          </w:p>
        </w:tc>
        <w:tc>
          <w:tcPr>
            <w:tcW w:w="1276" w:type="dxa"/>
            <w:tcBorders>
              <w:bottom w:val="single" w:sz="4" w:space="0" w:color="auto"/>
            </w:tcBorders>
          </w:tcPr>
          <w:p w14:paraId="13E6162E" w14:textId="020A4B8D" w:rsidR="00FC4D22" w:rsidRPr="00DF2CE2" w:rsidRDefault="00FC4D22" w:rsidP="00FC4D22">
            <w:pPr>
              <w:pStyle w:val="DHHSbody"/>
              <w:rPr>
                <w:rFonts w:cs="Arial"/>
                <w:color w:val="000000"/>
                <w:shd w:val="clear" w:color="auto" w:fill="FFFFFF"/>
                <w:lang w:eastAsia="en-US"/>
              </w:rPr>
            </w:pPr>
            <w:r w:rsidRPr="00FC4D22">
              <w:rPr>
                <w:rFonts w:cs="Arial"/>
                <w:i/>
                <w:iCs/>
                <w:color w:val="000000"/>
                <w:shd w:val="clear" w:color="auto" w:fill="FFFFFF"/>
                <w:lang w:eastAsia="en-US"/>
              </w:rPr>
              <w:t>(align with existing programs)</w:t>
            </w:r>
          </w:p>
        </w:tc>
        <w:tc>
          <w:tcPr>
            <w:tcW w:w="1276" w:type="dxa"/>
            <w:tcBorders>
              <w:bottom w:val="single" w:sz="4" w:space="0" w:color="auto"/>
            </w:tcBorders>
          </w:tcPr>
          <w:p w14:paraId="7CEDA924" w14:textId="7FABCA28" w:rsidR="00FC4D22" w:rsidRPr="00DF2CE2" w:rsidRDefault="00FC4D22" w:rsidP="00FC4D22">
            <w:pPr>
              <w:pStyle w:val="DHHSbody"/>
              <w:rPr>
                <w:rFonts w:cs="Arial"/>
                <w:color w:val="000000"/>
                <w:shd w:val="clear" w:color="auto" w:fill="FFFFFF"/>
                <w:lang w:eastAsia="en-US"/>
              </w:rPr>
            </w:pPr>
            <w:r>
              <w:rPr>
                <w:rFonts w:cs="Arial"/>
                <w:color w:val="000000"/>
                <w:shd w:val="clear" w:color="auto" w:fill="FFFFFF"/>
                <w:lang w:eastAsia="en-US"/>
              </w:rPr>
              <w:t>01/11/2020</w:t>
            </w:r>
          </w:p>
        </w:tc>
      </w:tr>
    </w:tbl>
    <w:p w14:paraId="23F3035B" w14:textId="1EC419E1" w:rsidR="003D3D2F" w:rsidRDefault="008D5149" w:rsidP="003D3D2F">
      <w:pPr>
        <w:pStyle w:val="Heading2"/>
      </w:pPr>
      <w:r>
        <w:t>Program</w:t>
      </w:r>
      <w:r w:rsidR="003D3D2F">
        <w:t xml:space="preserve"> end date  </w:t>
      </w:r>
    </w:p>
    <w:p w14:paraId="1EC21904" w14:textId="30DB6F21" w:rsidR="003D3D2F" w:rsidRDefault="00FC4D22" w:rsidP="00295E3A">
      <w:pPr>
        <w:pStyle w:val="DHHSbody"/>
        <w:jc w:val="both"/>
      </w:pPr>
      <w:r w:rsidRPr="00A45ED9">
        <w:t>Service hour activity is to be reported</w:t>
      </w:r>
      <w:r w:rsidR="001F1D62">
        <w:t xml:space="preserve"> against these programs</w:t>
      </w:r>
      <w:r w:rsidRPr="00A45ED9">
        <w:t xml:space="preserve"> from 01/11/2020-</w:t>
      </w:r>
      <w:r w:rsidR="007F4402">
        <w:t>30</w:t>
      </w:r>
      <w:r w:rsidRPr="00A45ED9">
        <w:t>/0</w:t>
      </w:r>
      <w:r w:rsidR="007F4402">
        <w:t>6</w:t>
      </w:r>
      <w:r w:rsidRPr="00A45ED9">
        <w:t>/2021</w:t>
      </w:r>
      <w:r w:rsidR="00A45ED9" w:rsidRPr="00A45ED9">
        <w:t xml:space="preserve">.  </w:t>
      </w:r>
      <w:r w:rsidR="00BE6EB2">
        <w:t xml:space="preserve">In </w:t>
      </w:r>
      <w:r w:rsidR="00A45ED9" w:rsidRPr="00A45ED9">
        <w:t xml:space="preserve">July 2021 CMI- coordinators </w:t>
      </w:r>
      <w:r w:rsidRPr="00A45ED9">
        <w:t>must end</w:t>
      </w:r>
      <w:r w:rsidR="00A45ED9" w:rsidRPr="00A45ED9">
        <w:t xml:space="preserve"> these CCFP programs, with the end date</w:t>
      </w:r>
      <w:r w:rsidRPr="00A45ED9">
        <w:t xml:space="preserve"> as at </w:t>
      </w:r>
      <w:r w:rsidR="007F4402">
        <w:t>30</w:t>
      </w:r>
      <w:r w:rsidRPr="00A45ED9">
        <w:t>/0</w:t>
      </w:r>
      <w:r w:rsidR="007F4402">
        <w:t>6</w:t>
      </w:r>
      <w:r w:rsidRPr="00A45ED9">
        <w:t>/2021.</w:t>
      </w:r>
    </w:p>
    <w:p w14:paraId="629A99E0" w14:textId="77777777" w:rsidR="00206D93" w:rsidRPr="00A45ED9" w:rsidRDefault="00206D93" w:rsidP="00295E3A">
      <w:pPr>
        <w:pStyle w:val="DHHSbody"/>
        <w:jc w:val="both"/>
      </w:pPr>
    </w:p>
    <w:p w14:paraId="41F12F77" w14:textId="77777777" w:rsidR="00B20169" w:rsidRPr="00E91666" w:rsidRDefault="00B20169" w:rsidP="00B20169">
      <w:pPr>
        <w:pStyle w:val="Heading2"/>
      </w:pPr>
      <w:r>
        <w:t>Further information</w:t>
      </w:r>
    </w:p>
    <w:p w14:paraId="575F6765" w14:textId="5E519AAD" w:rsidR="00D253E9" w:rsidRDefault="003D3D2F" w:rsidP="00A45ED9">
      <w:pPr>
        <w:pStyle w:val="Healthbody"/>
        <w:spacing w:after="0" w:line="360" w:lineRule="auto"/>
        <w:jc w:val="both"/>
        <w:rPr>
          <w:rFonts w:eastAsia="Times"/>
          <w:szCs w:val="20"/>
        </w:rPr>
      </w:pPr>
      <w:r w:rsidRPr="00A45ED9">
        <w:rPr>
          <w:rFonts w:eastAsia="Times"/>
          <w:szCs w:val="20"/>
        </w:rPr>
        <w:t xml:space="preserve">This bulletin has been developed by the </w:t>
      </w:r>
      <w:r w:rsidR="006E155E">
        <w:rPr>
          <w:rFonts w:eastAsia="Times"/>
          <w:szCs w:val="20"/>
        </w:rPr>
        <w:t>Mental Health and Drugs Data team</w:t>
      </w:r>
      <w:r w:rsidRPr="00A45ED9">
        <w:rPr>
          <w:rFonts w:eastAsia="Times"/>
          <w:szCs w:val="20"/>
        </w:rPr>
        <w:t>. For further information, p</w:t>
      </w:r>
      <w:r w:rsidR="00B20169" w:rsidRPr="00A45ED9">
        <w:rPr>
          <w:rFonts w:eastAsia="Times"/>
          <w:szCs w:val="20"/>
        </w:rPr>
        <w:t xml:space="preserve">lease email: </w:t>
      </w:r>
      <w:hyperlink r:id="rId17" w:history="1">
        <w:r w:rsidR="00B20169" w:rsidRPr="00A45ED9">
          <w:rPr>
            <w:rFonts w:eastAsia="Times"/>
            <w:szCs w:val="20"/>
          </w:rPr>
          <w:t>MHDReporting@dhhs.vic.gov.au</w:t>
        </w:r>
      </w:hyperlink>
      <w:r w:rsidR="00A45ED9">
        <w:rPr>
          <w:rFonts w:eastAsia="Times"/>
          <w:szCs w:val="20"/>
        </w:rPr>
        <w:t xml:space="preserve"> </w:t>
      </w:r>
    </w:p>
    <w:p w14:paraId="0BCF988B" w14:textId="77777777" w:rsidR="00206D93" w:rsidRPr="00A45ED9" w:rsidRDefault="00206D93" w:rsidP="00A45ED9">
      <w:pPr>
        <w:pStyle w:val="Healthbody"/>
        <w:spacing w:after="0" w:line="360" w:lineRule="auto"/>
        <w:jc w:val="both"/>
        <w:rPr>
          <w:rFonts w:eastAsia="Times"/>
          <w:szCs w:val="20"/>
        </w:rPr>
      </w:pPr>
    </w:p>
    <w:tbl>
      <w:tblPr>
        <w:tblW w:w="4800" w:type="pct"/>
        <w:tblInd w:w="113" w:type="dxa"/>
        <w:tblCellMar>
          <w:top w:w="113" w:type="dxa"/>
          <w:bottom w:w="57" w:type="dxa"/>
        </w:tblCellMar>
        <w:tblLook w:val="00A0" w:firstRow="1" w:lastRow="0" w:firstColumn="1" w:lastColumn="0" w:noHBand="0" w:noVBand="0"/>
      </w:tblPr>
      <w:tblGrid>
        <w:gridCol w:w="9786"/>
      </w:tblGrid>
      <w:tr w:rsidR="00D253E9" w:rsidRPr="002802E3" w14:paraId="7B35BE19" w14:textId="77777777" w:rsidTr="008F2B71">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87639EC" w14:textId="77777777" w:rsidR="00D253E9" w:rsidRPr="00BA5EAE" w:rsidRDefault="00D253E9" w:rsidP="008F2B71">
            <w:pPr>
              <w:pStyle w:val="DHHSaccessibilitypara"/>
            </w:pPr>
            <w:r w:rsidRPr="00BA5EAE">
              <w:t xml:space="preserve">To receive this publication in an accessible format email </w:t>
            </w:r>
            <w:hyperlink r:id="rId18" w:history="1">
              <w:r w:rsidRPr="00BA5EAE">
                <w:rPr>
                  <w:rStyle w:val="Hyperlink"/>
                </w:rPr>
                <w:t>MHDReporting@dhhs.vic.gov.au</w:t>
              </w:r>
            </w:hyperlink>
          </w:p>
          <w:p w14:paraId="2A98DC62" w14:textId="77777777" w:rsidR="00D253E9" w:rsidRPr="00BA5EAE" w:rsidRDefault="00D253E9" w:rsidP="008F2B71">
            <w:pPr>
              <w:pStyle w:val="DHHSbody"/>
            </w:pPr>
            <w:r w:rsidRPr="00BA5EAE">
              <w:t>Authorised and published by the Victorian Government, 1 Treasury Place, Melbourne.</w:t>
            </w:r>
          </w:p>
          <w:p w14:paraId="454B778A" w14:textId="6BFA8A16" w:rsidR="00D253E9" w:rsidRPr="00BA5EAE" w:rsidRDefault="00D253E9" w:rsidP="008F2B71">
            <w:pPr>
              <w:pStyle w:val="DHHSbody"/>
            </w:pPr>
            <w:r w:rsidRPr="00BA5EAE">
              <w:t>© State of Victoria, Department of Health and Human Services</w:t>
            </w:r>
            <w:r w:rsidR="00295E3A">
              <w:t xml:space="preserve">. </w:t>
            </w:r>
            <w:r w:rsidR="00A45ED9">
              <w:t>October</w:t>
            </w:r>
            <w:r w:rsidRPr="00BA5EAE">
              <w:t>, 20</w:t>
            </w:r>
            <w:r>
              <w:t>20</w:t>
            </w:r>
            <w:r w:rsidRPr="00BA5EAE">
              <w:t>.</w:t>
            </w:r>
          </w:p>
        </w:tc>
      </w:tr>
    </w:tbl>
    <w:p w14:paraId="016C72A1" w14:textId="77777777" w:rsidR="00D253E9" w:rsidRDefault="00D253E9"/>
    <w:sectPr w:rsidR="00D253E9" w:rsidSect="00D172AC">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4C77" w14:textId="77777777" w:rsidR="00492E79" w:rsidRDefault="00492E79" w:rsidP="00964E45">
      <w:r>
        <w:separator/>
      </w:r>
    </w:p>
  </w:endnote>
  <w:endnote w:type="continuationSeparator" w:id="0">
    <w:p w14:paraId="0825078E" w14:textId="77777777" w:rsidR="00492E79" w:rsidRDefault="00492E79" w:rsidP="0096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39BB" w14:textId="77777777" w:rsidR="00D172AC" w:rsidRDefault="00D17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19A7" w14:textId="66F2FEE6" w:rsidR="009D70A4" w:rsidRPr="00F65AA9" w:rsidRDefault="003D3D2F" w:rsidP="0051568D">
    <w:pPr>
      <w:pStyle w:val="DHHSfooter"/>
    </w:pPr>
    <w:r>
      <w:rPr>
        <w:noProof/>
        <w:lang w:eastAsia="en-AU"/>
      </w:rPr>
      <mc:AlternateContent>
        <mc:Choice Requires="wps">
          <w:drawing>
            <wp:anchor distT="0" distB="0" distL="114300" distR="114300" simplePos="0" relativeHeight="251657728" behindDoc="0" locked="0" layoutInCell="0" allowOverlap="1" wp14:anchorId="1329A8C8" wp14:editId="1A845730">
              <wp:simplePos x="0" y="0"/>
              <wp:positionH relativeFrom="page">
                <wp:posOffset>0</wp:posOffset>
              </wp:positionH>
              <wp:positionV relativeFrom="page">
                <wp:posOffset>10234930</wp:posOffset>
              </wp:positionV>
              <wp:extent cx="7560310" cy="266700"/>
              <wp:effectExtent l="0" t="0" r="0" b="0"/>
              <wp:wrapNone/>
              <wp:docPr id="1" name="MSIPCM065f43b7b0dc42ab1fb9ae6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15B8C4" w14:textId="50E7EBB0" w:rsidR="003D3D2F" w:rsidRPr="003D3D2F" w:rsidRDefault="003D3D2F" w:rsidP="003D3D2F">
                          <w:pPr>
                            <w:jc w:val="center"/>
                            <w:rPr>
                              <w:rFonts w:ascii="Arial Black" w:hAnsi="Arial Black"/>
                              <w:color w:val="000000"/>
                              <w:sz w:val="20"/>
                            </w:rPr>
                          </w:pPr>
                          <w:r w:rsidRPr="003D3D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29A8C8" id="_x0000_t202" coordsize="21600,21600" o:spt="202" path="m,l,21600r21600,l21600,xe">
              <v:stroke joinstyle="miter"/>
              <v:path gradientshapeok="t" o:connecttype="rect"/>
            </v:shapetype>
            <v:shape id="MSIPCM065f43b7b0dc42ab1fb9ae61"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S8ChbqwCAABFBQAADgAAAAAA&#10;AAAAAAAAAAAuAgAAZHJzL2Uyb0RvYy54bWxQSwECLQAUAAYACAAAACEAg7KPK98AAAALAQAADwAA&#10;AAAAAAAAAAAAAAAGBQAAZHJzL2Rvd25yZXYueG1sUEsFBgAAAAAEAAQA8wAAABIGAAAAAA==&#10;" o:allowincell="f" filled="f" stroked="f" strokeweight=".5pt">
              <v:textbox inset=",0,,0">
                <w:txbxContent>
                  <w:p w14:paraId="1A15B8C4" w14:textId="50E7EBB0" w:rsidR="003D3D2F" w:rsidRPr="003D3D2F" w:rsidRDefault="003D3D2F" w:rsidP="003D3D2F">
                    <w:pPr>
                      <w:jc w:val="center"/>
                      <w:rPr>
                        <w:rFonts w:ascii="Arial Black" w:hAnsi="Arial Black"/>
                        <w:color w:val="000000"/>
                        <w:sz w:val="20"/>
                      </w:rPr>
                    </w:pPr>
                    <w:r w:rsidRPr="003D3D2F">
                      <w:rPr>
                        <w:rFonts w:ascii="Arial Black" w:hAnsi="Arial Black"/>
                        <w:color w:val="000000"/>
                        <w:sz w:val="20"/>
                      </w:rPr>
                      <w:t>OFFICIAL</w:t>
                    </w:r>
                  </w:p>
                </w:txbxContent>
              </v:textbox>
              <w10:wrap anchorx="page" anchory="page"/>
            </v:shape>
          </w:pict>
        </mc:Fallback>
      </mc:AlternateContent>
    </w:r>
    <w:r w:rsidR="00F63F28">
      <w:rPr>
        <w:noProof/>
        <w:lang w:eastAsia="en-AU"/>
      </w:rPr>
      <w:drawing>
        <wp:anchor distT="0" distB="0" distL="114300" distR="114300" simplePos="0" relativeHeight="251656704" behindDoc="0" locked="1" layoutInCell="0" allowOverlap="1" wp14:anchorId="0DC06F70" wp14:editId="2A7FE25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B91D" w14:textId="58AC3468" w:rsidR="003D3D2F" w:rsidRDefault="003D3D2F">
    <w:pPr>
      <w:pStyle w:val="Footer"/>
    </w:pPr>
    <w:r>
      <w:rPr>
        <w:noProof/>
      </w:rPr>
      <mc:AlternateContent>
        <mc:Choice Requires="wps">
          <w:drawing>
            <wp:anchor distT="0" distB="0" distL="114300" distR="114300" simplePos="0" relativeHeight="251658752" behindDoc="0" locked="0" layoutInCell="0" allowOverlap="1" wp14:anchorId="616355F1" wp14:editId="609FEF65">
              <wp:simplePos x="0" y="0"/>
              <wp:positionH relativeFrom="page">
                <wp:posOffset>0</wp:posOffset>
              </wp:positionH>
              <wp:positionV relativeFrom="page">
                <wp:posOffset>10234930</wp:posOffset>
              </wp:positionV>
              <wp:extent cx="7560310" cy="266700"/>
              <wp:effectExtent l="0" t="0" r="0" b="0"/>
              <wp:wrapNone/>
              <wp:docPr id="2" name="MSIPCM45aa47989186a25380d3bad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CCBFE" w14:textId="79A400D8" w:rsidR="003D3D2F" w:rsidRPr="003D3D2F" w:rsidRDefault="003D3D2F" w:rsidP="003D3D2F">
                          <w:pPr>
                            <w:jc w:val="center"/>
                            <w:rPr>
                              <w:rFonts w:ascii="Arial Black" w:hAnsi="Arial Black"/>
                              <w:color w:val="000000"/>
                              <w:sz w:val="20"/>
                            </w:rPr>
                          </w:pPr>
                          <w:r w:rsidRPr="003D3D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6355F1" id="_x0000_t202" coordsize="21600,21600" o:spt="202" path="m,l,21600r21600,l21600,xe">
              <v:stroke joinstyle="miter"/>
              <v:path gradientshapeok="t" o:connecttype="rect"/>
            </v:shapetype>
            <v:shape id="MSIPCM45aa47989186a25380d3bad0"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B3G/LKwAgAATgUAAA4A&#10;AAAAAAAAAAAAAAAALgIAAGRycy9lMm9Eb2MueG1sUEsBAi0AFAAGAAgAAAAhAIOyjyvfAAAACwEA&#10;AA8AAAAAAAAAAAAAAAAACgUAAGRycy9kb3ducmV2LnhtbFBLBQYAAAAABAAEAPMAAAAWBgAAAAA=&#10;" o:allowincell="f" filled="f" stroked="f" strokeweight=".5pt">
              <v:textbox inset=",0,,0">
                <w:txbxContent>
                  <w:p w14:paraId="1CBCCBFE" w14:textId="79A400D8" w:rsidR="003D3D2F" w:rsidRPr="003D3D2F" w:rsidRDefault="003D3D2F" w:rsidP="003D3D2F">
                    <w:pPr>
                      <w:jc w:val="center"/>
                      <w:rPr>
                        <w:rFonts w:ascii="Arial Black" w:hAnsi="Arial Black"/>
                        <w:color w:val="000000"/>
                        <w:sz w:val="20"/>
                      </w:rPr>
                    </w:pPr>
                    <w:r w:rsidRPr="003D3D2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EB7E" w14:textId="33AC71E3" w:rsidR="009D70A4" w:rsidRPr="00A11421" w:rsidRDefault="00EC5890" w:rsidP="0051568D">
    <w:pPr>
      <w:pStyle w:val="DHHSfooter"/>
    </w:pPr>
    <w:r>
      <w:rPr>
        <w:noProof/>
      </w:rPr>
      <mc:AlternateContent>
        <mc:Choice Requires="wps">
          <w:drawing>
            <wp:anchor distT="0" distB="0" distL="114300" distR="114300" simplePos="0" relativeHeight="251660800" behindDoc="0" locked="0" layoutInCell="0" allowOverlap="1" wp14:anchorId="4D9A002E" wp14:editId="68A2403E">
              <wp:simplePos x="0" y="0"/>
              <wp:positionH relativeFrom="page">
                <wp:posOffset>0</wp:posOffset>
              </wp:positionH>
              <wp:positionV relativeFrom="page">
                <wp:posOffset>10234930</wp:posOffset>
              </wp:positionV>
              <wp:extent cx="7560310" cy="266700"/>
              <wp:effectExtent l="0" t="0" r="0" b="0"/>
              <wp:wrapNone/>
              <wp:docPr id="3" name="MSIPCM5eb74ce8a3ec19118ea7ca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E87D6" w14:textId="77777777" w:rsidR="00EC5890" w:rsidRPr="003D3D2F" w:rsidRDefault="00EC5890" w:rsidP="00EC5890">
                          <w:pPr>
                            <w:jc w:val="center"/>
                            <w:rPr>
                              <w:rFonts w:ascii="Arial Black" w:hAnsi="Arial Black"/>
                              <w:color w:val="000000"/>
                              <w:sz w:val="20"/>
                            </w:rPr>
                          </w:pPr>
                          <w:r w:rsidRPr="003D3D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9A002E" id="_x0000_t202" coordsize="21600,21600" o:spt="202" path="m,l,21600r21600,l21600,xe">
              <v:stroke joinstyle="miter"/>
              <v:path gradientshapeok="t" o:connecttype="rect"/>
            </v:shapetype>
            <v:shape id="MSIPCM5eb74ce8a3ec19118ea7ca89"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AW5h08rgIAAEwFAAAOAAAA&#10;AAAAAAAAAAAAAC4CAABkcnMvZTJvRG9jLnhtbFBLAQItABQABgAIAAAAIQCDso8r3wAAAAsBAAAP&#10;AAAAAAAAAAAAAAAAAAgFAABkcnMvZG93bnJldi54bWxQSwUGAAAAAAQABADzAAAAFAYAAAAA&#10;" o:allowincell="f" filled="f" stroked="f" strokeweight=".5pt">
              <v:textbox inset=",0,,0">
                <w:txbxContent>
                  <w:p w14:paraId="4AEE87D6" w14:textId="77777777" w:rsidR="00EC5890" w:rsidRPr="003D3D2F" w:rsidRDefault="00EC5890" w:rsidP="00EC5890">
                    <w:pPr>
                      <w:jc w:val="center"/>
                      <w:rPr>
                        <w:rFonts w:ascii="Arial Black" w:hAnsi="Arial Black"/>
                        <w:color w:val="000000"/>
                        <w:sz w:val="20"/>
                      </w:rPr>
                    </w:pPr>
                    <w:r w:rsidRPr="003D3D2F">
                      <w:rPr>
                        <w:rFonts w:ascii="Arial Black" w:hAnsi="Arial Black"/>
                        <w:color w:val="000000"/>
                        <w:sz w:val="20"/>
                      </w:rPr>
                      <w:t>OFFICIAL</w:t>
                    </w:r>
                  </w:p>
                </w:txbxContent>
              </v:textbox>
              <w10:wrap anchorx="page" anchory="page"/>
            </v:shape>
          </w:pict>
        </mc:Fallback>
      </mc:AlternateContent>
    </w:r>
    <w:r w:rsidR="00F63F28">
      <w:t xml:space="preserve">Mental Health Bulletin </w:t>
    </w:r>
    <w:r>
      <w:t>5</w:t>
    </w:r>
    <w:r w:rsidR="00B736FF">
      <w:t>1</w:t>
    </w:r>
    <w:r w:rsidR="00D72A8C">
      <w:t xml:space="preserve"> -</w:t>
    </w:r>
    <w:r w:rsidR="009B5E30" w:rsidRPr="009B5E30">
      <w:t xml:space="preserve"> </w:t>
    </w:r>
    <w:r w:rsidR="009B5E30" w:rsidRPr="0066383B">
      <w:t>Mental Health Care Capacity Funding Package</w:t>
    </w:r>
    <w:r w:rsidR="009B5E30">
      <w:t xml:space="preserve"> (CCFP)</w:t>
    </w:r>
    <w:r w:rsidR="00F63F28" w:rsidRPr="00A11421">
      <w:tab/>
    </w:r>
    <w:r w:rsidR="00F63F28" w:rsidRPr="00A11421">
      <w:fldChar w:fldCharType="begin"/>
    </w:r>
    <w:r w:rsidR="00F63F28" w:rsidRPr="00A11421">
      <w:instrText xml:space="preserve"> PAGE </w:instrText>
    </w:r>
    <w:r w:rsidR="00F63F28" w:rsidRPr="00A11421">
      <w:fldChar w:fldCharType="separate"/>
    </w:r>
    <w:r w:rsidR="007B6B0D">
      <w:rPr>
        <w:noProof/>
      </w:rPr>
      <w:t>3</w:t>
    </w:r>
    <w:r w:rsidR="00F63F28"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D669" w14:textId="77777777" w:rsidR="00492E79" w:rsidRDefault="00492E79" w:rsidP="00964E45">
      <w:r>
        <w:separator/>
      </w:r>
    </w:p>
  </w:footnote>
  <w:footnote w:type="continuationSeparator" w:id="0">
    <w:p w14:paraId="6C5F313D" w14:textId="77777777" w:rsidR="00492E79" w:rsidRDefault="00492E79" w:rsidP="0096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688C" w14:textId="77777777" w:rsidR="00D172AC" w:rsidRDefault="00D17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93F2" w14:textId="77777777" w:rsidR="00D172AC" w:rsidRDefault="00D17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FD43" w14:textId="77777777" w:rsidR="00D172AC" w:rsidRDefault="00D17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1819" w14:textId="77777777" w:rsidR="009D70A4" w:rsidRPr="0051568D" w:rsidRDefault="00D172AC"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111A"/>
    <w:multiLevelType w:val="multilevel"/>
    <w:tmpl w:val="9AEE1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7626CE"/>
    <w:multiLevelType w:val="hybridMultilevel"/>
    <w:tmpl w:val="AADAE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12767B"/>
    <w:multiLevelType w:val="hybridMultilevel"/>
    <w:tmpl w:val="5E568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138EB"/>
    <w:multiLevelType w:val="hybridMultilevel"/>
    <w:tmpl w:val="6936CBB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D3181C"/>
    <w:multiLevelType w:val="multilevel"/>
    <w:tmpl w:val="2FDA4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F1C30"/>
    <w:multiLevelType w:val="hybridMultilevel"/>
    <w:tmpl w:val="0286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E54604"/>
    <w:multiLevelType w:val="hybridMultilevel"/>
    <w:tmpl w:val="7FB482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707FBA"/>
    <w:multiLevelType w:val="multilevel"/>
    <w:tmpl w:val="A2007E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B74AC3"/>
    <w:multiLevelType w:val="multilevel"/>
    <w:tmpl w:val="9AEE1F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5C0B29"/>
    <w:multiLevelType w:val="hybridMultilevel"/>
    <w:tmpl w:val="D09C8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63875"/>
    <w:multiLevelType w:val="hybridMultilevel"/>
    <w:tmpl w:val="5A82C5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036E65"/>
    <w:multiLevelType w:val="hybridMultilevel"/>
    <w:tmpl w:val="80468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FF27F0"/>
    <w:multiLevelType w:val="multilevel"/>
    <w:tmpl w:val="A2007E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30491A"/>
    <w:multiLevelType w:val="hybridMultilevel"/>
    <w:tmpl w:val="09C8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E77865"/>
    <w:multiLevelType w:val="hybridMultilevel"/>
    <w:tmpl w:val="30580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584D87"/>
    <w:multiLevelType w:val="hybridMultilevel"/>
    <w:tmpl w:val="0D7497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7BD7ED0"/>
    <w:multiLevelType w:val="hybridMultilevel"/>
    <w:tmpl w:val="A3D8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EB390B"/>
    <w:multiLevelType w:val="hybridMultilevel"/>
    <w:tmpl w:val="28F2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5"/>
  </w:num>
  <w:num w:numId="5">
    <w:abstractNumId w:val="3"/>
  </w:num>
  <w:num w:numId="6">
    <w:abstractNumId w:val="14"/>
  </w:num>
  <w:num w:numId="7">
    <w:abstractNumId w:val="0"/>
  </w:num>
  <w:num w:numId="8">
    <w:abstractNumId w:val="8"/>
  </w:num>
  <w:num w:numId="9">
    <w:abstractNumId w:val="12"/>
  </w:num>
  <w:num w:numId="10">
    <w:abstractNumId w:val="7"/>
  </w:num>
  <w:num w:numId="11">
    <w:abstractNumId w:val="4"/>
  </w:num>
  <w:num w:numId="12">
    <w:abstractNumId w:val="16"/>
  </w:num>
  <w:num w:numId="13">
    <w:abstractNumId w:val="9"/>
  </w:num>
  <w:num w:numId="14">
    <w:abstractNumId w:val="15"/>
  </w:num>
  <w:num w:numId="15">
    <w:abstractNumId w:val="1"/>
  </w:num>
  <w:num w:numId="16">
    <w:abstractNumId w:val="2"/>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EE"/>
    <w:rsid w:val="000331E3"/>
    <w:rsid w:val="000435EE"/>
    <w:rsid w:val="001315AF"/>
    <w:rsid w:val="001369DD"/>
    <w:rsid w:val="00137FCD"/>
    <w:rsid w:val="00167A4E"/>
    <w:rsid w:val="001A2388"/>
    <w:rsid w:val="001E6E2B"/>
    <w:rsid w:val="001F1D62"/>
    <w:rsid w:val="001F6933"/>
    <w:rsid w:val="00206D93"/>
    <w:rsid w:val="00234470"/>
    <w:rsid w:val="00295E3A"/>
    <w:rsid w:val="002A12BD"/>
    <w:rsid w:val="002E2489"/>
    <w:rsid w:val="003431B1"/>
    <w:rsid w:val="00373CD1"/>
    <w:rsid w:val="00383F60"/>
    <w:rsid w:val="00397F29"/>
    <w:rsid w:val="003C1745"/>
    <w:rsid w:val="003D1D4A"/>
    <w:rsid w:val="003D3D2F"/>
    <w:rsid w:val="003E5DA6"/>
    <w:rsid w:val="00416849"/>
    <w:rsid w:val="00423D3C"/>
    <w:rsid w:val="00425B1F"/>
    <w:rsid w:val="00492E79"/>
    <w:rsid w:val="004A1332"/>
    <w:rsid w:val="004E0567"/>
    <w:rsid w:val="00507272"/>
    <w:rsid w:val="00523A07"/>
    <w:rsid w:val="00531386"/>
    <w:rsid w:val="00573BD8"/>
    <w:rsid w:val="005C4C3B"/>
    <w:rsid w:val="005E11FC"/>
    <w:rsid w:val="005F720F"/>
    <w:rsid w:val="0061584B"/>
    <w:rsid w:val="0066383B"/>
    <w:rsid w:val="0066563F"/>
    <w:rsid w:val="00697905"/>
    <w:rsid w:val="006E155E"/>
    <w:rsid w:val="006F0931"/>
    <w:rsid w:val="00734331"/>
    <w:rsid w:val="007A17EE"/>
    <w:rsid w:val="007B6B0D"/>
    <w:rsid w:val="007D2390"/>
    <w:rsid w:val="007E100B"/>
    <w:rsid w:val="007E16FB"/>
    <w:rsid w:val="007F4402"/>
    <w:rsid w:val="0080254F"/>
    <w:rsid w:val="0083306C"/>
    <w:rsid w:val="00880FD1"/>
    <w:rsid w:val="0088232A"/>
    <w:rsid w:val="008C1C71"/>
    <w:rsid w:val="008D5149"/>
    <w:rsid w:val="008F1699"/>
    <w:rsid w:val="008F7442"/>
    <w:rsid w:val="00901800"/>
    <w:rsid w:val="009023A2"/>
    <w:rsid w:val="009358E9"/>
    <w:rsid w:val="00944617"/>
    <w:rsid w:val="00964E45"/>
    <w:rsid w:val="0098298F"/>
    <w:rsid w:val="00991C99"/>
    <w:rsid w:val="009A1259"/>
    <w:rsid w:val="009B5E30"/>
    <w:rsid w:val="009F0BB1"/>
    <w:rsid w:val="009F5B1E"/>
    <w:rsid w:val="00A13B8F"/>
    <w:rsid w:val="00A16139"/>
    <w:rsid w:val="00A17122"/>
    <w:rsid w:val="00A45ED9"/>
    <w:rsid w:val="00A54E4A"/>
    <w:rsid w:val="00A57C03"/>
    <w:rsid w:val="00A82C07"/>
    <w:rsid w:val="00AA2F4E"/>
    <w:rsid w:val="00B20169"/>
    <w:rsid w:val="00B5644C"/>
    <w:rsid w:val="00B61C89"/>
    <w:rsid w:val="00B736FF"/>
    <w:rsid w:val="00B75766"/>
    <w:rsid w:val="00B77CEB"/>
    <w:rsid w:val="00B95A98"/>
    <w:rsid w:val="00BB3E8F"/>
    <w:rsid w:val="00BE6EB2"/>
    <w:rsid w:val="00C1018F"/>
    <w:rsid w:val="00C50EA5"/>
    <w:rsid w:val="00C545A3"/>
    <w:rsid w:val="00C701A3"/>
    <w:rsid w:val="00CA2A64"/>
    <w:rsid w:val="00CA2EF6"/>
    <w:rsid w:val="00CB48E0"/>
    <w:rsid w:val="00CC4741"/>
    <w:rsid w:val="00CD6B8E"/>
    <w:rsid w:val="00CE35D7"/>
    <w:rsid w:val="00CF7530"/>
    <w:rsid w:val="00D172AC"/>
    <w:rsid w:val="00D253E9"/>
    <w:rsid w:val="00D31C3A"/>
    <w:rsid w:val="00D32E19"/>
    <w:rsid w:val="00D333EF"/>
    <w:rsid w:val="00D71E63"/>
    <w:rsid w:val="00D72A8C"/>
    <w:rsid w:val="00D876DE"/>
    <w:rsid w:val="00DA4293"/>
    <w:rsid w:val="00DB32E2"/>
    <w:rsid w:val="00DD502B"/>
    <w:rsid w:val="00DF2CE2"/>
    <w:rsid w:val="00E42BA7"/>
    <w:rsid w:val="00E53759"/>
    <w:rsid w:val="00E975A3"/>
    <w:rsid w:val="00EC20B2"/>
    <w:rsid w:val="00EC33C5"/>
    <w:rsid w:val="00EC5890"/>
    <w:rsid w:val="00F276CB"/>
    <w:rsid w:val="00F3623B"/>
    <w:rsid w:val="00F363E8"/>
    <w:rsid w:val="00F63F28"/>
    <w:rsid w:val="00F936C5"/>
    <w:rsid w:val="00FC4D22"/>
    <w:rsid w:val="00FE4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6C01B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5EE"/>
    <w:pPr>
      <w:spacing w:after="0" w:line="240" w:lineRule="auto"/>
    </w:pPr>
    <w:rPr>
      <w:rFonts w:ascii="Times New Roman" w:eastAsia="Times New Roman" w:hAnsi="Times New Roman" w:cs="Times New Roman"/>
      <w:sz w:val="24"/>
      <w:szCs w:val="24"/>
      <w:lang w:eastAsia="en-AU"/>
    </w:rPr>
  </w:style>
  <w:style w:type="paragraph" w:styleId="Heading1">
    <w:name w:val="heading 1"/>
    <w:next w:val="DHHSbody"/>
    <w:link w:val="Heading1Char"/>
    <w:uiPriority w:val="1"/>
    <w:qFormat/>
    <w:rsid w:val="000435EE"/>
    <w:pPr>
      <w:keepNext/>
      <w:keepLines/>
      <w:spacing w:before="320" w:line="440" w:lineRule="atLeast"/>
      <w:outlineLvl w:val="0"/>
    </w:pPr>
    <w:rPr>
      <w:rFonts w:ascii="Arial" w:eastAsia="MS Gothic" w:hAnsi="Arial" w:cs="Arial"/>
      <w:bCs/>
      <w:color w:val="004EA8"/>
      <w:kern w:val="32"/>
      <w:sz w:val="36"/>
      <w:szCs w:val="40"/>
    </w:rPr>
  </w:style>
  <w:style w:type="paragraph" w:styleId="Heading2">
    <w:name w:val="heading 2"/>
    <w:next w:val="DHHSbody"/>
    <w:link w:val="Heading2Char"/>
    <w:uiPriority w:val="1"/>
    <w:qFormat/>
    <w:rsid w:val="000435EE"/>
    <w:pPr>
      <w:keepNext/>
      <w:keepLines/>
      <w:spacing w:before="240" w:after="90" w:line="320" w:lineRule="atLeast"/>
      <w:outlineLvl w:val="1"/>
    </w:pPr>
    <w:rPr>
      <w:rFonts w:ascii="Arial" w:eastAsia="Times New Roman" w:hAnsi="Arial" w:cs="Times New Roman"/>
      <w:b/>
      <w:color w:val="004EA8"/>
      <w:sz w:val="28"/>
      <w:szCs w:val="28"/>
    </w:rPr>
  </w:style>
  <w:style w:type="paragraph" w:styleId="Heading3">
    <w:name w:val="heading 3"/>
    <w:next w:val="DHHSbody"/>
    <w:link w:val="Heading3Char"/>
    <w:uiPriority w:val="1"/>
    <w:qFormat/>
    <w:rsid w:val="000435EE"/>
    <w:pPr>
      <w:keepNext/>
      <w:keepLines/>
      <w:spacing w:before="280" w:after="120" w:line="280" w:lineRule="atLeast"/>
      <w:outlineLvl w:val="2"/>
    </w:pPr>
    <w:rPr>
      <w:rFonts w:ascii="Arial" w:eastAsia="MS Gothic" w:hAnsi="Arial" w:cs="Times New Roman"/>
      <w:b/>
      <w:bCs/>
      <w:sz w:val="24"/>
      <w:szCs w:val="26"/>
    </w:rPr>
  </w:style>
  <w:style w:type="paragraph" w:styleId="Heading4">
    <w:name w:val="heading 4"/>
    <w:basedOn w:val="Normal"/>
    <w:next w:val="Normal"/>
    <w:link w:val="Heading4Char"/>
    <w:uiPriority w:val="9"/>
    <w:unhideWhenUsed/>
    <w:qFormat/>
    <w:rsid w:val="00A161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35EE"/>
    <w:rPr>
      <w:rFonts w:ascii="Arial" w:eastAsia="MS Gothic" w:hAnsi="Arial" w:cs="Arial"/>
      <w:bCs/>
      <w:color w:val="004EA8"/>
      <w:kern w:val="32"/>
      <w:sz w:val="36"/>
      <w:szCs w:val="40"/>
    </w:rPr>
  </w:style>
  <w:style w:type="character" w:customStyle="1" w:styleId="Heading2Char">
    <w:name w:val="Heading 2 Char"/>
    <w:basedOn w:val="DefaultParagraphFont"/>
    <w:link w:val="Heading2"/>
    <w:uiPriority w:val="1"/>
    <w:rsid w:val="000435EE"/>
    <w:rPr>
      <w:rFonts w:ascii="Arial" w:eastAsia="Times New Roman" w:hAnsi="Arial" w:cs="Times New Roman"/>
      <w:b/>
      <w:color w:val="004EA8"/>
      <w:sz w:val="28"/>
      <w:szCs w:val="28"/>
    </w:rPr>
  </w:style>
  <w:style w:type="character" w:customStyle="1" w:styleId="Heading3Char">
    <w:name w:val="Heading 3 Char"/>
    <w:basedOn w:val="DefaultParagraphFont"/>
    <w:link w:val="Heading3"/>
    <w:uiPriority w:val="1"/>
    <w:rsid w:val="000435EE"/>
    <w:rPr>
      <w:rFonts w:ascii="Arial" w:eastAsia="MS Gothic" w:hAnsi="Arial" w:cs="Times New Roman"/>
      <w:b/>
      <w:bCs/>
      <w:sz w:val="24"/>
      <w:szCs w:val="26"/>
    </w:rPr>
  </w:style>
  <w:style w:type="paragraph" w:customStyle="1" w:styleId="DHHSbody">
    <w:name w:val="DHHS body"/>
    <w:link w:val="DHHSbodyChar"/>
    <w:qFormat/>
    <w:rsid w:val="000435EE"/>
    <w:pPr>
      <w:spacing w:after="120" w:line="270" w:lineRule="atLeast"/>
    </w:pPr>
    <w:rPr>
      <w:rFonts w:ascii="Arial" w:eastAsia="Times" w:hAnsi="Arial" w:cs="Times New Roman"/>
      <w:sz w:val="20"/>
      <w:szCs w:val="20"/>
    </w:rPr>
  </w:style>
  <w:style w:type="paragraph" w:customStyle="1" w:styleId="Sectionbreakfirstpage">
    <w:name w:val="Section break first page"/>
    <w:uiPriority w:val="5"/>
    <w:rsid w:val="000435EE"/>
    <w:pPr>
      <w:spacing w:after="400" w:line="240" w:lineRule="auto"/>
    </w:pPr>
    <w:rPr>
      <w:rFonts w:ascii="Arial" w:eastAsia="Times New Roman" w:hAnsi="Arial" w:cs="Times New Roman"/>
      <w:sz w:val="20"/>
      <w:szCs w:val="20"/>
    </w:rPr>
  </w:style>
  <w:style w:type="paragraph" w:customStyle="1" w:styleId="DHHSmainheading">
    <w:name w:val="DHHS main heading"/>
    <w:uiPriority w:val="8"/>
    <w:rsid w:val="000435EE"/>
    <w:pPr>
      <w:spacing w:after="0" w:line="560" w:lineRule="atLeast"/>
    </w:pPr>
    <w:rPr>
      <w:rFonts w:ascii="Arial" w:eastAsia="Times New Roman" w:hAnsi="Arial" w:cs="Times New Roman"/>
      <w:color w:val="FFFFFF"/>
      <w:sz w:val="50"/>
      <w:szCs w:val="50"/>
    </w:rPr>
  </w:style>
  <w:style w:type="paragraph" w:customStyle="1" w:styleId="Healthbody">
    <w:name w:val="Health body"/>
    <w:uiPriority w:val="99"/>
    <w:rsid w:val="000435EE"/>
    <w:pPr>
      <w:spacing w:after="120" w:line="270" w:lineRule="atLeast"/>
    </w:pPr>
    <w:rPr>
      <w:rFonts w:ascii="Arial" w:eastAsia="MS Mincho" w:hAnsi="Arial" w:cs="Times New Roman"/>
      <w:sz w:val="20"/>
      <w:szCs w:val="24"/>
    </w:rPr>
  </w:style>
  <w:style w:type="character" w:styleId="Hyperlink">
    <w:name w:val="Hyperlink"/>
    <w:uiPriority w:val="99"/>
    <w:rsid w:val="000435EE"/>
    <w:rPr>
      <w:color w:val="3366FF"/>
      <w:u w:val="dotted"/>
    </w:rPr>
  </w:style>
  <w:style w:type="paragraph" w:customStyle="1" w:styleId="DHHSmainsubheading">
    <w:name w:val="DHHS main subheading"/>
    <w:uiPriority w:val="8"/>
    <w:rsid w:val="000435EE"/>
    <w:pPr>
      <w:spacing w:after="0" w:line="240" w:lineRule="auto"/>
    </w:pPr>
    <w:rPr>
      <w:rFonts w:ascii="Arial" w:eastAsia="Times New Roman" w:hAnsi="Arial" w:cs="Times New Roman"/>
      <w:color w:val="FFFFFF"/>
      <w:sz w:val="28"/>
      <w:szCs w:val="24"/>
    </w:rPr>
  </w:style>
  <w:style w:type="paragraph" w:customStyle="1" w:styleId="Spacerparatopoffirstpage">
    <w:name w:val="Spacer para top of first page"/>
    <w:basedOn w:val="Normal"/>
    <w:semiHidden/>
    <w:rsid w:val="000435EE"/>
    <w:rPr>
      <w:rFonts w:ascii="Arial" w:eastAsia="Times" w:hAnsi="Arial"/>
      <w:noProof/>
      <w:sz w:val="12"/>
      <w:szCs w:val="20"/>
      <w:lang w:eastAsia="en-US"/>
    </w:rPr>
  </w:style>
  <w:style w:type="paragraph" w:customStyle="1" w:styleId="DHHSfooter">
    <w:name w:val="DHHS footer"/>
    <w:uiPriority w:val="11"/>
    <w:rsid w:val="000435EE"/>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0435EE"/>
  </w:style>
  <w:style w:type="paragraph" w:customStyle="1" w:styleId="AWAText">
    <w:name w:val="AWA Text"/>
    <w:basedOn w:val="Normal"/>
    <w:autoRedefine/>
    <w:rsid w:val="003C1745"/>
    <w:pPr>
      <w:spacing w:beforeLines="20" w:before="48" w:afterLines="20" w:after="48"/>
      <w:contextualSpacing/>
    </w:pPr>
    <w:rPr>
      <w:rFonts w:ascii="Verdana" w:hAnsi="Verdana" w:cs="Arial"/>
      <w:sz w:val="18"/>
      <w:szCs w:val="18"/>
    </w:rPr>
  </w:style>
  <w:style w:type="paragraph" w:styleId="ListParagraph">
    <w:name w:val="List Paragraph"/>
    <w:basedOn w:val="Normal"/>
    <w:uiPriority w:val="34"/>
    <w:qFormat/>
    <w:rsid w:val="00697905"/>
    <w:pPr>
      <w:ind w:left="720"/>
      <w:contextualSpacing/>
    </w:pPr>
  </w:style>
  <w:style w:type="paragraph" w:customStyle="1" w:styleId="xmsonormal">
    <w:name w:val="x_msonormal"/>
    <w:basedOn w:val="Normal"/>
    <w:rsid w:val="00A16139"/>
    <w:rPr>
      <w:rFonts w:ascii="Calibri" w:eastAsiaTheme="minorHAnsi" w:hAnsi="Calibri" w:cs="Calibri"/>
      <w:sz w:val="22"/>
      <w:szCs w:val="22"/>
    </w:rPr>
  </w:style>
  <w:style w:type="character" w:customStyle="1" w:styleId="Heading4Char">
    <w:name w:val="Heading 4 Char"/>
    <w:basedOn w:val="DefaultParagraphFont"/>
    <w:link w:val="Heading4"/>
    <w:uiPriority w:val="9"/>
    <w:rsid w:val="00A16139"/>
    <w:rPr>
      <w:rFonts w:asciiTheme="majorHAnsi" w:eastAsiaTheme="majorEastAsia" w:hAnsiTheme="majorHAnsi" w:cstheme="majorBidi"/>
      <w:i/>
      <w:iCs/>
      <w:color w:val="365F91" w:themeColor="accent1" w:themeShade="BF"/>
      <w:sz w:val="24"/>
      <w:szCs w:val="24"/>
      <w:lang w:eastAsia="en-AU"/>
    </w:rPr>
  </w:style>
  <w:style w:type="table" w:styleId="TableGrid">
    <w:name w:val="Table Grid"/>
    <w:basedOn w:val="TableNormal"/>
    <w:rsid w:val="001315AF"/>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rsid w:val="001315AF"/>
    <w:rPr>
      <w:rFonts w:ascii="Arial" w:eastAsia="Times" w:hAnsi="Arial" w:cs="Times New Roman"/>
      <w:sz w:val="20"/>
      <w:szCs w:val="20"/>
    </w:rPr>
  </w:style>
  <w:style w:type="paragraph" w:customStyle="1" w:styleId="Healthtablecolumnhead">
    <w:name w:val="Health table column head"/>
    <w:rsid w:val="00944617"/>
    <w:pPr>
      <w:spacing w:after="40" w:line="220" w:lineRule="atLeast"/>
    </w:pPr>
    <w:rPr>
      <w:rFonts w:ascii="Arial" w:eastAsia="MS Mincho" w:hAnsi="Arial" w:cs="Times New Roman"/>
      <w:b/>
      <w:color w:val="FFFFFF"/>
      <w:sz w:val="18"/>
      <w:szCs w:val="24"/>
    </w:rPr>
  </w:style>
  <w:style w:type="paragraph" w:customStyle="1" w:styleId="Healthtablebody">
    <w:name w:val="Health table body"/>
    <w:rsid w:val="00944617"/>
    <w:pPr>
      <w:spacing w:after="40" w:line="220" w:lineRule="atLeast"/>
    </w:pPr>
    <w:rPr>
      <w:rFonts w:ascii="Arial" w:eastAsia="MS Mincho" w:hAnsi="Arial" w:cs="Times New Roman"/>
      <w:sz w:val="18"/>
      <w:szCs w:val="24"/>
    </w:rPr>
  </w:style>
  <w:style w:type="paragraph" w:styleId="Header">
    <w:name w:val="header"/>
    <w:basedOn w:val="Normal"/>
    <w:link w:val="HeaderChar"/>
    <w:uiPriority w:val="99"/>
    <w:unhideWhenUsed/>
    <w:rsid w:val="00964E45"/>
    <w:pPr>
      <w:tabs>
        <w:tab w:val="center" w:pos="4513"/>
        <w:tab w:val="right" w:pos="9026"/>
      </w:tabs>
    </w:pPr>
  </w:style>
  <w:style w:type="character" w:customStyle="1" w:styleId="HeaderChar">
    <w:name w:val="Header Char"/>
    <w:basedOn w:val="DefaultParagraphFont"/>
    <w:link w:val="Header"/>
    <w:uiPriority w:val="99"/>
    <w:rsid w:val="00964E45"/>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64E45"/>
    <w:pPr>
      <w:tabs>
        <w:tab w:val="center" w:pos="4513"/>
        <w:tab w:val="right" w:pos="9026"/>
      </w:tabs>
    </w:pPr>
  </w:style>
  <w:style w:type="character" w:customStyle="1" w:styleId="FooterChar">
    <w:name w:val="Footer Char"/>
    <w:basedOn w:val="DefaultParagraphFont"/>
    <w:link w:val="Footer"/>
    <w:uiPriority w:val="99"/>
    <w:rsid w:val="00964E45"/>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E1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FB"/>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7E16FB"/>
    <w:rPr>
      <w:sz w:val="16"/>
      <w:szCs w:val="16"/>
    </w:rPr>
  </w:style>
  <w:style w:type="paragraph" w:styleId="CommentText">
    <w:name w:val="annotation text"/>
    <w:basedOn w:val="Normal"/>
    <w:link w:val="CommentTextChar"/>
    <w:uiPriority w:val="99"/>
    <w:semiHidden/>
    <w:unhideWhenUsed/>
    <w:rsid w:val="007E16FB"/>
    <w:rPr>
      <w:sz w:val="20"/>
      <w:szCs w:val="20"/>
    </w:rPr>
  </w:style>
  <w:style w:type="character" w:customStyle="1" w:styleId="CommentTextChar">
    <w:name w:val="Comment Text Char"/>
    <w:basedOn w:val="DefaultParagraphFont"/>
    <w:link w:val="CommentText"/>
    <w:uiPriority w:val="99"/>
    <w:semiHidden/>
    <w:rsid w:val="007E16F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16FB"/>
    <w:rPr>
      <w:b/>
      <w:bCs/>
    </w:rPr>
  </w:style>
  <w:style w:type="character" w:customStyle="1" w:styleId="CommentSubjectChar">
    <w:name w:val="Comment Subject Char"/>
    <w:basedOn w:val="CommentTextChar"/>
    <w:link w:val="CommentSubject"/>
    <w:uiPriority w:val="99"/>
    <w:semiHidden/>
    <w:rsid w:val="007E16FB"/>
    <w:rPr>
      <w:rFonts w:ascii="Times New Roman" w:eastAsia="Times New Roman" w:hAnsi="Times New Roman" w:cs="Times New Roman"/>
      <w:b/>
      <w:bCs/>
      <w:sz w:val="20"/>
      <w:szCs w:val="20"/>
      <w:lang w:eastAsia="en-AU"/>
    </w:rPr>
  </w:style>
  <w:style w:type="paragraph" w:customStyle="1" w:styleId="Default">
    <w:name w:val="Default"/>
    <w:rsid w:val="0080254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D2390"/>
    <w:rPr>
      <w:color w:val="605E5C"/>
      <w:shd w:val="clear" w:color="auto" w:fill="E1DFDD"/>
    </w:rPr>
  </w:style>
  <w:style w:type="character" w:styleId="FollowedHyperlink">
    <w:name w:val="FollowedHyperlink"/>
    <w:basedOn w:val="DefaultParagraphFont"/>
    <w:uiPriority w:val="99"/>
    <w:semiHidden/>
    <w:unhideWhenUsed/>
    <w:rsid w:val="00991C99"/>
    <w:rPr>
      <w:color w:val="800080" w:themeColor="followedHyperlink"/>
      <w:u w:val="single"/>
    </w:rPr>
  </w:style>
  <w:style w:type="paragraph" w:customStyle="1" w:styleId="DHHSaccessibilitypara">
    <w:name w:val="DHHS accessibility para"/>
    <w:uiPriority w:val="8"/>
    <w:rsid w:val="00D253E9"/>
    <w:pPr>
      <w:spacing w:line="300" w:lineRule="atLeast"/>
    </w:pPr>
    <w:rPr>
      <w:rFonts w:ascii="Arial" w:eastAsia="Times" w:hAnsi="Arial" w:cs="Times New Roman"/>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6080">
      <w:bodyDiv w:val="1"/>
      <w:marLeft w:val="0"/>
      <w:marRight w:val="0"/>
      <w:marTop w:val="0"/>
      <w:marBottom w:val="0"/>
      <w:divBdr>
        <w:top w:val="none" w:sz="0" w:space="0" w:color="auto"/>
        <w:left w:val="none" w:sz="0" w:space="0" w:color="auto"/>
        <w:bottom w:val="none" w:sz="0" w:space="0" w:color="auto"/>
        <w:right w:val="none" w:sz="0" w:space="0" w:color="auto"/>
      </w:divBdr>
    </w:div>
    <w:div w:id="438724164">
      <w:bodyDiv w:val="1"/>
      <w:marLeft w:val="0"/>
      <w:marRight w:val="0"/>
      <w:marTop w:val="0"/>
      <w:marBottom w:val="0"/>
      <w:divBdr>
        <w:top w:val="none" w:sz="0" w:space="0" w:color="auto"/>
        <w:left w:val="none" w:sz="0" w:space="0" w:color="auto"/>
        <w:bottom w:val="none" w:sz="0" w:space="0" w:color="auto"/>
        <w:right w:val="none" w:sz="0" w:space="0" w:color="auto"/>
      </w:divBdr>
      <w:divsChild>
        <w:div w:id="238297051">
          <w:marLeft w:val="0"/>
          <w:marRight w:val="0"/>
          <w:marTop w:val="0"/>
          <w:marBottom w:val="0"/>
          <w:divBdr>
            <w:top w:val="none" w:sz="0" w:space="0" w:color="auto"/>
            <w:left w:val="none" w:sz="0" w:space="0" w:color="auto"/>
            <w:bottom w:val="none" w:sz="0" w:space="0" w:color="auto"/>
            <w:right w:val="none" w:sz="0" w:space="0" w:color="auto"/>
          </w:divBdr>
        </w:div>
      </w:divsChild>
    </w:div>
    <w:div w:id="756754748">
      <w:bodyDiv w:val="1"/>
      <w:marLeft w:val="0"/>
      <w:marRight w:val="0"/>
      <w:marTop w:val="0"/>
      <w:marBottom w:val="0"/>
      <w:divBdr>
        <w:top w:val="none" w:sz="0" w:space="0" w:color="auto"/>
        <w:left w:val="none" w:sz="0" w:space="0" w:color="auto"/>
        <w:bottom w:val="none" w:sz="0" w:space="0" w:color="auto"/>
        <w:right w:val="none" w:sz="0" w:space="0" w:color="auto"/>
      </w:divBdr>
    </w:div>
    <w:div w:id="809637898">
      <w:bodyDiv w:val="1"/>
      <w:marLeft w:val="0"/>
      <w:marRight w:val="0"/>
      <w:marTop w:val="0"/>
      <w:marBottom w:val="0"/>
      <w:divBdr>
        <w:top w:val="none" w:sz="0" w:space="0" w:color="auto"/>
        <w:left w:val="none" w:sz="0" w:space="0" w:color="auto"/>
        <w:bottom w:val="none" w:sz="0" w:space="0" w:color="auto"/>
        <w:right w:val="none" w:sz="0" w:space="0" w:color="auto"/>
      </w:divBdr>
    </w:div>
    <w:div w:id="839275910">
      <w:bodyDiv w:val="1"/>
      <w:marLeft w:val="0"/>
      <w:marRight w:val="0"/>
      <w:marTop w:val="0"/>
      <w:marBottom w:val="0"/>
      <w:divBdr>
        <w:top w:val="none" w:sz="0" w:space="0" w:color="auto"/>
        <w:left w:val="none" w:sz="0" w:space="0" w:color="auto"/>
        <w:bottom w:val="none" w:sz="0" w:space="0" w:color="auto"/>
        <w:right w:val="none" w:sz="0" w:space="0" w:color="auto"/>
      </w:divBdr>
    </w:div>
    <w:div w:id="897134008">
      <w:bodyDiv w:val="1"/>
      <w:marLeft w:val="0"/>
      <w:marRight w:val="0"/>
      <w:marTop w:val="0"/>
      <w:marBottom w:val="0"/>
      <w:divBdr>
        <w:top w:val="none" w:sz="0" w:space="0" w:color="auto"/>
        <w:left w:val="none" w:sz="0" w:space="0" w:color="auto"/>
        <w:bottom w:val="none" w:sz="0" w:space="0" w:color="auto"/>
        <w:right w:val="none" w:sz="0" w:space="0" w:color="auto"/>
      </w:divBdr>
    </w:div>
    <w:div w:id="1106802507">
      <w:bodyDiv w:val="1"/>
      <w:marLeft w:val="0"/>
      <w:marRight w:val="0"/>
      <w:marTop w:val="0"/>
      <w:marBottom w:val="0"/>
      <w:divBdr>
        <w:top w:val="none" w:sz="0" w:space="0" w:color="auto"/>
        <w:left w:val="none" w:sz="0" w:space="0" w:color="auto"/>
        <w:bottom w:val="none" w:sz="0" w:space="0" w:color="auto"/>
        <w:right w:val="none" w:sz="0" w:space="0" w:color="auto"/>
      </w:divBdr>
    </w:div>
    <w:div w:id="1155531402">
      <w:bodyDiv w:val="1"/>
      <w:marLeft w:val="0"/>
      <w:marRight w:val="0"/>
      <w:marTop w:val="0"/>
      <w:marBottom w:val="0"/>
      <w:divBdr>
        <w:top w:val="none" w:sz="0" w:space="0" w:color="auto"/>
        <w:left w:val="none" w:sz="0" w:space="0" w:color="auto"/>
        <w:bottom w:val="none" w:sz="0" w:space="0" w:color="auto"/>
        <w:right w:val="none" w:sz="0" w:space="0" w:color="auto"/>
      </w:divBdr>
    </w:div>
    <w:div w:id="1504121436">
      <w:bodyDiv w:val="1"/>
      <w:marLeft w:val="0"/>
      <w:marRight w:val="0"/>
      <w:marTop w:val="0"/>
      <w:marBottom w:val="0"/>
      <w:divBdr>
        <w:top w:val="none" w:sz="0" w:space="0" w:color="auto"/>
        <w:left w:val="none" w:sz="0" w:space="0" w:color="auto"/>
        <w:bottom w:val="none" w:sz="0" w:space="0" w:color="auto"/>
        <w:right w:val="none" w:sz="0" w:space="0" w:color="auto"/>
      </w:divBdr>
      <w:divsChild>
        <w:div w:id="979386465">
          <w:marLeft w:val="0"/>
          <w:marRight w:val="0"/>
          <w:marTop w:val="0"/>
          <w:marBottom w:val="0"/>
          <w:divBdr>
            <w:top w:val="none" w:sz="0" w:space="0" w:color="auto"/>
            <w:left w:val="none" w:sz="0" w:space="0" w:color="auto"/>
            <w:bottom w:val="none" w:sz="0" w:space="0" w:color="auto"/>
            <w:right w:val="none" w:sz="0" w:space="0" w:color="auto"/>
          </w:divBdr>
        </w:div>
      </w:divsChild>
    </w:div>
    <w:div w:id="1631940663">
      <w:bodyDiv w:val="1"/>
      <w:marLeft w:val="0"/>
      <w:marRight w:val="0"/>
      <w:marTop w:val="0"/>
      <w:marBottom w:val="0"/>
      <w:divBdr>
        <w:top w:val="none" w:sz="0" w:space="0" w:color="auto"/>
        <w:left w:val="none" w:sz="0" w:space="0" w:color="auto"/>
        <w:bottom w:val="none" w:sz="0" w:space="0" w:color="auto"/>
        <w:right w:val="none" w:sz="0" w:space="0" w:color="auto"/>
      </w:divBdr>
    </w:div>
    <w:div w:id="1938901060">
      <w:bodyDiv w:val="1"/>
      <w:marLeft w:val="0"/>
      <w:marRight w:val="0"/>
      <w:marTop w:val="0"/>
      <w:marBottom w:val="0"/>
      <w:divBdr>
        <w:top w:val="none" w:sz="0" w:space="0" w:color="auto"/>
        <w:left w:val="none" w:sz="0" w:space="0" w:color="auto"/>
        <w:bottom w:val="none" w:sz="0" w:space="0" w:color="auto"/>
        <w:right w:val="none" w:sz="0" w:space="0" w:color="auto"/>
      </w:divBdr>
    </w:div>
    <w:div w:id="1987587227">
      <w:bodyDiv w:val="1"/>
      <w:marLeft w:val="0"/>
      <w:marRight w:val="0"/>
      <w:marTop w:val="0"/>
      <w:marBottom w:val="0"/>
      <w:divBdr>
        <w:top w:val="none" w:sz="0" w:space="0" w:color="auto"/>
        <w:left w:val="none" w:sz="0" w:space="0" w:color="auto"/>
        <w:bottom w:val="none" w:sz="0" w:space="0" w:color="auto"/>
        <w:right w:val="none" w:sz="0" w:space="0" w:color="auto"/>
      </w:divBdr>
    </w:div>
    <w:div w:id="1991211741">
      <w:bodyDiv w:val="1"/>
      <w:marLeft w:val="0"/>
      <w:marRight w:val="0"/>
      <w:marTop w:val="0"/>
      <w:marBottom w:val="0"/>
      <w:divBdr>
        <w:top w:val="none" w:sz="0" w:space="0" w:color="auto"/>
        <w:left w:val="none" w:sz="0" w:space="0" w:color="auto"/>
        <w:bottom w:val="none" w:sz="0" w:space="0" w:color="auto"/>
        <w:right w:val="none" w:sz="0" w:space="0" w:color="auto"/>
      </w:divBdr>
      <w:divsChild>
        <w:div w:id="212194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file:///C:\Users\vkri0102\AppData\Local\Temp\notes288A47\MHDReporting@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HDReporting@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E0EC-0DD0-4729-A7C0-301C1846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2020-10-27T00:19:00Z</dcterms:created>
  <dcterms:modified xsi:type="dcterms:W3CDTF">2020-10-27T01:15:00Z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Owner">
    <vt:lpwstr>Varun.Krishnan@dhhs.vic.gov.au</vt:lpwstr>
  </property>
  <property fmtid="{D5CDD505-2E9C-101B-9397-08002B2CF9AE}" pid="5" name="MSIP_Label_43e64453-338c-4f93-8a4d-0039a0a41f2a_SetDate">
    <vt:lpwstr>2020-10-27T00:20:18.2685809Z</vt:lpwstr>
  </property>
  <property fmtid="{D5CDD505-2E9C-101B-9397-08002B2CF9AE}" pid="6" name="MSIP_Label_43e64453-338c-4f93-8a4d-0039a0a41f2a_Name">
    <vt:lpwstr>OFFICIAL</vt:lpwstr>
  </property>
  <property fmtid="{D5CDD505-2E9C-101B-9397-08002B2CF9AE}" pid="7" name="MSIP_Label_43e64453-338c-4f93-8a4d-0039a0a41f2a_Application">
    <vt:lpwstr>Microsoft Azure Information Protection</vt:lpwstr>
  </property>
  <property fmtid="{D5CDD505-2E9C-101B-9397-08002B2CF9AE}" pid="8" name="MSIP_Label_43e64453-338c-4f93-8a4d-0039a0a41f2a_ActionId">
    <vt:lpwstr>0f088043-ac90-4a36-bac1-bd0e754b811b</vt:lpwstr>
  </property>
  <property fmtid="{D5CDD505-2E9C-101B-9397-08002B2CF9AE}" pid="9" name="MSIP_Label_43e64453-338c-4f93-8a4d-0039a0a41f2a_Extended_MSFT_Method">
    <vt:lpwstr>Manual</vt:lpwstr>
  </property>
  <property fmtid="{D5CDD505-2E9C-101B-9397-08002B2CF9AE}" pid="10" name="Sensitivity">
    <vt:lpwstr>OFFICIAL</vt:lpwstr>
  </property>
</Properties>
</file>