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7D03" w14:textId="1C84A44C" w:rsidR="00002990" w:rsidRPr="003072C6" w:rsidRDefault="00F1468C" w:rsidP="00A55989">
      <w:pPr>
        <w:pStyle w:val="DHHSbodynospace"/>
      </w:pPr>
      <w:bookmarkStart w:id="0" w:name="_GoBack"/>
      <w:bookmarkEnd w:id="0"/>
      <w:r>
        <w:rPr>
          <w:noProof/>
        </w:rPr>
        <w:drawing>
          <wp:anchor distT="0" distB="0" distL="114300" distR="114300" simplePos="0" relativeHeight="251657216" behindDoc="1" locked="0" layoutInCell="1" allowOverlap="1" wp14:anchorId="71B96906" wp14:editId="7E248D1E">
            <wp:simplePos x="0" y="0"/>
            <wp:positionH relativeFrom="page">
              <wp:align>right</wp:align>
            </wp:positionH>
            <wp:positionV relativeFrom="paragraph">
              <wp:posOffset>-2518410</wp:posOffset>
            </wp:positionV>
            <wp:extent cx="7542280" cy="10130377"/>
            <wp:effectExtent l="0" t="0" r="190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42280" cy="1013037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65995053" w14:textId="77777777">
        <w:trPr>
          <w:trHeight w:val="3988"/>
        </w:trPr>
        <w:tc>
          <w:tcPr>
            <w:tcW w:w="7938" w:type="dxa"/>
            <w:shd w:val="clear" w:color="auto" w:fill="auto"/>
          </w:tcPr>
          <w:p w14:paraId="7530A465" w14:textId="0937D78A" w:rsidR="00C416E1" w:rsidRPr="003072C6" w:rsidRDefault="00B7773B" w:rsidP="00E91933">
            <w:pPr>
              <w:pStyle w:val="DHHSreportmaintitlewhite"/>
            </w:pPr>
            <w:r>
              <w:t xml:space="preserve">Head and </w:t>
            </w:r>
            <w:r w:rsidR="00950BE1">
              <w:t>n</w:t>
            </w:r>
            <w:r>
              <w:t>eck cancer in Victoria</w:t>
            </w:r>
          </w:p>
          <w:p w14:paraId="661F9B65" w14:textId="77777777" w:rsidR="00444D82" w:rsidRPr="003072C6" w:rsidRDefault="00914707" w:rsidP="00E91933">
            <w:pPr>
              <w:pStyle w:val="DHHSreportsubtitlewhite"/>
            </w:pPr>
            <w:r>
              <w:t xml:space="preserve">Optimal care pathway data summary </w:t>
            </w:r>
            <w:r w:rsidR="004572E2">
              <w:t xml:space="preserve">report </w:t>
            </w:r>
            <w:r w:rsidR="00B7773B">
              <w:t>2018</w:t>
            </w:r>
          </w:p>
        </w:tc>
      </w:tr>
      <w:tr w:rsidR="001817CD" w:rsidRPr="003072C6" w14:paraId="77BF7BEC" w14:textId="77777777">
        <w:trPr>
          <w:trHeight w:val="4664"/>
        </w:trPr>
        <w:tc>
          <w:tcPr>
            <w:tcW w:w="10252" w:type="dxa"/>
            <w:shd w:val="clear" w:color="auto" w:fill="auto"/>
          </w:tcPr>
          <w:p w14:paraId="5D148858" w14:textId="6423844C" w:rsidR="00BC01C1" w:rsidRPr="003072C6" w:rsidRDefault="00BC01C1" w:rsidP="004F3441">
            <w:pPr>
              <w:pStyle w:val="Coverinstructions"/>
            </w:pPr>
          </w:p>
        </w:tc>
      </w:tr>
    </w:tbl>
    <w:p w14:paraId="0801F26A" w14:textId="77777777" w:rsidR="0069374A" w:rsidRPr="003072C6" w:rsidRDefault="0069374A" w:rsidP="00C2657D">
      <w:pPr>
        <w:pStyle w:val="DHHSbodynospace"/>
        <w:ind w:left="-454"/>
      </w:pPr>
    </w:p>
    <w:p w14:paraId="4DBD92B7" w14:textId="77777777" w:rsidR="00C51B1C" w:rsidRDefault="00C51B1C" w:rsidP="00CA6D4E">
      <w:pPr>
        <w:pStyle w:val="DHHSbodynospace"/>
        <w:sectPr w:rsidR="00C51B1C">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7CB257E2" w14:textId="2EB16C36" w:rsidR="00AC0C3B" w:rsidRPr="003072C6" w:rsidRDefault="009208F5" w:rsidP="00CA6D4E">
      <w:pPr>
        <w:pStyle w:val="DHHSbodynospace"/>
      </w:pPr>
      <w:r w:rsidRPr="003072C6">
        <w:br w:type="page"/>
      </w:r>
      <w:bookmarkStart w:id="1" w:name="_Hlk4675247"/>
      <w:bookmarkEnd w:id="1"/>
      <w:r w:rsidR="001837DE">
        <w:rPr>
          <w:noProof/>
          <w:lang w:eastAsia="en-AU"/>
        </w:rPr>
        <mc:AlternateContent>
          <mc:Choice Requires="wps">
            <w:drawing>
              <wp:anchor distT="0" distB="0" distL="114300" distR="114300" simplePos="0" relativeHeight="251640832" behindDoc="0" locked="0" layoutInCell="1" allowOverlap="1" wp14:anchorId="35B3557F" wp14:editId="32CE8929">
                <wp:simplePos x="0" y="0"/>
                <wp:positionH relativeFrom="column">
                  <wp:posOffset>4572000</wp:posOffset>
                </wp:positionH>
                <wp:positionV relativeFrom="paragraph">
                  <wp:posOffset>10172700</wp:posOffset>
                </wp:positionV>
                <wp:extent cx="2514600" cy="34290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ext uri="{91240B29-F687-4f45-9708-019B960494DF}"/>
                        </a:extLst>
                      </wps:spPr>
                      <wps:txbx>
                        <w:txbxContent>
                          <w:p w14:paraId="67B10648" w14:textId="77777777" w:rsidR="00B709A5" w:rsidRDefault="00B709A5"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557F" id="_x0000_t202" coordsize="21600,21600" o:spt="202" path="m,l,21600r21600,l21600,xe">
                <v:stroke joinstyle="miter"/>
                <v:path gradientshapeok="t" o:connecttype="rect"/>
              </v:shapetype>
              <v:shape id="Text Box 43" o:spid="_x0000_s1026" type="#_x0000_t202" style="position:absolute;margin-left:5in;margin-top:801pt;width:19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hJRA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NXfeElEAgAARgQA&#10;AA4AAAAAAAAAAAAAAAAALgIAAGRycy9lMm9Eb2MueG1sUEsBAi0AFAAGAAgAAAAhAFiFG2jcAAAA&#10;DgEAAA8AAAAAAAAAAAAAAAAAngQAAGRycy9kb3ducmV2LnhtbFBLBQYAAAAABAAEAPMAAACnBQAA&#10;AAA=&#10;" filled="f" stroked="f">
                <v:textbox>
                  <w:txbxContent>
                    <w:p w14:paraId="67B10648" w14:textId="77777777" w:rsidR="00B709A5" w:rsidRDefault="00B709A5"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6D1D618D" w14:textId="77777777">
        <w:trPr>
          <w:trHeight w:val="7402"/>
        </w:trPr>
        <w:tc>
          <w:tcPr>
            <w:tcW w:w="9298" w:type="dxa"/>
            <w:shd w:val="clear" w:color="auto" w:fill="auto"/>
            <w:vAlign w:val="center"/>
          </w:tcPr>
          <w:p w14:paraId="60E27E66" w14:textId="7376BC7F" w:rsidR="00F53CFD" w:rsidRPr="001E7A42" w:rsidRDefault="00914707" w:rsidP="00F62369">
            <w:pPr>
              <w:pStyle w:val="DHHSreportmaintitle"/>
            </w:pPr>
            <w:r>
              <w:lastRenderedPageBreak/>
              <w:t xml:space="preserve">Head and </w:t>
            </w:r>
            <w:r w:rsidR="00950BE1">
              <w:t>n</w:t>
            </w:r>
            <w:r w:rsidRPr="007970BD">
              <w:t>eck</w:t>
            </w:r>
            <w:r>
              <w:t xml:space="preserve"> cancer in Victoria</w:t>
            </w:r>
          </w:p>
          <w:p w14:paraId="6C17EE49" w14:textId="77777777" w:rsidR="00BB47D7" w:rsidRPr="003072C6" w:rsidRDefault="00914707" w:rsidP="00630937">
            <w:pPr>
              <w:pStyle w:val="DHHSreportsubtitle"/>
            </w:pPr>
            <w:r>
              <w:t xml:space="preserve">Optimal care pathway data summary </w:t>
            </w:r>
            <w:r w:rsidR="004572E2">
              <w:t xml:space="preserve">report </w:t>
            </w:r>
            <w:r>
              <w:t>2018</w:t>
            </w:r>
          </w:p>
        </w:tc>
      </w:tr>
      <w:tr w:rsidR="009906C7" w:rsidRPr="003072C6" w14:paraId="3ED2FE7D" w14:textId="77777777">
        <w:tc>
          <w:tcPr>
            <w:tcW w:w="9298" w:type="dxa"/>
            <w:shd w:val="clear" w:color="auto" w:fill="auto"/>
            <w:vAlign w:val="center"/>
          </w:tcPr>
          <w:p w14:paraId="1B3441F4" w14:textId="77777777" w:rsidR="009906C7" w:rsidRPr="003072C6" w:rsidRDefault="009906C7" w:rsidP="009906C7">
            <w:pPr>
              <w:pStyle w:val="DHHSbody"/>
            </w:pPr>
          </w:p>
        </w:tc>
      </w:tr>
    </w:tbl>
    <w:p w14:paraId="3F79DAE0" w14:textId="77777777" w:rsidR="00CA6D4E" w:rsidRPr="003072C6" w:rsidRDefault="00CA6D4E" w:rsidP="00CA6D4E">
      <w:pPr>
        <w:pStyle w:val="DHHSbodynospace"/>
      </w:pPr>
    </w:p>
    <w:p w14:paraId="40CE9892" w14:textId="77777777" w:rsidR="00AC0C3B" w:rsidRPr="003072C6" w:rsidRDefault="00C81BA6" w:rsidP="00CA6D4E">
      <w:pPr>
        <w:pStyle w:val="DHHSbodynospace"/>
      </w:pPr>
      <w:r w:rsidRPr="003072C6">
        <w:br w:type="page"/>
      </w:r>
    </w:p>
    <w:tbl>
      <w:tblPr>
        <w:tblW w:w="0" w:type="auto"/>
        <w:tblInd w:w="142" w:type="dxa"/>
        <w:tblCellMar>
          <w:top w:w="113" w:type="dxa"/>
          <w:left w:w="0" w:type="dxa"/>
          <w:bottom w:w="57" w:type="dxa"/>
          <w:right w:w="0" w:type="dxa"/>
        </w:tblCellMar>
        <w:tblLook w:val="00A0" w:firstRow="1" w:lastRow="0" w:firstColumn="1" w:lastColumn="0" w:noHBand="0" w:noVBand="0"/>
      </w:tblPr>
      <w:tblGrid>
        <w:gridCol w:w="9156"/>
      </w:tblGrid>
      <w:tr w:rsidR="00564E8F" w:rsidRPr="003072C6" w14:paraId="33487FB2" w14:textId="77777777">
        <w:trPr>
          <w:trHeight w:val="4313"/>
        </w:trPr>
        <w:tc>
          <w:tcPr>
            <w:tcW w:w="9156" w:type="dxa"/>
          </w:tcPr>
          <w:p w14:paraId="1BCD6FD8" w14:textId="46E19AB1" w:rsidR="00564E8F" w:rsidRPr="00605B5B" w:rsidRDefault="00564E8F" w:rsidP="00031263">
            <w:pPr>
              <w:pStyle w:val="DHHSbody"/>
              <w:rPr>
                <w:i/>
                <w:color w:val="008950"/>
                <w:sz w:val="26"/>
                <w:szCs w:val="26"/>
              </w:rPr>
            </w:pPr>
          </w:p>
        </w:tc>
      </w:tr>
      <w:tr w:rsidR="00564E8F" w:rsidRPr="003072C6" w14:paraId="5B24F78B" w14:textId="77777777">
        <w:trPr>
          <w:trHeight w:val="6336"/>
        </w:trPr>
        <w:tc>
          <w:tcPr>
            <w:tcW w:w="9156" w:type="dxa"/>
            <w:vAlign w:val="bottom"/>
          </w:tcPr>
          <w:p w14:paraId="7F579B6A" w14:textId="39BF9824"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B7773B">
              <w:rPr>
                <w:rFonts w:ascii="Arial" w:eastAsia="Times" w:hAnsi="Arial"/>
                <w:sz w:val="24"/>
                <w:szCs w:val="19"/>
              </w:rPr>
              <w:t xml:space="preserve">(03) 9096 2136, </w:t>
            </w:r>
            <w:r w:rsidRPr="00605B5B">
              <w:rPr>
                <w:rFonts w:ascii="Arial" w:eastAsia="Times" w:hAnsi="Arial"/>
                <w:sz w:val="24"/>
                <w:szCs w:val="19"/>
              </w:rPr>
              <w:t xml:space="preserve">using the National Relay Service 13 36 77 if required, or </w:t>
            </w:r>
            <w:hyperlink r:id="rId15" w:history="1">
              <w:r w:rsidRPr="00950BE1">
                <w:rPr>
                  <w:rStyle w:val="Hyperlink"/>
                  <w:rFonts w:eastAsia="Times"/>
                  <w:sz w:val="24"/>
                  <w:szCs w:val="19"/>
                </w:rPr>
                <w:t xml:space="preserve">email </w:t>
              </w:r>
              <w:r w:rsidR="00950BE1" w:rsidRPr="00950BE1">
                <w:rPr>
                  <w:rStyle w:val="Hyperlink"/>
                  <w:rFonts w:eastAsia="Times"/>
                  <w:sz w:val="24"/>
                  <w:szCs w:val="19"/>
                </w:rPr>
                <w:t>Cancer Strategy and Development</w:t>
              </w:r>
            </w:hyperlink>
            <w:r w:rsidR="00950BE1">
              <w:rPr>
                <w:rFonts w:ascii="Arial" w:eastAsia="Times" w:hAnsi="Arial"/>
                <w:sz w:val="24"/>
                <w:szCs w:val="19"/>
              </w:rPr>
              <w:t xml:space="preserve"> &lt;</w:t>
            </w:r>
            <w:r w:rsidR="00B7773B">
              <w:rPr>
                <w:rFonts w:ascii="Arial" w:eastAsia="Times" w:hAnsi="Arial"/>
                <w:sz w:val="24"/>
                <w:szCs w:val="19"/>
              </w:rPr>
              <w:t>cancerplanning@</w:t>
            </w:r>
            <w:r w:rsidR="00A93975">
              <w:rPr>
                <w:rFonts w:ascii="Arial" w:eastAsia="Times" w:hAnsi="Arial"/>
                <w:sz w:val="24"/>
                <w:szCs w:val="19"/>
              </w:rPr>
              <w:t>health</w:t>
            </w:r>
            <w:r w:rsidR="00B7773B">
              <w:rPr>
                <w:rFonts w:ascii="Arial" w:eastAsia="Times" w:hAnsi="Arial"/>
                <w:sz w:val="24"/>
                <w:szCs w:val="19"/>
              </w:rPr>
              <w:t>.vic.gov.au</w:t>
            </w:r>
            <w:r w:rsidR="00950BE1">
              <w:rPr>
                <w:rFonts w:ascii="Arial" w:eastAsia="Times" w:hAnsi="Arial"/>
                <w:sz w:val="24"/>
                <w:szCs w:val="19"/>
              </w:rPr>
              <w:t>&gt;</w:t>
            </w:r>
            <w:r w:rsidR="00B7773B">
              <w:rPr>
                <w:rFonts w:ascii="Arial" w:eastAsia="Times" w:hAnsi="Arial"/>
                <w:sz w:val="24"/>
                <w:szCs w:val="19"/>
              </w:rPr>
              <w:t>.</w:t>
            </w:r>
          </w:p>
          <w:p w14:paraId="5EF223D9"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0A561CDE" w14:textId="0C1CC3ED" w:rsidR="00605B5B" w:rsidRPr="00605B5B" w:rsidRDefault="00605B5B" w:rsidP="00605B5B">
            <w:pPr>
              <w:spacing w:after="120" w:line="270" w:lineRule="atLeast"/>
              <w:rPr>
                <w:rFonts w:ascii="Arial" w:eastAsia="Times" w:hAnsi="Arial"/>
              </w:rPr>
            </w:pPr>
            <w:r w:rsidRPr="00605B5B">
              <w:rPr>
                <w:rFonts w:ascii="Arial" w:eastAsia="Times" w:hAnsi="Arial"/>
              </w:rPr>
              <w:t>© State of Victoria, Department of Health</w:t>
            </w:r>
            <w:r w:rsidR="00950BE1">
              <w:rPr>
                <w:rFonts w:ascii="Arial" w:eastAsia="Times" w:hAnsi="Arial"/>
              </w:rPr>
              <w:t xml:space="preserve">, </w:t>
            </w:r>
            <w:r w:rsidR="001F39C0">
              <w:rPr>
                <w:rFonts w:ascii="Arial" w:eastAsia="Times" w:hAnsi="Arial"/>
              </w:rPr>
              <w:t>February 2021</w:t>
            </w:r>
            <w:r w:rsidR="00950BE1">
              <w:rPr>
                <w:rFonts w:ascii="Arial" w:eastAsia="Times" w:hAnsi="Arial"/>
              </w:rPr>
              <w:t>.</w:t>
            </w:r>
            <w:r w:rsidRPr="00605B5B">
              <w:rPr>
                <w:rFonts w:ascii="Arial" w:eastAsia="Times" w:hAnsi="Arial"/>
                <w:color w:val="008950"/>
              </w:rPr>
              <w:t xml:space="preserve"> </w:t>
            </w:r>
          </w:p>
          <w:p w14:paraId="6327426C" w14:textId="7E182F81" w:rsidR="00605B5B" w:rsidRDefault="00605B5B" w:rsidP="00605B5B">
            <w:pPr>
              <w:spacing w:after="120" w:line="270" w:lineRule="atLeast"/>
              <w:rPr>
                <w:rFonts w:ascii="Arial" w:eastAsia="Times" w:hAnsi="Arial"/>
              </w:rPr>
            </w:pPr>
            <w:r w:rsidRPr="00EB4BCE">
              <w:rPr>
                <w:rFonts w:ascii="Arial" w:eastAsia="Times" w:hAnsi="Arial"/>
                <w:b/>
                <w:bCs/>
              </w:rPr>
              <w:t>ISBN</w:t>
            </w:r>
            <w:r w:rsidR="00ED652F" w:rsidRPr="00EB4BCE">
              <w:t xml:space="preserve"> </w:t>
            </w:r>
            <w:r w:rsidR="00ED652F" w:rsidRPr="00EB4BCE">
              <w:rPr>
                <w:rFonts w:ascii="Arial" w:eastAsia="Times" w:hAnsi="Arial"/>
              </w:rPr>
              <w:t>978-1-76069-238-4</w:t>
            </w:r>
            <w:r w:rsidR="001F39C0" w:rsidRPr="00EB4BCE">
              <w:rPr>
                <w:rFonts w:ascii="Arial" w:eastAsia="Times" w:hAnsi="Arial"/>
              </w:rPr>
              <w:t xml:space="preserve"> </w:t>
            </w:r>
            <w:r w:rsidR="001F39C0" w:rsidRPr="00EB4BCE">
              <w:rPr>
                <w:rFonts w:ascii="Arial" w:hAnsi="Arial" w:cs="Arial"/>
                <w:b/>
                <w:bCs/>
                <w:color w:val="000000"/>
              </w:rPr>
              <w:t>(pdf/online/MS word)</w:t>
            </w:r>
          </w:p>
          <w:p w14:paraId="742C1B6C" w14:textId="231B3954" w:rsidR="00564E8F" w:rsidRPr="003072C6" w:rsidRDefault="00605B5B" w:rsidP="00605B5B">
            <w:pPr>
              <w:pStyle w:val="DHHSbody"/>
            </w:pPr>
            <w:r w:rsidRPr="00605B5B">
              <w:rPr>
                <w:szCs w:val="19"/>
              </w:rPr>
              <w:t xml:space="preserve">Available </w:t>
            </w:r>
            <w:r w:rsidR="00950BE1">
              <w:rPr>
                <w:szCs w:val="19"/>
              </w:rPr>
              <w:t xml:space="preserve">from the </w:t>
            </w:r>
            <w:hyperlink r:id="rId16" w:history="1">
              <w:r w:rsidR="00950BE1" w:rsidRPr="00950BE1">
                <w:rPr>
                  <w:rStyle w:val="Hyperlink"/>
                  <w:szCs w:val="19"/>
                </w:rPr>
                <w:t>Cancer Strategy and Development</w:t>
              </w:r>
              <w:r w:rsidR="00950BE1" w:rsidRPr="00950BE1" w:rsidDel="00950BE1">
                <w:rPr>
                  <w:rStyle w:val="Hyperlink"/>
                  <w:szCs w:val="19"/>
                </w:rPr>
                <w:t xml:space="preserve"> </w:t>
              </w:r>
              <w:r w:rsidR="00950BE1" w:rsidRPr="00950BE1">
                <w:rPr>
                  <w:rStyle w:val="Hyperlink"/>
                  <w:szCs w:val="19"/>
                </w:rPr>
                <w:t>webpage</w:t>
              </w:r>
            </w:hyperlink>
            <w:r w:rsidRPr="00605B5B">
              <w:rPr>
                <w:szCs w:val="19"/>
              </w:rPr>
              <w:t xml:space="preserve"> </w:t>
            </w:r>
            <w:r w:rsidR="00950BE1">
              <w:rPr>
                <w:szCs w:val="19"/>
              </w:rPr>
              <w:t>&lt;</w:t>
            </w:r>
            <w:r w:rsidR="00B7773B">
              <w:rPr>
                <w:szCs w:val="19"/>
              </w:rPr>
              <w:t>www.health.vic.gov.au/cancer</w:t>
            </w:r>
            <w:r w:rsidR="00950BE1">
              <w:t>&gt;.</w:t>
            </w:r>
          </w:p>
        </w:tc>
      </w:tr>
      <w:tr w:rsidR="009906C7" w:rsidRPr="003072C6" w14:paraId="19FDD4BE" w14:textId="77777777">
        <w:tc>
          <w:tcPr>
            <w:tcW w:w="9156" w:type="dxa"/>
            <w:vAlign w:val="bottom"/>
          </w:tcPr>
          <w:p w14:paraId="34396C55" w14:textId="77777777" w:rsidR="009906C7" w:rsidRPr="003072C6" w:rsidRDefault="009906C7" w:rsidP="009906C7">
            <w:pPr>
              <w:pStyle w:val="DHHSbody"/>
            </w:pPr>
          </w:p>
        </w:tc>
      </w:tr>
    </w:tbl>
    <w:p w14:paraId="39D74B06" w14:textId="77777777" w:rsidR="00ED4D17" w:rsidRPr="003072C6" w:rsidRDefault="00ED4D17" w:rsidP="003072C6">
      <w:pPr>
        <w:pStyle w:val="DHHSbody"/>
      </w:pPr>
    </w:p>
    <w:p w14:paraId="6DE3F032" w14:textId="77777777" w:rsidR="002E5886" w:rsidRDefault="002E5886" w:rsidP="0062597E">
      <w:pPr>
        <w:pStyle w:val="DHHSbody"/>
        <w:rPr>
          <w:color w:val="9F2241"/>
          <w:sz w:val="44"/>
          <w:szCs w:val="44"/>
        </w:rPr>
      </w:pPr>
      <w:r>
        <w:br w:type="page"/>
      </w:r>
    </w:p>
    <w:p w14:paraId="13660265" w14:textId="57F85BBB" w:rsidR="00BE72CE" w:rsidRPr="00AB50C1" w:rsidRDefault="00BE72CE" w:rsidP="007970BD">
      <w:pPr>
        <w:pStyle w:val="Heading1"/>
      </w:pPr>
      <w:bookmarkStart w:id="2" w:name="_Toc22713838"/>
      <w:r>
        <w:t>Foreword</w:t>
      </w:r>
      <w:bookmarkEnd w:id="2"/>
    </w:p>
    <w:p w14:paraId="118AA550" w14:textId="397F27A3" w:rsidR="00344428" w:rsidRPr="00344428" w:rsidRDefault="00344428" w:rsidP="00344428">
      <w:pPr>
        <w:pStyle w:val="DHHSbody"/>
      </w:pPr>
      <w:r w:rsidRPr="00344428">
        <w:t>This report provides a summary of the data analyses prepared for the Head and Neck Cancers Summit meeting</w:t>
      </w:r>
      <w:r w:rsidR="00A72797">
        <w:t>,</w:t>
      </w:r>
      <w:r w:rsidRPr="00344428">
        <w:t xml:space="preserve"> which took place on 12 October 2018.</w:t>
      </w:r>
    </w:p>
    <w:p w14:paraId="0EF4BAF1" w14:textId="00D49D37" w:rsidR="00344428" w:rsidRPr="00344428" w:rsidRDefault="00344428" w:rsidP="00344428">
      <w:pPr>
        <w:pStyle w:val="DHHSbody"/>
      </w:pPr>
      <w:r w:rsidRPr="00344428">
        <w:t xml:space="preserve">The Victorian </w:t>
      </w:r>
      <w:r w:rsidR="00DD6296">
        <w:t>T</w:t>
      </w:r>
      <w:r w:rsidRPr="00344428">
        <w:t xml:space="preserve">umour </w:t>
      </w:r>
      <w:r w:rsidR="00DD6296">
        <w:t>S</w:t>
      </w:r>
      <w:r w:rsidRPr="00344428">
        <w:t>ummits are clinician-led forum</w:t>
      </w:r>
      <w:r w:rsidR="007C138D">
        <w:t>s</w:t>
      </w:r>
      <w:r w:rsidRPr="00344428">
        <w:t xml:space="preserve"> to identify unwarranted variation in tumour-based clinical practice and cancer outcomes across the state. We were thrilled to be able to co-chair the Head and Neck Cancers Summit </w:t>
      </w:r>
      <w:r w:rsidR="007C138D">
        <w:t>W</w:t>
      </w:r>
      <w:r w:rsidRPr="00344428">
        <w:t xml:space="preserve">orking </w:t>
      </w:r>
      <w:r w:rsidR="007C138D">
        <w:t>G</w:t>
      </w:r>
      <w:r w:rsidRPr="00344428">
        <w:t xml:space="preserve">roup that was convened to guide the analyses of statewide routine datasets to understand current patterns of care for Victorians with this disease. This work has highlighted areas of care requiring further investigation and action that will hopefully reduce variation and improve experiences and clinical outcomes for head and neck cancer patients across Victoria. </w:t>
      </w:r>
    </w:p>
    <w:p w14:paraId="5DB470F6" w14:textId="5EE148C7" w:rsidR="00344428" w:rsidRPr="00344428" w:rsidRDefault="00344428" w:rsidP="00344428">
      <w:pPr>
        <w:pStyle w:val="DHHSbody"/>
      </w:pPr>
      <w:r w:rsidRPr="00344428">
        <w:t>We want to emphasise the vital importance of this tumour summit program in bringing together the clinical community to identify and discuss where we can collectively make changes to improve care for our patients. The Head and Neck Cancers Summit was attended by 101 participants, the largest meeting of any summit to date. This highlights the keen interest within our clinical community to better understand and improve care for our patients.</w:t>
      </w:r>
    </w:p>
    <w:p w14:paraId="6E5E7D28" w14:textId="48CDBD11" w:rsidR="00344428" w:rsidRPr="00344428" w:rsidRDefault="00344428" w:rsidP="00344428">
      <w:pPr>
        <w:pStyle w:val="DHHSbody"/>
      </w:pPr>
      <w:r w:rsidRPr="00344428">
        <w:t>We would like to acknowledge and thank our colleagues on the working group and all those who attended the summit for their time, effort and active contributions to make the meeting such a success. A special thanks to Ella Stuart</w:t>
      </w:r>
      <w:r w:rsidR="007C138D">
        <w:t>,</w:t>
      </w:r>
      <w:r w:rsidRPr="00344428">
        <w:t xml:space="preserve"> who undertook the data analyses</w:t>
      </w:r>
      <w:r w:rsidR="007C138D">
        <w:t>,</w:t>
      </w:r>
      <w:r w:rsidRPr="00344428">
        <w:t xml:space="preserve"> and the tumour summit project team for their support throughout the process.</w:t>
      </w:r>
    </w:p>
    <w:p w14:paraId="39F46809" w14:textId="5FC7EE32" w:rsidR="00344428" w:rsidRPr="00344428" w:rsidRDefault="00344428" w:rsidP="00344428">
      <w:pPr>
        <w:pStyle w:val="DHHSbody"/>
      </w:pPr>
      <w:r w:rsidRPr="00344428">
        <w:t>We look forward to engaging further with statewide colleagues to focus on the opportunities for improvement that this process has identified and seeing how those efforts can benefit all our patients.</w:t>
      </w:r>
    </w:p>
    <w:p w14:paraId="1E4C15E2" w14:textId="2BE1D6CE" w:rsidR="00BE72CE" w:rsidRDefault="00BE72CE" w:rsidP="00BE72CE">
      <w:pPr>
        <w:pStyle w:val="DHHSbody"/>
      </w:pPr>
    </w:p>
    <w:p w14:paraId="11FA5B7B" w14:textId="399B7264" w:rsidR="003F7FAC" w:rsidRDefault="003F7FAC" w:rsidP="003F7FAC">
      <w:pPr>
        <w:pStyle w:val="DHHSbody"/>
        <w:tabs>
          <w:tab w:val="left" w:pos="4820"/>
        </w:tabs>
      </w:pPr>
      <w:r>
        <w:rPr>
          <w:noProof/>
        </w:rPr>
        <w:drawing>
          <wp:inline distT="0" distB="0" distL="0" distR="0" wp14:anchorId="7D00700A" wp14:editId="1F085D01">
            <wp:extent cx="1252913" cy="792480"/>
            <wp:effectExtent l="0" t="0" r="4445" b="7620"/>
            <wp:docPr id="19" name="Picture 19" descr="Mr Stephen Tu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r Stephen Tudge signature"/>
                    <pic:cNvPicPr/>
                  </pic:nvPicPr>
                  <pic:blipFill>
                    <a:blip r:embed="rId17"/>
                    <a:stretch>
                      <a:fillRect/>
                    </a:stretch>
                  </pic:blipFill>
                  <pic:spPr>
                    <a:xfrm>
                      <a:off x="0" y="0"/>
                      <a:ext cx="1256836" cy="794961"/>
                    </a:xfrm>
                    <a:prstGeom prst="rect">
                      <a:avLst/>
                    </a:prstGeom>
                  </pic:spPr>
                </pic:pic>
              </a:graphicData>
            </a:graphic>
          </wp:inline>
        </w:drawing>
      </w:r>
      <w:r>
        <w:tab/>
      </w:r>
      <w:r>
        <w:rPr>
          <w:noProof/>
        </w:rPr>
        <w:drawing>
          <wp:inline distT="0" distB="0" distL="0" distR="0" wp14:anchorId="44A74EC4" wp14:editId="58253F88">
            <wp:extent cx="1752982" cy="633095"/>
            <wp:effectExtent l="0" t="0" r="0" b="0"/>
            <wp:docPr id="20" name="Picture 20" descr="Dr Andrew Cole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r Andrew Coleman signature"/>
                    <pic:cNvPicPr/>
                  </pic:nvPicPr>
                  <pic:blipFill>
                    <a:blip r:embed="rId18"/>
                    <a:stretch>
                      <a:fillRect/>
                    </a:stretch>
                  </pic:blipFill>
                  <pic:spPr>
                    <a:xfrm>
                      <a:off x="0" y="0"/>
                      <a:ext cx="1767056" cy="638178"/>
                    </a:xfrm>
                    <a:prstGeom prst="rect">
                      <a:avLst/>
                    </a:prstGeom>
                  </pic:spPr>
                </pic:pic>
              </a:graphicData>
            </a:graphic>
          </wp:inline>
        </w:drawing>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590"/>
      </w:tblGrid>
      <w:tr w:rsidR="008E0498" w14:paraId="1ECEFD2B" w14:textId="77777777" w:rsidTr="002E5886">
        <w:tc>
          <w:tcPr>
            <w:tcW w:w="4793" w:type="dxa"/>
          </w:tcPr>
          <w:p w14:paraId="1D032B76" w14:textId="77777777" w:rsidR="002E5886" w:rsidRPr="002E5886" w:rsidRDefault="002E5886" w:rsidP="002E5886">
            <w:pPr>
              <w:pStyle w:val="DHHSbodynospace"/>
              <w:rPr>
                <w:b/>
                <w:bCs/>
              </w:rPr>
            </w:pPr>
            <w:r w:rsidRPr="002E5886">
              <w:rPr>
                <w:b/>
                <w:bCs/>
              </w:rPr>
              <w:t>Mr Stephen Tudge</w:t>
            </w:r>
          </w:p>
          <w:p w14:paraId="72F12CA2" w14:textId="20B8990A" w:rsidR="002E5886" w:rsidRDefault="002E5886" w:rsidP="002E5886">
            <w:pPr>
              <w:pStyle w:val="DHHSbodynospace"/>
              <w:rPr>
                <w:b/>
                <w:bCs/>
              </w:rPr>
            </w:pPr>
            <w:r w:rsidRPr="002E5886">
              <w:rPr>
                <w:b/>
                <w:bCs/>
              </w:rPr>
              <w:t>Co-chair</w:t>
            </w:r>
            <w:r w:rsidR="00A72797">
              <w:rPr>
                <w:b/>
                <w:bCs/>
              </w:rPr>
              <w:t xml:space="preserve">, </w:t>
            </w:r>
            <w:r w:rsidR="00A72797" w:rsidRPr="0023047C">
              <w:rPr>
                <w:b/>
                <w:bCs/>
              </w:rPr>
              <w:t>Head and Neck Cancers Summit</w:t>
            </w:r>
          </w:p>
          <w:p w14:paraId="22ADAD22" w14:textId="2DAA9515" w:rsidR="008E0498" w:rsidRPr="002E5886" w:rsidRDefault="008E0498" w:rsidP="002E5886">
            <w:pPr>
              <w:pStyle w:val="DHHSbodynospace"/>
              <w:rPr>
                <w:b/>
                <w:bCs/>
              </w:rPr>
            </w:pPr>
          </w:p>
        </w:tc>
        <w:tc>
          <w:tcPr>
            <w:tcW w:w="4590" w:type="dxa"/>
          </w:tcPr>
          <w:p w14:paraId="1AE05606" w14:textId="1F7456FB" w:rsidR="002E5886" w:rsidRPr="002E5886" w:rsidRDefault="002E5886" w:rsidP="002E5886">
            <w:pPr>
              <w:pStyle w:val="DHHSbodynospace"/>
              <w:rPr>
                <w:b/>
                <w:bCs/>
              </w:rPr>
            </w:pPr>
            <w:r w:rsidRPr="002E5886">
              <w:rPr>
                <w:b/>
                <w:bCs/>
              </w:rPr>
              <w:t>Dr Andrew Coleman</w:t>
            </w:r>
          </w:p>
          <w:p w14:paraId="1CBE7421" w14:textId="77777777" w:rsidR="002E5886" w:rsidRDefault="002E5886" w:rsidP="002E5886">
            <w:pPr>
              <w:pStyle w:val="DHHSbodynospace"/>
              <w:rPr>
                <w:b/>
                <w:bCs/>
              </w:rPr>
            </w:pPr>
            <w:r w:rsidRPr="002E5886">
              <w:rPr>
                <w:b/>
                <w:bCs/>
              </w:rPr>
              <w:t>Co-chair</w:t>
            </w:r>
            <w:r w:rsidR="00A72797">
              <w:rPr>
                <w:b/>
                <w:bCs/>
              </w:rPr>
              <w:t xml:space="preserve">, </w:t>
            </w:r>
            <w:r w:rsidR="00A72797" w:rsidRPr="005150E9">
              <w:rPr>
                <w:b/>
                <w:bCs/>
              </w:rPr>
              <w:t>Head and Neck Cancers Summit</w:t>
            </w:r>
          </w:p>
          <w:p w14:paraId="7BD7BF33" w14:textId="30A0B608" w:rsidR="008E0498" w:rsidRPr="002E5886" w:rsidRDefault="008E0498" w:rsidP="002E5886">
            <w:pPr>
              <w:pStyle w:val="DHHSbodynospace"/>
              <w:rPr>
                <w:b/>
                <w:bCs/>
              </w:rPr>
            </w:pPr>
          </w:p>
        </w:tc>
      </w:tr>
    </w:tbl>
    <w:p w14:paraId="21A2495A" w14:textId="77777777" w:rsidR="00BE72CE" w:rsidRDefault="00BE72CE" w:rsidP="00BE72CE">
      <w:pPr>
        <w:pStyle w:val="DHHSbody"/>
        <w:sectPr w:rsidR="00BE72CE" w:rsidSect="009560A2">
          <w:headerReference w:type="even" r:id="rId19"/>
          <w:headerReference w:type="default" r:id="rId20"/>
          <w:footerReference w:type="even" r:id="rId21"/>
          <w:footerReference w:type="default" r:id="rId22"/>
          <w:footerReference w:type="first" r:id="rId23"/>
          <w:type w:val="continuous"/>
          <w:pgSz w:w="11906" w:h="16838"/>
          <w:pgMar w:top="1701" w:right="1304" w:bottom="1134" w:left="1304" w:header="454" w:footer="510" w:gutter="0"/>
          <w:cols w:space="720"/>
          <w:docGrid w:linePitch="360"/>
        </w:sectPr>
      </w:pPr>
    </w:p>
    <w:p w14:paraId="69E4D038" w14:textId="77777777" w:rsidR="00AC0C3B" w:rsidRPr="001E7A42" w:rsidRDefault="00AC0C3B" w:rsidP="007970BD">
      <w:pPr>
        <w:pStyle w:val="DHHSTOCheadingreport"/>
      </w:pPr>
      <w:r w:rsidRPr="001E7A42">
        <w:t>Contents</w:t>
      </w:r>
    </w:p>
    <w:p w14:paraId="5BC85E0C" w14:textId="587AF354" w:rsidR="00F62369" w:rsidRDefault="00954022">
      <w:pPr>
        <w:pStyle w:val="TOC1"/>
        <w:rPr>
          <w:rFonts w:asciiTheme="minorHAnsi" w:eastAsiaTheme="minorEastAsia" w:hAnsiTheme="minorHAnsi" w:cstheme="minorBidi"/>
          <w:b w:val="0"/>
          <w:sz w:val="22"/>
          <w:szCs w:val="22"/>
          <w:lang w:eastAsia="en-AU"/>
        </w:rPr>
      </w:pPr>
      <w:r w:rsidRPr="003072C6">
        <w:rPr>
          <w:noProof w:val="0"/>
        </w:rPr>
        <w:fldChar w:fldCharType="begin"/>
      </w:r>
      <w:r w:rsidR="00E15DA9" w:rsidRPr="003072C6">
        <w:rPr>
          <w:noProof w:val="0"/>
        </w:rPr>
        <w:instrText xml:space="preserve"> TOC \h \z \t "Heading 1,1,Heading 2,2" </w:instrText>
      </w:r>
      <w:r w:rsidRPr="003072C6">
        <w:rPr>
          <w:noProof w:val="0"/>
        </w:rPr>
        <w:fldChar w:fldCharType="separate"/>
      </w:r>
      <w:hyperlink w:anchor="_Toc22713838" w:history="1">
        <w:r w:rsidR="00F62369" w:rsidRPr="007B5BA9">
          <w:rPr>
            <w:rStyle w:val="Hyperlink"/>
          </w:rPr>
          <w:t>Foreword</w:t>
        </w:r>
        <w:r w:rsidR="00F62369">
          <w:rPr>
            <w:webHidden/>
          </w:rPr>
          <w:tab/>
        </w:r>
        <w:r w:rsidR="00F62369">
          <w:rPr>
            <w:webHidden/>
          </w:rPr>
          <w:fldChar w:fldCharType="begin"/>
        </w:r>
        <w:r w:rsidR="00F62369">
          <w:rPr>
            <w:webHidden/>
          </w:rPr>
          <w:instrText xml:space="preserve"> PAGEREF _Toc22713838 \h </w:instrText>
        </w:r>
        <w:r w:rsidR="00F62369">
          <w:rPr>
            <w:webHidden/>
          </w:rPr>
        </w:r>
        <w:r w:rsidR="00F62369">
          <w:rPr>
            <w:webHidden/>
          </w:rPr>
          <w:fldChar w:fldCharType="separate"/>
        </w:r>
        <w:r w:rsidR="00F62369">
          <w:rPr>
            <w:webHidden/>
          </w:rPr>
          <w:t>4</w:t>
        </w:r>
        <w:r w:rsidR="00F62369">
          <w:rPr>
            <w:webHidden/>
          </w:rPr>
          <w:fldChar w:fldCharType="end"/>
        </w:r>
      </w:hyperlink>
    </w:p>
    <w:p w14:paraId="30CCD710" w14:textId="4DA2A929" w:rsidR="00F62369" w:rsidRDefault="00C66EC2">
      <w:pPr>
        <w:pStyle w:val="TOC1"/>
        <w:rPr>
          <w:rFonts w:asciiTheme="minorHAnsi" w:eastAsiaTheme="minorEastAsia" w:hAnsiTheme="minorHAnsi" w:cstheme="minorBidi"/>
          <w:b w:val="0"/>
          <w:sz w:val="22"/>
          <w:szCs w:val="22"/>
          <w:lang w:eastAsia="en-AU"/>
        </w:rPr>
      </w:pPr>
      <w:hyperlink w:anchor="_Toc22713839" w:history="1">
        <w:r w:rsidR="00F62369" w:rsidRPr="007B5BA9">
          <w:rPr>
            <w:rStyle w:val="Hyperlink"/>
          </w:rPr>
          <w:t>List of figures</w:t>
        </w:r>
        <w:r w:rsidR="00F62369">
          <w:rPr>
            <w:webHidden/>
          </w:rPr>
          <w:tab/>
        </w:r>
        <w:r w:rsidR="00F62369">
          <w:rPr>
            <w:webHidden/>
          </w:rPr>
          <w:fldChar w:fldCharType="begin"/>
        </w:r>
        <w:r w:rsidR="00F62369">
          <w:rPr>
            <w:webHidden/>
          </w:rPr>
          <w:instrText xml:space="preserve"> PAGEREF _Toc22713839 \h </w:instrText>
        </w:r>
        <w:r w:rsidR="00F62369">
          <w:rPr>
            <w:webHidden/>
          </w:rPr>
        </w:r>
        <w:r w:rsidR="00F62369">
          <w:rPr>
            <w:webHidden/>
          </w:rPr>
          <w:fldChar w:fldCharType="separate"/>
        </w:r>
        <w:r w:rsidR="00F62369">
          <w:rPr>
            <w:webHidden/>
          </w:rPr>
          <w:t>vi</w:t>
        </w:r>
        <w:r w:rsidR="00F62369">
          <w:rPr>
            <w:webHidden/>
          </w:rPr>
          <w:fldChar w:fldCharType="end"/>
        </w:r>
      </w:hyperlink>
    </w:p>
    <w:p w14:paraId="3D635F73" w14:textId="7D4F7711" w:rsidR="00F62369" w:rsidRDefault="00C66EC2">
      <w:pPr>
        <w:pStyle w:val="TOC1"/>
        <w:rPr>
          <w:rFonts w:asciiTheme="minorHAnsi" w:eastAsiaTheme="minorEastAsia" w:hAnsiTheme="minorHAnsi" w:cstheme="minorBidi"/>
          <w:b w:val="0"/>
          <w:sz w:val="22"/>
          <w:szCs w:val="22"/>
          <w:lang w:eastAsia="en-AU"/>
        </w:rPr>
      </w:pPr>
      <w:hyperlink w:anchor="_Toc22713840" w:history="1">
        <w:r w:rsidR="00F62369" w:rsidRPr="007B5BA9">
          <w:rPr>
            <w:rStyle w:val="Hyperlink"/>
          </w:rPr>
          <w:t>List of tables</w:t>
        </w:r>
        <w:r w:rsidR="00F62369">
          <w:rPr>
            <w:webHidden/>
          </w:rPr>
          <w:tab/>
        </w:r>
        <w:r w:rsidR="00F62369">
          <w:rPr>
            <w:webHidden/>
          </w:rPr>
          <w:fldChar w:fldCharType="begin"/>
        </w:r>
        <w:r w:rsidR="00F62369">
          <w:rPr>
            <w:webHidden/>
          </w:rPr>
          <w:instrText xml:space="preserve"> PAGEREF _Toc22713840 \h </w:instrText>
        </w:r>
        <w:r w:rsidR="00F62369">
          <w:rPr>
            <w:webHidden/>
          </w:rPr>
        </w:r>
        <w:r w:rsidR="00F62369">
          <w:rPr>
            <w:webHidden/>
          </w:rPr>
          <w:fldChar w:fldCharType="separate"/>
        </w:r>
        <w:r w:rsidR="00F62369">
          <w:rPr>
            <w:webHidden/>
          </w:rPr>
          <w:t>vi</w:t>
        </w:r>
        <w:r w:rsidR="00F62369">
          <w:rPr>
            <w:webHidden/>
          </w:rPr>
          <w:fldChar w:fldCharType="end"/>
        </w:r>
      </w:hyperlink>
    </w:p>
    <w:p w14:paraId="28518211" w14:textId="26A26163" w:rsidR="00F62369" w:rsidRDefault="00C66EC2">
      <w:pPr>
        <w:pStyle w:val="TOC1"/>
        <w:rPr>
          <w:rFonts w:asciiTheme="minorHAnsi" w:eastAsiaTheme="minorEastAsia" w:hAnsiTheme="minorHAnsi" w:cstheme="minorBidi"/>
          <w:b w:val="0"/>
          <w:sz w:val="22"/>
          <w:szCs w:val="22"/>
          <w:lang w:eastAsia="en-AU"/>
        </w:rPr>
      </w:pPr>
      <w:hyperlink w:anchor="_Toc22713841" w:history="1">
        <w:r w:rsidR="00F62369" w:rsidRPr="007B5BA9">
          <w:rPr>
            <w:rStyle w:val="Hyperlink"/>
          </w:rPr>
          <w:t>Acknowledgements</w:t>
        </w:r>
        <w:r w:rsidR="00F62369">
          <w:rPr>
            <w:webHidden/>
          </w:rPr>
          <w:tab/>
        </w:r>
        <w:r w:rsidR="00F62369">
          <w:rPr>
            <w:webHidden/>
          </w:rPr>
          <w:fldChar w:fldCharType="begin"/>
        </w:r>
        <w:r w:rsidR="00F62369">
          <w:rPr>
            <w:webHidden/>
          </w:rPr>
          <w:instrText xml:space="preserve"> PAGEREF _Toc22713841 \h </w:instrText>
        </w:r>
        <w:r w:rsidR="00F62369">
          <w:rPr>
            <w:webHidden/>
          </w:rPr>
        </w:r>
        <w:r w:rsidR="00F62369">
          <w:rPr>
            <w:webHidden/>
          </w:rPr>
          <w:fldChar w:fldCharType="separate"/>
        </w:r>
        <w:r w:rsidR="00F62369">
          <w:rPr>
            <w:webHidden/>
          </w:rPr>
          <w:t>8</w:t>
        </w:r>
        <w:r w:rsidR="00F62369">
          <w:rPr>
            <w:webHidden/>
          </w:rPr>
          <w:fldChar w:fldCharType="end"/>
        </w:r>
      </w:hyperlink>
    </w:p>
    <w:p w14:paraId="59F77DFF" w14:textId="24DABCBA" w:rsidR="00F62369" w:rsidRDefault="00C66EC2">
      <w:pPr>
        <w:pStyle w:val="TOC1"/>
        <w:rPr>
          <w:rFonts w:asciiTheme="minorHAnsi" w:eastAsiaTheme="minorEastAsia" w:hAnsiTheme="minorHAnsi" w:cstheme="minorBidi"/>
          <w:b w:val="0"/>
          <w:sz w:val="22"/>
          <w:szCs w:val="22"/>
          <w:lang w:eastAsia="en-AU"/>
        </w:rPr>
      </w:pPr>
      <w:hyperlink w:anchor="_Toc22713842" w:history="1">
        <w:r w:rsidR="00F62369" w:rsidRPr="007B5BA9">
          <w:rPr>
            <w:rStyle w:val="Hyperlink"/>
          </w:rPr>
          <w:t>Introduction</w:t>
        </w:r>
        <w:r w:rsidR="00F62369">
          <w:rPr>
            <w:webHidden/>
          </w:rPr>
          <w:tab/>
        </w:r>
        <w:r w:rsidR="00F62369">
          <w:rPr>
            <w:webHidden/>
          </w:rPr>
          <w:fldChar w:fldCharType="begin"/>
        </w:r>
        <w:r w:rsidR="00F62369">
          <w:rPr>
            <w:webHidden/>
          </w:rPr>
          <w:instrText xml:space="preserve"> PAGEREF _Toc22713842 \h </w:instrText>
        </w:r>
        <w:r w:rsidR="00F62369">
          <w:rPr>
            <w:webHidden/>
          </w:rPr>
        </w:r>
        <w:r w:rsidR="00F62369">
          <w:rPr>
            <w:webHidden/>
          </w:rPr>
          <w:fldChar w:fldCharType="separate"/>
        </w:r>
        <w:r w:rsidR="00F62369">
          <w:rPr>
            <w:webHidden/>
          </w:rPr>
          <w:t>1</w:t>
        </w:r>
        <w:r w:rsidR="00F62369">
          <w:rPr>
            <w:webHidden/>
          </w:rPr>
          <w:fldChar w:fldCharType="end"/>
        </w:r>
      </w:hyperlink>
    </w:p>
    <w:p w14:paraId="06A985D8" w14:textId="5FF038B1" w:rsidR="00F62369" w:rsidRDefault="00C66EC2">
      <w:pPr>
        <w:pStyle w:val="TOC2"/>
        <w:rPr>
          <w:rFonts w:asciiTheme="minorHAnsi" w:eastAsiaTheme="minorEastAsia" w:hAnsiTheme="minorHAnsi" w:cstheme="minorBidi"/>
          <w:sz w:val="22"/>
          <w:szCs w:val="22"/>
          <w:lang w:eastAsia="en-AU"/>
        </w:rPr>
      </w:pPr>
      <w:hyperlink w:anchor="_Toc22713843" w:history="1">
        <w:r w:rsidR="00F62369" w:rsidRPr="007B5BA9">
          <w:rPr>
            <w:rStyle w:val="Hyperlink"/>
          </w:rPr>
          <w:t>More information</w:t>
        </w:r>
        <w:r w:rsidR="00F62369">
          <w:rPr>
            <w:webHidden/>
          </w:rPr>
          <w:tab/>
        </w:r>
        <w:r w:rsidR="00F62369">
          <w:rPr>
            <w:webHidden/>
          </w:rPr>
          <w:fldChar w:fldCharType="begin"/>
        </w:r>
        <w:r w:rsidR="00F62369">
          <w:rPr>
            <w:webHidden/>
          </w:rPr>
          <w:instrText xml:space="preserve"> PAGEREF _Toc22713843 \h </w:instrText>
        </w:r>
        <w:r w:rsidR="00F62369">
          <w:rPr>
            <w:webHidden/>
          </w:rPr>
        </w:r>
        <w:r w:rsidR="00F62369">
          <w:rPr>
            <w:webHidden/>
          </w:rPr>
          <w:fldChar w:fldCharType="separate"/>
        </w:r>
        <w:r w:rsidR="00F62369">
          <w:rPr>
            <w:webHidden/>
          </w:rPr>
          <w:t>1</w:t>
        </w:r>
        <w:r w:rsidR="00F62369">
          <w:rPr>
            <w:webHidden/>
          </w:rPr>
          <w:fldChar w:fldCharType="end"/>
        </w:r>
      </w:hyperlink>
    </w:p>
    <w:p w14:paraId="308059A8" w14:textId="0713829F" w:rsidR="00F62369" w:rsidRDefault="00C66EC2">
      <w:pPr>
        <w:pStyle w:val="TOC1"/>
        <w:rPr>
          <w:rFonts w:asciiTheme="minorHAnsi" w:eastAsiaTheme="minorEastAsia" w:hAnsiTheme="minorHAnsi" w:cstheme="minorBidi"/>
          <w:b w:val="0"/>
          <w:sz w:val="22"/>
          <w:szCs w:val="22"/>
          <w:lang w:eastAsia="en-AU"/>
        </w:rPr>
      </w:pPr>
      <w:hyperlink w:anchor="_Toc22713844" w:history="1">
        <w:r w:rsidR="00F62369" w:rsidRPr="007B5BA9">
          <w:rPr>
            <w:rStyle w:val="Hyperlink"/>
          </w:rPr>
          <w:t>Data sources</w:t>
        </w:r>
        <w:r w:rsidR="00F62369">
          <w:rPr>
            <w:webHidden/>
          </w:rPr>
          <w:tab/>
        </w:r>
        <w:r w:rsidR="00F62369">
          <w:rPr>
            <w:webHidden/>
          </w:rPr>
          <w:fldChar w:fldCharType="begin"/>
        </w:r>
        <w:r w:rsidR="00F62369">
          <w:rPr>
            <w:webHidden/>
          </w:rPr>
          <w:instrText xml:space="preserve"> PAGEREF _Toc22713844 \h </w:instrText>
        </w:r>
        <w:r w:rsidR="00F62369">
          <w:rPr>
            <w:webHidden/>
          </w:rPr>
        </w:r>
        <w:r w:rsidR="00F62369">
          <w:rPr>
            <w:webHidden/>
          </w:rPr>
          <w:fldChar w:fldCharType="separate"/>
        </w:r>
        <w:r w:rsidR="00F62369">
          <w:rPr>
            <w:webHidden/>
          </w:rPr>
          <w:t>2</w:t>
        </w:r>
        <w:r w:rsidR="00F62369">
          <w:rPr>
            <w:webHidden/>
          </w:rPr>
          <w:fldChar w:fldCharType="end"/>
        </w:r>
      </w:hyperlink>
    </w:p>
    <w:p w14:paraId="46FC3F9F" w14:textId="2B8B2DD6" w:rsidR="00F62369" w:rsidRDefault="00C66EC2">
      <w:pPr>
        <w:pStyle w:val="TOC2"/>
        <w:rPr>
          <w:rFonts w:asciiTheme="minorHAnsi" w:eastAsiaTheme="minorEastAsia" w:hAnsiTheme="minorHAnsi" w:cstheme="minorBidi"/>
          <w:sz w:val="22"/>
          <w:szCs w:val="22"/>
          <w:lang w:eastAsia="en-AU"/>
        </w:rPr>
      </w:pPr>
      <w:hyperlink w:anchor="_Toc22713845" w:history="1">
        <w:r w:rsidR="00F62369" w:rsidRPr="007B5BA9">
          <w:rPr>
            <w:rStyle w:val="Hyperlink"/>
          </w:rPr>
          <w:t>Linked dataset</w:t>
        </w:r>
        <w:r w:rsidR="00F62369">
          <w:rPr>
            <w:webHidden/>
          </w:rPr>
          <w:tab/>
        </w:r>
        <w:r w:rsidR="00F62369">
          <w:rPr>
            <w:webHidden/>
          </w:rPr>
          <w:fldChar w:fldCharType="begin"/>
        </w:r>
        <w:r w:rsidR="00F62369">
          <w:rPr>
            <w:webHidden/>
          </w:rPr>
          <w:instrText xml:space="preserve"> PAGEREF _Toc22713845 \h </w:instrText>
        </w:r>
        <w:r w:rsidR="00F62369">
          <w:rPr>
            <w:webHidden/>
          </w:rPr>
        </w:r>
        <w:r w:rsidR="00F62369">
          <w:rPr>
            <w:webHidden/>
          </w:rPr>
          <w:fldChar w:fldCharType="separate"/>
        </w:r>
        <w:r w:rsidR="00F62369">
          <w:rPr>
            <w:webHidden/>
          </w:rPr>
          <w:t>2</w:t>
        </w:r>
        <w:r w:rsidR="00F62369">
          <w:rPr>
            <w:webHidden/>
          </w:rPr>
          <w:fldChar w:fldCharType="end"/>
        </w:r>
      </w:hyperlink>
    </w:p>
    <w:p w14:paraId="56219C70" w14:textId="0362CFF1" w:rsidR="00F62369" w:rsidRDefault="00C66EC2">
      <w:pPr>
        <w:pStyle w:val="TOC2"/>
        <w:rPr>
          <w:rFonts w:asciiTheme="minorHAnsi" w:eastAsiaTheme="minorEastAsia" w:hAnsiTheme="minorHAnsi" w:cstheme="minorBidi"/>
          <w:sz w:val="22"/>
          <w:szCs w:val="22"/>
          <w:lang w:eastAsia="en-AU"/>
        </w:rPr>
      </w:pPr>
      <w:hyperlink w:anchor="_Toc22713846" w:history="1">
        <w:r w:rsidR="00F62369" w:rsidRPr="007B5BA9">
          <w:rPr>
            <w:rStyle w:val="Hyperlink"/>
          </w:rPr>
          <w:t>Other data sources</w:t>
        </w:r>
        <w:r w:rsidR="00F62369">
          <w:rPr>
            <w:webHidden/>
          </w:rPr>
          <w:tab/>
        </w:r>
        <w:r w:rsidR="00F62369">
          <w:rPr>
            <w:webHidden/>
          </w:rPr>
          <w:fldChar w:fldCharType="begin"/>
        </w:r>
        <w:r w:rsidR="00F62369">
          <w:rPr>
            <w:webHidden/>
          </w:rPr>
          <w:instrText xml:space="preserve"> PAGEREF _Toc22713846 \h </w:instrText>
        </w:r>
        <w:r w:rsidR="00F62369">
          <w:rPr>
            <w:webHidden/>
          </w:rPr>
        </w:r>
        <w:r w:rsidR="00F62369">
          <w:rPr>
            <w:webHidden/>
          </w:rPr>
          <w:fldChar w:fldCharType="separate"/>
        </w:r>
        <w:r w:rsidR="00F62369">
          <w:rPr>
            <w:webHidden/>
          </w:rPr>
          <w:t>2</w:t>
        </w:r>
        <w:r w:rsidR="00F62369">
          <w:rPr>
            <w:webHidden/>
          </w:rPr>
          <w:fldChar w:fldCharType="end"/>
        </w:r>
      </w:hyperlink>
    </w:p>
    <w:p w14:paraId="627B612F" w14:textId="49B00844" w:rsidR="00F62369" w:rsidRDefault="00C66EC2">
      <w:pPr>
        <w:pStyle w:val="TOC1"/>
        <w:rPr>
          <w:rFonts w:asciiTheme="minorHAnsi" w:eastAsiaTheme="minorEastAsia" w:hAnsiTheme="minorHAnsi" w:cstheme="minorBidi"/>
          <w:b w:val="0"/>
          <w:sz w:val="22"/>
          <w:szCs w:val="22"/>
          <w:lang w:eastAsia="en-AU"/>
        </w:rPr>
      </w:pPr>
      <w:hyperlink w:anchor="_Toc22713847" w:history="1">
        <w:r w:rsidR="00F62369" w:rsidRPr="007B5BA9">
          <w:rPr>
            <w:rStyle w:val="Hyperlink"/>
          </w:rPr>
          <w:t>At a glance</w:t>
        </w:r>
        <w:r w:rsidR="00F62369">
          <w:rPr>
            <w:webHidden/>
          </w:rPr>
          <w:tab/>
        </w:r>
        <w:r w:rsidR="00F62369">
          <w:rPr>
            <w:webHidden/>
          </w:rPr>
          <w:fldChar w:fldCharType="begin"/>
        </w:r>
        <w:r w:rsidR="00F62369">
          <w:rPr>
            <w:webHidden/>
          </w:rPr>
          <w:instrText xml:space="preserve"> PAGEREF _Toc22713847 \h </w:instrText>
        </w:r>
        <w:r w:rsidR="00F62369">
          <w:rPr>
            <w:webHidden/>
          </w:rPr>
        </w:r>
        <w:r w:rsidR="00F62369">
          <w:rPr>
            <w:webHidden/>
          </w:rPr>
          <w:fldChar w:fldCharType="separate"/>
        </w:r>
        <w:r w:rsidR="00F62369">
          <w:rPr>
            <w:webHidden/>
          </w:rPr>
          <w:t>4</w:t>
        </w:r>
        <w:r w:rsidR="00F62369">
          <w:rPr>
            <w:webHidden/>
          </w:rPr>
          <w:fldChar w:fldCharType="end"/>
        </w:r>
      </w:hyperlink>
    </w:p>
    <w:p w14:paraId="324C2284" w14:textId="3BA78B88" w:rsidR="00F62369" w:rsidRDefault="00C66EC2">
      <w:pPr>
        <w:pStyle w:val="TOC2"/>
        <w:rPr>
          <w:rFonts w:asciiTheme="minorHAnsi" w:eastAsiaTheme="minorEastAsia" w:hAnsiTheme="minorHAnsi" w:cstheme="minorBidi"/>
          <w:sz w:val="22"/>
          <w:szCs w:val="22"/>
          <w:lang w:eastAsia="en-AU"/>
        </w:rPr>
      </w:pPr>
      <w:hyperlink w:anchor="_Toc22713848" w:history="1">
        <w:r w:rsidR="00F62369" w:rsidRPr="007B5BA9">
          <w:rPr>
            <w:rStyle w:val="Hyperlink"/>
          </w:rPr>
          <w:t>Key findings</w:t>
        </w:r>
        <w:r w:rsidR="00F62369">
          <w:rPr>
            <w:webHidden/>
          </w:rPr>
          <w:tab/>
        </w:r>
        <w:r w:rsidR="00F62369">
          <w:rPr>
            <w:webHidden/>
          </w:rPr>
          <w:fldChar w:fldCharType="begin"/>
        </w:r>
        <w:r w:rsidR="00F62369">
          <w:rPr>
            <w:webHidden/>
          </w:rPr>
          <w:instrText xml:space="preserve"> PAGEREF _Toc22713848 \h </w:instrText>
        </w:r>
        <w:r w:rsidR="00F62369">
          <w:rPr>
            <w:webHidden/>
          </w:rPr>
        </w:r>
        <w:r w:rsidR="00F62369">
          <w:rPr>
            <w:webHidden/>
          </w:rPr>
          <w:fldChar w:fldCharType="separate"/>
        </w:r>
        <w:r w:rsidR="00F62369">
          <w:rPr>
            <w:webHidden/>
          </w:rPr>
          <w:t>4</w:t>
        </w:r>
        <w:r w:rsidR="00F62369">
          <w:rPr>
            <w:webHidden/>
          </w:rPr>
          <w:fldChar w:fldCharType="end"/>
        </w:r>
      </w:hyperlink>
    </w:p>
    <w:p w14:paraId="2DD4DEA5" w14:textId="6E1CB464" w:rsidR="00F62369" w:rsidRDefault="00C66EC2">
      <w:pPr>
        <w:pStyle w:val="TOC2"/>
        <w:rPr>
          <w:rFonts w:asciiTheme="minorHAnsi" w:eastAsiaTheme="minorEastAsia" w:hAnsiTheme="minorHAnsi" w:cstheme="minorBidi"/>
          <w:sz w:val="22"/>
          <w:szCs w:val="22"/>
          <w:lang w:eastAsia="en-AU"/>
        </w:rPr>
      </w:pPr>
      <w:hyperlink w:anchor="_Toc22713849" w:history="1">
        <w:r w:rsidR="00F62369" w:rsidRPr="007B5BA9">
          <w:rPr>
            <w:rStyle w:val="Hyperlink"/>
            <w:rFonts w:eastAsia="MS Gothic"/>
          </w:rPr>
          <w:t>Key variations for action</w:t>
        </w:r>
        <w:r w:rsidR="00F62369">
          <w:rPr>
            <w:webHidden/>
          </w:rPr>
          <w:tab/>
        </w:r>
        <w:r w:rsidR="00F62369">
          <w:rPr>
            <w:webHidden/>
          </w:rPr>
          <w:fldChar w:fldCharType="begin"/>
        </w:r>
        <w:r w:rsidR="00F62369">
          <w:rPr>
            <w:webHidden/>
          </w:rPr>
          <w:instrText xml:space="preserve"> PAGEREF _Toc22713849 \h </w:instrText>
        </w:r>
        <w:r w:rsidR="00F62369">
          <w:rPr>
            <w:webHidden/>
          </w:rPr>
        </w:r>
        <w:r w:rsidR="00F62369">
          <w:rPr>
            <w:webHidden/>
          </w:rPr>
          <w:fldChar w:fldCharType="separate"/>
        </w:r>
        <w:r w:rsidR="00F62369">
          <w:rPr>
            <w:webHidden/>
          </w:rPr>
          <w:t>6</w:t>
        </w:r>
        <w:r w:rsidR="00F62369">
          <w:rPr>
            <w:webHidden/>
          </w:rPr>
          <w:fldChar w:fldCharType="end"/>
        </w:r>
      </w:hyperlink>
    </w:p>
    <w:p w14:paraId="5A6E3EB9" w14:textId="3D2A07CA" w:rsidR="00F62369" w:rsidRDefault="00C66EC2">
      <w:pPr>
        <w:pStyle w:val="TOC1"/>
        <w:rPr>
          <w:rFonts w:asciiTheme="minorHAnsi" w:eastAsiaTheme="minorEastAsia" w:hAnsiTheme="minorHAnsi" w:cstheme="minorBidi"/>
          <w:b w:val="0"/>
          <w:sz w:val="22"/>
          <w:szCs w:val="22"/>
          <w:lang w:eastAsia="en-AU"/>
        </w:rPr>
      </w:pPr>
      <w:hyperlink w:anchor="_Toc22713850" w:history="1">
        <w:r w:rsidR="00F62369" w:rsidRPr="007B5BA9">
          <w:rPr>
            <w:rStyle w:val="Hyperlink"/>
          </w:rPr>
          <w:t>Incidence and demographics</w:t>
        </w:r>
        <w:r w:rsidR="00F62369">
          <w:rPr>
            <w:webHidden/>
          </w:rPr>
          <w:tab/>
        </w:r>
        <w:r w:rsidR="00F62369">
          <w:rPr>
            <w:webHidden/>
          </w:rPr>
          <w:fldChar w:fldCharType="begin"/>
        </w:r>
        <w:r w:rsidR="00F62369">
          <w:rPr>
            <w:webHidden/>
          </w:rPr>
          <w:instrText xml:space="preserve"> PAGEREF _Toc22713850 \h </w:instrText>
        </w:r>
        <w:r w:rsidR="00F62369">
          <w:rPr>
            <w:webHidden/>
          </w:rPr>
        </w:r>
        <w:r w:rsidR="00F62369">
          <w:rPr>
            <w:webHidden/>
          </w:rPr>
          <w:fldChar w:fldCharType="separate"/>
        </w:r>
        <w:r w:rsidR="00F62369">
          <w:rPr>
            <w:webHidden/>
          </w:rPr>
          <w:t>7</w:t>
        </w:r>
        <w:r w:rsidR="00F62369">
          <w:rPr>
            <w:webHidden/>
          </w:rPr>
          <w:fldChar w:fldCharType="end"/>
        </w:r>
      </w:hyperlink>
    </w:p>
    <w:p w14:paraId="526936CB" w14:textId="26EF768E" w:rsidR="00F62369" w:rsidRDefault="00C66EC2">
      <w:pPr>
        <w:pStyle w:val="TOC1"/>
        <w:rPr>
          <w:rFonts w:asciiTheme="minorHAnsi" w:eastAsiaTheme="minorEastAsia" w:hAnsiTheme="minorHAnsi" w:cstheme="minorBidi"/>
          <w:b w:val="0"/>
          <w:sz w:val="22"/>
          <w:szCs w:val="22"/>
          <w:lang w:eastAsia="en-AU"/>
        </w:rPr>
      </w:pPr>
      <w:hyperlink w:anchor="_Toc22713851" w:history="1">
        <w:r w:rsidR="00F62369" w:rsidRPr="007B5BA9">
          <w:rPr>
            <w:rStyle w:val="Hyperlink"/>
            <w:rFonts w:eastAsia="MS Gothic"/>
          </w:rPr>
          <w:t>Disease spread at diagnosis and survival</w:t>
        </w:r>
        <w:r w:rsidR="00F62369">
          <w:rPr>
            <w:webHidden/>
          </w:rPr>
          <w:tab/>
        </w:r>
        <w:r w:rsidR="00F62369">
          <w:rPr>
            <w:webHidden/>
          </w:rPr>
          <w:fldChar w:fldCharType="begin"/>
        </w:r>
        <w:r w:rsidR="00F62369">
          <w:rPr>
            <w:webHidden/>
          </w:rPr>
          <w:instrText xml:space="preserve"> PAGEREF _Toc22713851 \h </w:instrText>
        </w:r>
        <w:r w:rsidR="00F62369">
          <w:rPr>
            <w:webHidden/>
          </w:rPr>
        </w:r>
        <w:r w:rsidR="00F62369">
          <w:rPr>
            <w:webHidden/>
          </w:rPr>
          <w:fldChar w:fldCharType="separate"/>
        </w:r>
        <w:r w:rsidR="00F62369">
          <w:rPr>
            <w:webHidden/>
          </w:rPr>
          <w:t>9</w:t>
        </w:r>
        <w:r w:rsidR="00F62369">
          <w:rPr>
            <w:webHidden/>
          </w:rPr>
          <w:fldChar w:fldCharType="end"/>
        </w:r>
      </w:hyperlink>
    </w:p>
    <w:p w14:paraId="2967DFB1" w14:textId="33F71DE3" w:rsidR="00F62369" w:rsidRDefault="00C66EC2">
      <w:pPr>
        <w:pStyle w:val="TOC1"/>
        <w:rPr>
          <w:rFonts w:asciiTheme="minorHAnsi" w:eastAsiaTheme="minorEastAsia" w:hAnsiTheme="minorHAnsi" w:cstheme="minorBidi"/>
          <w:b w:val="0"/>
          <w:sz w:val="22"/>
          <w:szCs w:val="22"/>
          <w:lang w:eastAsia="en-AU"/>
        </w:rPr>
      </w:pPr>
      <w:hyperlink w:anchor="_Toc22713852" w:history="1">
        <w:r w:rsidR="00F62369" w:rsidRPr="007B5BA9">
          <w:rPr>
            <w:rStyle w:val="Hyperlink"/>
            <w:rFonts w:eastAsia="MS Gothic"/>
          </w:rPr>
          <w:t>Surgery and radiotherapy volume</w:t>
        </w:r>
        <w:r w:rsidR="00F62369">
          <w:rPr>
            <w:webHidden/>
          </w:rPr>
          <w:tab/>
        </w:r>
        <w:r w:rsidR="00F62369">
          <w:rPr>
            <w:webHidden/>
          </w:rPr>
          <w:fldChar w:fldCharType="begin"/>
        </w:r>
        <w:r w:rsidR="00F62369">
          <w:rPr>
            <w:webHidden/>
          </w:rPr>
          <w:instrText xml:space="preserve"> PAGEREF _Toc22713852 \h </w:instrText>
        </w:r>
        <w:r w:rsidR="00F62369">
          <w:rPr>
            <w:webHidden/>
          </w:rPr>
        </w:r>
        <w:r w:rsidR="00F62369">
          <w:rPr>
            <w:webHidden/>
          </w:rPr>
          <w:fldChar w:fldCharType="separate"/>
        </w:r>
        <w:r w:rsidR="00F62369">
          <w:rPr>
            <w:webHidden/>
          </w:rPr>
          <w:t>11</w:t>
        </w:r>
        <w:r w:rsidR="00F62369">
          <w:rPr>
            <w:webHidden/>
          </w:rPr>
          <w:fldChar w:fldCharType="end"/>
        </w:r>
      </w:hyperlink>
    </w:p>
    <w:p w14:paraId="10FD49E4" w14:textId="1803A8EB" w:rsidR="00F62369" w:rsidRDefault="00C66EC2">
      <w:pPr>
        <w:pStyle w:val="TOC1"/>
        <w:rPr>
          <w:rFonts w:asciiTheme="minorHAnsi" w:eastAsiaTheme="minorEastAsia" w:hAnsiTheme="minorHAnsi" w:cstheme="minorBidi"/>
          <w:b w:val="0"/>
          <w:sz w:val="22"/>
          <w:szCs w:val="22"/>
          <w:lang w:eastAsia="en-AU"/>
        </w:rPr>
      </w:pPr>
      <w:hyperlink w:anchor="_Toc22713853" w:history="1">
        <w:r w:rsidR="00F62369" w:rsidRPr="007B5BA9">
          <w:rPr>
            <w:rStyle w:val="Hyperlink"/>
            <w:rFonts w:eastAsia="MS Gothic"/>
          </w:rPr>
          <w:t>Patient movement across ICS</w:t>
        </w:r>
        <w:r w:rsidR="00F62369">
          <w:rPr>
            <w:webHidden/>
          </w:rPr>
          <w:tab/>
        </w:r>
        <w:r w:rsidR="00F62369">
          <w:rPr>
            <w:webHidden/>
          </w:rPr>
          <w:fldChar w:fldCharType="begin"/>
        </w:r>
        <w:r w:rsidR="00F62369">
          <w:rPr>
            <w:webHidden/>
          </w:rPr>
          <w:instrText xml:space="preserve"> PAGEREF _Toc22713853 \h </w:instrText>
        </w:r>
        <w:r w:rsidR="00F62369">
          <w:rPr>
            <w:webHidden/>
          </w:rPr>
        </w:r>
        <w:r w:rsidR="00F62369">
          <w:rPr>
            <w:webHidden/>
          </w:rPr>
          <w:fldChar w:fldCharType="separate"/>
        </w:r>
        <w:r w:rsidR="00F62369">
          <w:rPr>
            <w:webHidden/>
          </w:rPr>
          <w:t>12</w:t>
        </w:r>
        <w:r w:rsidR="00F62369">
          <w:rPr>
            <w:webHidden/>
          </w:rPr>
          <w:fldChar w:fldCharType="end"/>
        </w:r>
      </w:hyperlink>
    </w:p>
    <w:p w14:paraId="60087955" w14:textId="2AEE9C0F" w:rsidR="00F62369" w:rsidRDefault="00C66EC2">
      <w:pPr>
        <w:pStyle w:val="TOC1"/>
        <w:rPr>
          <w:rFonts w:asciiTheme="minorHAnsi" w:eastAsiaTheme="minorEastAsia" w:hAnsiTheme="minorHAnsi" w:cstheme="minorBidi"/>
          <w:b w:val="0"/>
          <w:sz w:val="22"/>
          <w:szCs w:val="22"/>
          <w:lang w:eastAsia="en-AU"/>
        </w:rPr>
      </w:pPr>
      <w:hyperlink w:anchor="_Toc22713854" w:history="1">
        <w:r w:rsidR="00F62369" w:rsidRPr="007B5BA9">
          <w:rPr>
            <w:rStyle w:val="Hyperlink"/>
            <w:rFonts w:eastAsia="MS Gothic"/>
          </w:rPr>
          <w:t>Treatment planning</w:t>
        </w:r>
        <w:r w:rsidR="00F62369">
          <w:rPr>
            <w:webHidden/>
          </w:rPr>
          <w:tab/>
        </w:r>
        <w:r w:rsidR="00F62369">
          <w:rPr>
            <w:webHidden/>
          </w:rPr>
          <w:fldChar w:fldCharType="begin"/>
        </w:r>
        <w:r w:rsidR="00F62369">
          <w:rPr>
            <w:webHidden/>
          </w:rPr>
          <w:instrText xml:space="preserve"> PAGEREF _Toc22713854 \h </w:instrText>
        </w:r>
        <w:r w:rsidR="00F62369">
          <w:rPr>
            <w:webHidden/>
          </w:rPr>
        </w:r>
        <w:r w:rsidR="00F62369">
          <w:rPr>
            <w:webHidden/>
          </w:rPr>
          <w:fldChar w:fldCharType="separate"/>
        </w:r>
        <w:r w:rsidR="00F62369">
          <w:rPr>
            <w:webHidden/>
          </w:rPr>
          <w:t>14</w:t>
        </w:r>
        <w:r w:rsidR="00F62369">
          <w:rPr>
            <w:webHidden/>
          </w:rPr>
          <w:fldChar w:fldCharType="end"/>
        </w:r>
      </w:hyperlink>
    </w:p>
    <w:p w14:paraId="402392FC" w14:textId="76F85654" w:rsidR="00F62369" w:rsidRDefault="00C66EC2">
      <w:pPr>
        <w:pStyle w:val="TOC1"/>
        <w:rPr>
          <w:rFonts w:asciiTheme="minorHAnsi" w:eastAsiaTheme="minorEastAsia" w:hAnsiTheme="minorHAnsi" w:cstheme="minorBidi"/>
          <w:b w:val="0"/>
          <w:sz w:val="22"/>
          <w:szCs w:val="22"/>
          <w:lang w:eastAsia="en-AU"/>
        </w:rPr>
      </w:pPr>
      <w:hyperlink w:anchor="_Toc22713855" w:history="1">
        <w:r w:rsidR="00F62369" w:rsidRPr="007B5BA9">
          <w:rPr>
            <w:rStyle w:val="Hyperlink"/>
            <w:rFonts w:eastAsia="MS Gothic"/>
          </w:rPr>
          <w:t>Timeliness of treatment</w:t>
        </w:r>
        <w:r w:rsidR="00F62369">
          <w:rPr>
            <w:webHidden/>
          </w:rPr>
          <w:tab/>
        </w:r>
        <w:r w:rsidR="00F62369">
          <w:rPr>
            <w:webHidden/>
          </w:rPr>
          <w:fldChar w:fldCharType="begin"/>
        </w:r>
        <w:r w:rsidR="00F62369">
          <w:rPr>
            <w:webHidden/>
          </w:rPr>
          <w:instrText xml:space="preserve"> PAGEREF _Toc22713855 \h </w:instrText>
        </w:r>
        <w:r w:rsidR="00F62369">
          <w:rPr>
            <w:webHidden/>
          </w:rPr>
        </w:r>
        <w:r w:rsidR="00F62369">
          <w:rPr>
            <w:webHidden/>
          </w:rPr>
          <w:fldChar w:fldCharType="separate"/>
        </w:r>
        <w:r w:rsidR="00F62369">
          <w:rPr>
            <w:webHidden/>
          </w:rPr>
          <w:t>16</w:t>
        </w:r>
        <w:r w:rsidR="00F62369">
          <w:rPr>
            <w:webHidden/>
          </w:rPr>
          <w:fldChar w:fldCharType="end"/>
        </w:r>
      </w:hyperlink>
    </w:p>
    <w:p w14:paraId="2FCAB6F9" w14:textId="53205C85" w:rsidR="00F62369" w:rsidRDefault="00C66EC2">
      <w:pPr>
        <w:pStyle w:val="TOC2"/>
        <w:rPr>
          <w:rFonts w:asciiTheme="minorHAnsi" w:eastAsiaTheme="minorEastAsia" w:hAnsiTheme="minorHAnsi" w:cstheme="minorBidi"/>
          <w:sz w:val="22"/>
          <w:szCs w:val="22"/>
          <w:lang w:eastAsia="en-AU"/>
        </w:rPr>
      </w:pPr>
      <w:hyperlink w:anchor="_Toc22713856" w:history="1">
        <w:r w:rsidR="00F62369" w:rsidRPr="007B5BA9">
          <w:rPr>
            <w:rStyle w:val="Hyperlink"/>
            <w:rFonts w:eastAsia="MS Gothic"/>
          </w:rPr>
          <w:t>Time from diagnosis to first treatment – surgery</w:t>
        </w:r>
        <w:r w:rsidR="00F62369">
          <w:rPr>
            <w:webHidden/>
          </w:rPr>
          <w:tab/>
        </w:r>
        <w:r w:rsidR="00F62369">
          <w:rPr>
            <w:webHidden/>
          </w:rPr>
          <w:fldChar w:fldCharType="begin"/>
        </w:r>
        <w:r w:rsidR="00F62369">
          <w:rPr>
            <w:webHidden/>
          </w:rPr>
          <w:instrText xml:space="preserve"> PAGEREF _Toc22713856 \h </w:instrText>
        </w:r>
        <w:r w:rsidR="00F62369">
          <w:rPr>
            <w:webHidden/>
          </w:rPr>
        </w:r>
        <w:r w:rsidR="00F62369">
          <w:rPr>
            <w:webHidden/>
          </w:rPr>
          <w:fldChar w:fldCharType="separate"/>
        </w:r>
        <w:r w:rsidR="00F62369">
          <w:rPr>
            <w:webHidden/>
          </w:rPr>
          <w:t>16</w:t>
        </w:r>
        <w:r w:rsidR="00F62369">
          <w:rPr>
            <w:webHidden/>
          </w:rPr>
          <w:fldChar w:fldCharType="end"/>
        </w:r>
      </w:hyperlink>
    </w:p>
    <w:p w14:paraId="0EDA37BD" w14:textId="4F2EF3DE" w:rsidR="00F62369" w:rsidRDefault="00C66EC2">
      <w:pPr>
        <w:pStyle w:val="TOC2"/>
        <w:rPr>
          <w:rFonts w:asciiTheme="minorHAnsi" w:eastAsiaTheme="minorEastAsia" w:hAnsiTheme="minorHAnsi" w:cstheme="minorBidi"/>
          <w:sz w:val="22"/>
          <w:szCs w:val="22"/>
          <w:lang w:eastAsia="en-AU"/>
        </w:rPr>
      </w:pPr>
      <w:hyperlink w:anchor="_Toc22713857" w:history="1">
        <w:r w:rsidR="00F62369" w:rsidRPr="007B5BA9">
          <w:rPr>
            <w:rStyle w:val="Hyperlink"/>
          </w:rPr>
          <w:t>Time from diagnosis to first treatment–definitive radiotherapy or chemoradiation</w:t>
        </w:r>
        <w:r w:rsidR="00F62369">
          <w:rPr>
            <w:webHidden/>
          </w:rPr>
          <w:tab/>
        </w:r>
        <w:r w:rsidR="00F62369">
          <w:rPr>
            <w:webHidden/>
          </w:rPr>
          <w:fldChar w:fldCharType="begin"/>
        </w:r>
        <w:r w:rsidR="00F62369">
          <w:rPr>
            <w:webHidden/>
          </w:rPr>
          <w:instrText xml:space="preserve"> PAGEREF _Toc22713857 \h </w:instrText>
        </w:r>
        <w:r w:rsidR="00F62369">
          <w:rPr>
            <w:webHidden/>
          </w:rPr>
        </w:r>
        <w:r w:rsidR="00F62369">
          <w:rPr>
            <w:webHidden/>
          </w:rPr>
          <w:fldChar w:fldCharType="separate"/>
        </w:r>
        <w:r w:rsidR="00F62369">
          <w:rPr>
            <w:webHidden/>
          </w:rPr>
          <w:t>18</w:t>
        </w:r>
        <w:r w:rsidR="00F62369">
          <w:rPr>
            <w:webHidden/>
          </w:rPr>
          <w:fldChar w:fldCharType="end"/>
        </w:r>
      </w:hyperlink>
    </w:p>
    <w:p w14:paraId="649919DC" w14:textId="6C188A2C" w:rsidR="00F62369" w:rsidRDefault="00C66EC2">
      <w:pPr>
        <w:pStyle w:val="TOC2"/>
        <w:rPr>
          <w:rFonts w:asciiTheme="minorHAnsi" w:eastAsiaTheme="minorEastAsia" w:hAnsiTheme="minorHAnsi" w:cstheme="minorBidi"/>
          <w:sz w:val="22"/>
          <w:szCs w:val="22"/>
          <w:lang w:eastAsia="en-AU"/>
        </w:rPr>
      </w:pPr>
      <w:hyperlink w:anchor="_Toc22713858" w:history="1">
        <w:r w:rsidR="00F62369" w:rsidRPr="007B5BA9">
          <w:rPr>
            <w:rStyle w:val="Hyperlink"/>
          </w:rPr>
          <w:t>Time from surgery to adjuvant therapy</w:t>
        </w:r>
        <w:r w:rsidR="00F62369">
          <w:rPr>
            <w:webHidden/>
          </w:rPr>
          <w:tab/>
        </w:r>
        <w:r w:rsidR="00F62369">
          <w:rPr>
            <w:webHidden/>
          </w:rPr>
          <w:fldChar w:fldCharType="begin"/>
        </w:r>
        <w:r w:rsidR="00F62369">
          <w:rPr>
            <w:webHidden/>
          </w:rPr>
          <w:instrText xml:space="preserve"> PAGEREF _Toc22713858 \h </w:instrText>
        </w:r>
        <w:r w:rsidR="00F62369">
          <w:rPr>
            <w:webHidden/>
          </w:rPr>
        </w:r>
        <w:r w:rsidR="00F62369">
          <w:rPr>
            <w:webHidden/>
          </w:rPr>
          <w:fldChar w:fldCharType="separate"/>
        </w:r>
        <w:r w:rsidR="00F62369">
          <w:rPr>
            <w:webHidden/>
          </w:rPr>
          <w:t>20</w:t>
        </w:r>
        <w:r w:rsidR="00F62369">
          <w:rPr>
            <w:webHidden/>
          </w:rPr>
          <w:fldChar w:fldCharType="end"/>
        </w:r>
      </w:hyperlink>
    </w:p>
    <w:p w14:paraId="608202B5" w14:textId="5F502431" w:rsidR="00F62369" w:rsidRDefault="00C66EC2">
      <w:pPr>
        <w:pStyle w:val="TOC1"/>
        <w:rPr>
          <w:rFonts w:asciiTheme="minorHAnsi" w:eastAsiaTheme="minorEastAsia" w:hAnsiTheme="minorHAnsi" w:cstheme="minorBidi"/>
          <w:b w:val="0"/>
          <w:sz w:val="22"/>
          <w:szCs w:val="22"/>
          <w:lang w:eastAsia="en-AU"/>
        </w:rPr>
      </w:pPr>
      <w:hyperlink w:anchor="_Toc22713859" w:history="1">
        <w:r w:rsidR="00F62369" w:rsidRPr="007B5BA9">
          <w:rPr>
            <w:rStyle w:val="Hyperlink"/>
          </w:rPr>
          <w:t>Emergency admission following radiotherapy</w:t>
        </w:r>
        <w:r w:rsidR="00F62369">
          <w:rPr>
            <w:webHidden/>
          </w:rPr>
          <w:tab/>
        </w:r>
        <w:r w:rsidR="00F62369">
          <w:rPr>
            <w:webHidden/>
          </w:rPr>
          <w:fldChar w:fldCharType="begin"/>
        </w:r>
        <w:r w:rsidR="00F62369">
          <w:rPr>
            <w:webHidden/>
          </w:rPr>
          <w:instrText xml:space="preserve"> PAGEREF _Toc22713859 \h </w:instrText>
        </w:r>
        <w:r w:rsidR="00F62369">
          <w:rPr>
            <w:webHidden/>
          </w:rPr>
        </w:r>
        <w:r w:rsidR="00F62369">
          <w:rPr>
            <w:webHidden/>
          </w:rPr>
          <w:fldChar w:fldCharType="separate"/>
        </w:r>
        <w:r w:rsidR="00F62369">
          <w:rPr>
            <w:webHidden/>
          </w:rPr>
          <w:t>23</w:t>
        </w:r>
        <w:r w:rsidR="00F62369">
          <w:rPr>
            <w:webHidden/>
          </w:rPr>
          <w:fldChar w:fldCharType="end"/>
        </w:r>
      </w:hyperlink>
    </w:p>
    <w:p w14:paraId="76AEC845" w14:textId="4A8CAC6F" w:rsidR="00F62369" w:rsidRDefault="00C66EC2">
      <w:pPr>
        <w:pStyle w:val="TOC1"/>
        <w:rPr>
          <w:rFonts w:asciiTheme="minorHAnsi" w:eastAsiaTheme="minorEastAsia" w:hAnsiTheme="minorHAnsi" w:cstheme="minorBidi"/>
          <w:b w:val="0"/>
          <w:sz w:val="22"/>
          <w:szCs w:val="22"/>
          <w:lang w:eastAsia="en-AU"/>
        </w:rPr>
      </w:pPr>
      <w:hyperlink w:anchor="_Toc22713860" w:history="1">
        <w:r w:rsidR="00F62369" w:rsidRPr="007B5BA9">
          <w:rPr>
            <w:rStyle w:val="Hyperlink"/>
          </w:rPr>
          <w:t>Malnutrition</w:t>
        </w:r>
        <w:r w:rsidR="00F62369">
          <w:rPr>
            <w:webHidden/>
          </w:rPr>
          <w:tab/>
        </w:r>
        <w:r w:rsidR="00F62369">
          <w:rPr>
            <w:webHidden/>
          </w:rPr>
          <w:fldChar w:fldCharType="begin"/>
        </w:r>
        <w:r w:rsidR="00F62369">
          <w:rPr>
            <w:webHidden/>
          </w:rPr>
          <w:instrText xml:space="preserve"> PAGEREF _Toc22713860 \h </w:instrText>
        </w:r>
        <w:r w:rsidR="00F62369">
          <w:rPr>
            <w:webHidden/>
          </w:rPr>
        </w:r>
        <w:r w:rsidR="00F62369">
          <w:rPr>
            <w:webHidden/>
          </w:rPr>
          <w:fldChar w:fldCharType="separate"/>
        </w:r>
        <w:r w:rsidR="00F62369">
          <w:rPr>
            <w:webHidden/>
          </w:rPr>
          <w:t>25</w:t>
        </w:r>
        <w:r w:rsidR="00F62369">
          <w:rPr>
            <w:webHidden/>
          </w:rPr>
          <w:fldChar w:fldCharType="end"/>
        </w:r>
      </w:hyperlink>
    </w:p>
    <w:p w14:paraId="2A45FC33" w14:textId="34641109" w:rsidR="00F62369" w:rsidRDefault="00C66EC2">
      <w:pPr>
        <w:pStyle w:val="TOC1"/>
        <w:rPr>
          <w:rFonts w:asciiTheme="minorHAnsi" w:eastAsiaTheme="minorEastAsia" w:hAnsiTheme="minorHAnsi" w:cstheme="minorBidi"/>
          <w:b w:val="0"/>
          <w:sz w:val="22"/>
          <w:szCs w:val="22"/>
          <w:lang w:eastAsia="en-AU"/>
        </w:rPr>
      </w:pPr>
      <w:hyperlink w:anchor="_Toc22713861" w:history="1">
        <w:r w:rsidR="00F62369" w:rsidRPr="007B5BA9">
          <w:rPr>
            <w:rStyle w:val="Hyperlink"/>
          </w:rPr>
          <w:t>Treatment and survival–oral cavity cancer</w:t>
        </w:r>
        <w:r w:rsidR="00F62369">
          <w:rPr>
            <w:webHidden/>
          </w:rPr>
          <w:tab/>
        </w:r>
        <w:r w:rsidR="00F62369">
          <w:rPr>
            <w:webHidden/>
          </w:rPr>
          <w:fldChar w:fldCharType="begin"/>
        </w:r>
        <w:r w:rsidR="00F62369">
          <w:rPr>
            <w:webHidden/>
          </w:rPr>
          <w:instrText xml:space="preserve"> PAGEREF _Toc22713861 \h </w:instrText>
        </w:r>
        <w:r w:rsidR="00F62369">
          <w:rPr>
            <w:webHidden/>
          </w:rPr>
        </w:r>
        <w:r w:rsidR="00F62369">
          <w:rPr>
            <w:webHidden/>
          </w:rPr>
          <w:fldChar w:fldCharType="separate"/>
        </w:r>
        <w:r w:rsidR="00F62369">
          <w:rPr>
            <w:webHidden/>
          </w:rPr>
          <w:t>27</w:t>
        </w:r>
        <w:r w:rsidR="00F62369">
          <w:rPr>
            <w:webHidden/>
          </w:rPr>
          <w:fldChar w:fldCharType="end"/>
        </w:r>
      </w:hyperlink>
    </w:p>
    <w:p w14:paraId="59E8F130" w14:textId="4E50825E" w:rsidR="00F62369" w:rsidRDefault="00C66EC2">
      <w:pPr>
        <w:pStyle w:val="TOC1"/>
        <w:rPr>
          <w:rFonts w:asciiTheme="minorHAnsi" w:eastAsiaTheme="minorEastAsia" w:hAnsiTheme="minorHAnsi" w:cstheme="minorBidi"/>
          <w:b w:val="0"/>
          <w:sz w:val="22"/>
          <w:szCs w:val="22"/>
          <w:lang w:eastAsia="en-AU"/>
        </w:rPr>
      </w:pPr>
      <w:hyperlink w:anchor="_Toc22713862" w:history="1">
        <w:r w:rsidR="00F62369" w:rsidRPr="007B5BA9">
          <w:rPr>
            <w:rStyle w:val="Hyperlink"/>
          </w:rPr>
          <w:t>Treatment and survival –oropharynx cancer</w:t>
        </w:r>
        <w:r w:rsidR="00F62369">
          <w:rPr>
            <w:webHidden/>
          </w:rPr>
          <w:tab/>
        </w:r>
        <w:r w:rsidR="00F62369">
          <w:rPr>
            <w:webHidden/>
          </w:rPr>
          <w:fldChar w:fldCharType="begin"/>
        </w:r>
        <w:r w:rsidR="00F62369">
          <w:rPr>
            <w:webHidden/>
          </w:rPr>
          <w:instrText xml:space="preserve"> PAGEREF _Toc22713862 \h </w:instrText>
        </w:r>
        <w:r w:rsidR="00F62369">
          <w:rPr>
            <w:webHidden/>
          </w:rPr>
        </w:r>
        <w:r w:rsidR="00F62369">
          <w:rPr>
            <w:webHidden/>
          </w:rPr>
          <w:fldChar w:fldCharType="separate"/>
        </w:r>
        <w:r w:rsidR="00F62369">
          <w:rPr>
            <w:webHidden/>
          </w:rPr>
          <w:t>29</w:t>
        </w:r>
        <w:r w:rsidR="00F62369">
          <w:rPr>
            <w:webHidden/>
          </w:rPr>
          <w:fldChar w:fldCharType="end"/>
        </w:r>
      </w:hyperlink>
    </w:p>
    <w:p w14:paraId="5879B546" w14:textId="34E50CA3" w:rsidR="00F62369" w:rsidRDefault="00C66EC2">
      <w:pPr>
        <w:pStyle w:val="TOC1"/>
        <w:rPr>
          <w:rFonts w:asciiTheme="minorHAnsi" w:eastAsiaTheme="minorEastAsia" w:hAnsiTheme="minorHAnsi" w:cstheme="minorBidi"/>
          <w:b w:val="0"/>
          <w:sz w:val="22"/>
          <w:szCs w:val="22"/>
          <w:lang w:eastAsia="en-AU"/>
        </w:rPr>
      </w:pPr>
      <w:hyperlink w:anchor="_Toc22713863" w:history="1">
        <w:r w:rsidR="00F62369" w:rsidRPr="007B5BA9">
          <w:rPr>
            <w:rStyle w:val="Hyperlink"/>
          </w:rPr>
          <w:t>Abbreviations</w:t>
        </w:r>
        <w:r w:rsidR="00F62369">
          <w:rPr>
            <w:webHidden/>
          </w:rPr>
          <w:tab/>
        </w:r>
        <w:r w:rsidR="00F62369">
          <w:rPr>
            <w:webHidden/>
          </w:rPr>
          <w:fldChar w:fldCharType="begin"/>
        </w:r>
        <w:r w:rsidR="00F62369">
          <w:rPr>
            <w:webHidden/>
          </w:rPr>
          <w:instrText xml:space="preserve"> PAGEREF _Toc22713863 \h </w:instrText>
        </w:r>
        <w:r w:rsidR="00F62369">
          <w:rPr>
            <w:webHidden/>
          </w:rPr>
        </w:r>
        <w:r w:rsidR="00F62369">
          <w:rPr>
            <w:webHidden/>
          </w:rPr>
          <w:fldChar w:fldCharType="separate"/>
        </w:r>
        <w:r w:rsidR="00F62369">
          <w:rPr>
            <w:webHidden/>
          </w:rPr>
          <w:t>31</w:t>
        </w:r>
        <w:r w:rsidR="00F62369">
          <w:rPr>
            <w:webHidden/>
          </w:rPr>
          <w:fldChar w:fldCharType="end"/>
        </w:r>
      </w:hyperlink>
    </w:p>
    <w:p w14:paraId="502C1B6A" w14:textId="1BBF4849" w:rsidR="00F62369" w:rsidRDefault="00C66EC2">
      <w:pPr>
        <w:pStyle w:val="TOC2"/>
        <w:rPr>
          <w:rFonts w:asciiTheme="minorHAnsi" w:eastAsiaTheme="minorEastAsia" w:hAnsiTheme="minorHAnsi" w:cstheme="minorBidi"/>
          <w:sz w:val="22"/>
          <w:szCs w:val="22"/>
          <w:lang w:eastAsia="en-AU"/>
        </w:rPr>
      </w:pPr>
      <w:hyperlink w:anchor="_Toc22713864" w:history="1">
        <w:r w:rsidR="00F62369" w:rsidRPr="007B5BA9">
          <w:rPr>
            <w:rStyle w:val="Hyperlink"/>
          </w:rPr>
          <w:t>Victorian Integrated Cancer Services</w:t>
        </w:r>
        <w:r w:rsidR="00F62369">
          <w:rPr>
            <w:webHidden/>
          </w:rPr>
          <w:tab/>
        </w:r>
        <w:r w:rsidR="00F62369">
          <w:rPr>
            <w:webHidden/>
          </w:rPr>
          <w:fldChar w:fldCharType="begin"/>
        </w:r>
        <w:r w:rsidR="00F62369">
          <w:rPr>
            <w:webHidden/>
          </w:rPr>
          <w:instrText xml:space="preserve"> PAGEREF _Toc22713864 \h </w:instrText>
        </w:r>
        <w:r w:rsidR="00F62369">
          <w:rPr>
            <w:webHidden/>
          </w:rPr>
        </w:r>
        <w:r w:rsidR="00F62369">
          <w:rPr>
            <w:webHidden/>
          </w:rPr>
          <w:fldChar w:fldCharType="separate"/>
        </w:r>
        <w:r w:rsidR="00F62369">
          <w:rPr>
            <w:webHidden/>
          </w:rPr>
          <w:t>31</w:t>
        </w:r>
        <w:r w:rsidR="00F62369">
          <w:rPr>
            <w:webHidden/>
          </w:rPr>
          <w:fldChar w:fldCharType="end"/>
        </w:r>
      </w:hyperlink>
    </w:p>
    <w:p w14:paraId="47249B4E" w14:textId="696AA8C9" w:rsidR="00F62369" w:rsidRDefault="00C66EC2">
      <w:pPr>
        <w:pStyle w:val="TOC1"/>
        <w:rPr>
          <w:rFonts w:asciiTheme="minorHAnsi" w:eastAsiaTheme="minorEastAsia" w:hAnsiTheme="minorHAnsi" w:cstheme="minorBidi"/>
          <w:b w:val="0"/>
          <w:sz w:val="22"/>
          <w:szCs w:val="22"/>
          <w:lang w:eastAsia="en-AU"/>
        </w:rPr>
      </w:pPr>
      <w:hyperlink w:anchor="_Toc22713865" w:history="1">
        <w:r w:rsidR="00F62369" w:rsidRPr="007B5BA9">
          <w:rPr>
            <w:rStyle w:val="Hyperlink"/>
          </w:rPr>
          <w:t>Glossary</w:t>
        </w:r>
        <w:r w:rsidR="00F62369">
          <w:rPr>
            <w:webHidden/>
          </w:rPr>
          <w:tab/>
        </w:r>
        <w:r w:rsidR="00F62369">
          <w:rPr>
            <w:webHidden/>
          </w:rPr>
          <w:fldChar w:fldCharType="begin"/>
        </w:r>
        <w:r w:rsidR="00F62369">
          <w:rPr>
            <w:webHidden/>
          </w:rPr>
          <w:instrText xml:space="preserve"> PAGEREF _Toc22713865 \h </w:instrText>
        </w:r>
        <w:r w:rsidR="00F62369">
          <w:rPr>
            <w:webHidden/>
          </w:rPr>
        </w:r>
        <w:r w:rsidR="00F62369">
          <w:rPr>
            <w:webHidden/>
          </w:rPr>
          <w:fldChar w:fldCharType="separate"/>
        </w:r>
        <w:r w:rsidR="00F62369">
          <w:rPr>
            <w:webHidden/>
          </w:rPr>
          <w:t>32</w:t>
        </w:r>
        <w:r w:rsidR="00F62369">
          <w:rPr>
            <w:webHidden/>
          </w:rPr>
          <w:fldChar w:fldCharType="end"/>
        </w:r>
      </w:hyperlink>
    </w:p>
    <w:p w14:paraId="6266EB75" w14:textId="3F18E15A" w:rsidR="00F62369" w:rsidRDefault="00C66EC2">
      <w:pPr>
        <w:pStyle w:val="TOC1"/>
        <w:rPr>
          <w:rFonts w:asciiTheme="minorHAnsi" w:eastAsiaTheme="minorEastAsia" w:hAnsiTheme="minorHAnsi" w:cstheme="minorBidi"/>
          <w:b w:val="0"/>
          <w:sz w:val="22"/>
          <w:szCs w:val="22"/>
          <w:lang w:eastAsia="en-AU"/>
        </w:rPr>
      </w:pPr>
      <w:hyperlink w:anchor="_Toc22713866" w:history="1">
        <w:r w:rsidR="00F62369" w:rsidRPr="007B5BA9">
          <w:rPr>
            <w:rStyle w:val="Hyperlink"/>
          </w:rPr>
          <w:t>Supplementary material</w:t>
        </w:r>
        <w:r w:rsidR="00F62369">
          <w:rPr>
            <w:webHidden/>
          </w:rPr>
          <w:tab/>
        </w:r>
        <w:r w:rsidR="00F62369">
          <w:rPr>
            <w:webHidden/>
          </w:rPr>
          <w:fldChar w:fldCharType="begin"/>
        </w:r>
        <w:r w:rsidR="00F62369">
          <w:rPr>
            <w:webHidden/>
          </w:rPr>
          <w:instrText xml:space="preserve"> PAGEREF _Toc22713866 \h </w:instrText>
        </w:r>
        <w:r w:rsidR="00F62369">
          <w:rPr>
            <w:webHidden/>
          </w:rPr>
        </w:r>
        <w:r w:rsidR="00F62369">
          <w:rPr>
            <w:webHidden/>
          </w:rPr>
          <w:fldChar w:fldCharType="separate"/>
        </w:r>
        <w:r w:rsidR="00F62369">
          <w:rPr>
            <w:webHidden/>
          </w:rPr>
          <w:t>33</w:t>
        </w:r>
        <w:r w:rsidR="00F62369">
          <w:rPr>
            <w:webHidden/>
          </w:rPr>
          <w:fldChar w:fldCharType="end"/>
        </w:r>
      </w:hyperlink>
    </w:p>
    <w:p w14:paraId="2163C577" w14:textId="6ABD1BE4" w:rsidR="00F62369" w:rsidRDefault="00C66EC2">
      <w:pPr>
        <w:pStyle w:val="TOC2"/>
        <w:rPr>
          <w:rFonts w:asciiTheme="minorHAnsi" w:eastAsiaTheme="minorEastAsia" w:hAnsiTheme="minorHAnsi" w:cstheme="minorBidi"/>
          <w:sz w:val="22"/>
          <w:szCs w:val="22"/>
          <w:lang w:eastAsia="en-AU"/>
        </w:rPr>
      </w:pPr>
      <w:hyperlink w:anchor="_Toc22713867" w:history="1">
        <w:r w:rsidR="00F62369" w:rsidRPr="007B5BA9">
          <w:rPr>
            <w:rStyle w:val="Hyperlink"/>
          </w:rPr>
          <w:t>Codes</w:t>
        </w:r>
        <w:r w:rsidR="00F62369">
          <w:rPr>
            <w:webHidden/>
          </w:rPr>
          <w:tab/>
        </w:r>
        <w:r w:rsidR="00F62369">
          <w:rPr>
            <w:webHidden/>
          </w:rPr>
          <w:fldChar w:fldCharType="begin"/>
        </w:r>
        <w:r w:rsidR="00F62369">
          <w:rPr>
            <w:webHidden/>
          </w:rPr>
          <w:instrText xml:space="preserve"> PAGEREF _Toc22713867 \h </w:instrText>
        </w:r>
        <w:r w:rsidR="00F62369">
          <w:rPr>
            <w:webHidden/>
          </w:rPr>
        </w:r>
        <w:r w:rsidR="00F62369">
          <w:rPr>
            <w:webHidden/>
          </w:rPr>
          <w:fldChar w:fldCharType="separate"/>
        </w:r>
        <w:r w:rsidR="00F62369">
          <w:rPr>
            <w:webHidden/>
          </w:rPr>
          <w:t>33</w:t>
        </w:r>
        <w:r w:rsidR="00F62369">
          <w:rPr>
            <w:webHidden/>
          </w:rPr>
          <w:fldChar w:fldCharType="end"/>
        </w:r>
      </w:hyperlink>
    </w:p>
    <w:p w14:paraId="1CDC9400" w14:textId="19C954D6" w:rsidR="003E2E12" w:rsidRPr="003072C6" w:rsidRDefault="00954022" w:rsidP="00213772">
      <w:pPr>
        <w:pStyle w:val="TOC2"/>
        <w:rPr>
          <w:noProof w:val="0"/>
        </w:rPr>
      </w:pPr>
      <w:r w:rsidRPr="003072C6">
        <w:rPr>
          <w:noProof w:val="0"/>
        </w:rPr>
        <w:fldChar w:fldCharType="end"/>
      </w:r>
    </w:p>
    <w:p w14:paraId="55268B7B" w14:textId="77777777" w:rsidR="00AC0C3B" w:rsidRPr="003072C6" w:rsidRDefault="003E2E12" w:rsidP="00E91933">
      <w:pPr>
        <w:pStyle w:val="DHHSbody"/>
      </w:pPr>
      <w:r w:rsidRPr="003072C6">
        <w:br w:type="page"/>
      </w:r>
    </w:p>
    <w:p w14:paraId="42C1D276" w14:textId="77777777" w:rsidR="00AC0C3B" w:rsidRPr="003072C6" w:rsidRDefault="00AC0C3B" w:rsidP="00E91933">
      <w:pPr>
        <w:pStyle w:val="DHHSbody"/>
        <w:sectPr w:rsidR="00AC0C3B" w:rsidRPr="003072C6">
          <w:pgSz w:w="11906" w:h="16838"/>
          <w:pgMar w:top="1701" w:right="1304" w:bottom="1134" w:left="1304" w:header="454" w:footer="567" w:gutter="0"/>
          <w:cols w:space="720"/>
          <w:docGrid w:linePitch="360"/>
        </w:sectPr>
      </w:pPr>
    </w:p>
    <w:p w14:paraId="20B3DE79" w14:textId="77777777" w:rsidR="00377D74" w:rsidRDefault="00377D74" w:rsidP="007970BD">
      <w:pPr>
        <w:pStyle w:val="Heading1"/>
      </w:pPr>
      <w:bookmarkStart w:id="3" w:name="_Toc22713839"/>
      <w:r>
        <w:t>List of figures</w:t>
      </w:r>
      <w:bookmarkEnd w:id="3"/>
    </w:p>
    <w:p w14:paraId="4199A897" w14:textId="48661752" w:rsidR="00FA5358" w:rsidRPr="00FA5358" w:rsidRDefault="00954022" w:rsidP="00FA5358">
      <w:pPr>
        <w:pStyle w:val="TableofFigures"/>
        <w:tabs>
          <w:tab w:val="right" w:leader="dot" w:pos="9288"/>
        </w:tabs>
        <w:spacing w:before="80" w:after="80"/>
        <w:rPr>
          <w:rFonts w:ascii="Arial" w:eastAsiaTheme="minorEastAsia" w:hAnsi="Arial" w:cs="Arial"/>
          <w:noProof/>
          <w:sz w:val="22"/>
          <w:szCs w:val="22"/>
          <w:lang w:eastAsia="en-AU"/>
        </w:rPr>
      </w:pPr>
      <w:r>
        <w:fldChar w:fldCharType="begin"/>
      </w:r>
      <w:r w:rsidR="00377D74">
        <w:instrText xml:space="preserve"> TOC \h \z \c "Figure" </w:instrText>
      </w:r>
      <w:r>
        <w:fldChar w:fldCharType="separate"/>
      </w:r>
      <w:hyperlink w:anchor="_Toc22722813" w:history="1">
        <w:r w:rsidR="00FA5358" w:rsidRPr="00FA5358">
          <w:rPr>
            <w:rStyle w:val="Hyperlink"/>
            <w:rFonts w:cs="Arial"/>
            <w:noProof/>
          </w:rPr>
          <w:t>Figure 1: Head and neck cancer age-standardised incidence rate per 100,000 population and number of new cases over time (diagnosed 1982–2016)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_Toc22722813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7</w:t>
        </w:r>
        <w:r w:rsidR="00FA5358" w:rsidRPr="00FA5358">
          <w:rPr>
            <w:rFonts w:ascii="Arial" w:hAnsi="Arial" w:cs="Arial"/>
            <w:noProof/>
            <w:webHidden/>
          </w:rPr>
          <w:fldChar w:fldCharType="end"/>
        </w:r>
      </w:hyperlink>
    </w:p>
    <w:p w14:paraId="3EE58338" w14:textId="1AB23B0F"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14" w:history="1">
        <w:r w:rsidR="00FA5358" w:rsidRPr="00FA5358">
          <w:rPr>
            <w:rStyle w:val="Hyperlink"/>
            <w:rFonts w:cs="Arial"/>
            <w:noProof/>
          </w:rPr>
          <w:t>Figure 2: Oropharynx cancer age-standardised incidence rate per 100,000 population by sex (diagnosed 2008–2016)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_Toc22722814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7</w:t>
        </w:r>
        <w:r w:rsidR="00FA5358" w:rsidRPr="00FA5358">
          <w:rPr>
            <w:rFonts w:ascii="Arial" w:hAnsi="Arial" w:cs="Arial"/>
            <w:noProof/>
            <w:webHidden/>
          </w:rPr>
          <w:fldChar w:fldCharType="end"/>
        </w:r>
      </w:hyperlink>
    </w:p>
    <w:p w14:paraId="05E7D76F" w14:textId="4A8712D4"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15" w:history="1">
        <w:r w:rsidR="00FA5358" w:rsidRPr="00FA5358">
          <w:rPr>
            <w:rStyle w:val="Hyperlink"/>
            <w:rFonts w:cs="Arial"/>
            <w:noProof/>
          </w:rPr>
          <w:t>Figure 3: Number of head and neck cancers diagnosed in Victoria between 2012 and 2016 by subsite and ICD-10-AM code</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_Toc22722815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8</w:t>
        </w:r>
        <w:r w:rsidR="00FA5358" w:rsidRPr="00FA5358">
          <w:rPr>
            <w:rFonts w:ascii="Arial" w:hAnsi="Arial" w:cs="Arial"/>
            <w:noProof/>
            <w:webHidden/>
          </w:rPr>
          <w:fldChar w:fldCharType="end"/>
        </w:r>
      </w:hyperlink>
    </w:p>
    <w:p w14:paraId="2A4079DE" w14:textId="0BB49ADC"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16" w:history="1">
        <w:r w:rsidR="00FA5358" w:rsidRPr="00FA5358">
          <w:rPr>
            <w:rStyle w:val="Hyperlink"/>
            <w:rFonts w:cs="Arial"/>
            <w:noProof/>
          </w:rPr>
          <w:t>Figure 4: Victorian hospital average yearly head and neck cancer surgical volume (2016–2017)</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_Toc22722816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11</w:t>
        </w:r>
        <w:r w:rsidR="00FA5358" w:rsidRPr="00FA5358">
          <w:rPr>
            <w:rFonts w:ascii="Arial" w:hAnsi="Arial" w:cs="Arial"/>
            <w:noProof/>
            <w:webHidden/>
          </w:rPr>
          <w:fldChar w:fldCharType="end"/>
        </w:r>
      </w:hyperlink>
    </w:p>
    <w:p w14:paraId="06900A80" w14:textId="3CE890EC"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17" w:history="1">
        <w:r w:rsidR="00FA5358" w:rsidRPr="00FA5358">
          <w:rPr>
            <w:rStyle w:val="Hyperlink"/>
            <w:rFonts w:cs="Arial"/>
            <w:noProof/>
          </w:rPr>
          <w:t>Figure 5: Victorian radiotherapy centre average yearly head and neck cancer radical radiotherapy volume (2016–2017)</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_Toc22722817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11</w:t>
        </w:r>
        <w:r w:rsidR="00FA5358" w:rsidRPr="00FA5358">
          <w:rPr>
            <w:rFonts w:ascii="Arial" w:hAnsi="Arial" w:cs="Arial"/>
            <w:noProof/>
            <w:webHidden/>
          </w:rPr>
          <w:fldChar w:fldCharType="end"/>
        </w:r>
      </w:hyperlink>
    </w:p>
    <w:p w14:paraId="5EEF8399" w14:textId="70DE981E"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18" w:history="1">
        <w:r w:rsidR="00FA5358" w:rsidRPr="00FA5358">
          <w:rPr>
            <w:rStyle w:val="Hyperlink"/>
            <w:rFonts w:cs="Arial"/>
            <w:noProof/>
          </w:rPr>
          <w:t>Figure 6: Proportion of head and neck cancer patients with a multidisciplinary team meeting documented in their medical record, by ICS of treatment (2017)</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_Toc22722818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14</w:t>
        </w:r>
        <w:r w:rsidR="00FA5358" w:rsidRPr="00FA5358">
          <w:rPr>
            <w:rFonts w:ascii="Arial" w:hAnsi="Arial" w:cs="Arial"/>
            <w:noProof/>
            <w:webHidden/>
          </w:rPr>
          <w:fldChar w:fldCharType="end"/>
        </w:r>
      </w:hyperlink>
    </w:p>
    <w:p w14:paraId="25988024" w14:textId="35DAF329"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19" w:history="1">
        <w:r w:rsidR="00FA5358" w:rsidRPr="00FA5358">
          <w:rPr>
            <w:rStyle w:val="Hyperlink"/>
            <w:rFonts w:cs="Arial"/>
            <w:noProof/>
          </w:rPr>
          <w:t>Figure 7: Proportion of head and neck cancer patients who had a prospective multidisciplinary team meeting, by ICS of treatment (2017)</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_Toc22722819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15</w:t>
        </w:r>
        <w:r w:rsidR="00FA5358" w:rsidRPr="00FA5358">
          <w:rPr>
            <w:rFonts w:ascii="Arial" w:hAnsi="Arial" w:cs="Arial"/>
            <w:noProof/>
            <w:webHidden/>
          </w:rPr>
          <w:fldChar w:fldCharType="end"/>
        </w:r>
      </w:hyperlink>
    </w:p>
    <w:p w14:paraId="6678ACB5" w14:textId="2A8ED442"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0" w:history="1">
        <w:r w:rsidR="00FA5358" w:rsidRPr="00FA5358">
          <w:rPr>
            <w:rStyle w:val="Hyperlink"/>
            <w:rFonts w:cs="Arial"/>
            <w:noProof/>
          </w:rPr>
          <w:t>Figure 8: Boxplots of time from diagnosis to surgery for head and neck cancer patients, by ICS of surgery hospital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_Toc22722820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17</w:t>
        </w:r>
        <w:r w:rsidR="00FA5358" w:rsidRPr="00FA5358">
          <w:rPr>
            <w:rFonts w:ascii="Arial" w:hAnsi="Arial" w:cs="Arial"/>
            <w:noProof/>
            <w:webHidden/>
          </w:rPr>
          <w:fldChar w:fldCharType="end"/>
        </w:r>
      </w:hyperlink>
    </w:p>
    <w:p w14:paraId="3E868E78" w14:textId="6F6CEA9C"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1" w:history="1">
        <w:r w:rsidR="00FA5358" w:rsidRPr="00FA5358">
          <w:rPr>
            <w:rStyle w:val="Hyperlink"/>
            <w:rFonts w:cs="Arial"/>
            <w:noProof/>
          </w:rPr>
          <w:t>Figure 9: Funnel plot for the proportion of surgical head and neck cancer patients who received surgery within eight weeks of diagnosis, by hospital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_Toc22722821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17</w:t>
        </w:r>
        <w:r w:rsidR="00FA5358" w:rsidRPr="00FA5358">
          <w:rPr>
            <w:rFonts w:ascii="Arial" w:hAnsi="Arial" w:cs="Arial"/>
            <w:noProof/>
            <w:webHidden/>
          </w:rPr>
          <w:fldChar w:fldCharType="end"/>
        </w:r>
      </w:hyperlink>
    </w:p>
    <w:p w14:paraId="4B146EF4" w14:textId="6FFA713F"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2" w:history="1">
        <w:r w:rsidR="00FA5358" w:rsidRPr="00FA5358">
          <w:rPr>
            <w:rStyle w:val="Hyperlink"/>
            <w:rFonts w:cs="Arial"/>
            <w:noProof/>
          </w:rPr>
          <w:t>Figure 10: Boxplots of time from diagnosis to definitive RT/CRT for head and neck cancer patients, by ICS of RT/CRT centre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_Toc22722822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19</w:t>
        </w:r>
        <w:r w:rsidR="00FA5358" w:rsidRPr="00FA5358">
          <w:rPr>
            <w:rFonts w:ascii="Arial" w:hAnsi="Arial" w:cs="Arial"/>
            <w:noProof/>
            <w:webHidden/>
          </w:rPr>
          <w:fldChar w:fldCharType="end"/>
        </w:r>
      </w:hyperlink>
    </w:p>
    <w:p w14:paraId="69F16CEA" w14:textId="5A1C19AB"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3" w:history="1">
        <w:r w:rsidR="00FA5358" w:rsidRPr="00FA5358">
          <w:rPr>
            <w:rStyle w:val="Hyperlink"/>
            <w:rFonts w:cs="Arial"/>
            <w:noProof/>
          </w:rPr>
          <w:t>Figure 11: Funnel plot for the proportion of definitive RT/CRT head and neck cancer patients who started treatment within eight weeks of diagnosis, by RT/CRT centre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_Toc22722823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19</w:t>
        </w:r>
        <w:r w:rsidR="00FA5358" w:rsidRPr="00FA5358">
          <w:rPr>
            <w:rFonts w:ascii="Arial" w:hAnsi="Arial" w:cs="Arial"/>
            <w:noProof/>
            <w:webHidden/>
          </w:rPr>
          <w:fldChar w:fldCharType="end"/>
        </w:r>
      </w:hyperlink>
    </w:p>
    <w:p w14:paraId="6DEC4AE3" w14:textId="2B74B962"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4" w:history="1">
        <w:r w:rsidR="00FA5358" w:rsidRPr="00FA5358">
          <w:rPr>
            <w:rStyle w:val="Hyperlink"/>
            <w:rFonts w:cs="Arial"/>
            <w:noProof/>
          </w:rPr>
          <w:t>Figure 12: Boxplot of time from surgery to adjuvant therapy for head and neck cancer patients, by ICS of surgery hospital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_Toc22722824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20</w:t>
        </w:r>
        <w:r w:rsidR="00FA5358" w:rsidRPr="00FA5358">
          <w:rPr>
            <w:rFonts w:ascii="Arial" w:hAnsi="Arial" w:cs="Arial"/>
            <w:noProof/>
            <w:webHidden/>
          </w:rPr>
          <w:fldChar w:fldCharType="end"/>
        </w:r>
      </w:hyperlink>
    </w:p>
    <w:p w14:paraId="1D01C64D" w14:textId="08280F59"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5" w:history="1">
        <w:r w:rsidR="00FA5358" w:rsidRPr="00FA5358">
          <w:rPr>
            <w:rStyle w:val="Hyperlink"/>
            <w:rFonts w:cs="Arial"/>
            <w:noProof/>
          </w:rPr>
          <w:t>Figure 13: Boxplot of time from surgery to adjuvant therapy for head and neck cancer patients, by ICS of RT/CRT centre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_Toc22722825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21</w:t>
        </w:r>
        <w:r w:rsidR="00FA5358" w:rsidRPr="00FA5358">
          <w:rPr>
            <w:rFonts w:ascii="Arial" w:hAnsi="Arial" w:cs="Arial"/>
            <w:noProof/>
            <w:webHidden/>
          </w:rPr>
          <w:fldChar w:fldCharType="end"/>
        </w:r>
      </w:hyperlink>
    </w:p>
    <w:p w14:paraId="682137BC" w14:textId="56C07056"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6" w:history="1">
        <w:r w:rsidR="00FA5358" w:rsidRPr="00FA5358">
          <w:rPr>
            <w:rStyle w:val="Hyperlink"/>
            <w:rFonts w:cs="Arial"/>
            <w:noProof/>
          </w:rPr>
          <w:t>Figure 14: Funnel plot of the proportion of head and neck cancer patients whose adjuvant therapy started within six weeks of surgery, by surgery hospital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_Toc22722826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21</w:t>
        </w:r>
        <w:r w:rsidR="00FA5358" w:rsidRPr="00FA5358">
          <w:rPr>
            <w:rFonts w:ascii="Arial" w:hAnsi="Arial" w:cs="Arial"/>
            <w:noProof/>
            <w:webHidden/>
          </w:rPr>
          <w:fldChar w:fldCharType="end"/>
        </w:r>
      </w:hyperlink>
    </w:p>
    <w:p w14:paraId="5D64173D" w14:textId="264AFDB3"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7" w:history="1">
        <w:r w:rsidR="00FA5358" w:rsidRPr="00FA5358">
          <w:rPr>
            <w:rStyle w:val="Hyperlink"/>
            <w:rFonts w:cs="Arial"/>
            <w:noProof/>
          </w:rPr>
          <w:t>Figure 15: Funnel plot of emergency admissions to hospital in the 12 weeks following radical RT for head and neck cancer patients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_Toc22722827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23</w:t>
        </w:r>
        <w:r w:rsidR="00FA5358" w:rsidRPr="00FA5358">
          <w:rPr>
            <w:rFonts w:ascii="Arial" w:hAnsi="Arial" w:cs="Arial"/>
            <w:noProof/>
            <w:webHidden/>
          </w:rPr>
          <w:fldChar w:fldCharType="end"/>
        </w:r>
      </w:hyperlink>
    </w:p>
    <w:p w14:paraId="63DC673C" w14:textId="6021B02D"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8" w:history="1">
        <w:r w:rsidR="00FA5358" w:rsidRPr="00FA5358">
          <w:rPr>
            <w:rStyle w:val="Hyperlink"/>
            <w:rFonts w:cs="Arial"/>
            <w:noProof/>
          </w:rPr>
          <w:t>Figure 16: Funnel plot of emergency admissions to hospital in the 12 weeks following radical CRT for head and neck cancer patients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_Toc22722828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24</w:t>
        </w:r>
        <w:r w:rsidR="00FA5358" w:rsidRPr="00FA5358">
          <w:rPr>
            <w:rFonts w:ascii="Arial" w:hAnsi="Arial" w:cs="Arial"/>
            <w:noProof/>
            <w:webHidden/>
          </w:rPr>
          <w:fldChar w:fldCharType="end"/>
        </w:r>
      </w:hyperlink>
    </w:p>
    <w:p w14:paraId="19714E1A" w14:textId="254093A1"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29" w:history="1">
        <w:r w:rsidR="00FA5358" w:rsidRPr="00FA5358">
          <w:rPr>
            <w:rStyle w:val="Hyperlink"/>
            <w:rFonts w:cs="Arial"/>
            <w:noProof/>
          </w:rPr>
          <w:t>Figure 17: Prevalence of malnutrition for head and neck cancer patients, by ICS of treatment (2016)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_Toc22722829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25</w:t>
        </w:r>
        <w:r w:rsidR="00FA5358" w:rsidRPr="00FA5358">
          <w:rPr>
            <w:rFonts w:ascii="Arial" w:hAnsi="Arial" w:cs="Arial"/>
            <w:noProof/>
            <w:webHidden/>
          </w:rPr>
          <w:fldChar w:fldCharType="end"/>
        </w:r>
      </w:hyperlink>
    </w:p>
    <w:p w14:paraId="2ACE051A" w14:textId="69572957"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0" w:history="1">
        <w:r w:rsidR="00FA5358" w:rsidRPr="00FA5358">
          <w:rPr>
            <w:rStyle w:val="Hyperlink"/>
            <w:rFonts w:cs="Arial"/>
            <w:noProof/>
          </w:rPr>
          <w:t>Figure 18: Proportion of head and neck cancer patients receiving dietetics care, by ICS of treatment (2016)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_Toc22722830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25</w:t>
        </w:r>
        <w:r w:rsidR="00FA5358" w:rsidRPr="00FA5358">
          <w:rPr>
            <w:rFonts w:ascii="Arial" w:hAnsi="Arial" w:cs="Arial"/>
            <w:noProof/>
            <w:webHidden/>
          </w:rPr>
          <w:fldChar w:fldCharType="end"/>
        </w:r>
      </w:hyperlink>
    </w:p>
    <w:p w14:paraId="3CA67F20" w14:textId="36FA1D4E"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1" w:history="1">
        <w:r w:rsidR="00FA5358" w:rsidRPr="00FA5358">
          <w:rPr>
            <w:rStyle w:val="Hyperlink"/>
            <w:rFonts w:cs="Arial"/>
            <w:noProof/>
          </w:rPr>
          <w:t>Figure 19: Treatment pathways within one year of oral cavity cancer diagnosis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_Toc22722831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27</w:t>
        </w:r>
        <w:r w:rsidR="00FA5358" w:rsidRPr="00FA5358">
          <w:rPr>
            <w:rFonts w:ascii="Arial" w:hAnsi="Arial" w:cs="Arial"/>
            <w:noProof/>
            <w:webHidden/>
          </w:rPr>
          <w:fldChar w:fldCharType="end"/>
        </w:r>
      </w:hyperlink>
    </w:p>
    <w:p w14:paraId="5A67CFCE" w14:textId="3F64E850"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2" w:history="1">
        <w:r w:rsidR="00FA5358" w:rsidRPr="00FA5358">
          <w:rPr>
            <w:rStyle w:val="Hyperlink"/>
            <w:rFonts w:cs="Arial"/>
            <w:noProof/>
          </w:rPr>
          <w:t>Figure 20: Treatment pathways within one year of oropharynx cancer diagnosis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_Toc22722832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29</w:t>
        </w:r>
        <w:r w:rsidR="00FA5358" w:rsidRPr="00FA5358">
          <w:rPr>
            <w:rFonts w:ascii="Arial" w:hAnsi="Arial" w:cs="Arial"/>
            <w:noProof/>
            <w:webHidden/>
          </w:rPr>
          <w:fldChar w:fldCharType="end"/>
        </w:r>
      </w:hyperlink>
    </w:p>
    <w:p w14:paraId="5B9C023A" w14:textId="3DA0722B"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3" w:history="1">
        <w:r w:rsidR="00FA5358" w:rsidRPr="00FA5358">
          <w:rPr>
            <w:rStyle w:val="Hyperlink"/>
            <w:rFonts w:cs="Arial"/>
            <w:noProof/>
          </w:rPr>
          <w:t>Figure 21: Risk of death for oropharynx cancer patients by treatment type, adjusted for age, sex and comorbidity count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_Toc22722833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30</w:t>
        </w:r>
        <w:r w:rsidR="00FA5358" w:rsidRPr="00FA5358">
          <w:rPr>
            <w:rFonts w:ascii="Arial" w:hAnsi="Arial" w:cs="Arial"/>
            <w:noProof/>
            <w:webHidden/>
          </w:rPr>
          <w:fldChar w:fldCharType="end"/>
        </w:r>
      </w:hyperlink>
    </w:p>
    <w:p w14:paraId="0B0E5699" w14:textId="553A8868"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4" w:history="1">
        <w:r w:rsidR="00FA5358" w:rsidRPr="00FA5358">
          <w:rPr>
            <w:rStyle w:val="Hyperlink"/>
            <w:rFonts w:cs="Arial"/>
            <w:noProof/>
          </w:rPr>
          <w:t xml:space="preserve">Figure 22: Risk of death for oropharynx cancer patients following radical </w:t>
        </w:r>
        <w:r w:rsidR="00FA5358" w:rsidRPr="00FA5358">
          <w:rPr>
            <w:rStyle w:val="Hyperlink"/>
            <w:rFonts w:cs="Arial"/>
            <w:noProof/>
            <w:lang w:val="en-US"/>
          </w:rPr>
          <w:t xml:space="preserve">chemoradiation </w:t>
        </w:r>
        <w:r w:rsidR="00FA5358" w:rsidRPr="00FA5358">
          <w:rPr>
            <w:rStyle w:val="Hyperlink"/>
            <w:rFonts w:cs="Arial"/>
            <w:noProof/>
          </w:rPr>
          <w:t xml:space="preserve">by ICS of </w:t>
        </w:r>
        <w:r w:rsidR="00FA5358" w:rsidRPr="00FA5358">
          <w:rPr>
            <w:rStyle w:val="Hyperlink"/>
            <w:rFonts w:cs="Arial"/>
            <w:noProof/>
            <w:lang w:val="en-US"/>
          </w:rPr>
          <w:t>chemoradiation</w:t>
        </w:r>
        <w:r w:rsidR="00FA5358" w:rsidRPr="00FA5358">
          <w:rPr>
            <w:rStyle w:val="Hyperlink"/>
            <w:rFonts w:cs="Arial"/>
            <w:noProof/>
          </w:rPr>
          <w:t>, adjusted for age, sex and comorbidity count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_Toc22722834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30</w:t>
        </w:r>
        <w:r w:rsidR="00FA5358" w:rsidRPr="00FA5358">
          <w:rPr>
            <w:rFonts w:ascii="Arial" w:hAnsi="Arial" w:cs="Arial"/>
            <w:noProof/>
            <w:webHidden/>
          </w:rPr>
          <w:fldChar w:fldCharType="end"/>
        </w:r>
      </w:hyperlink>
    </w:p>
    <w:p w14:paraId="7AD74C3D" w14:textId="58FECA09" w:rsidR="00687963" w:rsidRDefault="00954022" w:rsidP="007970BD">
      <w:pPr>
        <w:pStyle w:val="Heading1"/>
      </w:pPr>
      <w:r>
        <w:fldChar w:fldCharType="end"/>
      </w:r>
      <w:r w:rsidR="00687963" w:rsidRPr="00687963">
        <w:t xml:space="preserve"> </w:t>
      </w:r>
      <w:bookmarkStart w:id="4" w:name="_Toc22713840"/>
      <w:r w:rsidR="00687963">
        <w:t>List of tables</w:t>
      </w:r>
      <w:bookmarkEnd w:id="4"/>
    </w:p>
    <w:p w14:paraId="4F613F87" w14:textId="2AB13BD5" w:rsidR="00FA5358" w:rsidRPr="00FA5358" w:rsidRDefault="00954022" w:rsidP="00FA5358">
      <w:pPr>
        <w:pStyle w:val="TableofFigures"/>
        <w:tabs>
          <w:tab w:val="right" w:leader="dot" w:pos="9288"/>
        </w:tabs>
        <w:spacing w:before="80" w:after="80"/>
        <w:rPr>
          <w:rFonts w:ascii="Arial" w:eastAsiaTheme="minorEastAsia" w:hAnsi="Arial" w:cs="Arial"/>
          <w:noProof/>
          <w:sz w:val="22"/>
          <w:szCs w:val="22"/>
          <w:lang w:eastAsia="en-AU"/>
        </w:rPr>
      </w:pPr>
      <w:r>
        <w:fldChar w:fldCharType="begin"/>
      </w:r>
      <w:r w:rsidR="00377D74">
        <w:instrText xml:space="preserve"> TOC \h \z \c "Table" </w:instrText>
      </w:r>
      <w:r>
        <w:fldChar w:fldCharType="separate"/>
      </w:r>
      <w:hyperlink w:anchor="_Toc22722835" w:history="1">
        <w:r w:rsidR="00FA5358" w:rsidRPr="00FA5358">
          <w:rPr>
            <w:rStyle w:val="Hyperlink"/>
            <w:rFonts w:cs="Arial"/>
            <w:noProof/>
          </w:rPr>
          <w:t>Table 1: Proportion of patients presenting with lymph node negative cancer, lymph node positive cancer or distant metastases by head and neck cancer subsite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_Toc22722835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9</w:t>
        </w:r>
        <w:r w:rsidR="00FA5358" w:rsidRPr="00FA5358">
          <w:rPr>
            <w:rFonts w:ascii="Arial" w:hAnsi="Arial" w:cs="Arial"/>
            <w:noProof/>
            <w:webHidden/>
          </w:rPr>
          <w:fldChar w:fldCharType="end"/>
        </w:r>
      </w:hyperlink>
    </w:p>
    <w:p w14:paraId="60CEF961" w14:textId="4E810240"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6" w:history="1">
        <w:r w:rsidR="00FA5358" w:rsidRPr="00FA5358">
          <w:rPr>
            <w:rStyle w:val="Hyperlink"/>
            <w:rFonts w:cs="Arial"/>
            <w:noProof/>
          </w:rPr>
          <w:t>Table 2: One- and five-year survival for head and neck cancers by subsite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_Toc22722836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9</w:t>
        </w:r>
        <w:r w:rsidR="00FA5358" w:rsidRPr="00FA5358">
          <w:rPr>
            <w:rFonts w:ascii="Arial" w:hAnsi="Arial" w:cs="Arial"/>
            <w:noProof/>
            <w:webHidden/>
          </w:rPr>
          <w:fldChar w:fldCharType="end"/>
        </w:r>
      </w:hyperlink>
    </w:p>
    <w:p w14:paraId="7F41E82F" w14:textId="2D670286"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7" w:history="1">
        <w:r w:rsidR="00FA5358" w:rsidRPr="00FA5358">
          <w:rPr>
            <w:rStyle w:val="Hyperlink"/>
            <w:rFonts w:cs="Arial"/>
            <w:noProof/>
          </w:rPr>
          <w:t>Table 3: Head and neck cancer patient flow for first surgery, by treatment ICS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_Toc22722837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12</w:t>
        </w:r>
        <w:r w:rsidR="00FA5358" w:rsidRPr="00FA5358">
          <w:rPr>
            <w:rFonts w:ascii="Arial" w:hAnsi="Arial" w:cs="Arial"/>
            <w:noProof/>
            <w:webHidden/>
          </w:rPr>
          <w:fldChar w:fldCharType="end"/>
        </w:r>
      </w:hyperlink>
    </w:p>
    <w:p w14:paraId="1E754D23" w14:textId="4067A31A"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8" w:history="1">
        <w:r w:rsidR="00FA5358" w:rsidRPr="00FA5358">
          <w:rPr>
            <w:rStyle w:val="Hyperlink"/>
            <w:rFonts w:cs="Arial"/>
            <w:noProof/>
          </w:rPr>
          <w:t>Table 4: Head and neck cancer patient flow for radical radiotherapy, by treatment ICS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_Toc22722838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13</w:t>
        </w:r>
        <w:r w:rsidR="00FA5358" w:rsidRPr="00FA5358">
          <w:rPr>
            <w:rFonts w:ascii="Arial" w:hAnsi="Arial" w:cs="Arial"/>
            <w:noProof/>
            <w:webHidden/>
          </w:rPr>
          <w:fldChar w:fldCharType="end"/>
        </w:r>
      </w:hyperlink>
    </w:p>
    <w:p w14:paraId="151CE726" w14:textId="321939EE"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39" w:history="1">
        <w:r w:rsidR="00FA5358" w:rsidRPr="00FA5358">
          <w:rPr>
            <w:rStyle w:val="Hyperlink"/>
            <w:rFonts w:cs="Arial"/>
            <w:noProof/>
          </w:rPr>
          <w:t>Table 5: Proportion of head and neck cancer patients whose first treatment was surgery, who had surgery within eight weeks of diagnosis, by ICS of residence and ICS of treatment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_Toc22722839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16</w:t>
        </w:r>
        <w:r w:rsidR="00FA5358" w:rsidRPr="00FA5358">
          <w:rPr>
            <w:rFonts w:ascii="Arial" w:hAnsi="Arial" w:cs="Arial"/>
            <w:noProof/>
            <w:webHidden/>
          </w:rPr>
          <w:fldChar w:fldCharType="end"/>
        </w:r>
      </w:hyperlink>
    </w:p>
    <w:p w14:paraId="10DC4F76" w14:textId="66AF7EBF"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40" w:history="1">
        <w:r w:rsidR="00FA5358" w:rsidRPr="00FA5358">
          <w:rPr>
            <w:rStyle w:val="Hyperlink"/>
            <w:rFonts w:cs="Arial"/>
            <w:noProof/>
          </w:rPr>
          <w:t>Table 6: Proportion of head and neck cancer patients whose first treatment was definitive RT/CRT, who started treatment within eight weeks of diagnosis, by ICS of residence and ICS of treatment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_Toc22722840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18</w:t>
        </w:r>
        <w:r w:rsidR="00FA5358" w:rsidRPr="00FA5358">
          <w:rPr>
            <w:rFonts w:ascii="Arial" w:hAnsi="Arial" w:cs="Arial"/>
            <w:noProof/>
            <w:webHidden/>
          </w:rPr>
          <w:fldChar w:fldCharType="end"/>
        </w:r>
      </w:hyperlink>
    </w:p>
    <w:p w14:paraId="6EE10D40" w14:textId="1A8306E1"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41" w:history="1">
        <w:r w:rsidR="00FA5358" w:rsidRPr="00FA5358">
          <w:rPr>
            <w:rStyle w:val="Hyperlink"/>
            <w:rFonts w:cs="Arial"/>
            <w:noProof/>
          </w:rPr>
          <w:t>Table 7: Neck dissection and adjuvant therapy (radical RT/CRT) use in oral cavity cancer surgical patients (diagnosed 2012–2016)</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_Toc22722841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28</w:t>
        </w:r>
        <w:r w:rsidR="00FA5358" w:rsidRPr="00FA5358">
          <w:rPr>
            <w:rFonts w:ascii="Arial" w:hAnsi="Arial" w:cs="Arial"/>
            <w:noProof/>
            <w:webHidden/>
          </w:rPr>
          <w:fldChar w:fldCharType="end"/>
        </w:r>
      </w:hyperlink>
    </w:p>
    <w:p w14:paraId="4AC6309C" w14:textId="5A4BB1F9"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42" w:history="1">
        <w:r w:rsidR="00FA5358" w:rsidRPr="00FA5358">
          <w:rPr>
            <w:rStyle w:val="Hyperlink"/>
            <w:rFonts w:cs="Arial"/>
            <w:noProof/>
          </w:rPr>
          <w:t>Supplementary Table 1: Head and neck cancer diagnosis codes</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_Toc22722842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34</w:t>
        </w:r>
        <w:r w:rsidR="00FA5358" w:rsidRPr="00FA5358">
          <w:rPr>
            <w:rFonts w:ascii="Arial" w:hAnsi="Arial" w:cs="Arial"/>
            <w:noProof/>
            <w:webHidden/>
          </w:rPr>
          <w:fldChar w:fldCharType="end"/>
        </w:r>
      </w:hyperlink>
    </w:p>
    <w:p w14:paraId="30439AED" w14:textId="753A8112"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43" w:history="1">
        <w:r w:rsidR="00FA5358" w:rsidRPr="00FA5358">
          <w:rPr>
            <w:rStyle w:val="Hyperlink"/>
            <w:rFonts w:cs="Arial"/>
            <w:noProof/>
          </w:rPr>
          <w:t>Supplementary Table 2: Surgical procedures codes used to identify patients who underwent a head and neck cancer resection</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_Toc22722843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34</w:t>
        </w:r>
        <w:r w:rsidR="00FA5358" w:rsidRPr="00FA5358">
          <w:rPr>
            <w:rFonts w:ascii="Arial" w:hAnsi="Arial" w:cs="Arial"/>
            <w:noProof/>
            <w:webHidden/>
          </w:rPr>
          <w:fldChar w:fldCharType="end"/>
        </w:r>
      </w:hyperlink>
    </w:p>
    <w:p w14:paraId="2C9B502A" w14:textId="65CECA6F"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44" w:history="1">
        <w:r w:rsidR="00FA5358" w:rsidRPr="00FA5358">
          <w:rPr>
            <w:rStyle w:val="Hyperlink"/>
            <w:rFonts w:cs="Arial"/>
            <w:noProof/>
          </w:rPr>
          <w:t>Supplementary Table 3: Minor surgical procedures codes used to identify patients who underwent a head and neck cancer resection</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_Toc22722844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36</w:t>
        </w:r>
        <w:r w:rsidR="00FA5358" w:rsidRPr="00FA5358">
          <w:rPr>
            <w:rFonts w:ascii="Arial" w:hAnsi="Arial" w:cs="Arial"/>
            <w:noProof/>
            <w:webHidden/>
          </w:rPr>
          <w:fldChar w:fldCharType="end"/>
        </w:r>
      </w:hyperlink>
    </w:p>
    <w:p w14:paraId="5D5F1B78" w14:textId="09387611"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45" w:history="1">
        <w:r w:rsidR="00FA5358" w:rsidRPr="00FA5358">
          <w:rPr>
            <w:rStyle w:val="Hyperlink"/>
            <w:rFonts w:cs="Arial"/>
            <w:noProof/>
          </w:rPr>
          <w:t>Supplementary Table 4: Procedure codes used to identify patients who had a neck lymph node dissection</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_Toc22722845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36</w:t>
        </w:r>
        <w:r w:rsidR="00FA5358" w:rsidRPr="00FA5358">
          <w:rPr>
            <w:rFonts w:ascii="Arial" w:hAnsi="Arial" w:cs="Arial"/>
            <w:noProof/>
            <w:webHidden/>
          </w:rPr>
          <w:fldChar w:fldCharType="end"/>
        </w:r>
      </w:hyperlink>
    </w:p>
    <w:p w14:paraId="24ADBDFC" w14:textId="5599469E" w:rsidR="00FA5358" w:rsidRPr="00FA5358" w:rsidRDefault="00C66EC2" w:rsidP="00FA5358">
      <w:pPr>
        <w:pStyle w:val="TableofFigures"/>
        <w:tabs>
          <w:tab w:val="right" w:leader="dot" w:pos="9288"/>
        </w:tabs>
        <w:spacing w:before="80" w:after="80"/>
        <w:rPr>
          <w:rFonts w:ascii="Arial" w:eastAsiaTheme="minorEastAsia" w:hAnsi="Arial" w:cs="Arial"/>
          <w:noProof/>
          <w:sz w:val="22"/>
          <w:szCs w:val="22"/>
          <w:lang w:eastAsia="en-AU"/>
        </w:rPr>
      </w:pPr>
      <w:hyperlink w:anchor="_Toc22722846" w:history="1">
        <w:r w:rsidR="00FA5358" w:rsidRPr="00FA5358">
          <w:rPr>
            <w:rStyle w:val="Hyperlink"/>
            <w:rFonts w:cs="Arial"/>
            <w:noProof/>
          </w:rPr>
          <w:t>Supplementary Table 5: Diagnosis, procedure and DRG codes used to identify patients who received chemotherapy</w:t>
        </w:r>
        <w:r w:rsidR="00FA5358" w:rsidRPr="00FA5358">
          <w:rPr>
            <w:rFonts w:ascii="Arial" w:hAnsi="Arial" w:cs="Arial"/>
            <w:noProof/>
            <w:webHidden/>
          </w:rPr>
          <w:tab/>
        </w:r>
        <w:r w:rsidR="00FA5358" w:rsidRPr="00FA5358">
          <w:rPr>
            <w:rFonts w:ascii="Arial" w:hAnsi="Arial" w:cs="Arial"/>
            <w:noProof/>
            <w:webHidden/>
          </w:rPr>
          <w:fldChar w:fldCharType="begin"/>
        </w:r>
        <w:r w:rsidR="00FA5358" w:rsidRPr="00FA5358">
          <w:rPr>
            <w:rFonts w:ascii="Arial" w:hAnsi="Arial" w:cs="Arial"/>
            <w:noProof/>
            <w:webHidden/>
          </w:rPr>
          <w:instrText xml:space="preserve"> PAGEREF _Toc22722846 \h </w:instrText>
        </w:r>
        <w:r w:rsidR="00FA5358" w:rsidRPr="00FA5358">
          <w:rPr>
            <w:rFonts w:ascii="Arial" w:hAnsi="Arial" w:cs="Arial"/>
            <w:noProof/>
            <w:webHidden/>
          </w:rPr>
        </w:r>
        <w:r w:rsidR="00FA5358" w:rsidRPr="00FA5358">
          <w:rPr>
            <w:rFonts w:ascii="Arial" w:hAnsi="Arial" w:cs="Arial"/>
            <w:noProof/>
            <w:webHidden/>
          </w:rPr>
          <w:fldChar w:fldCharType="separate"/>
        </w:r>
        <w:r w:rsidR="00FA5358" w:rsidRPr="00FA5358">
          <w:rPr>
            <w:rFonts w:ascii="Arial" w:hAnsi="Arial" w:cs="Arial"/>
            <w:noProof/>
            <w:webHidden/>
          </w:rPr>
          <w:t>36</w:t>
        </w:r>
        <w:r w:rsidR="00FA5358" w:rsidRPr="00FA5358">
          <w:rPr>
            <w:rFonts w:ascii="Arial" w:hAnsi="Arial" w:cs="Arial"/>
            <w:noProof/>
            <w:webHidden/>
          </w:rPr>
          <w:fldChar w:fldCharType="end"/>
        </w:r>
      </w:hyperlink>
    </w:p>
    <w:p w14:paraId="40D8C6A4" w14:textId="1860A9DD" w:rsidR="00BF0C07" w:rsidRDefault="00954022" w:rsidP="00CB1A69">
      <w:pPr>
        <w:pStyle w:val="TOC2"/>
        <w:sectPr w:rsidR="00BF0C07" w:rsidSect="0021475A">
          <w:type w:val="continuous"/>
          <w:pgSz w:w="11906" w:h="16838"/>
          <w:pgMar w:top="1701" w:right="1304" w:bottom="1134" w:left="1304" w:header="454" w:footer="510" w:gutter="0"/>
          <w:cols w:space="720"/>
          <w:docGrid w:linePitch="360"/>
        </w:sectPr>
      </w:pPr>
      <w:r>
        <w:fldChar w:fldCharType="end"/>
      </w:r>
    </w:p>
    <w:p w14:paraId="0DDBA4F2" w14:textId="77777777" w:rsidR="009560A2" w:rsidRDefault="009560A2">
      <w:pPr>
        <w:rPr>
          <w:rFonts w:ascii="Arial" w:hAnsi="Arial"/>
          <w:bCs/>
          <w:color w:val="9F2241"/>
          <w:sz w:val="44"/>
          <w:szCs w:val="44"/>
        </w:rPr>
      </w:pPr>
      <w:r>
        <w:br w:type="page"/>
      </w:r>
    </w:p>
    <w:p w14:paraId="3918CD78" w14:textId="52331C90" w:rsidR="00377D74" w:rsidRDefault="00377D74" w:rsidP="007970BD">
      <w:pPr>
        <w:pStyle w:val="Heading1"/>
      </w:pPr>
      <w:bookmarkStart w:id="5" w:name="_Toc22713841"/>
      <w:r>
        <w:t>Acknowledgements</w:t>
      </w:r>
      <w:bookmarkEnd w:id="5"/>
    </w:p>
    <w:p w14:paraId="1D671A42" w14:textId="77777777" w:rsidR="0085249A" w:rsidRDefault="00377D74" w:rsidP="00377D74">
      <w:pPr>
        <w:pStyle w:val="DHHSbody"/>
      </w:pPr>
      <w:r w:rsidRPr="00004FB8">
        <w:t>The data, analysis and commentary provided in this report represent a joint effort by numerous key contributors from the following groups.</w:t>
      </w:r>
    </w:p>
    <w:p w14:paraId="54F90491" w14:textId="0B58C59C" w:rsidR="009D7F11" w:rsidRDefault="00377D74" w:rsidP="00377D74">
      <w:pPr>
        <w:pStyle w:val="DHHSbody"/>
        <w:rPr>
          <w:b/>
        </w:rPr>
      </w:pPr>
      <w:r>
        <w:rPr>
          <w:b/>
        </w:rPr>
        <w:t xml:space="preserve">Head and Neck </w:t>
      </w:r>
      <w:r w:rsidR="00E84112">
        <w:rPr>
          <w:b/>
        </w:rPr>
        <w:t>C</w:t>
      </w:r>
      <w:r>
        <w:rPr>
          <w:b/>
        </w:rPr>
        <w:t>ancer</w:t>
      </w:r>
      <w:r w:rsidR="00320A5F">
        <w:rPr>
          <w:b/>
        </w:rPr>
        <w:t>s</w:t>
      </w:r>
      <w:r>
        <w:rPr>
          <w:b/>
        </w:rPr>
        <w:t xml:space="preserve"> </w:t>
      </w:r>
      <w:r w:rsidRPr="00183538">
        <w:rPr>
          <w:b/>
        </w:rPr>
        <w:t>Summit Working Party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4"/>
      </w:tblGrid>
      <w:tr w:rsidR="009D7F11" w14:paraId="6BF4739D" w14:textId="77777777" w:rsidTr="009D7F11">
        <w:tc>
          <w:tcPr>
            <w:tcW w:w="4644" w:type="dxa"/>
          </w:tcPr>
          <w:p w14:paraId="23EC740C" w14:textId="079C4122" w:rsidR="009D7F11" w:rsidRPr="009D7F11" w:rsidRDefault="009D7F11" w:rsidP="009D7F11">
            <w:pPr>
              <w:pStyle w:val="DHHSbody"/>
            </w:pPr>
            <w:r w:rsidRPr="004B4788">
              <w:rPr>
                <w:lang w:val="en-US"/>
              </w:rPr>
              <w:t>Dr Alam (Muhammad) Alamgeer</w:t>
            </w:r>
          </w:p>
        </w:tc>
        <w:tc>
          <w:tcPr>
            <w:tcW w:w="4644" w:type="dxa"/>
          </w:tcPr>
          <w:p w14:paraId="412CBA50" w14:textId="40D0E49E" w:rsidR="009D7F11" w:rsidRPr="009D7F11" w:rsidRDefault="009D7F11" w:rsidP="00377D74">
            <w:pPr>
              <w:pStyle w:val="DHHSbody"/>
              <w:rPr>
                <w:rFonts w:ascii="Calibri" w:eastAsia="Calibri" w:hAnsi="Calibri" w:cs="Calibri"/>
                <w:color w:val="000000" w:themeColor="dark1"/>
                <w:sz w:val="24"/>
                <w:szCs w:val="24"/>
                <w:lang w:val="en-US" w:eastAsia="en-AU"/>
              </w:rPr>
            </w:pPr>
            <w:r w:rsidRPr="004B4788">
              <w:rPr>
                <w:lang w:val="en-US"/>
              </w:rPr>
              <w:t>Mr Rhys Hughes</w:t>
            </w:r>
            <w:r w:rsidRPr="004B4788">
              <w:rPr>
                <w:rFonts w:ascii="Calibri" w:eastAsia="Calibri" w:hAnsi="Calibri" w:cs="Calibri"/>
                <w:color w:val="000000" w:themeColor="dark1"/>
                <w:sz w:val="24"/>
                <w:szCs w:val="24"/>
                <w:lang w:val="en-US" w:eastAsia="en-AU"/>
              </w:rPr>
              <w:t xml:space="preserve"> </w:t>
            </w:r>
          </w:p>
        </w:tc>
      </w:tr>
      <w:tr w:rsidR="009D7F11" w14:paraId="05F06CFB" w14:textId="77777777" w:rsidTr="009D7F11">
        <w:tc>
          <w:tcPr>
            <w:tcW w:w="4644" w:type="dxa"/>
          </w:tcPr>
          <w:p w14:paraId="1C044519" w14:textId="02D29309" w:rsidR="009D7F11" w:rsidRPr="009D7F11" w:rsidRDefault="009D7F11" w:rsidP="009D7F11">
            <w:pPr>
              <w:pStyle w:val="DHHSbody"/>
            </w:pPr>
            <w:r w:rsidRPr="004B4788">
              <w:rPr>
                <w:lang w:val="en-US"/>
              </w:rPr>
              <w:t>Dr Stephen Brown</w:t>
            </w:r>
          </w:p>
        </w:tc>
        <w:tc>
          <w:tcPr>
            <w:tcW w:w="4644" w:type="dxa"/>
          </w:tcPr>
          <w:p w14:paraId="6ADB9BAF" w14:textId="755B77AF" w:rsidR="009D7F11" w:rsidRPr="009D7F11" w:rsidRDefault="009D7F11" w:rsidP="00377D74">
            <w:pPr>
              <w:pStyle w:val="DHHSbody"/>
            </w:pPr>
            <w:r w:rsidRPr="004B4788">
              <w:rPr>
                <w:lang w:val="en-US"/>
              </w:rPr>
              <w:t>Mr Hari Jeyarajan</w:t>
            </w:r>
          </w:p>
        </w:tc>
      </w:tr>
      <w:tr w:rsidR="009D7F11" w14:paraId="2728246A" w14:textId="77777777" w:rsidTr="009D7F11">
        <w:tc>
          <w:tcPr>
            <w:tcW w:w="4644" w:type="dxa"/>
          </w:tcPr>
          <w:p w14:paraId="73919BF1" w14:textId="1489E41D" w:rsidR="009D7F11" w:rsidRPr="009D7F11" w:rsidRDefault="009D7F11" w:rsidP="009D7F11">
            <w:pPr>
              <w:pStyle w:val="DHHSbody"/>
              <w:rPr>
                <w:lang w:val="en-US"/>
              </w:rPr>
            </w:pPr>
            <w:r>
              <w:rPr>
                <w:lang w:val="en-US"/>
              </w:rPr>
              <w:t>Dr Andrew Coleman (co-chair)</w:t>
            </w:r>
          </w:p>
        </w:tc>
        <w:tc>
          <w:tcPr>
            <w:tcW w:w="4644" w:type="dxa"/>
          </w:tcPr>
          <w:p w14:paraId="341866AF" w14:textId="0D9DAF51" w:rsidR="009D7F11" w:rsidRDefault="009D7F11" w:rsidP="00377D74">
            <w:pPr>
              <w:pStyle w:val="DHHSbody"/>
              <w:rPr>
                <w:b/>
              </w:rPr>
            </w:pPr>
            <w:r>
              <w:rPr>
                <w:lang w:val="en-US"/>
              </w:rPr>
              <w:t>A/Prof.</w:t>
            </w:r>
            <w:r w:rsidRPr="004B4788">
              <w:rPr>
                <w:lang w:val="en-US"/>
              </w:rPr>
              <w:t xml:space="preserve"> Bernard Lyons</w:t>
            </w:r>
          </w:p>
        </w:tc>
      </w:tr>
      <w:tr w:rsidR="009D7F11" w14:paraId="7A5B3AC7" w14:textId="77777777" w:rsidTr="009D7F11">
        <w:tc>
          <w:tcPr>
            <w:tcW w:w="4644" w:type="dxa"/>
          </w:tcPr>
          <w:p w14:paraId="4A09AC02" w14:textId="39D46BFF" w:rsidR="009D7F11" w:rsidRPr="009D7F11" w:rsidRDefault="009D7F11" w:rsidP="009D7F11">
            <w:pPr>
              <w:pStyle w:val="DHHSbody"/>
            </w:pPr>
            <w:r w:rsidRPr="004B4788">
              <w:rPr>
                <w:lang w:val="en-US"/>
              </w:rPr>
              <w:t>Mr David Deutscher</w:t>
            </w:r>
          </w:p>
        </w:tc>
        <w:tc>
          <w:tcPr>
            <w:tcW w:w="4644" w:type="dxa"/>
          </w:tcPr>
          <w:p w14:paraId="701896B9" w14:textId="56FB6EC6" w:rsidR="009D7F11" w:rsidRDefault="009D7F11" w:rsidP="00377D74">
            <w:pPr>
              <w:pStyle w:val="DHHSbody"/>
              <w:rPr>
                <w:b/>
              </w:rPr>
            </w:pPr>
            <w:r>
              <w:rPr>
                <w:lang w:val="en-US"/>
              </w:rPr>
              <w:t>A/Prof.</w:t>
            </w:r>
            <w:r w:rsidRPr="004B4788">
              <w:rPr>
                <w:lang w:val="en-US"/>
              </w:rPr>
              <w:t xml:space="preserve"> Paul Mitchell</w:t>
            </w:r>
          </w:p>
        </w:tc>
      </w:tr>
      <w:tr w:rsidR="009D7F11" w14:paraId="293751A6" w14:textId="77777777" w:rsidTr="009D7F11">
        <w:tc>
          <w:tcPr>
            <w:tcW w:w="4644" w:type="dxa"/>
          </w:tcPr>
          <w:p w14:paraId="18EAE300" w14:textId="143A1612" w:rsidR="009D7F11" w:rsidRPr="009D7F11" w:rsidRDefault="009D7F11" w:rsidP="00377D74">
            <w:pPr>
              <w:pStyle w:val="DHHSbody"/>
            </w:pPr>
            <w:r w:rsidRPr="004B4788">
              <w:rPr>
                <w:lang w:val="en-US"/>
              </w:rPr>
              <w:t>Dr Tsien Fua</w:t>
            </w:r>
          </w:p>
        </w:tc>
        <w:tc>
          <w:tcPr>
            <w:tcW w:w="4644" w:type="dxa"/>
          </w:tcPr>
          <w:p w14:paraId="06133079" w14:textId="542B1F9F" w:rsidR="009D7F11" w:rsidRDefault="009D7F11" w:rsidP="00377D74">
            <w:pPr>
              <w:pStyle w:val="DHHSbody"/>
              <w:rPr>
                <w:b/>
              </w:rPr>
            </w:pPr>
            <w:r>
              <w:rPr>
                <w:lang w:val="en-US"/>
              </w:rPr>
              <w:t>Mr Stephen Tudge (co-chair)</w:t>
            </w:r>
          </w:p>
        </w:tc>
      </w:tr>
      <w:tr w:rsidR="009D7F11" w14:paraId="5A945FD1" w14:textId="77777777" w:rsidTr="009D7F11">
        <w:tc>
          <w:tcPr>
            <w:tcW w:w="4644" w:type="dxa"/>
          </w:tcPr>
          <w:p w14:paraId="4A440FEA" w14:textId="30D7E6E5" w:rsidR="009D7F11" w:rsidRPr="009D7F11" w:rsidRDefault="009D7F11" w:rsidP="009D7F11">
            <w:pPr>
              <w:pStyle w:val="DHHSbody"/>
            </w:pPr>
            <w:r>
              <w:rPr>
                <w:lang w:val="en-US"/>
              </w:rPr>
              <w:t>A/Prof.</w:t>
            </w:r>
            <w:r w:rsidRPr="004B4788">
              <w:rPr>
                <w:lang w:val="en-US"/>
              </w:rPr>
              <w:t xml:space="preserve"> Hui Gan</w:t>
            </w:r>
          </w:p>
        </w:tc>
        <w:tc>
          <w:tcPr>
            <w:tcW w:w="4644" w:type="dxa"/>
          </w:tcPr>
          <w:p w14:paraId="30237035" w14:textId="300DB824" w:rsidR="009D7F11" w:rsidRDefault="009D7F11" w:rsidP="00377D74">
            <w:pPr>
              <w:pStyle w:val="DHHSbody"/>
              <w:rPr>
                <w:b/>
              </w:rPr>
            </w:pPr>
            <w:r w:rsidRPr="004B4788">
              <w:rPr>
                <w:lang w:val="en-US"/>
              </w:rPr>
              <w:t>Dr Eliza Tweddle</w:t>
            </w:r>
          </w:p>
        </w:tc>
      </w:tr>
      <w:tr w:rsidR="009D7F11" w14:paraId="7F845942" w14:textId="77777777" w:rsidTr="009D7F11">
        <w:tc>
          <w:tcPr>
            <w:tcW w:w="4644" w:type="dxa"/>
          </w:tcPr>
          <w:p w14:paraId="092CC878" w14:textId="542C1060" w:rsidR="009D7F11" w:rsidRPr="009D7F11" w:rsidRDefault="009D7F11" w:rsidP="009D7F11">
            <w:pPr>
              <w:pStyle w:val="DHHSbody"/>
            </w:pPr>
            <w:r w:rsidRPr="004B4788">
              <w:rPr>
                <w:lang w:val="en-US"/>
              </w:rPr>
              <w:t>Mr Mark Guirguis</w:t>
            </w:r>
          </w:p>
        </w:tc>
        <w:tc>
          <w:tcPr>
            <w:tcW w:w="4644" w:type="dxa"/>
          </w:tcPr>
          <w:p w14:paraId="16135A85" w14:textId="3A5DEA45" w:rsidR="009D7F11" w:rsidRDefault="009D7F11" w:rsidP="00377D74">
            <w:pPr>
              <w:pStyle w:val="DHHSbody"/>
              <w:rPr>
                <w:b/>
              </w:rPr>
            </w:pPr>
            <w:r w:rsidRPr="004B4788">
              <w:rPr>
                <w:lang w:val="en-US"/>
              </w:rPr>
              <w:t>Dr Mori Wada</w:t>
            </w:r>
          </w:p>
        </w:tc>
      </w:tr>
      <w:tr w:rsidR="009D7F11" w14:paraId="3A50353D" w14:textId="77777777" w:rsidTr="009D7F11">
        <w:tc>
          <w:tcPr>
            <w:tcW w:w="4644" w:type="dxa"/>
          </w:tcPr>
          <w:p w14:paraId="13613AFB" w14:textId="36E6ED58" w:rsidR="009D7F11" w:rsidRDefault="009D7F11" w:rsidP="00377D74">
            <w:pPr>
              <w:pStyle w:val="DHHSbody"/>
              <w:rPr>
                <w:b/>
              </w:rPr>
            </w:pPr>
            <w:r w:rsidRPr="004B4788">
              <w:rPr>
                <w:lang w:val="en-US"/>
              </w:rPr>
              <w:t>Mr Colin Hornby</w:t>
            </w:r>
          </w:p>
        </w:tc>
        <w:tc>
          <w:tcPr>
            <w:tcW w:w="4644" w:type="dxa"/>
          </w:tcPr>
          <w:p w14:paraId="1420685B" w14:textId="0D85AC9B" w:rsidR="009D7F11" w:rsidRDefault="009D7F11" w:rsidP="00377D74">
            <w:pPr>
              <w:pStyle w:val="DHHSbody"/>
              <w:rPr>
                <w:b/>
              </w:rPr>
            </w:pPr>
            <w:r w:rsidRPr="004B4788">
              <w:rPr>
                <w:lang w:val="en-US"/>
              </w:rPr>
              <w:t>A/Prof</w:t>
            </w:r>
            <w:r>
              <w:rPr>
                <w:lang w:val="en-US"/>
              </w:rPr>
              <w:t>.</w:t>
            </w:r>
            <w:r w:rsidRPr="004B4788">
              <w:rPr>
                <w:lang w:val="en-US"/>
              </w:rPr>
              <w:t xml:space="preserve"> David Wiesenfeld</w:t>
            </w:r>
          </w:p>
        </w:tc>
      </w:tr>
    </w:tbl>
    <w:p w14:paraId="5F023342" w14:textId="2592E164" w:rsidR="009560A2" w:rsidRDefault="00377D74" w:rsidP="00377D74">
      <w:pPr>
        <w:pStyle w:val="DHHSbody"/>
        <w:rPr>
          <w:b/>
        </w:rPr>
      </w:pPr>
      <w:r w:rsidRPr="004B4788">
        <w:rPr>
          <w:b/>
        </w:rPr>
        <w:t>Data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597"/>
      </w:tblGrid>
      <w:tr w:rsidR="009D7F11" w14:paraId="31C2D334" w14:textId="77777777" w:rsidTr="009D7F11">
        <w:tc>
          <w:tcPr>
            <w:tcW w:w="4644" w:type="dxa"/>
          </w:tcPr>
          <w:p w14:paraId="4B5FB24C" w14:textId="7267DEF8" w:rsidR="009D7F11" w:rsidRPr="009D7F11" w:rsidRDefault="009D7F11" w:rsidP="00377D74">
            <w:pPr>
              <w:pStyle w:val="DHHSbody"/>
              <w:rPr>
                <w:b/>
              </w:rPr>
            </w:pPr>
            <w:r>
              <w:t>Ms Ella Stuart</w:t>
            </w:r>
          </w:p>
        </w:tc>
        <w:tc>
          <w:tcPr>
            <w:tcW w:w="4644" w:type="dxa"/>
          </w:tcPr>
          <w:p w14:paraId="3147FD07" w14:textId="6870B8A0" w:rsidR="009D7F11" w:rsidRDefault="009D7F11" w:rsidP="00377D74">
            <w:pPr>
              <w:pStyle w:val="DHHSbody"/>
            </w:pPr>
            <w:r>
              <w:t>Dr Luc te Marvelde</w:t>
            </w:r>
          </w:p>
        </w:tc>
      </w:tr>
    </w:tbl>
    <w:p w14:paraId="551B7ACF" w14:textId="4B82B4A0" w:rsidR="009560A2" w:rsidRDefault="00377D74" w:rsidP="00377D74">
      <w:pPr>
        <w:pStyle w:val="DHHSbody"/>
        <w:rPr>
          <w:b/>
        </w:rPr>
      </w:pPr>
      <w:r w:rsidRPr="004B4788">
        <w:rPr>
          <w:b/>
        </w:rPr>
        <w:t xml:space="preserve">Victorian Tumour Summits Project </w:t>
      </w:r>
      <w:r w:rsidR="00E84112">
        <w:rPr>
          <w:b/>
        </w:rPr>
        <w:t>T</w:t>
      </w:r>
      <w:r w:rsidRPr="004B4788">
        <w:rPr>
          <w:b/>
        </w:rPr>
        <w: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597"/>
      </w:tblGrid>
      <w:tr w:rsidR="009D7F11" w14:paraId="40FBBADC" w14:textId="77777777" w:rsidTr="009D7F11">
        <w:tc>
          <w:tcPr>
            <w:tcW w:w="4593" w:type="dxa"/>
          </w:tcPr>
          <w:p w14:paraId="749F0214" w14:textId="72A75B3B" w:rsidR="009D7F11" w:rsidRPr="009D7F11" w:rsidRDefault="009D7F11" w:rsidP="00B709A5">
            <w:pPr>
              <w:pStyle w:val="DHHSbody"/>
              <w:rPr>
                <w:b/>
              </w:rPr>
            </w:pPr>
            <w:r>
              <w:t>Ms Mirela Matthews</w:t>
            </w:r>
          </w:p>
        </w:tc>
        <w:tc>
          <w:tcPr>
            <w:tcW w:w="4597" w:type="dxa"/>
          </w:tcPr>
          <w:p w14:paraId="131FAB4F" w14:textId="699885EB" w:rsidR="009D7F11" w:rsidRDefault="009D7F11" w:rsidP="00B709A5">
            <w:pPr>
              <w:pStyle w:val="DHHSbody"/>
            </w:pPr>
            <w:r>
              <w:t xml:space="preserve">Ms Amy Sercombe </w:t>
            </w:r>
          </w:p>
        </w:tc>
      </w:tr>
      <w:tr w:rsidR="009D7F11" w14:paraId="7E704D95" w14:textId="77777777" w:rsidTr="009D7F11">
        <w:tc>
          <w:tcPr>
            <w:tcW w:w="4593" w:type="dxa"/>
          </w:tcPr>
          <w:p w14:paraId="4DB3A155" w14:textId="1D8DD451" w:rsidR="009D7F11" w:rsidRPr="009D7F11" w:rsidRDefault="009D7F11" w:rsidP="00B709A5">
            <w:pPr>
              <w:pStyle w:val="DHHSbody"/>
            </w:pPr>
            <w:r>
              <w:t xml:space="preserve">Ms Rebecca Miller </w:t>
            </w:r>
          </w:p>
        </w:tc>
        <w:tc>
          <w:tcPr>
            <w:tcW w:w="4597" w:type="dxa"/>
          </w:tcPr>
          <w:p w14:paraId="7F411284" w14:textId="416F9993" w:rsidR="009D7F11" w:rsidRDefault="009D7F11" w:rsidP="00B709A5">
            <w:pPr>
              <w:pStyle w:val="DHHSbody"/>
            </w:pPr>
            <w:r>
              <w:t>Ms Luellen Thek</w:t>
            </w:r>
          </w:p>
        </w:tc>
      </w:tr>
      <w:tr w:rsidR="009D7F11" w14:paraId="19DFF1BA" w14:textId="77777777" w:rsidTr="009D7F11">
        <w:tc>
          <w:tcPr>
            <w:tcW w:w="4593" w:type="dxa"/>
          </w:tcPr>
          <w:p w14:paraId="3A54D198" w14:textId="4DD272E0" w:rsidR="009D7F11" w:rsidRPr="009D7F11" w:rsidRDefault="009D7F11" w:rsidP="00B709A5">
            <w:pPr>
              <w:pStyle w:val="DHHSbody"/>
            </w:pPr>
            <w:r>
              <w:t xml:space="preserve">Ms Claire Porter </w:t>
            </w:r>
          </w:p>
        </w:tc>
        <w:tc>
          <w:tcPr>
            <w:tcW w:w="4597" w:type="dxa"/>
          </w:tcPr>
          <w:p w14:paraId="62F987E9" w14:textId="77777777" w:rsidR="009D7F11" w:rsidRDefault="009D7F11" w:rsidP="00B709A5">
            <w:pPr>
              <w:pStyle w:val="DHHSbody"/>
            </w:pPr>
          </w:p>
        </w:tc>
      </w:tr>
    </w:tbl>
    <w:p w14:paraId="57F6C39B" w14:textId="7030CBD5" w:rsidR="00377D74" w:rsidRDefault="00377D74" w:rsidP="00377D74">
      <w:pPr>
        <w:pStyle w:val="DHHSbody"/>
      </w:pPr>
      <w:r>
        <w:t xml:space="preserve">We also gratefully acknowledge the providers of the Victorian Cancer Registry data, Victorian Admitted Episodes Dataset and the Victorian Radiotherapy Minimum Dataset, as well as the Centre for Victorian Data Linkage for performing the linkages between the Victorian Cancer Registry and administrative datasets. In addition, we acknowledge Jane Harrowfield for providing data from the Malnutrition in Victorian </w:t>
      </w:r>
      <w:r w:rsidR="00A244CD">
        <w:t>Cancer</w:t>
      </w:r>
      <w:r>
        <w:t xml:space="preserve"> Services </w:t>
      </w:r>
      <w:r w:rsidR="00A244CD">
        <w:t>p</w:t>
      </w:r>
      <w:r>
        <w:t>oint prevalence study.</w:t>
      </w:r>
    </w:p>
    <w:p w14:paraId="497FE82A" w14:textId="1498B525" w:rsidR="00F62369" w:rsidRDefault="00377D74" w:rsidP="00377D74">
      <w:pPr>
        <w:pStyle w:val="DHHSbody"/>
        <w:sectPr w:rsidR="00F62369" w:rsidSect="00560A2C">
          <w:headerReference w:type="even" r:id="rId24"/>
          <w:headerReference w:type="default" r:id="rId25"/>
          <w:footerReference w:type="even" r:id="rId26"/>
          <w:footerReference w:type="default" r:id="rId27"/>
          <w:footerReference w:type="first" r:id="rId28"/>
          <w:type w:val="continuous"/>
          <w:pgSz w:w="11906" w:h="16838"/>
          <w:pgMar w:top="1701" w:right="1304" w:bottom="1134" w:left="1304" w:header="454" w:footer="510" w:gutter="0"/>
          <w:cols w:space="720"/>
          <w:docGrid w:linePitch="360"/>
        </w:sectPr>
      </w:pPr>
      <w:r>
        <w:t xml:space="preserve">To view the Head and Neck </w:t>
      </w:r>
      <w:r w:rsidR="009F22F3">
        <w:t xml:space="preserve">Cancers </w:t>
      </w:r>
      <w:r w:rsidR="001A12A7">
        <w:t>S</w:t>
      </w:r>
      <w:r>
        <w:t xml:space="preserve">ummit data presentation and related documents, visit the </w:t>
      </w:r>
      <w:hyperlink r:id="rId29" w:history="1">
        <w:r w:rsidRPr="001A12A7">
          <w:rPr>
            <w:rStyle w:val="Hyperlink"/>
          </w:rPr>
          <w:t xml:space="preserve">Head and Neck </w:t>
        </w:r>
        <w:r w:rsidR="009F22F3">
          <w:rPr>
            <w:rStyle w:val="Hyperlink"/>
          </w:rPr>
          <w:t xml:space="preserve">Cancers </w:t>
        </w:r>
        <w:r w:rsidRPr="001A12A7">
          <w:rPr>
            <w:rStyle w:val="Hyperlink"/>
          </w:rPr>
          <w:t xml:space="preserve">Summit meeting </w:t>
        </w:r>
        <w:r w:rsidR="001A12A7">
          <w:rPr>
            <w:rStyle w:val="Hyperlink"/>
          </w:rPr>
          <w:t>web</w:t>
        </w:r>
        <w:r w:rsidRPr="001A12A7">
          <w:rPr>
            <w:rStyle w:val="Hyperlink"/>
          </w:rPr>
          <w:t>page</w:t>
        </w:r>
      </w:hyperlink>
      <w:r w:rsidR="001A12A7">
        <w:t xml:space="preserve"> &lt;</w:t>
      </w:r>
      <w:r w:rsidR="001A12A7" w:rsidRPr="0023047C">
        <w:t>https://www.nemics.org.au/index.php/Improving_cancer_care/summits/headneck/?action=getPageFromName&amp;page=Improving_cancer_care/summits/headneck/</w:t>
      </w:r>
      <w:r w:rsidR="001A12A7">
        <w:t>&gt;.</w:t>
      </w:r>
    </w:p>
    <w:p w14:paraId="0A4774B4" w14:textId="77777777" w:rsidR="00692F5A" w:rsidRDefault="00FB4AB0" w:rsidP="007970BD">
      <w:pPr>
        <w:pStyle w:val="Heading1"/>
      </w:pPr>
      <w:bookmarkStart w:id="6" w:name="_Toc22713842"/>
      <w:r>
        <w:t>Introduction</w:t>
      </w:r>
      <w:bookmarkEnd w:id="6"/>
    </w:p>
    <w:p w14:paraId="7254CB78" w14:textId="16F716C4" w:rsidR="00FB4AB0" w:rsidRDefault="00FB4AB0" w:rsidP="00DC19D8">
      <w:pPr>
        <w:pStyle w:val="DHHSbody"/>
      </w:pPr>
      <w:r w:rsidRPr="00FB4AB0">
        <w:t xml:space="preserve">The data presented in this report are a summary of the analyses prepared for the </w:t>
      </w:r>
      <w:r>
        <w:t>Head and Neck</w:t>
      </w:r>
      <w:r w:rsidR="00081B00">
        <w:t xml:space="preserve"> (H&amp;N)</w:t>
      </w:r>
      <w:r w:rsidRPr="00FB4AB0">
        <w:t xml:space="preserve"> </w:t>
      </w:r>
      <w:r w:rsidR="00081B00">
        <w:t xml:space="preserve">Cancers </w:t>
      </w:r>
      <w:r w:rsidRPr="00FB4AB0">
        <w:t>Summit held</w:t>
      </w:r>
      <w:r w:rsidR="00081B00">
        <w:t xml:space="preserve"> in Melbourne</w:t>
      </w:r>
      <w:r w:rsidRPr="00FB4AB0">
        <w:t xml:space="preserve"> </w:t>
      </w:r>
      <w:r>
        <w:t xml:space="preserve">on </w:t>
      </w:r>
      <w:r w:rsidR="00847829">
        <w:t xml:space="preserve">12 </w:t>
      </w:r>
      <w:r>
        <w:t xml:space="preserve">October </w:t>
      </w:r>
      <w:r w:rsidRPr="00FB4AB0">
        <w:t xml:space="preserve">2018. The </w:t>
      </w:r>
      <w:r w:rsidR="00602006">
        <w:t>H&amp;N</w:t>
      </w:r>
      <w:r w:rsidR="00762847">
        <w:t xml:space="preserve"> Cancers</w:t>
      </w:r>
      <w:r w:rsidR="00602006">
        <w:t xml:space="preserve"> </w:t>
      </w:r>
      <w:r w:rsidRPr="00FB4AB0">
        <w:t>Summit is part of the Victorian Tumour Summits, an initiative of the Victorian Integrated Cancer Services (ICS</w:t>
      </w:r>
      <w:r w:rsidR="00004FB8" w:rsidRPr="003072C6">
        <w:rPr>
          <w:rStyle w:val="FootnoteReference"/>
        </w:rPr>
        <w:footnoteReference w:id="1"/>
      </w:r>
      <w:r w:rsidRPr="00FB4AB0">
        <w:t>) delivered in collaboration with the Department of Health (‘the department’) and Cancer Council Victoria. The summits support the broader program of work implementing the optimal care pathways (OCP</w:t>
      </w:r>
      <w:r w:rsidR="00DD6296">
        <w:t>s</w:t>
      </w:r>
      <w:r w:rsidRPr="00FB4AB0">
        <w:t xml:space="preserve">). </w:t>
      </w:r>
    </w:p>
    <w:p w14:paraId="3A0EAFA2" w14:textId="2CDFFC76" w:rsidR="00FB4AB0" w:rsidRDefault="00BD2A65" w:rsidP="00DC19D8">
      <w:pPr>
        <w:pStyle w:val="DHHSbody"/>
      </w:pPr>
      <w:r w:rsidRPr="00BD2A65">
        <w:t>Th</w:t>
      </w:r>
      <w:r w:rsidR="00CF51F0">
        <w:t xml:space="preserve">e </w:t>
      </w:r>
      <w:r w:rsidR="00602006">
        <w:t>H&amp;N</w:t>
      </w:r>
      <w:r w:rsidR="00602006" w:rsidRPr="00FB4AB0">
        <w:t xml:space="preserve"> </w:t>
      </w:r>
      <w:r w:rsidR="00762847">
        <w:t xml:space="preserve">Cancers </w:t>
      </w:r>
      <w:r w:rsidRPr="00FB4AB0">
        <w:t>Summit</w:t>
      </w:r>
      <w:r w:rsidR="00CF51F0">
        <w:t xml:space="preserve"> </w:t>
      </w:r>
      <w:r w:rsidRPr="00BD2A65">
        <w:t xml:space="preserve">gathered </w:t>
      </w:r>
      <w:r w:rsidR="00CF51F0">
        <w:t>101</w:t>
      </w:r>
      <w:r w:rsidRPr="00BD2A65">
        <w:t xml:space="preserve"> stakeholders from across Victoria to discuss variations in care and identify opportunities for improvement. Data presented focused on the presentation, diagnosis and treatment steps of the </w:t>
      </w:r>
      <w:r w:rsidR="00602006">
        <w:t xml:space="preserve">H&amp;N </w:t>
      </w:r>
      <w:r w:rsidR="00CF51F0">
        <w:t>cancer</w:t>
      </w:r>
      <w:r w:rsidR="00DD6296">
        <w:t>s</w:t>
      </w:r>
      <w:r w:rsidRPr="00BD2A65">
        <w:t xml:space="preserve"> OCP. Stakeholders prioritised variations </w:t>
      </w:r>
      <w:r w:rsidR="0035742F">
        <w:t xml:space="preserve">for action </w:t>
      </w:r>
      <w:r w:rsidRPr="00BD2A65">
        <w:t xml:space="preserve">based on their potential impact on patient experience and outcomes. </w:t>
      </w:r>
      <w:r w:rsidR="009D1FFB">
        <w:t xml:space="preserve">Ideas for improvement were also shared. </w:t>
      </w:r>
      <w:r w:rsidRPr="00BD2A65">
        <w:t>Clinical commentary and recommendations from the summit are included in this report.</w:t>
      </w:r>
    </w:p>
    <w:p w14:paraId="6074A933" w14:textId="77777777" w:rsidR="00CF51F0" w:rsidRPr="00CF51F0" w:rsidRDefault="00CF51F0" w:rsidP="009560A2">
      <w:pPr>
        <w:pStyle w:val="Heading2"/>
      </w:pPr>
      <w:bookmarkStart w:id="7" w:name="_Toc22713843"/>
      <w:r w:rsidRPr="00CF51F0">
        <w:t>More information</w:t>
      </w:r>
      <w:bookmarkEnd w:id="7"/>
      <w:r w:rsidRPr="00CF51F0">
        <w:t xml:space="preserve"> </w:t>
      </w:r>
    </w:p>
    <w:p w14:paraId="768BF113" w14:textId="49C3BDD5" w:rsidR="00CF51F0" w:rsidRPr="003072C6" w:rsidRDefault="00CF51F0" w:rsidP="00CF51F0">
      <w:pPr>
        <w:pStyle w:val="DHHSbullet1"/>
      </w:pPr>
      <w:r>
        <w:t xml:space="preserve">Find out more about the </w:t>
      </w:r>
      <w:r w:rsidR="00602006">
        <w:t>H&amp;N</w:t>
      </w:r>
      <w:r w:rsidR="00602006" w:rsidRPr="00FB4AB0">
        <w:t xml:space="preserve"> </w:t>
      </w:r>
      <w:r w:rsidR="00762847">
        <w:t xml:space="preserve">Cancers </w:t>
      </w:r>
      <w:r w:rsidRPr="00FB4AB0">
        <w:t>Summit</w:t>
      </w:r>
      <w:r>
        <w:t xml:space="preserve"> from the </w:t>
      </w:r>
      <w:hyperlink r:id="rId30" w:history="1">
        <w:r w:rsidRPr="00847829">
          <w:rPr>
            <w:rStyle w:val="Hyperlink"/>
          </w:rPr>
          <w:t>NEMICS website</w:t>
        </w:r>
      </w:hyperlink>
      <w:r>
        <w:t xml:space="preserve"> &lt;</w:t>
      </w:r>
      <w:r w:rsidRPr="00CF51F0">
        <w:t>https://www.nemics.org.au/index.php/Improving_cancer_care/summits/headneck/?action=getPageFromName&amp;page=Improving_cancer_care/summits/headneck/</w:t>
      </w:r>
      <w:r>
        <w:t>&gt;</w:t>
      </w:r>
      <w:r w:rsidR="00847829">
        <w:t>.</w:t>
      </w:r>
    </w:p>
    <w:p w14:paraId="71AC6727" w14:textId="27E505DF" w:rsidR="00D85E03" w:rsidRPr="003072C6" w:rsidRDefault="00CF51F0" w:rsidP="00B146BA">
      <w:pPr>
        <w:pStyle w:val="DHHSbullet1lastline"/>
      </w:pPr>
      <w:r>
        <w:t xml:space="preserve">The </w:t>
      </w:r>
      <w:r w:rsidR="00602006">
        <w:t xml:space="preserve">H&amp;N </w:t>
      </w:r>
      <w:r>
        <w:t>cancer</w:t>
      </w:r>
      <w:r w:rsidR="00DD6296">
        <w:t>s</w:t>
      </w:r>
      <w:r>
        <w:t xml:space="preserve"> OCP can be viewed and downloaded from </w:t>
      </w:r>
      <w:r w:rsidRPr="00B47320">
        <w:t xml:space="preserve">the </w:t>
      </w:r>
      <w:hyperlink r:id="rId31" w:history="1">
        <w:r w:rsidRPr="00847829">
          <w:rPr>
            <w:rStyle w:val="Hyperlink"/>
          </w:rPr>
          <w:t>Cancer Council Australia website</w:t>
        </w:r>
      </w:hyperlink>
      <w:r>
        <w:t xml:space="preserve"> &lt;</w:t>
      </w:r>
      <w:r w:rsidRPr="00CF51F0">
        <w:t>www.cancer.org.au/OCP</w:t>
      </w:r>
      <w:r>
        <w:t>&gt;</w:t>
      </w:r>
      <w:r w:rsidR="00847829">
        <w:t>.</w:t>
      </w:r>
    </w:p>
    <w:p w14:paraId="25C3F0C1" w14:textId="77777777" w:rsidR="009560A2" w:rsidRDefault="009560A2" w:rsidP="0062597E">
      <w:pPr>
        <w:pStyle w:val="DHHSbody"/>
        <w:rPr>
          <w:color w:val="9F2241"/>
          <w:sz w:val="44"/>
          <w:szCs w:val="44"/>
        </w:rPr>
      </w:pPr>
      <w:r>
        <w:br w:type="page"/>
      </w:r>
    </w:p>
    <w:p w14:paraId="7DFE29BE" w14:textId="3E538938" w:rsidR="00E30414" w:rsidRPr="004E1EDE" w:rsidRDefault="00004FB8" w:rsidP="007970BD">
      <w:pPr>
        <w:pStyle w:val="Heading1"/>
      </w:pPr>
      <w:bookmarkStart w:id="8" w:name="_Toc22713844"/>
      <w:r>
        <w:t>Data sources</w:t>
      </w:r>
      <w:bookmarkEnd w:id="8"/>
    </w:p>
    <w:p w14:paraId="1DDDA342" w14:textId="08357887" w:rsidR="00BF31F1" w:rsidRDefault="00BF31F1" w:rsidP="007970BD">
      <w:pPr>
        <w:pStyle w:val="Heading2"/>
      </w:pPr>
      <w:bookmarkStart w:id="9" w:name="_Toc22713845"/>
      <w:r>
        <w:t>Linked dataset</w:t>
      </w:r>
      <w:bookmarkEnd w:id="9"/>
    </w:p>
    <w:p w14:paraId="13BB14CA" w14:textId="52D76183" w:rsidR="00BF31F1" w:rsidRDefault="00BF31F1" w:rsidP="00BF31F1">
      <w:pPr>
        <w:pStyle w:val="Heading3"/>
      </w:pPr>
      <w:r>
        <w:t>Datasets</w:t>
      </w:r>
    </w:p>
    <w:p w14:paraId="1A94517E" w14:textId="0B9D703D" w:rsidR="00004FB8" w:rsidRPr="00C3548E" w:rsidRDefault="00004FB8" w:rsidP="00C3548E">
      <w:pPr>
        <w:pStyle w:val="DHHSbody"/>
      </w:pPr>
      <w:r w:rsidRPr="00C3548E">
        <w:t xml:space="preserve">The Victorian Cancer Registry (VCR) is a population-based cancer registry </w:t>
      </w:r>
      <w:r w:rsidR="00AD4C90" w:rsidRPr="00C3548E">
        <w:t xml:space="preserve">that </w:t>
      </w:r>
      <w:r w:rsidRPr="00C3548E">
        <w:t>collects demographic and tumour details</w:t>
      </w:r>
      <w:r w:rsidR="000F7145" w:rsidRPr="00C3548E">
        <w:t>, including diagnosis date and region of residence,</w:t>
      </w:r>
      <w:r w:rsidRPr="00C3548E">
        <w:t xml:space="preserve"> for all Victorian residents who are diagnosed with cancer. The department’s Centre for Victorian Data Linkage perform</w:t>
      </w:r>
      <w:r w:rsidR="001F7358" w:rsidRPr="00C3548E">
        <w:t>s</w:t>
      </w:r>
      <w:r w:rsidRPr="00C3548E">
        <w:t xml:space="preserve"> an annual data linkage between the VCR and administrative datasets including the Victorian Admitted Episodes Dataset (VAED), the Victorian Radiotherapy Minimum Data Set (VRMDS) and the Victorian Death Index. Linking the VCR to the VAED provides information</w:t>
      </w:r>
      <w:r w:rsidR="000F7145" w:rsidRPr="00C3548E">
        <w:t xml:space="preserve"> captured within the inpatient setting in Victorian public and private hospitals </w:t>
      </w:r>
      <w:r w:rsidR="000E1944">
        <w:t>such as</w:t>
      </w:r>
      <w:r w:rsidR="000E1944" w:rsidRPr="00C3548E">
        <w:t xml:space="preserve"> </w:t>
      </w:r>
      <w:r w:rsidR="000F7145" w:rsidRPr="00C3548E">
        <w:t>patient diagnoses (</w:t>
      </w:r>
      <w:r w:rsidR="000E1944">
        <w:t>for example,</w:t>
      </w:r>
      <w:r w:rsidR="000F7145" w:rsidRPr="00C3548E">
        <w:t xml:space="preserve"> comorbidities</w:t>
      </w:r>
      <w:r w:rsidR="00D569C2">
        <w:t xml:space="preserve"> and</w:t>
      </w:r>
      <w:r w:rsidR="000F7145" w:rsidRPr="00C3548E">
        <w:t xml:space="preserve"> distant metastases), </w:t>
      </w:r>
      <w:r w:rsidR="000F7145" w:rsidRPr="0051753B">
        <w:t>emergency admissions and</w:t>
      </w:r>
      <w:r w:rsidRPr="0051753B">
        <w:t xml:space="preserve"> cancer treatment, including surgery and chemotherapy</w:t>
      </w:r>
      <w:r w:rsidR="0051753B" w:rsidRPr="0051753B">
        <w:t xml:space="preserve"> (see </w:t>
      </w:r>
      <w:r w:rsidR="005F078F">
        <w:t>G</w:t>
      </w:r>
      <w:r w:rsidR="0051753B" w:rsidRPr="0051753B">
        <w:t>lossary)</w:t>
      </w:r>
      <w:r w:rsidRPr="00C3548E">
        <w:t xml:space="preserve">. Linking the VCR to the VRMDS provides information on admitted and non-admitted </w:t>
      </w:r>
      <w:r w:rsidR="000F7145" w:rsidRPr="00C3548E">
        <w:t xml:space="preserve">radical and palliative </w:t>
      </w:r>
      <w:r w:rsidRPr="00C3548E">
        <w:t xml:space="preserve">radiotherapy courses </w:t>
      </w:r>
      <w:r w:rsidR="005F6703" w:rsidRPr="00C3548E">
        <w:t xml:space="preserve">provided </w:t>
      </w:r>
      <w:r w:rsidRPr="00C3548E">
        <w:t>in Victorian public and private radiotherapy centres.</w:t>
      </w:r>
      <w:r w:rsidR="00AD4C90" w:rsidRPr="00C3548E">
        <w:t xml:space="preserve"> Unless </w:t>
      </w:r>
      <w:r w:rsidR="00533A13" w:rsidRPr="00C3548E">
        <w:t xml:space="preserve">otherwise </w:t>
      </w:r>
      <w:r w:rsidR="00AD4C90" w:rsidRPr="00C3548E">
        <w:t xml:space="preserve">specified, the data source </w:t>
      </w:r>
      <w:r w:rsidR="00533A13" w:rsidRPr="00C3548E">
        <w:t>used for the</w:t>
      </w:r>
      <w:r w:rsidR="00AD4C90" w:rsidRPr="00C3548E">
        <w:t xml:space="preserve"> report analyses </w:t>
      </w:r>
      <w:r w:rsidR="00B146BA" w:rsidRPr="00C3548E">
        <w:t>wa</w:t>
      </w:r>
      <w:r w:rsidR="00AD4C90" w:rsidRPr="00C3548E">
        <w:t>s the linked dataset.</w:t>
      </w:r>
    </w:p>
    <w:p w14:paraId="7C29F2B8" w14:textId="617FDE32" w:rsidR="00BF31F1" w:rsidRDefault="00BF31F1" w:rsidP="00BF31F1">
      <w:pPr>
        <w:pStyle w:val="Heading3"/>
      </w:pPr>
      <w:r>
        <w:t>Patient selection</w:t>
      </w:r>
    </w:p>
    <w:p w14:paraId="70517BFF" w14:textId="03BF3F0E" w:rsidR="00BF31F1" w:rsidRPr="00C3548E" w:rsidRDefault="00BF31F1" w:rsidP="00BF31F1">
      <w:pPr>
        <w:pStyle w:val="DHHSbody"/>
      </w:pPr>
      <w:r w:rsidRPr="00C3548E">
        <w:t xml:space="preserve">Victorian residents aged 18 years or older with a primary diagnosis of </w:t>
      </w:r>
      <w:r w:rsidR="000E1944">
        <w:t xml:space="preserve">an </w:t>
      </w:r>
      <w:r w:rsidRPr="00C3548E">
        <w:t>H&amp;N cancer (</w:t>
      </w:r>
      <w:r w:rsidRPr="00C3548E">
        <w:fldChar w:fldCharType="begin"/>
      </w:r>
      <w:r w:rsidRPr="00C3548E">
        <w:instrText xml:space="preserve"> REF _Ref5000135 \h </w:instrText>
      </w:r>
      <w:r>
        <w:instrText xml:space="preserve"> \* MERGEFORMAT </w:instrText>
      </w:r>
      <w:r w:rsidRPr="00C3548E">
        <w:fldChar w:fldCharType="separate"/>
      </w:r>
      <w:r w:rsidR="00084E54">
        <w:t xml:space="preserve">Supplementary Table </w:t>
      </w:r>
      <w:r w:rsidRPr="00C3548E">
        <w:fldChar w:fldCharType="end"/>
      </w:r>
      <w:r w:rsidR="00311ECB">
        <w:t>1</w:t>
      </w:r>
      <w:r w:rsidRPr="00C3548E">
        <w:t>) between 2012 and 2016 were identified using the VCR. Patients whose cancer diagnosis was notified to the VCR by death certificate only (</w:t>
      </w:r>
      <w:r w:rsidRPr="00311ECB">
        <w:rPr>
          <w:i/>
          <w:iCs/>
        </w:rPr>
        <w:t xml:space="preserve">n </w:t>
      </w:r>
      <w:r w:rsidRPr="00C3548E">
        <w:t>= 36) and records for second</w:t>
      </w:r>
      <w:r w:rsidR="000E1944">
        <w:t>-</w:t>
      </w:r>
      <w:r w:rsidRPr="00C3548E">
        <w:t xml:space="preserve">incident </w:t>
      </w:r>
      <w:r w:rsidR="005B4072">
        <w:t>H&amp;N</w:t>
      </w:r>
      <w:r w:rsidRPr="00C3548E">
        <w:t xml:space="preserve"> cancers (</w:t>
      </w:r>
      <w:r w:rsidRPr="00311ECB">
        <w:rPr>
          <w:i/>
          <w:iCs/>
        </w:rPr>
        <w:t>n</w:t>
      </w:r>
      <w:r w:rsidRPr="00C3548E">
        <w:t xml:space="preserve"> = 29</w:t>
      </w:r>
      <w:r w:rsidR="000E1944">
        <w:t>:</w:t>
      </w:r>
      <w:r w:rsidRPr="00C3548E">
        <w:t xml:space="preserve"> patients with more than </w:t>
      </w:r>
      <w:r w:rsidR="00880180">
        <w:t>one</w:t>
      </w:r>
      <w:r w:rsidRPr="00C3548E">
        <w:t xml:space="preserve"> </w:t>
      </w:r>
      <w:r w:rsidR="005B4072">
        <w:t>H&amp;N</w:t>
      </w:r>
      <w:r w:rsidRPr="00C3548E">
        <w:t xml:space="preserve"> cancer) were included in the ‘Incidence and demographics’ section only.</w:t>
      </w:r>
    </w:p>
    <w:p w14:paraId="010EC8EC" w14:textId="4E61C451" w:rsidR="00BF31F1" w:rsidRPr="00C3548E" w:rsidRDefault="00BF31F1" w:rsidP="00BF31F1">
      <w:pPr>
        <w:pStyle w:val="DHHSbody"/>
        <w:rPr>
          <w:highlight w:val="yellow"/>
        </w:rPr>
      </w:pPr>
      <w:r w:rsidRPr="00C3548E">
        <w:t xml:space="preserve">As a proxy for cancer stage, </w:t>
      </w:r>
      <w:r w:rsidRPr="00046BE6">
        <w:t xml:space="preserve">patients were grouped as having lymph node negative cancer, lymph node positive cancer or distant metastases at diagnosis (see </w:t>
      </w:r>
      <w:r w:rsidR="005F078F">
        <w:t>G</w:t>
      </w:r>
      <w:r w:rsidRPr="00046BE6">
        <w:t xml:space="preserve">lossary for </w:t>
      </w:r>
      <w:r w:rsidR="00240E59">
        <w:t>more</w:t>
      </w:r>
      <w:r w:rsidR="00240E59" w:rsidRPr="00046BE6">
        <w:t xml:space="preserve"> </w:t>
      </w:r>
      <w:r w:rsidRPr="00046BE6">
        <w:t>information). Patients who had distant metastases</w:t>
      </w:r>
      <w:r w:rsidR="006C768E">
        <w:t xml:space="preserve"> at diagnosis</w:t>
      </w:r>
      <w:r w:rsidRPr="00046BE6">
        <w:t xml:space="preserve"> were excluded from the ‘Patient movement across ICS’, ‘Timeliness of </w:t>
      </w:r>
      <w:r w:rsidR="00117D36">
        <w:t>treatment</w:t>
      </w:r>
      <w:r w:rsidRPr="00046BE6">
        <w:t>’, ‘Emergency admission following radiotherapy’, ‘Treatment and survival</w:t>
      </w:r>
      <w:r w:rsidR="00050663">
        <w:t xml:space="preserve"> </w:t>
      </w:r>
      <w:r w:rsidR="002C5509">
        <w:t>–</w:t>
      </w:r>
      <w:r w:rsidR="00050663">
        <w:t xml:space="preserve"> </w:t>
      </w:r>
      <w:r w:rsidRPr="00046BE6">
        <w:t>oral cavity cancer’ and ‘Treatment and survival</w:t>
      </w:r>
      <w:r w:rsidR="00050663">
        <w:t xml:space="preserve"> </w:t>
      </w:r>
      <w:r w:rsidR="002C5509">
        <w:t>–</w:t>
      </w:r>
      <w:r w:rsidR="00050663">
        <w:t xml:space="preserve"> </w:t>
      </w:r>
      <w:r w:rsidRPr="00046BE6">
        <w:t>oropharynx cancer’ sections.</w:t>
      </w:r>
    </w:p>
    <w:p w14:paraId="2F3EACC6" w14:textId="77777777" w:rsidR="00BF31F1" w:rsidRDefault="00BF31F1" w:rsidP="00BF31F1">
      <w:pPr>
        <w:pStyle w:val="Heading3"/>
      </w:pPr>
      <w:r>
        <w:t>Data limitations</w:t>
      </w:r>
    </w:p>
    <w:p w14:paraId="1276F3C3" w14:textId="7969DD3D" w:rsidR="00BF31F1" w:rsidRPr="00261D46" w:rsidRDefault="005B4072" w:rsidP="00BF31F1">
      <w:pPr>
        <w:pStyle w:val="DHHSbody"/>
      </w:pPr>
      <w:r>
        <w:rPr>
          <w:b/>
        </w:rPr>
        <w:t>H&amp;N</w:t>
      </w:r>
      <w:r w:rsidR="00BF31F1" w:rsidRPr="00261D46">
        <w:rPr>
          <w:b/>
        </w:rPr>
        <w:t xml:space="preserve"> cutaneous squamous cell carcinomas</w:t>
      </w:r>
      <w:r w:rsidR="00847829">
        <w:rPr>
          <w:b/>
        </w:rPr>
        <w:t xml:space="preserve">: </w:t>
      </w:r>
      <w:r w:rsidR="00BF31F1" w:rsidRPr="00880180">
        <w:t>C</w:t>
      </w:r>
      <w:r w:rsidR="00BF31F1" w:rsidRPr="00261D46">
        <w:t xml:space="preserve">utaneous squamous cell carcinomas of the </w:t>
      </w:r>
      <w:r>
        <w:t>H&amp;N</w:t>
      </w:r>
      <w:r w:rsidR="00BF31F1" w:rsidRPr="00261D46">
        <w:t xml:space="preserve"> (excluding the lip</w:t>
      </w:r>
      <w:r w:rsidR="002C5509">
        <w:t>–</w:t>
      </w:r>
      <w:r w:rsidR="00BF31F1">
        <w:t>vermillion border</w:t>
      </w:r>
      <w:r w:rsidR="00BF31F1" w:rsidRPr="00261D46">
        <w:t xml:space="preserve">) are not </w:t>
      </w:r>
      <w:r w:rsidR="00BF31F1">
        <w:t>reported to</w:t>
      </w:r>
      <w:r w:rsidR="00BF31F1" w:rsidRPr="00261D46">
        <w:t xml:space="preserve"> the VCR. Therefore, these cases are not included in</w:t>
      </w:r>
      <w:r w:rsidR="00BF31F1">
        <w:t xml:space="preserve"> the linked dataset</w:t>
      </w:r>
      <w:r w:rsidR="00BF31F1" w:rsidRPr="00261D46">
        <w:t>.</w:t>
      </w:r>
    </w:p>
    <w:p w14:paraId="787237EC" w14:textId="3999167D" w:rsidR="00BF31F1" w:rsidRDefault="00BF31F1" w:rsidP="00BF31F1">
      <w:pPr>
        <w:pStyle w:val="DHHSbody"/>
      </w:pPr>
      <w:r>
        <w:rPr>
          <w:b/>
        </w:rPr>
        <w:t>H</w:t>
      </w:r>
      <w:r w:rsidRPr="00F458F5">
        <w:rPr>
          <w:b/>
        </w:rPr>
        <w:t>RICS</w:t>
      </w:r>
      <w:r w:rsidR="00847829">
        <w:rPr>
          <w:b/>
        </w:rPr>
        <w:t>:</w:t>
      </w:r>
      <w:r w:rsidR="00847829">
        <w:t xml:space="preserve"> </w:t>
      </w:r>
      <w:r w:rsidR="00542031">
        <w:t xml:space="preserve">Victorians with cancer </w:t>
      </w:r>
      <w:r w:rsidRPr="00F458F5">
        <w:t xml:space="preserve">living in </w:t>
      </w:r>
      <w:r>
        <w:t>HRICS</w:t>
      </w:r>
      <w:r w:rsidRPr="00F458F5">
        <w:t xml:space="preserve"> may receive treatment in </w:t>
      </w:r>
      <w:r>
        <w:t>New South Wales</w:t>
      </w:r>
      <w:r w:rsidRPr="00F458F5">
        <w:t xml:space="preserve"> (Albury) hospitals, which is not captured </w:t>
      </w:r>
      <w:r w:rsidR="00542031">
        <w:t>in</w:t>
      </w:r>
      <w:r w:rsidRPr="00F458F5">
        <w:t xml:space="preserve"> the VAED. Therefore, </w:t>
      </w:r>
      <w:r>
        <w:t xml:space="preserve">variables in this report that are </w:t>
      </w:r>
      <w:r w:rsidR="00542031">
        <w:t>derived</w:t>
      </w:r>
      <w:r>
        <w:t xml:space="preserve"> using </w:t>
      </w:r>
      <w:r w:rsidR="00542031">
        <w:t xml:space="preserve">the </w:t>
      </w:r>
      <w:r>
        <w:t xml:space="preserve">VAED (comorbidity count, cancer in lymph nodes, distant metastases, emergency admissions, surgery and chemotherapy) </w:t>
      </w:r>
      <w:r w:rsidRPr="00F458F5">
        <w:t xml:space="preserve">are likely to be underestimated for </w:t>
      </w:r>
      <w:r w:rsidR="00542031">
        <w:t>Victorians</w:t>
      </w:r>
      <w:r w:rsidRPr="00F458F5">
        <w:t xml:space="preserve"> living in </w:t>
      </w:r>
      <w:r>
        <w:t>HRICS</w:t>
      </w:r>
      <w:r w:rsidRPr="00F458F5">
        <w:t>.</w:t>
      </w:r>
      <w:r>
        <w:t xml:space="preserve"> Table and figure footnote text highlight where this limitation may apply.</w:t>
      </w:r>
    </w:p>
    <w:p w14:paraId="3F73E05D" w14:textId="20B3404B" w:rsidR="00BF31F1" w:rsidRDefault="00BF31F1" w:rsidP="007970BD">
      <w:pPr>
        <w:pStyle w:val="Heading2"/>
      </w:pPr>
      <w:bookmarkStart w:id="10" w:name="_Toc22713846"/>
      <w:r>
        <w:t>Other data sources</w:t>
      </w:r>
      <w:bookmarkEnd w:id="10"/>
    </w:p>
    <w:p w14:paraId="4706FECD" w14:textId="468A372F" w:rsidR="00004FB8" w:rsidRDefault="00004FB8" w:rsidP="00E30414">
      <w:pPr>
        <w:pStyle w:val="DHHSbody"/>
      </w:pPr>
      <w:r>
        <w:t xml:space="preserve">In addition to </w:t>
      </w:r>
      <w:r w:rsidR="00AD4C90">
        <w:t>the linked dataset</w:t>
      </w:r>
      <w:r>
        <w:t xml:space="preserve">, this report </w:t>
      </w:r>
      <w:r w:rsidR="001F7358">
        <w:t>includes</w:t>
      </w:r>
      <w:r>
        <w:t xml:space="preserve"> data from</w:t>
      </w:r>
      <w:r w:rsidR="00AD4C90">
        <w:t xml:space="preserve"> the</w:t>
      </w:r>
      <w:r>
        <w:t xml:space="preserve">: </w:t>
      </w:r>
    </w:p>
    <w:p w14:paraId="7269E8DE" w14:textId="10ACF084" w:rsidR="00C96D20" w:rsidRPr="002D133A" w:rsidRDefault="00AD4C90" w:rsidP="000B5668">
      <w:pPr>
        <w:pStyle w:val="DHHSbullet1"/>
      </w:pPr>
      <w:r>
        <w:t xml:space="preserve">Victorian Cancer Statistics, </w:t>
      </w:r>
      <w:hyperlink r:id="rId32" w:history="1">
        <w:r w:rsidRPr="00847829">
          <w:rPr>
            <w:rStyle w:val="Hyperlink"/>
          </w:rPr>
          <w:t>Cancer Council Victoria</w:t>
        </w:r>
      </w:hyperlink>
      <w:r w:rsidRPr="00753C1B">
        <w:t xml:space="preserve"> </w:t>
      </w:r>
      <w:r w:rsidR="00847829">
        <w:t>&lt;</w:t>
      </w:r>
      <w:r w:rsidR="00847829" w:rsidRPr="00753C1B">
        <w:t>http://vcrdata.cancervic.org.au</w:t>
      </w:r>
      <w:r w:rsidR="00847829">
        <w:t>&gt;</w:t>
      </w:r>
      <w:r w:rsidR="003421CD">
        <w:t xml:space="preserve"> website –</w:t>
      </w:r>
      <w:r>
        <w:t xml:space="preserve"> </w:t>
      </w:r>
      <w:r w:rsidR="003421CD">
        <w:t>T</w:t>
      </w:r>
      <w:r>
        <w:t xml:space="preserve">his </w:t>
      </w:r>
      <w:r w:rsidR="00176EC7">
        <w:t>website includes Victorian</w:t>
      </w:r>
      <w:r w:rsidR="00F27AA0">
        <w:t xml:space="preserve"> H&amp;N</w:t>
      </w:r>
      <w:r w:rsidR="00176EC7">
        <w:t xml:space="preserve"> </w:t>
      </w:r>
      <w:r w:rsidR="00176EC7" w:rsidRPr="002D133A">
        <w:t>cancer</w:t>
      </w:r>
      <w:r w:rsidR="00F27AA0">
        <w:t>s</w:t>
      </w:r>
      <w:r w:rsidR="00176EC7" w:rsidRPr="002D133A">
        <w:t xml:space="preserve"> incidence data from 1982 to 2016.</w:t>
      </w:r>
    </w:p>
    <w:p w14:paraId="64178A27" w14:textId="64BEEFAC" w:rsidR="008657CE" w:rsidRPr="002D133A" w:rsidRDefault="006F2294" w:rsidP="000B5668">
      <w:pPr>
        <w:pStyle w:val="DHHSbullet1"/>
      </w:pPr>
      <w:r w:rsidRPr="002D133A">
        <w:t xml:space="preserve">Cancer Services Performance Indicator </w:t>
      </w:r>
      <w:r w:rsidR="00F53578">
        <w:t>M</w:t>
      </w:r>
      <w:r w:rsidRPr="002D133A">
        <w:t xml:space="preserve">edical </w:t>
      </w:r>
      <w:r w:rsidR="00F53578">
        <w:t>R</w:t>
      </w:r>
      <w:r w:rsidRPr="002D133A">
        <w:t xml:space="preserve">ecord </w:t>
      </w:r>
      <w:r w:rsidR="00F53578">
        <w:t>A</w:t>
      </w:r>
      <w:r w:rsidRPr="002D133A">
        <w:t>udit 2017</w:t>
      </w:r>
      <w:r w:rsidR="00B077C5">
        <w:rPr>
          <w:rStyle w:val="FootnoteReference"/>
        </w:rPr>
        <w:footnoteReference w:id="2"/>
      </w:r>
      <w:r w:rsidRPr="002D133A">
        <w:t xml:space="preserve"> </w:t>
      </w:r>
      <w:r w:rsidR="003421CD">
        <w:t xml:space="preserve">– </w:t>
      </w:r>
      <w:r w:rsidRPr="002D133A">
        <w:t xml:space="preserve">This </w:t>
      </w:r>
      <w:r w:rsidR="008657CE" w:rsidRPr="002D133A">
        <w:t xml:space="preserve">audit collected data </w:t>
      </w:r>
      <w:r w:rsidR="002D133A" w:rsidRPr="002D133A">
        <w:t xml:space="preserve">such as </w:t>
      </w:r>
      <w:r w:rsidR="003421CD">
        <w:t xml:space="preserve">multidisciplinary </w:t>
      </w:r>
      <w:r w:rsidR="004200EE">
        <w:t xml:space="preserve">team </w:t>
      </w:r>
      <w:r w:rsidR="003421CD">
        <w:t>meeting (</w:t>
      </w:r>
      <w:r w:rsidR="002D133A" w:rsidRPr="002D133A">
        <w:t>MDM</w:t>
      </w:r>
      <w:r w:rsidR="003421CD">
        <w:t>)</w:t>
      </w:r>
      <w:r w:rsidR="002D133A" w:rsidRPr="002D133A">
        <w:t xml:space="preserve"> use and MDM timing (prospective or retrospective to starting treatment) from the medical records of a random sample of cancer patients treated across </w:t>
      </w:r>
      <w:r w:rsidR="00A1709E">
        <w:t>50</w:t>
      </w:r>
      <w:r w:rsidR="002D133A" w:rsidRPr="002D133A">
        <w:t xml:space="preserve"> Victorian hospitals. There were</w:t>
      </w:r>
      <w:r w:rsidR="008657CE" w:rsidRPr="002D133A">
        <w:t xml:space="preserve"> 215 H&amp;N</w:t>
      </w:r>
      <w:r w:rsidR="002D133A" w:rsidRPr="002D133A">
        <w:t xml:space="preserve"> cancer</w:t>
      </w:r>
      <w:r w:rsidR="008657CE" w:rsidRPr="002D133A">
        <w:t xml:space="preserve"> patients audited.</w:t>
      </w:r>
    </w:p>
    <w:p w14:paraId="761BDD98" w14:textId="0A50A771" w:rsidR="006F2294" w:rsidRPr="00D85E03" w:rsidRDefault="006F2294" w:rsidP="000B5668">
      <w:pPr>
        <w:pStyle w:val="DHHSbullet1"/>
      </w:pPr>
      <w:r>
        <w:t xml:space="preserve">Malnutrition in Victorian Cancer Services </w:t>
      </w:r>
      <w:r w:rsidR="00F53578">
        <w:t>P</w:t>
      </w:r>
      <w:r>
        <w:t xml:space="preserve">oint </w:t>
      </w:r>
      <w:r w:rsidR="00F53578">
        <w:t>P</w:t>
      </w:r>
      <w:r>
        <w:t xml:space="preserve">revalence </w:t>
      </w:r>
      <w:r w:rsidR="00F53578">
        <w:t>S</w:t>
      </w:r>
      <w:r w:rsidRPr="002D133A">
        <w:t>tudy 2016</w:t>
      </w:r>
      <w:r w:rsidR="00762847">
        <w:rPr>
          <w:rStyle w:val="FootnoteReference"/>
        </w:rPr>
        <w:footnoteReference w:id="3"/>
      </w:r>
      <w:r w:rsidRPr="002D133A">
        <w:t xml:space="preserve"> </w:t>
      </w:r>
      <w:r w:rsidR="00F53578">
        <w:t xml:space="preserve">– </w:t>
      </w:r>
      <w:r w:rsidRPr="002D133A">
        <w:t>This</w:t>
      </w:r>
      <w:r w:rsidR="008B1A90" w:rsidRPr="002D133A">
        <w:t xml:space="preserve"> study</w:t>
      </w:r>
      <w:r w:rsidR="005F5564" w:rsidRPr="002D133A">
        <w:t xml:space="preserve"> assessed malnutrition prevalence</w:t>
      </w:r>
      <w:r w:rsidR="008B1A90" w:rsidRPr="002D133A">
        <w:t xml:space="preserve"> </w:t>
      </w:r>
      <w:r w:rsidR="00B67EC3" w:rsidRPr="002D133A">
        <w:t>in</w:t>
      </w:r>
      <w:r w:rsidR="006C023D" w:rsidRPr="002D133A">
        <w:t xml:space="preserve"> </w:t>
      </w:r>
      <w:r w:rsidR="008B1A90" w:rsidRPr="002D133A">
        <w:t xml:space="preserve">patients </w:t>
      </w:r>
      <w:r w:rsidR="00857E54" w:rsidRPr="002D133A">
        <w:t xml:space="preserve">receiving care for </w:t>
      </w:r>
      <w:r w:rsidR="008B1A90" w:rsidRPr="002D133A">
        <w:t>cancer</w:t>
      </w:r>
      <w:r w:rsidR="005F5564" w:rsidRPr="002D133A">
        <w:t xml:space="preserve"> across 1</w:t>
      </w:r>
      <w:r w:rsidR="002D133A" w:rsidRPr="002D133A">
        <w:t>2</w:t>
      </w:r>
      <w:r w:rsidR="005F5564" w:rsidRPr="002D133A">
        <w:t xml:space="preserve"> </w:t>
      </w:r>
      <w:r w:rsidR="002D133A" w:rsidRPr="002D133A">
        <w:t>health services in Victoria</w:t>
      </w:r>
      <w:r w:rsidR="008B1A90" w:rsidRPr="002D133A">
        <w:t>. There were 109 H&amp;N cancer patients assessed during the study.</w:t>
      </w:r>
    </w:p>
    <w:p w14:paraId="12E0CC06" w14:textId="77777777" w:rsidR="0088371F" w:rsidRDefault="0088371F" w:rsidP="00DC2BDE">
      <w:pPr>
        <w:pStyle w:val="DHHSbody"/>
      </w:pPr>
      <w:r>
        <w:br w:type="page"/>
      </w:r>
    </w:p>
    <w:p w14:paraId="54FFBEB9" w14:textId="77777777" w:rsidR="0088371F" w:rsidRDefault="0088371F" w:rsidP="007970BD">
      <w:pPr>
        <w:pStyle w:val="Heading1"/>
      </w:pPr>
      <w:bookmarkStart w:id="11" w:name="_Toc22713847"/>
      <w:r>
        <w:t>At a glance</w:t>
      </w:r>
      <w:bookmarkEnd w:id="11"/>
    </w:p>
    <w:p w14:paraId="7244A70E" w14:textId="77777777" w:rsidR="0088371F" w:rsidRDefault="0088371F" w:rsidP="007970BD">
      <w:pPr>
        <w:pStyle w:val="Heading2"/>
      </w:pPr>
      <w:bookmarkStart w:id="12" w:name="_Toc22713848"/>
      <w:r>
        <w:t xml:space="preserve">Key </w:t>
      </w:r>
      <w:r w:rsidRPr="007970BD">
        <w:t>findings</w:t>
      </w:r>
      <w:bookmarkEnd w:id="12"/>
    </w:p>
    <w:p w14:paraId="79904B7D" w14:textId="49EA6303" w:rsidR="00B74BAC" w:rsidRDefault="00B74BAC" w:rsidP="00E30414">
      <w:pPr>
        <w:pStyle w:val="Heading3"/>
      </w:pPr>
      <w:bookmarkStart w:id="13" w:name="_Toc256778633"/>
      <w:r>
        <w:t>Incidence and demographics</w:t>
      </w:r>
    </w:p>
    <w:p w14:paraId="137B6CFB" w14:textId="440214C3" w:rsidR="00DE3AB3" w:rsidRDefault="00DE3AB3" w:rsidP="00DE3AB3">
      <w:pPr>
        <w:pStyle w:val="DHHSbullet1"/>
      </w:pPr>
      <w:r>
        <w:t>Incidence of H&amp;N cancers has been decreasing since 1982, with the exception of oropharynx cancer, where incidence for males has been increasing since 2008.</w:t>
      </w:r>
    </w:p>
    <w:p w14:paraId="0019D945" w14:textId="77777777" w:rsidR="00B74BAC" w:rsidRDefault="00B74BAC" w:rsidP="00B74BAC">
      <w:pPr>
        <w:pStyle w:val="DHHSbullet1"/>
      </w:pPr>
      <w:r>
        <w:t>There were 3,823 H&amp;N cancers diagnosed between 2012 and 2016.</w:t>
      </w:r>
    </w:p>
    <w:p w14:paraId="7AB0E695" w14:textId="517E8A8F" w:rsidR="00B74BAC" w:rsidRDefault="00DE3AB3" w:rsidP="00B74BAC">
      <w:pPr>
        <w:pStyle w:val="DHHSbullet1"/>
      </w:pPr>
      <w:r>
        <w:t>Of those,</w:t>
      </w:r>
      <w:r w:rsidR="00B74BAC">
        <w:t xml:space="preserve"> median age at diagnosis was 65 years</w:t>
      </w:r>
      <w:r w:rsidR="004200EE">
        <w:t>,</w:t>
      </w:r>
      <w:r w:rsidR="00B74BAC">
        <w:t xml:space="preserve"> and 71 per cent were male.</w:t>
      </w:r>
    </w:p>
    <w:p w14:paraId="6F8ADD03" w14:textId="77777777" w:rsidR="00B74BAC" w:rsidRDefault="00B74BAC" w:rsidP="00B74BAC">
      <w:pPr>
        <w:pStyle w:val="DHHSbullet1"/>
      </w:pPr>
      <w:r>
        <w:t xml:space="preserve">H&amp;N cancers </w:t>
      </w:r>
      <w:r w:rsidRPr="005A16A6">
        <w:t>are a heterogenous group of cancers</w:t>
      </w:r>
      <w:r>
        <w:t>, with o</w:t>
      </w:r>
      <w:r w:rsidRPr="005A16A6">
        <w:t xml:space="preserve">ral cavity and oropharynx cancers </w:t>
      </w:r>
      <w:r>
        <w:t>t</w:t>
      </w:r>
      <w:r w:rsidRPr="005A16A6">
        <w:t xml:space="preserve">he </w:t>
      </w:r>
      <w:r>
        <w:t>most common.</w:t>
      </w:r>
    </w:p>
    <w:p w14:paraId="3FE549C6" w14:textId="40AC8F58" w:rsidR="00B74BAC" w:rsidRDefault="00DE3AB3" w:rsidP="00B74BAC">
      <w:pPr>
        <w:pStyle w:val="Heading3"/>
      </w:pPr>
      <w:r>
        <w:t>Disease spread at diagnosis and s</w:t>
      </w:r>
      <w:r w:rsidR="00B74BAC">
        <w:t>urvival</w:t>
      </w:r>
    </w:p>
    <w:p w14:paraId="5C36FFF4" w14:textId="09DFA178" w:rsidR="00B74BAC" w:rsidRDefault="00B74BAC" w:rsidP="00B74BAC">
      <w:pPr>
        <w:pStyle w:val="DHHSbullet1"/>
      </w:pPr>
      <w:r>
        <w:t>At diagnosis, 70</w:t>
      </w:r>
      <w:r w:rsidR="00847829">
        <w:t>–</w:t>
      </w:r>
      <w:r>
        <w:t>80 per cent of oral cavity, salivary gland and larynx cancer patients present with lymph node negative disease, whereas 60–70 per cent of oropharynx, nasopharynx and hypopharynx cancer patients present with lymph node positive disease or distant metastases.</w:t>
      </w:r>
    </w:p>
    <w:p w14:paraId="460CDD02" w14:textId="72DCE9F9" w:rsidR="00DE3AB3" w:rsidRDefault="00DE3AB3" w:rsidP="00DE3AB3">
      <w:pPr>
        <w:pStyle w:val="DHHSbullet1"/>
      </w:pPr>
      <w:r>
        <w:t>For the period 2012</w:t>
      </w:r>
      <w:r w:rsidR="00C406C7">
        <w:t>–</w:t>
      </w:r>
      <w:r>
        <w:t xml:space="preserve">2016, </w:t>
      </w:r>
      <w:r w:rsidR="00C406C7">
        <w:t>one</w:t>
      </w:r>
      <w:r>
        <w:t xml:space="preserve">-year survival was 84 per cent and </w:t>
      </w:r>
      <w:r w:rsidR="00C406C7">
        <w:t>five</w:t>
      </w:r>
      <w:r>
        <w:t>-year survival 63 per cent.</w:t>
      </w:r>
    </w:p>
    <w:p w14:paraId="19986F94" w14:textId="72D40EB0" w:rsidR="00DE3AB3" w:rsidRDefault="00DE3AB3" w:rsidP="00DE3AB3">
      <w:pPr>
        <w:pStyle w:val="DHHSbullet1"/>
      </w:pPr>
      <w:r>
        <w:t>Survival varied by cancer subsite, being lowest for hypopharynx (</w:t>
      </w:r>
      <w:r w:rsidR="00C406C7">
        <w:t>five</w:t>
      </w:r>
      <w:r>
        <w:t>-year</w:t>
      </w:r>
      <w:r w:rsidR="008E7B7A">
        <w:t xml:space="preserve"> =</w:t>
      </w:r>
      <w:r>
        <w:t xml:space="preserve"> 34 per cent) and highest for salivary gland cancers (</w:t>
      </w:r>
      <w:r w:rsidR="00C406C7">
        <w:t>five</w:t>
      </w:r>
      <w:r>
        <w:t>-year</w:t>
      </w:r>
      <w:r w:rsidR="008E7B7A">
        <w:t xml:space="preserve"> =</w:t>
      </w:r>
      <w:r>
        <w:t xml:space="preserve"> 70 per cent).</w:t>
      </w:r>
    </w:p>
    <w:p w14:paraId="44FED6B5" w14:textId="17696D5C" w:rsidR="00B74BAC" w:rsidRDefault="00DE3AB3" w:rsidP="00DE3AB3">
      <w:pPr>
        <w:pStyle w:val="Heading3"/>
      </w:pPr>
      <w:r>
        <w:t>Surgery and radiotherapy volume</w:t>
      </w:r>
    </w:p>
    <w:p w14:paraId="0C31466A" w14:textId="3F7E1548" w:rsidR="00587F31" w:rsidRDefault="00587F31" w:rsidP="00587F31">
      <w:pPr>
        <w:pStyle w:val="DHHSbullet1"/>
      </w:pPr>
      <w:r>
        <w:t>From 2016</w:t>
      </w:r>
      <w:r w:rsidR="004200EE">
        <w:t xml:space="preserve"> to </w:t>
      </w:r>
      <w:r>
        <w:t xml:space="preserve">2017, </w:t>
      </w:r>
      <w:r w:rsidR="00921359">
        <w:t xml:space="preserve">the </w:t>
      </w:r>
      <w:r>
        <w:t xml:space="preserve">average surgical admission volume for H&amp;N cancers in public or private hospitals ranged from </w:t>
      </w:r>
      <w:r w:rsidR="002C5509">
        <w:t>one</w:t>
      </w:r>
      <w:r>
        <w:t xml:space="preserve"> to </w:t>
      </w:r>
      <w:r w:rsidR="002C5509">
        <w:t xml:space="preserve">more than </w:t>
      </w:r>
      <w:r>
        <w:t>90 cases per year.</w:t>
      </w:r>
    </w:p>
    <w:p w14:paraId="4A8665E4" w14:textId="77777777" w:rsidR="00587F31" w:rsidRDefault="00587F31" w:rsidP="00587F31">
      <w:pPr>
        <w:pStyle w:val="DHHSbullet1"/>
      </w:pPr>
      <w:r>
        <w:t>Fifty-four per cent of public hospitals and 90 per cent of private hospitals performed less than 10 H&amp;N cancer surgeries per year.</w:t>
      </w:r>
    </w:p>
    <w:p w14:paraId="5E79B177" w14:textId="66D69D7A" w:rsidR="00587F31" w:rsidRDefault="00921359" w:rsidP="00587F31">
      <w:pPr>
        <w:pStyle w:val="DHHSbullet1"/>
      </w:pPr>
      <w:r>
        <w:t>The a</w:t>
      </w:r>
      <w:r w:rsidR="00587F31">
        <w:t>verage yearly radical H&amp;N cancer radiotherapy (RT) course volume over 2016</w:t>
      </w:r>
      <w:r w:rsidR="002C5509">
        <w:t>–</w:t>
      </w:r>
      <w:r w:rsidR="00587F31">
        <w:t xml:space="preserve">2017 ranged from </w:t>
      </w:r>
      <w:r w:rsidR="002C5509">
        <w:t>one</w:t>
      </w:r>
      <w:r w:rsidR="00587F31">
        <w:t xml:space="preserve"> to </w:t>
      </w:r>
      <w:r w:rsidR="004200EE">
        <w:t xml:space="preserve">more than </w:t>
      </w:r>
      <w:r w:rsidR="00587F31">
        <w:t>200.</w:t>
      </w:r>
    </w:p>
    <w:p w14:paraId="7BAF17E5" w14:textId="77777777" w:rsidR="00587F31" w:rsidRDefault="00587F31" w:rsidP="00587F31">
      <w:pPr>
        <w:pStyle w:val="DHHSbullet1"/>
      </w:pPr>
      <w:r>
        <w:t>Forty-two per cent of public and 88 per cent of private RT centres provided less than 10 courses per year.</w:t>
      </w:r>
    </w:p>
    <w:p w14:paraId="4DB76D4C" w14:textId="77777777" w:rsidR="00587F31" w:rsidRDefault="00587F31" w:rsidP="00587F31">
      <w:pPr>
        <w:pStyle w:val="Heading3"/>
      </w:pPr>
      <w:r w:rsidRPr="006F2294">
        <w:t>Patient movement across ICS</w:t>
      </w:r>
    </w:p>
    <w:p w14:paraId="281B51CD" w14:textId="56D1EEEF" w:rsidR="00587F31" w:rsidRDefault="00587F31" w:rsidP="00587F31">
      <w:pPr>
        <w:pStyle w:val="DHHSbullet1"/>
      </w:pPr>
      <w:r>
        <w:t>Sixty per cent of H&amp;N cancer patients had surgery in their local ICS</w:t>
      </w:r>
      <w:r w:rsidR="004200EE">
        <w:t>,</w:t>
      </w:r>
      <w:r>
        <w:t xml:space="preserve"> and 52 per cent had radical RT in their local ICS </w:t>
      </w:r>
      <w:r w:rsidR="004200EE">
        <w:t>between</w:t>
      </w:r>
      <w:r>
        <w:t xml:space="preserve"> 2012</w:t>
      </w:r>
      <w:r w:rsidR="004200EE">
        <w:t xml:space="preserve"> and </w:t>
      </w:r>
      <w:r>
        <w:t>2016.</w:t>
      </w:r>
    </w:p>
    <w:p w14:paraId="57D1BAD8" w14:textId="77777777" w:rsidR="00587F31" w:rsidRDefault="00587F31" w:rsidP="00587F31">
      <w:pPr>
        <w:pStyle w:val="DHHSbullet1"/>
      </w:pPr>
      <w:r>
        <w:t>Most surgery and radical RT occurred in metropolitan ICS, particularly WCMICS.</w:t>
      </w:r>
    </w:p>
    <w:p w14:paraId="40491094" w14:textId="77777777" w:rsidR="00587F31" w:rsidRDefault="00587F31" w:rsidP="00587F31">
      <w:pPr>
        <w:pStyle w:val="Heading3"/>
      </w:pPr>
      <w:r w:rsidRPr="006F2294">
        <w:t xml:space="preserve">Treatment planning </w:t>
      </w:r>
    </w:p>
    <w:p w14:paraId="10B7FDDE" w14:textId="5C83C008" w:rsidR="00587F31" w:rsidRDefault="00476CB5" w:rsidP="00587F31">
      <w:pPr>
        <w:pStyle w:val="DHHSbullet1"/>
      </w:pPr>
      <w:r>
        <w:t>Eighty</w:t>
      </w:r>
      <w:r w:rsidR="002C5509">
        <w:t>-</w:t>
      </w:r>
      <w:r>
        <w:t>six</w:t>
      </w:r>
      <w:r w:rsidR="00587F31">
        <w:t xml:space="preserve"> per cent of H&amp;N cancer patients had evidence of a</w:t>
      </w:r>
      <w:r w:rsidR="004200EE">
        <w:t>n</w:t>
      </w:r>
      <w:r w:rsidR="00587F31">
        <w:t xml:space="preserve"> MDM in their medical record.</w:t>
      </w:r>
    </w:p>
    <w:p w14:paraId="7D92F653" w14:textId="27E993DE" w:rsidR="00587F31" w:rsidRDefault="00587F31" w:rsidP="00587F31">
      <w:pPr>
        <w:pStyle w:val="DHHSbullet1"/>
      </w:pPr>
      <w:r>
        <w:t>Evidence of an MDM varied by ICS and was significantly lower for BSWRICS and LMICS but higher in SMICS and WCMICS compared with the state average.</w:t>
      </w:r>
    </w:p>
    <w:p w14:paraId="0A00D5B4" w14:textId="77777777" w:rsidR="00587F31" w:rsidRPr="006F2294" w:rsidRDefault="00587F31" w:rsidP="00587F31">
      <w:pPr>
        <w:pStyle w:val="DHHSbullet1"/>
      </w:pPr>
      <w:r>
        <w:t>The proportion of patients with a prospective MDM was 84 per cent and varied by ICS, being significantly lower in LMICS and higher in SMICS compared with the state average.</w:t>
      </w:r>
    </w:p>
    <w:p w14:paraId="3CAC2A7B" w14:textId="3BCE409F" w:rsidR="00587F31" w:rsidRDefault="00587F31" w:rsidP="00587F31">
      <w:pPr>
        <w:pStyle w:val="Heading3"/>
      </w:pPr>
      <w:r w:rsidRPr="006F2294">
        <w:t xml:space="preserve">Timeliness </w:t>
      </w:r>
      <w:r>
        <w:t>of</w:t>
      </w:r>
      <w:r w:rsidRPr="006F2294">
        <w:t xml:space="preserve"> treatment</w:t>
      </w:r>
    </w:p>
    <w:p w14:paraId="7291F65D" w14:textId="55CB7BF2" w:rsidR="00EF3808" w:rsidRPr="00EF3808" w:rsidRDefault="00EF3808" w:rsidP="00EF3808">
      <w:pPr>
        <w:pStyle w:val="Heading4"/>
      </w:pPr>
      <w:r>
        <w:t>Surgery</w:t>
      </w:r>
    </w:p>
    <w:p w14:paraId="50BDF290" w14:textId="343F07B5" w:rsidR="00587F31" w:rsidRDefault="00F216B8" w:rsidP="00587F31">
      <w:pPr>
        <w:pStyle w:val="DHHSbullet1"/>
      </w:pPr>
      <w:r>
        <w:t xml:space="preserve">Of the </w:t>
      </w:r>
      <w:r w:rsidR="00EF3808">
        <w:t xml:space="preserve">H&amp;N cancer </w:t>
      </w:r>
      <w:r>
        <w:t xml:space="preserve">patients </w:t>
      </w:r>
      <w:r w:rsidR="00EF3808">
        <w:t>whose first treatment was</w:t>
      </w:r>
      <w:r>
        <w:t xml:space="preserve"> surgery, 93</w:t>
      </w:r>
      <w:r w:rsidR="00587F31">
        <w:t xml:space="preserve"> per cent underwent </w:t>
      </w:r>
      <w:r w:rsidR="00EF3808">
        <w:t xml:space="preserve">surgery </w:t>
      </w:r>
      <w:r w:rsidR="00587F31">
        <w:t>within</w:t>
      </w:r>
      <w:r w:rsidR="00C406C7">
        <w:t xml:space="preserve"> eight </w:t>
      </w:r>
      <w:r w:rsidR="00587F31">
        <w:t xml:space="preserve">weeks of diagnosis </w:t>
      </w:r>
      <w:r w:rsidR="004200EE">
        <w:t>between</w:t>
      </w:r>
      <w:r w:rsidR="00587F31">
        <w:t xml:space="preserve"> 2012</w:t>
      </w:r>
      <w:r w:rsidR="004200EE">
        <w:t xml:space="preserve"> and </w:t>
      </w:r>
      <w:r w:rsidR="00587F31">
        <w:t>2016.</w:t>
      </w:r>
    </w:p>
    <w:p w14:paraId="6CD0B120" w14:textId="77777777" w:rsidR="00587F31" w:rsidRDefault="00587F31" w:rsidP="00587F31">
      <w:pPr>
        <w:pStyle w:val="DHHSbullet1"/>
      </w:pPr>
      <w:r>
        <w:t>Time to surgery did not vary by ICS of surgery or for patients having treatment in their local ICS versus travelling from regional to metropolitan ICS.</w:t>
      </w:r>
    </w:p>
    <w:p w14:paraId="703319A3" w14:textId="7A57B7CD" w:rsidR="00EF3808" w:rsidRDefault="00587F31" w:rsidP="00EF3808">
      <w:pPr>
        <w:pStyle w:val="DHHSbullet1"/>
      </w:pPr>
      <w:r>
        <w:t>Four hospital</w:t>
      </w:r>
      <w:r w:rsidR="008439B8">
        <w:t>s</w:t>
      </w:r>
      <w:r>
        <w:t xml:space="preserve"> had a statistically significantly lower proportion of patients receiving surgery within</w:t>
      </w:r>
      <w:r w:rsidR="00C406C7">
        <w:t xml:space="preserve"> eight </w:t>
      </w:r>
      <w:r>
        <w:t>weeks compared with the state average.</w:t>
      </w:r>
    </w:p>
    <w:p w14:paraId="7122A0B7" w14:textId="3FBB31E8" w:rsidR="00EF3808" w:rsidRDefault="00EF3808" w:rsidP="00EF3808">
      <w:pPr>
        <w:pStyle w:val="Heading4"/>
      </w:pPr>
      <w:r>
        <w:t>Definitive radiotherapy or chemoradiation</w:t>
      </w:r>
    </w:p>
    <w:p w14:paraId="64647D3B" w14:textId="0DE339E9" w:rsidR="00EF3808" w:rsidRDefault="00EF3808" w:rsidP="00EF3808">
      <w:pPr>
        <w:pStyle w:val="DHHSbullet1"/>
      </w:pPr>
      <w:r>
        <w:t>Of the H&amp;N cancer patients whose first treatment was definitive RT or chemoradiation (RT/CRT), 77 per cent started treatment within</w:t>
      </w:r>
      <w:r w:rsidR="00C406C7">
        <w:t xml:space="preserve"> eight </w:t>
      </w:r>
      <w:r>
        <w:t xml:space="preserve">weeks of diagnosis </w:t>
      </w:r>
      <w:r w:rsidR="004200EE">
        <w:t>during</w:t>
      </w:r>
      <w:r>
        <w:t xml:space="preserve"> 2012</w:t>
      </w:r>
      <w:r w:rsidR="00C406C7">
        <w:t>–</w:t>
      </w:r>
      <w:r>
        <w:t>2016.</w:t>
      </w:r>
    </w:p>
    <w:p w14:paraId="21EF2126" w14:textId="66E67F15" w:rsidR="00587F31" w:rsidRDefault="00587F31" w:rsidP="00587F31">
      <w:pPr>
        <w:pStyle w:val="DHHSbullet1"/>
      </w:pPr>
      <w:r>
        <w:t>Time to RT/CRT varied by ICS, with treatment in SMICS more likely and treatment in BSWRICS and LMICS less likely to begin within</w:t>
      </w:r>
      <w:r w:rsidR="00C406C7">
        <w:t xml:space="preserve"> eight </w:t>
      </w:r>
      <w:r>
        <w:t>weeks of diagnosis.</w:t>
      </w:r>
    </w:p>
    <w:p w14:paraId="6DD76799" w14:textId="58186E47" w:rsidR="00587F31" w:rsidRDefault="00587F31" w:rsidP="00587F31">
      <w:pPr>
        <w:pStyle w:val="DHHSbullet1"/>
      </w:pPr>
      <w:r>
        <w:t>In addition, a lower proportion of regional residents receiving RT/CRT locally started within</w:t>
      </w:r>
      <w:r w:rsidR="00C406C7">
        <w:t xml:space="preserve"> eight </w:t>
      </w:r>
      <w:r>
        <w:t>weeks of diagnosis (66 per cent) compared with regional residents who travelled to a metropolitan hospital (76 per cent).</w:t>
      </w:r>
    </w:p>
    <w:p w14:paraId="7BAE4CA5" w14:textId="37CB6115" w:rsidR="00587F31" w:rsidRDefault="00EF3808" w:rsidP="00587F31">
      <w:pPr>
        <w:pStyle w:val="DHHSbullet1"/>
      </w:pPr>
      <w:r>
        <w:t>Three</w:t>
      </w:r>
      <w:r w:rsidR="00587F31">
        <w:t xml:space="preserve"> regional </w:t>
      </w:r>
      <w:r>
        <w:t>RT centres</w:t>
      </w:r>
      <w:r w:rsidR="00587F31">
        <w:t xml:space="preserve"> had a significantly lower proportion of patients </w:t>
      </w:r>
      <w:r>
        <w:t>who started</w:t>
      </w:r>
      <w:r w:rsidR="00587F31">
        <w:t xml:space="preserve"> RT/CRT within</w:t>
      </w:r>
      <w:r w:rsidR="00C406C7">
        <w:t xml:space="preserve"> eight </w:t>
      </w:r>
      <w:r w:rsidR="00587F31">
        <w:t>weeks compared with the state average.</w:t>
      </w:r>
    </w:p>
    <w:p w14:paraId="42E9D7CD" w14:textId="69E14DBE" w:rsidR="00EF3808" w:rsidRDefault="00EF3808" w:rsidP="00EF3808">
      <w:pPr>
        <w:pStyle w:val="Heading4"/>
      </w:pPr>
      <w:r>
        <w:t>Surgery to adjuvant therapy</w:t>
      </w:r>
    </w:p>
    <w:p w14:paraId="68BF3DB7" w14:textId="66379FFD" w:rsidR="00587F31" w:rsidRDefault="00EF3808" w:rsidP="00587F31">
      <w:pPr>
        <w:pStyle w:val="DHHSbullet1"/>
      </w:pPr>
      <w:r>
        <w:t xml:space="preserve">Of the H&amp;N cancer patients who received surgery followed by adjuvant RT/CRT, </w:t>
      </w:r>
      <w:r w:rsidR="00587F31">
        <w:t xml:space="preserve">37 per cent started adjuvant </w:t>
      </w:r>
      <w:r>
        <w:t>therapy</w:t>
      </w:r>
      <w:r w:rsidR="00587F31">
        <w:t xml:space="preserve"> within </w:t>
      </w:r>
      <w:r w:rsidR="00C406C7">
        <w:t>six</w:t>
      </w:r>
      <w:r w:rsidR="00587F31">
        <w:t xml:space="preserve"> weeks of surgery </w:t>
      </w:r>
      <w:r w:rsidR="00DA2486">
        <w:t xml:space="preserve">during </w:t>
      </w:r>
      <w:r w:rsidR="00587F31">
        <w:t>2012</w:t>
      </w:r>
      <w:r w:rsidR="00C406C7">
        <w:t>–</w:t>
      </w:r>
      <w:r w:rsidR="00587F31">
        <w:t>2016.</w:t>
      </w:r>
    </w:p>
    <w:p w14:paraId="0BAF855A" w14:textId="003437CC" w:rsidR="00587F31" w:rsidRDefault="00587F31" w:rsidP="00587F31">
      <w:pPr>
        <w:pStyle w:val="DHHSbullet1"/>
      </w:pPr>
      <w:r>
        <w:t xml:space="preserve">More patients treated in SMICS and fewer patients treated in BSWRICS and GICS started adjuvant RT/CRT within </w:t>
      </w:r>
      <w:r w:rsidR="00C406C7">
        <w:t>six</w:t>
      </w:r>
      <w:r>
        <w:t xml:space="preserve"> weeks</w:t>
      </w:r>
      <w:r w:rsidR="00EF3808">
        <w:t xml:space="preserve"> of surgery</w:t>
      </w:r>
      <w:r w:rsidR="00DA2486">
        <w:t>,</w:t>
      </w:r>
      <w:r>
        <w:t xml:space="preserve"> and there was wide variation in timeliness of adjuvant RT/CRT by </w:t>
      </w:r>
      <w:r w:rsidR="00EF3808">
        <w:t xml:space="preserve">surgery </w:t>
      </w:r>
      <w:r>
        <w:t>hospital.</w:t>
      </w:r>
    </w:p>
    <w:p w14:paraId="7A2F787F" w14:textId="77777777" w:rsidR="00AB7FCF" w:rsidRDefault="00AB7FCF" w:rsidP="00AB7FCF">
      <w:pPr>
        <w:pStyle w:val="Heading3"/>
      </w:pPr>
      <w:r>
        <w:t xml:space="preserve">Emergency admission following radiotherapy </w:t>
      </w:r>
    </w:p>
    <w:p w14:paraId="16364E68" w14:textId="70F846B7" w:rsidR="00AB7FCF" w:rsidRDefault="00AB7FCF" w:rsidP="00AB7FCF">
      <w:pPr>
        <w:pStyle w:val="DHHSbullet1"/>
      </w:pPr>
      <w:r>
        <w:t xml:space="preserve">Sixteen per cent of </w:t>
      </w:r>
      <w:r w:rsidR="00276563">
        <w:t xml:space="preserve">H&amp;N cancer </w:t>
      </w:r>
      <w:r>
        <w:t>patients receiving radical RT alone had an emergency admission within 12 weeks of starting RT.</w:t>
      </w:r>
    </w:p>
    <w:p w14:paraId="3C6AB0F1" w14:textId="4DC27962" w:rsidR="00AB7FCF" w:rsidRDefault="00AB7FCF" w:rsidP="00AB7FCF">
      <w:pPr>
        <w:pStyle w:val="DHHSbullet1"/>
      </w:pPr>
      <w:r>
        <w:t xml:space="preserve">Forty-four per cent of </w:t>
      </w:r>
      <w:r w:rsidR="00276563">
        <w:t xml:space="preserve">H&amp;N cancer </w:t>
      </w:r>
      <w:r>
        <w:t xml:space="preserve">patients receiving CRT had an emergency admission within 12 weeks of starting </w:t>
      </w:r>
      <w:r w:rsidR="00DA2486">
        <w:t>RT</w:t>
      </w:r>
      <w:r>
        <w:t>.</w:t>
      </w:r>
    </w:p>
    <w:p w14:paraId="6412DA20" w14:textId="218A0927" w:rsidR="00AB7FCF" w:rsidRPr="00E2290D" w:rsidRDefault="00AB7FCF" w:rsidP="00AB7FCF">
      <w:pPr>
        <w:pStyle w:val="DHHSbullet1"/>
      </w:pPr>
      <w:r>
        <w:t xml:space="preserve">There was variation across </w:t>
      </w:r>
      <w:r w:rsidR="00DA2486">
        <w:t xml:space="preserve">RT </w:t>
      </w:r>
      <w:r w:rsidR="008439B8">
        <w:t>centres</w:t>
      </w:r>
      <w:r>
        <w:t xml:space="preserve">, with one regional </w:t>
      </w:r>
      <w:r w:rsidR="008439B8">
        <w:t>centre</w:t>
      </w:r>
      <w:r>
        <w:t xml:space="preserve"> having significantly more patients admitted after CRT (60 per cent) compared with the state average.</w:t>
      </w:r>
    </w:p>
    <w:p w14:paraId="46370225" w14:textId="77777777" w:rsidR="00AB7FCF" w:rsidRDefault="00AB7FCF" w:rsidP="00AB7FCF">
      <w:pPr>
        <w:pStyle w:val="Heading3"/>
      </w:pPr>
      <w:r>
        <w:t>Malnutrition</w:t>
      </w:r>
    </w:p>
    <w:p w14:paraId="760AC1B8" w14:textId="3AE3A24E" w:rsidR="00AB7FCF" w:rsidRDefault="00AB7FCF" w:rsidP="00AB7FCF">
      <w:pPr>
        <w:pStyle w:val="DHHSbullet1"/>
      </w:pPr>
      <w:r>
        <w:t xml:space="preserve">A </w:t>
      </w:r>
      <w:r w:rsidR="00276563">
        <w:t>2016 point</w:t>
      </w:r>
      <w:r>
        <w:t xml:space="preserve"> prevalence study of a sample of 109 Victorian H&amp;N cancer patients currently receiving cancer care showed that 31 per cent of patients were malnourished.</w:t>
      </w:r>
    </w:p>
    <w:p w14:paraId="15B6AD6D" w14:textId="1CD54ECA" w:rsidR="00AB7FCF" w:rsidRDefault="00AB7FCF" w:rsidP="00AB7FCF">
      <w:pPr>
        <w:pStyle w:val="DHHSbullet1"/>
      </w:pPr>
      <w:r>
        <w:t>Prevalence of malnutrition was similar in metropolitan and regional ICS but higher in H&amp;N cancer patients than the statewide average of 23 per cent for all cancers.</w:t>
      </w:r>
    </w:p>
    <w:p w14:paraId="1C27F28F" w14:textId="77777777" w:rsidR="00AB7FCF" w:rsidRDefault="00AB7FCF" w:rsidP="00AB7FCF">
      <w:pPr>
        <w:pStyle w:val="DHHSbullet1"/>
      </w:pPr>
      <w:r>
        <w:t>Seventy-nine per cent of H&amp;N cancer patients were receiving dietetics care at the time of the study, with no variation between ICS.</w:t>
      </w:r>
    </w:p>
    <w:p w14:paraId="32BD14BD" w14:textId="495FCB53" w:rsidR="00AB7FCF" w:rsidRDefault="00AB7FCF" w:rsidP="00AB7FCF">
      <w:pPr>
        <w:pStyle w:val="Heading3"/>
      </w:pPr>
      <w:r w:rsidRPr="006F2294">
        <w:t>Treatment and survival</w:t>
      </w:r>
      <w:r w:rsidR="00117D36">
        <w:t xml:space="preserve"> </w:t>
      </w:r>
      <w:r w:rsidR="002C5509">
        <w:t>–</w:t>
      </w:r>
      <w:r w:rsidR="00117D36">
        <w:t xml:space="preserve"> </w:t>
      </w:r>
      <w:r w:rsidRPr="006F2294">
        <w:t>oral cavity cancer</w:t>
      </w:r>
    </w:p>
    <w:p w14:paraId="21391FB1" w14:textId="1993A4E3" w:rsidR="00AB7FCF" w:rsidRDefault="00AB7FCF" w:rsidP="00AB7FCF">
      <w:pPr>
        <w:pStyle w:val="DHHSbullet1"/>
      </w:pPr>
      <w:r>
        <w:t xml:space="preserve">The majority (77 per cent) of oral cavity cancer patients diagnosed </w:t>
      </w:r>
      <w:r w:rsidR="00847829">
        <w:t xml:space="preserve">between </w:t>
      </w:r>
      <w:r>
        <w:t>2012</w:t>
      </w:r>
      <w:r w:rsidR="00847829">
        <w:t xml:space="preserve"> and </w:t>
      </w:r>
      <w:r>
        <w:t>2016 received surgery. Of these, 35 per cent had adjuvant therapy.</w:t>
      </w:r>
    </w:p>
    <w:p w14:paraId="27818BC4" w14:textId="5B3E73D4" w:rsidR="00AB7FCF" w:rsidRDefault="00AB7FCF" w:rsidP="00AB7FCF">
      <w:pPr>
        <w:pStyle w:val="DHHSbullet1"/>
      </w:pPr>
      <w:r>
        <w:t>The proportion of surgical patients receiving a neck dissection and/or adjuvant therapy was higher in lymph node positive than node</w:t>
      </w:r>
      <w:r w:rsidR="00C97B74">
        <w:t>-</w:t>
      </w:r>
      <w:r>
        <w:t>negative cases.</w:t>
      </w:r>
    </w:p>
    <w:p w14:paraId="2FDB961A" w14:textId="44EED850" w:rsidR="00AB7FCF" w:rsidRDefault="00AB7FCF" w:rsidP="00AB7FCF">
      <w:pPr>
        <w:pStyle w:val="DHHSbullet1"/>
      </w:pPr>
      <w:r>
        <w:t>In node</w:t>
      </w:r>
      <w:r w:rsidR="00C97B74">
        <w:t>-</w:t>
      </w:r>
      <w:r>
        <w:t>negative patients, a higher proportion of WCMICS patients had a neck dissection (26 per cent)</w:t>
      </w:r>
      <w:r w:rsidRPr="00A11852">
        <w:t xml:space="preserve"> </w:t>
      </w:r>
      <w:r>
        <w:t>compared with the state average (21 per cent); while a lower proportion of BSWRICS patients had adjuvant therapy (9 per cent) compared with the state average (22 per cent).</w:t>
      </w:r>
    </w:p>
    <w:p w14:paraId="161A2A41" w14:textId="52172398" w:rsidR="00AB7FCF" w:rsidRDefault="00AB7FCF" w:rsidP="00AB7FCF">
      <w:pPr>
        <w:pStyle w:val="DHHSbullet1"/>
      </w:pPr>
      <w:r>
        <w:t>In node</w:t>
      </w:r>
      <w:r w:rsidR="00101A38">
        <w:t>-</w:t>
      </w:r>
      <w:r>
        <w:t>positive patients, there was no significant difference between ICS regarding use of neck dissection (45 per cent) or receipt of adjuvant therapy (77 per cent).</w:t>
      </w:r>
    </w:p>
    <w:p w14:paraId="04D3CC0B" w14:textId="77777777" w:rsidR="00AB7FCF" w:rsidRPr="006F2294" w:rsidRDefault="00AB7FCF" w:rsidP="00AB7FCF">
      <w:pPr>
        <w:pStyle w:val="DHHSbullet1"/>
      </w:pPr>
      <w:r>
        <w:t>Oral cavity cancer survival did not differ by ICS of surgery.</w:t>
      </w:r>
    </w:p>
    <w:p w14:paraId="6EF29A63" w14:textId="1AA240DF" w:rsidR="00AB7FCF" w:rsidRDefault="00AB7FCF" w:rsidP="00AB7FCF">
      <w:pPr>
        <w:pStyle w:val="Heading3"/>
      </w:pPr>
      <w:r w:rsidRPr="006F2294">
        <w:t>Treatment and survival</w:t>
      </w:r>
      <w:r w:rsidR="00117D36">
        <w:t xml:space="preserve"> </w:t>
      </w:r>
      <w:r w:rsidR="002C5509">
        <w:t>–</w:t>
      </w:r>
      <w:r w:rsidR="00117D36">
        <w:t xml:space="preserve"> </w:t>
      </w:r>
      <w:r w:rsidRPr="006F2294">
        <w:t>oropharynx</w:t>
      </w:r>
      <w:r w:rsidR="00401FF4">
        <w:t xml:space="preserve"> cancer</w:t>
      </w:r>
    </w:p>
    <w:p w14:paraId="74C236E3" w14:textId="132A875F" w:rsidR="00AB7FCF" w:rsidRDefault="00AB7FCF" w:rsidP="00AB7FCF">
      <w:pPr>
        <w:pStyle w:val="DHHSbullet1"/>
      </w:pPr>
      <w:r>
        <w:t xml:space="preserve">Half of those with oropharynx cancer diagnosed </w:t>
      </w:r>
      <w:r w:rsidR="00847829">
        <w:t>between</w:t>
      </w:r>
      <w:r>
        <w:t xml:space="preserve"> 2012</w:t>
      </w:r>
      <w:r w:rsidR="00847829">
        <w:t xml:space="preserve"> and </w:t>
      </w:r>
      <w:r>
        <w:t>2016 received CRT, 30 per cent had surgery with or without adjuvant therapy, and 8 per cent had RT.</w:t>
      </w:r>
    </w:p>
    <w:p w14:paraId="59C08FEF" w14:textId="77777777" w:rsidR="00AB7FCF" w:rsidRDefault="00AB7FCF" w:rsidP="00AB7FCF">
      <w:pPr>
        <w:pStyle w:val="DHHSbullet1"/>
      </w:pPr>
      <w:r>
        <w:t>Survival differed significantly by treatment received, being poorer for those receiving RT alone compared with the state average. This was independent of patient age, sex and comorbidity count.</w:t>
      </w:r>
    </w:p>
    <w:p w14:paraId="4EDC926F" w14:textId="78207A79" w:rsidR="00587F31" w:rsidRPr="00B74BAC" w:rsidRDefault="00AB7FCF" w:rsidP="00B74BAC">
      <w:pPr>
        <w:pStyle w:val="DHHSbullet1"/>
      </w:pPr>
      <w:r>
        <w:t>Survival for oropharynx cancer did not differ by ICS of CRT</w:t>
      </w:r>
      <w:r w:rsidR="00101A38">
        <w:t>.</w:t>
      </w:r>
    </w:p>
    <w:p w14:paraId="2C7FA4ED" w14:textId="77777777" w:rsidR="004B3C0E" w:rsidRDefault="004B3C0E" w:rsidP="007970BD">
      <w:pPr>
        <w:pStyle w:val="Heading2"/>
        <w:rPr>
          <w:rFonts w:eastAsia="MS Gothic"/>
        </w:rPr>
      </w:pPr>
      <w:bookmarkStart w:id="14" w:name="_Toc22713849"/>
      <w:bookmarkEnd w:id="13"/>
      <w:r>
        <w:rPr>
          <w:rFonts w:eastAsia="MS Gothic"/>
        </w:rPr>
        <w:t xml:space="preserve">Key </w:t>
      </w:r>
      <w:r w:rsidR="0068301D">
        <w:rPr>
          <w:rFonts w:eastAsia="MS Gothic"/>
        </w:rPr>
        <w:t xml:space="preserve">variations for </w:t>
      </w:r>
      <w:r>
        <w:rPr>
          <w:rFonts w:eastAsia="MS Gothic"/>
        </w:rPr>
        <w:t>action</w:t>
      </w:r>
      <w:bookmarkEnd w:id="14"/>
    </w:p>
    <w:p w14:paraId="37E6E8F2" w14:textId="77777777" w:rsidR="00862D04" w:rsidRPr="00862D04" w:rsidRDefault="00862D04" w:rsidP="00AB7FCF">
      <w:pPr>
        <w:pStyle w:val="DHHSbody"/>
      </w:pPr>
      <w:r>
        <w:t xml:space="preserve">At the tumour summit, nine key variations in practice and outcomes were </w:t>
      </w:r>
      <w:r w:rsidR="00A157D4">
        <w:t xml:space="preserve">prioritised </w:t>
      </w:r>
      <w:r>
        <w:t xml:space="preserve">for discussion and further </w:t>
      </w:r>
      <w:r w:rsidRPr="00AB7FCF">
        <w:t>action</w:t>
      </w:r>
      <w:r>
        <w:t>:</w:t>
      </w:r>
    </w:p>
    <w:p w14:paraId="30836561" w14:textId="3420A717" w:rsidR="0051365A" w:rsidRDefault="0051365A" w:rsidP="0051365A">
      <w:pPr>
        <w:pStyle w:val="DHHSnumberdigit"/>
      </w:pPr>
      <w:r>
        <w:t xml:space="preserve">Many </w:t>
      </w:r>
      <w:r w:rsidR="007F48DD">
        <w:t>centres</w:t>
      </w:r>
      <w:r>
        <w:t xml:space="preserve"> provide treatment for less than 10 patients per year (39 surgical, 12 </w:t>
      </w:r>
      <w:r w:rsidR="00DA2486">
        <w:t>RT</w:t>
      </w:r>
      <w:r>
        <w:t>)</w:t>
      </w:r>
      <w:r w:rsidR="00855632">
        <w:t>.</w:t>
      </w:r>
    </w:p>
    <w:p w14:paraId="3BD50F6F" w14:textId="77777777" w:rsidR="0068301D" w:rsidRDefault="0068301D" w:rsidP="0068301D">
      <w:pPr>
        <w:pStyle w:val="DHHSnumberdigit"/>
      </w:pPr>
      <w:r>
        <w:t>Many patients have treatment outside their ICS of residence</w:t>
      </w:r>
      <w:r w:rsidR="00855632">
        <w:t>.</w:t>
      </w:r>
    </w:p>
    <w:p w14:paraId="77BDDCF4" w14:textId="77777777" w:rsidR="0068301D" w:rsidRDefault="0068301D" w:rsidP="0051365A">
      <w:pPr>
        <w:pStyle w:val="DHHSnumberdigit"/>
      </w:pPr>
      <w:r>
        <w:t xml:space="preserve">The proportion of patients with evidence of an MDM discussion was lower in </w:t>
      </w:r>
      <w:r w:rsidR="00603D9D">
        <w:t>BSWRICS</w:t>
      </w:r>
      <w:r>
        <w:t xml:space="preserve"> and </w:t>
      </w:r>
      <w:r w:rsidR="00603D9D">
        <w:t>LM</w:t>
      </w:r>
      <w:r>
        <w:t>ICS</w:t>
      </w:r>
      <w:r w:rsidR="00855632">
        <w:t>.</w:t>
      </w:r>
    </w:p>
    <w:p w14:paraId="49D26F5B" w14:textId="57AFB0E6" w:rsidR="0068301D" w:rsidRDefault="0068301D" w:rsidP="0051365A">
      <w:pPr>
        <w:pStyle w:val="DHHSnumberdigit"/>
      </w:pPr>
      <w:r>
        <w:t>Fewer regional patients treated locally (66</w:t>
      </w:r>
      <w:r w:rsidR="00943B32">
        <w:t xml:space="preserve"> per cent</w:t>
      </w:r>
      <w:r>
        <w:t xml:space="preserve">) start their </w:t>
      </w:r>
      <w:r w:rsidR="00DA2486">
        <w:t>RT</w:t>
      </w:r>
      <w:r>
        <w:t xml:space="preserve"> within </w:t>
      </w:r>
      <w:r w:rsidR="00C406C7">
        <w:t>eight</w:t>
      </w:r>
      <w:r>
        <w:t xml:space="preserve"> weeks of diagnosis than regional patients treated in metro</w:t>
      </w:r>
      <w:r w:rsidR="00855632">
        <w:t>politan</w:t>
      </w:r>
      <w:r>
        <w:t xml:space="preserve"> (76</w:t>
      </w:r>
      <w:r w:rsidR="00943B32">
        <w:t xml:space="preserve"> per cent</w:t>
      </w:r>
      <w:r>
        <w:t>) and metro</w:t>
      </w:r>
      <w:r w:rsidR="00A21BF3">
        <w:t>politan</w:t>
      </w:r>
      <w:r>
        <w:t xml:space="preserve"> patients treated in metro</w:t>
      </w:r>
      <w:r w:rsidR="00855632">
        <w:t>politan</w:t>
      </w:r>
      <w:r>
        <w:t xml:space="preserve"> </w:t>
      </w:r>
      <w:r w:rsidR="007F48DD">
        <w:t>centres</w:t>
      </w:r>
      <w:r>
        <w:t xml:space="preserve"> (80</w:t>
      </w:r>
      <w:r w:rsidR="00943B32">
        <w:t xml:space="preserve"> per cent</w:t>
      </w:r>
      <w:r>
        <w:t>)</w:t>
      </w:r>
      <w:r w:rsidR="00855632">
        <w:t>.</w:t>
      </w:r>
    </w:p>
    <w:p w14:paraId="2906D37F" w14:textId="7DB36F5E" w:rsidR="0068301D" w:rsidRDefault="0068301D" w:rsidP="0051365A">
      <w:pPr>
        <w:pStyle w:val="DHHSnumberdigit"/>
      </w:pPr>
      <w:r>
        <w:t xml:space="preserve">Of all patients having adjuvant </w:t>
      </w:r>
      <w:r w:rsidR="00DA2486">
        <w:t>RT</w:t>
      </w:r>
      <w:r>
        <w:t>, only 37</w:t>
      </w:r>
      <w:r w:rsidR="00943B32">
        <w:t xml:space="preserve"> per cent</w:t>
      </w:r>
      <w:r>
        <w:t xml:space="preserve"> started within </w:t>
      </w:r>
      <w:r w:rsidR="00C406C7">
        <w:t>six</w:t>
      </w:r>
      <w:r>
        <w:t xml:space="preserve"> weeks of surgery, with lower rates in </w:t>
      </w:r>
      <w:r w:rsidR="00603D9D">
        <w:t>BSWRICS</w:t>
      </w:r>
      <w:r>
        <w:t xml:space="preserve"> and </w:t>
      </w:r>
      <w:r w:rsidR="00603D9D">
        <w:t>G</w:t>
      </w:r>
      <w:r>
        <w:t xml:space="preserve">ICS and in </w:t>
      </w:r>
      <w:r w:rsidR="0013383A">
        <w:t>one</w:t>
      </w:r>
      <w:r>
        <w:t xml:space="preserve"> metro</w:t>
      </w:r>
      <w:r w:rsidR="00855632">
        <w:t>politan</w:t>
      </w:r>
      <w:r>
        <w:t xml:space="preserve"> and </w:t>
      </w:r>
      <w:r w:rsidR="0013383A">
        <w:t>one</w:t>
      </w:r>
      <w:r>
        <w:t xml:space="preserve"> regional </w:t>
      </w:r>
      <w:r w:rsidR="007F48DD">
        <w:t>centre</w:t>
      </w:r>
      <w:r w:rsidR="00855632">
        <w:t>.</w:t>
      </w:r>
    </w:p>
    <w:p w14:paraId="05EC7606" w14:textId="77777777" w:rsidR="0068301D" w:rsidRDefault="0068301D" w:rsidP="0051365A">
      <w:pPr>
        <w:pStyle w:val="DHHSnumberdigit"/>
      </w:pPr>
      <w:bookmarkStart w:id="15" w:name="_Hlk3556889"/>
      <w:r>
        <w:t xml:space="preserve">The proportion of patients receiving dietetic care may be lower in regional treatment </w:t>
      </w:r>
      <w:r w:rsidR="007F48DD">
        <w:t>centres</w:t>
      </w:r>
      <w:r w:rsidR="00855632">
        <w:t>.</w:t>
      </w:r>
    </w:p>
    <w:bookmarkEnd w:id="15"/>
    <w:p w14:paraId="5B787136" w14:textId="49E742E7" w:rsidR="00855632" w:rsidRDefault="0068301D" w:rsidP="00293A0C">
      <w:pPr>
        <w:pStyle w:val="DHHSnumberdigit"/>
      </w:pPr>
      <w:r>
        <w:t xml:space="preserve">There was poorer survival for </w:t>
      </w:r>
      <w:r w:rsidR="00F2767B">
        <w:t>oropharyngeal</w:t>
      </w:r>
      <w:r>
        <w:t xml:space="preserve"> cancer patients who were treated with </w:t>
      </w:r>
      <w:r w:rsidR="00DA2486">
        <w:t>RT</w:t>
      </w:r>
      <w:r>
        <w:t xml:space="preserve"> only compared </w:t>
      </w:r>
      <w:r w:rsidR="00F2767B">
        <w:t>with</w:t>
      </w:r>
      <w:r>
        <w:t xml:space="preserve"> other treatment types</w:t>
      </w:r>
      <w:r w:rsidR="00855632">
        <w:t>.</w:t>
      </w:r>
    </w:p>
    <w:p w14:paraId="6CB60784" w14:textId="2B7862AC" w:rsidR="007970BD" w:rsidRDefault="007970BD" w:rsidP="0062597E">
      <w:pPr>
        <w:pStyle w:val="DHHSbody"/>
      </w:pPr>
      <w:r>
        <w:br w:type="page"/>
      </w:r>
    </w:p>
    <w:p w14:paraId="4813B226" w14:textId="77777777" w:rsidR="007E439A" w:rsidRDefault="004422F8" w:rsidP="007970BD">
      <w:pPr>
        <w:pStyle w:val="Heading1"/>
      </w:pPr>
      <w:bookmarkStart w:id="16" w:name="_Toc22713850"/>
      <w:r>
        <w:t>I</w:t>
      </w:r>
      <w:r w:rsidR="00B6227F">
        <w:t>ncidence</w:t>
      </w:r>
      <w:r w:rsidR="0020236B">
        <w:t xml:space="preserve"> and </w:t>
      </w:r>
      <w:r w:rsidR="00245E48">
        <w:t>demographics</w:t>
      </w:r>
      <w:bookmarkEnd w:id="16"/>
      <w:r w:rsidR="00B6227F">
        <w:t xml:space="preserve"> </w:t>
      </w:r>
    </w:p>
    <w:p w14:paraId="242D4F6A" w14:textId="4907890C" w:rsidR="00592DED" w:rsidRDefault="00592DED" w:rsidP="00592DED">
      <w:pPr>
        <w:pStyle w:val="DHHSbullet1"/>
      </w:pPr>
      <w:r>
        <w:t>The Victorian age-standardised incidence rate for H&amp;N cancers has decreased from 14.5 in 1982 to 10.1 in 2016</w:t>
      </w:r>
      <w:r w:rsidR="00847829">
        <w:t>;</w:t>
      </w:r>
      <w:r>
        <w:t xml:space="preserve"> however</w:t>
      </w:r>
      <w:r w:rsidR="00847829">
        <w:t>,</w:t>
      </w:r>
      <w:r>
        <w:t xml:space="preserve"> the overall number of people diagnosed with H&amp;N cancer</w:t>
      </w:r>
      <w:r w:rsidR="00440901">
        <w:t>s</w:t>
      </w:r>
      <w:r>
        <w:t xml:space="preserve"> continues to increase with population growth (</w:t>
      </w:r>
      <w:r>
        <w:fldChar w:fldCharType="begin"/>
      </w:r>
      <w:r>
        <w:instrText xml:space="preserve"> REF _Ref3895924 \h </w:instrText>
      </w:r>
      <w:r>
        <w:fldChar w:fldCharType="separate"/>
      </w:r>
      <w:r w:rsidR="00084E54">
        <w:t xml:space="preserve">Figure </w:t>
      </w:r>
      <w:r w:rsidR="00084E54">
        <w:rPr>
          <w:noProof/>
        </w:rPr>
        <w:t>1</w:t>
      </w:r>
      <w:r>
        <w:fldChar w:fldCharType="end"/>
      </w:r>
      <w:r>
        <w:t>).</w:t>
      </w:r>
    </w:p>
    <w:p w14:paraId="794C59D7" w14:textId="640CD217" w:rsidR="00592DED" w:rsidRDefault="00592DED" w:rsidP="00592DED">
      <w:pPr>
        <w:pStyle w:val="DHHSbullet1"/>
      </w:pPr>
      <w:r>
        <w:t>From 2008 to 2016, the incidence rate of oropharynx cancer has increased in males but not females (</w:t>
      </w:r>
      <w:r>
        <w:fldChar w:fldCharType="begin"/>
      </w:r>
      <w:r>
        <w:instrText xml:space="preserve"> REF _Ref3896800 \h </w:instrText>
      </w:r>
      <w:r>
        <w:fldChar w:fldCharType="separate"/>
      </w:r>
      <w:r w:rsidR="00084E54">
        <w:t xml:space="preserve">Figure </w:t>
      </w:r>
      <w:r w:rsidR="00084E54">
        <w:rPr>
          <w:noProof/>
        </w:rPr>
        <w:t>2</w:t>
      </w:r>
      <w:r>
        <w:fldChar w:fldCharType="end"/>
      </w:r>
      <w:r>
        <w:t>).</w:t>
      </w:r>
    </w:p>
    <w:p w14:paraId="36A62948" w14:textId="00DE8452" w:rsidR="00245E48" w:rsidRDefault="00592DED" w:rsidP="00E24DBF">
      <w:pPr>
        <w:pStyle w:val="DHHSbullet1"/>
      </w:pPr>
      <w:r>
        <w:t>Between 2012 and 2016 t</w:t>
      </w:r>
      <w:r w:rsidR="005A16A6">
        <w:t xml:space="preserve">here were </w:t>
      </w:r>
      <w:r w:rsidR="004A508E">
        <w:t xml:space="preserve">3,823 H&amp;N cancers diagnosed </w:t>
      </w:r>
      <w:r w:rsidR="005A16A6">
        <w:t xml:space="preserve">in Victoria. </w:t>
      </w:r>
      <w:r>
        <w:t>Of those:</w:t>
      </w:r>
    </w:p>
    <w:p w14:paraId="1F8A81F4" w14:textId="39D99E56" w:rsidR="00245E48" w:rsidRDefault="00092008" w:rsidP="00592DED">
      <w:pPr>
        <w:pStyle w:val="DHHSbullet2"/>
      </w:pPr>
      <w:r>
        <w:t>The m</w:t>
      </w:r>
      <w:r w:rsidR="005A16A6">
        <w:t>edian age at diagnosis was 65 years</w:t>
      </w:r>
      <w:r w:rsidR="00440901">
        <w:t>,</w:t>
      </w:r>
      <w:r w:rsidR="005A16A6">
        <w:t xml:space="preserve"> and</w:t>
      </w:r>
      <w:r w:rsidR="00855083">
        <w:t xml:space="preserve"> </w:t>
      </w:r>
      <w:r w:rsidR="00440901">
        <w:t xml:space="preserve">more than </w:t>
      </w:r>
      <w:r w:rsidR="005A16A6">
        <w:t>two-thirds (71</w:t>
      </w:r>
      <w:r w:rsidR="00D62BCD">
        <w:t xml:space="preserve"> per cent</w:t>
      </w:r>
      <w:r w:rsidR="005A16A6">
        <w:t>)</w:t>
      </w:r>
      <w:r>
        <w:t xml:space="preserve"> of cases</w:t>
      </w:r>
      <w:r w:rsidR="005A16A6">
        <w:t xml:space="preserve"> were male. </w:t>
      </w:r>
    </w:p>
    <w:p w14:paraId="745058BF" w14:textId="30D813D8" w:rsidR="00592DED" w:rsidRDefault="00592DED" w:rsidP="00592DED">
      <w:pPr>
        <w:pStyle w:val="DHHSbullet2"/>
      </w:pPr>
      <w:r>
        <w:t xml:space="preserve">Oral cavity and oropharynx cancers accounted for the largest H&amp;N cancer subsites </w:t>
      </w:r>
      <w:r w:rsidR="00FB3294">
        <w:t>(</w:t>
      </w:r>
      <w:r w:rsidR="00954022">
        <w:fldChar w:fldCharType="begin"/>
      </w:r>
      <w:r w:rsidR="009C7AED">
        <w:instrText xml:space="preserve"> REF _Ref3896589 \h </w:instrText>
      </w:r>
      <w:r w:rsidR="00954022">
        <w:fldChar w:fldCharType="separate"/>
      </w:r>
      <w:r w:rsidR="00084E54">
        <w:t xml:space="preserve">Figure </w:t>
      </w:r>
      <w:r w:rsidR="00084E54">
        <w:rPr>
          <w:noProof/>
        </w:rPr>
        <w:t>3</w:t>
      </w:r>
      <w:r w:rsidR="00954022">
        <w:fldChar w:fldCharType="end"/>
      </w:r>
      <w:r w:rsidR="009C7AED">
        <w:t>)</w:t>
      </w:r>
      <w:r w:rsidR="009B66A3">
        <w:t>.</w:t>
      </w:r>
    </w:p>
    <w:p w14:paraId="6E2F1897" w14:textId="1FCF497A" w:rsidR="00AE23E5" w:rsidRPr="00AE23E5" w:rsidRDefault="00592DED" w:rsidP="00AE23E5">
      <w:pPr>
        <w:pStyle w:val="DHHSfigurecaption"/>
      </w:pPr>
      <w:r>
        <w:t xml:space="preserve">Figure </w:t>
      </w:r>
      <w:r>
        <w:rPr>
          <w:noProof/>
        </w:rPr>
        <w:fldChar w:fldCharType="begin"/>
      </w:r>
      <w:r>
        <w:rPr>
          <w:noProof/>
        </w:rPr>
        <w:instrText xml:space="preserve"> SEQ Figure \* ARABIC </w:instrText>
      </w:r>
      <w:r>
        <w:rPr>
          <w:noProof/>
        </w:rPr>
        <w:fldChar w:fldCharType="separate"/>
      </w:r>
      <w:r w:rsidR="00084E54">
        <w:rPr>
          <w:noProof/>
        </w:rPr>
        <w:t>1</w:t>
      </w:r>
      <w:r>
        <w:rPr>
          <w:noProof/>
        </w:rPr>
        <w:fldChar w:fldCharType="end"/>
      </w:r>
      <w:r>
        <w:t>:</w:t>
      </w:r>
      <w:r w:rsidRPr="003072C6">
        <w:t xml:space="preserve"> </w:t>
      </w:r>
      <w:r>
        <w:t>Head and neck cancer age-standardised incidence rate per 100,000 population and number of new cases over time (diagnosed 1982–2016)</w:t>
      </w:r>
    </w:p>
    <w:p w14:paraId="14BC8657" w14:textId="5303DD2F" w:rsidR="00592DED" w:rsidRDefault="00AE23E5" w:rsidP="00AE23E5">
      <w:pPr>
        <w:pStyle w:val="DHHSbody"/>
        <w:jc w:val="center"/>
      </w:pPr>
      <w:r>
        <w:rPr>
          <w:noProof/>
        </w:rPr>
        <w:drawing>
          <wp:inline distT="0" distB="0" distL="0" distR="0" wp14:anchorId="465CADE5" wp14:editId="0A061B19">
            <wp:extent cx="5257800" cy="2641641"/>
            <wp:effectExtent l="0" t="0" r="0" b="6350"/>
            <wp:docPr id="2" name="Picture 2" descr="Head and neck cancer age-standardised incidence rate per 100,000 population and number of new cases over time (diagnosed 198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a:extLst>
                        <a:ext uri="{28A0092B-C50C-407E-A947-70E740481C1C}">
                          <a14:useLocalDpi xmlns:a14="http://schemas.microsoft.com/office/drawing/2010/main" val="0"/>
                        </a:ext>
                      </a:extLst>
                    </a:blip>
                    <a:srcRect t="2813"/>
                    <a:stretch/>
                  </pic:blipFill>
                  <pic:spPr bwMode="auto">
                    <a:xfrm>
                      <a:off x="0" y="0"/>
                      <a:ext cx="5283474" cy="2654540"/>
                    </a:xfrm>
                    <a:prstGeom prst="rect">
                      <a:avLst/>
                    </a:prstGeom>
                    <a:noFill/>
                    <a:ln>
                      <a:noFill/>
                    </a:ln>
                    <a:extLst>
                      <a:ext uri="{53640926-AAD7-44D8-BBD7-CCE9431645EC}">
                        <a14:shadowObscured xmlns:a14="http://schemas.microsoft.com/office/drawing/2010/main"/>
                      </a:ext>
                    </a:extLst>
                  </pic:spPr>
                </pic:pic>
              </a:graphicData>
            </a:graphic>
          </wp:inline>
        </w:drawing>
      </w:r>
    </w:p>
    <w:p w14:paraId="1F7A66AA" w14:textId="2BC5DA3D" w:rsidR="00592DED" w:rsidRDefault="00592DED" w:rsidP="00592DED">
      <w:pPr>
        <w:pStyle w:val="DHHStablefigurenote"/>
      </w:pPr>
      <w:r>
        <w:t xml:space="preserve">Source: </w:t>
      </w:r>
      <w:hyperlink r:id="rId34" w:history="1">
        <w:r w:rsidRPr="00847829">
          <w:rPr>
            <w:rStyle w:val="Hyperlink"/>
            <w:sz w:val="18"/>
          </w:rPr>
          <w:t>Cancer Council Victoria</w:t>
        </w:r>
      </w:hyperlink>
      <w:r w:rsidRPr="00753C1B">
        <w:t xml:space="preserve"> </w:t>
      </w:r>
      <w:r w:rsidR="00847829">
        <w:t>&lt;</w:t>
      </w:r>
      <w:r w:rsidR="00847829" w:rsidRPr="00753C1B">
        <w:t>http://vcrdata.cancervic.org.au</w:t>
      </w:r>
      <w:r w:rsidR="00847829">
        <w:t>&gt;</w:t>
      </w:r>
      <w:r w:rsidR="00AE23E5">
        <w:t xml:space="preserve"> </w:t>
      </w:r>
    </w:p>
    <w:p w14:paraId="35C13DEF" w14:textId="164F18D0" w:rsidR="00592DED" w:rsidRDefault="00592DED" w:rsidP="00592DED">
      <w:pPr>
        <w:pStyle w:val="DHHSfigurecaption"/>
      </w:pPr>
      <w:bookmarkStart w:id="17" w:name="_Ref3896800"/>
      <w:bookmarkStart w:id="18" w:name="_Toc22722814"/>
      <w:r>
        <w:t xml:space="preserve">Figure </w:t>
      </w:r>
      <w:r>
        <w:rPr>
          <w:noProof/>
        </w:rPr>
        <w:fldChar w:fldCharType="begin"/>
      </w:r>
      <w:r>
        <w:rPr>
          <w:noProof/>
        </w:rPr>
        <w:instrText xml:space="preserve"> SEQ Figure \* ARABIC </w:instrText>
      </w:r>
      <w:r>
        <w:rPr>
          <w:noProof/>
        </w:rPr>
        <w:fldChar w:fldCharType="separate"/>
      </w:r>
      <w:r w:rsidR="00084E54">
        <w:rPr>
          <w:noProof/>
        </w:rPr>
        <w:t>2</w:t>
      </w:r>
      <w:r>
        <w:rPr>
          <w:noProof/>
        </w:rPr>
        <w:fldChar w:fldCharType="end"/>
      </w:r>
      <w:bookmarkEnd w:id="17"/>
      <w:r>
        <w:t>:</w:t>
      </w:r>
      <w:r w:rsidRPr="003072C6">
        <w:t xml:space="preserve"> </w:t>
      </w:r>
      <w:r>
        <w:t>Oropharynx cancer age-standardised incidence rate per 100,000 population by sex (diagnosed 2008–2016)</w:t>
      </w:r>
      <w:bookmarkEnd w:id="18"/>
    </w:p>
    <w:p w14:paraId="5171B9D0" w14:textId="50D90DD9" w:rsidR="00592DED" w:rsidRDefault="00AE23E5" w:rsidP="00AE23E5">
      <w:pPr>
        <w:pStyle w:val="DHHSbody"/>
        <w:jc w:val="center"/>
      </w:pPr>
      <w:r>
        <w:rPr>
          <w:noProof/>
        </w:rPr>
        <w:drawing>
          <wp:inline distT="0" distB="0" distL="0" distR="0" wp14:anchorId="4C6ED24C" wp14:editId="7F27E649">
            <wp:extent cx="3914775" cy="2406456"/>
            <wp:effectExtent l="0" t="0" r="0" b="0"/>
            <wp:docPr id="3" name="Picture 3" descr="Oropharynx cancer age-standardised incidence rate per 100,000 population by sex (diagnosed 2008–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a:extLst>
                        <a:ext uri="{28A0092B-C50C-407E-A947-70E740481C1C}">
                          <a14:useLocalDpi xmlns:a14="http://schemas.microsoft.com/office/drawing/2010/main" val="0"/>
                        </a:ext>
                      </a:extLst>
                    </a:blip>
                    <a:srcRect r="7834"/>
                    <a:stretch/>
                  </pic:blipFill>
                  <pic:spPr bwMode="auto">
                    <a:xfrm>
                      <a:off x="0" y="0"/>
                      <a:ext cx="3952592" cy="2429702"/>
                    </a:xfrm>
                    <a:prstGeom prst="rect">
                      <a:avLst/>
                    </a:prstGeom>
                    <a:noFill/>
                    <a:ln>
                      <a:noFill/>
                    </a:ln>
                    <a:extLst>
                      <a:ext uri="{53640926-AAD7-44D8-BBD7-CCE9431645EC}">
                        <a14:shadowObscured xmlns:a14="http://schemas.microsoft.com/office/drawing/2010/main"/>
                      </a:ext>
                    </a:extLst>
                  </pic:spPr>
                </pic:pic>
              </a:graphicData>
            </a:graphic>
          </wp:inline>
        </w:drawing>
      </w:r>
    </w:p>
    <w:p w14:paraId="12F23F0D" w14:textId="31F53019" w:rsidR="00592DED" w:rsidRDefault="00592DED" w:rsidP="00592DED">
      <w:pPr>
        <w:pStyle w:val="DHHStablefigurenote"/>
        <w:rPr>
          <w:rFonts w:eastAsia="Arial"/>
          <w:lang w:val="en-US"/>
        </w:rPr>
      </w:pPr>
      <w:r w:rsidRPr="00F203CD">
        <w:rPr>
          <w:rFonts w:eastAsia="Arial"/>
          <w:lang w:val="en-US"/>
        </w:rPr>
        <w:t>Bars</w:t>
      </w:r>
      <w:r>
        <w:rPr>
          <w:rFonts w:eastAsia="Arial"/>
          <w:lang w:val="en-US"/>
        </w:rPr>
        <w:t xml:space="preserve"> represent</w:t>
      </w:r>
      <w:r w:rsidRPr="00F203CD">
        <w:rPr>
          <w:rFonts w:eastAsia="Arial"/>
          <w:lang w:val="en-US"/>
        </w:rPr>
        <w:t xml:space="preserve"> 95</w:t>
      </w:r>
      <w:r>
        <w:rPr>
          <w:rFonts w:eastAsia="Arial"/>
          <w:lang w:val="en-US"/>
        </w:rPr>
        <w:t xml:space="preserve"> per cent</w:t>
      </w:r>
      <w:r w:rsidRPr="00F203CD">
        <w:rPr>
          <w:rFonts w:eastAsia="Arial"/>
          <w:lang w:val="en-US"/>
        </w:rPr>
        <w:t xml:space="preserve"> CI.</w:t>
      </w:r>
    </w:p>
    <w:p w14:paraId="35DDAB32" w14:textId="7A80BABE" w:rsidR="00FB3294" w:rsidRDefault="00FB3294" w:rsidP="009C7AED">
      <w:pPr>
        <w:pStyle w:val="DHHSfigurecaption"/>
      </w:pPr>
      <w:bookmarkStart w:id="19" w:name="_Ref3896589"/>
      <w:bookmarkStart w:id="20" w:name="_Toc22722815"/>
      <w:r>
        <w:t xml:space="preserve">Figure </w:t>
      </w:r>
      <w:r w:rsidR="00954022">
        <w:rPr>
          <w:noProof/>
        </w:rPr>
        <w:fldChar w:fldCharType="begin"/>
      </w:r>
      <w:r w:rsidR="00862D04">
        <w:rPr>
          <w:noProof/>
        </w:rPr>
        <w:instrText xml:space="preserve"> SEQ Figure \* ARABIC </w:instrText>
      </w:r>
      <w:r w:rsidR="00954022">
        <w:rPr>
          <w:noProof/>
        </w:rPr>
        <w:fldChar w:fldCharType="separate"/>
      </w:r>
      <w:r w:rsidR="00084E54">
        <w:rPr>
          <w:noProof/>
        </w:rPr>
        <w:t>3</w:t>
      </w:r>
      <w:r w:rsidR="00954022">
        <w:rPr>
          <w:noProof/>
        </w:rPr>
        <w:fldChar w:fldCharType="end"/>
      </w:r>
      <w:bookmarkEnd w:id="19"/>
      <w:r>
        <w:t xml:space="preserve">: </w:t>
      </w:r>
      <w:r w:rsidR="009C7AED">
        <w:t xml:space="preserve">Number of </w:t>
      </w:r>
      <w:r w:rsidR="00876CB2">
        <w:t>h</w:t>
      </w:r>
      <w:r>
        <w:t xml:space="preserve">ead and </w:t>
      </w:r>
      <w:r w:rsidR="00876CB2">
        <w:t>n</w:t>
      </w:r>
      <w:r>
        <w:t>eck cancer</w:t>
      </w:r>
      <w:r w:rsidR="009C7AED">
        <w:t xml:space="preserve">s diagnosed </w:t>
      </w:r>
      <w:r w:rsidR="005466DD">
        <w:t xml:space="preserve">in Victoria between 2012 and 2016 </w:t>
      </w:r>
      <w:r w:rsidR="00BC12FB">
        <w:t>by subsite</w:t>
      </w:r>
      <w:r w:rsidR="00BF1303">
        <w:t xml:space="preserve"> and ICD-10-AM code</w:t>
      </w:r>
      <w:bookmarkEnd w:id="20"/>
    </w:p>
    <w:p w14:paraId="3788F858" w14:textId="48D76DCA" w:rsidR="008750EB" w:rsidRPr="008750EB" w:rsidRDefault="008750EB" w:rsidP="008750EB">
      <w:pPr>
        <w:pStyle w:val="DHHSbody"/>
      </w:pPr>
      <w:r>
        <w:rPr>
          <w:noProof/>
        </w:rPr>
        <w:drawing>
          <wp:inline distT="0" distB="0" distL="0" distR="0" wp14:anchorId="0BF31E45" wp14:editId="038E1236">
            <wp:extent cx="5895975" cy="4457700"/>
            <wp:effectExtent l="0" t="0" r="9525" b="0"/>
            <wp:docPr id="1" name="Picture 1" descr="Number of head and neck cancers diagnosed in Victoria between 2012 and 2016 by subsite and ICD-10-AM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95975" cy="4457700"/>
                    </a:xfrm>
                    <a:prstGeom prst="rect">
                      <a:avLst/>
                    </a:prstGeom>
                    <a:noFill/>
                    <a:ln>
                      <a:noFill/>
                    </a:ln>
                  </pic:spPr>
                </pic:pic>
              </a:graphicData>
            </a:graphic>
          </wp:inline>
        </w:drawing>
      </w:r>
    </w:p>
    <w:p w14:paraId="14A04C51" w14:textId="1D8405F1" w:rsidR="008E7435" w:rsidRPr="00297510" w:rsidRDefault="001C2B1F" w:rsidP="00297510">
      <w:pPr>
        <w:pStyle w:val="DHHStablefigurenote"/>
      </w:pPr>
      <w:r w:rsidRPr="001C2B1F">
        <w:t>O/U</w:t>
      </w:r>
      <w:r w:rsidR="00B77808">
        <w:t xml:space="preserve"> = </w:t>
      </w:r>
      <w:r w:rsidRPr="001C2B1F">
        <w:t>other/unspecified</w:t>
      </w:r>
    </w:p>
    <w:p w14:paraId="768AECD3" w14:textId="77777777" w:rsidR="00297510" w:rsidRDefault="00297510" w:rsidP="00297510">
      <w:pPr>
        <w:pStyle w:val="Heading3"/>
      </w:pPr>
      <w:r>
        <w:t>Clinical commentary</w:t>
      </w:r>
    </w:p>
    <w:p w14:paraId="22A59A5F" w14:textId="1645DC04" w:rsidR="00BF0C07" w:rsidRDefault="00297510" w:rsidP="00297510">
      <w:pPr>
        <w:pStyle w:val="DHHSbody"/>
        <w:rPr>
          <w:lang w:val="en-US"/>
        </w:rPr>
      </w:pPr>
      <w:r>
        <w:rPr>
          <w:lang w:val="en-US"/>
        </w:rPr>
        <w:t xml:space="preserve">The decreasing incidence of </w:t>
      </w:r>
      <w:r w:rsidRPr="00CD65D6">
        <w:rPr>
          <w:lang w:val="en-US"/>
        </w:rPr>
        <w:t xml:space="preserve">H&amp;N cancers </w:t>
      </w:r>
      <w:r>
        <w:rPr>
          <w:lang w:val="en-US"/>
        </w:rPr>
        <w:t xml:space="preserve">is positive to see and may be due to reduced rates of smoking and/or alcohol use. However, H&amp;N cancers </w:t>
      </w:r>
      <w:r w:rsidRPr="00CD65D6">
        <w:rPr>
          <w:lang w:val="en-US"/>
        </w:rPr>
        <w:t>are not a homogenous group</w:t>
      </w:r>
      <w:r>
        <w:rPr>
          <w:lang w:val="en-US"/>
        </w:rPr>
        <w:t>, and rising incidence of oropharynx cancers in men should be monitored. This group of cancers is likely to be HPV</w:t>
      </w:r>
      <w:r w:rsidR="00240E59">
        <w:rPr>
          <w:lang w:val="en-US"/>
        </w:rPr>
        <w:t>-</w:t>
      </w:r>
      <w:r>
        <w:rPr>
          <w:lang w:val="en-US"/>
        </w:rPr>
        <w:t>related and the increase in incidence is consistent with trends seen in developed countries around the world.</w:t>
      </w:r>
    </w:p>
    <w:p w14:paraId="0070C58E" w14:textId="77376EE0" w:rsidR="007970BD" w:rsidRDefault="007970BD" w:rsidP="000C5AF2">
      <w:pPr>
        <w:pStyle w:val="DHHSbody"/>
        <w:rPr>
          <w:lang w:val="en-US"/>
        </w:rPr>
      </w:pPr>
      <w:r>
        <w:rPr>
          <w:lang w:val="en-US"/>
        </w:rPr>
        <w:br w:type="page"/>
      </w:r>
    </w:p>
    <w:p w14:paraId="6EC3FF42" w14:textId="288B0121" w:rsidR="0020236B" w:rsidRDefault="00DE3AB3" w:rsidP="007970BD">
      <w:pPr>
        <w:pStyle w:val="Heading1"/>
        <w:rPr>
          <w:rFonts w:eastAsia="MS Gothic"/>
        </w:rPr>
      </w:pPr>
      <w:bookmarkStart w:id="21" w:name="_Toc22713851"/>
      <w:r>
        <w:rPr>
          <w:rFonts w:eastAsia="MS Gothic"/>
        </w:rPr>
        <w:t>Disease spread at diagnosis and s</w:t>
      </w:r>
      <w:r w:rsidR="0020236B">
        <w:rPr>
          <w:rFonts w:eastAsia="MS Gothic"/>
        </w:rPr>
        <w:t>urvival</w:t>
      </w:r>
      <w:r w:rsidR="00316140">
        <w:rPr>
          <w:rStyle w:val="FootnoteReference"/>
          <w:rFonts w:eastAsia="MS Gothic"/>
        </w:rPr>
        <w:footnoteReference w:id="4"/>
      </w:r>
      <w:bookmarkEnd w:id="21"/>
    </w:p>
    <w:p w14:paraId="7024714C" w14:textId="78E72157" w:rsidR="00753C1B" w:rsidRDefault="00176EC7" w:rsidP="00753C1B">
      <w:pPr>
        <w:pStyle w:val="DHHSbullet1"/>
      </w:pPr>
      <w:r>
        <w:t xml:space="preserve">Between 2012 and 2016, </w:t>
      </w:r>
      <w:r w:rsidR="00753C1B">
        <w:t>70</w:t>
      </w:r>
      <w:r w:rsidR="00B65B96">
        <w:t>–</w:t>
      </w:r>
      <w:r w:rsidR="00753C1B">
        <w:t>80</w:t>
      </w:r>
      <w:r w:rsidR="00D62BCD">
        <w:t xml:space="preserve"> per cent</w:t>
      </w:r>
      <w:r w:rsidR="00753C1B">
        <w:t xml:space="preserve"> of oral cavity, salivary gland and larynx cancer patients presented with lymph node</w:t>
      </w:r>
      <w:r w:rsidR="008E7B7A">
        <w:t xml:space="preserve"> </w:t>
      </w:r>
      <w:r w:rsidR="00753C1B">
        <w:t>negative disease</w:t>
      </w:r>
      <w:r w:rsidR="00F6201D">
        <w:t xml:space="preserve"> (</w:t>
      </w:r>
      <w:r w:rsidR="00954022">
        <w:fldChar w:fldCharType="begin"/>
      </w:r>
      <w:r w:rsidR="00F6201D">
        <w:instrText xml:space="preserve"> REF _Ref3973215 \h </w:instrText>
      </w:r>
      <w:r w:rsidR="00954022">
        <w:fldChar w:fldCharType="separate"/>
      </w:r>
      <w:r w:rsidR="00084E54">
        <w:t xml:space="preserve">Table </w:t>
      </w:r>
      <w:r w:rsidR="00084E54">
        <w:rPr>
          <w:noProof/>
        </w:rPr>
        <w:t>1</w:t>
      </w:r>
      <w:r w:rsidR="00954022">
        <w:fldChar w:fldCharType="end"/>
      </w:r>
      <w:r w:rsidR="00F6201D">
        <w:t>).</w:t>
      </w:r>
    </w:p>
    <w:p w14:paraId="411B6739" w14:textId="6DA4530C" w:rsidR="00753C1B" w:rsidRDefault="00753C1B" w:rsidP="00753C1B">
      <w:pPr>
        <w:pStyle w:val="DHHSbullet1"/>
      </w:pPr>
      <w:r>
        <w:t>In contrast, 60–70</w:t>
      </w:r>
      <w:r w:rsidR="00D62BCD">
        <w:t xml:space="preserve"> per cent</w:t>
      </w:r>
      <w:r>
        <w:t xml:space="preserve"> of oropharynx, nasopharynx and hypopharynx cancer patients presented with </w:t>
      </w:r>
      <w:r w:rsidR="001F1FD7">
        <w:t>lymph node positive</w:t>
      </w:r>
      <w:r w:rsidR="00854DE7">
        <w:t xml:space="preserve"> cancer</w:t>
      </w:r>
      <w:r w:rsidR="001F1FD7">
        <w:t xml:space="preserve"> or </w:t>
      </w:r>
      <w:r w:rsidR="00854DE7">
        <w:t>distant metastases</w:t>
      </w:r>
      <w:r w:rsidR="00176EC7">
        <w:t>.</w:t>
      </w:r>
    </w:p>
    <w:p w14:paraId="5353BDDD" w14:textId="19FF1A44" w:rsidR="00753C1B" w:rsidRDefault="00753C1B" w:rsidP="00753C1B">
      <w:pPr>
        <w:pStyle w:val="DHHSbullet1"/>
      </w:pPr>
      <w:r>
        <w:t>For the period 2012</w:t>
      </w:r>
      <w:r w:rsidR="00B65B96">
        <w:t>–</w:t>
      </w:r>
      <w:r>
        <w:t xml:space="preserve">2016, </w:t>
      </w:r>
      <w:r w:rsidR="008E7B7A">
        <w:t>one</w:t>
      </w:r>
      <w:r>
        <w:t>-year survival was 84</w:t>
      </w:r>
      <w:r w:rsidR="00D62BCD">
        <w:t xml:space="preserve"> per cent</w:t>
      </w:r>
      <w:r>
        <w:t xml:space="preserve"> and </w:t>
      </w:r>
      <w:r w:rsidR="002C5509">
        <w:t>five-</w:t>
      </w:r>
      <w:r>
        <w:t>year survival 6</w:t>
      </w:r>
      <w:r w:rsidR="00B65B96">
        <w:t>3</w:t>
      </w:r>
      <w:r w:rsidR="00D62BCD">
        <w:t xml:space="preserve"> per cent</w:t>
      </w:r>
      <w:r w:rsidR="00B65B96">
        <w:t xml:space="preserve"> (</w:t>
      </w:r>
      <w:r w:rsidR="00954022">
        <w:fldChar w:fldCharType="begin"/>
      </w:r>
      <w:r w:rsidR="00B65B96">
        <w:instrText xml:space="preserve"> REF _Ref3974945 \h </w:instrText>
      </w:r>
      <w:r w:rsidR="00954022">
        <w:fldChar w:fldCharType="separate"/>
      </w:r>
      <w:r w:rsidR="00084E54">
        <w:t xml:space="preserve">Table </w:t>
      </w:r>
      <w:r w:rsidR="00084E54">
        <w:rPr>
          <w:noProof/>
        </w:rPr>
        <w:t>2</w:t>
      </w:r>
      <w:r w:rsidR="00954022">
        <w:fldChar w:fldCharType="end"/>
      </w:r>
      <w:r w:rsidR="00B65B96">
        <w:t>).</w:t>
      </w:r>
    </w:p>
    <w:p w14:paraId="4EA79E0D" w14:textId="4B5CA692" w:rsidR="00753C1B" w:rsidRDefault="00753C1B" w:rsidP="00753C1B">
      <w:pPr>
        <w:pStyle w:val="DHHSbullet1"/>
      </w:pPr>
      <w:r>
        <w:t xml:space="preserve">Survival varied by cancer subsite, being lowest for hypopharynx </w:t>
      </w:r>
      <w:r w:rsidR="00854DE7">
        <w:t xml:space="preserve">cancer </w:t>
      </w:r>
      <w:r>
        <w:t>(</w:t>
      </w:r>
      <w:r w:rsidR="002C5509">
        <w:t>five-</w:t>
      </w:r>
      <w:r>
        <w:t>year</w:t>
      </w:r>
      <w:r w:rsidR="008E7B7A">
        <w:t xml:space="preserve"> =</w:t>
      </w:r>
      <w:r>
        <w:t xml:space="preserve"> 3</w:t>
      </w:r>
      <w:r w:rsidR="00B65B96">
        <w:t>4</w:t>
      </w:r>
      <w:r w:rsidR="00D62BCD">
        <w:t xml:space="preserve"> per cent</w:t>
      </w:r>
      <w:r>
        <w:t>) and highest for salivary gland cancers (</w:t>
      </w:r>
      <w:r w:rsidR="002C5509">
        <w:t>five-</w:t>
      </w:r>
      <w:r>
        <w:t>year</w:t>
      </w:r>
      <w:r w:rsidR="008E7B7A">
        <w:t xml:space="preserve"> =</w:t>
      </w:r>
      <w:r>
        <w:t xml:space="preserve"> 70</w:t>
      </w:r>
      <w:r w:rsidR="00D62BCD">
        <w:t xml:space="preserve"> per cent</w:t>
      </w:r>
      <w:r>
        <w:t>)</w:t>
      </w:r>
      <w:r w:rsidR="00176EC7">
        <w:t>.</w:t>
      </w:r>
    </w:p>
    <w:p w14:paraId="06FFB97C" w14:textId="1EEEEE51" w:rsidR="00753C1B" w:rsidRPr="003072C6" w:rsidRDefault="00F6201D" w:rsidP="00F6201D">
      <w:pPr>
        <w:pStyle w:val="DHHStablecaption"/>
      </w:pPr>
      <w:bookmarkStart w:id="22" w:name="_Ref3973215"/>
      <w:bookmarkStart w:id="23" w:name="_Toc22722835"/>
      <w:r>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1</w:t>
      </w:r>
      <w:r w:rsidR="00954022">
        <w:rPr>
          <w:noProof/>
        </w:rPr>
        <w:fldChar w:fldCharType="end"/>
      </w:r>
      <w:bookmarkEnd w:id="22"/>
      <w:r>
        <w:t>: Proportion</w:t>
      </w:r>
      <w:r w:rsidR="008E7B7A">
        <w:t xml:space="preserve"> of</w:t>
      </w:r>
      <w:r>
        <w:t xml:space="preserve"> patients</w:t>
      </w:r>
      <w:r w:rsidR="00854DE7">
        <w:t xml:space="preserve"> presenting with lymph node</w:t>
      </w:r>
      <w:r w:rsidR="008E7B7A">
        <w:t xml:space="preserve"> </w:t>
      </w:r>
      <w:r w:rsidR="00E908EB">
        <w:t>negative cancer, lymph node</w:t>
      </w:r>
      <w:r w:rsidR="00854DE7">
        <w:t xml:space="preserve"> positive</w:t>
      </w:r>
      <w:r w:rsidR="00E908EB">
        <w:t xml:space="preserve"> cancer</w:t>
      </w:r>
      <w:r w:rsidR="00854DE7">
        <w:t xml:space="preserve"> or distant metastases </w:t>
      </w:r>
      <w:r w:rsidR="003B0287">
        <w:t xml:space="preserve">by </w:t>
      </w:r>
      <w:r w:rsidR="00854DE7">
        <w:t>head and neck</w:t>
      </w:r>
      <w:r w:rsidR="003B0287">
        <w:t xml:space="preserve"> cancer subsite</w:t>
      </w:r>
      <w:r w:rsidR="003D3365">
        <w:t xml:space="preserve"> (diagnosed 2012–2016)</w:t>
      </w:r>
      <w:bookmarkEnd w:id="23"/>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1"/>
        <w:gridCol w:w="1191"/>
        <w:gridCol w:w="1361"/>
        <w:gridCol w:w="1531"/>
        <w:gridCol w:w="1531"/>
        <w:gridCol w:w="1191"/>
      </w:tblGrid>
      <w:tr w:rsidR="00854DE7" w:rsidRPr="003072C6" w14:paraId="0BC165CD" w14:textId="77777777" w:rsidTr="00854DE7">
        <w:trPr>
          <w:tblHeader/>
        </w:trPr>
        <w:tc>
          <w:tcPr>
            <w:tcW w:w="1247" w:type="dxa"/>
            <w:shd w:val="clear" w:color="auto" w:fill="auto"/>
          </w:tcPr>
          <w:p w14:paraId="1B7B88EA" w14:textId="0A958AA4" w:rsidR="00753C1B" w:rsidRPr="00AB7FCF" w:rsidRDefault="00E908EB" w:rsidP="007970BD">
            <w:pPr>
              <w:pStyle w:val="DHHStablecolhead"/>
            </w:pPr>
            <w:r>
              <w:t>Patient g</w:t>
            </w:r>
            <w:r w:rsidR="00753C1B" w:rsidRPr="00AB7FCF">
              <w:t>roup</w:t>
            </w:r>
            <w:r>
              <w:t xml:space="preserve"> at diagnosis</w:t>
            </w:r>
          </w:p>
        </w:tc>
        <w:tc>
          <w:tcPr>
            <w:tcW w:w="1191" w:type="dxa"/>
            <w:shd w:val="clear" w:color="auto" w:fill="auto"/>
          </w:tcPr>
          <w:p w14:paraId="6D403BB1" w14:textId="77777777" w:rsidR="00753C1B" w:rsidRPr="00AB7FCF" w:rsidRDefault="00753C1B" w:rsidP="007970BD">
            <w:pPr>
              <w:pStyle w:val="DHHStablecolhead"/>
            </w:pPr>
            <w:r w:rsidRPr="00AB7FCF">
              <w:t>Oral cavity</w:t>
            </w:r>
          </w:p>
          <w:p w14:paraId="543EE877" w14:textId="1E47D03D" w:rsidR="00F6201D" w:rsidRPr="00AB7FCF" w:rsidRDefault="00F6201D" w:rsidP="007970BD">
            <w:pPr>
              <w:pStyle w:val="DHHStablecolhead"/>
            </w:pPr>
            <w:r w:rsidRPr="00AB7FCF">
              <w:t>C02</w:t>
            </w:r>
            <w:r w:rsidR="002C5509">
              <w:t>–</w:t>
            </w:r>
            <w:r w:rsidRPr="00AB7FCF">
              <w:t>C06</w:t>
            </w:r>
          </w:p>
        </w:tc>
        <w:tc>
          <w:tcPr>
            <w:tcW w:w="1191" w:type="dxa"/>
            <w:shd w:val="clear" w:color="auto" w:fill="auto"/>
          </w:tcPr>
          <w:p w14:paraId="0C68FE1E" w14:textId="77777777" w:rsidR="00753C1B" w:rsidRPr="00AB7FCF" w:rsidRDefault="00753C1B" w:rsidP="007970BD">
            <w:pPr>
              <w:pStyle w:val="DHHStablecolhead"/>
            </w:pPr>
            <w:r w:rsidRPr="00AB7FCF">
              <w:t>Salivary gland</w:t>
            </w:r>
          </w:p>
          <w:p w14:paraId="32E9730E" w14:textId="77777777" w:rsidR="00F6201D" w:rsidRPr="00AB7FCF" w:rsidRDefault="00F6201D" w:rsidP="007970BD">
            <w:pPr>
              <w:pStyle w:val="DHHStablecolhead"/>
            </w:pPr>
            <w:r w:rsidRPr="00AB7FCF">
              <w:t>C07, C08</w:t>
            </w:r>
          </w:p>
        </w:tc>
        <w:tc>
          <w:tcPr>
            <w:tcW w:w="1361" w:type="dxa"/>
            <w:shd w:val="clear" w:color="auto" w:fill="auto"/>
          </w:tcPr>
          <w:p w14:paraId="40EFB5BB" w14:textId="77777777" w:rsidR="00753C1B" w:rsidRPr="00AB7FCF" w:rsidRDefault="00753C1B" w:rsidP="007970BD">
            <w:pPr>
              <w:pStyle w:val="DHHStablecolhead"/>
            </w:pPr>
            <w:r w:rsidRPr="00AB7FCF">
              <w:t>Oropharynx</w:t>
            </w:r>
          </w:p>
          <w:p w14:paraId="471B9203" w14:textId="77777777" w:rsidR="00F6201D" w:rsidRPr="00AB7FCF" w:rsidRDefault="00F6201D" w:rsidP="007970BD">
            <w:pPr>
              <w:pStyle w:val="DHHStablecolhead"/>
            </w:pPr>
            <w:r w:rsidRPr="00AB7FCF">
              <w:t>C01, C02.4, C09, C10</w:t>
            </w:r>
          </w:p>
        </w:tc>
        <w:tc>
          <w:tcPr>
            <w:tcW w:w="1531" w:type="dxa"/>
          </w:tcPr>
          <w:p w14:paraId="07BD5715" w14:textId="77777777" w:rsidR="00753C1B" w:rsidRPr="00AB7FCF" w:rsidRDefault="00753C1B" w:rsidP="007970BD">
            <w:pPr>
              <w:pStyle w:val="DHHStablecolhead"/>
            </w:pPr>
            <w:r w:rsidRPr="00AB7FCF">
              <w:t>Nasopharynx</w:t>
            </w:r>
          </w:p>
          <w:p w14:paraId="05C279E1" w14:textId="77777777" w:rsidR="00F6201D" w:rsidRPr="00AB7FCF" w:rsidRDefault="00F6201D" w:rsidP="007970BD">
            <w:pPr>
              <w:pStyle w:val="DHHStablecolhead"/>
            </w:pPr>
            <w:r w:rsidRPr="00AB7FCF">
              <w:t>C11</w:t>
            </w:r>
          </w:p>
        </w:tc>
        <w:tc>
          <w:tcPr>
            <w:tcW w:w="1531" w:type="dxa"/>
          </w:tcPr>
          <w:p w14:paraId="10CA5787" w14:textId="77777777" w:rsidR="00753C1B" w:rsidRPr="00AB7FCF" w:rsidRDefault="00753C1B" w:rsidP="007970BD">
            <w:pPr>
              <w:pStyle w:val="DHHStablecolhead"/>
            </w:pPr>
            <w:r w:rsidRPr="00AB7FCF">
              <w:t>Hypopharynx</w:t>
            </w:r>
          </w:p>
          <w:p w14:paraId="3D8C7EA8" w14:textId="77777777" w:rsidR="00F6201D" w:rsidRPr="00AB7FCF" w:rsidRDefault="00F6201D" w:rsidP="007970BD">
            <w:pPr>
              <w:pStyle w:val="DHHStablecolhead"/>
            </w:pPr>
            <w:r w:rsidRPr="00AB7FCF">
              <w:t>C12, C13</w:t>
            </w:r>
          </w:p>
        </w:tc>
        <w:tc>
          <w:tcPr>
            <w:tcW w:w="1191" w:type="dxa"/>
          </w:tcPr>
          <w:p w14:paraId="51E3B7BD" w14:textId="77777777" w:rsidR="00753C1B" w:rsidRPr="00AB7FCF" w:rsidRDefault="00753C1B" w:rsidP="007970BD">
            <w:pPr>
              <w:pStyle w:val="DHHStablecolhead"/>
            </w:pPr>
            <w:r w:rsidRPr="00AB7FCF">
              <w:t>Larynx</w:t>
            </w:r>
          </w:p>
          <w:p w14:paraId="280CBD28" w14:textId="77777777" w:rsidR="00F6201D" w:rsidRPr="00AB7FCF" w:rsidRDefault="00F6201D" w:rsidP="007970BD">
            <w:pPr>
              <w:pStyle w:val="DHHStablecolhead"/>
            </w:pPr>
            <w:r w:rsidRPr="00AB7FCF">
              <w:t>C32</w:t>
            </w:r>
          </w:p>
        </w:tc>
      </w:tr>
      <w:tr w:rsidR="00854DE7" w:rsidRPr="003072C6" w14:paraId="0D61F393" w14:textId="77777777" w:rsidTr="00854DE7">
        <w:trPr>
          <w:trHeight w:val="263"/>
        </w:trPr>
        <w:tc>
          <w:tcPr>
            <w:tcW w:w="1247" w:type="dxa"/>
            <w:shd w:val="clear" w:color="auto" w:fill="auto"/>
          </w:tcPr>
          <w:p w14:paraId="156B1AC7" w14:textId="77777777" w:rsidR="00753C1B" w:rsidRPr="00AB7FCF" w:rsidRDefault="00753C1B" w:rsidP="00AB7FCF">
            <w:pPr>
              <w:pStyle w:val="DHHStabletext"/>
            </w:pPr>
            <w:r w:rsidRPr="00AB7FCF">
              <w:t>Lymph node negative</w:t>
            </w:r>
          </w:p>
        </w:tc>
        <w:tc>
          <w:tcPr>
            <w:tcW w:w="1191" w:type="dxa"/>
            <w:shd w:val="clear" w:color="auto" w:fill="auto"/>
            <w:vAlign w:val="center"/>
          </w:tcPr>
          <w:p w14:paraId="48EF0BB3" w14:textId="77777777" w:rsidR="00753C1B" w:rsidRPr="00AB7FCF" w:rsidRDefault="00266F1C" w:rsidP="00AB7FCF">
            <w:pPr>
              <w:pStyle w:val="DHHStabletext"/>
            </w:pPr>
            <w:r w:rsidRPr="00AB7FCF">
              <w:rPr>
                <w:rFonts w:eastAsia="Arial"/>
                <w:lang w:val="en-US" w:eastAsia="en-AU"/>
              </w:rPr>
              <w:t>895</w:t>
            </w:r>
            <w:r w:rsidR="00753C1B" w:rsidRPr="00AB7FCF">
              <w:rPr>
                <w:rFonts w:eastAsia="Arial"/>
                <w:lang w:val="en-US" w:eastAsia="en-AU"/>
              </w:rPr>
              <w:t xml:space="preserve"> (71%)</w:t>
            </w:r>
          </w:p>
        </w:tc>
        <w:tc>
          <w:tcPr>
            <w:tcW w:w="1191" w:type="dxa"/>
            <w:shd w:val="clear" w:color="auto" w:fill="auto"/>
            <w:vAlign w:val="center"/>
          </w:tcPr>
          <w:p w14:paraId="15A0AFD7" w14:textId="77777777" w:rsidR="00753C1B" w:rsidRPr="00AB7FCF" w:rsidRDefault="00266F1C" w:rsidP="00AB7FCF">
            <w:pPr>
              <w:pStyle w:val="DHHStabletext"/>
            </w:pPr>
            <w:r w:rsidRPr="00AB7FCF">
              <w:rPr>
                <w:rFonts w:eastAsia="Arial"/>
                <w:lang w:val="en-US" w:eastAsia="en-AU"/>
              </w:rPr>
              <w:t>280</w:t>
            </w:r>
            <w:r w:rsidR="00753C1B" w:rsidRPr="00AB7FCF">
              <w:rPr>
                <w:rFonts w:eastAsia="Arial"/>
                <w:lang w:val="en-US" w:eastAsia="en-AU"/>
              </w:rPr>
              <w:t xml:space="preserve"> (7</w:t>
            </w:r>
            <w:r w:rsidRPr="00AB7FCF">
              <w:rPr>
                <w:rFonts w:eastAsia="Arial"/>
                <w:lang w:val="en-US" w:eastAsia="en-AU"/>
              </w:rPr>
              <w:t>0</w:t>
            </w:r>
            <w:r w:rsidR="00753C1B" w:rsidRPr="00AB7FCF">
              <w:rPr>
                <w:rFonts w:eastAsia="Arial"/>
                <w:lang w:val="en-US" w:eastAsia="en-AU"/>
              </w:rPr>
              <w:t>%)</w:t>
            </w:r>
          </w:p>
        </w:tc>
        <w:tc>
          <w:tcPr>
            <w:tcW w:w="1361" w:type="dxa"/>
            <w:shd w:val="clear" w:color="auto" w:fill="auto"/>
            <w:vAlign w:val="center"/>
          </w:tcPr>
          <w:p w14:paraId="50868E77" w14:textId="77777777" w:rsidR="00753C1B" w:rsidRPr="00AB7FCF" w:rsidRDefault="00266F1C" w:rsidP="00AB7FCF">
            <w:pPr>
              <w:pStyle w:val="DHHStabletext"/>
            </w:pPr>
            <w:r w:rsidRPr="00AB7FCF">
              <w:rPr>
                <w:rFonts w:eastAsia="Arial"/>
                <w:lang w:val="en-US" w:eastAsia="en-AU"/>
              </w:rPr>
              <w:t>296</w:t>
            </w:r>
            <w:r w:rsidR="00753C1B" w:rsidRPr="00AB7FCF">
              <w:rPr>
                <w:rFonts w:eastAsia="Arial"/>
                <w:lang w:val="en-US" w:eastAsia="en-AU"/>
              </w:rPr>
              <w:t xml:space="preserve"> (29%)</w:t>
            </w:r>
          </w:p>
        </w:tc>
        <w:tc>
          <w:tcPr>
            <w:tcW w:w="1531" w:type="dxa"/>
            <w:vAlign w:val="center"/>
          </w:tcPr>
          <w:p w14:paraId="55145062" w14:textId="77777777" w:rsidR="00753C1B" w:rsidRPr="00AB7FCF" w:rsidRDefault="00266F1C" w:rsidP="00AB7FCF">
            <w:pPr>
              <w:pStyle w:val="DHHStabletext"/>
            </w:pPr>
            <w:r w:rsidRPr="00AB7FCF">
              <w:rPr>
                <w:rFonts w:eastAsia="Arial"/>
                <w:lang w:val="en-US" w:eastAsia="en-AU"/>
              </w:rPr>
              <w:t>62</w:t>
            </w:r>
            <w:r w:rsidR="00753C1B" w:rsidRPr="00AB7FCF">
              <w:rPr>
                <w:rFonts w:eastAsia="Arial"/>
                <w:lang w:val="en-US" w:eastAsia="en-AU"/>
              </w:rPr>
              <w:t xml:space="preserve"> (3</w:t>
            </w:r>
            <w:r w:rsidRPr="00AB7FCF">
              <w:rPr>
                <w:rFonts w:eastAsia="Arial"/>
                <w:lang w:val="en-US" w:eastAsia="en-AU"/>
              </w:rPr>
              <w:t>5</w:t>
            </w:r>
            <w:r w:rsidR="00753C1B" w:rsidRPr="00AB7FCF">
              <w:rPr>
                <w:rFonts w:eastAsia="Arial"/>
                <w:lang w:val="en-US" w:eastAsia="en-AU"/>
              </w:rPr>
              <w:t>%)</w:t>
            </w:r>
          </w:p>
        </w:tc>
        <w:tc>
          <w:tcPr>
            <w:tcW w:w="1531" w:type="dxa"/>
            <w:vAlign w:val="center"/>
          </w:tcPr>
          <w:p w14:paraId="075CA1B0" w14:textId="77777777" w:rsidR="00753C1B" w:rsidRPr="00AB7FCF" w:rsidRDefault="00266F1C" w:rsidP="00AB7FCF">
            <w:pPr>
              <w:pStyle w:val="DHHStabletext"/>
            </w:pPr>
            <w:r w:rsidRPr="00AB7FCF">
              <w:rPr>
                <w:rFonts w:eastAsia="Arial"/>
                <w:lang w:val="en-US" w:eastAsia="en-AU"/>
              </w:rPr>
              <w:t>63</w:t>
            </w:r>
            <w:r w:rsidR="00753C1B" w:rsidRPr="00AB7FCF">
              <w:rPr>
                <w:rFonts w:eastAsia="Arial"/>
                <w:lang w:val="en-US" w:eastAsia="en-AU"/>
              </w:rPr>
              <w:t xml:space="preserve"> (3</w:t>
            </w:r>
            <w:r w:rsidRPr="00AB7FCF">
              <w:rPr>
                <w:rFonts w:eastAsia="Arial"/>
                <w:lang w:val="en-US" w:eastAsia="en-AU"/>
              </w:rPr>
              <w:t>6</w:t>
            </w:r>
            <w:r w:rsidR="00753C1B" w:rsidRPr="00AB7FCF">
              <w:rPr>
                <w:rFonts w:eastAsia="Arial"/>
                <w:lang w:val="en-US" w:eastAsia="en-AU"/>
              </w:rPr>
              <w:t>%)</w:t>
            </w:r>
          </w:p>
        </w:tc>
        <w:tc>
          <w:tcPr>
            <w:tcW w:w="1191" w:type="dxa"/>
            <w:vAlign w:val="center"/>
          </w:tcPr>
          <w:p w14:paraId="07B38780" w14:textId="77777777" w:rsidR="00753C1B" w:rsidRPr="00AB7FCF" w:rsidRDefault="00266F1C" w:rsidP="00AB7FCF">
            <w:pPr>
              <w:pStyle w:val="DHHStabletext"/>
            </w:pPr>
            <w:r w:rsidRPr="00AB7FCF">
              <w:rPr>
                <w:rFonts w:eastAsia="Arial"/>
                <w:lang w:val="en-US" w:eastAsia="en-AU"/>
              </w:rPr>
              <w:t>571</w:t>
            </w:r>
            <w:r w:rsidR="00753C1B" w:rsidRPr="00AB7FCF">
              <w:rPr>
                <w:rFonts w:eastAsia="Arial"/>
                <w:lang w:val="en-US" w:eastAsia="en-AU"/>
              </w:rPr>
              <w:t xml:space="preserve"> (80%)</w:t>
            </w:r>
          </w:p>
        </w:tc>
      </w:tr>
      <w:tr w:rsidR="00854DE7" w:rsidRPr="003072C6" w14:paraId="744F0237" w14:textId="77777777" w:rsidTr="00854DE7">
        <w:trPr>
          <w:trHeight w:val="276"/>
        </w:trPr>
        <w:tc>
          <w:tcPr>
            <w:tcW w:w="1247" w:type="dxa"/>
            <w:shd w:val="clear" w:color="auto" w:fill="auto"/>
          </w:tcPr>
          <w:p w14:paraId="01C9F91E" w14:textId="77777777" w:rsidR="00753C1B" w:rsidRPr="00AB7FCF" w:rsidRDefault="00753C1B" w:rsidP="00AB7FCF">
            <w:pPr>
              <w:pStyle w:val="DHHStabletext"/>
            </w:pPr>
            <w:r w:rsidRPr="00AB7FCF">
              <w:t>Lymph node positive</w:t>
            </w:r>
          </w:p>
        </w:tc>
        <w:tc>
          <w:tcPr>
            <w:tcW w:w="1191" w:type="dxa"/>
            <w:shd w:val="clear" w:color="auto" w:fill="auto"/>
            <w:vAlign w:val="center"/>
          </w:tcPr>
          <w:p w14:paraId="3C66958B" w14:textId="77777777" w:rsidR="00753C1B" w:rsidRPr="00AB7FCF" w:rsidRDefault="00266F1C" w:rsidP="00AB7FCF">
            <w:pPr>
              <w:pStyle w:val="DHHStabletext"/>
            </w:pPr>
            <w:r w:rsidRPr="00AB7FCF">
              <w:rPr>
                <w:rFonts w:eastAsia="Arial"/>
                <w:lang w:val="en-US" w:eastAsia="en-AU"/>
              </w:rPr>
              <w:t>292</w:t>
            </w:r>
            <w:r w:rsidR="00753C1B" w:rsidRPr="00AB7FCF">
              <w:rPr>
                <w:rFonts w:eastAsia="Arial"/>
                <w:lang w:val="en-US" w:eastAsia="en-AU"/>
              </w:rPr>
              <w:t xml:space="preserve"> (23%)</w:t>
            </w:r>
          </w:p>
        </w:tc>
        <w:tc>
          <w:tcPr>
            <w:tcW w:w="1191" w:type="dxa"/>
            <w:shd w:val="clear" w:color="auto" w:fill="auto"/>
            <w:vAlign w:val="center"/>
          </w:tcPr>
          <w:p w14:paraId="4683BE54" w14:textId="77777777" w:rsidR="00753C1B" w:rsidRPr="00AB7FCF" w:rsidRDefault="00753C1B" w:rsidP="00AB7FCF">
            <w:pPr>
              <w:pStyle w:val="DHHStabletext"/>
            </w:pPr>
            <w:r w:rsidRPr="00AB7FCF">
              <w:rPr>
                <w:rFonts w:eastAsia="Arial"/>
                <w:lang w:val="en-US" w:eastAsia="en-AU"/>
              </w:rPr>
              <w:t>75 (19%)</w:t>
            </w:r>
          </w:p>
        </w:tc>
        <w:tc>
          <w:tcPr>
            <w:tcW w:w="1361" w:type="dxa"/>
            <w:shd w:val="clear" w:color="auto" w:fill="auto"/>
            <w:vAlign w:val="center"/>
          </w:tcPr>
          <w:p w14:paraId="47297C46" w14:textId="77777777" w:rsidR="00753C1B" w:rsidRPr="00AB7FCF" w:rsidRDefault="00266F1C" w:rsidP="00AB7FCF">
            <w:pPr>
              <w:pStyle w:val="DHHStabletext"/>
            </w:pPr>
            <w:r w:rsidRPr="00AB7FCF">
              <w:rPr>
                <w:rFonts w:eastAsia="Arial"/>
                <w:lang w:val="en-US" w:eastAsia="en-AU"/>
              </w:rPr>
              <w:t>624</w:t>
            </w:r>
            <w:r w:rsidR="00753C1B" w:rsidRPr="00AB7FCF">
              <w:rPr>
                <w:rFonts w:eastAsia="Arial"/>
                <w:lang w:val="en-US" w:eastAsia="en-AU"/>
              </w:rPr>
              <w:t xml:space="preserve"> (6</w:t>
            </w:r>
            <w:r w:rsidRPr="00AB7FCF">
              <w:rPr>
                <w:rFonts w:eastAsia="Arial"/>
                <w:lang w:val="en-US" w:eastAsia="en-AU"/>
              </w:rPr>
              <w:t>1</w:t>
            </w:r>
            <w:r w:rsidR="00753C1B" w:rsidRPr="00AB7FCF">
              <w:rPr>
                <w:rFonts w:eastAsia="Arial"/>
                <w:lang w:val="en-US" w:eastAsia="en-AU"/>
              </w:rPr>
              <w:t>%)</w:t>
            </w:r>
          </w:p>
        </w:tc>
        <w:tc>
          <w:tcPr>
            <w:tcW w:w="1531" w:type="dxa"/>
            <w:vAlign w:val="center"/>
          </w:tcPr>
          <w:p w14:paraId="1D916884" w14:textId="77777777" w:rsidR="00753C1B" w:rsidRPr="00AB7FCF" w:rsidRDefault="00753C1B" w:rsidP="00AB7FCF">
            <w:pPr>
              <w:pStyle w:val="DHHStabletext"/>
            </w:pPr>
            <w:r w:rsidRPr="00AB7FCF">
              <w:rPr>
                <w:rFonts w:eastAsia="Arial"/>
                <w:lang w:val="en-US" w:eastAsia="en-AU"/>
              </w:rPr>
              <w:t>78 (4</w:t>
            </w:r>
            <w:r w:rsidR="00266F1C" w:rsidRPr="00AB7FCF">
              <w:rPr>
                <w:rFonts w:eastAsia="Arial"/>
                <w:lang w:val="en-US" w:eastAsia="en-AU"/>
              </w:rPr>
              <w:t>4</w:t>
            </w:r>
            <w:r w:rsidRPr="00AB7FCF">
              <w:rPr>
                <w:rFonts w:eastAsia="Arial"/>
                <w:lang w:val="en-US" w:eastAsia="en-AU"/>
              </w:rPr>
              <w:t>%)</w:t>
            </w:r>
          </w:p>
        </w:tc>
        <w:tc>
          <w:tcPr>
            <w:tcW w:w="1531" w:type="dxa"/>
            <w:vAlign w:val="center"/>
          </w:tcPr>
          <w:p w14:paraId="6E6356AF" w14:textId="77777777" w:rsidR="00753C1B" w:rsidRPr="00AB7FCF" w:rsidRDefault="00753C1B" w:rsidP="00AB7FCF">
            <w:pPr>
              <w:pStyle w:val="DHHStabletext"/>
            </w:pPr>
            <w:r w:rsidRPr="00AB7FCF">
              <w:rPr>
                <w:rFonts w:eastAsia="Arial"/>
                <w:lang w:val="en-US" w:eastAsia="en-AU"/>
              </w:rPr>
              <w:t>92 (5</w:t>
            </w:r>
            <w:r w:rsidR="00266F1C" w:rsidRPr="00AB7FCF">
              <w:rPr>
                <w:rFonts w:eastAsia="Arial"/>
                <w:lang w:val="en-US" w:eastAsia="en-AU"/>
              </w:rPr>
              <w:t>2</w:t>
            </w:r>
            <w:r w:rsidRPr="00AB7FCF">
              <w:rPr>
                <w:rFonts w:eastAsia="Arial"/>
                <w:lang w:val="en-US" w:eastAsia="en-AU"/>
              </w:rPr>
              <w:t>%)</w:t>
            </w:r>
          </w:p>
        </w:tc>
        <w:tc>
          <w:tcPr>
            <w:tcW w:w="1191" w:type="dxa"/>
            <w:vAlign w:val="center"/>
          </w:tcPr>
          <w:p w14:paraId="74016365" w14:textId="77777777" w:rsidR="00753C1B" w:rsidRPr="00AB7FCF" w:rsidRDefault="00266F1C" w:rsidP="00AB7FCF">
            <w:pPr>
              <w:pStyle w:val="DHHStabletext"/>
            </w:pPr>
            <w:r w:rsidRPr="00AB7FCF">
              <w:rPr>
                <w:rFonts w:eastAsia="Arial"/>
                <w:lang w:val="en-US" w:eastAsia="en-AU"/>
              </w:rPr>
              <w:t>109</w:t>
            </w:r>
            <w:r w:rsidR="00753C1B" w:rsidRPr="00AB7FCF">
              <w:rPr>
                <w:rFonts w:eastAsia="Arial"/>
                <w:lang w:val="en-US" w:eastAsia="en-AU"/>
              </w:rPr>
              <w:t xml:space="preserve"> (15%)</w:t>
            </w:r>
          </w:p>
        </w:tc>
      </w:tr>
      <w:tr w:rsidR="00854DE7" w:rsidRPr="003072C6" w14:paraId="40B90A68" w14:textId="77777777" w:rsidTr="00854DE7">
        <w:trPr>
          <w:trHeight w:val="70"/>
        </w:trPr>
        <w:tc>
          <w:tcPr>
            <w:tcW w:w="1247" w:type="dxa"/>
            <w:shd w:val="clear" w:color="auto" w:fill="auto"/>
          </w:tcPr>
          <w:p w14:paraId="1614E0CF" w14:textId="77777777" w:rsidR="00753C1B" w:rsidRPr="00AB7FCF" w:rsidRDefault="00753C1B" w:rsidP="00AB7FCF">
            <w:pPr>
              <w:pStyle w:val="DHHStabletext"/>
            </w:pPr>
            <w:r w:rsidRPr="00AB7FCF">
              <w:t>Distant metastases</w:t>
            </w:r>
          </w:p>
        </w:tc>
        <w:tc>
          <w:tcPr>
            <w:tcW w:w="1191" w:type="dxa"/>
            <w:shd w:val="clear" w:color="auto" w:fill="auto"/>
            <w:vAlign w:val="center"/>
          </w:tcPr>
          <w:p w14:paraId="3A011D2C" w14:textId="77777777" w:rsidR="00753C1B" w:rsidRPr="00AB7FCF" w:rsidRDefault="00266F1C" w:rsidP="00AB7FCF">
            <w:pPr>
              <w:pStyle w:val="DHHStabletext"/>
            </w:pPr>
            <w:r w:rsidRPr="00AB7FCF">
              <w:rPr>
                <w:rFonts w:eastAsia="Arial"/>
                <w:lang w:val="en-US" w:eastAsia="en-AU"/>
              </w:rPr>
              <w:t>76</w:t>
            </w:r>
            <w:r w:rsidR="00753C1B" w:rsidRPr="00AB7FCF">
              <w:rPr>
                <w:rFonts w:eastAsia="Arial"/>
                <w:lang w:val="en-US" w:eastAsia="en-AU"/>
              </w:rPr>
              <w:t xml:space="preserve"> (6%)</w:t>
            </w:r>
          </w:p>
        </w:tc>
        <w:tc>
          <w:tcPr>
            <w:tcW w:w="1191" w:type="dxa"/>
            <w:shd w:val="clear" w:color="auto" w:fill="auto"/>
            <w:vAlign w:val="center"/>
          </w:tcPr>
          <w:p w14:paraId="57C8EEC2" w14:textId="77777777" w:rsidR="00753C1B" w:rsidRPr="00AB7FCF" w:rsidRDefault="00266F1C" w:rsidP="00AB7FCF">
            <w:pPr>
              <w:pStyle w:val="DHHStabletext"/>
            </w:pPr>
            <w:r w:rsidRPr="00AB7FCF">
              <w:rPr>
                <w:rFonts w:eastAsia="Arial"/>
                <w:lang w:val="en-US" w:eastAsia="en-AU"/>
              </w:rPr>
              <w:t>43</w:t>
            </w:r>
            <w:r w:rsidR="00753C1B" w:rsidRPr="00AB7FCF">
              <w:rPr>
                <w:rFonts w:eastAsia="Arial"/>
                <w:lang w:val="en-US" w:eastAsia="en-AU"/>
              </w:rPr>
              <w:t xml:space="preserve"> (11%)</w:t>
            </w:r>
          </w:p>
        </w:tc>
        <w:tc>
          <w:tcPr>
            <w:tcW w:w="1361" w:type="dxa"/>
            <w:shd w:val="clear" w:color="auto" w:fill="auto"/>
            <w:vAlign w:val="center"/>
          </w:tcPr>
          <w:p w14:paraId="527C7725" w14:textId="77777777" w:rsidR="00753C1B" w:rsidRPr="00AB7FCF" w:rsidRDefault="00753C1B" w:rsidP="00AB7FCF">
            <w:pPr>
              <w:pStyle w:val="DHHStabletext"/>
            </w:pPr>
            <w:r w:rsidRPr="00AB7FCF">
              <w:rPr>
                <w:rFonts w:eastAsia="Arial"/>
                <w:lang w:val="en-US" w:eastAsia="en-AU"/>
              </w:rPr>
              <w:t>110 (11%)</w:t>
            </w:r>
          </w:p>
        </w:tc>
        <w:tc>
          <w:tcPr>
            <w:tcW w:w="1531" w:type="dxa"/>
            <w:vAlign w:val="center"/>
          </w:tcPr>
          <w:p w14:paraId="0BF3AB26" w14:textId="77777777" w:rsidR="00753C1B" w:rsidRPr="00AB7FCF" w:rsidRDefault="00753C1B" w:rsidP="00AB7FCF">
            <w:pPr>
              <w:pStyle w:val="DHHStabletext"/>
            </w:pPr>
            <w:r w:rsidRPr="00AB7FCF">
              <w:rPr>
                <w:rFonts w:eastAsia="Arial"/>
                <w:lang w:val="en-US" w:eastAsia="en-AU"/>
              </w:rPr>
              <w:t>38 (21%)</w:t>
            </w:r>
          </w:p>
        </w:tc>
        <w:tc>
          <w:tcPr>
            <w:tcW w:w="1531" w:type="dxa"/>
            <w:vAlign w:val="center"/>
          </w:tcPr>
          <w:p w14:paraId="1DF98914" w14:textId="77777777" w:rsidR="00753C1B" w:rsidRPr="00AB7FCF" w:rsidRDefault="00753C1B" w:rsidP="00AB7FCF">
            <w:pPr>
              <w:pStyle w:val="DHHStabletext"/>
            </w:pPr>
            <w:r w:rsidRPr="00AB7FCF">
              <w:rPr>
                <w:rFonts w:eastAsia="Arial"/>
                <w:lang w:val="en-US" w:eastAsia="en-AU"/>
              </w:rPr>
              <w:t>21 (12%)</w:t>
            </w:r>
          </w:p>
        </w:tc>
        <w:tc>
          <w:tcPr>
            <w:tcW w:w="1191" w:type="dxa"/>
            <w:vAlign w:val="center"/>
          </w:tcPr>
          <w:p w14:paraId="090C878E" w14:textId="77777777" w:rsidR="00753C1B" w:rsidRPr="00AB7FCF" w:rsidRDefault="00266F1C" w:rsidP="00AB7FCF">
            <w:pPr>
              <w:pStyle w:val="DHHStabletext"/>
            </w:pPr>
            <w:r w:rsidRPr="00AB7FCF">
              <w:rPr>
                <w:rFonts w:eastAsia="Arial"/>
                <w:lang w:val="en-US" w:eastAsia="en-AU"/>
              </w:rPr>
              <w:t>33</w:t>
            </w:r>
            <w:r w:rsidR="00753C1B" w:rsidRPr="00AB7FCF">
              <w:rPr>
                <w:rFonts w:eastAsia="Arial"/>
                <w:lang w:val="en-US" w:eastAsia="en-AU"/>
              </w:rPr>
              <w:t xml:space="preserve"> (5%)</w:t>
            </w:r>
          </w:p>
        </w:tc>
      </w:tr>
    </w:tbl>
    <w:p w14:paraId="7979EB8C" w14:textId="0F4398A6" w:rsidR="009F31D4" w:rsidRDefault="008E7B7A" w:rsidP="00176EC7">
      <w:pPr>
        <w:pStyle w:val="DHHStablefigurenote"/>
        <w:rPr>
          <w:lang w:val="en-US"/>
        </w:rPr>
      </w:pPr>
      <w:r>
        <w:rPr>
          <w:lang w:val="en-US"/>
        </w:rPr>
        <w:t>C02 e</w:t>
      </w:r>
      <w:r w:rsidR="00753C1B" w:rsidRPr="00753C1B">
        <w:rPr>
          <w:lang w:val="en-US"/>
        </w:rPr>
        <w:t>xclud</w:t>
      </w:r>
      <w:r>
        <w:rPr>
          <w:lang w:val="en-US"/>
        </w:rPr>
        <w:t>es</w:t>
      </w:r>
      <w:r w:rsidR="00753C1B" w:rsidRPr="00753C1B">
        <w:rPr>
          <w:lang w:val="en-US"/>
        </w:rPr>
        <w:t xml:space="preserve"> C02.4</w:t>
      </w:r>
      <w:r w:rsidR="00526E75">
        <w:rPr>
          <w:lang w:val="en-US"/>
        </w:rPr>
        <w:t>.</w:t>
      </w:r>
      <w:r w:rsidR="00854DE7">
        <w:rPr>
          <w:lang w:val="en-US"/>
        </w:rPr>
        <w:t xml:space="preserve"> </w:t>
      </w:r>
    </w:p>
    <w:p w14:paraId="15D11DFD" w14:textId="54242679" w:rsidR="00753C1B" w:rsidRDefault="009F31D4" w:rsidP="00176EC7">
      <w:pPr>
        <w:pStyle w:val="DHHStablefigurenote"/>
      </w:pPr>
      <w:r>
        <w:rPr>
          <w:lang w:val="en-US"/>
        </w:rPr>
        <w:t xml:space="preserve">See </w:t>
      </w:r>
      <w:r w:rsidR="005F078F">
        <w:rPr>
          <w:lang w:val="en-US"/>
        </w:rPr>
        <w:t>G</w:t>
      </w:r>
      <w:r>
        <w:rPr>
          <w:lang w:val="en-US"/>
        </w:rPr>
        <w:t>lossary for</w:t>
      </w:r>
      <w:r w:rsidR="00854DE7">
        <w:rPr>
          <w:lang w:val="en-US"/>
        </w:rPr>
        <w:t xml:space="preserve"> definition</w:t>
      </w:r>
      <w:r w:rsidR="008E7B7A">
        <w:rPr>
          <w:lang w:val="en-US"/>
        </w:rPr>
        <w:t>s</w:t>
      </w:r>
      <w:r w:rsidR="00854DE7">
        <w:rPr>
          <w:lang w:val="en-US"/>
        </w:rPr>
        <w:t xml:space="preserve"> of </w:t>
      </w:r>
      <w:r w:rsidR="00E908EB">
        <w:rPr>
          <w:lang w:val="en-US"/>
        </w:rPr>
        <w:t>patient groups</w:t>
      </w:r>
      <w:r w:rsidR="00854DE7">
        <w:rPr>
          <w:lang w:val="en-US"/>
        </w:rPr>
        <w:t>.</w:t>
      </w:r>
    </w:p>
    <w:p w14:paraId="12781D19" w14:textId="1CF06666" w:rsidR="00F6201D" w:rsidRDefault="00DF0A3F" w:rsidP="00DF0A3F">
      <w:pPr>
        <w:pStyle w:val="DHHStablecaption"/>
      </w:pPr>
      <w:bookmarkStart w:id="24" w:name="_Ref3974945"/>
      <w:bookmarkStart w:id="25" w:name="_Toc22722836"/>
      <w:r>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2</w:t>
      </w:r>
      <w:r w:rsidR="00954022">
        <w:rPr>
          <w:noProof/>
        </w:rPr>
        <w:fldChar w:fldCharType="end"/>
      </w:r>
      <w:bookmarkEnd w:id="24"/>
      <w:r>
        <w:t xml:space="preserve">: </w:t>
      </w:r>
      <w:r w:rsidR="00854DE7">
        <w:t>One</w:t>
      </w:r>
      <w:r w:rsidR="008E7B7A">
        <w:t>-</w:t>
      </w:r>
      <w:r w:rsidR="003B0287">
        <w:t xml:space="preserve"> and </w:t>
      </w:r>
      <w:r w:rsidR="002C5509">
        <w:t>five-</w:t>
      </w:r>
      <w:r w:rsidR="003B0287">
        <w:t xml:space="preserve">year survival </w:t>
      </w:r>
      <w:r w:rsidR="00B65B96">
        <w:t>for</w:t>
      </w:r>
      <w:r w:rsidR="003B0287">
        <w:t xml:space="preserve"> </w:t>
      </w:r>
      <w:r w:rsidR="00223D70">
        <w:t>h</w:t>
      </w:r>
      <w:r w:rsidR="00BC12FB">
        <w:t xml:space="preserve">ead and </w:t>
      </w:r>
      <w:r w:rsidR="00CE49CC">
        <w:t>n</w:t>
      </w:r>
      <w:r w:rsidR="00BC12FB">
        <w:t>eck</w:t>
      </w:r>
      <w:r w:rsidR="003B0287">
        <w:t xml:space="preserve"> cancer</w:t>
      </w:r>
      <w:r w:rsidR="008E7B7A">
        <w:t>s</w:t>
      </w:r>
      <w:r w:rsidR="003B0287">
        <w:t xml:space="preserve"> </w:t>
      </w:r>
      <w:r w:rsidR="00B65B96">
        <w:t>by s</w:t>
      </w:r>
      <w:r w:rsidR="003B0287">
        <w:t>ubsite</w:t>
      </w:r>
      <w:r w:rsidR="00CE49CC">
        <w:t xml:space="preserve"> (diagnosed 2012–2016)</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106"/>
        <w:gridCol w:w="3072"/>
        <w:gridCol w:w="3104"/>
      </w:tblGrid>
      <w:tr w:rsidR="00DF0A3F" w:rsidRPr="00DF0A3F" w14:paraId="502124C3" w14:textId="77777777" w:rsidTr="009560A2">
        <w:trPr>
          <w:tblHeader/>
        </w:trPr>
        <w:tc>
          <w:tcPr>
            <w:tcW w:w="3106" w:type="dxa"/>
            <w:shd w:val="clear" w:color="auto" w:fill="auto"/>
            <w:tcMar>
              <w:top w:w="72" w:type="dxa"/>
              <w:left w:w="72" w:type="dxa"/>
              <w:bottom w:w="72" w:type="dxa"/>
              <w:right w:w="72" w:type="dxa"/>
            </w:tcMar>
            <w:vAlign w:val="center"/>
          </w:tcPr>
          <w:p w14:paraId="250105AD" w14:textId="77777777" w:rsidR="00DF0A3F" w:rsidRPr="00AB7FCF" w:rsidRDefault="00DF0A3F" w:rsidP="007970BD">
            <w:pPr>
              <w:pStyle w:val="DHHStablecolhead"/>
            </w:pPr>
            <w:r w:rsidRPr="00AB7FCF">
              <w:t xml:space="preserve">Cancer </w:t>
            </w:r>
            <w:r w:rsidR="003B0287" w:rsidRPr="00AB7FCF">
              <w:t>group</w:t>
            </w:r>
          </w:p>
        </w:tc>
        <w:tc>
          <w:tcPr>
            <w:tcW w:w="3072" w:type="dxa"/>
            <w:shd w:val="clear" w:color="auto" w:fill="auto"/>
            <w:tcMar>
              <w:top w:w="72" w:type="dxa"/>
              <w:left w:w="72" w:type="dxa"/>
              <w:bottom w:w="72" w:type="dxa"/>
              <w:right w:w="72" w:type="dxa"/>
            </w:tcMar>
            <w:vAlign w:val="center"/>
          </w:tcPr>
          <w:p w14:paraId="33437D2A" w14:textId="22583CCC" w:rsidR="00DF0A3F" w:rsidRPr="00AB7FCF" w:rsidRDefault="002C5509" w:rsidP="007970BD">
            <w:pPr>
              <w:pStyle w:val="DHHStablecolhead"/>
            </w:pPr>
            <w:r>
              <w:t>One</w:t>
            </w:r>
            <w:r w:rsidR="00DF0A3F" w:rsidRPr="00AB7FCF">
              <w:t>-year survival</w:t>
            </w:r>
          </w:p>
          <w:p w14:paraId="3F257A64" w14:textId="77777777" w:rsidR="00DF0A3F" w:rsidRPr="00AB7FCF" w:rsidRDefault="00DF0A3F" w:rsidP="007970BD">
            <w:pPr>
              <w:pStyle w:val="DHHStablecolhead"/>
            </w:pPr>
            <w:r w:rsidRPr="00AB7FCF">
              <w:t>% (95% CI)</w:t>
            </w:r>
          </w:p>
        </w:tc>
        <w:tc>
          <w:tcPr>
            <w:tcW w:w="3104" w:type="dxa"/>
            <w:shd w:val="clear" w:color="auto" w:fill="auto"/>
            <w:tcMar>
              <w:top w:w="72" w:type="dxa"/>
              <w:left w:w="72" w:type="dxa"/>
              <w:bottom w:w="72" w:type="dxa"/>
              <w:right w:w="72" w:type="dxa"/>
            </w:tcMar>
            <w:vAlign w:val="center"/>
          </w:tcPr>
          <w:p w14:paraId="1BD528C5" w14:textId="66B99F7C" w:rsidR="00DF0A3F" w:rsidRPr="00AB7FCF" w:rsidRDefault="002C5509" w:rsidP="007970BD">
            <w:pPr>
              <w:pStyle w:val="DHHStablecolhead"/>
            </w:pPr>
            <w:r>
              <w:t>Five</w:t>
            </w:r>
            <w:r w:rsidR="00DF0A3F" w:rsidRPr="00AB7FCF">
              <w:t>-year survival</w:t>
            </w:r>
          </w:p>
          <w:p w14:paraId="5B89CA42" w14:textId="77777777" w:rsidR="00DF0A3F" w:rsidRPr="00AB7FCF" w:rsidRDefault="00DF0A3F" w:rsidP="007970BD">
            <w:pPr>
              <w:pStyle w:val="DHHStablecolhead"/>
            </w:pPr>
            <w:r w:rsidRPr="00AB7FCF">
              <w:t>% (95% CI)</w:t>
            </w:r>
          </w:p>
        </w:tc>
      </w:tr>
      <w:tr w:rsidR="00DF0A3F" w:rsidRPr="00DF0A3F" w14:paraId="0F43E5D5" w14:textId="77777777" w:rsidTr="009560A2">
        <w:tc>
          <w:tcPr>
            <w:tcW w:w="3106" w:type="dxa"/>
            <w:shd w:val="clear" w:color="auto" w:fill="auto"/>
            <w:tcMar>
              <w:top w:w="72" w:type="dxa"/>
              <w:left w:w="72" w:type="dxa"/>
              <w:bottom w:w="72" w:type="dxa"/>
              <w:right w:w="72" w:type="dxa"/>
            </w:tcMar>
            <w:vAlign w:val="center"/>
          </w:tcPr>
          <w:p w14:paraId="228C1E10" w14:textId="77777777" w:rsidR="00DF0A3F" w:rsidRPr="00AB7FCF" w:rsidRDefault="00DF0A3F" w:rsidP="00AB7FCF">
            <w:pPr>
              <w:pStyle w:val="DHHStabletext"/>
            </w:pPr>
            <w:r w:rsidRPr="00AB7FCF">
              <w:t>Oral cavity</w:t>
            </w:r>
          </w:p>
        </w:tc>
        <w:tc>
          <w:tcPr>
            <w:tcW w:w="3072" w:type="dxa"/>
            <w:shd w:val="clear" w:color="auto" w:fill="auto"/>
            <w:tcMar>
              <w:top w:w="72" w:type="dxa"/>
              <w:left w:w="72" w:type="dxa"/>
              <w:bottom w:w="72" w:type="dxa"/>
              <w:right w:w="72" w:type="dxa"/>
            </w:tcMar>
            <w:vAlign w:val="center"/>
          </w:tcPr>
          <w:p w14:paraId="746A21C1" w14:textId="131EB01F" w:rsidR="00DF0A3F" w:rsidRPr="00AB7FCF" w:rsidRDefault="00DF0A3F" w:rsidP="00AB7FCF">
            <w:pPr>
              <w:pStyle w:val="DHHStabletext"/>
            </w:pPr>
            <w:r w:rsidRPr="00AB7FCF">
              <w:t>83.5 (81.5</w:t>
            </w:r>
            <w:r w:rsidR="002C5509">
              <w:t>–</w:t>
            </w:r>
            <w:r w:rsidRPr="00AB7FCF">
              <w:t>85.6)</w:t>
            </w:r>
          </w:p>
        </w:tc>
        <w:tc>
          <w:tcPr>
            <w:tcW w:w="3104" w:type="dxa"/>
            <w:shd w:val="clear" w:color="auto" w:fill="auto"/>
            <w:tcMar>
              <w:top w:w="72" w:type="dxa"/>
              <w:left w:w="72" w:type="dxa"/>
              <w:bottom w:w="72" w:type="dxa"/>
              <w:right w:w="72" w:type="dxa"/>
            </w:tcMar>
            <w:vAlign w:val="center"/>
          </w:tcPr>
          <w:p w14:paraId="269DD011" w14:textId="20E0B677" w:rsidR="00DF0A3F" w:rsidRPr="00AB7FCF" w:rsidRDefault="00DF0A3F" w:rsidP="00AB7FCF">
            <w:pPr>
              <w:pStyle w:val="DHHStabletext"/>
            </w:pPr>
            <w:r w:rsidRPr="00AB7FCF">
              <w:t>62.7 (59.4</w:t>
            </w:r>
            <w:r w:rsidR="002C5509">
              <w:t>–</w:t>
            </w:r>
            <w:r w:rsidRPr="00AB7FCF">
              <w:t>66.2)</w:t>
            </w:r>
          </w:p>
        </w:tc>
      </w:tr>
      <w:tr w:rsidR="00DF0A3F" w:rsidRPr="00DF0A3F" w14:paraId="79960C42" w14:textId="77777777" w:rsidTr="009560A2">
        <w:tc>
          <w:tcPr>
            <w:tcW w:w="3106" w:type="dxa"/>
            <w:shd w:val="clear" w:color="auto" w:fill="auto"/>
            <w:tcMar>
              <w:top w:w="72" w:type="dxa"/>
              <w:left w:w="72" w:type="dxa"/>
              <w:bottom w:w="72" w:type="dxa"/>
              <w:right w:w="72" w:type="dxa"/>
            </w:tcMar>
            <w:vAlign w:val="center"/>
          </w:tcPr>
          <w:p w14:paraId="3AD4E50F" w14:textId="77777777" w:rsidR="00DF0A3F" w:rsidRPr="00AB7FCF" w:rsidRDefault="00DF0A3F" w:rsidP="00AB7FCF">
            <w:pPr>
              <w:pStyle w:val="DHHStabletext"/>
            </w:pPr>
            <w:r w:rsidRPr="00AB7FCF">
              <w:t>Salivary gland</w:t>
            </w:r>
          </w:p>
        </w:tc>
        <w:tc>
          <w:tcPr>
            <w:tcW w:w="3072" w:type="dxa"/>
            <w:shd w:val="clear" w:color="auto" w:fill="auto"/>
            <w:tcMar>
              <w:top w:w="72" w:type="dxa"/>
              <w:left w:w="72" w:type="dxa"/>
              <w:bottom w:w="72" w:type="dxa"/>
              <w:right w:w="72" w:type="dxa"/>
            </w:tcMar>
            <w:vAlign w:val="center"/>
          </w:tcPr>
          <w:p w14:paraId="146451A2" w14:textId="293D9413" w:rsidR="00DF0A3F" w:rsidRPr="00AB7FCF" w:rsidRDefault="00DF0A3F" w:rsidP="00AB7FCF">
            <w:pPr>
              <w:pStyle w:val="DHHStabletext"/>
            </w:pPr>
            <w:r w:rsidRPr="00AB7FCF">
              <w:t>89.7 (86.8</w:t>
            </w:r>
            <w:r w:rsidR="002C5509">
              <w:t>–</w:t>
            </w:r>
            <w:r w:rsidRPr="00AB7FCF">
              <w:t>92.7)</w:t>
            </w:r>
          </w:p>
        </w:tc>
        <w:tc>
          <w:tcPr>
            <w:tcW w:w="3104" w:type="dxa"/>
            <w:shd w:val="clear" w:color="auto" w:fill="auto"/>
            <w:tcMar>
              <w:top w:w="72" w:type="dxa"/>
              <w:left w:w="72" w:type="dxa"/>
              <w:bottom w:w="72" w:type="dxa"/>
              <w:right w:w="72" w:type="dxa"/>
            </w:tcMar>
            <w:vAlign w:val="center"/>
          </w:tcPr>
          <w:p w14:paraId="679C7DE1" w14:textId="77777777" w:rsidR="00DF0A3F" w:rsidRPr="00AB7FCF" w:rsidRDefault="00DF0A3F" w:rsidP="00AB7FCF">
            <w:pPr>
              <w:pStyle w:val="DHHStabletext"/>
            </w:pPr>
            <w:r w:rsidRPr="00AB7FCF">
              <w:t>70.1 (64.4-76.2)</w:t>
            </w:r>
          </w:p>
        </w:tc>
      </w:tr>
      <w:tr w:rsidR="00DF0A3F" w:rsidRPr="00DF0A3F" w14:paraId="30EACC64" w14:textId="77777777" w:rsidTr="009560A2">
        <w:trPr>
          <w:trHeight w:val="285"/>
        </w:trPr>
        <w:tc>
          <w:tcPr>
            <w:tcW w:w="3106" w:type="dxa"/>
            <w:shd w:val="clear" w:color="auto" w:fill="auto"/>
            <w:tcMar>
              <w:top w:w="72" w:type="dxa"/>
              <w:left w:w="72" w:type="dxa"/>
              <w:bottom w:w="72" w:type="dxa"/>
              <w:right w:w="72" w:type="dxa"/>
            </w:tcMar>
            <w:vAlign w:val="center"/>
          </w:tcPr>
          <w:p w14:paraId="0C6132EC" w14:textId="77777777" w:rsidR="00DF0A3F" w:rsidRPr="00AB7FCF" w:rsidRDefault="00DF0A3F" w:rsidP="00AB7FCF">
            <w:pPr>
              <w:pStyle w:val="DHHStabletext"/>
            </w:pPr>
            <w:r w:rsidRPr="00AB7FCF">
              <w:t>Oropharynx</w:t>
            </w:r>
          </w:p>
        </w:tc>
        <w:tc>
          <w:tcPr>
            <w:tcW w:w="3072" w:type="dxa"/>
            <w:shd w:val="clear" w:color="auto" w:fill="auto"/>
            <w:tcMar>
              <w:top w:w="72" w:type="dxa"/>
              <w:left w:w="72" w:type="dxa"/>
              <w:bottom w:w="72" w:type="dxa"/>
              <w:right w:w="72" w:type="dxa"/>
            </w:tcMar>
            <w:vAlign w:val="center"/>
          </w:tcPr>
          <w:p w14:paraId="07EB2D6D" w14:textId="78FEDC32" w:rsidR="00DF0A3F" w:rsidRPr="00AB7FCF" w:rsidRDefault="00DF0A3F" w:rsidP="00AB7FCF">
            <w:pPr>
              <w:pStyle w:val="DHHStabletext"/>
            </w:pPr>
            <w:r w:rsidRPr="00AB7FCF">
              <w:t>86.1 (84.0</w:t>
            </w:r>
            <w:r w:rsidR="002C5509">
              <w:t>–</w:t>
            </w:r>
            <w:r w:rsidRPr="00AB7FCF">
              <w:t>88.3)</w:t>
            </w:r>
          </w:p>
        </w:tc>
        <w:tc>
          <w:tcPr>
            <w:tcW w:w="3104" w:type="dxa"/>
            <w:shd w:val="clear" w:color="auto" w:fill="auto"/>
            <w:tcMar>
              <w:top w:w="72" w:type="dxa"/>
              <w:left w:w="72" w:type="dxa"/>
              <w:bottom w:w="72" w:type="dxa"/>
              <w:right w:w="72" w:type="dxa"/>
            </w:tcMar>
            <w:vAlign w:val="center"/>
          </w:tcPr>
          <w:p w14:paraId="643A7015" w14:textId="63B95970" w:rsidR="00DF0A3F" w:rsidRPr="00AB7FCF" w:rsidRDefault="00DF0A3F" w:rsidP="00AB7FCF">
            <w:pPr>
              <w:pStyle w:val="DHHStabletext"/>
            </w:pPr>
            <w:r w:rsidRPr="00AB7FCF">
              <w:t>69.1 (65.6</w:t>
            </w:r>
            <w:r w:rsidR="002C5509">
              <w:t>–</w:t>
            </w:r>
            <w:r w:rsidRPr="00AB7FCF">
              <w:t>72.8)</w:t>
            </w:r>
          </w:p>
        </w:tc>
      </w:tr>
      <w:tr w:rsidR="00DF0A3F" w:rsidRPr="00DF0A3F" w14:paraId="660B9419" w14:textId="77777777" w:rsidTr="009560A2">
        <w:trPr>
          <w:trHeight w:val="285"/>
        </w:trPr>
        <w:tc>
          <w:tcPr>
            <w:tcW w:w="3106" w:type="dxa"/>
            <w:shd w:val="clear" w:color="auto" w:fill="auto"/>
            <w:tcMar>
              <w:top w:w="72" w:type="dxa"/>
              <w:left w:w="72" w:type="dxa"/>
              <w:bottom w:w="72" w:type="dxa"/>
              <w:right w:w="72" w:type="dxa"/>
            </w:tcMar>
            <w:vAlign w:val="center"/>
          </w:tcPr>
          <w:p w14:paraId="3AAFEE59" w14:textId="77777777" w:rsidR="00DF0A3F" w:rsidRPr="00AB7FCF" w:rsidRDefault="00DF0A3F" w:rsidP="00AB7FCF">
            <w:pPr>
              <w:pStyle w:val="DHHStabletext"/>
            </w:pPr>
            <w:r w:rsidRPr="00AB7FCF">
              <w:t>Nasopharynx</w:t>
            </w:r>
          </w:p>
        </w:tc>
        <w:tc>
          <w:tcPr>
            <w:tcW w:w="3072" w:type="dxa"/>
            <w:shd w:val="clear" w:color="auto" w:fill="auto"/>
            <w:tcMar>
              <w:top w:w="72" w:type="dxa"/>
              <w:left w:w="72" w:type="dxa"/>
              <w:bottom w:w="72" w:type="dxa"/>
              <w:right w:w="72" w:type="dxa"/>
            </w:tcMar>
            <w:vAlign w:val="center"/>
          </w:tcPr>
          <w:p w14:paraId="0A5793E4" w14:textId="58F64EEB" w:rsidR="00DF0A3F" w:rsidRPr="00AB7FCF" w:rsidRDefault="00DF0A3F" w:rsidP="00AB7FCF">
            <w:pPr>
              <w:pStyle w:val="DHHStabletext"/>
            </w:pPr>
            <w:r w:rsidRPr="00AB7FCF">
              <w:t>88.8 (84.2</w:t>
            </w:r>
            <w:r w:rsidR="002C5509">
              <w:t>–</w:t>
            </w:r>
            <w:r w:rsidRPr="00AB7FCF">
              <w:t>93.5)</w:t>
            </w:r>
          </w:p>
        </w:tc>
        <w:tc>
          <w:tcPr>
            <w:tcW w:w="3104" w:type="dxa"/>
            <w:shd w:val="clear" w:color="auto" w:fill="auto"/>
            <w:tcMar>
              <w:top w:w="72" w:type="dxa"/>
              <w:left w:w="72" w:type="dxa"/>
              <w:bottom w:w="72" w:type="dxa"/>
              <w:right w:w="72" w:type="dxa"/>
            </w:tcMar>
            <w:vAlign w:val="center"/>
          </w:tcPr>
          <w:p w14:paraId="5CD15736" w14:textId="4A9CA3B1" w:rsidR="00DF0A3F" w:rsidRPr="00AB7FCF" w:rsidRDefault="00DF0A3F" w:rsidP="00AB7FCF">
            <w:pPr>
              <w:pStyle w:val="DHHStabletext"/>
            </w:pPr>
            <w:r w:rsidRPr="00AB7FCF">
              <w:t>62.6 (54.3</w:t>
            </w:r>
            <w:r w:rsidR="002C5509">
              <w:t>–</w:t>
            </w:r>
            <w:r w:rsidRPr="00AB7FCF">
              <w:t>72.2)</w:t>
            </w:r>
          </w:p>
        </w:tc>
      </w:tr>
      <w:tr w:rsidR="00DF0A3F" w:rsidRPr="00DF0A3F" w14:paraId="7A7ADD00" w14:textId="77777777" w:rsidTr="009560A2">
        <w:tc>
          <w:tcPr>
            <w:tcW w:w="3106" w:type="dxa"/>
            <w:shd w:val="clear" w:color="auto" w:fill="auto"/>
            <w:tcMar>
              <w:top w:w="72" w:type="dxa"/>
              <w:left w:w="72" w:type="dxa"/>
              <w:bottom w:w="72" w:type="dxa"/>
              <w:right w:w="72" w:type="dxa"/>
            </w:tcMar>
            <w:vAlign w:val="center"/>
          </w:tcPr>
          <w:p w14:paraId="653D68FC" w14:textId="77777777" w:rsidR="00DF0A3F" w:rsidRPr="00AB7FCF" w:rsidRDefault="00DF0A3F" w:rsidP="00AB7FCF">
            <w:pPr>
              <w:pStyle w:val="DHHStabletext"/>
            </w:pPr>
            <w:r w:rsidRPr="00AB7FCF">
              <w:t>Hypopharynx</w:t>
            </w:r>
          </w:p>
        </w:tc>
        <w:tc>
          <w:tcPr>
            <w:tcW w:w="3072" w:type="dxa"/>
            <w:shd w:val="clear" w:color="auto" w:fill="auto"/>
            <w:tcMar>
              <w:top w:w="72" w:type="dxa"/>
              <w:left w:w="72" w:type="dxa"/>
              <w:bottom w:w="72" w:type="dxa"/>
              <w:right w:w="72" w:type="dxa"/>
            </w:tcMar>
            <w:vAlign w:val="center"/>
          </w:tcPr>
          <w:p w14:paraId="7FF16695" w14:textId="6898F707" w:rsidR="00DF0A3F" w:rsidRPr="00AB7FCF" w:rsidRDefault="00DF0A3F" w:rsidP="00AB7FCF">
            <w:pPr>
              <w:pStyle w:val="DHHStabletext"/>
            </w:pPr>
            <w:r w:rsidRPr="00AB7FCF">
              <w:t>67.6 (61.0</w:t>
            </w:r>
            <w:r w:rsidR="002C5509">
              <w:t>–</w:t>
            </w:r>
            <w:r w:rsidRPr="00AB7FCF">
              <w:t>74.9)</w:t>
            </w:r>
          </w:p>
        </w:tc>
        <w:tc>
          <w:tcPr>
            <w:tcW w:w="3104" w:type="dxa"/>
            <w:shd w:val="clear" w:color="auto" w:fill="auto"/>
            <w:tcMar>
              <w:top w:w="72" w:type="dxa"/>
              <w:left w:w="72" w:type="dxa"/>
              <w:bottom w:w="72" w:type="dxa"/>
              <w:right w:w="72" w:type="dxa"/>
            </w:tcMar>
            <w:vAlign w:val="center"/>
          </w:tcPr>
          <w:p w14:paraId="6AF95691" w14:textId="5A12E5D7" w:rsidR="00DF0A3F" w:rsidRPr="00AB7FCF" w:rsidRDefault="00DF0A3F" w:rsidP="00AB7FCF">
            <w:pPr>
              <w:pStyle w:val="DHHStabletext"/>
            </w:pPr>
            <w:r w:rsidRPr="00AB7FCF">
              <w:t>33.6 (25.4</w:t>
            </w:r>
            <w:r w:rsidR="002C5509">
              <w:t>–</w:t>
            </w:r>
            <w:r w:rsidRPr="00AB7FCF">
              <w:t>44.4)</w:t>
            </w:r>
          </w:p>
        </w:tc>
      </w:tr>
      <w:tr w:rsidR="00DF0A3F" w:rsidRPr="00DF0A3F" w14:paraId="0D55CA38" w14:textId="77777777" w:rsidTr="009560A2">
        <w:trPr>
          <w:trHeight w:val="23"/>
        </w:trPr>
        <w:tc>
          <w:tcPr>
            <w:tcW w:w="3106" w:type="dxa"/>
            <w:shd w:val="clear" w:color="auto" w:fill="auto"/>
            <w:tcMar>
              <w:top w:w="72" w:type="dxa"/>
              <w:left w:w="72" w:type="dxa"/>
              <w:bottom w:w="72" w:type="dxa"/>
              <w:right w:w="72" w:type="dxa"/>
            </w:tcMar>
            <w:vAlign w:val="center"/>
          </w:tcPr>
          <w:p w14:paraId="567D5198" w14:textId="77777777" w:rsidR="00DF0A3F" w:rsidRPr="00AB7FCF" w:rsidRDefault="00DF0A3F" w:rsidP="00AB7FCF">
            <w:pPr>
              <w:pStyle w:val="DHHStabletext"/>
            </w:pPr>
            <w:r w:rsidRPr="00AB7FCF">
              <w:t>Larynx</w:t>
            </w:r>
          </w:p>
        </w:tc>
        <w:tc>
          <w:tcPr>
            <w:tcW w:w="3072" w:type="dxa"/>
            <w:shd w:val="clear" w:color="auto" w:fill="auto"/>
            <w:tcMar>
              <w:top w:w="72" w:type="dxa"/>
              <w:left w:w="72" w:type="dxa"/>
              <w:bottom w:w="72" w:type="dxa"/>
              <w:right w:w="72" w:type="dxa"/>
            </w:tcMar>
            <w:vAlign w:val="center"/>
          </w:tcPr>
          <w:p w14:paraId="20B01328" w14:textId="5851FF1E" w:rsidR="00DF0A3F" w:rsidRPr="00AB7FCF" w:rsidRDefault="00DF0A3F" w:rsidP="00AB7FCF">
            <w:pPr>
              <w:pStyle w:val="DHHStabletext"/>
            </w:pPr>
            <w:r w:rsidRPr="00AB7FCF">
              <w:t>82.5 (79.7</w:t>
            </w:r>
            <w:r w:rsidR="002C5509">
              <w:t>–</w:t>
            </w:r>
            <w:r w:rsidRPr="00AB7FCF">
              <w:t>85.3)</w:t>
            </w:r>
          </w:p>
        </w:tc>
        <w:tc>
          <w:tcPr>
            <w:tcW w:w="3104" w:type="dxa"/>
            <w:shd w:val="clear" w:color="auto" w:fill="auto"/>
            <w:tcMar>
              <w:top w:w="72" w:type="dxa"/>
              <w:left w:w="72" w:type="dxa"/>
              <w:bottom w:w="72" w:type="dxa"/>
              <w:right w:w="72" w:type="dxa"/>
            </w:tcMar>
            <w:vAlign w:val="center"/>
          </w:tcPr>
          <w:p w14:paraId="1DDB9E54" w14:textId="5F08A528" w:rsidR="00DF0A3F" w:rsidRPr="00AB7FCF" w:rsidRDefault="00DF0A3F" w:rsidP="00AB7FCF">
            <w:pPr>
              <w:pStyle w:val="DHHStabletext"/>
            </w:pPr>
            <w:r w:rsidRPr="00AB7FCF">
              <w:t>57.9 (53.1</w:t>
            </w:r>
            <w:r w:rsidR="002C5509">
              <w:t>–</w:t>
            </w:r>
            <w:r w:rsidRPr="00AB7FCF">
              <w:t>63.1)</w:t>
            </w:r>
          </w:p>
        </w:tc>
      </w:tr>
      <w:tr w:rsidR="00DF0A3F" w:rsidRPr="00DF0A3F" w14:paraId="5BBEA236" w14:textId="77777777" w:rsidTr="009560A2">
        <w:trPr>
          <w:trHeight w:val="23"/>
        </w:trPr>
        <w:tc>
          <w:tcPr>
            <w:tcW w:w="3106" w:type="dxa"/>
            <w:shd w:val="clear" w:color="auto" w:fill="auto"/>
            <w:tcMar>
              <w:top w:w="72" w:type="dxa"/>
              <w:left w:w="72" w:type="dxa"/>
              <w:bottom w:w="72" w:type="dxa"/>
              <w:right w:w="72" w:type="dxa"/>
            </w:tcMar>
            <w:vAlign w:val="center"/>
          </w:tcPr>
          <w:p w14:paraId="2F3B87AF" w14:textId="77777777" w:rsidR="00DF0A3F" w:rsidRPr="008637C3" w:rsidRDefault="00DF0A3F" w:rsidP="00AB7FCF">
            <w:pPr>
              <w:pStyle w:val="DHHStabletext"/>
              <w:rPr>
                <w:b/>
                <w:bCs/>
                <w:iCs/>
              </w:rPr>
            </w:pPr>
            <w:r w:rsidRPr="008637C3">
              <w:rPr>
                <w:b/>
                <w:bCs/>
                <w:iCs/>
              </w:rPr>
              <w:t xml:space="preserve">All </w:t>
            </w:r>
            <w:r w:rsidR="002E7752" w:rsidRPr="008637C3">
              <w:rPr>
                <w:b/>
                <w:bCs/>
                <w:iCs/>
              </w:rPr>
              <w:t>h</w:t>
            </w:r>
            <w:r w:rsidRPr="008637C3">
              <w:rPr>
                <w:b/>
                <w:bCs/>
                <w:iCs/>
              </w:rPr>
              <w:t xml:space="preserve">ead and </w:t>
            </w:r>
            <w:r w:rsidR="002E7752" w:rsidRPr="008637C3">
              <w:rPr>
                <w:b/>
                <w:bCs/>
                <w:iCs/>
              </w:rPr>
              <w:t>n</w:t>
            </w:r>
            <w:r w:rsidRPr="008637C3">
              <w:rPr>
                <w:b/>
                <w:bCs/>
                <w:iCs/>
              </w:rPr>
              <w:t>eck</w:t>
            </w:r>
          </w:p>
        </w:tc>
        <w:tc>
          <w:tcPr>
            <w:tcW w:w="3072" w:type="dxa"/>
            <w:shd w:val="clear" w:color="auto" w:fill="auto"/>
            <w:tcMar>
              <w:top w:w="72" w:type="dxa"/>
              <w:left w:w="72" w:type="dxa"/>
              <w:bottom w:w="72" w:type="dxa"/>
              <w:right w:w="72" w:type="dxa"/>
            </w:tcMar>
            <w:vAlign w:val="center"/>
          </w:tcPr>
          <w:p w14:paraId="19D1070A" w14:textId="1458C15E" w:rsidR="00DF0A3F" w:rsidRPr="008637C3" w:rsidRDefault="00DF0A3F" w:rsidP="00AB7FCF">
            <w:pPr>
              <w:pStyle w:val="DHHStabletext"/>
              <w:rPr>
                <w:b/>
                <w:bCs/>
                <w:iCs/>
              </w:rPr>
            </w:pPr>
            <w:r w:rsidRPr="008637C3">
              <w:rPr>
                <w:b/>
                <w:bCs/>
                <w:iCs/>
              </w:rPr>
              <w:t>84.2 (83.0</w:t>
            </w:r>
            <w:r w:rsidR="002C5509" w:rsidRPr="008637C3">
              <w:rPr>
                <w:b/>
                <w:bCs/>
                <w:iCs/>
              </w:rPr>
              <w:t>–</w:t>
            </w:r>
            <w:r w:rsidRPr="008637C3">
              <w:rPr>
                <w:b/>
                <w:bCs/>
                <w:iCs/>
              </w:rPr>
              <w:t>85.4)</w:t>
            </w:r>
          </w:p>
        </w:tc>
        <w:tc>
          <w:tcPr>
            <w:tcW w:w="3104" w:type="dxa"/>
            <w:shd w:val="clear" w:color="auto" w:fill="auto"/>
            <w:tcMar>
              <w:top w:w="72" w:type="dxa"/>
              <w:left w:w="72" w:type="dxa"/>
              <w:bottom w:w="72" w:type="dxa"/>
              <w:right w:w="72" w:type="dxa"/>
            </w:tcMar>
            <w:vAlign w:val="center"/>
          </w:tcPr>
          <w:p w14:paraId="0307C289" w14:textId="5B2D8E93" w:rsidR="00DF0A3F" w:rsidRPr="008637C3" w:rsidRDefault="00DF0A3F" w:rsidP="00AB7FCF">
            <w:pPr>
              <w:pStyle w:val="DHHStabletext"/>
              <w:rPr>
                <w:b/>
                <w:bCs/>
                <w:iCs/>
              </w:rPr>
            </w:pPr>
            <w:r w:rsidRPr="008637C3">
              <w:rPr>
                <w:b/>
                <w:bCs/>
                <w:iCs/>
              </w:rPr>
              <w:t>62.8 (60.9</w:t>
            </w:r>
            <w:r w:rsidR="002C5509" w:rsidRPr="008637C3">
              <w:rPr>
                <w:b/>
                <w:bCs/>
                <w:iCs/>
              </w:rPr>
              <w:t>–</w:t>
            </w:r>
            <w:r w:rsidRPr="008637C3">
              <w:rPr>
                <w:b/>
                <w:bCs/>
                <w:iCs/>
              </w:rPr>
              <w:t>64.9)</w:t>
            </w:r>
          </w:p>
        </w:tc>
      </w:tr>
    </w:tbl>
    <w:p w14:paraId="20D05BF9" w14:textId="7B469477" w:rsidR="008E7B7A" w:rsidRDefault="008E7B7A" w:rsidP="008637C3">
      <w:pPr>
        <w:pStyle w:val="DHHStablefigurenote"/>
      </w:pPr>
      <w:r>
        <w:t>CI = confidence interval</w:t>
      </w:r>
    </w:p>
    <w:p w14:paraId="3B61E469" w14:textId="602905CC" w:rsidR="005534AB" w:rsidRDefault="005534AB" w:rsidP="005534AB">
      <w:pPr>
        <w:pStyle w:val="Heading3"/>
      </w:pPr>
      <w:r>
        <w:t>Clinical commentary</w:t>
      </w:r>
    </w:p>
    <w:p w14:paraId="058156B8" w14:textId="334A92E9" w:rsidR="007970BD" w:rsidRDefault="005534AB" w:rsidP="00AD7E7E">
      <w:pPr>
        <w:pStyle w:val="DHHSbody"/>
        <w:rPr>
          <w:lang w:val="en-US"/>
        </w:rPr>
      </w:pPr>
      <w:r w:rsidRPr="005534AB">
        <w:rPr>
          <w:lang w:val="en-US"/>
        </w:rPr>
        <w:t>A limitation of the data is that we do not have disease stage</w:t>
      </w:r>
      <w:r w:rsidR="00854DE7">
        <w:rPr>
          <w:lang w:val="en-US"/>
        </w:rPr>
        <w:t xml:space="preserve"> at diagnosis</w:t>
      </w:r>
      <w:r w:rsidRPr="005534AB">
        <w:rPr>
          <w:lang w:val="en-US"/>
        </w:rPr>
        <w:t xml:space="preserve">, and it is difficult to compare treatment and survival </w:t>
      </w:r>
      <w:r w:rsidR="00854DE7">
        <w:rPr>
          <w:lang w:val="en-US"/>
        </w:rPr>
        <w:t xml:space="preserve">across ICS </w:t>
      </w:r>
      <w:r w:rsidRPr="005534AB">
        <w:rPr>
          <w:lang w:val="en-US"/>
        </w:rPr>
        <w:t>without this variable. As a proxy</w:t>
      </w:r>
      <w:r w:rsidR="00660C79">
        <w:rPr>
          <w:lang w:val="en-US"/>
        </w:rPr>
        <w:t>,</w:t>
      </w:r>
      <w:r w:rsidRPr="005534AB">
        <w:rPr>
          <w:lang w:val="en-US"/>
        </w:rPr>
        <w:t xml:space="preserve"> </w:t>
      </w:r>
      <w:r w:rsidR="00661CE1">
        <w:rPr>
          <w:lang w:val="en-US"/>
        </w:rPr>
        <w:t xml:space="preserve">clinical diagnosis </w:t>
      </w:r>
      <w:r w:rsidR="003B0287">
        <w:rPr>
          <w:lang w:val="en-US"/>
        </w:rPr>
        <w:t xml:space="preserve">codes </w:t>
      </w:r>
      <w:r w:rsidR="00661CE1">
        <w:rPr>
          <w:lang w:val="en-US"/>
        </w:rPr>
        <w:t xml:space="preserve">from admitted episodes </w:t>
      </w:r>
      <w:r w:rsidR="00854DE7">
        <w:rPr>
          <w:lang w:val="en-US"/>
        </w:rPr>
        <w:t xml:space="preserve">within </w:t>
      </w:r>
      <w:r w:rsidR="008E7B7A">
        <w:rPr>
          <w:lang w:val="en-US"/>
        </w:rPr>
        <w:t>four</w:t>
      </w:r>
      <w:r w:rsidR="00854DE7">
        <w:rPr>
          <w:lang w:val="en-US"/>
        </w:rPr>
        <w:t xml:space="preserve"> months of diagnosis </w:t>
      </w:r>
      <w:r w:rsidR="003B0287">
        <w:rPr>
          <w:lang w:val="en-US"/>
        </w:rPr>
        <w:t xml:space="preserve">were </w:t>
      </w:r>
      <w:r w:rsidR="00661CE1">
        <w:rPr>
          <w:lang w:val="en-US"/>
        </w:rPr>
        <w:t>reviewed</w:t>
      </w:r>
      <w:r w:rsidR="00661CE1" w:rsidRPr="005534AB">
        <w:rPr>
          <w:lang w:val="en-US"/>
        </w:rPr>
        <w:t xml:space="preserve"> </w:t>
      </w:r>
      <w:r w:rsidRPr="005534AB">
        <w:rPr>
          <w:lang w:val="en-US"/>
        </w:rPr>
        <w:t xml:space="preserve">for a diagnosis of cancer in the lymph nodes of the H&amp;N or distant metastases. </w:t>
      </w:r>
      <w:r>
        <w:rPr>
          <w:lang w:val="en-US"/>
        </w:rPr>
        <w:t xml:space="preserve">These results suggest that </w:t>
      </w:r>
      <w:r w:rsidR="00B709A5">
        <w:rPr>
          <w:lang w:val="en-US"/>
        </w:rPr>
        <w:t xml:space="preserve">a higher proportion of </w:t>
      </w:r>
      <w:r>
        <w:t xml:space="preserve">patients with </w:t>
      </w:r>
      <w:r w:rsidRPr="005534AB">
        <w:rPr>
          <w:lang w:val="en-US"/>
        </w:rPr>
        <w:t xml:space="preserve">oropharynx, nasopharynx </w:t>
      </w:r>
      <w:r w:rsidR="008E7B7A">
        <w:rPr>
          <w:lang w:val="en-US"/>
        </w:rPr>
        <w:t>or</w:t>
      </w:r>
      <w:r w:rsidR="008E7B7A" w:rsidRPr="005534AB">
        <w:rPr>
          <w:lang w:val="en-US"/>
        </w:rPr>
        <w:t xml:space="preserve"> </w:t>
      </w:r>
      <w:r w:rsidRPr="005534AB">
        <w:rPr>
          <w:lang w:val="en-US"/>
        </w:rPr>
        <w:t>hypopharynx cancer</w:t>
      </w:r>
      <w:r w:rsidR="00B709A5">
        <w:rPr>
          <w:lang w:val="en-US"/>
        </w:rPr>
        <w:t xml:space="preserve"> are presenting with cancer having spread to lymph nodes or beyond. Presentation of patients with these cancers at a more advanced stage is likely due to multiple factors, including different lymphatic drainage from each site of the head and neck and that some primary tumours arising in the oropharynx, nasopharynx or hypopharynx do not cause symptoms as early as those from other sites, especially larynx or oral cavity cancers. Poorer survival for hypopharynx cancer patients likely reflects their more advanced disease stage at diagnosis and their more aggressive clinical behaviour.</w:t>
      </w:r>
    </w:p>
    <w:p w14:paraId="060D50D8" w14:textId="77777777" w:rsidR="007970BD" w:rsidRDefault="007970BD" w:rsidP="0062597E">
      <w:pPr>
        <w:pStyle w:val="DHHSbody"/>
        <w:rPr>
          <w:lang w:val="en-US"/>
        </w:rPr>
      </w:pPr>
      <w:r>
        <w:rPr>
          <w:lang w:val="en-US"/>
        </w:rPr>
        <w:br w:type="page"/>
      </w:r>
    </w:p>
    <w:p w14:paraId="1C2DECD8" w14:textId="77777777" w:rsidR="007E439A" w:rsidRPr="007E439A" w:rsidRDefault="005077CC" w:rsidP="007970BD">
      <w:pPr>
        <w:pStyle w:val="Heading1"/>
        <w:rPr>
          <w:rFonts w:eastAsia="MS Gothic"/>
        </w:rPr>
      </w:pPr>
      <w:bookmarkStart w:id="26" w:name="_Toc22713852"/>
      <w:r>
        <w:rPr>
          <w:rFonts w:eastAsia="MS Gothic"/>
        </w:rPr>
        <w:t>Surgery and radiotherapy volume</w:t>
      </w:r>
      <w:bookmarkEnd w:id="26"/>
    </w:p>
    <w:p w14:paraId="28E3D058" w14:textId="6F603D31" w:rsidR="00F10745" w:rsidRDefault="00F10745" w:rsidP="00F10745">
      <w:pPr>
        <w:pStyle w:val="DHHSbullet1"/>
      </w:pPr>
      <w:r>
        <w:t>From 2016</w:t>
      </w:r>
      <w:r w:rsidR="00B77808">
        <w:t xml:space="preserve"> to </w:t>
      </w:r>
      <w:r>
        <w:t xml:space="preserve">2017, </w:t>
      </w:r>
      <w:r w:rsidR="00661CE1">
        <w:t xml:space="preserve">the </w:t>
      </w:r>
      <w:r>
        <w:t>average yearly</w:t>
      </w:r>
      <w:r w:rsidR="001918DF">
        <w:t xml:space="preserve"> number of H&amp;N cancer surgical admissions</w:t>
      </w:r>
      <w:r>
        <w:t xml:space="preserve"> </w:t>
      </w:r>
      <w:r w:rsidR="00E327DC">
        <w:t xml:space="preserve">in </w:t>
      </w:r>
      <w:r w:rsidR="00272CB6">
        <w:t>Victorian</w:t>
      </w:r>
      <w:r>
        <w:t xml:space="preserve"> hospitals </w:t>
      </w:r>
      <w:r w:rsidR="00661CE1">
        <w:t xml:space="preserve">ranged </w:t>
      </w:r>
      <w:r>
        <w:t>from</w:t>
      </w:r>
      <w:r w:rsidR="002C5509">
        <w:t xml:space="preserve"> one </w:t>
      </w:r>
      <w:r w:rsidR="00B672C6">
        <w:t>to 98</w:t>
      </w:r>
      <w:r w:rsidR="0074316F">
        <w:t xml:space="preserve"> (</w:t>
      </w:r>
      <w:r w:rsidR="00954022">
        <w:fldChar w:fldCharType="begin"/>
      </w:r>
      <w:r w:rsidR="0074316F">
        <w:instrText xml:space="preserve"> REF _Ref4504168 \h </w:instrText>
      </w:r>
      <w:r w:rsidR="00954022">
        <w:fldChar w:fldCharType="separate"/>
      </w:r>
      <w:r w:rsidR="00C471B5">
        <w:t xml:space="preserve">Figure </w:t>
      </w:r>
      <w:r w:rsidR="00C471B5">
        <w:rPr>
          <w:noProof/>
        </w:rPr>
        <w:t>4</w:t>
      </w:r>
      <w:r w:rsidR="00954022">
        <w:fldChar w:fldCharType="end"/>
      </w:r>
      <w:r w:rsidR="0074316F">
        <w:t>)</w:t>
      </w:r>
      <w:r w:rsidR="00891D94">
        <w:t>.</w:t>
      </w:r>
    </w:p>
    <w:p w14:paraId="46BC8A73" w14:textId="45E7D218" w:rsidR="00F10745" w:rsidRDefault="002C5509" w:rsidP="00F10745">
      <w:pPr>
        <w:pStyle w:val="DHHSbullet1"/>
      </w:pPr>
      <w:r>
        <w:t>Thirteen</w:t>
      </w:r>
      <w:r w:rsidR="00F10745">
        <w:t xml:space="preserve"> of 24 (54</w:t>
      </w:r>
      <w:r w:rsidR="00D62BCD">
        <w:t xml:space="preserve"> per cent</w:t>
      </w:r>
      <w:r w:rsidR="00F10745">
        <w:t>) public hospitals</w:t>
      </w:r>
      <w:r w:rsidR="00661CE1">
        <w:t xml:space="preserve"> and 26 of 29 (90</w:t>
      </w:r>
      <w:r w:rsidR="00D62BCD">
        <w:t xml:space="preserve"> per cent</w:t>
      </w:r>
      <w:r w:rsidR="00661CE1">
        <w:t xml:space="preserve">) private hospitals performed </w:t>
      </w:r>
      <w:r w:rsidR="008E7B7A">
        <w:t xml:space="preserve">fewer </w:t>
      </w:r>
      <w:r w:rsidR="00F10745">
        <w:t xml:space="preserve">than 10 </w:t>
      </w:r>
      <w:r w:rsidR="0074316F">
        <w:t>surgeries</w:t>
      </w:r>
      <w:r w:rsidR="00F10745">
        <w:t xml:space="preserve"> per year</w:t>
      </w:r>
      <w:r w:rsidR="00891D94">
        <w:t>.</w:t>
      </w:r>
    </w:p>
    <w:p w14:paraId="4A182662" w14:textId="2E9AD8C9" w:rsidR="00F10745" w:rsidRDefault="0074316F" w:rsidP="00F10745">
      <w:pPr>
        <w:pStyle w:val="DHHSbullet1"/>
      </w:pPr>
      <w:r>
        <w:t>The a</w:t>
      </w:r>
      <w:r w:rsidR="00F10745">
        <w:t>verage</w:t>
      </w:r>
      <w:r w:rsidR="001918DF">
        <w:t xml:space="preserve"> yearly</w:t>
      </w:r>
      <w:r w:rsidR="00F10745">
        <w:t xml:space="preserve"> </w:t>
      </w:r>
      <w:r>
        <w:t xml:space="preserve">radical </w:t>
      </w:r>
      <w:r w:rsidR="001918DF">
        <w:t>H&amp;N</w:t>
      </w:r>
      <w:r>
        <w:t xml:space="preserve"> </w:t>
      </w:r>
      <w:r w:rsidR="00F10745">
        <w:t>RT course volume</w:t>
      </w:r>
      <w:r w:rsidR="00272CB6">
        <w:t xml:space="preserve"> in Victorian </w:t>
      </w:r>
      <w:r w:rsidR="008E7B7A">
        <w:t xml:space="preserve">RT </w:t>
      </w:r>
      <w:r w:rsidR="008D251F">
        <w:t>centres</w:t>
      </w:r>
      <w:r w:rsidR="00F10745">
        <w:t xml:space="preserve"> </w:t>
      </w:r>
      <w:r w:rsidR="00DA2486">
        <w:t xml:space="preserve">during </w:t>
      </w:r>
      <w:r w:rsidR="00F10745">
        <w:t>2016</w:t>
      </w:r>
      <w:r w:rsidR="002C5509">
        <w:t>–</w:t>
      </w:r>
      <w:r w:rsidR="00F10745">
        <w:t xml:space="preserve">2017 </w:t>
      </w:r>
      <w:r>
        <w:t xml:space="preserve">ranged </w:t>
      </w:r>
      <w:r w:rsidRPr="00E327DC">
        <w:t xml:space="preserve">from </w:t>
      </w:r>
      <w:r w:rsidR="002C5509">
        <w:t>one</w:t>
      </w:r>
      <w:r w:rsidRPr="00E327DC">
        <w:t xml:space="preserve"> to </w:t>
      </w:r>
      <w:r w:rsidR="00E327DC" w:rsidRPr="00E327DC">
        <w:t>216</w:t>
      </w:r>
      <w:r w:rsidRPr="00E327DC">
        <w:t xml:space="preserve"> (</w:t>
      </w:r>
      <w:r w:rsidR="001837DE">
        <w:fldChar w:fldCharType="begin"/>
      </w:r>
      <w:r w:rsidR="001837DE">
        <w:instrText xml:space="preserve"> REF _Ref4504190 \h  \* MERGEFORMAT </w:instrText>
      </w:r>
      <w:r w:rsidR="001837DE">
        <w:fldChar w:fldCharType="separate"/>
      </w:r>
      <w:r w:rsidR="00084E54">
        <w:t>Figure 5</w:t>
      </w:r>
      <w:r w:rsidR="001837DE">
        <w:fldChar w:fldCharType="end"/>
      </w:r>
      <w:r>
        <w:t>)</w:t>
      </w:r>
      <w:r w:rsidR="00891D94">
        <w:t>.</w:t>
      </w:r>
    </w:p>
    <w:p w14:paraId="1B8557D1" w14:textId="5D84C28F" w:rsidR="005077CC" w:rsidRDefault="00C406C7" w:rsidP="00B672C6">
      <w:pPr>
        <w:pStyle w:val="DHHSbullet1"/>
      </w:pPr>
      <w:r>
        <w:t>Five</w:t>
      </w:r>
      <w:r w:rsidR="00F10745">
        <w:t xml:space="preserve"> </w:t>
      </w:r>
      <w:r w:rsidR="00F10745" w:rsidRPr="00E327DC">
        <w:t xml:space="preserve">of 12 </w:t>
      </w:r>
      <w:r w:rsidR="0074316F" w:rsidRPr="00E327DC">
        <w:t>(</w:t>
      </w:r>
      <w:r w:rsidR="00E327DC" w:rsidRPr="00E327DC">
        <w:t>42</w:t>
      </w:r>
      <w:r w:rsidR="00B672C6" w:rsidRPr="00E327DC">
        <w:t xml:space="preserve"> </w:t>
      </w:r>
      <w:r w:rsidR="00D62BCD" w:rsidRPr="00E327DC">
        <w:t>per cent</w:t>
      </w:r>
      <w:r w:rsidR="0074316F" w:rsidRPr="00E327DC">
        <w:t xml:space="preserve">) </w:t>
      </w:r>
      <w:r w:rsidR="00F10745" w:rsidRPr="00E327DC">
        <w:t>public</w:t>
      </w:r>
      <w:r w:rsidR="0074316F" w:rsidRPr="00E327DC">
        <w:t xml:space="preserve"> RT </w:t>
      </w:r>
      <w:r w:rsidR="008D251F" w:rsidRPr="00E327DC">
        <w:t>centres</w:t>
      </w:r>
      <w:r w:rsidR="00F10745" w:rsidRPr="00E327DC">
        <w:t xml:space="preserve"> and </w:t>
      </w:r>
      <w:r>
        <w:t>seven</w:t>
      </w:r>
      <w:r w:rsidR="00F10745" w:rsidRPr="00E327DC">
        <w:t xml:space="preserve"> of </w:t>
      </w:r>
      <w:r>
        <w:t>eight</w:t>
      </w:r>
      <w:r w:rsidR="0074316F" w:rsidRPr="00E327DC">
        <w:t xml:space="preserve"> (</w:t>
      </w:r>
      <w:r w:rsidR="00E327DC" w:rsidRPr="00E327DC">
        <w:t>88</w:t>
      </w:r>
      <w:r w:rsidR="00B672C6" w:rsidRPr="00E327DC">
        <w:t xml:space="preserve"> </w:t>
      </w:r>
      <w:r w:rsidR="00D62BCD" w:rsidRPr="00E327DC">
        <w:t>per cent</w:t>
      </w:r>
      <w:r w:rsidR="0074316F" w:rsidRPr="00E327DC">
        <w:t>)</w:t>
      </w:r>
      <w:r w:rsidR="00F10745" w:rsidRPr="00E327DC">
        <w:t xml:space="preserve"> private RT </w:t>
      </w:r>
      <w:r w:rsidR="0074316F" w:rsidRPr="00E327DC">
        <w:t xml:space="preserve">centres </w:t>
      </w:r>
      <w:r w:rsidR="00F10745" w:rsidRPr="00E327DC">
        <w:t xml:space="preserve">provided </w:t>
      </w:r>
      <w:r w:rsidR="007D2D14">
        <w:t>fewer</w:t>
      </w:r>
      <w:r w:rsidR="007D2D14" w:rsidRPr="00E327DC">
        <w:t xml:space="preserve"> </w:t>
      </w:r>
      <w:r w:rsidR="00F10745" w:rsidRPr="00E327DC">
        <w:t xml:space="preserve">than 10 </w:t>
      </w:r>
      <w:r w:rsidR="000079B2" w:rsidRPr="00E327DC">
        <w:t>courses</w:t>
      </w:r>
      <w:r w:rsidR="00F10745" w:rsidRPr="00E327DC">
        <w:t xml:space="preserve"> per year</w:t>
      </w:r>
      <w:r w:rsidR="00891D94" w:rsidRPr="00E327DC">
        <w:t>.</w:t>
      </w:r>
    </w:p>
    <w:p w14:paraId="6586BB13" w14:textId="2CB04D5A" w:rsidR="005077CC" w:rsidRDefault="005077CC" w:rsidP="00891D94">
      <w:pPr>
        <w:pStyle w:val="DHHSfigurecaption"/>
      </w:pPr>
      <w:bookmarkStart w:id="27" w:name="_Ref4504168"/>
      <w:bookmarkStart w:id="28" w:name="_Toc22722816"/>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C471B5">
        <w:rPr>
          <w:noProof/>
        </w:rPr>
        <w:t>4</w:t>
      </w:r>
      <w:r w:rsidR="00954022">
        <w:rPr>
          <w:noProof/>
        </w:rPr>
        <w:fldChar w:fldCharType="end"/>
      </w:r>
      <w:bookmarkEnd w:id="27"/>
      <w:r>
        <w:t xml:space="preserve">: </w:t>
      </w:r>
      <w:r w:rsidR="00661CE1">
        <w:t xml:space="preserve">Victorian </w:t>
      </w:r>
      <w:r w:rsidR="00B672C6">
        <w:t xml:space="preserve">hospital average </w:t>
      </w:r>
      <w:r w:rsidR="001918DF">
        <w:t>yearly</w:t>
      </w:r>
      <w:r w:rsidR="00B672C6">
        <w:t xml:space="preserve"> </w:t>
      </w:r>
      <w:r w:rsidR="00661CE1">
        <w:t>head and neck cancer s</w:t>
      </w:r>
      <w:r>
        <w:t xml:space="preserve">urgical volume </w:t>
      </w:r>
      <w:r w:rsidR="00661CE1">
        <w:t>(2016–2017)</w:t>
      </w:r>
      <w:bookmarkEnd w:id="28"/>
      <w:r w:rsidR="00661CE1">
        <w:t xml:space="preserve"> </w:t>
      </w:r>
    </w:p>
    <w:p w14:paraId="7CC3B30C" w14:textId="62119640" w:rsidR="00891D94" w:rsidRDefault="00AE23E5" w:rsidP="00AE23E5">
      <w:pPr>
        <w:pStyle w:val="DHHSbullet1"/>
        <w:numPr>
          <w:ilvl w:val="0"/>
          <w:numId w:val="0"/>
        </w:numPr>
        <w:ind w:left="284" w:hanging="284"/>
        <w:jc w:val="center"/>
      </w:pPr>
      <w:r>
        <w:rPr>
          <w:noProof/>
        </w:rPr>
        <w:drawing>
          <wp:inline distT="0" distB="0" distL="0" distR="0" wp14:anchorId="2DDFFFC2" wp14:editId="3A472E8A">
            <wp:extent cx="5901055" cy="2357755"/>
            <wp:effectExtent l="0" t="0" r="4445" b="4445"/>
            <wp:docPr id="5" name="Picture 5" descr="Victorian hospital average yearly head and neck cancer surgical volume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1055" cy="2357755"/>
                    </a:xfrm>
                    <a:prstGeom prst="rect">
                      <a:avLst/>
                    </a:prstGeom>
                    <a:noFill/>
                    <a:ln>
                      <a:noFill/>
                    </a:ln>
                  </pic:spPr>
                </pic:pic>
              </a:graphicData>
            </a:graphic>
          </wp:inline>
        </w:drawing>
      </w:r>
    </w:p>
    <w:p w14:paraId="1E235DE0" w14:textId="393C1E0D" w:rsidR="005077CC" w:rsidRDefault="00891D94" w:rsidP="00AE23E5">
      <w:pPr>
        <w:pStyle w:val="DHHSfigurecaption"/>
      </w:pPr>
      <w:bookmarkStart w:id="29" w:name="_Ref4504190"/>
      <w:bookmarkStart w:id="30" w:name="_Toc22722817"/>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5</w:t>
      </w:r>
      <w:r w:rsidR="00954022">
        <w:rPr>
          <w:noProof/>
        </w:rPr>
        <w:fldChar w:fldCharType="end"/>
      </w:r>
      <w:bookmarkEnd w:id="29"/>
      <w:r>
        <w:t xml:space="preserve">: </w:t>
      </w:r>
      <w:r w:rsidR="0074316F">
        <w:t>Victorian</w:t>
      </w:r>
      <w:r w:rsidR="00B672C6">
        <w:t xml:space="preserve"> radiotherapy centre average </w:t>
      </w:r>
      <w:r w:rsidR="001918DF">
        <w:t>yearly</w:t>
      </w:r>
      <w:r w:rsidR="0074316F">
        <w:t xml:space="preserve"> head and neck cancer radical </w:t>
      </w:r>
      <w:r w:rsidR="00C95986">
        <w:t xml:space="preserve">radiotherapy </w:t>
      </w:r>
      <w:r>
        <w:t>volume</w:t>
      </w:r>
      <w:r w:rsidR="0074316F">
        <w:t xml:space="preserve"> (2016–2017)</w:t>
      </w:r>
      <w:bookmarkEnd w:id="30"/>
      <w:r>
        <w:t xml:space="preserve"> </w:t>
      </w:r>
    </w:p>
    <w:p w14:paraId="2F3BF7FE" w14:textId="438510BB" w:rsidR="00AE23E5" w:rsidRDefault="00AE23E5" w:rsidP="00AE23E5">
      <w:pPr>
        <w:pStyle w:val="DHHSbody"/>
        <w:jc w:val="center"/>
      </w:pPr>
      <w:r>
        <w:rPr>
          <w:noProof/>
        </w:rPr>
        <w:drawing>
          <wp:inline distT="0" distB="0" distL="0" distR="0" wp14:anchorId="4284C094" wp14:editId="4475553B">
            <wp:extent cx="5467350" cy="2184469"/>
            <wp:effectExtent l="0" t="0" r="0" b="6350"/>
            <wp:docPr id="6" name="Picture 6" descr="Victorian radiotherapy centre average yearly head and neck cancer radical radiotherapy volume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00581" cy="2197746"/>
                    </a:xfrm>
                    <a:prstGeom prst="rect">
                      <a:avLst/>
                    </a:prstGeom>
                    <a:noFill/>
                    <a:ln>
                      <a:noFill/>
                    </a:ln>
                  </pic:spPr>
                </pic:pic>
              </a:graphicData>
            </a:graphic>
          </wp:inline>
        </w:drawing>
      </w:r>
    </w:p>
    <w:p w14:paraId="4DD51318" w14:textId="77777777" w:rsidR="005077CC" w:rsidRDefault="005077CC" w:rsidP="005077CC">
      <w:pPr>
        <w:pStyle w:val="Heading3"/>
      </w:pPr>
      <w:r>
        <w:t>Clinical commentary</w:t>
      </w:r>
    </w:p>
    <w:p w14:paraId="024A6CD2" w14:textId="412AA128" w:rsidR="00145D91" w:rsidRDefault="005077CC" w:rsidP="002661AF">
      <w:pPr>
        <w:pStyle w:val="DHHSbody"/>
        <w:rPr>
          <w:lang w:val="en-US"/>
        </w:rPr>
      </w:pPr>
      <w:r>
        <w:rPr>
          <w:lang w:val="en-US"/>
        </w:rPr>
        <w:t xml:space="preserve">This data shows a long tail of hospitals </w:t>
      </w:r>
      <w:r w:rsidR="00891D94">
        <w:rPr>
          <w:lang w:val="en-US"/>
        </w:rPr>
        <w:t>conducting</w:t>
      </w:r>
      <w:r>
        <w:rPr>
          <w:lang w:val="en-US"/>
        </w:rPr>
        <w:t xml:space="preserve"> fewer than 10 H&amp;N </w:t>
      </w:r>
      <w:r w:rsidR="00A21BF3">
        <w:rPr>
          <w:lang w:val="en-US"/>
        </w:rPr>
        <w:t xml:space="preserve">cancer </w:t>
      </w:r>
      <w:r>
        <w:rPr>
          <w:lang w:val="en-US"/>
        </w:rPr>
        <w:t xml:space="preserve">surgeries </w:t>
      </w:r>
      <w:r w:rsidR="00FB5E3B">
        <w:rPr>
          <w:lang w:val="en-US"/>
        </w:rPr>
        <w:t xml:space="preserve">or </w:t>
      </w:r>
      <w:r w:rsidR="000079B2">
        <w:rPr>
          <w:lang w:val="en-US"/>
        </w:rPr>
        <w:t xml:space="preserve">radical </w:t>
      </w:r>
      <w:r w:rsidR="001918DF">
        <w:rPr>
          <w:lang w:val="en-US"/>
        </w:rPr>
        <w:t>RT</w:t>
      </w:r>
      <w:r w:rsidR="000079B2">
        <w:rPr>
          <w:lang w:val="en-US"/>
        </w:rPr>
        <w:t xml:space="preserve"> courses </w:t>
      </w:r>
      <w:r>
        <w:rPr>
          <w:lang w:val="en-US"/>
        </w:rPr>
        <w:t xml:space="preserve">over 2016 and 2017. It is important to consider the service capability </w:t>
      </w:r>
      <w:r w:rsidRPr="005077CC">
        <w:rPr>
          <w:lang w:val="en-US"/>
        </w:rPr>
        <w:t>of centres with lower volumes</w:t>
      </w:r>
      <w:r w:rsidR="00891D94">
        <w:rPr>
          <w:lang w:val="en-US"/>
        </w:rPr>
        <w:t>. For example, d</w:t>
      </w:r>
      <w:r w:rsidR="00891D94" w:rsidRPr="00891D94">
        <w:rPr>
          <w:lang w:val="en-US"/>
        </w:rPr>
        <w:t>o they have specialist dietetics and speech pathology? Do they have ward staff with specific training to look after patients who have undergone tracheostomy, laryngectomy or gastrostomy?</w:t>
      </w:r>
      <w:r w:rsidR="00891D94">
        <w:rPr>
          <w:lang w:val="en-US"/>
        </w:rPr>
        <w:t xml:space="preserve"> </w:t>
      </w:r>
      <w:r w:rsidR="0074316F">
        <w:rPr>
          <w:lang w:val="en-US"/>
        </w:rPr>
        <w:t>These supports are critical</w:t>
      </w:r>
      <w:r w:rsidR="002661AF">
        <w:rPr>
          <w:lang w:val="en-US"/>
        </w:rPr>
        <w:t xml:space="preserve"> to ensure optimal patient outcomes.</w:t>
      </w:r>
    </w:p>
    <w:p w14:paraId="7C3D5362" w14:textId="77777777" w:rsidR="007E439A" w:rsidRDefault="007E439A" w:rsidP="007970BD">
      <w:pPr>
        <w:pStyle w:val="Heading1"/>
        <w:rPr>
          <w:rFonts w:eastAsia="MS Gothic"/>
        </w:rPr>
      </w:pPr>
      <w:bookmarkStart w:id="31" w:name="_Toc22713853"/>
      <w:r w:rsidRPr="006F2294">
        <w:rPr>
          <w:rFonts w:eastAsia="MS Gothic"/>
        </w:rPr>
        <w:t>Patient movement across ICS</w:t>
      </w:r>
      <w:r w:rsidR="004A05E6">
        <w:rPr>
          <w:rStyle w:val="FootnoteReference"/>
          <w:rFonts w:eastAsia="MS Gothic"/>
        </w:rPr>
        <w:footnoteReference w:id="5"/>
      </w:r>
      <w:bookmarkEnd w:id="31"/>
    </w:p>
    <w:p w14:paraId="57B4BF0E" w14:textId="772B168B" w:rsidR="00863D1C" w:rsidRDefault="00176EC7" w:rsidP="00863D1C">
      <w:pPr>
        <w:pStyle w:val="DHHSbullet1"/>
      </w:pPr>
      <w:r>
        <w:t xml:space="preserve">Between 2012 and 2016, </w:t>
      </w:r>
      <w:r w:rsidR="00863D1C">
        <w:t>60</w:t>
      </w:r>
      <w:r w:rsidR="00D62BCD">
        <w:t xml:space="preserve"> per cent</w:t>
      </w:r>
      <w:r w:rsidR="00863D1C">
        <w:t xml:space="preserve"> of H&amp;N </w:t>
      </w:r>
      <w:r w:rsidR="0074316F">
        <w:t xml:space="preserve">cancer </w:t>
      </w:r>
      <w:r w:rsidR="00863D1C">
        <w:t>patients had surgery in their local ICS</w:t>
      </w:r>
      <w:r w:rsidR="007D2D14">
        <w:t>,</w:t>
      </w:r>
      <w:r w:rsidR="00863D1C">
        <w:t xml:space="preserve"> and 52</w:t>
      </w:r>
      <w:r w:rsidR="00D62BCD">
        <w:t xml:space="preserve"> per cent</w:t>
      </w:r>
      <w:r w:rsidR="00863D1C">
        <w:t xml:space="preserve"> had radical RT in their local ICS </w:t>
      </w:r>
      <w:r w:rsidR="008037FB">
        <w:t>(</w:t>
      </w:r>
      <w:r w:rsidR="00954022">
        <w:fldChar w:fldCharType="begin"/>
      </w:r>
      <w:r w:rsidR="008037FB">
        <w:instrText xml:space="preserve"> REF _Ref3977448 \h </w:instrText>
      </w:r>
      <w:r w:rsidR="00954022">
        <w:fldChar w:fldCharType="separate"/>
      </w:r>
      <w:r w:rsidR="00084E54">
        <w:t xml:space="preserve">Table </w:t>
      </w:r>
      <w:r w:rsidR="00084E54">
        <w:rPr>
          <w:noProof/>
        </w:rPr>
        <w:t>3</w:t>
      </w:r>
      <w:r w:rsidR="00954022">
        <w:fldChar w:fldCharType="end"/>
      </w:r>
      <w:r w:rsidR="009731F4">
        <w:t xml:space="preserve"> and</w:t>
      </w:r>
      <w:r w:rsidR="008037FB">
        <w:t xml:space="preserve"> </w:t>
      </w:r>
      <w:r w:rsidR="00954022">
        <w:fldChar w:fldCharType="begin"/>
      </w:r>
      <w:r w:rsidR="00DB735A">
        <w:instrText xml:space="preserve"> REF _Ref3977577 \h </w:instrText>
      </w:r>
      <w:r w:rsidR="00954022">
        <w:fldChar w:fldCharType="separate"/>
      </w:r>
      <w:r w:rsidR="00084E54">
        <w:t xml:space="preserve">Table </w:t>
      </w:r>
      <w:r w:rsidR="00084E54">
        <w:rPr>
          <w:noProof/>
        </w:rPr>
        <w:t>4</w:t>
      </w:r>
      <w:r w:rsidR="00954022">
        <w:fldChar w:fldCharType="end"/>
      </w:r>
      <w:r w:rsidR="008037FB">
        <w:t>).</w:t>
      </w:r>
    </w:p>
    <w:p w14:paraId="4C124E95" w14:textId="77777777" w:rsidR="006D25D3" w:rsidRDefault="00863D1C" w:rsidP="00AD54DB">
      <w:pPr>
        <w:pStyle w:val="DHHSbullet1"/>
      </w:pPr>
      <w:r>
        <w:t>Most surgery and radical RT occurred in metropolitan ICS, particularly WCMICS</w:t>
      </w:r>
      <w:r w:rsidR="00E327DC">
        <w:t>.</w:t>
      </w:r>
    </w:p>
    <w:p w14:paraId="755D8371" w14:textId="6F7F0B20" w:rsidR="001272AB" w:rsidRDefault="006D25D3" w:rsidP="006D25D3">
      <w:pPr>
        <w:pStyle w:val="DHHStablecaption"/>
      </w:pPr>
      <w:bookmarkStart w:id="32" w:name="_Ref3977448"/>
      <w:bookmarkStart w:id="33" w:name="_Toc22722837"/>
      <w:r>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3</w:t>
      </w:r>
      <w:r w:rsidR="00954022">
        <w:rPr>
          <w:noProof/>
        </w:rPr>
        <w:fldChar w:fldCharType="end"/>
      </w:r>
      <w:bookmarkEnd w:id="32"/>
      <w:r>
        <w:t xml:space="preserve">: </w:t>
      </w:r>
      <w:r w:rsidR="00D00E5F">
        <w:t>Head and neck cancer p</w:t>
      </w:r>
      <w:r>
        <w:t xml:space="preserve">atient flow for </w:t>
      </w:r>
      <w:r w:rsidR="0019389E">
        <w:t xml:space="preserve">first </w:t>
      </w:r>
      <w:r>
        <w:t>surgery</w:t>
      </w:r>
      <w:r w:rsidR="007D2D14">
        <w:t>, by</w:t>
      </w:r>
      <w:r w:rsidR="00095E90">
        <w:t xml:space="preserve"> ICS of residence and ICS of</w:t>
      </w:r>
      <w:r w:rsidR="007D2D14">
        <w:t xml:space="preserve"> treatment</w:t>
      </w:r>
      <w:r>
        <w:t xml:space="preserve"> (</w:t>
      </w:r>
      <w:r w:rsidR="00C6280C">
        <w:t xml:space="preserve">diagnosed </w:t>
      </w:r>
      <w:r>
        <w:t>2012</w:t>
      </w:r>
      <w:r w:rsidR="00C6280C">
        <w:t>–</w:t>
      </w:r>
      <w:r>
        <w:t>2016)</w:t>
      </w:r>
      <w:bookmarkEnd w:id="33"/>
    </w:p>
    <w:tbl>
      <w:tblPr>
        <w:tblStyle w:val="TableGrid"/>
        <w:tblW w:w="9353" w:type="dxa"/>
        <w:jc w:val="center"/>
        <w:tblInd w:w="0" w:type="dxa"/>
        <w:tblLayout w:type="fixed"/>
        <w:tblLook w:val="04A0" w:firstRow="1" w:lastRow="0" w:firstColumn="1" w:lastColumn="0" w:noHBand="0" w:noVBand="1"/>
      </w:tblPr>
      <w:tblGrid>
        <w:gridCol w:w="1077"/>
        <w:gridCol w:w="964"/>
        <w:gridCol w:w="964"/>
        <w:gridCol w:w="1020"/>
        <w:gridCol w:w="1077"/>
        <w:gridCol w:w="850"/>
        <w:gridCol w:w="850"/>
        <w:gridCol w:w="850"/>
        <w:gridCol w:w="794"/>
        <w:gridCol w:w="907"/>
      </w:tblGrid>
      <w:tr w:rsidR="006732EB" w:rsidRPr="006732EB" w14:paraId="08C2E7CD" w14:textId="77777777" w:rsidTr="00095E90">
        <w:trPr>
          <w:cantSplit/>
          <w:trHeight w:val="1180"/>
          <w:tblHeader/>
          <w:jc w:val="center"/>
        </w:trPr>
        <w:tc>
          <w:tcPr>
            <w:tcW w:w="1077" w:type="dxa"/>
            <w:textDirection w:val="btLr"/>
            <w:vAlign w:val="center"/>
          </w:tcPr>
          <w:p w14:paraId="64E9BD87" w14:textId="18A1D4F6" w:rsidR="00D00E5F" w:rsidRPr="007970BD" w:rsidRDefault="00D00E5F" w:rsidP="00095E90">
            <w:pPr>
              <w:pStyle w:val="DHHStablecolhead"/>
              <w:ind w:left="113" w:right="113"/>
              <w:jc w:val="center"/>
              <w:rPr>
                <w:sz w:val="18"/>
                <w:szCs w:val="18"/>
              </w:rPr>
            </w:pPr>
            <w:r w:rsidRPr="007970BD">
              <w:rPr>
                <w:sz w:val="18"/>
                <w:szCs w:val="18"/>
              </w:rPr>
              <w:t>ICS of residence</w:t>
            </w:r>
            <w:r w:rsidR="00095E90">
              <w:rPr>
                <w:sz w:val="18"/>
                <w:szCs w:val="18"/>
              </w:rPr>
              <w:t xml:space="preserve"> \ ICS of treatment</w:t>
            </w:r>
          </w:p>
        </w:tc>
        <w:tc>
          <w:tcPr>
            <w:tcW w:w="964" w:type="dxa"/>
            <w:textDirection w:val="btLr"/>
            <w:vAlign w:val="center"/>
          </w:tcPr>
          <w:p w14:paraId="7618E19F" w14:textId="193CB903"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NEMICS</w:t>
            </w:r>
          </w:p>
        </w:tc>
        <w:tc>
          <w:tcPr>
            <w:tcW w:w="964" w:type="dxa"/>
            <w:textDirection w:val="btLr"/>
            <w:vAlign w:val="center"/>
          </w:tcPr>
          <w:p w14:paraId="33947B16" w14:textId="66021BC0"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SMICS</w:t>
            </w:r>
          </w:p>
        </w:tc>
        <w:tc>
          <w:tcPr>
            <w:tcW w:w="1020" w:type="dxa"/>
            <w:textDirection w:val="btLr"/>
            <w:vAlign w:val="center"/>
          </w:tcPr>
          <w:p w14:paraId="6242CB3D" w14:textId="4CF0DE3D"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WCMICS</w:t>
            </w:r>
          </w:p>
        </w:tc>
        <w:tc>
          <w:tcPr>
            <w:tcW w:w="1077" w:type="dxa"/>
            <w:textDirection w:val="btLr"/>
            <w:vAlign w:val="center"/>
          </w:tcPr>
          <w:p w14:paraId="377BD19B" w14:textId="77777777"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BSWRICS</w:t>
            </w:r>
          </w:p>
        </w:tc>
        <w:tc>
          <w:tcPr>
            <w:tcW w:w="850" w:type="dxa"/>
            <w:textDirection w:val="btLr"/>
            <w:vAlign w:val="center"/>
          </w:tcPr>
          <w:p w14:paraId="2424F71C" w14:textId="77777777"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GRICS</w:t>
            </w:r>
          </w:p>
        </w:tc>
        <w:tc>
          <w:tcPr>
            <w:tcW w:w="850" w:type="dxa"/>
            <w:textDirection w:val="btLr"/>
            <w:vAlign w:val="center"/>
          </w:tcPr>
          <w:p w14:paraId="3928B1CF" w14:textId="77777777"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HRICS</w:t>
            </w:r>
          </w:p>
        </w:tc>
        <w:tc>
          <w:tcPr>
            <w:tcW w:w="850" w:type="dxa"/>
            <w:textDirection w:val="btLr"/>
            <w:vAlign w:val="center"/>
          </w:tcPr>
          <w:p w14:paraId="693A145C" w14:textId="77777777"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LMICS</w:t>
            </w:r>
          </w:p>
        </w:tc>
        <w:tc>
          <w:tcPr>
            <w:tcW w:w="794" w:type="dxa"/>
            <w:textDirection w:val="btLr"/>
            <w:vAlign w:val="center"/>
          </w:tcPr>
          <w:p w14:paraId="742BF62B" w14:textId="77777777"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GICS</w:t>
            </w:r>
          </w:p>
        </w:tc>
        <w:tc>
          <w:tcPr>
            <w:tcW w:w="907" w:type="dxa"/>
            <w:textDirection w:val="btLr"/>
            <w:vAlign w:val="center"/>
          </w:tcPr>
          <w:p w14:paraId="558FCD46" w14:textId="77777777" w:rsidR="00D00E5F" w:rsidRPr="007970BD" w:rsidRDefault="00D00E5F" w:rsidP="00095E90">
            <w:pPr>
              <w:pStyle w:val="DHHStablecolhead"/>
              <w:ind w:left="113" w:right="113"/>
              <w:jc w:val="center"/>
              <w:rPr>
                <w:sz w:val="18"/>
                <w:szCs w:val="18"/>
              </w:rPr>
            </w:pPr>
            <w:r w:rsidRPr="007970BD">
              <w:rPr>
                <w:rFonts w:eastAsia="Arial"/>
                <w:sz w:val="18"/>
                <w:szCs w:val="18"/>
                <w:lang w:val="en-US" w:eastAsia="en-AU"/>
              </w:rPr>
              <w:t>Total</w:t>
            </w:r>
          </w:p>
        </w:tc>
      </w:tr>
      <w:tr w:rsidR="006732EB" w:rsidRPr="006732EB" w14:paraId="4B4B5EDB" w14:textId="77777777" w:rsidTr="007970BD">
        <w:trPr>
          <w:trHeight w:val="510"/>
          <w:jc w:val="center"/>
        </w:trPr>
        <w:tc>
          <w:tcPr>
            <w:tcW w:w="1077" w:type="dxa"/>
            <w:shd w:val="clear" w:color="auto" w:fill="auto"/>
            <w:vAlign w:val="center"/>
          </w:tcPr>
          <w:p w14:paraId="38435021"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NEMICS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65E5B9" w14:textId="77777777" w:rsidR="00D00E5F" w:rsidRPr="007970BD" w:rsidRDefault="00D00E5F" w:rsidP="00FA0ACE">
            <w:pPr>
              <w:pStyle w:val="DHHStabletext"/>
              <w:jc w:val="center"/>
              <w:rPr>
                <w:sz w:val="18"/>
                <w:szCs w:val="18"/>
              </w:rPr>
            </w:pPr>
            <w:r w:rsidRPr="007970BD">
              <w:rPr>
                <w:sz w:val="18"/>
                <w:szCs w:val="18"/>
              </w:rPr>
              <w:t>200</w:t>
            </w:r>
          </w:p>
          <w:p w14:paraId="252A949E" w14:textId="77777777" w:rsidR="00D00E5F" w:rsidRPr="007970BD" w:rsidRDefault="00D00E5F" w:rsidP="00FA0ACE">
            <w:pPr>
              <w:pStyle w:val="DHHStabletext"/>
              <w:jc w:val="center"/>
              <w:rPr>
                <w:sz w:val="18"/>
                <w:szCs w:val="18"/>
              </w:rPr>
            </w:pPr>
            <w:r w:rsidRPr="007970BD">
              <w:rPr>
                <w:sz w:val="18"/>
                <w:szCs w:val="18"/>
              </w:rPr>
              <w:t>(44%)</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9443E4" w14:textId="77777777" w:rsidR="00D00E5F" w:rsidRPr="007970BD" w:rsidRDefault="00D00E5F" w:rsidP="00FA0ACE">
            <w:pPr>
              <w:pStyle w:val="DHHStabletext"/>
              <w:jc w:val="center"/>
              <w:rPr>
                <w:sz w:val="18"/>
                <w:szCs w:val="18"/>
              </w:rPr>
            </w:pPr>
            <w:r w:rsidRPr="007970BD">
              <w:rPr>
                <w:sz w:val="18"/>
                <w:szCs w:val="18"/>
              </w:rPr>
              <w:t>62</w:t>
            </w:r>
          </w:p>
          <w:p w14:paraId="6BFD8181" w14:textId="77777777" w:rsidR="00D00E5F" w:rsidRPr="007970BD" w:rsidRDefault="00D00E5F" w:rsidP="00FA0ACE">
            <w:pPr>
              <w:pStyle w:val="DHHStabletext"/>
              <w:jc w:val="center"/>
              <w:rPr>
                <w:sz w:val="18"/>
                <w:szCs w:val="18"/>
              </w:rPr>
            </w:pPr>
            <w:r w:rsidRPr="007970BD">
              <w:rPr>
                <w:sz w:val="18"/>
                <w:szCs w:val="18"/>
              </w:rPr>
              <w:t>(14%)</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5E1F7B" w14:textId="77777777" w:rsidR="00D00E5F" w:rsidRPr="007970BD" w:rsidRDefault="00D00E5F" w:rsidP="00FA0ACE">
            <w:pPr>
              <w:pStyle w:val="DHHStabletext"/>
              <w:jc w:val="center"/>
              <w:rPr>
                <w:sz w:val="18"/>
                <w:szCs w:val="18"/>
              </w:rPr>
            </w:pPr>
            <w:r w:rsidRPr="007970BD">
              <w:rPr>
                <w:sz w:val="18"/>
                <w:szCs w:val="18"/>
              </w:rPr>
              <w:t>197</w:t>
            </w:r>
          </w:p>
          <w:p w14:paraId="70EAA7FE" w14:textId="77777777" w:rsidR="00D00E5F" w:rsidRPr="007970BD" w:rsidRDefault="00D00E5F" w:rsidP="00FA0ACE">
            <w:pPr>
              <w:pStyle w:val="DHHStabletext"/>
              <w:jc w:val="center"/>
              <w:rPr>
                <w:sz w:val="18"/>
                <w:szCs w:val="18"/>
              </w:rPr>
            </w:pPr>
            <w:r w:rsidRPr="007970BD">
              <w:rPr>
                <w:sz w:val="18"/>
                <w:szCs w:val="18"/>
              </w:rPr>
              <w:t>(43%)</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3BB448"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0157C"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C4FC1A"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086B48" w14:textId="77777777" w:rsidR="00D00E5F" w:rsidRPr="007970BD" w:rsidRDefault="00D00E5F" w:rsidP="00FA0ACE">
            <w:pPr>
              <w:pStyle w:val="DHHStabletext"/>
              <w:jc w:val="center"/>
              <w:rPr>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700869F7" w14:textId="77777777" w:rsidR="00D00E5F" w:rsidRPr="007970BD" w:rsidRDefault="00D00E5F" w:rsidP="00FA0ACE">
            <w:pPr>
              <w:pStyle w:val="DHHStabletext"/>
              <w:jc w:val="center"/>
              <w:rPr>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D62D82" w14:textId="15F1F249" w:rsidR="007F0866" w:rsidRPr="007970BD" w:rsidRDefault="00D00E5F" w:rsidP="00FA0ACE">
            <w:pPr>
              <w:pStyle w:val="DHHStabletext"/>
              <w:jc w:val="center"/>
              <w:rPr>
                <w:sz w:val="18"/>
                <w:szCs w:val="18"/>
              </w:rPr>
            </w:pPr>
            <w:r w:rsidRPr="007970BD">
              <w:rPr>
                <w:sz w:val="18"/>
                <w:szCs w:val="18"/>
              </w:rPr>
              <w:t>459</w:t>
            </w:r>
          </w:p>
          <w:p w14:paraId="6C9C829B"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60264655" w14:textId="77777777" w:rsidTr="007970BD">
        <w:trPr>
          <w:trHeight w:val="510"/>
          <w:jc w:val="center"/>
        </w:trPr>
        <w:tc>
          <w:tcPr>
            <w:tcW w:w="1077" w:type="dxa"/>
            <w:shd w:val="clear" w:color="auto" w:fill="auto"/>
            <w:vAlign w:val="center"/>
          </w:tcPr>
          <w:p w14:paraId="2582DCCA"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SMICS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5CF412" w14:textId="77777777" w:rsidR="00D00E5F" w:rsidRPr="007970BD" w:rsidRDefault="00D00E5F" w:rsidP="00FA0ACE">
            <w:pPr>
              <w:pStyle w:val="DHHStabletext"/>
              <w:jc w:val="center"/>
              <w:rPr>
                <w:sz w:val="18"/>
                <w:szCs w:val="18"/>
              </w:rPr>
            </w:pPr>
            <w:r w:rsidRPr="007970BD">
              <w:rPr>
                <w:sz w:val="18"/>
                <w:szCs w:val="18"/>
              </w:rPr>
              <w:t>15</w:t>
            </w:r>
          </w:p>
          <w:p w14:paraId="110C2358" w14:textId="77777777" w:rsidR="00D00E5F" w:rsidRPr="007970BD" w:rsidRDefault="00D00E5F" w:rsidP="00FA0ACE">
            <w:pPr>
              <w:pStyle w:val="DHHStabletext"/>
              <w:jc w:val="center"/>
              <w:rPr>
                <w:sz w:val="18"/>
                <w:szCs w:val="18"/>
              </w:rPr>
            </w:pPr>
            <w:r w:rsidRPr="007970BD">
              <w:rPr>
                <w:sz w:val="18"/>
                <w:szCs w:val="18"/>
              </w:rPr>
              <w:t>(3%)</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B4A16A" w14:textId="77777777" w:rsidR="00D00E5F" w:rsidRPr="007970BD" w:rsidRDefault="00D00E5F" w:rsidP="00FA0ACE">
            <w:pPr>
              <w:pStyle w:val="DHHStabletext"/>
              <w:jc w:val="center"/>
              <w:rPr>
                <w:sz w:val="18"/>
                <w:szCs w:val="18"/>
              </w:rPr>
            </w:pPr>
            <w:r w:rsidRPr="007970BD">
              <w:rPr>
                <w:sz w:val="18"/>
                <w:szCs w:val="18"/>
              </w:rPr>
              <w:t>368</w:t>
            </w:r>
          </w:p>
          <w:p w14:paraId="41A12D0F" w14:textId="77777777" w:rsidR="00D00E5F" w:rsidRPr="007970BD" w:rsidRDefault="00D00E5F" w:rsidP="00FA0ACE">
            <w:pPr>
              <w:pStyle w:val="DHHStabletext"/>
              <w:jc w:val="center"/>
              <w:rPr>
                <w:sz w:val="18"/>
                <w:szCs w:val="18"/>
              </w:rPr>
            </w:pPr>
            <w:r w:rsidRPr="007970BD">
              <w:rPr>
                <w:sz w:val="18"/>
                <w:szCs w:val="18"/>
              </w:rPr>
              <w:t>(70%)</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A7236" w14:textId="77777777" w:rsidR="00D00E5F" w:rsidRPr="007970BD" w:rsidRDefault="00D00E5F" w:rsidP="00FA0ACE">
            <w:pPr>
              <w:pStyle w:val="DHHStabletext"/>
              <w:jc w:val="center"/>
              <w:rPr>
                <w:sz w:val="18"/>
                <w:szCs w:val="18"/>
              </w:rPr>
            </w:pPr>
            <w:r w:rsidRPr="007970BD">
              <w:rPr>
                <w:sz w:val="18"/>
                <w:szCs w:val="18"/>
              </w:rPr>
              <w:t>144</w:t>
            </w:r>
          </w:p>
          <w:p w14:paraId="460C72AF" w14:textId="77777777" w:rsidR="00D00E5F" w:rsidRPr="007970BD" w:rsidRDefault="00D00E5F" w:rsidP="00FA0ACE">
            <w:pPr>
              <w:pStyle w:val="DHHStabletext"/>
              <w:jc w:val="center"/>
              <w:rPr>
                <w:sz w:val="18"/>
                <w:szCs w:val="18"/>
              </w:rPr>
            </w:pPr>
            <w:r w:rsidRPr="007970BD">
              <w:rPr>
                <w:sz w:val="18"/>
                <w:szCs w:val="18"/>
              </w:rPr>
              <w:t>(27%)</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988115"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9CF6D9"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B68BBE"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1BD89A" w14:textId="77777777" w:rsidR="00D00E5F" w:rsidRPr="007970BD" w:rsidRDefault="00D00E5F" w:rsidP="00FA0ACE">
            <w:pPr>
              <w:pStyle w:val="DHHStabletext"/>
              <w:jc w:val="center"/>
              <w:rPr>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4519151" w14:textId="77777777" w:rsidR="00D00E5F" w:rsidRPr="007970BD" w:rsidRDefault="00D00E5F" w:rsidP="00FA0ACE">
            <w:pPr>
              <w:pStyle w:val="DHHStabletext"/>
              <w:jc w:val="center"/>
              <w:rPr>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0B68D" w14:textId="7DE888E6" w:rsidR="007F0866" w:rsidRPr="007970BD" w:rsidRDefault="00D00E5F" w:rsidP="00FA0ACE">
            <w:pPr>
              <w:pStyle w:val="DHHStabletext"/>
              <w:jc w:val="center"/>
              <w:rPr>
                <w:sz w:val="18"/>
                <w:szCs w:val="18"/>
              </w:rPr>
            </w:pPr>
            <w:r w:rsidRPr="007970BD">
              <w:rPr>
                <w:sz w:val="18"/>
                <w:szCs w:val="18"/>
              </w:rPr>
              <w:t>527</w:t>
            </w:r>
          </w:p>
          <w:p w14:paraId="45A82F2A"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4CD550CC" w14:textId="77777777" w:rsidTr="007970BD">
        <w:trPr>
          <w:trHeight w:val="510"/>
          <w:jc w:val="center"/>
        </w:trPr>
        <w:tc>
          <w:tcPr>
            <w:tcW w:w="1077" w:type="dxa"/>
            <w:shd w:val="clear" w:color="auto" w:fill="auto"/>
            <w:vAlign w:val="center"/>
          </w:tcPr>
          <w:p w14:paraId="3765102F"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WCMICS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2AA4BB" w14:textId="77777777" w:rsidR="00D00E5F" w:rsidRPr="007970BD" w:rsidRDefault="00D00E5F" w:rsidP="00FA0ACE">
            <w:pPr>
              <w:pStyle w:val="DHHStabletext"/>
              <w:jc w:val="center"/>
              <w:rPr>
                <w:sz w:val="18"/>
                <w:szCs w:val="18"/>
              </w:rPr>
            </w:pPr>
            <w:r w:rsidRPr="007970BD">
              <w:rPr>
                <w:sz w:val="18"/>
                <w:szCs w:val="18"/>
              </w:rPr>
              <w:t>37</w:t>
            </w:r>
          </w:p>
          <w:p w14:paraId="6DFE629D" w14:textId="77777777" w:rsidR="00D00E5F" w:rsidRPr="007970BD" w:rsidRDefault="00D00E5F" w:rsidP="00FA0ACE">
            <w:pPr>
              <w:pStyle w:val="DHHStabletext"/>
              <w:jc w:val="center"/>
              <w:rPr>
                <w:sz w:val="18"/>
                <w:szCs w:val="18"/>
              </w:rPr>
            </w:pPr>
            <w:r w:rsidRPr="007970BD">
              <w:rPr>
                <w:sz w:val="18"/>
                <w:szCs w:val="18"/>
              </w:rPr>
              <w:t>(9%)</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A0237" w14:textId="77777777" w:rsidR="00AD54DB" w:rsidRPr="007970BD" w:rsidRDefault="00D00E5F" w:rsidP="00FA0ACE">
            <w:pPr>
              <w:pStyle w:val="DHHStabletext"/>
              <w:jc w:val="center"/>
              <w:rPr>
                <w:sz w:val="18"/>
                <w:szCs w:val="18"/>
              </w:rPr>
            </w:pPr>
            <w:r w:rsidRPr="007970BD">
              <w:rPr>
                <w:sz w:val="18"/>
                <w:szCs w:val="18"/>
              </w:rPr>
              <w:t>25</w:t>
            </w:r>
          </w:p>
          <w:p w14:paraId="27D3E873" w14:textId="77777777" w:rsidR="00D00E5F" w:rsidRPr="007970BD" w:rsidRDefault="00D00E5F" w:rsidP="00FA0ACE">
            <w:pPr>
              <w:pStyle w:val="DHHStabletext"/>
              <w:jc w:val="center"/>
              <w:rPr>
                <w:sz w:val="18"/>
                <w:szCs w:val="18"/>
              </w:rPr>
            </w:pPr>
            <w:r w:rsidRPr="007970BD">
              <w:rPr>
                <w:sz w:val="18"/>
                <w:szCs w:val="18"/>
              </w:rPr>
              <w:t>(6%)</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94FE9" w14:textId="77777777" w:rsidR="00AD54DB" w:rsidRPr="007970BD" w:rsidRDefault="00D00E5F" w:rsidP="00FA0ACE">
            <w:pPr>
              <w:pStyle w:val="DHHStabletext"/>
              <w:jc w:val="center"/>
              <w:rPr>
                <w:sz w:val="18"/>
                <w:szCs w:val="18"/>
              </w:rPr>
            </w:pPr>
            <w:r w:rsidRPr="007970BD">
              <w:rPr>
                <w:sz w:val="18"/>
                <w:szCs w:val="18"/>
              </w:rPr>
              <w:t>359</w:t>
            </w:r>
          </w:p>
          <w:p w14:paraId="39CB3FBD" w14:textId="77777777" w:rsidR="00D00E5F" w:rsidRPr="007970BD" w:rsidRDefault="00D00E5F" w:rsidP="00FA0ACE">
            <w:pPr>
              <w:pStyle w:val="DHHStabletext"/>
              <w:jc w:val="center"/>
              <w:rPr>
                <w:sz w:val="18"/>
                <w:szCs w:val="18"/>
              </w:rPr>
            </w:pPr>
            <w:r w:rsidRPr="007970BD">
              <w:rPr>
                <w:sz w:val="18"/>
                <w:szCs w:val="18"/>
              </w:rPr>
              <w:t>(85%)</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5901F0" w14:textId="77777777" w:rsidR="00D00E5F" w:rsidRPr="007970BD" w:rsidRDefault="00D00E5F" w:rsidP="00FA0ACE">
            <w:pPr>
              <w:pStyle w:val="DHHStabletext"/>
              <w:jc w:val="center"/>
              <w:rPr>
                <w:sz w:val="18"/>
                <w:szCs w:val="18"/>
              </w:rPr>
            </w:pPr>
            <w:r w:rsidRPr="007970BD">
              <w:rPr>
                <w:sz w:val="18"/>
                <w:szCs w:val="18"/>
              </w:rPr>
              <w:t>3</w:t>
            </w:r>
          </w:p>
          <w:p w14:paraId="02AC2A95" w14:textId="77777777" w:rsidR="00D00E5F" w:rsidRPr="007970BD" w:rsidRDefault="00D00E5F" w:rsidP="00FA0ACE">
            <w:pPr>
              <w:pStyle w:val="DHHStabletext"/>
              <w:jc w:val="center"/>
              <w:rPr>
                <w:sz w:val="18"/>
                <w:szCs w:val="18"/>
              </w:rPr>
            </w:pPr>
            <w:r w:rsidRPr="007970BD">
              <w:rPr>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A5A2A"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1D467"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8E476A" w14:textId="77777777" w:rsidR="00D00E5F" w:rsidRPr="007970BD" w:rsidRDefault="00D00E5F" w:rsidP="00FA0ACE">
            <w:pPr>
              <w:pStyle w:val="DHHStabletext"/>
              <w:jc w:val="center"/>
              <w:rPr>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45678BC" w14:textId="77777777" w:rsidR="00D00E5F" w:rsidRPr="007970BD" w:rsidRDefault="00D00E5F" w:rsidP="00FA0ACE">
            <w:pPr>
              <w:pStyle w:val="DHHStabletext"/>
              <w:jc w:val="center"/>
              <w:rPr>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2AC3A" w14:textId="5CD8CA1A" w:rsidR="007F0866" w:rsidRPr="007970BD" w:rsidRDefault="00D00E5F" w:rsidP="00FA0ACE">
            <w:pPr>
              <w:pStyle w:val="DHHStabletext"/>
              <w:jc w:val="center"/>
              <w:rPr>
                <w:sz w:val="18"/>
                <w:szCs w:val="18"/>
              </w:rPr>
            </w:pPr>
            <w:r w:rsidRPr="007970BD">
              <w:rPr>
                <w:sz w:val="18"/>
                <w:szCs w:val="18"/>
              </w:rPr>
              <w:t>424</w:t>
            </w:r>
          </w:p>
          <w:p w14:paraId="2875DE13"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28E8B85C" w14:textId="77777777" w:rsidTr="007970BD">
        <w:trPr>
          <w:trHeight w:val="510"/>
          <w:jc w:val="center"/>
        </w:trPr>
        <w:tc>
          <w:tcPr>
            <w:tcW w:w="1077" w:type="dxa"/>
            <w:shd w:val="clear" w:color="auto" w:fill="auto"/>
            <w:vAlign w:val="center"/>
          </w:tcPr>
          <w:p w14:paraId="2E899068"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BSWRICS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5A7A4" w14:textId="77777777" w:rsidR="00D00E5F" w:rsidRPr="007970BD" w:rsidRDefault="00D00E5F" w:rsidP="00FA0ACE">
            <w:pPr>
              <w:pStyle w:val="DHHStabletext"/>
              <w:jc w:val="center"/>
              <w:rPr>
                <w:sz w:val="18"/>
                <w:szCs w:val="18"/>
              </w:rPr>
            </w:pPr>
            <w:r w:rsidRPr="007970BD">
              <w:rPr>
                <w:sz w:val="18"/>
                <w:szCs w:val="18"/>
              </w:rPr>
              <w:t>2</w:t>
            </w:r>
          </w:p>
          <w:p w14:paraId="32AD31D2" w14:textId="77777777" w:rsidR="00D00E5F" w:rsidRPr="007970BD" w:rsidRDefault="00D00E5F" w:rsidP="00FA0ACE">
            <w:pPr>
              <w:pStyle w:val="DHHStabletext"/>
              <w:jc w:val="center"/>
              <w:rPr>
                <w:sz w:val="18"/>
                <w:szCs w:val="18"/>
              </w:rPr>
            </w:pPr>
            <w:r w:rsidRPr="007970BD">
              <w:rPr>
                <w:sz w:val="18"/>
                <w:szCs w:val="18"/>
              </w:rPr>
              <w:t>(1%)</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D06DA" w14:textId="77777777" w:rsidR="00D00E5F" w:rsidRPr="007970BD" w:rsidRDefault="00D00E5F" w:rsidP="00FA0ACE">
            <w:pPr>
              <w:pStyle w:val="DHHStabletext"/>
              <w:jc w:val="center"/>
              <w:rPr>
                <w:sz w:val="18"/>
                <w:szCs w:val="18"/>
              </w:rPr>
            </w:pPr>
            <w:r w:rsidRPr="007970BD">
              <w:rPr>
                <w:sz w:val="18"/>
                <w:szCs w:val="18"/>
              </w:rPr>
              <w:t>1</w:t>
            </w:r>
          </w:p>
          <w:p w14:paraId="40DCB090" w14:textId="77777777" w:rsidR="00D00E5F" w:rsidRPr="007970BD" w:rsidRDefault="00D00E5F" w:rsidP="00FA0ACE">
            <w:pPr>
              <w:pStyle w:val="DHHStabletext"/>
              <w:jc w:val="center"/>
              <w:rPr>
                <w:sz w:val="18"/>
                <w:szCs w:val="18"/>
              </w:rPr>
            </w:pPr>
            <w:r w:rsidRPr="007970BD">
              <w:rPr>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6E5635" w14:textId="77777777" w:rsidR="00D00E5F" w:rsidRPr="007970BD" w:rsidRDefault="00D00E5F" w:rsidP="00FA0ACE">
            <w:pPr>
              <w:pStyle w:val="DHHStabletext"/>
              <w:jc w:val="center"/>
              <w:rPr>
                <w:sz w:val="18"/>
                <w:szCs w:val="18"/>
              </w:rPr>
            </w:pPr>
            <w:r w:rsidRPr="007970BD">
              <w:rPr>
                <w:sz w:val="18"/>
                <w:szCs w:val="18"/>
              </w:rPr>
              <w:t>12</w:t>
            </w:r>
          </w:p>
          <w:p w14:paraId="3CEE1D8D" w14:textId="77777777" w:rsidR="00D00E5F" w:rsidRPr="007970BD" w:rsidRDefault="00D00E5F" w:rsidP="00FA0ACE">
            <w:pPr>
              <w:pStyle w:val="DHHStabletext"/>
              <w:jc w:val="center"/>
              <w:rPr>
                <w:sz w:val="18"/>
                <w:szCs w:val="18"/>
              </w:rPr>
            </w:pPr>
            <w:r w:rsidRPr="007970BD">
              <w:rPr>
                <w:sz w:val="18"/>
                <w:szCs w:val="18"/>
              </w:rPr>
              <w:t>(8%)</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06C16" w14:textId="77777777" w:rsidR="00D00E5F" w:rsidRPr="007970BD" w:rsidRDefault="00D00E5F" w:rsidP="00FA0ACE">
            <w:pPr>
              <w:pStyle w:val="DHHStabletext"/>
              <w:jc w:val="center"/>
              <w:rPr>
                <w:sz w:val="18"/>
                <w:szCs w:val="18"/>
              </w:rPr>
            </w:pPr>
            <w:r w:rsidRPr="007970BD">
              <w:rPr>
                <w:sz w:val="18"/>
                <w:szCs w:val="18"/>
              </w:rPr>
              <w:t>126</w:t>
            </w:r>
          </w:p>
          <w:p w14:paraId="436F54DE" w14:textId="77777777" w:rsidR="00D00E5F" w:rsidRPr="007970BD" w:rsidRDefault="00D00E5F" w:rsidP="00FA0ACE">
            <w:pPr>
              <w:pStyle w:val="DHHStabletext"/>
              <w:jc w:val="center"/>
              <w:rPr>
                <w:sz w:val="18"/>
                <w:szCs w:val="18"/>
              </w:rPr>
            </w:pPr>
            <w:r w:rsidRPr="007970BD">
              <w:rPr>
                <w:sz w:val="18"/>
                <w:szCs w:val="18"/>
              </w:rPr>
              <w:t>(89%)</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7B06D"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D80F08"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C559AF" w14:textId="77777777" w:rsidR="00D00E5F" w:rsidRPr="007970BD" w:rsidRDefault="00D00E5F" w:rsidP="00FA0ACE">
            <w:pPr>
              <w:pStyle w:val="DHHStabletext"/>
              <w:jc w:val="center"/>
              <w:rPr>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210E55C2" w14:textId="77777777" w:rsidR="00D00E5F" w:rsidRPr="007970BD" w:rsidRDefault="00D00E5F" w:rsidP="00FA0ACE">
            <w:pPr>
              <w:pStyle w:val="DHHStabletext"/>
              <w:jc w:val="center"/>
              <w:rPr>
                <w:sz w:val="18"/>
                <w:szCs w:val="18"/>
              </w:rPr>
            </w:pPr>
            <w:r w:rsidRPr="007970BD">
              <w:rPr>
                <w:sz w:val="18"/>
                <w:szCs w:val="18"/>
              </w:rPr>
              <w:t>1</w:t>
            </w:r>
          </w:p>
          <w:p w14:paraId="3DFCBC62" w14:textId="77777777" w:rsidR="00D00E5F" w:rsidRPr="007970BD" w:rsidRDefault="00D00E5F" w:rsidP="00FA0ACE">
            <w:pPr>
              <w:pStyle w:val="DHHStabletext"/>
              <w:jc w:val="center"/>
              <w:rPr>
                <w:sz w:val="18"/>
                <w:szCs w:val="18"/>
              </w:rPr>
            </w:pPr>
            <w:r w:rsidRPr="007970BD">
              <w:rPr>
                <w:sz w:val="18"/>
                <w:szCs w:val="18"/>
              </w:rPr>
              <w:t>(1%)</w:t>
            </w: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D3CB54" w14:textId="03CE2CAD" w:rsidR="007F0866" w:rsidRPr="007970BD" w:rsidRDefault="00D00E5F" w:rsidP="00FA0ACE">
            <w:pPr>
              <w:pStyle w:val="DHHStabletext"/>
              <w:jc w:val="center"/>
              <w:rPr>
                <w:sz w:val="18"/>
                <w:szCs w:val="18"/>
              </w:rPr>
            </w:pPr>
            <w:r w:rsidRPr="007970BD">
              <w:rPr>
                <w:sz w:val="18"/>
                <w:szCs w:val="18"/>
              </w:rPr>
              <w:t>142</w:t>
            </w:r>
          </w:p>
          <w:p w14:paraId="0F2C132F"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33A1F34B" w14:textId="77777777" w:rsidTr="007970BD">
        <w:trPr>
          <w:trHeight w:val="510"/>
          <w:jc w:val="center"/>
        </w:trPr>
        <w:tc>
          <w:tcPr>
            <w:tcW w:w="1077" w:type="dxa"/>
            <w:shd w:val="clear" w:color="auto" w:fill="auto"/>
            <w:vAlign w:val="center"/>
          </w:tcPr>
          <w:p w14:paraId="02F56370"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GRICS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F47424" w14:textId="77777777" w:rsidR="00D00E5F" w:rsidRPr="007970BD" w:rsidRDefault="00D00E5F" w:rsidP="00FA0ACE">
            <w:pPr>
              <w:pStyle w:val="DHHStabletext"/>
              <w:jc w:val="center"/>
              <w:rPr>
                <w:sz w:val="18"/>
                <w:szCs w:val="18"/>
              </w:rPr>
            </w:pPr>
            <w:r w:rsidRPr="007970BD">
              <w:rPr>
                <w:sz w:val="18"/>
                <w:szCs w:val="18"/>
              </w:rPr>
              <w:t>6</w:t>
            </w:r>
          </w:p>
          <w:p w14:paraId="2F184241" w14:textId="77777777" w:rsidR="00D00E5F" w:rsidRPr="007970BD" w:rsidRDefault="00D00E5F" w:rsidP="00FA0ACE">
            <w:pPr>
              <w:pStyle w:val="DHHStabletext"/>
              <w:jc w:val="center"/>
              <w:rPr>
                <w:sz w:val="18"/>
                <w:szCs w:val="18"/>
              </w:rPr>
            </w:pPr>
            <w:r w:rsidRPr="007970BD">
              <w:rPr>
                <w:sz w:val="18"/>
                <w:szCs w:val="18"/>
              </w:rPr>
              <w:t>(5%)</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B2726E" w14:textId="77777777" w:rsidR="00AD54DB" w:rsidRPr="007970BD" w:rsidRDefault="00D00E5F" w:rsidP="00FA0ACE">
            <w:pPr>
              <w:pStyle w:val="DHHStabletext"/>
              <w:jc w:val="center"/>
              <w:rPr>
                <w:sz w:val="18"/>
                <w:szCs w:val="18"/>
              </w:rPr>
            </w:pPr>
            <w:r w:rsidRPr="007970BD">
              <w:rPr>
                <w:sz w:val="18"/>
                <w:szCs w:val="18"/>
              </w:rPr>
              <w:t>59</w:t>
            </w:r>
          </w:p>
          <w:p w14:paraId="68DCD65A" w14:textId="77777777" w:rsidR="00D00E5F" w:rsidRPr="007970BD" w:rsidRDefault="00D00E5F" w:rsidP="00FA0ACE">
            <w:pPr>
              <w:pStyle w:val="DHHStabletext"/>
              <w:jc w:val="center"/>
              <w:rPr>
                <w:sz w:val="18"/>
                <w:szCs w:val="18"/>
              </w:rPr>
            </w:pPr>
            <w:r w:rsidRPr="007970BD">
              <w:rPr>
                <w:sz w:val="18"/>
                <w:szCs w:val="18"/>
              </w:rPr>
              <w:t>(47%)</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82637" w14:textId="77777777" w:rsidR="00D00E5F" w:rsidRPr="007970BD" w:rsidRDefault="00D00E5F" w:rsidP="00FA0ACE">
            <w:pPr>
              <w:pStyle w:val="DHHStabletext"/>
              <w:jc w:val="center"/>
              <w:rPr>
                <w:sz w:val="18"/>
                <w:szCs w:val="18"/>
              </w:rPr>
            </w:pPr>
            <w:r w:rsidRPr="007970BD">
              <w:rPr>
                <w:sz w:val="18"/>
                <w:szCs w:val="18"/>
              </w:rPr>
              <w:t>49</w:t>
            </w:r>
          </w:p>
          <w:p w14:paraId="687EFEEB" w14:textId="77777777" w:rsidR="00D00E5F" w:rsidRPr="007970BD" w:rsidRDefault="00D00E5F" w:rsidP="00FA0ACE">
            <w:pPr>
              <w:pStyle w:val="DHHStabletext"/>
              <w:jc w:val="center"/>
              <w:rPr>
                <w:sz w:val="18"/>
                <w:szCs w:val="18"/>
              </w:rPr>
            </w:pPr>
            <w:r w:rsidRPr="007970BD">
              <w:rPr>
                <w:sz w:val="18"/>
                <w:szCs w:val="18"/>
              </w:rPr>
              <w:t>(39%)</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066FC9" w14:textId="77777777" w:rsidR="00D00E5F" w:rsidRPr="007970BD" w:rsidRDefault="00D00E5F" w:rsidP="00FA0ACE">
            <w:pPr>
              <w:pStyle w:val="DHHStabletext"/>
              <w:jc w:val="center"/>
              <w:rPr>
                <w:sz w:val="18"/>
                <w:szCs w:val="18"/>
              </w:rPr>
            </w:pPr>
            <w:r w:rsidRPr="007970BD">
              <w:rPr>
                <w:sz w:val="18"/>
                <w:szCs w:val="18"/>
              </w:rPr>
              <w:t>2</w:t>
            </w:r>
          </w:p>
          <w:p w14:paraId="70FB59DE" w14:textId="77777777" w:rsidR="00D00E5F" w:rsidRPr="007970BD" w:rsidRDefault="00D00E5F" w:rsidP="00FA0ACE">
            <w:pPr>
              <w:pStyle w:val="DHHStabletext"/>
              <w:jc w:val="center"/>
              <w:rPr>
                <w:sz w:val="18"/>
                <w:szCs w:val="18"/>
              </w:rPr>
            </w:pPr>
            <w:r w:rsidRPr="007970BD">
              <w:rPr>
                <w:sz w:val="18"/>
                <w:szCs w:val="18"/>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3908F" w14:textId="77777777" w:rsidR="00D00E5F" w:rsidRPr="007970BD" w:rsidRDefault="00D00E5F" w:rsidP="00FA0ACE">
            <w:pPr>
              <w:pStyle w:val="DHHStabletext"/>
              <w:jc w:val="center"/>
              <w:rPr>
                <w:sz w:val="18"/>
                <w:szCs w:val="18"/>
              </w:rPr>
            </w:pPr>
            <w:r w:rsidRPr="007970BD">
              <w:rPr>
                <w:sz w:val="18"/>
                <w:szCs w:val="18"/>
              </w:rPr>
              <w:t>10</w:t>
            </w:r>
          </w:p>
          <w:p w14:paraId="04BDA1FC" w14:textId="77777777" w:rsidR="00D00E5F" w:rsidRPr="007970BD" w:rsidRDefault="00D00E5F" w:rsidP="00FA0ACE">
            <w:pPr>
              <w:pStyle w:val="DHHStabletext"/>
              <w:jc w:val="center"/>
              <w:rPr>
                <w:sz w:val="18"/>
                <w:szCs w:val="18"/>
              </w:rPr>
            </w:pPr>
            <w:r w:rsidRPr="007970BD">
              <w:rPr>
                <w:sz w:val="18"/>
                <w:szCs w:val="18"/>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FBE08A"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1FD7A" w14:textId="77777777" w:rsidR="00D00E5F" w:rsidRPr="007970BD" w:rsidRDefault="00D00E5F" w:rsidP="00FA0ACE">
            <w:pPr>
              <w:pStyle w:val="DHHStabletext"/>
              <w:jc w:val="center"/>
              <w:rPr>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EC60829" w14:textId="77777777" w:rsidR="00D00E5F" w:rsidRPr="007970BD" w:rsidRDefault="00D00E5F" w:rsidP="00FA0ACE">
            <w:pPr>
              <w:pStyle w:val="DHHStabletext"/>
              <w:jc w:val="center"/>
              <w:rPr>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33FABE" w14:textId="1794AB89" w:rsidR="007F0866" w:rsidRPr="007970BD" w:rsidRDefault="00D00E5F" w:rsidP="00FA0ACE">
            <w:pPr>
              <w:pStyle w:val="DHHStabletext"/>
              <w:jc w:val="center"/>
              <w:rPr>
                <w:sz w:val="18"/>
                <w:szCs w:val="18"/>
              </w:rPr>
            </w:pPr>
            <w:r w:rsidRPr="007970BD">
              <w:rPr>
                <w:sz w:val="18"/>
                <w:szCs w:val="18"/>
              </w:rPr>
              <w:t>126</w:t>
            </w:r>
          </w:p>
          <w:p w14:paraId="4B270970"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1379C958" w14:textId="77777777" w:rsidTr="007970BD">
        <w:trPr>
          <w:trHeight w:val="510"/>
          <w:jc w:val="center"/>
        </w:trPr>
        <w:tc>
          <w:tcPr>
            <w:tcW w:w="1077" w:type="dxa"/>
            <w:shd w:val="clear" w:color="auto" w:fill="auto"/>
            <w:vAlign w:val="center"/>
          </w:tcPr>
          <w:p w14:paraId="66FF4369" w14:textId="2E2824E0" w:rsidR="00D00E5F" w:rsidRPr="007970BD" w:rsidRDefault="00D00E5F" w:rsidP="00FA0ACE">
            <w:pPr>
              <w:pStyle w:val="DHHStabletext"/>
              <w:jc w:val="center"/>
              <w:rPr>
                <w:sz w:val="18"/>
                <w:szCs w:val="18"/>
              </w:rPr>
            </w:pPr>
            <w:r w:rsidRPr="007970BD">
              <w:rPr>
                <w:rFonts w:eastAsia="Arial"/>
                <w:sz w:val="18"/>
                <w:szCs w:val="18"/>
                <w:lang w:val="en-US" w:eastAsia="en-AU"/>
              </w:rPr>
              <w:t>HRICS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C9F1B4" w14:textId="77777777" w:rsidR="00D00E5F" w:rsidRPr="007970BD" w:rsidRDefault="00D00E5F" w:rsidP="00FA0ACE">
            <w:pPr>
              <w:pStyle w:val="DHHStabletext"/>
              <w:jc w:val="center"/>
              <w:rPr>
                <w:sz w:val="18"/>
                <w:szCs w:val="18"/>
              </w:rPr>
            </w:pPr>
            <w:r w:rsidRPr="007970BD">
              <w:rPr>
                <w:sz w:val="18"/>
                <w:szCs w:val="18"/>
              </w:rPr>
              <w:t>10</w:t>
            </w:r>
          </w:p>
          <w:p w14:paraId="034A6913" w14:textId="77777777" w:rsidR="00D00E5F" w:rsidRPr="007970BD" w:rsidRDefault="00D00E5F" w:rsidP="00FA0ACE">
            <w:pPr>
              <w:pStyle w:val="DHHStabletext"/>
              <w:jc w:val="center"/>
              <w:rPr>
                <w:sz w:val="18"/>
                <w:szCs w:val="18"/>
              </w:rPr>
            </w:pPr>
            <w:r w:rsidRPr="007970BD">
              <w:rPr>
                <w:sz w:val="18"/>
                <w:szCs w:val="18"/>
              </w:rPr>
              <w:t>(16%)</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DB9D8" w14:textId="77777777" w:rsidR="00AD54DB" w:rsidRPr="007970BD" w:rsidRDefault="00D00E5F" w:rsidP="00FA0ACE">
            <w:pPr>
              <w:pStyle w:val="DHHStabletext"/>
              <w:jc w:val="center"/>
              <w:rPr>
                <w:sz w:val="18"/>
                <w:szCs w:val="18"/>
              </w:rPr>
            </w:pPr>
            <w:r w:rsidRPr="007970BD">
              <w:rPr>
                <w:sz w:val="18"/>
                <w:szCs w:val="18"/>
              </w:rPr>
              <w:t>8</w:t>
            </w:r>
          </w:p>
          <w:p w14:paraId="1BBF794D" w14:textId="77777777" w:rsidR="00D00E5F" w:rsidRPr="007970BD" w:rsidRDefault="00D00E5F" w:rsidP="00FA0ACE">
            <w:pPr>
              <w:pStyle w:val="DHHStabletext"/>
              <w:jc w:val="center"/>
              <w:rPr>
                <w:sz w:val="18"/>
                <w:szCs w:val="18"/>
              </w:rPr>
            </w:pPr>
            <w:r w:rsidRPr="007970BD">
              <w:rPr>
                <w:sz w:val="18"/>
                <w:szCs w:val="18"/>
              </w:rPr>
              <w:t>(13%)</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9D43AF" w14:textId="77777777" w:rsidR="00D00E5F" w:rsidRPr="007970BD" w:rsidRDefault="00D00E5F" w:rsidP="00FA0ACE">
            <w:pPr>
              <w:pStyle w:val="DHHStabletext"/>
              <w:jc w:val="center"/>
              <w:rPr>
                <w:sz w:val="18"/>
                <w:szCs w:val="18"/>
              </w:rPr>
            </w:pPr>
            <w:r w:rsidRPr="007970BD">
              <w:rPr>
                <w:sz w:val="18"/>
                <w:szCs w:val="18"/>
              </w:rPr>
              <w:t>35</w:t>
            </w:r>
          </w:p>
          <w:p w14:paraId="7B3A59B3" w14:textId="77777777" w:rsidR="00D00E5F" w:rsidRPr="007970BD" w:rsidRDefault="00D00E5F" w:rsidP="00FA0ACE">
            <w:pPr>
              <w:pStyle w:val="DHHStabletext"/>
              <w:jc w:val="center"/>
              <w:rPr>
                <w:sz w:val="18"/>
                <w:szCs w:val="18"/>
              </w:rPr>
            </w:pPr>
            <w:r w:rsidRPr="007970BD">
              <w:rPr>
                <w:sz w:val="18"/>
                <w:szCs w:val="18"/>
              </w:rPr>
              <w:t>(56%)</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03306"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021E8F"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B2253" w14:textId="77777777" w:rsidR="00D00E5F" w:rsidRPr="007970BD" w:rsidRDefault="00D00E5F" w:rsidP="00FA0ACE">
            <w:pPr>
              <w:pStyle w:val="DHHStabletext"/>
              <w:jc w:val="center"/>
              <w:rPr>
                <w:sz w:val="18"/>
                <w:szCs w:val="18"/>
              </w:rPr>
            </w:pPr>
            <w:r w:rsidRPr="007970BD">
              <w:rPr>
                <w:sz w:val="18"/>
                <w:szCs w:val="18"/>
              </w:rPr>
              <w:t>10</w:t>
            </w:r>
          </w:p>
          <w:p w14:paraId="5640A3D7" w14:textId="77777777" w:rsidR="00D00E5F" w:rsidRPr="007970BD" w:rsidRDefault="00D00E5F" w:rsidP="00FA0ACE">
            <w:pPr>
              <w:pStyle w:val="DHHStabletext"/>
              <w:jc w:val="center"/>
              <w:rPr>
                <w:sz w:val="18"/>
                <w:szCs w:val="18"/>
              </w:rPr>
            </w:pPr>
            <w:r w:rsidRPr="007970BD">
              <w:rPr>
                <w:sz w:val="18"/>
                <w:szCs w:val="18"/>
              </w:rPr>
              <w:t>(16%)</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DA5935" w14:textId="77777777" w:rsidR="00D00E5F" w:rsidRPr="007970BD" w:rsidRDefault="00D00E5F" w:rsidP="00FA0ACE">
            <w:pPr>
              <w:pStyle w:val="DHHStabletext"/>
              <w:jc w:val="center"/>
              <w:rPr>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B9D0186" w14:textId="77777777" w:rsidR="00D00E5F" w:rsidRPr="007970BD" w:rsidRDefault="00D00E5F" w:rsidP="00FA0ACE">
            <w:pPr>
              <w:pStyle w:val="DHHStabletext"/>
              <w:jc w:val="center"/>
              <w:rPr>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03F29" w14:textId="3D857392" w:rsidR="007F0866" w:rsidRPr="007970BD" w:rsidRDefault="00D00E5F" w:rsidP="00FA0ACE">
            <w:pPr>
              <w:pStyle w:val="DHHStabletext"/>
              <w:jc w:val="center"/>
              <w:rPr>
                <w:sz w:val="18"/>
                <w:szCs w:val="18"/>
              </w:rPr>
            </w:pPr>
            <w:r w:rsidRPr="007970BD">
              <w:rPr>
                <w:sz w:val="18"/>
                <w:szCs w:val="18"/>
              </w:rPr>
              <w:t>63</w:t>
            </w:r>
          </w:p>
          <w:p w14:paraId="4E93B454"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005277CF" w14:textId="77777777" w:rsidTr="007970BD">
        <w:trPr>
          <w:trHeight w:val="510"/>
          <w:jc w:val="center"/>
        </w:trPr>
        <w:tc>
          <w:tcPr>
            <w:tcW w:w="1077" w:type="dxa"/>
            <w:shd w:val="clear" w:color="auto" w:fill="auto"/>
            <w:vAlign w:val="center"/>
          </w:tcPr>
          <w:p w14:paraId="422DEBBE"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LMICS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B9A964" w14:textId="77777777" w:rsidR="00D00E5F" w:rsidRPr="007970BD" w:rsidRDefault="00D00E5F" w:rsidP="00FA0ACE">
            <w:pPr>
              <w:pStyle w:val="DHHStabletext"/>
              <w:jc w:val="center"/>
              <w:rPr>
                <w:sz w:val="18"/>
                <w:szCs w:val="18"/>
              </w:rPr>
            </w:pPr>
            <w:r w:rsidRPr="007970BD">
              <w:rPr>
                <w:sz w:val="18"/>
                <w:szCs w:val="18"/>
              </w:rPr>
              <w:t>3</w:t>
            </w:r>
          </w:p>
          <w:p w14:paraId="4BA46B92" w14:textId="77777777" w:rsidR="00D00E5F" w:rsidRPr="007970BD" w:rsidRDefault="00D00E5F" w:rsidP="00FA0ACE">
            <w:pPr>
              <w:pStyle w:val="DHHStabletext"/>
              <w:jc w:val="center"/>
              <w:rPr>
                <w:sz w:val="18"/>
                <w:szCs w:val="18"/>
              </w:rPr>
            </w:pPr>
            <w:r w:rsidRPr="007970BD">
              <w:rPr>
                <w:sz w:val="18"/>
                <w:szCs w:val="18"/>
              </w:rPr>
              <w:t>(3%)</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BF9ED2" w14:textId="77777777" w:rsidR="00D00E5F" w:rsidRPr="007970BD" w:rsidRDefault="00D00E5F" w:rsidP="00FA0ACE">
            <w:pPr>
              <w:pStyle w:val="DHHStabletext"/>
              <w:jc w:val="center"/>
              <w:rPr>
                <w:sz w:val="18"/>
                <w:szCs w:val="18"/>
              </w:rPr>
            </w:pPr>
            <w:r w:rsidRPr="007970BD">
              <w:rPr>
                <w:sz w:val="18"/>
                <w:szCs w:val="18"/>
              </w:rPr>
              <w:t>5</w:t>
            </w:r>
          </w:p>
          <w:p w14:paraId="3B3CD5E0" w14:textId="77777777" w:rsidR="00D00E5F" w:rsidRPr="007970BD" w:rsidRDefault="00D00E5F" w:rsidP="00FA0ACE">
            <w:pPr>
              <w:pStyle w:val="DHHStabletext"/>
              <w:jc w:val="center"/>
              <w:rPr>
                <w:sz w:val="18"/>
                <w:szCs w:val="18"/>
              </w:rPr>
            </w:pPr>
            <w:r w:rsidRPr="007970BD">
              <w:rPr>
                <w:sz w:val="18"/>
                <w:szCs w:val="18"/>
              </w:rPr>
              <w:t>(5%)</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E5C852" w14:textId="77777777" w:rsidR="00D00E5F" w:rsidRPr="007970BD" w:rsidRDefault="00D00E5F" w:rsidP="00FA0ACE">
            <w:pPr>
              <w:pStyle w:val="DHHStabletext"/>
              <w:jc w:val="center"/>
              <w:rPr>
                <w:sz w:val="18"/>
                <w:szCs w:val="18"/>
              </w:rPr>
            </w:pPr>
            <w:r w:rsidRPr="007970BD">
              <w:rPr>
                <w:sz w:val="18"/>
                <w:szCs w:val="18"/>
              </w:rPr>
              <w:t>59</w:t>
            </w:r>
          </w:p>
          <w:p w14:paraId="3542B261" w14:textId="77777777" w:rsidR="00D00E5F" w:rsidRPr="007970BD" w:rsidRDefault="00D00E5F" w:rsidP="00FA0ACE">
            <w:pPr>
              <w:pStyle w:val="DHHStabletext"/>
              <w:jc w:val="center"/>
              <w:rPr>
                <w:sz w:val="18"/>
                <w:szCs w:val="18"/>
              </w:rPr>
            </w:pPr>
            <w:r w:rsidRPr="007970BD">
              <w:rPr>
                <w:sz w:val="18"/>
                <w:szCs w:val="18"/>
              </w:rPr>
              <w:t>(55%)</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1FCBE"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09E621"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E696A"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AED0CA" w14:textId="77777777" w:rsidR="00D00E5F" w:rsidRPr="007970BD" w:rsidRDefault="00D00E5F" w:rsidP="00FA0ACE">
            <w:pPr>
              <w:pStyle w:val="DHHStabletext"/>
              <w:jc w:val="center"/>
              <w:rPr>
                <w:sz w:val="18"/>
                <w:szCs w:val="18"/>
              </w:rPr>
            </w:pPr>
            <w:r w:rsidRPr="007970BD">
              <w:rPr>
                <w:sz w:val="18"/>
                <w:szCs w:val="18"/>
              </w:rPr>
              <w:t>33</w:t>
            </w:r>
          </w:p>
          <w:p w14:paraId="338CA196" w14:textId="77777777" w:rsidR="00D00E5F" w:rsidRPr="007970BD" w:rsidRDefault="00D00E5F" w:rsidP="00FA0ACE">
            <w:pPr>
              <w:pStyle w:val="DHHStabletext"/>
              <w:jc w:val="center"/>
              <w:rPr>
                <w:sz w:val="18"/>
                <w:szCs w:val="18"/>
              </w:rPr>
            </w:pPr>
            <w:r w:rsidRPr="007970BD">
              <w:rPr>
                <w:sz w:val="18"/>
                <w:szCs w:val="18"/>
              </w:rPr>
              <w:t>(31%)</w:t>
            </w: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51FC6EB" w14:textId="77777777" w:rsidR="00D00E5F" w:rsidRPr="007970BD" w:rsidRDefault="00D00E5F" w:rsidP="00FA0ACE">
            <w:pPr>
              <w:pStyle w:val="DHHStabletext"/>
              <w:jc w:val="center"/>
              <w:rPr>
                <w:sz w:val="18"/>
                <w:szCs w:val="18"/>
              </w:rPr>
            </w:pPr>
            <w:r w:rsidRPr="007970BD">
              <w:rPr>
                <w:sz w:val="18"/>
                <w:szCs w:val="18"/>
              </w:rPr>
              <w:t>8</w:t>
            </w:r>
          </w:p>
          <w:p w14:paraId="1F1EED88" w14:textId="77777777" w:rsidR="00D00E5F" w:rsidRPr="007970BD" w:rsidRDefault="00D00E5F" w:rsidP="00FA0ACE">
            <w:pPr>
              <w:pStyle w:val="DHHStabletext"/>
              <w:jc w:val="center"/>
              <w:rPr>
                <w:sz w:val="18"/>
                <w:szCs w:val="18"/>
              </w:rPr>
            </w:pPr>
            <w:r w:rsidRPr="007970BD">
              <w:rPr>
                <w:sz w:val="18"/>
                <w:szCs w:val="18"/>
              </w:rPr>
              <w:t>(7%)</w:t>
            </w: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B2AD0" w14:textId="43AF88D9" w:rsidR="007F0866" w:rsidRPr="007970BD" w:rsidRDefault="00D00E5F" w:rsidP="00FA0ACE">
            <w:pPr>
              <w:pStyle w:val="DHHStabletext"/>
              <w:jc w:val="center"/>
              <w:rPr>
                <w:sz w:val="18"/>
                <w:szCs w:val="18"/>
              </w:rPr>
            </w:pPr>
            <w:r w:rsidRPr="007970BD">
              <w:rPr>
                <w:sz w:val="18"/>
                <w:szCs w:val="18"/>
              </w:rPr>
              <w:t>108</w:t>
            </w:r>
          </w:p>
          <w:p w14:paraId="75F62E13"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02FB3EA5" w14:textId="77777777" w:rsidTr="007970BD">
        <w:trPr>
          <w:trHeight w:val="510"/>
          <w:jc w:val="center"/>
        </w:trPr>
        <w:tc>
          <w:tcPr>
            <w:tcW w:w="1077" w:type="dxa"/>
            <w:shd w:val="clear" w:color="auto" w:fill="auto"/>
            <w:vAlign w:val="center"/>
          </w:tcPr>
          <w:p w14:paraId="76CAE43D"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GICS</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A2E029" w14:textId="77777777" w:rsidR="00D00E5F" w:rsidRPr="007970BD" w:rsidRDefault="00D00E5F" w:rsidP="00FA0ACE">
            <w:pPr>
              <w:pStyle w:val="DHHStabletext"/>
              <w:jc w:val="center"/>
              <w:rPr>
                <w:sz w:val="18"/>
                <w:szCs w:val="18"/>
              </w:rPr>
            </w:pPr>
            <w:r w:rsidRPr="007970BD">
              <w:rPr>
                <w:sz w:val="18"/>
                <w:szCs w:val="18"/>
              </w:rPr>
              <w:t>2</w:t>
            </w:r>
          </w:p>
          <w:p w14:paraId="637E719D" w14:textId="77777777" w:rsidR="00D00E5F" w:rsidRPr="007970BD" w:rsidRDefault="00D00E5F" w:rsidP="00FA0ACE">
            <w:pPr>
              <w:pStyle w:val="DHHStabletext"/>
              <w:jc w:val="center"/>
              <w:rPr>
                <w:sz w:val="18"/>
                <w:szCs w:val="18"/>
              </w:rPr>
            </w:pPr>
            <w:r w:rsidRPr="007970BD">
              <w:rPr>
                <w:sz w:val="18"/>
                <w:szCs w:val="18"/>
              </w:rPr>
              <w:t>(2%)</w:t>
            </w:r>
          </w:p>
        </w:tc>
        <w:tc>
          <w:tcPr>
            <w:tcW w:w="9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D98362" w14:textId="77777777" w:rsidR="00D00E5F" w:rsidRPr="007970BD" w:rsidRDefault="00D00E5F" w:rsidP="00FA0ACE">
            <w:pPr>
              <w:pStyle w:val="DHHStabletext"/>
              <w:jc w:val="center"/>
              <w:rPr>
                <w:sz w:val="18"/>
                <w:szCs w:val="18"/>
              </w:rPr>
            </w:pPr>
            <w:r w:rsidRPr="007970BD">
              <w:rPr>
                <w:sz w:val="18"/>
                <w:szCs w:val="18"/>
              </w:rPr>
              <w:t>3</w:t>
            </w:r>
          </w:p>
          <w:p w14:paraId="2791F6EF" w14:textId="77777777" w:rsidR="00D00E5F" w:rsidRPr="007970BD" w:rsidRDefault="00D00E5F" w:rsidP="00FA0ACE">
            <w:pPr>
              <w:pStyle w:val="DHHStabletext"/>
              <w:jc w:val="center"/>
              <w:rPr>
                <w:sz w:val="18"/>
                <w:szCs w:val="18"/>
              </w:rPr>
            </w:pPr>
            <w:r w:rsidRPr="007970BD">
              <w:rPr>
                <w:sz w:val="18"/>
                <w:szCs w:val="18"/>
              </w:rPr>
              <w:t>(3%)</w:t>
            </w:r>
          </w:p>
        </w:tc>
        <w:tc>
          <w:tcPr>
            <w:tcW w:w="10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BAE85F" w14:textId="77777777" w:rsidR="00D00E5F" w:rsidRPr="007970BD" w:rsidRDefault="00D00E5F" w:rsidP="00FA0ACE">
            <w:pPr>
              <w:pStyle w:val="DHHStabletext"/>
              <w:jc w:val="center"/>
              <w:rPr>
                <w:sz w:val="18"/>
                <w:szCs w:val="18"/>
              </w:rPr>
            </w:pPr>
            <w:r w:rsidRPr="007970BD">
              <w:rPr>
                <w:sz w:val="18"/>
                <w:szCs w:val="18"/>
              </w:rPr>
              <w:t>24</w:t>
            </w:r>
          </w:p>
          <w:p w14:paraId="0E714B2C" w14:textId="77777777" w:rsidR="00D00E5F" w:rsidRPr="007970BD" w:rsidRDefault="00D00E5F" w:rsidP="00FA0ACE">
            <w:pPr>
              <w:pStyle w:val="DHHStabletext"/>
              <w:jc w:val="center"/>
              <w:rPr>
                <w:sz w:val="18"/>
                <w:szCs w:val="18"/>
              </w:rPr>
            </w:pPr>
            <w:r w:rsidRPr="007970BD">
              <w:rPr>
                <w:sz w:val="18"/>
                <w:szCs w:val="18"/>
              </w:rPr>
              <w:t>(28%)</w:t>
            </w:r>
          </w:p>
        </w:tc>
        <w:tc>
          <w:tcPr>
            <w:tcW w:w="10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5D957A" w14:textId="77777777" w:rsidR="00D00E5F" w:rsidRPr="007970BD" w:rsidRDefault="00D00E5F" w:rsidP="00FA0ACE">
            <w:pPr>
              <w:pStyle w:val="DHHStabletext"/>
              <w:jc w:val="center"/>
              <w:rPr>
                <w:sz w:val="18"/>
                <w:szCs w:val="18"/>
              </w:rPr>
            </w:pPr>
            <w:r w:rsidRPr="007970BD">
              <w:rPr>
                <w:sz w:val="18"/>
                <w:szCs w:val="18"/>
              </w:rPr>
              <w:t>7</w:t>
            </w:r>
          </w:p>
          <w:p w14:paraId="403C2F87" w14:textId="77777777" w:rsidR="00D00E5F" w:rsidRPr="007970BD" w:rsidRDefault="00D00E5F" w:rsidP="00FA0ACE">
            <w:pPr>
              <w:pStyle w:val="DHHStabletext"/>
              <w:jc w:val="center"/>
              <w:rPr>
                <w:sz w:val="18"/>
                <w:szCs w:val="18"/>
              </w:rPr>
            </w:pPr>
            <w:r w:rsidRPr="007970BD">
              <w:rPr>
                <w:sz w:val="18"/>
                <w:szCs w:val="18"/>
              </w:rPr>
              <w:t>(8%)</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F82F73"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12DB6" w14:textId="77777777" w:rsidR="00D00E5F" w:rsidRPr="007970BD" w:rsidRDefault="00D00E5F" w:rsidP="00FA0ACE">
            <w:pPr>
              <w:pStyle w:val="DHHStabletext"/>
              <w:jc w:val="center"/>
              <w:rPr>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837E47" w14:textId="77777777" w:rsidR="00D00E5F" w:rsidRPr="007970BD" w:rsidRDefault="00D00E5F" w:rsidP="00FA0ACE">
            <w:pPr>
              <w:pStyle w:val="DHHStabletext"/>
              <w:jc w:val="center"/>
              <w:rPr>
                <w:sz w:val="18"/>
                <w:szCs w:val="18"/>
              </w:rPr>
            </w:pPr>
            <w:r w:rsidRPr="007970BD">
              <w:rPr>
                <w:sz w:val="18"/>
                <w:szCs w:val="18"/>
              </w:rPr>
              <w:t>1</w:t>
            </w:r>
          </w:p>
          <w:p w14:paraId="5990377E" w14:textId="77777777" w:rsidR="00D00E5F" w:rsidRPr="007970BD" w:rsidRDefault="00D00E5F" w:rsidP="00FA0ACE">
            <w:pPr>
              <w:pStyle w:val="DHHStabletext"/>
              <w:jc w:val="center"/>
              <w:rPr>
                <w:sz w:val="18"/>
                <w:szCs w:val="18"/>
              </w:rPr>
            </w:pPr>
            <w:r w:rsidRPr="007970BD">
              <w:rPr>
                <w:sz w:val="18"/>
                <w:szCs w:val="18"/>
              </w:rPr>
              <w:t>(1%)</w:t>
            </w:r>
          </w:p>
        </w:tc>
        <w:tc>
          <w:tcPr>
            <w:tcW w:w="794" w:type="dxa"/>
            <w:tcBorders>
              <w:top w:val="single" w:sz="6" w:space="0" w:color="000000"/>
              <w:left w:val="single" w:sz="6" w:space="0" w:color="000000"/>
              <w:bottom w:val="single" w:sz="6" w:space="0" w:color="000000"/>
              <w:right w:val="single" w:sz="8" w:space="0" w:color="000000"/>
            </w:tcBorders>
            <w:shd w:val="clear" w:color="auto" w:fill="auto"/>
            <w:vAlign w:val="center"/>
          </w:tcPr>
          <w:p w14:paraId="0CADC47A" w14:textId="77777777" w:rsidR="00D00E5F" w:rsidRPr="007970BD" w:rsidRDefault="00D00E5F" w:rsidP="00FA0ACE">
            <w:pPr>
              <w:pStyle w:val="DHHStabletext"/>
              <w:jc w:val="center"/>
              <w:rPr>
                <w:sz w:val="18"/>
                <w:szCs w:val="18"/>
              </w:rPr>
            </w:pPr>
            <w:r w:rsidRPr="007970BD">
              <w:rPr>
                <w:sz w:val="18"/>
                <w:szCs w:val="18"/>
              </w:rPr>
              <w:t>50</w:t>
            </w:r>
          </w:p>
          <w:p w14:paraId="01573EC9" w14:textId="77777777" w:rsidR="00D00E5F" w:rsidRPr="007970BD" w:rsidRDefault="00D00E5F" w:rsidP="00FA0ACE">
            <w:pPr>
              <w:pStyle w:val="DHHStabletext"/>
              <w:jc w:val="center"/>
              <w:rPr>
                <w:sz w:val="18"/>
                <w:szCs w:val="18"/>
              </w:rPr>
            </w:pPr>
            <w:r w:rsidRPr="007970BD">
              <w:rPr>
                <w:sz w:val="18"/>
                <w:szCs w:val="18"/>
              </w:rPr>
              <w:t>(57%)</w:t>
            </w: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05CEB" w14:textId="4021BA62" w:rsidR="007F0866" w:rsidRPr="007970BD" w:rsidRDefault="00D00E5F" w:rsidP="00FA0ACE">
            <w:pPr>
              <w:pStyle w:val="DHHStabletext"/>
              <w:jc w:val="center"/>
              <w:rPr>
                <w:sz w:val="18"/>
                <w:szCs w:val="18"/>
              </w:rPr>
            </w:pPr>
            <w:r w:rsidRPr="007970BD">
              <w:rPr>
                <w:sz w:val="18"/>
                <w:szCs w:val="18"/>
              </w:rPr>
              <w:t>87</w:t>
            </w:r>
          </w:p>
          <w:p w14:paraId="0DC96A2F" w14:textId="77777777" w:rsidR="00D00E5F" w:rsidRPr="007970BD" w:rsidRDefault="00D00E5F" w:rsidP="00FA0ACE">
            <w:pPr>
              <w:pStyle w:val="DHHStabletext"/>
              <w:jc w:val="center"/>
              <w:rPr>
                <w:sz w:val="18"/>
                <w:szCs w:val="18"/>
              </w:rPr>
            </w:pPr>
            <w:r w:rsidRPr="007970BD">
              <w:rPr>
                <w:sz w:val="18"/>
                <w:szCs w:val="18"/>
              </w:rPr>
              <w:t>(100%)</w:t>
            </w:r>
          </w:p>
        </w:tc>
      </w:tr>
      <w:tr w:rsidR="006732EB" w:rsidRPr="006732EB" w14:paraId="5C05C0B5" w14:textId="77777777" w:rsidTr="007970BD">
        <w:trPr>
          <w:jc w:val="center"/>
        </w:trPr>
        <w:tc>
          <w:tcPr>
            <w:tcW w:w="1077" w:type="dxa"/>
            <w:shd w:val="clear" w:color="auto" w:fill="auto"/>
            <w:vAlign w:val="center"/>
          </w:tcPr>
          <w:p w14:paraId="7B9EE630" w14:textId="77777777" w:rsidR="00D00E5F" w:rsidRPr="007970BD" w:rsidRDefault="00D00E5F" w:rsidP="00FA0ACE">
            <w:pPr>
              <w:pStyle w:val="DHHStabletext"/>
              <w:jc w:val="center"/>
              <w:rPr>
                <w:sz w:val="18"/>
                <w:szCs w:val="18"/>
              </w:rPr>
            </w:pPr>
            <w:r w:rsidRPr="007970BD">
              <w:rPr>
                <w:rFonts w:eastAsia="Arial"/>
                <w:sz w:val="18"/>
                <w:szCs w:val="18"/>
                <w:lang w:val="en-US" w:eastAsia="en-AU"/>
              </w:rPr>
              <w:t>T</w:t>
            </w:r>
            <w:r w:rsidR="0019389E" w:rsidRPr="007970BD">
              <w:rPr>
                <w:rFonts w:eastAsia="Arial"/>
                <w:sz w:val="18"/>
                <w:szCs w:val="18"/>
                <w:lang w:val="en-US" w:eastAsia="en-AU"/>
              </w:rPr>
              <w:t>otal</w:t>
            </w:r>
          </w:p>
        </w:tc>
        <w:tc>
          <w:tcPr>
            <w:tcW w:w="964" w:type="dxa"/>
            <w:shd w:val="clear" w:color="auto" w:fill="auto"/>
            <w:vAlign w:val="center"/>
          </w:tcPr>
          <w:p w14:paraId="19F1C860" w14:textId="77777777" w:rsidR="00D00E5F" w:rsidRPr="007970BD" w:rsidRDefault="003D3491" w:rsidP="00FA0ACE">
            <w:pPr>
              <w:pStyle w:val="DHHStabletext"/>
              <w:jc w:val="center"/>
              <w:rPr>
                <w:sz w:val="18"/>
                <w:szCs w:val="18"/>
              </w:rPr>
            </w:pPr>
            <w:r w:rsidRPr="007970BD">
              <w:rPr>
                <w:sz w:val="18"/>
                <w:szCs w:val="18"/>
              </w:rPr>
              <w:t>275</w:t>
            </w:r>
          </w:p>
        </w:tc>
        <w:tc>
          <w:tcPr>
            <w:tcW w:w="964" w:type="dxa"/>
            <w:shd w:val="clear" w:color="auto" w:fill="auto"/>
            <w:vAlign w:val="center"/>
          </w:tcPr>
          <w:p w14:paraId="6BA0C04C" w14:textId="77777777" w:rsidR="00D00E5F" w:rsidRPr="007970BD" w:rsidRDefault="0019389E" w:rsidP="00FA0ACE">
            <w:pPr>
              <w:pStyle w:val="DHHStabletext"/>
              <w:jc w:val="center"/>
              <w:rPr>
                <w:sz w:val="18"/>
                <w:szCs w:val="18"/>
              </w:rPr>
            </w:pPr>
            <w:r w:rsidRPr="007970BD">
              <w:rPr>
                <w:sz w:val="18"/>
                <w:szCs w:val="18"/>
              </w:rPr>
              <w:t>531</w:t>
            </w:r>
          </w:p>
        </w:tc>
        <w:tc>
          <w:tcPr>
            <w:tcW w:w="1020" w:type="dxa"/>
            <w:shd w:val="clear" w:color="auto" w:fill="auto"/>
            <w:vAlign w:val="center"/>
          </w:tcPr>
          <w:p w14:paraId="10FE1102" w14:textId="77777777" w:rsidR="00D00E5F" w:rsidRPr="007970BD" w:rsidRDefault="0019389E" w:rsidP="00FA0ACE">
            <w:pPr>
              <w:pStyle w:val="DHHStabletext"/>
              <w:jc w:val="center"/>
              <w:rPr>
                <w:sz w:val="18"/>
                <w:szCs w:val="18"/>
              </w:rPr>
            </w:pPr>
            <w:r w:rsidRPr="007970BD">
              <w:rPr>
                <w:sz w:val="18"/>
                <w:szCs w:val="18"/>
              </w:rPr>
              <w:t>879</w:t>
            </w:r>
          </w:p>
        </w:tc>
        <w:tc>
          <w:tcPr>
            <w:tcW w:w="1077" w:type="dxa"/>
            <w:shd w:val="clear" w:color="auto" w:fill="auto"/>
            <w:vAlign w:val="center"/>
          </w:tcPr>
          <w:p w14:paraId="7DDF34B1" w14:textId="77777777" w:rsidR="00D00E5F" w:rsidRPr="007970BD" w:rsidRDefault="0019389E" w:rsidP="00FA0ACE">
            <w:pPr>
              <w:pStyle w:val="DHHStabletext"/>
              <w:jc w:val="center"/>
              <w:rPr>
                <w:sz w:val="18"/>
                <w:szCs w:val="18"/>
              </w:rPr>
            </w:pPr>
            <w:r w:rsidRPr="007970BD">
              <w:rPr>
                <w:sz w:val="18"/>
                <w:szCs w:val="18"/>
              </w:rPr>
              <w:t>138</w:t>
            </w:r>
          </w:p>
        </w:tc>
        <w:tc>
          <w:tcPr>
            <w:tcW w:w="850" w:type="dxa"/>
            <w:shd w:val="clear" w:color="auto" w:fill="auto"/>
            <w:vAlign w:val="center"/>
          </w:tcPr>
          <w:p w14:paraId="76F568A0" w14:textId="77777777" w:rsidR="00D00E5F" w:rsidRPr="007970BD" w:rsidRDefault="0019389E" w:rsidP="00FA0ACE">
            <w:pPr>
              <w:pStyle w:val="DHHStabletext"/>
              <w:jc w:val="center"/>
              <w:rPr>
                <w:sz w:val="18"/>
                <w:szCs w:val="18"/>
              </w:rPr>
            </w:pPr>
            <w:r w:rsidRPr="007970BD">
              <w:rPr>
                <w:sz w:val="18"/>
                <w:szCs w:val="18"/>
              </w:rPr>
              <w:t>10</w:t>
            </w:r>
          </w:p>
        </w:tc>
        <w:tc>
          <w:tcPr>
            <w:tcW w:w="850" w:type="dxa"/>
            <w:shd w:val="clear" w:color="auto" w:fill="auto"/>
            <w:vAlign w:val="center"/>
          </w:tcPr>
          <w:p w14:paraId="3FBBCBEB" w14:textId="77777777" w:rsidR="00D00E5F" w:rsidRPr="007970BD" w:rsidRDefault="0019389E" w:rsidP="00FA0ACE">
            <w:pPr>
              <w:pStyle w:val="DHHStabletext"/>
              <w:jc w:val="center"/>
              <w:rPr>
                <w:sz w:val="18"/>
                <w:szCs w:val="18"/>
              </w:rPr>
            </w:pPr>
            <w:r w:rsidRPr="007970BD">
              <w:rPr>
                <w:sz w:val="18"/>
                <w:szCs w:val="18"/>
              </w:rPr>
              <w:t>10</w:t>
            </w:r>
          </w:p>
        </w:tc>
        <w:tc>
          <w:tcPr>
            <w:tcW w:w="850" w:type="dxa"/>
            <w:shd w:val="clear" w:color="auto" w:fill="auto"/>
            <w:vAlign w:val="center"/>
          </w:tcPr>
          <w:p w14:paraId="228AD1B6" w14:textId="77777777" w:rsidR="00D00E5F" w:rsidRPr="007970BD" w:rsidRDefault="0019389E" w:rsidP="00FA0ACE">
            <w:pPr>
              <w:pStyle w:val="DHHStabletext"/>
              <w:jc w:val="center"/>
              <w:rPr>
                <w:sz w:val="18"/>
                <w:szCs w:val="18"/>
              </w:rPr>
            </w:pPr>
            <w:r w:rsidRPr="007970BD">
              <w:rPr>
                <w:sz w:val="18"/>
                <w:szCs w:val="18"/>
              </w:rPr>
              <w:t>34</w:t>
            </w:r>
          </w:p>
        </w:tc>
        <w:tc>
          <w:tcPr>
            <w:tcW w:w="794" w:type="dxa"/>
            <w:shd w:val="clear" w:color="auto" w:fill="auto"/>
            <w:vAlign w:val="center"/>
          </w:tcPr>
          <w:p w14:paraId="429BF6B4" w14:textId="77777777" w:rsidR="00D00E5F" w:rsidRPr="007970BD" w:rsidRDefault="0019389E" w:rsidP="00FA0ACE">
            <w:pPr>
              <w:pStyle w:val="DHHStabletext"/>
              <w:jc w:val="center"/>
              <w:rPr>
                <w:sz w:val="18"/>
                <w:szCs w:val="18"/>
              </w:rPr>
            </w:pPr>
            <w:r w:rsidRPr="007970BD">
              <w:rPr>
                <w:sz w:val="18"/>
                <w:szCs w:val="18"/>
              </w:rPr>
              <w:t>59</w:t>
            </w:r>
          </w:p>
        </w:tc>
        <w:tc>
          <w:tcPr>
            <w:tcW w:w="907" w:type="dxa"/>
            <w:shd w:val="clear" w:color="auto" w:fill="auto"/>
            <w:vAlign w:val="center"/>
          </w:tcPr>
          <w:p w14:paraId="74542B15" w14:textId="77777777" w:rsidR="00D00E5F" w:rsidRPr="007970BD" w:rsidRDefault="0019389E" w:rsidP="00FA0ACE">
            <w:pPr>
              <w:pStyle w:val="DHHStabletext"/>
              <w:jc w:val="center"/>
              <w:rPr>
                <w:sz w:val="18"/>
                <w:szCs w:val="18"/>
              </w:rPr>
            </w:pPr>
            <w:r w:rsidRPr="007970BD">
              <w:rPr>
                <w:sz w:val="18"/>
                <w:szCs w:val="18"/>
              </w:rPr>
              <w:t>1,936</w:t>
            </w:r>
          </w:p>
        </w:tc>
      </w:tr>
    </w:tbl>
    <w:p w14:paraId="668FC5BD" w14:textId="141F48D3" w:rsidR="009F31D4" w:rsidRPr="009F31D4" w:rsidRDefault="007D2D14" w:rsidP="009F31D4">
      <w:pPr>
        <w:pStyle w:val="DHHStablefigurenote"/>
        <w:rPr>
          <w:rFonts w:eastAsia="Times"/>
          <w:lang w:val="en-US"/>
        </w:rPr>
      </w:pPr>
      <w:r>
        <w:rPr>
          <w:rFonts w:eastAsia="Times"/>
          <w:lang w:val="en-US"/>
        </w:rPr>
        <w:t xml:space="preserve">Note </w:t>
      </w:r>
      <w:r w:rsidR="009F31D4">
        <w:rPr>
          <w:rFonts w:eastAsia="Times"/>
          <w:lang w:val="en-US"/>
        </w:rPr>
        <w:t>HRICS</w:t>
      </w:r>
      <w:r w:rsidR="009F31D4" w:rsidRPr="006D25D3">
        <w:rPr>
          <w:rFonts w:eastAsia="Times"/>
          <w:lang w:val="en-US"/>
        </w:rPr>
        <w:t xml:space="preserve"> data limitation</w:t>
      </w:r>
      <w:r>
        <w:rPr>
          <w:rFonts w:eastAsia="Times"/>
          <w:lang w:val="en-US"/>
        </w:rPr>
        <w:t>.</w:t>
      </w:r>
    </w:p>
    <w:p w14:paraId="45897BCC" w14:textId="6E7701DF" w:rsidR="005035BE" w:rsidRDefault="005035BE" w:rsidP="0062597E">
      <w:pPr>
        <w:pStyle w:val="DHHSbody"/>
      </w:pPr>
      <w:r>
        <w:br w:type="page"/>
      </w:r>
    </w:p>
    <w:p w14:paraId="465F0F1C" w14:textId="28E8F9B5" w:rsidR="008037FB" w:rsidRDefault="008037FB" w:rsidP="008037FB">
      <w:pPr>
        <w:pStyle w:val="DHHStablecaption"/>
      </w:pPr>
      <w:bookmarkStart w:id="34" w:name="_Ref3977577"/>
      <w:bookmarkStart w:id="35" w:name="_Toc22722838"/>
      <w:r>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4</w:t>
      </w:r>
      <w:r w:rsidR="00954022">
        <w:rPr>
          <w:noProof/>
        </w:rPr>
        <w:fldChar w:fldCharType="end"/>
      </w:r>
      <w:bookmarkEnd w:id="34"/>
      <w:r>
        <w:t xml:space="preserve">: </w:t>
      </w:r>
      <w:r w:rsidR="00AD54DB">
        <w:t>Head and neck cancer p</w:t>
      </w:r>
      <w:r>
        <w:t>atient flow</w:t>
      </w:r>
      <w:r w:rsidR="00B6368E">
        <w:t xml:space="preserve"> for</w:t>
      </w:r>
      <w:r>
        <w:t xml:space="preserve"> </w:t>
      </w:r>
      <w:r w:rsidR="00DB735A">
        <w:t>radical radiotherapy</w:t>
      </w:r>
      <w:r w:rsidR="00B56CD5">
        <w:t xml:space="preserve">, by </w:t>
      </w:r>
      <w:r w:rsidR="00BC152D">
        <w:t xml:space="preserve">ICS of residence and ICS of </w:t>
      </w:r>
      <w:r w:rsidR="00B56CD5">
        <w:t>treatment</w:t>
      </w:r>
      <w:r w:rsidR="00DB735A">
        <w:t xml:space="preserve"> </w:t>
      </w:r>
      <w:r>
        <w:t>(</w:t>
      </w:r>
      <w:r w:rsidR="00C6280C">
        <w:t xml:space="preserve">diagnosed </w:t>
      </w:r>
      <w:r>
        <w:t>2012</w:t>
      </w:r>
      <w:r w:rsidR="00C6280C">
        <w:t>–</w:t>
      </w:r>
      <w:r>
        <w:t>2016)</w:t>
      </w:r>
      <w:bookmarkEnd w:id="35"/>
    </w:p>
    <w:tbl>
      <w:tblPr>
        <w:tblStyle w:val="TableGrid"/>
        <w:tblW w:w="9353" w:type="dxa"/>
        <w:jc w:val="center"/>
        <w:tblInd w:w="0" w:type="dxa"/>
        <w:tblLayout w:type="fixed"/>
        <w:tblLook w:val="04A0" w:firstRow="1" w:lastRow="0" w:firstColumn="1" w:lastColumn="0" w:noHBand="0" w:noVBand="1"/>
      </w:tblPr>
      <w:tblGrid>
        <w:gridCol w:w="1077"/>
        <w:gridCol w:w="964"/>
        <w:gridCol w:w="964"/>
        <w:gridCol w:w="1020"/>
        <w:gridCol w:w="1077"/>
        <w:gridCol w:w="850"/>
        <w:gridCol w:w="850"/>
        <w:gridCol w:w="850"/>
        <w:gridCol w:w="794"/>
        <w:gridCol w:w="907"/>
      </w:tblGrid>
      <w:tr w:rsidR="00034DB0" w:rsidRPr="006732EB" w14:paraId="7004EA00" w14:textId="77777777" w:rsidTr="00F8532B">
        <w:trPr>
          <w:cantSplit/>
          <w:trHeight w:val="1379"/>
          <w:tblHeader/>
          <w:jc w:val="center"/>
        </w:trPr>
        <w:tc>
          <w:tcPr>
            <w:tcW w:w="1077" w:type="dxa"/>
            <w:textDirection w:val="btLr"/>
            <w:vAlign w:val="center"/>
          </w:tcPr>
          <w:p w14:paraId="2AF6E37B" w14:textId="4E80E71C" w:rsidR="00034DB0" w:rsidRPr="007970BD" w:rsidRDefault="00034DB0" w:rsidP="00F8532B">
            <w:pPr>
              <w:pStyle w:val="DHHStablecolhead"/>
              <w:ind w:left="113" w:right="113"/>
              <w:jc w:val="center"/>
              <w:rPr>
                <w:sz w:val="18"/>
                <w:szCs w:val="18"/>
              </w:rPr>
            </w:pPr>
            <w:r w:rsidRPr="007970BD">
              <w:rPr>
                <w:sz w:val="18"/>
                <w:szCs w:val="18"/>
              </w:rPr>
              <w:t>ICS of residence</w:t>
            </w:r>
            <w:r w:rsidR="00BC152D">
              <w:rPr>
                <w:sz w:val="18"/>
                <w:szCs w:val="18"/>
              </w:rPr>
              <w:t xml:space="preserve"> / </w:t>
            </w:r>
            <w:r w:rsidR="004F79DC">
              <w:rPr>
                <w:sz w:val="18"/>
                <w:szCs w:val="18"/>
              </w:rPr>
              <w:t xml:space="preserve">ICS of </w:t>
            </w:r>
            <w:r w:rsidR="00BC152D">
              <w:rPr>
                <w:sz w:val="18"/>
                <w:szCs w:val="18"/>
              </w:rPr>
              <w:t>treatment</w:t>
            </w:r>
          </w:p>
        </w:tc>
        <w:tc>
          <w:tcPr>
            <w:tcW w:w="964" w:type="dxa"/>
            <w:textDirection w:val="btLr"/>
            <w:vAlign w:val="center"/>
          </w:tcPr>
          <w:p w14:paraId="5C81A944"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NEMICS</w:t>
            </w:r>
          </w:p>
        </w:tc>
        <w:tc>
          <w:tcPr>
            <w:tcW w:w="964" w:type="dxa"/>
            <w:textDirection w:val="btLr"/>
            <w:vAlign w:val="center"/>
          </w:tcPr>
          <w:p w14:paraId="75478FC2"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SMICS</w:t>
            </w:r>
          </w:p>
        </w:tc>
        <w:tc>
          <w:tcPr>
            <w:tcW w:w="1020" w:type="dxa"/>
            <w:textDirection w:val="btLr"/>
            <w:vAlign w:val="center"/>
          </w:tcPr>
          <w:p w14:paraId="5563018F"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WCMICS</w:t>
            </w:r>
          </w:p>
        </w:tc>
        <w:tc>
          <w:tcPr>
            <w:tcW w:w="1077" w:type="dxa"/>
            <w:textDirection w:val="btLr"/>
            <w:vAlign w:val="center"/>
          </w:tcPr>
          <w:p w14:paraId="523F9CFF"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BSWRICS</w:t>
            </w:r>
          </w:p>
        </w:tc>
        <w:tc>
          <w:tcPr>
            <w:tcW w:w="850" w:type="dxa"/>
            <w:textDirection w:val="btLr"/>
            <w:vAlign w:val="center"/>
          </w:tcPr>
          <w:p w14:paraId="6D76B881"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GRICS</w:t>
            </w:r>
          </w:p>
        </w:tc>
        <w:tc>
          <w:tcPr>
            <w:tcW w:w="850" w:type="dxa"/>
            <w:textDirection w:val="btLr"/>
            <w:vAlign w:val="center"/>
          </w:tcPr>
          <w:p w14:paraId="7E910CD8"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HRICS</w:t>
            </w:r>
          </w:p>
        </w:tc>
        <w:tc>
          <w:tcPr>
            <w:tcW w:w="850" w:type="dxa"/>
            <w:textDirection w:val="btLr"/>
            <w:vAlign w:val="center"/>
          </w:tcPr>
          <w:p w14:paraId="1DA6AE89"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LMICS</w:t>
            </w:r>
          </w:p>
        </w:tc>
        <w:tc>
          <w:tcPr>
            <w:tcW w:w="794" w:type="dxa"/>
            <w:textDirection w:val="btLr"/>
            <w:vAlign w:val="center"/>
          </w:tcPr>
          <w:p w14:paraId="1E827F2F"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GICS</w:t>
            </w:r>
          </w:p>
        </w:tc>
        <w:tc>
          <w:tcPr>
            <w:tcW w:w="907" w:type="dxa"/>
            <w:textDirection w:val="btLr"/>
            <w:vAlign w:val="center"/>
          </w:tcPr>
          <w:p w14:paraId="0F55F782" w14:textId="77777777" w:rsidR="00034DB0" w:rsidRPr="007970BD" w:rsidRDefault="00034DB0" w:rsidP="00BC152D">
            <w:pPr>
              <w:pStyle w:val="DHHStablecolhead"/>
              <w:ind w:left="113" w:right="113"/>
              <w:jc w:val="center"/>
              <w:rPr>
                <w:sz w:val="18"/>
                <w:szCs w:val="18"/>
              </w:rPr>
            </w:pPr>
            <w:r w:rsidRPr="007970BD">
              <w:rPr>
                <w:rFonts w:eastAsia="Arial"/>
                <w:sz w:val="18"/>
                <w:szCs w:val="18"/>
                <w:lang w:val="en-US" w:eastAsia="en-AU"/>
              </w:rPr>
              <w:t>Total</w:t>
            </w:r>
          </w:p>
        </w:tc>
      </w:tr>
      <w:tr w:rsidR="00034DB0" w:rsidRPr="006732EB" w14:paraId="07FF5388" w14:textId="77777777" w:rsidTr="007970BD">
        <w:trPr>
          <w:jc w:val="center"/>
        </w:trPr>
        <w:tc>
          <w:tcPr>
            <w:tcW w:w="1077" w:type="dxa"/>
            <w:shd w:val="clear" w:color="auto" w:fill="auto"/>
            <w:vAlign w:val="center"/>
          </w:tcPr>
          <w:p w14:paraId="0791EF8D"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NEMICS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1AA0034C"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200</w:t>
            </w:r>
          </w:p>
          <w:p w14:paraId="796D6CAA" w14:textId="07AB4D2F" w:rsidR="00034DB0" w:rsidRPr="007970BD" w:rsidRDefault="00034DB0" w:rsidP="00034DB0">
            <w:pPr>
              <w:pStyle w:val="DHHStabletext"/>
              <w:jc w:val="center"/>
              <w:rPr>
                <w:rFonts w:cs="Arial"/>
                <w:sz w:val="18"/>
                <w:szCs w:val="18"/>
              </w:rPr>
            </w:pPr>
            <w:r w:rsidRPr="007970BD">
              <w:rPr>
                <w:rFonts w:cs="Arial"/>
                <w:sz w:val="18"/>
                <w:szCs w:val="18"/>
              </w:rPr>
              <w:t>(44%)</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50D1A2C6"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38</w:t>
            </w:r>
          </w:p>
          <w:p w14:paraId="62122CC0" w14:textId="155E562E" w:rsidR="00034DB0" w:rsidRPr="007970BD" w:rsidRDefault="00034DB0" w:rsidP="00034DB0">
            <w:pPr>
              <w:pStyle w:val="DHHStabletext"/>
              <w:jc w:val="center"/>
              <w:rPr>
                <w:rFonts w:cs="Arial"/>
                <w:sz w:val="18"/>
                <w:szCs w:val="18"/>
              </w:rPr>
            </w:pPr>
            <w:r w:rsidRPr="007970BD">
              <w:rPr>
                <w:rFonts w:cs="Arial"/>
                <w:sz w:val="18"/>
                <w:szCs w:val="18"/>
              </w:rPr>
              <w:t>(8%)</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73683D8B"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217</w:t>
            </w:r>
          </w:p>
          <w:p w14:paraId="67CA6870" w14:textId="010DE87F" w:rsidR="00034DB0" w:rsidRPr="007970BD" w:rsidRDefault="00034DB0" w:rsidP="00034DB0">
            <w:pPr>
              <w:pStyle w:val="DHHStabletext"/>
              <w:jc w:val="center"/>
              <w:rPr>
                <w:rFonts w:cs="Arial"/>
                <w:sz w:val="18"/>
                <w:szCs w:val="18"/>
              </w:rPr>
            </w:pPr>
            <w:r w:rsidRPr="007970BD">
              <w:rPr>
                <w:rFonts w:cs="Arial"/>
                <w:sz w:val="18"/>
                <w:szCs w:val="18"/>
              </w:rPr>
              <w:t>(47%)</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5B157038"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07F04E2"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D9D124D"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03EB4B90" w14:textId="05F35A7D" w:rsidR="00034DB0" w:rsidRPr="007970BD" w:rsidRDefault="00034DB0" w:rsidP="00034DB0">
            <w:pPr>
              <w:pStyle w:val="DHHStabletext"/>
              <w:jc w:val="center"/>
              <w:rPr>
                <w:rFonts w:cs="Arial"/>
                <w:sz w:val="18"/>
                <w:szCs w:val="18"/>
              </w:rPr>
            </w:pPr>
            <w:r w:rsidRPr="007970BD">
              <w:rPr>
                <w:rFonts w:cs="Arial"/>
                <w:sz w:val="18"/>
                <w:szCs w:val="18"/>
              </w:rPr>
              <w:t>(&lt;</w:t>
            </w:r>
            <w:r w:rsidR="00F62369">
              <w:rPr>
                <w:rFonts w:cs="Arial"/>
                <w:sz w:val="18"/>
                <w:szCs w:val="18"/>
              </w:rPr>
              <w:t xml:space="preserve"> </w:t>
            </w:r>
            <w:r w:rsidRPr="007970BD">
              <w:rPr>
                <w:rFonts w:cs="Arial"/>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4BE97A5" w14:textId="77777777" w:rsidR="00034DB0" w:rsidRPr="007970BD" w:rsidRDefault="00034DB0" w:rsidP="00034DB0">
            <w:pPr>
              <w:pStyle w:val="DHHStabletext"/>
              <w:jc w:val="center"/>
              <w:rPr>
                <w:rFonts w:cs="Arial"/>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4ECC87F5" w14:textId="77777777" w:rsidR="00034DB0" w:rsidRPr="007970BD" w:rsidRDefault="00034DB0" w:rsidP="00034DB0">
            <w:pPr>
              <w:pStyle w:val="DHHStabletext"/>
              <w:jc w:val="center"/>
              <w:rPr>
                <w:rFonts w:cs="Arial"/>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9E9999"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457</w:t>
            </w:r>
          </w:p>
          <w:p w14:paraId="6DC70B09" w14:textId="16773F5A"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2ED37545" w14:textId="77777777" w:rsidTr="007970BD">
        <w:trPr>
          <w:jc w:val="center"/>
        </w:trPr>
        <w:tc>
          <w:tcPr>
            <w:tcW w:w="1077" w:type="dxa"/>
            <w:shd w:val="clear" w:color="auto" w:fill="auto"/>
            <w:vAlign w:val="center"/>
          </w:tcPr>
          <w:p w14:paraId="6934343D"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SMICS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06A35C19"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5</w:t>
            </w:r>
          </w:p>
          <w:p w14:paraId="279D3A79" w14:textId="4410DB1C" w:rsidR="00034DB0" w:rsidRPr="007970BD" w:rsidRDefault="00034DB0" w:rsidP="00034DB0">
            <w:pPr>
              <w:pStyle w:val="DHHStabletext"/>
              <w:jc w:val="center"/>
              <w:rPr>
                <w:rFonts w:cs="Arial"/>
                <w:sz w:val="18"/>
                <w:szCs w:val="18"/>
              </w:rPr>
            </w:pPr>
            <w:r w:rsidRPr="007970BD">
              <w:rPr>
                <w:rFonts w:cs="Arial"/>
                <w:sz w:val="18"/>
                <w:szCs w:val="18"/>
              </w:rPr>
              <w:t>(1%)</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426CD72E"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213</w:t>
            </w:r>
          </w:p>
          <w:p w14:paraId="013B5092" w14:textId="6487E310" w:rsidR="00034DB0" w:rsidRPr="007970BD" w:rsidRDefault="00034DB0" w:rsidP="00034DB0">
            <w:pPr>
              <w:pStyle w:val="DHHStabletext"/>
              <w:jc w:val="center"/>
              <w:rPr>
                <w:rFonts w:cs="Arial"/>
                <w:sz w:val="18"/>
                <w:szCs w:val="18"/>
              </w:rPr>
            </w:pPr>
            <w:r w:rsidRPr="007970BD">
              <w:rPr>
                <w:rFonts w:cs="Arial"/>
                <w:sz w:val="18"/>
                <w:szCs w:val="18"/>
              </w:rPr>
              <w:t>(39%)</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563CFDB2"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323</w:t>
            </w:r>
          </w:p>
          <w:p w14:paraId="0CB9F191" w14:textId="7CDD6D1A" w:rsidR="00034DB0" w:rsidRPr="007970BD" w:rsidRDefault="00034DB0" w:rsidP="00034DB0">
            <w:pPr>
              <w:pStyle w:val="DHHStabletext"/>
              <w:jc w:val="center"/>
              <w:rPr>
                <w:rFonts w:cs="Arial"/>
                <w:sz w:val="18"/>
                <w:szCs w:val="18"/>
              </w:rPr>
            </w:pPr>
            <w:r w:rsidRPr="007970BD">
              <w:rPr>
                <w:rFonts w:cs="Arial"/>
                <w:sz w:val="18"/>
                <w:szCs w:val="18"/>
              </w:rPr>
              <w:t>(60%)</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5474FA40"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5AF7DAC"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26B15A65" w14:textId="63E319FE" w:rsidR="00034DB0" w:rsidRPr="007970BD" w:rsidRDefault="00034DB0" w:rsidP="00034DB0">
            <w:pPr>
              <w:pStyle w:val="DHHStabletext"/>
              <w:jc w:val="center"/>
              <w:rPr>
                <w:rFonts w:cs="Arial"/>
                <w:sz w:val="18"/>
                <w:szCs w:val="18"/>
              </w:rPr>
            </w:pPr>
            <w:r w:rsidRPr="007970BD">
              <w:rPr>
                <w:rFonts w:cs="Arial"/>
                <w:sz w:val="18"/>
                <w:szCs w:val="18"/>
              </w:rPr>
              <w:t>(&lt;</w:t>
            </w:r>
            <w:r w:rsidR="00F62369">
              <w:rPr>
                <w:rFonts w:cs="Arial"/>
                <w:sz w:val="18"/>
                <w:szCs w:val="18"/>
              </w:rPr>
              <w:t xml:space="preserve"> </w:t>
            </w:r>
            <w:r w:rsidRPr="007970BD">
              <w:rPr>
                <w:rFonts w:cs="Arial"/>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CE592CE"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E3DD8EF" w14:textId="77777777" w:rsidR="00034DB0" w:rsidRPr="007970BD" w:rsidRDefault="00034DB0" w:rsidP="00034DB0">
            <w:pPr>
              <w:pStyle w:val="DHHStabletext"/>
              <w:jc w:val="center"/>
              <w:rPr>
                <w:rFonts w:cs="Arial"/>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75B7F21B" w14:textId="77777777" w:rsidR="00034DB0" w:rsidRPr="007970BD" w:rsidRDefault="00034DB0" w:rsidP="00034DB0">
            <w:pPr>
              <w:pStyle w:val="DHHStabletext"/>
              <w:jc w:val="center"/>
              <w:rPr>
                <w:rFonts w:cs="Arial"/>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0B25FC"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542</w:t>
            </w:r>
          </w:p>
          <w:p w14:paraId="41993D5A" w14:textId="18BD2ED5"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2FE9978F" w14:textId="77777777" w:rsidTr="007970BD">
        <w:trPr>
          <w:jc w:val="center"/>
        </w:trPr>
        <w:tc>
          <w:tcPr>
            <w:tcW w:w="1077" w:type="dxa"/>
            <w:shd w:val="clear" w:color="auto" w:fill="auto"/>
            <w:vAlign w:val="center"/>
          </w:tcPr>
          <w:p w14:paraId="0146AE2A"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WCMICS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05DA0A44"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39</w:t>
            </w:r>
          </w:p>
          <w:p w14:paraId="4205D580" w14:textId="18C88356" w:rsidR="00034DB0" w:rsidRPr="007970BD" w:rsidRDefault="00034DB0" w:rsidP="00034DB0">
            <w:pPr>
              <w:pStyle w:val="DHHStabletext"/>
              <w:jc w:val="center"/>
              <w:rPr>
                <w:rFonts w:cs="Arial"/>
                <w:sz w:val="18"/>
                <w:szCs w:val="18"/>
              </w:rPr>
            </w:pPr>
            <w:r w:rsidRPr="007970BD">
              <w:rPr>
                <w:rFonts w:cs="Arial"/>
                <w:sz w:val="18"/>
                <w:szCs w:val="18"/>
              </w:rPr>
              <w:t>(10%)</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7A342525"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27</w:t>
            </w:r>
          </w:p>
          <w:p w14:paraId="43EF10C4" w14:textId="3D81E2CB" w:rsidR="00034DB0" w:rsidRPr="007970BD" w:rsidRDefault="00034DB0" w:rsidP="00034DB0">
            <w:pPr>
              <w:pStyle w:val="DHHStabletext"/>
              <w:jc w:val="center"/>
              <w:rPr>
                <w:rFonts w:cs="Arial"/>
                <w:sz w:val="18"/>
                <w:szCs w:val="18"/>
              </w:rPr>
            </w:pPr>
            <w:r w:rsidRPr="007970BD">
              <w:rPr>
                <w:rFonts w:cs="Arial"/>
                <w:sz w:val="18"/>
                <w:szCs w:val="18"/>
              </w:rPr>
              <w:t>(7%)</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33A5C6E3"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325</w:t>
            </w:r>
          </w:p>
          <w:p w14:paraId="02E0425D" w14:textId="79CBD0A6" w:rsidR="00034DB0" w:rsidRPr="007970BD" w:rsidRDefault="00034DB0" w:rsidP="00034DB0">
            <w:pPr>
              <w:pStyle w:val="DHHStabletext"/>
              <w:jc w:val="center"/>
              <w:rPr>
                <w:rFonts w:cs="Arial"/>
                <w:sz w:val="18"/>
                <w:szCs w:val="18"/>
              </w:rPr>
            </w:pPr>
            <w:r w:rsidRPr="007970BD">
              <w:rPr>
                <w:rFonts w:cs="Arial"/>
                <w:sz w:val="18"/>
                <w:szCs w:val="18"/>
              </w:rPr>
              <w:t>(82%)</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5CD389C6"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5</w:t>
            </w:r>
          </w:p>
          <w:p w14:paraId="772037E4" w14:textId="3A5954E2" w:rsidR="00034DB0" w:rsidRPr="007970BD" w:rsidRDefault="00034DB0" w:rsidP="00034DB0">
            <w:pPr>
              <w:pStyle w:val="DHHStabletext"/>
              <w:jc w:val="center"/>
              <w:rPr>
                <w:rFonts w:cs="Arial"/>
                <w:sz w:val="18"/>
                <w:szCs w:val="18"/>
              </w:rPr>
            </w:pPr>
            <w:r w:rsidRPr="007970BD">
              <w:rPr>
                <w:rFonts w:cs="Arial"/>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A0D3086"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70B408C"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01A47C8"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65B819B7" w14:textId="19ABB3E9" w:rsidR="00034DB0" w:rsidRPr="007970BD" w:rsidRDefault="00034DB0" w:rsidP="00034DB0">
            <w:pPr>
              <w:pStyle w:val="DHHStabletext"/>
              <w:jc w:val="center"/>
              <w:rPr>
                <w:rFonts w:cs="Arial"/>
                <w:sz w:val="18"/>
                <w:szCs w:val="18"/>
              </w:rPr>
            </w:pPr>
            <w:r w:rsidRPr="007970BD">
              <w:rPr>
                <w:rFonts w:cs="Arial"/>
                <w:sz w:val="18"/>
                <w:szCs w:val="18"/>
              </w:rPr>
              <w:t>(&lt;</w:t>
            </w:r>
            <w:r w:rsidR="00F62369">
              <w:rPr>
                <w:rFonts w:cs="Arial"/>
                <w:sz w:val="18"/>
                <w:szCs w:val="18"/>
              </w:rPr>
              <w:t xml:space="preserve"> </w:t>
            </w:r>
            <w:r w:rsidRPr="007970BD">
              <w:rPr>
                <w:rFonts w:cs="Arial"/>
                <w:sz w:val="18"/>
                <w:szCs w:val="18"/>
              </w:rPr>
              <w:t>1%)</w:t>
            </w: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55F2E4D2"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62BF8008" w14:textId="6B21ACE9" w:rsidR="00034DB0" w:rsidRPr="007970BD" w:rsidRDefault="00034DB0" w:rsidP="00034DB0">
            <w:pPr>
              <w:pStyle w:val="DHHStabletext"/>
              <w:jc w:val="center"/>
              <w:rPr>
                <w:rFonts w:cs="Arial"/>
                <w:sz w:val="18"/>
                <w:szCs w:val="18"/>
              </w:rPr>
            </w:pPr>
            <w:r w:rsidRPr="007970BD">
              <w:rPr>
                <w:rFonts w:cs="Arial"/>
                <w:sz w:val="18"/>
                <w:szCs w:val="18"/>
              </w:rPr>
              <w:t>(&lt;</w:t>
            </w:r>
            <w:r w:rsidR="00F62369">
              <w:rPr>
                <w:rFonts w:cs="Arial"/>
                <w:sz w:val="18"/>
                <w:szCs w:val="18"/>
              </w:rPr>
              <w:t xml:space="preserve"> </w:t>
            </w:r>
            <w:r w:rsidRPr="007970BD">
              <w:rPr>
                <w:rFonts w:cs="Arial"/>
                <w:sz w:val="18"/>
                <w:szCs w:val="18"/>
              </w:rPr>
              <w:t>1%)</w:t>
            </w: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95BA56"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 xml:space="preserve">398 </w:t>
            </w:r>
          </w:p>
          <w:p w14:paraId="737378AE" w14:textId="361A4B30"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619153FA" w14:textId="77777777" w:rsidTr="007970BD">
        <w:trPr>
          <w:jc w:val="center"/>
        </w:trPr>
        <w:tc>
          <w:tcPr>
            <w:tcW w:w="1077" w:type="dxa"/>
            <w:shd w:val="clear" w:color="auto" w:fill="auto"/>
            <w:vAlign w:val="center"/>
          </w:tcPr>
          <w:p w14:paraId="2F68159A"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BSWRICS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069432B9" w14:textId="29C33107" w:rsidR="00034DB0" w:rsidRPr="007970BD" w:rsidRDefault="00034DB0" w:rsidP="00034DB0">
            <w:pPr>
              <w:pStyle w:val="DHHStabletext"/>
              <w:jc w:val="center"/>
              <w:rPr>
                <w:rFonts w:cs="Arial"/>
                <w:sz w:val="18"/>
                <w:szCs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7147E477"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5A03EAAB" w14:textId="6E1492A7" w:rsidR="00034DB0" w:rsidRPr="007970BD" w:rsidRDefault="00034DB0" w:rsidP="00034DB0">
            <w:pPr>
              <w:pStyle w:val="DHHStabletext"/>
              <w:jc w:val="center"/>
              <w:rPr>
                <w:rFonts w:cs="Arial"/>
                <w:sz w:val="18"/>
                <w:szCs w:val="18"/>
              </w:rPr>
            </w:pPr>
            <w:r w:rsidRPr="007970BD">
              <w:rPr>
                <w:rFonts w:cs="Arial"/>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265AA936"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10</w:t>
            </w:r>
          </w:p>
          <w:p w14:paraId="55F352A8" w14:textId="7F1A4EE3" w:rsidR="00034DB0" w:rsidRPr="007970BD" w:rsidRDefault="00034DB0" w:rsidP="00034DB0">
            <w:pPr>
              <w:pStyle w:val="DHHStabletext"/>
              <w:jc w:val="center"/>
              <w:rPr>
                <w:rFonts w:cs="Arial"/>
                <w:sz w:val="18"/>
                <w:szCs w:val="18"/>
              </w:rPr>
            </w:pPr>
            <w:r w:rsidRPr="007970BD">
              <w:rPr>
                <w:rFonts w:cs="Arial"/>
                <w:sz w:val="18"/>
                <w:szCs w:val="18"/>
              </w:rPr>
              <w:t>(7%)</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5BDA08DB"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135</w:t>
            </w:r>
          </w:p>
          <w:p w14:paraId="6D8B693F" w14:textId="56928F47" w:rsidR="00034DB0" w:rsidRPr="007970BD" w:rsidRDefault="00034DB0" w:rsidP="00034DB0">
            <w:pPr>
              <w:pStyle w:val="DHHStabletext"/>
              <w:jc w:val="center"/>
              <w:rPr>
                <w:rFonts w:cs="Arial"/>
                <w:sz w:val="18"/>
                <w:szCs w:val="18"/>
              </w:rPr>
            </w:pPr>
            <w:r w:rsidRPr="007970BD">
              <w:rPr>
                <w:rFonts w:cs="Arial"/>
                <w:sz w:val="18"/>
                <w:szCs w:val="18"/>
              </w:rPr>
              <w:t>(91%)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8518502"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A685F98"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127F0BB" w14:textId="77777777" w:rsidR="00034DB0" w:rsidRPr="007970BD" w:rsidRDefault="00034DB0" w:rsidP="00034DB0">
            <w:pPr>
              <w:pStyle w:val="DHHStabletext"/>
              <w:jc w:val="center"/>
              <w:rPr>
                <w:rFonts w:cs="Arial"/>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4BB5D5F9"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w:t>
            </w:r>
          </w:p>
          <w:p w14:paraId="60BF988C" w14:textId="19DE9171" w:rsidR="00034DB0" w:rsidRPr="007970BD" w:rsidRDefault="00034DB0" w:rsidP="00034DB0">
            <w:pPr>
              <w:pStyle w:val="DHHStabletext"/>
              <w:jc w:val="center"/>
              <w:rPr>
                <w:rFonts w:cs="Arial"/>
                <w:sz w:val="18"/>
                <w:szCs w:val="18"/>
              </w:rPr>
            </w:pPr>
            <w:r w:rsidRPr="007970BD">
              <w:rPr>
                <w:rFonts w:cs="Arial"/>
                <w:sz w:val="18"/>
                <w:szCs w:val="18"/>
              </w:rPr>
              <w:t>(1%)</w:t>
            </w: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A8F295"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 xml:space="preserve">148 </w:t>
            </w:r>
          </w:p>
          <w:p w14:paraId="4D9B802E" w14:textId="226F04B7"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194D0EA2" w14:textId="77777777" w:rsidTr="007970BD">
        <w:trPr>
          <w:jc w:val="center"/>
        </w:trPr>
        <w:tc>
          <w:tcPr>
            <w:tcW w:w="1077" w:type="dxa"/>
            <w:shd w:val="clear" w:color="auto" w:fill="auto"/>
            <w:vAlign w:val="center"/>
          </w:tcPr>
          <w:p w14:paraId="1F4F93E9"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GRICS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691828B1"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w:t>
            </w:r>
          </w:p>
          <w:p w14:paraId="105A3659" w14:textId="5EDDEF55" w:rsidR="00034DB0" w:rsidRPr="007970BD" w:rsidRDefault="00034DB0" w:rsidP="00034DB0">
            <w:pPr>
              <w:pStyle w:val="DHHStabletext"/>
              <w:jc w:val="center"/>
              <w:rPr>
                <w:rFonts w:cs="Arial"/>
                <w:sz w:val="18"/>
                <w:szCs w:val="18"/>
              </w:rPr>
            </w:pPr>
            <w:r w:rsidRPr="007970BD">
              <w:rPr>
                <w:rFonts w:cs="Arial"/>
                <w:sz w:val="18"/>
                <w:szCs w:val="18"/>
              </w:rPr>
              <w:t>(2%)</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67B61AA4"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13</w:t>
            </w:r>
          </w:p>
          <w:p w14:paraId="0DD728C9" w14:textId="5028F7C5" w:rsidR="00034DB0" w:rsidRPr="007970BD" w:rsidRDefault="00034DB0" w:rsidP="00034DB0">
            <w:pPr>
              <w:pStyle w:val="DHHStabletext"/>
              <w:jc w:val="center"/>
              <w:rPr>
                <w:rFonts w:cs="Arial"/>
                <w:sz w:val="18"/>
                <w:szCs w:val="18"/>
              </w:rPr>
            </w:pPr>
            <w:r w:rsidRPr="007970BD">
              <w:rPr>
                <w:rFonts w:cs="Arial"/>
                <w:sz w:val="18"/>
                <w:szCs w:val="18"/>
              </w:rPr>
              <w:t>(10%)</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3D89DDA6"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83</w:t>
            </w:r>
          </w:p>
          <w:p w14:paraId="642B01FA" w14:textId="6D08FF05" w:rsidR="00034DB0" w:rsidRPr="007970BD" w:rsidRDefault="00034DB0" w:rsidP="00034DB0">
            <w:pPr>
              <w:pStyle w:val="DHHStabletext"/>
              <w:jc w:val="center"/>
              <w:rPr>
                <w:rFonts w:cs="Arial"/>
                <w:sz w:val="18"/>
                <w:szCs w:val="18"/>
              </w:rPr>
            </w:pPr>
            <w:r w:rsidRPr="007970BD">
              <w:rPr>
                <w:rFonts w:cs="Arial"/>
                <w:sz w:val="18"/>
                <w:szCs w:val="18"/>
              </w:rPr>
              <w:t>(65%)</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79B49603"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1D8B077E" w14:textId="1FEBD80B" w:rsidR="00034DB0" w:rsidRPr="007970BD" w:rsidRDefault="00034DB0" w:rsidP="00034DB0">
            <w:pPr>
              <w:pStyle w:val="DHHStabletext"/>
              <w:jc w:val="center"/>
              <w:rPr>
                <w:rFonts w:cs="Arial"/>
                <w:sz w:val="18"/>
                <w:szCs w:val="18"/>
              </w:rPr>
            </w:pPr>
            <w:r w:rsidRPr="007970BD">
              <w:rPr>
                <w:rFonts w:cs="Arial"/>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A82BA59"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29</w:t>
            </w:r>
          </w:p>
          <w:p w14:paraId="38C6DD78" w14:textId="3433C984" w:rsidR="00034DB0" w:rsidRPr="007970BD" w:rsidRDefault="00034DB0" w:rsidP="00034DB0">
            <w:pPr>
              <w:pStyle w:val="DHHStabletext"/>
              <w:jc w:val="center"/>
              <w:rPr>
                <w:rFonts w:cs="Arial"/>
                <w:sz w:val="18"/>
                <w:szCs w:val="18"/>
              </w:rPr>
            </w:pPr>
            <w:r w:rsidRPr="007970BD">
              <w:rPr>
                <w:rFonts w:cs="Arial"/>
                <w:sz w:val="18"/>
                <w:szCs w:val="18"/>
              </w:rPr>
              <w:t>(23%)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02B1A89"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0A5E0B8" w14:textId="77777777" w:rsidR="00034DB0" w:rsidRPr="007970BD" w:rsidRDefault="00034DB0" w:rsidP="00034DB0">
            <w:pPr>
              <w:pStyle w:val="DHHStabletext"/>
              <w:jc w:val="center"/>
              <w:rPr>
                <w:rFonts w:cs="Arial"/>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06AAE2B7" w14:textId="77777777" w:rsidR="00034DB0" w:rsidRPr="007970BD" w:rsidRDefault="00034DB0" w:rsidP="00034DB0">
            <w:pPr>
              <w:pStyle w:val="DHHStabletext"/>
              <w:jc w:val="center"/>
              <w:rPr>
                <w:rFonts w:cs="Arial"/>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9B06B4"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 xml:space="preserve">128 </w:t>
            </w:r>
          </w:p>
          <w:p w14:paraId="717B1121" w14:textId="285D1A55"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7AE4024B" w14:textId="77777777" w:rsidTr="007970BD">
        <w:trPr>
          <w:jc w:val="center"/>
        </w:trPr>
        <w:tc>
          <w:tcPr>
            <w:tcW w:w="1077" w:type="dxa"/>
            <w:shd w:val="clear" w:color="auto" w:fill="auto"/>
            <w:vAlign w:val="center"/>
          </w:tcPr>
          <w:p w14:paraId="3C372934"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HRICS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10F26451"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8</w:t>
            </w:r>
          </w:p>
          <w:p w14:paraId="1A1BB688" w14:textId="3DFF2176" w:rsidR="00034DB0" w:rsidRPr="007970BD" w:rsidRDefault="00034DB0" w:rsidP="00034DB0">
            <w:pPr>
              <w:pStyle w:val="DHHStabletext"/>
              <w:jc w:val="center"/>
              <w:rPr>
                <w:rFonts w:cs="Arial"/>
                <w:sz w:val="18"/>
                <w:szCs w:val="18"/>
              </w:rPr>
            </w:pPr>
            <w:r w:rsidRPr="007970BD">
              <w:rPr>
                <w:rFonts w:cs="Arial"/>
                <w:sz w:val="18"/>
                <w:szCs w:val="18"/>
              </w:rPr>
              <w:t>(9%)</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248AA906"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4</w:t>
            </w:r>
          </w:p>
          <w:p w14:paraId="1DF1BDC9" w14:textId="768310A3" w:rsidR="00034DB0" w:rsidRPr="007970BD" w:rsidRDefault="00034DB0" w:rsidP="00034DB0">
            <w:pPr>
              <w:pStyle w:val="DHHStabletext"/>
              <w:jc w:val="center"/>
              <w:rPr>
                <w:rFonts w:cs="Arial"/>
                <w:sz w:val="18"/>
                <w:szCs w:val="18"/>
              </w:rPr>
            </w:pPr>
            <w:r w:rsidRPr="007970BD">
              <w:rPr>
                <w:rFonts w:cs="Arial"/>
                <w:sz w:val="18"/>
                <w:szCs w:val="18"/>
              </w:rPr>
              <w:t>(4%)</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420BCCB0"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38</w:t>
            </w:r>
          </w:p>
          <w:p w14:paraId="550513BA" w14:textId="59B86549" w:rsidR="00034DB0" w:rsidRPr="007970BD" w:rsidRDefault="00034DB0" w:rsidP="00034DB0">
            <w:pPr>
              <w:pStyle w:val="DHHStabletext"/>
              <w:jc w:val="center"/>
              <w:rPr>
                <w:rFonts w:cs="Arial"/>
                <w:sz w:val="18"/>
                <w:szCs w:val="18"/>
              </w:rPr>
            </w:pPr>
            <w:r w:rsidRPr="007970BD">
              <w:rPr>
                <w:rFonts w:cs="Arial"/>
                <w:sz w:val="18"/>
                <w:szCs w:val="18"/>
              </w:rPr>
              <w:t>(43%)</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3ED2B2C4"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420EE22"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C4C707C"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36</w:t>
            </w:r>
          </w:p>
          <w:p w14:paraId="68302754" w14:textId="4B843A76" w:rsidR="00034DB0" w:rsidRPr="007970BD" w:rsidRDefault="00034DB0" w:rsidP="00034DB0">
            <w:pPr>
              <w:pStyle w:val="DHHStabletext"/>
              <w:jc w:val="center"/>
              <w:rPr>
                <w:rFonts w:cs="Arial"/>
                <w:sz w:val="18"/>
                <w:szCs w:val="18"/>
              </w:rPr>
            </w:pPr>
            <w:r w:rsidRPr="007970BD">
              <w:rPr>
                <w:rFonts w:cs="Arial"/>
                <w:sz w:val="18"/>
                <w:szCs w:val="18"/>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AC38C9F"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w:t>
            </w:r>
          </w:p>
          <w:p w14:paraId="1A61A0E7" w14:textId="2AF67BBE" w:rsidR="00034DB0" w:rsidRPr="007970BD" w:rsidRDefault="00034DB0" w:rsidP="00034DB0">
            <w:pPr>
              <w:pStyle w:val="DHHStabletext"/>
              <w:jc w:val="center"/>
              <w:rPr>
                <w:rFonts w:cs="Arial"/>
                <w:sz w:val="18"/>
                <w:szCs w:val="18"/>
              </w:rPr>
            </w:pPr>
            <w:r w:rsidRPr="007970BD">
              <w:rPr>
                <w:rFonts w:cs="Arial"/>
                <w:sz w:val="18"/>
                <w:szCs w:val="18"/>
              </w:rPr>
              <w:t>(3%)</w:t>
            </w: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2E667A29" w14:textId="77777777" w:rsidR="00034DB0" w:rsidRPr="007970BD" w:rsidRDefault="00034DB0" w:rsidP="00034DB0">
            <w:pPr>
              <w:pStyle w:val="DHHStabletext"/>
              <w:jc w:val="center"/>
              <w:rPr>
                <w:rFonts w:cs="Arial"/>
                <w:sz w:val="18"/>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00C305"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 xml:space="preserve">89 </w:t>
            </w:r>
          </w:p>
          <w:p w14:paraId="5F848B61" w14:textId="0846461A"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4777A180" w14:textId="77777777" w:rsidTr="007970BD">
        <w:trPr>
          <w:jc w:val="center"/>
        </w:trPr>
        <w:tc>
          <w:tcPr>
            <w:tcW w:w="1077" w:type="dxa"/>
            <w:shd w:val="clear" w:color="auto" w:fill="auto"/>
            <w:vAlign w:val="center"/>
          </w:tcPr>
          <w:p w14:paraId="1838F355"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LMICS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7F6C16E1"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15EAFD2F" w14:textId="70B6BBB5" w:rsidR="00034DB0" w:rsidRPr="007970BD" w:rsidRDefault="00034DB0" w:rsidP="00034DB0">
            <w:pPr>
              <w:pStyle w:val="DHHStabletext"/>
              <w:jc w:val="center"/>
              <w:rPr>
                <w:rFonts w:cs="Arial"/>
                <w:sz w:val="18"/>
                <w:szCs w:val="18"/>
              </w:rPr>
            </w:pPr>
            <w:r w:rsidRPr="007970BD">
              <w:rPr>
                <w:rFonts w:cs="Arial"/>
                <w:sz w:val="18"/>
                <w:szCs w:val="18"/>
              </w:rPr>
              <w:t>(1%)</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58992DC0"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3</w:t>
            </w:r>
          </w:p>
          <w:p w14:paraId="55B7534A" w14:textId="077D10CB" w:rsidR="00034DB0" w:rsidRPr="007970BD" w:rsidRDefault="00034DB0" w:rsidP="00034DB0">
            <w:pPr>
              <w:pStyle w:val="DHHStabletext"/>
              <w:jc w:val="center"/>
              <w:rPr>
                <w:rFonts w:cs="Arial"/>
                <w:sz w:val="18"/>
                <w:szCs w:val="18"/>
              </w:rPr>
            </w:pPr>
            <w:r w:rsidRPr="007970BD">
              <w:rPr>
                <w:rFonts w:cs="Arial"/>
                <w:sz w:val="18"/>
                <w:szCs w:val="18"/>
              </w:rPr>
              <w:t>(2%)</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08FBD11F"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89</w:t>
            </w:r>
          </w:p>
          <w:p w14:paraId="13BA59FC" w14:textId="3F92400B" w:rsidR="00034DB0" w:rsidRPr="007970BD" w:rsidRDefault="00034DB0" w:rsidP="00034DB0">
            <w:pPr>
              <w:pStyle w:val="DHHStabletext"/>
              <w:jc w:val="center"/>
              <w:rPr>
                <w:rFonts w:cs="Arial"/>
                <w:sz w:val="18"/>
                <w:szCs w:val="18"/>
              </w:rPr>
            </w:pPr>
            <w:r w:rsidRPr="007970BD">
              <w:rPr>
                <w:rFonts w:cs="Arial"/>
                <w:sz w:val="18"/>
                <w:szCs w:val="18"/>
              </w:rPr>
              <w:t>(70%)</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6F1AD037"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2B2CC9B"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060559C"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9456794"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20</w:t>
            </w:r>
          </w:p>
          <w:p w14:paraId="00CA19EB" w14:textId="36A370E2" w:rsidR="00034DB0" w:rsidRPr="007970BD" w:rsidRDefault="00034DB0" w:rsidP="00034DB0">
            <w:pPr>
              <w:pStyle w:val="DHHStabletext"/>
              <w:jc w:val="center"/>
              <w:rPr>
                <w:rFonts w:cs="Arial"/>
                <w:sz w:val="18"/>
                <w:szCs w:val="18"/>
              </w:rPr>
            </w:pPr>
            <w:r w:rsidRPr="007970BD">
              <w:rPr>
                <w:rFonts w:cs="Arial"/>
                <w:sz w:val="18"/>
                <w:szCs w:val="18"/>
              </w:rPr>
              <w:t>(16%)</w:t>
            </w: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08177417"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15</w:t>
            </w:r>
          </w:p>
          <w:p w14:paraId="0F6BDC6D" w14:textId="06CD5BF8" w:rsidR="00034DB0" w:rsidRPr="007970BD" w:rsidRDefault="00034DB0" w:rsidP="00034DB0">
            <w:pPr>
              <w:pStyle w:val="DHHStabletext"/>
              <w:jc w:val="center"/>
              <w:rPr>
                <w:rFonts w:cs="Arial"/>
                <w:sz w:val="18"/>
                <w:szCs w:val="18"/>
              </w:rPr>
            </w:pPr>
            <w:r w:rsidRPr="007970BD">
              <w:rPr>
                <w:rFonts w:cs="Arial"/>
                <w:sz w:val="18"/>
                <w:szCs w:val="18"/>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A00DFA7"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 xml:space="preserve">128 </w:t>
            </w:r>
          </w:p>
          <w:p w14:paraId="26B9F84E" w14:textId="4E90E5D4"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27611A30" w14:textId="77777777" w:rsidTr="007970BD">
        <w:trPr>
          <w:jc w:val="center"/>
        </w:trPr>
        <w:tc>
          <w:tcPr>
            <w:tcW w:w="1077" w:type="dxa"/>
            <w:shd w:val="clear" w:color="auto" w:fill="auto"/>
            <w:vAlign w:val="center"/>
          </w:tcPr>
          <w:p w14:paraId="537B8B2F"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GICS</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2012FA8F"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2</w:t>
            </w:r>
          </w:p>
          <w:p w14:paraId="5B9EBCA7" w14:textId="1322F36E" w:rsidR="00034DB0" w:rsidRPr="007970BD" w:rsidRDefault="00034DB0" w:rsidP="00034DB0">
            <w:pPr>
              <w:pStyle w:val="DHHStabletext"/>
              <w:jc w:val="center"/>
              <w:rPr>
                <w:rFonts w:cs="Arial"/>
                <w:sz w:val="18"/>
                <w:szCs w:val="18"/>
              </w:rPr>
            </w:pPr>
            <w:r w:rsidRPr="007970BD">
              <w:rPr>
                <w:rFonts w:cs="Arial"/>
                <w:sz w:val="18"/>
                <w:szCs w:val="18"/>
              </w:rPr>
              <w:t>(2%)</w:t>
            </w:r>
          </w:p>
        </w:tc>
        <w:tc>
          <w:tcPr>
            <w:tcW w:w="964" w:type="dxa"/>
            <w:tcBorders>
              <w:top w:val="single" w:sz="6" w:space="0" w:color="000000"/>
              <w:left w:val="single" w:sz="6" w:space="0" w:color="000000"/>
              <w:bottom w:val="single" w:sz="6" w:space="0" w:color="000000"/>
              <w:right w:val="single" w:sz="6" w:space="0" w:color="000000"/>
            </w:tcBorders>
            <w:shd w:val="clear" w:color="auto" w:fill="auto"/>
          </w:tcPr>
          <w:p w14:paraId="69502674"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7E33CA81" w14:textId="42E024BB" w:rsidR="00034DB0" w:rsidRPr="007970BD" w:rsidRDefault="00034DB0" w:rsidP="00034DB0">
            <w:pPr>
              <w:pStyle w:val="DHHStabletext"/>
              <w:jc w:val="center"/>
              <w:rPr>
                <w:rFonts w:cs="Arial"/>
                <w:sz w:val="18"/>
                <w:szCs w:val="18"/>
              </w:rPr>
            </w:pPr>
            <w:r w:rsidRPr="007970BD">
              <w:rPr>
                <w:rFonts w:cs="Arial"/>
                <w:sz w:val="18"/>
                <w:szCs w:val="18"/>
              </w:rPr>
              <w:t>(1%)</w:t>
            </w:r>
          </w:p>
        </w:tc>
        <w:tc>
          <w:tcPr>
            <w:tcW w:w="1020" w:type="dxa"/>
            <w:tcBorders>
              <w:top w:val="single" w:sz="6" w:space="0" w:color="000000"/>
              <w:left w:val="single" w:sz="6" w:space="0" w:color="000000"/>
              <w:bottom w:val="single" w:sz="6" w:space="0" w:color="000000"/>
              <w:right w:val="single" w:sz="6" w:space="0" w:color="000000"/>
            </w:tcBorders>
            <w:shd w:val="clear" w:color="auto" w:fill="auto"/>
          </w:tcPr>
          <w:p w14:paraId="60915CEA"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16</w:t>
            </w:r>
          </w:p>
          <w:p w14:paraId="49C229BC" w14:textId="43A65DE4" w:rsidR="00034DB0" w:rsidRPr="007970BD" w:rsidRDefault="00034DB0" w:rsidP="00034DB0">
            <w:pPr>
              <w:pStyle w:val="DHHStabletext"/>
              <w:jc w:val="center"/>
              <w:rPr>
                <w:rFonts w:cs="Arial"/>
                <w:sz w:val="18"/>
                <w:szCs w:val="18"/>
              </w:rPr>
            </w:pPr>
            <w:r w:rsidRPr="007970BD">
              <w:rPr>
                <w:rFonts w:cs="Arial"/>
                <w:sz w:val="18"/>
                <w:szCs w:val="18"/>
              </w:rPr>
              <w:t>(17%)</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14:paraId="484ED3FA"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6</w:t>
            </w:r>
          </w:p>
          <w:p w14:paraId="695AC676" w14:textId="1326E8E7" w:rsidR="00034DB0" w:rsidRPr="007970BD" w:rsidRDefault="00034DB0" w:rsidP="00034DB0">
            <w:pPr>
              <w:pStyle w:val="DHHStabletext"/>
              <w:jc w:val="center"/>
              <w:rPr>
                <w:rFonts w:cs="Arial"/>
                <w:sz w:val="18"/>
                <w:szCs w:val="18"/>
              </w:rPr>
            </w:pPr>
            <w:r w:rsidRPr="007970BD">
              <w:rPr>
                <w:rFonts w:cs="Arial"/>
                <w:sz w:val="18"/>
                <w:szCs w:val="18"/>
              </w:rPr>
              <w:t>(6%)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A7C8CCF" w14:textId="77777777" w:rsidR="00034DB0" w:rsidRPr="007970BD" w:rsidRDefault="00034DB0" w:rsidP="00034DB0">
            <w:pPr>
              <w:pStyle w:val="DHHStabletext"/>
              <w:jc w:val="center"/>
              <w:rPr>
                <w:rFonts w:cs="Arial"/>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6C1998B"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1</w:t>
            </w:r>
          </w:p>
          <w:p w14:paraId="7732C946" w14:textId="5C2C491A" w:rsidR="00034DB0" w:rsidRPr="007970BD" w:rsidRDefault="00034DB0" w:rsidP="00034DB0">
            <w:pPr>
              <w:pStyle w:val="DHHStabletext"/>
              <w:jc w:val="center"/>
              <w:rPr>
                <w:rFonts w:cs="Arial"/>
                <w:sz w:val="18"/>
                <w:szCs w:val="18"/>
              </w:rPr>
            </w:pPr>
            <w:r w:rsidRPr="007970BD">
              <w:rPr>
                <w:rFonts w:cs="Arial"/>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77860F3" w14:textId="29FD61F5" w:rsidR="00034DB0" w:rsidRPr="007970BD" w:rsidRDefault="00034DB0" w:rsidP="00034DB0">
            <w:pPr>
              <w:pStyle w:val="DHHStabletext"/>
              <w:jc w:val="center"/>
              <w:rPr>
                <w:rFonts w:cs="Arial"/>
                <w:sz w:val="18"/>
                <w:szCs w:val="18"/>
              </w:rPr>
            </w:pPr>
          </w:p>
        </w:tc>
        <w:tc>
          <w:tcPr>
            <w:tcW w:w="794" w:type="dxa"/>
            <w:tcBorders>
              <w:top w:val="single" w:sz="6" w:space="0" w:color="000000"/>
              <w:left w:val="single" w:sz="6" w:space="0" w:color="000000"/>
              <w:bottom w:val="single" w:sz="6" w:space="0" w:color="000000"/>
              <w:right w:val="single" w:sz="8" w:space="0" w:color="000000"/>
            </w:tcBorders>
            <w:shd w:val="clear" w:color="auto" w:fill="auto"/>
          </w:tcPr>
          <w:p w14:paraId="3D7BDBE5"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70</w:t>
            </w:r>
          </w:p>
          <w:p w14:paraId="1BA2BFEB" w14:textId="53AFA965" w:rsidR="00034DB0" w:rsidRPr="007970BD" w:rsidRDefault="00034DB0" w:rsidP="00034DB0">
            <w:pPr>
              <w:pStyle w:val="DHHStabletext"/>
              <w:jc w:val="center"/>
              <w:rPr>
                <w:rFonts w:cs="Arial"/>
                <w:sz w:val="18"/>
                <w:szCs w:val="18"/>
              </w:rPr>
            </w:pPr>
            <w:r w:rsidRPr="007970BD">
              <w:rPr>
                <w:rFonts w:cs="Arial"/>
                <w:sz w:val="18"/>
                <w:szCs w:val="18"/>
              </w:rPr>
              <w:t>(73%)</w:t>
            </w: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0DB16E" w14:textId="77777777" w:rsidR="00034DB0" w:rsidRPr="007970BD" w:rsidRDefault="00034DB0" w:rsidP="00034DB0">
            <w:pPr>
              <w:pStyle w:val="DHHStabletext"/>
              <w:spacing w:before="0" w:after="0"/>
              <w:jc w:val="center"/>
              <w:rPr>
                <w:rFonts w:cs="Arial"/>
                <w:sz w:val="18"/>
                <w:szCs w:val="18"/>
              </w:rPr>
            </w:pPr>
            <w:r w:rsidRPr="007970BD">
              <w:rPr>
                <w:rFonts w:cs="Arial"/>
                <w:sz w:val="18"/>
                <w:szCs w:val="18"/>
              </w:rPr>
              <w:t xml:space="preserve">96 </w:t>
            </w:r>
          </w:p>
          <w:p w14:paraId="76EAC3A9" w14:textId="1A5C90BF" w:rsidR="00034DB0" w:rsidRPr="007970BD" w:rsidRDefault="00034DB0" w:rsidP="00034DB0">
            <w:pPr>
              <w:pStyle w:val="DHHStabletext"/>
              <w:jc w:val="center"/>
              <w:rPr>
                <w:rFonts w:cs="Arial"/>
                <w:sz w:val="18"/>
                <w:szCs w:val="18"/>
              </w:rPr>
            </w:pPr>
            <w:r w:rsidRPr="007970BD">
              <w:rPr>
                <w:rFonts w:cs="Arial"/>
                <w:sz w:val="18"/>
                <w:szCs w:val="18"/>
              </w:rPr>
              <w:t>(100%)</w:t>
            </w:r>
          </w:p>
        </w:tc>
      </w:tr>
      <w:tr w:rsidR="00034DB0" w:rsidRPr="006732EB" w14:paraId="3D00E30F" w14:textId="77777777" w:rsidTr="007970BD">
        <w:trPr>
          <w:jc w:val="center"/>
        </w:trPr>
        <w:tc>
          <w:tcPr>
            <w:tcW w:w="1077" w:type="dxa"/>
            <w:shd w:val="clear" w:color="auto" w:fill="auto"/>
            <w:vAlign w:val="center"/>
          </w:tcPr>
          <w:p w14:paraId="53367D93" w14:textId="77777777" w:rsidR="00034DB0" w:rsidRPr="007970BD" w:rsidRDefault="00034DB0" w:rsidP="00034DB0">
            <w:pPr>
              <w:pStyle w:val="DHHStabletext"/>
              <w:jc w:val="center"/>
              <w:rPr>
                <w:rFonts w:cs="Arial"/>
                <w:sz w:val="18"/>
                <w:szCs w:val="18"/>
              </w:rPr>
            </w:pPr>
            <w:r w:rsidRPr="007970BD">
              <w:rPr>
                <w:rFonts w:eastAsia="Arial" w:cs="Arial"/>
                <w:sz w:val="18"/>
                <w:szCs w:val="18"/>
                <w:lang w:val="en-US" w:eastAsia="en-AU"/>
              </w:rPr>
              <w:t>Total</w:t>
            </w:r>
          </w:p>
        </w:tc>
        <w:tc>
          <w:tcPr>
            <w:tcW w:w="964" w:type="dxa"/>
            <w:shd w:val="clear" w:color="auto" w:fill="auto"/>
          </w:tcPr>
          <w:p w14:paraId="6C7C5DF2" w14:textId="146B092F" w:rsidR="00034DB0" w:rsidRPr="007970BD" w:rsidRDefault="00034DB0" w:rsidP="00034DB0">
            <w:pPr>
              <w:pStyle w:val="DHHStabletext"/>
              <w:jc w:val="center"/>
              <w:rPr>
                <w:rFonts w:cs="Arial"/>
                <w:sz w:val="18"/>
                <w:szCs w:val="18"/>
              </w:rPr>
            </w:pPr>
            <w:r w:rsidRPr="007970BD">
              <w:rPr>
                <w:rFonts w:cs="Arial"/>
                <w:sz w:val="18"/>
                <w:szCs w:val="18"/>
              </w:rPr>
              <w:t>257</w:t>
            </w:r>
          </w:p>
        </w:tc>
        <w:tc>
          <w:tcPr>
            <w:tcW w:w="964" w:type="dxa"/>
            <w:shd w:val="clear" w:color="auto" w:fill="auto"/>
          </w:tcPr>
          <w:p w14:paraId="7A2CFC2E" w14:textId="262AF323" w:rsidR="00034DB0" w:rsidRPr="007970BD" w:rsidRDefault="00034DB0" w:rsidP="00034DB0">
            <w:pPr>
              <w:pStyle w:val="DHHStabletext"/>
              <w:jc w:val="center"/>
              <w:rPr>
                <w:rFonts w:cs="Arial"/>
                <w:sz w:val="18"/>
                <w:szCs w:val="18"/>
              </w:rPr>
            </w:pPr>
            <w:r w:rsidRPr="007970BD">
              <w:rPr>
                <w:rFonts w:cs="Arial"/>
                <w:sz w:val="18"/>
                <w:szCs w:val="18"/>
              </w:rPr>
              <w:t>300</w:t>
            </w:r>
          </w:p>
        </w:tc>
        <w:tc>
          <w:tcPr>
            <w:tcW w:w="1020" w:type="dxa"/>
            <w:shd w:val="clear" w:color="auto" w:fill="auto"/>
          </w:tcPr>
          <w:p w14:paraId="2AD366E0" w14:textId="151D990B" w:rsidR="00034DB0" w:rsidRPr="007970BD" w:rsidRDefault="00034DB0" w:rsidP="00034DB0">
            <w:pPr>
              <w:pStyle w:val="DHHStabletext"/>
              <w:jc w:val="center"/>
              <w:rPr>
                <w:rFonts w:cs="Arial"/>
                <w:sz w:val="18"/>
                <w:szCs w:val="18"/>
              </w:rPr>
            </w:pPr>
            <w:r w:rsidRPr="007970BD">
              <w:rPr>
                <w:rFonts w:cs="Arial"/>
                <w:sz w:val="18"/>
                <w:szCs w:val="18"/>
              </w:rPr>
              <w:t>1,101</w:t>
            </w:r>
          </w:p>
        </w:tc>
        <w:tc>
          <w:tcPr>
            <w:tcW w:w="1077" w:type="dxa"/>
            <w:shd w:val="clear" w:color="auto" w:fill="auto"/>
          </w:tcPr>
          <w:p w14:paraId="0B1E6416" w14:textId="287ACA13" w:rsidR="00034DB0" w:rsidRPr="007970BD" w:rsidRDefault="00034DB0" w:rsidP="00034DB0">
            <w:pPr>
              <w:pStyle w:val="DHHStabletext"/>
              <w:jc w:val="center"/>
              <w:rPr>
                <w:rFonts w:cs="Arial"/>
                <w:sz w:val="18"/>
                <w:szCs w:val="18"/>
              </w:rPr>
            </w:pPr>
            <w:r w:rsidRPr="007970BD">
              <w:rPr>
                <w:rFonts w:cs="Arial"/>
                <w:sz w:val="18"/>
                <w:szCs w:val="18"/>
              </w:rPr>
              <w:t>147</w:t>
            </w:r>
          </w:p>
        </w:tc>
        <w:tc>
          <w:tcPr>
            <w:tcW w:w="850" w:type="dxa"/>
            <w:shd w:val="clear" w:color="auto" w:fill="auto"/>
          </w:tcPr>
          <w:p w14:paraId="27F26920" w14:textId="688BDD70" w:rsidR="00034DB0" w:rsidRPr="007970BD" w:rsidRDefault="00034DB0" w:rsidP="00034DB0">
            <w:pPr>
              <w:pStyle w:val="DHHStabletext"/>
              <w:jc w:val="center"/>
              <w:rPr>
                <w:rFonts w:cs="Arial"/>
                <w:sz w:val="18"/>
                <w:szCs w:val="18"/>
              </w:rPr>
            </w:pPr>
            <w:r w:rsidRPr="007970BD">
              <w:rPr>
                <w:rFonts w:cs="Arial"/>
                <w:sz w:val="18"/>
                <w:szCs w:val="18"/>
              </w:rPr>
              <w:t>30</w:t>
            </w:r>
          </w:p>
        </w:tc>
        <w:tc>
          <w:tcPr>
            <w:tcW w:w="850" w:type="dxa"/>
            <w:shd w:val="clear" w:color="auto" w:fill="auto"/>
          </w:tcPr>
          <w:p w14:paraId="19B7AEE5" w14:textId="17435C33" w:rsidR="00034DB0" w:rsidRPr="007970BD" w:rsidRDefault="00034DB0" w:rsidP="00034DB0">
            <w:pPr>
              <w:pStyle w:val="DHHStabletext"/>
              <w:jc w:val="center"/>
              <w:rPr>
                <w:rFonts w:cs="Arial"/>
                <w:sz w:val="18"/>
                <w:szCs w:val="18"/>
              </w:rPr>
            </w:pPr>
            <w:r w:rsidRPr="007970BD">
              <w:rPr>
                <w:rFonts w:cs="Arial"/>
                <w:sz w:val="18"/>
                <w:szCs w:val="18"/>
              </w:rPr>
              <w:t>38</w:t>
            </w:r>
          </w:p>
        </w:tc>
        <w:tc>
          <w:tcPr>
            <w:tcW w:w="850" w:type="dxa"/>
            <w:shd w:val="clear" w:color="auto" w:fill="auto"/>
          </w:tcPr>
          <w:p w14:paraId="36BD387F" w14:textId="19DFE592" w:rsidR="00034DB0" w:rsidRPr="007970BD" w:rsidRDefault="00034DB0" w:rsidP="00034DB0">
            <w:pPr>
              <w:pStyle w:val="DHHStabletext"/>
              <w:jc w:val="center"/>
              <w:rPr>
                <w:rFonts w:cs="Arial"/>
                <w:sz w:val="18"/>
                <w:szCs w:val="18"/>
              </w:rPr>
            </w:pPr>
            <w:r w:rsidRPr="007970BD">
              <w:rPr>
                <w:rFonts w:cs="Arial"/>
                <w:sz w:val="18"/>
                <w:szCs w:val="18"/>
              </w:rPr>
              <w:t>24</w:t>
            </w:r>
          </w:p>
        </w:tc>
        <w:tc>
          <w:tcPr>
            <w:tcW w:w="794" w:type="dxa"/>
            <w:shd w:val="clear" w:color="auto" w:fill="auto"/>
          </w:tcPr>
          <w:p w14:paraId="142D278C" w14:textId="141081C3" w:rsidR="00034DB0" w:rsidRPr="007970BD" w:rsidRDefault="00034DB0" w:rsidP="00034DB0">
            <w:pPr>
              <w:pStyle w:val="DHHStabletext"/>
              <w:jc w:val="center"/>
              <w:rPr>
                <w:rFonts w:cs="Arial"/>
                <w:sz w:val="18"/>
                <w:szCs w:val="18"/>
              </w:rPr>
            </w:pPr>
            <w:r w:rsidRPr="007970BD">
              <w:rPr>
                <w:rFonts w:cs="Arial"/>
                <w:sz w:val="18"/>
                <w:szCs w:val="18"/>
              </w:rPr>
              <w:t>88</w:t>
            </w:r>
          </w:p>
        </w:tc>
        <w:tc>
          <w:tcPr>
            <w:tcW w:w="907" w:type="dxa"/>
            <w:shd w:val="clear" w:color="auto" w:fill="auto"/>
          </w:tcPr>
          <w:p w14:paraId="2352DD4F" w14:textId="61CD3740" w:rsidR="00034DB0" w:rsidRPr="007970BD" w:rsidRDefault="00034DB0" w:rsidP="00034DB0">
            <w:pPr>
              <w:pStyle w:val="DHHStabletext"/>
              <w:jc w:val="center"/>
              <w:rPr>
                <w:rFonts w:cs="Arial"/>
                <w:sz w:val="18"/>
                <w:szCs w:val="18"/>
              </w:rPr>
            </w:pPr>
            <w:r w:rsidRPr="007970BD">
              <w:rPr>
                <w:rFonts w:cs="Arial"/>
                <w:sz w:val="18"/>
                <w:szCs w:val="18"/>
              </w:rPr>
              <w:t>1,986</w:t>
            </w:r>
          </w:p>
        </w:tc>
      </w:tr>
    </w:tbl>
    <w:p w14:paraId="4BCAE5AC" w14:textId="77777777" w:rsidR="00F572BE" w:rsidRDefault="00F572BE" w:rsidP="00F572BE">
      <w:pPr>
        <w:pStyle w:val="Heading3"/>
      </w:pPr>
      <w:bookmarkStart w:id="36" w:name="_Hlk3981466"/>
      <w:r>
        <w:t>Clinical commentary</w:t>
      </w:r>
    </w:p>
    <w:p w14:paraId="70C5664A" w14:textId="301C010C" w:rsidR="007970BD" w:rsidRDefault="00EE2773" w:rsidP="00A63F3F">
      <w:pPr>
        <w:pStyle w:val="DHHSbody"/>
        <w:rPr>
          <w:lang w:val="en-US"/>
        </w:rPr>
      </w:pPr>
      <w:r w:rsidRPr="00EE2773">
        <w:rPr>
          <w:lang w:val="en-US"/>
        </w:rPr>
        <w:t xml:space="preserve">Surgery </w:t>
      </w:r>
      <w:r>
        <w:rPr>
          <w:lang w:val="en-US"/>
        </w:rPr>
        <w:t xml:space="preserve">and radical </w:t>
      </w:r>
      <w:r w:rsidR="001918DF">
        <w:rPr>
          <w:lang w:val="en-US"/>
        </w:rPr>
        <w:t>RT</w:t>
      </w:r>
      <w:r>
        <w:rPr>
          <w:lang w:val="en-US"/>
        </w:rPr>
        <w:t xml:space="preserve"> </w:t>
      </w:r>
      <w:r w:rsidR="00E615E5">
        <w:rPr>
          <w:lang w:val="en-US"/>
        </w:rPr>
        <w:t>are</w:t>
      </w:r>
      <w:r w:rsidRPr="00EE2773">
        <w:rPr>
          <w:lang w:val="en-US"/>
        </w:rPr>
        <w:t xml:space="preserve"> fairly centralised to metropolitan </w:t>
      </w:r>
      <w:r w:rsidR="00B5336E">
        <w:rPr>
          <w:lang w:val="en-US"/>
        </w:rPr>
        <w:t>hospital</w:t>
      </w:r>
      <w:r w:rsidRPr="00EE2773">
        <w:rPr>
          <w:lang w:val="en-US"/>
        </w:rPr>
        <w:t>s</w:t>
      </w:r>
      <w:r>
        <w:rPr>
          <w:lang w:val="en-US"/>
        </w:rPr>
        <w:t>,</w:t>
      </w:r>
      <w:r w:rsidRPr="00EE2773">
        <w:rPr>
          <w:lang w:val="en-US"/>
        </w:rPr>
        <w:t xml:space="preserve"> mostly </w:t>
      </w:r>
      <w:r w:rsidR="001918DF">
        <w:rPr>
          <w:lang w:val="en-US"/>
        </w:rPr>
        <w:t>in</w:t>
      </w:r>
      <w:r w:rsidRPr="00EE2773">
        <w:rPr>
          <w:lang w:val="en-US"/>
        </w:rPr>
        <w:t xml:space="preserve"> WCMICS. There was a significant increase in H&amp;N </w:t>
      </w:r>
      <w:r w:rsidR="00A21BF3">
        <w:rPr>
          <w:lang w:val="en-US"/>
        </w:rPr>
        <w:t xml:space="preserve">cancer </w:t>
      </w:r>
      <w:r w:rsidR="001918DF">
        <w:rPr>
          <w:lang w:val="en-US"/>
        </w:rPr>
        <w:t>RT</w:t>
      </w:r>
      <w:r w:rsidRPr="00EE2773">
        <w:rPr>
          <w:lang w:val="en-US"/>
        </w:rPr>
        <w:t xml:space="preserve"> expertise that moved to SMICS in 2016</w:t>
      </w:r>
      <w:r w:rsidR="00B56CD5">
        <w:rPr>
          <w:lang w:val="en-US"/>
        </w:rPr>
        <w:t>,</w:t>
      </w:r>
      <w:r w:rsidRPr="00EE2773">
        <w:rPr>
          <w:lang w:val="en-US"/>
        </w:rPr>
        <w:t xml:space="preserve"> </w:t>
      </w:r>
      <w:r>
        <w:rPr>
          <w:lang w:val="en-US"/>
        </w:rPr>
        <w:t>and</w:t>
      </w:r>
      <w:r w:rsidRPr="00EE2773">
        <w:rPr>
          <w:lang w:val="en-US"/>
        </w:rPr>
        <w:t xml:space="preserve"> future data should reflect this.</w:t>
      </w:r>
      <w:r>
        <w:rPr>
          <w:lang w:val="en-US"/>
        </w:rPr>
        <w:t xml:space="preserve"> </w:t>
      </w:r>
      <w:r w:rsidR="00A63F3F">
        <w:rPr>
          <w:lang w:val="en-US"/>
        </w:rPr>
        <w:t>W</w:t>
      </w:r>
      <w:r w:rsidR="00E12E49">
        <w:rPr>
          <w:lang w:val="en-US"/>
        </w:rPr>
        <w:t>he</w:t>
      </w:r>
      <w:r w:rsidR="00A63F3F">
        <w:rPr>
          <w:lang w:val="en-US"/>
        </w:rPr>
        <w:t>ther</w:t>
      </w:r>
      <w:r w:rsidRPr="00EE2773">
        <w:rPr>
          <w:lang w:val="en-US"/>
        </w:rPr>
        <w:t xml:space="preserve"> </w:t>
      </w:r>
      <w:r w:rsidR="00A63F3F">
        <w:rPr>
          <w:lang w:val="en-US"/>
        </w:rPr>
        <w:t>patients are treated</w:t>
      </w:r>
      <w:r w:rsidRPr="00EE2773">
        <w:rPr>
          <w:lang w:val="en-US"/>
        </w:rPr>
        <w:t xml:space="preserve"> within their region or travel to other regions </w:t>
      </w:r>
      <w:r w:rsidR="00A63F3F">
        <w:rPr>
          <w:lang w:val="en-US"/>
        </w:rPr>
        <w:t>may have implications for patient experiences of care (</w:t>
      </w:r>
      <w:r w:rsidR="00B77808">
        <w:rPr>
          <w:lang w:val="en-US"/>
        </w:rPr>
        <w:t>such as</w:t>
      </w:r>
      <w:r w:rsidR="00A63F3F">
        <w:rPr>
          <w:lang w:val="en-US"/>
        </w:rPr>
        <w:t xml:space="preserve"> travel and accommodation costs) and </w:t>
      </w:r>
      <w:r w:rsidR="002D2176">
        <w:rPr>
          <w:lang w:val="en-US"/>
        </w:rPr>
        <w:t>may influence</w:t>
      </w:r>
      <w:r w:rsidR="00A63F3F">
        <w:rPr>
          <w:lang w:val="en-US"/>
        </w:rPr>
        <w:t xml:space="preserve"> </w:t>
      </w:r>
      <w:r w:rsidRPr="00EE2773">
        <w:rPr>
          <w:lang w:val="en-US"/>
        </w:rPr>
        <w:t>timeliness of care</w:t>
      </w:r>
      <w:r w:rsidR="00B77808">
        <w:rPr>
          <w:lang w:val="en-US"/>
        </w:rPr>
        <w:t xml:space="preserve"> </w:t>
      </w:r>
      <w:r w:rsidR="002C5509">
        <w:rPr>
          <w:lang w:val="en-US"/>
        </w:rPr>
        <w:t>–</w:t>
      </w:r>
      <w:r w:rsidR="00B77808">
        <w:rPr>
          <w:lang w:val="en-US"/>
        </w:rPr>
        <w:t xml:space="preserve"> </w:t>
      </w:r>
      <w:r w:rsidR="00A63F3F">
        <w:rPr>
          <w:lang w:val="en-US"/>
        </w:rPr>
        <w:t xml:space="preserve">see the </w:t>
      </w:r>
      <w:r w:rsidR="00B56CD5">
        <w:rPr>
          <w:lang w:val="en-US"/>
        </w:rPr>
        <w:t>‘</w:t>
      </w:r>
      <w:r w:rsidR="00A63F3F">
        <w:rPr>
          <w:lang w:val="en-US"/>
        </w:rPr>
        <w:t>Timeliness of treatment</w:t>
      </w:r>
      <w:r w:rsidR="00B56CD5">
        <w:rPr>
          <w:lang w:val="en-US"/>
        </w:rPr>
        <w:t>’ section</w:t>
      </w:r>
      <w:r w:rsidRPr="00EE2773">
        <w:rPr>
          <w:lang w:val="en-US"/>
        </w:rPr>
        <w:t>.</w:t>
      </w:r>
      <w:bookmarkEnd w:id="36"/>
    </w:p>
    <w:p w14:paraId="7883BF7B" w14:textId="77777777" w:rsidR="007970BD" w:rsidRDefault="007970BD" w:rsidP="0062597E">
      <w:pPr>
        <w:pStyle w:val="DHHSbody"/>
        <w:rPr>
          <w:lang w:val="en-US"/>
        </w:rPr>
      </w:pPr>
      <w:r>
        <w:rPr>
          <w:lang w:val="en-US"/>
        </w:rPr>
        <w:br w:type="page"/>
      </w:r>
    </w:p>
    <w:p w14:paraId="5A0CC82C" w14:textId="77777777" w:rsidR="00A63F3F" w:rsidRDefault="007E439A" w:rsidP="007970BD">
      <w:pPr>
        <w:pStyle w:val="Heading1"/>
        <w:rPr>
          <w:rFonts w:eastAsia="MS Gothic"/>
        </w:rPr>
      </w:pPr>
      <w:bookmarkStart w:id="37" w:name="_Toc22713854"/>
      <w:r w:rsidRPr="006F2294">
        <w:rPr>
          <w:rFonts w:eastAsia="MS Gothic"/>
        </w:rPr>
        <w:t>Treatment planning</w:t>
      </w:r>
      <w:bookmarkEnd w:id="37"/>
    </w:p>
    <w:p w14:paraId="604B6701" w14:textId="0EAE392A" w:rsidR="00C3548E" w:rsidRDefault="003647CA" w:rsidP="00C3548E">
      <w:pPr>
        <w:pStyle w:val="DHHSbody"/>
      </w:pPr>
      <w:r>
        <w:t xml:space="preserve">The </w:t>
      </w:r>
      <w:r w:rsidR="00767583">
        <w:t>H&amp;N</w:t>
      </w:r>
      <w:r>
        <w:t xml:space="preserve"> cancer</w:t>
      </w:r>
      <w:r w:rsidR="00B80336">
        <w:t>s</w:t>
      </w:r>
      <w:r>
        <w:t xml:space="preserve"> OCP states that all newly diagnosed patients should be discussed at </w:t>
      </w:r>
      <w:r w:rsidR="005035BE">
        <w:t>an</w:t>
      </w:r>
      <w:r>
        <w:t xml:space="preserve"> MDM so that a treatment plan can be recommended. There are currently no systems for routinely monitoring the occurrence </w:t>
      </w:r>
      <w:r w:rsidR="00B709A5">
        <w:t xml:space="preserve">or skill set of the clinicians participating in </w:t>
      </w:r>
      <w:r>
        <w:t xml:space="preserve">MDMs. For this analysis, </w:t>
      </w:r>
      <w:r w:rsidR="00C872D5">
        <w:t xml:space="preserve">data from the </w:t>
      </w:r>
      <w:r w:rsidR="003421CD" w:rsidRPr="002D133A">
        <w:t xml:space="preserve">Cancer Services Performance Indicator </w:t>
      </w:r>
      <w:r w:rsidR="00C872D5">
        <w:t xml:space="preserve">Audit 2017 was used where </w:t>
      </w:r>
      <w:r>
        <w:t xml:space="preserve">a </w:t>
      </w:r>
      <w:r w:rsidR="00F05350">
        <w:t xml:space="preserve">random </w:t>
      </w:r>
      <w:r>
        <w:t xml:space="preserve">sample of newly diagnosed </w:t>
      </w:r>
      <w:r w:rsidR="00767583">
        <w:t>H&amp;N</w:t>
      </w:r>
      <w:r>
        <w:t xml:space="preserve"> cancer patients (who received treatment) were audited within each ICS. The presence or absence of MDM treatment recommendations in the patient’s medical record was used as a measure of whether an MDM had occurred. </w:t>
      </w:r>
    </w:p>
    <w:p w14:paraId="0F1BB424" w14:textId="76C9AE32" w:rsidR="00DC4A22" w:rsidRDefault="005035BE" w:rsidP="00DC4A22">
      <w:pPr>
        <w:pStyle w:val="DHHSbullet1"/>
      </w:pPr>
      <w:r>
        <w:t>In 2017, 86</w:t>
      </w:r>
      <w:r w:rsidR="00A8409A">
        <w:t xml:space="preserve"> per cent</w:t>
      </w:r>
      <w:r w:rsidR="00E5020A">
        <w:t xml:space="preserve"> of H&amp;N cancer patients had evidence of a</w:t>
      </w:r>
      <w:r>
        <w:t>n</w:t>
      </w:r>
      <w:r w:rsidR="00E5020A">
        <w:t xml:space="preserve"> </w:t>
      </w:r>
      <w:r w:rsidR="003647CA">
        <w:t>MDM</w:t>
      </w:r>
      <w:r w:rsidR="00E5020A">
        <w:t xml:space="preserve"> </w:t>
      </w:r>
      <w:r w:rsidR="003647CA">
        <w:t xml:space="preserve">in </w:t>
      </w:r>
      <w:r w:rsidR="00A8409A">
        <w:t>their medical record</w:t>
      </w:r>
      <w:r w:rsidR="00E5020A">
        <w:t>.</w:t>
      </w:r>
    </w:p>
    <w:p w14:paraId="34DA792F" w14:textId="1B0DFD0D" w:rsidR="00DC4A22" w:rsidRDefault="00DC4A22" w:rsidP="00DC4A22">
      <w:pPr>
        <w:pStyle w:val="DHHSbullet1"/>
      </w:pPr>
      <w:r>
        <w:t>Evidence of an MDM varied by ICS</w:t>
      </w:r>
      <w:r w:rsidR="005035BE">
        <w:t xml:space="preserve"> of treatment</w:t>
      </w:r>
      <w:r w:rsidR="00E5020A">
        <w:t xml:space="preserve"> </w:t>
      </w:r>
      <w:r>
        <w:t xml:space="preserve">and was </w:t>
      </w:r>
      <w:r w:rsidRPr="005035BE">
        <w:t>significantly</w:t>
      </w:r>
      <w:r>
        <w:t xml:space="preserve"> lower for</w:t>
      </w:r>
      <w:r w:rsidR="005035BE">
        <w:t xml:space="preserve"> patients treated in</w:t>
      </w:r>
      <w:r>
        <w:t xml:space="preserve"> BSWRICS (50</w:t>
      </w:r>
      <w:r w:rsidR="00A8409A">
        <w:t xml:space="preserve"> per cent</w:t>
      </w:r>
      <w:r>
        <w:t>) and LMICS (25</w:t>
      </w:r>
      <w:r w:rsidR="00A8409A">
        <w:t xml:space="preserve"> per cent</w:t>
      </w:r>
      <w:r>
        <w:t xml:space="preserve">), </w:t>
      </w:r>
      <w:r w:rsidR="005035BE">
        <w:t>and significantly</w:t>
      </w:r>
      <w:r>
        <w:t xml:space="preserve"> higher</w:t>
      </w:r>
      <w:r w:rsidR="005035BE">
        <w:t xml:space="preserve"> for patients treated</w:t>
      </w:r>
      <w:r>
        <w:t xml:space="preserve"> in SMICS (96</w:t>
      </w:r>
      <w:r w:rsidR="005035BE">
        <w:t xml:space="preserve"> </w:t>
      </w:r>
      <w:r w:rsidR="00A8409A">
        <w:t>per cent</w:t>
      </w:r>
      <w:r>
        <w:t>) and WCMICS (94</w:t>
      </w:r>
      <w:r w:rsidR="005035BE">
        <w:t xml:space="preserve"> </w:t>
      </w:r>
      <w:r w:rsidR="00A8409A">
        <w:t>per cent</w:t>
      </w:r>
      <w:r>
        <w:t xml:space="preserve">) </w:t>
      </w:r>
      <w:r w:rsidR="005035BE">
        <w:t>compared with</w:t>
      </w:r>
      <w:r>
        <w:t xml:space="preserve"> </w:t>
      </w:r>
      <w:r w:rsidR="005035BE">
        <w:t xml:space="preserve">the </w:t>
      </w:r>
      <w:r>
        <w:t>state average</w:t>
      </w:r>
      <w:r w:rsidR="00767583">
        <w:t xml:space="preserve"> (</w:t>
      </w:r>
      <w:r w:rsidR="00767583">
        <w:fldChar w:fldCharType="begin"/>
      </w:r>
      <w:r w:rsidR="00767583">
        <w:instrText xml:space="preserve"> REF _Ref4055995 \h </w:instrText>
      </w:r>
      <w:r w:rsidR="00767583">
        <w:fldChar w:fldCharType="separate"/>
      </w:r>
      <w:r w:rsidR="00084E54">
        <w:t xml:space="preserve">Figure </w:t>
      </w:r>
      <w:r w:rsidR="00084E54">
        <w:rPr>
          <w:noProof/>
        </w:rPr>
        <w:t>6</w:t>
      </w:r>
      <w:r w:rsidR="00767583">
        <w:fldChar w:fldCharType="end"/>
      </w:r>
      <w:r w:rsidR="00767583">
        <w:t>)</w:t>
      </w:r>
      <w:r w:rsidR="00E5020A">
        <w:t>.</w:t>
      </w:r>
      <w:r>
        <w:t xml:space="preserve"> </w:t>
      </w:r>
    </w:p>
    <w:p w14:paraId="3C67CB14" w14:textId="4F70BC71" w:rsidR="00282B34" w:rsidRDefault="005035BE" w:rsidP="00DC4A22">
      <w:pPr>
        <w:pStyle w:val="DHHSbullet1"/>
      </w:pPr>
      <w:r>
        <w:t>Eighty-four</w:t>
      </w:r>
      <w:r w:rsidR="00A8409A">
        <w:t xml:space="preserve"> per cent</w:t>
      </w:r>
      <w:r w:rsidR="00A4604F">
        <w:t xml:space="preserve"> of</w:t>
      </w:r>
      <w:r w:rsidR="00282B34">
        <w:t xml:space="preserve"> patients</w:t>
      </w:r>
      <w:r w:rsidR="00DC4A22">
        <w:t xml:space="preserve"> </w:t>
      </w:r>
      <w:r w:rsidR="00A4604F">
        <w:t>had</w:t>
      </w:r>
      <w:r w:rsidR="00DC4A22">
        <w:t xml:space="preserve"> </w:t>
      </w:r>
      <w:r w:rsidR="00282B34">
        <w:t xml:space="preserve">evidence of </w:t>
      </w:r>
      <w:r w:rsidR="00DC4A22">
        <w:t xml:space="preserve">a prospective </w:t>
      </w:r>
      <w:r w:rsidR="004F474A">
        <w:t xml:space="preserve">(pre-treatment) </w:t>
      </w:r>
      <w:r w:rsidR="00DC4A22">
        <w:t>MDM</w:t>
      </w:r>
      <w:r w:rsidR="00282B34">
        <w:t xml:space="preserve">. </w:t>
      </w:r>
    </w:p>
    <w:p w14:paraId="74E69149" w14:textId="0D9B5F58" w:rsidR="00DC4A22" w:rsidRDefault="00282B34" w:rsidP="00DC4A22">
      <w:pPr>
        <w:pStyle w:val="DHHSbullet1"/>
      </w:pPr>
      <w:r>
        <w:t>Evidence of a prospective</w:t>
      </w:r>
      <w:r w:rsidR="004F474A">
        <w:t xml:space="preserve"> </w:t>
      </w:r>
      <w:r>
        <w:t>MDM</w:t>
      </w:r>
      <w:r w:rsidR="00DC4A22">
        <w:t xml:space="preserve"> a</w:t>
      </w:r>
      <w:r>
        <w:t>lso</w:t>
      </w:r>
      <w:r w:rsidR="00DC4A22">
        <w:t xml:space="preserve"> varied by ICS, being </w:t>
      </w:r>
      <w:r w:rsidR="00DC4A22" w:rsidRPr="005035BE">
        <w:t>significantly</w:t>
      </w:r>
      <w:r w:rsidR="00DC4A22">
        <w:t xml:space="preserve"> lower</w:t>
      </w:r>
      <w:r w:rsidR="005035BE">
        <w:t xml:space="preserve"> for patients treated</w:t>
      </w:r>
      <w:r w:rsidR="00DC4A22">
        <w:t xml:space="preserve"> in LMICS (0</w:t>
      </w:r>
      <w:r w:rsidR="00A8409A">
        <w:t xml:space="preserve"> per cent</w:t>
      </w:r>
      <w:r w:rsidR="00DC4A22">
        <w:t>) and</w:t>
      </w:r>
      <w:r w:rsidR="005035BE">
        <w:t xml:space="preserve"> significantly</w:t>
      </w:r>
      <w:r w:rsidR="00DC4A22">
        <w:t xml:space="preserve"> higher </w:t>
      </w:r>
      <w:r w:rsidR="005035BE">
        <w:t xml:space="preserve">for patients treated </w:t>
      </w:r>
      <w:r w:rsidR="00DC4A22">
        <w:t>in SMICS (100</w:t>
      </w:r>
      <w:r w:rsidR="00A8409A">
        <w:t xml:space="preserve"> per cent</w:t>
      </w:r>
      <w:r w:rsidR="00DC4A22">
        <w:t>)</w:t>
      </w:r>
      <w:r w:rsidR="005035BE">
        <w:t xml:space="preserve"> compared with t</w:t>
      </w:r>
      <w:r w:rsidR="00DC4A22">
        <w:t>he state average</w:t>
      </w:r>
      <w:r w:rsidR="00767583">
        <w:t xml:space="preserve"> (</w:t>
      </w:r>
      <w:r w:rsidR="00767583">
        <w:fldChar w:fldCharType="begin"/>
      </w:r>
      <w:r w:rsidR="00767583">
        <w:instrText xml:space="preserve"> REF _Ref5181244 \h </w:instrText>
      </w:r>
      <w:r w:rsidR="00767583">
        <w:fldChar w:fldCharType="separate"/>
      </w:r>
      <w:r w:rsidR="00084E54">
        <w:t xml:space="preserve">Figure </w:t>
      </w:r>
      <w:r w:rsidR="00084E54">
        <w:rPr>
          <w:noProof/>
        </w:rPr>
        <w:t>7</w:t>
      </w:r>
      <w:r w:rsidR="00767583">
        <w:fldChar w:fldCharType="end"/>
      </w:r>
      <w:r w:rsidR="00767583">
        <w:t>)</w:t>
      </w:r>
      <w:r w:rsidR="00A4604F">
        <w:t>.</w:t>
      </w:r>
    </w:p>
    <w:p w14:paraId="4C608140" w14:textId="5B09DBCC" w:rsidR="00E5020A" w:rsidRDefault="00E5020A" w:rsidP="00F203CD">
      <w:pPr>
        <w:pStyle w:val="DHHSfigurecaption"/>
      </w:pPr>
      <w:bookmarkStart w:id="38" w:name="_Ref4055995"/>
      <w:bookmarkStart w:id="39" w:name="_Toc22722818"/>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6</w:t>
      </w:r>
      <w:r w:rsidR="00954022">
        <w:rPr>
          <w:noProof/>
        </w:rPr>
        <w:fldChar w:fldCharType="end"/>
      </w:r>
      <w:bookmarkEnd w:id="38"/>
      <w:r>
        <w:t xml:space="preserve">: </w:t>
      </w:r>
      <w:r w:rsidR="00F203CD">
        <w:t xml:space="preserve">Proportion of </w:t>
      </w:r>
      <w:r w:rsidR="005035BE">
        <w:t>h</w:t>
      </w:r>
      <w:r w:rsidR="00F203CD">
        <w:t xml:space="preserve">ead and </w:t>
      </w:r>
      <w:r w:rsidR="005035BE">
        <w:t>n</w:t>
      </w:r>
      <w:r w:rsidR="00F203CD">
        <w:t xml:space="preserve">eck cancer patients with a </w:t>
      </w:r>
      <w:r>
        <w:t xml:space="preserve">multidisciplinary team meeting </w:t>
      </w:r>
      <w:r w:rsidR="00F203CD">
        <w:t xml:space="preserve">documented </w:t>
      </w:r>
      <w:r>
        <w:t xml:space="preserve">in </w:t>
      </w:r>
      <w:r w:rsidR="00F203CD">
        <w:t>their medical record</w:t>
      </w:r>
      <w:r w:rsidR="00A36C49">
        <w:t>,</w:t>
      </w:r>
      <w:r w:rsidR="0019389E">
        <w:t xml:space="preserve"> by ICS of treatment</w:t>
      </w:r>
      <w:r w:rsidR="00F203CD">
        <w:t xml:space="preserve"> </w:t>
      </w:r>
      <w:r w:rsidR="005035BE">
        <w:t>(</w:t>
      </w:r>
      <w:r w:rsidR="00A8409A">
        <w:t>2017)</w:t>
      </w:r>
      <w:bookmarkEnd w:id="39"/>
    </w:p>
    <w:p w14:paraId="2D4B4519" w14:textId="7B36AB9F" w:rsidR="003871A3" w:rsidRDefault="00AE23E5" w:rsidP="00AF7E55">
      <w:pPr>
        <w:pStyle w:val="DHHSbody"/>
        <w:jc w:val="center"/>
      </w:pPr>
      <w:r>
        <w:rPr>
          <w:noProof/>
        </w:rPr>
        <w:drawing>
          <wp:inline distT="0" distB="0" distL="0" distR="0" wp14:anchorId="2EEBF48F" wp14:editId="3FC69CDE">
            <wp:extent cx="5815013" cy="2919095"/>
            <wp:effectExtent l="0" t="0" r="0" b="0"/>
            <wp:docPr id="8" name="Picture 8" descr="Proportion of head and neck cancer patients with a multidisciplinary team meeting documented in their medical record, by ICS of treatmen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9">
                      <a:extLst>
                        <a:ext uri="{28A0092B-C50C-407E-A947-70E740481C1C}">
                          <a14:useLocalDpi xmlns:a14="http://schemas.microsoft.com/office/drawing/2010/main" val="0"/>
                        </a:ext>
                      </a:extLst>
                    </a:blip>
                    <a:srcRect t="5981" r="1447"/>
                    <a:stretch/>
                  </pic:blipFill>
                  <pic:spPr bwMode="auto">
                    <a:xfrm>
                      <a:off x="0" y="0"/>
                      <a:ext cx="5815644" cy="2919412"/>
                    </a:xfrm>
                    <a:prstGeom prst="rect">
                      <a:avLst/>
                    </a:prstGeom>
                    <a:noFill/>
                    <a:ln>
                      <a:noFill/>
                    </a:ln>
                    <a:extLst>
                      <a:ext uri="{53640926-AAD7-44D8-BBD7-CCE9431645EC}">
                        <a14:shadowObscured xmlns:a14="http://schemas.microsoft.com/office/drawing/2010/main"/>
                      </a:ext>
                    </a:extLst>
                  </pic:spPr>
                </pic:pic>
              </a:graphicData>
            </a:graphic>
          </wp:inline>
        </w:drawing>
      </w:r>
    </w:p>
    <w:p w14:paraId="3BA6A98C" w14:textId="603BA750" w:rsidR="00B52E1C" w:rsidRPr="00B52E1C" w:rsidRDefault="00B52E1C" w:rsidP="00B52E1C">
      <w:pPr>
        <w:pStyle w:val="DHHStablefigurenote"/>
        <w:rPr>
          <w:rFonts w:eastAsia="Arial"/>
          <w:lang w:val="en-US"/>
        </w:rPr>
      </w:pPr>
      <w:r w:rsidRPr="00F203CD">
        <w:rPr>
          <w:rFonts w:eastAsia="Arial"/>
          <w:lang w:val="en-US"/>
        </w:rPr>
        <w:t>Bars</w:t>
      </w:r>
      <w:r>
        <w:rPr>
          <w:rFonts w:eastAsia="Arial"/>
          <w:lang w:val="en-US"/>
        </w:rPr>
        <w:t xml:space="preserve"> represent</w:t>
      </w:r>
      <w:r w:rsidRPr="00F203CD">
        <w:rPr>
          <w:rFonts w:eastAsia="Arial"/>
          <w:lang w:val="en-US"/>
        </w:rPr>
        <w:t xml:space="preserve"> 95</w:t>
      </w:r>
      <w:r w:rsidR="000C6025">
        <w:rPr>
          <w:rFonts w:eastAsia="Arial"/>
          <w:lang w:val="en-US"/>
        </w:rPr>
        <w:t xml:space="preserve"> per cent</w:t>
      </w:r>
      <w:r w:rsidRPr="00F203CD">
        <w:rPr>
          <w:rFonts w:eastAsia="Arial"/>
          <w:lang w:val="en-US"/>
        </w:rPr>
        <w:t xml:space="preserve"> CI. </w:t>
      </w:r>
    </w:p>
    <w:p w14:paraId="03C3350F" w14:textId="6916C45C" w:rsidR="00E5020A" w:rsidRDefault="003871A3" w:rsidP="003871A3">
      <w:pPr>
        <w:pStyle w:val="DHHSfigurecaption"/>
      </w:pPr>
      <w:bookmarkStart w:id="40" w:name="_Ref5181244"/>
      <w:bookmarkStart w:id="41" w:name="_Toc22722819"/>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7</w:t>
      </w:r>
      <w:r w:rsidR="00954022">
        <w:rPr>
          <w:noProof/>
        </w:rPr>
        <w:fldChar w:fldCharType="end"/>
      </w:r>
      <w:bookmarkEnd w:id="40"/>
      <w:r>
        <w:t>: Proportion of head and neck cancer patients who had a prospective multidisciplinary team meeting</w:t>
      </w:r>
      <w:r w:rsidR="00A36C49">
        <w:t>,</w:t>
      </w:r>
      <w:r w:rsidR="0019389E">
        <w:t xml:space="preserve"> by ICS of treatment</w:t>
      </w:r>
      <w:r>
        <w:t xml:space="preserve"> (2017)</w:t>
      </w:r>
      <w:bookmarkEnd w:id="41"/>
    </w:p>
    <w:p w14:paraId="72D721B7" w14:textId="01EEC114" w:rsidR="002C6065" w:rsidRDefault="00AF7E55" w:rsidP="00AF7E55">
      <w:pPr>
        <w:pStyle w:val="DHHSbullet1"/>
        <w:numPr>
          <w:ilvl w:val="0"/>
          <w:numId w:val="0"/>
        </w:numPr>
        <w:ind w:left="284" w:hanging="284"/>
        <w:jc w:val="center"/>
      </w:pPr>
      <w:r>
        <w:rPr>
          <w:noProof/>
        </w:rPr>
        <w:drawing>
          <wp:inline distT="0" distB="0" distL="0" distR="0" wp14:anchorId="65186394" wp14:editId="41D31EA9">
            <wp:extent cx="5895975" cy="2929255"/>
            <wp:effectExtent l="0" t="0" r="9525" b="4445"/>
            <wp:docPr id="9" name="Picture 9" descr="Proportion of head and neck cancer patients who had a prospective multidisciplinary team meeting, by ICS of treatmen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0">
                      <a:extLst>
                        <a:ext uri="{28A0092B-C50C-407E-A947-70E740481C1C}">
                          <a14:useLocalDpi xmlns:a14="http://schemas.microsoft.com/office/drawing/2010/main" val="0"/>
                        </a:ext>
                      </a:extLst>
                    </a:blip>
                    <a:srcRect t="5819"/>
                    <a:stretch/>
                  </pic:blipFill>
                  <pic:spPr bwMode="auto">
                    <a:xfrm>
                      <a:off x="0" y="0"/>
                      <a:ext cx="5895975" cy="2929255"/>
                    </a:xfrm>
                    <a:prstGeom prst="rect">
                      <a:avLst/>
                    </a:prstGeom>
                    <a:noFill/>
                    <a:ln>
                      <a:noFill/>
                    </a:ln>
                    <a:extLst>
                      <a:ext uri="{53640926-AAD7-44D8-BBD7-CCE9431645EC}">
                        <a14:shadowObscured xmlns:a14="http://schemas.microsoft.com/office/drawing/2010/main"/>
                      </a:ext>
                    </a:extLst>
                  </pic:spPr>
                </pic:pic>
              </a:graphicData>
            </a:graphic>
          </wp:inline>
        </w:drawing>
      </w:r>
    </w:p>
    <w:p w14:paraId="42355C32" w14:textId="05460037" w:rsidR="008F25EC" w:rsidRDefault="00F203CD" w:rsidP="003647CA">
      <w:pPr>
        <w:pStyle w:val="DHHStablefigurenote"/>
        <w:rPr>
          <w:rFonts w:eastAsia="Arial"/>
          <w:lang w:val="en-US"/>
        </w:rPr>
      </w:pPr>
      <w:r w:rsidRPr="00F203CD">
        <w:rPr>
          <w:rFonts w:eastAsia="Arial"/>
          <w:lang w:val="en-US"/>
        </w:rPr>
        <w:t>Bars</w:t>
      </w:r>
      <w:r w:rsidR="00B52E1C">
        <w:rPr>
          <w:rFonts w:eastAsia="Arial"/>
          <w:lang w:val="en-US"/>
        </w:rPr>
        <w:t xml:space="preserve"> represent</w:t>
      </w:r>
      <w:r w:rsidRPr="00F203CD">
        <w:rPr>
          <w:rFonts w:eastAsia="Arial"/>
          <w:lang w:val="en-US"/>
        </w:rPr>
        <w:t xml:space="preserve"> 95</w:t>
      </w:r>
      <w:r w:rsidR="000C6025">
        <w:rPr>
          <w:rFonts w:eastAsia="Arial"/>
          <w:lang w:val="en-US"/>
        </w:rPr>
        <w:t xml:space="preserve"> per cent</w:t>
      </w:r>
      <w:r w:rsidRPr="00F203CD">
        <w:rPr>
          <w:rFonts w:eastAsia="Arial"/>
          <w:lang w:val="en-US"/>
        </w:rPr>
        <w:t xml:space="preserve"> CI. </w:t>
      </w:r>
    </w:p>
    <w:p w14:paraId="141EC79A" w14:textId="77777777" w:rsidR="00282B34" w:rsidRDefault="00282B34" w:rsidP="00282B34">
      <w:pPr>
        <w:pStyle w:val="Heading3"/>
      </w:pPr>
      <w:r>
        <w:t>Clinical commentary</w:t>
      </w:r>
    </w:p>
    <w:p w14:paraId="47A449DC" w14:textId="7D60A7BC" w:rsidR="005F078F" w:rsidRDefault="00E64136" w:rsidP="00317C84">
      <w:pPr>
        <w:pStyle w:val="DHHSbody"/>
        <w:rPr>
          <w:lang w:val="en-US"/>
        </w:rPr>
      </w:pPr>
      <w:r w:rsidRPr="00E64136">
        <w:rPr>
          <w:lang w:val="en-US"/>
        </w:rPr>
        <w:t xml:space="preserve">MDM treatment planning is </w:t>
      </w:r>
      <w:r w:rsidR="00A36C49">
        <w:rPr>
          <w:lang w:val="en-US"/>
        </w:rPr>
        <w:t xml:space="preserve">an </w:t>
      </w:r>
      <w:r w:rsidRPr="00E64136">
        <w:rPr>
          <w:lang w:val="en-US"/>
        </w:rPr>
        <w:t>important and well</w:t>
      </w:r>
      <w:r>
        <w:rPr>
          <w:lang w:val="en-US"/>
        </w:rPr>
        <w:t>-</w:t>
      </w:r>
      <w:r w:rsidR="005035BE">
        <w:rPr>
          <w:lang w:val="en-US"/>
        </w:rPr>
        <w:t>recognised</w:t>
      </w:r>
      <w:r>
        <w:rPr>
          <w:lang w:val="en-US"/>
        </w:rPr>
        <w:t xml:space="preserve"> </w:t>
      </w:r>
      <w:r w:rsidRPr="00E64136">
        <w:rPr>
          <w:lang w:val="en-US"/>
        </w:rPr>
        <w:t>standard of care</w:t>
      </w:r>
      <w:r w:rsidR="004F474A">
        <w:rPr>
          <w:lang w:val="en-US"/>
        </w:rPr>
        <w:t xml:space="preserve">. </w:t>
      </w:r>
      <w:r w:rsidR="00D26F1C">
        <w:rPr>
          <w:lang w:val="en-US"/>
        </w:rPr>
        <w:t xml:space="preserve">MDMs </w:t>
      </w:r>
      <w:r w:rsidR="004F474A">
        <w:rPr>
          <w:lang w:val="en-US"/>
        </w:rPr>
        <w:t>should occur before treatment begins to ensure patients are given the most appropriate care. While some areas of the state do this well, there is room for improvement</w:t>
      </w:r>
      <w:r w:rsidR="00F47DF5">
        <w:rPr>
          <w:lang w:val="en-US"/>
        </w:rPr>
        <w:t xml:space="preserve">, </w:t>
      </w:r>
      <w:r w:rsidR="00D26F1C">
        <w:rPr>
          <w:lang w:val="en-US"/>
        </w:rPr>
        <w:t>particularly in some regional ICS</w:t>
      </w:r>
      <w:r w:rsidR="004F474A">
        <w:rPr>
          <w:lang w:val="en-US"/>
        </w:rPr>
        <w:t xml:space="preserve">. </w:t>
      </w:r>
      <w:r w:rsidR="00F47DF5">
        <w:rPr>
          <w:lang w:val="en-US"/>
        </w:rPr>
        <w:t>Given that</w:t>
      </w:r>
      <w:r w:rsidR="004F474A">
        <w:rPr>
          <w:lang w:val="en-US"/>
        </w:rPr>
        <w:t xml:space="preserve"> this was a relatively small audit study, </w:t>
      </w:r>
      <w:r w:rsidR="00F47DF5">
        <w:rPr>
          <w:lang w:val="en-US"/>
        </w:rPr>
        <w:t xml:space="preserve">findings should be verified </w:t>
      </w:r>
      <w:r w:rsidR="00A36C49">
        <w:rPr>
          <w:lang w:val="en-US"/>
        </w:rPr>
        <w:t xml:space="preserve">via </w:t>
      </w:r>
      <w:r w:rsidR="00F47DF5">
        <w:rPr>
          <w:lang w:val="en-US"/>
        </w:rPr>
        <w:t>local review</w:t>
      </w:r>
      <w:r w:rsidR="00A36C49">
        <w:rPr>
          <w:lang w:val="en-US"/>
        </w:rPr>
        <w:t>s</w:t>
      </w:r>
      <w:r w:rsidR="00F47DF5">
        <w:rPr>
          <w:lang w:val="en-US"/>
        </w:rPr>
        <w:t xml:space="preserve"> of patient and service records</w:t>
      </w:r>
      <w:r w:rsidR="00B5336E">
        <w:rPr>
          <w:lang w:val="en-US"/>
        </w:rPr>
        <w:t xml:space="preserve"> and strategies put in place</w:t>
      </w:r>
      <w:r w:rsidR="006D7727">
        <w:rPr>
          <w:lang w:val="en-US"/>
        </w:rPr>
        <w:t xml:space="preserve"> to support </w:t>
      </w:r>
      <w:r w:rsidR="00B5336E">
        <w:rPr>
          <w:lang w:val="en-US"/>
        </w:rPr>
        <w:t>all H&amp;N</w:t>
      </w:r>
      <w:r w:rsidR="00A21BF3">
        <w:rPr>
          <w:lang w:val="en-US"/>
        </w:rPr>
        <w:t xml:space="preserve"> cancer</w:t>
      </w:r>
      <w:r w:rsidR="00B5336E">
        <w:rPr>
          <w:lang w:val="en-US"/>
        </w:rPr>
        <w:t xml:space="preserve"> patients</w:t>
      </w:r>
      <w:r w:rsidR="00B709A5">
        <w:rPr>
          <w:lang w:val="en-US"/>
        </w:rPr>
        <w:t>’ cases being prospectively discussed in MDMs attended by clinicians with subspecialty training and current clinical experience managing a high volume of head and neck cancer cases</w:t>
      </w:r>
      <w:r w:rsidR="00F47DF5">
        <w:rPr>
          <w:lang w:val="en-US"/>
        </w:rPr>
        <w:t>.</w:t>
      </w:r>
      <w:r w:rsidR="00B709A5">
        <w:rPr>
          <w:lang w:val="en-US"/>
        </w:rPr>
        <w:t xml:space="preserve"> Centres that do not have clinicians with this training or experience attending their MDMs in person should develop networks with larger centres with these </w:t>
      </w:r>
      <w:r w:rsidR="00F26234">
        <w:rPr>
          <w:lang w:val="en-US"/>
        </w:rPr>
        <w:t>resources and</w:t>
      </w:r>
      <w:r w:rsidR="00B709A5">
        <w:rPr>
          <w:lang w:val="en-US"/>
        </w:rPr>
        <w:t xml:space="preserve"> use teleconference facilities to provide prospective MDM review by clinicians with the desirable level of </w:t>
      </w:r>
      <w:r w:rsidR="00F26234">
        <w:rPr>
          <w:lang w:val="en-US"/>
        </w:rPr>
        <w:t>subspecialty</w:t>
      </w:r>
      <w:r w:rsidR="00B709A5">
        <w:rPr>
          <w:lang w:val="en-US"/>
        </w:rPr>
        <w:t xml:space="preserve"> training and experience.</w:t>
      </w:r>
    </w:p>
    <w:p w14:paraId="7A1FB171" w14:textId="77777777" w:rsidR="005F078F" w:rsidRDefault="005F078F" w:rsidP="0062597E">
      <w:pPr>
        <w:pStyle w:val="DHHSbody"/>
        <w:rPr>
          <w:lang w:val="en-US"/>
        </w:rPr>
      </w:pPr>
      <w:r>
        <w:rPr>
          <w:lang w:val="en-US"/>
        </w:rPr>
        <w:br w:type="page"/>
      </w:r>
    </w:p>
    <w:p w14:paraId="47A40969" w14:textId="444ED28F" w:rsidR="001D4D28" w:rsidRDefault="007E439A" w:rsidP="007970BD">
      <w:pPr>
        <w:pStyle w:val="Heading1"/>
        <w:rPr>
          <w:rFonts w:eastAsia="MS Gothic"/>
        </w:rPr>
      </w:pPr>
      <w:bookmarkStart w:id="42" w:name="_Toc22713855"/>
      <w:r w:rsidRPr="006F2294">
        <w:rPr>
          <w:rFonts w:eastAsia="MS Gothic"/>
        </w:rPr>
        <w:t xml:space="preserve">Timeliness </w:t>
      </w:r>
      <w:r w:rsidR="00B4784C">
        <w:rPr>
          <w:rFonts w:eastAsia="MS Gothic"/>
        </w:rPr>
        <w:t>of</w:t>
      </w:r>
      <w:r w:rsidRPr="006F2294">
        <w:rPr>
          <w:rFonts w:eastAsia="MS Gothic"/>
        </w:rPr>
        <w:t xml:space="preserve"> </w:t>
      </w:r>
      <w:r w:rsidR="00587F31">
        <w:rPr>
          <w:rFonts w:eastAsia="MS Gothic"/>
        </w:rPr>
        <w:t>treatment</w:t>
      </w:r>
      <w:r w:rsidR="004A05E6">
        <w:rPr>
          <w:rStyle w:val="FootnoteReference"/>
          <w:rFonts w:eastAsia="MS Gothic"/>
        </w:rPr>
        <w:footnoteReference w:id="6"/>
      </w:r>
      <w:bookmarkEnd w:id="42"/>
    </w:p>
    <w:p w14:paraId="7B09E16D" w14:textId="6E772D3B" w:rsidR="0019389E" w:rsidRDefault="003871A3" w:rsidP="0019389E">
      <w:pPr>
        <w:pStyle w:val="DHHSbody"/>
      </w:pPr>
      <w:r>
        <w:t>The OCP</w:t>
      </w:r>
      <w:r w:rsidR="001D4D28">
        <w:t xml:space="preserve"> for H&amp;N cancer</w:t>
      </w:r>
      <w:r w:rsidR="00425231">
        <w:t>s</w:t>
      </w:r>
      <w:r w:rsidR="001D4D28">
        <w:t xml:space="preserve"> include</w:t>
      </w:r>
      <w:r>
        <w:t>s</w:t>
      </w:r>
      <w:r w:rsidR="001D4D28">
        <w:t xml:space="preserve"> recommended </w:t>
      </w:r>
      <w:r w:rsidR="00B6368E">
        <w:t xml:space="preserve">optimal </w:t>
      </w:r>
      <w:r w:rsidR="001D4D28">
        <w:t>timeframes for patient care.</w:t>
      </w:r>
      <w:r w:rsidR="0019389E">
        <w:t xml:space="preserve"> </w:t>
      </w:r>
      <w:r w:rsidR="001D4D28">
        <w:t xml:space="preserve">Three intervals were examined </w:t>
      </w:r>
      <w:r w:rsidR="00FC5659">
        <w:t>for</w:t>
      </w:r>
      <w:r w:rsidR="00176EC7">
        <w:t xml:space="preserve"> patient</w:t>
      </w:r>
      <w:r w:rsidR="00B6368E">
        <w:t>s</w:t>
      </w:r>
      <w:r w:rsidR="00176EC7">
        <w:t xml:space="preserve"> diagnosed between</w:t>
      </w:r>
      <w:r w:rsidR="00FC5659">
        <w:t xml:space="preserve"> 2012</w:t>
      </w:r>
      <w:r w:rsidR="00176EC7">
        <w:t xml:space="preserve"> and </w:t>
      </w:r>
      <w:r w:rsidR="00FC5659">
        <w:t>201</w:t>
      </w:r>
      <w:r w:rsidR="00767583">
        <w:t>6</w:t>
      </w:r>
      <w:r w:rsidR="00AA4FC8">
        <w:t>.</w:t>
      </w:r>
      <w:r w:rsidR="001D4D28">
        <w:t xml:space="preserve"> </w:t>
      </w:r>
    </w:p>
    <w:p w14:paraId="4519FC19" w14:textId="31703F00" w:rsidR="001D4D28" w:rsidRPr="001D4D28" w:rsidRDefault="001D4D28" w:rsidP="00BC152D">
      <w:pPr>
        <w:pStyle w:val="DHHSnumberdigit"/>
        <w:numPr>
          <w:ilvl w:val="0"/>
          <w:numId w:val="56"/>
        </w:numPr>
      </w:pPr>
      <w:r w:rsidRPr="001D4D28">
        <w:t xml:space="preserve">Time from diagnosis to </w:t>
      </w:r>
      <w:r w:rsidR="00E95E90">
        <w:t xml:space="preserve">first treatment </w:t>
      </w:r>
      <w:r w:rsidR="00B77808">
        <w:t>–</w:t>
      </w:r>
      <w:r w:rsidR="00E95E90">
        <w:t xml:space="preserve"> </w:t>
      </w:r>
      <w:r w:rsidRPr="001D4D28">
        <w:t>surgery</w:t>
      </w:r>
    </w:p>
    <w:p w14:paraId="10E91B55" w14:textId="559EDF29" w:rsidR="001D4D28" w:rsidRPr="001D4D28" w:rsidRDefault="001D4D28" w:rsidP="00BC152D">
      <w:pPr>
        <w:pStyle w:val="DHHSnumberdigit"/>
      </w:pPr>
      <w:r w:rsidRPr="001D4D28">
        <w:t xml:space="preserve">Time from diagnosis to </w:t>
      </w:r>
      <w:r w:rsidR="00E95E90">
        <w:t xml:space="preserve">first treatment </w:t>
      </w:r>
      <w:r w:rsidR="00B77808">
        <w:t>–</w:t>
      </w:r>
      <w:r w:rsidR="00E95E90">
        <w:t xml:space="preserve"> </w:t>
      </w:r>
      <w:r w:rsidRPr="001D4D28">
        <w:t>definitive RT/CRT</w:t>
      </w:r>
    </w:p>
    <w:p w14:paraId="59CA53F5" w14:textId="77777777" w:rsidR="001D4D28" w:rsidRPr="001D4D28" w:rsidRDefault="001D4D28" w:rsidP="00BC152D">
      <w:pPr>
        <w:pStyle w:val="DHHSnumberdigit"/>
      </w:pPr>
      <w:r w:rsidRPr="001D4D28">
        <w:t xml:space="preserve">Time from </w:t>
      </w:r>
      <w:r>
        <w:t xml:space="preserve">surgery to adjuvant </w:t>
      </w:r>
      <w:r w:rsidR="00B6368E">
        <w:t>therapy</w:t>
      </w:r>
    </w:p>
    <w:p w14:paraId="4203D42B" w14:textId="34FDA0E9" w:rsidR="007E439A" w:rsidRDefault="001D4D28" w:rsidP="007970BD">
      <w:pPr>
        <w:pStyle w:val="Heading2"/>
        <w:rPr>
          <w:rFonts w:eastAsia="MS Gothic"/>
        </w:rPr>
      </w:pPr>
      <w:bookmarkStart w:id="43" w:name="_Toc22713856"/>
      <w:r>
        <w:rPr>
          <w:rFonts w:eastAsia="MS Gothic"/>
        </w:rPr>
        <w:t>Time</w:t>
      </w:r>
      <w:r w:rsidR="005F5564">
        <w:rPr>
          <w:rFonts w:eastAsia="MS Gothic"/>
        </w:rPr>
        <w:t xml:space="preserve"> from diagnosis to</w:t>
      </w:r>
      <w:r>
        <w:rPr>
          <w:rFonts w:eastAsia="MS Gothic"/>
        </w:rPr>
        <w:t xml:space="preserve"> </w:t>
      </w:r>
      <w:r w:rsidR="00E95E90">
        <w:rPr>
          <w:rFonts w:eastAsia="MS Gothic"/>
        </w:rPr>
        <w:t>first treatment</w:t>
      </w:r>
      <w:r w:rsidR="006E52D2">
        <w:rPr>
          <w:rFonts w:eastAsia="MS Gothic"/>
        </w:rPr>
        <w:t xml:space="preserve"> </w:t>
      </w:r>
      <w:r w:rsidR="002C5509">
        <w:rPr>
          <w:rFonts w:eastAsia="MS Gothic"/>
        </w:rPr>
        <w:t>–</w:t>
      </w:r>
      <w:r w:rsidR="006E52D2">
        <w:rPr>
          <w:rFonts w:eastAsia="MS Gothic"/>
        </w:rPr>
        <w:t xml:space="preserve"> </w:t>
      </w:r>
      <w:r w:rsidR="006C7345">
        <w:rPr>
          <w:rFonts w:eastAsia="MS Gothic"/>
        </w:rPr>
        <w:t>surgery</w:t>
      </w:r>
      <w:bookmarkEnd w:id="43"/>
      <w:r w:rsidR="006C7345">
        <w:rPr>
          <w:rFonts w:eastAsia="MS Gothic"/>
        </w:rPr>
        <w:t xml:space="preserve"> </w:t>
      </w:r>
    </w:p>
    <w:p w14:paraId="57935897" w14:textId="0B68BFD0" w:rsidR="006F3FCA" w:rsidRDefault="00B479AF" w:rsidP="00921359">
      <w:pPr>
        <w:pStyle w:val="DHHSbullet1lastline"/>
      </w:pPr>
      <w:r>
        <w:t xml:space="preserve">Of the </w:t>
      </w:r>
      <w:r w:rsidR="00B1716A">
        <w:t xml:space="preserve">H&amp;N cancer </w:t>
      </w:r>
      <w:r>
        <w:t xml:space="preserve">patients </w:t>
      </w:r>
      <w:r w:rsidR="00062F66">
        <w:t xml:space="preserve">who </w:t>
      </w:r>
      <w:r w:rsidR="00B1716A">
        <w:t>started treatment</w:t>
      </w:r>
      <w:r w:rsidR="00062F66">
        <w:t xml:space="preserve"> within </w:t>
      </w:r>
      <w:r w:rsidR="006E52D2">
        <w:t>six</w:t>
      </w:r>
      <w:r w:rsidR="00062F66">
        <w:t xml:space="preserve"> months of diagnosis and </w:t>
      </w:r>
      <w:r>
        <w:t>whose first treatment was surgery:</w:t>
      </w:r>
    </w:p>
    <w:p w14:paraId="27EF3A42" w14:textId="30579648" w:rsidR="00A8409A" w:rsidRPr="00823D60" w:rsidRDefault="00A8409A" w:rsidP="006F3FCA">
      <w:pPr>
        <w:pStyle w:val="DHHSbullet2"/>
      </w:pPr>
      <w:r w:rsidRPr="00823D60">
        <w:t xml:space="preserve">The median time from </w:t>
      </w:r>
      <w:r w:rsidR="00B1716A">
        <w:t>d</w:t>
      </w:r>
      <w:r w:rsidRPr="00823D60">
        <w:t>iagnosis to surgery was 17 days</w:t>
      </w:r>
      <w:r w:rsidR="00D11E9B" w:rsidRPr="00823D60">
        <w:t>.</w:t>
      </w:r>
    </w:p>
    <w:p w14:paraId="1F9AB824" w14:textId="083DE6A4" w:rsidR="005E7AF5" w:rsidRPr="00823D60" w:rsidRDefault="00B479AF" w:rsidP="00B479AF">
      <w:pPr>
        <w:pStyle w:val="DHHSbullet2"/>
      </w:pPr>
      <w:r>
        <w:t>Ninety-three</w:t>
      </w:r>
      <w:r w:rsidR="00A8409A" w:rsidRPr="00823D60">
        <w:t xml:space="preserve"> per cent</w:t>
      </w:r>
      <w:r w:rsidR="00565D84" w:rsidRPr="00823D60">
        <w:t xml:space="preserve"> underwent surgery </w:t>
      </w:r>
      <w:r w:rsidR="0005529A" w:rsidRPr="00823D60">
        <w:t>within</w:t>
      </w:r>
      <w:r w:rsidR="00C406C7">
        <w:t xml:space="preserve"> eight </w:t>
      </w:r>
      <w:r w:rsidR="0005529A" w:rsidRPr="00823D60">
        <w:t>weeks of diagnosis</w:t>
      </w:r>
      <w:r w:rsidR="00D11E9B" w:rsidRPr="00823D60">
        <w:t>.</w:t>
      </w:r>
    </w:p>
    <w:p w14:paraId="0D96FF78" w14:textId="0555D2CF" w:rsidR="005E7AF5" w:rsidRPr="00823D60" w:rsidRDefault="00D8277F" w:rsidP="00E40821">
      <w:pPr>
        <w:pStyle w:val="DHHSbullet1"/>
      </w:pPr>
      <w:r w:rsidRPr="00823D60">
        <w:t xml:space="preserve">The proportion </w:t>
      </w:r>
      <w:r w:rsidR="00A8409A" w:rsidRPr="00823D60">
        <w:t xml:space="preserve">of patients </w:t>
      </w:r>
      <w:r w:rsidR="00823D60" w:rsidRPr="00823D60">
        <w:t>who had</w:t>
      </w:r>
      <w:r w:rsidRPr="00823D60">
        <w:t xml:space="preserve"> surgery within</w:t>
      </w:r>
      <w:r w:rsidR="00C406C7">
        <w:t xml:space="preserve"> eight </w:t>
      </w:r>
      <w:r w:rsidRPr="00823D60">
        <w:t>weeks</w:t>
      </w:r>
      <w:r w:rsidR="003871A3" w:rsidRPr="00823D60">
        <w:t xml:space="preserve"> of diagnosis</w:t>
      </w:r>
      <w:r w:rsidR="005E7AF5" w:rsidRPr="00823D60">
        <w:t xml:space="preserve"> did not vary </w:t>
      </w:r>
      <w:r w:rsidR="007E7741" w:rsidRPr="00823D60">
        <w:t>by whether patients had surgery at their local ICS or travelled from regional to metropolitan ICS (</w:t>
      </w:r>
      <w:r w:rsidR="00954022" w:rsidRPr="00823D60">
        <w:fldChar w:fldCharType="begin"/>
      </w:r>
      <w:r w:rsidR="007E7741" w:rsidRPr="00823D60">
        <w:instrText xml:space="preserve"> REF _Ref3983925 \h </w:instrText>
      </w:r>
      <w:r w:rsidR="00823D60" w:rsidRPr="00823D60">
        <w:instrText xml:space="preserve"> \* MERGEFORMAT </w:instrText>
      </w:r>
      <w:r w:rsidR="00954022" w:rsidRPr="00823D60">
        <w:fldChar w:fldCharType="separate"/>
      </w:r>
      <w:r w:rsidR="00084E54">
        <w:t xml:space="preserve">Table </w:t>
      </w:r>
      <w:r w:rsidR="00084E54">
        <w:rPr>
          <w:noProof/>
        </w:rPr>
        <w:t>5</w:t>
      </w:r>
      <w:r w:rsidR="00954022" w:rsidRPr="00823D60">
        <w:fldChar w:fldCharType="end"/>
      </w:r>
      <w:r w:rsidR="007E7741" w:rsidRPr="00823D60">
        <w:t>),</w:t>
      </w:r>
      <w:r w:rsidR="00F63823" w:rsidRPr="00823D60">
        <w:t xml:space="preserve"> nor </w:t>
      </w:r>
      <w:r w:rsidR="007E7741" w:rsidRPr="00823D60">
        <w:t>by ICS of treatment</w:t>
      </w:r>
      <w:r w:rsidR="00E40821">
        <w:t xml:space="preserve"> (</w:t>
      </w:r>
      <w:r w:rsidR="00E40821">
        <w:fldChar w:fldCharType="begin"/>
      </w:r>
      <w:r w:rsidR="00E40821">
        <w:instrText xml:space="preserve"> REF _Ref11914078 \h </w:instrText>
      </w:r>
      <w:r w:rsidR="00E40821">
        <w:fldChar w:fldCharType="separate"/>
      </w:r>
      <w:r w:rsidR="00084E54">
        <w:t xml:space="preserve">Figure </w:t>
      </w:r>
      <w:r w:rsidR="00084E54">
        <w:rPr>
          <w:noProof/>
        </w:rPr>
        <w:t>8</w:t>
      </w:r>
      <w:r w:rsidR="00E40821">
        <w:fldChar w:fldCharType="end"/>
      </w:r>
      <w:r w:rsidR="00E40821">
        <w:t>)</w:t>
      </w:r>
      <w:r w:rsidR="007E7741" w:rsidRPr="00823D60">
        <w:t>.</w:t>
      </w:r>
    </w:p>
    <w:p w14:paraId="74D34F85" w14:textId="1633EE9D" w:rsidR="00D8277F" w:rsidRPr="00823D60" w:rsidRDefault="001209C5" w:rsidP="00823D60">
      <w:pPr>
        <w:pStyle w:val="DHHSbullet1lastline"/>
      </w:pPr>
      <w:r w:rsidRPr="00823D60">
        <w:t>F</w:t>
      </w:r>
      <w:r w:rsidR="005E7AF5" w:rsidRPr="00823D60">
        <w:t>our hospital</w:t>
      </w:r>
      <w:r w:rsidR="008D251F" w:rsidRPr="00823D60">
        <w:t>s</w:t>
      </w:r>
      <w:r w:rsidR="005E7AF5" w:rsidRPr="00823D60">
        <w:t xml:space="preserve"> had a significantly lower proportion of patients </w:t>
      </w:r>
      <w:r w:rsidR="00823D60" w:rsidRPr="00823D60">
        <w:t>undergoing</w:t>
      </w:r>
      <w:r w:rsidR="005E7AF5" w:rsidRPr="00823D60">
        <w:t xml:space="preserve"> surgery within</w:t>
      </w:r>
      <w:r w:rsidR="00C406C7">
        <w:t xml:space="preserve"> eight </w:t>
      </w:r>
      <w:r w:rsidR="005E7AF5" w:rsidRPr="00823D60">
        <w:t xml:space="preserve">weeks compared </w:t>
      </w:r>
      <w:r w:rsidRPr="00823D60">
        <w:t xml:space="preserve">with </w:t>
      </w:r>
      <w:r w:rsidR="005E7AF5" w:rsidRPr="00823D60">
        <w:t>the state average</w:t>
      </w:r>
      <w:r w:rsidR="00D77D3D" w:rsidRPr="00823D60">
        <w:t xml:space="preserve"> (</w:t>
      </w:r>
      <w:r w:rsidR="00954022" w:rsidRPr="00823D60">
        <w:fldChar w:fldCharType="begin"/>
      </w:r>
      <w:r w:rsidR="00D77D3D" w:rsidRPr="00823D60">
        <w:instrText xml:space="preserve"> REF _Ref3988227 \h </w:instrText>
      </w:r>
      <w:r w:rsidR="00823D60" w:rsidRPr="00823D60">
        <w:instrText xml:space="preserve"> \* MERGEFORMAT </w:instrText>
      </w:r>
      <w:r w:rsidR="00954022" w:rsidRPr="00823D60">
        <w:fldChar w:fldCharType="separate"/>
      </w:r>
      <w:r w:rsidR="00084E54">
        <w:t xml:space="preserve">Figure </w:t>
      </w:r>
      <w:r w:rsidR="00084E54">
        <w:rPr>
          <w:noProof/>
        </w:rPr>
        <w:t>9</w:t>
      </w:r>
      <w:r w:rsidR="00954022" w:rsidRPr="00823D60">
        <w:fldChar w:fldCharType="end"/>
      </w:r>
      <w:r w:rsidR="00D77D3D" w:rsidRPr="00823D60">
        <w:t>)</w:t>
      </w:r>
      <w:r w:rsidR="00820277">
        <w:t>.</w:t>
      </w:r>
    </w:p>
    <w:p w14:paraId="699E929B" w14:textId="2C8C64E3" w:rsidR="00A170F9" w:rsidRPr="003072C6" w:rsidRDefault="000819E3" w:rsidP="000819E3">
      <w:pPr>
        <w:pStyle w:val="DHHStablecaption"/>
      </w:pPr>
      <w:bookmarkStart w:id="44" w:name="_Ref3983925"/>
      <w:bookmarkStart w:id="45" w:name="_Toc22722839"/>
      <w:r>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5</w:t>
      </w:r>
      <w:r w:rsidR="00954022">
        <w:rPr>
          <w:noProof/>
        </w:rPr>
        <w:fldChar w:fldCharType="end"/>
      </w:r>
      <w:bookmarkEnd w:id="44"/>
      <w:r>
        <w:t xml:space="preserve">: Proportion of </w:t>
      </w:r>
      <w:r w:rsidR="00A65D17">
        <w:t xml:space="preserve">head and neck cancer </w:t>
      </w:r>
      <w:r>
        <w:t>patients</w:t>
      </w:r>
      <w:r w:rsidR="006F3FCA">
        <w:t xml:space="preserve"> whose first treatment was surgery,</w:t>
      </w:r>
      <w:r>
        <w:t xml:space="preserve"> </w:t>
      </w:r>
      <w:r w:rsidR="006F3FCA">
        <w:t>who had</w:t>
      </w:r>
      <w:r>
        <w:t xml:space="preserve"> surgery within</w:t>
      </w:r>
      <w:r w:rsidR="00C406C7">
        <w:t xml:space="preserve"> eight </w:t>
      </w:r>
      <w:r>
        <w:t>weeks of diagnosis</w:t>
      </w:r>
      <w:r w:rsidR="00425231">
        <w:t>,</w:t>
      </w:r>
      <w:r>
        <w:t xml:space="preserve"> </w:t>
      </w:r>
      <w:r w:rsidR="00076D34">
        <w:t>by</w:t>
      </w:r>
      <w:r>
        <w:t xml:space="preserve"> ICS of residence and </w:t>
      </w:r>
      <w:r w:rsidR="003871A3">
        <w:t xml:space="preserve">ICS of </w:t>
      </w:r>
      <w:r>
        <w:t>treatment</w:t>
      </w:r>
      <w:r w:rsidR="00A8409A">
        <w:t xml:space="preserve"> (diagnosed 2012–2016)</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7"/>
        <w:gridCol w:w="3097"/>
      </w:tblGrid>
      <w:tr w:rsidR="007E7741" w:rsidRPr="003072C6" w14:paraId="71EB44D9" w14:textId="77777777">
        <w:trPr>
          <w:tblHeader/>
        </w:trPr>
        <w:tc>
          <w:tcPr>
            <w:tcW w:w="1666" w:type="pct"/>
            <w:shd w:val="clear" w:color="auto" w:fill="auto"/>
          </w:tcPr>
          <w:p w14:paraId="036B36BA" w14:textId="77777777" w:rsidR="007E7741" w:rsidRDefault="007E7741" w:rsidP="00A46AF7">
            <w:pPr>
              <w:pStyle w:val="DHHStablecolhead"/>
            </w:pPr>
            <w:r>
              <w:t>ICS residence to ICS of treatment</w:t>
            </w:r>
          </w:p>
        </w:tc>
        <w:tc>
          <w:tcPr>
            <w:tcW w:w="1667" w:type="pct"/>
            <w:shd w:val="clear" w:color="auto" w:fill="auto"/>
          </w:tcPr>
          <w:p w14:paraId="431F3F0F" w14:textId="4132D04C" w:rsidR="007E7741" w:rsidRDefault="00B479AF" w:rsidP="000819E3">
            <w:pPr>
              <w:pStyle w:val="DHHStablecolhead"/>
              <w:jc w:val="center"/>
            </w:pPr>
            <w:r>
              <w:t xml:space="preserve"> n/N</w:t>
            </w:r>
            <w:r w:rsidR="007E7741">
              <w:t xml:space="preserve"> (%)</w:t>
            </w:r>
          </w:p>
        </w:tc>
        <w:tc>
          <w:tcPr>
            <w:tcW w:w="1667" w:type="pct"/>
          </w:tcPr>
          <w:p w14:paraId="20C2F2D9" w14:textId="515B3C09" w:rsidR="007E7741" w:rsidRDefault="00F62369" w:rsidP="000819E3">
            <w:pPr>
              <w:pStyle w:val="DHHStablecolhead"/>
              <w:jc w:val="center"/>
            </w:pPr>
            <w:r w:rsidRPr="00BC152D">
              <w:rPr>
                <w:i/>
                <w:iCs/>
              </w:rPr>
              <w:t>p</w:t>
            </w:r>
            <w:r w:rsidR="007E7741">
              <w:t>-value</w:t>
            </w:r>
          </w:p>
        </w:tc>
      </w:tr>
      <w:tr w:rsidR="007E7741" w:rsidRPr="003072C6" w14:paraId="73635930" w14:textId="77777777" w:rsidTr="00D84209">
        <w:tc>
          <w:tcPr>
            <w:tcW w:w="1666" w:type="pct"/>
            <w:shd w:val="clear" w:color="auto" w:fill="auto"/>
          </w:tcPr>
          <w:p w14:paraId="69BD26C0" w14:textId="77777777" w:rsidR="007E7741" w:rsidRPr="003072C6" w:rsidRDefault="007E7741" w:rsidP="00A46AF7">
            <w:pPr>
              <w:pStyle w:val="DHHStabletext"/>
            </w:pPr>
            <w:r>
              <w:t>Regional to regional</w:t>
            </w:r>
          </w:p>
        </w:tc>
        <w:tc>
          <w:tcPr>
            <w:tcW w:w="1667" w:type="pct"/>
            <w:shd w:val="clear" w:color="auto" w:fill="auto"/>
          </w:tcPr>
          <w:p w14:paraId="18847F93" w14:textId="575F456C" w:rsidR="007E7741" w:rsidRPr="003072C6" w:rsidRDefault="006F3FCA" w:rsidP="000819E3">
            <w:pPr>
              <w:pStyle w:val="DHHStabletext"/>
              <w:jc w:val="center"/>
            </w:pPr>
            <w:r>
              <w:t>219</w:t>
            </w:r>
            <w:r w:rsidR="00B479AF">
              <w:t>/</w:t>
            </w:r>
            <w:r>
              <w:t>237</w:t>
            </w:r>
            <w:r w:rsidR="00B479AF">
              <w:t xml:space="preserve"> (</w:t>
            </w:r>
            <w:r w:rsidR="007E7741">
              <w:t>92</w:t>
            </w:r>
            <w:r w:rsidR="00B479AF">
              <w:t>)</w:t>
            </w:r>
          </w:p>
        </w:tc>
        <w:tc>
          <w:tcPr>
            <w:tcW w:w="1667" w:type="pct"/>
            <w:tcBorders>
              <w:bottom w:val="nil"/>
            </w:tcBorders>
          </w:tcPr>
          <w:p w14:paraId="2E1EEC7E" w14:textId="77777777" w:rsidR="007E7741" w:rsidRDefault="007E7741" w:rsidP="000819E3">
            <w:pPr>
              <w:pStyle w:val="DHHStabletext"/>
              <w:jc w:val="center"/>
            </w:pPr>
            <w:r>
              <w:t>0.096</w:t>
            </w:r>
          </w:p>
        </w:tc>
      </w:tr>
      <w:tr w:rsidR="007E7741" w:rsidRPr="003072C6" w14:paraId="50B39110" w14:textId="77777777" w:rsidTr="00D84209">
        <w:tc>
          <w:tcPr>
            <w:tcW w:w="1666" w:type="pct"/>
            <w:shd w:val="clear" w:color="auto" w:fill="auto"/>
          </w:tcPr>
          <w:p w14:paraId="45618837" w14:textId="77777777" w:rsidR="007E7741" w:rsidRPr="003072C6" w:rsidRDefault="007E7741" w:rsidP="00A46AF7">
            <w:pPr>
              <w:pStyle w:val="DHHStabletext"/>
            </w:pPr>
            <w:r>
              <w:t>Regional to metropolitan</w:t>
            </w:r>
          </w:p>
        </w:tc>
        <w:tc>
          <w:tcPr>
            <w:tcW w:w="1667" w:type="pct"/>
            <w:shd w:val="clear" w:color="auto" w:fill="auto"/>
          </w:tcPr>
          <w:p w14:paraId="49B37089" w14:textId="6FCA72F2" w:rsidR="007E7741" w:rsidRPr="003072C6" w:rsidRDefault="006F3FCA" w:rsidP="000819E3">
            <w:pPr>
              <w:pStyle w:val="DHHStabletext"/>
              <w:jc w:val="center"/>
            </w:pPr>
            <w:r>
              <w:t>235</w:t>
            </w:r>
            <w:r w:rsidR="00B479AF">
              <w:t>/</w:t>
            </w:r>
            <w:r>
              <w:t>262</w:t>
            </w:r>
            <w:r w:rsidR="00B479AF">
              <w:t xml:space="preserve"> (</w:t>
            </w:r>
            <w:r w:rsidR="007E7741">
              <w:t>90</w:t>
            </w:r>
            <w:r w:rsidR="00B479AF">
              <w:t>)</w:t>
            </w:r>
          </w:p>
        </w:tc>
        <w:tc>
          <w:tcPr>
            <w:tcW w:w="1667" w:type="pct"/>
            <w:tcBorders>
              <w:top w:val="nil"/>
              <w:bottom w:val="nil"/>
            </w:tcBorders>
          </w:tcPr>
          <w:p w14:paraId="03F10759" w14:textId="77777777" w:rsidR="007E7741" w:rsidRDefault="007E7741" w:rsidP="000819E3">
            <w:pPr>
              <w:pStyle w:val="DHHStabletext"/>
              <w:jc w:val="center"/>
            </w:pPr>
          </w:p>
        </w:tc>
      </w:tr>
      <w:tr w:rsidR="007E7741" w:rsidRPr="003072C6" w14:paraId="61C6043E" w14:textId="77777777" w:rsidTr="00D84209">
        <w:tc>
          <w:tcPr>
            <w:tcW w:w="1666" w:type="pct"/>
            <w:shd w:val="clear" w:color="auto" w:fill="auto"/>
          </w:tcPr>
          <w:p w14:paraId="13D0E157" w14:textId="77777777" w:rsidR="007E7741" w:rsidRPr="003072C6" w:rsidRDefault="007E7741" w:rsidP="00A46AF7">
            <w:pPr>
              <w:pStyle w:val="DHHStabletext"/>
            </w:pPr>
            <w:r>
              <w:t>Metropolitan to metropolitan</w:t>
            </w:r>
          </w:p>
        </w:tc>
        <w:tc>
          <w:tcPr>
            <w:tcW w:w="1667" w:type="pct"/>
            <w:shd w:val="clear" w:color="auto" w:fill="auto"/>
          </w:tcPr>
          <w:p w14:paraId="4F6187DE" w14:textId="71EF8156" w:rsidR="007E7741" w:rsidRPr="003072C6" w:rsidRDefault="006F3FCA" w:rsidP="000819E3">
            <w:pPr>
              <w:pStyle w:val="DHHStabletext"/>
              <w:jc w:val="center"/>
            </w:pPr>
            <w:r>
              <w:t>1</w:t>
            </w:r>
            <w:r w:rsidR="00F62369">
              <w:t>,</w:t>
            </w:r>
            <w:r>
              <w:t>270</w:t>
            </w:r>
            <w:r w:rsidR="00B479AF">
              <w:t>/</w:t>
            </w:r>
            <w:r>
              <w:t>1</w:t>
            </w:r>
            <w:r w:rsidR="00F62369">
              <w:t>,</w:t>
            </w:r>
            <w:r>
              <w:t>359</w:t>
            </w:r>
            <w:r w:rsidR="00B479AF">
              <w:t xml:space="preserve"> (</w:t>
            </w:r>
            <w:r w:rsidR="007E7741">
              <w:t>93</w:t>
            </w:r>
            <w:r w:rsidR="00B479AF">
              <w:t>)</w:t>
            </w:r>
          </w:p>
        </w:tc>
        <w:tc>
          <w:tcPr>
            <w:tcW w:w="1667" w:type="pct"/>
            <w:tcBorders>
              <w:top w:val="nil"/>
            </w:tcBorders>
          </w:tcPr>
          <w:p w14:paraId="6BA63181" w14:textId="77777777" w:rsidR="007E7741" w:rsidRDefault="007E7741" w:rsidP="000819E3">
            <w:pPr>
              <w:pStyle w:val="DHHStabletext"/>
              <w:jc w:val="center"/>
            </w:pPr>
          </w:p>
        </w:tc>
      </w:tr>
    </w:tbl>
    <w:p w14:paraId="268590E0" w14:textId="00F39409" w:rsidR="00E40821" w:rsidRPr="00B1716A" w:rsidRDefault="006F3FCA" w:rsidP="0062597E">
      <w:pPr>
        <w:pStyle w:val="DHHStablefigurenote"/>
      </w:pPr>
      <w:bookmarkStart w:id="46" w:name="_Ref3984203"/>
      <w:r w:rsidRPr="00B1716A">
        <w:t>n</w:t>
      </w:r>
      <w:r w:rsidR="002C5509">
        <w:t xml:space="preserve"> = </w:t>
      </w:r>
      <w:r w:rsidR="00B479AF" w:rsidRPr="00B1716A">
        <w:t xml:space="preserve">number of patients who </w:t>
      </w:r>
      <w:r w:rsidR="00820277" w:rsidRPr="00B1716A">
        <w:t>had</w:t>
      </w:r>
      <w:r w:rsidR="00B479AF" w:rsidRPr="00B1716A">
        <w:t xml:space="preserve"> surgery within</w:t>
      </w:r>
      <w:r w:rsidR="00C406C7">
        <w:t xml:space="preserve"> eight </w:t>
      </w:r>
      <w:r w:rsidR="00B479AF" w:rsidRPr="00B1716A">
        <w:t>weeks of diagnosis</w:t>
      </w:r>
      <w:r w:rsidRPr="00B1716A">
        <w:br/>
      </w:r>
      <w:r w:rsidR="00B479AF" w:rsidRPr="00B1716A">
        <w:t>N</w:t>
      </w:r>
      <w:r w:rsidR="002C5509">
        <w:t xml:space="preserve"> = </w:t>
      </w:r>
      <w:r w:rsidR="00B479AF" w:rsidRPr="00B1716A">
        <w:t>number of patients whose first treatment was surgery</w:t>
      </w:r>
      <w:r w:rsidR="00062F66" w:rsidRPr="00B1716A">
        <w:t xml:space="preserve"> and </w:t>
      </w:r>
      <w:r w:rsidR="005A3193" w:rsidRPr="00B1716A">
        <w:t xml:space="preserve">who </w:t>
      </w:r>
      <w:r w:rsidR="00B1716A" w:rsidRPr="00B1716A">
        <w:t>started treatment</w:t>
      </w:r>
      <w:r w:rsidR="00062F66" w:rsidRPr="00B1716A">
        <w:t xml:space="preserve"> within </w:t>
      </w:r>
      <w:r w:rsidR="002C5509">
        <w:t>six</w:t>
      </w:r>
      <w:r w:rsidR="00062F66" w:rsidRPr="00B1716A">
        <w:t xml:space="preserve"> months </w:t>
      </w:r>
      <w:r w:rsidR="005A3193" w:rsidRPr="00B1716A">
        <w:t>of</w:t>
      </w:r>
      <w:r w:rsidR="00062F66" w:rsidRPr="00B1716A">
        <w:t xml:space="preserve"> H&amp;N cancer diagnosis</w:t>
      </w:r>
    </w:p>
    <w:p w14:paraId="4EC944FB" w14:textId="366FAAB3" w:rsidR="001463CB" w:rsidRDefault="00E40821" w:rsidP="00AF7E55">
      <w:pPr>
        <w:pStyle w:val="DHHSfigurecaption"/>
      </w:pPr>
      <w:bookmarkStart w:id="47" w:name="_Ref11914078"/>
      <w:bookmarkStart w:id="48" w:name="_Toc22722820"/>
      <w:bookmarkEnd w:id="46"/>
      <w:r>
        <w:t xml:space="preserve">Figure </w:t>
      </w:r>
      <w:r w:rsidR="00F1468C">
        <w:rPr>
          <w:noProof/>
        </w:rPr>
        <w:fldChar w:fldCharType="begin"/>
      </w:r>
      <w:r w:rsidR="00F1468C">
        <w:rPr>
          <w:noProof/>
        </w:rPr>
        <w:instrText xml:space="preserve"> SEQ Figure \* ARABIC </w:instrText>
      </w:r>
      <w:r w:rsidR="00F1468C">
        <w:rPr>
          <w:noProof/>
        </w:rPr>
        <w:fldChar w:fldCharType="separate"/>
      </w:r>
      <w:r w:rsidR="00084E54">
        <w:rPr>
          <w:noProof/>
        </w:rPr>
        <w:t>8</w:t>
      </w:r>
      <w:r w:rsidR="00F1468C">
        <w:rPr>
          <w:noProof/>
        </w:rPr>
        <w:fldChar w:fldCharType="end"/>
      </w:r>
      <w:bookmarkEnd w:id="47"/>
      <w:r w:rsidR="00621533">
        <w:t xml:space="preserve">: </w:t>
      </w:r>
      <w:r w:rsidR="00623F3E">
        <w:t>Boxplots of time from diagnosis to surgery for head and neck cancer patients</w:t>
      </w:r>
      <w:r w:rsidR="00425231">
        <w:t>,</w:t>
      </w:r>
      <w:r w:rsidR="00623F3E">
        <w:t xml:space="preserve"> by ICS of </w:t>
      </w:r>
      <w:r w:rsidR="00220D8D">
        <w:t>surgery hospital</w:t>
      </w:r>
      <w:r w:rsidR="00623F3E">
        <w:t xml:space="preserve"> (diagnosed 2012–2016)</w:t>
      </w:r>
      <w:bookmarkEnd w:id="48"/>
    </w:p>
    <w:p w14:paraId="5F3E4AFB" w14:textId="376777D2" w:rsidR="00AF7E55" w:rsidRDefault="00AF7E55" w:rsidP="00AF7E55">
      <w:pPr>
        <w:pStyle w:val="DHHSbody"/>
        <w:jc w:val="center"/>
      </w:pPr>
      <w:r>
        <w:rPr>
          <w:noProof/>
        </w:rPr>
        <w:drawing>
          <wp:inline distT="0" distB="0" distL="0" distR="0" wp14:anchorId="2CD24F2C" wp14:editId="448A4C03">
            <wp:extent cx="4733925" cy="2850016"/>
            <wp:effectExtent l="0" t="0" r="0" b="7620"/>
            <wp:docPr id="10" name="Picture 10" descr="Boxplots of time from diagnosis to surgery for head and neck cancer patients, by ICS of surgery hospital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1">
                      <a:extLst>
                        <a:ext uri="{28A0092B-C50C-407E-A947-70E740481C1C}">
                          <a14:useLocalDpi xmlns:a14="http://schemas.microsoft.com/office/drawing/2010/main" val="0"/>
                        </a:ext>
                      </a:extLst>
                    </a:blip>
                    <a:srcRect t="12159" r="2325"/>
                    <a:stretch/>
                  </pic:blipFill>
                  <pic:spPr bwMode="auto">
                    <a:xfrm>
                      <a:off x="0" y="0"/>
                      <a:ext cx="4753627" cy="2861878"/>
                    </a:xfrm>
                    <a:prstGeom prst="rect">
                      <a:avLst/>
                    </a:prstGeom>
                    <a:noFill/>
                    <a:ln>
                      <a:noFill/>
                    </a:ln>
                    <a:extLst>
                      <a:ext uri="{53640926-AAD7-44D8-BBD7-CCE9431645EC}">
                        <a14:shadowObscured xmlns:a14="http://schemas.microsoft.com/office/drawing/2010/main"/>
                      </a:ext>
                    </a:extLst>
                  </pic:spPr>
                </pic:pic>
              </a:graphicData>
            </a:graphic>
          </wp:inline>
        </w:drawing>
      </w:r>
    </w:p>
    <w:p w14:paraId="038CF38C" w14:textId="37273C0C" w:rsidR="00B10D0F" w:rsidRPr="00B10D0F" w:rsidRDefault="00B10D0F" w:rsidP="00747C0C">
      <w:pPr>
        <w:pStyle w:val="DHHStablefigurenote"/>
      </w:pPr>
      <w:r>
        <w:t>D</w:t>
      </w:r>
      <w:r w:rsidRPr="001463CB">
        <w:t>ashed line =</w:t>
      </w:r>
      <w:r w:rsidR="00C406C7">
        <w:t xml:space="preserve"> eight </w:t>
      </w:r>
      <w:r w:rsidRPr="001463CB">
        <w:t xml:space="preserve">weeks (56 days). </w:t>
      </w:r>
      <w:r>
        <w:br/>
      </w:r>
      <w:r w:rsidR="007D2D14">
        <w:t xml:space="preserve">Note </w:t>
      </w:r>
      <w:r w:rsidR="001463CB" w:rsidRPr="001463CB">
        <w:t xml:space="preserve">HRICS data limitation. </w:t>
      </w:r>
      <w:r>
        <w:br/>
      </w:r>
      <w:r w:rsidR="005A3193" w:rsidRPr="001463CB">
        <w:rPr>
          <w:lang w:val="en-US"/>
        </w:rPr>
        <w:t xml:space="preserve">Pearson’s </w:t>
      </w:r>
      <w:r w:rsidR="005A3193" w:rsidRPr="001463CB">
        <w:rPr>
          <w:rFonts w:ascii="Cambria Math" w:hAnsi="Cambria Math" w:cs="Cambria Math"/>
          <w:lang w:val="en-US"/>
        </w:rPr>
        <w:t>𝝌</w:t>
      </w:r>
      <w:r w:rsidR="005A3193" w:rsidRPr="001463CB">
        <w:rPr>
          <w:lang w:val="en-US"/>
        </w:rPr>
        <w:t>² test for difference</w:t>
      </w:r>
      <w:r w:rsidR="005A3193">
        <w:rPr>
          <w:lang w:val="en-US"/>
        </w:rPr>
        <w:t xml:space="preserve"> in proportion of patients who had surgery within</w:t>
      </w:r>
      <w:r w:rsidR="00C406C7">
        <w:rPr>
          <w:lang w:val="en-US"/>
        </w:rPr>
        <w:t xml:space="preserve"> eight </w:t>
      </w:r>
      <w:r w:rsidR="005A3193">
        <w:rPr>
          <w:lang w:val="en-US"/>
        </w:rPr>
        <w:t>weeks of diagnosis</w:t>
      </w:r>
      <w:r w:rsidR="005A3193" w:rsidRPr="001463CB">
        <w:rPr>
          <w:lang w:val="en-US"/>
        </w:rPr>
        <w:t xml:space="preserve"> between ICS </w:t>
      </w:r>
      <w:r w:rsidR="00F62369">
        <w:rPr>
          <w:lang w:val="en-US"/>
        </w:rPr>
        <w:t>p</w:t>
      </w:r>
      <w:r>
        <w:rPr>
          <w:lang w:val="en-US"/>
        </w:rPr>
        <w:t>-value</w:t>
      </w:r>
      <w:r w:rsidRPr="001463CB">
        <w:rPr>
          <w:lang w:val="en-US"/>
        </w:rPr>
        <w:t xml:space="preserve"> = 0.195.</w:t>
      </w:r>
      <w:r>
        <w:rPr>
          <w:lang w:val="en-US"/>
        </w:rPr>
        <w:br/>
      </w:r>
      <w:r w:rsidRPr="00B10D0F">
        <w:rPr>
          <w:lang w:val="en-US"/>
        </w:rPr>
        <w:t xml:space="preserve">Restricted to surgery within </w:t>
      </w:r>
      <w:r w:rsidR="006E52D2">
        <w:rPr>
          <w:lang w:val="en-US"/>
        </w:rPr>
        <w:t>six</w:t>
      </w:r>
      <w:r w:rsidRPr="00B10D0F">
        <w:rPr>
          <w:lang w:val="en-US"/>
        </w:rPr>
        <w:t xml:space="preserve"> months of diagnosis date.</w:t>
      </w:r>
    </w:p>
    <w:p w14:paraId="42A870EB" w14:textId="3745FD2F" w:rsidR="00765CA5" w:rsidRDefault="00765CA5" w:rsidP="00765CA5">
      <w:pPr>
        <w:pStyle w:val="DHHSfigurecaption"/>
      </w:pPr>
      <w:bookmarkStart w:id="49" w:name="_Ref3988227"/>
      <w:bookmarkStart w:id="50" w:name="_Toc22722821"/>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9</w:t>
      </w:r>
      <w:r w:rsidR="00954022">
        <w:rPr>
          <w:noProof/>
        </w:rPr>
        <w:fldChar w:fldCharType="end"/>
      </w:r>
      <w:bookmarkEnd w:id="49"/>
      <w:r>
        <w:t xml:space="preserve">: </w:t>
      </w:r>
      <w:r w:rsidR="00B6368E">
        <w:t>Funnel plot for the p</w:t>
      </w:r>
      <w:r>
        <w:t xml:space="preserve">roportion of </w:t>
      </w:r>
      <w:r w:rsidR="004E7881">
        <w:t xml:space="preserve">surgical </w:t>
      </w:r>
      <w:r w:rsidR="00E66247">
        <w:t xml:space="preserve">head and neck cancer patients </w:t>
      </w:r>
      <w:r w:rsidR="004E7881">
        <w:t xml:space="preserve">who received </w:t>
      </w:r>
      <w:r>
        <w:t>surgery within</w:t>
      </w:r>
      <w:r w:rsidR="00C406C7">
        <w:t xml:space="preserve"> eight </w:t>
      </w:r>
      <w:r>
        <w:t>week</w:t>
      </w:r>
      <w:r w:rsidR="00CB2032">
        <w:t>s</w:t>
      </w:r>
      <w:r>
        <w:t xml:space="preserve"> </w:t>
      </w:r>
      <w:r w:rsidR="001D4D28">
        <w:t>of diagnosis</w:t>
      </w:r>
      <w:r w:rsidR="00425231">
        <w:t>,</w:t>
      </w:r>
      <w:r w:rsidR="001D4D28">
        <w:t xml:space="preserve"> </w:t>
      </w:r>
      <w:r>
        <w:t xml:space="preserve">by </w:t>
      </w:r>
      <w:r w:rsidR="006730DB">
        <w:t>hospital</w:t>
      </w:r>
      <w:r>
        <w:t xml:space="preserve"> </w:t>
      </w:r>
      <w:r w:rsidR="00115291">
        <w:t>(diagnosed 2012–2016)</w:t>
      </w:r>
      <w:bookmarkEnd w:id="50"/>
    </w:p>
    <w:p w14:paraId="27FD7022" w14:textId="5D0B95CC" w:rsidR="00C24A6B" w:rsidRPr="00C24A6B" w:rsidRDefault="00AF7E55" w:rsidP="00AF7E55">
      <w:pPr>
        <w:pStyle w:val="DHHSbody"/>
        <w:jc w:val="center"/>
      </w:pPr>
      <w:r>
        <w:rPr>
          <w:noProof/>
        </w:rPr>
        <w:drawing>
          <wp:inline distT="0" distB="0" distL="0" distR="0" wp14:anchorId="5141E468" wp14:editId="29D9AC1A">
            <wp:extent cx="4229100" cy="3486963"/>
            <wp:effectExtent l="0" t="0" r="0" b="0"/>
            <wp:docPr id="11" name="Picture 11" descr="Funnel plot for the proportion of surgical head and neck cancer patients who received surgery within eight weeks of diagnosis, by hospital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2">
                      <a:extLst>
                        <a:ext uri="{28A0092B-C50C-407E-A947-70E740481C1C}">
                          <a14:useLocalDpi xmlns:a14="http://schemas.microsoft.com/office/drawing/2010/main" val="0"/>
                        </a:ext>
                      </a:extLst>
                    </a:blip>
                    <a:srcRect t="12401" r="5186" b="5788"/>
                    <a:stretch/>
                  </pic:blipFill>
                  <pic:spPr bwMode="auto">
                    <a:xfrm>
                      <a:off x="0" y="0"/>
                      <a:ext cx="4239782" cy="3495770"/>
                    </a:xfrm>
                    <a:prstGeom prst="rect">
                      <a:avLst/>
                    </a:prstGeom>
                    <a:noFill/>
                    <a:ln>
                      <a:noFill/>
                    </a:ln>
                    <a:extLst>
                      <a:ext uri="{53640926-AAD7-44D8-BBD7-CCE9431645EC}">
                        <a14:shadowObscured xmlns:a14="http://schemas.microsoft.com/office/drawing/2010/main"/>
                      </a:ext>
                    </a:extLst>
                  </pic:spPr>
                </pic:pic>
              </a:graphicData>
            </a:graphic>
          </wp:inline>
        </w:drawing>
      </w:r>
    </w:p>
    <w:p w14:paraId="5300CD59" w14:textId="2788A3A6" w:rsidR="00765CA5" w:rsidRDefault="005A3193" w:rsidP="00747C0C">
      <w:pPr>
        <w:pStyle w:val="DHHStablefigurenote"/>
      </w:pPr>
      <w:r w:rsidRPr="00B10D0F">
        <w:rPr>
          <w:lang w:val="en-US"/>
        </w:rPr>
        <w:t xml:space="preserve">Restricted to surgery within </w:t>
      </w:r>
      <w:r w:rsidR="006E52D2">
        <w:rPr>
          <w:lang w:val="en-US"/>
        </w:rPr>
        <w:t>six</w:t>
      </w:r>
      <w:r w:rsidRPr="00B10D0F">
        <w:rPr>
          <w:lang w:val="en-US"/>
        </w:rPr>
        <w:t xml:space="preserve"> months of diagnosis date.</w:t>
      </w:r>
    </w:p>
    <w:p w14:paraId="60D2B156" w14:textId="46ADAA3A" w:rsidR="007E439A" w:rsidRDefault="0065049A" w:rsidP="007970BD">
      <w:pPr>
        <w:pStyle w:val="Heading2"/>
      </w:pPr>
      <w:bookmarkStart w:id="51" w:name="_Toc22713857"/>
      <w:r>
        <w:t>Time</w:t>
      </w:r>
      <w:r w:rsidR="005F5564">
        <w:t xml:space="preserve"> from diagnosis to </w:t>
      </w:r>
      <w:r w:rsidR="00E95E90">
        <w:t>first treatment</w:t>
      </w:r>
      <w:r w:rsidR="00B77808">
        <w:t xml:space="preserve"> </w:t>
      </w:r>
      <w:r w:rsidR="002C5509">
        <w:t>–</w:t>
      </w:r>
      <w:r w:rsidR="00B77808">
        <w:t xml:space="preserve"> </w:t>
      </w:r>
      <w:r w:rsidR="001678E2">
        <w:t xml:space="preserve">definitive </w:t>
      </w:r>
      <w:r>
        <w:t>radiotherapy</w:t>
      </w:r>
      <w:r w:rsidR="0055781C">
        <w:t xml:space="preserve"> or </w:t>
      </w:r>
      <w:r>
        <w:t>chemo</w:t>
      </w:r>
      <w:r w:rsidR="000C5D26">
        <w:t>radiation</w:t>
      </w:r>
      <w:bookmarkEnd w:id="51"/>
    </w:p>
    <w:p w14:paraId="7B91B132" w14:textId="13C13355" w:rsidR="00823D60" w:rsidRDefault="00823D60" w:rsidP="008F045C">
      <w:pPr>
        <w:pStyle w:val="DHHSbullet1"/>
      </w:pPr>
      <w:r>
        <w:t xml:space="preserve">Of the </w:t>
      </w:r>
      <w:r w:rsidR="005A3193">
        <w:t xml:space="preserve">H&amp;N cancer </w:t>
      </w:r>
      <w:r>
        <w:t xml:space="preserve">patients </w:t>
      </w:r>
      <w:r w:rsidR="005A3193">
        <w:t xml:space="preserve">who </w:t>
      </w:r>
      <w:r w:rsidR="00B1716A">
        <w:t xml:space="preserve">started treatment </w:t>
      </w:r>
      <w:r w:rsidR="005A3193">
        <w:t xml:space="preserve">within </w:t>
      </w:r>
      <w:r w:rsidR="006E52D2">
        <w:t>six</w:t>
      </w:r>
      <w:r w:rsidR="005A3193">
        <w:t xml:space="preserve"> months of diagnosis and </w:t>
      </w:r>
      <w:r w:rsidR="00820277">
        <w:t>whose first treatment was</w:t>
      </w:r>
      <w:r>
        <w:t xml:space="preserve"> </w:t>
      </w:r>
      <w:r w:rsidR="00B1716A">
        <w:t xml:space="preserve">definitive </w:t>
      </w:r>
      <w:r>
        <w:t>RT/CRT:</w:t>
      </w:r>
    </w:p>
    <w:p w14:paraId="0DEA2090" w14:textId="2BA921B9" w:rsidR="00E95E90" w:rsidRDefault="00E95E90" w:rsidP="00823D60">
      <w:pPr>
        <w:pStyle w:val="DHHSbullet2"/>
      </w:pPr>
      <w:r>
        <w:t xml:space="preserve">The median time from diagnosis to starting </w:t>
      </w:r>
      <w:r w:rsidR="00823D60">
        <w:t xml:space="preserve">treatment </w:t>
      </w:r>
      <w:r>
        <w:t xml:space="preserve">was </w:t>
      </w:r>
      <w:r w:rsidR="00462A1C" w:rsidRPr="00462A1C">
        <w:t>45</w:t>
      </w:r>
      <w:r>
        <w:t xml:space="preserve"> days.</w:t>
      </w:r>
    </w:p>
    <w:p w14:paraId="69EFF280" w14:textId="3581C0B1" w:rsidR="0065049A" w:rsidRDefault="00823D60" w:rsidP="00823D60">
      <w:pPr>
        <w:pStyle w:val="DHHSbullet2"/>
      </w:pPr>
      <w:r>
        <w:t>Seventy-seven</w:t>
      </w:r>
      <w:r w:rsidR="00076D34">
        <w:t xml:space="preserve"> per cent</w:t>
      </w:r>
      <w:r w:rsidR="0065049A">
        <w:t xml:space="preserve"> started </w:t>
      </w:r>
      <w:r w:rsidR="00B1716A">
        <w:t>treatment</w:t>
      </w:r>
      <w:r w:rsidR="0065049A">
        <w:t xml:space="preserve"> within</w:t>
      </w:r>
      <w:r w:rsidR="00C406C7">
        <w:t xml:space="preserve"> eight </w:t>
      </w:r>
      <w:r w:rsidR="0065049A">
        <w:t>weeks of diagnosis</w:t>
      </w:r>
      <w:r>
        <w:t>.</w:t>
      </w:r>
    </w:p>
    <w:p w14:paraId="35370F90" w14:textId="608611A8" w:rsidR="00D77D3D" w:rsidRDefault="00D77D3D" w:rsidP="008F045C">
      <w:pPr>
        <w:pStyle w:val="DHHSbullet1"/>
      </w:pPr>
      <w:r>
        <w:t>A lower proportion of regional residents</w:t>
      </w:r>
      <w:r w:rsidR="009B54FF">
        <w:t xml:space="preserve"> who were treated locally</w:t>
      </w:r>
      <w:r>
        <w:t xml:space="preserve"> </w:t>
      </w:r>
      <w:r w:rsidR="00076D34">
        <w:t xml:space="preserve">started </w:t>
      </w:r>
      <w:r>
        <w:t>RT</w:t>
      </w:r>
      <w:r w:rsidR="00076D34">
        <w:t>/</w:t>
      </w:r>
      <w:r>
        <w:t>CRT within</w:t>
      </w:r>
      <w:r w:rsidR="00C406C7">
        <w:t xml:space="preserve"> eight </w:t>
      </w:r>
      <w:r>
        <w:t xml:space="preserve">weeks of diagnosis compared </w:t>
      </w:r>
      <w:r w:rsidR="00F2767B">
        <w:t>with</w:t>
      </w:r>
      <w:r>
        <w:t xml:space="preserve"> regional residents who travelled to a metropolitan </w:t>
      </w:r>
      <w:r w:rsidR="00820277">
        <w:t>centre</w:t>
      </w:r>
      <w:r w:rsidR="00462A1C">
        <w:t xml:space="preserve"> and metropolitan patients treated locally</w:t>
      </w:r>
      <w:r>
        <w:t xml:space="preserve"> (</w:t>
      </w:r>
      <w:r w:rsidR="00954022">
        <w:fldChar w:fldCharType="begin"/>
      </w:r>
      <w:r>
        <w:instrText xml:space="preserve"> REF _Ref3988299 \h </w:instrText>
      </w:r>
      <w:r w:rsidR="00954022">
        <w:fldChar w:fldCharType="separate"/>
      </w:r>
      <w:r w:rsidR="00084E54">
        <w:t xml:space="preserve">Table </w:t>
      </w:r>
      <w:r w:rsidR="00084E54">
        <w:rPr>
          <w:noProof/>
        </w:rPr>
        <w:t>6</w:t>
      </w:r>
      <w:r w:rsidR="00954022">
        <w:fldChar w:fldCharType="end"/>
      </w:r>
      <w:r>
        <w:t>)</w:t>
      </w:r>
      <w:r w:rsidR="005F078F">
        <w:t>.</w:t>
      </w:r>
    </w:p>
    <w:p w14:paraId="1C5CD2D8" w14:textId="48E597E0" w:rsidR="0065049A" w:rsidRDefault="003303F2" w:rsidP="008F045C">
      <w:pPr>
        <w:pStyle w:val="DHHSbullet1"/>
      </w:pPr>
      <w:r>
        <w:t>Compared with the state average, t</w:t>
      </w:r>
      <w:r w:rsidR="00143C86">
        <w:t>he proportion of patients starting RT/CRT within</w:t>
      </w:r>
      <w:r w:rsidR="00C406C7">
        <w:t xml:space="preserve"> eight </w:t>
      </w:r>
      <w:r w:rsidR="00143C86">
        <w:t>weeks</w:t>
      </w:r>
      <w:r w:rsidR="009B54FF">
        <w:t xml:space="preserve"> of diagnosis</w:t>
      </w:r>
      <w:r w:rsidR="00143C86">
        <w:t xml:space="preserve"> </w:t>
      </w:r>
      <w:r w:rsidR="005F7868">
        <w:t xml:space="preserve">was lower for patients treated </w:t>
      </w:r>
      <w:r w:rsidR="00154C12">
        <w:t xml:space="preserve">in BSWRICS </w:t>
      </w:r>
      <w:r w:rsidR="00406AD3">
        <w:t>or</w:t>
      </w:r>
      <w:r w:rsidR="00154C12">
        <w:t xml:space="preserve"> LMICS and higher for patients treated in </w:t>
      </w:r>
      <w:r w:rsidR="00143C86">
        <w:t>SMICS</w:t>
      </w:r>
      <w:r w:rsidR="009B54FF">
        <w:t xml:space="preserve"> </w:t>
      </w:r>
      <w:r w:rsidR="00D77D3D">
        <w:t>(</w:t>
      </w:r>
      <w:r w:rsidR="005A3193">
        <w:fldChar w:fldCharType="begin"/>
      </w:r>
      <w:r w:rsidR="005A3193">
        <w:instrText xml:space="preserve"> REF _Ref11914640 \h </w:instrText>
      </w:r>
      <w:r w:rsidR="005A3193">
        <w:fldChar w:fldCharType="separate"/>
      </w:r>
      <w:r w:rsidR="00084E54">
        <w:t xml:space="preserve">Figure </w:t>
      </w:r>
      <w:r w:rsidR="00084E54">
        <w:rPr>
          <w:noProof/>
        </w:rPr>
        <w:t>10</w:t>
      </w:r>
      <w:r w:rsidR="005A3193">
        <w:fldChar w:fldCharType="end"/>
      </w:r>
      <w:r w:rsidR="00D77D3D">
        <w:t>)</w:t>
      </w:r>
      <w:r w:rsidR="009B54FF">
        <w:t>.</w:t>
      </w:r>
    </w:p>
    <w:p w14:paraId="30115F8B" w14:textId="474842F5" w:rsidR="0065049A" w:rsidRDefault="00024705" w:rsidP="008F045C">
      <w:pPr>
        <w:pStyle w:val="DHHSbullet1"/>
      </w:pPr>
      <w:r>
        <w:t>Three</w:t>
      </w:r>
      <w:r w:rsidR="0065049A">
        <w:t xml:space="preserve"> regional </w:t>
      </w:r>
      <w:r w:rsidR="009B54FF">
        <w:t>RT centre</w:t>
      </w:r>
      <w:r>
        <w:t>s</w:t>
      </w:r>
      <w:r w:rsidR="0065049A">
        <w:t xml:space="preserve"> had a significantly lower proportion </w:t>
      </w:r>
      <w:r w:rsidR="00143C86">
        <w:t xml:space="preserve">and one metropolitan </w:t>
      </w:r>
      <w:r w:rsidR="009B54FF">
        <w:t>RT centre</w:t>
      </w:r>
      <w:r w:rsidR="00143C86">
        <w:t xml:space="preserve"> had a significantly higher proportion </w:t>
      </w:r>
      <w:r w:rsidR="0065049A">
        <w:t xml:space="preserve">of patients </w:t>
      </w:r>
      <w:r w:rsidR="00143C86">
        <w:t xml:space="preserve">starting </w:t>
      </w:r>
      <w:r w:rsidR="0065049A">
        <w:t>RT/CRT within</w:t>
      </w:r>
      <w:r w:rsidR="00C406C7">
        <w:t xml:space="preserve"> eight </w:t>
      </w:r>
      <w:r w:rsidR="0065049A">
        <w:t>weeks</w:t>
      </w:r>
      <w:r w:rsidR="00143C86">
        <w:t xml:space="preserve"> of their diagnosis</w:t>
      </w:r>
      <w:r w:rsidR="0065049A">
        <w:t xml:space="preserve"> compared </w:t>
      </w:r>
      <w:r w:rsidR="009B54FF">
        <w:t>with</w:t>
      </w:r>
      <w:r w:rsidR="0065049A">
        <w:t xml:space="preserve"> the state average</w:t>
      </w:r>
      <w:r w:rsidR="007C4A73">
        <w:t xml:space="preserve"> (</w:t>
      </w:r>
      <w:r w:rsidR="00954022">
        <w:fldChar w:fldCharType="begin"/>
      </w:r>
      <w:r w:rsidR="007C4A73">
        <w:instrText xml:space="preserve"> REF _Ref3988425 \h </w:instrText>
      </w:r>
      <w:r w:rsidR="00954022">
        <w:fldChar w:fldCharType="separate"/>
      </w:r>
      <w:r w:rsidR="00084E54">
        <w:t xml:space="preserve">Figure </w:t>
      </w:r>
      <w:r w:rsidR="00084E54">
        <w:rPr>
          <w:noProof/>
        </w:rPr>
        <w:t>11</w:t>
      </w:r>
      <w:r w:rsidR="00954022">
        <w:fldChar w:fldCharType="end"/>
      </w:r>
      <w:r w:rsidR="007C4A73">
        <w:t>)</w:t>
      </w:r>
      <w:r w:rsidR="005F078F">
        <w:t>.</w:t>
      </w:r>
    </w:p>
    <w:p w14:paraId="258B1E61" w14:textId="3C13DA00" w:rsidR="0065049A" w:rsidRPr="003072C6" w:rsidRDefault="0065049A" w:rsidP="0065049A">
      <w:pPr>
        <w:pStyle w:val="DHHStablecaption"/>
      </w:pPr>
      <w:bookmarkStart w:id="52" w:name="_Ref3988299"/>
      <w:bookmarkStart w:id="53" w:name="_Toc22722840"/>
      <w:r>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6</w:t>
      </w:r>
      <w:r w:rsidR="00954022">
        <w:rPr>
          <w:noProof/>
        </w:rPr>
        <w:fldChar w:fldCharType="end"/>
      </w:r>
      <w:bookmarkEnd w:id="52"/>
      <w:r>
        <w:t xml:space="preserve">: Proportion of </w:t>
      </w:r>
      <w:r w:rsidR="00076D34">
        <w:t>head and neck cancer</w:t>
      </w:r>
      <w:r w:rsidR="003F06BB">
        <w:t xml:space="preserve"> </w:t>
      </w:r>
      <w:r>
        <w:t xml:space="preserve">patients </w:t>
      </w:r>
      <w:r w:rsidR="00820277">
        <w:t xml:space="preserve">whose first treatment was </w:t>
      </w:r>
      <w:r w:rsidR="00B1716A">
        <w:t xml:space="preserve">definitive </w:t>
      </w:r>
      <w:r w:rsidR="00820277">
        <w:t xml:space="preserve">RT/CRT, who </w:t>
      </w:r>
      <w:r w:rsidR="00076D34">
        <w:t>start</w:t>
      </w:r>
      <w:r w:rsidR="00820277">
        <w:t>ed</w:t>
      </w:r>
      <w:r w:rsidR="00076D34">
        <w:t xml:space="preserve"> </w:t>
      </w:r>
      <w:r w:rsidR="00B1716A">
        <w:t>treatment</w:t>
      </w:r>
      <w:r>
        <w:t xml:space="preserve"> within</w:t>
      </w:r>
      <w:r w:rsidR="00C406C7">
        <w:t xml:space="preserve"> eight </w:t>
      </w:r>
      <w:r>
        <w:t>weeks of diagnosis</w:t>
      </w:r>
      <w:r w:rsidR="00B67AC1">
        <w:t>,</w:t>
      </w:r>
      <w:r>
        <w:t xml:space="preserve"> </w:t>
      </w:r>
      <w:r w:rsidR="00076D34">
        <w:t>by</w:t>
      </w:r>
      <w:r>
        <w:t xml:space="preserve"> ICS of residence and </w:t>
      </w:r>
      <w:r w:rsidR="009B54FF">
        <w:t xml:space="preserve">ICS of </w:t>
      </w:r>
      <w:r>
        <w:t>treatment</w:t>
      </w:r>
      <w:r w:rsidR="00076D34">
        <w:t xml:space="preserve"> (diagnosed 2012</w:t>
      </w:r>
      <w:r w:rsidR="00C406C7">
        <w:t>–</w:t>
      </w:r>
      <w:r w:rsidR="00076D34">
        <w:t>2016)</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7"/>
        <w:gridCol w:w="3097"/>
      </w:tblGrid>
      <w:tr w:rsidR="007E7741" w:rsidRPr="003072C6" w14:paraId="209C578E" w14:textId="77777777">
        <w:trPr>
          <w:tblHeader/>
        </w:trPr>
        <w:tc>
          <w:tcPr>
            <w:tcW w:w="1666" w:type="pct"/>
            <w:shd w:val="clear" w:color="auto" w:fill="auto"/>
          </w:tcPr>
          <w:p w14:paraId="651942A2" w14:textId="77777777" w:rsidR="007E7741" w:rsidRPr="004E1EDE" w:rsidRDefault="007E7741" w:rsidP="00A46AF7">
            <w:pPr>
              <w:pStyle w:val="DHHStablecolhead"/>
            </w:pPr>
            <w:r>
              <w:t>ICS residence to ICS of treatment</w:t>
            </w:r>
          </w:p>
        </w:tc>
        <w:tc>
          <w:tcPr>
            <w:tcW w:w="1667" w:type="pct"/>
            <w:shd w:val="clear" w:color="auto" w:fill="auto"/>
          </w:tcPr>
          <w:p w14:paraId="151E2110" w14:textId="4384B7B7" w:rsidR="00B479AF" w:rsidRPr="003072C6" w:rsidRDefault="00B479AF" w:rsidP="00B479AF">
            <w:pPr>
              <w:pStyle w:val="DHHStablecolhead"/>
              <w:jc w:val="center"/>
            </w:pPr>
            <w:r>
              <w:t>n/N (%)</w:t>
            </w:r>
          </w:p>
        </w:tc>
        <w:tc>
          <w:tcPr>
            <w:tcW w:w="1667" w:type="pct"/>
          </w:tcPr>
          <w:p w14:paraId="3FE71EFB" w14:textId="5DA74977" w:rsidR="007E7741" w:rsidRDefault="00FA5358" w:rsidP="00A46AF7">
            <w:pPr>
              <w:pStyle w:val="DHHStablecolhead"/>
              <w:jc w:val="center"/>
            </w:pPr>
            <w:r w:rsidRPr="00FA5358">
              <w:rPr>
                <w:i/>
                <w:iCs/>
              </w:rPr>
              <w:t>p</w:t>
            </w:r>
            <w:r w:rsidR="007E7741">
              <w:t>-value</w:t>
            </w:r>
          </w:p>
        </w:tc>
      </w:tr>
      <w:tr w:rsidR="00AF7E55" w:rsidRPr="003072C6" w14:paraId="794C40BB" w14:textId="77777777" w:rsidTr="00AF7E55">
        <w:tc>
          <w:tcPr>
            <w:tcW w:w="1666" w:type="pct"/>
            <w:shd w:val="clear" w:color="auto" w:fill="auto"/>
          </w:tcPr>
          <w:p w14:paraId="28D7AA4B" w14:textId="77777777" w:rsidR="00AF7E55" w:rsidRPr="003072C6" w:rsidRDefault="00AF7E55" w:rsidP="0065049A">
            <w:pPr>
              <w:pStyle w:val="DHHStabletext"/>
            </w:pPr>
            <w:r>
              <w:t>Regional to regional</w:t>
            </w:r>
          </w:p>
        </w:tc>
        <w:tc>
          <w:tcPr>
            <w:tcW w:w="1667" w:type="pct"/>
            <w:shd w:val="clear" w:color="auto" w:fill="auto"/>
          </w:tcPr>
          <w:p w14:paraId="74ACD290" w14:textId="73470109" w:rsidR="00AF7E55" w:rsidRPr="003072C6" w:rsidRDefault="00AF7E55" w:rsidP="0065049A">
            <w:pPr>
              <w:pStyle w:val="DHHStabletext"/>
              <w:jc w:val="center"/>
            </w:pPr>
            <w:r>
              <w:t>95/144 (66)</w:t>
            </w:r>
          </w:p>
        </w:tc>
        <w:tc>
          <w:tcPr>
            <w:tcW w:w="1667" w:type="pct"/>
            <w:tcBorders>
              <w:bottom w:val="nil"/>
            </w:tcBorders>
          </w:tcPr>
          <w:p w14:paraId="2516DDEB" w14:textId="77777777" w:rsidR="00AF7E55" w:rsidRDefault="00AF7E55" w:rsidP="0065049A">
            <w:pPr>
              <w:pStyle w:val="DHHStabletext"/>
              <w:jc w:val="center"/>
            </w:pPr>
            <w:r>
              <w:t>&lt; 0.001</w:t>
            </w:r>
          </w:p>
        </w:tc>
      </w:tr>
      <w:tr w:rsidR="00AF7E55" w:rsidRPr="003072C6" w14:paraId="60A758FA" w14:textId="77777777" w:rsidTr="00AF7E55">
        <w:tc>
          <w:tcPr>
            <w:tcW w:w="1666" w:type="pct"/>
            <w:shd w:val="clear" w:color="auto" w:fill="auto"/>
          </w:tcPr>
          <w:p w14:paraId="7D5C4742" w14:textId="77777777" w:rsidR="00AF7E55" w:rsidRPr="003072C6" w:rsidRDefault="00AF7E55" w:rsidP="0065049A">
            <w:pPr>
              <w:pStyle w:val="DHHStabletext"/>
            </w:pPr>
            <w:r>
              <w:t>Regional to metropolitan</w:t>
            </w:r>
          </w:p>
        </w:tc>
        <w:tc>
          <w:tcPr>
            <w:tcW w:w="1667" w:type="pct"/>
            <w:shd w:val="clear" w:color="auto" w:fill="auto"/>
          </w:tcPr>
          <w:p w14:paraId="58269C98" w14:textId="56D6070B" w:rsidR="00AF7E55" w:rsidRPr="003072C6" w:rsidRDefault="00AF7E55" w:rsidP="0065049A">
            <w:pPr>
              <w:pStyle w:val="DHHStabletext"/>
              <w:jc w:val="center"/>
            </w:pPr>
            <w:r>
              <w:t>94/123 (76)</w:t>
            </w:r>
          </w:p>
        </w:tc>
        <w:tc>
          <w:tcPr>
            <w:tcW w:w="1667" w:type="pct"/>
            <w:tcBorders>
              <w:top w:val="nil"/>
              <w:bottom w:val="nil"/>
            </w:tcBorders>
          </w:tcPr>
          <w:p w14:paraId="5C526987" w14:textId="77777777" w:rsidR="00AF7E55" w:rsidRDefault="00AF7E55" w:rsidP="0065049A">
            <w:pPr>
              <w:pStyle w:val="DHHStabletext"/>
              <w:jc w:val="center"/>
            </w:pPr>
          </w:p>
        </w:tc>
      </w:tr>
      <w:tr w:rsidR="00AF7E55" w:rsidRPr="003072C6" w14:paraId="6D21A056" w14:textId="77777777" w:rsidTr="00AF7E55">
        <w:tc>
          <w:tcPr>
            <w:tcW w:w="1666" w:type="pct"/>
            <w:shd w:val="clear" w:color="auto" w:fill="auto"/>
          </w:tcPr>
          <w:p w14:paraId="0F0D4F1B" w14:textId="77777777" w:rsidR="00AF7E55" w:rsidRPr="003072C6" w:rsidRDefault="00AF7E55" w:rsidP="0065049A">
            <w:pPr>
              <w:pStyle w:val="DHHStabletext"/>
            </w:pPr>
            <w:r>
              <w:t>Metropolitan to metropolitan</w:t>
            </w:r>
          </w:p>
        </w:tc>
        <w:tc>
          <w:tcPr>
            <w:tcW w:w="1667" w:type="pct"/>
            <w:shd w:val="clear" w:color="auto" w:fill="auto"/>
          </w:tcPr>
          <w:p w14:paraId="0CA081F3" w14:textId="6A455B50" w:rsidR="00AF7E55" w:rsidRPr="003072C6" w:rsidRDefault="00AF7E55" w:rsidP="0065049A">
            <w:pPr>
              <w:pStyle w:val="DHHStabletext"/>
              <w:jc w:val="center"/>
            </w:pPr>
            <w:r>
              <w:t>466/582 (80)</w:t>
            </w:r>
          </w:p>
        </w:tc>
        <w:tc>
          <w:tcPr>
            <w:tcW w:w="1667" w:type="pct"/>
            <w:tcBorders>
              <w:top w:val="nil"/>
            </w:tcBorders>
          </w:tcPr>
          <w:p w14:paraId="04A5F12B" w14:textId="77777777" w:rsidR="00AF7E55" w:rsidRDefault="00AF7E55" w:rsidP="0065049A">
            <w:pPr>
              <w:pStyle w:val="DHHStabletext"/>
              <w:jc w:val="center"/>
            </w:pPr>
          </w:p>
        </w:tc>
      </w:tr>
    </w:tbl>
    <w:p w14:paraId="7D075B5B" w14:textId="2B6ED603" w:rsidR="00B67AC1" w:rsidRDefault="00820277" w:rsidP="0062597E">
      <w:pPr>
        <w:pStyle w:val="DHHStablefigurenote"/>
      </w:pPr>
      <w:bookmarkStart w:id="54" w:name="_Ref5180840"/>
      <w:r w:rsidRPr="00B1716A">
        <w:t>n</w:t>
      </w:r>
      <w:r w:rsidR="006E52D2">
        <w:t xml:space="preserve"> = </w:t>
      </w:r>
      <w:r w:rsidR="00B479AF" w:rsidRPr="00B1716A">
        <w:t xml:space="preserve">number of </w:t>
      </w:r>
      <w:r w:rsidR="00B1716A" w:rsidRPr="00B1716A">
        <w:t xml:space="preserve">H&amp;N cancer </w:t>
      </w:r>
      <w:r w:rsidR="00B479AF" w:rsidRPr="00B1716A">
        <w:t xml:space="preserve">patients who started </w:t>
      </w:r>
      <w:r w:rsidR="00B1716A" w:rsidRPr="00B1716A">
        <w:t xml:space="preserve">definitive </w:t>
      </w:r>
      <w:r w:rsidR="00B479AF" w:rsidRPr="00B1716A">
        <w:t>RT/CRT within</w:t>
      </w:r>
      <w:r w:rsidR="00C406C7">
        <w:t xml:space="preserve"> eight </w:t>
      </w:r>
      <w:r w:rsidR="00B479AF" w:rsidRPr="00B1716A">
        <w:t>weeks</w:t>
      </w:r>
      <w:r w:rsidRPr="00B1716A">
        <w:t xml:space="preserve"> of diagnosis</w:t>
      </w:r>
    </w:p>
    <w:p w14:paraId="34B6A786" w14:textId="382166E7" w:rsidR="005A3193" w:rsidRPr="00B1716A" w:rsidRDefault="00B479AF" w:rsidP="0062597E">
      <w:pPr>
        <w:pStyle w:val="DHHStablefigurenote"/>
      </w:pPr>
      <w:r w:rsidRPr="00B1716A">
        <w:t>N</w:t>
      </w:r>
      <w:r w:rsidR="006E52D2">
        <w:t xml:space="preserve"> = </w:t>
      </w:r>
      <w:r w:rsidRPr="00B1716A">
        <w:t>number of</w:t>
      </w:r>
      <w:r w:rsidR="00B1716A" w:rsidRPr="00B1716A">
        <w:t xml:space="preserve"> H&amp;N cancer</w:t>
      </w:r>
      <w:r w:rsidRPr="00B1716A">
        <w:t xml:space="preserve"> patients whose first treatment was </w:t>
      </w:r>
      <w:r w:rsidR="00B1716A" w:rsidRPr="00B1716A">
        <w:t xml:space="preserve">definitive </w:t>
      </w:r>
      <w:r w:rsidRPr="00B1716A">
        <w:t>RT/CRT</w:t>
      </w:r>
      <w:r w:rsidR="005A3193" w:rsidRPr="00B1716A">
        <w:t xml:space="preserve"> and who started </w:t>
      </w:r>
      <w:r w:rsidR="00B1716A" w:rsidRPr="00B1716A">
        <w:t>treatment</w:t>
      </w:r>
      <w:r w:rsidR="005A3193" w:rsidRPr="00B1716A">
        <w:t xml:space="preserve"> within </w:t>
      </w:r>
      <w:r w:rsidR="006E52D2">
        <w:t>six</w:t>
      </w:r>
      <w:r w:rsidR="005A3193" w:rsidRPr="00B1716A">
        <w:t xml:space="preserve"> months of H&amp;N cancer diagnosis</w:t>
      </w:r>
    </w:p>
    <w:p w14:paraId="3D92EDB6" w14:textId="77777777" w:rsidR="005A3193" w:rsidRDefault="005A3193" w:rsidP="0062597E">
      <w:pPr>
        <w:pStyle w:val="DHHStablefigurenote"/>
        <w:rPr>
          <w:rFonts w:eastAsia="Arial" w:cs="Arial"/>
          <w:color w:val="000000"/>
          <w:lang w:eastAsia="en-AU"/>
        </w:rPr>
      </w:pPr>
      <w:r>
        <w:br w:type="page"/>
      </w:r>
    </w:p>
    <w:p w14:paraId="3E10F968" w14:textId="5955EE70" w:rsidR="00377D74" w:rsidRDefault="005A3193" w:rsidP="0062597E">
      <w:pPr>
        <w:pStyle w:val="DHHSfigurecaption"/>
      </w:pPr>
      <w:bookmarkStart w:id="55" w:name="_Ref11914640"/>
      <w:bookmarkStart w:id="56" w:name="_Toc22722822"/>
      <w:bookmarkEnd w:id="54"/>
      <w:r>
        <w:t xml:space="preserve">Figure </w:t>
      </w:r>
      <w:r w:rsidR="00F1468C">
        <w:rPr>
          <w:noProof/>
        </w:rPr>
        <w:fldChar w:fldCharType="begin"/>
      </w:r>
      <w:r w:rsidR="00F1468C">
        <w:rPr>
          <w:noProof/>
        </w:rPr>
        <w:instrText xml:space="preserve"> SEQ Figure \* ARABIC </w:instrText>
      </w:r>
      <w:r w:rsidR="00F1468C">
        <w:rPr>
          <w:noProof/>
        </w:rPr>
        <w:fldChar w:fldCharType="separate"/>
      </w:r>
      <w:r w:rsidR="00084E54">
        <w:rPr>
          <w:noProof/>
        </w:rPr>
        <w:t>10</w:t>
      </w:r>
      <w:r w:rsidR="00F1468C">
        <w:rPr>
          <w:noProof/>
        </w:rPr>
        <w:fldChar w:fldCharType="end"/>
      </w:r>
      <w:bookmarkEnd w:id="55"/>
      <w:r w:rsidR="00F7468B">
        <w:t xml:space="preserve">: </w:t>
      </w:r>
      <w:r w:rsidR="00827F9F">
        <w:t>Boxplots of t</w:t>
      </w:r>
      <w:r w:rsidR="00F7468B">
        <w:t xml:space="preserve">ime from diagnosis to </w:t>
      </w:r>
      <w:r w:rsidR="00B1716A">
        <w:t xml:space="preserve">definitive </w:t>
      </w:r>
      <w:r w:rsidR="00F7468B">
        <w:t>RT/CRT</w:t>
      </w:r>
      <w:r w:rsidR="00827F9F">
        <w:t xml:space="preserve"> for head and neck cancer patients</w:t>
      </w:r>
      <w:r w:rsidR="00B67AC1">
        <w:t>,</w:t>
      </w:r>
      <w:r w:rsidR="00827F9F">
        <w:t xml:space="preserve"> by ICS of </w:t>
      </w:r>
      <w:r w:rsidR="00220D8D">
        <w:t>RT/CRT centre</w:t>
      </w:r>
      <w:r w:rsidR="00827F9F">
        <w:t xml:space="preserve"> (diagnosed 2012–2016)</w:t>
      </w:r>
      <w:bookmarkEnd w:id="56"/>
    </w:p>
    <w:p w14:paraId="19B7FDD7" w14:textId="6CB7F66D" w:rsidR="007A23D6" w:rsidRDefault="00AF7E55" w:rsidP="00AF7E55">
      <w:pPr>
        <w:pStyle w:val="DHHSbody"/>
        <w:jc w:val="center"/>
      </w:pPr>
      <w:r>
        <w:rPr>
          <w:noProof/>
        </w:rPr>
        <w:drawing>
          <wp:inline distT="0" distB="0" distL="0" distR="0" wp14:anchorId="41557FF0" wp14:editId="0B089079">
            <wp:extent cx="5219700" cy="3158634"/>
            <wp:effectExtent l="0" t="0" r="0" b="3810"/>
            <wp:docPr id="13" name="Picture 13" descr="Boxplots of time from diagnosis to definitive RT/CRT for head and neck cancer patients, by ICS of RT/CRT centre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3">
                      <a:extLst>
                        <a:ext uri="{28A0092B-C50C-407E-A947-70E740481C1C}">
                          <a14:useLocalDpi xmlns:a14="http://schemas.microsoft.com/office/drawing/2010/main" val="0"/>
                        </a:ext>
                      </a:extLst>
                    </a:blip>
                    <a:srcRect l="-1" t="12625" r="1609"/>
                    <a:stretch/>
                  </pic:blipFill>
                  <pic:spPr bwMode="auto">
                    <a:xfrm>
                      <a:off x="0" y="0"/>
                      <a:ext cx="5232612" cy="3166447"/>
                    </a:xfrm>
                    <a:prstGeom prst="rect">
                      <a:avLst/>
                    </a:prstGeom>
                    <a:noFill/>
                    <a:ln>
                      <a:noFill/>
                    </a:ln>
                    <a:extLst>
                      <a:ext uri="{53640926-AAD7-44D8-BBD7-CCE9431645EC}">
                        <a14:shadowObscured xmlns:a14="http://schemas.microsoft.com/office/drawing/2010/main"/>
                      </a:ext>
                    </a:extLst>
                  </pic:spPr>
                </pic:pic>
              </a:graphicData>
            </a:graphic>
          </wp:inline>
        </w:drawing>
      </w:r>
    </w:p>
    <w:p w14:paraId="2C3CCF7E" w14:textId="6DAA46D4" w:rsidR="00F7468B" w:rsidRDefault="00B10D0F" w:rsidP="00EB7D52">
      <w:pPr>
        <w:pStyle w:val="DHHStablefigurenote"/>
      </w:pPr>
      <w:r>
        <w:t>Dashed line =</w:t>
      </w:r>
      <w:r w:rsidR="00C406C7">
        <w:t xml:space="preserve"> eight </w:t>
      </w:r>
      <w:r>
        <w:t xml:space="preserve">weeks (56 days). </w:t>
      </w:r>
      <w:r>
        <w:br/>
        <w:t>Greater than Victorian average *</w:t>
      </w:r>
      <w:r w:rsidR="00FF41C1">
        <w:t xml:space="preserve"> </w:t>
      </w:r>
      <w:r w:rsidR="006E52D2">
        <w:t>p</w:t>
      </w:r>
      <w:r>
        <w:t xml:space="preserve"> &lt; 0.05, **</w:t>
      </w:r>
      <w:r w:rsidR="00FF41C1">
        <w:t xml:space="preserve"> </w:t>
      </w:r>
      <w:r w:rsidR="006E52D2">
        <w:t>p</w:t>
      </w:r>
      <w:r>
        <w:t xml:space="preserve"> &lt; 0.001; Lower than Victorian average </w:t>
      </w:r>
      <w:r w:rsidRPr="00536867">
        <w:rPr>
          <w:vertAlign w:val="superscript"/>
        </w:rPr>
        <w:t>#</w:t>
      </w:r>
      <w:r w:rsidR="00FF41C1">
        <w:rPr>
          <w:vertAlign w:val="superscript"/>
        </w:rPr>
        <w:t xml:space="preserve"> </w:t>
      </w:r>
      <w:r w:rsidR="006E52D2">
        <w:t>p</w:t>
      </w:r>
      <w:r>
        <w:t xml:space="preserve"> &lt; 0.05, </w:t>
      </w:r>
      <w:r w:rsidRPr="00536867">
        <w:rPr>
          <w:vertAlign w:val="superscript"/>
        </w:rPr>
        <w:t>##</w:t>
      </w:r>
      <w:r w:rsidR="00FF41C1">
        <w:rPr>
          <w:vertAlign w:val="superscript"/>
        </w:rPr>
        <w:t xml:space="preserve"> </w:t>
      </w:r>
      <w:r w:rsidR="006E52D2">
        <w:t xml:space="preserve">p </w:t>
      </w:r>
      <w:r>
        <w:t>&lt;</w:t>
      </w:r>
      <w:r w:rsidR="006E52D2">
        <w:t xml:space="preserve"> </w:t>
      </w:r>
      <w:r>
        <w:t>0.001.</w:t>
      </w:r>
      <w:r>
        <w:br/>
      </w:r>
      <w:r w:rsidR="007D2D14">
        <w:t xml:space="preserve">Note </w:t>
      </w:r>
      <w:r w:rsidR="00B3087A">
        <w:t>HRICS</w:t>
      </w:r>
      <w:r w:rsidR="00EB7D52">
        <w:t xml:space="preserve"> data limitation. </w:t>
      </w:r>
      <w:r w:rsidR="009F31D4">
        <w:br/>
      </w:r>
      <w:r w:rsidRPr="00B10D0F">
        <w:t xml:space="preserve">Restricted to </w:t>
      </w:r>
      <w:r w:rsidR="00B1716A">
        <w:t xml:space="preserve">definitive </w:t>
      </w:r>
      <w:r>
        <w:t>RT/CRT</w:t>
      </w:r>
      <w:r w:rsidRPr="00B10D0F">
        <w:t xml:space="preserve"> within </w:t>
      </w:r>
      <w:r w:rsidR="006E52D2">
        <w:t>six</w:t>
      </w:r>
      <w:r w:rsidRPr="00B10D0F">
        <w:t xml:space="preserve"> months of diagnosis date.</w:t>
      </w:r>
    </w:p>
    <w:p w14:paraId="3A7DCB8C" w14:textId="642D5C41" w:rsidR="00F7468B" w:rsidRDefault="00F7468B" w:rsidP="00F7468B">
      <w:pPr>
        <w:pStyle w:val="DHHSfigurecaption"/>
      </w:pPr>
      <w:bookmarkStart w:id="57" w:name="_Ref3988425"/>
      <w:bookmarkStart w:id="58" w:name="_Toc22722823"/>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11</w:t>
      </w:r>
      <w:r w:rsidR="00954022">
        <w:rPr>
          <w:noProof/>
        </w:rPr>
        <w:fldChar w:fldCharType="end"/>
      </w:r>
      <w:bookmarkEnd w:id="57"/>
      <w:r>
        <w:t xml:space="preserve">: </w:t>
      </w:r>
      <w:r w:rsidR="00B6368E">
        <w:t>Funnel plot for</w:t>
      </w:r>
      <w:r w:rsidR="004E7881">
        <w:t xml:space="preserve"> the proportion of definitive RT/CRT</w:t>
      </w:r>
      <w:r>
        <w:t xml:space="preserve"> </w:t>
      </w:r>
      <w:r w:rsidR="00143C86">
        <w:t>head and neck cancer</w:t>
      </w:r>
      <w:r w:rsidR="005452E9">
        <w:t xml:space="preserve"> </w:t>
      </w:r>
      <w:r>
        <w:t>patients</w:t>
      </w:r>
      <w:r w:rsidR="004E7881">
        <w:t xml:space="preserve"> who started treatment </w:t>
      </w:r>
      <w:r>
        <w:t>within</w:t>
      </w:r>
      <w:r w:rsidR="00C406C7">
        <w:t xml:space="preserve"> eight </w:t>
      </w:r>
      <w:r>
        <w:t xml:space="preserve">weeks </w:t>
      </w:r>
      <w:r w:rsidR="001D4D28">
        <w:t>of diagnosis</w:t>
      </w:r>
      <w:r w:rsidR="00B67AC1">
        <w:t>,</w:t>
      </w:r>
      <w:r w:rsidR="001D4D28">
        <w:t xml:space="preserve"> </w:t>
      </w:r>
      <w:r>
        <w:t xml:space="preserve">by </w:t>
      </w:r>
      <w:r w:rsidR="001678E2">
        <w:t>RT</w:t>
      </w:r>
      <w:r w:rsidR="00220D8D">
        <w:t>/CRT</w:t>
      </w:r>
      <w:r w:rsidR="001678E2">
        <w:t xml:space="preserve"> centre</w:t>
      </w:r>
      <w:r>
        <w:t xml:space="preserve"> </w:t>
      </w:r>
      <w:r w:rsidR="00143C86">
        <w:t>(diagnosed 2012–2016)</w:t>
      </w:r>
      <w:bookmarkEnd w:id="58"/>
    </w:p>
    <w:p w14:paraId="1176F0E8" w14:textId="2865CFBD" w:rsidR="005F29A0" w:rsidRPr="005F29A0" w:rsidRDefault="00AF7E55" w:rsidP="00AF7E55">
      <w:pPr>
        <w:pStyle w:val="DHHSbody"/>
        <w:jc w:val="center"/>
      </w:pPr>
      <w:r>
        <w:rPr>
          <w:noProof/>
        </w:rPr>
        <w:drawing>
          <wp:inline distT="0" distB="0" distL="0" distR="0" wp14:anchorId="0871A399" wp14:editId="235F10C8">
            <wp:extent cx="3880854" cy="3790950"/>
            <wp:effectExtent l="0" t="0" r="5715" b="0"/>
            <wp:docPr id="14" name="Picture 14" descr="Funnel plot for the proportion of definitive RT/CRT head and neck cancer patients who started treatment within eight weeks of diagnosis, by RT/CRT centre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4">
                      <a:extLst>
                        <a:ext uri="{28A0092B-C50C-407E-A947-70E740481C1C}">
                          <a14:useLocalDpi xmlns:a14="http://schemas.microsoft.com/office/drawing/2010/main" val="0"/>
                        </a:ext>
                      </a:extLst>
                    </a:blip>
                    <a:srcRect t="6296" r="11754"/>
                    <a:stretch/>
                  </pic:blipFill>
                  <pic:spPr bwMode="auto">
                    <a:xfrm>
                      <a:off x="0" y="0"/>
                      <a:ext cx="3893802" cy="3803598"/>
                    </a:xfrm>
                    <a:prstGeom prst="rect">
                      <a:avLst/>
                    </a:prstGeom>
                    <a:noFill/>
                    <a:ln>
                      <a:noFill/>
                    </a:ln>
                    <a:extLst>
                      <a:ext uri="{53640926-AAD7-44D8-BBD7-CCE9431645EC}">
                        <a14:shadowObscured xmlns:a14="http://schemas.microsoft.com/office/drawing/2010/main"/>
                      </a:ext>
                    </a:extLst>
                  </pic:spPr>
                </pic:pic>
              </a:graphicData>
            </a:graphic>
          </wp:inline>
        </w:drawing>
      </w:r>
    </w:p>
    <w:p w14:paraId="694A26F3" w14:textId="19D6AC4C" w:rsidR="00B10D0F" w:rsidRPr="00B1716A" w:rsidRDefault="00B1716A" w:rsidP="000C5AF2">
      <w:pPr>
        <w:pStyle w:val="DHHStablefigurenote"/>
      </w:pPr>
      <w:r w:rsidRPr="00B1716A">
        <w:t xml:space="preserve">Restricted to definitive RT/CRT within </w:t>
      </w:r>
      <w:r w:rsidR="006E52D2">
        <w:t>six</w:t>
      </w:r>
      <w:r w:rsidRPr="00B1716A">
        <w:t xml:space="preserve"> months of diagnosis date.</w:t>
      </w:r>
    </w:p>
    <w:p w14:paraId="3C39AF73" w14:textId="77777777" w:rsidR="00C4203C" w:rsidRDefault="00C4203C" w:rsidP="007970BD">
      <w:pPr>
        <w:pStyle w:val="Heading2"/>
      </w:pPr>
      <w:bookmarkStart w:id="59" w:name="_Toc22713858"/>
      <w:r>
        <w:t>Time</w:t>
      </w:r>
      <w:r w:rsidR="005F5564">
        <w:t xml:space="preserve"> </w:t>
      </w:r>
      <w:r w:rsidR="00234F5E">
        <w:t xml:space="preserve">from surgery </w:t>
      </w:r>
      <w:r w:rsidR="005F5564">
        <w:t>to</w:t>
      </w:r>
      <w:r>
        <w:t xml:space="preserve"> adjuvant </w:t>
      </w:r>
      <w:r w:rsidR="00B6368E">
        <w:t>therapy</w:t>
      </w:r>
      <w:bookmarkEnd w:id="59"/>
    </w:p>
    <w:p w14:paraId="36447E8E" w14:textId="7865C94F" w:rsidR="00B479AF" w:rsidRDefault="00B479AF" w:rsidP="000C5AF2">
      <w:pPr>
        <w:pStyle w:val="DHHSbullet1"/>
      </w:pPr>
      <w:r>
        <w:t xml:space="preserve">Of the </w:t>
      </w:r>
      <w:r w:rsidR="00B1716A">
        <w:t xml:space="preserve">H&amp;N cancer </w:t>
      </w:r>
      <w:r>
        <w:t>patients whose first treatment was surgery followed by adjuvant therapy</w:t>
      </w:r>
      <w:r w:rsidR="005B386E">
        <w:t xml:space="preserve"> (radical RT or CRT)</w:t>
      </w:r>
      <w:r w:rsidR="00B1716A">
        <w:t xml:space="preserve"> within </w:t>
      </w:r>
      <w:r w:rsidR="00B77808">
        <w:t>three</w:t>
      </w:r>
      <w:r w:rsidR="00B1716A">
        <w:t xml:space="preserve"> months of surgery</w:t>
      </w:r>
      <w:r>
        <w:t xml:space="preserve">: </w:t>
      </w:r>
    </w:p>
    <w:p w14:paraId="0C0CAC97" w14:textId="1B79287E" w:rsidR="00234F5E" w:rsidRDefault="00234F5E" w:rsidP="00820277">
      <w:pPr>
        <w:pStyle w:val="DHHSbullet2"/>
      </w:pPr>
      <w:r>
        <w:t xml:space="preserve">The median time from surgery to starting adjuvant </w:t>
      </w:r>
      <w:r w:rsidR="00B6368E">
        <w:t>therapy</w:t>
      </w:r>
      <w:r>
        <w:t xml:space="preserve"> </w:t>
      </w:r>
      <w:r w:rsidRPr="007E7741">
        <w:t xml:space="preserve">was </w:t>
      </w:r>
      <w:r w:rsidR="007E7741" w:rsidRPr="007E7741">
        <w:t>47</w:t>
      </w:r>
      <w:r w:rsidRPr="007E7741">
        <w:t xml:space="preserve"> days</w:t>
      </w:r>
      <w:r>
        <w:t>.</w:t>
      </w:r>
    </w:p>
    <w:p w14:paraId="5D45E037" w14:textId="33FAD975" w:rsidR="007C4A73" w:rsidRDefault="005B386E" w:rsidP="00820277">
      <w:pPr>
        <w:pStyle w:val="DHHSbullet2"/>
      </w:pPr>
      <w:r>
        <w:t>Thirty-seven</w:t>
      </w:r>
      <w:r w:rsidR="00234F5E">
        <w:t xml:space="preserve"> per cent</w:t>
      </w:r>
      <w:r w:rsidR="00C4203C">
        <w:t xml:space="preserve"> </w:t>
      </w:r>
      <w:r w:rsidR="00234F5E">
        <w:t xml:space="preserve">started </w:t>
      </w:r>
      <w:r w:rsidR="00C4203C">
        <w:t xml:space="preserve">adjuvant </w:t>
      </w:r>
      <w:r w:rsidR="00953204">
        <w:t xml:space="preserve">therapy </w:t>
      </w:r>
      <w:r w:rsidR="00C4203C">
        <w:t xml:space="preserve">within </w:t>
      </w:r>
      <w:r w:rsidR="00C406C7">
        <w:t>six</w:t>
      </w:r>
      <w:r w:rsidR="00C4203C">
        <w:t xml:space="preserve"> weeks of surgery</w:t>
      </w:r>
      <w:r w:rsidR="001678E2">
        <w:t>, increas</w:t>
      </w:r>
      <w:r w:rsidR="008F045C">
        <w:t>ing</w:t>
      </w:r>
      <w:r w:rsidR="001678E2">
        <w:t xml:space="preserve"> over the 2012</w:t>
      </w:r>
      <w:r w:rsidR="00C406C7">
        <w:t>–</w:t>
      </w:r>
      <w:r w:rsidR="001678E2">
        <w:t>2016 period from 25 per cent in 2012 to 45 per cent in 2016</w:t>
      </w:r>
      <w:r w:rsidR="007E7741">
        <w:t xml:space="preserve"> (</w:t>
      </w:r>
      <w:r w:rsidR="007E7741" w:rsidRPr="007E7741">
        <w:rPr>
          <w:i/>
        </w:rPr>
        <w:t>p</w:t>
      </w:r>
      <w:r w:rsidR="007E7741">
        <w:t xml:space="preserve"> = 0.005)</w:t>
      </w:r>
      <w:r w:rsidR="007C4A73">
        <w:t>.</w:t>
      </w:r>
    </w:p>
    <w:p w14:paraId="5CB78322" w14:textId="02D94DA8" w:rsidR="00F74714" w:rsidRDefault="00F74714" w:rsidP="000C5AF2">
      <w:pPr>
        <w:pStyle w:val="DHHSbullet1"/>
      </w:pPr>
      <w:r>
        <w:t>Patients</w:t>
      </w:r>
      <w:r w:rsidR="009C4897">
        <w:t xml:space="preserve"> who had surgery and </w:t>
      </w:r>
      <w:r w:rsidR="00953204">
        <w:t>adjuvant therapy</w:t>
      </w:r>
      <w:r>
        <w:t xml:space="preserve"> in </w:t>
      </w:r>
      <w:r w:rsidR="00C4203C">
        <w:t xml:space="preserve">BSWRICS and </w:t>
      </w:r>
      <w:r w:rsidR="009C4897">
        <w:t xml:space="preserve">patients who had </w:t>
      </w:r>
      <w:r w:rsidR="00953204">
        <w:t>adjuvant therapy</w:t>
      </w:r>
      <w:r w:rsidR="009C4897">
        <w:t xml:space="preserve"> in </w:t>
      </w:r>
      <w:r w:rsidR="00C4203C">
        <w:t xml:space="preserve">GICS </w:t>
      </w:r>
      <w:r>
        <w:t xml:space="preserve">were less likely to </w:t>
      </w:r>
      <w:r w:rsidR="009C4897">
        <w:t xml:space="preserve">start </w:t>
      </w:r>
      <w:r w:rsidR="00C4203C">
        <w:t xml:space="preserve">adjuvant </w:t>
      </w:r>
      <w:r w:rsidR="00953204">
        <w:t>therapy</w:t>
      </w:r>
      <w:r w:rsidR="00C4203C">
        <w:t xml:space="preserve"> within </w:t>
      </w:r>
      <w:r w:rsidR="00C406C7">
        <w:t>six</w:t>
      </w:r>
      <w:r w:rsidR="00C4203C">
        <w:t xml:space="preserve"> weeks</w:t>
      </w:r>
      <w:r>
        <w:t xml:space="preserve"> of</w:t>
      </w:r>
      <w:r w:rsidR="009C4897">
        <w:t xml:space="preserve"> their</w:t>
      </w:r>
      <w:r>
        <w:t xml:space="preserve"> surgery (</w:t>
      </w:r>
      <w:r w:rsidR="00954022">
        <w:fldChar w:fldCharType="begin"/>
      </w:r>
      <w:r>
        <w:instrText xml:space="preserve"> REF _Ref3988679 \h </w:instrText>
      </w:r>
      <w:r w:rsidR="00220D8D">
        <w:instrText xml:space="preserve"> \* MERGEFORMAT </w:instrText>
      </w:r>
      <w:r w:rsidR="00954022">
        <w:fldChar w:fldCharType="separate"/>
      </w:r>
      <w:r w:rsidR="00084E54">
        <w:t xml:space="preserve">Figure </w:t>
      </w:r>
      <w:r w:rsidR="00084E54">
        <w:rPr>
          <w:noProof/>
        </w:rPr>
        <w:t>12</w:t>
      </w:r>
      <w:r w:rsidR="00954022">
        <w:fldChar w:fldCharType="end"/>
      </w:r>
      <w:r>
        <w:t xml:space="preserve"> and</w:t>
      </w:r>
      <w:r w:rsidR="00000BF2">
        <w:t xml:space="preserve"> </w:t>
      </w:r>
      <w:r w:rsidR="00954022">
        <w:fldChar w:fldCharType="begin"/>
      </w:r>
      <w:r w:rsidR="00000BF2">
        <w:instrText xml:space="preserve"> REF _Ref5179776 \h </w:instrText>
      </w:r>
      <w:r w:rsidR="00220D8D">
        <w:instrText xml:space="preserve"> \* MERGEFORMAT </w:instrText>
      </w:r>
      <w:r w:rsidR="00954022">
        <w:fldChar w:fldCharType="separate"/>
      </w:r>
      <w:r w:rsidR="00084E54">
        <w:t xml:space="preserve">Figure </w:t>
      </w:r>
      <w:r w:rsidR="00084E54">
        <w:rPr>
          <w:noProof/>
        </w:rPr>
        <w:t>13</w:t>
      </w:r>
      <w:r w:rsidR="00954022">
        <w:fldChar w:fldCharType="end"/>
      </w:r>
      <w:r>
        <w:t>).</w:t>
      </w:r>
    </w:p>
    <w:p w14:paraId="072E9170" w14:textId="62BF6D80" w:rsidR="00F74714" w:rsidRDefault="00F74714" w:rsidP="000C5AF2">
      <w:pPr>
        <w:pStyle w:val="DHHSbullet1"/>
      </w:pPr>
      <w:r>
        <w:t xml:space="preserve">Patients </w:t>
      </w:r>
      <w:r w:rsidR="009C4897">
        <w:t xml:space="preserve">who had </w:t>
      </w:r>
      <w:r w:rsidR="007E7741">
        <w:t>adjuvant</w:t>
      </w:r>
      <w:r w:rsidR="00953204">
        <w:t xml:space="preserve"> therapy</w:t>
      </w:r>
      <w:r w:rsidR="009C4897">
        <w:t xml:space="preserve"> in </w:t>
      </w:r>
      <w:r>
        <w:t xml:space="preserve">SMICS were more likely to </w:t>
      </w:r>
      <w:r w:rsidR="009C4897">
        <w:t xml:space="preserve">start </w:t>
      </w:r>
      <w:r>
        <w:t xml:space="preserve">adjuvant </w:t>
      </w:r>
      <w:r w:rsidR="00953204">
        <w:t xml:space="preserve">therapy </w:t>
      </w:r>
      <w:r>
        <w:t xml:space="preserve">within </w:t>
      </w:r>
      <w:r w:rsidR="00C406C7">
        <w:t>six</w:t>
      </w:r>
      <w:r>
        <w:t xml:space="preserve"> weeks of surgery (</w:t>
      </w:r>
      <w:r w:rsidR="00954022">
        <w:fldChar w:fldCharType="begin"/>
      </w:r>
      <w:r w:rsidR="004A6248">
        <w:instrText xml:space="preserve"> REF _Ref5179776 \h </w:instrText>
      </w:r>
      <w:r w:rsidR="00220D8D">
        <w:instrText xml:space="preserve"> \* MERGEFORMAT </w:instrText>
      </w:r>
      <w:r w:rsidR="00954022">
        <w:fldChar w:fldCharType="separate"/>
      </w:r>
      <w:r w:rsidR="00084E54">
        <w:t xml:space="preserve">Figure </w:t>
      </w:r>
      <w:r w:rsidR="00084E54">
        <w:rPr>
          <w:noProof/>
        </w:rPr>
        <w:t>13</w:t>
      </w:r>
      <w:r w:rsidR="00954022">
        <w:fldChar w:fldCharType="end"/>
      </w:r>
      <w:r>
        <w:t>)</w:t>
      </w:r>
      <w:r w:rsidR="004A6248">
        <w:t>.</w:t>
      </w:r>
    </w:p>
    <w:p w14:paraId="208E2040" w14:textId="33F7A8CE" w:rsidR="00F74714" w:rsidRDefault="00C4203C" w:rsidP="00220D8D">
      <w:pPr>
        <w:pStyle w:val="DHHSbullet1"/>
      </w:pPr>
      <w:r>
        <w:t xml:space="preserve"> </w:t>
      </w:r>
      <w:r w:rsidR="00F74714">
        <w:t>T</w:t>
      </w:r>
      <w:r>
        <w:t>here was wide variation in</w:t>
      </w:r>
      <w:r w:rsidR="00220D8D">
        <w:t xml:space="preserve"> the</w:t>
      </w:r>
      <w:r>
        <w:t xml:space="preserve"> timeliness of adjuvant </w:t>
      </w:r>
      <w:r w:rsidR="00953204">
        <w:t xml:space="preserve">therapy </w:t>
      </w:r>
      <w:r>
        <w:t xml:space="preserve">by </w:t>
      </w:r>
      <w:r w:rsidR="008F045C">
        <w:t>surgery hospital</w:t>
      </w:r>
      <w:r w:rsidR="001A0947">
        <w:t xml:space="preserve"> (</w:t>
      </w:r>
      <w:r w:rsidR="00220D8D">
        <w:fldChar w:fldCharType="begin"/>
      </w:r>
      <w:r w:rsidR="00220D8D">
        <w:instrText xml:space="preserve"> REF _Ref10033976 \h </w:instrText>
      </w:r>
      <w:r w:rsidR="00220D8D">
        <w:fldChar w:fldCharType="separate"/>
      </w:r>
      <w:r w:rsidR="00084E54">
        <w:t xml:space="preserve">Figure </w:t>
      </w:r>
      <w:r w:rsidR="00084E54">
        <w:rPr>
          <w:noProof/>
        </w:rPr>
        <w:t>14</w:t>
      </w:r>
      <w:r w:rsidR="00220D8D">
        <w:fldChar w:fldCharType="end"/>
      </w:r>
      <w:r w:rsidR="001A0947">
        <w:t>)</w:t>
      </w:r>
      <w:r w:rsidR="00707B07">
        <w:t>:</w:t>
      </w:r>
    </w:p>
    <w:p w14:paraId="0777F153" w14:textId="2729EAD9" w:rsidR="00F74714" w:rsidRDefault="00CD4938" w:rsidP="00536867">
      <w:pPr>
        <w:pStyle w:val="DHHSbullet2"/>
      </w:pPr>
      <w:r>
        <w:t>Four</w:t>
      </w:r>
      <w:r w:rsidR="00707B07">
        <w:t xml:space="preserve"> </w:t>
      </w:r>
      <w:r w:rsidR="00F74714">
        <w:t xml:space="preserve">metropolitan </w:t>
      </w:r>
      <w:r w:rsidR="008F045C">
        <w:t>hospitals</w:t>
      </w:r>
      <w:r w:rsidR="00F74714">
        <w:t xml:space="preserve"> had a </w:t>
      </w:r>
      <w:r w:rsidR="00707B07">
        <w:t xml:space="preserve">significantly </w:t>
      </w:r>
      <w:r w:rsidR="00F74714">
        <w:t xml:space="preserve">higher proportion of patients starting adjuvant therapy within </w:t>
      </w:r>
      <w:r w:rsidR="00C406C7">
        <w:t>six</w:t>
      </w:r>
      <w:r w:rsidR="00F74714">
        <w:t xml:space="preserve"> weeks </w:t>
      </w:r>
      <w:r w:rsidR="00707B07">
        <w:t>compared with the state average.</w:t>
      </w:r>
    </w:p>
    <w:p w14:paraId="1F71A7DD" w14:textId="143DC21F" w:rsidR="00F74714" w:rsidRDefault="008F045C" w:rsidP="00536867">
      <w:pPr>
        <w:pStyle w:val="DHHSbullet2"/>
      </w:pPr>
      <w:r>
        <w:t>O</w:t>
      </w:r>
      <w:r w:rsidR="00707B07">
        <w:t xml:space="preserve">ne regional </w:t>
      </w:r>
      <w:r w:rsidR="00F74714">
        <w:t xml:space="preserve">and one metropolitan </w:t>
      </w:r>
      <w:r>
        <w:t>hospital</w:t>
      </w:r>
      <w:r w:rsidR="00F74714">
        <w:t xml:space="preserve"> had a</w:t>
      </w:r>
      <w:r w:rsidR="00707B07">
        <w:t xml:space="preserve"> significantly</w:t>
      </w:r>
      <w:r w:rsidR="00F74714">
        <w:t xml:space="preserve"> lower proportion of patients starting adjuvant therapy within </w:t>
      </w:r>
      <w:r w:rsidR="00C406C7">
        <w:t>six</w:t>
      </w:r>
      <w:r w:rsidR="00F74714">
        <w:t xml:space="preserve"> weeks</w:t>
      </w:r>
      <w:r w:rsidR="00707B07">
        <w:t xml:space="preserve"> compared with the state average.</w:t>
      </w:r>
      <w:r w:rsidR="00F74714">
        <w:t xml:space="preserve"> </w:t>
      </w:r>
    </w:p>
    <w:p w14:paraId="7C6FB313" w14:textId="3B2E820A" w:rsidR="003567A7" w:rsidRDefault="003379D8" w:rsidP="00166C9D">
      <w:pPr>
        <w:pStyle w:val="DHHSfigurecaption"/>
      </w:pPr>
      <w:bookmarkStart w:id="60" w:name="_Ref3988679"/>
      <w:bookmarkStart w:id="61" w:name="_Toc22722824"/>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12</w:t>
      </w:r>
      <w:r w:rsidR="00954022">
        <w:rPr>
          <w:noProof/>
        </w:rPr>
        <w:fldChar w:fldCharType="end"/>
      </w:r>
      <w:bookmarkEnd w:id="60"/>
      <w:r>
        <w:t xml:space="preserve">: </w:t>
      </w:r>
      <w:r w:rsidR="00234F5E">
        <w:t>Boxplot of t</w:t>
      </w:r>
      <w:r>
        <w:t xml:space="preserve">ime from surgery to adjuvant </w:t>
      </w:r>
      <w:r w:rsidR="00953204">
        <w:t>therapy</w:t>
      </w:r>
      <w:r>
        <w:t xml:space="preserve"> </w:t>
      </w:r>
      <w:r w:rsidR="00234F5E">
        <w:t>for head and neck cancer patients</w:t>
      </w:r>
      <w:r w:rsidR="00FF41C1">
        <w:t>,</w:t>
      </w:r>
      <w:r w:rsidR="00234F5E">
        <w:t xml:space="preserve"> </w:t>
      </w:r>
      <w:r w:rsidR="003A3BCD">
        <w:t xml:space="preserve">by ICS of surgery </w:t>
      </w:r>
      <w:r w:rsidR="00220D8D">
        <w:t xml:space="preserve">hospital </w:t>
      </w:r>
      <w:r w:rsidR="00234F5E">
        <w:t>(diagnosed 2012–2016)</w:t>
      </w:r>
      <w:bookmarkStart w:id="62" w:name="_Ref3988681"/>
      <w:bookmarkEnd w:id="61"/>
    </w:p>
    <w:p w14:paraId="2ECBC6AC" w14:textId="0F35EB60" w:rsidR="003B4103" w:rsidRDefault="00AF7E55" w:rsidP="00AF7E55">
      <w:pPr>
        <w:pStyle w:val="DHHSbody"/>
        <w:jc w:val="center"/>
      </w:pPr>
      <w:r>
        <w:rPr>
          <w:noProof/>
        </w:rPr>
        <w:drawing>
          <wp:inline distT="0" distB="0" distL="0" distR="0" wp14:anchorId="118B8C39" wp14:editId="147DE4D2">
            <wp:extent cx="5286375" cy="3199406"/>
            <wp:effectExtent l="0" t="0" r="0" b="1270"/>
            <wp:docPr id="15" name="Picture 15" descr="Boxplot of time from surgery to adjuvant therapy for head and neck cancer patients, by ICS of surgery hospital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5">
                      <a:extLst>
                        <a:ext uri="{28A0092B-C50C-407E-A947-70E740481C1C}">
                          <a14:useLocalDpi xmlns:a14="http://schemas.microsoft.com/office/drawing/2010/main" val="0"/>
                        </a:ext>
                      </a:extLst>
                    </a:blip>
                    <a:srcRect t="13000" r="2044"/>
                    <a:stretch/>
                  </pic:blipFill>
                  <pic:spPr bwMode="auto">
                    <a:xfrm>
                      <a:off x="0" y="0"/>
                      <a:ext cx="5295868" cy="3205151"/>
                    </a:xfrm>
                    <a:prstGeom prst="rect">
                      <a:avLst/>
                    </a:prstGeom>
                    <a:noFill/>
                    <a:ln>
                      <a:noFill/>
                    </a:ln>
                    <a:extLst>
                      <a:ext uri="{53640926-AAD7-44D8-BBD7-CCE9431645EC}">
                        <a14:shadowObscured xmlns:a14="http://schemas.microsoft.com/office/drawing/2010/main"/>
                      </a:ext>
                    </a:extLst>
                  </pic:spPr>
                </pic:pic>
              </a:graphicData>
            </a:graphic>
          </wp:inline>
        </w:drawing>
      </w:r>
    </w:p>
    <w:p w14:paraId="1D53EFF1" w14:textId="6C256E4A" w:rsidR="003B4103" w:rsidRDefault="00B10D0F" w:rsidP="003B4103">
      <w:pPr>
        <w:pStyle w:val="DHHStablefigurenote"/>
      </w:pPr>
      <w:r>
        <w:t xml:space="preserve">Dashed line = </w:t>
      </w:r>
      <w:r w:rsidR="00C406C7">
        <w:t>six</w:t>
      </w:r>
      <w:r>
        <w:t xml:space="preserve"> weeks (42 days).</w:t>
      </w:r>
      <w:r>
        <w:br/>
        <w:t>Greater than Victorian average *</w:t>
      </w:r>
      <w:r w:rsidR="00C406C7">
        <w:t xml:space="preserve"> p</w:t>
      </w:r>
      <w:r>
        <w:t xml:space="preserve"> &lt; 0.05, **</w:t>
      </w:r>
      <w:r w:rsidR="00C406C7">
        <w:t xml:space="preserve"> p</w:t>
      </w:r>
      <w:r>
        <w:t xml:space="preserve"> &lt; 0.001; Lower than Victorian average </w:t>
      </w:r>
      <w:r w:rsidRPr="00536867">
        <w:rPr>
          <w:vertAlign w:val="superscript"/>
        </w:rPr>
        <w:t>#</w:t>
      </w:r>
      <w:r w:rsidR="00C406C7">
        <w:t xml:space="preserve"> p</w:t>
      </w:r>
      <w:r>
        <w:t xml:space="preserve"> &lt; 0.05, </w:t>
      </w:r>
      <w:r w:rsidRPr="00536867">
        <w:rPr>
          <w:vertAlign w:val="superscript"/>
        </w:rPr>
        <w:t>##</w:t>
      </w:r>
      <w:r w:rsidR="00C406C7">
        <w:t xml:space="preserve"> p </w:t>
      </w:r>
      <w:r>
        <w:t>&lt;</w:t>
      </w:r>
      <w:r w:rsidR="00C406C7">
        <w:t xml:space="preserve"> </w:t>
      </w:r>
      <w:r>
        <w:t>0.001.</w:t>
      </w:r>
      <w:r>
        <w:br/>
      </w:r>
      <w:r w:rsidR="007D2D14">
        <w:t xml:space="preserve">Note </w:t>
      </w:r>
      <w:r w:rsidR="00B3087A">
        <w:t>HRICS</w:t>
      </w:r>
      <w:r w:rsidR="003B4103">
        <w:t xml:space="preserve"> data limitation. </w:t>
      </w:r>
      <w:r w:rsidR="009F31D4">
        <w:br/>
      </w:r>
      <w:r w:rsidRPr="00B10D0F">
        <w:t xml:space="preserve">Restricted to </w:t>
      </w:r>
      <w:r>
        <w:t xml:space="preserve">adjuvant therapy within </w:t>
      </w:r>
      <w:r w:rsidR="00C406C7">
        <w:t>three</w:t>
      </w:r>
      <w:r w:rsidRPr="00B10D0F">
        <w:t xml:space="preserve"> months of </w:t>
      </w:r>
      <w:r>
        <w:t>surgery</w:t>
      </w:r>
      <w:r w:rsidRPr="00B10D0F">
        <w:t xml:space="preserve"> date.</w:t>
      </w:r>
    </w:p>
    <w:p w14:paraId="6435CF05" w14:textId="665CECCA" w:rsidR="003567A7" w:rsidRDefault="00A46AF7" w:rsidP="003567A7">
      <w:pPr>
        <w:pStyle w:val="DHHSfigurecaption"/>
      </w:pPr>
      <w:bookmarkStart w:id="63" w:name="_Ref5179776"/>
      <w:bookmarkStart w:id="64" w:name="_Toc22722825"/>
      <w:r>
        <w:t xml:space="preserve">Figure </w:t>
      </w:r>
      <w:r w:rsidR="001252CF">
        <w:rPr>
          <w:noProof/>
        </w:rPr>
        <w:fldChar w:fldCharType="begin"/>
      </w:r>
      <w:r w:rsidR="001252CF">
        <w:rPr>
          <w:noProof/>
        </w:rPr>
        <w:instrText xml:space="preserve"> SEQ Figure \* ARABIC </w:instrText>
      </w:r>
      <w:r w:rsidR="001252CF">
        <w:rPr>
          <w:noProof/>
        </w:rPr>
        <w:fldChar w:fldCharType="separate"/>
      </w:r>
      <w:r w:rsidR="00084E54">
        <w:rPr>
          <w:noProof/>
        </w:rPr>
        <w:t>13</w:t>
      </w:r>
      <w:r w:rsidR="001252CF">
        <w:rPr>
          <w:noProof/>
        </w:rPr>
        <w:fldChar w:fldCharType="end"/>
      </w:r>
      <w:bookmarkEnd w:id="62"/>
      <w:bookmarkEnd w:id="63"/>
      <w:r>
        <w:t xml:space="preserve">: </w:t>
      </w:r>
      <w:r w:rsidR="00234F5E">
        <w:t>Boxp</w:t>
      </w:r>
      <w:r w:rsidR="00234F5E" w:rsidRPr="003567A7">
        <w:t>lot of t</w:t>
      </w:r>
      <w:r w:rsidRPr="003567A7">
        <w:t xml:space="preserve">ime from surgery to adjuvant </w:t>
      </w:r>
      <w:r w:rsidR="00953204" w:rsidRPr="003567A7">
        <w:t xml:space="preserve">therapy </w:t>
      </w:r>
      <w:r w:rsidR="00234F5E" w:rsidRPr="003567A7">
        <w:t>for head and neck cancer patients</w:t>
      </w:r>
      <w:r w:rsidR="00FF41C1">
        <w:t>,</w:t>
      </w:r>
      <w:r w:rsidR="00234F5E" w:rsidRPr="003567A7">
        <w:t xml:space="preserve"> </w:t>
      </w:r>
      <w:r w:rsidRPr="003567A7">
        <w:t xml:space="preserve">by ICS of </w:t>
      </w:r>
      <w:r w:rsidR="009C4897" w:rsidRPr="003567A7">
        <w:t xml:space="preserve">RT/CRT </w:t>
      </w:r>
      <w:r w:rsidR="00220D8D">
        <w:t xml:space="preserve">centre </w:t>
      </w:r>
      <w:r w:rsidR="00234F5E" w:rsidRPr="003567A7">
        <w:t>(diagnosed 2012–2016)</w:t>
      </w:r>
      <w:bookmarkEnd w:id="64"/>
    </w:p>
    <w:p w14:paraId="717B176D" w14:textId="72AE2BA0" w:rsidR="00166C9D" w:rsidRPr="00166C9D" w:rsidRDefault="00AF7E55" w:rsidP="00AF7E55">
      <w:pPr>
        <w:pStyle w:val="DHHSbody"/>
        <w:jc w:val="center"/>
      </w:pPr>
      <w:r>
        <w:rPr>
          <w:noProof/>
        </w:rPr>
        <w:drawing>
          <wp:inline distT="0" distB="0" distL="0" distR="0" wp14:anchorId="164BE510" wp14:editId="4ACD5E80">
            <wp:extent cx="5343525" cy="3256211"/>
            <wp:effectExtent l="0" t="0" r="0" b="1905"/>
            <wp:docPr id="16" name="Picture 16" descr="Boxplot of time from surgery to adjuvant therapy for head and neck cancer patients, by ICS of RT/CRT centre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6">
                      <a:extLst>
                        <a:ext uri="{28A0092B-C50C-407E-A947-70E740481C1C}">
                          <a14:useLocalDpi xmlns:a14="http://schemas.microsoft.com/office/drawing/2010/main" val="0"/>
                        </a:ext>
                      </a:extLst>
                    </a:blip>
                    <a:srcRect t="12250" r="1874"/>
                    <a:stretch/>
                  </pic:blipFill>
                  <pic:spPr bwMode="auto">
                    <a:xfrm>
                      <a:off x="0" y="0"/>
                      <a:ext cx="5348052" cy="3258969"/>
                    </a:xfrm>
                    <a:prstGeom prst="rect">
                      <a:avLst/>
                    </a:prstGeom>
                    <a:noFill/>
                    <a:ln>
                      <a:noFill/>
                    </a:ln>
                    <a:extLst>
                      <a:ext uri="{53640926-AAD7-44D8-BBD7-CCE9431645EC}">
                        <a14:shadowObscured xmlns:a14="http://schemas.microsoft.com/office/drawing/2010/main"/>
                      </a:ext>
                    </a:extLst>
                  </pic:spPr>
                </pic:pic>
              </a:graphicData>
            </a:graphic>
          </wp:inline>
        </w:drawing>
      </w:r>
    </w:p>
    <w:p w14:paraId="2A641C92" w14:textId="48D1D571" w:rsidR="003B4103" w:rsidRDefault="00B10D0F" w:rsidP="00301FB0">
      <w:pPr>
        <w:pStyle w:val="DHHStablefigurenote"/>
      </w:pPr>
      <w:bookmarkStart w:id="65" w:name="_Ref3989173"/>
      <w:r>
        <w:t xml:space="preserve">Dashed line = </w:t>
      </w:r>
      <w:r w:rsidR="00C406C7">
        <w:t>six</w:t>
      </w:r>
      <w:r>
        <w:t xml:space="preserve"> weeks (42 days). </w:t>
      </w:r>
      <w:r>
        <w:br/>
        <w:t>Greater than Victorian average *</w:t>
      </w:r>
      <w:r w:rsidR="00C406C7">
        <w:t xml:space="preserve"> p </w:t>
      </w:r>
      <w:r>
        <w:t>&lt; 0.05, **</w:t>
      </w:r>
      <w:r w:rsidR="00C406C7">
        <w:t xml:space="preserve"> p</w:t>
      </w:r>
      <w:r>
        <w:t xml:space="preserve"> &lt; 0.001; Lower than Victorian average </w:t>
      </w:r>
      <w:r w:rsidRPr="00536867">
        <w:rPr>
          <w:vertAlign w:val="superscript"/>
        </w:rPr>
        <w:t>#</w:t>
      </w:r>
      <w:r w:rsidR="00C406C7">
        <w:t xml:space="preserve"> p</w:t>
      </w:r>
      <w:r>
        <w:t xml:space="preserve"> &lt; 0.05, </w:t>
      </w:r>
      <w:r w:rsidRPr="00536867">
        <w:rPr>
          <w:vertAlign w:val="superscript"/>
        </w:rPr>
        <w:t>##</w:t>
      </w:r>
      <w:r w:rsidR="00C406C7">
        <w:t xml:space="preserve"> p </w:t>
      </w:r>
      <w:r>
        <w:t>&lt;</w:t>
      </w:r>
      <w:r w:rsidR="00C406C7">
        <w:t xml:space="preserve"> </w:t>
      </w:r>
      <w:r>
        <w:t>0.001.</w:t>
      </w:r>
      <w:r>
        <w:br/>
      </w:r>
      <w:r w:rsidR="007D2D14">
        <w:t xml:space="preserve">Note </w:t>
      </w:r>
      <w:r w:rsidR="00B3087A">
        <w:t>HRICS</w:t>
      </w:r>
      <w:r w:rsidR="003B4103">
        <w:t xml:space="preserve"> data limitation. </w:t>
      </w:r>
      <w:r w:rsidR="009F31D4">
        <w:br/>
      </w:r>
      <w:r w:rsidRPr="00B10D0F">
        <w:t xml:space="preserve">Restricted to </w:t>
      </w:r>
      <w:r>
        <w:t xml:space="preserve">adjuvant therapy within </w:t>
      </w:r>
      <w:r w:rsidR="00C406C7">
        <w:t>three</w:t>
      </w:r>
      <w:r w:rsidRPr="00B10D0F">
        <w:t xml:space="preserve"> months of </w:t>
      </w:r>
      <w:r>
        <w:t>surgery</w:t>
      </w:r>
      <w:r w:rsidRPr="00B10D0F">
        <w:t xml:space="preserve"> date.</w:t>
      </w:r>
    </w:p>
    <w:p w14:paraId="57D5B1A3" w14:textId="763795D6" w:rsidR="00626A9E" w:rsidRPr="00626A9E" w:rsidRDefault="00F74714" w:rsidP="00626A9E">
      <w:pPr>
        <w:pStyle w:val="DHHSfigurecaption"/>
      </w:pPr>
      <w:bookmarkStart w:id="66" w:name="_Ref10033976"/>
      <w:bookmarkStart w:id="67" w:name="_Toc22722826"/>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14</w:t>
      </w:r>
      <w:r w:rsidR="00954022">
        <w:rPr>
          <w:noProof/>
        </w:rPr>
        <w:fldChar w:fldCharType="end"/>
      </w:r>
      <w:bookmarkEnd w:id="65"/>
      <w:bookmarkEnd w:id="66"/>
      <w:r>
        <w:t xml:space="preserve">: </w:t>
      </w:r>
      <w:r w:rsidR="00B6368E">
        <w:t>Funnel plot of the p</w:t>
      </w:r>
      <w:r>
        <w:t>roportion</w:t>
      </w:r>
      <w:r w:rsidR="00707B07">
        <w:t xml:space="preserve"> of head and neck cancer patients who</w:t>
      </w:r>
      <w:r w:rsidR="004E7881">
        <w:t>se</w:t>
      </w:r>
      <w:r w:rsidR="00707B07">
        <w:t xml:space="preserve"> </w:t>
      </w:r>
      <w:r>
        <w:t xml:space="preserve">adjuvant </w:t>
      </w:r>
      <w:r w:rsidR="00953204">
        <w:t>therapy</w:t>
      </w:r>
      <w:r>
        <w:t xml:space="preserve"> </w:t>
      </w:r>
      <w:r w:rsidR="004E7881">
        <w:t xml:space="preserve">started </w:t>
      </w:r>
      <w:r>
        <w:t xml:space="preserve">within </w:t>
      </w:r>
      <w:r w:rsidR="00C406C7">
        <w:t>six</w:t>
      </w:r>
      <w:r>
        <w:t xml:space="preserve"> weeks</w:t>
      </w:r>
      <w:r w:rsidR="00707B07">
        <w:t xml:space="preserve"> of surgery</w:t>
      </w:r>
      <w:r w:rsidR="00FF41C1">
        <w:t>,</w:t>
      </w:r>
      <w:r>
        <w:t xml:space="preserve"> by surgery </w:t>
      </w:r>
      <w:r w:rsidR="008439B8">
        <w:t>hospital</w:t>
      </w:r>
      <w:r w:rsidR="00707B07">
        <w:t xml:space="preserve"> (diagnosed 2012–2016)</w:t>
      </w:r>
      <w:bookmarkEnd w:id="67"/>
    </w:p>
    <w:p w14:paraId="42FB042C" w14:textId="77777777" w:rsidR="00BA0EF9" w:rsidRDefault="00AF7E55" w:rsidP="005F29A0">
      <w:pPr>
        <w:pStyle w:val="DHHSbody"/>
        <w:jc w:val="center"/>
      </w:pPr>
      <w:r>
        <w:rPr>
          <w:noProof/>
        </w:rPr>
        <w:drawing>
          <wp:inline distT="0" distB="0" distL="0" distR="0" wp14:anchorId="27F374F4" wp14:editId="62AD83DF">
            <wp:extent cx="3829050" cy="3740857"/>
            <wp:effectExtent l="0" t="0" r="0" b="0"/>
            <wp:docPr id="18" name="Picture 18" descr="Funnel plot of the proportion of head and neck cancer patients whose adjuvant therapy started within six weeks of surgery, by surgery hospital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7">
                      <a:extLst>
                        <a:ext uri="{28A0092B-C50C-407E-A947-70E740481C1C}">
                          <a14:useLocalDpi xmlns:a14="http://schemas.microsoft.com/office/drawing/2010/main" val="0"/>
                        </a:ext>
                      </a:extLst>
                    </a:blip>
                    <a:srcRect l="1" t="5740" r="11243"/>
                    <a:stretch/>
                  </pic:blipFill>
                  <pic:spPr bwMode="auto">
                    <a:xfrm>
                      <a:off x="0" y="0"/>
                      <a:ext cx="3837694" cy="3749302"/>
                    </a:xfrm>
                    <a:prstGeom prst="rect">
                      <a:avLst/>
                    </a:prstGeom>
                    <a:noFill/>
                    <a:ln>
                      <a:noFill/>
                    </a:ln>
                    <a:extLst>
                      <a:ext uri="{53640926-AAD7-44D8-BBD7-CCE9431645EC}">
                        <a14:shadowObscured xmlns:a14="http://schemas.microsoft.com/office/drawing/2010/main"/>
                      </a:ext>
                    </a:extLst>
                  </pic:spPr>
                </pic:pic>
              </a:graphicData>
            </a:graphic>
          </wp:inline>
        </w:drawing>
      </w:r>
    </w:p>
    <w:p w14:paraId="04C50479" w14:textId="2A8D7635" w:rsidR="00B1716A" w:rsidRPr="00B1716A" w:rsidRDefault="00B1716A" w:rsidP="000C5AF2">
      <w:pPr>
        <w:pStyle w:val="DHHStablefigurenote"/>
      </w:pPr>
      <w:r w:rsidRPr="00B1716A">
        <w:t xml:space="preserve">Restricted to adjuvant therapy within </w:t>
      </w:r>
      <w:r w:rsidR="00C406C7">
        <w:t>three</w:t>
      </w:r>
      <w:r w:rsidRPr="00B1716A">
        <w:t xml:space="preserve"> months of surgery date.</w:t>
      </w:r>
    </w:p>
    <w:p w14:paraId="4944567B" w14:textId="77777777" w:rsidR="00B3687B" w:rsidRDefault="00B3687B" w:rsidP="00B3687B">
      <w:pPr>
        <w:pStyle w:val="Heading3"/>
      </w:pPr>
      <w:r>
        <w:t>Clinical commentary</w:t>
      </w:r>
    </w:p>
    <w:p w14:paraId="58F3EF7F" w14:textId="44E644A1" w:rsidR="005F078F" w:rsidRDefault="00B3687B" w:rsidP="005F078F">
      <w:pPr>
        <w:pStyle w:val="DHHSbody"/>
        <w:rPr>
          <w:lang w:val="en-US"/>
        </w:rPr>
      </w:pPr>
      <w:r>
        <w:rPr>
          <w:lang w:val="en-US"/>
        </w:rPr>
        <w:t>The timeliness of treatment commencement for H&amp;N cancer is crucial for ensuring optimal patient outcomes</w:t>
      </w:r>
      <w:r w:rsidR="00B77808">
        <w:rPr>
          <w:lang w:val="en-US"/>
        </w:rPr>
        <w:t xml:space="preserve"> </w:t>
      </w:r>
      <w:r w:rsidR="002C5509">
        <w:rPr>
          <w:lang w:val="en-US"/>
        </w:rPr>
        <w:t>–</w:t>
      </w:r>
      <w:r w:rsidR="00B77808">
        <w:rPr>
          <w:lang w:val="en-US"/>
        </w:rPr>
        <w:t xml:space="preserve"> </w:t>
      </w:r>
      <w:r>
        <w:rPr>
          <w:lang w:val="en-US"/>
        </w:rPr>
        <w:t>both for reducing patient anxiety as well as improving clinical outcomes.</w:t>
      </w:r>
      <w:r w:rsidR="006C2613">
        <w:rPr>
          <w:lang w:val="en-US"/>
        </w:rPr>
        <w:t xml:space="preserve"> Although time from diagnosis to surgery</w:t>
      </w:r>
      <w:r w:rsidR="00B045D1">
        <w:rPr>
          <w:lang w:val="en-US"/>
        </w:rPr>
        <w:t xml:space="preserve"> did not vary by ICS and a high proportion of patients received care within the </w:t>
      </w:r>
      <w:r w:rsidR="00B77808">
        <w:rPr>
          <w:lang w:val="en-US"/>
        </w:rPr>
        <w:t>eight</w:t>
      </w:r>
      <w:r w:rsidR="00B045D1">
        <w:rPr>
          <w:lang w:val="en-US"/>
        </w:rPr>
        <w:t>-week optimal target (93</w:t>
      </w:r>
      <w:r w:rsidR="00347DFE">
        <w:rPr>
          <w:lang w:val="en-US"/>
        </w:rPr>
        <w:t xml:space="preserve"> per cent</w:t>
      </w:r>
      <w:r w:rsidR="00B045D1">
        <w:rPr>
          <w:lang w:val="en-US"/>
        </w:rPr>
        <w:t>), some hospital</w:t>
      </w:r>
      <w:r w:rsidR="008439B8">
        <w:rPr>
          <w:lang w:val="en-US"/>
        </w:rPr>
        <w:t>s</w:t>
      </w:r>
      <w:r w:rsidR="00B045D1">
        <w:rPr>
          <w:lang w:val="en-US"/>
        </w:rPr>
        <w:t xml:space="preserve"> were not performing as well. This was also the case for time to RT/CRT and adjuvant treatments, with the additional issue of regional</w:t>
      </w:r>
      <w:r w:rsidR="00FF41C1">
        <w:rPr>
          <w:lang w:val="en-US"/>
        </w:rPr>
        <w:t>–</w:t>
      </w:r>
      <w:r w:rsidR="00A21BF3">
        <w:rPr>
          <w:lang w:val="en-US"/>
        </w:rPr>
        <w:t>metropolitan</w:t>
      </w:r>
      <w:r w:rsidR="00B045D1">
        <w:rPr>
          <w:lang w:val="en-US"/>
        </w:rPr>
        <w:t xml:space="preserve"> differences in achieving interval targets. </w:t>
      </w:r>
      <w:r w:rsidR="00EE3896">
        <w:rPr>
          <w:lang w:val="en-US"/>
        </w:rPr>
        <w:t xml:space="preserve">Most surgical patients who received adjuvant therapy did not start adjuvant treatment within the OCP recommended </w:t>
      </w:r>
      <w:r w:rsidR="00FF41C1">
        <w:rPr>
          <w:lang w:val="en-US"/>
        </w:rPr>
        <w:t>six</w:t>
      </w:r>
      <w:r w:rsidR="00EE3896">
        <w:rPr>
          <w:lang w:val="en-US"/>
        </w:rPr>
        <w:t>-week timeframe. Timeliness of adjuvant therapy has been</w:t>
      </w:r>
      <w:r w:rsidR="00B045D1">
        <w:rPr>
          <w:lang w:val="en-US"/>
        </w:rPr>
        <w:t xml:space="preserve"> </w:t>
      </w:r>
      <w:r w:rsidR="00EE3896">
        <w:rPr>
          <w:lang w:val="en-US"/>
        </w:rPr>
        <w:t>improving</w:t>
      </w:r>
      <w:r w:rsidR="00B045D1">
        <w:rPr>
          <w:lang w:val="en-US"/>
        </w:rPr>
        <w:t xml:space="preserve"> over time</w:t>
      </w:r>
      <w:r w:rsidR="00FF41C1">
        <w:rPr>
          <w:lang w:val="en-US"/>
        </w:rPr>
        <w:t>;</w:t>
      </w:r>
      <w:r w:rsidR="00B045D1">
        <w:rPr>
          <w:lang w:val="en-US"/>
        </w:rPr>
        <w:t xml:space="preserve"> </w:t>
      </w:r>
      <w:r w:rsidR="00EE3896">
        <w:rPr>
          <w:lang w:val="en-US"/>
        </w:rPr>
        <w:t>however</w:t>
      </w:r>
      <w:r w:rsidR="00FF41C1">
        <w:rPr>
          <w:lang w:val="en-US"/>
        </w:rPr>
        <w:t>,</w:t>
      </w:r>
      <w:r w:rsidR="00EE3896">
        <w:rPr>
          <w:lang w:val="en-US"/>
        </w:rPr>
        <w:t xml:space="preserve"> </w:t>
      </w:r>
      <w:r w:rsidR="00B045D1">
        <w:rPr>
          <w:lang w:val="en-US"/>
        </w:rPr>
        <w:t>the</w:t>
      </w:r>
      <w:r w:rsidR="00EE3896">
        <w:rPr>
          <w:lang w:val="en-US"/>
        </w:rPr>
        <w:t>re was</w:t>
      </w:r>
      <w:r w:rsidR="00B045D1">
        <w:rPr>
          <w:lang w:val="en-US"/>
        </w:rPr>
        <w:t xml:space="preserve"> wide variation across ICS (range: 9</w:t>
      </w:r>
      <w:r w:rsidR="002C5509">
        <w:rPr>
          <w:lang w:val="en-US"/>
        </w:rPr>
        <w:t>–</w:t>
      </w:r>
      <w:r w:rsidR="00B045D1">
        <w:rPr>
          <w:lang w:val="en-US"/>
        </w:rPr>
        <w:t>56</w:t>
      </w:r>
      <w:r w:rsidR="001A2C73">
        <w:rPr>
          <w:lang w:val="en-US"/>
        </w:rPr>
        <w:t xml:space="preserve"> </w:t>
      </w:r>
      <w:r w:rsidR="00347DFE">
        <w:rPr>
          <w:lang w:val="en-US"/>
        </w:rPr>
        <w:t>per cent)</w:t>
      </w:r>
      <w:r w:rsidR="00EE3896">
        <w:rPr>
          <w:lang w:val="en-US"/>
        </w:rPr>
        <w:t>,</w:t>
      </w:r>
      <w:r w:rsidR="00347DFE">
        <w:rPr>
          <w:lang w:val="en-US"/>
        </w:rPr>
        <w:t xml:space="preserve"> </w:t>
      </w:r>
      <w:r w:rsidR="00B5336E">
        <w:rPr>
          <w:lang w:val="en-US"/>
        </w:rPr>
        <w:t>indicat</w:t>
      </w:r>
      <w:r w:rsidR="00EE3896">
        <w:rPr>
          <w:lang w:val="en-US"/>
        </w:rPr>
        <w:t>ing</w:t>
      </w:r>
      <w:r w:rsidR="00964F0A">
        <w:rPr>
          <w:lang w:val="en-US"/>
        </w:rPr>
        <w:t xml:space="preserve"> a clear </w:t>
      </w:r>
      <w:r w:rsidR="00B5336E">
        <w:rPr>
          <w:lang w:val="en-US"/>
        </w:rPr>
        <w:t xml:space="preserve">need for </w:t>
      </w:r>
      <w:r w:rsidR="00964F0A">
        <w:rPr>
          <w:lang w:val="en-US"/>
        </w:rPr>
        <w:t>further investigation of pathways to address delay</w:t>
      </w:r>
      <w:r w:rsidR="00B045D1">
        <w:rPr>
          <w:lang w:val="en-US"/>
        </w:rPr>
        <w:t>s</w:t>
      </w:r>
      <w:r w:rsidR="00964F0A">
        <w:rPr>
          <w:lang w:val="en-US"/>
        </w:rPr>
        <w:t>. One option may be to examine processes in hospital</w:t>
      </w:r>
      <w:r w:rsidR="00CB652B">
        <w:rPr>
          <w:lang w:val="en-US"/>
        </w:rPr>
        <w:t>s</w:t>
      </w:r>
      <w:r w:rsidR="00964F0A">
        <w:rPr>
          <w:lang w:val="en-US"/>
        </w:rPr>
        <w:t xml:space="preserve"> </w:t>
      </w:r>
      <w:r w:rsidR="00CB652B">
        <w:rPr>
          <w:lang w:val="en-US"/>
        </w:rPr>
        <w:t xml:space="preserve">that </w:t>
      </w:r>
      <w:r w:rsidR="005B5069">
        <w:rPr>
          <w:lang w:val="en-US"/>
        </w:rPr>
        <w:t>achieve</w:t>
      </w:r>
      <w:r w:rsidR="00CB652B">
        <w:rPr>
          <w:lang w:val="en-US"/>
        </w:rPr>
        <w:t xml:space="preserve"> </w:t>
      </w:r>
      <w:r w:rsidR="00B5336E">
        <w:rPr>
          <w:lang w:val="en-US"/>
        </w:rPr>
        <w:t>more</w:t>
      </w:r>
      <w:r w:rsidR="00964F0A">
        <w:rPr>
          <w:lang w:val="en-US"/>
        </w:rPr>
        <w:t xml:space="preserve"> timely care </w:t>
      </w:r>
      <w:r w:rsidR="00B5336E">
        <w:rPr>
          <w:lang w:val="en-US"/>
        </w:rPr>
        <w:t>to</w:t>
      </w:r>
      <w:r w:rsidR="00964F0A">
        <w:rPr>
          <w:lang w:val="en-US"/>
        </w:rPr>
        <w:t xml:space="preserve"> identify what they are doing well</w:t>
      </w:r>
      <w:r w:rsidR="00B5336E">
        <w:rPr>
          <w:lang w:val="en-US"/>
        </w:rPr>
        <w:t xml:space="preserve"> </w:t>
      </w:r>
      <w:r w:rsidR="00C468D3">
        <w:rPr>
          <w:lang w:val="en-US"/>
        </w:rPr>
        <w:t>and what</w:t>
      </w:r>
      <w:r w:rsidR="00B5336E">
        <w:rPr>
          <w:lang w:val="en-US"/>
        </w:rPr>
        <w:t xml:space="preserve"> could be translated to other settings</w:t>
      </w:r>
      <w:r>
        <w:rPr>
          <w:lang w:val="en-US"/>
        </w:rPr>
        <w:t>.</w:t>
      </w:r>
      <w:r w:rsidR="005F078F">
        <w:rPr>
          <w:lang w:val="en-US"/>
        </w:rPr>
        <w:br w:type="page"/>
      </w:r>
    </w:p>
    <w:p w14:paraId="4164510C" w14:textId="77777777" w:rsidR="00E2290D" w:rsidRDefault="00E2290D" w:rsidP="007970BD">
      <w:pPr>
        <w:pStyle w:val="Heading1"/>
      </w:pPr>
      <w:bookmarkStart w:id="68" w:name="_Toc22713859"/>
      <w:r>
        <w:t>Emergency admission following radiotherapy</w:t>
      </w:r>
      <w:r w:rsidR="004A05E6">
        <w:rPr>
          <w:rStyle w:val="FootnoteReference"/>
        </w:rPr>
        <w:footnoteReference w:id="7"/>
      </w:r>
      <w:bookmarkEnd w:id="68"/>
    </w:p>
    <w:p w14:paraId="4086063C" w14:textId="791D3F47" w:rsidR="0007107E" w:rsidRDefault="001671C1" w:rsidP="004531BC">
      <w:pPr>
        <w:pStyle w:val="DHHSbullet1"/>
      </w:pPr>
      <w:r>
        <w:t>Overall</w:t>
      </w:r>
      <w:r w:rsidR="00176EC7">
        <w:t xml:space="preserve"> </w:t>
      </w:r>
      <w:r w:rsidR="002B337C">
        <w:t>16</w:t>
      </w:r>
      <w:r w:rsidR="00707B07">
        <w:t xml:space="preserve"> per cent</w:t>
      </w:r>
      <w:r w:rsidR="002B337C">
        <w:t xml:space="preserve"> of </w:t>
      </w:r>
      <w:r w:rsidR="0059137B">
        <w:t>H&amp;N</w:t>
      </w:r>
      <w:r w:rsidR="00176EC7">
        <w:t xml:space="preserve"> cancer </w:t>
      </w:r>
      <w:r w:rsidR="002B337C">
        <w:t xml:space="preserve">patients </w:t>
      </w:r>
      <w:r w:rsidR="0059137B">
        <w:t>diagnosed between 2012</w:t>
      </w:r>
      <w:r w:rsidR="00B77808">
        <w:t xml:space="preserve"> and </w:t>
      </w:r>
      <w:r w:rsidR="0059137B">
        <w:t xml:space="preserve">2016 who </w:t>
      </w:r>
      <w:r w:rsidR="002B337C">
        <w:t>recei</w:t>
      </w:r>
      <w:r w:rsidR="0059137B">
        <w:t>ved</w:t>
      </w:r>
      <w:r w:rsidR="002B337C">
        <w:t xml:space="preserve"> radical RT </w:t>
      </w:r>
      <w:r w:rsidR="0007107E">
        <w:t>had an emergency admission to hospital within 12 weeks of starting their treatment</w:t>
      </w:r>
      <w:r w:rsidR="0088044C">
        <w:t xml:space="preserve"> </w:t>
      </w:r>
      <w:r w:rsidR="0007107E">
        <w:t>(</w:t>
      </w:r>
      <w:r w:rsidR="004531BC">
        <w:fldChar w:fldCharType="begin"/>
      </w:r>
      <w:r w:rsidR="004531BC">
        <w:instrText xml:space="preserve"> REF _Ref5179922 \h </w:instrText>
      </w:r>
      <w:r w:rsidR="004531BC">
        <w:fldChar w:fldCharType="separate"/>
      </w:r>
      <w:r w:rsidR="00084E54">
        <w:t xml:space="preserve">Figure </w:t>
      </w:r>
      <w:r w:rsidR="00084E54">
        <w:rPr>
          <w:noProof/>
        </w:rPr>
        <w:t>15</w:t>
      </w:r>
      <w:r w:rsidR="004531BC">
        <w:fldChar w:fldCharType="end"/>
      </w:r>
      <w:r w:rsidR="004531BC">
        <w:t>).</w:t>
      </w:r>
    </w:p>
    <w:p w14:paraId="70AA1392" w14:textId="77777777" w:rsidR="00573D3D" w:rsidRDefault="0088044C" w:rsidP="00B52E1C">
      <w:pPr>
        <w:pStyle w:val="DHHSbullet1"/>
      </w:pPr>
      <w:r>
        <w:t>An RT centre in GICS had a significantly higher proportion of patients with an emergency admission following RT compared with the state average.</w:t>
      </w:r>
    </w:p>
    <w:p w14:paraId="47BDB7D5" w14:textId="1493FBD0" w:rsidR="002B337C" w:rsidRDefault="0007107E" w:rsidP="002B337C">
      <w:pPr>
        <w:pStyle w:val="DHHSbullet1"/>
      </w:pPr>
      <w:r>
        <w:t>Overall</w:t>
      </w:r>
      <w:r w:rsidR="00725738">
        <w:t xml:space="preserve"> 44 per cent </w:t>
      </w:r>
      <w:r w:rsidR="0059137B">
        <w:t xml:space="preserve">of </w:t>
      </w:r>
      <w:r w:rsidR="00725738">
        <w:t xml:space="preserve">patients receiving </w:t>
      </w:r>
      <w:r w:rsidR="00953204">
        <w:t xml:space="preserve">radical </w:t>
      </w:r>
      <w:r w:rsidR="00725738">
        <w:t xml:space="preserve">CRT </w:t>
      </w:r>
      <w:r w:rsidR="002B337C">
        <w:t>had an emergency admission to hospital within 12 weeks of starting their treatment</w:t>
      </w:r>
      <w:r w:rsidR="0088044C">
        <w:t xml:space="preserve"> (</w:t>
      </w:r>
      <w:r w:rsidR="00954022">
        <w:fldChar w:fldCharType="begin"/>
      </w:r>
      <w:r w:rsidR="0088044C">
        <w:instrText xml:space="preserve"> REF _Ref5010472 \h </w:instrText>
      </w:r>
      <w:r w:rsidR="00954022">
        <w:fldChar w:fldCharType="separate"/>
      </w:r>
      <w:r w:rsidR="00084E54">
        <w:t xml:space="preserve">Figure </w:t>
      </w:r>
      <w:r w:rsidR="00084E54">
        <w:rPr>
          <w:noProof/>
        </w:rPr>
        <w:t>16</w:t>
      </w:r>
      <w:r w:rsidR="00954022">
        <w:fldChar w:fldCharType="end"/>
      </w:r>
      <w:r w:rsidR="0088044C">
        <w:t>)</w:t>
      </w:r>
      <w:r>
        <w:t>.</w:t>
      </w:r>
    </w:p>
    <w:p w14:paraId="54424084" w14:textId="77777777" w:rsidR="0088044C" w:rsidRDefault="00B52E1C" w:rsidP="008C6344">
      <w:pPr>
        <w:pStyle w:val="DHHSbullet1"/>
      </w:pPr>
      <w:r>
        <w:t>An RT centre in GICS had a significantly higher proportion and an RT centre in BSWRICS had a significantly lower proportion of patients with an emergency admission following CRT compared with the state average.</w:t>
      </w:r>
      <w:bookmarkStart w:id="69" w:name="_Ref3990801"/>
    </w:p>
    <w:p w14:paraId="18D2D916" w14:textId="4D75CC57" w:rsidR="00EB230C" w:rsidRDefault="0088044C" w:rsidP="0085249A">
      <w:pPr>
        <w:pStyle w:val="DHHSfigurecaption"/>
      </w:pPr>
      <w:bookmarkStart w:id="70" w:name="_Ref5179922"/>
      <w:bookmarkStart w:id="71" w:name="_Toc22722827"/>
      <w:r>
        <w:t xml:space="preserve">Figure </w:t>
      </w:r>
      <w:r w:rsidR="00954022">
        <w:rPr>
          <w:noProof/>
        </w:rPr>
        <w:fldChar w:fldCharType="begin"/>
      </w:r>
      <w:r w:rsidR="003E2271">
        <w:rPr>
          <w:noProof/>
        </w:rPr>
        <w:instrText xml:space="preserve"> SEQ Figure \* ARABIC </w:instrText>
      </w:r>
      <w:r w:rsidR="00954022">
        <w:rPr>
          <w:noProof/>
        </w:rPr>
        <w:fldChar w:fldCharType="separate"/>
      </w:r>
      <w:r w:rsidR="00084E54">
        <w:rPr>
          <w:noProof/>
        </w:rPr>
        <w:t>15</w:t>
      </w:r>
      <w:r w:rsidR="00954022">
        <w:rPr>
          <w:noProof/>
        </w:rPr>
        <w:fldChar w:fldCharType="end"/>
      </w:r>
      <w:bookmarkEnd w:id="70"/>
      <w:r>
        <w:t>: Funnel plot of emergency admissions to hospital in the 12 weeks following radical RT for head and neck cancer patients (diagnosed 2012–2016)</w:t>
      </w:r>
      <w:bookmarkEnd w:id="71"/>
    </w:p>
    <w:p w14:paraId="26E4C09E" w14:textId="175F1850" w:rsidR="00AF7E55" w:rsidRPr="00EB230C" w:rsidRDefault="00AF7E55" w:rsidP="005F29A0">
      <w:pPr>
        <w:pStyle w:val="DHHSbody"/>
        <w:jc w:val="center"/>
      </w:pPr>
      <w:r>
        <w:rPr>
          <w:noProof/>
        </w:rPr>
        <w:drawing>
          <wp:inline distT="0" distB="0" distL="0" distR="0" wp14:anchorId="09E9FD77" wp14:editId="5F314916">
            <wp:extent cx="4953000" cy="4838700"/>
            <wp:effectExtent l="0" t="0" r="0" b="0"/>
            <wp:docPr id="21" name="Picture 21" descr="Funnel plot of emergency admissions to hospital in the 12 weeks following radical RT for head and neck cancer patients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8">
                      <a:extLst>
                        <a:ext uri="{28A0092B-C50C-407E-A947-70E740481C1C}">
                          <a14:useLocalDpi xmlns:a14="http://schemas.microsoft.com/office/drawing/2010/main" val="0"/>
                        </a:ext>
                      </a:extLst>
                    </a:blip>
                    <a:srcRect t="5926" r="11414"/>
                    <a:stretch/>
                  </pic:blipFill>
                  <pic:spPr bwMode="auto">
                    <a:xfrm>
                      <a:off x="0" y="0"/>
                      <a:ext cx="4953000" cy="4838700"/>
                    </a:xfrm>
                    <a:prstGeom prst="rect">
                      <a:avLst/>
                    </a:prstGeom>
                    <a:noFill/>
                    <a:ln>
                      <a:noFill/>
                    </a:ln>
                    <a:extLst>
                      <a:ext uri="{53640926-AAD7-44D8-BBD7-CCE9431645EC}">
                        <a14:shadowObscured xmlns:a14="http://schemas.microsoft.com/office/drawing/2010/main"/>
                      </a:ext>
                    </a:extLst>
                  </pic:spPr>
                </pic:pic>
              </a:graphicData>
            </a:graphic>
          </wp:inline>
        </w:drawing>
      </w:r>
    </w:p>
    <w:p w14:paraId="58FD7D81" w14:textId="1E954342" w:rsidR="00C26B7A" w:rsidRPr="000C6025" w:rsidRDefault="007D2D14" w:rsidP="000C5AF2">
      <w:pPr>
        <w:pStyle w:val="DHHStablefigurenote"/>
      </w:pPr>
      <w:r>
        <w:t xml:space="preserve">Note </w:t>
      </w:r>
      <w:r w:rsidR="00B3087A" w:rsidRPr="000C6025">
        <w:t>HRICS</w:t>
      </w:r>
      <w:r w:rsidR="00C26B7A" w:rsidRPr="000C6025">
        <w:t xml:space="preserve"> data limitation</w:t>
      </w:r>
      <w:r>
        <w:t>.</w:t>
      </w:r>
    </w:p>
    <w:p w14:paraId="06DF49CD" w14:textId="4F1BC1F1" w:rsidR="005E14EF" w:rsidRDefault="0088044C" w:rsidP="0085249A">
      <w:pPr>
        <w:pStyle w:val="DHHSfigurecaption"/>
      </w:pPr>
      <w:bookmarkStart w:id="72" w:name="_Ref5010472"/>
      <w:bookmarkStart w:id="73" w:name="_Toc22722828"/>
      <w:r>
        <w:t xml:space="preserve">Figure </w:t>
      </w:r>
      <w:r w:rsidR="00954022">
        <w:rPr>
          <w:noProof/>
        </w:rPr>
        <w:fldChar w:fldCharType="begin"/>
      </w:r>
      <w:r w:rsidR="003E2271">
        <w:rPr>
          <w:noProof/>
        </w:rPr>
        <w:instrText xml:space="preserve"> SEQ Figure \* ARABIC </w:instrText>
      </w:r>
      <w:r w:rsidR="00954022">
        <w:rPr>
          <w:noProof/>
        </w:rPr>
        <w:fldChar w:fldCharType="separate"/>
      </w:r>
      <w:r w:rsidR="00084E54">
        <w:rPr>
          <w:noProof/>
        </w:rPr>
        <w:t>16</w:t>
      </w:r>
      <w:r w:rsidR="00954022">
        <w:rPr>
          <w:noProof/>
        </w:rPr>
        <w:fldChar w:fldCharType="end"/>
      </w:r>
      <w:bookmarkEnd w:id="72"/>
      <w:r>
        <w:t>: Funnel plot of emergency admissions to hospital in the 12 weeks following radical CRT for head and neck cancer patients (diagnosed 2012–2016)</w:t>
      </w:r>
      <w:bookmarkEnd w:id="73"/>
    </w:p>
    <w:p w14:paraId="47ACB175" w14:textId="1F650976" w:rsidR="0085249A" w:rsidRPr="005E14EF" w:rsidRDefault="0085249A" w:rsidP="00B6299B">
      <w:pPr>
        <w:pStyle w:val="DHHSbody"/>
        <w:jc w:val="center"/>
      </w:pPr>
      <w:r>
        <w:rPr>
          <w:noProof/>
        </w:rPr>
        <w:drawing>
          <wp:inline distT="0" distB="0" distL="0" distR="0" wp14:anchorId="0228BEA6" wp14:editId="6D4EF5FB">
            <wp:extent cx="4729585" cy="4629150"/>
            <wp:effectExtent l="0" t="0" r="0" b="0"/>
            <wp:docPr id="22" name="Picture 22" descr="Funnel plot of emergency admissions to hospital in the 12 weeks following radical CRT for head and neck cancer patients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9">
                      <a:extLst>
                        <a:ext uri="{28A0092B-C50C-407E-A947-70E740481C1C}">
                          <a14:useLocalDpi xmlns:a14="http://schemas.microsoft.com/office/drawing/2010/main" val="0"/>
                        </a:ext>
                      </a:extLst>
                    </a:blip>
                    <a:srcRect t="6111" r="11754"/>
                    <a:stretch/>
                  </pic:blipFill>
                  <pic:spPr bwMode="auto">
                    <a:xfrm>
                      <a:off x="0" y="0"/>
                      <a:ext cx="4733769" cy="4633245"/>
                    </a:xfrm>
                    <a:prstGeom prst="rect">
                      <a:avLst/>
                    </a:prstGeom>
                    <a:noFill/>
                    <a:ln>
                      <a:noFill/>
                    </a:ln>
                    <a:extLst>
                      <a:ext uri="{53640926-AAD7-44D8-BBD7-CCE9431645EC}">
                        <a14:shadowObscured xmlns:a14="http://schemas.microsoft.com/office/drawing/2010/main"/>
                      </a:ext>
                    </a:extLst>
                  </pic:spPr>
                </pic:pic>
              </a:graphicData>
            </a:graphic>
          </wp:inline>
        </w:drawing>
      </w:r>
    </w:p>
    <w:bookmarkEnd w:id="69"/>
    <w:p w14:paraId="23E3CE56" w14:textId="530C4AD8" w:rsidR="00C26B7A" w:rsidRPr="000C6025" w:rsidRDefault="007D2D14" w:rsidP="000C5AF2">
      <w:pPr>
        <w:pStyle w:val="DHHStablefigurenote"/>
      </w:pPr>
      <w:r>
        <w:t xml:space="preserve">Note </w:t>
      </w:r>
      <w:r w:rsidR="00B3087A" w:rsidRPr="000C6025">
        <w:t>HRICS</w:t>
      </w:r>
      <w:r w:rsidR="00C26B7A" w:rsidRPr="000C6025">
        <w:t xml:space="preserve"> data limitation</w:t>
      </w:r>
      <w:r>
        <w:t>.</w:t>
      </w:r>
    </w:p>
    <w:p w14:paraId="756F6DB0" w14:textId="488C57C9" w:rsidR="0007283E" w:rsidRDefault="0007283E" w:rsidP="0007283E">
      <w:pPr>
        <w:pStyle w:val="Heading3"/>
      </w:pPr>
      <w:r>
        <w:t>Clinical commentary</w:t>
      </w:r>
    </w:p>
    <w:p w14:paraId="125FF721" w14:textId="44CE0F20" w:rsidR="005F078F" w:rsidRDefault="0007283E" w:rsidP="005F078F">
      <w:pPr>
        <w:pStyle w:val="DHHSbody"/>
        <w:rPr>
          <w:lang w:val="en-US"/>
        </w:rPr>
      </w:pPr>
      <w:r>
        <w:rPr>
          <w:lang w:val="en-US"/>
        </w:rPr>
        <w:t xml:space="preserve">A greater proportion of emergency admissions may indicate suboptimal </w:t>
      </w:r>
      <w:r w:rsidR="00AB09A4">
        <w:rPr>
          <w:lang w:val="en-US"/>
        </w:rPr>
        <w:t xml:space="preserve">patient discharge procedures, lack of local services or </w:t>
      </w:r>
      <w:r w:rsidR="000E3E28">
        <w:rPr>
          <w:lang w:val="en-US"/>
        </w:rPr>
        <w:t xml:space="preserve">case-mix differences by hospital. Hospitals with higher rates should interrogate local data to determine reasons for these </w:t>
      </w:r>
      <w:r w:rsidR="005170CD">
        <w:rPr>
          <w:lang w:val="en-US"/>
        </w:rPr>
        <w:t>emergency admissions</w:t>
      </w:r>
      <w:r w:rsidR="000E3E28">
        <w:rPr>
          <w:lang w:val="en-US"/>
        </w:rPr>
        <w:t xml:space="preserve"> and identify strategies to reduce</w:t>
      </w:r>
      <w:r w:rsidR="005170CD">
        <w:rPr>
          <w:lang w:val="en-US"/>
        </w:rPr>
        <w:t xml:space="preserve"> such admissions if applicable</w:t>
      </w:r>
      <w:r w:rsidR="000E3E28">
        <w:rPr>
          <w:lang w:val="en-US"/>
        </w:rPr>
        <w:t>.</w:t>
      </w:r>
      <w:r w:rsidR="005F078F">
        <w:rPr>
          <w:lang w:val="en-US"/>
        </w:rPr>
        <w:br w:type="page"/>
      </w:r>
    </w:p>
    <w:p w14:paraId="14D50DB4" w14:textId="77777777" w:rsidR="00E2290D" w:rsidRDefault="00E2290D" w:rsidP="007970BD">
      <w:pPr>
        <w:pStyle w:val="Heading1"/>
      </w:pPr>
      <w:bookmarkStart w:id="74" w:name="_Toc22713860"/>
      <w:r>
        <w:t>Malnutrition</w:t>
      </w:r>
      <w:bookmarkEnd w:id="74"/>
    </w:p>
    <w:p w14:paraId="36E87156" w14:textId="4F22D306" w:rsidR="003567A7" w:rsidRDefault="00C872D5" w:rsidP="00C3548E">
      <w:pPr>
        <w:pStyle w:val="DHHSbody"/>
      </w:pPr>
      <w:r>
        <w:t>Previous studies have shown that</w:t>
      </w:r>
      <w:r w:rsidR="00143F77">
        <w:t xml:space="preserve"> malnutrition is under</w:t>
      </w:r>
      <w:r w:rsidR="00A61EAC">
        <w:t>-</w:t>
      </w:r>
      <w:r w:rsidR="00143F77">
        <w:t>reported for</w:t>
      </w:r>
      <w:r>
        <w:t xml:space="preserve"> </w:t>
      </w:r>
      <w:r w:rsidR="00176EC7">
        <w:t>cancer patient</w:t>
      </w:r>
      <w:r w:rsidR="00143F77">
        <w:t>s</w:t>
      </w:r>
      <w:r w:rsidR="00176EC7">
        <w:t xml:space="preserve"> </w:t>
      </w:r>
      <w:r>
        <w:t>in the VAED</w:t>
      </w:r>
      <w:r w:rsidR="00C406C7">
        <w:t>.</w:t>
      </w:r>
      <w:r w:rsidR="0088044C">
        <w:rPr>
          <w:rStyle w:val="FootnoteReference"/>
        </w:rPr>
        <w:footnoteReference w:id="8"/>
      </w:r>
      <w:r>
        <w:t xml:space="preserve"> Therefore, for this analysis, data from the</w:t>
      </w:r>
      <w:r w:rsidR="0088044C">
        <w:t xml:space="preserve"> </w:t>
      </w:r>
      <w:r w:rsidR="00B67EC3">
        <w:t xml:space="preserve">Cancer Malnutrition Point Prevalence Study </w:t>
      </w:r>
      <w:r>
        <w:t>2016</w:t>
      </w:r>
      <w:r w:rsidR="00683C74">
        <w:rPr>
          <w:rStyle w:val="FootnoteReference"/>
        </w:rPr>
        <w:footnoteReference w:id="9"/>
      </w:r>
      <w:r>
        <w:t xml:space="preserve"> was used. This study assessed malnutrition rates and rates of dietetics care in a </w:t>
      </w:r>
      <w:r w:rsidR="00683C74">
        <w:t>sample of</w:t>
      </w:r>
      <w:r>
        <w:t xml:space="preserve"> cancer patients</w:t>
      </w:r>
      <w:r w:rsidR="005F6703">
        <w:t xml:space="preserve">, including 109 H&amp;N cancer </w:t>
      </w:r>
      <w:r w:rsidR="00301D81">
        <w:t>patients</w:t>
      </w:r>
      <w:r w:rsidR="005F6703">
        <w:t>,</w:t>
      </w:r>
      <w:r>
        <w:t xml:space="preserve"> treated in </w:t>
      </w:r>
      <w:r w:rsidR="00301D81">
        <w:t xml:space="preserve">Victorian </w:t>
      </w:r>
      <w:r>
        <w:t>public hospitals.</w:t>
      </w:r>
    </w:p>
    <w:p w14:paraId="0E50BF98" w14:textId="0A889D28" w:rsidR="005F5564" w:rsidRDefault="00A61EAC" w:rsidP="005F5564">
      <w:pPr>
        <w:pStyle w:val="DHHSbullet1"/>
      </w:pPr>
      <w:r>
        <w:t>Thirty-one</w:t>
      </w:r>
      <w:r w:rsidR="005E3F0A">
        <w:t xml:space="preserve"> per cent</w:t>
      </w:r>
      <w:r w:rsidR="00C872D5">
        <w:t xml:space="preserve"> of H&amp;N cancer patients </w:t>
      </w:r>
      <w:r w:rsidR="005F5564">
        <w:t>were malnourished</w:t>
      </w:r>
      <w:r w:rsidR="005E3F0A">
        <w:t>;</w:t>
      </w:r>
      <w:r>
        <w:t xml:space="preserve"> this was</w:t>
      </w:r>
      <w:r w:rsidR="005E3F0A" w:rsidRPr="005E3F0A">
        <w:t xml:space="preserve"> </w:t>
      </w:r>
      <w:r w:rsidR="005E3F0A">
        <w:t>higher</w:t>
      </w:r>
      <w:r w:rsidR="005E3F0A" w:rsidRPr="005E3F0A">
        <w:t xml:space="preserve"> </w:t>
      </w:r>
      <w:r w:rsidR="005E3F0A">
        <w:t>than the statewide average of 23</w:t>
      </w:r>
      <w:r w:rsidR="000C6025">
        <w:t xml:space="preserve"> per cent</w:t>
      </w:r>
      <w:r w:rsidR="005E3F0A">
        <w:t xml:space="preserve"> for all cancers</w:t>
      </w:r>
      <w:r w:rsidR="00A75595">
        <w:t>.</w:t>
      </w:r>
    </w:p>
    <w:p w14:paraId="4AD2EB68" w14:textId="4571C6B5" w:rsidR="005F5564" w:rsidRDefault="005F5564" w:rsidP="005F5564">
      <w:pPr>
        <w:pStyle w:val="DHHSbullet1"/>
      </w:pPr>
      <w:r>
        <w:t>Prevalence of malnutrition was similar in metropolitan and regional ICS</w:t>
      </w:r>
      <w:r w:rsidR="00D56B30">
        <w:t xml:space="preserve"> (</w:t>
      </w:r>
      <w:r w:rsidR="00D56B30">
        <w:fldChar w:fldCharType="begin"/>
      </w:r>
      <w:r w:rsidR="00D56B30">
        <w:instrText xml:space="preserve"> REF _Ref4057130 \h </w:instrText>
      </w:r>
      <w:r w:rsidR="00D56B30">
        <w:fldChar w:fldCharType="separate"/>
      </w:r>
      <w:r w:rsidR="00084E54">
        <w:t xml:space="preserve">Figure </w:t>
      </w:r>
      <w:r w:rsidR="00084E54">
        <w:rPr>
          <w:noProof/>
        </w:rPr>
        <w:t>17</w:t>
      </w:r>
      <w:r w:rsidR="00D56B30">
        <w:fldChar w:fldCharType="end"/>
      </w:r>
      <w:r w:rsidR="00D56B30">
        <w:t>)</w:t>
      </w:r>
      <w:r w:rsidR="00A75595">
        <w:t>.</w:t>
      </w:r>
    </w:p>
    <w:p w14:paraId="189DCFAC" w14:textId="21FCBF52" w:rsidR="005F5564" w:rsidRDefault="00A75595" w:rsidP="00A87651">
      <w:pPr>
        <w:pStyle w:val="DHHSbullet1"/>
      </w:pPr>
      <w:r>
        <w:t>Seventy-nine</w:t>
      </w:r>
      <w:r w:rsidR="005E3F0A">
        <w:t xml:space="preserve"> per cent</w:t>
      </w:r>
      <w:r w:rsidR="005F5564">
        <w:t xml:space="preserve"> of H&amp;N cancer patients were receiving dietetics care at the time of the </w:t>
      </w:r>
      <w:r w:rsidR="00EC47DB">
        <w:t>study</w:t>
      </w:r>
      <w:r w:rsidR="005F5564">
        <w:t xml:space="preserve">, </w:t>
      </w:r>
      <w:r w:rsidR="005E3F0A">
        <w:t>ranging from 58</w:t>
      </w:r>
      <w:r w:rsidR="000C6025">
        <w:t xml:space="preserve"> per cent</w:t>
      </w:r>
      <w:r w:rsidR="005E3F0A">
        <w:t xml:space="preserve"> to 87</w:t>
      </w:r>
      <w:r w:rsidR="000C6025">
        <w:t xml:space="preserve"> per cent</w:t>
      </w:r>
      <w:r w:rsidR="005E3F0A">
        <w:t xml:space="preserve"> between ICS</w:t>
      </w:r>
      <w:r w:rsidR="00037C82">
        <w:t xml:space="preserve"> </w:t>
      </w:r>
      <w:r w:rsidR="006D5E00">
        <w:t>(</w:t>
      </w:r>
      <w:r w:rsidR="00954022">
        <w:fldChar w:fldCharType="begin"/>
      </w:r>
      <w:r>
        <w:instrText xml:space="preserve"> REF _Ref4746904 \h </w:instrText>
      </w:r>
      <w:r w:rsidR="00954022">
        <w:fldChar w:fldCharType="separate"/>
      </w:r>
      <w:r w:rsidR="00084E54">
        <w:t xml:space="preserve">Figure </w:t>
      </w:r>
      <w:r w:rsidR="00084E54">
        <w:rPr>
          <w:noProof/>
        </w:rPr>
        <w:t>18</w:t>
      </w:r>
      <w:r w:rsidR="00954022">
        <w:fldChar w:fldCharType="end"/>
      </w:r>
      <w:r w:rsidR="006D5E00">
        <w:t>).</w:t>
      </w:r>
    </w:p>
    <w:p w14:paraId="7934B99F" w14:textId="26E7A951" w:rsidR="00AE0249" w:rsidRDefault="00037C82" w:rsidP="00A75595">
      <w:pPr>
        <w:pStyle w:val="DHHSfigurecaption"/>
      </w:pPr>
      <w:bookmarkStart w:id="75" w:name="_Ref4057130"/>
      <w:bookmarkStart w:id="76" w:name="_Toc22722829"/>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17</w:t>
      </w:r>
      <w:r w:rsidR="00954022">
        <w:rPr>
          <w:noProof/>
        </w:rPr>
        <w:fldChar w:fldCharType="end"/>
      </w:r>
      <w:bookmarkEnd w:id="75"/>
      <w:r>
        <w:t xml:space="preserve">: Prevalence of malnutrition </w:t>
      </w:r>
      <w:r w:rsidR="005E3F0A">
        <w:t>for head and neck cancer patients</w:t>
      </w:r>
      <w:r w:rsidR="00A61EAC">
        <w:t>,</w:t>
      </w:r>
      <w:r w:rsidR="005E3F0A">
        <w:t xml:space="preserve"> by ICS of treatment </w:t>
      </w:r>
      <w:r w:rsidR="00A75595">
        <w:t>(</w:t>
      </w:r>
      <w:r w:rsidR="005E3F0A">
        <w:t>2016</w:t>
      </w:r>
      <w:r w:rsidR="00A75595">
        <w:t>)</w:t>
      </w:r>
      <w:bookmarkEnd w:id="76"/>
    </w:p>
    <w:p w14:paraId="76EA7CFF" w14:textId="5876231A" w:rsidR="0085249A" w:rsidRDefault="0085249A" w:rsidP="0085249A">
      <w:pPr>
        <w:pStyle w:val="DHHSbody"/>
        <w:jc w:val="center"/>
      </w:pPr>
      <w:r>
        <w:rPr>
          <w:noProof/>
        </w:rPr>
        <w:drawing>
          <wp:inline distT="0" distB="0" distL="0" distR="0" wp14:anchorId="014EA158" wp14:editId="6F50F52C">
            <wp:extent cx="4286250" cy="2132739"/>
            <wp:effectExtent l="0" t="0" r="0" b="1270"/>
            <wp:docPr id="23" name="Picture 23" descr="Prevalence of malnutrition for head and neck cancer patients, by ICS of treatmen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50">
                      <a:extLst>
                        <a:ext uri="{28A0092B-C50C-407E-A947-70E740481C1C}">
                          <a14:useLocalDpi xmlns:a14="http://schemas.microsoft.com/office/drawing/2010/main" val="0"/>
                        </a:ext>
                      </a:extLst>
                    </a:blip>
                    <a:srcRect t="5521"/>
                    <a:stretch/>
                  </pic:blipFill>
                  <pic:spPr bwMode="auto">
                    <a:xfrm>
                      <a:off x="0" y="0"/>
                      <a:ext cx="4324205" cy="2151625"/>
                    </a:xfrm>
                    <a:prstGeom prst="rect">
                      <a:avLst/>
                    </a:prstGeom>
                    <a:noFill/>
                    <a:ln>
                      <a:noFill/>
                    </a:ln>
                    <a:extLst>
                      <a:ext uri="{53640926-AAD7-44D8-BBD7-CCE9431645EC}">
                        <a14:shadowObscured xmlns:a14="http://schemas.microsoft.com/office/drawing/2010/main"/>
                      </a:ext>
                    </a:extLst>
                  </pic:spPr>
                </pic:pic>
              </a:graphicData>
            </a:graphic>
          </wp:inline>
        </w:drawing>
      </w:r>
    </w:p>
    <w:p w14:paraId="09E7DF9F" w14:textId="65FD8441" w:rsidR="00037C82" w:rsidRPr="00037C82" w:rsidRDefault="00037C82" w:rsidP="00037C82">
      <w:pPr>
        <w:pStyle w:val="DHHStablefigurenote"/>
        <w:rPr>
          <w:rFonts w:eastAsia="Times"/>
        </w:rPr>
      </w:pPr>
      <w:r w:rsidRPr="00037C82">
        <w:rPr>
          <w:rFonts w:eastAsia="Times"/>
          <w:lang w:val="en-US"/>
        </w:rPr>
        <w:t>Bars</w:t>
      </w:r>
      <w:r w:rsidR="00B3087A">
        <w:rPr>
          <w:rFonts w:eastAsia="Times"/>
          <w:lang w:val="en-US"/>
        </w:rPr>
        <w:t xml:space="preserve"> represent</w:t>
      </w:r>
      <w:r w:rsidRPr="00037C82">
        <w:rPr>
          <w:rFonts w:eastAsia="Times"/>
          <w:lang w:val="en-US"/>
        </w:rPr>
        <w:t xml:space="preserve"> 95</w:t>
      </w:r>
      <w:r w:rsidR="000C6025">
        <w:rPr>
          <w:rFonts w:eastAsia="Times"/>
          <w:lang w:val="en-US"/>
        </w:rPr>
        <w:t xml:space="preserve"> per cent</w:t>
      </w:r>
      <w:r w:rsidRPr="00037C82">
        <w:rPr>
          <w:rFonts w:eastAsia="Times"/>
          <w:lang w:val="en-US"/>
        </w:rPr>
        <w:t xml:space="preserve"> CI. </w:t>
      </w:r>
    </w:p>
    <w:p w14:paraId="3E23F4A8" w14:textId="4B022158" w:rsidR="00301D81" w:rsidRDefault="00A75595" w:rsidP="0085249A">
      <w:pPr>
        <w:pStyle w:val="DHHSfigurecaption"/>
      </w:pPr>
      <w:bookmarkStart w:id="77" w:name="_Ref4746904"/>
      <w:bookmarkStart w:id="78" w:name="_Toc22722830"/>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18</w:t>
      </w:r>
      <w:r w:rsidR="00954022">
        <w:rPr>
          <w:noProof/>
        </w:rPr>
        <w:fldChar w:fldCharType="end"/>
      </w:r>
      <w:bookmarkEnd w:id="77"/>
      <w:r>
        <w:t xml:space="preserve">: Proportion of head and neck cancer patients </w:t>
      </w:r>
      <w:r w:rsidR="00301D81">
        <w:t>receiving</w:t>
      </w:r>
      <w:r>
        <w:t xml:space="preserve"> dietetics care</w:t>
      </w:r>
      <w:r w:rsidR="00A61EAC">
        <w:t>,</w:t>
      </w:r>
      <w:r>
        <w:t xml:space="preserve"> by ICS of treatment (2016)</w:t>
      </w:r>
      <w:bookmarkEnd w:id="78"/>
    </w:p>
    <w:p w14:paraId="1B2ADB76" w14:textId="249291EC" w:rsidR="0085249A" w:rsidRPr="00A75595" w:rsidRDefault="0085249A" w:rsidP="00EC47DB">
      <w:pPr>
        <w:pStyle w:val="DHHSbody"/>
        <w:jc w:val="center"/>
      </w:pPr>
      <w:r>
        <w:rPr>
          <w:noProof/>
        </w:rPr>
        <w:drawing>
          <wp:inline distT="0" distB="0" distL="0" distR="0" wp14:anchorId="09EB193C" wp14:editId="0C495437">
            <wp:extent cx="4275056" cy="2147888"/>
            <wp:effectExtent l="0" t="0" r="0" b="5080"/>
            <wp:docPr id="24" name="Picture 24" descr="Proportion of head and neck cancer patients receiving dietetics care, by ICS of treatmen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51">
                      <a:extLst>
                        <a:ext uri="{28A0092B-C50C-407E-A947-70E740481C1C}">
                          <a14:useLocalDpi xmlns:a14="http://schemas.microsoft.com/office/drawing/2010/main" val="0"/>
                        </a:ext>
                      </a:extLst>
                    </a:blip>
                    <a:srcRect t="4602"/>
                    <a:stretch/>
                  </pic:blipFill>
                  <pic:spPr bwMode="auto">
                    <a:xfrm>
                      <a:off x="0" y="0"/>
                      <a:ext cx="4300883" cy="2160864"/>
                    </a:xfrm>
                    <a:prstGeom prst="rect">
                      <a:avLst/>
                    </a:prstGeom>
                    <a:noFill/>
                    <a:ln>
                      <a:noFill/>
                    </a:ln>
                    <a:extLst>
                      <a:ext uri="{53640926-AAD7-44D8-BBD7-CCE9431645EC}">
                        <a14:shadowObscured xmlns:a14="http://schemas.microsoft.com/office/drawing/2010/main"/>
                      </a:ext>
                    </a:extLst>
                  </pic:spPr>
                </pic:pic>
              </a:graphicData>
            </a:graphic>
          </wp:inline>
        </w:drawing>
      </w:r>
    </w:p>
    <w:p w14:paraId="046DA208" w14:textId="572041C2" w:rsidR="00A75595" w:rsidRPr="00A75595" w:rsidRDefault="00A75595" w:rsidP="00A87651">
      <w:pPr>
        <w:pStyle w:val="DHHStablefigurenote"/>
        <w:rPr>
          <w:rFonts w:eastAsia="Times"/>
        </w:rPr>
      </w:pPr>
      <w:r w:rsidRPr="00037C82">
        <w:rPr>
          <w:rFonts w:eastAsia="Times"/>
          <w:lang w:val="en-US"/>
        </w:rPr>
        <w:t xml:space="preserve">Bars </w:t>
      </w:r>
      <w:r w:rsidR="00B3087A">
        <w:rPr>
          <w:rFonts w:eastAsia="Times"/>
          <w:lang w:val="en-US"/>
        </w:rPr>
        <w:t>represent</w:t>
      </w:r>
      <w:r w:rsidRPr="00037C82">
        <w:rPr>
          <w:rFonts w:eastAsia="Times"/>
          <w:lang w:val="en-US"/>
        </w:rPr>
        <w:t xml:space="preserve"> 95</w:t>
      </w:r>
      <w:r w:rsidR="000C6025">
        <w:rPr>
          <w:rFonts w:eastAsia="Times"/>
          <w:lang w:val="en-US"/>
        </w:rPr>
        <w:t xml:space="preserve"> per cent</w:t>
      </w:r>
      <w:r w:rsidRPr="00037C82">
        <w:rPr>
          <w:rFonts w:eastAsia="Times"/>
          <w:lang w:val="en-US"/>
        </w:rPr>
        <w:t xml:space="preserve"> CI. </w:t>
      </w:r>
    </w:p>
    <w:p w14:paraId="7CEDCDF1" w14:textId="77777777" w:rsidR="005F5564" w:rsidRDefault="005F5564" w:rsidP="005F5564">
      <w:pPr>
        <w:pStyle w:val="Heading3"/>
      </w:pPr>
      <w:r>
        <w:t>Clinical commentary</w:t>
      </w:r>
    </w:p>
    <w:p w14:paraId="0D87D758" w14:textId="6CFAAC40" w:rsidR="005F078F" w:rsidRDefault="005F5564" w:rsidP="00A87651">
      <w:pPr>
        <w:pStyle w:val="DHHSbody"/>
        <w:rPr>
          <w:lang w:val="en-US"/>
        </w:rPr>
      </w:pPr>
      <w:r>
        <w:rPr>
          <w:lang w:val="en-US"/>
        </w:rPr>
        <w:t xml:space="preserve">It is well known among clinicians that malnutrition in H&amp;N cancer patients can have a significant adverse impact on outcomes such as infections, treatment response and treatment interruptions, unplanned admissions, length of stay and quality of life. </w:t>
      </w:r>
      <w:r w:rsidR="009041A2">
        <w:rPr>
          <w:lang w:val="en-US"/>
        </w:rPr>
        <w:t>With almost a third of H&amp;N</w:t>
      </w:r>
      <w:r w:rsidR="00A21BF3">
        <w:rPr>
          <w:lang w:val="en-US"/>
        </w:rPr>
        <w:t xml:space="preserve"> cancer</w:t>
      </w:r>
      <w:r w:rsidR="009041A2">
        <w:rPr>
          <w:lang w:val="en-US"/>
        </w:rPr>
        <w:t xml:space="preserve"> patients experiencing malnourishment, dietetics care is crucial to prevent and address negative impacts. </w:t>
      </w:r>
      <w:r w:rsidR="005E3F0A">
        <w:rPr>
          <w:lang w:val="en-US"/>
        </w:rPr>
        <w:t>It is worth investigati</w:t>
      </w:r>
      <w:r w:rsidR="00A61EAC">
        <w:rPr>
          <w:lang w:val="en-US"/>
        </w:rPr>
        <w:t>ng</w:t>
      </w:r>
      <w:r w:rsidR="005E3F0A">
        <w:rPr>
          <w:lang w:val="en-US"/>
        </w:rPr>
        <w:t xml:space="preserve"> potentially</w:t>
      </w:r>
      <w:r w:rsidR="009041A2">
        <w:rPr>
          <w:lang w:val="en-US"/>
        </w:rPr>
        <w:t xml:space="preserve"> lower use of dietetics care in regional Victoria</w:t>
      </w:r>
      <w:r w:rsidR="005E3F0A">
        <w:rPr>
          <w:lang w:val="en-US"/>
        </w:rPr>
        <w:t>, which</w:t>
      </w:r>
      <w:r w:rsidR="009041A2">
        <w:rPr>
          <w:lang w:val="en-US"/>
        </w:rPr>
        <w:t xml:space="preserve"> may indicate poorer access to these services.</w:t>
      </w:r>
      <w:r w:rsidR="005F078F">
        <w:rPr>
          <w:lang w:val="en-US"/>
        </w:rPr>
        <w:br w:type="page"/>
      </w:r>
    </w:p>
    <w:p w14:paraId="5E6FD21A" w14:textId="167DE0FC" w:rsidR="007E439A" w:rsidRDefault="007E439A" w:rsidP="007970BD">
      <w:pPr>
        <w:pStyle w:val="Heading1"/>
      </w:pPr>
      <w:bookmarkStart w:id="79" w:name="_Toc22713861"/>
      <w:r w:rsidRPr="006F2294">
        <w:t>Treatment and survival</w:t>
      </w:r>
      <w:r w:rsidR="00101A38">
        <w:t xml:space="preserve"> </w:t>
      </w:r>
      <w:r w:rsidR="002C5509">
        <w:t>–</w:t>
      </w:r>
      <w:r w:rsidR="00101A38">
        <w:t xml:space="preserve"> </w:t>
      </w:r>
      <w:r w:rsidRPr="006F2294">
        <w:t>oral cavity cancer</w:t>
      </w:r>
      <w:r w:rsidR="004A05E6">
        <w:rPr>
          <w:rStyle w:val="FootnoteReference"/>
        </w:rPr>
        <w:footnoteReference w:id="10"/>
      </w:r>
      <w:bookmarkEnd w:id="79"/>
    </w:p>
    <w:p w14:paraId="02DC2217" w14:textId="69671261" w:rsidR="006D760E" w:rsidRDefault="006D760E" w:rsidP="00037C82">
      <w:pPr>
        <w:pStyle w:val="DHHSbullet1"/>
      </w:pPr>
      <w:r>
        <w:t>There were 1,187 Victorians diagnosed with oral cavity cancer between 2012 and 2016</w:t>
      </w:r>
      <w:r w:rsidR="004A05E6">
        <w:t xml:space="preserve"> who did not present with distant metastases</w:t>
      </w:r>
      <w:r w:rsidR="00A21F53">
        <w:t xml:space="preserve"> (see </w:t>
      </w:r>
      <w:r w:rsidR="00E908EB">
        <w:t>G</w:t>
      </w:r>
      <w:r w:rsidR="00A21F53">
        <w:t>lossary)</w:t>
      </w:r>
      <w:r>
        <w:t>.</w:t>
      </w:r>
      <w:r w:rsidR="008C4F40">
        <w:t xml:space="preserve"> Of those</w:t>
      </w:r>
      <w:r w:rsidR="00AF647E">
        <w:t>:</w:t>
      </w:r>
    </w:p>
    <w:p w14:paraId="52147C62" w14:textId="6BE90F66" w:rsidR="00037C82" w:rsidRDefault="001252CF" w:rsidP="007730D3">
      <w:pPr>
        <w:pStyle w:val="DHHSbullet2"/>
      </w:pPr>
      <w:r>
        <w:t>Seventy-seven</w:t>
      </w:r>
      <w:r w:rsidR="007730D3">
        <w:t xml:space="preserve"> </w:t>
      </w:r>
      <w:r w:rsidR="0033507F">
        <w:t xml:space="preserve">per cent </w:t>
      </w:r>
      <w:r w:rsidR="00037C82">
        <w:t>received surgery</w:t>
      </w:r>
      <w:r w:rsidR="008C4F40">
        <w:t>, of which</w:t>
      </w:r>
      <w:r w:rsidR="00037C82">
        <w:t xml:space="preserve"> 35</w:t>
      </w:r>
      <w:r w:rsidR="007730D3">
        <w:t xml:space="preserve"> </w:t>
      </w:r>
      <w:r w:rsidR="0033507F">
        <w:t xml:space="preserve">per cent </w:t>
      </w:r>
      <w:r w:rsidR="00037C82">
        <w:t xml:space="preserve">had adjuvant </w:t>
      </w:r>
      <w:r w:rsidR="00EF440F">
        <w:t>therapy</w:t>
      </w:r>
      <w:r w:rsidR="000B5668">
        <w:t xml:space="preserve"> (</w:t>
      </w:r>
      <w:r w:rsidR="00954022">
        <w:fldChar w:fldCharType="begin"/>
      </w:r>
      <w:r w:rsidR="00C41378">
        <w:instrText xml:space="preserve"> REF _Ref4059402 \h </w:instrText>
      </w:r>
      <w:r w:rsidR="00954022">
        <w:fldChar w:fldCharType="separate"/>
      </w:r>
      <w:r w:rsidR="00084E54">
        <w:t xml:space="preserve">Figure </w:t>
      </w:r>
      <w:r w:rsidR="00084E54">
        <w:rPr>
          <w:noProof/>
        </w:rPr>
        <w:t>19</w:t>
      </w:r>
      <w:r w:rsidR="00954022">
        <w:fldChar w:fldCharType="end"/>
      </w:r>
      <w:r w:rsidR="000B5668">
        <w:t>).</w:t>
      </w:r>
    </w:p>
    <w:p w14:paraId="76F4A600" w14:textId="5620CEFB" w:rsidR="008C4F40" w:rsidRDefault="001252CF" w:rsidP="007730D3">
      <w:pPr>
        <w:pStyle w:val="DHHSbullet2"/>
      </w:pPr>
      <w:r>
        <w:t>Seven</w:t>
      </w:r>
      <w:r w:rsidR="007730D3">
        <w:t xml:space="preserve"> per cent</w:t>
      </w:r>
      <w:r w:rsidR="008C4F40">
        <w:t xml:space="preserve"> had </w:t>
      </w:r>
      <w:r w:rsidR="00953204">
        <w:t xml:space="preserve">radical </w:t>
      </w:r>
      <w:r w:rsidR="00044BEF">
        <w:t>RT</w:t>
      </w:r>
      <w:r w:rsidR="008C4F40">
        <w:t xml:space="preserve"> or </w:t>
      </w:r>
      <w:r w:rsidR="00044BEF">
        <w:t>CRT</w:t>
      </w:r>
      <w:r w:rsidR="008C4F40">
        <w:t xml:space="preserve"> only.</w:t>
      </w:r>
    </w:p>
    <w:p w14:paraId="22913C26" w14:textId="729053E2" w:rsidR="007730D3" w:rsidRDefault="001252CF" w:rsidP="007730D3">
      <w:pPr>
        <w:pStyle w:val="DHHSbullet2"/>
      </w:pPr>
      <w:r>
        <w:t>Four</w:t>
      </w:r>
      <w:r w:rsidR="007730D3">
        <w:t xml:space="preserve"> per cent had palliative treatment.</w:t>
      </w:r>
    </w:p>
    <w:p w14:paraId="38BD31E1" w14:textId="20AF8EB4" w:rsidR="007730D3" w:rsidRDefault="001252CF" w:rsidP="007730D3">
      <w:pPr>
        <w:pStyle w:val="DHHSbullet2"/>
      </w:pPr>
      <w:r>
        <w:t>Twelve</w:t>
      </w:r>
      <w:r w:rsidR="007730D3">
        <w:t xml:space="preserve"> per cent had no surgery, chemotherapy</w:t>
      </w:r>
      <w:r w:rsidR="00A3031B">
        <w:t>, RT or CRT.</w:t>
      </w:r>
    </w:p>
    <w:p w14:paraId="4D2F67CB" w14:textId="505F2689" w:rsidR="00037C82" w:rsidRDefault="00037C82" w:rsidP="00037C82">
      <w:pPr>
        <w:pStyle w:val="DHHSbullet1"/>
      </w:pPr>
      <w:r>
        <w:t xml:space="preserve">The proportion of surgical patients receiving a neck dissection or adjuvant </w:t>
      </w:r>
      <w:r w:rsidR="00EF440F">
        <w:t>therapy</w:t>
      </w:r>
      <w:r>
        <w:t xml:space="preserve"> was higher in lymph node positive than node</w:t>
      </w:r>
      <w:r w:rsidR="00C97B74">
        <w:t>-</w:t>
      </w:r>
      <w:r>
        <w:t xml:space="preserve">negative </w:t>
      </w:r>
      <w:r w:rsidR="001252CF">
        <w:t>patients</w:t>
      </w:r>
      <w:r w:rsidR="00C41378">
        <w:t xml:space="preserve"> (</w:t>
      </w:r>
      <w:r w:rsidR="00954022">
        <w:fldChar w:fldCharType="begin"/>
      </w:r>
      <w:r w:rsidR="00C41378">
        <w:instrText xml:space="preserve"> REF _Ref4059386 \h </w:instrText>
      </w:r>
      <w:r w:rsidR="00954022">
        <w:fldChar w:fldCharType="separate"/>
      </w:r>
      <w:r w:rsidR="00084E54">
        <w:t xml:space="preserve">Table </w:t>
      </w:r>
      <w:r w:rsidR="00084E54">
        <w:rPr>
          <w:noProof/>
        </w:rPr>
        <w:t>7</w:t>
      </w:r>
      <w:r w:rsidR="00954022">
        <w:fldChar w:fldCharType="end"/>
      </w:r>
      <w:r w:rsidR="00C41378">
        <w:t>).</w:t>
      </w:r>
    </w:p>
    <w:p w14:paraId="2EADB588" w14:textId="7D988B1E" w:rsidR="005412F2" w:rsidRDefault="00037C82" w:rsidP="00037C82">
      <w:pPr>
        <w:pStyle w:val="DHHSbullet1"/>
      </w:pPr>
      <w:r>
        <w:t>In node</w:t>
      </w:r>
      <w:r w:rsidR="00C97B74">
        <w:t>-</w:t>
      </w:r>
      <w:r>
        <w:t>negative patients</w:t>
      </w:r>
      <w:r w:rsidR="005412F2">
        <w:t xml:space="preserve">: </w:t>
      </w:r>
    </w:p>
    <w:p w14:paraId="5919F3A1" w14:textId="317519DF" w:rsidR="00E16C21" w:rsidRDefault="00AF647E" w:rsidP="005412F2">
      <w:pPr>
        <w:pStyle w:val="DHHSbullet2"/>
      </w:pPr>
      <w:r>
        <w:t>T</w:t>
      </w:r>
      <w:r w:rsidR="001252CF">
        <w:t>wenty-one</w:t>
      </w:r>
      <w:r w:rsidR="007730D3">
        <w:t xml:space="preserve"> </w:t>
      </w:r>
      <w:r w:rsidR="0033507F">
        <w:t>per cent</w:t>
      </w:r>
      <w:r w:rsidR="00E16C21">
        <w:t xml:space="preserve"> had a neck dissection and 22</w:t>
      </w:r>
      <w:r w:rsidR="007730D3">
        <w:t xml:space="preserve"> </w:t>
      </w:r>
      <w:r w:rsidR="0033507F">
        <w:t xml:space="preserve">per cent </w:t>
      </w:r>
      <w:r w:rsidR="00E16C21">
        <w:t>had adjuvant therapy</w:t>
      </w:r>
      <w:r w:rsidR="001252CF">
        <w:t xml:space="preserve"> (</w:t>
      </w:r>
      <w:r w:rsidR="001252CF">
        <w:fldChar w:fldCharType="begin"/>
      </w:r>
      <w:r w:rsidR="001252CF">
        <w:instrText xml:space="preserve"> REF _Ref4059386 \h </w:instrText>
      </w:r>
      <w:r w:rsidR="001252CF">
        <w:fldChar w:fldCharType="separate"/>
      </w:r>
      <w:r w:rsidR="00084E54">
        <w:t xml:space="preserve">Table </w:t>
      </w:r>
      <w:r w:rsidR="00084E54">
        <w:rPr>
          <w:noProof/>
        </w:rPr>
        <w:t>7</w:t>
      </w:r>
      <w:r w:rsidR="001252CF">
        <w:fldChar w:fldCharType="end"/>
      </w:r>
      <w:r w:rsidR="001252CF">
        <w:t>).</w:t>
      </w:r>
    </w:p>
    <w:p w14:paraId="53A43D6E" w14:textId="689FAE5C" w:rsidR="005412F2" w:rsidRDefault="00AF647E" w:rsidP="005412F2">
      <w:pPr>
        <w:pStyle w:val="DHHSbullet2"/>
      </w:pPr>
      <w:r>
        <w:t>A</w:t>
      </w:r>
      <w:r w:rsidR="00037C82">
        <w:t xml:space="preserve"> </w:t>
      </w:r>
      <w:r w:rsidR="00E16C21">
        <w:t xml:space="preserve">significantly </w:t>
      </w:r>
      <w:r w:rsidR="00037C82">
        <w:t xml:space="preserve">higher proportion of </w:t>
      </w:r>
      <w:r w:rsidR="007318F0">
        <w:t xml:space="preserve">patients having surgery in </w:t>
      </w:r>
      <w:r w:rsidR="00037C82">
        <w:t>WCMICS had a neck dissection (26</w:t>
      </w:r>
      <w:r w:rsidR="0033507F">
        <w:t xml:space="preserve"> per cent</w:t>
      </w:r>
      <w:r w:rsidR="00037C82">
        <w:t>)</w:t>
      </w:r>
      <w:r w:rsidR="001252CF">
        <w:t>.</w:t>
      </w:r>
    </w:p>
    <w:p w14:paraId="5ED58BE9" w14:textId="5AB5761E" w:rsidR="00037C82" w:rsidRDefault="00AF647E" w:rsidP="005412F2">
      <w:pPr>
        <w:pStyle w:val="DHHSbullet2"/>
      </w:pPr>
      <w:r>
        <w:t>A</w:t>
      </w:r>
      <w:r w:rsidR="00037C82">
        <w:t xml:space="preserve"> </w:t>
      </w:r>
      <w:r w:rsidR="00E16C21">
        <w:t xml:space="preserve">significantly </w:t>
      </w:r>
      <w:r w:rsidR="00037C82">
        <w:t xml:space="preserve">lower proportion of </w:t>
      </w:r>
      <w:r w:rsidR="007318F0">
        <w:t xml:space="preserve">patients having surgery in </w:t>
      </w:r>
      <w:r w:rsidR="00037C82">
        <w:t>BSWRICS had adjuvant therapy (9</w:t>
      </w:r>
      <w:r w:rsidR="0033507F">
        <w:t xml:space="preserve"> per cent</w:t>
      </w:r>
      <w:r w:rsidR="00037C82">
        <w:t>)</w:t>
      </w:r>
      <w:r w:rsidR="001252CF">
        <w:t>.</w:t>
      </w:r>
    </w:p>
    <w:p w14:paraId="41655983" w14:textId="2F0D67C3" w:rsidR="005412F2" w:rsidRDefault="00037C82" w:rsidP="00037C82">
      <w:pPr>
        <w:pStyle w:val="DHHSbullet1"/>
      </w:pPr>
      <w:r>
        <w:t>In node</w:t>
      </w:r>
      <w:r w:rsidR="00C97B74">
        <w:t>-</w:t>
      </w:r>
      <w:r>
        <w:t>positive patients</w:t>
      </w:r>
      <w:r w:rsidR="005412F2">
        <w:t xml:space="preserve">: </w:t>
      </w:r>
    </w:p>
    <w:p w14:paraId="6827D7B2" w14:textId="25C9A52C" w:rsidR="005412F2" w:rsidRDefault="00AF647E" w:rsidP="005412F2">
      <w:pPr>
        <w:pStyle w:val="DHHSbullet2"/>
      </w:pPr>
      <w:r>
        <w:t>F</w:t>
      </w:r>
      <w:r w:rsidR="001252CF">
        <w:t>orty-five</w:t>
      </w:r>
      <w:r w:rsidR="007730D3">
        <w:t xml:space="preserve"> </w:t>
      </w:r>
      <w:r w:rsidR="0033507F">
        <w:t xml:space="preserve">per cent </w:t>
      </w:r>
      <w:r w:rsidR="00E16C21">
        <w:t xml:space="preserve">had </w:t>
      </w:r>
      <w:r w:rsidR="005412F2">
        <w:t>a neck dissection and 77</w:t>
      </w:r>
      <w:r w:rsidR="007730D3">
        <w:t xml:space="preserve"> </w:t>
      </w:r>
      <w:r w:rsidR="0033507F">
        <w:t xml:space="preserve">per cent </w:t>
      </w:r>
      <w:r w:rsidR="00E16C21">
        <w:t>had</w:t>
      </w:r>
      <w:r w:rsidR="005412F2">
        <w:t xml:space="preserve"> adjuvant therapy </w:t>
      </w:r>
      <w:r w:rsidR="001252CF">
        <w:t>(</w:t>
      </w:r>
      <w:r w:rsidR="001252CF">
        <w:fldChar w:fldCharType="begin"/>
      </w:r>
      <w:r w:rsidR="001252CF">
        <w:instrText xml:space="preserve"> REF _Ref4059386 \h </w:instrText>
      </w:r>
      <w:r w:rsidR="001252CF">
        <w:fldChar w:fldCharType="separate"/>
      </w:r>
      <w:r w:rsidR="00084E54">
        <w:t xml:space="preserve">Table </w:t>
      </w:r>
      <w:r w:rsidR="00084E54">
        <w:rPr>
          <w:noProof/>
        </w:rPr>
        <w:t>7</w:t>
      </w:r>
      <w:r w:rsidR="001252CF">
        <w:fldChar w:fldCharType="end"/>
      </w:r>
      <w:r w:rsidR="001252CF">
        <w:t>).</w:t>
      </w:r>
    </w:p>
    <w:p w14:paraId="5B8AB116" w14:textId="168EBD9E" w:rsidR="00037C82" w:rsidRDefault="00AF647E" w:rsidP="005412F2">
      <w:pPr>
        <w:pStyle w:val="DHHSbullet2"/>
      </w:pPr>
      <w:r>
        <w:t>T</w:t>
      </w:r>
      <w:r w:rsidR="00037C82">
        <w:t xml:space="preserve">here was no </w:t>
      </w:r>
      <w:r w:rsidR="005412F2">
        <w:t xml:space="preserve">statistically </w:t>
      </w:r>
      <w:r w:rsidR="00037C82">
        <w:t xml:space="preserve">significant </w:t>
      </w:r>
      <w:r w:rsidR="005412F2">
        <w:t>variation</w:t>
      </w:r>
      <w:r w:rsidR="00037C82">
        <w:t xml:space="preserve"> between ICS</w:t>
      </w:r>
      <w:r w:rsidR="005412F2">
        <w:t xml:space="preserve"> </w:t>
      </w:r>
      <w:r w:rsidR="001252CF">
        <w:t xml:space="preserve">of surgery </w:t>
      </w:r>
      <w:r w:rsidR="00513998">
        <w:t>in the proportion of</w:t>
      </w:r>
      <w:r w:rsidR="005412F2">
        <w:t xml:space="preserve"> neck dissection or adjuvant therapy</w:t>
      </w:r>
      <w:r w:rsidR="001252CF">
        <w:t>.</w:t>
      </w:r>
    </w:p>
    <w:p w14:paraId="72B888A2" w14:textId="77777777" w:rsidR="00037C82" w:rsidRDefault="007730D3" w:rsidP="00EE4483">
      <w:pPr>
        <w:pStyle w:val="DHHSbullet1"/>
      </w:pPr>
      <w:bookmarkStart w:id="80" w:name="_Hlk4748377"/>
      <w:r>
        <w:t>After adjusting for age, sex and comorbidities, survival did not differ by ICS of surgery for lymph node negative (</w:t>
      </w:r>
      <w:r w:rsidRPr="007730D3">
        <w:rPr>
          <w:i/>
        </w:rPr>
        <w:t>p</w:t>
      </w:r>
      <w:r>
        <w:t xml:space="preserve"> = 0.638) or lymph node positive (</w:t>
      </w:r>
      <w:r w:rsidRPr="007730D3">
        <w:rPr>
          <w:i/>
        </w:rPr>
        <w:t>p</w:t>
      </w:r>
      <w:r>
        <w:t xml:space="preserve"> = 0.598) patients.</w:t>
      </w:r>
    </w:p>
    <w:p w14:paraId="2C5EA16B" w14:textId="2B406501" w:rsidR="00953204" w:rsidRDefault="006B08E4" w:rsidP="00A3031B">
      <w:pPr>
        <w:pStyle w:val="DHHSfigurecaption"/>
      </w:pPr>
      <w:bookmarkStart w:id="81" w:name="_Ref4059402"/>
      <w:bookmarkStart w:id="82" w:name="_Toc22722831"/>
      <w:bookmarkEnd w:id="80"/>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19</w:t>
      </w:r>
      <w:r w:rsidR="00954022">
        <w:rPr>
          <w:noProof/>
        </w:rPr>
        <w:fldChar w:fldCharType="end"/>
      </w:r>
      <w:bookmarkEnd w:id="81"/>
      <w:r>
        <w:t xml:space="preserve">: </w:t>
      </w:r>
      <w:r w:rsidR="008545A3">
        <w:t xml:space="preserve">Treatment pathways </w:t>
      </w:r>
      <w:r w:rsidR="00230F32">
        <w:t xml:space="preserve">within one year of </w:t>
      </w:r>
      <w:r w:rsidR="008545A3">
        <w:t>oral cavity cancer</w:t>
      </w:r>
      <w:r w:rsidR="00230F32">
        <w:t xml:space="preserve"> diagnosis</w:t>
      </w:r>
      <w:r w:rsidR="008C4F40">
        <w:t xml:space="preserve"> </w:t>
      </w:r>
      <w:r w:rsidR="006D760E" w:rsidRPr="007730D3">
        <w:t>(diagnosed 2012</w:t>
      </w:r>
      <w:r w:rsidR="006D760E">
        <w:t>–</w:t>
      </w:r>
      <w:r w:rsidR="006D760E" w:rsidRPr="007730D3">
        <w:t>2016)</w:t>
      </w:r>
      <w:bookmarkEnd w:id="82"/>
    </w:p>
    <w:p w14:paraId="4563555F" w14:textId="189CBE77" w:rsidR="00A3031B" w:rsidRPr="002655B8" w:rsidRDefault="002655B8" w:rsidP="00B6299B">
      <w:pPr>
        <w:pStyle w:val="DHHSbody"/>
        <w:jc w:val="center"/>
        <w:rPr>
          <w:iCs/>
        </w:rPr>
      </w:pPr>
      <w:r w:rsidRPr="002655B8">
        <w:rPr>
          <w:noProof/>
        </w:rPr>
        <w:drawing>
          <wp:inline distT="0" distB="0" distL="0" distR="0" wp14:anchorId="69BD69E8" wp14:editId="470CC770">
            <wp:extent cx="5128260" cy="3017520"/>
            <wp:effectExtent l="0" t="0" r="0" b="0"/>
            <wp:docPr id="462" name="Picture 462" descr="Treatment pathways within one year of oral cavity cancer diagnosis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28260" cy="3017520"/>
                    </a:xfrm>
                    <a:prstGeom prst="rect">
                      <a:avLst/>
                    </a:prstGeom>
                    <a:noFill/>
                    <a:ln>
                      <a:noFill/>
                    </a:ln>
                  </pic:spPr>
                </pic:pic>
              </a:graphicData>
            </a:graphic>
          </wp:inline>
        </w:drawing>
      </w:r>
    </w:p>
    <w:p w14:paraId="0ECEECA4" w14:textId="1FF745BE" w:rsidR="00A3031B" w:rsidRPr="000C6025" w:rsidRDefault="00953204" w:rsidP="000C5AF2">
      <w:pPr>
        <w:pStyle w:val="DHHStablefigurenote"/>
      </w:pPr>
      <w:r w:rsidRPr="000C6025">
        <w:t>Radiotherapy</w:t>
      </w:r>
      <w:r w:rsidR="001252CF">
        <w:t xml:space="preserve"> (RT)</w:t>
      </w:r>
      <w:r w:rsidRPr="000C6025">
        <w:t xml:space="preserve"> or </w:t>
      </w:r>
      <w:r w:rsidR="00A3031B" w:rsidRPr="000C6025">
        <w:t>chemoradiation</w:t>
      </w:r>
      <w:r w:rsidR="001252CF">
        <w:t xml:space="preserve"> (CRT)</w:t>
      </w:r>
      <w:r w:rsidRPr="000C6025">
        <w:t xml:space="preserve"> refers to radiotherapy with radical intent.</w:t>
      </w:r>
      <w:r w:rsidR="00A3031B" w:rsidRPr="000C6025">
        <w:t xml:space="preserve"> </w:t>
      </w:r>
      <w:r w:rsidR="009F31D4">
        <w:br/>
      </w:r>
      <w:r w:rsidR="00786405">
        <w:t>Refer to</w:t>
      </w:r>
      <w:r w:rsidR="001252CF">
        <w:t xml:space="preserve"> </w:t>
      </w:r>
      <w:r w:rsidR="00E908EB">
        <w:t>G</w:t>
      </w:r>
      <w:r w:rsidR="001252CF">
        <w:t xml:space="preserve">lossary for </w:t>
      </w:r>
      <w:r w:rsidR="00240E59">
        <w:t xml:space="preserve">more </w:t>
      </w:r>
      <w:r w:rsidR="001252CF">
        <w:t xml:space="preserve">information on treatment groups. </w:t>
      </w:r>
      <w:r w:rsidR="00A3031B" w:rsidRPr="000C6025">
        <w:t>Tx</w:t>
      </w:r>
      <w:r w:rsidR="00084E54">
        <w:t xml:space="preserve"> = </w:t>
      </w:r>
      <w:r w:rsidR="00A3031B" w:rsidRPr="000C6025">
        <w:t>treatment.</w:t>
      </w:r>
    </w:p>
    <w:p w14:paraId="3358FBDD" w14:textId="5879BF18" w:rsidR="000B5668" w:rsidRDefault="000B5668" w:rsidP="000B5668">
      <w:pPr>
        <w:pStyle w:val="DHHStablecaption"/>
      </w:pPr>
      <w:bookmarkStart w:id="83" w:name="_Ref4059386"/>
      <w:bookmarkStart w:id="84" w:name="_Toc22722841"/>
      <w:r>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7</w:t>
      </w:r>
      <w:r w:rsidR="00954022">
        <w:rPr>
          <w:noProof/>
        </w:rPr>
        <w:fldChar w:fldCharType="end"/>
      </w:r>
      <w:bookmarkEnd w:id="83"/>
      <w:r>
        <w:t xml:space="preserve">: </w:t>
      </w:r>
      <w:r w:rsidRPr="000B5668">
        <w:t xml:space="preserve">Neck dissection and adjuvant </w:t>
      </w:r>
      <w:r w:rsidR="00953204">
        <w:t>therapy (radical RT/CRT)</w:t>
      </w:r>
      <w:r w:rsidRPr="000B5668">
        <w:t xml:space="preserve"> use in </w:t>
      </w:r>
      <w:r w:rsidR="008C4F40">
        <w:t xml:space="preserve">oral cavity cancer </w:t>
      </w:r>
      <w:r w:rsidRPr="000B5668">
        <w:t xml:space="preserve">surgical </w:t>
      </w:r>
      <w:r w:rsidR="00EE4483" w:rsidRPr="000B5668">
        <w:t>patients</w:t>
      </w:r>
      <w:r w:rsidR="00EE4483">
        <w:t xml:space="preserve"> (</w:t>
      </w:r>
      <w:r w:rsidR="008C4F40">
        <w:t>diagnosed 2012</w:t>
      </w:r>
      <w:r w:rsidR="00061FCE">
        <w:t>–</w:t>
      </w:r>
      <w:r w:rsidR="008C4F40">
        <w:t>2016)</w:t>
      </w:r>
      <w:bookmarkEnd w:id="84"/>
      <w:r w:rsidRPr="000B5668">
        <w:t xml:space="preserve"> </w:t>
      </w:r>
    </w:p>
    <w:tbl>
      <w:tblPr>
        <w:tblW w:w="4867" w:type="pct"/>
        <w:tblCellMar>
          <w:left w:w="0" w:type="dxa"/>
          <w:right w:w="0" w:type="dxa"/>
        </w:tblCellMar>
        <w:tblLook w:val="0600" w:firstRow="0" w:lastRow="0" w:firstColumn="0" w:lastColumn="0" w:noHBand="1" w:noVBand="1"/>
      </w:tblPr>
      <w:tblGrid>
        <w:gridCol w:w="1983"/>
        <w:gridCol w:w="1764"/>
        <w:gridCol w:w="1764"/>
        <w:gridCol w:w="1762"/>
        <w:gridCol w:w="1762"/>
      </w:tblGrid>
      <w:tr w:rsidR="000B5668" w:rsidRPr="001272AB" w14:paraId="35F979C5" w14:textId="77777777" w:rsidTr="00536867">
        <w:trPr>
          <w:trHeight w:val="975"/>
          <w:tblHeader/>
        </w:trPr>
        <w:tc>
          <w:tcPr>
            <w:tcW w:w="1097" w:type="pct"/>
            <w:tcBorders>
              <w:top w:val="single" w:sz="4" w:space="0" w:color="auto"/>
              <w:left w:val="single" w:sz="6" w:space="0" w:color="000000"/>
              <w:bottom w:val="single" w:sz="6" w:space="0" w:color="000000"/>
              <w:right w:val="single" w:sz="6" w:space="0" w:color="000000"/>
            </w:tcBorders>
            <w:shd w:val="clear" w:color="auto" w:fill="auto"/>
            <w:vAlign w:val="bottom"/>
          </w:tcPr>
          <w:p w14:paraId="2E7363D7" w14:textId="77777777" w:rsidR="000B5668" w:rsidRPr="001272AB" w:rsidRDefault="000B5668" w:rsidP="00ED66FD">
            <w:pPr>
              <w:pStyle w:val="DHHStablecolhead"/>
              <w:jc w:val="center"/>
              <w:rPr>
                <w:rFonts w:eastAsia="Arial"/>
                <w:lang w:val="en-US" w:eastAsia="en-AU"/>
              </w:rPr>
            </w:pPr>
            <w:r w:rsidRPr="00FB2EC4">
              <w:t>ICS</w:t>
            </w:r>
            <w:r w:rsidRPr="000B5668">
              <w:rPr>
                <w:rFonts w:eastAsia="Arial"/>
                <w:lang w:val="en-US" w:eastAsia="en-AU"/>
              </w:rPr>
              <w:t xml:space="preserve"> of surgery</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1BC9F5FD" w14:textId="4A9E4B6A" w:rsidR="000B5668" w:rsidRPr="000B5668" w:rsidRDefault="00084E54" w:rsidP="000B5668">
            <w:pPr>
              <w:pStyle w:val="DHHStablecolhead"/>
              <w:jc w:val="center"/>
              <w:rPr>
                <w:rFonts w:eastAsia="Arial"/>
                <w:lang w:val="en-US" w:eastAsia="en-AU"/>
              </w:rPr>
            </w:pPr>
            <w:r>
              <w:rPr>
                <w:rFonts w:eastAsia="Arial"/>
                <w:lang w:val="en-US" w:eastAsia="en-AU"/>
              </w:rPr>
              <w:t>Node-negative</w:t>
            </w:r>
            <w:r w:rsidRPr="000B5668" w:rsidDel="00084E54">
              <w:rPr>
                <w:rFonts w:eastAsia="Arial"/>
                <w:lang w:val="en-US" w:eastAsia="en-AU"/>
              </w:rPr>
              <w:t xml:space="preserve"> </w:t>
            </w:r>
            <w:r>
              <w:rPr>
                <w:rFonts w:eastAsia="Arial"/>
                <w:lang w:val="en-US" w:eastAsia="en-AU"/>
              </w:rPr>
              <w:t>n</w:t>
            </w:r>
            <w:r w:rsidR="000B5668" w:rsidRPr="000B5668">
              <w:rPr>
                <w:rFonts w:eastAsia="Arial"/>
                <w:lang w:val="en-US" w:eastAsia="en-AU"/>
              </w:rPr>
              <w:t>eck dissection</w:t>
            </w:r>
          </w:p>
          <w:p w14:paraId="2DEEBE4F" w14:textId="77777777" w:rsidR="000B5668" w:rsidRPr="000B5668" w:rsidRDefault="000B5668" w:rsidP="000B5668">
            <w:pPr>
              <w:pStyle w:val="DHHStablecolhead"/>
              <w:jc w:val="center"/>
              <w:rPr>
                <w:rFonts w:eastAsia="Arial"/>
                <w:lang w:val="en-US" w:eastAsia="en-AU"/>
              </w:rPr>
            </w:pPr>
            <w:r w:rsidRPr="000B5668">
              <w:rPr>
                <w:rFonts w:eastAsia="Arial"/>
                <w:lang w:val="en-US" w:eastAsia="en-AU"/>
              </w:rPr>
              <w:t>n/N (%)</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3B07968B" w14:textId="16F8776E" w:rsidR="000B5668" w:rsidRPr="000B5668" w:rsidRDefault="00084E54" w:rsidP="000B5668">
            <w:pPr>
              <w:pStyle w:val="DHHStablecolhead"/>
              <w:jc w:val="center"/>
              <w:rPr>
                <w:rFonts w:eastAsia="Arial"/>
                <w:lang w:val="en-US" w:eastAsia="en-AU"/>
              </w:rPr>
            </w:pPr>
            <w:r>
              <w:rPr>
                <w:rFonts w:eastAsia="Arial"/>
                <w:lang w:val="en-US" w:eastAsia="en-AU"/>
              </w:rPr>
              <w:t>Node-negative a</w:t>
            </w:r>
            <w:r w:rsidR="00953204">
              <w:rPr>
                <w:rFonts w:eastAsia="Arial"/>
                <w:lang w:val="en-US" w:eastAsia="en-AU"/>
              </w:rPr>
              <w:t>djuvant therapy</w:t>
            </w:r>
          </w:p>
          <w:p w14:paraId="2D273507" w14:textId="77777777" w:rsidR="000B5668" w:rsidRPr="000B5668" w:rsidRDefault="000B5668" w:rsidP="000B5668">
            <w:pPr>
              <w:pStyle w:val="DHHStablecolhead"/>
              <w:jc w:val="center"/>
              <w:rPr>
                <w:rFonts w:eastAsia="Arial"/>
                <w:lang w:val="en-US" w:eastAsia="en-AU"/>
              </w:rPr>
            </w:pPr>
            <w:r w:rsidRPr="000B5668">
              <w:rPr>
                <w:rFonts w:eastAsia="Arial"/>
                <w:lang w:val="en-US" w:eastAsia="en-AU"/>
              </w:rPr>
              <w:t>n/N (%)</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542A21E9" w14:textId="4D6C01E2" w:rsidR="000B5668" w:rsidRPr="000B5668" w:rsidRDefault="00084E54" w:rsidP="000B5668">
            <w:pPr>
              <w:pStyle w:val="DHHStablecolhead"/>
              <w:jc w:val="center"/>
              <w:rPr>
                <w:rFonts w:eastAsia="Arial"/>
                <w:lang w:val="en-US" w:eastAsia="en-AU"/>
              </w:rPr>
            </w:pPr>
            <w:r>
              <w:rPr>
                <w:rFonts w:eastAsia="Arial"/>
                <w:lang w:val="en-US" w:eastAsia="en-AU"/>
              </w:rPr>
              <w:t>Node-positive n</w:t>
            </w:r>
            <w:r w:rsidR="000B5668" w:rsidRPr="000B5668">
              <w:rPr>
                <w:rFonts w:eastAsia="Arial"/>
                <w:lang w:val="en-US" w:eastAsia="en-AU"/>
              </w:rPr>
              <w:t>eck dissection</w:t>
            </w:r>
          </w:p>
          <w:p w14:paraId="6F63D5B6" w14:textId="77777777" w:rsidR="000B5668" w:rsidRPr="000B5668" w:rsidRDefault="000B5668" w:rsidP="000B5668">
            <w:pPr>
              <w:pStyle w:val="DHHStablecolhead"/>
              <w:jc w:val="center"/>
              <w:rPr>
                <w:rFonts w:eastAsia="Arial"/>
                <w:lang w:val="en-US" w:eastAsia="en-AU"/>
              </w:rPr>
            </w:pPr>
            <w:r w:rsidRPr="000B5668">
              <w:rPr>
                <w:rFonts w:eastAsia="Arial"/>
                <w:lang w:val="en-US" w:eastAsia="en-AU"/>
              </w:rPr>
              <w:t>n/N (%)</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640AA0CD" w14:textId="682E50F7" w:rsidR="00953204" w:rsidRPr="000B5668" w:rsidRDefault="00084E54" w:rsidP="00953204">
            <w:pPr>
              <w:pStyle w:val="DHHStablecolhead"/>
              <w:jc w:val="center"/>
              <w:rPr>
                <w:rFonts w:eastAsia="Arial"/>
                <w:lang w:val="en-US" w:eastAsia="en-AU"/>
              </w:rPr>
            </w:pPr>
            <w:r>
              <w:rPr>
                <w:rFonts w:eastAsia="Arial"/>
                <w:lang w:val="en-US" w:eastAsia="en-AU"/>
              </w:rPr>
              <w:t>Node-positive a</w:t>
            </w:r>
            <w:r w:rsidR="00953204">
              <w:rPr>
                <w:rFonts w:eastAsia="Arial"/>
                <w:lang w:val="en-US" w:eastAsia="en-AU"/>
              </w:rPr>
              <w:t>djuvant therapy</w:t>
            </w:r>
          </w:p>
          <w:p w14:paraId="06C7B1B7" w14:textId="77777777" w:rsidR="000B5668" w:rsidRPr="000B5668" w:rsidRDefault="000B5668" w:rsidP="000B5668">
            <w:pPr>
              <w:pStyle w:val="DHHStablecolhead"/>
              <w:jc w:val="center"/>
              <w:rPr>
                <w:rFonts w:eastAsia="Arial"/>
                <w:lang w:val="en-US" w:eastAsia="en-AU"/>
              </w:rPr>
            </w:pPr>
            <w:r w:rsidRPr="000B5668">
              <w:rPr>
                <w:rFonts w:eastAsia="Arial"/>
                <w:lang w:val="en-US" w:eastAsia="en-AU"/>
              </w:rPr>
              <w:t>n/N (%)</w:t>
            </w:r>
          </w:p>
        </w:tc>
      </w:tr>
      <w:tr w:rsidR="000B5668" w:rsidRPr="001272AB" w14:paraId="27DB1696"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vAlign w:val="center"/>
          </w:tcPr>
          <w:p w14:paraId="3EC14E90" w14:textId="77777777" w:rsidR="000B5668" w:rsidRPr="00304743" w:rsidRDefault="000B5668" w:rsidP="000B5668">
            <w:pPr>
              <w:pStyle w:val="DHHStabletext"/>
              <w:rPr>
                <w:b/>
              </w:rPr>
            </w:pPr>
            <w:r w:rsidRPr="00304743">
              <w:rPr>
                <w:b/>
              </w:rPr>
              <w:t>NEMICS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18EFB58B" w14:textId="77777777" w:rsidR="000B5668" w:rsidRPr="001272AB" w:rsidRDefault="000B5668" w:rsidP="000B5668">
            <w:pPr>
              <w:pStyle w:val="DHHStabletext"/>
              <w:jc w:val="center"/>
            </w:pPr>
            <w:r w:rsidRPr="000B5668">
              <w:t>12/84 (14%)</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3F14570F" w14:textId="77777777" w:rsidR="000B5668" w:rsidRPr="001272AB" w:rsidRDefault="000B5668" w:rsidP="000B5668">
            <w:pPr>
              <w:pStyle w:val="DHHStabletext"/>
              <w:jc w:val="center"/>
            </w:pPr>
            <w:r w:rsidRPr="000B5668">
              <w:t>17/84 (20%)</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0A5CB1D2" w14:textId="77777777" w:rsidR="000B5668" w:rsidRPr="001272AB" w:rsidRDefault="000B5668" w:rsidP="000B5668">
            <w:pPr>
              <w:pStyle w:val="DHHStabletext"/>
              <w:jc w:val="center"/>
            </w:pPr>
            <w:r w:rsidRPr="000B5668">
              <w:t>14/32 (44%)</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211E70D3" w14:textId="77777777" w:rsidR="000B5668" w:rsidRPr="001272AB" w:rsidRDefault="000B5668" w:rsidP="000B5668">
            <w:pPr>
              <w:pStyle w:val="DHHStabletext"/>
              <w:jc w:val="center"/>
            </w:pPr>
            <w:r w:rsidRPr="000B5668">
              <w:t>22/32 (69%)</w:t>
            </w:r>
          </w:p>
        </w:tc>
      </w:tr>
      <w:tr w:rsidR="000B5668" w:rsidRPr="001272AB" w14:paraId="2A36F7A3" w14:textId="77777777" w:rsidTr="00536867">
        <w:trPr>
          <w:trHeight w:val="54"/>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1AFE3A5B" w14:textId="77777777" w:rsidR="000B5668" w:rsidRPr="00304743" w:rsidRDefault="000B5668" w:rsidP="000B5668">
            <w:pPr>
              <w:pStyle w:val="DHHStabletext"/>
              <w:rPr>
                <w:b/>
                <w:sz w:val="36"/>
                <w:szCs w:val="36"/>
                <w:lang w:eastAsia="en-AU"/>
              </w:rPr>
            </w:pPr>
            <w:r w:rsidRPr="00304743">
              <w:rPr>
                <w:rFonts w:eastAsia="Arial"/>
                <w:b/>
                <w:lang w:val="en-US" w:eastAsia="en-AU"/>
              </w:rPr>
              <w:t>SMICS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261181F0" w14:textId="77777777" w:rsidR="000B5668" w:rsidRPr="001272AB" w:rsidRDefault="000B5668" w:rsidP="000B5668">
            <w:pPr>
              <w:pStyle w:val="DHHStabletext"/>
              <w:jc w:val="center"/>
            </w:pPr>
            <w:r w:rsidRPr="000B5668">
              <w:t>37/173 (21%)</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08B2959B" w14:textId="77777777" w:rsidR="000B5668" w:rsidRPr="001272AB" w:rsidRDefault="000B5668" w:rsidP="000B5668">
            <w:pPr>
              <w:pStyle w:val="DHHStabletext"/>
              <w:jc w:val="center"/>
            </w:pPr>
            <w:r w:rsidRPr="000B5668">
              <w:t>38/173 (22%)</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4621FE60" w14:textId="77777777" w:rsidR="000B5668" w:rsidRPr="001272AB" w:rsidRDefault="000B5668" w:rsidP="000B5668">
            <w:pPr>
              <w:pStyle w:val="DHHStabletext"/>
              <w:jc w:val="center"/>
            </w:pPr>
            <w:r w:rsidRPr="000B5668">
              <w:t>22/56 (39%)</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21288304" w14:textId="77777777" w:rsidR="000B5668" w:rsidRPr="001272AB" w:rsidRDefault="000B5668" w:rsidP="000B5668">
            <w:pPr>
              <w:pStyle w:val="DHHStabletext"/>
              <w:jc w:val="center"/>
            </w:pPr>
            <w:r w:rsidRPr="000B5668">
              <w:t>46/56 (82%)</w:t>
            </w:r>
          </w:p>
        </w:tc>
      </w:tr>
      <w:tr w:rsidR="000B5668" w:rsidRPr="001272AB" w14:paraId="6B7FFA47"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19C6F11F" w14:textId="77777777" w:rsidR="000B5668" w:rsidRPr="00304743" w:rsidRDefault="000B5668" w:rsidP="000B5668">
            <w:pPr>
              <w:pStyle w:val="DHHStabletext"/>
              <w:rPr>
                <w:b/>
                <w:sz w:val="36"/>
                <w:szCs w:val="36"/>
                <w:lang w:eastAsia="en-AU"/>
              </w:rPr>
            </w:pPr>
            <w:r w:rsidRPr="00304743">
              <w:rPr>
                <w:rFonts w:eastAsia="Arial"/>
                <w:b/>
                <w:lang w:val="en-US" w:eastAsia="en-AU"/>
              </w:rPr>
              <w:t>WCMICS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001D01FD" w14:textId="5DBA748B" w:rsidR="000B5668" w:rsidRPr="001272AB" w:rsidRDefault="000B5668" w:rsidP="000B5668">
            <w:pPr>
              <w:pStyle w:val="DHHStabletext"/>
              <w:jc w:val="center"/>
            </w:pPr>
            <w:r w:rsidRPr="000B5668">
              <w:t>89/339 (26%)</w:t>
            </w:r>
            <w:r w:rsidR="00084E54">
              <w:rPr>
                <w:rStyle w:val="FootnoteReference"/>
              </w:rPr>
              <w:footnoteReference w:id="11"/>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73E20493" w14:textId="77777777" w:rsidR="000B5668" w:rsidRPr="001272AB" w:rsidRDefault="000B5668" w:rsidP="000B5668">
            <w:pPr>
              <w:pStyle w:val="DHHStabletext"/>
              <w:jc w:val="center"/>
            </w:pPr>
            <w:r w:rsidRPr="000B5668">
              <w:t>85/339 (25%)</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40D6680D" w14:textId="77777777" w:rsidR="000B5668" w:rsidRPr="001272AB" w:rsidRDefault="000B5668" w:rsidP="000B5668">
            <w:pPr>
              <w:pStyle w:val="DHHStabletext"/>
              <w:jc w:val="center"/>
            </w:pPr>
            <w:r w:rsidRPr="000B5668">
              <w:t>52/112 (46%)</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7C628B1E" w14:textId="77777777" w:rsidR="000B5668" w:rsidRPr="001272AB" w:rsidRDefault="000B5668" w:rsidP="000B5668">
            <w:pPr>
              <w:pStyle w:val="DHHStabletext"/>
              <w:jc w:val="center"/>
            </w:pPr>
            <w:r w:rsidRPr="000B5668">
              <w:t>88/112 (77%)</w:t>
            </w:r>
          </w:p>
        </w:tc>
      </w:tr>
      <w:tr w:rsidR="000B5668" w:rsidRPr="001272AB" w14:paraId="66CB6825"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27B163B7" w14:textId="77777777" w:rsidR="000B5668" w:rsidRPr="00304743" w:rsidRDefault="000B5668" w:rsidP="000B5668">
            <w:pPr>
              <w:pStyle w:val="DHHStabletext"/>
              <w:rPr>
                <w:b/>
                <w:sz w:val="36"/>
                <w:szCs w:val="36"/>
                <w:lang w:eastAsia="en-AU"/>
              </w:rPr>
            </w:pPr>
            <w:r w:rsidRPr="00304743">
              <w:rPr>
                <w:rFonts w:eastAsia="Arial"/>
                <w:b/>
                <w:lang w:val="en-US" w:eastAsia="en-AU"/>
              </w:rPr>
              <w:t>BSWRICS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5B4B28F0" w14:textId="77777777" w:rsidR="000B5668" w:rsidRPr="001272AB" w:rsidRDefault="000B5668" w:rsidP="000B5668">
            <w:pPr>
              <w:pStyle w:val="DHHStabletext"/>
              <w:jc w:val="center"/>
            </w:pPr>
            <w:r w:rsidRPr="000B5668">
              <w:t>5/47 (11%)</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6D6E67A3" w14:textId="64B99408" w:rsidR="000B5668" w:rsidRPr="001272AB" w:rsidRDefault="000B5668" w:rsidP="000B5668">
            <w:pPr>
              <w:pStyle w:val="DHHStabletext"/>
              <w:jc w:val="center"/>
            </w:pPr>
            <w:r w:rsidRPr="000B5668">
              <w:t>4/47 (9%)</w:t>
            </w:r>
            <w:r w:rsidR="00084E54">
              <w:rPr>
                <w:rStyle w:val="FootnoteReference"/>
              </w:rPr>
              <w:footnoteReference w:id="12"/>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3F8AB9FF" w14:textId="77777777" w:rsidR="000B5668" w:rsidRPr="001272AB" w:rsidRDefault="000B5668" w:rsidP="000B5668">
            <w:pPr>
              <w:pStyle w:val="DHHStabletext"/>
              <w:jc w:val="center"/>
            </w:pPr>
            <w:r w:rsidRPr="000B5668">
              <w:t>8/15 (53%)</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480E4720" w14:textId="77777777" w:rsidR="000B5668" w:rsidRPr="001272AB" w:rsidRDefault="000B5668" w:rsidP="000B5668">
            <w:pPr>
              <w:pStyle w:val="DHHStabletext"/>
              <w:jc w:val="center"/>
            </w:pPr>
            <w:r w:rsidRPr="000B5668">
              <w:t>10/15 (67%)</w:t>
            </w:r>
          </w:p>
        </w:tc>
      </w:tr>
      <w:tr w:rsidR="000B5668" w:rsidRPr="001272AB" w14:paraId="64E562CB"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24674542" w14:textId="77777777" w:rsidR="000B5668" w:rsidRPr="00304743" w:rsidRDefault="000B5668" w:rsidP="000B5668">
            <w:pPr>
              <w:pStyle w:val="DHHStabletext"/>
              <w:rPr>
                <w:b/>
                <w:sz w:val="36"/>
                <w:szCs w:val="36"/>
                <w:lang w:eastAsia="en-AU"/>
              </w:rPr>
            </w:pPr>
            <w:r w:rsidRPr="00304743">
              <w:rPr>
                <w:rFonts w:eastAsia="Arial"/>
                <w:b/>
                <w:lang w:val="en-US" w:eastAsia="en-AU"/>
              </w:rPr>
              <w:t>GRICS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28D8CB72" w14:textId="77777777" w:rsidR="000B5668" w:rsidRPr="001272AB" w:rsidRDefault="000B5668" w:rsidP="000B5668">
            <w:pPr>
              <w:pStyle w:val="DHHStabletext"/>
              <w:jc w:val="center"/>
            </w:pPr>
            <w:r w:rsidRPr="000B5668">
              <w:t>0/3 (0%)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20019F6B" w14:textId="77777777" w:rsidR="000B5668" w:rsidRPr="001272AB" w:rsidRDefault="000B5668" w:rsidP="000B5668">
            <w:pPr>
              <w:pStyle w:val="DHHStabletext"/>
              <w:jc w:val="center"/>
            </w:pPr>
            <w:r w:rsidRPr="000B5668">
              <w:t>0/3 (0%)</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794D9EE3" w14:textId="77777777" w:rsidR="000B5668" w:rsidRPr="001272AB" w:rsidRDefault="000B5668" w:rsidP="000B5668">
            <w:pPr>
              <w:pStyle w:val="DHHStabletext"/>
              <w:jc w:val="center"/>
            </w:pPr>
            <w:r w:rsidRPr="000B5668">
              <w:t>1/1 (100%)</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31D5748F" w14:textId="77777777" w:rsidR="000B5668" w:rsidRPr="001272AB" w:rsidRDefault="000B5668" w:rsidP="000B5668">
            <w:pPr>
              <w:pStyle w:val="DHHStabletext"/>
              <w:jc w:val="center"/>
            </w:pPr>
            <w:r w:rsidRPr="000B5668">
              <w:t>0/1 (0%)</w:t>
            </w:r>
          </w:p>
        </w:tc>
      </w:tr>
      <w:tr w:rsidR="000B5668" w:rsidRPr="001272AB" w14:paraId="34069C71"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4F0C0593" w14:textId="3E6F7D06" w:rsidR="000B5668" w:rsidRPr="00304743" w:rsidRDefault="000B5668" w:rsidP="000B5668">
            <w:pPr>
              <w:pStyle w:val="DHHStabletext"/>
              <w:rPr>
                <w:b/>
                <w:sz w:val="36"/>
                <w:szCs w:val="36"/>
                <w:lang w:eastAsia="en-AU"/>
              </w:rPr>
            </w:pPr>
            <w:r w:rsidRPr="00304743">
              <w:rPr>
                <w:rFonts w:eastAsia="Arial"/>
                <w:b/>
                <w:lang w:val="en-US" w:eastAsia="en-AU"/>
              </w:rPr>
              <w:t>HRICS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1B3EAD99" w14:textId="77777777" w:rsidR="000B5668" w:rsidRPr="001272AB" w:rsidRDefault="000B5668" w:rsidP="000B5668">
            <w:pPr>
              <w:pStyle w:val="DHHStabletext"/>
              <w:jc w:val="center"/>
            </w:pPr>
            <w:r w:rsidRPr="000B5668">
              <w:t>0/4 (0%)</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4E968E37" w14:textId="77777777" w:rsidR="000B5668" w:rsidRPr="001272AB" w:rsidRDefault="000B5668" w:rsidP="000B5668">
            <w:pPr>
              <w:pStyle w:val="DHHStabletext"/>
              <w:jc w:val="center"/>
            </w:pPr>
            <w:r w:rsidRPr="000B5668">
              <w:t>0/4 (0%)</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00DAA056" w14:textId="5CC8DF3B" w:rsidR="000B5668" w:rsidRPr="001272AB" w:rsidRDefault="00AF647E" w:rsidP="000B5668">
            <w:pPr>
              <w:pStyle w:val="DHHStabletext"/>
              <w:jc w:val="center"/>
            </w:pPr>
            <w:r>
              <w:t>–</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5E45BA3D" w14:textId="2AA3FACA" w:rsidR="000B5668" w:rsidRPr="001272AB" w:rsidRDefault="00AF647E" w:rsidP="000B5668">
            <w:pPr>
              <w:pStyle w:val="DHHStabletext"/>
              <w:jc w:val="center"/>
            </w:pPr>
            <w:r>
              <w:t>–</w:t>
            </w:r>
          </w:p>
        </w:tc>
      </w:tr>
      <w:tr w:rsidR="000B5668" w:rsidRPr="001272AB" w14:paraId="68501876"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7CAC57AA" w14:textId="77777777" w:rsidR="000B5668" w:rsidRPr="00304743" w:rsidRDefault="000B5668" w:rsidP="000B5668">
            <w:pPr>
              <w:pStyle w:val="DHHStabletext"/>
              <w:rPr>
                <w:b/>
                <w:sz w:val="36"/>
                <w:szCs w:val="36"/>
                <w:lang w:eastAsia="en-AU"/>
              </w:rPr>
            </w:pPr>
            <w:r w:rsidRPr="00304743">
              <w:rPr>
                <w:rFonts w:eastAsia="Arial"/>
                <w:b/>
                <w:lang w:val="en-US" w:eastAsia="en-AU"/>
              </w:rPr>
              <w:t>LMICS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7AAC12EF" w14:textId="77777777" w:rsidR="000B5668" w:rsidRPr="001272AB" w:rsidRDefault="000B5668" w:rsidP="000B5668">
            <w:pPr>
              <w:pStyle w:val="DHHStabletext"/>
              <w:jc w:val="center"/>
            </w:pPr>
            <w:r w:rsidRPr="000B5668">
              <w:t>2/18 (11%)</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365F5688" w14:textId="77777777" w:rsidR="000B5668" w:rsidRPr="001272AB" w:rsidRDefault="000B5668" w:rsidP="000B5668">
            <w:pPr>
              <w:pStyle w:val="DHHStabletext"/>
              <w:jc w:val="center"/>
            </w:pPr>
            <w:r w:rsidRPr="000B5668">
              <w:t>1/18 (6%)</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0287750E" w14:textId="74323384" w:rsidR="000B5668" w:rsidRPr="001272AB" w:rsidRDefault="00AF647E" w:rsidP="000B5668">
            <w:pPr>
              <w:pStyle w:val="DHHStabletext"/>
              <w:jc w:val="center"/>
            </w:pPr>
            <w:r>
              <w:t>–</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21A23ECE" w14:textId="1E7AE8B8" w:rsidR="000B5668" w:rsidRPr="001272AB" w:rsidRDefault="00AF647E" w:rsidP="000B5668">
            <w:pPr>
              <w:pStyle w:val="DHHStabletext"/>
              <w:jc w:val="center"/>
            </w:pPr>
            <w:r>
              <w:t>–</w:t>
            </w:r>
          </w:p>
        </w:tc>
      </w:tr>
      <w:tr w:rsidR="000B5668" w:rsidRPr="001272AB" w14:paraId="0808A58B"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63C75D7A" w14:textId="77777777" w:rsidR="000B5668" w:rsidRPr="00304743" w:rsidRDefault="000B5668" w:rsidP="000B5668">
            <w:pPr>
              <w:pStyle w:val="DHHStabletext"/>
              <w:rPr>
                <w:b/>
                <w:sz w:val="36"/>
                <w:szCs w:val="36"/>
                <w:lang w:eastAsia="en-AU"/>
              </w:rPr>
            </w:pPr>
            <w:r w:rsidRPr="00304743">
              <w:rPr>
                <w:rFonts w:eastAsia="Arial"/>
                <w:b/>
                <w:lang w:val="en-US" w:eastAsia="en-AU"/>
              </w:rPr>
              <w:t>GICS</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7259FFC3" w14:textId="77777777" w:rsidR="000B5668" w:rsidRPr="001272AB" w:rsidRDefault="000B5668" w:rsidP="000B5668">
            <w:pPr>
              <w:pStyle w:val="DHHStabletext"/>
              <w:jc w:val="center"/>
            </w:pPr>
            <w:r w:rsidRPr="000B5668">
              <w:t>2/25 (8%)</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01B5D202" w14:textId="77777777" w:rsidR="000B5668" w:rsidRPr="001272AB" w:rsidRDefault="000B5668" w:rsidP="000B5668">
            <w:pPr>
              <w:pStyle w:val="DHHStabletext"/>
              <w:jc w:val="center"/>
            </w:pPr>
            <w:r w:rsidRPr="000B5668">
              <w:t>6/25 (24%)</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37463513" w14:textId="77777777" w:rsidR="000B5668" w:rsidRPr="001272AB" w:rsidRDefault="000B5668" w:rsidP="000B5668">
            <w:pPr>
              <w:pStyle w:val="DHHStabletext"/>
              <w:jc w:val="center"/>
            </w:pPr>
            <w:r w:rsidRPr="000B5668">
              <w:t>4/7 (57%)</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1B6EE30A" w14:textId="77777777" w:rsidR="000B5668" w:rsidRPr="001272AB" w:rsidRDefault="000B5668" w:rsidP="000B5668">
            <w:pPr>
              <w:pStyle w:val="DHHStabletext"/>
              <w:jc w:val="center"/>
            </w:pPr>
            <w:r w:rsidRPr="000B5668">
              <w:t>5/7 (71%)</w:t>
            </w:r>
          </w:p>
        </w:tc>
      </w:tr>
      <w:tr w:rsidR="000B5668" w:rsidRPr="001272AB" w14:paraId="5B825B4C" w14:textId="77777777" w:rsidTr="00536867">
        <w:trPr>
          <w:trHeight w:val="25"/>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144" w:type="dxa"/>
              <w:left w:w="144" w:type="dxa"/>
              <w:bottom w:w="72" w:type="dxa"/>
              <w:right w:w="144" w:type="dxa"/>
            </w:tcMar>
          </w:tcPr>
          <w:p w14:paraId="4EC36DBB" w14:textId="77777777" w:rsidR="000B5668" w:rsidRPr="00304743" w:rsidRDefault="000B5668" w:rsidP="000B5668">
            <w:pPr>
              <w:pStyle w:val="DHHStabletext"/>
              <w:rPr>
                <w:rFonts w:eastAsia="Arial"/>
                <w:b/>
                <w:lang w:val="en-US" w:eastAsia="en-AU"/>
              </w:rPr>
            </w:pPr>
            <w:r w:rsidRPr="00304743">
              <w:rPr>
                <w:rFonts w:eastAsia="Arial"/>
                <w:b/>
                <w:lang w:val="en-US" w:eastAsia="en-AU"/>
              </w:rPr>
              <w:t>Victoria</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3A558D87" w14:textId="77777777" w:rsidR="000B5668" w:rsidRPr="000B5668" w:rsidRDefault="000B5668" w:rsidP="000B5668">
            <w:pPr>
              <w:pStyle w:val="DHHStabletext"/>
              <w:jc w:val="center"/>
              <w:rPr>
                <w:b/>
              </w:rPr>
            </w:pPr>
            <w:r w:rsidRPr="000B5668">
              <w:rPr>
                <w:b/>
              </w:rPr>
              <w:t>147/693 (21%)</w:t>
            </w:r>
          </w:p>
        </w:tc>
        <w:tc>
          <w:tcPr>
            <w:tcW w:w="976"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7F2351C6" w14:textId="77777777" w:rsidR="000B5668" w:rsidRPr="000B5668" w:rsidRDefault="000B5668" w:rsidP="000B5668">
            <w:pPr>
              <w:pStyle w:val="DHHStabletext"/>
              <w:jc w:val="center"/>
              <w:rPr>
                <w:b/>
              </w:rPr>
            </w:pPr>
            <w:r w:rsidRPr="000B5668">
              <w:rPr>
                <w:b/>
              </w:rPr>
              <w:t>151/693 (22%)</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0905220D" w14:textId="77777777" w:rsidR="000B5668" w:rsidRPr="000B5668" w:rsidRDefault="000B5668" w:rsidP="000B5668">
            <w:pPr>
              <w:pStyle w:val="DHHStabletext"/>
              <w:jc w:val="center"/>
              <w:rPr>
                <w:b/>
              </w:rPr>
            </w:pPr>
            <w:r w:rsidRPr="000B5668">
              <w:rPr>
                <w:b/>
              </w:rPr>
              <w:t>101/223 (45%)</w:t>
            </w:r>
          </w:p>
        </w:tc>
        <w:tc>
          <w:tcPr>
            <w:tcW w:w="975"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72" w:type="dxa"/>
              <w:right w:w="144" w:type="dxa"/>
            </w:tcMar>
            <w:vAlign w:val="center"/>
          </w:tcPr>
          <w:p w14:paraId="24F80FC9" w14:textId="77777777" w:rsidR="000B5668" w:rsidRPr="000B5668" w:rsidRDefault="000B5668" w:rsidP="000B5668">
            <w:pPr>
              <w:pStyle w:val="DHHStabletext"/>
              <w:jc w:val="center"/>
              <w:rPr>
                <w:b/>
              </w:rPr>
            </w:pPr>
            <w:r w:rsidRPr="000B5668">
              <w:rPr>
                <w:b/>
              </w:rPr>
              <w:t>171/223 (77%)</w:t>
            </w:r>
          </w:p>
        </w:tc>
      </w:tr>
    </w:tbl>
    <w:p w14:paraId="68A7BEEC" w14:textId="30FAD910" w:rsidR="008C4F40" w:rsidRDefault="007D2D14" w:rsidP="000B5668">
      <w:pPr>
        <w:pStyle w:val="DHHStablefigurenote"/>
        <w:rPr>
          <w:rFonts w:eastAsia="Times"/>
          <w:lang w:val="en-US"/>
        </w:rPr>
      </w:pPr>
      <w:r>
        <w:rPr>
          <w:rFonts w:eastAsia="Times"/>
          <w:lang w:val="en-US"/>
        </w:rPr>
        <w:t xml:space="preserve">Note </w:t>
      </w:r>
      <w:r w:rsidR="00B3087A">
        <w:rPr>
          <w:rFonts w:eastAsia="Times"/>
          <w:lang w:val="en-US"/>
        </w:rPr>
        <w:t>HRICS</w:t>
      </w:r>
      <w:r w:rsidR="000B5668" w:rsidRPr="006D25D3">
        <w:rPr>
          <w:rFonts w:eastAsia="Times"/>
          <w:lang w:val="en-US"/>
        </w:rPr>
        <w:t xml:space="preserve"> data limitation</w:t>
      </w:r>
      <w:r w:rsidR="00084E54">
        <w:rPr>
          <w:rFonts w:eastAsia="Times"/>
          <w:lang w:val="en-US"/>
        </w:rPr>
        <w:t>.</w:t>
      </w:r>
    </w:p>
    <w:p w14:paraId="04FC6DF0" w14:textId="77777777" w:rsidR="00903BD0" w:rsidRDefault="00903BD0" w:rsidP="00903BD0">
      <w:pPr>
        <w:pStyle w:val="Heading3"/>
      </w:pPr>
      <w:r>
        <w:t>Clinical commentary</w:t>
      </w:r>
    </w:p>
    <w:p w14:paraId="16FA78EB" w14:textId="77777777" w:rsidR="00BF0C07" w:rsidRDefault="00D07289" w:rsidP="00EE4483">
      <w:pPr>
        <w:pStyle w:val="DHHSbody"/>
        <w:rPr>
          <w:lang w:val="en-US"/>
        </w:rPr>
      </w:pPr>
      <w:r w:rsidRPr="00EE4483">
        <w:rPr>
          <w:lang w:val="en-US"/>
        </w:rPr>
        <w:t>As expected, m</w:t>
      </w:r>
      <w:r w:rsidR="00D86A3F" w:rsidRPr="00EE4483">
        <w:rPr>
          <w:lang w:val="en-US"/>
        </w:rPr>
        <w:t>ost patients with oral cavity cancer had surgery</w:t>
      </w:r>
      <w:r w:rsidR="000A6176" w:rsidRPr="00EE4483">
        <w:rPr>
          <w:lang w:val="en-US"/>
        </w:rPr>
        <w:t xml:space="preserve"> and a higher proportion of lymph node positive patients had</w:t>
      </w:r>
      <w:r w:rsidR="000A6176">
        <w:rPr>
          <w:lang w:val="en-US"/>
        </w:rPr>
        <w:t xml:space="preserve"> a neck dissection and adjuvant therapy</w:t>
      </w:r>
      <w:r>
        <w:rPr>
          <w:lang w:val="en-US"/>
        </w:rPr>
        <w:t>. A</w:t>
      </w:r>
      <w:r w:rsidR="00D86A3F" w:rsidRPr="00D86A3F">
        <w:rPr>
          <w:rFonts w:ascii="Cambria" w:eastAsia="Times New Roman" w:hAnsi="Cambria"/>
        </w:rPr>
        <w:t xml:space="preserve"> </w:t>
      </w:r>
      <w:r w:rsidR="00D86A3F" w:rsidRPr="00D86A3F">
        <w:rPr>
          <w:lang w:val="en-US"/>
        </w:rPr>
        <w:t xml:space="preserve">small proportion </w:t>
      </w:r>
      <w:r w:rsidR="000A6176">
        <w:rPr>
          <w:lang w:val="en-US"/>
        </w:rPr>
        <w:t xml:space="preserve">of patients </w:t>
      </w:r>
      <w:r w:rsidR="00D86A3F" w:rsidRPr="00D86A3F">
        <w:rPr>
          <w:lang w:val="en-US"/>
        </w:rPr>
        <w:t xml:space="preserve">had </w:t>
      </w:r>
      <w:r w:rsidR="0030670B">
        <w:rPr>
          <w:lang w:val="en-US"/>
        </w:rPr>
        <w:t>RT</w:t>
      </w:r>
      <w:r w:rsidR="00D86A3F" w:rsidRPr="00D86A3F">
        <w:rPr>
          <w:lang w:val="en-US"/>
        </w:rPr>
        <w:t xml:space="preserve"> only, </w:t>
      </w:r>
      <w:r w:rsidR="00786405">
        <w:rPr>
          <w:lang w:val="en-US"/>
        </w:rPr>
        <w:t>CRT</w:t>
      </w:r>
      <w:r w:rsidR="00D86A3F" w:rsidRPr="00D86A3F">
        <w:rPr>
          <w:lang w:val="en-US"/>
        </w:rPr>
        <w:t xml:space="preserve"> only, palliative treatment (palliative </w:t>
      </w:r>
      <w:r w:rsidR="00786405">
        <w:rPr>
          <w:lang w:val="en-US"/>
        </w:rPr>
        <w:t>RT</w:t>
      </w:r>
      <w:r w:rsidR="00D86A3F" w:rsidRPr="00D86A3F">
        <w:rPr>
          <w:lang w:val="en-US"/>
        </w:rPr>
        <w:t>) or no surgery/RT/CRT</w:t>
      </w:r>
      <w:r>
        <w:rPr>
          <w:lang w:val="en-US"/>
        </w:rPr>
        <w:t xml:space="preserve">. The latter group </w:t>
      </w:r>
      <w:r w:rsidR="00D86A3F" w:rsidRPr="00D86A3F">
        <w:rPr>
          <w:lang w:val="en-US"/>
        </w:rPr>
        <w:t>includes patients who die soon after diagnosis, are too unwell for treatment or who have early stage disease and are treated with a biopsy procedure</w:t>
      </w:r>
      <w:r>
        <w:rPr>
          <w:lang w:val="en-US"/>
        </w:rPr>
        <w:t>.</w:t>
      </w:r>
      <w:r w:rsidR="00D86A3F">
        <w:rPr>
          <w:lang w:val="en-US"/>
        </w:rPr>
        <w:t xml:space="preserve"> </w:t>
      </w:r>
      <w:r w:rsidR="00903BD0" w:rsidRPr="00903BD0">
        <w:rPr>
          <w:lang w:val="en-US"/>
        </w:rPr>
        <w:t xml:space="preserve">Although there was slight variation in </w:t>
      </w:r>
      <w:r w:rsidR="00CE42F4">
        <w:rPr>
          <w:lang w:val="en-US"/>
        </w:rPr>
        <w:t xml:space="preserve">the use of </w:t>
      </w:r>
      <w:r w:rsidR="00903BD0" w:rsidRPr="00903BD0">
        <w:rPr>
          <w:lang w:val="en-US"/>
        </w:rPr>
        <w:t xml:space="preserve">neck dissection and adjuvant </w:t>
      </w:r>
      <w:r w:rsidR="00CE42F4">
        <w:rPr>
          <w:lang w:val="en-US"/>
        </w:rPr>
        <w:t>therapy</w:t>
      </w:r>
      <w:r w:rsidR="000A6176">
        <w:rPr>
          <w:lang w:val="en-US"/>
        </w:rPr>
        <w:t xml:space="preserve"> across ICS</w:t>
      </w:r>
      <w:r w:rsidR="00903BD0" w:rsidRPr="00903BD0">
        <w:rPr>
          <w:lang w:val="en-US"/>
        </w:rPr>
        <w:t>, there was no significant difference in survival b</w:t>
      </w:r>
      <w:r w:rsidR="000A6176">
        <w:rPr>
          <w:lang w:val="en-US"/>
        </w:rPr>
        <w:t>y</w:t>
      </w:r>
      <w:r w:rsidR="00903BD0" w:rsidRPr="00903BD0">
        <w:rPr>
          <w:lang w:val="en-US"/>
        </w:rPr>
        <w:t xml:space="preserve"> ICS of surgery</w:t>
      </w:r>
      <w:r w:rsidR="00EE4483">
        <w:rPr>
          <w:lang w:val="en-US"/>
        </w:rPr>
        <w:t>.</w:t>
      </w:r>
    </w:p>
    <w:p w14:paraId="165AC774" w14:textId="4F8C54B0" w:rsidR="005F078F" w:rsidRDefault="005F078F" w:rsidP="000C5AF2">
      <w:pPr>
        <w:pStyle w:val="DHHSbody"/>
        <w:rPr>
          <w:lang w:val="en-US"/>
        </w:rPr>
      </w:pPr>
      <w:r>
        <w:rPr>
          <w:lang w:val="en-US"/>
        </w:rPr>
        <w:br w:type="page"/>
      </w:r>
    </w:p>
    <w:p w14:paraId="3582A3A2" w14:textId="33A2729A" w:rsidR="005F078F" w:rsidRDefault="005F078F" w:rsidP="00EE4483">
      <w:pPr>
        <w:pStyle w:val="DHHSbody"/>
        <w:rPr>
          <w:lang w:val="en-US"/>
        </w:rPr>
        <w:sectPr w:rsidR="005F078F" w:rsidSect="0021475A">
          <w:pgSz w:w="11906" w:h="16838"/>
          <w:pgMar w:top="1701" w:right="1304" w:bottom="1134" w:left="1304" w:header="454" w:footer="510" w:gutter="0"/>
          <w:cols w:space="720"/>
          <w:docGrid w:linePitch="360"/>
        </w:sectPr>
      </w:pPr>
    </w:p>
    <w:p w14:paraId="4F391CBD" w14:textId="5917C81D" w:rsidR="007E439A" w:rsidRDefault="007E439A" w:rsidP="007970BD">
      <w:pPr>
        <w:pStyle w:val="Heading1"/>
      </w:pPr>
      <w:bookmarkStart w:id="85" w:name="_Toc22713862"/>
      <w:r w:rsidRPr="006F2294">
        <w:t>Treatment and survival –</w:t>
      </w:r>
      <w:r w:rsidR="00D569C2">
        <w:t xml:space="preserve"> </w:t>
      </w:r>
      <w:r w:rsidR="00EE4483">
        <w:t>oropharynx</w:t>
      </w:r>
      <w:r w:rsidRPr="006F2294">
        <w:t xml:space="preserve"> cancer</w:t>
      </w:r>
      <w:r w:rsidR="004A05E6">
        <w:rPr>
          <w:rStyle w:val="FootnoteReference"/>
        </w:rPr>
        <w:footnoteReference w:id="13"/>
      </w:r>
      <w:bookmarkEnd w:id="85"/>
    </w:p>
    <w:p w14:paraId="5D10628A" w14:textId="4C0A276C" w:rsidR="00A21898" w:rsidRDefault="00230F32" w:rsidP="00622233">
      <w:pPr>
        <w:pStyle w:val="DHHSbullet1"/>
      </w:pPr>
      <w:r>
        <w:t>There were 920</w:t>
      </w:r>
      <w:r w:rsidR="00622233">
        <w:t xml:space="preserve"> </w:t>
      </w:r>
      <w:r w:rsidR="00044BEF">
        <w:t xml:space="preserve">Victorians diagnosed with </w:t>
      </w:r>
      <w:r w:rsidR="00622233">
        <w:t xml:space="preserve">oropharynx </w:t>
      </w:r>
      <w:r w:rsidR="00044BEF">
        <w:t xml:space="preserve">cancer </w:t>
      </w:r>
      <w:r>
        <w:t xml:space="preserve">between </w:t>
      </w:r>
      <w:r w:rsidR="00622233">
        <w:t>2012</w:t>
      </w:r>
      <w:r>
        <w:t xml:space="preserve"> and </w:t>
      </w:r>
      <w:r w:rsidR="00622233">
        <w:t>2016</w:t>
      </w:r>
      <w:r w:rsidR="004A05E6">
        <w:t xml:space="preserve"> who did not present with distant metastases</w:t>
      </w:r>
      <w:r w:rsidR="00513998">
        <w:t xml:space="preserve"> (see </w:t>
      </w:r>
      <w:r w:rsidR="00E908EB">
        <w:t>G</w:t>
      </w:r>
      <w:r w:rsidR="00513998">
        <w:t>lossary)</w:t>
      </w:r>
      <w:r w:rsidR="00786405">
        <w:t>.</w:t>
      </w:r>
      <w:r>
        <w:t xml:space="preserve"> Of those:</w:t>
      </w:r>
      <w:r w:rsidR="00A21898">
        <w:t xml:space="preserve"> </w:t>
      </w:r>
    </w:p>
    <w:p w14:paraId="58A126D7" w14:textId="33A72313" w:rsidR="00A21898" w:rsidRDefault="00786405" w:rsidP="00A21898">
      <w:pPr>
        <w:pStyle w:val="DHHSbullet2"/>
      </w:pPr>
      <w:r>
        <w:t>Forty-nine</w:t>
      </w:r>
      <w:r w:rsidR="00EE4483">
        <w:t xml:space="preserve"> per cent</w:t>
      </w:r>
      <w:r w:rsidR="00A21898">
        <w:t xml:space="preserve"> </w:t>
      </w:r>
      <w:r w:rsidR="00622233">
        <w:t xml:space="preserve">received </w:t>
      </w:r>
      <w:r w:rsidR="00953204">
        <w:t xml:space="preserve">radical </w:t>
      </w:r>
      <w:r w:rsidR="00622233">
        <w:t>CRT</w:t>
      </w:r>
      <w:r w:rsidR="00513998">
        <w:t xml:space="preserve"> (</w:t>
      </w:r>
      <w:r w:rsidR="00513998">
        <w:fldChar w:fldCharType="begin"/>
      </w:r>
      <w:r w:rsidR="00513998">
        <w:instrText xml:space="preserve"> REF _Ref4066037 \h </w:instrText>
      </w:r>
      <w:r w:rsidR="00513998">
        <w:fldChar w:fldCharType="separate"/>
      </w:r>
      <w:r w:rsidR="00084E54">
        <w:t xml:space="preserve">Figure </w:t>
      </w:r>
      <w:r w:rsidR="00084E54">
        <w:rPr>
          <w:noProof/>
        </w:rPr>
        <w:t>20</w:t>
      </w:r>
      <w:r w:rsidR="00513998">
        <w:fldChar w:fldCharType="end"/>
      </w:r>
      <w:r w:rsidR="00513998">
        <w:t>)</w:t>
      </w:r>
      <w:r>
        <w:t>.</w:t>
      </w:r>
    </w:p>
    <w:p w14:paraId="395BF6B9" w14:textId="3FB9D314" w:rsidR="00A21898" w:rsidRDefault="00786405" w:rsidP="00A21898">
      <w:pPr>
        <w:pStyle w:val="DHHSbullet2"/>
      </w:pPr>
      <w:r>
        <w:t>Thirty</w:t>
      </w:r>
      <w:r w:rsidR="00EE4483">
        <w:t xml:space="preserve"> per cent</w:t>
      </w:r>
      <w:r w:rsidR="00622233">
        <w:t xml:space="preserve"> had surgery</w:t>
      </w:r>
      <w:r>
        <w:t>,</w:t>
      </w:r>
      <w:r w:rsidR="00D54817">
        <w:t xml:space="preserve"> of which</w:t>
      </w:r>
      <w:r w:rsidR="00A21898">
        <w:t xml:space="preserve"> 66</w:t>
      </w:r>
      <w:r w:rsidR="00044BEF">
        <w:t xml:space="preserve"> per cent</w:t>
      </w:r>
      <w:r w:rsidR="00A21898">
        <w:t xml:space="preserve"> had</w:t>
      </w:r>
      <w:r w:rsidR="00622233">
        <w:t xml:space="preserve"> adjuvant therapy</w:t>
      </w:r>
      <w:r>
        <w:t>.</w:t>
      </w:r>
    </w:p>
    <w:p w14:paraId="1814F146" w14:textId="0158BBA5" w:rsidR="00622233" w:rsidRDefault="00786405" w:rsidP="00A21898">
      <w:pPr>
        <w:pStyle w:val="DHHSbullet2"/>
      </w:pPr>
      <w:r>
        <w:t>Eight</w:t>
      </w:r>
      <w:r w:rsidR="00044BEF">
        <w:t xml:space="preserve"> per cent</w:t>
      </w:r>
      <w:r w:rsidR="00622233">
        <w:t xml:space="preserve"> had </w:t>
      </w:r>
      <w:r w:rsidR="00953204">
        <w:t xml:space="preserve">radical </w:t>
      </w:r>
      <w:r w:rsidR="00622233">
        <w:t>RT</w:t>
      </w:r>
      <w:r>
        <w:t>.</w:t>
      </w:r>
    </w:p>
    <w:p w14:paraId="7678CAA4" w14:textId="06779C35" w:rsidR="00A21898" w:rsidRDefault="00786405" w:rsidP="00A21898">
      <w:pPr>
        <w:pStyle w:val="DHHSbullet2"/>
      </w:pPr>
      <w:r>
        <w:t>Six</w:t>
      </w:r>
      <w:r w:rsidR="00044BEF">
        <w:t xml:space="preserve"> per cent</w:t>
      </w:r>
      <w:r w:rsidR="00622233">
        <w:t xml:space="preserve"> had palliative treatment</w:t>
      </w:r>
      <w:r>
        <w:t>.</w:t>
      </w:r>
    </w:p>
    <w:p w14:paraId="1302E8F9" w14:textId="2A324A23" w:rsidR="00622233" w:rsidRDefault="00786405" w:rsidP="00A21898">
      <w:pPr>
        <w:pStyle w:val="DHHSbullet2"/>
      </w:pPr>
      <w:r>
        <w:t>Seven</w:t>
      </w:r>
      <w:r w:rsidR="00044BEF">
        <w:t xml:space="preserve"> per cent</w:t>
      </w:r>
      <w:r w:rsidR="00622233">
        <w:t xml:space="preserve"> had no surgery, </w:t>
      </w:r>
      <w:r w:rsidR="00683C74">
        <w:t xml:space="preserve">chemotherapy, </w:t>
      </w:r>
      <w:r w:rsidR="00622233">
        <w:t xml:space="preserve">RT or </w:t>
      </w:r>
      <w:r w:rsidR="00683C74">
        <w:t>CRT</w:t>
      </w:r>
      <w:r>
        <w:t>.</w:t>
      </w:r>
    </w:p>
    <w:p w14:paraId="71B04171" w14:textId="4AB4BB2E" w:rsidR="00196157" w:rsidRDefault="00622233" w:rsidP="00622233">
      <w:pPr>
        <w:pStyle w:val="DHHSbullet1"/>
      </w:pPr>
      <w:r>
        <w:t xml:space="preserve">Survival differed significantly by treatment received, being poorer for those receiving </w:t>
      </w:r>
      <w:r w:rsidR="00953204">
        <w:t xml:space="preserve">radical </w:t>
      </w:r>
      <w:r>
        <w:t>RT alone</w:t>
      </w:r>
      <w:r w:rsidR="00C40277">
        <w:t xml:space="preserve"> compared </w:t>
      </w:r>
      <w:r w:rsidR="00F2767B">
        <w:t>with</w:t>
      </w:r>
      <w:r w:rsidR="00C40277">
        <w:t xml:space="preserve"> the Victorian average</w:t>
      </w:r>
      <w:r w:rsidR="00196157">
        <w:t>, independent of age, sex and como</w:t>
      </w:r>
      <w:r w:rsidR="00196157" w:rsidRPr="00C67605">
        <w:t>rbidity</w:t>
      </w:r>
      <w:r w:rsidR="00764A31">
        <w:t xml:space="preserve"> count</w:t>
      </w:r>
      <w:r w:rsidR="00C40277" w:rsidRPr="00C67605">
        <w:t xml:space="preserve"> (</w:t>
      </w:r>
      <w:r w:rsidR="00C40277" w:rsidRPr="00C67605">
        <w:rPr>
          <w:i/>
        </w:rPr>
        <w:t>p</w:t>
      </w:r>
      <w:r w:rsidR="00C40277" w:rsidRPr="00C67605">
        <w:t xml:space="preserve"> </w:t>
      </w:r>
      <w:r w:rsidR="00786405">
        <w:t>=</w:t>
      </w:r>
      <w:r w:rsidR="00C67605" w:rsidRPr="00C67605">
        <w:t xml:space="preserve"> 0.00</w:t>
      </w:r>
      <w:r w:rsidR="00786405">
        <w:t>4</w:t>
      </w:r>
      <w:r w:rsidR="00C40277" w:rsidRPr="00C67605">
        <w:t>)</w:t>
      </w:r>
      <w:r w:rsidR="00196157">
        <w:t xml:space="preserve"> </w:t>
      </w:r>
      <w:r w:rsidR="00C40277">
        <w:t>(</w:t>
      </w:r>
      <w:r w:rsidR="00954022">
        <w:fldChar w:fldCharType="begin"/>
      </w:r>
      <w:r w:rsidR="00C40277">
        <w:instrText xml:space="preserve"> REF _Ref4067176 \h </w:instrText>
      </w:r>
      <w:r w:rsidR="00954022">
        <w:fldChar w:fldCharType="separate"/>
      </w:r>
      <w:r w:rsidR="00084E54">
        <w:t xml:space="preserve">Figure </w:t>
      </w:r>
      <w:r w:rsidR="00084E54">
        <w:rPr>
          <w:noProof/>
        </w:rPr>
        <w:t>21</w:t>
      </w:r>
      <w:r w:rsidR="00954022">
        <w:fldChar w:fldCharType="end"/>
      </w:r>
      <w:r w:rsidR="00196157">
        <w:t>)</w:t>
      </w:r>
      <w:r>
        <w:t xml:space="preserve">. </w:t>
      </w:r>
    </w:p>
    <w:p w14:paraId="11CB739B" w14:textId="007B4456" w:rsidR="004A78BC" w:rsidRDefault="00C40277" w:rsidP="004A78BC">
      <w:pPr>
        <w:pStyle w:val="DHHSbullet1"/>
      </w:pPr>
      <w:r>
        <w:t>After adjusting for age, sex and comorbidities, s</w:t>
      </w:r>
      <w:r w:rsidR="00622233">
        <w:t xml:space="preserve">urvival </w:t>
      </w:r>
      <w:r w:rsidR="00143F77">
        <w:t>following</w:t>
      </w:r>
      <w:r w:rsidR="00774E3A">
        <w:t xml:space="preserve"> </w:t>
      </w:r>
      <w:r w:rsidR="00953204">
        <w:t xml:space="preserve">radical </w:t>
      </w:r>
      <w:r w:rsidR="00774E3A">
        <w:t xml:space="preserve">CRT </w:t>
      </w:r>
      <w:r w:rsidR="00622233">
        <w:t>did not differ by ICS of CRT</w:t>
      </w:r>
      <w:r>
        <w:t xml:space="preserve"> (</w:t>
      </w:r>
      <w:r w:rsidR="00954022">
        <w:fldChar w:fldCharType="begin"/>
      </w:r>
      <w:r>
        <w:instrText xml:space="preserve"> REF _Ref4068721 \h </w:instrText>
      </w:r>
      <w:r w:rsidR="00954022">
        <w:fldChar w:fldCharType="separate"/>
      </w:r>
      <w:r w:rsidR="00084E54">
        <w:t xml:space="preserve">Figure </w:t>
      </w:r>
      <w:r w:rsidR="00084E54">
        <w:rPr>
          <w:noProof/>
        </w:rPr>
        <w:t>22</w:t>
      </w:r>
      <w:r w:rsidR="00954022">
        <w:fldChar w:fldCharType="end"/>
      </w:r>
      <w:r>
        <w:t>)</w:t>
      </w:r>
      <w:r w:rsidR="00622233">
        <w:t>.</w:t>
      </w:r>
    </w:p>
    <w:p w14:paraId="451EB5FC" w14:textId="11AA00C1" w:rsidR="00A21898" w:rsidRDefault="00A21898" w:rsidP="00A21898">
      <w:pPr>
        <w:pStyle w:val="DHHSfigurecaption"/>
      </w:pPr>
      <w:bookmarkStart w:id="86" w:name="_Ref4066037"/>
      <w:bookmarkStart w:id="87" w:name="_Toc22722832"/>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20</w:t>
      </w:r>
      <w:r w:rsidR="00954022">
        <w:rPr>
          <w:noProof/>
        </w:rPr>
        <w:fldChar w:fldCharType="end"/>
      </w:r>
      <w:bookmarkEnd w:id="86"/>
      <w:r>
        <w:t>: Treatment pathways</w:t>
      </w:r>
      <w:r w:rsidR="00230F32">
        <w:t xml:space="preserve"> within one year </w:t>
      </w:r>
      <w:r w:rsidR="00044BEF">
        <w:t>of oropharynx</w:t>
      </w:r>
      <w:r>
        <w:t xml:space="preserve"> cancer</w:t>
      </w:r>
      <w:r w:rsidR="00230F32">
        <w:t xml:space="preserve"> diagnosis (diagnosed 2012–2016)</w:t>
      </w:r>
      <w:bookmarkEnd w:id="87"/>
    </w:p>
    <w:p w14:paraId="4638529F" w14:textId="2200FC17" w:rsidR="00A21898" w:rsidRDefault="002655B8" w:rsidP="00B6299B">
      <w:pPr>
        <w:pStyle w:val="DHHSbody"/>
        <w:jc w:val="center"/>
      </w:pPr>
      <w:r w:rsidRPr="002655B8">
        <w:rPr>
          <w:noProof/>
        </w:rPr>
        <w:drawing>
          <wp:inline distT="0" distB="0" distL="0" distR="0" wp14:anchorId="05E6A9D4" wp14:editId="56A06EC6">
            <wp:extent cx="5669280" cy="3566160"/>
            <wp:effectExtent l="0" t="0" r="7620" b="0"/>
            <wp:docPr id="457" name="Picture 457" descr="Treatment pathways within one year of oropharynx cancer diagnosis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69280" cy="3566160"/>
                    </a:xfrm>
                    <a:prstGeom prst="rect">
                      <a:avLst/>
                    </a:prstGeom>
                    <a:noFill/>
                    <a:ln>
                      <a:noFill/>
                    </a:ln>
                  </pic:spPr>
                </pic:pic>
              </a:graphicData>
            </a:graphic>
          </wp:inline>
        </w:drawing>
      </w:r>
    </w:p>
    <w:p w14:paraId="4F73CEC5" w14:textId="0B7FBCDF" w:rsidR="00A3031B" w:rsidRPr="005F078F" w:rsidRDefault="00786405" w:rsidP="00747C0C">
      <w:pPr>
        <w:pStyle w:val="DHHStablefigurenote"/>
      </w:pPr>
      <w:r>
        <w:t>Radiotherapy (RT)</w:t>
      </w:r>
      <w:r w:rsidR="00953204" w:rsidRPr="000C6025">
        <w:t xml:space="preserve"> </w:t>
      </w:r>
      <w:r>
        <w:t>and chemoradiation (CRT)</w:t>
      </w:r>
      <w:r w:rsidR="00953204" w:rsidRPr="000C6025">
        <w:t xml:space="preserve"> refer to </w:t>
      </w:r>
      <w:r>
        <w:t>RT</w:t>
      </w:r>
      <w:r w:rsidR="00953204" w:rsidRPr="000C6025">
        <w:t xml:space="preserve"> with radical intent.</w:t>
      </w:r>
      <w:r w:rsidR="00A3031B" w:rsidRPr="000C6025">
        <w:t xml:space="preserve"> </w:t>
      </w:r>
      <w:r w:rsidR="009F31D4">
        <w:br/>
      </w:r>
      <w:r>
        <w:t xml:space="preserve">See </w:t>
      </w:r>
      <w:r w:rsidR="00E908EB">
        <w:t>G</w:t>
      </w:r>
      <w:r>
        <w:t xml:space="preserve">lossary for </w:t>
      </w:r>
      <w:r w:rsidR="00240E59">
        <w:t xml:space="preserve">more </w:t>
      </w:r>
      <w:r>
        <w:t xml:space="preserve">information on treatment groups. </w:t>
      </w:r>
      <w:r w:rsidR="00A3031B" w:rsidRPr="000C6025">
        <w:t>Tx</w:t>
      </w:r>
      <w:r w:rsidR="00DC6C71">
        <w:t xml:space="preserve"> = </w:t>
      </w:r>
      <w:r w:rsidR="00A3031B" w:rsidRPr="000C6025">
        <w:t>treatment.</w:t>
      </w:r>
    </w:p>
    <w:p w14:paraId="1031DCBC" w14:textId="427D06DE" w:rsidR="0085249A" w:rsidRDefault="00196157" w:rsidP="0085249A">
      <w:pPr>
        <w:pStyle w:val="DHHSfigurecaption"/>
      </w:pPr>
      <w:bookmarkStart w:id="88" w:name="_Ref4067176"/>
      <w:bookmarkStart w:id="89" w:name="_Toc22722833"/>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21</w:t>
      </w:r>
      <w:r w:rsidR="00954022">
        <w:rPr>
          <w:noProof/>
        </w:rPr>
        <w:fldChar w:fldCharType="end"/>
      </w:r>
      <w:bookmarkEnd w:id="88"/>
      <w:r>
        <w:t xml:space="preserve">: Risk of death for </w:t>
      </w:r>
      <w:r w:rsidR="00C40277">
        <w:t xml:space="preserve">oropharynx cancer </w:t>
      </w:r>
      <w:r>
        <w:t xml:space="preserve">patients by treatment type, adjusted for age, sex and </w:t>
      </w:r>
      <w:r w:rsidR="00C40277">
        <w:t>comorbidity count</w:t>
      </w:r>
      <w:r>
        <w:t xml:space="preserve"> </w:t>
      </w:r>
      <w:r w:rsidR="0067716B">
        <w:t>(diagnosed 2012</w:t>
      </w:r>
      <w:r w:rsidR="00C406C7">
        <w:t>–</w:t>
      </w:r>
      <w:r w:rsidR="0067716B">
        <w:t>2016)</w:t>
      </w:r>
      <w:bookmarkEnd w:id="89"/>
    </w:p>
    <w:p w14:paraId="3475BF30" w14:textId="15BBDED3" w:rsidR="0085249A" w:rsidRDefault="0085249A" w:rsidP="002655B8">
      <w:pPr>
        <w:pStyle w:val="DHHSbody"/>
        <w:jc w:val="center"/>
      </w:pPr>
      <w:r>
        <w:rPr>
          <w:noProof/>
        </w:rPr>
        <w:drawing>
          <wp:inline distT="0" distB="0" distL="0" distR="0" wp14:anchorId="2A1A7C30" wp14:editId="6DE80A7C">
            <wp:extent cx="4680000" cy="2569570"/>
            <wp:effectExtent l="0" t="0" r="6350" b="2540"/>
            <wp:docPr id="25" name="Picture 25" descr="Risk of death for oropharynx cancer patients by treatment type, adjusted for age, sex and comorbidity count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80000" cy="2569570"/>
                    </a:xfrm>
                    <a:prstGeom prst="rect">
                      <a:avLst/>
                    </a:prstGeom>
                    <a:noFill/>
                    <a:ln>
                      <a:noFill/>
                    </a:ln>
                  </pic:spPr>
                </pic:pic>
              </a:graphicData>
            </a:graphic>
          </wp:inline>
        </w:drawing>
      </w:r>
    </w:p>
    <w:p w14:paraId="0B40A26A" w14:textId="77777777" w:rsidR="0085249A" w:rsidRDefault="0085249A" w:rsidP="002655B8">
      <w:pPr>
        <w:pStyle w:val="DHHSbody"/>
        <w:jc w:val="center"/>
      </w:pPr>
    </w:p>
    <w:p w14:paraId="06FDB6EA" w14:textId="3A719DC0" w:rsidR="00D569C2" w:rsidRDefault="00C40277" w:rsidP="000C5AF2">
      <w:pPr>
        <w:pStyle w:val="DHHStablefigurenote"/>
        <w:rPr>
          <w:szCs w:val="18"/>
          <w:lang w:val="en-US"/>
        </w:rPr>
      </w:pPr>
      <w:r w:rsidRPr="00425231">
        <w:rPr>
          <w:szCs w:val="18"/>
          <w:lang w:val="en-US"/>
        </w:rPr>
        <w:t>Bars represent 95</w:t>
      </w:r>
      <w:r w:rsidR="000C6025" w:rsidRPr="00425231">
        <w:rPr>
          <w:szCs w:val="18"/>
          <w:lang w:val="en-US"/>
        </w:rPr>
        <w:t xml:space="preserve"> per cent</w:t>
      </w:r>
      <w:r w:rsidRPr="00425231">
        <w:rPr>
          <w:szCs w:val="18"/>
          <w:lang w:val="en-US"/>
        </w:rPr>
        <w:t xml:space="preserve"> CI.</w:t>
      </w:r>
      <w:r w:rsidR="00143F77" w:rsidRPr="00425231">
        <w:rPr>
          <w:szCs w:val="18"/>
          <w:lang w:val="en-US"/>
        </w:rPr>
        <w:t xml:space="preserve"> </w:t>
      </w:r>
    </w:p>
    <w:p w14:paraId="1A470254" w14:textId="4DB8E257" w:rsidR="00D569C2" w:rsidRDefault="00143F77" w:rsidP="000C5AF2">
      <w:pPr>
        <w:pStyle w:val="DHHStablefigurenote"/>
        <w:rPr>
          <w:szCs w:val="18"/>
          <w:lang w:val="en-US"/>
        </w:rPr>
      </w:pPr>
      <w:r w:rsidRPr="00425231">
        <w:rPr>
          <w:szCs w:val="18"/>
          <w:lang w:val="en-US"/>
        </w:rPr>
        <w:t xml:space="preserve">Compared </w:t>
      </w:r>
      <w:r w:rsidR="00D569C2">
        <w:rPr>
          <w:szCs w:val="18"/>
          <w:lang w:val="en-US"/>
        </w:rPr>
        <w:t>with</w:t>
      </w:r>
      <w:r w:rsidR="00D569C2" w:rsidRPr="00425231">
        <w:rPr>
          <w:szCs w:val="18"/>
          <w:lang w:val="en-US"/>
        </w:rPr>
        <w:t xml:space="preserve"> </w:t>
      </w:r>
      <w:r w:rsidRPr="00425231">
        <w:rPr>
          <w:szCs w:val="18"/>
          <w:lang w:val="en-US"/>
        </w:rPr>
        <w:t>Victorian average 1.0.</w:t>
      </w:r>
    </w:p>
    <w:p w14:paraId="4A0FBECE" w14:textId="7B972F70" w:rsidR="00D569C2" w:rsidRDefault="00953204" w:rsidP="000C5AF2">
      <w:pPr>
        <w:pStyle w:val="DHHStablefigurenote"/>
        <w:rPr>
          <w:szCs w:val="18"/>
          <w:lang w:val="en-US"/>
        </w:rPr>
      </w:pPr>
      <w:r w:rsidRPr="00425231">
        <w:rPr>
          <w:szCs w:val="18"/>
          <w:lang w:val="en-US"/>
        </w:rPr>
        <w:t xml:space="preserve">Radiotherapy (RT) and chemoradiation (CRT) refer to </w:t>
      </w:r>
      <w:r w:rsidR="00786405" w:rsidRPr="00425231">
        <w:rPr>
          <w:szCs w:val="18"/>
          <w:lang w:val="en-US"/>
        </w:rPr>
        <w:t>RT</w:t>
      </w:r>
      <w:r w:rsidRPr="00425231">
        <w:rPr>
          <w:szCs w:val="18"/>
          <w:lang w:val="en-US"/>
        </w:rPr>
        <w:t xml:space="preserve"> with radical intent</w:t>
      </w:r>
      <w:r w:rsidR="00786405" w:rsidRPr="00425231">
        <w:rPr>
          <w:szCs w:val="18"/>
          <w:lang w:val="en-US"/>
        </w:rPr>
        <w:t>.</w:t>
      </w:r>
    </w:p>
    <w:p w14:paraId="286F0259" w14:textId="5C190273" w:rsidR="00953204" w:rsidRPr="00425231" w:rsidRDefault="00786405" w:rsidP="000C5AF2">
      <w:pPr>
        <w:pStyle w:val="DHHStablefigurenote"/>
        <w:rPr>
          <w:szCs w:val="18"/>
          <w:lang w:val="en-US"/>
        </w:rPr>
      </w:pPr>
      <w:r w:rsidRPr="00536867">
        <w:rPr>
          <w:szCs w:val="18"/>
          <w:lang w:val="en-US"/>
        </w:rPr>
        <w:t xml:space="preserve">See </w:t>
      </w:r>
      <w:r w:rsidR="00E908EB" w:rsidRPr="00536867">
        <w:rPr>
          <w:szCs w:val="18"/>
          <w:lang w:val="en-US"/>
        </w:rPr>
        <w:t>G</w:t>
      </w:r>
      <w:r w:rsidRPr="00536867">
        <w:rPr>
          <w:szCs w:val="18"/>
          <w:lang w:val="en-US"/>
        </w:rPr>
        <w:t xml:space="preserve">lossary for </w:t>
      </w:r>
      <w:r w:rsidR="00240E59">
        <w:rPr>
          <w:szCs w:val="18"/>
          <w:lang w:val="en-US"/>
        </w:rPr>
        <w:t>more</w:t>
      </w:r>
      <w:r w:rsidR="00240E59" w:rsidRPr="00536867">
        <w:rPr>
          <w:szCs w:val="18"/>
          <w:lang w:val="en-US"/>
        </w:rPr>
        <w:t xml:space="preserve"> </w:t>
      </w:r>
      <w:r w:rsidRPr="00536867">
        <w:rPr>
          <w:szCs w:val="18"/>
          <w:lang w:val="en-US"/>
        </w:rPr>
        <w:t xml:space="preserve">information on treatment groups. </w:t>
      </w:r>
    </w:p>
    <w:p w14:paraId="45B9D7AA" w14:textId="560567A3" w:rsidR="009705B3" w:rsidRDefault="009705B3" w:rsidP="009705B3">
      <w:pPr>
        <w:pStyle w:val="DHHSfigurecaption"/>
      </w:pPr>
      <w:bookmarkStart w:id="90" w:name="_Ref4068721"/>
      <w:bookmarkStart w:id="91" w:name="_Toc22722834"/>
      <w:r>
        <w:t xml:space="preserve">Figure </w:t>
      </w:r>
      <w:r w:rsidR="00954022">
        <w:rPr>
          <w:noProof/>
        </w:rPr>
        <w:fldChar w:fldCharType="begin"/>
      </w:r>
      <w:r w:rsidR="008C6344">
        <w:rPr>
          <w:noProof/>
        </w:rPr>
        <w:instrText xml:space="preserve"> SEQ Figure \* ARABIC </w:instrText>
      </w:r>
      <w:r w:rsidR="00954022">
        <w:rPr>
          <w:noProof/>
        </w:rPr>
        <w:fldChar w:fldCharType="separate"/>
      </w:r>
      <w:r w:rsidR="00084E54">
        <w:rPr>
          <w:noProof/>
        </w:rPr>
        <w:t>22</w:t>
      </w:r>
      <w:r w:rsidR="00954022">
        <w:rPr>
          <w:noProof/>
        </w:rPr>
        <w:fldChar w:fldCharType="end"/>
      </w:r>
      <w:bookmarkEnd w:id="90"/>
      <w:r>
        <w:t xml:space="preserve">: </w:t>
      </w:r>
      <w:r w:rsidR="00C40277">
        <w:t>Risk of death</w:t>
      </w:r>
      <w:r w:rsidR="006676ED" w:rsidRPr="006676ED">
        <w:t xml:space="preserve"> for o</w:t>
      </w:r>
      <w:r w:rsidRPr="006676ED">
        <w:t>ropharynx cancer</w:t>
      </w:r>
      <w:r w:rsidR="00C40277">
        <w:t xml:space="preserve"> patients</w:t>
      </w:r>
      <w:r w:rsidRPr="006676ED">
        <w:t xml:space="preserve"> </w:t>
      </w:r>
      <w:r w:rsidR="00C40277">
        <w:t>following</w:t>
      </w:r>
      <w:r w:rsidRPr="006676ED">
        <w:t xml:space="preserve"> </w:t>
      </w:r>
      <w:r w:rsidR="00953204">
        <w:t xml:space="preserve">radical </w:t>
      </w:r>
      <w:r w:rsidR="00DC6C71" w:rsidRPr="00425231">
        <w:rPr>
          <w:szCs w:val="18"/>
          <w:lang w:val="en-US"/>
        </w:rPr>
        <w:t xml:space="preserve">chemoradiation </w:t>
      </w:r>
      <w:r w:rsidRPr="006676ED">
        <w:t>by ICS</w:t>
      </w:r>
      <w:r w:rsidR="006676ED" w:rsidRPr="006676ED">
        <w:t xml:space="preserve"> of </w:t>
      </w:r>
      <w:r w:rsidR="00DC6C71" w:rsidRPr="00425231">
        <w:rPr>
          <w:szCs w:val="18"/>
          <w:lang w:val="en-US"/>
        </w:rPr>
        <w:t>chemoradiation</w:t>
      </w:r>
      <w:r w:rsidR="00C40277">
        <w:t>, adjusted for age, sex and comorbidity count</w:t>
      </w:r>
      <w:r>
        <w:t xml:space="preserve"> </w:t>
      </w:r>
      <w:r w:rsidR="0067716B">
        <w:t>(diagnosed 2012</w:t>
      </w:r>
      <w:r w:rsidR="00C406C7">
        <w:t>–</w:t>
      </w:r>
      <w:r w:rsidR="0067716B">
        <w:t>2016)</w:t>
      </w:r>
      <w:bookmarkEnd w:id="91"/>
    </w:p>
    <w:p w14:paraId="05936B9B" w14:textId="5639DCD0" w:rsidR="009705B3" w:rsidRDefault="0085249A" w:rsidP="0085249A">
      <w:pPr>
        <w:pStyle w:val="DHHSbody"/>
        <w:jc w:val="center"/>
      </w:pPr>
      <w:r>
        <w:rPr>
          <w:noProof/>
        </w:rPr>
        <w:drawing>
          <wp:inline distT="0" distB="0" distL="0" distR="0" wp14:anchorId="65CFA2E3" wp14:editId="1E7607B2">
            <wp:extent cx="4680000" cy="2644079"/>
            <wp:effectExtent l="0" t="0" r="6350" b="4445"/>
            <wp:docPr id="26" name="Picture 26" descr="Risk of death for oropharynx cancer patients following radical chemoradiation by ICS of chemoradiation, adjusted for age, sex and comorbidity count (diagnosed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80000" cy="2644079"/>
                    </a:xfrm>
                    <a:prstGeom prst="rect">
                      <a:avLst/>
                    </a:prstGeom>
                    <a:noFill/>
                    <a:ln>
                      <a:noFill/>
                    </a:ln>
                  </pic:spPr>
                </pic:pic>
              </a:graphicData>
            </a:graphic>
          </wp:inline>
        </w:drawing>
      </w:r>
    </w:p>
    <w:p w14:paraId="2704BC62" w14:textId="77777777" w:rsidR="009F31D4" w:rsidRDefault="00C3548E" w:rsidP="0067716B">
      <w:pPr>
        <w:pStyle w:val="DHHStablefigurenote"/>
        <w:rPr>
          <w:szCs w:val="18"/>
          <w:lang w:val="en-US"/>
        </w:rPr>
      </w:pPr>
      <w:r w:rsidRPr="00C3548E">
        <w:rPr>
          <w:szCs w:val="18"/>
          <w:lang w:val="en-US"/>
        </w:rPr>
        <w:t>Bars represent 95 per cent CI.</w:t>
      </w:r>
    </w:p>
    <w:p w14:paraId="6A8842DD" w14:textId="652A6C71" w:rsidR="009F31D4" w:rsidRDefault="00C3548E" w:rsidP="0067716B">
      <w:pPr>
        <w:pStyle w:val="DHHStablefigurenote"/>
        <w:rPr>
          <w:szCs w:val="18"/>
          <w:lang w:val="en-US"/>
        </w:rPr>
      </w:pPr>
      <w:r w:rsidRPr="00C3548E">
        <w:rPr>
          <w:szCs w:val="18"/>
          <w:lang w:val="en-US"/>
        </w:rPr>
        <w:t xml:space="preserve">Compared </w:t>
      </w:r>
      <w:r w:rsidR="00D569C2">
        <w:rPr>
          <w:szCs w:val="18"/>
          <w:lang w:val="en-US"/>
        </w:rPr>
        <w:t>with</w:t>
      </w:r>
      <w:r w:rsidRPr="00C3548E">
        <w:rPr>
          <w:szCs w:val="18"/>
          <w:lang w:val="en-US"/>
        </w:rPr>
        <w:t xml:space="preserve"> Victorian average 1.0.</w:t>
      </w:r>
    </w:p>
    <w:p w14:paraId="0393BA6E" w14:textId="76F50E48" w:rsidR="004970BA" w:rsidRPr="00C3548E" w:rsidRDefault="006676ED" w:rsidP="0067716B">
      <w:pPr>
        <w:pStyle w:val="DHHStablefigurenote"/>
        <w:rPr>
          <w:szCs w:val="18"/>
          <w:lang w:val="en-US"/>
        </w:rPr>
      </w:pPr>
      <w:r w:rsidRPr="00C3548E">
        <w:rPr>
          <w:lang w:val="en-US"/>
        </w:rPr>
        <w:t>ICS with &lt;</w:t>
      </w:r>
      <w:r w:rsidR="00D569C2">
        <w:rPr>
          <w:lang w:val="en-US"/>
        </w:rPr>
        <w:t xml:space="preserve"> </w:t>
      </w:r>
      <w:r w:rsidRPr="00C3548E">
        <w:rPr>
          <w:lang w:val="en-US"/>
        </w:rPr>
        <w:t>10 patients not included (GRICS</w:t>
      </w:r>
      <w:r w:rsidR="00D569C2">
        <w:rPr>
          <w:lang w:val="en-US"/>
        </w:rPr>
        <w:t xml:space="preserve"> </w:t>
      </w:r>
      <w:r w:rsidRPr="00C3548E">
        <w:rPr>
          <w:lang w:val="en-US"/>
        </w:rPr>
        <w:t>=</w:t>
      </w:r>
      <w:r w:rsidR="00D569C2">
        <w:rPr>
          <w:lang w:val="en-US"/>
        </w:rPr>
        <w:t xml:space="preserve"> </w:t>
      </w:r>
      <w:r w:rsidRPr="00C3548E">
        <w:rPr>
          <w:lang w:val="en-US"/>
        </w:rPr>
        <w:t>1; HRICS</w:t>
      </w:r>
      <w:r w:rsidR="00D569C2">
        <w:rPr>
          <w:lang w:val="en-US"/>
        </w:rPr>
        <w:t xml:space="preserve"> </w:t>
      </w:r>
      <w:r w:rsidRPr="00C3548E">
        <w:rPr>
          <w:lang w:val="en-US"/>
        </w:rPr>
        <w:t>=</w:t>
      </w:r>
      <w:r w:rsidR="00D569C2">
        <w:rPr>
          <w:lang w:val="en-US"/>
        </w:rPr>
        <w:t xml:space="preserve"> </w:t>
      </w:r>
      <w:r w:rsidRPr="00C3548E">
        <w:rPr>
          <w:lang w:val="en-US"/>
        </w:rPr>
        <w:t>2).</w:t>
      </w:r>
    </w:p>
    <w:p w14:paraId="5563CC60" w14:textId="77777777" w:rsidR="00A3031B" w:rsidRDefault="00A3031B" w:rsidP="00A3031B">
      <w:pPr>
        <w:pStyle w:val="Heading3"/>
      </w:pPr>
      <w:r>
        <w:t>Clinical commentary</w:t>
      </w:r>
    </w:p>
    <w:p w14:paraId="49B7E4B8" w14:textId="15BE9D84" w:rsidR="005F078F" w:rsidRDefault="00A3031B" w:rsidP="005F078F">
      <w:pPr>
        <w:pStyle w:val="DHHSbody"/>
        <w:rPr>
          <w:lang w:val="en-US"/>
        </w:rPr>
      </w:pPr>
      <w:r>
        <w:rPr>
          <w:lang w:val="en-US"/>
        </w:rPr>
        <w:t>The most common treatment for oropharynx cancer was CRT and</w:t>
      </w:r>
      <w:r w:rsidR="00DC6C71">
        <w:rPr>
          <w:lang w:val="en-US"/>
        </w:rPr>
        <w:t>,</w:t>
      </w:r>
      <w:r>
        <w:rPr>
          <w:lang w:val="en-US"/>
        </w:rPr>
        <w:t xml:space="preserve"> reassuringly</w:t>
      </w:r>
      <w:r w:rsidR="00DC6C71">
        <w:rPr>
          <w:lang w:val="en-US"/>
        </w:rPr>
        <w:t>,</w:t>
      </w:r>
      <w:r>
        <w:rPr>
          <w:lang w:val="en-US"/>
        </w:rPr>
        <w:t xml:space="preserve"> t</w:t>
      </w:r>
      <w:r w:rsidRPr="004665D4">
        <w:rPr>
          <w:lang w:val="en-US"/>
        </w:rPr>
        <w:t xml:space="preserve">here </w:t>
      </w:r>
      <w:r>
        <w:rPr>
          <w:lang w:val="en-US"/>
        </w:rPr>
        <w:t>was no significant difference in survival between ICS of CRT. Patients receiving RT alone had much poorer survival</w:t>
      </w:r>
      <w:r w:rsidR="00DC6C71">
        <w:rPr>
          <w:lang w:val="en-US"/>
        </w:rPr>
        <w:t>,</w:t>
      </w:r>
      <w:r>
        <w:rPr>
          <w:lang w:val="en-US"/>
        </w:rPr>
        <w:t xml:space="preserve"> which was not fully explained by patient age, sex or </w:t>
      </w:r>
      <w:r w:rsidRPr="00044BEF">
        <w:rPr>
          <w:lang w:val="en-US"/>
        </w:rPr>
        <w:t>comorbidity. Other reasons for poorer survival for those receiving RT alone may be due to other unmeasured reasons (</w:t>
      </w:r>
      <w:r w:rsidR="00D569C2">
        <w:rPr>
          <w:lang w:val="en-US"/>
        </w:rPr>
        <w:t xml:space="preserve">such as </w:t>
      </w:r>
      <w:r w:rsidRPr="00044BEF">
        <w:rPr>
          <w:lang w:val="en-US"/>
        </w:rPr>
        <w:t>patient choice).</w:t>
      </w:r>
      <w:r w:rsidR="005F078F">
        <w:rPr>
          <w:lang w:val="en-US"/>
        </w:rPr>
        <w:br w:type="page"/>
      </w:r>
    </w:p>
    <w:p w14:paraId="01154078" w14:textId="58706CC9" w:rsidR="0088371F" w:rsidRDefault="00043913" w:rsidP="007970BD">
      <w:pPr>
        <w:pStyle w:val="Heading1"/>
      </w:pPr>
      <w:bookmarkStart w:id="92" w:name="_Toc22713863"/>
      <w:r>
        <w:t>Abbreviations</w:t>
      </w:r>
      <w:bookmarkEnd w:id="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662"/>
      </w:tblGrid>
      <w:tr w:rsidR="0088371F" w14:paraId="72544853" w14:textId="77777777">
        <w:tc>
          <w:tcPr>
            <w:tcW w:w="1560" w:type="dxa"/>
          </w:tcPr>
          <w:p w14:paraId="2756FEF5" w14:textId="77777777" w:rsidR="0088371F" w:rsidRDefault="0088371F" w:rsidP="0088371F">
            <w:pPr>
              <w:pStyle w:val="DHHSbody"/>
              <w:spacing w:before="120" w:line="240" w:lineRule="auto"/>
            </w:pPr>
            <w:r>
              <w:t>CI</w:t>
            </w:r>
          </w:p>
        </w:tc>
        <w:tc>
          <w:tcPr>
            <w:tcW w:w="6662" w:type="dxa"/>
          </w:tcPr>
          <w:p w14:paraId="4F7FBBCB" w14:textId="77777777" w:rsidR="0088371F" w:rsidRDefault="0088371F" w:rsidP="0088371F">
            <w:pPr>
              <w:pStyle w:val="DHHSbody"/>
              <w:spacing w:before="120" w:line="240" w:lineRule="auto"/>
            </w:pPr>
            <w:r>
              <w:t>confidence interval</w:t>
            </w:r>
          </w:p>
        </w:tc>
      </w:tr>
      <w:tr w:rsidR="002D2CB1" w14:paraId="16B934E8" w14:textId="77777777">
        <w:tc>
          <w:tcPr>
            <w:tcW w:w="1560" w:type="dxa"/>
          </w:tcPr>
          <w:p w14:paraId="26679E20" w14:textId="77777777" w:rsidR="002D2CB1" w:rsidRDefault="002D2CB1" w:rsidP="0088371F">
            <w:pPr>
              <w:pStyle w:val="DHHSbody"/>
              <w:spacing w:before="120" w:line="240" w:lineRule="auto"/>
            </w:pPr>
            <w:r>
              <w:t>CRT</w:t>
            </w:r>
          </w:p>
        </w:tc>
        <w:tc>
          <w:tcPr>
            <w:tcW w:w="6662" w:type="dxa"/>
          </w:tcPr>
          <w:p w14:paraId="702A02C5" w14:textId="505C96A9" w:rsidR="002D2CB1" w:rsidRDefault="000C5D26" w:rsidP="0088371F">
            <w:pPr>
              <w:pStyle w:val="DHHSbody"/>
              <w:spacing w:before="120" w:line="240" w:lineRule="auto"/>
            </w:pPr>
            <w:r>
              <w:t>chemoradiation</w:t>
            </w:r>
          </w:p>
        </w:tc>
      </w:tr>
      <w:tr w:rsidR="002D2CB1" w14:paraId="5F1F01E6" w14:textId="77777777">
        <w:tc>
          <w:tcPr>
            <w:tcW w:w="1560" w:type="dxa"/>
          </w:tcPr>
          <w:p w14:paraId="4ED8456E" w14:textId="77777777" w:rsidR="002D2CB1" w:rsidRDefault="002D2CB1" w:rsidP="0088371F">
            <w:pPr>
              <w:pStyle w:val="DHHSbody"/>
              <w:spacing w:before="120" w:line="240" w:lineRule="auto"/>
            </w:pPr>
            <w:r>
              <w:t>H&amp;N</w:t>
            </w:r>
          </w:p>
        </w:tc>
        <w:tc>
          <w:tcPr>
            <w:tcW w:w="6662" w:type="dxa"/>
          </w:tcPr>
          <w:p w14:paraId="59EC73B0" w14:textId="77777777" w:rsidR="002D2CB1" w:rsidRDefault="002D2CB1" w:rsidP="0088371F">
            <w:pPr>
              <w:pStyle w:val="DHHSbody"/>
              <w:spacing w:before="120" w:line="240" w:lineRule="auto"/>
            </w:pPr>
            <w:r>
              <w:t>head and neck</w:t>
            </w:r>
          </w:p>
        </w:tc>
      </w:tr>
      <w:tr w:rsidR="0088371F" w14:paraId="58160DFF" w14:textId="77777777">
        <w:tc>
          <w:tcPr>
            <w:tcW w:w="1560" w:type="dxa"/>
          </w:tcPr>
          <w:p w14:paraId="49C0A0B3" w14:textId="77777777" w:rsidR="0088371F" w:rsidRDefault="0088371F" w:rsidP="0088371F">
            <w:pPr>
              <w:pStyle w:val="DHHSbody"/>
              <w:spacing w:before="120" w:line="240" w:lineRule="auto"/>
            </w:pPr>
            <w:r>
              <w:t>ICS</w:t>
            </w:r>
          </w:p>
        </w:tc>
        <w:tc>
          <w:tcPr>
            <w:tcW w:w="6662" w:type="dxa"/>
          </w:tcPr>
          <w:p w14:paraId="7DE1BCD4" w14:textId="77777777" w:rsidR="0088371F" w:rsidRDefault="0088371F" w:rsidP="0088371F">
            <w:pPr>
              <w:pStyle w:val="DHHSbody"/>
              <w:spacing w:before="120" w:line="240" w:lineRule="auto"/>
            </w:pPr>
            <w:r>
              <w:t>Integrated Cancer Service</w:t>
            </w:r>
          </w:p>
        </w:tc>
      </w:tr>
      <w:tr w:rsidR="0088371F" w14:paraId="0F65D8FA" w14:textId="77777777">
        <w:tc>
          <w:tcPr>
            <w:tcW w:w="1560" w:type="dxa"/>
          </w:tcPr>
          <w:p w14:paraId="6123C893" w14:textId="77777777" w:rsidR="0088371F" w:rsidRDefault="0088371F" w:rsidP="0088371F">
            <w:pPr>
              <w:pStyle w:val="DHHSbody"/>
              <w:spacing w:before="120" w:line="240" w:lineRule="auto"/>
            </w:pPr>
            <w:r>
              <w:t>MDM</w:t>
            </w:r>
          </w:p>
        </w:tc>
        <w:tc>
          <w:tcPr>
            <w:tcW w:w="6662" w:type="dxa"/>
          </w:tcPr>
          <w:p w14:paraId="34D2A08C" w14:textId="77777777" w:rsidR="0088371F" w:rsidRDefault="0088371F" w:rsidP="0088371F">
            <w:pPr>
              <w:pStyle w:val="DHHSbody"/>
              <w:spacing w:before="120" w:line="240" w:lineRule="auto"/>
            </w:pPr>
            <w:r>
              <w:t>multidisciplinary meeting</w:t>
            </w:r>
          </w:p>
        </w:tc>
      </w:tr>
      <w:tr w:rsidR="0088371F" w14:paraId="1993F013" w14:textId="77777777">
        <w:tc>
          <w:tcPr>
            <w:tcW w:w="1560" w:type="dxa"/>
          </w:tcPr>
          <w:p w14:paraId="5141B88D" w14:textId="77777777" w:rsidR="0088371F" w:rsidRDefault="0088371F" w:rsidP="0088371F">
            <w:pPr>
              <w:pStyle w:val="DHHSbody"/>
              <w:spacing w:before="120" w:line="240" w:lineRule="auto"/>
            </w:pPr>
            <w:r>
              <w:t>OCP</w:t>
            </w:r>
          </w:p>
        </w:tc>
        <w:tc>
          <w:tcPr>
            <w:tcW w:w="6662" w:type="dxa"/>
          </w:tcPr>
          <w:p w14:paraId="6151C8DF" w14:textId="77777777" w:rsidR="0088371F" w:rsidRDefault="0088371F" w:rsidP="0088371F">
            <w:pPr>
              <w:pStyle w:val="DHHSbody"/>
              <w:spacing w:before="120" w:line="240" w:lineRule="auto"/>
            </w:pPr>
            <w:r>
              <w:t>optimal care pathway</w:t>
            </w:r>
          </w:p>
        </w:tc>
      </w:tr>
      <w:tr w:rsidR="002D2CB1" w14:paraId="649AA493" w14:textId="77777777">
        <w:tc>
          <w:tcPr>
            <w:tcW w:w="1560" w:type="dxa"/>
          </w:tcPr>
          <w:p w14:paraId="5B6DD34E" w14:textId="77777777" w:rsidR="002D2CB1" w:rsidRDefault="002D2CB1" w:rsidP="0088371F">
            <w:pPr>
              <w:pStyle w:val="DHHSbody"/>
              <w:spacing w:before="120" w:line="240" w:lineRule="auto"/>
            </w:pPr>
            <w:r>
              <w:t>RT</w:t>
            </w:r>
          </w:p>
        </w:tc>
        <w:tc>
          <w:tcPr>
            <w:tcW w:w="6662" w:type="dxa"/>
          </w:tcPr>
          <w:p w14:paraId="1F503F57" w14:textId="77777777" w:rsidR="002D2CB1" w:rsidRDefault="002D2CB1" w:rsidP="0088371F">
            <w:pPr>
              <w:pStyle w:val="DHHSbody"/>
              <w:spacing w:before="120" w:line="240" w:lineRule="auto"/>
            </w:pPr>
            <w:r>
              <w:t>radiothe</w:t>
            </w:r>
            <w:r w:rsidR="00EC3CE3">
              <w:t>ra</w:t>
            </w:r>
            <w:r>
              <w:t>py</w:t>
            </w:r>
          </w:p>
        </w:tc>
      </w:tr>
      <w:tr w:rsidR="0088371F" w14:paraId="4D74902D" w14:textId="77777777">
        <w:tc>
          <w:tcPr>
            <w:tcW w:w="1560" w:type="dxa"/>
          </w:tcPr>
          <w:p w14:paraId="1BA88F8B" w14:textId="77777777" w:rsidR="0088371F" w:rsidRDefault="0088371F" w:rsidP="0088371F">
            <w:pPr>
              <w:pStyle w:val="DHHSbody"/>
              <w:spacing w:before="120" w:line="240" w:lineRule="auto"/>
            </w:pPr>
            <w:r>
              <w:t>VAED</w:t>
            </w:r>
          </w:p>
        </w:tc>
        <w:tc>
          <w:tcPr>
            <w:tcW w:w="6662" w:type="dxa"/>
          </w:tcPr>
          <w:p w14:paraId="2C978FCE" w14:textId="77777777" w:rsidR="0088371F" w:rsidRDefault="0088371F" w:rsidP="0088371F">
            <w:pPr>
              <w:pStyle w:val="DHHSbody"/>
              <w:spacing w:before="120" w:line="240" w:lineRule="auto"/>
            </w:pPr>
            <w:r>
              <w:t>Victorian Admitted Episodes Dataset</w:t>
            </w:r>
          </w:p>
        </w:tc>
      </w:tr>
      <w:tr w:rsidR="0088371F" w14:paraId="60C3C390" w14:textId="77777777">
        <w:tc>
          <w:tcPr>
            <w:tcW w:w="1560" w:type="dxa"/>
          </w:tcPr>
          <w:p w14:paraId="0BCBECFC" w14:textId="77777777" w:rsidR="0088371F" w:rsidRDefault="0088371F" w:rsidP="0088371F">
            <w:pPr>
              <w:pStyle w:val="DHHSbody"/>
              <w:spacing w:before="120" w:line="240" w:lineRule="auto"/>
            </w:pPr>
            <w:r>
              <w:t>VCR</w:t>
            </w:r>
          </w:p>
        </w:tc>
        <w:tc>
          <w:tcPr>
            <w:tcW w:w="6662" w:type="dxa"/>
          </w:tcPr>
          <w:p w14:paraId="294F42D6" w14:textId="77777777" w:rsidR="0088371F" w:rsidRDefault="0088371F" w:rsidP="0088371F">
            <w:pPr>
              <w:pStyle w:val="DHHSbody"/>
              <w:spacing w:before="120" w:line="240" w:lineRule="auto"/>
            </w:pPr>
            <w:r>
              <w:t>Victorian Cancer Registry</w:t>
            </w:r>
          </w:p>
        </w:tc>
      </w:tr>
      <w:tr w:rsidR="0088371F" w14:paraId="21D5E375" w14:textId="77777777">
        <w:tc>
          <w:tcPr>
            <w:tcW w:w="1560" w:type="dxa"/>
          </w:tcPr>
          <w:p w14:paraId="51325184" w14:textId="77777777" w:rsidR="0088371F" w:rsidRDefault="0088371F" w:rsidP="0088371F">
            <w:pPr>
              <w:pStyle w:val="DHHSbody"/>
              <w:spacing w:before="120" w:line="240" w:lineRule="auto"/>
            </w:pPr>
            <w:r>
              <w:t>VRMDS</w:t>
            </w:r>
          </w:p>
        </w:tc>
        <w:tc>
          <w:tcPr>
            <w:tcW w:w="6662" w:type="dxa"/>
          </w:tcPr>
          <w:p w14:paraId="126E0581" w14:textId="77777777" w:rsidR="0088371F" w:rsidRDefault="0088371F" w:rsidP="0088371F">
            <w:pPr>
              <w:pStyle w:val="DHHSbody"/>
              <w:spacing w:before="120" w:line="240" w:lineRule="auto"/>
            </w:pPr>
            <w:r>
              <w:t>Victorian Radiotherapy Minimum Data Set</w:t>
            </w:r>
          </w:p>
        </w:tc>
      </w:tr>
    </w:tbl>
    <w:p w14:paraId="2583BED2" w14:textId="77777777" w:rsidR="0088371F" w:rsidRPr="001C309D" w:rsidRDefault="0088371F" w:rsidP="000C5AF2">
      <w:pPr>
        <w:pStyle w:val="Heading2"/>
      </w:pPr>
      <w:bookmarkStart w:id="93" w:name="_Toc22713864"/>
      <w:r w:rsidRPr="001C309D">
        <w:t>Victorian Integrated Cancer Services</w:t>
      </w:r>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662"/>
      </w:tblGrid>
      <w:tr w:rsidR="0088371F" w:rsidRPr="004D2CE4" w14:paraId="478E528A" w14:textId="77777777">
        <w:tc>
          <w:tcPr>
            <w:tcW w:w="1560" w:type="dxa"/>
          </w:tcPr>
          <w:p w14:paraId="4A3C446C"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NEMICS</w:t>
            </w:r>
          </w:p>
        </w:tc>
        <w:tc>
          <w:tcPr>
            <w:tcW w:w="6662" w:type="dxa"/>
          </w:tcPr>
          <w:p w14:paraId="0519BDAD"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North Eastern Melbourne Integrated Cancer Service</w:t>
            </w:r>
          </w:p>
        </w:tc>
      </w:tr>
      <w:tr w:rsidR="0088371F" w:rsidRPr="004D2CE4" w14:paraId="4E510B29" w14:textId="77777777">
        <w:tc>
          <w:tcPr>
            <w:tcW w:w="1560" w:type="dxa"/>
          </w:tcPr>
          <w:p w14:paraId="3A0156EB"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SMICS</w:t>
            </w:r>
          </w:p>
        </w:tc>
        <w:tc>
          <w:tcPr>
            <w:tcW w:w="6662" w:type="dxa"/>
          </w:tcPr>
          <w:p w14:paraId="60704697"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Southern Melbourne Integrated Cancer Service</w:t>
            </w:r>
          </w:p>
        </w:tc>
      </w:tr>
      <w:tr w:rsidR="0088371F" w:rsidRPr="004D2CE4" w14:paraId="2362F45A" w14:textId="77777777">
        <w:tc>
          <w:tcPr>
            <w:tcW w:w="1560" w:type="dxa"/>
          </w:tcPr>
          <w:p w14:paraId="16260AD9"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WCMICS</w:t>
            </w:r>
          </w:p>
        </w:tc>
        <w:tc>
          <w:tcPr>
            <w:tcW w:w="6662" w:type="dxa"/>
          </w:tcPr>
          <w:p w14:paraId="4C7AF056"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Western and Central Melbourne Integrated Cancer Service</w:t>
            </w:r>
          </w:p>
        </w:tc>
      </w:tr>
      <w:tr w:rsidR="0088371F" w:rsidRPr="004D2CE4" w14:paraId="748DA8AD" w14:textId="77777777">
        <w:tc>
          <w:tcPr>
            <w:tcW w:w="1560" w:type="dxa"/>
          </w:tcPr>
          <w:p w14:paraId="2644E3C2"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BSWRICS</w:t>
            </w:r>
          </w:p>
        </w:tc>
        <w:tc>
          <w:tcPr>
            <w:tcW w:w="6662" w:type="dxa"/>
          </w:tcPr>
          <w:p w14:paraId="3BE252C2"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Barwon South Western Regional Integrated Cancer Service</w:t>
            </w:r>
          </w:p>
        </w:tc>
      </w:tr>
      <w:tr w:rsidR="0088371F" w:rsidRPr="004D2CE4" w14:paraId="0BE30E5B" w14:textId="77777777">
        <w:tc>
          <w:tcPr>
            <w:tcW w:w="1560" w:type="dxa"/>
          </w:tcPr>
          <w:p w14:paraId="798CEAA2"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GRICS</w:t>
            </w:r>
          </w:p>
        </w:tc>
        <w:tc>
          <w:tcPr>
            <w:tcW w:w="6662" w:type="dxa"/>
          </w:tcPr>
          <w:p w14:paraId="2E12375F"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Gippsland Regional Integrated Cancer Services</w:t>
            </w:r>
          </w:p>
        </w:tc>
      </w:tr>
      <w:tr w:rsidR="0088371F" w:rsidRPr="004D2CE4" w14:paraId="786C5A3F" w14:textId="77777777">
        <w:tc>
          <w:tcPr>
            <w:tcW w:w="1560" w:type="dxa"/>
          </w:tcPr>
          <w:p w14:paraId="20AA808B"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HRICS</w:t>
            </w:r>
          </w:p>
        </w:tc>
        <w:tc>
          <w:tcPr>
            <w:tcW w:w="6662" w:type="dxa"/>
          </w:tcPr>
          <w:p w14:paraId="481212E9"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Hume Regional Integrated Cancer Service</w:t>
            </w:r>
          </w:p>
        </w:tc>
      </w:tr>
      <w:tr w:rsidR="0088371F" w:rsidRPr="004D2CE4" w14:paraId="539FB3CD" w14:textId="77777777">
        <w:tc>
          <w:tcPr>
            <w:tcW w:w="1560" w:type="dxa"/>
          </w:tcPr>
          <w:p w14:paraId="6FCF0869"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LMICS</w:t>
            </w:r>
          </w:p>
        </w:tc>
        <w:tc>
          <w:tcPr>
            <w:tcW w:w="6662" w:type="dxa"/>
          </w:tcPr>
          <w:p w14:paraId="7482A924"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Loddon Mallee Integrated Cancer Service</w:t>
            </w:r>
          </w:p>
        </w:tc>
      </w:tr>
      <w:tr w:rsidR="0088371F" w:rsidRPr="004D2CE4" w14:paraId="7884DC10" w14:textId="77777777">
        <w:tc>
          <w:tcPr>
            <w:tcW w:w="1560" w:type="dxa"/>
          </w:tcPr>
          <w:p w14:paraId="30C1A4B4"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GICS</w:t>
            </w:r>
          </w:p>
        </w:tc>
        <w:tc>
          <w:tcPr>
            <w:tcW w:w="6662" w:type="dxa"/>
          </w:tcPr>
          <w:p w14:paraId="0FD85014" w14:textId="77777777" w:rsidR="0088371F" w:rsidRPr="004D2CE4" w:rsidRDefault="0088371F" w:rsidP="0088371F">
            <w:pPr>
              <w:spacing w:before="120" w:after="120"/>
              <w:rPr>
                <w:rFonts w:ascii="Arial" w:eastAsia="Times" w:hAnsi="Arial"/>
                <w:lang w:eastAsia="en-AU"/>
              </w:rPr>
            </w:pPr>
            <w:r w:rsidRPr="004D2CE4">
              <w:rPr>
                <w:rFonts w:ascii="Arial" w:eastAsia="Times" w:hAnsi="Arial"/>
                <w:lang w:eastAsia="en-AU"/>
              </w:rPr>
              <w:t>Grampians Integrated Cancer Service</w:t>
            </w:r>
          </w:p>
        </w:tc>
      </w:tr>
    </w:tbl>
    <w:p w14:paraId="1275A5D4" w14:textId="59165267" w:rsidR="005F078F" w:rsidRDefault="005F078F" w:rsidP="000C5AF2">
      <w:pPr>
        <w:pStyle w:val="DHHSbody"/>
      </w:pPr>
    </w:p>
    <w:p w14:paraId="4864205F" w14:textId="77777777" w:rsidR="005F078F" w:rsidRDefault="005F078F" w:rsidP="000C5AF2">
      <w:pPr>
        <w:pStyle w:val="DHHSbody"/>
      </w:pPr>
      <w:r>
        <w:br w:type="page"/>
      </w:r>
    </w:p>
    <w:p w14:paraId="1491891A" w14:textId="77777777" w:rsidR="0088371F" w:rsidRDefault="0088371F" w:rsidP="007970BD">
      <w:pPr>
        <w:pStyle w:val="Heading1"/>
      </w:pPr>
      <w:bookmarkStart w:id="94" w:name="_Toc22713865"/>
      <w:r>
        <w:t>Glossary</w:t>
      </w:r>
      <w:bookmarkEnd w:id="94"/>
    </w:p>
    <w:tbl>
      <w:tblPr>
        <w:tblStyle w:val="TableGrid"/>
        <w:tblW w:w="9355" w:type="dxa"/>
        <w:tblLook w:val="04A0" w:firstRow="1" w:lastRow="0" w:firstColumn="1" w:lastColumn="0" w:noHBand="0" w:noVBand="1"/>
      </w:tblPr>
      <w:tblGrid>
        <w:gridCol w:w="2587"/>
        <w:gridCol w:w="6768"/>
      </w:tblGrid>
      <w:tr w:rsidR="00C96D20" w:rsidRPr="004D2CE4" w14:paraId="21701D48" w14:textId="77777777" w:rsidTr="008E1DC3">
        <w:trPr>
          <w:trHeight w:val="680"/>
        </w:trPr>
        <w:tc>
          <w:tcPr>
            <w:tcW w:w="2587" w:type="dxa"/>
          </w:tcPr>
          <w:p w14:paraId="2E455DD9" w14:textId="77777777" w:rsidR="00C96D20" w:rsidRPr="00DF7CEE" w:rsidRDefault="00C96D20" w:rsidP="00DF7CEE">
            <w:pPr>
              <w:pStyle w:val="DHHStabletext"/>
              <w:rPr>
                <w:b/>
                <w:bCs/>
              </w:rPr>
            </w:pPr>
            <w:r w:rsidRPr="00DF7CEE">
              <w:rPr>
                <w:b/>
                <w:bCs/>
              </w:rPr>
              <w:t>Adjuvant therapy</w:t>
            </w:r>
          </w:p>
        </w:tc>
        <w:tc>
          <w:tcPr>
            <w:tcW w:w="6768" w:type="dxa"/>
          </w:tcPr>
          <w:p w14:paraId="362E1889" w14:textId="77777777" w:rsidR="00C96D20" w:rsidRDefault="00C96D20" w:rsidP="004970BA">
            <w:pPr>
              <w:pStyle w:val="DHHStabletext"/>
            </w:pPr>
            <w:r>
              <w:rPr>
                <w:b/>
              </w:rPr>
              <w:t>R</w:t>
            </w:r>
            <w:r w:rsidRPr="00C41C97">
              <w:rPr>
                <w:b/>
              </w:rPr>
              <w:t>adiotherapy (radical)</w:t>
            </w:r>
            <w:r w:rsidRPr="00C41C97">
              <w:t xml:space="preserve"> or </w:t>
            </w:r>
            <w:r w:rsidRPr="00C41C97">
              <w:rPr>
                <w:b/>
              </w:rPr>
              <w:t>chemoradiation</w:t>
            </w:r>
            <w:r w:rsidRPr="00C41C97">
              <w:t xml:space="preserve"> provided</w:t>
            </w:r>
            <w:r>
              <w:t xml:space="preserve"> within 12 weeks (84 days) of the surgery admission date.</w:t>
            </w:r>
          </w:p>
        </w:tc>
      </w:tr>
      <w:tr w:rsidR="00C96D20" w:rsidRPr="004D2CE4" w14:paraId="1E8EF596" w14:textId="77777777" w:rsidTr="008E1DC3">
        <w:trPr>
          <w:trHeight w:val="680"/>
        </w:trPr>
        <w:tc>
          <w:tcPr>
            <w:tcW w:w="2587" w:type="dxa"/>
          </w:tcPr>
          <w:p w14:paraId="65202101" w14:textId="28A1E6DC" w:rsidR="00C96D20" w:rsidRPr="00DF7CEE" w:rsidRDefault="00C96D20" w:rsidP="00DF7CEE">
            <w:pPr>
              <w:pStyle w:val="DHHStabletext"/>
              <w:rPr>
                <w:b/>
                <w:bCs/>
              </w:rPr>
            </w:pPr>
            <w:r w:rsidRPr="00DF7CEE">
              <w:rPr>
                <w:b/>
                <w:bCs/>
              </w:rPr>
              <w:t>Chemoradiation</w:t>
            </w:r>
          </w:p>
        </w:tc>
        <w:tc>
          <w:tcPr>
            <w:tcW w:w="6768" w:type="dxa"/>
          </w:tcPr>
          <w:p w14:paraId="1C9F1901" w14:textId="3F5941A4" w:rsidR="00C96D20" w:rsidRDefault="00C96D20" w:rsidP="004970BA">
            <w:pPr>
              <w:pStyle w:val="DHHStabletext"/>
              <w:rPr>
                <w:b/>
              </w:rPr>
            </w:pPr>
            <w:r w:rsidRPr="00C41C97">
              <w:rPr>
                <w:b/>
              </w:rPr>
              <w:t>Chemoradiation</w:t>
            </w:r>
            <w:r>
              <w:t xml:space="preserve"> was identified by at least one </w:t>
            </w:r>
            <w:r w:rsidRPr="00C41C97">
              <w:rPr>
                <w:b/>
              </w:rPr>
              <w:t>chemotherapy</w:t>
            </w:r>
            <w:r>
              <w:t xml:space="preserve"> episode in the VAED where the admission date was in the range of the </w:t>
            </w:r>
            <w:r w:rsidRPr="00C41C97">
              <w:rPr>
                <w:b/>
              </w:rPr>
              <w:t>radiotherapy (radical)</w:t>
            </w:r>
            <w:r>
              <w:t xml:space="preserve"> </w:t>
            </w:r>
            <w:r w:rsidR="00483B86">
              <w:t xml:space="preserve">course </w:t>
            </w:r>
            <w:r>
              <w:t>start and end date.</w:t>
            </w:r>
          </w:p>
        </w:tc>
      </w:tr>
      <w:tr w:rsidR="00C96D20" w:rsidRPr="004D2CE4" w14:paraId="31991020" w14:textId="77777777" w:rsidTr="008E1DC3">
        <w:trPr>
          <w:trHeight w:val="680"/>
        </w:trPr>
        <w:tc>
          <w:tcPr>
            <w:tcW w:w="2587" w:type="dxa"/>
          </w:tcPr>
          <w:p w14:paraId="6D703423" w14:textId="77777777" w:rsidR="00C96D20" w:rsidRPr="00DF7CEE" w:rsidRDefault="00C96D20" w:rsidP="00DF7CEE">
            <w:pPr>
              <w:pStyle w:val="DHHStabletext"/>
              <w:rPr>
                <w:b/>
                <w:bCs/>
              </w:rPr>
            </w:pPr>
            <w:r w:rsidRPr="00DF7CEE">
              <w:rPr>
                <w:b/>
                <w:bCs/>
              </w:rPr>
              <w:t>Chemotherapy</w:t>
            </w:r>
          </w:p>
        </w:tc>
        <w:tc>
          <w:tcPr>
            <w:tcW w:w="6768" w:type="dxa"/>
          </w:tcPr>
          <w:p w14:paraId="048D08D9" w14:textId="558F324B" w:rsidR="00C96D20" w:rsidRPr="00C41C97" w:rsidRDefault="00C96D20" w:rsidP="004970BA">
            <w:pPr>
              <w:pStyle w:val="DHHStabletext"/>
              <w:rPr>
                <w:b/>
              </w:rPr>
            </w:pPr>
            <w:r w:rsidRPr="0051753B">
              <w:t xml:space="preserve">An admitted episode in the VAED </w:t>
            </w:r>
            <w:r w:rsidR="00317A09" w:rsidRPr="0051753B">
              <w:t>where the admission date was</w:t>
            </w:r>
            <w:r w:rsidR="00DA0598">
              <w:t xml:space="preserve"> between 30 days prior and</w:t>
            </w:r>
            <w:r w:rsidR="002C5509">
              <w:t xml:space="preserve"> one </w:t>
            </w:r>
            <w:r w:rsidR="00DA0598">
              <w:t>year after the patient’s</w:t>
            </w:r>
            <w:r w:rsidR="00317A09" w:rsidRPr="0051753B">
              <w:t xml:space="preserve"> </w:t>
            </w:r>
            <w:r w:rsidR="00483B86">
              <w:t xml:space="preserve">H&amp;N cancer </w:t>
            </w:r>
            <w:r w:rsidR="00317A09" w:rsidRPr="0051753B">
              <w:t xml:space="preserve">diagnosis </w:t>
            </w:r>
            <w:r w:rsidR="00DA0598">
              <w:t xml:space="preserve">date </w:t>
            </w:r>
            <w:r w:rsidR="00317A09" w:rsidRPr="0051753B">
              <w:t xml:space="preserve">and </w:t>
            </w:r>
            <w:r w:rsidRPr="0051753B">
              <w:t xml:space="preserve">included a chemotherapy diagnosis, procedure or </w:t>
            </w:r>
            <w:r w:rsidR="00710DE6">
              <w:t>diagnosis-related group</w:t>
            </w:r>
            <w:r w:rsidRPr="0051753B">
              <w:t xml:space="preserve"> code</w:t>
            </w:r>
            <w:r w:rsidR="00317A09" w:rsidRPr="0051753B">
              <w:t xml:space="preserve"> (</w:t>
            </w:r>
            <w:r w:rsidR="00954022" w:rsidRPr="0051753B">
              <w:fldChar w:fldCharType="begin"/>
            </w:r>
            <w:r w:rsidR="00923D16" w:rsidRPr="0051753B">
              <w:instrText xml:space="preserve"> REF _Ref4761574 \h </w:instrText>
            </w:r>
            <w:r w:rsidR="00163782" w:rsidRPr="0051753B">
              <w:instrText xml:space="preserve"> \* MERGEFORMAT </w:instrText>
            </w:r>
            <w:r w:rsidR="00954022" w:rsidRPr="0051753B">
              <w:fldChar w:fldCharType="separate"/>
            </w:r>
            <w:r w:rsidR="00084E54">
              <w:t xml:space="preserve">Supplementary </w:t>
            </w:r>
            <w:r w:rsidR="00084E54">
              <w:rPr>
                <w:noProof/>
              </w:rPr>
              <w:t>Table</w:t>
            </w:r>
            <w:r w:rsidR="00084E54">
              <w:t xml:space="preserve"> </w:t>
            </w:r>
            <w:r w:rsidR="00084E54">
              <w:rPr>
                <w:noProof/>
              </w:rPr>
              <w:t>5</w:t>
            </w:r>
            <w:r w:rsidR="00954022" w:rsidRPr="0051753B">
              <w:fldChar w:fldCharType="end"/>
            </w:r>
            <w:r w:rsidR="00317A09" w:rsidRPr="0051753B">
              <w:t>).</w:t>
            </w:r>
          </w:p>
        </w:tc>
      </w:tr>
      <w:tr w:rsidR="00810B45" w:rsidRPr="004D2CE4" w14:paraId="7D752459" w14:textId="77777777" w:rsidTr="008E1DC3">
        <w:trPr>
          <w:trHeight w:val="6605"/>
        </w:trPr>
        <w:tc>
          <w:tcPr>
            <w:tcW w:w="2587" w:type="dxa"/>
          </w:tcPr>
          <w:p w14:paraId="580C644E" w14:textId="77777777" w:rsidR="00810B45" w:rsidRPr="00DF7CEE" w:rsidRDefault="00810B45" w:rsidP="00DF7CEE">
            <w:pPr>
              <w:pStyle w:val="DHHStabletext"/>
              <w:rPr>
                <w:b/>
                <w:bCs/>
                <w:lang w:eastAsia="en-AU"/>
              </w:rPr>
            </w:pPr>
            <w:r w:rsidRPr="00DF7CEE">
              <w:rPr>
                <w:b/>
                <w:bCs/>
              </w:rPr>
              <w:t>Comorbidity</w:t>
            </w:r>
            <w:r w:rsidR="00764A31" w:rsidRPr="00DF7CEE">
              <w:rPr>
                <w:b/>
                <w:bCs/>
              </w:rPr>
              <w:t xml:space="preserve"> count</w:t>
            </w:r>
          </w:p>
        </w:tc>
        <w:tc>
          <w:tcPr>
            <w:tcW w:w="6768" w:type="dxa"/>
          </w:tcPr>
          <w:p w14:paraId="6E70E584" w14:textId="57AF9148" w:rsidR="00810B45" w:rsidRPr="0088371F" w:rsidRDefault="00810B45" w:rsidP="004970BA">
            <w:pPr>
              <w:pStyle w:val="DHHStabletext"/>
            </w:pPr>
            <w:r>
              <w:t xml:space="preserve">A </w:t>
            </w:r>
            <w:r w:rsidR="00764A31">
              <w:t>count</w:t>
            </w:r>
            <w:r>
              <w:t xml:space="preserve"> measuring the number of comorbid conditions a patient has at diagnosis, which may influence their prognosis. Data on patient comorbidities </w:t>
            </w:r>
            <w:r w:rsidR="003D3365">
              <w:t xml:space="preserve">was </w:t>
            </w:r>
            <w:r>
              <w:t>extracted from diagnosis codes of admitted episodes in the</w:t>
            </w:r>
            <w:r w:rsidR="00483B86">
              <w:t xml:space="preserve"> VAED in the</w:t>
            </w:r>
            <w:r>
              <w:t xml:space="preserve"> year prior to 30 days after the patient’s </w:t>
            </w:r>
            <w:r w:rsidR="00483B86">
              <w:t xml:space="preserve">H&amp;N </w:t>
            </w:r>
            <w:r>
              <w:t xml:space="preserve">cancer diagnosis date. </w:t>
            </w:r>
            <w:r w:rsidRPr="00A10F4D">
              <w:t>Patients without admitted episodes were assumed to have no comorbidities.</w:t>
            </w:r>
            <w:r>
              <w:t xml:space="preserve"> The </w:t>
            </w:r>
            <w:r w:rsidR="00764A31">
              <w:t>comorbidity count</w:t>
            </w:r>
            <w:r>
              <w:t xml:space="preserve"> was calculated for each patient according to Quan et al.</w:t>
            </w:r>
            <w:r w:rsidRPr="00DA0598">
              <w:rPr>
                <w:vertAlign w:val="superscript"/>
              </w:rPr>
              <w:footnoteReference w:id="14"/>
            </w:r>
            <w:r w:rsidRPr="00DA0598">
              <w:rPr>
                <w:vertAlign w:val="superscript"/>
              </w:rPr>
              <w:t xml:space="preserve"> </w:t>
            </w:r>
            <w:r>
              <w:t xml:space="preserve">(excluding cancer and metastases) and grouped into four categories (0, 1, 2 and 3+). </w:t>
            </w:r>
          </w:p>
          <w:p w14:paraId="7C21E958" w14:textId="7C0C37AB" w:rsidR="004970BA" w:rsidRDefault="003D3365" w:rsidP="00B123E9">
            <w:pPr>
              <w:pStyle w:val="DHHStabletext"/>
            </w:pPr>
            <w:r>
              <w:t xml:space="preserve">Diagnosis codes for comorbidities </w:t>
            </w:r>
            <w:r w:rsidR="00DA0598">
              <w:t>can only be</w:t>
            </w:r>
            <w:r>
              <w:t xml:space="preserve"> assigned in the admitted episode when the comorbidities meet criteria for coding in accordance with the Australian Coding Standards.</w:t>
            </w:r>
            <w:r w:rsidRPr="00DA0598">
              <w:rPr>
                <w:vertAlign w:val="superscript"/>
              </w:rPr>
              <w:footnoteReference w:id="15"/>
            </w:r>
            <w:r>
              <w:t xml:space="preserve"> As a result, the identification of comorbidities is underestimated.</w:t>
            </w:r>
          </w:p>
          <w:p w14:paraId="3C01C07E" w14:textId="77777777" w:rsidR="00810B45" w:rsidRPr="0088371F" w:rsidRDefault="00810B45" w:rsidP="00B123E9">
            <w:pPr>
              <w:pStyle w:val="DHHStabletext"/>
            </w:pPr>
            <w:r w:rsidRPr="0088371F">
              <w:t xml:space="preserve">Conditions included in the </w:t>
            </w:r>
            <w:r w:rsidR="00764A31">
              <w:t>comorbidity count</w:t>
            </w:r>
            <w:r w:rsidRPr="0088371F">
              <w:t>:</w:t>
            </w:r>
          </w:p>
          <w:p w14:paraId="2A426E6D" w14:textId="77777777" w:rsidR="00810B45" w:rsidRPr="0045116F" w:rsidRDefault="00810B45" w:rsidP="004970BA">
            <w:pPr>
              <w:pStyle w:val="DHHStablebullet"/>
            </w:pPr>
            <w:r w:rsidRPr="0045116F">
              <w:t xml:space="preserve">AIDS/HIV </w:t>
            </w:r>
          </w:p>
          <w:p w14:paraId="51931E78" w14:textId="77777777" w:rsidR="00810B45" w:rsidRPr="0045116F" w:rsidRDefault="00810B45" w:rsidP="004970BA">
            <w:pPr>
              <w:pStyle w:val="DHHStablebullet"/>
            </w:pPr>
            <w:r>
              <w:t>c</w:t>
            </w:r>
            <w:r w:rsidRPr="0045116F">
              <w:t xml:space="preserve">ongestive heart failure </w:t>
            </w:r>
          </w:p>
          <w:p w14:paraId="1404B764" w14:textId="77777777" w:rsidR="00810B45" w:rsidRPr="0045116F" w:rsidRDefault="00810B45" w:rsidP="004970BA">
            <w:pPr>
              <w:pStyle w:val="DHHStablebullet"/>
            </w:pPr>
            <w:r>
              <w:t>c</w:t>
            </w:r>
            <w:r w:rsidRPr="0045116F">
              <w:t>hronic pulmonary disease</w:t>
            </w:r>
          </w:p>
          <w:p w14:paraId="13FC29FC" w14:textId="77777777" w:rsidR="00810B45" w:rsidRPr="0045116F" w:rsidRDefault="00810B45" w:rsidP="004970BA">
            <w:pPr>
              <w:pStyle w:val="DHHStablebullet"/>
            </w:pPr>
            <w:r>
              <w:t>d</w:t>
            </w:r>
            <w:r w:rsidRPr="0045116F">
              <w:t xml:space="preserve">ementia </w:t>
            </w:r>
          </w:p>
          <w:p w14:paraId="4BE353EE" w14:textId="77777777" w:rsidR="00810B45" w:rsidRDefault="00810B45" w:rsidP="004970BA">
            <w:pPr>
              <w:pStyle w:val="DHHStablebullet"/>
            </w:pPr>
            <w:r>
              <w:t>d</w:t>
            </w:r>
            <w:r w:rsidRPr="0045116F">
              <w:t>iabetes with chronic complications</w:t>
            </w:r>
          </w:p>
          <w:p w14:paraId="6B17B1D1" w14:textId="77777777" w:rsidR="00810B45" w:rsidRPr="0045116F" w:rsidRDefault="00810B45" w:rsidP="004970BA">
            <w:pPr>
              <w:pStyle w:val="DHHStablebullet"/>
            </w:pPr>
            <w:r>
              <w:t>h</w:t>
            </w:r>
            <w:r w:rsidRPr="0045116F">
              <w:t xml:space="preserve">emiplegia or </w:t>
            </w:r>
            <w:r>
              <w:t>p</w:t>
            </w:r>
            <w:r w:rsidRPr="0045116F">
              <w:t xml:space="preserve">araplegia </w:t>
            </w:r>
          </w:p>
          <w:p w14:paraId="070D8F66" w14:textId="77777777" w:rsidR="00810B45" w:rsidRPr="0045116F" w:rsidRDefault="00810B45" w:rsidP="004970BA">
            <w:pPr>
              <w:pStyle w:val="DHHStablebullet"/>
            </w:pPr>
            <w:r>
              <w:t>m</w:t>
            </w:r>
            <w:r w:rsidRPr="0045116F">
              <w:t xml:space="preserve">ild liver disease </w:t>
            </w:r>
          </w:p>
          <w:p w14:paraId="2E42E1E5" w14:textId="77777777" w:rsidR="00810B45" w:rsidRPr="0045116F" w:rsidRDefault="00810B45" w:rsidP="004970BA">
            <w:pPr>
              <w:pStyle w:val="DHHStablebullet"/>
            </w:pPr>
            <w:r>
              <w:t>m</w:t>
            </w:r>
            <w:r w:rsidRPr="0045116F">
              <w:t>oderate/severe liver disease</w:t>
            </w:r>
          </w:p>
          <w:p w14:paraId="56E0DD9D" w14:textId="77777777" w:rsidR="00810B45" w:rsidRPr="0045116F" w:rsidRDefault="00810B45" w:rsidP="004970BA">
            <w:pPr>
              <w:pStyle w:val="DHHStablebullet"/>
            </w:pPr>
            <w:r>
              <w:t>r</w:t>
            </w:r>
            <w:r w:rsidRPr="0045116F">
              <w:t>enal disease</w:t>
            </w:r>
          </w:p>
          <w:p w14:paraId="0BA2BE8F" w14:textId="5E4CAFF9" w:rsidR="00810B45" w:rsidRPr="0088371F" w:rsidRDefault="00810B45" w:rsidP="004970BA">
            <w:pPr>
              <w:pStyle w:val="DHHStablebullet"/>
            </w:pPr>
            <w:r>
              <w:t>r</w:t>
            </w:r>
            <w:r w:rsidRPr="0045116F">
              <w:t>heumatic disease</w:t>
            </w:r>
            <w:r w:rsidR="00DA2486">
              <w:t>.</w:t>
            </w:r>
          </w:p>
        </w:tc>
      </w:tr>
      <w:tr w:rsidR="0088371F" w:rsidRPr="004D2CE4" w14:paraId="63E53049" w14:textId="77777777" w:rsidTr="008E1DC3">
        <w:tc>
          <w:tcPr>
            <w:tcW w:w="2587" w:type="dxa"/>
          </w:tcPr>
          <w:p w14:paraId="12007793" w14:textId="77777777" w:rsidR="0088371F" w:rsidRPr="00DF7CEE" w:rsidRDefault="0088371F" w:rsidP="00DF7CEE">
            <w:pPr>
              <w:pStyle w:val="DHHStabletext"/>
              <w:rPr>
                <w:b/>
                <w:bCs/>
                <w:lang w:eastAsia="en-AU"/>
              </w:rPr>
            </w:pPr>
            <w:r w:rsidRPr="00DF7CEE">
              <w:rPr>
                <w:b/>
                <w:bCs/>
              </w:rPr>
              <w:t>Death certificate only</w:t>
            </w:r>
          </w:p>
        </w:tc>
        <w:tc>
          <w:tcPr>
            <w:tcW w:w="6768" w:type="dxa"/>
          </w:tcPr>
          <w:p w14:paraId="36F80504" w14:textId="77777777" w:rsidR="0088371F" w:rsidRPr="00EF13B3" w:rsidRDefault="0088371F" w:rsidP="004970BA">
            <w:pPr>
              <w:pStyle w:val="DHHStabletext"/>
              <w:rPr>
                <w:lang w:eastAsia="en-AU"/>
              </w:rPr>
            </w:pPr>
            <w:r w:rsidRPr="00EF13B3">
              <w:t>A method of cancer notification to the VCR whereby the death certificate provides the only notification of a person’s cancer to the registry.</w:t>
            </w:r>
          </w:p>
        </w:tc>
      </w:tr>
      <w:tr w:rsidR="00C96D20" w:rsidRPr="004D2CE4" w14:paraId="443B82ED" w14:textId="77777777" w:rsidTr="008E1DC3">
        <w:tc>
          <w:tcPr>
            <w:tcW w:w="2587" w:type="dxa"/>
          </w:tcPr>
          <w:p w14:paraId="6A7A4572" w14:textId="01E46B6A" w:rsidR="00C96D20" w:rsidRPr="00DF7CEE" w:rsidRDefault="00C96D20" w:rsidP="00DF7CEE">
            <w:pPr>
              <w:pStyle w:val="DHHStabletext"/>
              <w:rPr>
                <w:b/>
                <w:bCs/>
              </w:rPr>
            </w:pPr>
            <w:r w:rsidRPr="00DF7CEE">
              <w:rPr>
                <w:b/>
                <w:bCs/>
              </w:rPr>
              <w:t>Definitive radiotherapy or chemoradiation</w:t>
            </w:r>
          </w:p>
        </w:tc>
        <w:tc>
          <w:tcPr>
            <w:tcW w:w="6768" w:type="dxa"/>
          </w:tcPr>
          <w:p w14:paraId="6FC719F3" w14:textId="77777777" w:rsidR="00C96D20" w:rsidRPr="00EF13B3" w:rsidRDefault="00C96D20" w:rsidP="004970BA">
            <w:pPr>
              <w:pStyle w:val="DHHStabletext"/>
            </w:pPr>
            <w:r w:rsidRPr="00C41C97">
              <w:rPr>
                <w:b/>
              </w:rPr>
              <w:t xml:space="preserve">Radiotherapy (radical) </w:t>
            </w:r>
            <w:r>
              <w:t xml:space="preserve">or </w:t>
            </w:r>
            <w:r w:rsidRPr="00C41C97">
              <w:rPr>
                <w:b/>
              </w:rPr>
              <w:t>chemoradiation</w:t>
            </w:r>
            <w:r>
              <w:t xml:space="preserve"> as the first treatment a patient received after diagnosis.</w:t>
            </w:r>
          </w:p>
        </w:tc>
      </w:tr>
      <w:tr w:rsidR="00483B86" w14:paraId="21ECA025" w14:textId="77777777" w:rsidTr="008E1DC3">
        <w:tc>
          <w:tcPr>
            <w:tcW w:w="2587" w:type="dxa"/>
          </w:tcPr>
          <w:p w14:paraId="79A75A88" w14:textId="77777777" w:rsidR="00483B86" w:rsidRPr="00DF7CEE" w:rsidRDefault="00483B86" w:rsidP="00DF7CEE">
            <w:pPr>
              <w:pStyle w:val="DHHStabletext"/>
              <w:rPr>
                <w:b/>
                <w:bCs/>
              </w:rPr>
            </w:pPr>
            <w:r w:rsidRPr="00DF7CEE">
              <w:rPr>
                <w:b/>
                <w:bCs/>
              </w:rPr>
              <w:t>Diagnosis date</w:t>
            </w:r>
          </w:p>
        </w:tc>
        <w:tc>
          <w:tcPr>
            <w:tcW w:w="6768" w:type="dxa"/>
          </w:tcPr>
          <w:p w14:paraId="24490FB7" w14:textId="614CECA9" w:rsidR="00483B86" w:rsidRDefault="00483B86" w:rsidP="005E475E">
            <w:pPr>
              <w:pStyle w:val="DHHStabletext"/>
            </w:pPr>
            <w:r>
              <w:t xml:space="preserve">The date of the pathology report or other investigative report where the diagnosis of H&amp;N cancer was first confirmed to the Victorian Cancer Registry. </w:t>
            </w:r>
          </w:p>
        </w:tc>
      </w:tr>
      <w:tr w:rsidR="00810B45" w:rsidRPr="004D2CE4" w14:paraId="034CA439" w14:textId="77777777" w:rsidTr="008E1DC3">
        <w:tc>
          <w:tcPr>
            <w:tcW w:w="2587" w:type="dxa"/>
          </w:tcPr>
          <w:p w14:paraId="3A1A9D7B" w14:textId="77777777" w:rsidR="00810B45" w:rsidRPr="00DF7CEE" w:rsidRDefault="00810B45" w:rsidP="00DF7CEE">
            <w:pPr>
              <w:pStyle w:val="DHHStabletext"/>
              <w:rPr>
                <w:b/>
                <w:bCs/>
              </w:rPr>
            </w:pPr>
            <w:r w:rsidRPr="00DF7CEE">
              <w:rPr>
                <w:b/>
                <w:bCs/>
              </w:rPr>
              <w:t>Distant metastases</w:t>
            </w:r>
          </w:p>
        </w:tc>
        <w:tc>
          <w:tcPr>
            <w:tcW w:w="6768" w:type="dxa"/>
          </w:tcPr>
          <w:p w14:paraId="2A185A4A" w14:textId="1A2A59B9" w:rsidR="00810B45" w:rsidRPr="00EF13B3" w:rsidRDefault="00810B45" w:rsidP="004970BA">
            <w:pPr>
              <w:pStyle w:val="DHHStabletext"/>
            </w:pPr>
            <w:r>
              <w:t>Patients who had distant metastases</w:t>
            </w:r>
            <w:r w:rsidR="006C768E">
              <w:t xml:space="preserve"> at diagnosis</w:t>
            </w:r>
            <w:r>
              <w:t xml:space="preserve"> were identified from the VCR TNM-M variable (non-missing for 3</w:t>
            </w:r>
            <w:r w:rsidR="000C6025">
              <w:t xml:space="preserve"> per cent</w:t>
            </w:r>
            <w:r>
              <w:t xml:space="preserve"> of </w:t>
            </w:r>
            <w:r w:rsidR="00076BF5">
              <w:t>H&amp;N</w:t>
            </w:r>
            <w:r>
              <w:t xml:space="preserve"> cancer patients) and from metastatic </w:t>
            </w:r>
            <w:r w:rsidR="00316140">
              <w:t xml:space="preserve">cancer </w:t>
            </w:r>
            <w:r>
              <w:t>diagnosis codes</w:t>
            </w:r>
            <w:r w:rsidR="00316140">
              <w:t xml:space="preserve"> (ICD-10-AM C78 and C79)</w:t>
            </w:r>
            <w:r>
              <w:t xml:space="preserve"> in admitted episodes in the VAED between 30 days prior to </w:t>
            </w:r>
            <w:r w:rsidR="007F719B">
              <w:t>four</w:t>
            </w:r>
            <w:r>
              <w:t xml:space="preserve"> months after diagnosis date.</w:t>
            </w:r>
          </w:p>
        </w:tc>
      </w:tr>
      <w:tr w:rsidR="00C96D20" w:rsidRPr="004D2CE4" w14:paraId="523E4C45" w14:textId="77777777" w:rsidTr="008E1DC3">
        <w:tc>
          <w:tcPr>
            <w:tcW w:w="2587" w:type="dxa"/>
          </w:tcPr>
          <w:p w14:paraId="2E44E24B" w14:textId="77777777" w:rsidR="00C96D20" w:rsidRPr="00DF7CEE" w:rsidRDefault="00C96D20" w:rsidP="00DF7CEE">
            <w:pPr>
              <w:pStyle w:val="DHHStabletext"/>
              <w:rPr>
                <w:b/>
                <w:bCs/>
              </w:rPr>
            </w:pPr>
            <w:r w:rsidRPr="00DF7CEE">
              <w:rPr>
                <w:b/>
                <w:bCs/>
              </w:rPr>
              <w:t xml:space="preserve">Emergency </w:t>
            </w:r>
            <w:r w:rsidR="00316140" w:rsidRPr="00DF7CEE">
              <w:rPr>
                <w:b/>
                <w:bCs/>
              </w:rPr>
              <w:t>a</w:t>
            </w:r>
            <w:r w:rsidRPr="00DF7CEE">
              <w:rPr>
                <w:b/>
                <w:bCs/>
              </w:rPr>
              <w:t>dmission</w:t>
            </w:r>
          </w:p>
        </w:tc>
        <w:tc>
          <w:tcPr>
            <w:tcW w:w="6768" w:type="dxa"/>
          </w:tcPr>
          <w:p w14:paraId="23AA2AF2" w14:textId="74231E85" w:rsidR="00C96D20" w:rsidRDefault="00C96D20" w:rsidP="004970BA">
            <w:pPr>
              <w:pStyle w:val="DHHStabletext"/>
            </w:pPr>
            <w:r>
              <w:t>An admitted episode in the VAED with an emergency admission type ‘C</w:t>
            </w:r>
            <w:r w:rsidR="004D14FE">
              <w:t xml:space="preserve"> </w:t>
            </w:r>
            <w:r w:rsidR="002C5509">
              <w:t>–</w:t>
            </w:r>
            <w:r w:rsidR="004D14FE">
              <w:t xml:space="preserve"> </w:t>
            </w:r>
            <w:r>
              <w:t>Emergency admission through Emergency Department at this campus’ or ‘O</w:t>
            </w:r>
            <w:r w:rsidR="004D14FE">
              <w:t xml:space="preserve"> </w:t>
            </w:r>
            <w:r w:rsidR="002C5509">
              <w:t>–</w:t>
            </w:r>
            <w:r w:rsidR="004D14FE">
              <w:t xml:space="preserve"> </w:t>
            </w:r>
            <w:r>
              <w:t>Other emergency admission’.</w:t>
            </w:r>
          </w:p>
        </w:tc>
      </w:tr>
      <w:tr w:rsidR="00C96D20" w:rsidRPr="004D2CE4" w14:paraId="4AC56DA6" w14:textId="77777777" w:rsidTr="008E1DC3">
        <w:tc>
          <w:tcPr>
            <w:tcW w:w="2587" w:type="dxa"/>
          </w:tcPr>
          <w:p w14:paraId="3B00E269" w14:textId="77777777" w:rsidR="00C96D20" w:rsidRPr="00DF7CEE" w:rsidRDefault="00C96D20" w:rsidP="00DF7CEE">
            <w:pPr>
              <w:pStyle w:val="DHHStabletext"/>
              <w:rPr>
                <w:b/>
                <w:bCs/>
              </w:rPr>
            </w:pPr>
            <w:r w:rsidRPr="00DF7CEE">
              <w:rPr>
                <w:b/>
                <w:bCs/>
              </w:rPr>
              <w:t>Neck dissection</w:t>
            </w:r>
          </w:p>
        </w:tc>
        <w:tc>
          <w:tcPr>
            <w:tcW w:w="6768" w:type="dxa"/>
          </w:tcPr>
          <w:p w14:paraId="2BFAACD7" w14:textId="082B1AD2" w:rsidR="00C96D20" w:rsidRDefault="00C96D20" w:rsidP="004970BA">
            <w:pPr>
              <w:pStyle w:val="DHHStabletext"/>
            </w:pPr>
            <w:r>
              <w:t xml:space="preserve">An admitted episode in the VAED </w:t>
            </w:r>
            <w:r w:rsidR="00317A09">
              <w:t xml:space="preserve">where the admission date was </w:t>
            </w:r>
            <w:r w:rsidR="00483B86">
              <w:t>between 30 days prior and</w:t>
            </w:r>
            <w:r w:rsidR="002C5509">
              <w:t xml:space="preserve"> one </w:t>
            </w:r>
            <w:r w:rsidR="00483B86">
              <w:t xml:space="preserve">year after the patient’s H&amp;N cancer diagnosis date </w:t>
            </w:r>
            <w:r w:rsidR="00317A09">
              <w:t xml:space="preserve">and </w:t>
            </w:r>
            <w:r>
              <w:t>included a neck lymph node dissection procedure code</w:t>
            </w:r>
            <w:r w:rsidR="00317A09">
              <w:t xml:space="preserve"> (</w:t>
            </w:r>
            <w:r w:rsidR="00954022">
              <w:fldChar w:fldCharType="begin"/>
            </w:r>
            <w:r w:rsidR="001B29A5">
              <w:instrText xml:space="preserve"> REF _Ref5181108 \h </w:instrText>
            </w:r>
            <w:r w:rsidR="00DF7CEE">
              <w:instrText xml:space="preserve"> \* MERGEFORMAT </w:instrText>
            </w:r>
            <w:r w:rsidR="00954022">
              <w:fldChar w:fldCharType="separate"/>
            </w:r>
            <w:r w:rsidR="00084E54">
              <w:t xml:space="preserve">Supplementary Table </w:t>
            </w:r>
            <w:r w:rsidR="00084E54">
              <w:rPr>
                <w:noProof/>
              </w:rPr>
              <w:t>4</w:t>
            </w:r>
            <w:r w:rsidR="00954022">
              <w:fldChar w:fldCharType="end"/>
            </w:r>
            <w:r w:rsidR="00317A09">
              <w:t>)</w:t>
            </w:r>
            <w:r>
              <w:t>.</w:t>
            </w:r>
          </w:p>
        </w:tc>
      </w:tr>
      <w:tr w:rsidR="00810B45" w:rsidRPr="004D2CE4" w14:paraId="6BE909EF" w14:textId="77777777" w:rsidTr="008E1DC3">
        <w:tc>
          <w:tcPr>
            <w:tcW w:w="2587" w:type="dxa"/>
          </w:tcPr>
          <w:p w14:paraId="130C6654" w14:textId="77777777" w:rsidR="00810B45" w:rsidRPr="00DF7CEE" w:rsidRDefault="00810B45" w:rsidP="00DF7CEE">
            <w:pPr>
              <w:pStyle w:val="DHHStabletext"/>
              <w:rPr>
                <w:b/>
                <w:bCs/>
              </w:rPr>
            </w:pPr>
            <w:r w:rsidRPr="00DF7CEE">
              <w:rPr>
                <w:b/>
                <w:bCs/>
              </w:rPr>
              <w:t>Lymph node negative</w:t>
            </w:r>
          </w:p>
        </w:tc>
        <w:tc>
          <w:tcPr>
            <w:tcW w:w="6768" w:type="dxa"/>
          </w:tcPr>
          <w:p w14:paraId="5DBE6301" w14:textId="7D9DD9A8" w:rsidR="00810B45" w:rsidRPr="00316140" w:rsidRDefault="00810B45" w:rsidP="004970BA">
            <w:pPr>
              <w:pStyle w:val="DHHStabletext"/>
              <w:rPr>
                <w:highlight w:val="yellow"/>
              </w:rPr>
            </w:pPr>
            <w:r w:rsidRPr="00316140">
              <w:t xml:space="preserve">Patients were determined to </w:t>
            </w:r>
            <w:r w:rsidR="006C768E">
              <w:t>have</w:t>
            </w:r>
            <w:r w:rsidRPr="00316140">
              <w:t xml:space="preserve"> lymph node negative</w:t>
            </w:r>
            <w:r w:rsidR="006C768E">
              <w:t xml:space="preserve"> cancer at diagnosis</w:t>
            </w:r>
            <w:r w:rsidRPr="00316140">
              <w:t xml:space="preserve"> if they did not have </w:t>
            </w:r>
            <w:r w:rsidR="00316140" w:rsidRPr="00316140">
              <w:rPr>
                <w:b/>
              </w:rPr>
              <w:t>lymph node positive</w:t>
            </w:r>
            <w:r w:rsidR="00316140" w:rsidRPr="00316140">
              <w:t xml:space="preserve"> cancer or </w:t>
            </w:r>
            <w:r w:rsidR="00316140" w:rsidRPr="00316140">
              <w:rPr>
                <w:b/>
              </w:rPr>
              <w:t>distant metastase</w:t>
            </w:r>
            <w:r w:rsidR="006C768E">
              <w:rPr>
                <w:b/>
              </w:rPr>
              <w:t>s</w:t>
            </w:r>
            <w:r w:rsidR="00316140" w:rsidRPr="00316140">
              <w:t>.</w:t>
            </w:r>
          </w:p>
        </w:tc>
      </w:tr>
      <w:tr w:rsidR="00810B45" w:rsidRPr="004D2CE4" w14:paraId="5B3D024E" w14:textId="77777777" w:rsidTr="008E1DC3">
        <w:tc>
          <w:tcPr>
            <w:tcW w:w="2587" w:type="dxa"/>
          </w:tcPr>
          <w:p w14:paraId="662EF73B" w14:textId="77777777" w:rsidR="00810B45" w:rsidRPr="00DF7CEE" w:rsidRDefault="00810B45" w:rsidP="00DF7CEE">
            <w:pPr>
              <w:pStyle w:val="DHHStabletext"/>
              <w:rPr>
                <w:b/>
                <w:bCs/>
              </w:rPr>
            </w:pPr>
            <w:r w:rsidRPr="00DF7CEE">
              <w:rPr>
                <w:b/>
                <w:bCs/>
              </w:rPr>
              <w:t>Lymph node positive</w:t>
            </w:r>
          </w:p>
        </w:tc>
        <w:tc>
          <w:tcPr>
            <w:tcW w:w="6768" w:type="dxa"/>
            <w:shd w:val="clear" w:color="auto" w:fill="auto"/>
          </w:tcPr>
          <w:p w14:paraId="32CF715E" w14:textId="1F213E3A" w:rsidR="00810B45" w:rsidRPr="00316140" w:rsidRDefault="00810B45" w:rsidP="004970BA">
            <w:pPr>
              <w:pStyle w:val="DHHStabletext"/>
              <w:rPr>
                <w:highlight w:val="yellow"/>
              </w:rPr>
            </w:pPr>
            <w:r w:rsidRPr="00316140">
              <w:t>Patients</w:t>
            </w:r>
            <w:r w:rsidR="00316140" w:rsidRPr="00316140">
              <w:t xml:space="preserve"> who had lymph node positive cancer</w:t>
            </w:r>
            <w:r w:rsidR="006C768E">
              <w:t xml:space="preserve"> at diagnosis</w:t>
            </w:r>
            <w:r w:rsidR="00316140" w:rsidRPr="00316140">
              <w:t xml:space="preserve"> were identified from </w:t>
            </w:r>
            <w:r w:rsidRPr="00316140">
              <w:t xml:space="preserve">admitted episodes in the VAED between 30 days prior and </w:t>
            </w:r>
            <w:r w:rsidR="00B11BE9">
              <w:t>four</w:t>
            </w:r>
            <w:r w:rsidRPr="00316140">
              <w:t xml:space="preserve"> months after diagnosis date that included a</w:t>
            </w:r>
            <w:r w:rsidR="00076BF5">
              <w:t>n</w:t>
            </w:r>
            <w:r w:rsidRPr="00316140">
              <w:t xml:space="preserve"> </w:t>
            </w:r>
            <w:r w:rsidR="00483B86">
              <w:t xml:space="preserve">H&amp;N cancer </w:t>
            </w:r>
            <w:r w:rsidRPr="00316140">
              <w:t xml:space="preserve">diagnosis </w:t>
            </w:r>
            <w:r w:rsidR="004970BA" w:rsidRPr="00316140">
              <w:t>code</w:t>
            </w:r>
            <w:r w:rsidRPr="00316140">
              <w:t xml:space="preserve"> </w:t>
            </w:r>
            <w:r w:rsidR="00316140" w:rsidRPr="00316140">
              <w:t xml:space="preserve">(ICD-10-AM C01-C13, C32) </w:t>
            </w:r>
            <w:r w:rsidRPr="00316140">
              <w:t>and a lymph node cancer diagnosis code</w:t>
            </w:r>
            <w:r w:rsidR="00316140" w:rsidRPr="00316140">
              <w:t xml:space="preserve"> (ICD-10-AM C77) but</w:t>
            </w:r>
            <w:r w:rsidRPr="00316140">
              <w:t xml:space="preserve"> </w:t>
            </w:r>
            <w:r w:rsidR="00316140" w:rsidRPr="00316140">
              <w:t xml:space="preserve">did not have </w:t>
            </w:r>
            <w:r w:rsidR="00316140" w:rsidRPr="00316140">
              <w:rPr>
                <w:b/>
              </w:rPr>
              <w:t>distant metastases</w:t>
            </w:r>
            <w:r w:rsidR="00316140" w:rsidRPr="00316140">
              <w:t>.</w:t>
            </w:r>
          </w:p>
        </w:tc>
      </w:tr>
      <w:tr w:rsidR="00C96D20" w:rsidRPr="004D2CE4" w14:paraId="0EB512F1" w14:textId="77777777" w:rsidTr="008E1DC3">
        <w:tc>
          <w:tcPr>
            <w:tcW w:w="2587" w:type="dxa"/>
          </w:tcPr>
          <w:p w14:paraId="4E8E5E66" w14:textId="77777777" w:rsidR="00C96D20" w:rsidRPr="00DF7CEE" w:rsidRDefault="00C96D20" w:rsidP="00DF7CEE">
            <w:pPr>
              <w:pStyle w:val="DHHStabletext"/>
              <w:rPr>
                <w:b/>
                <w:bCs/>
              </w:rPr>
            </w:pPr>
            <w:r w:rsidRPr="00DF7CEE">
              <w:rPr>
                <w:b/>
                <w:bCs/>
              </w:rPr>
              <w:t>Palliative Tx</w:t>
            </w:r>
          </w:p>
        </w:tc>
        <w:tc>
          <w:tcPr>
            <w:tcW w:w="6768" w:type="dxa"/>
          </w:tcPr>
          <w:p w14:paraId="46C856C1" w14:textId="258414BC" w:rsidR="00C96D20" w:rsidRDefault="00C96D20" w:rsidP="00C96D20">
            <w:pPr>
              <w:pStyle w:val="DHHStabletext"/>
            </w:pPr>
            <w:r>
              <w:t xml:space="preserve">Palliative treatment includes patients treated with </w:t>
            </w:r>
            <w:r w:rsidRPr="00EC00A3">
              <w:rPr>
                <w:b/>
              </w:rPr>
              <w:t>chemotherapy</w:t>
            </w:r>
            <w:r>
              <w:rPr>
                <w:b/>
              </w:rPr>
              <w:t xml:space="preserve"> </w:t>
            </w:r>
            <w:r w:rsidR="00087E63" w:rsidRPr="00087E63">
              <w:t>only</w:t>
            </w:r>
            <w:r w:rsidR="00087E63">
              <w:rPr>
                <w:b/>
              </w:rPr>
              <w:t xml:space="preserve"> </w:t>
            </w:r>
            <w:r>
              <w:t xml:space="preserve">or </w:t>
            </w:r>
            <w:r w:rsidRPr="00EC00A3">
              <w:rPr>
                <w:b/>
              </w:rPr>
              <w:t>radiotherapy (palliative)</w:t>
            </w:r>
            <w:r>
              <w:t xml:space="preserve"> (+/</w:t>
            </w:r>
            <w:r w:rsidR="00076BF5">
              <w:t>–</w:t>
            </w:r>
            <w:r>
              <w:t xml:space="preserve"> chemotherapy or surgery).</w:t>
            </w:r>
          </w:p>
        </w:tc>
      </w:tr>
      <w:tr w:rsidR="00C96D20" w:rsidRPr="004D2CE4" w14:paraId="508797EB" w14:textId="77777777" w:rsidTr="008E1DC3">
        <w:tc>
          <w:tcPr>
            <w:tcW w:w="2587" w:type="dxa"/>
          </w:tcPr>
          <w:p w14:paraId="53A45F72" w14:textId="3991D055" w:rsidR="00C96D20" w:rsidRPr="00DF7CEE" w:rsidRDefault="00C96D20" w:rsidP="00DF7CEE">
            <w:pPr>
              <w:pStyle w:val="DHHStabletext"/>
              <w:rPr>
                <w:b/>
                <w:bCs/>
              </w:rPr>
            </w:pPr>
            <w:r w:rsidRPr="00DF7CEE">
              <w:rPr>
                <w:b/>
                <w:bCs/>
              </w:rPr>
              <w:t>Radiotherapy (radical)</w:t>
            </w:r>
            <w:r w:rsidR="00DA0598" w:rsidRPr="00DF7CEE">
              <w:rPr>
                <w:b/>
                <w:bCs/>
              </w:rPr>
              <w:t xml:space="preserve"> </w:t>
            </w:r>
          </w:p>
        </w:tc>
        <w:tc>
          <w:tcPr>
            <w:tcW w:w="6768" w:type="dxa"/>
          </w:tcPr>
          <w:p w14:paraId="63EE8595" w14:textId="685C6C58" w:rsidR="00C96D20" w:rsidRDefault="00C96D20" w:rsidP="00C96D20">
            <w:pPr>
              <w:pStyle w:val="DHHStabletext"/>
            </w:pPr>
            <w:r>
              <w:t xml:space="preserve">Radiotherapy courses in the VRMDS where the </w:t>
            </w:r>
            <w:r w:rsidRPr="004727A9">
              <w:rPr>
                <w:i/>
              </w:rPr>
              <w:t>start date</w:t>
            </w:r>
            <w:r>
              <w:t xml:space="preserve"> was </w:t>
            </w:r>
            <w:r w:rsidR="00DA0598">
              <w:t>between 30 days prior and</w:t>
            </w:r>
            <w:r w:rsidR="002C5509">
              <w:t xml:space="preserve"> one </w:t>
            </w:r>
            <w:r w:rsidR="00DA0598">
              <w:t>year after the patient’s</w:t>
            </w:r>
            <w:r w:rsidR="00DA0598" w:rsidRPr="0051753B">
              <w:t xml:space="preserve"> </w:t>
            </w:r>
            <w:r w:rsidR="00483B86">
              <w:t xml:space="preserve">H&amp;N cancer </w:t>
            </w:r>
            <w:r w:rsidR="00DA0598" w:rsidRPr="0051753B">
              <w:t xml:space="preserve">diagnosis </w:t>
            </w:r>
            <w:r w:rsidR="00DA0598">
              <w:t>date</w:t>
            </w:r>
            <w:r>
              <w:t xml:space="preserve">, the </w:t>
            </w:r>
            <w:r w:rsidRPr="002337E5">
              <w:rPr>
                <w:i/>
              </w:rPr>
              <w:t>primary site</w:t>
            </w:r>
            <w:r>
              <w:t xml:space="preserve"> was a</w:t>
            </w:r>
            <w:r w:rsidR="00076BF5">
              <w:t>n</w:t>
            </w:r>
            <w:r>
              <w:t xml:space="preserve"> </w:t>
            </w:r>
            <w:r w:rsidR="00076BF5">
              <w:t>H&amp;N</w:t>
            </w:r>
            <w:r>
              <w:t xml:space="preserve"> cancer code (</w:t>
            </w:r>
            <w:r w:rsidR="00316140">
              <w:t>ICD-10-AM C01-C13, C32</w:t>
            </w:r>
            <w:r>
              <w:t xml:space="preserve">), the </w:t>
            </w:r>
            <w:r w:rsidRPr="002337E5">
              <w:rPr>
                <w:i/>
              </w:rPr>
              <w:t>target site</w:t>
            </w:r>
            <w:r>
              <w:t xml:space="preserve"> was </w:t>
            </w:r>
            <w:r w:rsidR="00076BF5">
              <w:t>‘</w:t>
            </w:r>
            <w:r>
              <w:t xml:space="preserve">head and neck’, </w:t>
            </w:r>
            <w:r w:rsidR="00076BF5">
              <w:t>‘</w:t>
            </w:r>
            <w:r>
              <w:t xml:space="preserve">glottis’, </w:t>
            </w:r>
            <w:r w:rsidR="00076BF5">
              <w:t>‘</w:t>
            </w:r>
            <w:r>
              <w:t xml:space="preserve">sinuses’ or </w:t>
            </w:r>
            <w:r w:rsidR="00076BF5">
              <w:t>‘</w:t>
            </w:r>
            <w:r>
              <w:t xml:space="preserve">parotid’ and the </w:t>
            </w:r>
            <w:r w:rsidRPr="002337E5">
              <w:rPr>
                <w:i/>
              </w:rPr>
              <w:t xml:space="preserve">treatment intent </w:t>
            </w:r>
            <w:r>
              <w:t>was radical.</w:t>
            </w:r>
          </w:p>
        </w:tc>
      </w:tr>
      <w:tr w:rsidR="00C96D20" w:rsidRPr="004D2CE4" w14:paraId="54B0CA1D" w14:textId="77777777" w:rsidTr="008E1DC3">
        <w:tc>
          <w:tcPr>
            <w:tcW w:w="2587" w:type="dxa"/>
          </w:tcPr>
          <w:p w14:paraId="7CDBF6B2" w14:textId="77777777" w:rsidR="00C96D20" w:rsidRPr="00DF7CEE" w:rsidRDefault="00C96D20" w:rsidP="00DF7CEE">
            <w:pPr>
              <w:pStyle w:val="DHHStabletext"/>
              <w:rPr>
                <w:b/>
                <w:bCs/>
              </w:rPr>
            </w:pPr>
            <w:r w:rsidRPr="00DF7CEE">
              <w:rPr>
                <w:b/>
                <w:bCs/>
              </w:rPr>
              <w:t>Radiotherapy (palliative)</w:t>
            </w:r>
          </w:p>
        </w:tc>
        <w:tc>
          <w:tcPr>
            <w:tcW w:w="6768" w:type="dxa"/>
          </w:tcPr>
          <w:p w14:paraId="1D941330" w14:textId="2A013BA3" w:rsidR="00C96D20" w:rsidRDefault="00C96D20" w:rsidP="00C96D20">
            <w:pPr>
              <w:pStyle w:val="DHHStabletext"/>
            </w:pPr>
            <w:r>
              <w:t xml:space="preserve">Radiotherapy courses in the VRMDS where the </w:t>
            </w:r>
            <w:r w:rsidRPr="000C5797">
              <w:rPr>
                <w:i/>
              </w:rPr>
              <w:t>start date</w:t>
            </w:r>
            <w:r>
              <w:t xml:space="preserve"> was </w:t>
            </w:r>
            <w:r w:rsidR="00DA0598">
              <w:t>between 30 days prior and</w:t>
            </w:r>
            <w:r w:rsidR="002C5509">
              <w:t xml:space="preserve"> one </w:t>
            </w:r>
            <w:r w:rsidR="00DA0598">
              <w:t>year after the patient’s</w:t>
            </w:r>
            <w:r w:rsidR="00483B86" w:rsidRPr="0051753B">
              <w:t xml:space="preserve"> </w:t>
            </w:r>
            <w:r w:rsidR="00483B86">
              <w:t>H&amp;N cancer</w:t>
            </w:r>
            <w:r w:rsidR="00DA0598" w:rsidRPr="0051753B">
              <w:t xml:space="preserve"> diagnosis </w:t>
            </w:r>
            <w:r w:rsidR="00DA0598">
              <w:t>date</w:t>
            </w:r>
            <w:r>
              <w:t xml:space="preserve">, the </w:t>
            </w:r>
            <w:r w:rsidRPr="000C5797">
              <w:rPr>
                <w:i/>
              </w:rPr>
              <w:t>primary site</w:t>
            </w:r>
            <w:r>
              <w:t xml:space="preserve"> was a</w:t>
            </w:r>
            <w:r w:rsidR="00076BF5">
              <w:t>n</w:t>
            </w:r>
            <w:r>
              <w:t xml:space="preserve"> </w:t>
            </w:r>
            <w:r w:rsidR="00076BF5">
              <w:t>H&amp;N</w:t>
            </w:r>
            <w:r>
              <w:t xml:space="preserve"> cancer code (</w:t>
            </w:r>
            <w:r w:rsidR="00316140">
              <w:t>ICD-10-AM C01-C13, C32</w:t>
            </w:r>
            <w:r>
              <w:t xml:space="preserve">), the </w:t>
            </w:r>
            <w:r w:rsidRPr="002337E5">
              <w:rPr>
                <w:i/>
              </w:rPr>
              <w:t>target site</w:t>
            </w:r>
            <w:r>
              <w:t xml:space="preserve"> was </w:t>
            </w:r>
            <w:r w:rsidR="00076BF5">
              <w:t>‘</w:t>
            </w:r>
            <w:r>
              <w:t xml:space="preserve">head and neck’, </w:t>
            </w:r>
            <w:r w:rsidR="00076BF5">
              <w:t>‘</w:t>
            </w:r>
            <w:r>
              <w:t xml:space="preserve">glottis’, </w:t>
            </w:r>
            <w:r w:rsidR="00076BF5">
              <w:t>‘</w:t>
            </w:r>
            <w:r>
              <w:t xml:space="preserve">sinuses’ or </w:t>
            </w:r>
            <w:r w:rsidR="00076BF5">
              <w:t>‘</w:t>
            </w:r>
            <w:r>
              <w:t xml:space="preserve">parotid’ and the </w:t>
            </w:r>
            <w:r>
              <w:rPr>
                <w:i/>
              </w:rPr>
              <w:t xml:space="preserve">treatment </w:t>
            </w:r>
            <w:r w:rsidRPr="002337E5">
              <w:rPr>
                <w:i/>
              </w:rPr>
              <w:t xml:space="preserve">intent </w:t>
            </w:r>
            <w:r>
              <w:t>was palliative.</w:t>
            </w:r>
          </w:p>
        </w:tc>
      </w:tr>
      <w:tr w:rsidR="00C96D20" w:rsidRPr="004D2CE4" w14:paraId="57A6824E" w14:textId="77777777" w:rsidTr="008E1DC3">
        <w:tc>
          <w:tcPr>
            <w:tcW w:w="2587" w:type="dxa"/>
          </w:tcPr>
          <w:p w14:paraId="1D46A4C9" w14:textId="77777777" w:rsidR="00C96D20" w:rsidRPr="00DF7CEE" w:rsidRDefault="00C96D20" w:rsidP="00DF7CEE">
            <w:pPr>
              <w:pStyle w:val="DHHStabletext"/>
              <w:rPr>
                <w:b/>
                <w:bCs/>
              </w:rPr>
            </w:pPr>
            <w:r w:rsidRPr="00DF7CEE">
              <w:rPr>
                <w:b/>
                <w:bCs/>
              </w:rPr>
              <w:t>Surgery</w:t>
            </w:r>
          </w:p>
        </w:tc>
        <w:tc>
          <w:tcPr>
            <w:tcW w:w="6768" w:type="dxa"/>
          </w:tcPr>
          <w:p w14:paraId="3A2C7C3A" w14:textId="23148D3C" w:rsidR="00C96D20" w:rsidRDefault="00C96D20" w:rsidP="00C96D20">
            <w:pPr>
              <w:pStyle w:val="DHHStabletext"/>
            </w:pPr>
            <w:r>
              <w:t xml:space="preserve">An </w:t>
            </w:r>
            <w:r w:rsidRPr="004E7881">
              <w:t xml:space="preserve">admitted episode in the VAED where the admission date was </w:t>
            </w:r>
            <w:r w:rsidR="00DA0598">
              <w:t>between 30 days prior and</w:t>
            </w:r>
            <w:r w:rsidR="002C5509">
              <w:t xml:space="preserve"> one </w:t>
            </w:r>
            <w:r w:rsidR="00DA0598">
              <w:t>year after the patient’s</w:t>
            </w:r>
            <w:r w:rsidR="00DA0598" w:rsidRPr="0051753B">
              <w:t xml:space="preserve"> </w:t>
            </w:r>
            <w:r w:rsidR="00483B86">
              <w:t xml:space="preserve">H&amp;N cancer </w:t>
            </w:r>
            <w:r w:rsidR="00DA0598" w:rsidRPr="0051753B">
              <w:t xml:space="preserve">diagnosis </w:t>
            </w:r>
            <w:r w:rsidR="00DA0598">
              <w:t xml:space="preserve">date </w:t>
            </w:r>
            <w:r w:rsidRPr="004E7881">
              <w:t>and the episode included at least one non-minor surgical procedure</w:t>
            </w:r>
            <w:r>
              <w:t xml:space="preserve"> code (</w:t>
            </w:r>
            <w:r w:rsidR="00954022">
              <w:fldChar w:fldCharType="begin"/>
            </w:r>
            <w:r w:rsidR="00923D16">
              <w:instrText xml:space="preserve"> REF _Ref4761532 \h </w:instrText>
            </w:r>
            <w:r w:rsidR="00DF7CEE">
              <w:instrText xml:space="preserve"> \* MERGEFORMAT </w:instrText>
            </w:r>
            <w:r w:rsidR="00954022">
              <w:fldChar w:fldCharType="separate"/>
            </w:r>
            <w:r w:rsidR="00084E54">
              <w:t xml:space="preserve">Supplementary Table </w:t>
            </w:r>
            <w:r w:rsidR="00084E54">
              <w:rPr>
                <w:noProof/>
              </w:rPr>
              <w:t>2</w:t>
            </w:r>
            <w:r w:rsidR="00954022">
              <w:fldChar w:fldCharType="end"/>
            </w:r>
            <w:r>
              <w:t xml:space="preserve">). If a patient did not receive treatment (non-minor surgery, radiotherapy (radical/palliative) or chemotherapy) within one year of </w:t>
            </w:r>
            <w:r w:rsidR="00317A09">
              <w:t>diagnosis but</w:t>
            </w:r>
            <w:r>
              <w:t xml:space="preserve"> had an admitted episode </w:t>
            </w:r>
            <w:r w:rsidR="00DA0598">
              <w:t>between 30 days prior and</w:t>
            </w:r>
            <w:r w:rsidR="002C5509">
              <w:t xml:space="preserve"> one </w:t>
            </w:r>
            <w:r w:rsidR="00DA0598">
              <w:t>year after the patient’s</w:t>
            </w:r>
            <w:r w:rsidR="00DA0598" w:rsidRPr="0051753B">
              <w:t xml:space="preserve"> diagnosis </w:t>
            </w:r>
            <w:r w:rsidR="00DA0598">
              <w:t xml:space="preserve">date </w:t>
            </w:r>
            <w:r>
              <w:t>that included a minor surgical procedure code (</w:t>
            </w:r>
            <w:r w:rsidR="00954022">
              <w:fldChar w:fldCharType="begin"/>
            </w:r>
            <w:r w:rsidR="00923D16">
              <w:instrText xml:space="preserve"> REF _Ref4761514 \h </w:instrText>
            </w:r>
            <w:r w:rsidR="00DF7CEE">
              <w:instrText xml:space="preserve"> \* MERGEFORMAT </w:instrText>
            </w:r>
            <w:r w:rsidR="00954022">
              <w:fldChar w:fldCharType="separate"/>
            </w:r>
            <w:r w:rsidR="00084E54">
              <w:t xml:space="preserve">Supplementary Table </w:t>
            </w:r>
            <w:r w:rsidR="00084E54">
              <w:rPr>
                <w:noProof/>
              </w:rPr>
              <w:t>3</w:t>
            </w:r>
            <w:r w:rsidR="00954022">
              <w:fldChar w:fldCharType="end"/>
            </w:r>
            <w:r>
              <w:t>), the patient was classified as having received surgery.</w:t>
            </w:r>
          </w:p>
        </w:tc>
      </w:tr>
    </w:tbl>
    <w:p w14:paraId="1A470F52" w14:textId="77777777" w:rsidR="00076BF5" w:rsidRDefault="00076BF5">
      <w:pPr>
        <w:rPr>
          <w:rFonts w:ascii="Arial" w:hAnsi="Arial"/>
          <w:bCs/>
          <w:color w:val="9F2241"/>
          <w:sz w:val="44"/>
          <w:szCs w:val="44"/>
        </w:rPr>
      </w:pPr>
      <w:bookmarkStart w:id="95" w:name="_Toc22713866"/>
      <w:r>
        <w:br w:type="page"/>
      </w:r>
    </w:p>
    <w:p w14:paraId="1801B5E2" w14:textId="2FEC60B7" w:rsidR="005B4072" w:rsidRDefault="005B4072" w:rsidP="007970BD">
      <w:pPr>
        <w:pStyle w:val="Heading1"/>
      </w:pPr>
      <w:r>
        <w:t>Supplementary material</w:t>
      </w:r>
      <w:bookmarkEnd w:id="95"/>
    </w:p>
    <w:p w14:paraId="7177AA85" w14:textId="4BFBDAB2" w:rsidR="00923D16" w:rsidRDefault="00923D16" w:rsidP="007970BD">
      <w:pPr>
        <w:pStyle w:val="Heading2"/>
      </w:pPr>
      <w:bookmarkStart w:id="96" w:name="_Toc22713867"/>
      <w:r>
        <w:t>Codes</w:t>
      </w:r>
      <w:bookmarkEnd w:id="96"/>
    </w:p>
    <w:p w14:paraId="16D5B3AB" w14:textId="77777777" w:rsidR="00D2335D" w:rsidRDefault="00D2335D" w:rsidP="005B4072">
      <w:pPr>
        <w:pStyle w:val="Heading3"/>
      </w:pPr>
      <w:r>
        <w:t>Diagnosis</w:t>
      </w:r>
    </w:p>
    <w:p w14:paraId="1F5A6AA2" w14:textId="3B33D3CA" w:rsidR="00D2335D" w:rsidRDefault="00CB1A69" w:rsidP="00D2335D">
      <w:pPr>
        <w:pStyle w:val="DHHStablecaption"/>
      </w:pPr>
      <w:bookmarkStart w:id="97" w:name="_Ref5000135"/>
      <w:bookmarkStart w:id="98" w:name="_Ref11924238"/>
      <w:bookmarkStart w:id="99" w:name="_Toc22722842"/>
      <w:r>
        <w:t>Supplementary T</w:t>
      </w:r>
      <w:r w:rsidR="00D2335D">
        <w:t xml:space="preserve">able </w:t>
      </w:r>
      <w:bookmarkEnd w:id="97"/>
      <w:r>
        <w:rPr>
          <w:noProof/>
        </w:rPr>
        <w:fldChar w:fldCharType="begin"/>
      </w:r>
      <w:r>
        <w:rPr>
          <w:noProof/>
        </w:rPr>
        <w:instrText xml:space="preserve"> SEQ Table \* ARABIC \r 1 </w:instrText>
      </w:r>
      <w:r>
        <w:rPr>
          <w:noProof/>
        </w:rPr>
        <w:fldChar w:fldCharType="separate"/>
      </w:r>
      <w:r w:rsidR="00084E54">
        <w:rPr>
          <w:noProof/>
        </w:rPr>
        <w:t>1</w:t>
      </w:r>
      <w:r>
        <w:rPr>
          <w:noProof/>
        </w:rPr>
        <w:fldChar w:fldCharType="end"/>
      </w:r>
      <w:bookmarkEnd w:id="98"/>
      <w:r w:rsidR="00D2335D">
        <w:t>: Head and neck cancer diagnosis codes</w:t>
      </w:r>
      <w:bookmarkEnd w:id="99"/>
    </w:p>
    <w:tbl>
      <w:tblPr>
        <w:tblStyle w:val="TableGrid"/>
        <w:tblW w:w="0" w:type="auto"/>
        <w:tblInd w:w="-5" w:type="dxa"/>
        <w:tblLook w:val="04A0" w:firstRow="1" w:lastRow="0" w:firstColumn="1" w:lastColumn="0" w:noHBand="0" w:noVBand="1"/>
      </w:tblPr>
      <w:tblGrid>
        <w:gridCol w:w="1800"/>
        <w:gridCol w:w="7157"/>
      </w:tblGrid>
      <w:tr w:rsidR="00D2335D" w14:paraId="239E93FC" w14:textId="77777777" w:rsidTr="008E1DC3">
        <w:trPr>
          <w:tblHeader/>
        </w:trPr>
        <w:tc>
          <w:tcPr>
            <w:tcW w:w="1800" w:type="dxa"/>
            <w:vAlign w:val="center"/>
          </w:tcPr>
          <w:p w14:paraId="6AB99593" w14:textId="77777777" w:rsidR="00D2335D" w:rsidRPr="00D96D0E" w:rsidRDefault="00D2335D" w:rsidP="005F078F">
            <w:pPr>
              <w:pStyle w:val="DHHStablecolhead"/>
            </w:pPr>
            <w:r w:rsidRPr="00D96D0E">
              <w:t>ICD-10-AM</w:t>
            </w:r>
          </w:p>
        </w:tc>
        <w:tc>
          <w:tcPr>
            <w:tcW w:w="7157" w:type="dxa"/>
            <w:vAlign w:val="center"/>
          </w:tcPr>
          <w:p w14:paraId="6CAC289A" w14:textId="77777777" w:rsidR="00D2335D" w:rsidRPr="00D96D0E" w:rsidRDefault="00D2335D" w:rsidP="005F078F">
            <w:pPr>
              <w:pStyle w:val="DHHStablecolhead"/>
            </w:pPr>
            <w:r w:rsidRPr="00D96D0E">
              <w:t>Description</w:t>
            </w:r>
          </w:p>
        </w:tc>
      </w:tr>
      <w:tr w:rsidR="00D2335D" w14:paraId="62A4A605" w14:textId="77777777" w:rsidTr="008E1DC3">
        <w:tc>
          <w:tcPr>
            <w:tcW w:w="1800" w:type="dxa"/>
            <w:vAlign w:val="center"/>
          </w:tcPr>
          <w:p w14:paraId="159FDDBA" w14:textId="77777777" w:rsidR="00D2335D" w:rsidRPr="008E1DC3" w:rsidRDefault="00D2335D" w:rsidP="008E1DC3">
            <w:pPr>
              <w:pStyle w:val="DHHStabletext"/>
            </w:pPr>
            <w:r w:rsidRPr="008E1DC3">
              <w:t>C01</w:t>
            </w:r>
          </w:p>
        </w:tc>
        <w:tc>
          <w:tcPr>
            <w:tcW w:w="7157" w:type="dxa"/>
            <w:vAlign w:val="center"/>
          </w:tcPr>
          <w:p w14:paraId="3109DE5F" w14:textId="77777777" w:rsidR="00D2335D" w:rsidRPr="008E1DC3" w:rsidRDefault="00D2335D" w:rsidP="008E1DC3">
            <w:pPr>
              <w:pStyle w:val="DHHStabletext"/>
            </w:pPr>
            <w:r w:rsidRPr="008E1DC3">
              <w:t>Malignant neoplasm of base of tongue</w:t>
            </w:r>
          </w:p>
        </w:tc>
      </w:tr>
      <w:tr w:rsidR="00D2335D" w14:paraId="15E3DCF0" w14:textId="77777777" w:rsidTr="008E1DC3">
        <w:tc>
          <w:tcPr>
            <w:tcW w:w="1800" w:type="dxa"/>
            <w:vAlign w:val="center"/>
          </w:tcPr>
          <w:p w14:paraId="618200E8" w14:textId="77777777" w:rsidR="00D2335D" w:rsidRPr="008E1DC3" w:rsidRDefault="00D2335D" w:rsidP="008E1DC3">
            <w:pPr>
              <w:pStyle w:val="DHHStabletext"/>
            </w:pPr>
            <w:r w:rsidRPr="008E1DC3">
              <w:t>C02</w:t>
            </w:r>
          </w:p>
        </w:tc>
        <w:tc>
          <w:tcPr>
            <w:tcW w:w="7157" w:type="dxa"/>
            <w:vAlign w:val="center"/>
          </w:tcPr>
          <w:p w14:paraId="53699E1F" w14:textId="77777777" w:rsidR="00D2335D" w:rsidRPr="008E1DC3" w:rsidRDefault="00D2335D" w:rsidP="008E1DC3">
            <w:pPr>
              <w:pStyle w:val="DHHStabletext"/>
            </w:pPr>
            <w:r w:rsidRPr="008E1DC3">
              <w:t>Malignant neoplasm of other and unspecified parts of tongue</w:t>
            </w:r>
          </w:p>
        </w:tc>
      </w:tr>
      <w:tr w:rsidR="00D2335D" w14:paraId="738CDF01" w14:textId="77777777" w:rsidTr="008E1DC3">
        <w:tc>
          <w:tcPr>
            <w:tcW w:w="1800" w:type="dxa"/>
            <w:vAlign w:val="center"/>
          </w:tcPr>
          <w:p w14:paraId="619F9636" w14:textId="77777777" w:rsidR="00D2335D" w:rsidRPr="008E1DC3" w:rsidRDefault="00D2335D" w:rsidP="008E1DC3">
            <w:pPr>
              <w:pStyle w:val="DHHStabletext"/>
            </w:pPr>
            <w:r w:rsidRPr="008E1DC3">
              <w:t>C03</w:t>
            </w:r>
          </w:p>
        </w:tc>
        <w:tc>
          <w:tcPr>
            <w:tcW w:w="7157" w:type="dxa"/>
            <w:vAlign w:val="center"/>
          </w:tcPr>
          <w:p w14:paraId="42528A35" w14:textId="77777777" w:rsidR="00D2335D" w:rsidRPr="008E1DC3" w:rsidRDefault="00D2335D" w:rsidP="008E1DC3">
            <w:pPr>
              <w:pStyle w:val="DHHStabletext"/>
            </w:pPr>
            <w:r w:rsidRPr="008E1DC3">
              <w:t>Malignant neoplasm of gum</w:t>
            </w:r>
          </w:p>
        </w:tc>
      </w:tr>
      <w:tr w:rsidR="00D2335D" w14:paraId="4FEB76C4" w14:textId="77777777" w:rsidTr="008E1DC3">
        <w:tc>
          <w:tcPr>
            <w:tcW w:w="1800" w:type="dxa"/>
            <w:vAlign w:val="center"/>
          </w:tcPr>
          <w:p w14:paraId="7E541BB3" w14:textId="77777777" w:rsidR="00D2335D" w:rsidRPr="008E1DC3" w:rsidRDefault="00D2335D" w:rsidP="008E1DC3">
            <w:pPr>
              <w:pStyle w:val="DHHStabletext"/>
            </w:pPr>
            <w:r w:rsidRPr="008E1DC3">
              <w:t>C04</w:t>
            </w:r>
          </w:p>
        </w:tc>
        <w:tc>
          <w:tcPr>
            <w:tcW w:w="7157" w:type="dxa"/>
            <w:vAlign w:val="center"/>
          </w:tcPr>
          <w:p w14:paraId="7BB7A96B" w14:textId="77777777" w:rsidR="00D2335D" w:rsidRPr="008E1DC3" w:rsidRDefault="00D2335D" w:rsidP="008E1DC3">
            <w:pPr>
              <w:pStyle w:val="DHHStabletext"/>
            </w:pPr>
            <w:r w:rsidRPr="008E1DC3">
              <w:t>Malignant neoplasm of floor of mouth</w:t>
            </w:r>
          </w:p>
        </w:tc>
      </w:tr>
      <w:tr w:rsidR="00D2335D" w14:paraId="5E48FB62" w14:textId="77777777" w:rsidTr="008E1DC3">
        <w:tc>
          <w:tcPr>
            <w:tcW w:w="1800" w:type="dxa"/>
            <w:vAlign w:val="center"/>
          </w:tcPr>
          <w:p w14:paraId="173811A6" w14:textId="77777777" w:rsidR="00D2335D" w:rsidRPr="008E1DC3" w:rsidRDefault="00D2335D" w:rsidP="008E1DC3">
            <w:pPr>
              <w:pStyle w:val="DHHStabletext"/>
            </w:pPr>
            <w:r w:rsidRPr="008E1DC3">
              <w:t>C05</w:t>
            </w:r>
          </w:p>
        </w:tc>
        <w:tc>
          <w:tcPr>
            <w:tcW w:w="7157" w:type="dxa"/>
            <w:vAlign w:val="center"/>
          </w:tcPr>
          <w:p w14:paraId="5D09DBFA" w14:textId="77777777" w:rsidR="00D2335D" w:rsidRPr="008E1DC3" w:rsidRDefault="00D2335D" w:rsidP="008E1DC3">
            <w:pPr>
              <w:pStyle w:val="DHHStabletext"/>
            </w:pPr>
            <w:r w:rsidRPr="008E1DC3">
              <w:t>Malignant neoplasm of palate</w:t>
            </w:r>
          </w:p>
        </w:tc>
      </w:tr>
      <w:tr w:rsidR="00D2335D" w14:paraId="24EC8CED" w14:textId="77777777" w:rsidTr="008E1DC3">
        <w:tc>
          <w:tcPr>
            <w:tcW w:w="1800" w:type="dxa"/>
            <w:vAlign w:val="center"/>
          </w:tcPr>
          <w:p w14:paraId="30E0B838" w14:textId="77777777" w:rsidR="00D2335D" w:rsidRPr="008E1DC3" w:rsidRDefault="00D2335D" w:rsidP="008E1DC3">
            <w:pPr>
              <w:pStyle w:val="DHHStabletext"/>
            </w:pPr>
            <w:r w:rsidRPr="008E1DC3">
              <w:t>C06</w:t>
            </w:r>
          </w:p>
        </w:tc>
        <w:tc>
          <w:tcPr>
            <w:tcW w:w="7157" w:type="dxa"/>
            <w:vAlign w:val="center"/>
          </w:tcPr>
          <w:p w14:paraId="3807F91D" w14:textId="77777777" w:rsidR="00D2335D" w:rsidRPr="008E1DC3" w:rsidRDefault="00D2335D" w:rsidP="008E1DC3">
            <w:pPr>
              <w:pStyle w:val="DHHStabletext"/>
            </w:pPr>
            <w:r w:rsidRPr="008E1DC3">
              <w:t>Malignant neoplasm of other and unspecified parts of mouth</w:t>
            </w:r>
          </w:p>
        </w:tc>
      </w:tr>
      <w:tr w:rsidR="00D2335D" w14:paraId="5974E8E6" w14:textId="77777777" w:rsidTr="008E1DC3">
        <w:tc>
          <w:tcPr>
            <w:tcW w:w="1800" w:type="dxa"/>
            <w:vAlign w:val="center"/>
          </w:tcPr>
          <w:p w14:paraId="21E72D33" w14:textId="77777777" w:rsidR="00D2335D" w:rsidRPr="008E1DC3" w:rsidRDefault="00D2335D" w:rsidP="008E1DC3">
            <w:pPr>
              <w:pStyle w:val="DHHStabletext"/>
            </w:pPr>
            <w:r w:rsidRPr="008E1DC3">
              <w:t>C07</w:t>
            </w:r>
          </w:p>
        </w:tc>
        <w:tc>
          <w:tcPr>
            <w:tcW w:w="7157" w:type="dxa"/>
            <w:vAlign w:val="center"/>
          </w:tcPr>
          <w:p w14:paraId="3CBDD3D8" w14:textId="77777777" w:rsidR="00D2335D" w:rsidRPr="008E1DC3" w:rsidRDefault="00D2335D" w:rsidP="008E1DC3">
            <w:pPr>
              <w:pStyle w:val="DHHStabletext"/>
            </w:pPr>
            <w:r w:rsidRPr="008E1DC3">
              <w:t>Malignant neoplasm of parotid gland</w:t>
            </w:r>
          </w:p>
        </w:tc>
      </w:tr>
      <w:tr w:rsidR="00D2335D" w14:paraId="4C306A2C" w14:textId="77777777" w:rsidTr="008E1DC3">
        <w:tc>
          <w:tcPr>
            <w:tcW w:w="1800" w:type="dxa"/>
            <w:vAlign w:val="center"/>
          </w:tcPr>
          <w:p w14:paraId="75179AD0" w14:textId="77777777" w:rsidR="00D2335D" w:rsidRPr="008E1DC3" w:rsidRDefault="00D2335D" w:rsidP="008E1DC3">
            <w:pPr>
              <w:pStyle w:val="DHHStabletext"/>
            </w:pPr>
            <w:r w:rsidRPr="008E1DC3">
              <w:t>C08</w:t>
            </w:r>
          </w:p>
        </w:tc>
        <w:tc>
          <w:tcPr>
            <w:tcW w:w="7157" w:type="dxa"/>
            <w:vAlign w:val="center"/>
          </w:tcPr>
          <w:p w14:paraId="259B26E8" w14:textId="77777777" w:rsidR="00D2335D" w:rsidRPr="008E1DC3" w:rsidRDefault="00D2335D" w:rsidP="008E1DC3">
            <w:pPr>
              <w:pStyle w:val="DHHStabletext"/>
            </w:pPr>
            <w:r w:rsidRPr="008E1DC3">
              <w:t>Malignant neoplasm of other and unspecified major salivary glands</w:t>
            </w:r>
          </w:p>
        </w:tc>
      </w:tr>
      <w:tr w:rsidR="00D2335D" w14:paraId="63646B02" w14:textId="77777777" w:rsidTr="008E1DC3">
        <w:tc>
          <w:tcPr>
            <w:tcW w:w="1800" w:type="dxa"/>
            <w:vAlign w:val="center"/>
          </w:tcPr>
          <w:p w14:paraId="7865F64B" w14:textId="77777777" w:rsidR="00D2335D" w:rsidRPr="008E1DC3" w:rsidRDefault="00D2335D" w:rsidP="008E1DC3">
            <w:pPr>
              <w:pStyle w:val="DHHStabletext"/>
            </w:pPr>
            <w:r w:rsidRPr="008E1DC3">
              <w:t>C09</w:t>
            </w:r>
          </w:p>
        </w:tc>
        <w:tc>
          <w:tcPr>
            <w:tcW w:w="7157" w:type="dxa"/>
            <w:vAlign w:val="center"/>
          </w:tcPr>
          <w:p w14:paraId="7AA6930E" w14:textId="77777777" w:rsidR="00D2335D" w:rsidRPr="008E1DC3" w:rsidRDefault="00D2335D" w:rsidP="008E1DC3">
            <w:pPr>
              <w:pStyle w:val="DHHStabletext"/>
            </w:pPr>
            <w:r w:rsidRPr="008E1DC3">
              <w:t>Malignant neoplasm of tonsil</w:t>
            </w:r>
          </w:p>
        </w:tc>
      </w:tr>
      <w:tr w:rsidR="00D2335D" w14:paraId="45F8FD5A" w14:textId="77777777" w:rsidTr="008E1DC3">
        <w:tc>
          <w:tcPr>
            <w:tcW w:w="1800" w:type="dxa"/>
            <w:vAlign w:val="center"/>
          </w:tcPr>
          <w:p w14:paraId="1E6A0D5C" w14:textId="77777777" w:rsidR="00D2335D" w:rsidRPr="008E1DC3" w:rsidRDefault="00D2335D" w:rsidP="008E1DC3">
            <w:pPr>
              <w:pStyle w:val="DHHStabletext"/>
            </w:pPr>
            <w:r w:rsidRPr="008E1DC3">
              <w:t>C10</w:t>
            </w:r>
          </w:p>
        </w:tc>
        <w:tc>
          <w:tcPr>
            <w:tcW w:w="7157" w:type="dxa"/>
            <w:vAlign w:val="center"/>
          </w:tcPr>
          <w:p w14:paraId="658F4FE5" w14:textId="77777777" w:rsidR="00D2335D" w:rsidRPr="008E1DC3" w:rsidRDefault="00D2335D" w:rsidP="008E1DC3">
            <w:pPr>
              <w:pStyle w:val="DHHStabletext"/>
            </w:pPr>
            <w:r w:rsidRPr="008E1DC3">
              <w:t>Malignant neoplasm of oropharynx</w:t>
            </w:r>
          </w:p>
        </w:tc>
      </w:tr>
      <w:tr w:rsidR="00D2335D" w14:paraId="64B2C696" w14:textId="77777777" w:rsidTr="008E1DC3">
        <w:tc>
          <w:tcPr>
            <w:tcW w:w="1800" w:type="dxa"/>
            <w:vAlign w:val="center"/>
          </w:tcPr>
          <w:p w14:paraId="7C1C3484" w14:textId="77777777" w:rsidR="00D2335D" w:rsidRPr="008E1DC3" w:rsidRDefault="00D2335D" w:rsidP="008E1DC3">
            <w:pPr>
              <w:pStyle w:val="DHHStabletext"/>
            </w:pPr>
            <w:r w:rsidRPr="008E1DC3">
              <w:t>C11</w:t>
            </w:r>
          </w:p>
        </w:tc>
        <w:tc>
          <w:tcPr>
            <w:tcW w:w="7157" w:type="dxa"/>
            <w:vAlign w:val="center"/>
          </w:tcPr>
          <w:p w14:paraId="6117AF73" w14:textId="77777777" w:rsidR="00D2335D" w:rsidRPr="008E1DC3" w:rsidRDefault="00D2335D" w:rsidP="008E1DC3">
            <w:pPr>
              <w:pStyle w:val="DHHStabletext"/>
            </w:pPr>
            <w:r w:rsidRPr="008E1DC3">
              <w:t>Malignant neoplasm of nasopharynx</w:t>
            </w:r>
          </w:p>
        </w:tc>
      </w:tr>
      <w:tr w:rsidR="00D2335D" w14:paraId="6ADD47CA" w14:textId="77777777" w:rsidTr="008E1DC3">
        <w:tc>
          <w:tcPr>
            <w:tcW w:w="1800" w:type="dxa"/>
            <w:vAlign w:val="center"/>
          </w:tcPr>
          <w:p w14:paraId="39795357" w14:textId="77777777" w:rsidR="00D2335D" w:rsidRPr="008E1DC3" w:rsidRDefault="00D2335D" w:rsidP="008E1DC3">
            <w:pPr>
              <w:pStyle w:val="DHHStabletext"/>
            </w:pPr>
            <w:r w:rsidRPr="008E1DC3">
              <w:t>C12</w:t>
            </w:r>
          </w:p>
        </w:tc>
        <w:tc>
          <w:tcPr>
            <w:tcW w:w="7157" w:type="dxa"/>
            <w:vAlign w:val="center"/>
          </w:tcPr>
          <w:p w14:paraId="7E7F0B31" w14:textId="77777777" w:rsidR="00D2335D" w:rsidRPr="008E1DC3" w:rsidRDefault="00D2335D" w:rsidP="008E1DC3">
            <w:pPr>
              <w:pStyle w:val="DHHStabletext"/>
            </w:pPr>
            <w:r w:rsidRPr="008E1DC3">
              <w:t>Malignant neoplasm of piriform sinus</w:t>
            </w:r>
          </w:p>
        </w:tc>
      </w:tr>
      <w:tr w:rsidR="00D2335D" w14:paraId="7CCAFD53" w14:textId="77777777" w:rsidTr="008E1DC3">
        <w:tc>
          <w:tcPr>
            <w:tcW w:w="1800" w:type="dxa"/>
            <w:vAlign w:val="center"/>
          </w:tcPr>
          <w:p w14:paraId="46180D4A" w14:textId="77777777" w:rsidR="00D2335D" w:rsidRPr="008E1DC3" w:rsidRDefault="00D2335D" w:rsidP="008E1DC3">
            <w:pPr>
              <w:pStyle w:val="DHHStabletext"/>
            </w:pPr>
            <w:r w:rsidRPr="008E1DC3">
              <w:t>C13</w:t>
            </w:r>
          </w:p>
        </w:tc>
        <w:tc>
          <w:tcPr>
            <w:tcW w:w="7157" w:type="dxa"/>
            <w:vAlign w:val="center"/>
          </w:tcPr>
          <w:p w14:paraId="23C2A1EE" w14:textId="77777777" w:rsidR="00D2335D" w:rsidRPr="008E1DC3" w:rsidRDefault="00D96D0E" w:rsidP="008E1DC3">
            <w:pPr>
              <w:pStyle w:val="DHHStabletext"/>
            </w:pPr>
            <w:r w:rsidRPr="008E1DC3">
              <w:t>Malignant neoplasm of hypopharynx</w:t>
            </w:r>
          </w:p>
        </w:tc>
      </w:tr>
      <w:tr w:rsidR="00D2335D" w14:paraId="5ED5AF3A" w14:textId="77777777" w:rsidTr="008E1DC3">
        <w:tc>
          <w:tcPr>
            <w:tcW w:w="1800" w:type="dxa"/>
            <w:vAlign w:val="center"/>
          </w:tcPr>
          <w:p w14:paraId="12655F80" w14:textId="77777777" w:rsidR="00D2335D" w:rsidRPr="008E1DC3" w:rsidRDefault="00D2335D" w:rsidP="008E1DC3">
            <w:pPr>
              <w:pStyle w:val="DHHStabletext"/>
            </w:pPr>
            <w:r w:rsidRPr="008E1DC3">
              <w:t>C32</w:t>
            </w:r>
          </w:p>
        </w:tc>
        <w:tc>
          <w:tcPr>
            <w:tcW w:w="7157" w:type="dxa"/>
            <w:vAlign w:val="center"/>
          </w:tcPr>
          <w:p w14:paraId="560D7F33" w14:textId="77777777" w:rsidR="00D2335D" w:rsidRPr="008E1DC3" w:rsidRDefault="00D96D0E" w:rsidP="008E1DC3">
            <w:pPr>
              <w:pStyle w:val="DHHStabletext"/>
            </w:pPr>
            <w:r w:rsidRPr="008E1DC3">
              <w:t>Malignant neoplasm of larynx</w:t>
            </w:r>
          </w:p>
        </w:tc>
      </w:tr>
    </w:tbl>
    <w:p w14:paraId="6FB72B73" w14:textId="77777777" w:rsidR="00923D16" w:rsidRPr="00923D16" w:rsidRDefault="00923D16" w:rsidP="005B4072">
      <w:pPr>
        <w:pStyle w:val="Heading3"/>
      </w:pPr>
      <w:r>
        <w:t xml:space="preserve">Surgery </w:t>
      </w:r>
    </w:p>
    <w:p w14:paraId="610AC7F2" w14:textId="1DB6062C" w:rsidR="00923D16" w:rsidRDefault="00CB1A69" w:rsidP="00923D16">
      <w:pPr>
        <w:pStyle w:val="DHHStablecaption"/>
      </w:pPr>
      <w:bookmarkStart w:id="100" w:name="_Ref4761532"/>
      <w:bookmarkStart w:id="101" w:name="_Toc22722843"/>
      <w:r>
        <w:t xml:space="preserve">Supplementary </w:t>
      </w:r>
      <w:r w:rsidR="00923D16">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2</w:t>
      </w:r>
      <w:r w:rsidR="00954022">
        <w:rPr>
          <w:noProof/>
        </w:rPr>
        <w:fldChar w:fldCharType="end"/>
      </w:r>
      <w:bookmarkEnd w:id="100"/>
      <w:r w:rsidR="00923D16">
        <w:t>: Surgical procedures codes used to identify patients who underwent a head and neck cancer resection</w:t>
      </w:r>
      <w:bookmarkEnd w:id="101"/>
    </w:p>
    <w:tbl>
      <w:tblPr>
        <w:tblW w:w="0" w:type="auto"/>
        <w:tblLook w:val="04A0" w:firstRow="1" w:lastRow="0" w:firstColumn="1" w:lastColumn="0" w:noHBand="0" w:noVBand="1"/>
      </w:tblPr>
      <w:tblGrid>
        <w:gridCol w:w="1795"/>
        <w:gridCol w:w="7110"/>
      </w:tblGrid>
      <w:tr w:rsidR="00923D16" w14:paraId="1FE770E5" w14:textId="77777777" w:rsidTr="008E1DC3">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581C7" w14:textId="77777777" w:rsidR="00923D16" w:rsidRPr="00D96D0E" w:rsidRDefault="00923D16" w:rsidP="005F078F">
            <w:pPr>
              <w:pStyle w:val="DHHStablecolhead"/>
            </w:pPr>
            <w:r w:rsidRPr="00D96D0E">
              <w:t>ICD-10</w:t>
            </w:r>
            <w:r w:rsidR="00D96D0E" w:rsidRPr="00D96D0E">
              <w:t>-</w:t>
            </w:r>
            <w:r w:rsidRPr="00D96D0E">
              <w:t>AM/</w:t>
            </w:r>
            <w:r w:rsidR="00D96D0E" w:rsidRPr="00D96D0E">
              <w:t xml:space="preserve"> </w:t>
            </w:r>
            <w:r w:rsidRPr="00D96D0E">
              <w:t>ACHI/ACS code</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9A97" w14:textId="77777777" w:rsidR="00923D16" w:rsidRPr="00D96D0E" w:rsidRDefault="00923D16" w:rsidP="005F078F">
            <w:pPr>
              <w:pStyle w:val="DHHStablecolhead"/>
            </w:pPr>
            <w:r w:rsidRPr="00D96D0E">
              <w:t>Description</w:t>
            </w:r>
          </w:p>
        </w:tc>
      </w:tr>
      <w:tr w:rsidR="00923D16" w:rsidRPr="001E66FD" w14:paraId="6A04F66E"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E2B319" w14:textId="77777777" w:rsidR="00923D16" w:rsidRPr="00A675D4" w:rsidRDefault="00923D16" w:rsidP="008E1DC3">
            <w:pPr>
              <w:pStyle w:val="DHHStabletext"/>
            </w:pPr>
            <w:r w:rsidRPr="00A675D4">
              <w:t>3024700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FD7882" w14:textId="77777777" w:rsidR="00923D16" w:rsidRPr="00A675D4" w:rsidRDefault="00923D16" w:rsidP="008E1DC3">
            <w:pPr>
              <w:pStyle w:val="DHHStabletext"/>
            </w:pPr>
            <w:r w:rsidRPr="00A675D4">
              <w:t>Total excision of parotid gland</w:t>
            </w:r>
          </w:p>
        </w:tc>
      </w:tr>
      <w:tr w:rsidR="00923D16" w:rsidRPr="001E66FD" w14:paraId="0EC14E48"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6EC6AE" w14:textId="77777777" w:rsidR="00923D16" w:rsidRPr="00A675D4" w:rsidRDefault="00923D16" w:rsidP="008E1DC3">
            <w:pPr>
              <w:pStyle w:val="DHHStabletext"/>
            </w:pPr>
            <w:r w:rsidRPr="00A675D4">
              <w:t>3025000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3C8F08E" w14:textId="77777777" w:rsidR="00923D16" w:rsidRPr="00A675D4" w:rsidRDefault="00923D16" w:rsidP="008E1DC3">
            <w:pPr>
              <w:pStyle w:val="DHHStabletext"/>
            </w:pPr>
            <w:r w:rsidRPr="00A675D4">
              <w:t>Total excision of parotid gland with preservation of facial nerve</w:t>
            </w:r>
          </w:p>
        </w:tc>
      </w:tr>
      <w:tr w:rsidR="00923D16" w:rsidRPr="001E66FD" w14:paraId="55E2D236"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E4D9B4" w14:textId="77777777" w:rsidR="00923D16" w:rsidRPr="00A675D4" w:rsidRDefault="00923D16" w:rsidP="008E1DC3">
            <w:pPr>
              <w:pStyle w:val="DHHStabletext"/>
            </w:pPr>
            <w:r w:rsidRPr="00A675D4">
              <w:t>3025300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80950C" w14:textId="77777777" w:rsidR="00923D16" w:rsidRPr="00A675D4" w:rsidRDefault="00923D16" w:rsidP="008E1DC3">
            <w:pPr>
              <w:pStyle w:val="DHHStabletext"/>
            </w:pPr>
            <w:r w:rsidRPr="00A675D4">
              <w:t>Partial excision of parotid gland</w:t>
            </w:r>
          </w:p>
        </w:tc>
      </w:tr>
      <w:tr w:rsidR="00923D16" w:rsidRPr="001E66FD" w14:paraId="03A2D957"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A74E56" w14:textId="77777777" w:rsidR="00923D16" w:rsidRPr="00A675D4" w:rsidRDefault="00923D16" w:rsidP="008E1DC3">
            <w:pPr>
              <w:pStyle w:val="DHHStabletext"/>
            </w:pPr>
            <w:r w:rsidRPr="00A675D4">
              <w:t>3025600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752896" w14:textId="77777777" w:rsidR="00923D16" w:rsidRPr="00A675D4" w:rsidRDefault="00923D16" w:rsidP="008E1DC3">
            <w:pPr>
              <w:pStyle w:val="DHHStabletext"/>
            </w:pPr>
            <w:r w:rsidRPr="00A675D4">
              <w:t>Excision of submandibular gland</w:t>
            </w:r>
          </w:p>
        </w:tc>
      </w:tr>
      <w:tr w:rsidR="00923D16" w:rsidRPr="001E66FD" w14:paraId="36A06927"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787FBA" w14:textId="77777777" w:rsidR="00923D16" w:rsidRPr="00A675D4" w:rsidRDefault="00923D16" w:rsidP="008E1DC3">
            <w:pPr>
              <w:pStyle w:val="DHHStabletext"/>
            </w:pPr>
            <w:r w:rsidRPr="00A675D4">
              <w:t>3027200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C8C0FC" w14:textId="77777777" w:rsidR="00923D16" w:rsidRPr="00A675D4" w:rsidRDefault="00923D16" w:rsidP="008E1DC3">
            <w:pPr>
              <w:pStyle w:val="DHHStabletext"/>
            </w:pPr>
            <w:r w:rsidRPr="00A675D4">
              <w:t>Partial excision of tongue</w:t>
            </w:r>
          </w:p>
        </w:tc>
      </w:tr>
      <w:tr w:rsidR="00923D16" w:rsidRPr="001E66FD" w14:paraId="52AA965E"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EEBC55" w14:textId="77777777" w:rsidR="00923D16" w:rsidRPr="00A675D4" w:rsidRDefault="00923D16" w:rsidP="008E1DC3">
            <w:pPr>
              <w:pStyle w:val="DHHStabletext"/>
            </w:pPr>
            <w:r w:rsidRPr="00A675D4">
              <w:t>3027500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BBE770" w14:textId="77777777" w:rsidR="00923D16" w:rsidRPr="00A675D4" w:rsidRDefault="00923D16" w:rsidP="008E1DC3">
            <w:pPr>
              <w:pStyle w:val="DHHStabletext"/>
            </w:pPr>
            <w:r w:rsidRPr="00A675D4">
              <w:t>Radical excision of intraoral lesion</w:t>
            </w:r>
          </w:p>
        </w:tc>
      </w:tr>
      <w:tr w:rsidR="00923D16" w:rsidRPr="001E66FD" w14:paraId="31856F3D"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577674" w14:textId="77777777" w:rsidR="00923D16" w:rsidRPr="00A675D4" w:rsidRDefault="00923D16" w:rsidP="008E1DC3">
            <w:pPr>
              <w:pStyle w:val="DHHStabletext"/>
            </w:pPr>
            <w:r w:rsidRPr="00A675D4">
              <w:t>3029401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6825F8" w14:textId="77777777" w:rsidR="00923D16" w:rsidRPr="00A675D4" w:rsidRDefault="00923D16" w:rsidP="008E1DC3">
            <w:pPr>
              <w:pStyle w:val="DHHStabletext"/>
            </w:pPr>
            <w:r w:rsidRPr="00A675D4">
              <w:t>Laryngopharyngectomy and plastic reconstruction</w:t>
            </w:r>
          </w:p>
        </w:tc>
      </w:tr>
      <w:tr w:rsidR="00923D16" w:rsidRPr="001E66FD" w14:paraId="2B786CDC"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095053" w14:textId="77777777" w:rsidR="00923D16" w:rsidRPr="00A675D4" w:rsidRDefault="00923D16" w:rsidP="008E1DC3">
            <w:pPr>
              <w:pStyle w:val="DHHStabletext"/>
            </w:pPr>
            <w:r w:rsidRPr="00A675D4">
              <w:t>3140000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5B5FD5" w14:textId="77777777" w:rsidR="00923D16" w:rsidRPr="00A675D4" w:rsidRDefault="00923D16" w:rsidP="008E1DC3">
            <w:pPr>
              <w:pStyle w:val="DHHStabletext"/>
            </w:pPr>
            <w:r w:rsidRPr="00A675D4">
              <w:t>Excision of lesion of upper aerodigestive tract</w:t>
            </w:r>
          </w:p>
        </w:tc>
      </w:tr>
      <w:tr w:rsidR="00923D16" w:rsidRPr="001E66FD" w14:paraId="1ADF97D9"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F4FEC6" w14:textId="77777777" w:rsidR="00923D16" w:rsidRPr="00A675D4" w:rsidRDefault="00923D16" w:rsidP="008E1DC3">
            <w:pPr>
              <w:pStyle w:val="DHHStabletext"/>
            </w:pPr>
            <w:r w:rsidRPr="00A675D4">
              <w:t>3140900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DEDD60" w14:textId="77777777" w:rsidR="00923D16" w:rsidRPr="00A675D4" w:rsidRDefault="00923D16" w:rsidP="008E1DC3">
            <w:pPr>
              <w:pStyle w:val="DHHStabletext"/>
            </w:pPr>
            <w:r w:rsidRPr="00A675D4">
              <w:t>Excision of parapharyngeal lesion by cervical approach</w:t>
            </w:r>
          </w:p>
        </w:tc>
      </w:tr>
      <w:tr w:rsidR="00923D16" w:rsidRPr="001E66FD" w14:paraId="64FAA13E"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D12FDC" w14:textId="77777777" w:rsidR="00923D16" w:rsidRPr="00A675D4" w:rsidRDefault="00923D16" w:rsidP="008E1DC3">
            <w:pPr>
              <w:pStyle w:val="DHHStabletext"/>
            </w:pPr>
            <w:r w:rsidRPr="00A675D4">
              <w:t>3141200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25BE1A" w14:textId="77777777" w:rsidR="00923D16" w:rsidRPr="00A675D4" w:rsidRDefault="00923D16" w:rsidP="008E1DC3">
            <w:pPr>
              <w:pStyle w:val="DHHStabletext"/>
            </w:pPr>
            <w:r w:rsidRPr="00A675D4">
              <w:t>Excision of recurrent or persistent parapharyngeal lesion by cervical approach</w:t>
            </w:r>
          </w:p>
        </w:tc>
      </w:tr>
      <w:tr w:rsidR="00923D16" w:rsidRPr="001E66FD" w14:paraId="0DFC6C80"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08B165" w14:textId="77777777" w:rsidR="00923D16" w:rsidRPr="00A675D4" w:rsidRDefault="00923D16" w:rsidP="008E1DC3">
            <w:pPr>
              <w:pStyle w:val="DHHStabletext"/>
            </w:pPr>
            <w:r w:rsidRPr="00A675D4">
              <w:t>4158400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8A62C8" w14:textId="77777777" w:rsidR="00923D16" w:rsidRPr="00A675D4" w:rsidRDefault="00923D16" w:rsidP="008E1DC3">
            <w:pPr>
              <w:pStyle w:val="DHHStabletext"/>
            </w:pPr>
            <w:r w:rsidRPr="00A675D4">
              <w:t>Partial resection of temporal bone with mastoidectomy</w:t>
            </w:r>
          </w:p>
        </w:tc>
      </w:tr>
      <w:tr w:rsidR="00923D16" w:rsidRPr="001E66FD" w14:paraId="318B9215"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DB15CF" w14:textId="77777777" w:rsidR="00923D16" w:rsidRPr="00A675D4" w:rsidRDefault="00923D16" w:rsidP="008E1DC3">
            <w:pPr>
              <w:pStyle w:val="DHHStabletext"/>
            </w:pPr>
            <w:r w:rsidRPr="00A675D4">
              <w:t>4177901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AE07F97" w14:textId="77777777" w:rsidR="00923D16" w:rsidRPr="00A675D4" w:rsidRDefault="00923D16" w:rsidP="008E1DC3">
            <w:pPr>
              <w:pStyle w:val="DHHStabletext"/>
            </w:pPr>
            <w:r w:rsidRPr="00A675D4">
              <w:t>Total excision of tongue</w:t>
            </w:r>
          </w:p>
        </w:tc>
      </w:tr>
      <w:tr w:rsidR="00923D16" w:rsidRPr="001E66FD" w14:paraId="339BD0A6"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6FFB61" w14:textId="77777777" w:rsidR="00923D16" w:rsidRPr="00A675D4" w:rsidRDefault="00923D16" w:rsidP="008E1DC3">
            <w:pPr>
              <w:pStyle w:val="DHHStabletext"/>
            </w:pPr>
            <w:r w:rsidRPr="00A675D4">
              <w:t>4178200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D0BAA95" w14:textId="77777777" w:rsidR="00923D16" w:rsidRPr="00A675D4" w:rsidRDefault="00923D16" w:rsidP="008E1DC3">
            <w:pPr>
              <w:pStyle w:val="DHHStabletext"/>
            </w:pPr>
            <w:r w:rsidRPr="00A675D4">
              <w:t>Partial pharyngectomy</w:t>
            </w:r>
          </w:p>
        </w:tc>
      </w:tr>
      <w:tr w:rsidR="00923D16" w:rsidRPr="001E66FD" w14:paraId="327FB6C3"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A044D2" w14:textId="77777777" w:rsidR="00923D16" w:rsidRPr="00A675D4" w:rsidRDefault="00923D16" w:rsidP="008E1DC3">
            <w:pPr>
              <w:pStyle w:val="DHHStabletext"/>
            </w:pPr>
            <w:r w:rsidRPr="00A675D4">
              <w:t>4178500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7D284B" w14:textId="77777777" w:rsidR="00923D16" w:rsidRPr="00A675D4" w:rsidRDefault="00923D16" w:rsidP="008E1DC3">
            <w:pPr>
              <w:pStyle w:val="DHHStabletext"/>
            </w:pPr>
            <w:r w:rsidRPr="00A675D4">
              <w:t>Partial pharyngectomy with partial glossectomy</w:t>
            </w:r>
          </w:p>
        </w:tc>
      </w:tr>
      <w:tr w:rsidR="00923D16" w:rsidRPr="001E66FD" w14:paraId="4049871B"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9337CB" w14:textId="77777777" w:rsidR="00923D16" w:rsidRPr="00A675D4" w:rsidRDefault="00923D16" w:rsidP="008E1DC3">
            <w:pPr>
              <w:pStyle w:val="DHHStabletext"/>
            </w:pPr>
            <w:r w:rsidRPr="00A675D4">
              <w:t>4178501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D06898" w14:textId="77777777" w:rsidR="00923D16" w:rsidRPr="00A675D4" w:rsidRDefault="00923D16" w:rsidP="008E1DC3">
            <w:pPr>
              <w:pStyle w:val="DHHStabletext"/>
            </w:pPr>
            <w:r w:rsidRPr="00A675D4">
              <w:t>Partial pharyngectomy with total glossectomy</w:t>
            </w:r>
          </w:p>
        </w:tc>
      </w:tr>
      <w:tr w:rsidR="00923D16" w:rsidRPr="001E66FD" w14:paraId="6796A233"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D0E243" w14:textId="77777777" w:rsidR="00923D16" w:rsidRPr="00A675D4" w:rsidRDefault="00923D16" w:rsidP="008E1DC3">
            <w:pPr>
              <w:pStyle w:val="DHHStabletext"/>
            </w:pPr>
            <w:r w:rsidRPr="00A675D4">
              <w:t>4178701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84FACE" w14:textId="77777777" w:rsidR="00923D16" w:rsidRPr="00A675D4" w:rsidRDefault="00923D16" w:rsidP="008E1DC3">
            <w:pPr>
              <w:pStyle w:val="DHHStabletext"/>
            </w:pPr>
            <w:r w:rsidRPr="00A675D4">
              <w:t>Uvulectomy with partial palatectomy and tonsillectomy</w:t>
            </w:r>
          </w:p>
        </w:tc>
      </w:tr>
      <w:tr w:rsidR="00923D16" w:rsidRPr="001E66FD" w14:paraId="5AECE289"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D977FD" w14:textId="77777777" w:rsidR="00923D16" w:rsidRPr="00A675D4" w:rsidRDefault="00923D16" w:rsidP="008E1DC3">
            <w:pPr>
              <w:pStyle w:val="DHHStabletext"/>
            </w:pPr>
            <w:r w:rsidRPr="00A675D4">
              <w:t>4178900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DCE93E" w14:textId="77777777" w:rsidR="00923D16" w:rsidRPr="00A675D4" w:rsidRDefault="00923D16" w:rsidP="008E1DC3">
            <w:pPr>
              <w:pStyle w:val="DHHStabletext"/>
            </w:pPr>
            <w:r w:rsidRPr="00A675D4">
              <w:t>Tonsillectomy without adenoidectomy</w:t>
            </w:r>
          </w:p>
        </w:tc>
      </w:tr>
      <w:tr w:rsidR="00923D16" w:rsidRPr="001E66FD" w14:paraId="41EE168C"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BB9B01" w14:textId="77777777" w:rsidR="00923D16" w:rsidRPr="00A675D4" w:rsidRDefault="00923D16" w:rsidP="008E1DC3">
            <w:pPr>
              <w:pStyle w:val="DHHStabletext"/>
            </w:pPr>
            <w:r w:rsidRPr="00A675D4">
              <w:t>4183400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364B28" w14:textId="77777777" w:rsidR="00923D16" w:rsidRPr="00A675D4" w:rsidRDefault="00923D16" w:rsidP="008E1DC3">
            <w:pPr>
              <w:pStyle w:val="DHHStabletext"/>
            </w:pPr>
            <w:r w:rsidRPr="00A675D4">
              <w:t>Total laryngectomy</w:t>
            </w:r>
          </w:p>
        </w:tc>
      </w:tr>
      <w:tr w:rsidR="00923D16" w:rsidRPr="001E66FD" w14:paraId="351B763A"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E3CA9B" w14:textId="77777777" w:rsidR="00923D16" w:rsidRPr="00A675D4" w:rsidRDefault="00923D16" w:rsidP="008E1DC3">
            <w:pPr>
              <w:pStyle w:val="DHHStabletext"/>
            </w:pPr>
            <w:r w:rsidRPr="00A675D4">
              <w:t>4183700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E07CAA" w14:textId="77777777" w:rsidR="00923D16" w:rsidRPr="00A675D4" w:rsidRDefault="00923D16" w:rsidP="008E1DC3">
            <w:pPr>
              <w:pStyle w:val="DHHStabletext"/>
            </w:pPr>
            <w:r w:rsidRPr="00A675D4">
              <w:t>Hemilaryngectomy</w:t>
            </w:r>
          </w:p>
        </w:tc>
      </w:tr>
      <w:tr w:rsidR="00923D16" w:rsidRPr="001E66FD" w14:paraId="0BCDA8B8"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935B45" w14:textId="77777777" w:rsidR="00923D16" w:rsidRPr="00A675D4" w:rsidRDefault="00923D16" w:rsidP="008E1DC3">
            <w:pPr>
              <w:pStyle w:val="DHHStabletext"/>
            </w:pPr>
            <w:r w:rsidRPr="00A675D4">
              <w:t>4184000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215BDB" w14:textId="77777777" w:rsidR="00923D16" w:rsidRPr="00A675D4" w:rsidRDefault="00923D16" w:rsidP="008E1DC3">
            <w:pPr>
              <w:pStyle w:val="DHHStabletext"/>
            </w:pPr>
            <w:r w:rsidRPr="00A675D4">
              <w:t>Supraglottic laryngectomy</w:t>
            </w:r>
          </w:p>
        </w:tc>
      </w:tr>
      <w:tr w:rsidR="00923D16" w:rsidRPr="001E66FD" w14:paraId="2A899FD1"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CE4B3F" w14:textId="77777777" w:rsidR="00923D16" w:rsidRPr="00A675D4" w:rsidRDefault="00923D16" w:rsidP="008E1DC3">
            <w:pPr>
              <w:pStyle w:val="DHHStabletext"/>
            </w:pPr>
            <w:r w:rsidRPr="00A675D4">
              <w:t>4184300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2996C3" w14:textId="77777777" w:rsidR="00923D16" w:rsidRPr="00A675D4" w:rsidRDefault="00923D16" w:rsidP="008E1DC3">
            <w:pPr>
              <w:pStyle w:val="DHHStabletext"/>
            </w:pPr>
            <w:r w:rsidRPr="00A675D4">
              <w:t>Laryngopharyngectomy</w:t>
            </w:r>
          </w:p>
        </w:tc>
      </w:tr>
      <w:tr w:rsidR="00923D16" w:rsidRPr="001E66FD" w14:paraId="25864809"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C4DAC1" w14:textId="77777777" w:rsidR="00923D16" w:rsidRPr="00A675D4" w:rsidRDefault="00923D16" w:rsidP="008E1DC3">
            <w:pPr>
              <w:pStyle w:val="DHHStabletext"/>
            </w:pPr>
            <w:r w:rsidRPr="00A675D4">
              <w:t>4186100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092968" w14:textId="77777777" w:rsidR="00923D16" w:rsidRPr="00A675D4" w:rsidRDefault="00923D16" w:rsidP="008E1DC3">
            <w:pPr>
              <w:pStyle w:val="DHHStabletext"/>
            </w:pPr>
            <w:r w:rsidRPr="00A675D4">
              <w:t>Microlaryngoscopy with removal of lesion by laser</w:t>
            </w:r>
          </w:p>
        </w:tc>
      </w:tr>
      <w:tr w:rsidR="00923D16" w:rsidRPr="001E66FD" w14:paraId="0CE178A5"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863F29" w14:textId="77777777" w:rsidR="00923D16" w:rsidRPr="00A675D4" w:rsidRDefault="00923D16" w:rsidP="008E1DC3">
            <w:pPr>
              <w:pStyle w:val="DHHStabletext"/>
            </w:pPr>
            <w:r w:rsidRPr="00A675D4">
              <w:t>4559600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31E315" w14:textId="77777777" w:rsidR="00923D16" w:rsidRPr="00A675D4" w:rsidRDefault="00923D16" w:rsidP="008E1DC3">
            <w:pPr>
              <w:pStyle w:val="DHHStabletext"/>
            </w:pPr>
            <w:r w:rsidRPr="00A675D4">
              <w:t>Total resection of 1 maxilla</w:t>
            </w:r>
          </w:p>
        </w:tc>
      </w:tr>
      <w:tr w:rsidR="00923D16" w:rsidRPr="001E66FD" w14:paraId="5FAF61D3"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0DE0784" w14:textId="77777777" w:rsidR="00923D16" w:rsidRPr="00A675D4" w:rsidRDefault="00923D16" w:rsidP="008E1DC3">
            <w:pPr>
              <w:pStyle w:val="DHHStabletext"/>
            </w:pPr>
            <w:r w:rsidRPr="00A675D4">
              <w:t>4559700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D327ED" w14:textId="77777777" w:rsidR="00923D16" w:rsidRPr="00A675D4" w:rsidRDefault="00923D16" w:rsidP="008E1DC3">
            <w:pPr>
              <w:pStyle w:val="DHHStabletext"/>
            </w:pPr>
            <w:r w:rsidRPr="00A675D4">
              <w:t>Total resection of both maxillae</w:t>
            </w:r>
          </w:p>
        </w:tc>
      </w:tr>
      <w:tr w:rsidR="00923D16" w:rsidRPr="001E66FD" w14:paraId="3BCADE72"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48B45E" w14:textId="77777777" w:rsidR="00923D16" w:rsidRPr="00A675D4" w:rsidRDefault="00923D16" w:rsidP="008E1DC3">
            <w:pPr>
              <w:pStyle w:val="DHHStabletext"/>
            </w:pPr>
            <w:r w:rsidRPr="00A675D4">
              <w:t>4559900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3C5663" w14:textId="77777777" w:rsidR="00923D16" w:rsidRPr="00A675D4" w:rsidRDefault="00923D16" w:rsidP="008E1DC3">
            <w:pPr>
              <w:pStyle w:val="DHHStabletext"/>
            </w:pPr>
            <w:r w:rsidRPr="00A675D4">
              <w:t>Total resection of both sides of mandible</w:t>
            </w:r>
          </w:p>
        </w:tc>
      </w:tr>
      <w:tr w:rsidR="00923D16" w:rsidRPr="001E66FD" w14:paraId="0F9A970F"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C48404" w14:textId="77777777" w:rsidR="00923D16" w:rsidRPr="00A675D4" w:rsidRDefault="00923D16" w:rsidP="008E1DC3">
            <w:pPr>
              <w:pStyle w:val="DHHStabletext"/>
            </w:pPr>
            <w:r w:rsidRPr="00A675D4">
              <w:t>4560200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098E08" w14:textId="77777777" w:rsidR="00923D16" w:rsidRPr="00A675D4" w:rsidRDefault="00923D16" w:rsidP="008E1DC3">
            <w:pPr>
              <w:pStyle w:val="DHHStabletext"/>
            </w:pPr>
            <w:r w:rsidRPr="00A675D4">
              <w:t>Subtotal resection of mandible</w:t>
            </w:r>
          </w:p>
        </w:tc>
      </w:tr>
      <w:tr w:rsidR="00923D16" w:rsidRPr="001E66FD" w14:paraId="0843C1B4"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A1DF3C" w14:textId="77777777" w:rsidR="00923D16" w:rsidRPr="00A675D4" w:rsidRDefault="00923D16" w:rsidP="008E1DC3">
            <w:pPr>
              <w:pStyle w:val="DHHStabletext"/>
            </w:pPr>
            <w:r w:rsidRPr="00A675D4">
              <w:t>4560201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4FDD0E5" w14:textId="77777777" w:rsidR="00923D16" w:rsidRPr="00A675D4" w:rsidRDefault="00923D16" w:rsidP="008E1DC3">
            <w:pPr>
              <w:pStyle w:val="DHHStabletext"/>
            </w:pPr>
            <w:r w:rsidRPr="00A675D4">
              <w:t>Subtotal resection of maxilla</w:t>
            </w:r>
          </w:p>
        </w:tc>
      </w:tr>
      <w:tr w:rsidR="00923D16" w:rsidRPr="001E66FD" w14:paraId="16BE04CE"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6AC812" w14:textId="77777777" w:rsidR="00923D16" w:rsidRPr="00A675D4" w:rsidRDefault="00923D16" w:rsidP="008E1DC3">
            <w:pPr>
              <w:pStyle w:val="DHHStabletext"/>
            </w:pPr>
            <w:r w:rsidRPr="00A675D4">
              <w:t>4560500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8A1E6C" w14:textId="77777777" w:rsidR="00923D16" w:rsidRPr="00A675D4" w:rsidRDefault="00923D16" w:rsidP="008E1DC3">
            <w:pPr>
              <w:pStyle w:val="DHHStabletext"/>
            </w:pPr>
            <w:r w:rsidRPr="00A675D4">
              <w:t>Partial resection of mandible</w:t>
            </w:r>
          </w:p>
        </w:tc>
      </w:tr>
      <w:tr w:rsidR="00923D16" w:rsidRPr="001E66FD" w14:paraId="57C599C6"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CB1813" w14:textId="77777777" w:rsidR="00923D16" w:rsidRPr="00A675D4" w:rsidRDefault="00923D16" w:rsidP="008E1DC3">
            <w:pPr>
              <w:pStyle w:val="DHHStabletext"/>
            </w:pPr>
            <w:r w:rsidRPr="00A675D4">
              <w:t>4560501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673E16" w14:textId="77777777" w:rsidR="00923D16" w:rsidRPr="00A675D4" w:rsidRDefault="00923D16" w:rsidP="008E1DC3">
            <w:pPr>
              <w:pStyle w:val="DHHStabletext"/>
            </w:pPr>
            <w:r w:rsidRPr="00A675D4">
              <w:t>Partial resection of maxilla</w:t>
            </w:r>
          </w:p>
        </w:tc>
      </w:tr>
      <w:tr w:rsidR="00923D16" w:rsidRPr="001E66FD" w14:paraId="7CFF7DE4"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A91B38" w14:textId="77777777" w:rsidR="00923D16" w:rsidRPr="00A675D4" w:rsidRDefault="00923D16" w:rsidP="008E1DC3">
            <w:pPr>
              <w:pStyle w:val="DHHStabletext"/>
            </w:pPr>
            <w:r w:rsidRPr="00A675D4">
              <w:t>4561100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C860876" w14:textId="77777777" w:rsidR="00923D16" w:rsidRPr="00A675D4" w:rsidRDefault="00923D16" w:rsidP="008E1DC3">
            <w:pPr>
              <w:pStyle w:val="DHHStabletext"/>
            </w:pPr>
            <w:r w:rsidRPr="00A675D4">
              <w:t>Mandibular condylectomy</w:t>
            </w:r>
          </w:p>
        </w:tc>
      </w:tr>
      <w:tr w:rsidR="00923D16" w:rsidRPr="001E66FD" w14:paraId="7CE3BAA3"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8D8AA9" w14:textId="77777777" w:rsidR="00923D16" w:rsidRPr="00A675D4" w:rsidRDefault="00923D16" w:rsidP="008E1DC3">
            <w:pPr>
              <w:pStyle w:val="DHHStabletext"/>
            </w:pPr>
            <w:r w:rsidRPr="00A675D4">
              <w:t>4572000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0D78E6" w14:textId="77777777" w:rsidR="00923D16" w:rsidRPr="00A675D4" w:rsidRDefault="00923D16" w:rsidP="008E1DC3">
            <w:pPr>
              <w:pStyle w:val="DHHStabletext"/>
            </w:pPr>
            <w:r w:rsidRPr="00A675D4">
              <w:t>Osteotomy of mandible, unilateral</w:t>
            </w:r>
          </w:p>
        </w:tc>
      </w:tr>
      <w:tr w:rsidR="00923D16" w:rsidRPr="001E66FD" w14:paraId="66EDE021"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7BEA10" w14:textId="77777777" w:rsidR="00923D16" w:rsidRPr="00A675D4" w:rsidRDefault="00923D16" w:rsidP="008E1DC3">
            <w:pPr>
              <w:pStyle w:val="DHHStabletext"/>
            </w:pPr>
            <w:r w:rsidRPr="00A675D4">
              <w:t>4572001</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CF4DF0" w14:textId="77777777" w:rsidR="00923D16" w:rsidRPr="00A675D4" w:rsidRDefault="00923D16" w:rsidP="008E1DC3">
            <w:pPr>
              <w:pStyle w:val="DHHStabletext"/>
            </w:pPr>
            <w:r w:rsidRPr="00A675D4">
              <w:t>Osteotomy of maxilla, unilateral</w:t>
            </w:r>
          </w:p>
        </w:tc>
      </w:tr>
      <w:tr w:rsidR="00923D16" w:rsidRPr="001E66FD" w14:paraId="1FE9E556"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BC3A37" w14:textId="77777777" w:rsidR="00923D16" w:rsidRPr="00A675D4" w:rsidRDefault="00923D16" w:rsidP="008E1DC3">
            <w:pPr>
              <w:pStyle w:val="DHHStabletext"/>
            </w:pPr>
            <w:r w:rsidRPr="00A675D4">
              <w:t>4572002</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6121CDC" w14:textId="77777777" w:rsidR="00923D16" w:rsidRPr="00A675D4" w:rsidRDefault="00923D16" w:rsidP="008E1DC3">
            <w:pPr>
              <w:pStyle w:val="DHHStabletext"/>
            </w:pPr>
            <w:r w:rsidRPr="00A675D4">
              <w:t>Ostectomy of mandible, unilateral</w:t>
            </w:r>
          </w:p>
        </w:tc>
      </w:tr>
      <w:tr w:rsidR="00923D16" w:rsidRPr="001E66FD" w14:paraId="5C8A6661"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0FDDAB" w14:textId="77777777" w:rsidR="00923D16" w:rsidRPr="00A675D4" w:rsidRDefault="00923D16" w:rsidP="008E1DC3">
            <w:pPr>
              <w:pStyle w:val="DHHStabletext"/>
            </w:pPr>
            <w:r w:rsidRPr="00A675D4">
              <w:t>4572003</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B7E99F" w14:textId="77777777" w:rsidR="00923D16" w:rsidRPr="00A675D4" w:rsidRDefault="00923D16" w:rsidP="008E1DC3">
            <w:pPr>
              <w:pStyle w:val="DHHStabletext"/>
            </w:pPr>
            <w:r w:rsidRPr="00A675D4">
              <w:t>Ostectomy of maxilla, unilateral</w:t>
            </w:r>
          </w:p>
        </w:tc>
      </w:tr>
      <w:tr w:rsidR="00923D16" w:rsidRPr="001E66FD" w14:paraId="6909DE23"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4868D7A" w14:textId="77777777" w:rsidR="00923D16" w:rsidRPr="00A675D4" w:rsidRDefault="00923D16" w:rsidP="008E1DC3">
            <w:pPr>
              <w:pStyle w:val="DHHStabletext"/>
            </w:pPr>
            <w:r w:rsidRPr="00A675D4">
              <w:t>4572300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EE4CEB" w14:textId="77777777" w:rsidR="00923D16" w:rsidRPr="00A675D4" w:rsidRDefault="00923D16" w:rsidP="008E1DC3">
            <w:pPr>
              <w:pStyle w:val="DHHStabletext"/>
            </w:pPr>
            <w:r w:rsidRPr="00A675D4">
              <w:t>Osteotomy of mandible with internal fixation, unilateral</w:t>
            </w:r>
          </w:p>
        </w:tc>
      </w:tr>
      <w:tr w:rsidR="00923D16" w:rsidRPr="001E66FD" w14:paraId="27DA6210"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9BCDD7" w14:textId="77777777" w:rsidR="00923D16" w:rsidRPr="00A675D4" w:rsidRDefault="00923D16" w:rsidP="008E1DC3">
            <w:pPr>
              <w:pStyle w:val="DHHStabletext"/>
            </w:pPr>
            <w:r w:rsidRPr="00A675D4">
              <w:t>4572302</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3484E1" w14:textId="77777777" w:rsidR="00923D16" w:rsidRPr="00A675D4" w:rsidRDefault="00923D16" w:rsidP="008E1DC3">
            <w:pPr>
              <w:pStyle w:val="DHHStabletext"/>
            </w:pPr>
            <w:r w:rsidRPr="00A675D4">
              <w:t>Ostectomy of mandible with internal fixation, unilateral</w:t>
            </w:r>
          </w:p>
        </w:tc>
      </w:tr>
      <w:tr w:rsidR="00923D16" w:rsidRPr="001E66FD" w14:paraId="437CF774"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F0CDBC" w14:textId="77777777" w:rsidR="00923D16" w:rsidRPr="00A675D4" w:rsidRDefault="00923D16" w:rsidP="008E1DC3">
            <w:pPr>
              <w:pStyle w:val="DHHStabletext"/>
            </w:pPr>
            <w:r w:rsidRPr="00A675D4">
              <w:t>5212000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411A1E7" w14:textId="77777777" w:rsidR="00923D16" w:rsidRPr="00A675D4" w:rsidRDefault="00923D16" w:rsidP="008E1DC3">
            <w:pPr>
              <w:pStyle w:val="DHHStabletext"/>
            </w:pPr>
            <w:r w:rsidRPr="00A675D4">
              <w:t>Partial resection of mandible with condylectomy</w:t>
            </w:r>
          </w:p>
        </w:tc>
      </w:tr>
      <w:tr w:rsidR="00923D16" w:rsidRPr="001E66FD" w14:paraId="1176DAB1"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C2E037F" w14:textId="77777777" w:rsidR="00923D16" w:rsidRPr="00A675D4" w:rsidRDefault="00923D16" w:rsidP="008E1DC3">
            <w:pPr>
              <w:pStyle w:val="DHHStabletext"/>
            </w:pPr>
            <w:r w:rsidRPr="00A675D4">
              <w:t>9013800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48D741" w14:textId="77777777" w:rsidR="00923D16" w:rsidRPr="00A675D4" w:rsidRDefault="00923D16" w:rsidP="008E1DC3">
            <w:pPr>
              <w:pStyle w:val="DHHStabletext"/>
            </w:pPr>
            <w:r w:rsidRPr="00A675D4">
              <w:t>Excision of lesion of salivary gland</w:t>
            </w:r>
          </w:p>
        </w:tc>
      </w:tr>
      <w:tr w:rsidR="00923D16" w:rsidRPr="001E66FD" w14:paraId="599994C0"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B0785E" w14:textId="77777777" w:rsidR="00923D16" w:rsidRPr="00A675D4" w:rsidRDefault="00923D16" w:rsidP="008E1DC3">
            <w:pPr>
              <w:pStyle w:val="DHHStabletext"/>
            </w:pPr>
            <w:r w:rsidRPr="00A675D4">
              <w:t>9014100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066D3C" w14:textId="77777777" w:rsidR="00923D16" w:rsidRPr="00A675D4" w:rsidRDefault="00923D16" w:rsidP="008E1DC3">
            <w:pPr>
              <w:pStyle w:val="DHHStabletext"/>
            </w:pPr>
            <w:r w:rsidRPr="00A675D4">
              <w:t>Local excision or destruction of lesion of bony palate</w:t>
            </w:r>
          </w:p>
        </w:tc>
      </w:tr>
      <w:tr w:rsidR="00923D16" w:rsidRPr="001E66FD" w14:paraId="2633C898"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EC708C" w14:textId="77777777" w:rsidR="00923D16" w:rsidRPr="00A675D4" w:rsidRDefault="00923D16" w:rsidP="008E1DC3">
            <w:pPr>
              <w:pStyle w:val="DHHStabletext"/>
            </w:pPr>
            <w:r w:rsidRPr="00A675D4">
              <w:t>9014900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A6B327" w14:textId="77777777" w:rsidR="00923D16" w:rsidRPr="00A675D4" w:rsidRDefault="00923D16" w:rsidP="008E1DC3">
            <w:pPr>
              <w:pStyle w:val="DHHStabletext"/>
            </w:pPr>
            <w:r w:rsidRPr="00A675D4">
              <w:t>Excision of other lesion of pharynx</w:t>
            </w:r>
          </w:p>
        </w:tc>
      </w:tr>
      <w:tr w:rsidR="00923D16" w:rsidRPr="001E66FD" w14:paraId="406092D1"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A33880" w14:textId="77777777" w:rsidR="00923D16" w:rsidRPr="00A675D4" w:rsidRDefault="00923D16" w:rsidP="008E1DC3">
            <w:pPr>
              <w:pStyle w:val="DHHStabletext"/>
            </w:pPr>
            <w:r w:rsidRPr="00A675D4">
              <w:t>9067800</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BB52B4" w14:textId="77777777" w:rsidR="00923D16" w:rsidRPr="00A675D4" w:rsidRDefault="00923D16" w:rsidP="008E1DC3">
            <w:pPr>
              <w:pStyle w:val="DHHStabletext"/>
            </w:pPr>
            <w:r w:rsidRPr="00A675D4">
              <w:t>Partial resection of other facial bone, not elsewhere classified</w:t>
            </w:r>
          </w:p>
        </w:tc>
      </w:tr>
      <w:tr w:rsidR="00923D16" w:rsidRPr="001E66FD" w14:paraId="2417D992"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ED2415" w14:textId="77777777" w:rsidR="00923D16" w:rsidRPr="00A675D4" w:rsidRDefault="00923D16" w:rsidP="008E1DC3">
            <w:pPr>
              <w:pStyle w:val="DHHStabletext"/>
            </w:pPr>
            <w:r w:rsidRPr="00A675D4">
              <w:t>9067802</w:t>
            </w:r>
          </w:p>
        </w:tc>
        <w:tc>
          <w:tcPr>
            <w:tcW w:w="71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8E1065" w14:textId="77777777" w:rsidR="00923D16" w:rsidRPr="00A675D4" w:rsidRDefault="00923D16" w:rsidP="008E1DC3">
            <w:pPr>
              <w:pStyle w:val="DHHStabletext"/>
            </w:pPr>
            <w:r w:rsidRPr="00A675D4">
              <w:t>Total resection of other facial bone, not elsewhere classified</w:t>
            </w:r>
          </w:p>
        </w:tc>
      </w:tr>
    </w:tbl>
    <w:p w14:paraId="42027893" w14:textId="02E57AF0" w:rsidR="00923D16" w:rsidRDefault="00CB1A69" w:rsidP="00923D16">
      <w:pPr>
        <w:pStyle w:val="DHHStablecaption"/>
      </w:pPr>
      <w:bookmarkStart w:id="102" w:name="_Ref4761514"/>
      <w:bookmarkStart w:id="103" w:name="_Toc22722844"/>
      <w:r>
        <w:t xml:space="preserve">Supplementary </w:t>
      </w:r>
      <w:r w:rsidR="00923D16">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3</w:t>
      </w:r>
      <w:r w:rsidR="00954022">
        <w:rPr>
          <w:noProof/>
        </w:rPr>
        <w:fldChar w:fldCharType="end"/>
      </w:r>
      <w:bookmarkEnd w:id="102"/>
      <w:r w:rsidR="00923D16">
        <w:t>: Minor surgical procedures codes used to identify patients who underwent a head and neck cancer resection</w:t>
      </w:r>
      <w:bookmarkEnd w:id="103"/>
    </w:p>
    <w:tbl>
      <w:tblPr>
        <w:tblW w:w="0" w:type="auto"/>
        <w:tblLook w:val="04A0" w:firstRow="1" w:lastRow="0" w:firstColumn="1" w:lastColumn="0" w:noHBand="0" w:noVBand="1"/>
      </w:tblPr>
      <w:tblGrid>
        <w:gridCol w:w="1795"/>
        <w:gridCol w:w="7003"/>
      </w:tblGrid>
      <w:tr w:rsidR="00923D16" w14:paraId="415F6416" w14:textId="77777777" w:rsidTr="008E1DC3">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84A1" w14:textId="77777777" w:rsidR="00923D16" w:rsidRPr="00D96D0E" w:rsidRDefault="00923D16" w:rsidP="005F078F">
            <w:pPr>
              <w:pStyle w:val="DHHStablecolhead"/>
            </w:pPr>
            <w:r w:rsidRPr="00D96D0E">
              <w:t>ICD-10-AM/</w:t>
            </w:r>
            <w:r w:rsidR="00D96D0E" w:rsidRPr="00D96D0E">
              <w:t xml:space="preserve"> </w:t>
            </w:r>
            <w:r w:rsidRPr="00D96D0E">
              <w:t>ACHI/ACS code</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FD89" w14:textId="77777777" w:rsidR="00923D16" w:rsidRPr="00D96D0E" w:rsidRDefault="00923D16" w:rsidP="005F078F">
            <w:pPr>
              <w:pStyle w:val="DHHStablecolhead"/>
            </w:pPr>
            <w:r w:rsidRPr="00D96D0E">
              <w:t>Description</w:t>
            </w:r>
          </w:p>
        </w:tc>
      </w:tr>
      <w:tr w:rsidR="00923D16" w:rsidRPr="00E419F6" w14:paraId="3F421597"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8F6860" w14:textId="77777777" w:rsidR="00923D16" w:rsidRPr="00C07288" w:rsidRDefault="00923D16" w:rsidP="008E1DC3">
            <w:pPr>
              <w:pStyle w:val="DHHStabletext"/>
            </w:pPr>
            <w:r w:rsidRPr="00C07288">
              <w:t>4176700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3F02F" w14:textId="77777777" w:rsidR="00923D16" w:rsidRPr="00C07288" w:rsidRDefault="00923D16" w:rsidP="008E1DC3">
            <w:pPr>
              <w:pStyle w:val="DHHStabletext"/>
            </w:pPr>
            <w:r w:rsidRPr="00C07288">
              <w:t>Removal of lesion of nasopharynx</w:t>
            </w:r>
          </w:p>
        </w:tc>
      </w:tr>
      <w:tr w:rsidR="00923D16" w:rsidRPr="00E419F6" w14:paraId="055B4600"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30584" w14:textId="77777777" w:rsidR="00923D16" w:rsidRPr="00C07288" w:rsidRDefault="00923D16" w:rsidP="008E1DC3">
            <w:pPr>
              <w:pStyle w:val="DHHStabletext"/>
            </w:pPr>
            <w:r w:rsidRPr="00C07288">
              <w:t>4178700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7739E" w14:textId="77777777" w:rsidR="00923D16" w:rsidRPr="00C07288" w:rsidRDefault="00923D16" w:rsidP="008E1DC3">
            <w:pPr>
              <w:pStyle w:val="DHHStabletext"/>
            </w:pPr>
            <w:r w:rsidRPr="00C07288">
              <w:t>Uvulectomy with partial palatectomy</w:t>
            </w:r>
          </w:p>
        </w:tc>
      </w:tr>
      <w:tr w:rsidR="00923D16" w:rsidRPr="00E419F6" w14:paraId="3391F47D"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91A0F" w14:textId="77777777" w:rsidR="00923D16" w:rsidRPr="00C07288" w:rsidRDefault="00923D16" w:rsidP="008E1DC3">
            <w:pPr>
              <w:pStyle w:val="DHHStabletext"/>
            </w:pPr>
            <w:r w:rsidRPr="00C07288">
              <w:t>4180400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983CC" w14:textId="77777777" w:rsidR="00923D16" w:rsidRPr="00C07288" w:rsidRDefault="00923D16" w:rsidP="008E1DC3">
            <w:pPr>
              <w:pStyle w:val="DHHStabletext"/>
            </w:pPr>
            <w:r w:rsidRPr="00C07288">
              <w:t>Removal of lingual tonsil</w:t>
            </w:r>
          </w:p>
        </w:tc>
      </w:tr>
      <w:tr w:rsidR="00923D16" w:rsidRPr="00E419F6" w14:paraId="4015AB37"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D2EEA" w14:textId="77777777" w:rsidR="00923D16" w:rsidRPr="00C07288" w:rsidRDefault="00923D16" w:rsidP="008E1DC3">
            <w:pPr>
              <w:pStyle w:val="DHHStabletext"/>
            </w:pPr>
            <w:r w:rsidRPr="00C07288">
              <w:t>4186400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D6FC4" w14:textId="77777777" w:rsidR="00923D16" w:rsidRPr="00C07288" w:rsidRDefault="00923D16" w:rsidP="008E1DC3">
            <w:pPr>
              <w:pStyle w:val="DHHStabletext"/>
            </w:pPr>
            <w:r w:rsidRPr="00C07288">
              <w:t>Microlaryngoscopy with removal of lesion</w:t>
            </w:r>
          </w:p>
        </w:tc>
      </w:tr>
      <w:tr w:rsidR="00923D16" w:rsidRPr="00E419F6" w14:paraId="7DB70137"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56297C" w14:textId="77777777" w:rsidR="00923D16" w:rsidRPr="00C07288" w:rsidRDefault="00923D16" w:rsidP="008E1DC3">
            <w:pPr>
              <w:pStyle w:val="DHHStabletext"/>
            </w:pPr>
            <w:r w:rsidRPr="00C07288">
              <w:t>4567600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23EFA" w14:textId="77777777" w:rsidR="00923D16" w:rsidRPr="00C07288" w:rsidRDefault="00923D16" w:rsidP="008E1DC3">
            <w:pPr>
              <w:pStyle w:val="DHHStabletext"/>
            </w:pPr>
            <w:r w:rsidRPr="00C07288">
              <w:t>Other repair of mouth</w:t>
            </w:r>
          </w:p>
        </w:tc>
      </w:tr>
      <w:tr w:rsidR="00923D16" w:rsidRPr="00E419F6" w14:paraId="3B59B1E9"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699AE" w14:textId="77777777" w:rsidR="00923D16" w:rsidRPr="00C07288" w:rsidRDefault="00923D16" w:rsidP="008E1DC3">
            <w:pPr>
              <w:pStyle w:val="DHHStabletext"/>
            </w:pPr>
            <w:r w:rsidRPr="00C07288">
              <w:t>9013500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2AE69" w14:textId="77777777" w:rsidR="00923D16" w:rsidRPr="00C07288" w:rsidRDefault="00923D16" w:rsidP="008E1DC3">
            <w:pPr>
              <w:pStyle w:val="DHHStabletext"/>
            </w:pPr>
            <w:r w:rsidRPr="00C07288">
              <w:t>Excision of lesion of tongue</w:t>
            </w:r>
          </w:p>
        </w:tc>
      </w:tr>
      <w:tr w:rsidR="00923D16" w:rsidRPr="00E419F6" w14:paraId="1B421109"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B0139" w14:textId="77777777" w:rsidR="00923D16" w:rsidRPr="00C07288" w:rsidRDefault="00923D16" w:rsidP="008E1DC3">
            <w:pPr>
              <w:pStyle w:val="DHHStabletext"/>
            </w:pPr>
            <w:r w:rsidRPr="00C07288">
              <w:t>9014101</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ACFC8" w14:textId="77777777" w:rsidR="00923D16" w:rsidRPr="00C07288" w:rsidRDefault="00923D16" w:rsidP="008E1DC3">
            <w:pPr>
              <w:pStyle w:val="DHHStabletext"/>
            </w:pPr>
            <w:r w:rsidRPr="00C07288">
              <w:t>Excision of other lesion of mouth</w:t>
            </w:r>
          </w:p>
        </w:tc>
      </w:tr>
      <w:tr w:rsidR="00923D16" w:rsidRPr="00E419F6" w14:paraId="589E3832"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456F7" w14:textId="77777777" w:rsidR="00923D16" w:rsidRPr="00C07288" w:rsidRDefault="00923D16" w:rsidP="008E1DC3">
            <w:pPr>
              <w:pStyle w:val="DHHStabletext"/>
            </w:pPr>
            <w:r w:rsidRPr="00C07288">
              <w:t>9014400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9339F" w14:textId="77777777" w:rsidR="00923D16" w:rsidRPr="00C07288" w:rsidRDefault="00923D16" w:rsidP="008E1DC3">
            <w:pPr>
              <w:pStyle w:val="DHHStabletext"/>
            </w:pPr>
            <w:r w:rsidRPr="00C07288">
              <w:t>Excision of lesion of tonsils or adenoids</w:t>
            </w:r>
          </w:p>
        </w:tc>
      </w:tr>
      <w:tr w:rsidR="00923D16" w:rsidRPr="00E419F6" w14:paraId="5B999C57" w14:textId="77777777" w:rsidTr="008E1DC3">
        <w:tc>
          <w:tcPr>
            <w:tcW w:w="17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DEC369" w14:textId="77777777" w:rsidR="00923D16" w:rsidRPr="00C07288" w:rsidRDefault="00923D16" w:rsidP="008E1DC3">
            <w:pPr>
              <w:pStyle w:val="DHHStabletext"/>
            </w:pPr>
            <w:r w:rsidRPr="00C07288">
              <w:t>9016100</w:t>
            </w:r>
          </w:p>
        </w:tc>
        <w:tc>
          <w:tcPr>
            <w:tcW w:w="70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B668B" w14:textId="77777777" w:rsidR="00923D16" w:rsidRPr="00C07288" w:rsidRDefault="00923D16" w:rsidP="008E1DC3">
            <w:pPr>
              <w:pStyle w:val="DHHStabletext"/>
            </w:pPr>
            <w:r w:rsidRPr="00C07288">
              <w:t>Excision of other lesion of larynx</w:t>
            </w:r>
          </w:p>
        </w:tc>
      </w:tr>
    </w:tbl>
    <w:p w14:paraId="2F0F9823" w14:textId="683339A6" w:rsidR="00923D16" w:rsidRDefault="00CB1A69" w:rsidP="00923D16">
      <w:pPr>
        <w:pStyle w:val="DHHStablecaption"/>
      </w:pPr>
      <w:bookmarkStart w:id="104" w:name="_Ref5181108"/>
      <w:bookmarkStart w:id="105" w:name="_Toc22722845"/>
      <w:r>
        <w:t xml:space="preserve">Supplementary </w:t>
      </w:r>
      <w:r w:rsidR="00923D16">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4</w:t>
      </w:r>
      <w:r w:rsidR="00954022">
        <w:rPr>
          <w:noProof/>
        </w:rPr>
        <w:fldChar w:fldCharType="end"/>
      </w:r>
      <w:bookmarkEnd w:id="104"/>
      <w:r w:rsidR="00923D16">
        <w:t xml:space="preserve">: Procedure codes used to identify patients who had a neck lymph node </w:t>
      </w:r>
      <w:r w:rsidR="00F54E16">
        <w:t>dissection</w:t>
      </w:r>
      <w:bookmarkEnd w:id="105"/>
    </w:p>
    <w:tbl>
      <w:tblPr>
        <w:tblStyle w:val="TableGrid"/>
        <w:tblW w:w="0" w:type="auto"/>
        <w:tblInd w:w="-5" w:type="dxa"/>
        <w:tblLook w:val="04A0" w:firstRow="1" w:lastRow="0" w:firstColumn="1" w:lastColumn="0" w:noHBand="0" w:noVBand="1"/>
      </w:tblPr>
      <w:tblGrid>
        <w:gridCol w:w="1800"/>
        <w:gridCol w:w="7020"/>
      </w:tblGrid>
      <w:tr w:rsidR="00923D16" w14:paraId="7B167058" w14:textId="77777777" w:rsidTr="008E1DC3">
        <w:trPr>
          <w:tblHeader/>
        </w:trPr>
        <w:tc>
          <w:tcPr>
            <w:tcW w:w="1800" w:type="dxa"/>
            <w:shd w:val="clear" w:color="auto" w:fill="auto"/>
          </w:tcPr>
          <w:p w14:paraId="044C4B17" w14:textId="77777777" w:rsidR="00923D16" w:rsidRPr="00D96D0E" w:rsidRDefault="00923D16" w:rsidP="005F078F">
            <w:pPr>
              <w:pStyle w:val="DHHStablecolhead"/>
            </w:pPr>
            <w:r w:rsidRPr="00D96D0E">
              <w:t>ICD-10-AM/</w:t>
            </w:r>
            <w:r w:rsidR="00D96D0E" w:rsidRPr="00D96D0E">
              <w:t xml:space="preserve"> </w:t>
            </w:r>
            <w:r w:rsidRPr="00D96D0E">
              <w:t>ACHI/ACS code</w:t>
            </w:r>
          </w:p>
        </w:tc>
        <w:tc>
          <w:tcPr>
            <w:tcW w:w="7020" w:type="dxa"/>
            <w:shd w:val="clear" w:color="auto" w:fill="auto"/>
          </w:tcPr>
          <w:p w14:paraId="7DE952B2" w14:textId="77777777" w:rsidR="00923D16" w:rsidRPr="00D96D0E" w:rsidRDefault="00923D16" w:rsidP="005F078F">
            <w:pPr>
              <w:pStyle w:val="DHHStablecolhead"/>
            </w:pPr>
            <w:r w:rsidRPr="00D96D0E">
              <w:t>Description</w:t>
            </w:r>
          </w:p>
        </w:tc>
      </w:tr>
      <w:tr w:rsidR="00923D16" w14:paraId="0C889C2B" w14:textId="77777777" w:rsidTr="008E1DC3">
        <w:tc>
          <w:tcPr>
            <w:tcW w:w="1800" w:type="dxa"/>
          </w:tcPr>
          <w:p w14:paraId="26E0DF93" w14:textId="77777777" w:rsidR="00923D16" w:rsidRPr="00E419F6" w:rsidRDefault="00923D16" w:rsidP="008E1DC3">
            <w:pPr>
              <w:pStyle w:val="DHHStabletext"/>
            </w:pPr>
            <w:r w:rsidRPr="00E419F6">
              <w:t>3142301</w:t>
            </w:r>
          </w:p>
        </w:tc>
        <w:tc>
          <w:tcPr>
            <w:tcW w:w="7020" w:type="dxa"/>
          </w:tcPr>
          <w:p w14:paraId="1BEDCAC5" w14:textId="77777777" w:rsidR="00923D16" w:rsidRPr="00E419F6" w:rsidRDefault="00923D16" w:rsidP="008E1DC3">
            <w:pPr>
              <w:pStyle w:val="DHHStabletext"/>
            </w:pPr>
            <w:r w:rsidRPr="00E419F6">
              <w:t>Regional excision of lymph nodes of neck</w:t>
            </w:r>
          </w:p>
        </w:tc>
      </w:tr>
      <w:tr w:rsidR="00923D16" w14:paraId="4D828DDB" w14:textId="77777777" w:rsidTr="008E1DC3">
        <w:tc>
          <w:tcPr>
            <w:tcW w:w="1800" w:type="dxa"/>
          </w:tcPr>
          <w:p w14:paraId="6FDBE4BA" w14:textId="77777777" w:rsidR="00923D16" w:rsidRPr="00E419F6" w:rsidRDefault="00923D16" w:rsidP="008E1DC3">
            <w:pPr>
              <w:pStyle w:val="DHHStabletext"/>
            </w:pPr>
            <w:r w:rsidRPr="00E419F6">
              <w:t>3143500</w:t>
            </w:r>
          </w:p>
        </w:tc>
        <w:tc>
          <w:tcPr>
            <w:tcW w:w="7020" w:type="dxa"/>
          </w:tcPr>
          <w:p w14:paraId="61E29BDE" w14:textId="77777777" w:rsidR="00923D16" w:rsidRPr="00E419F6" w:rsidRDefault="00923D16" w:rsidP="008E1DC3">
            <w:pPr>
              <w:pStyle w:val="DHHStabletext"/>
            </w:pPr>
            <w:r w:rsidRPr="00E419F6">
              <w:t>Radical excision of lymph nodes of neck</w:t>
            </w:r>
          </w:p>
        </w:tc>
      </w:tr>
    </w:tbl>
    <w:p w14:paraId="34277DC9" w14:textId="77777777" w:rsidR="00923D16" w:rsidRDefault="00923D16" w:rsidP="005B4072">
      <w:pPr>
        <w:pStyle w:val="Heading3"/>
      </w:pPr>
      <w:r>
        <w:t>Chemotherapy</w:t>
      </w:r>
    </w:p>
    <w:p w14:paraId="6A115EA2" w14:textId="72C137C9" w:rsidR="00923D16" w:rsidRDefault="00CB1A69" w:rsidP="00923D16">
      <w:pPr>
        <w:pStyle w:val="DHHStablecaption"/>
      </w:pPr>
      <w:bookmarkStart w:id="106" w:name="_Ref4761574"/>
      <w:bookmarkStart w:id="107" w:name="_Toc22722846"/>
      <w:r>
        <w:t xml:space="preserve">Supplementary </w:t>
      </w:r>
      <w:r w:rsidR="00923D16">
        <w:t xml:space="preserve">Table </w:t>
      </w:r>
      <w:r w:rsidR="00954022">
        <w:rPr>
          <w:noProof/>
        </w:rPr>
        <w:fldChar w:fldCharType="begin"/>
      </w:r>
      <w:r w:rsidR="008C6344">
        <w:rPr>
          <w:noProof/>
        </w:rPr>
        <w:instrText xml:space="preserve"> SEQ Table \* ARABIC </w:instrText>
      </w:r>
      <w:r w:rsidR="00954022">
        <w:rPr>
          <w:noProof/>
        </w:rPr>
        <w:fldChar w:fldCharType="separate"/>
      </w:r>
      <w:r w:rsidR="00084E54">
        <w:rPr>
          <w:noProof/>
        </w:rPr>
        <w:t>5</w:t>
      </w:r>
      <w:r w:rsidR="00954022">
        <w:rPr>
          <w:noProof/>
        </w:rPr>
        <w:fldChar w:fldCharType="end"/>
      </w:r>
      <w:bookmarkEnd w:id="106"/>
      <w:r w:rsidR="00923D16">
        <w:t xml:space="preserve">: </w:t>
      </w:r>
      <w:r w:rsidR="00923D16" w:rsidRPr="00625DD4">
        <w:t xml:space="preserve">Diagnosis, procedure and DRG codes used to identify </w:t>
      </w:r>
      <w:r w:rsidR="00923D16">
        <w:t xml:space="preserve">patients who received </w:t>
      </w:r>
      <w:r w:rsidR="00923D16" w:rsidRPr="00625DD4">
        <w:t>chemotherapy</w:t>
      </w:r>
      <w:bookmarkEnd w:id="107"/>
    </w:p>
    <w:tbl>
      <w:tblPr>
        <w:tblStyle w:val="TableGrid"/>
        <w:tblW w:w="9577" w:type="dxa"/>
        <w:tblInd w:w="-5" w:type="dxa"/>
        <w:tblLook w:val="04A0" w:firstRow="1" w:lastRow="0" w:firstColumn="1" w:lastColumn="0" w:noHBand="0" w:noVBand="1"/>
      </w:tblPr>
      <w:tblGrid>
        <w:gridCol w:w="1330"/>
        <w:gridCol w:w="1222"/>
        <w:gridCol w:w="7025"/>
      </w:tblGrid>
      <w:tr w:rsidR="00163782" w:rsidRPr="00C92766" w14:paraId="0B94A27B" w14:textId="77777777" w:rsidTr="008E1DC3">
        <w:trPr>
          <w:tblHeader/>
        </w:trPr>
        <w:tc>
          <w:tcPr>
            <w:tcW w:w="1330" w:type="dxa"/>
            <w:shd w:val="clear" w:color="auto" w:fill="auto"/>
            <w:vAlign w:val="center"/>
          </w:tcPr>
          <w:p w14:paraId="058FA4B2" w14:textId="77777777" w:rsidR="00163782" w:rsidRPr="0051753B" w:rsidRDefault="00163782" w:rsidP="005F078F">
            <w:pPr>
              <w:pStyle w:val="DHHStablecolhead"/>
            </w:pPr>
            <w:r w:rsidRPr="0051753B">
              <w:t>Code group</w:t>
            </w:r>
          </w:p>
        </w:tc>
        <w:tc>
          <w:tcPr>
            <w:tcW w:w="1222" w:type="dxa"/>
            <w:shd w:val="clear" w:color="auto" w:fill="auto"/>
            <w:vAlign w:val="center"/>
          </w:tcPr>
          <w:p w14:paraId="169E5933" w14:textId="77777777" w:rsidR="00163782" w:rsidRPr="0051753B" w:rsidRDefault="00163782" w:rsidP="005F078F">
            <w:pPr>
              <w:pStyle w:val="DHHStablecolhead"/>
            </w:pPr>
            <w:r w:rsidRPr="0051753B">
              <w:t>Code</w:t>
            </w:r>
          </w:p>
        </w:tc>
        <w:tc>
          <w:tcPr>
            <w:tcW w:w="7025" w:type="dxa"/>
            <w:shd w:val="clear" w:color="auto" w:fill="auto"/>
            <w:vAlign w:val="center"/>
          </w:tcPr>
          <w:p w14:paraId="53D0C7FA" w14:textId="77777777" w:rsidR="00163782" w:rsidRPr="0051753B" w:rsidRDefault="00163782" w:rsidP="005F078F">
            <w:pPr>
              <w:pStyle w:val="DHHStablecolhead"/>
            </w:pPr>
            <w:r w:rsidRPr="0051753B">
              <w:t>Description</w:t>
            </w:r>
          </w:p>
        </w:tc>
      </w:tr>
      <w:tr w:rsidR="00163782" w:rsidRPr="00C92766" w14:paraId="5C14F13F" w14:textId="77777777" w:rsidTr="008E1DC3">
        <w:tc>
          <w:tcPr>
            <w:tcW w:w="1330" w:type="dxa"/>
            <w:shd w:val="clear" w:color="auto" w:fill="auto"/>
            <w:vAlign w:val="center"/>
          </w:tcPr>
          <w:p w14:paraId="602A084C" w14:textId="77777777" w:rsidR="00163782" w:rsidRPr="0051753B" w:rsidRDefault="00163782" w:rsidP="008E1DC3">
            <w:pPr>
              <w:pStyle w:val="DHHStabletext"/>
            </w:pPr>
            <w:r w:rsidRPr="0051753B">
              <w:t>Diagnosis</w:t>
            </w:r>
          </w:p>
        </w:tc>
        <w:tc>
          <w:tcPr>
            <w:tcW w:w="1222" w:type="dxa"/>
            <w:shd w:val="clear" w:color="auto" w:fill="auto"/>
            <w:vAlign w:val="center"/>
          </w:tcPr>
          <w:p w14:paraId="478D2D9E" w14:textId="77777777" w:rsidR="00163782" w:rsidRPr="0051753B" w:rsidRDefault="00163782" w:rsidP="008E1DC3">
            <w:pPr>
              <w:pStyle w:val="DHHStabletext"/>
            </w:pPr>
            <w:r w:rsidRPr="0051753B">
              <w:t>Z511</w:t>
            </w:r>
          </w:p>
        </w:tc>
        <w:tc>
          <w:tcPr>
            <w:tcW w:w="7025" w:type="dxa"/>
            <w:shd w:val="clear" w:color="auto" w:fill="auto"/>
            <w:vAlign w:val="center"/>
          </w:tcPr>
          <w:p w14:paraId="0E1BD05B" w14:textId="77777777" w:rsidR="00163782" w:rsidRPr="0051753B" w:rsidRDefault="00163782" w:rsidP="008E1DC3">
            <w:pPr>
              <w:pStyle w:val="DHHStabletext"/>
            </w:pPr>
            <w:r w:rsidRPr="0051753B">
              <w:t>Pharmacotherapy session for neoplasm</w:t>
            </w:r>
          </w:p>
        </w:tc>
      </w:tr>
      <w:tr w:rsidR="00163782" w:rsidRPr="00C92766" w14:paraId="7901A306" w14:textId="77777777" w:rsidTr="008E1DC3">
        <w:tc>
          <w:tcPr>
            <w:tcW w:w="1330" w:type="dxa"/>
            <w:shd w:val="clear" w:color="auto" w:fill="auto"/>
            <w:vAlign w:val="center"/>
          </w:tcPr>
          <w:p w14:paraId="30CD2632" w14:textId="77777777" w:rsidR="00163782" w:rsidRPr="0051753B" w:rsidRDefault="00163782" w:rsidP="008E1DC3">
            <w:pPr>
              <w:pStyle w:val="DHHStabletext"/>
            </w:pPr>
            <w:r w:rsidRPr="0051753B">
              <w:t>Procedure</w:t>
            </w:r>
          </w:p>
        </w:tc>
        <w:tc>
          <w:tcPr>
            <w:tcW w:w="1222" w:type="dxa"/>
            <w:shd w:val="clear" w:color="auto" w:fill="auto"/>
            <w:vAlign w:val="center"/>
          </w:tcPr>
          <w:p w14:paraId="493F196A" w14:textId="77777777" w:rsidR="00163782" w:rsidRPr="0051753B" w:rsidRDefault="00163782" w:rsidP="008E1DC3">
            <w:pPr>
              <w:pStyle w:val="DHHStabletext"/>
            </w:pPr>
            <w:r w:rsidRPr="0051753B">
              <w:t>9619900</w:t>
            </w:r>
          </w:p>
        </w:tc>
        <w:tc>
          <w:tcPr>
            <w:tcW w:w="7025" w:type="dxa"/>
            <w:shd w:val="clear" w:color="auto" w:fill="auto"/>
            <w:vAlign w:val="center"/>
          </w:tcPr>
          <w:p w14:paraId="14BEDBC4" w14:textId="3FE53363" w:rsidR="00163782" w:rsidRPr="008E1DC3" w:rsidRDefault="00163782" w:rsidP="008E1DC3">
            <w:pPr>
              <w:pStyle w:val="DHHStabletext"/>
            </w:pPr>
            <w:r w:rsidRPr="008E1DC3">
              <w:rPr>
                <w:rStyle w:val="gd15mcfceub"/>
              </w:rPr>
              <w:t>Intravenous administration of pharmacological agent, antineoplastic agent</w:t>
            </w:r>
          </w:p>
        </w:tc>
      </w:tr>
      <w:tr w:rsidR="00163782" w:rsidRPr="00C92766" w14:paraId="05EDD29C" w14:textId="77777777" w:rsidTr="008E1DC3">
        <w:tc>
          <w:tcPr>
            <w:tcW w:w="1330" w:type="dxa"/>
            <w:shd w:val="clear" w:color="auto" w:fill="auto"/>
            <w:vAlign w:val="center"/>
          </w:tcPr>
          <w:p w14:paraId="3ED4FFB8" w14:textId="77777777" w:rsidR="00163782" w:rsidRPr="0051753B" w:rsidRDefault="00163782" w:rsidP="008E1DC3">
            <w:pPr>
              <w:pStyle w:val="DHHStabletext"/>
            </w:pPr>
            <w:r w:rsidRPr="0051753B">
              <w:t>DRG</w:t>
            </w:r>
          </w:p>
        </w:tc>
        <w:tc>
          <w:tcPr>
            <w:tcW w:w="1222" w:type="dxa"/>
            <w:shd w:val="clear" w:color="auto" w:fill="auto"/>
            <w:vAlign w:val="center"/>
          </w:tcPr>
          <w:p w14:paraId="0C630F76" w14:textId="77777777" w:rsidR="00163782" w:rsidRPr="0051753B" w:rsidRDefault="00163782" w:rsidP="008E1DC3">
            <w:pPr>
              <w:pStyle w:val="DHHStabletext"/>
            </w:pPr>
            <w:r w:rsidRPr="0051753B">
              <w:t>R63Z</w:t>
            </w:r>
          </w:p>
        </w:tc>
        <w:tc>
          <w:tcPr>
            <w:tcW w:w="7025" w:type="dxa"/>
            <w:shd w:val="clear" w:color="auto" w:fill="auto"/>
            <w:vAlign w:val="center"/>
          </w:tcPr>
          <w:p w14:paraId="4F54DEA2" w14:textId="77777777" w:rsidR="00163782" w:rsidRPr="0051753B" w:rsidRDefault="00163782" w:rsidP="008E1DC3">
            <w:pPr>
              <w:pStyle w:val="DHHStabletext"/>
            </w:pPr>
            <w:r w:rsidRPr="0051753B">
              <w:t>Chemotherapy</w:t>
            </w:r>
          </w:p>
        </w:tc>
      </w:tr>
    </w:tbl>
    <w:p w14:paraId="6EB73596" w14:textId="77777777" w:rsidR="00163782" w:rsidRPr="00004FB8" w:rsidRDefault="00163782" w:rsidP="004B4788">
      <w:pPr>
        <w:pStyle w:val="DHHSbody"/>
      </w:pPr>
    </w:p>
    <w:sectPr w:rsidR="00163782" w:rsidRPr="00004FB8" w:rsidSect="00BF0C0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57D2" w14:textId="77777777" w:rsidR="00C0007C" w:rsidRDefault="00C0007C">
      <w:r>
        <w:separator/>
      </w:r>
    </w:p>
  </w:endnote>
  <w:endnote w:type="continuationSeparator" w:id="0">
    <w:p w14:paraId="487A6DCA" w14:textId="77777777" w:rsidR="00C0007C" w:rsidRDefault="00C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8F5E" w14:textId="4CA32696" w:rsidR="00F26234" w:rsidRDefault="00DD3B87">
    <w:pPr>
      <w:pStyle w:val="Footer"/>
    </w:pPr>
    <w:r>
      <w:rPr>
        <w:noProof/>
      </w:rPr>
      <mc:AlternateContent>
        <mc:Choice Requires="wps">
          <w:drawing>
            <wp:anchor distT="0" distB="0" distL="114300" distR="114300" simplePos="1" relativeHeight="251660288" behindDoc="0" locked="0" layoutInCell="0" allowOverlap="1" wp14:anchorId="2A0C2C99" wp14:editId="5247AE0A">
              <wp:simplePos x="0" y="10189687"/>
              <wp:positionH relativeFrom="page">
                <wp:posOffset>0</wp:posOffset>
              </wp:positionH>
              <wp:positionV relativeFrom="page">
                <wp:posOffset>10189210</wp:posOffset>
              </wp:positionV>
              <wp:extent cx="7560310" cy="311785"/>
              <wp:effectExtent l="0" t="0" r="0" b="12065"/>
              <wp:wrapNone/>
              <wp:docPr id="12" name="MSIPCMbd954a6a9cf47ddc6987a1c3"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23B0A" w14:textId="480DB853" w:rsidR="00DD3B87" w:rsidRPr="00DD3B87" w:rsidRDefault="00DD3B87" w:rsidP="00DD3B87">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0C2C99" id="_x0000_t202" coordsize="21600,21600" o:spt="202" path="m,l,21600r21600,l21600,xe">
              <v:stroke joinstyle="miter"/>
              <v:path gradientshapeok="t" o:connecttype="rect"/>
            </v:shapetype>
            <v:shape id="MSIPCMbd954a6a9cf47ddc6987a1c3" o:spid="_x0000_s1027" type="#_x0000_t202" alt="{&quot;HashCode&quot;:904758361,&quot;Height&quot;:841.0,&quot;Width&quot;:595.0,&quot;Placement&quot;:&quot;Footer&quot;,&quot;Index&quot;:&quot;OddAndEven&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Iu7LaRgDAAA5BgAADgAAAAAAAAAAAAAA&#10;AAAuAgAAZHJzL2Uyb0RvYy54bWxQSwECLQAUAAYACAAAACEASA1emt8AAAALAQAADwAAAAAAAAAA&#10;AAAAAAByBQAAZHJzL2Rvd25yZXYueG1sUEsFBgAAAAAEAAQA8wAAAH4GAAAAAA==&#10;" o:allowincell="f" filled="f" stroked="f" strokeweight=".5pt">
              <v:textbox inset=",0,,0">
                <w:txbxContent>
                  <w:p w14:paraId="2F223B0A" w14:textId="480DB853" w:rsidR="00DD3B87" w:rsidRPr="00DD3B87" w:rsidRDefault="00DD3B87" w:rsidP="00DD3B87">
                    <w:pPr>
                      <w:jc w:val="center"/>
                      <w:rPr>
                        <w:rFonts w:ascii="Arial Black" w:hAnsi="Arial Black"/>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7C61" w14:textId="76A55DEC" w:rsidR="00F26234" w:rsidRDefault="00DD3B87">
    <w:pPr>
      <w:pStyle w:val="Footer"/>
    </w:pPr>
    <w:r>
      <w:rPr>
        <w:noProof/>
      </w:rPr>
      <mc:AlternateContent>
        <mc:Choice Requires="wps">
          <w:drawing>
            <wp:anchor distT="0" distB="0" distL="114300" distR="114300" simplePos="0" relativeHeight="251659264" behindDoc="0" locked="0" layoutInCell="0" allowOverlap="1" wp14:anchorId="41111268" wp14:editId="0563C9E4">
              <wp:simplePos x="0" y="0"/>
              <wp:positionH relativeFrom="page">
                <wp:posOffset>0</wp:posOffset>
              </wp:positionH>
              <wp:positionV relativeFrom="page">
                <wp:posOffset>10189210</wp:posOffset>
              </wp:positionV>
              <wp:extent cx="7560310" cy="311785"/>
              <wp:effectExtent l="0" t="0" r="0" b="12065"/>
              <wp:wrapNone/>
              <wp:docPr id="4" name="MSIPCM47fc47d38299f65519cb821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575BB" w14:textId="1EE4BC04" w:rsidR="00DD3B87" w:rsidRPr="00DD3B87" w:rsidRDefault="00DD3B87" w:rsidP="00DD3B87">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111268" id="_x0000_t202" coordsize="21600,21600" o:spt="202" path="m,l,21600r21600,l21600,xe">
              <v:stroke joinstyle="miter"/>
              <v:path gradientshapeok="t" o:connecttype="rect"/>
            </v:shapetype>
            <v:shape id="MSIPCM47fc47d38299f65519cb8214"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CwUJndFwMAADwGAAAOAAAAAAAAAAAAAAAA&#10;AC4CAABkcnMvZTJvRG9jLnhtbFBLAQItABQABgAIAAAAIQBIDV6a3wAAAAsBAAAPAAAAAAAAAAAA&#10;AAAAAHEFAABkcnMvZG93bnJldi54bWxQSwUGAAAAAAQABADzAAAAfQYAAAAA&#10;" o:allowincell="f" filled="f" stroked="f" strokeweight=".5pt">
              <v:textbox inset=",0,,0">
                <w:txbxContent>
                  <w:p w14:paraId="672575BB" w14:textId="1EE4BC04" w:rsidR="00DD3B87" w:rsidRPr="00DD3B87" w:rsidRDefault="00DD3B87" w:rsidP="00DD3B87">
                    <w:pPr>
                      <w:jc w:val="center"/>
                      <w:rPr>
                        <w:rFonts w:ascii="Arial Black" w:hAnsi="Arial Black"/>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1DB4" w14:textId="77777777" w:rsidR="00F26234" w:rsidRDefault="00F262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3027" w14:textId="67FCA616" w:rsidR="00B709A5" w:rsidRPr="008114D1" w:rsidRDefault="00DD3B87" w:rsidP="00E969B1">
    <w:pPr>
      <w:pStyle w:val="DHHSfooter"/>
    </w:pPr>
    <w:r>
      <w:rPr>
        <w:noProof/>
      </w:rPr>
      <mc:AlternateContent>
        <mc:Choice Requires="wps">
          <w:drawing>
            <wp:anchor distT="0" distB="0" distL="114300" distR="114300" simplePos="0" relativeHeight="251662336" behindDoc="0" locked="0" layoutInCell="0" allowOverlap="1" wp14:anchorId="627C8A02" wp14:editId="47CD78F0">
              <wp:simplePos x="0" y="0"/>
              <wp:positionH relativeFrom="page">
                <wp:posOffset>0</wp:posOffset>
              </wp:positionH>
              <wp:positionV relativeFrom="page">
                <wp:posOffset>10189210</wp:posOffset>
              </wp:positionV>
              <wp:extent cx="7560310" cy="311785"/>
              <wp:effectExtent l="0" t="0" r="0" b="12065"/>
              <wp:wrapNone/>
              <wp:docPr id="28" name="MSIPCMaff04da3a17c9ca891d099a4"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5A2C8" w14:textId="2F3AA5EE" w:rsidR="00DD3B87" w:rsidRPr="00DD3B87" w:rsidRDefault="00DD3B87" w:rsidP="00DD3B87">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7C8A02" id="_x0000_t202" coordsize="21600,21600" o:spt="202" path="m,l,21600r21600,l21600,xe">
              <v:stroke joinstyle="miter"/>
              <v:path gradientshapeok="t" o:connecttype="rect"/>
            </v:shapetype>
            <v:shape id="MSIPCMaff04da3a17c9ca891d099a4" o:spid="_x0000_s1029" type="#_x0000_t202" alt="{&quot;HashCode&quot;:904758361,&quot;Height&quot;:841.0,&quot;Width&quot;:595.0,&quot;Placement&quot;:&quot;Footer&quot;,&quot;Index&quot;:&quot;OddAndEven&quot;,&quot;Section&quot;:2,&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" o:allowincell="f" filled="f" stroked="f" strokeweight=".5pt">
              <v:textbox inset=",0,,0">
                <w:txbxContent>
                  <w:p w14:paraId="41E5A2C8" w14:textId="2F3AA5EE" w:rsidR="00DD3B87" w:rsidRPr="00DD3B87" w:rsidRDefault="00DD3B87" w:rsidP="00DD3B87">
                    <w:pPr>
                      <w:jc w:val="center"/>
                      <w:rPr>
                        <w:rFonts w:ascii="Arial Black" w:hAnsi="Arial Black"/>
                        <w:color w:val="000000"/>
                      </w:rPr>
                    </w:pPr>
                  </w:p>
                </w:txbxContent>
              </v:textbox>
              <w10:wrap anchorx="page" anchory="page"/>
            </v:shape>
          </w:pict>
        </mc:Fallback>
      </mc:AlternateContent>
    </w:r>
    <w:r w:rsidR="00B709A5">
      <w:t xml:space="preserve">Page </w:t>
    </w:r>
    <w:r w:rsidR="00B709A5" w:rsidRPr="005A39EC">
      <w:fldChar w:fldCharType="begin"/>
    </w:r>
    <w:r w:rsidR="00B709A5" w:rsidRPr="005A39EC">
      <w:instrText xml:space="preserve"> PAGE </w:instrText>
    </w:r>
    <w:r w:rsidR="00B709A5" w:rsidRPr="005A39EC">
      <w:fldChar w:fldCharType="separate"/>
    </w:r>
    <w:r w:rsidR="00B709A5">
      <w:rPr>
        <w:noProof/>
      </w:rPr>
      <w:t>8</w:t>
    </w:r>
    <w:r w:rsidR="00B709A5" w:rsidRPr="005A39EC">
      <w:fldChar w:fldCharType="end"/>
    </w:r>
    <w:r w:rsidR="00B709A5">
      <w:tab/>
      <w:t>Head and neck cancer in Victoria: optimal care pathway data summary report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8C62" w14:textId="6948BB1E" w:rsidR="00B709A5" w:rsidRPr="0031753A" w:rsidRDefault="00DD3B87" w:rsidP="00E969B1">
    <w:pPr>
      <w:pStyle w:val="DHHSfooter"/>
    </w:pPr>
    <w:r>
      <w:rPr>
        <w:noProof/>
      </w:rPr>
      <mc:AlternateContent>
        <mc:Choice Requires="wps">
          <w:drawing>
            <wp:anchor distT="0" distB="0" distL="114300" distR="114300" simplePos="0" relativeHeight="251661312" behindDoc="0" locked="0" layoutInCell="0" allowOverlap="1" wp14:anchorId="263F5826" wp14:editId="5C48CEE6">
              <wp:simplePos x="0" y="0"/>
              <wp:positionH relativeFrom="page">
                <wp:posOffset>0</wp:posOffset>
              </wp:positionH>
              <wp:positionV relativeFrom="page">
                <wp:posOffset>10189210</wp:posOffset>
              </wp:positionV>
              <wp:extent cx="7560310" cy="311785"/>
              <wp:effectExtent l="0" t="0" r="0" b="12065"/>
              <wp:wrapNone/>
              <wp:docPr id="27" name="MSIPCM40404ed2a72d188e9094d30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84E6B2" w14:textId="51651DF2" w:rsidR="00DD3B87" w:rsidRPr="00DD3B87" w:rsidRDefault="00DD3B87" w:rsidP="00DD3B87">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3F5826" id="_x0000_t202" coordsize="21600,21600" o:spt="202" path="m,l,21600r21600,l21600,xe">
              <v:stroke joinstyle="miter"/>
              <v:path gradientshapeok="t" o:connecttype="rect"/>
            </v:shapetype>
            <v:shape id="MSIPCM40404ed2a72d188e9094d301" o:spid="_x0000_s1030" type="#_x0000_t202" alt="{&quot;HashCode&quot;:904758361,&quot;Height&quot;:841.0,&quot;Width&quot;:595.0,&quot;Placement&quot;:&quot;Footer&quot;,&quot;Index&quot;:&quot;Primary&quot;,&quot;Section&quot;:2,&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" o:allowincell="f" filled="f" stroked="f" strokeweight=".5pt">
              <v:textbox inset=",0,,0">
                <w:txbxContent>
                  <w:p w14:paraId="5484E6B2" w14:textId="51651DF2" w:rsidR="00DD3B87" w:rsidRPr="00DD3B87" w:rsidRDefault="00DD3B87" w:rsidP="00DD3B87">
                    <w:pPr>
                      <w:jc w:val="center"/>
                      <w:rPr>
                        <w:rFonts w:ascii="Arial Black" w:hAnsi="Arial Black"/>
                        <w:color w:val="000000"/>
                      </w:rPr>
                    </w:pPr>
                  </w:p>
                </w:txbxContent>
              </v:textbox>
              <w10:wrap anchorx="page" anchory="page"/>
            </v:shape>
          </w:pict>
        </mc:Fallback>
      </mc:AlternateContent>
    </w:r>
    <w:r w:rsidR="00B709A5">
      <w:t>Head and neck cancer in Victoria: optimal care pathway data summary report 2018</w:t>
    </w:r>
    <w:r w:rsidR="00B709A5" w:rsidRPr="0031753A">
      <w:tab/>
      <w:t xml:space="preserve">Page </w:t>
    </w:r>
    <w:r w:rsidR="00B709A5" w:rsidRPr="0031753A">
      <w:fldChar w:fldCharType="begin"/>
    </w:r>
    <w:r w:rsidR="00B709A5" w:rsidRPr="0031753A">
      <w:instrText xml:space="preserve"> PAGE </w:instrText>
    </w:r>
    <w:r w:rsidR="00B709A5" w:rsidRPr="0031753A">
      <w:fldChar w:fldCharType="separate"/>
    </w:r>
    <w:r w:rsidR="00B709A5">
      <w:rPr>
        <w:noProof/>
      </w:rPr>
      <w:t>9</w:t>
    </w:r>
    <w:r w:rsidR="00B709A5"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4212" w14:textId="77777777" w:rsidR="00B709A5" w:rsidRPr="001A7E04" w:rsidRDefault="00B709A5" w:rsidP="00AC0C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9CE3" w14:textId="7D933C00" w:rsidR="00B709A5" w:rsidRPr="008114D1" w:rsidRDefault="00DD3B87" w:rsidP="00E969B1">
    <w:pPr>
      <w:pStyle w:val="DHHSfooter"/>
    </w:pPr>
    <w:r>
      <w:rPr>
        <w:noProof/>
      </w:rPr>
      <mc:AlternateContent>
        <mc:Choice Requires="wps">
          <w:drawing>
            <wp:anchor distT="0" distB="0" distL="114300" distR="114300" simplePos="0" relativeHeight="251664384" behindDoc="0" locked="0" layoutInCell="0" allowOverlap="1" wp14:anchorId="1471C3F7" wp14:editId="50F9CAA9">
              <wp:simplePos x="0" y="0"/>
              <wp:positionH relativeFrom="page">
                <wp:posOffset>0</wp:posOffset>
              </wp:positionH>
              <wp:positionV relativeFrom="page">
                <wp:posOffset>10189210</wp:posOffset>
              </wp:positionV>
              <wp:extent cx="7560310" cy="311785"/>
              <wp:effectExtent l="0" t="0" r="0" b="12065"/>
              <wp:wrapNone/>
              <wp:docPr id="30" name="MSIPCM9613489fa1c7614222f0adb5" descr="{&quot;HashCode&quot;:904758361,&quot;Height&quot;:841.0,&quot;Width&quot;:595.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6CC33" w14:textId="29F66A9D" w:rsidR="00DD3B87" w:rsidRPr="00DD3B87" w:rsidRDefault="00DD3B87" w:rsidP="00DD3B87">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71C3F7" id="_x0000_t202" coordsize="21600,21600" o:spt="202" path="m,l,21600r21600,l21600,xe">
              <v:stroke joinstyle="miter"/>
              <v:path gradientshapeok="t" o:connecttype="rect"/>
            </v:shapetype>
            <v:shape id="MSIPCM9613489fa1c7614222f0adb5" o:spid="_x0000_s1031" type="#_x0000_t202" alt="{&quot;HashCode&quot;:904758361,&quot;Height&quot;:841.0,&quot;Width&quot;:595.0,&quot;Placement&quot;:&quot;Footer&quot;,&quot;Index&quot;:&quot;OddAndEven&quot;,&quot;Section&quot;:5,&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" o:allowincell="f" filled="f" stroked="f" strokeweight=".5pt">
              <v:textbox inset=",0,,0">
                <w:txbxContent>
                  <w:p w14:paraId="6646CC33" w14:textId="29F66A9D" w:rsidR="00DD3B87" w:rsidRPr="00DD3B87" w:rsidRDefault="00DD3B87" w:rsidP="00DD3B87">
                    <w:pPr>
                      <w:jc w:val="center"/>
                      <w:rPr>
                        <w:rFonts w:ascii="Arial Black" w:hAnsi="Arial Black"/>
                        <w:color w:val="000000"/>
                      </w:rPr>
                    </w:pPr>
                  </w:p>
                </w:txbxContent>
              </v:textbox>
              <w10:wrap anchorx="page" anchory="page"/>
            </v:shape>
          </w:pict>
        </mc:Fallback>
      </mc:AlternateContent>
    </w:r>
    <w:r w:rsidR="00B709A5">
      <w:t xml:space="preserve">Page </w:t>
    </w:r>
    <w:r w:rsidR="00B709A5" w:rsidRPr="005A39EC">
      <w:fldChar w:fldCharType="begin"/>
    </w:r>
    <w:r w:rsidR="00B709A5" w:rsidRPr="005A39EC">
      <w:instrText xml:space="preserve"> PAGE </w:instrText>
    </w:r>
    <w:r w:rsidR="00B709A5" w:rsidRPr="005A39EC">
      <w:fldChar w:fldCharType="separate"/>
    </w:r>
    <w:r w:rsidR="00B709A5">
      <w:rPr>
        <w:noProof/>
      </w:rPr>
      <w:t>44</w:t>
    </w:r>
    <w:r w:rsidR="00B709A5" w:rsidRPr="005A39EC">
      <w:fldChar w:fldCharType="end"/>
    </w:r>
    <w:r w:rsidR="00B709A5">
      <w:tab/>
      <w:t>Head and neck cancer in Victoria: optimal care pathway data summary report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A95F" w14:textId="55535C5C" w:rsidR="00B709A5" w:rsidRPr="0031753A" w:rsidRDefault="00DD3B87" w:rsidP="00E969B1">
    <w:pPr>
      <w:pStyle w:val="DHHSfooter"/>
    </w:pPr>
    <w:r>
      <w:rPr>
        <w:noProof/>
      </w:rPr>
      <mc:AlternateContent>
        <mc:Choice Requires="wps">
          <w:drawing>
            <wp:anchor distT="0" distB="0" distL="114300" distR="114300" simplePos="0" relativeHeight="251663360" behindDoc="0" locked="0" layoutInCell="0" allowOverlap="1" wp14:anchorId="7A0B1A92" wp14:editId="340982EB">
              <wp:simplePos x="0" y="0"/>
              <wp:positionH relativeFrom="page">
                <wp:posOffset>0</wp:posOffset>
              </wp:positionH>
              <wp:positionV relativeFrom="page">
                <wp:posOffset>10189210</wp:posOffset>
              </wp:positionV>
              <wp:extent cx="7560310" cy="311785"/>
              <wp:effectExtent l="0" t="0" r="0" b="12065"/>
              <wp:wrapNone/>
              <wp:docPr id="29" name="MSIPCM48fc475ab841162a003f3d5c" descr="{&quot;HashCode&quot;:904758361,&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900E67" w14:textId="77FC6D34" w:rsidR="00DD3B87" w:rsidRPr="00DD3B87" w:rsidRDefault="00DD3B87" w:rsidP="00DD3B87">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0B1A92" id="_x0000_t202" coordsize="21600,21600" o:spt="202" path="m,l,21600r21600,l21600,xe">
              <v:stroke joinstyle="miter"/>
              <v:path gradientshapeok="t" o:connecttype="rect"/>
            </v:shapetype>
            <v:shape id="MSIPCM48fc475ab841162a003f3d5c" o:spid="_x0000_s1032" type="#_x0000_t202" alt="{&quot;HashCode&quot;:904758361,&quot;Height&quot;:841.0,&quot;Width&quot;:595.0,&quot;Placement&quot;:&quot;Footer&quot;,&quot;Index&quot;:&quot;Primary&quot;,&quot;Section&quot;:5,&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DG8iVpFwMAAD0GAAAOAAAAAAAAAAAAAAAA&#10;AC4CAABkcnMvZTJvRG9jLnhtbFBLAQItABQABgAIAAAAIQBIDV6a3wAAAAsBAAAPAAAAAAAAAAAA&#10;AAAAAHEFAABkcnMvZG93bnJldi54bWxQSwUGAAAAAAQABADzAAAAfQYAAAAA&#10;" o:allowincell="f" filled="f" stroked="f" strokeweight=".5pt">
              <v:textbox inset=",0,,0">
                <w:txbxContent>
                  <w:p w14:paraId="06900E67" w14:textId="77FC6D34" w:rsidR="00DD3B87" w:rsidRPr="00DD3B87" w:rsidRDefault="00DD3B87" w:rsidP="00DD3B87">
                    <w:pPr>
                      <w:jc w:val="center"/>
                      <w:rPr>
                        <w:rFonts w:ascii="Arial Black" w:hAnsi="Arial Black"/>
                        <w:color w:val="000000"/>
                      </w:rPr>
                    </w:pPr>
                  </w:p>
                </w:txbxContent>
              </v:textbox>
              <w10:wrap anchorx="page" anchory="page"/>
            </v:shape>
          </w:pict>
        </mc:Fallback>
      </mc:AlternateContent>
    </w:r>
    <w:r w:rsidR="00B709A5">
      <w:t>Head and neck cancer in Victoria: optimal care pathway data summary report 2018</w:t>
    </w:r>
    <w:r w:rsidR="00B709A5" w:rsidRPr="0031753A">
      <w:tab/>
      <w:t xml:space="preserve">Page </w:t>
    </w:r>
    <w:r w:rsidR="00B709A5" w:rsidRPr="0031753A">
      <w:fldChar w:fldCharType="begin"/>
    </w:r>
    <w:r w:rsidR="00B709A5" w:rsidRPr="0031753A">
      <w:instrText xml:space="preserve"> PAGE </w:instrText>
    </w:r>
    <w:r w:rsidR="00B709A5" w:rsidRPr="0031753A">
      <w:fldChar w:fldCharType="separate"/>
    </w:r>
    <w:r w:rsidR="00B709A5">
      <w:rPr>
        <w:noProof/>
      </w:rPr>
      <w:t>45</w:t>
    </w:r>
    <w:r w:rsidR="00B709A5" w:rsidRPr="0031753A">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64F1" w14:textId="77777777" w:rsidR="00B709A5" w:rsidRPr="001A7E04" w:rsidRDefault="00B709A5"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80AE" w14:textId="77777777" w:rsidR="00C0007C" w:rsidRDefault="00C0007C">
      <w:r>
        <w:separator/>
      </w:r>
    </w:p>
  </w:footnote>
  <w:footnote w:type="continuationSeparator" w:id="0">
    <w:p w14:paraId="5A663715" w14:textId="77777777" w:rsidR="00C0007C" w:rsidRDefault="00C0007C">
      <w:r>
        <w:continuationSeparator/>
      </w:r>
    </w:p>
  </w:footnote>
  <w:footnote w:id="1">
    <w:p w14:paraId="15ADCA44" w14:textId="6CD2859B" w:rsidR="00B709A5" w:rsidRPr="003072C6" w:rsidRDefault="00B709A5" w:rsidP="00004FB8">
      <w:pPr>
        <w:pStyle w:val="FootnoteText"/>
      </w:pPr>
      <w:r w:rsidRPr="003072C6">
        <w:rPr>
          <w:rStyle w:val="FootnoteReference"/>
        </w:rPr>
        <w:footnoteRef/>
      </w:r>
      <w:r>
        <w:t xml:space="preserve"> See the Abbreviations for naming of eight Victorian ICS.</w:t>
      </w:r>
    </w:p>
  </w:footnote>
  <w:footnote w:id="2">
    <w:p w14:paraId="2AAAFF08" w14:textId="6BA2B7C5" w:rsidR="00B709A5" w:rsidRDefault="00B709A5">
      <w:pPr>
        <w:pStyle w:val="FootnoteText"/>
      </w:pPr>
      <w:r>
        <w:rPr>
          <w:rStyle w:val="FootnoteReference"/>
        </w:rPr>
        <w:footnoteRef/>
      </w:r>
      <w:r>
        <w:t xml:space="preserve"> Cancer Services Performance Indicators – 2017 audit report (unpublished).</w:t>
      </w:r>
    </w:p>
  </w:footnote>
  <w:footnote w:id="3">
    <w:p w14:paraId="635D8850" w14:textId="3F3770AA" w:rsidR="00B709A5" w:rsidRDefault="00B709A5" w:rsidP="00762847">
      <w:pPr>
        <w:pStyle w:val="FootnoteText"/>
      </w:pPr>
      <w:r>
        <w:rPr>
          <w:rStyle w:val="FootnoteReference"/>
        </w:rPr>
        <w:footnoteRef/>
      </w:r>
      <w:r>
        <w:t xml:space="preserve"> </w:t>
      </w:r>
      <w:r w:rsidRPr="00683C74">
        <w:t>Peter MacCallum Cancer Centre 2016</w:t>
      </w:r>
      <w:r>
        <w:t>,</w:t>
      </w:r>
      <w:r w:rsidRPr="00683C74">
        <w:t> </w:t>
      </w:r>
      <w:hyperlink r:id="rId1" w:history="1">
        <w:r w:rsidRPr="00ED66FD">
          <w:rPr>
            <w:rStyle w:val="Hyperlink"/>
            <w:i/>
            <w:iCs/>
            <w:sz w:val="16"/>
          </w:rPr>
          <w:t>Malnutrition in Victorian Cancer Services Program</w:t>
        </w:r>
      </w:hyperlink>
      <w:r w:rsidRPr="00683C74">
        <w:t xml:space="preserve"> </w:t>
      </w:r>
      <w:r>
        <w:t>&lt;</w:t>
      </w:r>
      <w:r w:rsidRPr="00683C74">
        <w:t>https://www.petermac.org/research/clinical-research-trials/clinical-research/cancer-allied-research/nutrition-research-0</w:t>
      </w:r>
      <w:r>
        <w:t>&gt;</w:t>
      </w:r>
    </w:p>
  </w:footnote>
  <w:footnote w:id="4">
    <w:p w14:paraId="61C984C5" w14:textId="0C0CF366" w:rsidR="00B709A5" w:rsidRDefault="00B709A5">
      <w:pPr>
        <w:pStyle w:val="FootnoteText"/>
      </w:pPr>
      <w:r>
        <w:rPr>
          <w:rStyle w:val="FootnoteReference"/>
        </w:rPr>
        <w:footnoteRef/>
      </w:r>
      <w:r>
        <w:t xml:space="preserve"> Death certificate only; second-incident H&amp;N cancers excluded from this section (see ‘Patient selection’ for more information).</w:t>
      </w:r>
    </w:p>
  </w:footnote>
  <w:footnote w:id="5">
    <w:p w14:paraId="0AF75F53" w14:textId="395C228A" w:rsidR="00B709A5" w:rsidRDefault="00B709A5">
      <w:pPr>
        <w:pStyle w:val="FootnoteText"/>
      </w:pPr>
      <w:r>
        <w:rPr>
          <w:rStyle w:val="FootnoteReference"/>
        </w:rPr>
        <w:footnoteRef/>
      </w:r>
      <w:r>
        <w:t xml:space="preserve"> Death certificate only; second-incident H&amp;N cancers and patients with distant metastases at diagnosis are excluded from this section (see ‘Patient selection’ and the glossary for more information).</w:t>
      </w:r>
    </w:p>
  </w:footnote>
  <w:footnote w:id="6">
    <w:p w14:paraId="4F1099E4" w14:textId="69666662" w:rsidR="00B709A5" w:rsidRDefault="00B709A5">
      <w:pPr>
        <w:pStyle w:val="FootnoteText"/>
      </w:pPr>
      <w:r>
        <w:rPr>
          <w:rStyle w:val="FootnoteReference"/>
        </w:rPr>
        <w:footnoteRef/>
      </w:r>
      <w:r>
        <w:t xml:space="preserve"> Death certificate only; second-incident H&amp;N cancers and patients with distant metastases excluded from this section (see ‘Patient selection’ and the glossary for more information).</w:t>
      </w:r>
    </w:p>
  </w:footnote>
  <w:footnote w:id="7">
    <w:p w14:paraId="4AEC9625" w14:textId="4C7E8DC0" w:rsidR="00B709A5" w:rsidRDefault="00B709A5">
      <w:pPr>
        <w:pStyle w:val="FootnoteText"/>
      </w:pPr>
      <w:r>
        <w:rPr>
          <w:rStyle w:val="FootnoteReference"/>
        </w:rPr>
        <w:footnoteRef/>
      </w:r>
      <w:r>
        <w:t xml:space="preserve"> Death certificate only; second-incident H&amp;N cancers and patients with distant metastases excluded from this section (see ‘Patient selection’ and the glossary for more information).</w:t>
      </w:r>
    </w:p>
  </w:footnote>
  <w:footnote w:id="8">
    <w:p w14:paraId="7148ECDE" w14:textId="6A72DD68" w:rsidR="00B709A5" w:rsidRDefault="00B709A5">
      <w:pPr>
        <w:pStyle w:val="FootnoteText"/>
      </w:pPr>
      <w:r>
        <w:rPr>
          <w:rStyle w:val="FootnoteReference"/>
        </w:rPr>
        <w:footnoteRef/>
      </w:r>
      <w:r>
        <w:t xml:space="preserve"> Marshall K, Loeliger J 2012, </w:t>
      </w:r>
      <w:r w:rsidRPr="00ED66FD">
        <w:rPr>
          <w:i/>
          <w:iCs/>
        </w:rPr>
        <w:t xml:space="preserve">Investigating </w:t>
      </w:r>
      <w:r w:rsidRPr="00425231">
        <w:rPr>
          <w:i/>
          <w:iCs/>
        </w:rPr>
        <w:t xml:space="preserve">practices relating to malnutrition </w:t>
      </w:r>
      <w:r w:rsidRPr="00ED66FD">
        <w:rPr>
          <w:i/>
          <w:iCs/>
        </w:rPr>
        <w:t xml:space="preserve">in Victorian </w:t>
      </w:r>
      <w:r w:rsidRPr="00425231">
        <w:rPr>
          <w:i/>
          <w:iCs/>
        </w:rPr>
        <w:t>cancer services</w:t>
      </w:r>
      <w:r w:rsidRPr="00ED66FD">
        <w:rPr>
          <w:i/>
          <w:iCs/>
        </w:rPr>
        <w:t>: summary report</w:t>
      </w:r>
      <w:r>
        <w:t>, Department of Health, State Government of Victoria, Melbourne.</w:t>
      </w:r>
    </w:p>
  </w:footnote>
  <w:footnote w:id="9">
    <w:p w14:paraId="15B40247" w14:textId="21F51182" w:rsidR="00B709A5" w:rsidRDefault="00B709A5">
      <w:pPr>
        <w:pStyle w:val="FootnoteText"/>
      </w:pPr>
      <w:r w:rsidRPr="00ED66FD">
        <w:rPr>
          <w:vertAlign w:val="superscript"/>
        </w:rPr>
        <w:footnoteRef/>
      </w:r>
      <w:r>
        <w:t xml:space="preserve"> </w:t>
      </w:r>
      <w:r w:rsidRPr="00683C74">
        <w:t>Peter MacCallum Cancer Centre 2016</w:t>
      </w:r>
      <w:r>
        <w:t>,</w:t>
      </w:r>
      <w:r w:rsidRPr="00683C74">
        <w:t> </w:t>
      </w:r>
      <w:hyperlink r:id="rId2" w:history="1">
        <w:r w:rsidRPr="00ED66FD">
          <w:rPr>
            <w:rStyle w:val="Hyperlink"/>
            <w:i/>
            <w:iCs/>
            <w:sz w:val="16"/>
          </w:rPr>
          <w:t>Malnutrition in Victorian Cancer Services Program</w:t>
        </w:r>
      </w:hyperlink>
      <w:r w:rsidRPr="00683C74">
        <w:t xml:space="preserve"> </w:t>
      </w:r>
      <w:r>
        <w:t>&lt;</w:t>
      </w:r>
      <w:r w:rsidRPr="00683C74">
        <w:t>https://www.petermac.org/research/clinical-research-trials/clinical-research/cancer-allied-research/nutrition-research-0</w:t>
      </w:r>
      <w:r>
        <w:t>&gt;</w:t>
      </w:r>
    </w:p>
  </w:footnote>
  <w:footnote w:id="10">
    <w:p w14:paraId="35C81A90" w14:textId="57C242A8" w:rsidR="00B709A5" w:rsidRDefault="00B709A5">
      <w:pPr>
        <w:pStyle w:val="FootnoteText"/>
      </w:pPr>
      <w:r>
        <w:rPr>
          <w:rStyle w:val="FootnoteReference"/>
        </w:rPr>
        <w:footnoteRef/>
      </w:r>
      <w:r>
        <w:t xml:space="preserve"> Death certificate only; second-incident H&amp;N cancers and patients with distant metastases excluded from this section (see ‘Patient selection’ and the glossary for more information).</w:t>
      </w:r>
    </w:p>
  </w:footnote>
  <w:footnote w:id="11">
    <w:p w14:paraId="3ED7B246" w14:textId="3F3D4B2A" w:rsidR="00B709A5" w:rsidRDefault="00B709A5">
      <w:pPr>
        <w:pStyle w:val="FootnoteText"/>
      </w:pPr>
      <w:r>
        <w:rPr>
          <w:rStyle w:val="FootnoteReference"/>
        </w:rPr>
        <w:footnoteRef/>
      </w:r>
      <w:r>
        <w:t xml:space="preserve"> </w:t>
      </w:r>
      <w:r>
        <w:rPr>
          <w:rFonts w:eastAsia="Times"/>
          <w:lang w:val="en-US"/>
        </w:rPr>
        <w:t xml:space="preserve">Greater than Victorian average, </w:t>
      </w:r>
      <w:r w:rsidRPr="00ED66FD">
        <w:rPr>
          <w:rFonts w:eastAsia="Times"/>
          <w:i/>
          <w:iCs/>
          <w:lang w:val="en-US"/>
        </w:rPr>
        <w:t xml:space="preserve">p </w:t>
      </w:r>
      <w:r>
        <w:rPr>
          <w:rFonts w:eastAsia="Times"/>
          <w:lang w:val="en-US"/>
        </w:rPr>
        <w:t>&lt; 0.05</w:t>
      </w:r>
    </w:p>
  </w:footnote>
  <w:footnote w:id="12">
    <w:p w14:paraId="0DD65C67" w14:textId="119B396D" w:rsidR="00B709A5" w:rsidRDefault="00B709A5">
      <w:pPr>
        <w:pStyle w:val="FootnoteText"/>
      </w:pPr>
      <w:r>
        <w:rPr>
          <w:rStyle w:val="FootnoteReference"/>
        </w:rPr>
        <w:footnoteRef/>
      </w:r>
      <w:r>
        <w:t xml:space="preserve"> </w:t>
      </w:r>
      <w:r>
        <w:rPr>
          <w:rFonts w:eastAsia="Times"/>
          <w:lang w:val="en-US"/>
        </w:rPr>
        <w:t xml:space="preserve">Below Victorian average, </w:t>
      </w:r>
      <w:r w:rsidRPr="00ED66FD">
        <w:rPr>
          <w:rFonts w:eastAsia="Times"/>
          <w:i/>
          <w:iCs/>
          <w:lang w:val="en-US"/>
        </w:rPr>
        <w:t xml:space="preserve">p </w:t>
      </w:r>
      <w:r>
        <w:rPr>
          <w:rFonts w:eastAsia="Times"/>
          <w:lang w:val="en-US"/>
        </w:rPr>
        <w:t>&lt; 0.05</w:t>
      </w:r>
    </w:p>
  </w:footnote>
  <w:footnote w:id="13">
    <w:p w14:paraId="58AFC5B3" w14:textId="19FCD685" w:rsidR="00B709A5" w:rsidRDefault="00B709A5" w:rsidP="004A05E6">
      <w:pPr>
        <w:pStyle w:val="FootnoteText"/>
      </w:pPr>
      <w:r>
        <w:rPr>
          <w:rStyle w:val="FootnoteReference"/>
        </w:rPr>
        <w:footnoteRef/>
      </w:r>
      <w:r>
        <w:t xml:space="preserve"> Death certificate only; second-incident H&amp;N cancers and patients with distant metastases excluded from this section (see ‘Patient selection’ and the glossary for more information).</w:t>
      </w:r>
    </w:p>
  </w:footnote>
  <w:footnote w:id="14">
    <w:p w14:paraId="6A40577D" w14:textId="54086CE4" w:rsidR="00B709A5" w:rsidRDefault="00B709A5" w:rsidP="0088371F">
      <w:pPr>
        <w:pStyle w:val="FootnoteText"/>
      </w:pPr>
      <w:r>
        <w:rPr>
          <w:rStyle w:val="FootnoteReference"/>
        </w:rPr>
        <w:footnoteRef/>
      </w:r>
      <w:r>
        <w:t xml:space="preserve"> Quan H, Li B, Couris C, Fushimi K, Graham P, Hider P, et al. 2011, ‘Updating and validating the Charlson comorbidity index and score for risk adjustment in hospital discharge abstracts using data from 6 countries’, </w:t>
      </w:r>
      <w:r w:rsidRPr="004970BA">
        <w:rPr>
          <w:i/>
        </w:rPr>
        <w:t>American Journal</w:t>
      </w:r>
      <w:r>
        <w:rPr>
          <w:i/>
        </w:rPr>
        <w:t xml:space="preserve"> </w:t>
      </w:r>
      <w:r w:rsidRPr="004970BA">
        <w:rPr>
          <w:i/>
        </w:rPr>
        <w:t>of Epidemiology</w:t>
      </w:r>
      <w:r>
        <w:t>, vol. 173, no. 6, pp. 676–682.</w:t>
      </w:r>
    </w:p>
  </w:footnote>
  <w:footnote w:id="15">
    <w:p w14:paraId="41695317" w14:textId="77777777" w:rsidR="00B709A5" w:rsidRDefault="00B709A5">
      <w:pPr>
        <w:pStyle w:val="FootnoteText"/>
      </w:pPr>
      <w:r>
        <w:rPr>
          <w:rStyle w:val="FootnoteReference"/>
        </w:rPr>
        <w:footnoteRef/>
      </w:r>
      <w:r>
        <w:t xml:space="preserve"> Australian Coding Standard ACS 0002 Additional Diagnoses.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FF2D" w14:textId="77777777" w:rsidR="00F26234" w:rsidRDefault="00F26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C899" w14:textId="77777777" w:rsidR="00F26234" w:rsidRDefault="00F2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1575" w14:textId="77777777" w:rsidR="00F26234" w:rsidRDefault="00F26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70E5" w14:textId="77777777" w:rsidR="00B709A5" w:rsidRPr="0069374A" w:rsidRDefault="00B709A5"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60D3" w14:textId="77777777" w:rsidR="00B709A5" w:rsidRDefault="00B709A5" w:rsidP="00E969B1">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677D" w14:textId="77777777" w:rsidR="00B709A5" w:rsidRPr="0069374A" w:rsidRDefault="00B709A5" w:rsidP="00E969B1">
    <w:pPr>
      <w:pStyle w:val="DHHS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4E3B" w14:textId="77777777" w:rsidR="00B709A5" w:rsidRDefault="00B709A5"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66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B2D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503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C8D9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89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C20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6A0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8B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AA9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16F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94A4F"/>
    <w:multiLevelType w:val="multilevel"/>
    <w:tmpl w:val="B4E442B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decimal"/>
      <w:lvlText w:val="%3."/>
      <w:lvlJc w:val="left"/>
      <w:pPr>
        <w:ind w:left="567" w:hanging="283"/>
      </w:pPr>
      <w:rPr>
        <w:rFonts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CCD10F8"/>
    <w:multiLevelType w:val="hybridMultilevel"/>
    <w:tmpl w:val="55029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4E3AE5"/>
    <w:multiLevelType w:val="hybridMultilevel"/>
    <w:tmpl w:val="2698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9504A"/>
    <w:multiLevelType w:val="multilevel"/>
    <w:tmpl w:val="D55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B3DCF"/>
    <w:multiLevelType w:val="multilevel"/>
    <w:tmpl w:val="C55E5B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7"/>
      <w:numFmt w:val="bullet"/>
      <w:lvlText w:val="-"/>
      <w:lvlJc w:val="left"/>
      <w:pPr>
        <w:ind w:left="680" w:hanging="283"/>
      </w:pPr>
      <w:rPr>
        <w:rFonts w:ascii="Arial" w:eastAsia="Arial" w:hAnsi="Arial" w:cs="Arial"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28D51B47"/>
    <w:multiLevelType w:val="multilevel"/>
    <w:tmpl w:val="4B4E7622"/>
    <w:numStyleLink w:val="ZZNumbers"/>
  </w:abstractNum>
  <w:abstractNum w:abstractNumId="16" w15:restartNumberingAfterBreak="0">
    <w:nsid w:val="323561F1"/>
    <w:multiLevelType w:val="hybridMultilevel"/>
    <w:tmpl w:val="4F1696B0"/>
    <w:lvl w:ilvl="0" w:tplc="0C090001">
      <w:start w:val="1"/>
      <w:numFmt w:val="bullet"/>
      <w:lvlText w:val=""/>
      <w:lvlJc w:val="left"/>
      <w:pPr>
        <w:ind w:left="360" w:hanging="360"/>
      </w:pPr>
      <w:rPr>
        <w:rFonts w:ascii="Symbol" w:hAnsi="Symbol" w:hint="default"/>
      </w:rPr>
    </w:lvl>
    <w:lvl w:ilvl="1" w:tplc="36828344">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008C0"/>
    <w:multiLevelType w:val="hybridMultilevel"/>
    <w:tmpl w:val="CA3E20CE"/>
    <w:lvl w:ilvl="0" w:tplc="36828344">
      <w:start w:val="1"/>
      <w:numFmt w:val="bullet"/>
      <w:lvlText w:val="­"/>
      <w:lvlJc w:val="left"/>
      <w:pPr>
        <w:ind w:left="720" w:hanging="360"/>
      </w:pPr>
      <w:rPr>
        <w:rFonts w:ascii="Courier New" w:hAnsi="Courier New" w:hint="default"/>
      </w:rPr>
    </w:lvl>
    <w:lvl w:ilvl="1" w:tplc="3682834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435A1386"/>
    <w:multiLevelType w:val="hybridMultilevel"/>
    <w:tmpl w:val="EF8432D2"/>
    <w:lvl w:ilvl="0" w:tplc="5FD01D4A">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267D5B"/>
    <w:multiLevelType w:val="multilevel"/>
    <w:tmpl w:val="B4E442B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decimal"/>
      <w:lvlText w:val="%3."/>
      <w:lvlJc w:val="left"/>
      <w:pPr>
        <w:ind w:left="567" w:hanging="283"/>
      </w:pPr>
      <w:rPr>
        <w:rFonts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64D0156"/>
    <w:multiLevelType w:val="hybridMultilevel"/>
    <w:tmpl w:val="6CA67A4C"/>
    <w:lvl w:ilvl="0" w:tplc="286641DE">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B17D11"/>
    <w:multiLevelType w:val="hybridMultilevel"/>
    <w:tmpl w:val="85D0FE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A00D90"/>
    <w:multiLevelType w:val="hybridMultilevel"/>
    <w:tmpl w:val="F76EC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B10DFA"/>
    <w:multiLevelType w:val="hybridMultilevel"/>
    <w:tmpl w:val="7A520A1A"/>
    <w:lvl w:ilvl="0" w:tplc="5E8468A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B269FD"/>
    <w:multiLevelType w:val="multilevel"/>
    <w:tmpl w:val="B4E442B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decimal"/>
      <w:lvlText w:val="%3."/>
      <w:lvlJc w:val="left"/>
      <w:pPr>
        <w:ind w:left="567" w:hanging="283"/>
      </w:pPr>
      <w:rPr>
        <w:rFonts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F38B7"/>
    <w:multiLevelType w:val="hybridMultilevel"/>
    <w:tmpl w:val="C8865A2A"/>
    <w:lvl w:ilvl="0" w:tplc="12AA581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356A4B"/>
    <w:multiLevelType w:val="hybridMultilevel"/>
    <w:tmpl w:val="E9AC0E02"/>
    <w:lvl w:ilvl="0" w:tplc="4796D9F4">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13"/>
  </w:num>
  <w:num w:numId="29">
    <w:abstractNumId w:val="21"/>
  </w:num>
  <w:num w:numId="30">
    <w:abstractNumId w:val="21"/>
  </w:num>
  <w:num w:numId="31">
    <w:abstractNumId w:val="21"/>
  </w:num>
  <w:num w:numId="32">
    <w:abstractNumId w:val="21"/>
  </w:num>
  <w:num w:numId="33">
    <w:abstractNumId w:val="20"/>
  </w:num>
  <w:num w:numId="34">
    <w:abstractNumId w:val="10"/>
  </w:num>
  <w:num w:numId="35">
    <w:abstractNumId w:val="26"/>
  </w:num>
  <w:num w:numId="36">
    <w:abstractNumId w:val="24"/>
  </w:num>
  <w:num w:numId="37">
    <w:abstractNumId w:val="14"/>
  </w:num>
  <w:num w:numId="38">
    <w:abstractNumId w:val="22"/>
  </w:num>
  <w:num w:numId="39">
    <w:abstractNumId w:val="25"/>
  </w:num>
  <w:num w:numId="40">
    <w:abstractNumId w:val="23"/>
  </w:num>
  <w:num w:numId="41">
    <w:abstractNumId w:val="16"/>
  </w:num>
  <w:num w:numId="42">
    <w:abstractNumId w:val="17"/>
  </w:num>
  <w:num w:numId="43">
    <w:abstractNumId w:val="28"/>
  </w:num>
  <w:num w:numId="44">
    <w:abstractNumId w:val="19"/>
  </w:num>
  <w:num w:numId="45">
    <w:abstractNumId w:val="29"/>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1C"/>
    <w:rsid w:val="00000BF2"/>
    <w:rsid w:val="00002990"/>
    <w:rsid w:val="000048AC"/>
    <w:rsid w:val="00004FB8"/>
    <w:rsid w:val="000065FF"/>
    <w:rsid w:val="00007878"/>
    <w:rsid w:val="000079B2"/>
    <w:rsid w:val="00014FC4"/>
    <w:rsid w:val="00020AAB"/>
    <w:rsid w:val="000223A4"/>
    <w:rsid w:val="00022E60"/>
    <w:rsid w:val="00024705"/>
    <w:rsid w:val="00025959"/>
    <w:rsid w:val="00026C19"/>
    <w:rsid w:val="00027432"/>
    <w:rsid w:val="00027DFE"/>
    <w:rsid w:val="00030F54"/>
    <w:rsid w:val="00031263"/>
    <w:rsid w:val="0003134B"/>
    <w:rsid w:val="00034DB0"/>
    <w:rsid w:val="00037C82"/>
    <w:rsid w:val="00042544"/>
    <w:rsid w:val="00043913"/>
    <w:rsid w:val="00044BEF"/>
    <w:rsid w:val="00046BE6"/>
    <w:rsid w:val="00050663"/>
    <w:rsid w:val="0005529A"/>
    <w:rsid w:val="00060E93"/>
    <w:rsid w:val="00061FCE"/>
    <w:rsid w:val="00062F66"/>
    <w:rsid w:val="000637A6"/>
    <w:rsid w:val="00064936"/>
    <w:rsid w:val="000700CF"/>
    <w:rsid w:val="0007107E"/>
    <w:rsid w:val="0007283E"/>
    <w:rsid w:val="000734F8"/>
    <w:rsid w:val="000736B8"/>
    <w:rsid w:val="00076BF5"/>
    <w:rsid w:val="00076D34"/>
    <w:rsid w:val="000817CB"/>
    <w:rsid w:val="000819E3"/>
    <w:rsid w:val="00081B00"/>
    <w:rsid w:val="00084E54"/>
    <w:rsid w:val="000873EF"/>
    <w:rsid w:val="00087677"/>
    <w:rsid w:val="00087E63"/>
    <w:rsid w:val="00092008"/>
    <w:rsid w:val="00093A27"/>
    <w:rsid w:val="00095E90"/>
    <w:rsid w:val="000A3E02"/>
    <w:rsid w:val="000A6176"/>
    <w:rsid w:val="000B14FB"/>
    <w:rsid w:val="000B3792"/>
    <w:rsid w:val="000B5668"/>
    <w:rsid w:val="000C1E66"/>
    <w:rsid w:val="000C355B"/>
    <w:rsid w:val="000C5AF2"/>
    <w:rsid w:val="000C5D26"/>
    <w:rsid w:val="000C6025"/>
    <w:rsid w:val="000C6242"/>
    <w:rsid w:val="000C68DB"/>
    <w:rsid w:val="000D00E4"/>
    <w:rsid w:val="000D2C32"/>
    <w:rsid w:val="000D3A10"/>
    <w:rsid w:val="000D4FE3"/>
    <w:rsid w:val="000E11EF"/>
    <w:rsid w:val="000E1944"/>
    <w:rsid w:val="000E3E28"/>
    <w:rsid w:val="000E6F72"/>
    <w:rsid w:val="000F0478"/>
    <w:rsid w:val="000F0A50"/>
    <w:rsid w:val="000F4786"/>
    <w:rsid w:val="000F54C0"/>
    <w:rsid w:val="000F7145"/>
    <w:rsid w:val="00101A38"/>
    <w:rsid w:val="001033F4"/>
    <w:rsid w:val="00103D5E"/>
    <w:rsid w:val="00104EA7"/>
    <w:rsid w:val="00105FAD"/>
    <w:rsid w:val="00107CF2"/>
    <w:rsid w:val="0011004D"/>
    <w:rsid w:val="00110427"/>
    <w:rsid w:val="0011155B"/>
    <w:rsid w:val="00111A6A"/>
    <w:rsid w:val="00115291"/>
    <w:rsid w:val="00117D36"/>
    <w:rsid w:val="001209C5"/>
    <w:rsid w:val="00121BF1"/>
    <w:rsid w:val="001252CF"/>
    <w:rsid w:val="001272AB"/>
    <w:rsid w:val="00127A8B"/>
    <w:rsid w:val="00132022"/>
    <w:rsid w:val="001330E0"/>
    <w:rsid w:val="0013383A"/>
    <w:rsid w:val="00134BE5"/>
    <w:rsid w:val="001412D1"/>
    <w:rsid w:val="001423E3"/>
    <w:rsid w:val="00142B74"/>
    <w:rsid w:val="001436E0"/>
    <w:rsid w:val="00143C86"/>
    <w:rsid w:val="00143F77"/>
    <w:rsid w:val="00145D91"/>
    <w:rsid w:val="001463CB"/>
    <w:rsid w:val="001475EA"/>
    <w:rsid w:val="001504F5"/>
    <w:rsid w:val="001506E2"/>
    <w:rsid w:val="001517BD"/>
    <w:rsid w:val="001536C3"/>
    <w:rsid w:val="00153EA0"/>
    <w:rsid w:val="00154913"/>
    <w:rsid w:val="00154C12"/>
    <w:rsid w:val="001601EF"/>
    <w:rsid w:val="001616DC"/>
    <w:rsid w:val="00163782"/>
    <w:rsid w:val="001650A3"/>
    <w:rsid w:val="00166C9D"/>
    <w:rsid w:val="001671C1"/>
    <w:rsid w:val="001678E2"/>
    <w:rsid w:val="0017248D"/>
    <w:rsid w:val="00173626"/>
    <w:rsid w:val="0017614A"/>
    <w:rsid w:val="00176788"/>
    <w:rsid w:val="00176EC7"/>
    <w:rsid w:val="001817CD"/>
    <w:rsid w:val="00181DE4"/>
    <w:rsid w:val="0018209F"/>
    <w:rsid w:val="0018235E"/>
    <w:rsid w:val="001837DE"/>
    <w:rsid w:val="001863EC"/>
    <w:rsid w:val="0018768C"/>
    <w:rsid w:val="001918DF"/>
    <w:rsid w:val="00192BA0"/>
    <w:rsid w:val="0019389E"/>
    <w:rsid w:val="00195204"/>
    <w:rsid w:val="00196157"/>
    <w:rsid w:val="00196AA6"/>
    <w:rsid w:val="00197303"/>
    <w:rsid w:val="001A0947"/>
    <w:rsid w:val="001A12A7"/>
    <w:rsid w:val="001A17EA"/>
    <w:rsid w:val="001A1CC4"/>
    <w:rsid w:val="001A1D17"/>
    <w:rsid w:val="001A22AA"/>
    <w:rsid w:val="001A24EC"/>
    <w:rsid w:val="001A2C73"/>
    <w:rsid w:val="001A7A18"/>
    <w:rsid w:val="001B1565"/>
    <w:rsid w:val="001B166D"/>
    <w:rsid w:val="001B1F8A"/>
    <w:rsid w:val="001B28B5"/>
    <w:rsid w:val="001B2975"/>
    <w:rsid w:val="001B29A5"/>
    <w:rsid w:val="001C122D"/>
    <w:rsid w:val="001C2B1F"/>
    <w:rsid w:val="001C5FCC"/>
    <w:rsid w:val="001D2551"/>
    <w:rsid w:val="001D2A82"/>
    <w:rsid w:val="001D4D28"/>
    <w:rsid w:val="001D569B"/>
    <w:rsid w:val="001D569C"/>
    <w:rsid w:val="001D6878"/>
    <w:rsid w:val="001E0EA3"/>
    <w:rsid w:val="001E4995"/>
    <w:rsid w:val="001E7A42"/>
    <w:rsid w:val="001F09DC"/>
    <w:rsid w:val="001F1FD7"/>
    <w:rsid w:val="001F39C0"/>
    <w:rsid w:val="001F43E6"/>
    <w:rsid w:val="001F4B06"/>
    <w:rsid w:val="001F7358"/>
    <w:rsid w:val="0020236B"/>
    <w:rsid w:val="00207B7F"/>
    <w:rsid w:val="00210D74"/>
    <w:rsid w:val="00210FE9"/>
    <w:rsid w:val="00213772"/>
    <w:rsid w:val="00213BD3"/>
    <w:rsid w:val="00214612"/>
    <w:rsid w:val="0021475A"/>
    <w:rsid w:val="00220749"/>
    <w:rsid w:val="00220D8D"/>
    <w:rsid w:val="00223AFF"/>
    <w:rsid w:val="00223D70"/>
    <w:rsid w:val="0022422C"/>
    <w:rsid w:val="002254B1"/>
    <w:rsid w:val="00226F39"/>
    <w:rsid w:val="002270EF"/>
    <w:rsid w:val="0022724E"/>
    <w:rsid w:val="0023047C"/>
    <w:rsid w:val="00230666"/>
    <w:rsid w:val="00230F32"/>
    <w:rsid w:val="00231153"/>
    <w:rsid w:val="0023252E"/>
    <w:rsid w:val="00234F5E"/>
    <w:rsid w:val="002357CD"/>
    <w:rsid w:val="00240E59"/>
    <w:rsid w:val="00241C31"/>
    <w:rsid w:val="00245E48"/>
    <w:rsid w:val="002562E2"/>
    <w:rsid w:val="00260F7D"/>
    <w:rsid w:val="00261D46"/>
    <w:rsid w:val="00262320"/>
    <w:rsid w:val="002655B8"/>
    <w:rsid w:val="002661AF"/>
    <w:rsid w:val="00266F1C"/>
    <w:rsid w:val="002679D5"/>
    <w:rsid w:val="002714FD"/>
    <w:rsid w:val="00272CB6"/>
    <w:rsid w:val="00274373"/>
    <w:rsid w:val="00275F94"/>
    <w:rsid w:val="0027634F"/>
    <w:rsid w:val="00276563"/>
    <w:rsid w:val="002810AD"/>
    <w:rsid w:val="00281B9C"/>
    <w:rsid w:val="00282318"/>
    <w:rsid w:val="00282B34"/>
    <w:rsid w:val="00283216"/>
    <w:rsid w:val="00284350"/>
    <w:rsid w:val="00284C9B"/>
    <w:rsid w:val="00293A0C"/>
    <w:rsid w:val="00293DC5"/>
    <w:rsid w:val="00297510"/>
    <w:rsid w:val="002A0711"/>
    <w:rsid w:val="002A141B"/>
    <w:rsid w:val="002A26B6"/>
    <w:rsid w:val="002A6A4E"/>
    <w:rsid w:val="002B0838"/>
    <w:rsid w:val="002B337C"/>
    <w:rsid w:val="002B3B3E"/>
    <w:rsid w:val="002B5A85"/>
    <w:rsid w:val="002B63A7"/>
    <w:rsid w:val="002C131E"/>
    <w:rsid w:val="002C5509"/>
    <w:rsid w:val="002C5543"/>
    <w:rsid w:val="002C575C"/>
    <w:rsid w:val="002C6065"/>
    <w:rsid w:val="002D0F7F"/>
    <w:rsid w:val="002D133A"/>
    <w:rsid w:val="002D2176"/>
    <w:rsid w:val="002D2CB1"/>
    <w:rsid w:val="002D513D"/>
    <w:rsid w:val="002D7472"/>
    <w:rsid w:val="002D7AF9"/>
    <w:rsid w:val="002E0198"/>
    <w:rsid w:val="002E1D7C"/>
    <w:rsid w:val="002E5886"/>
    <w:rsid w:val="002E752F"/>
    <w:rsid w:val="002E7752"/>
    <w:rsid w:val="002F2895"/>
    <w:rsid w:val="002F449B"/>
    <w:rsid w:val="002F4D86"/>
    <w:rsid w:val="002F5D69"/>
    <w:rsid w:val="002F7C77"/>
    <w:rsid w:val="00300CB3"/>
    <w:rsid w:val="00301D81"/>
    <w:rsid w:val="00301FB0"/>
    <w:rsid w:val="0030394B"/>
    <w:rsid w:val="00304743"/>
    <w:rsid w:val="0030670B"/>
    <w:rsid w:val="003072C6"/>
    <w:rsid w:val="00310D8E"/>
    <w:rsid w:val="00311ECB"/>
    <w:rsid w:val="00315BBD"/>
    <w:rsid w:val="00315BE2"/>
    <w:rsid w:val="00315C56"/>
    <w:rsid w:val="00316140"/>
    <w:rsid w:val="0031753A"/>
    <w:rsid w:val="00317A09"/>
    <w:rsid w:val="00317C84"/>
    <w:rsid w:val="00320293"/>
    <w:rsid w:val="00320A5F"/>
    <w:rsid w:val="00320ACE"/>
    <w:rsid w:val="00320B8B"/>
    <w:rsid w:val="00322CC2"/>
    <w:rsid w:val="003271DC"/>
    <w:rsid w:val="003303F2"/>
    <w:rsid w:val="0033140D"/>
    <w:rsid w:val="00334B54"/>
    <w:rsid w:val="0033507F"/>
    <w:rsid w:val="0033739E"/>
    <w:rsid w:val="003379D8"/>
    <w:rsid w:val="0034061A"/>
    <w:rsid w:val="003421CD"/>
    <w:rsid w:val="00343733"/>
    <w:rsid w:val="00343976"/>
    <w:rsid w:val="00344428"/>
    <w:rsid w:val="00344465"/>
    <w:rsid w:val="00347DFE"/>
    <w:rsid w:val="00352FC0"/>
    <w:rsid w:val="00353117"/>
    <w:rsid w:val="00355886"/>
    <w:rsid w:val="003567A7"/>
    <w:rsid w:val="00356814"/>
    <w:rsid w:val="0035742F"/>
    <w:rsid w:val="00357C56"/>
    <w:rsid w:val="00361FC3"/>
    <w:rsid w:val="003647CA"/>
    <w:rsid w:val="00366D6F"/>
    <w:rsid w:val="00377D74"/>
    <w:rsid w:val="0038019F"/>
    <w:rsid w:val="00382071"/>
    <w:rsid w:val="00382BBD"/>
    <w:rsid w:val="003871A3"/>
    <w:rsid w:val="0038739D"/>
    <w:rsid w:val="00391B4C"/>
    <w:rsid w:val="0039738E"/>
    <w:rsid w:val="003A2F25"/>
    <w:rsid w:val="003A3BCD"/>
    <w:rsid w:val="003A5533"/>
    <w:rsid w:val="003A566D"/>
    <w:rsid w:val="003B0287"/>
    <w:rsid w:val="003B2807"/>
    <w:rsid w:val="003B31C7"/>
    <w:rsid w:val="003B3CEC"/>
    <w:rsid w:val="003B4103"/>
    <w:rsid w:val="003B7203"/>
    <w:rsid w:val="003B7AC5"/>
    <w:rsid w:val="003C68F2"/>
    <w:rsid w:val="003D3365"/>
    <w:rsid w:val="003D3491"/>
    <w:rsid w:val="003D5CFB"/>
    <w:rsid w:val="003D73E7"/>
    <w:rsid w:val="003D7EDE"/>
    <w:rsid w:val="003E2271"/>
    <w:rsid w:val="003E2636"/>
    <w:rsid w:val="003E2E12"/>
    <w:rsid w:val="003F06BB"/>
    <w:rsid w:val="003F0ABF"/>
    <w:rsid w:val="003F39CE"/>
    <w:rsid w:val="003F7FAC"/>
    <w:rsid w:val="004009BC"/>
    <w:rsid w:val="00400E84"/>
    <w:rsid w:val="00401108"/>
    <w:rsid w:val="00401FF4"/>
    <w:rsid w:val="00402927"/>
    <w:rsid w:val="00406AD3"/>
    <w:rsid w:val="00407993"/>
    <w:rsid w:val="00407B10"/>
    <w:rsid w:val="00411833"/>
    <w:rsid w:val="00412BC8"/>
    <w:rsid w:val="00412F64"/>
    <w:rsid w:val="00414DEE"/>
    <w:rsid w:val="00415B69"/>
    <w:rsid w:val="00417BEB"/>
    <w:rsid w:val="00417E8D"/>
    <w:rsid w:val="004200EE"/>
    <w:rsid w:val="0042141F"/>
    <w:rsid w:val="00425231"/>
    <w:rsid w:val="004312B8"/>
    <w:rsid w:val="00431B3A"/>
    <w:rsid w:val="004324FF"/>
    <w:rsid w:val="00432A55"/>
    <w:rsid w:val="004330CC"/>
    <w:rsid w:val="00440901"/>
    <w:rsid w:val="004422F8"/>
    <w:rsid w:val="0044260A"/>
    <w:rsid w:val="00444D82"/>
    <w:rsid w:val="004531BC"/>
    <w:rsid w:val="004564C6"/>
    <w:rsid w:val="004572E2"/>
    <w:rsid w:val="004575CC"/>
    <w:rsid w:val="004610CC"/>
    <w:rsid w:val="00461623"/>
    <w:rsid w:val="00462A1C"/>
    <w:rsid w:val="00465464"/>
    <w:rsid w:val="004655E3"/>
    <w:rsid w:val="00465E49"/>
    <w:rsid w:val="00465E87"/>
    <w:rsid w:val="004665D4"/>
    <w:rsid w:val="00474273"/>
    <w:rsid w:val="0047618D"/>
    <w:rsid w:val="00476CB5"/>
    <w:rsid w:val="0047786A"/>
    <w:rsid w:val="00477A65"/>
    <w:rsid w:val="00481A3F"/>
    <w:rsid w:val="00482DB3"/>
    <w:rsid w:val="00483B86"/>
    <w:rsid w:val="00486571"/>
    <w:rsid w:val="004970BA"/>
    <w:rsid w:val="004A0236"/>
    <w:rsid w:val="004A05E6"/>
    <w:rsid w:val="004A369A"/>
    <w:rsid w:val="004A3B3E"/>
    <w:rsid w:val="004A508E"/>
    <w:rsid w:val="004A6248"/>
    <w:rsid w:val="004A78BC"/>
    <w:rsid w:val="004B291D"/>
    <w:rsid w:val="004B3C0E"/>
    <w:rsid w:val="004B4788"/>
    <w:rsid w:val="004B4C95"/>
    <w:rsid w:val="004C5777"/>
    <w:rsid w:val="004C5EAB"/>
    <w:rsid w:val="004D0173"/>
    <w:rsid w:val="004D1056"/>
    <w:rsid w:val="004D14FE"/>
    <w:rsid w:val="004D38D3"/>
    <w:rsid w:val="004D55CE"/>
    <w:rsid w:val="004D59F0"/>
    <w:rsid w:val="004E1EDE"/>
    <w:rsid w:val="004E21E2"/>
    <w:rsid w:val="004E293F"/>
    <w:rsid w:val="004E380D"/>
    <w:rsid w:val="004E3DC5"/>
    <w:rsid w:val="004E7881"/>
    <w:rsid w:val="004E7922"/>
    <w:rsid w:val="004F00EE"/>
    <w:rsid w:val="004F0DFC"/>
    <w:rsid w:val="004F3441"/>
    <w:rsid w:val="004F41B2"/>
    <w:rsid w:val="004F474A"/>
    <w:rsid w:val="004F4AFC"/>
    <w:rsid w:val="004F52A5"/>
    <w:rsid w:val="004F79DC"/>
    <w:rsid w:val="00500C8C"/>
    <w:rsid w:val="00501375"/>
    <w:rsid w:val="00501D3B"/>
    <w:rsid w:val="005022C9"/>
    <w:rsid w:val="005035BE"/>
    <w:rsid w:val="00506C12"/>
    <w:rsid w:val="0050779D"/>
    <w:rsid w:val="005077CC"/>
    <w:rsid w:val="0051365A"/>
    <w:rsid w:val="00513998"/>
    <w:rsid w:val="005139EA"/>
    <w:rsid w:val="00516FBD"/>
    <w:rsid w:val="005170CD"/>
    <w:rsid w:val="0051753B"/>
    <w:rsid w:val="00520BBB"/>
    <w:rsid w:val="00525456"/>
    <w:rsid w:val="00526E75"/>
    <w:rsid w:val="00532236"/>
    <w:rsid w:val="00533A13"/>
    <w:rsid w:val="005362EE"/>
    <w:rsid w:val="00536867"/>
    <w:rsid w:val="005412F2"/>
    <w:rsid w:val="00541DFE"/>
    <w:rsid w:val="00542031"/>
    <w:rsid w:val="00542810"/>
    <w:rsid w:val="00542E4F"/>
    <w:rsid w:val="005431F6"/>
    <w:rsid w:val="00543367"/>
    <w:rsid w:val="00543E6C"/>
    <w:rsid w:val="00544184"/>
    <w:rsid w:val="005452E9"/>
    <w:rsid w:val="005466DD"/>
    <w:rsid w:val="005474E0"/>
    <w:rsid w:val="00547DAF"/>
    <w:rsid w:val="00550415"/>
    <w:rsid w:val="005534AB"/>
    <w:rsid w:val="00554C2E"/>
    <w:rsid w:val="005552FD"/>
    <w:rsid w:val="0055781C"/>
    <w:rsid w:val="005600E5"/>
    <w:rsid w:val="00560A2C"/>
    <w:rsid w:val="00564E8F"/>
    <w:rsid w:val="00565D84"/>
    <w:rsid w:val="005728A4"/>
    <w:rsid w:val="0057399F"/>
    <w:rsid w:val="00573D3D"/>
    <w:rsid w:val="00573FCA"/>
    <w:rsid w:val="00575C34"/>
    <w:rsid w:val="005763FC"/>
    <w:rsid w:val="00576EB4"/>
    <w:rsid w:val="00582768"/>
    <w:rsid w:val="00583461"/>
    <w:rsid w:val="005856A4"/>
    <w:rsid w:val="00587F31"/>
    <w:rsid w:val="00590730"/>
    <w:rsid w:val="0059137B"/>
    <w:rsid w:val="00592DED"/>
    <w:rsid w:val="005931EA"/>
    <w:rsid w:val="005A16A6"/>
    <w:rsid w:val="005A3051"/>
    <w:rsid w:val="005A3193"/>
    <w:rsid w:val="005A53FE"/>
    <w:rsid w:val="005B207A"/>
    <w:rsid w:val="005B386E"/>
    <w:rsid w:val="005B4072"/>
    <w:rsid w:val="005B5069"/>
    <w:rsid w:val="005B5376"/>
    <w:rsid w:val="005B7D22"/>
    <w:rsid w:val="005C029E"/>
    <w:rsid w:val="005D23E6"/>
    <w:rsid w:val="005D2D7C"/>
    <w:rsid w:val="005E085D"/>
    <w:rsid w:val="005E14EF"/>
    <w:rsid w:val="005E3F0A"/>
    <w:rsid w:val="005E3FA7"/>
    <w:rsid w:val="005E475E"/>
    <w:rsid w:val="005E576A"/>
    <w:rsid w:val="005E7963"/>
    <w:rsid w:val="005E7AF5"/>
    <w:rsid w:val="005F078F"/>
    <w:rsid w:val="005F218C"/>
    <w:rsid w:val="005F29A0"/>
    <w:rsid w:val="005F4523"/>
    <w:rsid w:val="005F5564"/>
    <w:rsid w:val="005F6703"/>
    <w:rsid w:val="005F7868"/>
    <w:rsid w:val="00601D4D"/>
    <w:rsid w:val="00602006"/>
    <w:rsid w:val="006021B4"/>
    <w:rsid w:val="00603D9D"/>
    <w:rsid w:val="00605067"/>
    <w:rsid w:val="00605B5B"/>
    <w:rsid w:val="006062D8"/>
    <w:rsid w:val="00606827"/>
    <w:rsid w:val="006116BB"/>
    <w:rsid w:val="00620262"/>
    <w:rsid w:val="00621533"/>
    <w:rsid w:val="00621B4C"/>
    <w:rsid w:val="00622233"/>
    <w:rsid w:val="00623F3E"/>
    <w:rsid w:val="0062423D"/>
    <w:rsid w:val="00624B0E"/>
    <w:rsid w:val="0062597E"/>
    <w:rsid w:val="00626110"/>
    <w:rsid w:val="0062673D"/>
    <w:rsid w:val="00626A9E"/>
    <w:rsid w:val="00627C52"/>
    <w:rsid w:val="00630937"/>
    <w:rsid w:val="0065049A"/>
    <w:rsid w:val="00653B84"/>
    <w:rsid w:val="00653BC1"/>
    <w:rsid w:val="00653E0D"/>
    <w:rsid w:val="00660C79"/>
    <w:rsid w:val="006619E5"/>
    <w:rsid w:val="006619F8"/>
    <w:rsid w:val="00661CE1"/>
    <w:rsid w:val="0066576B"/>
    <w:rsid w:val="006676ED"/>
    <w:rsid w:val="006730DB"/>
    <w:rsid w:val="006732EB"/>
    <w:rsid w:val="0067716B"/>
    <w:rsid w:val="0068301D"/>
    <w:rsid w:val="00683C74"/>
    <w:rsid w:val="0068437A"/>
    <w:rsid w:val="006865C8"/>
    <w:rsid w:val="00686B48"/>
    <w:rsid w:val="00687038"/>
    <w:rsid w:val="0068714E"/>
    <w:rsid w:val="00687963"/>
    <w:rsid w:val="00690B80"/>
    <w:rsid w:val="006929F7"/>
    <w:rsid w:val="00692B61"/>
    <w:rsid w:val="00692F5A"/>
    <w:rsid w:val="0069374A"/>
    <w:rsid w:val="00694AB8"/>
    <w:rsid w:val="00695925"/>
    <w:rsid w:val="00695EF7"/>
    <w:rsid w:val="0069699D"/>
    <w:rsid w:val="006B08E4"/>
    <w:rsid w:val="006B1D30"/>
    <w:rsid w:val="006B2C51"/>
    <w:rsid w:val="006B2D07"/>
    <w:rsid w:val="006B4EB8"/>
    <w:rsid w:val="006B6361"/>
    <w:rsid w:val="006C023D"/>
    <w:rsid w:val="006C2613"/>
    <w:rsid w:val="006C7345"/>
    <w:rsid w:val="006C768E"/>
    <w:rsid w:val="006D25D3"/>
    <w:rsid w:val="006D360C"/>
    <w:rsid w:val="006D5AC9"/>
    <w:rsid w:val="006D5E00"/>
    <w:rsid w:val="006D66ED"/>
    <w:rsid w:val="006D760E"/>
    <w:rsid w:val="006D7727"/>
    <w:rsid w:val="006D7923"/>
    <w:rsid w:val="006E52D2"/>
    <w:rsid w:val="006E5EF1"/>
    <w:rsid w:val="006E786B"/>
    <w:rsid w:val="006F2294"/>
    <w:rsid w:val="006F3FCA"/>
    <w:rsid w:val="006F427E"/>
    <w:rsid w:val="007002B1"/>
    <w:rsid w:val="00704EB7"/>
    <w:rsid w:val="00705742"/>
    <w:rsid w:val="007072B4"/>
    <w:rsid w:val="00707B07"/>
    <w:rsid w:val="007104FE"/>
    <w:rsid w:val="00710DE6"/>
    <w:rsid w:val="007121A2"/>
    <w:rsid w:val="007131BB"/>
    <w:rsid w:val="00713981"/>
    <w:rsid w:val="007176D6"/>
    <w:rsid w:val="00725738"/>
    <w:rsid w:val="00726C7C"/>
    <w:rsid w:val="00727D54"/>
    <w:rsid w:val="007318F0"/>
    <w:rsid w:val="007344C5"/>
    <w:rsid w:val="00734959"/>
    <w:rsid w:val="00735137"/>
    <w:rsid w:val="0073520D"/>
    <w:rsid w:val="00741659"/>
    <w:rsid w:val="0074277B"/>
    <w:rsid w:val="0074316F"/>
    <w:rsid w:val="00743737"/>
    <w:rsid w:val="00745A45"/>
    <w:rsid w:val="00747C0C"/>
    <w:rsid w:val="00753C1B"/>
    <w:rsid w:val="0075761C"/>
    <w:rsid w:val="00761FAA"/>
    <w:rsid w:val="00762847"/>
    <w:rsid w:val="007628AE"/>
    <w:rsid w:val="00764A31"/>
    <w:rsid w:val="00765CA5"/>
    <w:rsid w:val="00767583"/>
    <w:rsid w:val="007730D3"/>
    <w:rsid w:val="00774E3A"/>
    <w:rsid w:val="00780226"/>
    <w:rsid w:val="00781AB4"/>
    <w:rsid w:val="00786405"/>
    <w:rsid w:val="00786C31"/>
    <w:rsid w:val="00791405"/>
    <w:rsid w:val="007923B7"/>
    <w:rsid w:val="00792616"/>
    <w:rsid w:val="007926BB"/>
    <w:rsid w:val="00792AB7"/>
    <w:rsid w:val="00792BA7"/>
    <w:rsid w:val="00792CAD"/>
    <w:rsid w:val="0079344C"/>
    <w:rsid w:val="007970BD"/>
    <w:rsid w:val="007A0283"/>
    <w:rsid w:val="007A23D6"/>
    <w:rsid w:val="007A4E12"/>
    <w:rsid w:val="007B028D"/>
    <w:rsid w:val="007B47F5"/>
    <w:rsid w:val="007C02C7"/>
    <w:rsid w:val="007C138D"/>
    <w:rsid w:val="007C21EE"/>
    <w:rsid w:val="007C4A73"/>
    <w:rsid w:val="007D2D14"/>
    <w:rsid w:val="007D3A2E"/>
    <w:rsid w:val="007D6652"/>
    <w:rsid w:val="007E081E"/>
    <w:rsid w:val="007E343D"/>
    <w:rsid w:val="007E3B4C"/>
    <w:rsid w:val="007E439A"/>
    <w:rsid w:val="007E58C2"/>
    <w:rsid w:val="007E5CA6"/>
    <w:rsid w:val="007E660D"/>
    <w:rsid w:val="007E7741"/>
    <w:rsid w:val="007F0866"/>
    <w:rsid w:val="007F4383"/>
    <w:rsid w:val="007F48DD"/>
    <w:rsid w:val="007F719B"/>
    <w:rsid w:val="007F7635"/>
    <w:rsid w:val="0080043C"/>
    <w:rsid w:val="00801601"/>
    <w:rsid w:val="008037FB"/>
    <w:rsid w:val="00810991"/>
    <w:rsid w:val="00810B45"/>
    <w:rsid w:val="00812849"/>
    <w:rsid w:val="00814A9B"/>
    <w:rsid w:val="00814F66"/>
    <w:rsid w:val="00817C9E"/>
    <w:rsid w:val="00820277"/>
    <w:rsid w:val="008205AF"/>
    <w:rsid w:val="00821ED0"/>
    <w:rsid w:val="008225E5"/>
    <w:rsid w:val="00823D60"/>
    <w:rsid w:val="00827662"/>
    <w:rsid w:val="00827F9F"/>
    <w:rsid w:val="00831053"/>
    <w:rsid w:val="008314D2"/>
    <w:rsid w:val="00831550"/>
    <w:rsid w:val="0083254D"/>
    <w:rsid w:val="00836249"/>
    <w:rsid w:val="00836F00"/>
    <w:rsid w:val="00842B0C"/>
    <w:rsid w:val="008439B8"/>
    <w:rsid w:val="00846192"/>
    <w:rsid w:val="00847829"/>
    <w:rsid w:val="008507D4"/>
    <w:rsid w:val="00850806"/>
    <w:rsid w:val="0085249A"/>
    <w:rsid w:val="008545A3"/>
    <w:rsid w:val="00854DE7"/>
    <w:rsid w:val="00855083"/>
    <w:rsid w:val="00855632"/>
    <w:rsid w:val="00856A1B"/>
    <w:rsid w:val="008573EF"/>
    <w:rsid w:val="00857E54"/>
    <w:rsid w:val="008621C3"/>
    <w:rsid w:val="00862D04"/>
    <w:rsid w:val="008637C3"/>
    <w:rsid w:val="00863D1C"/>
    <w:rsid w:val="0086532F"/>
    <w:rsid w:val="00865486"/>
    <w:rsid w:val="008657CE"/>
    <w:rsid w:val="00870C96"/>
    <w:rsid w:val="00874554"/>
    <w:rsid w:val="008750EB"/>
    <w:rsid w:val="00876275"/>
    <w:rsid w:val="00876CB2"/>
    <w:rsid w:val="00880180"/>
    <w:rsid w:val="0088044C"/>
    <w:rsid w:val="0088154F"/>
    <w:rsid w:val="00882B99"/>
    <w:rsid w:val="0088371F"/>
    <w:rsid w:val="00886121"/>
    <w:rsid w:val="00891A50"/>
    <w:rsid w:val="00891D94"/>
    <w:rsid w:val="008A01F8"/>
    <w:rsid w:val="008A2230"/>
    <w:rsid w:val="008A295B"/>
    <w:rsid w:val="008A5433"/>
    <w:rsid w:val="008A5F12"/>
    <w:rsid w:val="008A6604"/>
    <w:rsid w:val="008B1A90"/>
    <w:rsid w:val="008B4F65"/>
    <w:rsid w:val="008B5482"/>
    <w:rsid w:val="008B758B"/>
    <w:rsid w:val="008C0F85"/>
    <w:rsid w:val="008C11F4"/>
    <w:rsid w:val="008C2BEC"/>
    <w:rsid w:val="008C4F40"/>
    <w:rsid w:val="008C5F59"/>
    <w:rsid w:val="008C6344"/>
    <w:rsid w:val="008C6523"/>
    <w:rsid w:val="008C6D0E"/>
    <w:rsid w:val="008C7A9F"/>
    <w:rsid w:val="008D09D2"/>
    <w:rsid w:val="008D251F"/>
    <w:rsid w:val="008D2F98"/>
    <w:rsid w:val="008D39C5"/>
    <w:rsid w:val="008E0498"/>
    <w:rsid w:val="008E1D89"/>
    <w:rsid w:val="008E1DC3"/>
    <w:rsid w:val="008E3AC5"/>
    <w:rsid w:val="008E3E3E"/>
    <w:rsid w:val="008E459A"/>
    <w:rsid w:val="008E6674"/>
    <w:rsid w:val="008E7435"/>
    <w:rsid w:val="008E7B7A"/>
    <w:rsid w:val="008F045C"/>
    <w:rsid w:val="008F25EC"/>
    <w:rsid w:val="008F4AC8"/>
    <w:rsid w:val="008F5F87"/>
    <w:rsid w:val="00900A34"/>
    <w:rsid w:val="00903BD0"/>
    <w:rsid w:val="009041A2"/>
    <w:rsid w:val="00907073"/>
    <w:rsid w:val="00914707"/>
    <w:rsid w:val="009208F5"/>
    <w:rsid w:val="00921359"/>
    <w:rsid w:val="00923D16"/>
    <w:rsid w:val="00927D51"/>
    <w:rsid w:val="00931A0D"/>
    <w:rsid w:val="00932272"/>
    <w:rsid w:val="00932862"/>
    <w:rsid w:val="00935D60"/>
    <w:rsid w:val="00943B32"/>
    <w:rsid w:val="009447BB"/>
    <w:rsid w:val="00944C48"/>
    <w:rsid w:val="00946335"/>
    <w:rsid w:val="00947942"/>
    <w:rsid w:val="00950BE1"/>
    <w:rsid w:val="009513C4"/>
    <w:rsid w:val="00953204"/>
    <w:rsid w:val="00954022"/>
    <w:rsid w:val="00955E55"/>
    <w:rsid w:val="009560A2"/>
    <w:rsid w:val="00962200"/>
    <w:rsid w:val="00964F0A"/>
    <w:rsid w:val="00965B87"/>
    <w:rsid w:val="00966F54"/>
    <w:rsid w:val="009705B3"/>
    <w:rsid w:val="00971C4B"/>
    <w:rsid w:val="009731F4"/>
    <w:rsid w:val="0097405C"/>
    <w:rsid w:val="00974FF0"/>
    <w:rsid w:val="00975E61"/>
    <w:rsid w:val="00976E31"/>
    <w:rsid w:val="00977C63"/>
    <w:rsid w:val="00980087"/>
    <w:rsid w:val="00980C0B"/>
    <w:rsid w:val="009828FA"/>
    <w:rsid w:val="0098524F"/>
    <w:rsid w:val="00987ABE"/>
    <w:rsid w:val="009906C7"/>
    <w:rsid w:val="00991E5C"/>
    <w:rsid w:val="009963CD"/>
    <w:rsid w:val="009A7333"/>
    <w:rsid w:val="009B0B0E"/>
    <w:rsid w:val="009B266D"/>
    <w:rsid w:val="009B54FF"/>
    <w:rsid w:val="009B5CBF"/>
    <w:rsid w:val="009B66A3"/>
    <w:rsid w:val="009C0809"/>
    <w:rsid w:val="009C184A"/>
    <w:rsid w:val="009C2CA5"/>
    <w:rsid w:val="009C3724"/>
    <w:rsid w:val="009C3A7E"/>
    <w:rsid w:val="009C4897"/>
    <w:rsid w:val="009C7AED"/>
    <w:rsid w:val="009D1FFB"/>
    <w:rsid w:val="009D3259"/>
    <w:rsid w:val="009D3E45"/>
    <w:rsid w:val="009D7327"/>
    <w:rsid w:val="009D7F11"/>
    <w:rsid w:val="009E2906"/>
    <w:rsid w:val="009E44DF"/>
    <w:rsid w:val="009E6945"/>
    <w:rsid w:val="009E6FB0"/>
    <w:rsid w:val="009F22F3"/>
    <w:rsid w:val="009F31D4"/>
    <w:rsid w:val="009F351F"/>
    <w:rsid w:val="009F3F89"/>
    <w:rsid w:val="009F480E"/>
    <w:rsid w:val="009F5C0A"/>
    <w:rsid w:val="00A022A2"/>
    <w:rsid w:val="00A02D15"/>
    <w:rsid w:val="00A05F37"/>
    <w:rsid w:val="00A07D08"/>
    <w:rsid w:val="00A11335"/>
    <w:rsid w:val="00A11403"/>
    <w:rsid w:val="00A11852"/>
    <w:rsid w:val="00A12BD8"/>
    <w:rsid w:val="00A157D4"/>
    <w:rsid w:val="00A1709E"/>
    <w:rsid w:val="00A170F9"/>
    <w:rsid w:val="00A21898"/>
    <w:rsid w:val="00A21BF3"/>
    <w:rsid w:val="00A21F53"/>
    <w:rsid w:val="00A244CD"/>
    <w:rsid w:val="00A244FA"/>
    <w:rsid w:val="00A26B0D"/>
    <w:rsid w:val="00A3031B"/>
    <w:rsid w:val="00A320D0"/>
    <w:rsid w:val="00A36C49"/>
    <w:rsid w:val="00A3735A"/>
    <w:rsid w:val="00A4279A"/>
    <w:rsid w:val="00A42F1B"/>
    <w:rsid w:val="00A45A0D"/>
    <w:rsid w:val="00A4604F"/>
    <w:rsid w:val="00A46638"/>
    <w:rsid w:val="00A46AF7"/>
    <w:rsid w:val="00A546BC"/>
    <w:rsid w:val="00A555B4"/>
    <w:rsid w:val="00A55989"/>
    <w:rsid w:val="00A5694A"/>
    <w:rsid w:val="00A61C1F"/>
    <w:rsid w:val="00A61EAC"/>
    <w:rsid w:val="00A63DA4"/>
    <w:rsid w:val="00A63F3F"/>
    <w:rsid w:val="00A65D17"/>
    <w:rsid w:val="00A671E2"/>
    <w:rsid w:val="00A67574"/>
    <w:rsid w:val="00A72797"/>
    <w:rsid w:val="00A753C0"/>
    <w:rsid w:val="00A75595"/>
    <w:rsid w:val="00A75CD5"/>
    <w:rsid w:val="00A83DF3"/>
    <w:rsid w:val="00A8409A"/>
    <w:rsid w:val="00A84BD0"/>
    <w:rsid w:val="00A85915"/>
    <w:rsid w:val="00A85BC4"/>
    <w:rsid w:val="00A865B5"/>
    <w:rsid w:val="00A87651"/>
    <w:rsid w:val="00A9288D"/>
    <w:rsid w:val="00A93975"/>
    <w:rsid w:val="00A94A2C"/>
    <w:rsid w:val="00A952AB"/>
    <w:rsid w:val="00A9783D"/>
    <w:rsid w:val="00AA037F"/>
    <w:rsid w:val="00AA127D"/>
    <w:rsid w:val="00AA303E"/>
    <w:rsid w:val="00AA45E6"/>
    <w:rsid w:val="00AA4FC8"/>
    <w:rsid w:val="00AA5263"/>
    <w:rsid w:val="00AA5A37"/>
    <w:rsid w:val="00AA7FFA"/>
    <w:rsid w:val="00AB0396"/>
    <w:rsid w:val="00AB06A8"/>
    <w:rsid w:val="00AB09A4"/>
    <w:rsid w:val="00AB29A7"/>
    <w:rsid w:val="00AB489C"/>
    <w:rsid w:val="00AB50C1"/>
    <w:rsid w:val="00AB623B"/>
    <w:rsid w:val="00AB6936"/>
    <w:rsid w:val="00AB7FCF"/>
    <w:rsid w:val="00AC0C3B"/>
    <w:rsid w:val="00AC2D63"/>
    <w:rsid w:val="00AC3F6F"/>
    <w:rsid w:val="00AD03D8"/>
    <w:rsid w:val="00AD0711"/>
    <w:rsid w:val="00AD250B"/>
    <w:rsid w:val="00AD4C90"/>
    <w:rsid w:val="00AD54DB"/>
    <w:rsid w:val="00AD704E"/>
    <w:rsid w:val="00AD7538"/>
    <w:rsid w:val="00AD7E7E"/>
    <w:rsid w:val="00AE0249"/>
    <w:rsid w:val="00AE23E5"/>
    <w:rsid w:val="00AE5FE0"/>
    <w:rsid w:val="00AE60B7"/>
    <w:rsid w:val="00AF077B"/>
    <w:rsid w:val="00AF2AB7"/>
    <w:rsid w:val="00AF2B1C"/>
    <w:rsid w:val="00AF39B4"/>
    <w:rsid w:val="00AF4D3F"/>
    <w:rsid w:val="00AF647E"/>
    <w:rsid w:val="00AF7E55"/>
    <w:rsid w:val="00B0300B"/>
    <w:rsid w:val="00B045D1"/>
    <w:rsid w:val="00B05457"/>
    <w:rsid w:val="00B077C5"/>
    <w:rsid w:val="00B10D0F"/>
    <w:rsid w:val="00B11BE9"/>
    <w:rsid w:val="00B123E9"/>
    <w:rsid w:val="00B128A0"/>
    <w:rsid w:val="00B146BA"/>
    <w:rsid w:val="00B152B2"/>
    <w:rsid w:val="00B1716A"/>
    <w:rsid w:val="00B20240"/>
    <w:rsid w:val="00B23281"/>
    <w:rsid w:val="00B23502"/>
    <w:rsid w:val="00B27571"/>
    <w:rsid w:val="00B3087A"/>
    <w:rsid w:val="00B30A9B"/>
    <w:rsid w:val="00B3687B"/>
    <w:rsid w:val="00B4164B"/>
    <w:rsid w:val="00B4397A"/>
    <w:rsid w:val="00B47320"/>
    <w:rsid w:val="00B4784C"/>
    <w:rsid w:val="00B479AF"/>
    <w:rsid w:val="00B50CF5"/>
    <w:rsid w:val="00B52E1C"/>
    <w:rsid w:val="00B5336E"/>
    <w:rsid w:val="00B5409A"/>
    <w:rsid w:val="00B55574"/>
    <w:rsid w:val="00B56CD5"/>
    <w:rsid w:val="00B56E31"/>
    <w:rsid w:val="00B60B03"/>
    <w:rsid w:val="00B6227F"/>
    <w:rsid w:val="00B6299B"/>
    <w:rsid w:val="00B6368E"/>
    <w:rsid w:val="00B64430"/>
    <w:rsid w:val="00B6525D"/>
    <w:rsid w:val="00B65ABA"/>
    <w:rsid w:val="00B65B96"/>
    <w:rsid w:val="00B66716"/>
    <w:rsid w:val="00B672C6"/>
    <w:rsid w:val="00B6790F"/>
    <w:rsid w:val="00B67AA6"/>
    <w:rsid w:val="00B67AC1"/>
    <w:rsid w:val="00B67EC3"/>
    <w:rsid w:val="00B709A5"/>
    <w:rsid w:val="00B71B3B"/>
    <w:rsid w:val="00B74BAC"/>
    <w:rsid w:val="00B7773B"/>
    <w:rsid w:val="00B77808"/>
    <w:rsid w:val="00B80336"/>
    <w:rsid w:val="00B85327"/>
    <w:rsid w:val="00B87D61"/>
    <w:rsid w:val="00B91138"/>
    <w:rsid w:val="00B917EC"/>
    <w:rsid w:val="00B93948"/>
    <w:rsid w:val="00BA0EF9"/>
    <w:rsid w:val="00BA4BC7"/>
    <w:rsid w:val="00BA55B7"/>
    <w:rsid w:val="00BA5E47"/>
    <w:rsid w:val="00BA7D57"/>
    <w:rsid w:val="00BB156E"/>
    <w:rsid w:val="00BB3330"/>
    <w:rsid w:val="00BB47D7"/>
    <w:rsid w:val="00BB4A62"/>
    <w:rsid w:val="00BC01C1"/>
    <w:rsid w:val="00BC12FB"/>
    <w:rsid w:val="00BC152D"/>
    <w:rsid w:val="00BC5A34"/>
    <w:rsid w:val="00BC5B22"/>
    <w:rsid w:val="00BC7ABC"/>
    <w:rsid w:val="00BD17F5"/>
    <w:rsid w:val="00BD2A65"/>
    <w:rsid w:val="00BD6E05"/>
    <w:rsid w:val="00BE54D0"/>
    <w:rsid w:val="00BE72CE"/>
    <w:rsid w:val="00BF0C07"/>
    <w:rsid w:val="00BF1303"/>
    <w:rsid w:val="00BF31F1"/>
    <w:rsid w:val="00BF6B6C"/>
    <w:rsid w:val="00BF7251"/>
    <w:rsid w:val="00BF7F28"/>
    <w:rsid w:val="00C0007C"/>
    <w:rsid w:val="00C01909"/>
    <w:rsid w:val="00C05787"/>
    <w:rsid w:val="00C13059"/>
    <w:rsid w:val="00C15424"/>
    <w:rsid w:val="00C156D4"/>
    <w:rsid w:val="00C167A3"/>
    <w:rsid w:val="00C17898"/>
    <w:rsid w:val="00C2181C"/>
    <w:rsid w:val="00C24A6B"/>
    <w:rsid w:val="00C2657D"/>
    <w:rsid w:val="00C26B7A"/>
    <w:rsid w:val="00C31CCA"/>
    <w:rsid w:val="00C3548E"/>
    <w:rsid w:val="00C40277"/>
    <w:rsid w:val="00C406C7"/>
    <w:rsid w:val="00C41378"/>
    <w:rsid w:val="00C416E1"/>
    <w:rsid w:val="00C4203C"/>
    <w:rsid w:val="00C44D31"/>
    <w:rsid w:val="00C44D6F"/>
    <w:rsid w:val="00C452C5"/>
    <w:rsid w:val="00C45D1F"/>
    <w:rsid w:val="00C468D3"/>
    <w:rsid w:val="00C471B5"/>
    <w:rsid w:val="00C47BF8"/>
    <w:rsid w:val="00C51B1C"/>
    <w:rsid w:val="00C53DCE"/>
    <w:rsid w:val="00C5443A"/>
    <w:rsid w:val="00C571CF"/>
    <w:rsid w:val="00C6280C"/>
    <w:rsid w:val="00C655F2"/>
    <w:rsid w:val="00C65B61"/>
    <w:rsid w:val="00C66EC2"/>
    <w:rsid w:val="00C67605"/>
    <w:rsid w:val="00C70953"/>
    <w:rsid w:val="00C70E53"/>
    <w:rsid w:val="00C7134F"/>
    <w:rsid w:val="00C72979"/>
    <w:rsid w:val="00C761AA"/>
    <w:rsid w:val="00C777D7"/>
    <w:rsid w:val="00C81529"/>
    <w:rsid w:val="00C81BA6"/>
    <w:rsid w:val="00C82C2B"/>
    <w:rsid w:val="00C8377C"/>
    <w:rsid w:val="00C872D5"/>
    <w:rsid w:val="00C877CD"/>
    <w:rsid w:val="00C902E9"/>
    <w:rsid w:val="00C908B7"/>
    <w:rsid w:val="00C91D81"/>
    <w:rsid w:val="00C92A42"/>
    <w:rsid w:val="00C9305E"/>
    <w:rsid w:val="00C94B06"/>
    <w:rsid w:val="00C95986"/>
    <w:rsid w:val="00C96D20"/>
    <w:rsid w:val="00C97B74"/>
    <w:rsid w:val="00CA085A"/>
    <w:rsid w:val="00CA18F2"/>
    <w:rsid w:val="00CA4871"/>
    <w:rsid w:val="00CA6722"/>
    <w:rsid w:val="00CA6D4E"/>
    <w:rsid w:val="00CA7B4B"/>
    <w:rsid w:val="00CB1A69"/>
    <w:rsid w:val="00CB2032"/>
    <w:rsid w:val="00CB36A8"/>
    <w:rsid w:val="00CB5672"/>
    <w:rsid w:val="00CB652B"/>
    <w:rsid w:val="00CC139A"/>
    <w:rsid w:val="00CC1E7A"/>
    <w:rsid w:val="00CC3352"/>
    <w:rsid w:val="00CC4F64"/>
    <w:rsid w:val="00CC6AB9"/>
    <w:rsid w:val="00CC7F27"/>
    <w:rsid w:val="00CD058C"/>
    <w:rsid w:val="00CD207F"/>
    <w:rsid w:val="00CD3B98"/>
    <w:rsid w:val="00CD4216"/>
    <w:rsid w:val="00CD4938"/>
    <w:rsid w:val="00CD4F33"/>
    <w:rsid w:val="00CD65D6"/>
    <w:rsid w:val="00CD733F"/>
    <w:rsid w:val="00CE0942"/>
    <w:rsid w:val="00CE17C6"/>
    <w:rsid w:val="00CE3A2F"/>
    <w:rsid w:val="00CE42F4"/>
    <w:rsid w:val="00CE49CC"/>
    <w:rsid w:val="00CE7CA5"/>
    <w:rsid w:val="00CF0A75"/>
    <w:rsid w:val="00CF1D81"/>
    <w:rsid w:val="00CF2DC9"/>
    <w:rsid w:val="00CF51F0"/>
    <w:rsid w:val="00CF7CB6"/>
    <w:rsid w:val="00D00E5F"/>
    <w:rsid w:val="00D05512"/>
    <w:rsid w:val="00D07289"/>
    <w:rsid w:val="00D1121D"/>
    <w:rsid w:val="00D11E9B"/>
    <w:rsid w:val="00D121AA"/>
    <w:rsid w:val="00D2335D"/>
    <w:rsid w:val="00D264D3"/>
    <w:rsid w:val="00D26F1C"/>
    <w:rsid w:val="00D311AB"/>
    <w:rsid w:val="00D325A8"/>
    <w:rsid w:val="00D41387"/>
    <w:rsid w:val="00D414A4"/>
    <w:rsid w:val="00D442AD"/>
    <w:rsid w:val="00D448A4"/>
    <w:rsid w:val="00D45FA3"/>
    <w:rsid w:val="00D46211"/>
    <w:rsid w:val="00D5261B"/>
    <w:rsid w:val="00D54817"/>
    <w:rsid w:val="00D5618A"/>
    <w:rsid w:val="00D563CD"/>
    <w:rsid w:val="00D569C2"/>
    <w:rsid w:val="00D56B30"/>
    <w:rsid w:val="00D573FC"/>
    <w:rsid w:val="00D5784B"/>
    <w:rsid w:val="00D613B5"/>
    <w:rsid w:val="00D62BCD"/>
    <w:rsid w:val="00D63EFB"/>
    <w:rsid w:val="00D64C4E"/>
    <w:rsid w:val="00D658AF"/>
    <w:rsid w:val="00D67025"/>
    <w:rsid w:val="00D72AC0"/>
    <w:rsid w:val="00D77D3D"/>
    <w:rsid w:val="00D8277F"/>
    <w:rsid w:val="00D82C6D"/>
    <w:rsid w:val="00D82D35"/>
    <w:rsid w:val="00D83DE9"/>
    <w:rsid w:val="00D84209"/>
    <w:rsid w:val="00D8450D"/>
    <w:rsid w:val="00D85E03"/>
    <w:rsid w:val="00D86A3F"/>
    <w:rsid w:val="00D95AF9"/>
    <w:rsid w:val="00D961D9"/>
    <w:rsid w:val="00D96D0E"/>
    <w:rsid w:val="00DA0598"/>
    <w:rsid w:val="00DA073D"/>
    <w:rsid w:val="00DA09C9"/>
    <w:rsid w:val="00DA0FA7"/>
    <w:rsid w:val="00DA1822"/>
    <w:rsid w:val="00DA2486"/>
    <w:rsid w:val="00DA2A33"/>
    <w:rsid w:val="00DA4392"/>
    <w:rsid w:val="00DA5EFF"/>
    <w:rsid w:val="00DB2095"/>
    <w:rsid w:val="00DB5E1F"/>
    <w:rsid w:val="00DB735A"/>
    <w:rsid w:val="00DC19D8"/>
    <w:rsid w:val="00DC2613"/>
    <w:rsid w:val="00DC2BDE"/>
    <w:rsid w:val="00DC4512"/>
    <w:rsid w:val="00DC48B8"/>
    <w:rsid w:val="00DC4A22"/>
    <w:rsid w:val="00DC52C5"/>
    <w:rsid w:val="00DC6C71"/>
    <w:rsid w:val="00DD3691"/>
    <w:rsid w:val="00DD3B87"/>
    <w:rsid w:val="00DD4B55"/>
    <w:rsid w:val="00DD6296"/>
    <w:rsid w:val="00DE1E90"/>
    <w:rsid w:val="00DE24E6"/>
    <w:rsid w:val="00DE3AB3"/>
    <w:rsid w:val="00DE6B9A"/>
    <w:rsid w:val="00DF07AD"/>
    <w:rsid w:val="00DF0A3F"/>
    <w:rsid w:val="00DF3364"/>
    <w:rsid w:val="00DF42D7"/>
    <w:rsid w:val="00DF6BEA"/>
    <w:rsid w:val="00DF7CEE"/>
    <w:rsid w:val="00E055BB"/>
    <w:rsid w:val="00E10420"/>
    <w:rsid w:val="00E107D7"/>
    <w:rsid w:val="00E11988"/>
    <w:rsid w:val="00E12E49"/>
    <w:rsid w:val="00E15DA9"/>
    <w:rsid w:val="00E16C21"/>
    <w:rsid w:val="00E2095D"/>
    <w:rsid w:val="00E2290D"/>
    <w:rsid w:val="00E24DBF"/>
    <w:rsid w:val="00E30414"/>
    <w:rsid w:val="00E327DC"/>
    <w:rsid w:val="00E40769"/>
    <w:rsid w:val="00E40821"/>
    <w:rsid w:val="00E427D1"/>
    <w:rsid w:val="00E42E8B"/>
    <w:rsid w:val="00E461BE"/>
    <w:rsid w:val="00E5020A"/>
    <w:rsid w:val="00E5653C"/>
    <w:rsid w:val="00E60F12"/>
    <w:rsid w:val="00E615E5"/>
    <w:rsid w:val="00E64136"/>
    <w:rsid w:val="00E652FB"/>
    <w:rsid w:val="00E66247"/>
    <w:rsid w:val="00E66C20"/>
    <w:rsid w:val="00E71C46"/>
    <w:rsid w:val="00E75ED2"/>
    <w:rsid w:val="00E8215E"/>
    <w:rsid w:val="00E8280C"/>
    <w:rsid w:val="00E83E4C"/>
    <w:rsid w:val="00E84112"/>
    <w:rsid w:val="00E857B3"/>
    <w:rsid w:val="00E908EB"/>
    <w:rsid w:val="00E91431"/>
    <w:rsid w:val="00E91933"/>
    <w:rsid w:val="00E92A81"/>
    <w:rsid w:val="00E95E90"/>
    <w:rsid w:val="00E969B1"/>
    <w:rsid w:val="00E97D68"/>
    <w:rsid w:val="00EA3E13"/>
    <w:rsid w:val="00EB1A15"/>
    <w:rsid w:val="00EB230C"/>
    <w:rsid w:val="00EB31C6"/>
    <w:rsid w:val="00EB46F3"/>
    <w:rsid w:val="00EB4BCE"/>
    <w:rsid w:val="00EB6552"/>
    <w:rsid w:val="00EB7D52"/>
    <w:rsid w:val="00EC07C6"/>
    <w:rsid w:val="00EC18E6"/>
    <w:rsid w:val="00EC1984"/>
    <w:rsid w:val="00EC20C2"/>
    <w:rsid w:val="00EC234C"/>
    <w:rsid w:val="00EC2C72"/>
    <w:rsid w:val="00EC3CE3"/>
    <w:rsid w:val="00EC47DB"/>
    <w:rsid w:val="00ED321A"/>
    <w:rsid w:val="00ED3529"/>
    <w:rsid w:val="00ED457A"/>
    <w:rsid w:val="00ED4D17"/>
    <w:rsid w:val="00ED652F"/>
    <w:rsid w:val="00ED66FD"/>
    <w:rsid w:val="00EE1BEB"/>
    <w:rsid w:val="00EE2773"/>
    <w:rsid w:val="00EE35DD"/>
    <w:rsid w:val="00EE3896"/>
    <w:rsid w:val="00EE4483"/>
    <w:rsid w:val="00EE61E3"/>
    <w:rsid w:val="00EE6CD3"/>
    <w:rsid w:val="00EE796D"/>
    <w:rsid w:val="00EF0FD7"/>
    <w:rsid w:val="00EF20D7"/>
    <w:rsid w:val="00EF319F"/>
    <w:rsid w:val="00EF3419"/>
    <w:rsid w:val="00EF3808"/>
    <w:rsid w:val="00EF440F"/>
    <w:rsid w:val="00EF63A2"/>
    <w:rsid w:val="00F0119C"/>
    <w:rsid w:val="00F02669"/>
    <w:rsid w:val="00F02BDB"/>
    <w:rsid w:val="00F043FA"/>
    <w:rsid w:val="00F0441B"/>
    <w:rsid w:val="00F05350"/>
    <w:rsid w:val="00F07623"/>
    <w:rsid w:val="00F10745"/>
    <w:rsid w:val="00F136A8"/>
    <w:rsid w:val="00F1468C"/>
    <w:rsid w:val="00F203CD"/>
    <w:rsid w:val="00F216B8"/>
    <w:rsid w:val="00F23FA3"/>
    <w:rsid w:val="00F26234"/>
    <w:rsid w:val="00F2767B"/>
    <w:rsid w:val="00F2767D"/>
    <w:rsid w:val="00F27AA0"/>
    <w:rsid w:val="00F27F0D"/>
    <w:rsid w:val="00F304B5"/>
    <w:rsid w:val="00F3136B"/>
    <w:rsid w:val="00F314F1"/>
    <w:rsid w:val="00F327EA"/>
    <w:rsid w:val="00F33641"/>
    <w:rsid w:val="00F42842"/>
    <w:rsid w:val="00F44DC4"/>
    <w:rsid w:val="00F46E40"/>
    <w:rsid w:val="00F470DD"/>
    <w:rsid w:val="00F4760A"/>
    <w:rsid w:val="00F47DF5"/>
    <w:rsid w:val="00F50C7B"/>
    <w:rsid w:val="00F52B8E"/>
    <w:rsid w:val="00F53578"/>
    <w:rsid w:val="00F53CFD"/>
    <w:rsid w:val="00F54AF5"/>
    <w:rsid w:val="00F54E16"/>
    <w:rsid w:val="00F557E3"/>
    <w:rsid w:val="00F572BE"/>
    <w:rsid w:val="00F60434"/>
    <w:rsid w:val="00F61E78"/>
    <w:rsid w:val="00F6201D"/>
    <w:rsid w:val="00F62369"/>
    <w:rsid w:val="00F635C5"/>
    <w:rsid w:val="00F63823"/>
    <w:rsid w:val="00F736E3"/>
    <w:rsid w:val="00F7468B"/>
    <w:rsid w:val="00F74714"/>
    <w:rsid w:val="00F767E8"/>
    <w:rsid w:val="00F8532B"/>
    <w:rsid w:val="00F86A3F"/>
    <w:rsid w:val="00F91297"/>
    <w:rsid w:val="00F9133B"/>
    <w:rsid w:val="00F95FBA"/>
    <w:rsid w:val="00F97730"/>
    <w:rsid w:val="00FA0ACE"/>
    <w:rsid w:val="00FA5358"/>
    <w:rsid w:val="00FB2EC4"/>
    <w:rsid w:val="00FB3294"/>
    <w:rsid w:val="00FB32A4"/>
    <w:rsid w:val="00FB4AB0"/>
    <w:rsid w:val="00FB594D"/>
    <w:rsid w:val="00FB5E3B"/>
    <w:rsid w:val="00FC10C9"/>
    <w:rsid w:val="00FC49BB"/>
    <w:rsid w:val="00FC5659"/>
    <w:rsid w:val="00FD616B"/>
    <w:rsid w:val="00FE367F"/>
    <w:rsid w:val="00FE600D"/>
    <w:rsid w:val="00FF29DC"/>
    <w:rsid w:val="00FF3AB0"/>
    <w:rsid w:val="00FF41C1"/>
    <w:rsid w:val="00FF7D0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63C20"/>
  <w15:docId w15:val="{A653AC12-D568-48FD-A061-27F153EA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970BD"/>
    <w:pPr>
      <w:keepNext/>
      <w:keepLines/>
      <w:spacing w:before="520" w:after="440" w:line="440" w:lineRule="atLeast"/>
      <w:outlineLvl w:val="0"/>
    </w:pPr>
    <w:rPr>
      <w:rFonts w:ascii="Arial" w:hAnsi="Arial"/>
      <w:bCs/>
      <w:color w:val="9F2241"/>
      <w:sz w:val="44"/>
      <w:szCs w:val="44"/>
      <w:lang w:eastAsia="en-US"/>
    </w:rPr>
  </w:style>
  <w:style w:type="paragraph" w:styleId="Heading2">
    <w:name w:val="heading 2"/>
    <w:next w:val="DHHSbody"/>
    <w:link w:val="Heading2Char"/>
    <w:uiPriority w:val="1"/>
    <w:qFormat/>
    <w:rsid w:val="007970BD"/>
    <w:pPr>
      <w:keepNext/>
      <w:keepLines/>
      <w:spacing w:before="240" w:after="90" w:line="320" w:lineRule="atLeast"/>
      <w:outlineLvl w:val="1"/>
    </w:pPr>
    <w:rPr>
      <w:rFonts w:ascii="Arial" w:hAnsi="Arial"/>
      <w:b/>
      <w:color w:val="9F2241"/>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970BD"/>
    <w:rPr>
      <w:rFonts w:ascii="Arial" w:hAnsi="Arial"/>
      <w:bCs/>
      <w:color w:val="9F2241"/>
      <w:sz w:val="44"/>
      <w:szCs w:val="44"/>
      <w:lang w:eastAsia="en-US"/>
    </w:rPr>
  </w:style>
  <w:style w:type="character" w:customStyle="1" w:styleId="Heading2Char">
    <w:name w:val="Heading 2 Char"/>
    <w:link w:val="Heading2"/>
    <w:uiPriority w:val="1"/>
    <w:rsid w:val="007970BD"/>
    <w:rPr>
      <w:rFonts w:ascii="Arial" w:hAnsi="Arial"/>
      <w:b/>
      <w:color w:val="9F2241"/>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F62369"/>
    <w:pPr>
      <w:keepLines/>
      <w:spacing w:after="240" w:line="580" w:lineRule="atLeast"/>
    </w:pPr>
    <w:rPr>
      <w:rFonts w:ascii="Arial" w:hAnsi="Arial"/>
      <w:color w:val="9F2241"/>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1A12A7"/>
    <w:rPr>
      <w:rFonts w:ascii="Arial" w:hAnsi="Arial"/>
      <w:color w:val="3366FF"/>
      <w:sz w:val="20"/>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970BD"/>
    <w:pPr>
      <w:spacing w:before="80" w:after="60"/>
    </w:pPr>
    <w:rPr>
      <w:rFonts w:ascii="Arial" w:hAnsi="Arial"/>
      <w:b/>
      <w:color w:val="9F224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NormalWeb">
    <w:name w:val="Normal (Web)"/>
    <w:basedOn w:val="Normal"/>
    <w:uiPriority w:val="99"/>
    <w:semiHidden/>
    <w:unhideWhenUsed/>
    <w:rsid w:val="004B4788"/>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88371F"/>
    <w:rPr>
      <w:sz w:val="16"/>
      <w:szCs w:val="16"/>
    </w:rPr>
  </w:style>
  <w:style w:type="paragraph" w:styleId="CommentText">
    <w:name w:val="annotation text"/>
    <w:basedOn w:val="Normal"/>
    <w:link w:val="CommentTextChar"/>
    <w:uiPriority w:val="99"/>
    <w:unhideWhenUsed/>
    <w:rsid w:val="0088371F"/>
  </w:style>
  <w:style w:type="character" w:customStyle="1" w:styleId="CommentTextChar">
    <w:name w:val="Comment Text Char"/>
    <w:basedOn w:val="DefaultParagraphFont"/>
    <w:link w:val="CommentText"/>
    <w:uiPriority w:val="99"/>
    <w:rsid w:val="0088371F"/>
    <w:rPr>
      <w:rFonts w:ascii="Cambria" w:hAnsi="Cambria"/>
      <w:lang w:eastAsia="en-US"/>
    </w:rPr>
  </w:style>
  <w:style w:type="paragraph" w:styleId="BalloonText">
    <w:name w:val="Balloon Text"/>
    <w:basedOn w:val="Normal"/>
    <w:link w:val="BalloonTextChar"/>
    <w:uiPriority w:val="99"/>
    <w:semiHidden/>
    <w:unhideWhenUsed/>
    <w:rsid w:val="00883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7072B4"/>
    <w:rPr>
      <w:b/>
      <w:bCs/>
    </w:rPr>
  </w:style>
  <w:style w:type="character" w:customStyle="1" w:styleId="CommentSubjectChar">
    <w:name w:val="Comment Subject Char"/>
    <w:basedOn w:val="CommentTextChar"/>
    <w:link w:val="CommentSubject"/>
    <w:uiPriority w:val="99"/>
    <w:semiHidden/>
    <w:rsid w:val="007072B4"/>
    <w:rPr>
      <w:rFonts w:ascii="Cambria" w:hAnsi="Cambria"/>
      <w:b/>
      <w:bCs/>
      <w:lang w:eastAsia="en-US"/>
    </w:rPr>
  </w:style>
  <w:style w:type="character" w:customStyle="1" w:styleId="UnresolvedMention1">
    <w:name w:val="Unresolved Mention1"/>
    <w:basedOn w:val="DefaultParagraphFont"/>
    <w:uiPriority w:val="99"/>
    <w:semiHidden/>
    <w:unhideWhenUsed/>
    <w:rsid w:val="00F95FBA"/>
    <w:rPr>
      <w:color w:val="605E5C"/>
      <w:shd w:val="clear" w:color="auto" w:fill="E1DFDD"/>
    </w:rPr>
  </w:style>
  <w:style w:type="paragraph" w:styleId="Caption">
    <w:name w:val="caption"/>
    <w:basedOn w:val="Normal"/>
    <w:next w:val="Normal"/>
    <w:uiPriority w:val="35"/>
    <w:unhideWhenUsed/>
    <w:qFormat/>
    <w:rsid w:val="00B4397A"/>
    <w:pPr>
      <w:spacing w:after="200"/>
    </w:pPr>
    <w:rPr>
      <w:i/>
      <w:iCs/>
      <w:color w:val="44546A" w:themeColor="text2"/>
      <w:sz w:val="18"/>
      <w:szCs w:val="18"/>
    </w:rPr>
  </w:style>
  <w:style w:type="paragraph" w:styleId="TableofFigures">
    <w:name w:val="table of figures"/>
    <w:basedOn w:val="Normal"/>
    <w:next w:val="Normal"/>
    <w:link w:val="TableofFiguresChar"/>
    <w:uiPriority w:val="99"/>
    <w:unhideWhenUsed/>
    <w:rsid w:val="00377D74"/>
  </w:style>
  <w:style w:type="paragraph" w:styleId="Revision">
    <w:name w:val="Revision"/>
    <w:hidden/>
    <w:uiPriority w:val="71"/>
    <w:rsid w:val="00391B4C"/>
    <w:rPr>
      <w:rFonts w:ascii="Cambria" w:hAnsi="Cambria"/>
      <w:lang w:eastAsia="en-US"/>
    </w:rPr>
  </w:style>
  <w:style w:type="paragraph" w:customStyle="1" w:styleId="ToC">
    <w:name w:val="ToC"/>
    <w:basedOn w:val="TableofFigures"/>
    <w:link w:val="ToCChar"/>
    <w:qFormat/>
    <w:rsid w:val="001536C3"/>
    <w:pPr>
      <w:tabs>
        <w:tab w:val="right" w:leader="dot" w:pos="9288"/>
      </w:tabs>
      <w:spacing w:after="60" w:line="270" w:lineRule="atLeast"/>
    </w:pPr>
    <w:rPr>
      <w:rFonts w:ascii="Arial" w:hAnsi="Arial" w:cs="Arial"/>
      <w:noProof/>
    </w:rPr>
  </w:style>
  <w:style w:type="paragraph" w:customStyle="1" w:styleId="Table">
    <w:name w:val="Table"/>
    <w:basedOn w:val="Normal"/>
    <w:link w:val="TableChar"/>
    <w:qFormat/>
    <w:rsid w:val="00923D16"/>
    <w:pPr>
      <w:spacing w:line="276" w:lineRule="auto"/>
    </w:pPr>
    <w:rPr>
      <w:rFonts w:ascii="Arial" w:eastAsia="Arial" w:hAnsi="Arial" w:cs="Arial"/>
      <w:i/>
      <w:color w:val="000000"/>
      <w:lang w:eastAsia="en-AU"/>
    </w:rPr>
  </w:style>
  <w:style w:type="character" w:customStyle="1" w:styleId="TableofFiguresChar">
    <w:name w:val="Table of Figures Char"/>
    <w:basedOn w:val="DefaultParagraphFont"/>
    <w:link w:val="TableofFigures"/>
    <w:uiPriority w:val="99"/>
    <w:rsid w:val="001536C3"/>
    <w:rPr>
      <w:rFonts w:ascii="Cambria" w:hAnsi="Cambria"/>
      <w:lang w:eastAsia="en-US"/>
    </w:rPr>
  </w:style>
  <w:style w:type="character" w:customStyle="1" w:styleId="ToCChar">
    <w:name w:val="ToC Char"/>
    <w:basedOn w:val="TableofFiguresChar"/>
    <w:link w:val="ToC"/>
    <w:rsid w:val="001536C3"/>
    <w:rPr>
      <w:rFonts w:ascii="Arial" w:hAnsi="Arial" w:cs="Arial"/>
      <w:noProof/>
      <w:lang w:eastAsia="en-US"/>
    </w:rPr>
  </w:style>
  <w:style w:type="character" w:customStyle="1" w:styleId="TableChar">
    <w:name w:val="Table Char"/>
    <w:basedOn w:val="DefaultParagraphFont"/>
    <w:link w:val="Table"/>
    <w:rsid w:val="00923D16"/>
    <w:rPr>
      <w:rFonts w:ascii="Arial" w:eastAsia="Arial" w:hAnsi="Arial" w:cs="Arial"/>
      <w:i/>
      <w:color w:val="000000"/>
    </w:rPr>
  </w:style>
  <w:style w:type="paragraph" w:styleId="HTMLPreformatted">
    <w:name w:val="HTML Preformatted"/>
    <w:basedOn w:val="Normal"/>
    <w:link w:val="HTMLPreformattedChar"/>
    <w:uiPriority w:val="99"/>
    <w:unhideWhenUsed/>
    <w:rsid w:val="0092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character" w:customStyle="1" w:styleId="HTMLPreformattedChar">
    <w:name w:val="HTML Preformatted Char"/>
    <w:basedOn w:val="DefaultParagraphFont"/>
    <w:link w:val="HTMLPreformatted"/>
    <w:uiPriority w:val="99"/>
    <w:rsid w:val="00923D16"/>
    <w:rPr>
      <w:rFonts w:ascii="Courier New" w:hAnsi="Courier New" w:cs="Courier New"/>
    </w:rPr>
  </w:style>
  <w:style w:type="character" w:customStyle="1" w:styleId="gnkrckgcgsb">
    <w:name w:val="gnkrckgcgsb"/>
    <w:basedOn w:val="DefaultParagraphFont"/>
    <w:rsid w:val="00923D16"/>
  </w:style>
  <w:style w:type="character" w:customStyle="1" w:styleId="gd15mcfceub">
    <w:name w:val="gd15mcfceub"/>
    <w:basedOn w:val="DefaultParagraphFont"/>
    <w:rsid w:val="00163782"/>
  </w:style>
  <w:style w:type="character" w:styleId="UnresolvedMention">
    <w:name w:val="Unresolved Mention"/>
    <w:basedOn w:val="DefaultParagraphFont"/>
    <w:uiPriority w:val="99"/>
    <w:semiHidden/>
    <w:unhideWhenUsed/>
    <w:rsid w:val="00560A2C"/>
    <w:rPr>
      <w:color w:val="605E5C"/>
      <w:shd w:val="clear" w:color="auto" w:fill="E1DFDD"/>
    </w:rPr>
  </w:style>
  <w:style w:type="paragraph" w:styleId="TOCHeading">
    <w:name w:val="TOC Heading"/>
    <w:basedOn w:val="Heading1"/>
    <w:next w:val="Normal"/>
    <w:uiPriority w:val="39"/>
    <w:unhideWhenUsed/>
    <w:qFormat/>
    <w:rsid w:val="001A12A7"/>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9580">
      <w:bodyDiv w:val="1"/>
      <w:marLeft w:val="0"/>
      <w:marRight w:val="0"/>
      <w:marTop w:val="0"/>
      <w:marBottom w:val="0"/>
      <w:divBdr>
        <w:top w:val="none" w:sz="0" w:space="0" w:color="auto"/>
        <w:left w:val="none" w:sz="0" w:space="0" w:color="auto"/>
        <w:bottom w:val="none" w:sz="0" w:space="0" w:color="auto"/>
        <w:right w:val="none" w:sz="0" w:space="0" w:color="auto"/>
      </w:divBdr>
    </w:div>
    <w:div w:id="109590814">
      <w:bodyDiv w:val="1"/>
      <w:marLeft w:val="0"/>
      <w:marRight w:val="0"/>
      <w:marTop w:val="0"/>
      <w:marBottom w:val="0"/>
      <w:divBdr>
        <w:top w:val="none" w:sz="0" w:space="0" w:color="auto"/>
        <w:left w:val="none" w:sz="0" w:space="0" w:color="auto"/>
        <w:bottom w:val="none" w:sz="0" w:space="0" w:color="auto"/>
        <w:right w:val="none" w:sz="0" w:space="0" w:color="auto"/>
      </w:divBdr>
    </w:div>
    <w:div w:id="120392750">
      <w:bodyDiv w:val="1"/>
      <w:marLeft w:val="0"/>
      <w:marRight w:val="0"/>
      <w:marTop w:val="0"/>
      <w:marBottom w:val="0"/>
      <w:divBdr>
        <w:top w:val="none" w:sz="0" w:space="0" w:color="auto"/>
        <w:left w:val="none" w:sz="0" w:space="0" w:color="auto"/>
        <w:bottom w:val="none" w:sz="0" w:space="0" w:color="auto"/>
        <w:right w:val="none" w:sz="0" w:space="0" w:color="auto"/>
      </w:divBdr>
    </w:div>
    <w:div w:id="147211469">
      <w:bodyDiv w:val="1"/>
      <w:marLeft w:val="0"/>
      <w:marRight w:val="0"/>
      <w:marTop w:val="0"/>
      <w:marBottom w:val="0"/>
      <w:divBdr>
        <w:top w:val="none" w:sz="0" w:space="0" w:color="auto"/>
        <w:left w:val="none" w:sz="0" w:space="0" w:color="auto"/>
        <w:bottom w:val="none" w:sz="0" w:space="0" w:color="auto"/>
        <w:right w:val="none" w:sz="0" w:space="0" w:color="auto"/>
      </w:divBdr>
    </w:div>
    <w:div w:id="189493768">
      <w:bodyDiv w:val="1"/>
      <w:marLeft w:val="0"/>
      <w:marRight w:val="0"/>
      <w:marTop w:val="0"/>
      <w:marBottom w:val="0"/>
      <w:divBdr>
        <w:top w:val="none" w:sz="0" w:space="0" w:color="auto"/>
        <w:left w:val="none" w:sz="0" w:space="0" w:color="auto"/>
        <w:bottom w:val="none" w:sz="0" w:space="0" w:color="auto"/>
        <w:right w:val="none" w:sz="0" w:space="0" w:color="auto"/>
      </w:divBdr>
    </w:div>
    <w:div w:id="196089810">
      <w:bodyDiv w:val="1"/>
      <w:marLeft w:val="0"/>
      <w:marRight w:val="0"/>
      <w:marTop w:val="0"/>
      <w:marBottom w:val="0"/>
      <w:divBdr>
        <w:top w:val="none" w:sz="0" w:space="0" w:color="auto"/>
        <w:left w:val="none" w:sz="0" w:space="0" w:color="auto"/>
        <w:bottom w:val="none" w:sz="0" w:space="0" w:color="auto"/>
        <w:right w:val="none" w:sz="0" w:space="0" w:color="auto"/>
      </w:divBdr>
    </w:div>
    <w:div w:id="375273484">
      <w:bodyDiv w:val="1"/>
      <w:marLeft w:val="0"/>
      <w:marRight w:val="0"/>
      <w:marTop w:val="0"/>
      <w:marBottom w:val="0"/>
      <w:divBdr>
        <w:top w:val="none" w:sz="0" w:space="0" w:color="auto"/>
        <w:left w:val="none" w:sz="0" w:space="0" w:color="auto"/>
        <w:bottom w:val="none" w:sz="0" w:space="0" w:color="auto"/>
        <w:right w:val="none" w:sz="0" w:space="0" w:color="auto"/>
      </w:divBdr>
    </w:div>
    <w:div w:id="395513893">
      <w:bodyDiv w:val="1"/>
      <w:marLeft w:val="0"/>
      <w:marRight w:val="0"/>
      <w:marTop w:val="0"/>
      <w:marBottom w:val="0"/>
      <w:divBdr>
        <w:top w:val="none" w:sz="0" w:space="0" w:color="auto"/>
        <w:left w:val="none" w:sz="0" w:space="0" w:color="auto"/>
        <w:bottom w:val="none" w:sz="0" w:space="0" w:color="auto"/>
        <w:right w:val="none" w:sz="0" w:space="0" w:color="auto"/>
      </w:divBdr>
    </w:div>
    <w:div w:id="400375749">
      <w:bodyDiv w:val="1"/>
      <w:marLeft w:val="0"/>
      <w:marRight w:val="0"/>
      <w:marTop w:val="0"/>
      <w:marBottom w:val="0"/>
      <w:divBdr>
        <w:top w:val="none" w:sz="0" w:space="0" w:color="auto"/>
        <w:left w:val="none" w:sz="0" w:space="0" w:color="auto"/>
        <w:bottom w:val="none" w:sz="0" w:space="0" w:color="auto"/>
        <w:right w:val="none" w:sz="0" w:space="0" w:color="auto"/>
      </w:divBdr>
    </w:div>
    <w:div w:id="425462828">
      <w:bodyDiv w:val="1"/>
      <w:marLeft w:val="0"/>
      <w:marRight w:val="0"/>
      <w:marTop w:val="0"/>
      <w:marBottom w:val="0"/>
      <w:divBdr>
        <w:top w:val="none" w:sz="0" w:space="0" w:color="auto"/>
        <w:left w:val="none" w:sz="0" w:space="0" w:color="auto"/>
        <w:bottom w:val="none" w:sz="0" w:space="0" w:color="auto"/>
        <w:right w:val="none" w:sz="0" w:space="0" w:color="auto"/>
      </w:divBdr>
    </w:div>
    <w:div w:id="554390715">
      <w:bodyDiv w:val="1"/>
      <w:marLeft w:val="0"/>
      <w:marRight w:val="0"/>
      <w:marTop w:val="0"/>
      <w:marBottom w:val="0"/>
      <w:divBdr>
        <w:top w:val="none" w:sz="0" w:space="0" w:color="auto"/>
        <w:left w:val="none" w:sz="0" w:space="0" w:color="auto"/>
        <w:bottom w:val="none" w:sz="0" w:space="0" w:color="auto"/>
        <w:right w:val="none" w:sz="0" w:space="0" w:color="auto"/>
      </w:divBdr>
    </w:div>
    <w:div w:id="653071618">
      <w:bodyDiv w:val="1"/>
      <w:marLeft w:val="0"/>
      <w:marRight w:val="0"/>
      <w:marTop w:val="0"/>
      <w:marBottom w:val="0"/>
      <w:divBdr>
        <w:top w:val="none" w:sz="0" w:space="0" w:color="auto"/>
        <w:left w:val="none" w:sz="0" w:space="0" w:color="auto"/>
        <w:bottom w:val="none" w:sz="0" w:space="0" w:color="auto"/>
        <w:right w:val="none" w:sz="0" w:space="0" w:color="auto"/>
      </w:divBdr>
    </w:div>
    <w:div w:id="810637182">
      <w:bodyDiv w:val="1"/>
      <w:marLeft w:val="0"/>
      <w:marRight w:val="0"/>
      <w:marTop w:val="0"/>
      <w:marBottom w:val="0"/>
      <w:divBdr>
        <w:top w:val="none" w:sz="0" w:space="0" w:color="auto"/>
        <w:left w:val="none" w:sz="0" w:space="0" w:color="auto"/>
        <w:bottom w:val="none" w:sz="0" w:space="0" w:color="auto"/>
        <w:right w:val="none" w:sz="0" w:space="0" w:color="auto"/>
      </w:divBdr>
    </w:div>
    <w:div w:id="812985984">
      <w:bodyDiv w:val="1"/>
      <w:marLeft w:val="0"/>
      <w:marRight w:val="0"/>
      <w:marTop w:val="0"/>
      <w:marBottom w:val="0"/>
      <w:divBdr>
        <w:top w:val="none" w:sz="0" w:space="0" w:color="auto"/>
        <w:left w:val="none" w:sz="0" w:space="0" w:color="auto"/>
        <w:bottom w:val="none" w:sz="0" w:space="0" w:color="auto"/>
        <w:right w:val="none" w:sz="0" w:space="0" w:color="auto"/>
      </w:divBdr>
    </w:div>
    <w:div w:id="815689007">
      <w:bodyDiv w:val="1"/>
      <w:marLeft w:val="0"/>
      <w:marRight w:val="0"/>
      <w:marTop w:val="0"/>
      <w:marBottom w:val="0"/>
      <w:divBdr>
        <w:top w:val="none" w:sz="0" w:space="0" w:color="auto"/>
        <w:left w:val="none" w:sz="0" w:space="0" w:color="auto"/>
        <w:bottom w:val="none" w:sz="0" w:space="0" w:color="auto"/>
        <w:right w:val="none" w:sz="0" w:space="0" w:color="auto"/>
      </w:divBdr>
    </w:div>
    <w:div w:id="819658929">
      <w:bodyDiv w:val="1"/>
      <w:marLeft w:val="0"/>
      <w:marRight w:val="0"/>
      <w:marTop w:val="0"/>
      <w:marBottom w:val="0"/>
      <w:divBdr>
        <w:top w:val="none" w:sz="0" w:space="0" w:color="auto"/>
        <w:left w:val="none" w:sz="0" w:space="0" w:color="auto"/>
        <w:bottom w:val="none" w:sz="0" w:space="0" w:color="auto"/>
        <w:right w:val="none" w:sz="0" w:space="0" w:color="auto"/>
      </w:divBdr>
    </w:div>
    <w:div w:id="849300456">
      <w:bodyDiv w:val="1"/>
      <w:marLeft w:val="0"/>
      <w:marRight w:val="0"/>
      <w:marTop w:val="0"/>
      <w:marBottom w:val="0"/>
      <w:divBdr>
        <w:top w:val="none" w:sz="0" w:space="0" w:color="auto"/>
        <w:left w:val="none" w:sz="0" w:space="0" w:color="auto"/>
        <w:bottom w:val="none" w:sz="0" w:space="0" w:color="auto"/>
        <w:right w:val="none" w:sz="0" w:space="0" w:color="auto"/>
      </w:divBdr>
    </w:div>
    <w:div w:id="886449979">
      <w:bodyDiv w:val="1"/>
      <w:marLeft w:val="0"/>
      <w:marRight w:val="0"/>
      <w:marTop w:val="0"/>
      <w:marBottom w:val="0"/>
      <w:divBdr>
        <w:top w:val="none" w:sz="0" w:space="0" w:color="auto"/>
        <w:left w:val="none" w:sz="0" w:space="0" w:color="auto"/>
        <w:bottom w:val="none" w:sz="0" w:space="0" w:color="auto"/>
        <w:right w:val="none" w:sz="0" w:space="0" w:color="auto"/>
      </w:divBdr>
    </w:div>
    <w:div w:id="1036589401">
      <w:bodyDiv w:val="1"/>
      <w:marLeft w:val="0"/>
      <w:marRight w:val="0"/>
      <w:marTop w:val="0"/>
      <w:marBottom w:val="0"/>
      <w:divBdr>
        <w:top w:val="none" w:sz="0" w:space="0" w:color="auto"/>
        <w:left w:val="none" w:sz="0" w:space="0" w:color="auto"/>
        <w:bottom w:val="none" w:sz="0" w:space="0" w:color="auto"/>
        <w:right w:val="none" w:sz="0" w:space="0" w:color="auto"/>
      </w:divBdr>
    </w:div>
    <w:div w:id="1046955580">
      <w:bodyDiv w:val="1"/>
      <w:marLeft w:val="0"/>
      <w:marRight w:val="0"/>
      <w:marTop w:val="0"/>
      <w:marBottom w:val="0"/>
      <w:divBdr>
        <w:top w:val="none" w:sz="0" w:space="0" w:color="auto"/>
        <w:left w:val="none" w:sz="0" w:space="0" w:color="auto"/>
        <w:bottom w:val="none" w:sz="0" w:space="0" w:color="auto"/>
        <w:right w:val="none" w:sz="0" w:space="0" w:color="auto"/>
      </w:divBdr>
    </w:div>
    <w:div w:id="1067529820">
      <w:bodyDiv w:val="1"/>
      <w:marLeft w:val="0"/>
      <w:marRight w:val="0"/>
      <w:marTop w:val="0"/>
      <w:marBottom w:val="0"/>
      <w:divBdr>
        <w:top w:val="none" w:sz="0" w:space="0" w:color="auto"/>
        <w:left w:val="none" w:sz="0" w:space="0" w:color="auto"/>
        <w:bottom w:val="none" w:sz="0" w:space="0" w:color="auto"/>
        <w:right w:val="none" w:sz="0" w:space="0" w:color="auto"/>
      </w:divBdr>
    </w:div>
    <w:div w:id="1093236614">
      <w:bodyDiv w:val="1"/>
      <w:marLeft w:val="0"/>
      <w:marRight w:val="0"/>
      <w:marTop w:val="0"/>
      <w:marBottom w:val="0"/>
      <w:divBdr>
        <w:top w:val="none" w:sz="0" w:space="0" w:color="auto"/>
        <w:left w:val="none" w:sz="0" w:space="0" w:color="auto"/>
        <w:bottom w:val="none" w:sz="0" w:space="0" w:color="auto"/>
        <w:right w:val="none" w:sz="0" w:space="0" w:color="auto"/>
      </w:divBdr>
    </w:div>
    <w:div w:id="1222641317">
      <w:bodyDiv w:val="1"/>
      <w:marLeft w:val="0"/>
      <w:marRight w:val="0"/>
      <w:marTop w:val="0"/>
      <w:marBottom w:val="0"/>
      <w:divBdr>
        <w:top w:val="none" w:sz="0" w:space="0" w:color="auto"/>
        <w:left w:val="none" w:sz="0" w:space="0" w:color="auto"/>
        <w:bottom w:val="none" w:sz="0" w:space="0" w:color="auto"/>
        <w:right w:val="none" w:sz="0" w:space="0" w:color="auto"/>
      </w:divBdr>
    </w:div>
    <w:div w:id="1257179778">
      <w:bodyDiv w:val="1"/>
      <w:marLeft w:val="0"/>
      <w:marRight w:val="0"/>
      <w:marTop w:val="0"/>
      <w:marBottom w:val="0"/>
      <w:divBdr>
        <w:top w:val="none" w:sz="0" w:space="0" w:color="auto"/>
        <w:left w:val="none" w:sz="0" w:space="0" w:color="auto"/>
        <w:bottom w:val="none" w:sz="0" w:space="0" w:color="auto"/>
        <w:right w:val="none" w:sz="0" w:space="0" w:color="auto"/>
      </w:divBdr>
    </w:div>
    <w:div w:id="1330870632">
      <w:bodyDiv w:val="1"/>
      <w:marLeft w:val="0"/>
      <w:marRight w:val="0"/>
      <w:marTop w:val="0"/>
      <w:marBottom w:val="0"/>
      <w:divBdr>
        <w:top w:val="none" w:sz="0" w:space="0" w:color="auto"/>
        <w:left w:val="none" w:sz="0" w:space="0" w:color="auto"/>
        <w:bottom w:val="none" w:sz="0" w:space="0" w:color="auto"/>
        <w:right w:val="none" w:sz="0" w:space="0" w:color="auto"/>
      </w:divBdr>
    </w:div>
    <w:div w:id="1430472114">
      <w:bodyDiv w:val="1"/>
      <w:marLeft w:val="0"/>
      <w:marRight w:val="0"/>
      <w:marTop w:val="0"/>
      <w:marBottom w:val="0"/>
      <w:divBdr>
        <w:top w:val="none" w:sz="0" w:space="0" w:color="auto"/>
        <w:left w:val="none" w:sz="0" w:space="0" w:color="auto"/>
        <w:bottom w:val="none" w:sz="0" w:space="0" w:color="auto"/>
        <w:right w:val="none" w:sz="0" w:space="0" w:color="auto"/>
      </w:divBdr>
    </w:div>
    <w:div w:id="1496605633">
      <w:bodyDiv w:val="1"/>
      <w:marLeft w:val="0"/>
      <w:marRight w:val="0"/>
      <w:marTop w:val="0"/>
      <w:marBottom w:val="0"/>
      <w:divBdr>
        <w:top w:val="none" w:sz="0" w:space="0" w:color="auto"/>
        <w:left w:val="none" w:sz="0" w:space="0" w:color="auto"/>
        <w:bottom w:val="none" w:sz="0" w:space="0" w:color="auto"/>
        <w:right w:val="none" w:sz="0" w:space="0" w:color="auto"/>
      </w:divBdr>
    </w:div>
    <w:div w:id="1663462496">
      <w:bodyDiv w:val="1"/>
      <w:marLeft w:val="0"/>
      <w:marRight w:val="0"/>
      <w:marTop w:val="0"/>
      <w:marBottom w:val="0"/>
      <w:divBdr>
        <w:top w:val="none" w:sz="0" w:space="0" w:color="auto"/>
        <w:left w:val="none" w:sz="0" w:space="0" w:color="auto"/>
        <w:bottom w:val="none" w:sz="0" w:space="0" w:color="auto"/>
        <w:right w:val="none" w:sz="0" w:space="0" w:color="auto"/>
      </w:divBdr>
    </w:div>
    <w:div w:id="168554836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6795518">
      <w:bodyDiv w:val="1"/>
      <w:marLeft w:val="0"/>
      <w:marRight w:val="0"/>
      <w:marTop w:val="0"/>
      <w:marBottom w:val="0"/>
      <w:divBdr>
        <w:top w:val="none" w:sz="0" w:space="0" w:color="auto"/>
        <w:left w:val="none" w:sz="0" w:space="0" w:color="auto"/>
        <w:bottom w:val="none" w:sz="0" w:space="0" w:color="auto"/>
        <w:right w:val="none" w:sz="0" w:space="0" w:color="auto"/>
      </w:divBdr>
    </w:div>
    <w:div w:id="1900744317">
      <w:bodyDiv w:val="1"/>
      <w:marLeft w:val="0"/>
      <w:marRight w:val="0"/>
      <w:marTop w:val="0"/>
      <w:marBottom w:val="0"/>
      <w:divBdr>
        <w:top w:val="none" w:sz="0" w:space="0" w:color="auto"/>
        <w:left w:val="none" w:sz="0" w:space="0" w:color="auto"/>
        <w:bottom w:val="none" w:sz="0" w:space="0" w:color="auto"/>
        <w:right w:val="none" w:sz="0" w:space="0" w:color="auto"/>
      </w:divBdr>
    </w:div>
    <w:div w:id="1920746598">
      <w:bodyDiv w:val="1"/>
      <w:marLeft w:val="0"/>
      <w:marRight w:val="0"/>
      <w:marTop w:val="0"/>
      <w:marBottom w:val="0"/>
      <w:divBdr>
        <w:top w:val="none" w:sz="0" w:space="0" w:color="auto"/>
        <w:left w:val="none" w:sz="0" w:space="0" w:color="auto"/>
        <w:bottom w:val="none" w:sz="0" w:space="0" w:color="auto"/>
        <w:right w:val="none" w:sz="0" w:space="0" w:color="auto"/>
      </w:divBdr>
    </w:div>
    <w:div w:id="1984771306">
      <w:bodyDiv w:val="1"/>
      <w:marLeft w:val="0"/>
      <w:marRight w:val="0"/>
      <w:marTop w:val="0"/>
      <w:marBottom w:val="0"/>
      <w:divBdr>
        <w:top w:val="none" w:sz="0" w:space="0" w:color="auto"/>
        <w:left w:val="none" w:sz="0" w:space="0" w:color="auto"/>
        <w:bottom w:val="none" w:sz="0" w:space="0" w:color="auto"/>
        <w:right w:val="none" w:sz="0" w:space="0" w:color="auto"/>
      </w:divBdr>
    </w:div>
    <w:div w:id="1987079907">
      <w:bodyDiv w:val="1"/>
      <w:marLeft w:val="0"/>
      <w:marRight w:val="0"/>
      <w:marTop w:val="0"/>
      <w:marBottom w:val="0"/>
      <w:divBdr>
        <w:top w:val="none" w:sz="0" w:space="0" w:color="auto"/>
        <w:left w:val="none" w:sz="0" w:space="0" w:color="auto"/>
        <w:bottom w:val="none" w:sz="0" w:space="0" w:color="auto"/>
        <w:right w:val="none" w:sz="0" w:space="0" w:color="auto"/>
      </w:divBdr>
    </w:div>
    <w:div w:id="1996175945">
      <w:bodyDiv w:val="1"/>
      <w:marLeft w:val="0"/>
      <w:marRight w:val="0"/>
      <w:marTop w:val="0"/>
      <w:marBottom w:val="0"/>
      <w:divBdr>
        <w:top w:val="none" w:sz="0" w:space="0" w:color="auto"/>
        <w:left w:val="none" w:sz="0" w:space="0" w:color="auto"/>
        <w:bottom w:val="none" w:sz="0" w:space="0" w:color="auto"/>
        <w:right w:val="none" w:sz="0" w:space="0" w:color="auto"/>
      </w:divBdr>
    </w:div>
    <w:div w:id="2018077267">
      <w:bodyDiv w:val="1"/>
      <w:marLeft w:val="0"/>
      <w:marRight w:val="0"/>
      <w:marTop w:val="0"/>
      <w:marBottom w:val="0"/>
      <w:divBdr>
        <w:top w:val="none" w:sz="0" w:space="0" w:color="auto"/>
        <w:left w:val="none" w:sz="0" w:space="0" w:color="auto"/>
        <w:bottom w:val="none" w:sz="0" w:space="0" w:color="auto"/>
        <w:right w:val="none" w:sz="0" w:space="0" w:color="auto"/>
      </w:divBdr>
    </w:div>
    <w:div w:id="2039694580">
      <w:bodyDiv w:val="1"/>
      <w:marLeft w:val="0"/>
      <w:marRight w:val="0"/>
      <w:marTop w:val="0"/>
      <w:marBottom w:val="0"/>
      <w:divBdr>
        <w:top w:val="none" w:sz="0" w:space="0" w:color="auto"/>
        <w:left w:val="none" w:sz="0" w:space="0" w:color="auto"/>
        <w:bottom w:val="none" w:sz="0" w:space="0" w:color="auto"/>
        <w:right w:val="none" w:sz="0" w:space="0" w:color="auto"/>
      </w:divBdr>
    </w:div>
    <w:div w:id="2069448837">
      <w:bodyDiv w:val="1"/>
      <w:marLeft w:val="0"/>
      <w:marRight w:val="0"/>
      <w:marTop w:val="0"/>
      <w:marBottom w:val="0"/>
      <w:divBdr>
        <w:top w:val="none" w:sz="0" w:space="0" w:color="auto"/>
        <w:left w:val="none" w:sz="0" w:space="0" w:color="auto"/>
        <w:bottom w:val="none" w:sz="0" w:space="0" w:color="auto"/>
        <w:right w:val="none" w:sz="0" w:space="0" w:color="auto"/>
      </w:divBdr>
    </w:div>
    <w:div w:id="20995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7.xml"/><Relationship Id="rId39" Type="http://schemas.openxmlformats.org/officeDocument/2006/relationships/image" Target="media/image9.png"/><Relationship Id="rId21" Type="http://schemas.openxmlformats.org/officeDocument/2006/relationships/footer" Target="footer4.xml"/><Relationship Id="rId34" Type="http://schemas.openxmlformats.org/officeDocument/2006/relationships/hyperlink" Target="http://vcrdata.cancervic.org.au" TargetMode="External"/><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image" Target="media/image8.pn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health.vic.gov.au/cancer" TargetMode="External"/><Relationship Id="rId20" Type="http://schemas.openxmlformats.org/officeDocument/2006/relationships/header" Target="header5.xml"/><Relationship Id="rId29" Type="http://schemas.openxmlformats.org/officeDocument/2006/relationships/hyperlink" Target="https://www.nemics.org.au/index.php/Improving_cancer_care/summits/headneck/?action=getPageFromName&amp;page=Improving_cancer_care/summits/headneck/" TargetMode="External"/><Relationship Id="rId41" Type="http://schemas.openxmlformats.org/officeDocument/2006/relationships/image" Target="media/image11.png"/><Relationship Id="rId54"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vcrdata.cancervic.org.au"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hyperlink" Target="mailto:cancerplanning@dhhs.vic.gov.au"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image" Target="media/image6.png"/><Relationship Id="rId49" Type="http://schemas.openxmlformats.org/officeDocument/2006/relationships/image" Target="media/image19.png"/><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cancer.org.au/OCP" TargetMode="External"/><Relationship Id="rId44" Type="http://schemas.openxmlformats.org/officeDocument/2006/relationships/image" Target="media/image14.png"/><Relationship Id="rId52"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s://www.nemics.org.au/index.php/Improving_cancer_care/summits/headneck/?action=getPageFromName&amp;page=Improving_cancer_care/summits/headneck"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petermac.org/research/clinical-research-trials/clinical-research/cancer-allied-research/nutrition-research-0" TargetMode="External"/><Relationship Id="rId1" Type="http://schemas.openxmlformats.org/officeDocument/2006/relationships/hyperlink" Target="https://www.petermac.org/research/clinical-research-trials/clinical-research/cancer-allied-research/nutrition-researc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A3C5-D2AB-47D1-8CF8-4E23C564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9603</Words>
  <Characters>54741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Head and neck cancer in Victoria: optimal care pathway data summary report 2018</vt:lpstr>
    </vt:vector>
  </TitlesOfParts>
  <Company>Department of Health and Human Services</Company>
  <LinksUpToDate>false</LinksUpToDate>
  <CharactersWithSpaces>64216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and neck cancer in Victoria: optimal care pathway data summary report 2018</dc:title>
  <dc:subject>Head and neck cancer in Victoria: optimal care pathway data summary report 2018</dc:subject>
  <dc:creator>Health and Wellbeing Division</dc:creator>
  <cp:keywords>head and neck cancer, Victoria, optimal care pathway,</cp:keywords>
  <cp:lastModifiedBy>Alice York (Health)</cp:lastModifiedBy>
  <cp:revision>2</cp:revision>
  <cp:lastPrinted>2019-05-29T00:44:00Z</cp:lastPrinted>
  <dcterms:created xsi:type="dcterms:W3CDTF">2021-03-09T04:45:00Z</dcterms:created>
  <dcterms:modified xsi:type="dcterms:W3CDTF">2021-03-09T04:45:00Z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2021-03-09T04:41:16Z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de1865ec-7517-4a08-9b6c-a9cb71105fe7</vt:lpwstr>
  </property>
  <property fmtid="{D5CDD505-2E9C-101B-9397-08002B2CF9AE}" pid="9" name="MSIP_Label_efdf5488-3066-4b6c-8fea-9472b8a1f34c_ContentBits">
    <vt:lpwstr>0</vt:lpwstr>
  </property>
</Properties>
</file>