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5F6937">
        <w:tc>
          <w:tcPr>
            <w:tcW w:w="11910" w:type="dxa"/>
          </w:tcPr>
          <w:p w:rsidR="008205FB" w:rsidRPr="00022B1B" w:rsidRDefault="004B4E12" w:rsidP="00277B76">
            <w:pPr>
              <w:pStyle w:val="Bannertablecell"/>
            </w:pPr>
            <w:r>
              <w:rPr>
                <w:noProof/>
                <w:lang w:eastAsia="en-AU"/>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133350</wp:posOffset>
                      </wp:positionV>
                      <wp:extent cx="4319905" cy="138049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E12" w:rsidRPr="007511B0" w:rsidRDefault="004B4E12" w:rsidP="007511B0">
                                  <w:pPr>
                                    <w:pStyle w:val="Healthmainheading"/>
                                    <w:spacing w:before="240"/>
                                    <w:rPr>
                                      <w:sz w:val="40"/>
                                      <w:szCs w:val="40"/>
                                    </w:rPr>
                                  </w:pPr>
                                  <w:r w:rsidRPr="007511B0">
                                    <w:rPr>
                                      <w:sz w:val="40"/>
                                      <w:szCs w:val="40"/>
                                    </w:rPr>
                                    <w:t xml:space="preserve">Alcohol and </w:t>
                                  </w:r>
                                  <w:r w:rsidR="00247698">
                                    <w:rPr>
                                      <w:sz w:val="40"/>
                                      <w:szCs w:val="40"/>
                                    </w:rPr>
                                    <w:t>d</w:t>
                                  </w:r>
                                  <w:r w:rsidRPr="007511B0">
                                    <w:rPr>
                                      <w:sz w:val="40"/>
                                      <w:szCs w:val="40"/>
                                    </w:rPr>
                                    <w:t xml:space="preserve">rug </w:t>
                                  </w:r>
                                  <w:r w:rsidR="00247698">
                                    <w:rPr>
                                      <w:sz w:val="40"/>
                                      <w:szCs w:val="40"/>
                                    </w:rPr>
                                    <w:t>t</w:t>
                                  </w:r>
                                  <w:r w:rsidRPr="007511B0">
                                    <w:rPr>
                                      <w:sz w:val="40"/>
                                      <w:szCs w:val="40"/>
                                    </w:rPr>
                                    <w:t xml:space="preserve">reatment </w:t>
                                  </w:r>
                                  <w:r w:rsidR="00247698">
                                    <w:rPr>
                                      <w:sz w:val="40"/>
                                      <w:szCs w:val="40"/>
                                    </w:rPr>
                                    <w:t>s</w:t>
                                  </w:r>
                                  <w:r w:rsidRPr="007511B0">
                                    <w:rPr>
                                      <w:sz w:val="40"/>
                                      <w:szCs w:val="40"/>
                                    </w:rPr>
                                    <w:t>ervices</w:t>
                                  </w:r>
                                </w:p>
                                <w:p w:rsidR="004B4E12" w:rsidRPr="007511B0" w:rsidRDefault="004B4E12" w:rsidP="007511B0">
                                  <w:pPr>
                                    <w:pStyle w:val="Healthmainheading"/>
                                    <w:spacing w:before="240"/>
                                    <w:rPr>
                                      <w:sz w:val="40"/>
                                      <w:szCs w:val="40"/>
                                    </w:rPr>
                                  </w:pPr>
                                  <w:r w:rsidRPr="007511B0">
                                    <w:rPr>
                                      <w:sz w:val="40"/>
                                      <w:szCs w:val="40"/>
                                    </w:rPr>
                                    <w:t>Fact Sheet:  F</w:t>
                                  </w:r>
                                  <w:r w:rsidR="00BF3276" w:rsidRPr="007511B0">
                                    <w:rPr>
                                      <w:sz w:val="40"/>
                                      <w:szCs w:val="40"/>
                                    </w:rPr>
                                    <w:t xml:space="preserve">orensic </w:t>
                                  </w:r>
                                  <w:r w:rsidR="00247698">
                                    <w:rPr>
                                      <w:sz w:val="40"/>
                                      <w:szCs w:val="40"/>
                                    </w:rPr>
                                    <w:t>c</w:t>
                                  </w:r>
                                  <w:r w:rsidR="00BF3276" w:rsidRPr="007511B0">
                                    <w:rPr>
                                      <w:sz w:val="40"/>
                                      <w:szCs w:val="40"/>
                                    </w:rPr>
                                    <w:t>lients</w:t>
                                  </w:r>
                                </w:p>
                                <w:p w:rsidR="004B4E12" w:rsidRPr="007511B0" w:rsidRDefault="004B4E12" w:rsidP="007511B0">
                                  <w:pPr>
                                    <w:pStyle w:val="Healthmainheading"/>
                                    <w:spacing w:before="240"/>
                                    <w:rPr>
                                      <w:sz w:val="40"/>
                                      <w:szCs w:val="40"/>
                                    </w:rPr>
                                  </w:pPr>
                                  <w:r w:rsidRPr="007511B0">
                                    <w:rPr>
                                      <w:sz w:val="40"/>
                                      <w:szCs w:val="40"/>
                                    </w:rPr>
                                    <w:t>July 2014</w:t>
                                  </w:r>
                                </w:p>
                                <w:p w:rsidR="00880442" w:rsidRPr="007511B0" w:rsidRDefault="00880442" w:rsidP="007511B0">
                                  <w:pPr>
                                    <w:pStyle w:val="Healthmainheading"/>
                                    <w:spacing w:before="240"/>
                                    <w:rPr>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7pt;margin-top:10.5pt;width:340.15pt;height:10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kbsAIAAKo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" filled="f" stroked="f">
                      <v:textbox inset="0,0,0,0">
                        <w:txbxContent>
                          <w:p w:rsidR="004B4E12" w:rsidRPr="007511B0" w:rsidRDefault="004B4E12" w:rsidP="007511B0">
                            <w:pPr>
                              <w:pStyle w:val="Healthmainheading"/>
                              <w:spacing w:before="240"/>
                              <w:rPr>
                                <w:sz w:val="40"/>
                                <w:szCs w:val="40"/>
                              </w:rPr>
                            </w:pPr>
                            <w:r w:rsidRPr="007511B0">
                              <w:rPr>
                                <w:sz w:val="40"/>
                                <w:szCs w:val="40"/>
                              </w:rPr>
                              <w:t xml:space="preserve">Alcohol and </w:t>
                            </w:r>
                            <w:r w:rsidR="00247698">
                              <w:rPr>
                                <w:sz w:val="40"/>
                                <w:szCs w:val="40"/>
                              </w:rPr>
                              <w:t>d</w:t>
                            </w:r>
                            <w:r w:rsidRPr="007511B0">
                              <w:rPr>
                                <w:sz w:val="40"/>
                                <w:szCs w:val="40"/>
                              </w:rPr>
                              <w:t xml:space="preserve">rug </w:t>
                            </w:r>
                            <w:r w:rsidR="00247698">
                              <w:rPr>
                                <w:sz w:val="40"/>
                                <w:szCs w:val="40"/>
                              </w:rPr>
                              <w:t>t</w:t>
                            </w:r>
                            <w:r w:rsidRPr="007511B0">
                              <w:rPr>
                                <w:sz w:val="40"/>
                                <w:szCs w:val="40"/>
                              </w:rPr>
                              <w:t xml:space="preserve">reatment </w:t>
                            </w:r>
                            <w:r w:rsidR="00247698">
                              <w:rPr>
                                <w:sz w:val="40"/>
                                <w:szCs w:val="40"/>
                              </w:rPr>
                              <w:t>s</w:t>
                            </w:r>
                            <w:r w:rsidRPr="007511B0">
                              <w:rPr>
                                <w:sz w:val="40"/>
                                <w:szCs w:val="40"/>
                              </w:rPr>
                              <w:t>ervices</w:t>
                            </w:r>
                          </w:p>
                          <w:p w:rsidR="004B4E12" w:rsidRPr="007511B0" w:rsidRDefault="004B4E12" w:rsidP="007511B0">
                            <w:pPr>
                              <w:pStyle w:val="Healthmainheading"/>
                              <w:spacing w:before="240"/>
                              <w:rPr>
                                <w:sz w:val="40"/>
                                <w:szCs w:val="40"/>
                              </w:rPr>
                            </w:pPr>
                            <w:r w:rsidRPr="007511B0">
                              <w:rPr>
                                <w:sz w:val="40"/>
                                <w:szCs w:val="40"/>
                              </w:rPr>
                              <w:t>Fact Sheet:  F</w:t>
                            </w:r>
                            <w:r w:rsidR="00BF3276" w:rsidRPr="007511B0">
                              <w:rPr>
                                <w:sz w:val="40"/>
                                <w:szCs w:val="40"/>
                              </w:rPr>
                              <w:t xml:space="preserve">orensic </w:t>
                            </w:r>
                            <w:r w:rsidR="00247698">
                              <w:rPr>
                                <w:sz w:val="40"/>
                                <w:szCs w:val="40"/>
                              </w:rPr>
                              <w:t>c</w:t>
                            </w:r>
                            <w:r w:rsidR="00BF3276" w:rsidRPr="007511B0">
                              <w:rPr>
                                <w:sz w:val="40"/>
                                <w:szCs w:val="40"/>
                              </w:rPr>
                              <w:t>lients</w:t>
                            </w:r>
                          </w:p>
                          <w:p w:rsidR="004B4E12" w:rsidRPr="007511B0" w:rsidRDefault="004B4E12" w:rsidP="007511B0">
                            <w:pPr>
                              <w:pStyle w:val="Healthmainheading"/>
                              <w:spacing w:before="240"/>
                              <w:rPr>
                                <w:sz w:val="40"/>
                                <w:szCs w:val="40"/>
                              </w:rPr>
                            </w:pPr>
                            <w:r w:rsidRPr="007511B0">
                              <w:rPr>
                                <w:sz w:val="40"/>
                                <w:szCs w:val="40"/>
                              </w:rPr>
                              <w:t>July 2014</w:t>
                            </w:r>
                          </w:p>
                          <w:p w:rsidR="00880442" w:rsidRPr="007511B0" w:rsidRDefault="00880442" w:rsidP="007511B0">
                            <w:pPr>
                              <w:pStyle w:val="Healthmainheading"/>
                              <w:spacing w:before="240"/>
                              <w:rPr>
                                <w:sz w:val="40"/>
                                <w:szCs w:val="40"/>
                              </w:rPr>
                            </w:pPr>
                          </w:p>
                        </w:txbxContent>
                      </v:textbox>
                      <w10:wrap anchorx="page" anchory="page"/>
                    </v:shape>
                  </w:pict>
                </mc:Fallback>
              </mc:AlternateContent>
            </w:r>
            <w:r>
              <w:rPr>
                <w:noProof/>
                <w:szCs w:val="20"/>
                <w:lang w:eastAsia="en-AU"/>
              </w:rPr>
              <w:drawing>
                <wp:anchor distT="0" distB="0" distL="114300" distR="114300" simplePos="0" relativeHeight="251658752" behindDoc="0" locked="1" layoutInCell="1" allowOverlap="1">
                  <wp:simplePos x="0" y="0"/>
                  <wp:positionH relativeFrom="page">
                    <wp:posOffset>6320790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1782445</wp:posOffset>
                      </wp:positionV>
                      <wp:extent cx="4319905" cy="288290"/>
                      <wp:effectExtent l="0" t="127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E12" w:rsidRPr="0041787B" w:rsidRDefault="004B4E12" w:rsidP="004B4E12">
                                  <w:pPr>
                                    <w:pStyle w:val="Healthmainsubheading"/>
                                  </w:pPr>
                                  <w:r>
                                    <w:t xml:space="preserve">Information for </w:t>
                                  </w:r>
                                  <w:r w:rsidR="00247698">
                                    <w:t>s</w:t>
                                  </w:r>
                                  <w:r>
                                    <w:t xml:space="preserve">ervice </w:t>
                                  </w:r>
                                  <w:r w:rsidR="00247698">
                                    <w:t>p</w:t>
                                  </w:r>
                                  <w:r>
                                    <w:t>roviders</w:t>
                                  </w:r>
                                </w:p>
                                <w:p w:rsidR="00880442" w:rsidRPr="0041787B" w:rsidRDefault="00880442" w:rsidP="005F6937">
                                  <w:pPr>
                                    <w:pStyle w:val="Healthmainsub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7pt;margin-top:140.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n/sw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" filled="f" stroked="f">
                      <v:textbox inset="0,0,0,0">
                        <w:txbxContent>
                          <w:p w:rsidR="004B4E12" w:rsidRPr="0041787B" w:rsidRDefault="004B4E12" w:rsidP="004B4E12">
                            <w:pPr>
                              <w:pStyle w:val="Healthmainsubheading"/>
                            </w:pPr>
                            <w:r>
                              <w:t xml:space="preserve">Information for </w:t>
                            </w:r>
                            <w:r w:rsidR="00247698">
                              <w:t>s</w:t>
                            </w:r>
                            <w:r>
                              <w:t xml:space="preserve">ervice </w:t>
                            </w:r>
                            <w:r w:rsidR="00247698">
                              <w:t>p</w:t>
                            </w:r>
                            <w:r>
                              <w:t>roviders</w:t>
                            </w:r>
                          </w:p>
                          <w:p w:rsidR="00880442" w:rsidRPr="0041787B" w:rsidRDefault="00880442" w:rsidP="005F6937">
                            <w:pPr>
                              <w:pStyle w:val="Healthmainsubheading"/>
                            </w:pPr>
                          </w:p>
                        </w:txbxContent>
                      </v:textbox>
                      <w10:wrap anchorx="page" anchory="page"/>
                    </v:shape>
                  </w:pict>
                </mc:Fallback>
              </mc:AlternateContent>
            </w:r>
            <w:r>
              <w:rPr>
                <w:noProof/>
                <w:lang w:eastAsia="en-AU"/>
              </w:rPr>
              <w:drawing>
                <wp:inline distT="0" distB="0" distL="0" distR="0">
                  <wp:extent cx="7552690" cy="2078355"/>
                  <wp:effectExtent l="0" t="0" r="0" b="0"/>
                  <wp:docPr id="1" name="Picture 1" descr="Green range colou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range colour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2690" cy="2078355"/>
                          </a:xfrm>
                          <a:prstGeom prst="rect">
                            <a:avLst/>
                          </a:prstGeom>
                          <a:noFill/>
                          <a:ln>
                            <a:noFill/>
                          </a:ln>
                        </pic:spPr>
                      </pic:pic>
                    </a:graphicData>
                  </a:graphic>
                </wp:inline>
              </w:drawing>
            </w:r>
          </w:p>
        </w:tc>
      </w:tr>
    </w:tbl>
    <w:p w:rsidR="005F6937" w:rsidRDefault="005F6937" w:rsidP="002B5D2D">
      <w:pPr>
        <w:pStyle w:val="Healthbody"/>
      </w:pPr>
    </w:p>
    <w:p w:rsidR="005F6937" w:rsidRDefault="005F6937" w:rsidP="002B5D2D">
      <w:pPr>
        <w:pStyle w:val="Healthbody"/>
        <w:sectPr w:rsidR="005F6937" w:rsidSect="005F6937">
          <w:footerReference w:type="default" r:id="rId11"/>
          <w:type w:val="continuous"/>
          <w:pgSz w:w="11899" w:h="16838"/>
          <w:pgMar w:top="0" w:right="851" w:bottom="1418" w:left="1134" w:header="0" w:footer="567" w:gutter="0"/>
          <w:cols w:space="708"/>
        </w:sectPr>
      </w:pPr>
    </w:p>
    <w:p w:rsidR="005F6937" w:rsidRDefault="004B4E12" w:rsidP="00277B76">
      <w:pPr>
        <w:pStyle w:val="Heading1"/>
      </w:pPr>
      <w:r>
        <w:lastRenderedPageBreak/>
        <w:t>F</w:t>
      </w:r>
      <w:r w:rsidR="00BF3276">
        <w:t xml:space="preserve">orensic </w:t>
      </w:r>
      <w:r w:rsidR="00247698">
        <w:t>c</w:t>
      </w:r>
      <w:r w:rsidR="00BF3276">
        <w:t>lients</w:t>
      </w:r>
    </w:p>
    <w:p w:rsidR="00B04E90" w:rsidRPr="00247698" w:rsidRDefault="00B04E90" w:rsidP="00BF3276">
      <w:pPr>
        <w:spacing w:after="120" w:line="270" w:lineRule="atLeast"/>
        <w:ind w:left="0" w:firstLine="0"/>
        <w:rPr>
          <w:b/>
          <w:sz w:val="24"/>
          <w:szCs w:val="24"/>
        </w:rPr>
      </w:pPr>
      <w:r w:rsidRPr="00247698">
        <w:rPr>
          <w:b/>
          <w:sz w:val="24"/>
          <w:szCs w:val="24"/>
        </w:rPr>
        <w:t xml:space="preserve">This fact sheet provides information on the ongoing provision of </w:t>
      </w:r>
      <w:r w:rsidR="00247698" w:rsidRPr="00247698">
        <w:rPr>
          <w:b/>
          <w:sz w:val="24"/>
          <w:szCs w:val="24"/>
        </w:rPr>
        <w:t xml:space="preserve">alcohol </w:t>
      </w:r>
      <w:r w:rsidRPr="00247698">
        <w:rPr>
          <w:b/>
          <w:sz w:val="24"/>
          <w:szCs w:val="24"/>
        </w:rPr>
        <w:t xml:space="preserve">and </w:t>
      </w:r>
      <w:r w:rsidR="00247698" w:rsidRPr="00247698">
        <w:rPr>
          <w:b/>
          <w:sz w:val="24"/>
          <w:szCs w:val="24"/>
        </w:rPr>
        <w:t>d</w:t>
      </w:r>
      <w:r w:rsidRPr="00247698">
        <w:rPr>
          <w:b/>
          <w:sz w:val="24"/>
          <w:szCs w:val="24"/>
        </w:rPr>
        <w:t xml:space="preserve">rug (AOD) treatment services </w:t>
      </w:r>
      <w:r w:rsidR="00132261" w:rsidRPr="00247698">
        <w:rPr>
          <w:b/>
          <w:sz w:val="24"/>
          <w:szCs w:val="24"/>
        </w:rPr>
        <w:t xml:space="preserve">to </w:t>
      </w:r>
      <w:r w:rsidRPr="00247698">
        <w:rPr>
          <w:b/>
          <w:sz w:val="24"/>
          <w:szCs w:val="24"/>
        </w:rPr>
        <w:t>forensic clients from 1 September 2014.</w:t>
      </w:r>
    </w:p>
    <w:p w:rsidR="00B04E90" w:rsidRPr="00247698" w:rsidRDefault="00B04E90" w:rsidP="00BF3276">
      <w:pPr>
        <w:spacing w:after="120" w:line="270" w:lineRule="atLeast"/>
        <w:ind w:left="0" w:firstLine="0"/>
        <w:rPr>
          <w:b/>
          <w:sz w:val="24"/>
          <w:szCs w:val="24"/>
        </w:rPr>
      </w:pPr>
    </w:p>
    <w:p w:rsidR="00B04E90" w:rsidRPr="007511B0" w:rsidRDefault="00B04E90" w:rsidP="00BF3276">
      <w:pPr>
        <w:spacing w:after="120" w:line="270" w:lineRule="atLeast"/>
        <w:ind w:left="0" w:firstLine="0"/>
        <w:rPr>
          <w:sz w:val="24"/>
          <w:szCs w:val="24"/>
        </w:rPr>
      </w:pPr>
      <w:r w:rsidRPr="007511B0">
        <w:rPr>
          <w:sz w:val="24"/>
          <w:szCs w:val="24"/>
        </w:rPr>
        <w:t xml:space="preserve">Please note the arrangements for all </w:t>
      </w:r>
      <w:r w:rsidR="00247698" w:rsidRPr="007511B0">
        <w:rPr>
          <w:sz w:val="24"/>
          <w:szCs w:val="24"/>
        </w:rPr>
        <w:t xml:space="preserve">stage </w:t>
      </w:r>
      <w:r w:rsidRPr="007511B0">
        <w:rPr>
          <w:sz w:val="24"/>
          <w:szCs w:val="24"/>
        </w:rPr>
        <w:t xml:space="preserve">2 and out of scope services provided for forensic clients remain unchanged at this time. </w:t>
      </w:r>
    </w:p>
    <w:p w:rsidR="00B04E90" w:rsidRPr="00247698" w:rsidRDefault="00B04E90" w:rsidP="00BF3276">
      <w:pPr>
        <w:spacing w:after="120" w:line="270" w:lineRule="atLeast"/>
        <w:ind w:left="0" w:firstLine="0"/>
        <w:rPr>
          <w:sz w:val="24"/>
          <w:szCs w:val="24"/>
        </w:rPr>
      </w:pPr>
    </w:p>
    <w:p w:rsidR="00B04E90" w:rsidRDefault="00B04E90" w:rsidP="007511B0">
      <w:pPr>
        <w:pStyle w:val="Heading3"/>
      </w:pPr>
      <w:r w:rsidRPr="000A6112">
        <w:t>Community Offender Advice and Trea</w:t>
      </w:r>
      <w:r>
        <w:t>tment Service (</w:t>
      </w:r>
      <w:r w:rsidRPr="000A6112">
        <w:t>COATS)</w:t>
      </w:r>
      <w:r>
        <w:t xml:space="preserve"> program </w:t>
      </w:r>
    </w:p>
    <w:p w:rsidR="00B04E90" w:rsidRPr="007511B0" w:rsidRDefault="00B04E90" w:rsidP="00132261">
      <w:pPr>
        <w:spacing w:after="120" w:line="270" w:lineRule="atLeast"/>
        <w:ind w:left="0" w:firstLine="0"/>
        <w:rPr>
          <w:sz w:val="24"/>
          <w:szCs w:val="24"/>
          <w:lang w:val="en-AU"/>
        </w:rPr>
      </w:pPr>
      <w:r w:rsidRPr="007511B0">
        <w:rPr>
          <w:sz w:val="24"/>
          <w:szCs w:val="24"/>
        </w:rPr>
        <w:t>The Australian Community Support Organisation (ACSO) will continue to deliver specialist drug and alcohol screening, assessment, treatment planning and brokerage of AOD treatment for clients referred from the criminal justice system under the</w:t>
      </w:r>
      <w:r w:rsidR="00132261" w:rsidRPr="007511B0">
        <w:rPr>
          <w:sz w:val="24"/>
          <w:szCs w:val="24"/>
        </w:rPr>
        <w:t xml:space="preserve"> </w:t>
      </w:r>
      <w:r w:rsidR="00132261" w:rsidRPr="007511B0">
        <w:rPr>
          <w:sz w:val="24"/>
          <w:szCs w:val="24"/>
          <w:lang w:val="en-AU"/>
        </w:rPr>
        <w:t>Community Offenders Advice and Treatment Service</w:t>
      </w:r>
      <w:r w:rsidRPr="007511B0">
        <w:rPr>
          <w:sz w:val="24"/>
          <w:szCs w:val="24"/>
        </w:rPr>
        <w:t xml:space="preserve"> </w:t>
      </w:r>
      <w:r w:rsidR="00132261" w:rsidRPr="007511B0">
        <w:rPr>
          <w:sz w:val="24"/>
          <w:szCs w:val="24"/>
        </w:rPr>
        <w:t>(</w:t>
      </w:r>
      <w:r w:rsidRPr="007511B0">
        <w:rPr>
          <w:sz w:val="24"/>
          <w:szCs w:val="24"/>
        </w:rPr>
        <w:t>COATS</w:t>
      </w:r>
      <w:r w:rsidR="00132261" w:rsidRPr="007511B0">
        <w:rPr>
          <w:sz w:val="24"/>
          <w:szCs w:val="24"/>
        </w:rPr>
        <w:t>)</w:t>
      </w:r>
      <w:r w:rsidRPr="007511B0">
        <w:rPr>
          <w:sz w:val="24"/>
          <w:szCs w:val="24"/>
        </w:rPr>
        <w:t xml:space="preserve"> program.</w:t>
      </w:r>
    </w:p>
    <w:p w:rsidR="00B04E90" w:rsidRDefault="00B04E90" w:rsidP="00BF3276">
      <w:pPr>
        <w:spacing w:after="120" w:line="270" w:lineRule="atLeast"/>
        <w:ind w:left="0" w:firstLine="0"/>
        <w:rPr>
          <w:sz w:val="24"/>
          <w:szCs w:val="24"/>
        </w:rPr>
      </w:pPr>
      <w:r w:rsidRPr="007511B0">
        <w:rPr>
          <w:sz w:val="24"/>
          <w:szCs w:val="24"/>
        </w:rPr>
        <w:t>ACSO will also continue to be responsible for the reconciliation of forensic funding and targets.</w:t>
      </w:r>
    </w:p>
    <w:p w:rsidR="00874A3A" w:rsidRPr="007511B0" w:rsidRDefault="00874A3A" w:rsidP="00BF3276">
      <w:pPr>
        <w:spacing w:after="120" w:line="270" w:lineRule="atLeast"/>
        <w:ind w:left="0" w:firstLine="0"/>
        <w:rPr>
          <w:sz w:val="24"/>
          <w:szCs w:val="24"/>
        </w:rPr>
      </w:pPr>
    </w:p>
    <w:p w:rsidR="00B04E90" w:rsidRPr="0002777A" w:rsidRDefault="00B04E90" w:rsidP="007511B0">
      <w:pPr>
        <w:pStyle w:val="Heading3"/>
      </w:pPr>
      <w:r w:rsidRPr="0002777A">
        <w:t>Intake and Assessment</w:t>
      </w:r>
    </w:p>
    <w:p w:rsidR="00B04E90" w:rsidRPr="007511B0" w:rsidRDefault="00B04E90" w:rsidP="00BF3276">
      <w:pPr>
        <w:spacing w:after="120" w:line="270" w:lineRule="atLeast"/>
        <w:ind w:left="0" w:firstLine="0"/>
        <w:rPr>
          <w:sz w:val="24"/>
          <w:szCs w:val="24"/>
        </w:rPr>
      </w:pPr>
      <w:r w:rsidRPr="007511B0">
        <w:rPr>
          <w:sz w:val="24"/>
          <w:szCs w:val="24"/>
        </w:rPr>
        <w:t>ACSO</w:t>
      </w:r>
      <w:r w:rsidR="001078B2" w:rsidRPr="007511B0">
        <w:rPr>
          <w:sz w:val="24"/>
          <w:szCs w:val="24"/>
        </w:rPr>
        <w:t xml:space="preserve"> COATS</w:t>
      </w:r>
      <w:r w:rsidRPr="007511B0">
        <w:rPr>
          <w:sz w:val="24"/>
          <w:szCs w:val="24"/>
        </w:rPr>
        <w:t xml:space="preserve"> will continue to undertake the majority of forensic intake and assessment services for forensic clients, in particular clients referred through Community Corrections, Courts and the Adult Parole Board. Assessments are undertaken within 2</w:t>
      </w:r>
      <w:r w:rsidR="00247698" w:rsidRPr="007511B0">
        <w:rPr>
          <w:sz w:val="24"/>
          <w:szCs w:val="24"/>
        </w:rPr>
        <w:t>–</w:t>
      </w:r>
      <w:r w:rsidRPr="007511B0">
        <w:rPr>
          <w:sz w:val="24"/>
          <w:szCs w:val="24"/>
        </w:rPr>
        <w:t>5</w:t>
      </w:r>
      <w:r w:rsidR="00247698" w:rsidRPr="007511B0">
        <w:rPr>
          <w:sz w:val="24"/>
          <w:szCs w:val="24"/>
        </w:rPr>
        <w:t xml:space="preserve"> </w:t>
      </w:r>
      <w:r w:rsidRPr="007511B0">
        <w:rPr>
          <w:sz w:val="24"/>
          <w:szCs w:val="24"/>
        </w:rPr>
        <w:t xml:space="preserve">days of referral according to identified levels of risk. </w:t>
      </w:r>
    </w:p>
    <w:p w:rsidR="00B04E90" w:rsidRPr="007511B0" w:rsidRDefault="00B04E90" w:rsidP="00BF3276">
      <w:pPr>
        <w:spacing w:after="120" w:line="270" w:lineRule="atLeast"/>
        <w:ind w:left="0" w:firstLine="0"/>
        <w:rPr>
          <w:sz w:val="24"/>
          <w:szCs w:val="24"/>
        </w:rPr>
      </w:pPr>
      <w:r w:rsidRPr="007511B0">
        <w:rPr>
          <w:sz w:val="24"/>
          <w:szCs w:val="24"/>
        </w:rPr>
        <w:t>ACSO</w:t>
      </w:r>
      <w:r w:rsidR="001078B2" w:rsidRPr="007511B0">
        <w:rPr>
          <w:sz w:val="24"/>
          <w:szCs w:val="24"/>
        </w:rPr>
        <w:t xml:space="preserve"> COATS</w:t>
      </w:r>
      <w:r w:rsidRPr="007511B0">
        <w:rPr>
          <w:sz w:val="24"/>
          <w:szCs w:val="24"/>
        </w:rPr>
        <w:t xml:space="preserve"> will </w:t>
      </w:r>
      <w:r w:rsidR="00247698" w:rsidRPr="007511B0">
        <w:rPr>
          <w:sz w:val="24"/>
          <w:szCs w:val="24"/>
        </w:rPr>
        <w:t xml:space="preserve">use </w:t>
      </w:r>
      <w:r w:rsidRPr="007511B0">
        <w:rPr>
          <w:sz w:val="24"/>
          <w:szCs w:val="24"/>
        </w:rPr>
        <w:t xml:space="preserve">a forensic version of the Department of Health’s </w:t>
      </w:r>
      <w:proofErr w:type="spellStart"/>
      <w:proofErr w:type="gramStart"/>
      <w:r w:rsidRPr="007511B0">
        <w:rPr>
          <w:sz w:val="24"/>
          <w:szCs w:val="24"/>
        </w:rPr>
        <w:t>standardised</w:t>
      </w:r>
      <w:proofErr w:type="spellEnd"/>
      <w:r w:rsidR="007511B0">
        <w:rPr>
          <w:sz w:val="24"/>
          <w:szCs w:val="24"/>
        </w:rPr>
        <w:t xml:space="preserve"> </w:t>
      </w:r>
      <w:r w:rsidRPr="007511B0">
        <w:rPr>
          <w:sz w:val="24"/>
          <w:szCs w:val="24"/>
        </w:rPr>
        <w:t xml:space="preserve"> </w:t>
      </w:r>
      <w:r w:rsidR="00247698" w:rsidRPr="007511B0">
        <w:rPr>
          <w:sz w:val="24"/>
          <w:szCs w:val="24"/>
        </w:rPr>
        <w:t>screening</w:t>
      </w:r>
      <w:proofErr w:type="gramEnd"/>
      <w:r w:rsidR="00247698" w:rsidRPr="007511B0">
        <w:rPr>
          <w:sz w:val="24"/>
          <w:szCs w:val="24"/>
        </w:rPr>
        <w:t xml:space="preserve"> </w:t>
      </w:r>
      <w:r w:rsidRPr="007511B0">
        <w:rPr>
          <w:sz w:val="24"/>
          <w:szCs w:val="24"/>
        </w:rPr>
        <w:t xml:space="preserve">and </w:t>
      </w:r>
      <w:r w:rsidR="00247698" w:rsidRPr="007511B0">
        <w:rPr>
          <w:sz w:val="24"/>
          <w:szCs w:val="24"/>
        </w:rPr>
        <w:t xml:space="preserve">assessment </w:t>
      </w:r>
      <w:r w:rsidRPr="007511B0">
        <w:rPr>
          <w:sz w:val="24"/>
          <w:szCs w:val="24"/>
        </w:rPr>
        <w:t xml:space="preserve">tool which will be made available to treatment agencies via the Penelope Portal to ensure clients do not have to tell their story twice. </w:t>
      </w:r>
    </w:p>
    <w:p w:rsidR="00B04E90" w:rsidRPr="007511B0" w:rsidRDefault="00B04E90" w:rsidP="00962C0E">
      <w:pPr>
        <w:spacing w:line="270" w:lineRule="atLeast"/>
        <w:rPr>
          <w:b/>
          <w:bCs/>
          <w:sz w:val="24"/>
          <w:szCs w:val="24"/>
          <w:lang w:val="en-AU"/>
        </w:rPr>
      </w:pPr>
      <w:r w:rsidRPr="007511B0">
        <w:rPr>
          <w:b/>
          <w:sz w:val="24"/>
          <w:szCs w:val="24"/>
        </w:rPr>
        <w:t>Catchment</w:t>
      </w:r>
      <w:r w:rsidR="00247698" w:rsidRPr="007511B0">
        <w:rPr>
          <w:b/>
          <w:sz w:val="24"/>
          <w:szCs w:val="24"/>
        </w:rPr>
        <w:t>-</w:t>
      </w:r>
      <w:r w:rsidRPr="007511B0">
        <w:rPr>
          <w:b/>
          <w:sz w:val="24"/>
          <w:szCs w:val="24"/>
        </w:rPr>
        <w:t xml:space="preserve">based </w:t>
      </w:r>
      <w:r w:rsidR="00247698" w:rsidRPr="007511B0">
        <w:rPr>
          <w:b/>
          <w:sz w:val="24"/>
          <w:szCs w:val="24"/>
        </w:rPr>
        <w:t xml:space="preserve">intake </w:t>
      </w:r>
      <w:r w:rsidRPr="007511B0">
        <w:rPr>
          <w:b/>
          <w:sz w:val="24"/>
          <w:szCs w:val="24"/>
        </w:rPr>
        <w:t xml:space="preserve">and </w:t>
      </w:r>
      <w:r w:rsidR="00247698" w:rsidRPr="007511B0">
        <w:rPr>
          <w:b/>
          <w:sz w:val="24"/>
          <w:szCs w:val="24"/>
        </w:rPr>
        <w:t>a</w:t>
      </w:r>
      <w:r w:rsidRPr="007511B0">
        <w:rPr>
          <w:b/>
          <w:sz w:val="24"/>
          <w:szCs w:val="24"/>
        </w:rPr>
        <w:t>ssessment</w:t>
      </w:r>
      <w:r w:rsidRPr="007511B0">
        <w:rPr>
          <w:sz w:val="24"/>
          <w:szCs w:val="24"/>
        </w:rPr>
        <w:t xml:space="preserve"> services will be expected to provide screening, assessment and brief intervention services from 1 September 2014 for diversion</w:t>
      </w:r>
      <w:bookmarkStart w:id="0" w:name="_GoBack"/>
      <w:bookmarkEnd w:id="0"/>
      <w:r w:rsidRPr="007511B0">
        <w:rPr>
          <w:sz w:val="24"/>
          <w:szCs w:val="24"/>
        </w:rPr>
        <w:t xml:space="preserve"> clients such as those referred by the Drug Diversion Appointment Line (DDAL) and</w:t>
      </w:r>
      <w:r w:rsidR="002F20D4" w:rsidRPr="007511B0">
        <w:rPr>
          <w:sz w:val="24"/>
          <w:szCs w:val="24"/>
        </w:rPr>
        <w:t xml:space="preserve"> the </w:t>
      </w:r>
      <w:r w:rsidR="002F20D4" w:rsidRPr="007511B0">
        <w:rPr>
          <w:bCs/>
          <w:sz w:val="24"/>
          <w:szCs w:val="24"/>
          <w:lang w:val="en-AU"/>
        </w:rPr>
        <w:t>Court Referral &amp; Evaluation for Drug Intervention &amp; Treatment</w:t>
      </w:r>
      <w:r w:rsidR="002F20D4" w:rsidRPr="007511B0">
        <w:rPr>
          <w:b/>
          <w:bCs/>
          <w:sz w:val="24"/>
          <w:szCs w:val="24"/>
          <w:lang w:val="en-AU"/>
        </w:rPr>
        <w:t xml:space="preserve"> </w:t>
      </w:r>
      <w:r w:rsidR="002F20D4" w:rsidRPr="007511B0">
        <w:rPr>
          <w:sz w:val="24"/>
          <w:szCs w:val="24"/>
        </w:rPr>
        <w:t>(</w:t>
      </w:r>
      <w:r w:rsidRPr="007511B0">
        <w:rPr>
          <w:sz w:val="24"/>
          <w:szCs w:val="24"/>
        </w:rPr>
        <w:t>CREDIT</w:t>
      </w:r>
      <w:r w:rsidR="002F20D4" w:rsidRPr="007511B0">
        <w:rPr>
          <w:sz w:val="24"/>
          <w:szCs w:val="24"/>
        </w:rPr>
        <w:t>)</w:t>
      </w:r>
      <w:r w:rsidRPr="007511B0">
        <w:rPr>
          <w:sz w:val="24"/>
          <w:szCs w:val="24"/>
        </w:rPr>
        <w:t xml:space="preserve"> program and other referrals sources such as clients historically considered under the Rural Outreach Diversion and Koori Drug Diversion worker programs. </w:t>
      </w:r>
    </w:p>
    <w:p w:rsidR="00B04E90" w:rsidRPr="007511B0" w:rsidRDefault="00B04E90" w:rsidP="00BF3276">
      <w:pPr>
        <w:spacing w:after="120" w:line="270" w:lineRule="atLeast"/>
        <w:ind w:left="0" w:firstLine="0"/>
        <w:rPr>
          <w:sz w:val="24"/>
          <w:szCs w:val="24"/>
        </w:rPr>
      </w:pPr>
      <w:r w:rsidRPr="007511B0">
        <w:rPr>
          <w:sz w:val="24"/>
          <w:szCs w:val="24"/>
        </w:rPr>
        <w:t>A</w:t>
      </w:r>
      <w:r w:rsidR="005705D6" w:rsidRPr="007511B0">
        <w:rPr>
          <w:sz w:val="24"/>
          <w:szCs w:val="24"/>
        </w:rPr>
        <w:t>n</w:t>
      </w:r>
      <w:r w:rsidRPr="007511B0">
        <w:rPr>
          <w:sz w:val="24"/>
          <w:szCs w:val="24"/>
        </w:rPr>
        <w:t xml:space="preserve"> </w:t>
      </w:r>
      <w:r w:rsidR="00423DEA" w:rsidRPr="007511B0">
        <w:rPr>
          <w:sz w:val="24"/>
          <w:szCs w:val="24"/>
        </w:rPr>
        <w:t xml:space="preserve">annual </w:t>
      </w:r>
      <w:r w:rsidRPr="007511B0">
        <w:rPr>
          <w:b/>
          <w:sz w:val="24"/>
          <w:szCs w:val="24"/>
        </w:rPr>
        <w:t xml:space="preserve">target of </w:t>
      </w:r>
      <w:r w:rsidR="002D490E">
        <w:rPr>
          <w:b/>
          <w:sz w:val="24"/>
          <w:szCs w:val="24"/>
        </w:rPr>
        <w:t>10</w:t>
      </w:r>
      <w:r w:rsidR="002D490E" w:rsidRPr="007511B0">
        <w:rPr>
          <w:b/>
          <w:sz w:val="24"/>
          <w:szCs w:val="24"/>
        </w:rPr>
        <w:t xml:space="preserve"> </w:t>
      </w:r>
      <w:r w:rsidRPr="007511B0">
        <w:rPr>
          <w:b/>
          <w:sz w:val="24"/>
          <w:szCs w:val="24"/>
        </w:rPr>
        <w:t>per</w:t>
      </w:r>
      <w:r w:rsidR="001078B2" w:rsidRPr="007511B0">
        <w:rPr>
          <w:b/>
          <w:sz w:val="24"/>
          <w:szCs w:val="24"/>
        </w:rPr>
        <w:t xml:space="preserve"> </w:t>
      </w:r>
      <w:r w:rsidRPr="007511B0">
        <w:rPr>
          <w:b/>
          <w:sz w:val="24"/>
          <w:szCs w:val="24"/>
        </w:rPr>
        <w:t>cent</w:t>
      </w:r>
      <w:r w:rsidRPr="007511B0">
        <w:rPr>
          <w:sz w:val="24"/>
          <w:szCs w:val="24"/>
        </w:rPr>
        <w:t xml:space="preserve"> of the </w:t>
      </w:r>
      <w:r w:rsidR="00247698" w:rsidRPr="007511B0">
        <w:rPr>
          <w:sz w:val="24"/>
          <w:szCs w:val="24"/>
        </w:rPr>
        <w:t xml:space="preserve">intake </w:t>
      </w:r>
      <w:r w:rsidRPr="007511B0">
        <w:rPr>
          <w:sz w:val="24"/>
          <w:szCs w:val="24"/>
        </w:rPr>
        <w:t xml:space="preserve">and </w:t>
      </w:r>
      <w:r w:rsidR="00247698" w:rsidRPr="007511B0">
        <w:rPr>
          <w:sz w:val="24"/>
          <w:szCs w:val="24"/>
        </w:rPr>
        <w:t>a</w:t>
      </w:r>
      <w:r w:rsidRPr="007511B0">
        <w:rPr>
          <w:sz w:val="24"/>
          <w:szCs w:val="24"/>
        </w:rPr>
        <w:t xml:space="preserve">ssessment Drug Treatment Activity Unit (DTAU) funding for each </w:t>
      </w:r>
      <w:r w:rsidR="00247698" w:rsidRPr="007511B0">
        <w:rPr>
          <w:sz w:val="24"/>
          <w:szCs w:val="24"/>
        </w:rPr>
        <w:t>i</w:t>
      </w:r>
      <w:r w:rsidRPr="007511B0">
        <w:rPr>
          <w:sz w:val="24"/>
          <w:szCs w:val="24"/>
        </w:rPr>
        <w:t xml:space="preserve">ntake and </w:t>
      </w:r>
      <w:r w:rsidR="00247698" w:rsidRPr="007511B0">
        <w:rPr>
          <w:sz w:val="24"/>
          <w:szCs w:val="24"/>
        </w:rPr>
        <w:t>a</w:t>
      </w:r>
      <w:r w:rsidRPr="007511B0">
        <w:rPr>
          <w:sz w:val="24"/>
          <w:szCs w:val="24"/>
        </w:rPr>
        <w:t>ssessment provider is being allocated for forensic clients. Catchment-based intake and assessment only applies to forensic diversionary clients as ACSO</w:t>
      </w:r>
      <w:r w:rsidR="001078B2" w:rsidRPr="007511B0">
        <w:rPr>
          <w:sz w:val="24"/>
          <w:szCs w:val="24"/>
        </w:rPr>
        <w:t xml:space="preserve"> COATS</w:t>
      </w:r>
      <w:r w:rsidRPr="007511B0">
        <w:rPr>
          <w:sz w:val="24"/>
          <w:szCs w:val="24"/>
        </w:rPr>
        <w:t xml:space="preserve"> will undertake assessments for other forensic clients.</w:t>
      </w:r>
    </w:p>
    <w:p w:rsidR="00B04E90" w:rsidRPr="00247698" w:rsidRDefault="00B04E90" w:rsidP="00BF3276">
      <w:pPr>
        <w:spacing w:after="120" w:line="270" w:lineRule="atLeast"/>
        <w:ind w:left="0" w:firstLine="0"/>
        <w:rPr>
          <w:sz w:val="24"/>
          <w:szCs w:val="24"/>
        </w:rPr>
      </w:pPr>
    </w:p>
    <w:p w:rsidR="00B04E90" w:rsidRDefault="00B04E90" w:rsidP="007511B0">
      <w:pPr>
        <w:pStyle w:val="Heading3"/>
      </w:pPr>
      <w:r w:rsidRPr="00BA142F">
        <w:t xml:space="preserve">Referral to </w:t>
      </w:r>
      <w:r>
        <w:t xml:space="preserve">adult non-residential </w:t>
      </w:r>
      <w:r w:rsidRPr="00BA142F">
        <w:t xml:space="preserve">treatment </w:t>
      </w:r>
    </w:p>
    <w:p w:rsidR="00B04E90" w:rsidRPr="007511B0" w:rsidRDefault="00B04E90" w:rsidP="00BF3276">
      <w:pPr>
        <w:spacing w:after="120" w:line="270" w:lineRule="atLeast"/>
        <w:ind w:left="0" w:firstLine="0"/>
        <w:rPr>
          <w:sz w:val="24"/>
          <w:szCs w:val="24"/>
        </w:rPr>
      </w:pPr>
      <w:r w:rsidRPr="007511B0">
        <w:rPr>
          <w:sz w:val="24"/>
          <w:szCs w:val="24"/>
        </w:rPr>
        <w:t>All approved providers of non-residential withdrawal, counselling and care and recovery coordination are expected to dedicate</w:t>
      </w:r>
      <w:r w:rsidR="00BE7DB2" w:rsidRPr="007511B0">
        <w:rPr>
          <w:sz w:val="24"/>
          <w:szCs w:val="24"/>
        </w:rPr>
        <w:t xml:space="preserve"> annually</w:t>
      </w:r>
      <w:r w:rsidRPr="007511B0">
        <w:rPr>
          <w:sz w:val="24"/>
          <w:szCs w:val="24"/>
        </w:rPr>
        <w:t xml:space="preserve"> </w:t>
      </w:r>
      <w:r w:rsidR="00247698">
        <w:rPr>
          <w:b/>
          <w:sz w:val="24"/>
          <w:szCs w:val="24"/>
        </w:rPr>
        <w:t>20</w:t>
      </w:r>
      <w:r w:rsidR="00247698" w:rsidRPr="007511B0">
        <w:rPr>
          <w:b/>
          <w:sz w:val="24"/>
          <w:szCs w:val="24"/>
        </w:rPr>
        <w:t xml:space="preserve"> </w:t>
      </w:r>
      <w:r w:rsidR="001078B2" w:rsidRPr="007511B0">
        <w:rPr>
          <w:b/>
          <w:sz w:val="24"/>
          <w:szCs w:val="24"/>
        </w:rPr>
        <w:t>per cent</w:t>
      </w:r>
      <w:r w:rsidRPr="007511B0">
        <w:rPr>
          <w:b/>
          <w:sz w:val="24"/>
          <w:szCs w:val="24"/>
        </w:rPr>
        <w:t xml:space="preserve"> of their DTAU funding</w:t>
      </w:r>
      <w:r w:rsidRPr="007511B0">
        <w:rPr>
          <w:b/>
          <w:i/>
          <w:sz w:val="24"/>
          <w:szCs w:val="24"/>
        </w:rPr>
        <w:t xml:space="preserve"> </w:t>
      </w:r>
      <w:r w:rsidRPr="007511B0">
        <w:rPr>
          <w:sz w:val="24"/>
          <w:szCs w:val="24"/>
        </w:rPr>
        <w:t xml:space="preserve">for the treatment of forensic clients and to report against this target. </w:t>
      </w:r>
    </w:p>
    <w:p w:rsidR="00B04E90" w:rsidRPr="007511B0" w:rsidRDefault="00B04E90" w:rsidP="00BF3276">
      <w:pPr>
        <w:spacing w:after="120" w:line="270" w:lineRule="atLeast"/>
        <w:ind w:left="0" w:firstLine="0"/>
        <w:rPr>
          <w:sz w:val="24"/>
          <w:szCs w:val="24"/>
        </w:rPr>
      </w:pPr>
      <w:r w:rsidRPr="007511B0">
        <w:rPr>
          <w:sz w:val="24"/>
          <w:szCs w:val="24"/>
        </w:rPr>
        <w:t>ACSO</w:t>
      </w:r>
      <w:r w:rsidR="001078B2" w:rsidRPr="007511B0">
        <w:rPr>
          <w:sz w:val="24"/>
          <w:szCs w:val="24"/>
        </w:rPr>
        <w:t xml:space="preserve"> COATS</w:t>
      </w:r>
      <w:r w:rsidRPr="007511B0">
        <w:rPr>
          <w:sz w:val="24"/>
          <w:szCs w:val="24"/>
        </w:rPr>
        <w:t xml:space="preserve"> will continue to develop the treatment pathway for each COATS client and refer to the service most appropriate to the presenting need.  </w:t>
      </w:r>
      <w:r w:rsidR="00BE7DB2" w:rsidRPr="007511B0">
        <w:rPr>
          <w:sz w:val="24"/>
          <w:szCs w:val="24"/>
          <w:lang w:val="en-AU"/>
        </w:rPr>
        <w:t>ACSO</w:t>
      </w:r>
      <w:r w:rsidR="001078B2" w:rsidRPr="007511B0">
        <w:rPr>
          <w:sz w:val="24"/>
          <w:szCs w:val="24"/>
          <w:lang w:val="en-AU"/>
        </w:rPr>
        <w:t xml:space="preserve"> COATS</w:t>
      </w:r>
      <w:r w:rsidR="00BE7DB2" w:rsidRPr="007511B0">
        <w:rPr>
          <w:sz w:val="24"/>
          <w:szCs w:val="24"/>
          <w:lang w:val="en-AU"/>
        </w:rPr>
        <w:t xml:space="preserve"> will also broker treatment for all diversion clients that are assessed by catchment </w:t>
      </w:r>
      <w:r w:rsidR="00247698" w:rsidRPr="007511B0">
        <w:rPr>
          <w:sz w:val="24"/>
          <w:szCs w:val="24"/>
          <w:lang w:val="en-AU"/>
        </w:rPr>
        <w:t xml:space="preserve">intake </w:t>
      </w:r>
      <w:r w:rsidR="00BE7DB2" w:rsidRPr="007511B0">
        <w:rPr>
          <w:sz w:val="24"/>
          <w:szCs w:val="24"/>
          <w:lang w:val="en-AU"/>
        </w:rPr>
        <w:t xml:space="preserve">and </w:t>
      </w:r>
      <w:r w:rsidR="00247698" w:rsidRPr="007511B0">
        <w:rPr>
          <w:sz w:val="24"/>
          <w:szCs w:val="24"/>
          <w:lang w:val="en-AU"/>
        </w:rPr>
        <w:t>a</w:t>
      </w:r>
      <w:r w:rsidR="00BE7DB2" w:rsidRPr="007511B0">
        <w:rPr>
          <w:sz w:val="24"/>
          <w:szCs w:val="24"/>
          <w:lang w:val="en-AU"/>
        </w:rPr>
        <w:t xml:space="preserve">ssessment </w:t>
      </w:r>
      <w:r w:rsidR="00247698" w:rsidRPr="007511B0">
        <w:rPr>
          <w:sz w:val="24"/>
          <w:szCs w:val="24"/>
          <w:lang w:val="en-AU"/>
        </w:rPr>
        <w:t>p</w:t>
      </w:r>
      <w:r w:rsidR="00BE7DB2" w:rsidRPr="007511B0">
        <w:rPr>
          <w:sz w:val="24"/>
          <w:szCs w:val="24"/>
          <w:lang w:val="en-AU"/>
        </w:rPr>
        <w:t>roviders as requiring treatment.</w:t>
      </w:r>
      <w:r w:rsidR="001078B2" w:rsidRPr="007511B0">
        <w:rPr>
          <w:sz w:val="24"/>
          <w:szCs w:val="24"/>
          <w:lang w:val="en-AU"/>
        </w:rPr>
        <w:t xml:space="preserve"> </w:t>
      </w:r>
      <w:r w:rsidRPr="007511B0">
        <w:rPr>
          <w:sz w:val="24"/>
          <w:szCs w:val="24"/>
        </w:rPr>
        <w:t>ACSO</w:t>
      </w:r>
      <w:r w:rsidR="001078B2" w:rsidRPr="007511B0">
        <w:rPr>
          <w:sz w:val="24"/>
          <w:szCs w:val="24"/>
        </w:rPr>
        <w:t xml:space="preserve"> COATS</w:t>
      </w:r>
      <w:r w:rsidRPr="007511B0">
        <w:rPr>
          <w:sz w:val="24"/>
          <w:szCs w:val="24"/>
        </w:rPr>
        <w:t xml:space="preserve"> will shortly be contacting all approved lead providers requesting information about proposed sites and treatment types to be provided by consortium members.</w:t>
      </w:r>
    </w:p>
    <w:p w:rsidR="00B04E90" w:rsidRPr="007511B0" w:rsidRDefault="00B04E90" w:rsidP="00BF3276">
      <w:pPr>
        <w:spacing w:after="120" w:line="270" w:lineRule="atLeast"/>
        <w:ind w:left="0" w:firstLine="0"/>
        <w:rPr>
          <w:sz w:val="24"/>
          <w:szCs w:val="24"/>
        </w:rPr>
      </w:pPr>
      <w:r w:rsidRPr="007511B0">
        <w:rPr>
          <w:sz w:val="24"/>
          <w:szCs w:val="24"/>
        </w:rPr>
        <w:t>All approved providers will be required to sign a revised Heads of Agreement and Portal User Agreement in order to commence receiving referrals for forensic clients from 1 September 2014.</w:t>
      </w:r>
    </w:p>
    <w:p w:rsidR="00B04E90" w:rsidRPr="007511B0" w:rsidRDefault="00B04E90" w:rsidP="00BF3276">
      <w:pPr>
        <w:spacing w:after="120" w:line="270" w:lineRule="atLeast"/>
        <w:ind w:left="0" w:firstLine="0"/>
        <w:rPr>
          <w:sz w:val="24"/>
          <w:szCs w:val="24"/>
        </w:rPr>
      </w:pPr>
      <w:r w:rsidRPr="007511B0">
        <w:rPr>
          <w:sz w:val="24"/>
          <w:szCs w:val="24"/>
        </w:rPr>
        <w:t>Forensic clients are expected to commence treatment between 2</w:t>
      </w:r>
      <w:r w:rsidR="00247698" w:rsidRPr="007511B0">
        <w:rPr>
          <w:sz w:val="24"/>
          <w:szCs w:val="24"/>
        </w:rPr>
        <w:t>–</w:t>
      </w:r>
      <w:r w:rsidRPr="007511B0">
        <w:rPr>
          <w:sz w:val="24"/>
          <w:szCs w:val="24"/>
        </w:rPr>
        <w:t>5</w:t>
      </w:r>
      <w:r w:rsidR="00247698" w:rsidRPr="007511B0">
        <w:rPr>
          <w:sz w:val="24"/>
          <w:szCs w:val="24"/>
        </w:rPr>
        <w:t xml:space="preserve"> </w:t>
      </w:r>
      <w:r w:rsidRPr="007511B0">
        <w:rPr>
          <w:sz w:val="24"/>
          <w:szCs w:val="24"/>
        </w:rPr>
        <w:t>working days after assessment depending on the need, risk and prioritisation identified by ACSO</w:t>
      </w:r>
      <w:r w:rsidR="002F20D4" w:rsidRPr="007511B0">
        <w:rPr>
          <w:sz w:val="24"/>
          <w:szCs w:val="24"/>
        </w:rPr>
        <w:t xml:space="preserve"> COATS</w:t>
      </w:r>
      <w:r w:rsidRPr="007511B0">
        <w:rPr>
          <w:sz w:val="24"/>
          <w:szCs w:val="24"/>
        </w:rPr>
        <w:t xml:space="preserve">.   </w:t>
      </w:r>
    </w:p>
    <w:p w:rsidR="00B04E90" w:rsidRPr="007511B0" w:rsidRDefault="00B04E90" w:rsidP="00BF3276">
      <w:pPr>
        <w:spacing w:after="120" w:line="270" w:lineRule="atLeast"/>
        <w:ind w:left="0" w:firstLine="0"/>
        <w:rPr>
          <w:sz w:val="24"/>
          <w:szCs w:val="24"/>
        </w:rPr>
      </w:pPr>
      <w:r w:rsidRPr="007511B0">
        <w:rPr>
          <w:sz w:val="24"/>
          <w:szCs w:val="24"/>
        </w:rPr>
        <w:t>ACSO</w:t>
      </w:r>
      <w:r w:rsidR="001078B2" w:rsidRPr="007511B0">
        <w:rPr>
          <w:sz w:val="24"/>
          <w:szCs w:val="24"/>
        </w:rPr>
        <w:t xml:space="preserve"> COATS</w:t>
      </w:r>
      <w:r w:rsidRPr="007511B0">
        <w:rPr>
          <w:sz w:val="24"/>
          <w:szCs w:val="24"/>
        </w:rPr>
        <w:t xml:space="preserve"> will refer clients directly to treatment sites for counselling, care and recovery co-ordination and non-residential withdrawal and provide a copy of each referral to the lead provider in consortiums and the relevant catchment intake and assessment provider.</w:t>
      </w:r>
    </w:p>
    <w:p w:rsidR="00B04E90" w:rsidRDefault="00B04E90" w:rsidP="00BF3276">
      <w:pPr>
        <w:spacing w:after="120" w:line="270" w:lineRule="atLeast"/>
        <w:ind w:left="0" w:firstLine="0"/>
        <w:rPr>
          <w:sz w:val="24"/>
          <w:szCs w:val="24"/>
        </w:rPr>
      </w:pPr>
      <w:r w:rsidRPr="007511B0">
        <w:rPr>
          <w:iCs/>
          <w:sz w:val="24"/>
          <w:szCs w:val="24"/>
        </w:rPr>
        <w:t>ACSO</w:t>
      </w:r>
      <w:r w:rsidR="001078B2" w:rsidRPr="007511B0">
        <w:rPr>
          <w:iCs/>
          <w:sz w:val="24"/>
          <w:szCs w:val="24"/>
        </w:rPr>
        <w:t xml:space="preserve"> COATS</w:t>
      </w:r>
      <w:r w:rsidRPr="007511B0">
        <w:rPr>
          <w:iCs/>
          <w:sz w:val="24"/>
          <w:szCs w:val="24"/>
        </w:rPr>
        <w:t xml:space="preserve"> will also provide a weekly summary of referrals to both lead agencies and intake and assessment providers to assist them in managing demand for services</w:t>
      </w:r>
      <w:r w:rsidRPr="007511B0">
        <w:rPr>
          <w:sz w:val="24"/>
          <w:szCs w:val="24"/>
        </w:rPr>
        <w:t xml:space="preserve"> and track capacity in individual agencies. </w:t>
      </w:r>
    </w:p>
    <w:p w:rsidR="00247698" w:rsidRPr="007511B0" w:rsidRDefault="00247698" w:rsidP="00BF3276">
      <w:pPr>
        <w:spacing w:after="120" w:line="270" w:lineRule="atLeast"/>
        <w:ind w:left="0" w:firstLine="0"/>
        <w:rPr>
          <w:sz w:val="24"/>
          <w:szCs w:val="24"/>
        </w:rPr>
      </w:pPr>
    </w:p>
    <w:p w:rsidR="00B04E90" w:rsidRPr="00453264" w:rsidRDefault="00B04E90" w:rsidP="007511B0">
      <w:pPr>
        <w:pStyle w:val="Heading3"/>
      </w:pPr>
      <w:r w:rsidRPr="00453264">
        <w:t>Loading of 15</w:t>
      </w:r>
      <w:r w:rsidR="00247698">
        <w:t xml:space="preserve"> per cent</w:t>
      </w:r>
      <w:r w:rsidRPr="00453264">
        <w:t xml:space="preserve"> for work undertaken with forensic clients</w:t>
      </w:r>
    </w:p>
    <w:p w:rsidR="00B04E90" w:rsidRPr="007511B0" w:rsidRDefault="00B04E90" w:rsidP="00BF3276">
      <w:pPr>
        <w:spacing w:after="120" w:line="270" w:lineRule="atLeast"/>
        <w:ind w:left="0" w:firstLine="0"/>
        <w:rPr>
          <w:sz w:val="24"/>
          <w:szCs w:val="24"/>
        </w:rPr>
      </w:pPr>
      <w:r w:rsidRPr="007511B0">
        <w:rPr>
          <w:sz w:val="24"/>
          <w:szCs w:val="24"/>
        </w:rPr>
        <w:t>As per the Call for Submission</w:t>
      </w:r>
      <w:r w:rsidR="00247698" w:rsidRPr="007511B0">
        <w:rPr>
          <w:sz w:val="24"/>
          <w:szCs w:val="24"/>
        </w:rPr>
        <w:t>,</w:t>
      </w:r>
      <w:r w:rsidRPr="007511B0">
        <w:rPr>
          <w:sz w:val="24"/>
          <w:szCs w:val="24"/>
        </w:rPr>
        <w:t xml:space="preserve"> all adult non-residential treatment functions undertaken for forensic clients attract a </w:t>
      </w:r>
      <w:r w:rsidR="00247698" w:rsidRPr="007511B0">
        <w:rPr>
          <w:b/>
          <w:sz w:val="24"/>
          <w:szCs w:val="24"/>
        </w:rPr>
        <w:t xml:space="preserve">15 </w:t>
      </w:r>
      <w:r w:rsidR="001078B2" w:rsidRPr="007511B0">
        <w:rPr>
          <w:b/>
          <w:sz w:val="24"/>
          <w:szCs w:val="24"/>
        </w:rPr>
        <w:t>per cent</w:t>
      </w:r>
      <w:r w:rsidRPr="007511B0">
        <w:rPr>
          <w:sz w:val="24"/>
          <w:szCs w:val="24"/>
        </w:rPr>
        <w:t xml:space="preserve"> loading in recognition of the additional costs associated with service delivery for this client group. </w:t>
      </w:r>
    </w:p>
    <w:p w:rsidR="00B04E90" w:rsidRPr="007511B0" w:rsidRDefault="00B04E90" w:rsidP="00BF3276">
      <w:pPr>
        <w:spacing w:after="120" w:line="270" w:lineRule="atLeast"/>
        <w:ind w:left="0" w:firstLine="0"/>
        <w:rPr>
          <w:sz w:val="24"/>
          <w:szCs w:val="24"/>
        </w:rPr>
      </w:pPr>
      <w:r w:rsidRPr="007511B0">
        <w:rPr>
          <w:sz w:val="24"/>
          <w:szCs w:val="24"/>
        </w:rPr>
        <w:t xml:space="preserve">This essentially means that the price for each product is </w:t>
      </w:r>
      <w:r w:rsidR="00247698" w:rsidRPr="007511B0">
        <w:rPr>
          <w:sz w:val="24"/>
          <w:szCs w:val="24"/>
        </w:rPr>
        <w:t xml:space="preserve">15 </w:t>
      </w:r>
      <w:r w:rsidR="001078B2" w:rsidRPr="007511B0">
        <w:rPr>
          <w:sz w:val="24"/>
          <w:szCs w:val="24"/>
        </w:rPr>
        <w:t>per cent</w:t>
      </w:r>
      <w:r w:rsidRPr="007511B0">
        <w:rPr>
          <w:sz w:val="24"/>
          <w:szCs w:val="24"/>
        </w:rPr>
        <w:t xml:space="preserve"> higher for a forensic client and </w:t>
      </w:r>
      <w:proofErr w:type="gramStart"/>
      <w:r w:rsidR="00955E5D" w:rsidRPr="007511B0">
        <w:rPr>
          <w:sz w:val="24"/>
          <w:szCs w:val="24"/>
        </w:rPr>
        <w:t>that agencies</w:t>
      </w:r>
      <w:proofErr w:type="gramEnd"/>
      <w:r w:rsidR="00955E5D" w:rsidRPr="007511B0">
        <w:rPr>
          <w:sz w:val="24"/>
          <w:szCs w:val="24"/>
        </w:rPr>
        <w:t xml:space="preserve"> will utilise a greater proportion of their DTAU allocation and therefore meet their annual service delivery DTAU targets faster</w:t>
      </w:r>
      <w:r w:rsidRPr="007511B0">
        <w:rPr>
          <w:sz w:val="24"/>
          <w:szCs w:val="24"/>
        </w:rPr>
        <w:t>. For example</w:t>
      </w:r>
      <w:r w:rsidR="00247698" w:rsidRPr="007511B0">
        <w:rPr>
          <w:sz w:val="24"/>
          <w:szCs w:val="24"/>
        </w:rPr>
        <w:t>,</w:t>
      </w:r>
      <w:r w:rsidRPr="007511B0">
        <w:rPr>
          <w:sz w:val="24"/>
          <w:szCs w:val="24"/>
        </w:rPr>
        <w:t xml:space="preserve"> a course of standard counselling for a forensic client would equate to 1.047 DTAU versus 0.91 DTAU for a </w:t>
      </w:r>
      <w:r w:rsidR="00BE7DB2" w:rsidRPr="007511B0">
        <w:rPr>
          <w:sz w:val="24"/>
          <w:szCs w:val="24"/>
        </w:rPr>
        <w:t xml:space="preserve">non-forensic </w:t>
      </w:r>
      <w:r w:rsidRPr="007511B0">
        <w:rPr>
          <w:sz w:val="24"/>
          <w:szCs w:val="24"/>
        </w:rPr>
        <w:t>client.</w:t>
      </w:r>
    </w:p>
    <w:p w:rsidR="00B04E90" w:rsidRPr="00247698" w:rsidRDefault="00B04E90" w:rsidP="00BF3276">
      <w:pPr>
        <w:spacing w:after="120" w:line="270" w:lineRule="atLeast"/>
        <w:ind w:left="0" w:firstLine="0"/>
        <w:rPr>
          <w:b/>
          <w:sz w:val="24"/>
          <w:szCs w:val="24"/>
        </w:rPr>
      </w:pPr>
    </w:p>
    <w:p w:rsidR="00B04E90" w:rsidRPr="00435174" w:rsidRDefault="00B04E90" w:rsidP="007511B0">
      <w:pPr>
        <w:pStyle w:val="Heading3"/>
      </w:pPr>
      <w:r w:rsidRPr="00435174">
        <w:t>Reconc</w:t>
      </w:r>
      <w:r>
        <w:t>i</w:t>
      </w:r>
      <w:r w:rsidRPr="00435174">
        <w:t>liation against forensic DTAU targets</w:t>
      </w:r>
    </w:p>
    <w:p w:rsidR="00B04E90" w:rsidRPr="007511B0" w:rsidRDefault="00B04E90" w:rsidP="00BF3276">
      <w:pPr>
        <w:spacing w:after="120" w:line="270" w:lineRule="atLeast"/>
        <w:ind w:left="0" w:firstLine="0"/>
        <w:rPr>
          <w:sz w:val="24"/>
          <w:szCs w:val="24"/>
        </w:rPr>
      </w:pPr>
      <w:r w:rsidRPr="007511B0">
        <w:rPr>
          <w:sz w:val="24"/>
          <w:szCs w:val="24"/>
        </w:rPr>
        <w:t xml:space="preserve">Catchment intake and assessment providers will be required to submit a Treatment Completion Advice (TCA) to ACSO for each intake and assessment service for a forensic client for reconciliation against the </w:t>
      </w:r>
      <w:r w:rsidR="00247698" w:rsidRPr="007511B0">
        <w:rPr>
          <w:sz w:val="24"/>
          <w:szCs w:val="24"/>
        </w:rPr>
        <w:t xml:space="preserve">10 </w:t>
      </w:r>
      <w:r w:rsidR="002F20D4" w:rsidRPr="007511B0">
        <w:rPr>
          <w:sz w:val="24"/>
          <w:szCs w:val="24"/>
        </w:rPr>
        <w:t>per cent</w:t>
      </w:r>
      <w:r w:rsidRPr="007511B0">
        <w:rPr>
          <w:sz w:val="24"/>
          <w:szCs w:val="24"/>
        </w:rPr>
        <w:t xml:space="preserve"> DTAU allocation and referral to treatment if indicated.</w:t>
      </w:r>
    </w:p>
    <w:p w:rsidR="00B04E90" w:rsidRPr="007511B0" w:rsidRDefault="00B04E90" w:rsidP="00BF3276">
      <w:pPr>
        <w:spacing w:after="120" w:line="270" w:lineRule="atLeast"/>
        <w:ind w:left="0" w:firstLine="0"/>
        <w:rPr>
          <w:sz w:val="24"/>
          <w:szCs w:val="24"/>
        </w:rPr>
      </w:pPr>
      <w:r w:rsidRPr="007511B0">
        <w:rPr>
          <w:sz w:val="24"/>
          <w:szCs w:val="24"/>
        </w:rPr>
        <w:t>The mix of non-residential withdrawal, counselling and care and recovery coordination services ordered for both COATS and diversion clients and provided by services will be reconciled by ACSO</w:t>
      </w:r>
      <w:r w:rsidR="002F20D4" w:rsidRPr="007511B0">
        <w:rPr>
          <w:sz w:val="24"/>
          <w:szCs w:val="24"/>
        </w:rPr>
        <w:t xml:space="preserve"> COATS</w:t>
      </w:r>
      <w:r w:rsidRPr="007511B0">
        <w:rPr>
          <w:sz w:val="24"/>
          <w:szCs w:val="24"/>
        </w:rPr>
        <w:t xml:space="preserve">. The reconciliation will be against each consortium’s total forensic adult non-residential DTAU allocation, based on the standard forensic price for each function. </w:t>
      </w:r>
    </w:p>
    <w:p w:rsidR="00B04E90" w:rsidRPr="007511B0" w:rsidRDefault="00B04E90" w:rsidP="00BF3276">
      <w:pPr>
        <w:spacing w:after="120" w:line="270" w:lineRule="atLeast"/>
        <w:ind w:left="0" w:firstLine="0"/>
        <w:rPr>
          <w:sz w:val="24"/>
          <w:szCs w:val="24"/>
        </w:rPr>
      </w:pPr>
      <w:r w:rsidRPr="007511B0">
        <w:rPr>
          <w:sz w:val="24"/>
          <w:szCs w:val="24"/>
        </w:rPr>
        <w:lastRenderedPageBreak/>
        <w:t>There will still be options to claim part payments for clients who do not complete the treatment ordered.</w:t>
      </w:r>
    </w:p>
    <w:p w:rsidR="00B04E90" w:rsidRDefault="00B04E90" w:rsidP="00BF3276">
      <w:pPr>
        <w:spacing w:after="120" w:line="270" w:lineRule="atLeast"/>
        <w:ind w:left="0" w:firstLine="0"/>
        <w:rPr>
          <w:sz w:val="24"/>
          <w:szCs w:val="24"/>
        </w:rPr>
      </w:pPr>
      <w:r w:rsidRPr="007511B0">
        <w:rPr>
          <w:sz w:val="24"/>
          <w:szCs w:val="24"/>
        </w:rPr>
        <w:t xml:space="preserve">There will no longer be specific reconciliation or payment made for non-attendance as this has been built into the unit pricing and </w:t>
      </w:r>
      <w:r w:rsidR="00247698" w:rsidRPr="007511B0">
        <w:rPr>
          <w:sz w:val="24"/>
          <w:szCs w:val="24"/>
        </w:rPr>
        <w:t xml:space="preserve">15 </w:t>
      </w:r>
      <w:r w:rsidR="002F20D4" w:rsidRPr="007511B0">
        <w:rPr>
          <w:sz w:val="24"/>
          <w:szCs w:val="24"/>
        </w:rPr>
        <w:t>per cent</w:t>
      </w:r>
      <w:r w:rsidRPr="007511B0">
        <w:rPr>
          <w:sz w:val="24"/>
          <w:szCs w:val="24"/>
        </w:rPr>
        <w:t xml:space="preserve"> loading.</w:t>
      </w:r>
    </w:p>
    <w:p w:rsidR="00247698" w:rsidRPr="007511B0" w:rsidRDefault="00247698" w:rsidP="00BF3276">
      <w:pPr>
        <w:spacing w:after="120" w:line="270" w:lineRule="atLeast"/>
        <w:ind w:left="0" w:firstLine="0"/>
        <w:rPr>
          <w:sz w:val="24"/>
          <w:szCs w:val="24"/>
        </w:rPr>
      </w:pPr>
    </w:p>
    <w:p w:rsidR="00B04E90" w:rsidRPr="00E31AC1" w:rsidRDefault="00B04E90" w:rsidP="007511B0">
      <w:pPr>
        <w:pStyle w:val="Heading3"/>
      </w:pPr>
      <w:r w:rsidRPr="00E31AC1">
        <w:t xml:space="preserve">Fee for </w:t>
      </w:r>
      <w:r w:rsidR="00247698">
        <w:t>s</w:t>
      </w:r>
      <w:r w:rsidR="00247698" w:rsidRPr="00E31AC1">
        <w:t xml:space="preserve">ervice </w:t>
      </w:r>
      <w:r w:rsidR="00247698">
        <w:t>a</w:t>
      </w:r>
      <w:r w:rsidR="00247698" w:rsidRPr="00E31AC1">
        <w:t>rrangements</w:t>
      </w:r>
    </w:p>
    <w:p w:rsidR="00B04E90" w:rsidRPr="007511B0" w:rsidRDefault="00B04E90" w:rsidP="00BF3276">
      <w:pPr>
        <w:spacing w:after="120" w:line="270" w:lineRule="atLeast"/>
        <w:ind w:left="0" w:firstLine="0"/>
        <w:rPr>
          <w:sz w:val="24"/>
          <w:szCs w:val="24"/>
        </w:rPr>
      </w:pPr>
      <w:r w:rsidRPr="007511B0">
        <w:rPr>
          <w:sz w:val="24"/>
          <w:szCs w:val="24"/>
        </w:rPr>
        <w:t>ACSO</w:t>
      </w:r>
      <w:r w:rsidR="002F20D4" w:rsidRPr="007511B0">
        <w:rPr>
          <w:sz w:val="24"/>
          <w:szCs w:val="24"/>
        </w:rPr>
        <w:t xml:space="preserve"> COATS</w:t>
      </w:r>
      <w:r w:rsidRPr="007511B0">
        <w:rPr>
          <w:sz w:val="24"/>
          <w:szCs w:val="24"/>
        </w:rPr>
        <w:t xml:space="preserve"> will provide a monthly reconciliation of referrals against the DTAU allocation to each approved provider (lead agency in a consortium). </w:t>
      </w:r>
    </w:p>
    <w:p w:rsidR="00B04E90" w:rsidRPr="007511B0" w:rsidRDefault="00B04E90" w:rsidP="00BF3276">
      <w:pPr>
        <w:spacing w:after="120" w:line="270" w:lineRule="atLeast"/>
        <w:ind w:left="0" w:firstLine="0"/>
        <w:rPr>
          <w:sz w:val="24"/>
          <w:szCs w:val="24"/>
        </w:rPr>
      </w:pPr>
      <w:r w:rsidRPr="007511B0">
        <w:rPr>
          <w:sz w:val="24"/>
          <w:szCs w:val="24"/>
        </w:rPr>
        <w:t>Should a consortium exceed the</w:t>
      </w:r>
      <w:r w:rsidR="00973ACD" w:rsidRPr="007511B0">
        <w:rPr>
          <w:sz w:val="24"/>
          <w:szCs w:val="24"/>
        </w:rPr>
        <w:t xml:space="preserve"> applicable</w:t>
      </w:r>
      <w:r w:rsidRPr="007511B0">
        <w:rPr>
          <w:sz w:val="24"/>
          <w:szCs w:val="24"/>
        </w:rPr>
        <w:t xml:space="preserve"> </w:t>
      </w:r>
      <w:r w:rsidR="00973ACD" w:rsidRPr="007511B0">
        <w:rPr>
          <w:sz w:val="24"/>
          <w:szCs w:val="24"/>
        </w:rPr>
        <w:t xml:space="preserve">forensic </w:t>
      </w:r>
      <w:r w:rsidRPr="007511B0">
        <w:rPr>
          <w:sz w:val="24"/>
          <w:szCs w:val="24"/>
        </w:rPr>
        <w:t>DTAU volume</w:t>
      </w:r>
      <w:r w:rsidR="00973ACD" w:rsidRPr="007511B0">
        <w:rPr>
          <w:sz w:val="24"/>
          <w:szCs w:val="24"/>
        </w:rPr>
        <w:t xml:space="preserve"> target for a function</w:t>
      </w:r>
      <w:r w:rsidRPr="007511B0">
        <w:rPr>
          <w:sz w:val="24"/>
          <w:szCs w:val="24"/>
        </w:rPr>
        <w:t xml:space="preserve"> in any month</w:t>
      </w:r>
      <w:r w:rsidR="00973ACD" w:rsidRPr="007511B0">
        <w:rPr>
          <w:sz w:val="24"/>
          <w:szCs w:val="24"/>
        </w:rPr>
        <w:t>,</w:t>
      </w:r>
      <w:r w:rsidRPr="007511B0">
        <w:rPr>
          <w:sz w:val="24"/>
          <w:szCs w:val="24"/>
        </w:rPr>
        <w:t xml:space="preserve"> ACSO</w:t>
      </w:r>
      <w:r w:rsidR="002F20D4" w:rsidRPr="007511B0">
        <w:rPr>
          <w:sz w:val="24"/>
          <w:szCs w:val="24"/>
        </w:rPr>
        <w:t xml:space="preserve"> COATS</w:t>
      </w:r>
      <w:r w:rsidRPr="007511B0">
        <w:rPr>
          <w:sz w:val="24"/>
          <w:szCs w:val="24"/>
        </w:rPr>
        <w:t xml:space="preserve"> </w:t>
      </w:r>
      <w:r w:rsidR="00E1333F" w:rsidRPr="007511B0">
        <w:rPr>
          <w:sz w:val="24"/>
          <w:szCs w:val="24"/>
        </w:rPr>
        <w:t xml:space="preserve">may </w:t>
      </w:r>
      <w:r w:rsidRPr="007511B0">
        <w:rPr>
          <w:sz w:val="24"/>
          <w:szCs w:val="24"/>
        </w:rPr>
        <w:t xml:space="preserve">pay an additional fee for each service provided, based on the forensic unit price for the particular product, as per fee for service arrangements. </w:t>
      </w:r>
    </w:p>
    <w:p w:rsidR="001C4C63" w:rsidRPr="007511B0" w:rsidRDefault="00423DEA" w:rsidP="00BF3276">
      <w:pPr>
        <w:spacing w:after="120" w:line="270" w:lineRule="atLeast"/>
        <w:ind w:left="0" w:firstLine="0"/>
        <w:rPr>
          <w:sz w:val="24"/>
          <w:szCs w:val="24"/>
        </w:rPr>
      </w:pPr>
      <w:r w:rsidRPr="007511B0">
        <w:rPr>
          <w:sz w:val="24"/>
          <w:szCs w:val="24"/>
        </w:rPr>
        <w:t>These</w:t>
      </w:r>
      <w:r w:rsidR="001C4C63" w:rsidRPr="007511B0">
        <w:rPr>
          <w:sz w:val="24"/>
          <w:szCs w:val="24"/>
        </w:rPr>
        <w:t xml:space="preserve"> will be </w:t>
      </w:r>
      <w:r w:rsidR="00E1333F" w:rsidRPr="007511B0">
        <w:rPr>
          <w:sz w:val="24"/>
          <w:szCs w:val="24"/>
        </w:rPr>
        <w:t xml:space="preserve">monitored </w:t>
      </w:r>
      <w:r w:rsidR="001C4C63" w:rsidRPr="007511B0">
        <w:rPr>
          <w:sz w:val="24"/>
          <w:szCs w:val="24"/>
        </w:rPr>
        <w:t>in</w:t>
      </w:r>
      <w:r w:rsidR="00AE7297" w:rsidRPr="007511B0">
        <w:rPr>
          <w:sz w:val="24"/>
          <w:szCs w:val="24"/>
        </w:rPr>
        <w:t xml:space="preserve"> light of the annual </w:t>
      </w:r>
      <w:r w:rsidRPr="007511B0">
        <w:rPr>
          <w:sz w:val="24"/>
          <w:szCs w:val="24"/>
        </w:rPr>
        <w:t>targets</w:t>
      </w:r>
      <w:r w:rsidR="00AE7297" w:rsidRPr="007511B0">
        <w:rPr>
          <w:sz w:val="24"/>
          <w:szCs w:val="24"/>
        </w:rPr>
        <w:t xml:space="preserve"> in </w:t>
      </w:r>
      <w:r w:rsidR="001C4C63" w:rsidRPr="007511B0">
        <w:rPr>
          <w:sz w:val="24"/>
          <w:szCs w:val="24"/>
        </w:rPr>
        <w:t>conjunction with ACSO</w:t>
      </w:r>
      <w:r w:rsidR="002F20D4" w:rsidRPr="007511B0">
        <w:rPr>
          <w:sz w:val="24"/>
          <w:szCs w:val="24"/>
        </w:rPr>
        <w:t xml:space="preserve"> COATS</w:t>
      </w:r>
      <w:r w:rsidR="001C4C63" w:rsidRPr="007511B0">
        <w:rPr>
          <w:sz w:val="24"/>
          <w:szCs w:val="24"/>
        </w:rPr>
        <w:t>’s monthly reconciliation for fee for service arrangements</w:t>
      </w:r>
      <w:r w:rsidR="00E1333F" w:rsidRPr="007511B0">
        <w:rPr>
          <w:sz w:val="24"/>
          <w:szCs w:val="24"/>
        </w:rPr>
        <w:t>, with possible funding adjustments where appropriate.</w:t>
      </w:r>
      <w:r w:rsidR="001C4C63" w:rsidRPr="007511B0">
        <w:rPr>
          <w:sz w:val="24"/>
          <w:szCs w:val="24"/>
        </w:rPr>
        <w:t xml:space="preserve"> </w:t>
      </w:r>
    </w:p>
    <w:p w:rsidR="001C4C63" w:rsidRPr="00247698" w:rsidRDefault="001C4C63" w:rsidP="00BF3276">
      <w:pPr>
        <w:spacing w:after="120" w:line="270" w:lineRule="atLeast"/>
        <w:ind w:left="0" w:firstLine="0"/>
        <w:rPr>
          <w:b/>
          <w:iCs/>
          <w:sz w:val="24"/>
          <w:szCs w:val="24"/>
        </w:rPr>
      </w:pPr>
    </w:p>
    <w:p w:rsidR="00B04E90" w:rsidRDefault="00B04E90" w:rsidP="007511B0">
      <w:pPr>
        <w:pStyle w:val="Heading3"/>
      </w:pPr>
      <w:r w:rsidRPr="000A6112">
        <w:t xml:space="preserve">Client </w:t>
      </w:r>
      <w:r w:rsidR="00247698">
        <w:t>c</w:t>
      </w:r>
      <w:r w:rsidR="00247698" w:rsidRPr="000A6112">
        <w:t xml:space="preserve">ontinuity </w:t>
      </w:r>
      <w:r w:rsidRPr="000A6112">
        <w:t xml:space="preserve">during </w:t>
      </w:r>
      <w:r w:rsidR="00247698">
        <w:t>t</w:t>
      </w:r>
      <w:r w:rsidR="00247698" w:rsidRPr="000A6112">
        <w:t>ransition</w:t>
      </w:r>
    </w:p>
    <w:p w:rsidR="00B04E90" w:rsidRPr="007511B0" w:rsidRDefault="00B04E90" w:rsidP="00BF3276">
      <w:pPr>
        <w:spacing w:after="120" w:line="270" w:lineRule="atLeast"/>
        <w:ind w:left="0" w:firstLine="0"/>
        <w:rPr>
          <w:sz w:val="24"/>
          <w:szCs w:val="24"/>
        </w:rPr>
      </w:pPr>
      <w:r w:rsidRPr="007511B0">
        <w:rPr>
          <w:sz w:val="24"/>
          <w:szCs w:val="24"/>
        </w:rPr>
        <w:t>To assist in ensuring timely access for forensic clients during the transition and early implementation period, all existing forensic AOD treatment providers will remain eligible to receive fee for service brokerage funding during 2014</w:t>
      </w:r>
      <w:r w:rsidR="00247698" w:rsidRPr="007511B0">
        <w:rPr>
          <w:sz w:val="24"/>
          <w:szCs w:val="24"/>
        </w:rPr>
        <w:t>–</w:t>
      </w:r>
      <w:r w:rsidRPr="007511B0">
        <w:rPr>
          <w:sz w:val="24"/>
          <w:szCs w:val="24"/>
        </w:rPr>
        <w:t xml:space="preserve">15. </w:t>
      </w:r>
    </w:p>
    <w:p w:rsidR="00B04E90" w:rsidRPr="007511B0" w:rsidRDefault="00B04E90" w:rsidP="00BF3276">
      <w:pPr>
        <w:spacing w:after="120" w:line="270" w:lineRule="atLeast"/>
        <w:ind w:left="0" w:firstLine="0"/>
        <w:rPr>
          <w:sz w:val="24"/>
          <w:szCs w:val="24"/>
        </w:rPr>
      </w:pPr>
      <w:r w:rsidRPr="007511B0">
        <w:rPr>
          <w:sz w:val="24"/>
          <w:szCs w:val="24"/>
        </w:rPr>
        <w:t>However, it is anticipated that as new adult non-residential service capacity is progressively established during the first half</w:t>
      </w:r>
      <w:r w:rsidR="00132261" w:rsidRPr="007511B0">
        <w:rPr>
          <w:sz w:val="24"/>
          <w:szCs w:val="24"/>
        </w:rPr>
        <w:t xml:space="preserve"> of</w:t>
      </w:r>
      <w:r w:rsidRPr="007511B0">
        <w:rPr>
          <w:sz w:val="24"/>
          <w:szCs w:val="24"/>
        </w:rPr>
        <w:t xml:space="preserve"> 2014</w:t>
      </w:r>
      <w:r w:rsidR="00247698" w:rsidRPr="007511B0">
        <w:rPr>
          <w:sz w:val="24"/>
          <w:szCs w:val="24"/>
        </w:rPr>
        <w:t>–</w:t>
      </w:r>
      <w:r w:rsidRPr="007511B0">
        <w:rPr>
          <w:sz w:val="24"/>
          <w:szCs w:val="24"/>
        </w:rPr>
        <w:t>15, the majority of referrals from ACSO</w:t>
      </w:r>
      <w:r w:rsidR="002F20D4" w:rsidRPr="007511B0">
        <w:rPr>
          <w:sz w:val="24"/>
          <w:szCs w:val="24"/>
        </w:rPr>
        <w:t xml:space="preserve"> COATS</w:t>
      </w:r>
      <w:r w:rsidRPr="007511B0">
        <w:rPr>
          <w:sz w:val="24"/>
          <w:szCs w:val="24"/>
        </w:rPr>
        <w:t xml:space="preserve"> will flow to the new approved providers in each catchment.</w:t>
      </w:r>
    </w:p>
    <w:p w:rsidR="00B04E90" w:rsidRDefault="00B04E90" w:rsidP="00BF3276">
      <w:pPr>
        <w:spacing w:after="120" w:line="270" w:lineRule="atLeast"/>
        <w:ind w:left="0" w:firstLine="0"/>
        <w:rPr>
          <w:sz w:val="24"/>
          <w:szCs w:val="24"/>
        </w:rPr>
      </w:pPr>
      <w:r w:rsidRPr="007511B0">
        <w:rPr>
          <w:sz w:val="24"/>
          <w:szCs w:val="24"/>
        </w:rPr>
        <w:t>New service delivery responsibilities will commence 1 September 2014 and until this time, clients will continue to receive services from their current provider/s.</w:t>
      </w:r>
    </w:p>
    <w:p w:rsidR="00247698" w:rsidRPr="007511B0" w:rsidRDefault="00247698" w:rsidP="00BF3276">
      <w:pPr>
        <w:spacing w:after="120" w:line="270" w:lineRule="atLeast"/>
        <w:ind w:left="0" w:firstLine="0"/>
        <w:rPr>
          <w:sz w:val="24"/>
          <w:szCs w:val="24"/>
        </w:rPr>
      </w:pPr>
    </w:p>
    <w:p w:rsidR="00B04E90" w:rsidRPr="00E31AC1" w:rsidRDefault="00B04E90" w:rsidP="007511B0">
      <w:pPr>
        <w:pStyle w:val="Heading3"/>
      </w:pPr>
      <w:r w:rsidRPr="00E31AC1">
        <w:t>Further i</w:t>
      </w:r>
      <w:r>
        <w:t>nformation</w:t>
      </w:r>
      <w:r w:rsidRPr="00E31AC1">
        <w:t xml:space="preserve"> </w:t>
      </w:r>
    </w:p>
    <w:p w:rsidR="00B04E90" w:rsidRPr="007511B0" w:rsidRDefault="00B04E90" w:rsidP="00BF3276">
      <w:pPr>
        <w:spacing w:after="120" w:line="270" w:lineRule="atLeast"/>
        <w:ind w:left="0" w:firstLine="0"/>
        <w:rPr>
          <w:sz w:val="24"/>
          <w:szCs w:val="24"/>
        </w:rPr>
      </w:pPr>
      <w:r w:rsidRPr="007511B0">
        <w:rPr>
          <w:sz w:val="24"/>
          <w:szCs w:val="24"/>
        </w:rPr>
        <w:t xml:space="preserve">ACSO </w:t>
      </w:r>
      <w:r w:rsidR="002F20D4" w:rsidRPr="007511B0">
        <w:rPr>
          <w:sz w:val="24"/>
          <w:szCs w:val="24"/>
        </w:rPr>
        <w:t xml:space="preserve">COATS </w:t>
      </w:r>
      <w:r w:rsidRPr="007511B0">
        <w:rPr>
          <w:sz w:val="24"/>
          <w:szCs w:val="24"/>
        </w:rPr>
        <w:t xml:space="preserve">will be working closely with all newly funded providers to assist in orientation to COATS processes and justice clients and providing a range of training opportunities and updated flow charts and fact sheets over the coming weeks. </w:t>
      </w:r>
    </w:p>
    <w:p w:rsidR="00B04E90" w:rsidRPr="007511B0" w:rsidRDefault="00B04E90" w:rsidP="00BF3276">
      <w:pPr>
        <w:spacing w:after="120" w:line="270" w:lineRule="atLeast"/>
        <w:ind w:left="0" w:firstLine="0"/>
        <w:rPr>
          <w:sz w:val="24"/>
          <w:szCs w:val="24"/>
        </w:rPr>
      </w:pPr>
      <w:r w:rsidRPr="007511B0">
        <w:rPr>
          <w:sz w:val="24"/>
          <w:szCs w:val="24"/>
        </w:rPr>
        <w:t xml:space="preserve">A list of frequently asked questions and answers is also being developed and will be regularly distributed to agencies to assist in understanding the processes involved for forensic clients. </w:t>
      </w:r>
    </w:p>
    <w:p w:rsidR="00874A3A" w:rsidRDefault="00874A3A" w:rsidP="00B04E90">
      <w:pPr>
        <w:spacing w:after="0" w:line="240" w:lineRule="auto"/>
        <w:ind w:left="-10" w:right="101" w:firstLine="0"/>
        <w:jc w:val="both"/>
        <w:rPr>
          <w:sz w:val="24"/>
          <w:szCs w:val="24"/>
        </w:rPr>
      </w:pPr>
    </w:p>
    <w:p w:rsidR="00874A3A" w:rsidRDefault="00874A3A" w:rsidP="00B04E90">
      <w:pPr>
        <w:spacing w:after="0" w:line="240" w:lineRule="auto"/>
        <w:ind w:left="-10" w:right="101" w:firstLine="0"/>
        <w:jc w:val="both"/>
        <w:rPr>
          <w:sz w:val="24"/>
          <w:szCs w:val="24"/>
        </w:rPr>
      </w:pPr>
    </w:p>
    <w:p w:rsidR="00874A3A" w:rsidRDefault="00874A3A" w:rsidP="00B04E90">
      <w:pPr>
        <w:spacing w:after="0" w:line="240" w:lineRule="auto"/>
        <w:ind w:left="-10" w:right="101" w:firstLine="0"/>
        <w:jc w:val="both"/>
        <w:rPr>
          <w:sz w:val="24"/>
          <w:szCs w:val="24"/>
        </w:rPr>
      </w:pPr>
    </w:p>
    <w:p w:rsidR="00874A3A" w:rsidRDefault="00874A3A" w:rsidP="00B04E90">
      <w:pPr>
        <w:spacing w:after="0" w:line="240" w:lineRule="auto"/>
        <w:ind w:left="-10" w:right="101" w:firstLine="0"/>
        <w:jc w:val="both"/>
        <w:rPr>
          <w:sz w:val="24"/>
          <w:szCs w:val="24"/>
        </w:rPr>
      </w:pPr>
    </w:p>
    <w:p w:rsidR="00766864" w:rsidRDefault="00766864" w:rsidP="00B04E90">
      <w:pPr>
        <w:spacing w:after="0" w:line="240" w:lineRule="auto"/>
        <w:ind w:left="-10" w:right="101" w:firstLine="0"/>
        <w:jc w:val="both"/>
        <w:rPr>
          <w:sz w:val="24"/>
          <w:szCs w:val="24"/>
        </w:rPr>
      </w:pPr>
    </w:p>
    <w:p w:rsidR="00766864" w:rsidRDefault="00766864" w:rsidP="00B04E90">
      <w:pPr>
        <w:spacing w:after="0" w:line="240" w:lineRule="auto"/>
        <w:ind w:left="-10" w:right="101" w:firstLine="0"/>
        <w:jc w:val="both"/>
        <w:rPr>
          <w:sz w:val="24"/>
          <w:szCs w:val="24"/>
        </w:rPr>
      </w:pPr>
    </w:p>
    <w:p w:rsidR="00766864" w:rsidRDefault="00766864" w:rsidP="00B04E90">
      <w:pPr>
        <w:spacing w:after="0" w:line="240" w:lineRule="auto"/>
        <w:ind w:left="-10" w:right="101" w:firstLine="0"/>
        <w:jc w:val="both"/>
        <w:rPr>
          <w:sz w:val="24"/>
          <w:szCs w:val="24"/>
        </w:rPr>
      </w:pPr>
    </w:p>
    <w:p w:rsidR="00766864" w:rsidRDefault="00766864" w:rsidP="00766864">
      <w:pPr>
        <w:spacing w:after="0" w:line="240" w:lineRule="auto"/>
        <w:ind w:left="-10" w:right="101" w:firstLine="0"/>
        <w:jc w:val="both"/>
      </w:pPr>
    </w:p>
    <w:p w:rsidR="00766864" w:rsidRPr="00C84D95" w:rsidRDefault="00766864" w:rsidP="00766864">
      <w:pPr>
        <w:pStyle w:val="Healthbody"/>
        <w:pBdr>
          <w:top w:val="single" w:sz="4" w:space="0" w:color="auto"/>
          <w:left w:val="single" w:sz="4" w:space="4" w:color="auto"/>
          <w:bottom w:val="single" w:sz="4" w:space="1" w:color="auto"/>
          <w:right w:val="single" w:sz="4" w:space="4" w:color="auto"/>
        </w:pBdr>
        <w:rPr>
          <w:rFonts w:cs="Arial"/>
          <w:sz w:val="24"/>
        </w:rPr>
      </w:pPr>
      <w:r w:rsidRPr="00C84D95">
        <w:rPr>
          <w:rFonts w:cs="Arial"/>
          <w:sz w:val="24"/>
        </w:rPr>
        <w:t xml:space="preserve">To receive this publication in an accessible format, email </w:t>
      </w:r>
      <w:hyperlink r:id="rId12" w:history="1">
        <w:r w:rsidRPr="00C84D95">
          <w:rPr>
            <w:rStyle w:val="Hyperlink"/>
            <w:rFonts w:cs="Arial"/>
            <w:sz w:val="24"/>
          </w:rPr>
          <w:t>aodreform@health.vic.gov.au</w:t>
        </w:r>
      </w:hyperlink>
      <w:r w:rsidRPr="00C84D95">
        <w:rPr>
          <w:rFonts w:cs="Arial"/>
          <w:sz w:val="24"/>
        </w:rPr>
        <w:t xml:space="preserve">. Authorised and published by the Victorian Government, 1 Treasury Place, Melbourne. </w:t>
      </w:r>
    </w:p>
    <w:p w:rsidR="00BF3276" w:rsidRDefault="00BF3276" w:rsidP="00B04E90">
      <w:pPr>
        <w:spacing w:after="0" w:line="240" w:lineRule="auto"/>
        <w:ind w:left="-10" w:right="101" w:firstLine="0"/>
        <w:jc w:val="both"/>
      </w:pPr>
    </w:p>
    <w:p w:rsidR="00BF3276" w:rsidRDefault="00BF3276" w:rsidP="00B04E90">
      <w:pPr>
        <w:spacing w:after="0" w:line="240" w:lineRule="auto"/>
        <w:ind w:left="-10" w:right="101" w:firstLine="0"/>
        <w:jc w:val="both"/>
      </w:pPr>
    </w:p>
    <w:p w:rsidR="00B04E90" w:rsidRDefault="00B04E90" w:rsidP="007511B0">
      <w:pPr>
        <w:spacing w:after="0" w:line="240" w:lineRule="auto"/>
        <w:ind w:left="0" w:right="101" w:firstLine="0"/>
        <w:jc w:val="both"/>
        <w:rPr>
          <w:b/>
          <w:bCs/>
          <w:color w:val="000000"/>
          <w:sz w:val="20"/>
          <w:lang w:eastAsia="en-AU"/>
        </w:rPr>
        <w:sectPr w:rsidR="00B04E90" w:rsidSect="00B04E90">
          <w:footerReference w:type="default" r:id="rId13"/>
          <w:type w:val="continuous"/>
          <w:pgSz w:w="11899" w:h="16838"/>
          <w:pgMar w:top="1134" w:right="1134" w:bottom="1134" w:left="851" w:header="454" w:footer="567" w:gutter="0"/>
          <w:cols w:space="708"/>
          <w:docGrid w:linePitch="245"/>
        </w:sectPr>
      </w:pPr>
    </w:p>
    <w:tbl>
      <w:tblPr>
        <w:tblpPr w:leftFromText="180" w:rightFromText="180" w:horzAnchor="margin" w:tblpY="851"/>
        <w:tblW w:w="14241" w:type="dxa"/>
        <w:tblLook w:val="04A0" w:firstRow="1" w:lastRow="0" w:firstColumn="1" w:lastColumn="0" w:noHBand="0" w:noVBand="1"/>
      </w:tblPr>
      <w:tblGrid>
        <w:gridCol w:w="5070"/>
        <w:gridCol w:w="1842"/>
        <w:gridCol w:w="2268"/>
        <w:gridCol w:w="3402"/>
        <w:gridCol w:w="1659"/>
      </w:tblGrid>
      <w:tr w:rsidR="00E1679F" w:rsidRPr="00FA27C9" w:rsidTr="00962C0E">
        <w:trPr>
          <w:trHeight w:val="383"/>
        </w:trPr>
        <w:tc>
          <w:tcPr>
            <w:tcW w:w="5070"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B04E90" w:rsidRPr="00FA27C9" w:rsidRDefault="00B04E90" w:rsidP="00132261">
            <w:pPr>
              <w:spacing w:after="0"/>
              <w:ind w:left="0"/>
              <w:rPr>
                <w:b/>
                <w:bCs/>
                <w:color w:val="000000"/>
                <w:sz w:val="20"/>
                <w:lang w:eastAsia="en-AU"/>
              </w:rPr>
            </w:pPr>
            <w:r w:rsidRPr="00FA27C9">
              <w:rPr>
                <w:b/>
                <w:bCs/>
                <w:color w:val="000000"/>
                <w:sz w:val="20"/>
                <w:lang w:eastAsia="en-AU"/>
              </w:rPr>
              <w:t>Product</w:t>
            </w:r>
            <w:r>
              <w:rPr>
                <w:b/>
                <w:bCs/>
                <w:color w:val="000000"/>
                <w:sz w:val="20"/>
                <w:lang w:eastAsia="en-AU"/>
              </w:rPr>
              <w:t>:</w:t>
            </w:r>
          </w:p>
        </w:tc>
        <w:tc>
          <w:tcPr>
            <w:tcW w:w="1842" w:type="dxa"/>
            <w:tcBorders>
              <w:top w:val="single" w:sz="8" w:space="0" w:color="auto"/>
              <w:left w:val="single" w:sz="8" w:space="0" w:color="auto"/>
              <w:bottom w:val="single" w:sz="8" w:space="0" w:color="000000"/>
              <w:right w:val="single" w:sz="8" w:space="0" w:color="auto"/>
            </w:tcBorders>
            <w:shd w:val="clear" w:color="000000" w:fill="D8D8D8"/>
            <w:vAlign w:val="center"/>
            <w:hideMark/>
          </w:tcPr>
          <w:p w:rsidR="00B04E90" w:rsidRPr="00FA27C9" w:rsidRDefault="00B04E90" w:rsidP="00132261">
            <w:pPr>
              <w:spacing w:after="0"/>
              <w:ind w:left="0"/>
              <w:rPr>
                <w:b/>
                <w:bCs/>
                <w:color w:val="000000"/>
                <w:sz w:val="20"/>
                <w:lang w:eastAsia="en-AU"/>
              </w:rPr>
            </w:pPr>
            <w:r>
              <w:rPr>
                <w:b/>
                <w:bCs/>
                <w:color w:val="000000"/>
                <w:sz w:val="20"/>
                <w:lang w:eastAsia="en-AU"/>
              </w:rPr>
              <w:t>D</w:t>
            </w:r>
            <w:r w:rsidRPr="00FA27C9">
              <w:rPr>
                <w:b/>
                <w:bCs/>
                <w:color w:val="000000"/>
                <w:sz w:val="20"/>
                <w:lang w:eastAsia="en-AU"/>
              </w:rPr>
              <w:t>TAU</w:t>
            </w:r>
            <w:r>
              <w:rPr>
                <w:b/>
                <w:bCs/>
                <w:color w:val="000000"/>
                <w:sz w:val="20"/>
                <w:lang w:eastAsia="en-AU"/>
              </w:rPr>
              <w:t>s</w:t>
            </w:r>
            <w:r w:rsidRPr="00FA27C9">
              <w:rPr>
                <w:b/>
                <w:bCs/>
                <w:color w:val="000000"/>
                <w:sz w:val="20"/>
                <w:lang w:eastAsia="en-AU"/>
              </w:rPr>
              <w:t xml:space="preserve"> </w:t>
            </w:r>
            <w:r>
              <w:rPr>
                <w:b/>
                <w:bCs/>
                <w:color w:val="000000"/>
                <w:sz w:val="20"/>
                <w:lang w:eastAsia="en-AU"/>
              </w:rPr>
              <w:t>P</w:t>
            </w:r>
            <w:r w:rsidRPr="00FA27C9">
              <w:rPr>
                <w:b/>
                <w:bCs/>
                <w:color w:val="000000"/>
                <w:sz w:val="20"/>
                <w:lang w:eastAsia="en-AU"/>
              </w:rPr>
              <w:t xml:space="preserve">er </w:t>
            </w:r>
            <w:r>
              <w:rPr>
                <w:b/>
                <w:bCs/>
                <w:color w:val="000000"/>
                <w:sz w:val="20"/>
                <w:lang w:eastAsia="en-AU"/>
              </w:rPr>
              <w:t>Unit Of Activity (Weighting):</w:t>
            </w:r>
          </w:p>
        </w:tc>
        <w:tc>
          <w:tcPr>
            <w:tcW w:w="2268" w:type="dxa"/>
            <w:tcBorders>
              <w:top w:val="single" w:sz="8" w:space="0" w:color="auto"/>
              <w:left w:val="nil"/>
              <w:bottom w:val="single" w:sz="4" w:space="0" w:color="auto"/>
              <w:right w:val="single" w:sz="8" w:space="0" w:color="auto"/>
            </w:tcBorders>
            <w:shd w:val="clear" w:color="000000" w:fill="D8D8D8"/>
            <w:vAlign w:val="center"/>
            <w:hideMark/>
          </w:tcPr>
          <w:p w:rsidR="00B04E90" w:rsidRPr="00FA27C9" w:rsidRDefault="00B04E90" w:rsidP="00132261">
            <w:pPr>
              <w:spacing w:after="0"/>
              <w:ind w:left="0"/>
              <w:rPr>
                <w:b/>
                <w:bCs/>
                <w:color w:val="000000"/>
                <w:sz w:val="20"/>
                <w:lang w:eastAsia="en-AU"/>
              </w:rPr>
            </w:pPr>
            <w:r w:rsidRPr="00FA27C9">
              <w:rPr>
                <w:b/>
                <w:bCs/>
                <w:color w:val="000000"/>
                <w:sz w:val="20"/>
                <w:lang w:eastAsia="en-AU"/>
              </w:rPr>
              <w:t>Price</w:t>
            </w:r>
            <w:r>
              <w:rPr>
                <w:b/>
                <w:bCs/>
                <w:color w:val="000000"/>
                <w:sz w:val="20"/>
                <w:lang w:eastAsia="en-AU"/>
              </w:rPr>
              <w:t>:</w:t>
            </w:r>
          </w:p>
          <w:p w:rsidR="00B04E90" w:rsidRPr="00FA27C9" w:rsidRDefault="00B04E90" w:rsidP="00132261">
            <w:pPr>
              <w:spacing w:after="0"/>
              <w:ind w:left="0"/>
              <w:rPr>
                <w:b/>
                <w:bCs/>
                <w:color w:val="000000"/>
                <w:sz w:val="20"/>
                <w:lang w:eastAsia="en-AU"/>
              </w:rPr>
            </w:pPr>
            <w:r w:rsidRPr="00FA27C9">
              <w:rPr>
                <w:b/>
                <w:bCs/>
                <w:color w:val="000000"/>
                <w:sz w:val="20"/>
                <w:lang w:eastAsia="en-AU"/>
              </w:rPr>
              <w:t>2013</w:t>
            </w:r>
            <w:r>
              <w:rPr>
                <w:b/>
                <w:bCs/>
                <w:color w:val="000000"/>
                <w:sz w:val="20"/>
                <w:lang w:eastAsia="en-AU"/>
              </w:rPr>
              <w:t>-</w:t>
            </w:r>
            <w:r w:rsidRPr="00FA27C9">
              <w:rPr>
                <w:b/>
                <w:bCs/>
                <w:color w:val="000000"/>
                <w:sz w:val="20"/>
                <w:lang w:eastAsia="en-AU"/>
              </w:rPr>
              <w:t>14</w:t>
            </w:r>
            <w:r>
              <w:rPr>
                <w:rStyle w:val="FootnoteReference"/>
                <w:b/>
                <w:bCs/>
                <w:color w:val="000000"/>
                <w:sz w:val="20"/>
                <w:lang w:eastAsia="en-AU"/>
              </w:rPr>
              <w:footnoteReference w:id="1"/>
            </w:r>
          </w:p>
          <w:p w:rsidR="00B04E90" w:rsidRPr="00FA27C9" w:rsidRDefault="00B04E90" w:rsidP="00132261">
            <w:pPr>
              <w:spacing w:after="0"/>
              <w:ind w:left="0"/>
              <w:rPr>
                <w:b/>
                <w:bCs/>
                <w:color w:val="000000"/>
                <w:sz w:val="20"/>
                <w:lang w:eastAsia="en-AU"/>
              </w:rPr>
            </w:pPr>
          </w:p>
        </w:tc>
        <w:tc>
          <w:tcPr>
            <w:tcW w:w="3402" w:type="dxa"/>
            <w:tcBorders>
              <w:top w:val="single" w:sz="8" w:space="0" w:color="auto"/>
              <w:left w:val="nil"/>
              <w:bottom w:val="single" w:sz="4" w:space="0" w:color="auto"/>
              <w:right w:val="single" w:sz="8" w:space="0" w:color="auto"/>
            </w:tcBorders>
            <w:shd w:val="clear" w:color="000000" w:fill="D8D8D8"/>
            <w:vAlign w:val="center"/>
          </w:tcPr>
          <w:p w:rsidR="00B04E90" w:rsidRPr="00896616" w:rsidRDefault="00B04E90" w:rsidP="00132261">
            <w:pPr>
              <w:spacing w:after="0"/>
              <w:ind w:left="0"/>
              <w:rPr>
                <w:b/>
                <w:bCs/>
                <w:i/>
                <w:color w:val="000000"/>
                <w:sz w:val="20"/>
                <w:lang w:eastAsia="en-AU"/>
              </w:rPr>
            </w:pPr>
            <w:r w:rsidRPr="00896616">
              <w:rPr>
                <w:b/>
                <w:bCs/>
                <w:i/>
                <w:color w:val="000000"/>
                <w:sz w:val="20"/>
                <w:lang w:eastAsia="en-AU"/>
              </w:rPr>
              <w:t>Forensic clients</w:t>
            </w:r>
          </w:p>
          <w:p w:rsidR="00B04E90" w:rsidRPr="00FA27C9" w:rsidRDefault="00B04E90" w:rsidP="00132261">
            <w:pPr>
              <w:spacing w:after="0"/>
              <w:ind w:left="-10" w:firstLine="0"/>
              <w:rPr>
                <w:b/>
                <w:bCs/>
                <w:color w:val="000000"/>
                <w:sz w:val="20"/>
                <w:lang w:eastAsia="en-AU"/>
              </w:rPr>
            </w:pPr>
            <w:r w:rsidRPr="00FA27C9">
              <w:rPr>
                <w:b/>
                <w:bCs/>
                <w:color w:val="000000"/>
                <w:sz w:val="20"/>
                <w:lang w:eastAsia="en-AU"/>
              </w:rPr>
              <w:t>DTAU</w:t>
            </w:r>
            <w:r>
              <w:rPr>
                <w:b/>
                <w:bCs/>
                <w:color w:val="000000"/>
                <w:sz w:val="20"/>
                <w:lang w:eastAsia="en-AU"/>
              </w:rPr>
              <w:t>s</w:t>
            </w:r>
            <w:r w:rsidRPr="00FA27C9">
              <w:rPr>
                <w:b/>
                <w:bCs/>
                <w:color w:val="000000"/>
                <w:sz w:val="20"/>
                <w:lang w:eastAsia="en-AU"/>
              </w:rPr>
              <w:t xml:space="preserve"> </w:t>
            </w:r>
            <w:r>
              <w:rPr>
                <w:b/>
                <w:bCs/>
                <w:color w:val="000000"/>
                <w:sz w:val="20"/>
                <w:lang w:eastAsia="en-AU"/>
              </w:rPr>
              <w:t>P</w:t>
            </w:r>
            <w:r w:rsidRPr="00FA27C9">
              <w:rPr>
                <w:b/>
                <w:bCs/>
                <w:color w:val="000000"/>
                <w:sz w:val="20"/>
                <w:lang w:eastAsia="en-AU"/>
              </w:rPr>
              <w:t xml:space="preserve">er </w:t>
            </w:r>
            <w:r>
              <w:rPr>
                <w:b/>
                <w:bCs/>
                <w:color w:val="000000"/>
                <w:sz w:val="20"/>
                <w:lang w:eastAsia="en-AU"/>
              </w:rPr>
              <w:t>Unit Of Activity (Weighting + 15% forensic loading)</w:t>
            </w:r>
          </w:p>
        </w:tc>
        <w:tc>
          <w:tcPr>
            <w:tcW w:w="1659" w:type="dxa"/>
            <w:tcBorders>
              <w:top w:val="single" w:sz="8" w:space="0" w:color="auto"/>
              <w:left w:val="nil"/>
              <w:bottom w:val="single" w:sz="4" w:space="0" w:color="auto"/>
              <w:right w:val="single" w:sz="8" w:space="0" w:color="auto"/>
            </w:tcBorders>
            <w:shd w:val="clear" w:color="000000" w:fill="D8D8D8"/>
            <w:vAlign w:val="center"/>
          </w:tcPr>
          <w:p w:rsidR="00B04E90" w:rsidRPr="00FA27C9" w:rsidRDefault="00B04E90" w:rsidP="00132261">
            <w:pPr>
              <w:spacing w:after="0"/>
              <w:ind w:left="0"/>
              <w:rPr>
                <w:b/>
                <w:bCs/>
                <w:color w:val="000000"/>
                <w:sz w:val="20"/>
                <w:lang w:eastAsia="en-AU"/>
              </w:rPr>
            </w:pPr>
            <w:r w:rsidRPr="00896616">
              <w:rPr>
                <w:b/>
                <w:bCs/>
                <w:i/>
                <w:color w:val="000000"/>
                <w:sz w:val="20"/>
                <w:lang w:eastAsia="en-AU"/>
              </w:rPr>
              <w:t>Forensic price</w:t>
            </w:r>
            <w:r>
              <w:rPr>
                <w:b/>
                <w:bCs/>
                <w:color w:val="000000"/>
                <w:sz w:val="20"/>
                <w:lang w:eastAsia="en-AU"/>
              </w:rPr>
              <w:t>:</w:t>
            </w:r>
          </w:p>
          <w:p w:rsidR="00B04E90" w:rsidRPr="00FA27C9" w:rsidRDefault="00B04E90" w:rsidP="00132261">
            <w:pPr>
              <w:spacing w:after="0"/>
              <w:ind w:left="0"/>
              <w:rPr>
                <w:b/>
                <w:bCs/>
                <w:color w:val="000000"/>
                <w:sz w:val="20"/>
                <w:lang w:eastAsia="en-AU"/>
              </w:rPr>
            </w:pPr>
            <w:r w:rsidRPr="00FA27C9">
              <w:rPr>
                <w:b/>
                <w:bCs/>
                <w:color w:val="000000"/>
                <w:sz w:val="20"/>
                <w:lang w:eastAsia="en-AU"/>
              </w:rPr>
              <w:t>2013</w:t>
            </w:r>
            <w:r>
              <w:rPr>
                <w:b/>
                <w:bCs/>
                <w:color w:val="000000"/>
                <w:sz w:val="20"/>
                <w:lang w:eastAsia="en-AU"/>
              </w:rPr>
              <w:t>-</w:t>
            </w:r>
            <w:r w:rsidRPr="00FA27C9">
              <w:rPr>
                <w:b/>
                <w:bCs/>
                <w:color w:val="000000"/>
                <w:sz w:val="20"/>
                <w:lang w:eastAsia="en-AU"/>
              </w:rPr>
              <w:t>14</w:t>
            </w:r>
          </w:p>
          <w:p w:rsidR="00B04E90" w:rsidRPr="00FA27C9" w:rsidRDefault="00B04E90" w:rsidP="00132261">
            <w:pPr>
              <w:spacing w:after="0"/>
              <w:ind w:left="0"/>
              <w:rPr>
                <w:b/>
                <w:bCs/>
                <w:color w:val="000000"/>
                <w:sz w:val="20"/>
                <w:lang w:eastAsia="en-AU"/>
              </w:rPr>
            </w:pPr>
          </w:p>
        </w:tc>
      </w:tr>
      <w:tr w:rsidR="00E1679F" w:rsidRPr="00FA27C9" w:rsidTr="00962C0E">
        <w:trPr>
          <w:trHeight w:val="206"/>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sidRPr="00FA27C9">
              <w:rPr>
                <w:color w:val="000000"/>
                <w:sz w:val="20"/>
                <w:lang w:eastAsia="en-AU"/>
              </w:rPr>
              <w:t xml:space="preserve">Intake &amp; Referral – Phone Contact </w:t>
            </w:r>
          </w:p>
          <w:p w:rsidR="00B04E90" w:rsidRPr="008379F7" w:rsidRDefault="00B04E90" w:rsidP="00132261">
            <w:pPr>
              <w:spacing w:after="0"/>
              <w:ind w:left="0"/>
              <w:rPr>
                <w:color w:val="0000CC"/>
                <w:sz w:val="20"/>
                <w:lang w:eastAsia="en-AU"/>
              </w:rPr>
            </w:pPr>
            <w:r w:rsidRPr="008379F7">
              <w:rPr>
                <w:color w:val="0000CC"/>
                <w:sz w:val="20"/>
                <w:lang w:eastAsia="en-AU"/>
              </w:rPr>
              <w:t>(Completed Referral)</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0.091</w:t>
            </w:r>
          </w:p>
        </w:tc>
        <w:tc>
          <w:tcPr>
            <w:tcW w:w="2268" w:type="dxa"/>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xml:space="preserve">$   </w:t>
            </w:r>
            <w:r w:rsidRPr="00FA27C9">
              <w:rPr>
                <w:color w:val="000000"/>
                <w:sz w:val="20"/>
                <w:lang w:eastAsia="en-AU"/>
              </w:rPr>
              <w:t>58.60</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0.105</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67.62</w:t>
            </w:r>
          </w:p>
        </w:tc>
      </w:tr>
      <w:tr w:rsidR="00E1679F" w:rsidRPr="00FA27C9" w:rsidTr="00962C0E">
        <w:trPr>
          <w:trHeight w:val="202"/>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sidRPr="00FA27C9">
              <w:rPr>
                <w:color w:val="000000"/>
                <w:sz w:val="20"/>
                <w:lang w:eastAsia="en-AU"/>
              </w:rPr>
              <w:t>Intake &amp; Referral - Face To Face</w:t>
            </w:r>
          </w:p>
          <w:p w:rsidR="00B04E90" w:rsidRPr="008379F7" w:rsidRDefault="00B04E90" w:rsidP="00132261">
            <w:pPr>
              <w:spacing w:after="0"/>
              <w:ind w:left="0"/>
              <w:rPr>
                <w:color w:val="0000CC"/>
                <w:sz w:val="20"/>
                <w:lang w:eastAsia="en-AU"/>
              </w:rPr>
            </w:pPr>
            <w:r w:rsidRPr="008379F7">
              <w:rPr>
                <w:color w:val="0000CC"/>
                <w:sz w:val="20"/>
                <w:lang w:eastAsia="en-AU"/>
              </w:rPr>
              <w:t>(Completed Referral)</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0.091</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xml:space="preserve">$   </w:t>
            </w:r>
            <w:r w:rsidRPr="00FA27C9">
              <w:rPr>
                <w:color w:val="000000"/>
                <w:sz w:val="20"/>
                <w:lang w:eastAsia="en-AU"/>
              </w:rPr>
              <w:t>58.60</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0.105</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67.62</w:t>
            </w:r>
          </w:p>
        </w:tc>
      </w:tr>
      <w:tr w:rsidR="00E1679F" w:rsidRPr="00FA27C9" w:rsidTr="00962C0E">
        <w:trPr>
          <w:trHeight w:val="202"/>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sidRPr="00FA27C9">
              <w:rPr>
                <w:color w:val="000000"/>
                <w:sz w:val="20"/>
                <w:lang w:eastAsia="en-AU"/>
              </w:rPr>
              <w:t>Intake &amp; Referral - Via Internet</w:t>
            </w:r>
          </w:p>
          <w:p w:rsidR="00B04E90" w:rsidRPr="008379F7" w:rsidRDefault="00B04E90" w:rsidP="00132261">
            <w:pPr>
              <w:spacing w:after="0"/>
              <w:ind w:left="0"/>
              <w:rPr>
                <w:color w:val="0000CC"/>
                <w:sz w:val="20"/>
                <w:lang w:eastAsia="en-AU"/>
              </w:rPr>
            </w:pPr>
            <w:r w:rsidRPr="008379F7">
              <w:rPr>
                <w:color w:val="0000CC"/>
                <w:sz w:val="20"/>
                <w:lang w:eastAsia="en-AU"/>
              </w:rPr>
              <w:t>(Completed Referral)</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0.072</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46.37</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sidRPr="00FA27C9">
              <w:rPr>
                <w:color w:val="000000"/>
                <w:sz w:val="20"/>
                <w:lang w:eastAsia="en-AU"/>
              </w:rPr>
              <w:t>0.0</w:t>
            </w:r>
            <w:r>
              <w:rPr>
                <w:color w:val="000000"/>
                <w:sz w:val="20"/>
                <w:lang w:eastAsia="en-AU"/>
              </w:rPr>
              <w:t>83</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53.45</w:t>
            </w:r>
          </w:p>
        </w:tc>
      </w:tr>
      <w:tr w:rsidR="00E1679F" w:rsidRPr="00FA27C9" w:rsidTr="00962C0E">
        <w:trPr>
          <w:trHeight w:val="291"/>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sidRPr="00FA27C9">
              <w:rPr>
                <w:color w:val="000000"/>
                <w:sz w:val="20"/>
                <w:lang w:eastAsia="en-AU"/>
              </w:rPr>
              <w:t>Comprehensive Assessment &amp; Initial Treatment Plan</w:t>
            </w:r>
          </w:p>
          <w:p w:rsidR="00B04E90" w:rsidRPr="008379F7" w:rsidRDefault="00B04E90" w:rsidP="00132261">
            <w:pPr>
              <w:spacing w:after="0"/>
              <w:ind w:left="0"/>
              <w:rPr>
                <w:color w:val="0000CC"/>
                <w:sz w:val="20"/>
                <w:lang w:eastAsia="en-AU"/>
              </w:rPr>
            </w:pPr>
            <w:r w:rsidRPr="008379F7">
              <w:rPr>
                <w:color w:val="0000CC"/>
                <w:sz w:val="20"/>
                <w:lang w:eastAsia="en-AU"/>
              </w:rPr>
              <w:t>(Comprehensive Assessment &amp; Initial Treatment Plan)</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0.781</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502.96</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sidRPr="00FA27C9">
              <w:rPr>
                <w:color w:val="000000"/>
                <w:sz w:val="20"/>
                <w:lang w:eastAsia="en-AU"/>
              </w:rPr>
              <w:t>0.</w:t>
            </w:r>
            <w:r>
              <w:rPr>
                <w:color w:val="000000"/>
                <w:sz w:val="20"/>
                <w:lang w:eastAsia="en-AU"/>
              </w:rPr>
              <w:t>898</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xml:space="preserve">$   </w:t>
            </w:r>
            <w:r w:rsidRPr="00FA27C9">
              <w:rPr>
                <w:color w:val="000000"/>
                <w:sz w:val="20"/>
                <w:lang w:eastAsia="en-AU"/>
              </w:rPr>
              <w:t>5</w:t>
            </w:r>
            <w:r>
              <w:rPr>
                <w:color w:val="000000"/>
                <w:sz w:val="20"/>
                <w:lang w:eastAsia="en-AU"/>
              </w:rPr>
              <w:t>78.31</w:t>
            </w:r>
          </w:p>
        </w:tc>
      </w:tr>
      <w:tr w:rsidR="00E1679F" w:rsidRPr="00FA27C9" w:rsidTr="00962C0E">
        <w:trPr>
          <w:trHeight w:val="206"/>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sidRPr="00FA27C9">
              <w:rPr>
                <w:color w:val="000000"/>
                <w:sz w:val="20"/>
                <w:lang w:eastAsia="en-AU"/>
              </w:rPr>
              <w:t>Care &amp; Recovery Coordination</w:t>
            </w:r>
          </w:p>
          <w:p w:rsidR="00B04E90" w:rsidRPr="008379F7" w:rsidRDefault="00B04E90" w:rsidP="00132261">
            <w:pPr>
              <w:spacing w:after="0"/>
              <w:ind w:left="0"/>
              <w:rPr>
                <w:color w:val="0000CC"/>
                <w:sz w:val="20"/>
                <w:lang w:eastAsia="en-AU"/>
              </w:rPr>
            </w:pPr>
            <w:r w:rsidRPr="008379F7">
              <w:rPr>
                <w:color w:val="0000CC"/>
                <w:sz w:val="20"/>
                <w:lang w:eastAsia="en-AU"/>
              </w:rPr>
              <w:t>(Course Of Coordination)</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2.222</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1430.97</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sidRPr="00FA27C9">
              <w:rPr>
                <w:color w:val="000000"/>
                <w:sz w:val="20"/>
                <w:lang w:eastAsia="en-AU"/>
              </w:rPr>
              <w:t>2.</w:t>
            </w:r>
            <w:r>
              <w:rPr>
                <w:color w:val="000000"/>
                <w:sz w:val="20"/>
                <w:lang w:eastAsia="en-AU"/>
              </w:rPr>
              <w:t>555</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xml:space="preserve">$   </w:t>
            </w:r>
            <w:r w:rsidRPr="00FA27C9">
              <w:rPr>
                <w:color w:val="000000"/>
                <w:sz w:val="20"/>
                <w:lang w:eastAsia="en-AU"/>
              </w:rPr>
              <w:t>1</w:t>
            </w:r>
            <w:r>
              <w:rPr>
                <w:color w:val="000000"/>
                <w:sz w:val="20"/>
                <w:lang w:eastAsia="en-AU"/>
              </w:rPr>
              <w:t>645.42</w:t>
            </w:r>
          </w:p>
        </w:tc>
      </w:tr>
      <w:tr w:rsidR="00E1679F" w:rsidRPr="00FA27C9" w:rsidTr="00962C0E">
        <w:trPr>
          <w:trHeight w:val="206"/>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Pr>
                <w:color w:val="000000"/>
                <w:sz w:val="20"/>
                <w:lang w:eastAsia="en-AU"/>
              </w:rPr>
              <w:t>Counselling</w:t>
            </w:r>
            <w:r w:rsidRPr="00FA27C9">
              <w:rPr>
                <w:color w:val="000000"/>
                <w:sz w:val="20"/>
                <w:lang w:eastAsia="en-AU"/>
              </w:rPr>
              <w:t xml:space="preserve"> </w:t>
            </w:r>
            <w:r>
              <w:rPr>
                <w:color w:val="000000"/>
                <w:sz w:val="20"/>
                <w:lang w:eastAsia="en-AU"/>
              </w:rPr>
              <w:t>–</w:t>
            </w:r>
            <w:r w:rsidRPr="00FA27C9">
              <w:rPr>
                <w:color w:val="000000"/>
                <w:sz w:val="20"/>
                <w:lang w:eastAsia="en-AU"/>
              </w:rPr>
              <w:t xml:space="preserve"> Standard</w:t>
            </w:r>
          </w:p>
          <w:p w:rsidR="00B04E90" w:rsidRPr="008379F7" w:rsidRDefault="00B04E90" w:rsidP="00132261">
            <w:pPr>
              <w:spacing w:after="0"/>
              <w:ind w:left="0"/>
              <w:rPr>
                <w:color w:val="0000CC"/>
                <w:sz w:val="20"/>
                <w:lang w:eastAsia="en-AU"/>
              </w:rPr>
            </w:pPr>
            <w:r>
              <w:rPr>
                <w:color w:val="0000CC"/>
                <w:sz w:val="20"/>
                <w:lang w:eastAsia="en-AU"/>
              </w:rPr>
              <w:t>(Course Of Counselling</w:t>
            </w:r>
            <w:r w:rsidRPr="008379F7">
              <w:rPr>
                <w:color w:val="0000CC"/>
                <w:sz w:val="20"/>
                <w:lang w:eastAsia="en-AU"/>
              </w:rPr>
              <w:t>)</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0.91</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586.04</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1</w:t>
            </w:r>
            <w:r w:rsidRPr="00FA27C9">
              <w:rPr>
                <w:color w:val="000000"/>
                <w:sz w:val="20"/>
                <w:lang w:eastAsia="en-AU"/>
              </w:rPr>
              <w:t>.</w:t>
            </w:r>
            <w:r>
              <w:rPr>
                <w:color w:val="000000"/>
                <w:sz w:val="20"/>
                <w:lang w:eastAsia="en-AU"/>
              </w:rPr>
              <w:t>047</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674.27</w:t>
            </w:r>
          </w:p>
        </w:tc>
      </w:tr>
      <w:tr w:rsidR="00E1679F" w:rsidRPr="00FA27C9" w:rsidTr="00962C0E">
        <w:trPr>
          <w:trHeight w:val="206"/>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Pr>
                <w:color w:val="000000"/>
                <w:sz w:val="20"/>
                <w:lang w:eastAsia="en-AU"/>
              </w:rPr>
              <w:t>Counselling</w:t>
            </w:r>
            <w:r w:rsidRPr="00FA27C9">
              <w:rPr>
                <w:color w:val="000000"/>
                <w:sz w:val="20"/>
                <w:lang w:eastAsia="en-AU"/>
              </w:rPr>
              <w:t xml:space="preserve"> </w:t>
            </w:r>
            <w:r>
              <w:rPr>
                <w:color w:val="000000"/>
                <w:sz w:val="20"/>
                <w:lang w:eastAsia="en-AU"/>
              </w:rPr>
              <w:t>–</w:t>
            </w:r>
            <w:r w:rsidRPr="00FA27C9">
              <w:rPr>
                <w:color w:val="000000"/>
                <w:sz w:val="20"/>
                <w:lang w:eastAsia="en-AU"/>
              </w:rPr>
              <w:t xml:space="preserve"> Complex</w:t>
            </w:r>
          </w:p>
          <w:p w:rsidR="00B04E90" w:rsidRPr="008379F7" w:rsidRDefault="00B04E90" w:rsidP="00132261">
            <w:pPr>
              <w:spacing w:after="0"/>
              <w:ind w:left="0"/>
              <w:rPr>
                <w:color w:val="0000CC"/>
                <w:sz w:val="20"/>
                <w:lang w:eastAsia="en-AU"/>
              </w:rPr>
            </w:pPr>
            <w:r>
              <w:rPr>
                <w:color w:val="0000CC"/>
                <w:sz w:val="20"/>
                <w:lang w:eastAsia="en-AU"/>
              </w:rPr>
              <w:t>(Course Of Counselling</w:t>
            </w:r>
            <w:r w:rsidRPr="008379F7">
              <w:rPr>
                <w:color w:val="0000CC"/>
                <w:sz w:val="20"/>
                <w:lang w:eastAsia="en-AU"/>
              </w:rPr>
              <w:t>)</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3.414</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2198.62</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3.926</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2528.34</w:t>
            </w:r>
          </w:p>
        </w:tc>
      </w:tr>
      <w:tr w:rsidR="00E1679F" w:rsidRPr="00FA27C9" w:rsidTr="00962C0E">
        <w:trPr>
          <w:trHeight w:val="202"/>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sidRPr="00FA27C9">
              <w:rPr>
                <w:color w:val="000000"/>
                <w:sz w:val="20"/>
                <w:lang w:eastAsia="en-AU"/>
              </w:rPr>
              <w:t>Withdrawal - Non Residential - Standard</w:t>
            </w:r>
          </w:p>
          <w:p w:rsidR="00B04E90" w:rsidRPr="008379F7" w:rsidRDefault="00B04E90" w:rsidP="00132261">
            <w:pPr>
              <w:spacing w:after="0"/>
              <w:ind w:left="0"/>
              <w:rPr>
                <w:color w:val="0000CC"/>
                <w:sz w:val="20"/>
                <w:lang w:eastAsia="en-AU"/>
              </w:rPr>
            </w:pPr>
            <w:r w:rsidRPr="008379F7">
              <w:rPr>
                <w:color w:val="0000CC"/>
                <w:sz w:val="20"/>
                <w:lang w:eastAsia="en-AU"/>
              </w:rPr>
              <w:t>(Course of Withdrawal)</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0.849</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546.76</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0.976</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628.54</w:t>
            </w:r>
          </w:p>
        </w:tc>
      </w:tr>
      <w:tr w:rsidR="00E1679F" w:rsidRPr="00FA27C9" w:rsidTr="00962C0E">
        <w:trPr>
          <w:trHeight w:val="202"/>
        </w:trPr>
        <w:tc>
          <w:tcPr>
            <w:tcW w:w="5070" w:type="dxa"/>
            <w:tcBorders>
              <w:top w:val="nil"/>
              <w:left w:val="single" w:sz="8" w:space="0" w:color="auto"/>
              <w:bottom w:val="single" w:sz="8" w:space="0" w:color="000000"/>
              <w:right w:val="single" w:sz="8" w:space="0" w:color="auto"/>
            </w:tcBorders>
            <w:shd w:val="clear" w:color="000000" w:fill="FFFFFF"/>
            <w:vAlign w:val="center"/>
            <w:hideMark/>
          </w:tcPr>
          <w:p w:rsidR="00B04E90" w:rsidRDefault="00B04E90" w:rsidP="00132261">
            <w:pPr>
              <w:spacing w:after="0"/>
              <w:ind w:left="0"/>
              <w:rPr>
                <w:color w:val="000000"/>
                <w:sz w:val="20"/>
                <w:lang w:eastAsia="en-AU"/>
              </w:rPr>
            </w:pPr>
            <w:r w:rsidRPr="00FA27C9">
              <w:rPr>
                <w:color w:val="000000"/>
                <w:sz w:val="20"/>
                <w:lang w:eastAsia="en-AU"/>
              </w:rPr>
              <w:t>Withdrawal - Non Residential - Complex</w:t>
            </w:r>
          </w:p>
          <w:p w:rsidR="00B04E90" w:rsidRPr="008379F7" w:rsidRDefault="00B04E90" w:rsidP="00132261">
            <w:pPr>
              <w:spacing w:after="0"/>
              <w:ind w:left="0"/>
              <w:rPr>
                <w:color w:val="0000CC"/>
                <w:sz w:val="20"/>
                <w:lang w:eastAsia="en-AU"/>
              </w:rPr>
            </w:pPr>
            <w:r w:rsidRPr="008379F7">
              <w:rPr>
                <w:color w:val="0000CC"/>
                <w:sz w:val="20"/>
                <w:lang w:eastAsia="en-AU"/>
              </w:rPr>
              <w:t>(Course of Withdrawal)</w:t>
            </w:r>
          </w:p>
        </w:tc>
        <w:tc>
          <w:tcPr>
            <w:tcW w:w="1842" w:type="dxa"/>
            <w:tcBorders>
              <w:top w:val="nil"/>
              <w:left w:val="single" w:sz="8" w:space="0" w:color="auto"/>
              <w:bottom w:val="single" w:sz="8" w:space="0" w:color="000000"/>
              <w:right w:val="single" w:sz="8" w:space="0" w:color="auto"/>
            </w:tcBorders>
            <w:shd w:val="clear" w:color="000000" w:fill="FFFFFF"/>
            <w:vAlign w:val="center"/>
            <w:hideMark/>
          </w:tcPr>
          <w:p w:rsidR="00B04E90" w:rsidRPr="00FA27C9" w:rsidRDefault="00B04E90" w:rsidP="00132261">
            <w:pPr>
              <w:spacing w:after="0"/>
              <w:ind w:left="0"/>
              <w:jc w:val="center"/>
              <w:rPr>
                <w:color w:val="000000"/>
                <w:sz w:val="20"/>
                <w:lang w:eastAsia="en-AU"/>
              </w:rPr>
            </w:pPr>
            <w:r w:rsidRPr="00FA27C9">
              <w:rPr>
                <w:color w:val="000000"/>
                <w:sz w:val="20"/>
                <w:lang w:eastAsia="en-AU"/>
              </w:rPr>
              <w:t>2.124</w:t>
            </w:r>
          </w:p>
        </w:tc>
        <w:tc>
          <w:tcPr>
            <w:tcW w:w="2268" w:type="dxa"/>
            <w:tcBorders>
              <w:top w:val="nil"/>
              <w:left w:val="single" w:sz="8" w:space="0" w:color="auto"/>
              <w:bottom w:val="single" w:sz="8" w:space="0" w:color="000000"/>
              <w:right w:val="single" w:sz="4" w:space="0" w:color="auto"/>
            </w:tcBorders>
            <w:shd w:val="clear" w:color="auto" w:fill="auto"/>
            <w:noWrap/>
            <w:vAlign w:val="center"/>
            <w:hideMark/>
          </w:tcPr>
          <w:p w:rsidR="00B04E90" w:rsidRPr="00FA27C9" w:rsidRDefault="00B04E90" w:rsidP="00132261">
            <w:pPr>
              <w:spacing w:after="0"/>
              <w:ind w:left="0"/>
              <w:jc w:val="center"/>
              <w:rPr>
                <w:color w:val="000000"/>
                <w:sz w:val="20"/>
                <w:lang w:eastAsia="en-AU"/>
              </w:rPr>
            </w:pPr>
            <w:r>
              <w:rPr>
                <w:color w:val="000000"/>
                <w:sz w:val="20"/>
                <w:lang w:eastAsia="en-AU"/>
              </w:rPr>
              <w:t>$   1367.86</w:t>
            </w:r>
          </w:p>
        </w:tc>
        <w:tc>
          <w:tcPr>
            <w:tcW w:w="3402"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2.443</w:t>
            </w:r>
          </w:p>
        </w:tc>
        <w:tc>
          <w:tcPr>
            <w:tcW w:w="1659" w:type="dxa"/>
            <w:tcBorders>
              <w:top w:val="single" w:sz="4" w:space="0" w:color="auto"/>
              <w:left w:val="single" w:sz="4" w:space="0" w:color="auto"/>
              <w:bottom w:val="single" w:sz="4" w:space="0" w:color="auto"/>
              <w:right w:val="single" w:sz="4" w:space="0" w:color="auto"/>
            </w:tcBorders>
            <w:vAlign w:val="center"/>
          </w:tcPr>
          <w:p w:rsidR="00B04E90" w:rsidRPr="00FA27C9" w:rsidRDefault="00B04E90" w:rsidP="00132261">
            <w:pPr>
              <w:spacing w:after="0"/>
              <w:ind w:left="0"/>
              <w:jc w:val="center"/>
              <w:rPr>
                <w:color w:val="000000"/>
                <w:sz w:val="20"/>
                <w:lang w:eastAsia="en-AU"/>
              </w:rPr>
            </w:pPr>
            <w:r>
              <w:rPr>
                <w:color w:val="000000"/>
                <w:sz w:val="20"/>
                <w:lang w:eastAsia="en-AU"/>
              </w:rPr>
              <w:t>$   1573.29</w:t>
            </w:r>
          </w:p>
        </w:tc>
      </w:tr>
    </w:tbl>
    <w:p w:rsidR="00132261" w:rsidRPr="00962C0E" w:rsidRDefault="00132261" w:rsidP="007511B0">
      <w:pPr>
        <w:pStyle w:val="Heading3"/>
      </w:pPr>
      <w:r w:rsidRPr="00962C0E">
        <w:t>Stage 1 AOD Treatment DTAU &amp; Product Prices:</w:t>
      </w:r>
    </w:p>
    <w:p w:rsidR="00B04E90" w:rsidRPr="00381F5C" w:rsidRDefault="00B04E90" w:rsidP="00B04E90">
      <w:pPr>
        <w:ind w:left="0"/>
        <w:rPr>
          <w:b/>
          <w:color w:val="FF0000"/>
          <w:sz w:val="20"/>
        </w:rPr>
      </w:pPr>
      <w:r w:rsidRPr="00381F5C">
        <w:rPr>
          <w:b/>
          <w:color w:val="FF0000"/>
          <w:sz w:val="20"/>
        </w:rPr>
        <w:t>Note: the 15% loading for forensic treatment is not paid above the overall total DTAU’s funded to agencies</w:t>
      </w:r>
    </w:p>
    <w:p w:rsidR="00B04E90" w:rsidRPr="00B04E90" w:rsidRDefault="00B04E90" w:rsidP="00BF3276">
      <w:pPr>
        <w:ind w:left="0"/>
      </w:pPr>
      <w:r w:rsidRPr="00537AEF">
        <w:rPr>
          <w:sz w:val="20"/>
        </w:rPr>
        <w:t>Note: Screening, assessment and brief interventions provided for DDAL clients will continue to be calculated at the current rate of</w:t>
      </w:r>
      <w:r>
        <w:rPr>
          <w:sz w:val="20"/>
        </w:rPr>
        <w:t xml:space="preserve"> $300 per client (equivalent to 0.47 DTAUs).</w:t>
      </w:r>
    </w:p>
    <w:sectPr w:rsidR="00B04E90" w:rsidRPr="00B04E90" w:rsidSect="00BF3276">
      <w:headerReference w:type="default" r:id="rId14"/>
      <w:footerReference w:type="default" r:id="rId15"/>
      <w:pgSz w:w="16838" w:h="11899" w:orient="landscape"/>
      <w:pgMar w:top="851" w:right="1134" w:bottom="1134" w:left="1134" w:header="454" w:footer="567"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C1" w:rsidRDefault="00FD00C1">
      <w:r>
        <w:separator/>
      </w:r>
    </w:p>
  </w:endnote>
  <w:endnote w:type="continuationSeparator" w:id="0">
    <w:p w:rsidR="00FD00C1" w:rsidRDefault="00FD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Pr="00B43637" w:rsidRDefault="00880442" w:rsidP="00B43637">
    <w:pPr>
      <w:pStyle w:val="Healthfooter"/>
    </w:pPr>
    <w:r w:rsidRPr="00B43637">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37790"/>
      <w:docPartObj>
        <w:docPartGallery w:val="Page Numbers (Bottom of Page)"/>
        <w:docPartUnique/>
      </w:docPartObj>
    </w:sdtPr>
    <w:sdtEndPr>
      <w:rPr>
        <w:noProof/>
        <w:sz w:val="20"/>
        <w:szCs w:val="20"/>
      </w:rPr>
    </w:sdtEndPr>
    <w:sdtContent>
      <w:p w:rsidR="00B04E90" w:rsidRPr="00C97950" w:rsidRDefault="00B04E90">
        <w:pPr>
          <w:pStyle w:val="Footer"/>
          <w:jc w:val="right"/>
          <w:rPr>
            <w:sz w:val="20"/>
            <w:szCs w:val="20"/>
          </w:rPr>
        </w:pPr>
        <w:r w:rsidRPr="00C97950">
          <w:rPr>
            <w:sz w:val="20"/>
            <w:szCs w:val="20"/>
          </w:rPr>
          <w:fldChar w:fldCharType="begin"/>
        </w:r>
        <w:r w:rsidRPr="00C97950">
          <w:rPr>
            <w:sz w:val="20"/>
            <w:szCs w:val="20"/>
          </w:rPr>
          <w:instrText xml:space="preserve"> PAGE   \* MERGEFORMAT </w:instrText>
        </w:r>
        <w:r w:rsidRPr="00C97950">
          <w:rPr>
            <w:sz w:val="20"/>
            <w:szCs w:val="20"/>
          </w:rPr>
          <w:fldChar w:fldCharType="separate"/>
        </w:r>
        <w:r w:rsidR="007511B0">
          <w:rPr>
            <w:noProof/>
            <w:sz w:val="20"/>
            <w:szCs w:val="20"/>
          </w:rPr>
          <w:t>3</w:t>
        </w:r>
        <w:r w:rsidRPr="00C97950">
          <w:rPr>
            <w:noProof/>
            <w:sz w:val="20"/>
            <w:szCs w:val="20"/>
          </w:rPr>
          <w:fldChar w:fldCharType="end"/>
        </w:r>
      </w:p>
    </w:sdtContent>
  </w:sdt>
  <w:p w:rsidR="00B04E90" w:rsidRPr="0013116C" w:rsidRDefault="00B04E90" w:rsidP="002A2409">
    <w:pPr>
      <w:pStyle w:val="Healthfooter"/>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Pr="00B43637" w:rsidRDefault="00880442" w:rsidP="00B43637">
    <w:pPr>
      <w:pStyle w:val="Healthfooter"/>
    </w:pPr>
    <w:r w:rsidRPr="00B43637">
      <w:t>Department of Health</w:t>
    </w:r>
    <w:r>
      <w:tab/>
    </w: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511B0">
      <w:rPr>
        <w:rStyle w:val="PageNumber"/>
        <w:noProof/>
      </w:rPr>
      <w:t>4</w:t>
    </w:r>
    <w:r w:rsidRPr="00B43637">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C1" w:rsidRDefault="00FD00C1">
      <w:r>
        <w:separator/>
      </w:r>
    </w:p>
  </w:footnote>
  <w:footnote w:type="continuationSeparator" w:id="0">
    <w:p w:rsidR="00FD00C1" w:rsidRDefault="00FD00C1">
      <w:r>
        <w:continuationSeparator/>
      </w:r>
    </w:p>
  </w:footnote>
  <w:footnote w:id="1">
    <w:p w:rsidR="00B04E90" w:rsidRDefault="00B04E90" w:rsidP="00B04E90">
      <w:pPr>
        <w:pStyle w:val="FootnoteText"/>
      </w:pPr>
      <w:r>
        <w:rPr>
          <w:rStyle w:val="FootnoteReference"/>
        </w:rPr>
        <w:footnoteRef/>
      </w:r>
      <w:r>
        <w:t xml:space="preserve"> </w:t>
      </w:r>
      <w:r w:rsidRPr="00A73E62">
        <w:rPr>
          <w:bCs/>
          <w:color w:val="000000"/>
          <w:sz w:val="20"/>
          <w:szCs w:val="20"/>
          <w:lang w:eastAsia="en-AU"/>
        </w:rPr>
        <w:t>Equation: DTAU X Weighting = Product price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42" w:rsidRDefault="00880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421"/>
    <w:multiLevelType w:val="multilevel"/>
    <w:tmpl w:val="12BAE6D0"/>
    <w:lvl w:ilvl="0">
      <w:start w:val="1"/>
      <w:numFmt w:val="decimal"/>
      <w:lvlText w:val="%1."/>
      <w:lvlJc w:val="left"/>
      <w:pPr>
        <w:tabs>
          <w:tab w:val="num" w:pos="0"/>
        </w:tabs>
        <w:ind w:left="567" w:hanging="567"/>
      </w:pPr>
      <w:rPr>
        <w:rFonts w:hint="default"/>
      </w:rPr>
    </w:lvl>
    <w:lvl w:ilvl="1">
      <w:start w:val="1"/>
      <w:numFmt w:val="bullet"/>
      <w:lvlText w:val=""/>
      <w:lvlJc w:val="left"/>
      <w:pPr>
        <w:tabs>
          <w:tab w:val="num" w:pos="927"/>
        </w:tabs>
        <w:ind w:left="927" w:hanging="360"/>
      </w:pPr>
      <w:rPr>
        <w:rFonts w:ascii="Symbol" w:hAnsi="Symbol" w:hint="default"/>
      </w:rPr>
    </w:lvl>
    <w:lvl w:ilvl="2">
      <w:start w:val="1"/>
      <w:numFmt w:val="none"/>
      <w:lvlText w:val=""/>
      <w:lvlJc w:val="left"/>
      <w:pPr>
        <w:tabs>
          <w:tab w:val="num" w:pos="1134"/>
        </w:tabs>
        <w:ind w:left="1134"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E6B1D08"/>
    <w:multiLevelType w:val="hybridMultilevel"/>
    <w:tmpl w:val="C678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C0028"/>
    <w:multiLevelType w:val="hybridMultilevel"/>
    <w:tmpl w:val="465C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3"/>
  </w:num>
  <w:num w:numId="6">
    <w:abstractNumId w:val="9"/>
  </w:num>
  <w:num w:numId="7">
    <w:abstractNumId w:val="6"/>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2"/>
    <w:rsid w:val="00037CBD"/>
    <w:rsid w:val="000627D6"/>
    <w:rsid w:val="000631E7"/>
    <w:rsid w:val="000839E6"/>
    <w:rsid w:val="001066EC"/>
    <w:rsid w:val="001078B2"/>
    <w:rsid w:val="00132261"/>
    <w:rsid w:val="0018345F"/>
    <w:rsid w:val="001C4C63"/>
    <w:rsid w:val="001C665B"/>
    <w:rsid w:val="002240FF"/>
    <w:rsid w:val="0024263F"/>
    <w:rsid w:val="00247698"/>
    <w:rsid w:val="002677F8"/>
    <w:rsid w:val="00277B76"/>
    <w:rsid w:val="002921F9"/>
    <w:rsid w:val="002A4A6C"/>
    <w:rsid w:val="002A6394"/>
    <w:rsid w:val="002D490E"/>
    <w:rsid w:val="002F20D4"/>
    <w:rsid w:val="00307769"/>
    <w:rsid w:val="00312CF7"/>
    <w:rsid w:val="00333562"/>
    <w:rsid w:val="003A40F7"/>
    <w:rsid w:val="003B2BAF"/>
    <w:rsid w:val="003C101D"/>
    <w:rsid w:val="003C2E3B"/>
    <w:rsid w:val="003E3855"/>
    <w:rsid w:val="003E3BC9"/>
    <w:rsid w:val="003E7325"/>
    <w:rsid w:val="00414E36"/>
    <w:rsid w:val="00423DEA"/>
    <w:rsid w:val="004655BF"/>
    <w:rsid w:val="00481823"/>
    <w:rsid w:val="004B05BF"/>
    <w:rsid w:val="004B4E12"/>
    <w:rsid w:val="00525779"/>
    <w:rsid w:val="005424C5"/>
    <w:rsid w:val="005705D6"/>
    <w:rsid w:val="00591B4C"/>
    <w:rsid w:val="00596152"/>
    <w:rsid w:val="005976CF"/>
    <w:rsid w:val="005A1A45"/>
    <w:rsid w:val="005F67A5"/>
    <w:rsid w:val="005F6937"/>
    <w:rsid w:val="0061006A"/>
    <w:rsid w:val="00646C6C"/>
    <w:rsid w:val="006C5161"/>
    <w:rsid w:val="00726005"/>
    <w:rsid w:val="007511B0"/>
    <w:rsid w:val="00764A6C"/>
    <w:rsid w:val="00766864"/>
    <w:rsid w:val="007F4393"/>
    <w:rsid w:val="00806FD6"/>
    <w:rsid w:val="008205FB"/>
    <w:rsid w:val="0083113C"/>
    <w:rsid w:val="00874A3A"/>
    <w:rsid w:val="00880442"/>
    <w:rsid w:val="00887764"/>
    <w:rsid w:val="008A31EB"/>
    <w:rsid w:val="008D06BB"/>
    <w:rsid w:val="008D128F"/>
    <w:rsid w:val="0090421D"/>
    <w:rsid w:val="00915914"/>
    <w:rsid w:val="009174A5"/>
    <w:rsid w:val="00931B46"/>
    <w:rsid w:val="00955E5D"/>
    <w:rsid w:val="00962C0E"/>
    <w:rsid w:val="00973ACD"/>
    <w:rsid w:val="009C3CEC"/>
    <w:rsid w:val="009C5D5F"/>
    <w:rsid w:val="00A604B8"/>
    <w:rsid w:val="00AD6B79"/>
    <w:rsid w:val="00AE7297"/>
    <w:rsid w:val="00B04E90"/>
    <w:rsid w:val="00B4386F"/>
    <w:rsid w:val="00B64F15"/>
    <w:rsid w:val="00BC44F8"/>
    <w:rsid w:val="00BD17E1"/>
    <w:rsid w:val="00BE2136"/>
    <w:rsid w:val="00BE7DB2"/>
    <w:rsid w:val="00BF3276"/>
    <w:rsid w:val="00C40600"/>
    <w:rsid w:val="00CB1C3F"/>
    <w:rsid w:val="00D21950"/>
    <w:rsid w:val="00D927C7"/>
    <w:rsid w:val="00DC4E9F"/>
    <w:rsid w:val="00DC76BF"/>
    <w:rsid w:val="00E1333F"/>
    <w:rsid w:val="00E1679F"/>
    <w:rsid w:val="00E41E7F"/>
    <w:rsid w:val="00F02414"/>
    <w:rsid w:val="00F06D8E"/>
    <w:rsid w:val="00F436EE"/>
    <w:rsid w:val="00F640E9"/>
    <w:rsid w:val="00F920B1"/>
    <w:rsid w:val="00FA1C77"/>
    <w:rsid w:val="00FD00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E12"/>
    <w:pPr>
      <w:spacing w:after="200" w:line="311" w:lineRule="auto"/>
      <w:ind w:left="10" w:hanging="10"/>
    </w:pPr>
    <w:rPr>
      <w:rFonts w:ascii="Arial" w:eastAsia="Arial" w:hAnsi="Arial" w:cs="Arial"/>
      <w:color w:val="444444"/>
      <w:sz w:val="18"/>
      <w:szCs w:val="22"/>
      <w:lang w:val="en-US" w:eastAsia="en-US"/>
    </w:rPr>
  </w:style>
  <w:style w:type="paragraph" w:styleId="Heading1">
    <w:name w:val="heading 1"/>
    <w:next w:val="Healthbody"/>
    <w:link w:val="Heading1Char"/>
    <w:qFormat/>
    <w:rsid w:val="00277B76"/>
    <w:pPr>
      <w:keepNext/>
      <w:keepLines/>
      <w:spacing w:before="400" w:after="160" w:line="440" w:lineRule="atLeast"/>
      <w:outlineLvl w:val="0"/>
    </w:pPr>
    <w:rPr>
      <w:rFonts w:ascii="Arial" w:hAnsi="Arial"/>
      <w:bCs/>
      <w:color w:val="00A88F"/>
      <w:sz w:val="44"/>
      <w:szCs w:val="44"/>
      <w:lang w:eastAsia="en-US"/>
    </w:rPr>
  </w:style>
  <w:style w:type="paragraph" w:styleId="Heading2">
    <w:name w:val="heading 2"/>
    <w:next w:val="Healthbody"/>
    <w:link w:val="Heading2Char"/>
    <w:qFormat/>
    <w:rsid w:val="00277B76"/>
    <w:pPr>
      <w:keepNext/>
      <w:keepLines/>
      <w:spacing w:before="280" w:after="120" w:line="320" w:lineRule="atLeast"/>
      <w:outlineLvl w:val="1"/>
    </w:pPr>
    <w:rPr>
      <w:rFonts w:ascii="Arial" w:hAnsi="Arial"/>
      <w:b/>
      <w:color w:val="00A88F"/>
      <w:sz w:val="28"/>
      <w:szCs w:val="28"/>
      <w:lang w:eastAsia="en-US"/>
    </w:rPr>
  </w:style>
  <w:style w:type="paragraph" w:styleId="Heading3">
    <w:name w:val="heading 3"/>
    <w:next w:val="Normal"/>
    <w:link w:val="Heading3Char"/>
    <w:uiPriority w:val="9"/>
    <w:qFormat/>
    <w:rsid w:val="003E7325"/>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Healthbody"/>
    <w:link w:val="Heading4Char"/>
    <w:uiPriority w:val="9"/>
    <w:qFormat/>
    <w:rsid w:val="00646C6C"/>
    <w:pPr>
      <w:keepNext/>
      <w:keepLines/>
      <w:spacing w:before="240" w:after="80" w:line="240" w:lineRule="atLeast"/>
      <w:outlineLvl w:val="3"/>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character" w:customStyle="1" w:styleId="Heading1Char">
    <w:name w:val="Heading 1 Char"/>
    <w:link w:val="Heading1"/>
    <w:rsid w:val="00277B76"/>
    <w:rPr>
      <w:rFonts w:ascii="Arial" w:hAnsi="Arial"/>
      <w:bCs/>
      <w:color w:val="00A88F"/>
      <w:sz w:val="44"/>
      <w:szCs w:val="44"/>
    </w:rPr>
  </w:style>
  <w:style w:type="character" w:customStyle="1" w:styleId="Heading2Char">
    <w:name w:val="Heading 2 Char"/>
    <w:link w:val="Heading2"/>
    <w:rsid w:val="00277B76"/>
    <w:rPr>
      <w:rFonts w:ascii="Arial" w:hAnsi="Arial"/>
      <w:b/>
      <w:color w:val="00A88F"/>
      <w:sz w:val="28"/>
      <w:szCs w:val="28"/>
    </w:rPr>
  </w:style>
  <w:style w:type="character" w:customStyle="1" w:styleId="Heading3Char">
    <w:name w:val="Heading 3 Char"/>
    <w:link w:val="Heading3"/>
    <w:uiPriority w:val="9"/>
    <w:rsid w:val="003E7325"/>
    <w:rPr>
      <w:rFonts w:ascii="Arial" w:eastAsia="MS Gothic" w:hAnsi="Arial"/>
      <w:b/>
      <w:bCs/>
      <w:sz w:val="24"/>
      <w:szCs w:val="26"/>
    </w:rPr>
  </w:style>
  <w:style w:type="character" w:customStyle="1" w:styleId="Heading4Char">
    <w:name w:val="Heading 4 Char"/>
    <w:link w:val="Heading4"/>
    <w:uiPriority w:val="9"/>
    <w:rsid w:val="00646C6C"/>
    <w:rPr>
      <w:rFonts w:ascii="Arial" w:eastAsia="MS Mincho" w:hAnsi="Arial"/>
      <w:b/>
      <w:bCs/>
    </w:rPr>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styleId="Header">
    <w:name w:val="header"/>
    <w:basedOn w:val="Normal"/>
    <w:rsid w:val="00B43637"/>
    <w:pPr>
      <w:tabs>
        <w:tab w:val="center" w:pos="4320"/>
        <w:tab w:val="right" w:pos="8640"/>
      </w:tabs>
    </w:p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2"/>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DocumentMap">
    <w:name w:val="Document Map"/>
    <w:basedOn w:val="Normal"/>
    <w:link w:val="DocumentMapChar"/>
    <w:uiPriority w:val="99"/>
    <w:semiHidden/>
    <w:unhideWhenUsed/>
    <w:rsid w:val="00A604B8"/>
    <w:rPr>
      <w:rFonts w:ascii="Lucida Grande" w:hAnsi="Lucida Grande" w:cs="Lucida Grande"/>
    </w:rPr>
  </w:style>
  <w:style w:type="character" w:customStyle="1" w:styleId="DocumentMapChar">
    <w:name w:val="Document Map Char"/>
    <w:link w:val="DocumentMap"/>
    <w:uiPriority w:val="99"/>
    <w:semiHidden/>
    <w:rsid w:val="00A604B8"/>
    <w:rPr>
      <w:rFonts w:ascii="Lucida Grande" w:eastAsia="Cambria" w:hAnsi="Lucida Grande" w:cs="Lucida Grande"/>
      <w:sz w:val="24"/>
      <w:szCs w:val="24"/>
      <w:lang w:val="en-US"/>
    </w:rPr>
  </w:style>
  <w:style w:type="paragraph" w:styleId="ListParagraph">
    <w:name w:val="List Paragraph"/>
    <w:basedOn w:val="Normal"/>
    <w:uiPriority w:val="34"/>
    <w:qFormat/>
    <w:rsid w:val="004B4E12"/>
    <w:pPr>
      <w:ind w:left="720"/>
      <w:contextualSpacing/>
    </w:pPr>
  </w:style>
  <w:style w:type="character" w:customStyle="1" w:styleId="FooterChar">
    <w:name w:val="Footer Char"/>
    <w:link w:val="Footer"/>
    <w:uiPriority w:val="99"/>
    <w:rsid w:val="004B4E12"/>
    <w:rPr>
      <w:rFonts w:ascii="Cambria" w:eastAsia="Cambria" w:hAnsi="Cambria"/>
      <w:sz w:val="24"/>
      <w:szCs w:val="24"/>
      <w:lang w:val="en-US" w:eastAsia="en-US"/>
    </w:rPr>
  </w:style>
  <w:style w:type="paragraph" w:styleId="BalloonText">
    <w:name w:val="Balloon Text"/>
    <w:basedOn w:val="Normal"/>
    <w:link w:val="BalloonTextChar"/>
    <w:uiPriority w:val="99"/>
    <w:semiHidden/>
    <w:unhideWhenUsed/>
    <w:rsid w:val="0030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69"/>
    <w:rPr>
      <w:rFonts w:ascii="Tahoma" w:eastAsia="Arial" w:hAnsi="Tahoma" w:cs="Tahoma"/>
      <w:color w:val="444444"/>
      <w:sz w:val="16"/>
      <w:szCs w:val="16"/>
      <w:lang w:val="en-US" w:eastAsia="en-US"/>
    </w:rPr>
  </w:style>
  <w:style w:type="character" w:customStyle="1" w:styleId="FootnoteTextChar">
    <w:name w:val="Footnote Text Char"/>
    <w:basedOn w:val="DefaultParagraphFont"/>
    <w:link w:val="FootnoteText"/>
    <w:semiHidden/>
    <w:rsid w:val="00B04E90"/>
    <w:rPr>
      <w:rFonts w:ascii="Arial" w:eastAsia="Arial" w:hAnsi="Arial" w:cs="Arial"/>
      <w:color w:val="444444"/>
      <w:sz w:val="18"/>
      <w:szCs w:val="22"/>
      <w:lang w:val="en-US" w:eastAsia="en-US"/>
    </w:rPr>
  </w:style>
  <w:style w:type="character" w:styleId="Hyperlink">
    <w:name w:val="Hyperlink"/>
    <w:basedOn w:val="DefaultParagraphFont"/>
    <w:uiPriority w:val="99"/>
    <w:unhideWhenUsed/>
    <w:rsid w:val="00247698"/>
    <w:rPr>
      <w:color w:val="0000FF" w:themeColor="hyperlink"/>
      <w:u w:val="single"/>
    </w:rPr>
  </w:style>
  <w:style w:type="character" w:customStyle="1" w:styleId="HealthbodyChar">
    <w:name w:val="Health body Char"/>
    <w:link w:val="Healthbody"/>
    <w:locked/>
    <w:rsid w:val="00247698"/>
    <w:rPr>
      <w:rFonts w:ascii="Arial" w:eastAsia="MS Mincho"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E12"/>
    <w:pPr>
      <w:spacing w:after="200" w:line="311" w:lineRule="auto"/>
      <w:ind w:left="10" w:hanging="10"/>
    </w:pPr>
    <w:rPr>
      <w:rFonts w:ascii="Arial" w:eastAsia="Arial" w:hAnsi="Arial" w:cs="Arial"/>
      <w:color w:val="444444"/>
      <w:sz w:val="18"/>
      <w:szCs w:val="22"/>
      <w:lang w:val="en-US" w:eastAsia="en-US"/>
    </w:rPr>
  </w:style>
  <w:style w:type="paragraph" w:styleId="Heading1">
    <w:name w:val="heading 1"/>
    <w:next w:val="Healthbody"/>
    <w:link w:val="Heading1Char"/>
    <w:qFormat/>
    <w:rsid w:val="00277B76"/>
    <w:pPr>
      <w:keepNext/>
      <w:keepLines/>
      <w:spacing w:before="400" w:after="160" w:line="440" w:lineRule="atLeast"/>
      <w:outlineLvl w:val="0"/>
    </w:pPr>
    <w:rPr>
      <w:rFonts w:ascii="Arial" w:hAnsi="Arial"/>
      <w:bCs/>
      <w:color w:val="00A88F"/>
      <w:sz w:val="44"/>
      <w:szCs w:val="44"/>
      <w:lang w:eastAsia="en-US"/>
    </w:rPr>
  </w:style>
  <w:style w:type="paragraph" w:styleId="Heading2">
    <w:name w:val="heading 2"/>
    <w:next w:val="Healthbody"/>
    <w:link w:val="Heading2Char"/>
    <w:qFormat/>
    <w:rsid w:val="00277B76"/>
    <w:pPr>
      <w:keepNext/>
      <w:keepLines/>
      <w:spacing w:before="280" w:after="120" w:line="320" w:lineRule="atLeast"/>
      <w:outlineLvl w:val="1"/>
    </w:pPr>
    <w:rPr>
      <w:rFonts w:ascii="Arial" w:hAnsi="Arial"/>
      <w:b/>
      <w:color w:val="00A88F"/>
      <w:sz w:val="28"/>
      <w:szCs w:val="28"/>
      <w:lang w:eastAsia="en-US"/>
    </w:rPr>
  </w:style>
  <w:style w:type="paragraph" w:styleId="Heading3">
    <w:name w:val="heading 3"/>
    <w:next w:val="Normal"/>
    <w:link w:val="Heading3Char"/>
    <w:uiPriority w:val="9"/>
    <w:qFormat/>
    <w:rsid w:val="003E7325"/>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Healthbody"/>
    <w:link w:val="Heading4Char"/>
    <w:uiPriority w:val="9"/>
    <w:qFormat/>
    <w:rsid w:val="00646C6C"/>
    <w:pPr>
      <w:keepNext/>
      <w:keepLines/>
      <w:spacing w:before="240" w:after="80" w:line="240" w:lineRule="atLeast"/>
      <w:outlineLvl w:val="3"/>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character" w:customStyle="1" w:styleId="Heading1Char">
    <w:name w:val="Heading 1 Char"/>
    <w:link w:val="Heading1"/>
    <w:rsid w:val="00277B76"/>
    <w:rPr>
      <w:rFonts w:ascii="Arial" w:hAnsi="Arial"/>
      <w:bCs/>
      <w:color w:val="00A88F"/>
      <w:sz w:val="44"/>
      <w:szCs w:val="44"/>
    </w:rPr>
  </w:style>
  <w:style w:type="character" w:customStyle="1" w:styleId="Heading2Char">
    <w:name w:val="Heading 2 Char"/>
    <w:link w:val="Heading2"/>
    <w:rsid w:val="00277B76"/>
    <w:rPr>
      <w:rFonts w:ascii="Arial" w:hAnsi="Arial"/>
      <w:b/>
      <w:color w:val="00A88F"/>
      <w:sz w:val="28"/>
      <w:szCs w:val="28"/>
    </w:rPr>
  </w:style>
  <w:style w:type="character" w:customStyle="1" w:styleId="Heading3Char">
    <w:name w:val="Heading 3 Char"/>
    <w:link w:val="Heading3"/>
    <w:uiPriority w:val="9"/>
    <w:rsid w:val="003E7325"/>
    <w:rPr>
      <w:rFonts w:ascii="Arial" w:eastAsia="MS Gothic" w:hAnsi="Arial"/>
      <w:b/>
      <w:bCs/>
      <w:sz w:val="24"/>
      <w:szCs w:val="26"/>
    </w:rPr>
  </w:style>
  <w:style w:type="character" w:customStyle="1" w:styleId="Heading4Char">
    <w:name w:val="Heading 4 Char"/>
    <w:link w:val="Heading4"/>
    <w:uiPriority w:val="9"/>
    <w:rsid w:val="00646C6C"/>
    <w:rPr>
      <w:rFonts w:ascii="Arial" w:eastAsia="MS Mincho" w:hAnsi="Arial"/>
      <w:b/>
      <w:bCs/>
    </w:rPr>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styleId="Header">
    <w:name w:val="header"/>
    <w:basedOn w:val="Normal"/>
    <w:rsid w:val="00B43637"/>
    <w:pPr>
      <w:tabs>
        <w:tab w:val="center" w:pos="4320"/>
        <w:tab w:val="right" w:pos="8640"/>
      </w:tabs>
    </w:p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2"/>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styleId="DocumentMap">
    <w:name w:val="Document Map"/>
    <w:basedOn w:val="Normal"/>
    <w:link w:val="DocumentMapChar"/>
    <w:uiPriority w:val="99"/>
    <w:semiHidden/>
    <w:unhideWhenUsed/>
    <w:rsid w:val="00A604B8"/>
    <w:rPr>
      <w:rFonts w:ascii="Lucida Grande" w:hAnsi="Lucida Grande" w:cs="Lucida Grande"/>
    </w:rPr>
  </w:style>
  <w:style w:type="character" w:customStyle="1" w:styleId="DocumentMapChar">
    <w:name w:val="Document Map Char"/>
    <w:link w:val="DocumentMap"/>
    <w:uiPriority w:val="99"/>
    <w:semiHidden/>
    <w:rsid w:val="00A604B8"/>
    <w:rPr>
      <w:rFonts w:ascii="Lucida Grande" w:eastAsia="Cambria" w:hAnsi="Lucida Grande" w:cs="Lucida Grande"/>
      <w:sz w:val="24"/>
      <w:szCs w:val="24"/>
      <w:lang w:val="en-US"/>
    </w:rPr>
  </w:style>
  <w:style w:type="paragraph" w:styleId="ListParagraph">
    <w:name w:val="List Paragraph"/>
    <w:basedOn w:val="Normal"/>
    <w:uiPriority w:val="34"/>
    <w:qFormat/>
    <w:rsid w:val="004B4E12"/>
    <w:pPr>
      <w:ind w:left="720"/>
      <w:contextualSpacing/>
    </w:pPr>
  </w:style>
  <w:style w:type="character" w:customStyle="1" w:styleId="FooterChar">
    <w:name w:val="Footer Char"/>
    <w:link w:val="Footer"/>
    <w:uiPriority w:val="99"/>
    <w:rsid w:val="004B4E12"/>
    <w:rPr>
      <w:rFonts w:ascii="Cambria" w:eastAsia="Cambria" w:hAnsi="Cambria"/>
      <w:sz w:val="24"/>
      <w:szCs w:val="24"/>
      <w:lang w:val="en-US" w:eastAsia="en-US"/>
    </w:rPr>
  </w:style>
  <w:style w:type="paragraph" w:styleId="BalloonText">
    <w:name w:val="Balloon Text"/>
    <w:basedOn w:val="Normal"/>
    <w:link w:val="BalloonTextChar"/>
    <w:uiPriority w:val="99"/>
    <w:semiHidden/>
    <w:unhideWhenUsed/>
    <w:rsid w:val="0030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69"/>
    <w:rPr>
      <w:rFonts w:ascii="Tahoma" w:eastAsia="Arial" w:hAnsi="Tahoma" w:cs="Tahoma"/>
      <w:color w:val="444444"/>
      <w:sz w:val="16"/>
      <w:szCs w:val="16"/>
      <w:lang w:val="en-US" w:eastAsia="en-US"/>
    </w:rPr>
  </w:style>
  <w:style w:type="character" w:customStyle="1" w:styleId="FootnoteTextChar">
    <w:name w:val="Footnote Text Char"/>
    <w:basedOn w:val="DefaultParagraphFont"/>
    <w:link w:val="FootnoteText"/>
    <w:semiHidden/>
    <w:rsid w:val="00B04E90"/>
    <w:rPr>
      <w:rFonts w:ascii="Arial" w:eastAsia="Arial" w:hAnsi="Arial" w:cs="Arial"/>
      <w:color w:val="444444"/>
      <w:sz w:val="18"/>
      <w:szCs w:val="22"/>
      <w:lang w:val="en-US" w:eastAsia="en-US"/>
    </w:rPr>
  </w:style>
  <w:style w:type="character" w:styleId="Hyperlink">
    <w:name w:val="Hyperlink"/>
    <w:basedOn w:val="DefaultParagraphFont"/>
    <w:uiPriority w:val="99"/>
    <w:unhideWhenUsed/>
    <w:rsid w:val="00247698"/>
    <w:rPr>
      <w:color w:val="0000FF" w:themeColor="hyperlink"/>
      <w:u w:val="single"/>
    </w:rPr>
  </w:style>
  <w:style w:type="character" w:customStyle="1" w:styleId="HealthbodyChar">
    <w:name w:val="Health body Char"/>
    <w:link w:val="Healthbody"/>
    <w:locked/>
    <w:rsid w:val="00247698"/>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0850">
      <w:bodyDiv w:val="1"/>
      <w:marLeft w:val="0"/>
      <w:marRight w:val="0"/>
      <w:marTop w:val="0"/>
      <w:marBottom w:val="0"/>
      <w:divBdr>
        <w:top w:val="none" w:sz="0" w:space="0" w:color="auto"/>
        <w:left w:val="none" w:sz="0" w:space="0" w:color="auto"/>
        <w:bottom w:val="none" w:sz="0" w:space="0" w:color="auto"/>
        <w:right w:val="none" w:sz="0" w:space="0" w:color="auto"/>
      </w:divBdr>
    </w:div>
    <w:div w:id="11900984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odreform@health.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DH%20Specific\Newsletters\Portrait\Green%20Colou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922D-D536-4F6D-B244-8AD96449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Colour 5.dot</Template>
  <TotalTime>2</TotalTime>
  <Pages>4</Pages>
  <Words>1295</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Manager/>
  <Company>Department of Health, Victoria</Company>
  <LinksUpToDate>false</LinksUpToDate>
  <CharactersWithSpaces>8739</CharactersWithSpaces>
  <SharedDoc>false</SharedDoc>
  <HyperlinkBase/>
  <HLinks>
    <vt:vector size="18" baseType="variant">
      <vt:variant>
        <vt:i4>5636175</vt:i4>
      </vt:variant>
      <vt:variant>
        <vt:i4>2051</vt:i4>
      </vt:variant>
      <vt:variant>
        <vt:i4>1026</vt:i4>
      </vt:variant>
      <vt:variant>
        <vt:i4>1</vt:i4>
      </vt:variant>
      <vt:variant>
        <vt:lpwstr>Green range colour 5</vt:lpwstr>
      </vt:variant>
      <vt:variant>
        <vt:lpwstr/>
      </vt:variant>
      <vt:variant>
        <vt:i4>1114185</vt:i4>
      </vt:variant>
      <vt:variant>
        <vt:i4>5582</vt:i4>
      </vt:variant>
      <vt:variant>
        <vt:i4>1025</vt:i4>
      </vt:variant>
      <vt:variant>
        <vt:i4>1</vt:i4>
      </vt:variant>
      <vt:variant>
        <vt:lpwstr>Gray box</vt:lpwstr>
      </vt:variant>
      <vt:variant>
        <vt:lpwstr/>
      </vt:variant>
      <vt:variant>
        <vt:i4>7733268</vt:i4>
      </vt:variant>
      <vt:variant>
        <vt:i4>-1</vt:i4>
      </vt:variant>
      <vt:variant>
        <vt:i4>1038</vt:i4>
      </vt:variant>
      <vt:variant>
        <vt:i4>1</vt:i4>
      </vt:variant>
      <vt:variant>
        <vt:lpwstr>SGV 541 as RGB - 2cm wide at 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apat1410</dc:creator>
  <cp:keywords/>
  <dc:description/>
  <cp:lastModifiedBy>mcar2107</cp:lastModifiedBy>
  <cp:revision>5</cp:revision>
  <cp:lastPrinted>2014-07-10T06:54:00Z</cp:lastPrinted>
  <dcterms:created xsi:type="dcterms:W3CDTF">2014-08-01T00:19:00Z</dcterms:created>
  <dcterms:modified xsi:type="dcterms:W3CDTF">2014-08-01T00:22:00Z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