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5DAC0" w14:textId="77777777" w:rsidR="0074696E" w:rsidRPr="004C6EEE" w:rsidRDefault="007B4D07" w:rsidP="00AD784C">
      <w:pPr>
        <w:pStyle w:val="Spacerparatopoffirstpage"/>
      </w:pPr>
      <w:r>
        <w:rPr>
          <w:lang w:eastAsia="en-AU"/>
        </w:rPr>
        <w:drawing>
          <wp:anchor distT="0" distB="0" distL="114300" distR="114300" simplePos="0" relativeHeight="251657728" behindDoc="1" locked="1" layoutInCell="0" allowOverlap="1" wp14:anchorId="0420B2FE" wp14:editId="757F7790">
            <wp:simplePos x="0" y="0"/>
            <wp:positionH relativeFrom="page">
              <wp:posOffset>0</wp:posOffset>
            </wp:positionH>
            <wp:positionV relativeFrom="page">
              <wp:posOffset>0</wp:posOffset>
            </wp:positionV>
            <wp:extent cx="7570470" cy="2075180"/>
            <wp:effectExtent l="0" t="0" r="0" b="127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5BFC1" w14:textId="77777777"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4AD52574" w14:textId="77777777" w:rsidTr="001C277E">
        <w:trPr>
          <w:trHeight w:val="1247"/>
        </w:trPr>
        <w:tc>
          <w:tcPr>
            <w:tcW w:w="8046" w:type="dxa"/>
            <w:shd w:val="clear" w:color="auto" w:fill="auto"/>
            <w:vAlign w:val="bottom"/>
          </w:tcPr>
          <w:p w14:paraId="351A3E4F" w14:textId="77777777" w:rsidR="00AD784C" w:rsidRPr="00161AA0" w:rsidRDefault="00DA4759" w:rsidP="00A91406">
            <w:pPr>
              <w:pStyle w:val="DHHSmainheading"/>
            </w:pPr>
            <w:r>
              <w:lastRenderedPageBreak/>
              <w:t xml:space="preserve">Weapons management in </w:t>
            </w:r>
            <w:r w:rsidR="00A515C3">
              <w:t xml:space="preserve">Victorian </w:t>
            </w:r>
            <w:r>
              <w:t>health services</w:t>
            </w:r>
          </w:p>
        </w:tc>
      </w:tr>
      <w:tr w:rsidR="00AD784C" w14:paraId="2CBFF228" w14:textId="77777777" w:rsidTr="00357B4E">
        <w:trPr>
          <w:trHeight w:hRule="exact" w:val="1162"/>
        </w:trPr>
        <w:tc>
          <w:tcPr>
            <w:tcW w:w="8046" w:type="dxa"/>
            <w:shd w:val="clear" w:color="auto" w:fill="auto"/>
            <w:tcMar>
              <w:top w:w="170" w:type="dxa"/>
              <w:bottom w:w="510" w:type="dxa"/>
            </w:tcMar>
          </w:tcPr>
          <w:p w14:paraId="6E0ABB4A" w14:textId="77777777" w:rsidR="00357B4E" w:rsidRPr="00AD784C" w:rsidRDefault="00DA4759" w:rsidP="00357B4E">
            <w:pPr>
              <w:pStyle w:val="DHHSmainsubheading"/>
              <w:rPr>
                <w:szCs w:val="28"/>
              </w:rPr>
            </w:pPr>
            <w:r>
              <w:rPr>
                <w:szCs w:val="28"/>
              </w:rPr>
              <w:t>Principles and guidelines</w:t>
            </w:r>
          </w:p>
        </w:tc>
      </w:tr>
    </w:tbl>
    <w:p w14:paraId="5AB9AE23" w14:textId="77777777" w:rsidR="007173CA" w:rsidRDefault="007173CA" w:rsidP="007173CA">
      <w:pPr>
        <w:pStyle w:val="DHHSbody"/>
        <w:sectPr w:rsidR="007173CA" w:rsidSect="00F01E5F">
          <w:headerReference w:type="even" r:id="rId11"/>
          <w:headerReference w:type="default" r:id="rId12"/>
          <w:footerReference w:type="default" r:id="rId13"/>
          <w:headerReference w:type="first" r:id="rId14"/>
          <w:type w:val="continuous"/>
          <w:pgSz w:w="11906" w:h="16838" w:code="9"/>
          <w:pgMar w:top="1418" w:right="851" w:bottom="1134" w:left="851" w:header="567" w:footer="510" w:gutter="0"/>
          <w:cols w:space="340"/>
          <w:titlePg/>
          <w:docGrid w:linePitch="360"/>
        </w:sectPr>
      </w:pPr>
      <w:bookmarkStart w:id="0" w:name="_Toc440566508"/>
    </w:p>
    <w:bookmarkEnd w:id="0"/>
    <w:p w14:paraId="205A6B1B" w14:textId="77777777" w:rsidR="00893AF6" w:rsidRPr="00B57329" w:rsidRDefault="00DA4759" w:rsidP="00134114">
      <w:pPr>
        <w:pStyle w:val="Heading1"/>
        <w:spacing w:before="0"/>
      </w:pPr>
      <w:r>
        <w:lastRenderedPageBreak/>
        <w:t>Background</w:t>
      </w:r>
    </w:p>
    <w:p w14:paraId="47CB9DFC" w14:textId="3EE395C0" w:rsidR="004F5A78" w:rsidRDefault="002649CE" w:rsidP="00FA3525">
      <w:pPr>
        <w:pStyle w:val="DHHSbody"/>
      </w:pPr>
      <w:bookmarkStart w:id="1" w:name="_Toc440566509"/>
      <w:r>
        <w:t>Weapons pose a serious risk in any setting</w:t>
      </w:r>
      <w:r w:rsidR="00501DE3">
        <w:t xml:space="preserve">, </w:t>
      </w:r>
      <w:r w:rsidR="002F24E2">
        <w:t xml:space="preserve">and </w:t>
      </w:r>
      <w:r w:rsidR="00501DE3">
        <w:t>particularly i</w:t>
      </w:r>
      <w:r>
        <w:t>n health services</w:t>
      </w:r>
      <w:r w:rsidR="00501DE3">
        <w:t>,</w:t>
      </w:r>
      <w:r>
        <w:t xml:space="preserve"> which can be highly-charged environments. </w:t>
      </w:r>
      <w:r w:rsidR="00265F2A">
        <w:t xml:space="preserve">It is essential that Victorian health services and their staff are aware of their rights and responsibilities in relation to </w:t>
      </w:r>
      <w:r w:rsidR="007122A7">
        <w:t>w</w:t>
      </w:r>
      <w:r w:rsidR="00265F2A">
        <w:t>eapons management</w:t>
      </w:r>
      <w:r w:rsidR="008F2ABE">
        <w:t>.</w:t>
      </w:r>
    </w:p>
    <w:p w14:paraId="6978A8B5" w14:textId="77777777" w:rsidR="001B4601" w:rsidRDefault="008F2ABE" w:rsidP="00FA3525">
      <w:pPr>
        <w:pStyle w:val="DHHSbody"/>
      </w:pPr>
      <w:r>
        <w:t xml:space="preserve">Health services should </w:t>
      </w:r>
      <w:r w:rsidR="007122A7">
        <w:t xml:space="preserve">have local policies and procedures that </w:t>
      </w:r>
      <w:r w:rsidR="00934E8B">
        <w:t>are integrated with their organisation’s approach to emergency and incident management responses</w:t>
      </w:r>
      <w:r w:rsidR="00FF2BA7">
        <w:t>,</w:t>
      </w:r>
      <w:r w:rsidR="00934E8B">
        <w:t xml:space="preserve"> and preventing and managing occupational violence and aggression.</w:t>
      </w:r>
    </w:p>
    <w:p w14:paraId="54ED11A0" w14:textId="77777777" w:rsidR="00DA4759" w:rsidRDefault="00DA4759" w:rsidP="00DA4759">
      <w:pPr>
        <w:pStyle w:val="Heading1"/>
        <w:spacing w:before="0"/>
      </w:pPr>
      <w:r>
        <w:t>Purpose</w:t>
      </w:r>
    </w:p>
    <w:p w14:paraId="25CA1A37" w14:textId="77777777" w:rsidR="00F83361" w:rsidRDefault="00DA4759" w:rsidP="00F83361">
      <w:pPr>
        <w:pStyle w:val="DHHSbody"/>
      </w:pPr>
      <w:r>
        <w:t xml:space="preserve">This guide has been developed to assist Victorian health services to establish appropriate policies and procedures </w:t>
      </w:r>
      <w:r w:rsidR="008F2ABE">
        <w:t>for the management of weapons in health services</w:t>
      </w:r>
      <w:r w:rsidR="00757A8E">
        <w:t>.</w:t>
      </w:r>
      <w:r w:rsidR="00232CF6" w:rsidRPr="00232CF6">
        <w:t xml:space="preserve"> </w:t>
      </w:r>
      <w:r w:rsidR="00F83361">
        <w:t xml:space="preserve">The principles and guidelines apply to the whole health service community – that is, health service </w:t>
      </w:r>
      <w:r w:rsidR="00501DE3">
        <w:t xml:space="preserve">leaders, </w:t>
      </w:r>
      <w:r w:rsidR="00F83361">
        <w:t>employees, contractors, volunteers, patients and visitors.</w:t>
      </w:r>
    </w:p>
    <w:p w14:paraId="555C89D2" w14:textId="77777777" w:rsidR="00232CF6" w:rsidRDefault="00232CF6" w:rsidP="00232CF6">
      <w:pPr>
        <w:pStyle w:val="DHHSbody"/>
      </w:pPr>
      <w:r>
        <w:t>This document is intended to provide guidance only, and health services should obtain their own independent legal advice when developing local policies and procedures. Relevant internal and external stakeholders should also be consulted.</w:t>
      </w:r>
    </w:p>
    <w:p w14:paraId="5A200EF6" w14:textId="3B29936A" w:rsidR="001B7BF6" w:rsidRDefault="004E7690" w:rsidP="001B7BF6">
      <w:pPr>
        <w:pStyle w:val="DHHSbody"/>
      </w:pPr>
      <w:r>
        <w:t>The content of this</w:t>
      </w:r>
      <w:r w:rsidR="001F7C52">
        <w:t xml:space="preserve"> document </w:t>
      </w:r>
      <w:r>
        <w:t xml:space="preserve">is limited to the management of weapons. </w:t>
      </w:r>
      <w:r w:rsidR="004F5A78">
        <w:t>It</w:t>
      </w:r>
      <w:r>
        <w:t xml:space="preserve"> </w:t>
      </w:r>
      <w:r w:rsidR="001F7C52">
        <w:t xml:space="preserve">does not cover violent and aggressive behaviour in unarmed individuals. </w:t>
      </w:r>
      <w:r>
        <w:t xml:space="preserve">Further resources on </w:t>
      </w:r>
      <w:r w:rsidR="00FF2BA7">
        <w:t xml:space="preserve">preventing and managing </w:t>
      </w:r>
      <w:r>
        <w:t xml:space="preserve">occupational violence and aggression in health services are </w:t>
      </w:r>
      <w:r w:rsidR="001B7BF6">
        <w:t xml:space="preserve">available on the </w:t>
      </w:r>
      <w:hyperlink r:id="rId15" w:history="1">
        <w:r w:rsidR="001B7BF6" w:rsidRPr="001B7BF6">
          <w:rPr>
            <w:rStyle w:val="Hyperlink"/>
          </w:rPr>
          <w:t>Worker Health and Wellbeing webpage</w:t>
        </w:r>
      </w:hyperlink>
      <w:r w:rsidR="001B7BF6">
        <w:t xml:space="preserve"> &lt;</w:t>
      </w:r>
      <w:r w:rsidR="001B7BF6" w:rsidRPr="001B7BF6">
        <w:t>https://www2.health.vic.gov.au/health-workforce/worker-health-wellbeing/occupational-violence-aggression</w:t>
      </w:r>
      <w:r w:rsidR="001B7BF6">
        <w:t>&gt;</w:t>
      </w:r>
      <w:r w:rsidR="001E317F">
        <w:t>.</w:t>
      </w:r>
    </w:p>
    <w:p w14:paraId="1AEACCC2" w14:textId="77777777" w:rsidR="00DA4759" w:rsidRDefault="00DA4759" w:rsidP="001B7BF6">
      <w:pPr>
        <w:pStyle w:val="Heading1"/>
        <w:spacing w:before="0"/>
      </w:pPr>
      <w:r>
        <w:t>Principles</w:t>
      </w:r>
    </w:p>
    <w:p w14:paraId="3CBDFCB4" w14:textId="77777777" w:rsidR="00DA4759" w:rsidRDefault="00DA4759" w:rsidP="00DA4759">
      <w:pPr>
        <w:pStyle w:val="DHHSbody"/>
      </w:pPr>
      <w:r>
        <w:t>Principle 1:</w:t>
      </w:r>
      <w:r w:rsidR="002F23AD">
        <w:tab/>
      </w:r>
      <w:r>
        <w:t>The healthcare setting is safe for staff, patients and visitors</w:t>
      </w:r>
      <w:r w:rsidR="002F23AD">
        <w:t>.</w:t>
      </w:r>
    </w:p>
    <w:p w14:paraId="5F945124" w14:textId="77777777" w:rsidR="00DA4759" w:rsidRDefault="00DA4759" w:rsidP="002F23AD">
      <w:pPr>
        <w:pStyle w:val="DHHSbody"/>
        <w:ind w:left="1440" w:hanging="1440"/>
      </w:pPr>
      <w:r>
        <w:t>Principle 2:</w:t>
      </w:r>
      <w:r w:rsidR="002F23AD">
        <w:tab/>
        <w:t xml:space="preserve">Health services and their </w:t>
      </w:r>
      <w:r w:rsidR="008F2ABE">
        <w:t>staff</w:t>
      </w:r>
      <w:r w:rsidR="002F23AD">
        <w:t xml:space="preserve"> act in accordance with the law in relation to the detection and management of weapons.</w:t>
      </w:r>
    </w:p>
    <w:p w14:paraId="57F9C46B" w14:textId="77777777" w:rsidR="00DA4759" w:rsidRDefault="00DA4759" w:rsidP="002F23AD">
      <w:pPr>
        <w:pStyle w:val="DHHSbody"/>
        <w:ind w:left="1440" w:hanging="1440"/>
      </w:pPr>
      <w:r>
        <w:t>Principle 3:</w:t>
      </w:r>
      <w:r w:rsidR="002F23AD">
        <w:tab/>
        <w:t xml:space="preserve">Health services build cooperative relationships with local police to facilitate </w:t>
      </w:r>
      <w:r w:rsidR="00757A8E">
        <w:t xml:space="preserve">appropriate </w:t>
      </w:r>
      <w:r w:rsidR="00501DE3">
        <w:t>information sharing about, and management of, weapons.</w:t>
      </w:r>
    </w:p>
    <w:p w14:paraId="23F11DC1" w14:textId="77777777" w:rsidR="00284D89" w:rsidRDefault="00DA4759" w:rsidP="00DA4759">
      <w:pPr>
        <w:pStyle w:val="DHHSbody"/>
      </w:pPr>
      <w:r>
        <w:t>Principle 4:</w:t>
      </w:r>
      <w:r w:rsidR="002F23AD">
        <w:tab/>
        <w:t>Individual h</w:t>
      </w:r>
      <w:r>
        <w:t>ealth services have</w:t>
      </w:r>
      <w:r w:rsidR="002F23AD">
        <w:t xml:space="preserve"> </w:t>
      </w:r>
      <w:r>
        <w:t xml:space="preserve">policies </w:t>
      </w:r>
      <w:r w:rsidR="002F23AD">
        <w:t>and procedures relating to the management of weapons.</w:t>
      </w:r>
    </w:p>
    <w:p w14:paraId="740F49A1" w14:textId="77777777" w:rsidR="00DA4759" w:rsidRDefault="00DA4759" w:rsidP="00DA4759">
      <w:pPr>
        <w:pStyle w:val="Heading1"/>
        <w:spacing w:before="0"/>
      </w:pPr>
      <w:r>
        <w:t>Definitions</w:t>
      </w:r>
    </w:p>
    <w:p w14:paraId="0988A180" w14:textId="77777777" w:rsidR="00530B6F" w:rsidRPr="00F83361" w:rsidRDefault="00530B6F" w:rsidP="00530B6F">
      <w:pPr>
        <w:pStyle w:val="DHHSbody"/>
      </w:pPr>
      <w:r>
        <w:t xml:space="preserve">For the purpose of this document, the term </w:t>
      </w:r>
      <w:r w:rsidRPr="00F83361">
        <w:rPr>
          <w:b/>
        </w:rPr>
        <w:t>w</w:t>
      </w:r>
      <w:r>
        <w:rPr>
          <w:b/>
        </w:rPr>
        <w:t>eapon</w:t>
      </w:r>
      <w:r>
        <w:t xml:space="preserve"> includes </w:t>
      </w:r>
      <w:r>
        <w:rPr>
          <w:b/>
        </w:rPr>
        <w:t xml:space="preserve">firearms, non-firearm weapons </w:t>
      </w:r>
      <w:r w:rsidRPr="00F83361">
        <w:t>and</w:t>
      </w:r>
      <w:r>
        <w:rPr>
          <w:b/>
        </w:rPr>
        <w:t xml:space="preserve"> dangerous articles</w:t>
      </w:r>
      <w:r>
        <w:t>.</w:t>
      </w:r>
    </w:p>
    <w:p w14:paraId="59A8504A" w14:textId="77777777" w:rsidR="00B05022" w:rsidRDefault="00B05022" w:rsidP="00B05022">
      <w:pPr>
        <w:pStyle w:val="DHHSbody"/>
      </w:pPr>
      <w:r>
        <w:t xml:space="preserve">A </w:t>
      </w:r>
      <w:r w:rsidRPr="005E4F44">
        <w:rPr>
          <w:b/>
        </w:rPr>
        <w:t>firearm</w:t>
      </w:r>
      <w:r>
        <w:rPr>
          <w:b/>
        </w:rPr>
        <w:t xml:space="preserve"> </w:t>
      </w:r>
      <w:r>
        <w:t>is any device:</w:t>
      </w:r>
    </w:p>
    <w:p w14:paraId="291D07D7" w14:textId="77777777" w:rsidR="00B05022" w:rsidRDefault="00B05022" w:rsidP="004E2EE3">
      <w:pPr>
        <w:pStyle w:val="DHHSbullet1"/>
        <w:ind w:left="284"/>
      </w:pPr>
      <w:r>
        <w:t>whether assembled or in parts</w:t>
      </w:r>
    </w:p>
    <w:p w14:paraId="59C29E97" w14:textId="77777777" w:rsidR="00B05022" w:rsidRDefault="00B05022" w:rsidP="004E2EE3">
      <w:pPr>
        <w:pStyle w:val="DHHSbullet1"/>
        <w:ind w:left="284"/>
      </w:pPr>
      <w:r>
        <w:t>whether or not temporarily or permanently inoperable or incomplete</w:t>
      </w:r>
    </w:p>
    <w:p w14:paraId="1A4AFEBE" w14:textId="45090AC5" w:rsidR="00B05022" w:rsidRDefault="00B05022" w:rsidP="004E2EE3">
      <w:pPr>
        <w:pStyle w:val="DHHSbullet1"/>
        <w:ind w:left="284"/>
      </w:pPr>
      <w:r>
        <w:t>which is designed or adapted to discharge a bullet or other missile</w:t>
      </w:r>
      <w:r w:rsidR="004F5A78">
        <w:t>,</w:t>
      </w:r>
      <w:r>
        <w:t xml:space="preserve"> or</w:t>
      </w:r>
    </w:p>
    <w:p w14:paraId="4A1B8A7A" w14:textId="77777777" w:rsidR="00B05022" w:rsidRPr="005E4F44" w:rsidRDefault="00B05022" w:rsidP="00B05022">
      <w:pPr>
        <w:pStyle w:val="DHHSbullet1lastline"/>
      </w:pPr>
      <w:r>
        <w:lastRenderedPageBreak/>
        <w:t>which has the appearance of an operable firearm.</w:t>
      </w:r>
      <w:r>
        <w:rPr>
          <w:rStyle w:val="FootnoteReference"/>
        </w:rPr>
        <w:footnoteReference w:id="1"/>
      </w:r>
    </w:p>
    <w:p w14:paraId="1D9C40CA" w14:textId="77777777" w:rsidR="00B05022" w:rsidRPr="00284D89" w:rsidRDefault="00B05022" w:rsidP="00B05022">
      <w:pPr>
        <w:pStyle w:val="DHHSbody"/>
      </w:pPr>
      <w:r w:rsidRPr="005E4F44">
        <w:rPr>
          <w:b/>
        </w:rPr>
        <w:t>Non-firearm weapons</w:t>
      </w:r>
      <w:r w:rsidR="008308EE">
        <w:t>, for the purpose of this document,</w:t>
      </w:r>
      <w:r>
        <w:t xml:space="preserve"> are items defined as </w:t>
      </w:r>
      <w:r w:rsidRPr="00F83361">
        <w:rPr>
          <w:b/>
        </w:rPr>
        <w:t>prohibited</w:t>
      </w:r>
      <w:r>
        <w:rPr>
          <w:b/>
        </w:rPr>
        <w:t xml:space="preserve"> weapons</w:t>
      </w:r>
      <w:r>
        <w:t xml:space="preserve"> and </w:t>
      </w:r>
      <w:r w:rsidRPr="00F83361">
        <w:rPr>
          <w:b/>
        </w:rPr>
        <w:t>controlled weapons</w:t>
      </w:r>
      <w:r>
        <w:t xml:space="preserve"> under the </w:t>
      </w:r>
      <w:r>
        <w:rPr>
          <w:i/>
        </w:rPr>
        <w:t>Control of Weapons Act 1990.</w:t>
      </w:r>
    </w:p>
    <w:p w14:paraId="0E6E5064" w14:textId="77777777" w:rsidR="00B05022" w:rsidRDefault="00B05022" w:rsidP="00B05022">
      <w:pPr>
        <w:pStyle w:val="DHHSbody"/>
      </w:pPr>
      <w:r w:rsidRPr="00B7522F">
        <w:rPr>
          <w:b/>
        </w:rPr>
        <w:t>Dangerous articles (non-firearm)</w:t>
      </w:r>
      <w:r>
        <w:t xml:space="preserve"> </w:t>
      </w:r>
      <w:r>
        <w:rPr>
          <w:lang w:val="en"/>
        </w:rPr>
        <w:t>are items that have either been adapted for use as a weapon or are carried with the intention of being used as a weapon. Such articles may include items commonly used in healthcare settings, such as syringes or scissors, which could potentially be carried for use as a weapon.</w:t>
      </w:r>
      <w:r w:rsidR="001E317F">
        <w:rPr>
          <w:rStyle w:val="FootnoteReference"/>
          <w:lang w:val="en"/>
        </w:rPr>
        <w:footnoteReference w:id="2"/>
      </w:r>
    </w:p>
    <w:p w14:paraId="390EB8FC" w14:textId="77777777" w:rsidR="00B05022" w:rsidRPr="00D27D2A" w:rsidRDefault="00B05022" w:rsidP="00B05022">
      <w:pPr>
        <w:pStyle w:val="DHHSbody"/>
      </w:pPr>
      <w:r>
        <w:t xml:space="preserve">A </w:t>
      </w:r>
      <w:r w:rsidRPr="00C4177F">
        <w:rPr>
          <w:b/>
        </w:rPr>
        <w:t>p</w:t>
      </w:r>
      <w:r w:rsidRPr="00D27D2A">
        <w:rPr>
          <w:b/>
        </w:rPr>
        <w:t>rohibited weapon</w:t>
      </w:r>
      <w:r>
        <w:t xml:space="preserve"> is an imitation firearm or an item listed in the </w:t>
      </w:r>
      <w:r w:rsidRPr="000906EC">
        <w:t>Control of Weapons Regulations 2011</w:t>
      </w:r>
      <w:r>
        <w:t xml:space="preserve">. Prohibited weapons include </w:t>
      </w:r>
      <w:r w:rsidRPr="00D27D2A">
        <w:t>prescribed knives, such as flick knives and butterfly knives</w:t>
      </w:r>
      <w:r>
        <w:t>, swords, capsicum spray, crossbows, knuckledusters and martial arts weapons.</w:t>
      </w:r>
      <w:r>
        <w:rPr>
          <w:rStyle w:val="FootnoteReference"/>
        </w:rPr>
        <w:footnoteReference w:id="3"/>
      </w:r>
    </w:p>
    <w:p w14:paraId="04DB7F48" w14:textId="77777777" w:rsidR="00B7522F" w:rsidRPr="00B7522F" w:rsidRDefault="00B7522F" w:rsidP="00B7522F">
      <w:pPr>
        <w:pStyle w:val="DHHSbody"/>
      </w:pPr>
      <w:r>
        <w:t xml:space="preserve">A </w:t>
      </w:r>
      <w:r w:rsidRPr="00C4177F">
        <w:rPr>
          <w:b/>
        </w:rPr>
        <w:t>c</w:t>
      </w:r>
      <w:r w:rsidRPr="00D27D2A">
        <w:rPr>
          <w:b/>
        </w:rPr>
        <w:t>ontrolled weapon</w:t>
      </w:r>
      <w:r>
        <w:rPr>
          <w:b/>
        </w:rPr>
        <w:t xml:space="preserve"> </w:t>
      </w:r>
      <w:r>
        <w:t xml:space="preserve">is a knife (other than one prescribed as a prohibited weapon) or an item listed in the </w:t>
      </w:r>
      <w:r w:rsidR="00FF2BA7" w:rsidRPr="00FF2BA7">
        <w:t>Control of Weapons Regulations</w:t>
      </w:r>
      <w:r>
        <w:t>. The list includes dangerous but more common weapons, such as spear guns, batons, bayonets and cattle prods.</w:t>
      </w:r>
      <w:r>
        <w:rPr>
          <w:rStyle w:val="FootnoteReference"/>
        </w:rPr>
        <w:footnoteReference w:id="4"/>
      </w:r>
    </w:p>
    <w:p w14:paraId="73AE9790" w14:textId="77777777" w:rsidR="00B05022" w:rsidRDefault="007002E3" w:rsidP="00DA4759">
      <w:pPr>
        <w:pStyle w:val="DHHSbody"/>
      </w:pPr>
      <w:r w:rsidRPr="007002E3">
        <w:t xml:space="preserve">A </w:t>
      </w:r>
      <w:r w:rsidRPr="007002E3">
        <w:rPr>
          <w:b/>
        </w:rPr>
        <w:t>d</w:t>
      </w:r>
      <w:r w:rsidR="00B05022" w:rsidRPr="007002E3">
        <w:rPr>
          <w:b/>
        </w:rPr>
        <w:t>esignated person</w:t>
      </w:r>
      <w:r w:rsidR="00646E96" w:rsidRPr="00646E96">
        <w:t>, for the purpose of this document,</w:t>
      </w:r>
      <w:r>
        <w:rPr>
          <w:b/>
        </w:rPr>
        <w:t xml:space="preserve"> </w:t>
      </w:r>
      <w:r>
        <w:t>is a staff member who:</w:t>
      </w:r>
    </w:p>
    <w:p w14:paraId="0BF9682D" w14:textId="6887A9B5" w:rsidR="007002E3" w:rsidRDefault="007002E3" w:rsidP="004E2EE3">
      <w:pPr>
        <w:pStyle w:val="DHHSbullet1"/>
        <w:ind w:left="284"/>
      </w:pPr>
      <w:r>
        <w:t>has been identified by the health service as someone who may conduct a search for weapons</w:t>
      </w:r>
    </w:p>
    <w:p w14:paraId="7A1E395F" w14:textId="37867333" w:rsidR="007002E3" w:rsidRDefault="007002E3" w:rsidP="004E2EE3">
      <w:pPr>
        <w:pStyle w:val="DHHSbullet1"/>
        <w:ind w:left="284"/>
      </w:pPr>
      <w:r>
        <w:t xml:space="preserve">is a </w:t>
      </w:r>
      <w:r>
        <w:rPr>
          <w:b/>
        </w:rPr>
        <w:t>health service worker</w:t>
      </w:r>
      <w:r>
        <w:t xml:space="preserve"> as described in the </w:t>
      </w:r>
      <w:r>
        <w:rPr>
          <w:i/>
        </w:rPr>
        <w:t xml:space="preserve">Firearms Act 1996 </w:t>
      </w:r>
      <w:r>
        <w:t xml:space="preserve">and </w:t>
      </w:r>
      <w:r w:rsidR="00687216" w:rsidRPr="00687216">
        <w:t>Control of Weapons Act</w:t>
      </w:r>
      <w:r w:rsidR="00153A4B">
        <w:t>,</w:t>
      </w:r>
      <w:r>
        <w:t xml:space="preserve"> and</w:t>
      </w:r>
    </w:p>
    <w:p w14:paraId="748BE619" w14:textId="77777777" w:rsidR="007002E3" w:rsidRPr="007002E3" w:rsidRDefault="007002E3" w:rsidP="007002E3">
      <w:pPr>
        <w:pStyle w:val="DHHSbullet1lastline"/>
      </w:pPr>
      <w:r>
        <w:t xml:space="preserve">is not a </w:t>
      </w:r>
      <w:r>
        <w:rPr>
          <w:b/>
        </w:rPr>
        <w:t>prohibited person</w:t>
      </w:r>
      <w:r>
        <w:t xml:space="preserve"> as described in the </w:t>
      </w:r>
      <w:r w:rsidRPr="00687216">
        <w:t>Firearms Act</w:t>
      </w:r>
      <w:r>
        <w:rPr>
          <w:i/>
        </w:rPr>
        <w:t xml:space="preserve"> </w:t>
      </w:r>
      <w:r>
        <w:t xml:space="preserve">and </w:t>
      </w:r>
      <w:r w:rsidR="00687216" w:rsidRPr="00687216">
        <w:t>Control of Weapons Act</w:t>
      </w:r>
      <w:r>
        <w:t>.</w:t>
      </w:r>
    </w:p>
    <w:p w14:paraId="36073F33" w14:textId="77777777" w:rsidR="007002E3" w:rsidRDefault="007002E3" w:rsidP="007002E3">
      <w:pPr>
        <w:pStyle w:val="DHHSbody"/>
      </w:pPr>
      <w:r w:rsidRPr="007002E3">
        <w:t xml:space="preserve">A </w:t>
      </w:r>
      <w:r>
        <w:rPr>
          <w:b/>
        </w:rPr>
        <w:t>health service worker</w:t>
      </w:r>
      <w:r w:rsidRPr="007002E3">
        <w:t xml:space="preserve">, </w:t>
      </w:r>
      <w:r>
        <w:t xml:space="preserve">for the purposes of the </w:t>
      </w:r>
      <w:r w:rsidRPr="00687216">
        <w:t>Firearms Act</w:t>
      </w:r>
      <w:r>
        <w:rPr>
          <w:i/>
        </w:rPr>
        <w:t xml:space="preserve"> </w:t>
      </w:r>
      <w:r>
        <w:t xml:space="preserve">and </w:t>
      </w:r>
      <w:r w:rsidR="00687216" w:rsidRPr="00687216">
        <w:t>Control of Weapons Act</w:t>
      </w:r>
      <w:r>
        <w:t>, is:</w:t>
      </w:r>
    </w:p>
    <w:p w14:paraId="4F105394" w14:textId="77777777" w:rsidR="007002E3" w:rsidRDefault="007002E3" w:rsidP="004E2EE3">
      <w:pPr>
        <w:pStyle w:val="DHHSbullet1"/>
        <w:ind w:left="284"/>
      </w:pPr>
      <w:r>
        <w:t>a health professional (nurses and midwives, registered medical practitioners</w:t>
      </w:r>
      <w:r w:rsidR="003C46B7">
        <w:t xml:space="preserve"> and</w:t>
      </w:r>
      <w:r>
        <w:t xml:space="preserve"> registered psychologists</w:t>
      </w:r>
      <w:r w:rsidR="006D00D0">
        <w:t xml:space="preserve"> but does not include other </w:t>
      </w:r>
      <w:r w:rsidR="003C46B7">
        <w:t>registered health practitioner</w:t>
      </w:r>
      <w:r w:rsidR="006D00D0">
        <w:t>s</w:t>
      </w:r>
      <w:r>
        <w:t>)</w:t>
      </w:r>
      <w:r w:rsidR="001548CD">
        <w:rPr>
          <w:rStyle w:val="FootnoteReference"/>
        </w:rPr>
        <w:footnoteReference w:id="5"/>
      </w:r>
    </w:p>
    <w:p w14:paraId="40633C9E" w14:textId="77777777" w:rsidR="007002E3" w:rsidRDefault="007002E3" w:rsidP="004E2EE3">
      <w:pPr>
        <w:pStyle w:val="DHHSbullet1"/>
        <w:ind w:left="284"/>
      </w:pPr>
      <w:r>
        <w:t xml:space="preserve">a health service security guard (defined as ‘a security guard licensed under the </w:t>
      </w:r>
      <w:r>
        <w:rPr>
          <w:i/>
        </w:rPr>
        <w:t>Private Security Act 2004</w:t>
      </w:r>
      <w:r>
        <w:t xml:space="preserve"> when working in a health service facility as a contractor or an employee’)</w:t>
      </w:r>
      <w:r>
        <w:rPr>
          <w:rStyle w:val="FootnoteReference"/>
        </w:rPr>
        <w:footnoteReference w:id="6"/>
      </w:r>
    </w:p>
    <w:p w14:paraId="3A1949CC" w14:textId="77777777" w:rsidR="007002E3" w:rsidRPr="0028786C" w:rsidRDefault="00116DC4" w:rsidP="007002E3">
      <w:pPr>
        <w:pStyle w:val="DHHSbullet1lastline"/>
      </w:pPr>
      <w:r>
        <w:t>an ambulance worker</w:t>
      </w:r>
      <w:r w:rsidR="007002E3">
        <w:t xml:space="preserve"> (defined as ‘an operational staff member of the ambulance services as defined in the </w:t>
      </w:r>
      <w:r w:rsidR="007002E3">
        <w:rPr>
          <w:i/>
        </w:rPr>
        <w:t>Ambulance Services Act 1986</w:t>
      </w:r>
      <w:r w:rsidR="007002E3">
        <w:t>)</w:t>
      </w:r>
      <w:r w:rsidR="007002E3">
        <w:rPr>
          <w:rStyle w:val="FootnoteReference"/>
        </w:rPr>
        <w:footnoteReference w:id="7"/>
      </w:r>
      <w:r w:rsidR="007002E3">
        <w:t>.</w:t>
      </w:r>
    </w:p>
    <w:p w14:paraId="7730ED20" w14:textId="77777777" w:rsidR="007002E3" w:rsidRPr="00C4177F" w:rsidRDefault="007002E3" w:rsidP="007002E3">
      <w:pPr>
        <w:pStyle w:val="DHHSbody"/>
      </w:pPr>
      <w:r>
        <w:t xml:space="preserve">A </w:t>
      </w:r>
      <w:r w:rsidRPr="007002E3">
        <w:rPr>
          <w:b/>
        </w:rPr>
        <w:t>p</w:t>
      </w:r>
      <w:r w:rsidRPr="00C4177F">
        <w:rPr>
          <w:b/>
        </w:rPr>
        <w:t>rohibited person</w:t>
      </w:r>
      <w:r w:rsidR="008308EE">
        <w:t xml:space="preserve">, for the purposes of the </w:t>
      </w:r>
      <w:r w:rsidR="00687216" w:rsidRPr="00687216">
        <w:t>Firearms Act</w:t>
      </w:r>
      <w:r w:rsidR="008308EE">
        <w:rPr>
          <w:i/>
        </w:rPr>
        <w:t xml:space="preserve"> </w:t>
      </w:r>
      <w:r w:rsidR="008308EE">
        <w:t xml:space="preserve">and </w:t>
      </w:r>
      <w:r w:rsidR="00687216" w:rsidRPr="00687216">
        <w:t>Control of Weapons Act</w:t>
      </w:r>
      <w:r w:rsidR="008308EE">
        <w:rPr>
          <w:i/>
        </w:rPr>
        <w:t>,</w:t>
      </w:r>
      <w:r>
        <w:t xml:space="preserve"> includes a person convicted of an indictable offence or assault, or subject to a final order under the </w:t>
      </w:r>
      <w:r>
        <w:rPr>
          <w:i/>
        </w:rPr>
        <w:t xml:space="preserve">Family Violence Protection Act 2008 </w:t>
      </w:r>
      <w:r>
        <w:t xml:space="preserve">or the </w:t>
      </w:r>
      <w:r>
        <w:rPr>
          <w:i/>
        </w:rPr>
        <w:t>Personal Safety Intervention Orders Act 2010</w:t>
      </w:r>
      <w:r>
        <w:t>.</w:t>
      </w:r>
      <w:r>
        <w:rPr>
          <w:rStyle w:val="FootnoteReference"/>
        </w:rPr>
        <w:footnoteReference w:id="8"/>
      </w:r>
    </w:p>
    <w:p w14:paraId="2B05D28C" w14:textId="77777777" w:rsidR="00B11F7B" w:rsidRDefault="00B11F7B" w:rsidP="00DA4759">
      <w:pPr>
        <w:pStyle w:val="DHHSbody"/>
      </w:pPr>
      <w:r>
        <w:t xml:space="preserve">A </w:t>
      </w:r>
      <w:r w:rsidRPr="00B11F7B">
        <w:rPr>
          <w:b/>
        </w:rPr>
        <w:t>h</w:t>
      </w:r>
      <w:r>
        <w:rPr>
          <w:b/>
        </w:rPr>
        <w:t>ealth service facility</w:t>
      </w:r>
      <w:r w:rsidR="009D27EC">
        <w:t xml:space="preserve">, for the purposes of the </w:t>
      </w:r>
      <w:r w:rsidR="00687216" w:rsidRPr="00687216">
        <w:t>Firearms Act</w:t>
      </w:r>
      <w:r w:rsidR="009D27EC">
        <w:rPr>
          <w:i/>
        </w:rPr>
        <w:t xml:space="preserve"> </w:t>
      </w:r>
      <w:r w:rsidR="009D27EC">
        <w:t xml:space="preserve">and </w:t>
      </w:r>
      <w:r w:rsidR="00687216" w:rsidRPr="00687216">
        <w:t>Control of Weapons Act</w:t>
      </w:r>
      <w:r w:rsidR="009D27EC">
        <w:t>, is:</w:t>
      </w:r>
    </w:p>
    <w:p w14:paraId="196B0A52" w14:textId="77777777" w:rsidR="00B11F7B" w:rsidRDefault="00B11F7B" w:rsidP="004E2EE3">
      <w:pPr>
        <w:pStyle w:val="DHHSbullet1"/>
        <w:ind w:left="284"/>
      </w:pPr>
      <w:r>
        <w:t>a day procedure centre</w:t>
      </w:r>
    </w:p>
    <w:p w14:paraId="3A77ADE0" w14:textId="77777777" w:rsidR="00B11F7B" w:rsidRDefault="00B11F7B" w:rsidP="004E2EE3">
      <w:pPr>
        <w:pStyle w:val="DHHSbullet1"/>
        <w:ind w:left="284"/>
      </w:pPr>
      <w:r>
        <w:t>a denominational hospital</w:t>
      </w:r>
    </w:p>
    <w:p w14:paraId="1C564C29" w14:textId="77777777" w:rsidR="00B11F7B" w:rsidRDefault="00B11F7B" w:rsidP="004E2EE3">
      <w:pPr>
        <w:pStyle w:val="DHHSbullet1"/>
        <w:ind w:left="284"/>
      </w:pPr>
      <w:r>
        <w:t>a multi purpose service</w:t>
      </w:r>
    </w:p>
    <w:p w14:paraId="35B475F2" w14:textId="77777777" w:rsidR="00B11F7B" w:rsidRDefault="00B11F7B" w:rsidP="004E2EE3">
      <w:pPr>
        <w:pStyle w:val="DHHSbullet1"/>
        <w:ind w:left="284"/>
      </w:pPr>
      <w:r>
        <w:t>a private hospital</w:t>
      </w:r>
    </w:p>
    <w:p w14:paraId="671D8F77" w14:textId="77777777" w:rsidR="00B11F7B" w:rsidRDefault="00B11F7B" w:rsidP="004E2EE3">
      <w:pPr>
        <w:pStyle w:val="DHHSbullet1"/>
        <w:ind w:left="284"/>
      </w:pPr>
      <w:r>
        <w:t>a public health service</w:t>
      </w:r>
    </w:p>
    <w:p w14:paraId="7415BE2A" w14:textId="77777777" w:rsidR="00B11F7B" w:rsidRPr="00B11F7B" w:rsidRDefault="00B11F7B" w:rsidP="00B11F7B">
      <w:pPr>
        <w:pStyle w:val="DHHSbullet1lastline"/>
      </w:pPr>
      <w:r>
        <w:t>a public hospital.</w:t>
      </w:r>
      <w:r>
        <w:rPr>
          <w:rStyle w:val="FootnoteReference"/>
        </w:rPr>
        <w:footnoteReference w:id="9"/>
      </w:r>
    </w:p>
    <w:p w14:paraId="012D4DB8" w14:textId="77777777" w:rsidR="00DA4759" w:rsidRPr="00DA4759" w:rsidRDefault="00DA4759" w:rsidP="00DA4759">
      <w:pPr>
        <w:pStyle w:val="Heading1"/>
        <w:spacing w:before="0"/>
      </w:pPr>
      <w:r>
        <w:t>Guidelines</w:t>
      </w:r>
    </w:p>
    <w:p w14:paraId="420B3415" w14:textId="77777777" w:rsidR="00757A8E" w:rsidRDefault="0096253B" w:rsidP="009B6105">
      <w:pPr>
        <w:pStyle w:val="Heading2"/>
        <w:numPr>
          <w:ilvl w:val="0"/>
          <w:numId w:val="5"/>
        </w:numPr>
      </w:pPr>
      <w:r>
        <w:t>Obligations of health services</w:t>
      </w:r>
    </w:p>
    <w:p w14:paraId="42D9D1DC" w14:textId="42584496" w:rsidR="00560D37" w:rsidRDefault="00AE44CD" w:rsidP="009B6105">
      <w:pPr>
        <w:pStyle w:val="DHHSbullet1"/>
        <w:numPr>
          <w:ilvl w:val="1"/>
          <w:numId w:val="5"/>
        </w:numPr>
      </w:pPr>
      <w:r>
        <w:t>Health services have a duty to provide a safe environment for staff, patients and visitors</w:t>
      </w:r>
      <w:r w:rsidR="0000068C">
        <w:t>.</w:t>
      </w:r>
      <w:r w:rsidR="0000068C">
        <w:rPr>
          <w:rStyle w:val="FootnoteReference"/>
        </w:rPr>
        <w:footnoteReference w:id="10"/>
      </w:r>
    </w:p>
    <w:p w14:paraId="3954CE1F" w14:textId="77777777" w:rsidR="005C1E4B" w:rsidRDefault="005C1E4B" w:rsidP="009B6105">
      <w:pPr>
        <w:pStyle w:val="DHHSbody"/>
        <w:numPr>
          <w:ilvl w:val="1"/>
          <w:numId w:val="5"/>
        </w:numPr>
        <w:spacing w:after="40"/>
        <w:ind w:left="357" w:hanging="357"/>
      </w:pPr>
      <w:r>
        <w:t>Health services should have policies and procedures for the deterrence, detection and management of weapons.</w:t>
      </w:r>
    </w:p>
    <w:p w14:paraId="05745601" w14:textId="4F4BFD64" w:rsidR="00560D37" w:rsidRDefault="001C2169" w:rsidP="009B6105">
      <w:pPr>
        <w:pStyle w:val="DHHSbullet1"/>
        <w:numPr>
          <w:ilvl w:val="1"/>
          <w:numId w:val="5"/>
        </w:numPr>
      </w:pPr>
      <w:r>
        <w:t>Health services should carry out regular risk assessments</w:t>
      </w:r>
      <w:r w:rsidR="00BC2B3A">
        <w:t xml:space="preserve"> and</w:t>
      </w:r>
      <w:r>
        <w:t xml:space="preserve"> </w:t>
      </w:r>
      <w:r w:rsidR="00E05930">
        <w:t xml:space="preserve">take action to </w:t>
      </w:r>
      <w:r>
        <w:t>eliminate and reduce the risk of violence and aggression, including specific risks posed by weapons, as far as is reasonably practicable.</w:t>
      </w:r>
    </w:p>
    <w:p w14:paraId="5B141690" w14:textId="77777777" w:rsidR="00560D37" w:rsidRDefault="00C75774" w:rsidP="009B6105">
      <w:pPr>
        <w:pStyle w:val="DHHSbullet1"/>
        <w:numPr>
          <w:ilvl w:val="1"/>
          <w:numId w:val="5"/>
        </w:numPr>
      </w:pPr>
      <w:r>
        <w:t>Health services assess and manage risks irrespective of a person’s need for medical care, their authority to carry a weapon, or their competence to manage their own weapon.</w:t>
      </w:r>
    </w:p>
    <w:p w14:paraId="2CB286FA" w14:textId="77777777" w:rsidR="00560D37" w:rsidRDefault="00BC2B3A" w:rsidP="009B6105">
      <w:pPr>
        <w:pStyle w:val="DHHSbullet1"/>
        <w:numPr>
          <w:ilvl w:val="1"/>
          <w:numId w:val="5"/>
        </w:numPr>
      </w:pPr>
      <w:r>
        <w:t>If it is not safe to approach an individual or to provide care, then the health service should take steps that are reasonable in the situation (for example, calling police).</w:t>
      </w:r>
    </w:p>
    <w:p w14:paraId="57F0F78A" w14:textId="3144C96F" w:rsidR="00D01158" w:rsidRDefault="00D01158" w:rsidP="009B6105">
      <w:pPr>
        <w:pStyle w:val="DHHSbullet1"/>
        <w:numPr>
          <w:ilvl w:val="1"/>
          <w:numId w:val="5"/>
        </w:numPr>
      </w:pPr>
      <w:r>
        <w:t xml:space="preserve">All staff should be trained </w:t>
      </w:r>
      <w:r w:rsidR="009D481A">
        <w:t>i</w:t>
      </w:r>
      <w:r>
        <w:t xml:space="preserve">n procedures relating to </w:t>
      </w:r>
      <w:r w:rsidR="00D4409C">
        <w:t xml:space="preserve">the </w:t>
      </w:r>
      <w:r>
        <w:t>detection and management of weapons.</w:t>
      </w:r>
    </w:p>
    <w:p w14:paraId="5255575A" w14:textId="77777777" w:rsidR="00C75774" w:rsidRDefault="00C75774" w:rsidP="009B6105">
      <w:pPr>
        <w:pStyle w:val="DHHSbullet1lastline"/>
        <w:numPr>
          <w:ilvl w:val="1"/>
          <w:numId w:val="5"/>
        </w:numPr>
      </w:pPr>
      <w:r>
        <w:t xml:space="preserve">If an incident involving a weapon occurs, post-incident </w:t>
      </w:r>
      <w:r w:rsidR="008F2ABE">
        <w:t>response</w:t>
      </w:r>
      <w:r>
        <w:t xml:space="preserve"> processes should be in place for staff and patients</w:t>
      </w:r>
      <w:r w:rsidR="009D481A">
        <w:t>,</w:t>
      </w:r>
      <w:r>
        <w:t xml:space="preserve"> and should include immediate and follow-up support.</w:t>
      </w:r>
    </w:p>
    <w:p w14:paraId="2F04F8F4" w14:textId="77777777" w:rsidR="00757A8E" w:rsidRDefault="00E81C7B" w:rsidP="009B6105">
      <w:pPr>
        <w:pStyle w:val="Heading2"/>
        <w:numPr>
          <w:ilvl w:val="0"/>
          <w:numId w:val="5"/>
        </w:numPr>
      </w:pPr>
      <w:r>
        <w:t>Prevention measures</w:t>
      </w:r>
    </w:p>
    <w:p w14:paraId="6CCF79A3" w14:textId="77777777" w:rsidR="006E3834" w:rsidRDefault="006E3834" w:rsidP="009B6105">
      <w:pPr>
        <w:pStyle w:val="DHHSbullet1"/>
        <w:numPr>
          <w:ilvl w:val="1"/>
          <w:numId w:val="5"/>
        </w:numPr>
      </w:pPr>
      <w:r>
        <w:t>Health services should implement appropriate prevention measures. Such measures may include but not</w:t>
      </w:r>
      <w:r w:rsidR="00225160">
        <w:t xml:space="preserve"> be</w:t>
      </w:r>
      <w:r>
        <w:t xml:space="preserve"> limited to: </w:t>
      </w:r>
    </w:p>
    <w:p w14:paraId="6E7A499D" w14:textId="77777777" w:rsidR="007439BC" w:rsidRDefault="007439BC" w:rsidP="007439BC">
      <w:pPr>
        <w:pStyle w:val="DHHSbullet2"/>
      </w:pPr>
      <w:r>
        <w:t xml:space="preserve">signage at entry points, advising that: </w:t>
      </w:r>
    </w:p>
    <w:p w14:paraId="6466FF59" w14:textId="77777777" w:rsidR="007439BC" w:rsidRDefault="007439BC" w:rsidP="007439BC">
      <w:pPr>
        <w:pStyle w:val="DHHSbulletindent"/>
        <w:ind w:left="851"/>
      </w:pPr>
      <w:r>
        <w:t xml:space="preserve">weapons are not permitted on health service premises </w:t>
      </w:r>
    </w:p>
    <w:p w14:paraId="5E5EE826" w14:textId="77777777" w:rsidR="007439BC" w:rsidRDefault="007439BC" w:rsidP="007439BC">
      <w:pPr>
        <w:pStyle w:val="DHHSbulletindent"/>
        <w:ind w:left="851"/>
      </w:pPr>
      <w:r>
        <w:t>entry may be refused if a person is found in possession of a weapon</w:t>
      </w:r>
    </w:p>
    <w:p w14:paraId="79FCEC71" w14:textId="77777777" w:rsidR="007439BC" w:rsidRDefault="007439BC" w:rsidP="007439BC">
      <w:pPr>
        <w:pStyle w:val="DHHSbulletindent"/>
        <w:ind w:left="851"/>
      </w:pPr>
      <w:r>
        <w:t>it is a condition of entry to the premises that a person agrees to be searched for weapons</w:t>
      </w:r>
    </w:p>
    <w:p w14:paraId="7707A7CE" w14:textId="57A2BB16" w:rsidR="00D01158" w:rsidRDefault="006E3834" w:rsidP="00B32AF6">
      <w:pPr>
        <w:pStyle w:val="DHHSbullet2"/>
      </w:pPr>
      <w:r>
        <w:t>risk mitigation through building design</w:t>
      </w:r>
      <w:r w:rsidR="008F2ABE">
        <w:t xml:space="preserve">, </w:t>
      </w:r>
      <w:r w:rsidR="005E7DB3">
        <w:t xml:space="preserve">using </w:t>
      </w:r>
      <w:r w:rsidR="009D481A">
        <w:t>c</w:t>
      </w:r>
      <w:r w:rsidR="005E7DB3">
        <w:t xml:space="preserve">rime </w:t>
      </w:r>
      <w:r w:rsidR="009D481A">
        <w:t xml:space="preserve">prevention </w:t>
      </w:r>
      <w:r w:rsidR="005E7DB3">
        <w:t xml:space="preserve">through </w:t>
      </w:r>
      <w:r w:rsidR="009D481A">
        <w:t xml:space="preserve">environmental design </w:t>
      </w:r>
      <w:r w:rsidR="005E7DB3">
        <w:t>principles</w:t>
      </w:r>
      <w:r w:rsidR="006A2434">
        <w:t xml:space="preserve"> (for example, through access control, management and design of reception and waiting spaces, secured fixtures, and lines of sight to enable surveillance)</w:t>
      </w:r>
      <w:r w:rsidR="006C29EC">
        <w:rPr>
          <w:rStyle w:val="FootnoteReference"/>
        </w:rPr>
        <w:footnoteReference w:id="11"/>
      </w:r>
    </w:p>
    <w:p w14:paraId="7BBD744E" w14:textId="77777777" w:rsidR="006E3834" w:rsidRDefault="00D01158" w:rsidP="00B32AF6">
      <w:pPr>
        <w:pStyle w:val="DHHSbullet2lastline"/>
      </w:pPr>
      <w:r>
        <w:t>establish</w:t>
      </w:r>
      <w:r w:rsidR="008F2ABE">
        <w:t>ing and maintaining</w:t>
      </w:r>
      <w:r>
        <w:t xml:space="preserve"> relationships with local Victoria Police.</w:t>
      </w:r>
    </w:p>
    <w:p w14:paraId="2E23D8E3" w14:textId="77777777" w:rsidR="000831E2" w:rsidRDefault="00925B62" w:rsidP="009B6105">
      <w:pPr>
        <w:pStyle w:val="DHHSbullet1"/>
        <w:numPr>
          <w:ilvl w:val="1"/>
          <w:numId w:val="5"/>
        </w:numPr>
      </w:pPr>
      <w:r w:rsidRPr="00925B62">
        <w:t xml:space="preserve">Health services are aware that, even where a weapon is held by a lawfully authorised user, there is a risk of misuse, and </w:t>
      </w:r>
      <w:r w:rsidR="008F2ABE">
        <w:t>appropriate prevention measures therefore need to be in place.</w:t>
      </w:r>
    </w:p>
    <w:p w14:paraId="30443C61" w14:textId="77777777" w:rsidR="00D01158" w:rsidRDefault="009A56C1" w:rsidP="009B6105">
      <w:pPr>
        <w:pStyle w:val="DHHSbullet1lastline"/>
        <w:numPr>
          <w:ilvl w:val="1"/>
          <w:numId w:val="5"/>
        </w:numPr>
      </w:pPr>
      <w:r>
        <w:t>Health services are aware of the potential for everyday or healthcare-specific items to be used as weapons, and introduce appropriate risk management controls</w:t>
      </w:r>
      <w:r w:rsidR="001305CA">
        <w:t xml:space="preserve"> (for example, access-controlled treatment rooms)</w:t>
      </w:r>
      <w:r>
        <w:t>.</w:t>
      </w:r>
    </w:p>
    <w:p w14:paraId="44CD2CC1" w14:textId="77777777" w:rsidR="00894182" w:rsidRPr="00467269" w:rsidRDefault="00323557" w:rsidP="009B6105">
      <w:pPr>
        <w:pStyle w:val="Heading2"/>
        <w:numPr>
          <w:ilvl w:val="0"/>
          <w:numId w:val="5"/>
        </w:numPr>
      </w:pPr>
      <w:r w:rsidRPr="00467269">
        <w:t>Practical and operational matters</w:t>
      </w:r>
    </w:p>
    <w:p w14:paraId="0E3AC7F3" w14:textId="77777777" w:rsidR="001E1AA8" w:rsidRDefault="001E1AA8" w:rsidP="001E1AA8">
      <w:pPr>
        <w:pStyle w:val="Heading3"/>
      </w:pPr>
      <w:r>
        <w:t>General</w:t>
      </w:r>
    </w:p>
    <w:p w14:paraId="001574F8" w14:textId="77777777" w:rsidR="001E1AA8" w:rsidRPr="001B4601" w:rsidRDefault="00323557" w:rsidP="009B6105">
      <w:pPr>
        <w:pStyle w:val="DHHSbullet1lastline"/>
        <w:numPr>
          <w:ilvl w:val="1"/>
          <w:numId w:val="5"/>
        </w:numPr>
        <w:rPr>
          <w:rFonts w:eastAsia="MS Gothic"/>
          <w:b/>
          <w:bCs/>
          <w:sz w:val="24"/>
          <w:szCs w:val="26"/>
        </w:rPr>
      </w:pPr>
      <w:r>
        <w:t xml:space="preserve">Actions by health service employees must be lawful, </w:t>
      </w:r>
      <w:r w:rsidRPr="00586BF4">
        <w:t xml:space="preserve">comply with the </w:t>
      </w:r>
      <w:r w:rsidR="00687216" w:rsidRPr="00687216">
        <w:t>Firearms Act</w:t>
      </w:r>
      <w:r w:rsidRPr="00586BF4">
        <w:t xml:space="preserve"> and the </w:t>
      </w:r>
      <w:r w:rsidR="00687216" w:rsidRPr="00687216">
        <w:t>Control of Weapons Act</w:t>
      </w:r>
      <w:r>
        <w:t>, and be in accordance with their health service’s policies and procedures.</w:t>
      </w:r>
    </w:p>
    <w:p w14:paraId="523510B4" w14:textId="77777777" w:rsidR="00323557" w:rsidRDefault="00BF3543" w:rsidP="00323557">
      <w:pPr>
        <w:pStyle w:val="Heading3"/>
      </w:pPr>
      <w:r>
        <w:t>Suspected weapons</w:t>
      </w:r>
    </w:p>
    <w:p w14:paraId="58CEB596" w14:textId="77777777" w:rsidR="00794B1B" w:rsidRDefault="001E1AA8" w:rsidP="009B6105">
      <w:pPr>
        <w:pStyle w:val="DHHSbullet1lastline"/>
        <w:numPr>
          <w:ilvl w:val="1"/>
          <w:numId w:val="5"/>
        </w:numPr>
      </w:pPr>
      <w:r>
        <w:t>Where a weapon is suspected, health services should take actions appropriate to the type of weapon</w:t>
      </w:r>
      <w:r w:rsidR="003C46B7">
        <w:t xml:space="preserve"> and level of risk</w:t>
      </w:r>
      <w:r>
        <w:t>, as set out in the table below</w:t>
      </w:r>
      <w:r w:rsidR="00682795">
        <w:t>.</w:t>
      </w:r>
    </w:p>
    <w:p w14:paraId="0D192E10" w14:textId="77777777" w:rsidR="00794B1B" w:rsidRDefault="00794B1B">
      <w:pPr>
        <w:rPr>
          <w:rFonts w:ascii="Arial" w:eastAsia="Times" w:hAnsi="Arial"/>
        </w:rPr>
      </w:pPr>
      <w:r>
        <w:br w:type="page"/>
      </w:r>
    </w:p>
    <w:tbl>
      <w:tblPr>
        <w:tblStyle w:val="TableGrid"/>
        <w:tblW w:w="10206" w:type="dxa"/>
        <w:tblLook w:val="04A0" w:firstRow="1" w:lastRow="0" w:firstColumn="1" w:lastColumn="0" w:noHBand="0" w:noVBand="1"/>
      </w:tblPr>
      <w:tblGrid>
        <w:gridCol w:w="2127"/>
        <w:gridCol w:w="8079"/>
      </w:tblGrid>
      <w:tr w:rsidR="00323557" w:rsidRPr="00DF3A5C" w14:paraId="01C3712D" w14:textId="77777777" w:rsidTr="00EA3068">
        <w:tc>
          <w:tcPr>
            <w:tcW w:w="2127" w:type="dxa"/>
          </w:tcPr>
          <w:p w14:paraId="1A08C4E0" w14:textId="77777777" w:rsidR="00323557" w:rsidRPr="00DF3A5C" w:rsidRDefault="00BF3543" w:rsidP="002B4F6E">
            <w:pPr>
              <w:pStyle w:val="DHHStablecolhead"/>
            </w:pPr>
            <w:r>
              <w:lastRenderedPageBreak/>
              <w:t>Type of weapon</w:t>
            </w:r>
          </w:p>
        </w:tc>
        <w:tc>
          <w:tcPr>
            <w:tcW w:w="8079" w:type="dxa"/>
          </w:tcPr>
          <w:p w14:paraId="5D758D88" w14:textId="77777777" w:rsidR="00323557" w:rsidRPr="00DF3A5C" w:rsidRDefault="00BF3543" w:rsidP="002B4F6E">
            <w:pPr>
              <w:pStyle w:val="DHHStablecolhead"/>
            </w:pPr>
            <w:r>
              <w:t>Action</w:t>
            </w:r>
          </w:p>
        </w:tc>
      </w:tr>
      <w:tr w:rsidR="00323557" w14:paraId="37BB894D" w14:textId="77777777" w:rsidTr="00EA3068">
        <w:tc>
          <w:tcPr>
            <w:tcW w:w="2127" w:type="dxa"/>
          </w:tcPr>
          <w:p w14:paraId="41D98BDC" w14:textId="77777777" w:rsidR="00323557" w:rsidRDefault="00323557" w:rsidP="002B4F6E">
            <w:pPr>
              <w:pStyle w:val="DHHStabletext"/>
            </w:pPr>
            <w:r>
              <w:t>In all cases</w:t>
            </w:r>
          </w:p>
        </w:tc>
        <w:tc>
          <w:tcPr>
            <w:tcW w:w="8079" w:type="dxa"/>
          </w:tcPr>
          <w:p w14:paraId="51D75FD3" w14:textId="77777777" w:rsidR="00323557" w:rsidRDefault="00323557" w:rsidP="002B4F6E">
            <w:pPr>
              <w:pStyle w:val="DHHStabletext"/>
            </w:pPr>
            <w:r>
              <w:t>The health service’s policies should allow any staff member who requires support to call a Code Black (a hospital-wide internal security response to actual or potential aggression involving a weapon or serious threat to personal safety).</w:t>
            </w:r>
          </w:p>
          <w:p w14:paraId="4E83F785" w14:textId="77777777" w:rsidR="00271854" w:rsidRDefault="00271854" w:rsidP="002B4F6E">
            <w:pPr>
              <w:pStyle w:val="DHHStabletext"/>
            </w:pPr>
            <w:r>
              <w:t>Any item that is used in an attack or threatened attack should be reported to police as soon as possible.</w:t>
            </w:r>
          </w:p>
        </w:tc>
      </w:tr>
      <w:tr w:rsidR="00323557" w14:paraId="73B7BC01" w14:textId="77777777" w:rsidTr="00EA3068">
        <w:tc>
          <w:tcPr>
            <w:tcW w:w="2127" w:type="dxa"/>
          </w:tcPr>
          <w:p w14:paraId="308F1C9A" w14:textId="77777777" w:rsidR="00323557" w:rsidRDefault="00323557" w:rsidP="002B4F6E">
            <w:pPr>
              <w:pStyle w:val="DHHStabletext"/>
            </w:pPr>
            <w:r>
              <w:t>Firearms</w:t>
            </w:r>
          </w:p>
        </w:tc>
        <w:tc>
          <w:tcPr>
            <w:tcW w:w="8079" w:type="dxa"/>
          </w:tcPr>
          <w:p w14:paraId="7D48FA50" w14:textId="77777777" w:rsidR="00323557" w:rsidRDefault="00323557" w:rsidP="002B4F6E">
            <w:pPr>
              <w:pStyle w:val="DHHStabletext"/>
            </w:pPr>
            <w:r w:rsidRPr="009232E8">
              <w:t>The health service should contact police immediately when the presence, or likely presence, of a firearm is detected.</w:t>
            </w:r>
          </w:p>
        </w:tc>
      </w:tr>
      <w:tr w:rsidR="00323557" w14:paraId="45AFB5AD" w14:textId="77777777" w:rsidTr="00EA3068">
        <w:tc>
          <w:tcPr>
            <w:tcW w:w="2127" w:type="dxa"/>
          </w:tcPr>
          <w:p w14:paraId="6AB476C2" w14:textId="77777777" w:rsidR="00323557" w:rsidRDefault="00323557" w:rsidP="002B4F6E">
            <w:pPr>
              <w:pStyle w:val="DHHStabletext"/>
            </w:pPr>
            <w:r>
              <w:t>Non-firearm weapons</w:t>
            </w:r>
            <w:r w:rsidR="004A4435">
              <w:t>: prohibited weapons</w:t>
            </w:r>
          </w:p>
        </w:tc>
        <w:tc>
          <w:tcPr>
            <w:tcW w:w="8079" w:type="dxa"/>
          </w:tcPr>
          <w:p w14:paraId="283CEF2F" w14:textId="77777777" w:rsidR="004A4435" w:rsidRDefault="00323557" w:rsidP="004A4435">
            <w:pPr>
              <w:pStyle w:val="DHHStabletext"/>
            </w:pPr>
            <w:r>
              <w:t xml:space="preserve">If the health service knows or suspects that an individual is in possession of a </w:t>
            </w:r>
            <w:r w:rsidR="004A4435">
              <w:t>prohibited</w:t>
            </w:r>
            <w:r>
              <w:t xml:space="preserve"> weapon, the health service should advise the person that they may not enter the premises. </w:t>
            </w:r>
            <w:r w:rsidR="004E276F">
              <w:t xml:space="preserve">The health service should </w:t>
            </w:r>
            <w:r w:rsidR="0091566D">
              <w:t xml:space="preserve">also </w:t>
            </w:r>
            <w:r w:rsidR="004E276F">
              <w:t>consider advising the police that the person is in possession of such a weapon.</w:t>
            </w:r>
          </w:p>
          <w:p w14:paraId="44B09778" w14:textId="1F04E9D9" w:rsidR="00323557" w:rsidRDefault="00323557" w:rsidP="001C5461">
            <w:pPr>
              <w:pStyle w:val="DHHStabletext"/>
            </w:pPr>
            <w:r>
              <w:t xml:space="preserve">This is irrespective of whether the person has </w:t>
            </w:r>
            <w:r w:rsidR="00135240">
              <w:t>an exemption or approval</w:t>
            </w:r>
            <w:r w:rsidR="004E276F">
              <w:t xml:space="preserve"> (under the </w:t>
            </w:r>
            <w:r w:rsidR="004E276F" w:rsidRPr="001C5461">
              <w:t>Control of Weapons Act</w:t>
            </w:r>
            <w:r w:rsidR="004E276F">
              <w:t>)</w:t>
            </w:r>
            <w:r w:rsidR="00135240">
              <w:t xml:space="preserve"> for</w:t>
            </w:r>
            <w:r w:rsidR="004741DA">
              <w:t xml:space="preserve"> </w:t>
            </w:r>
            <w:r w:rsidR="009E4004">
              <w:t>possessing the weapon</w:t>
            </w:r>
            <w:r w:rsidR="004741DA">
              <w:t>.</w:t>
            </w:r>
          </w:p>
        </w:tc>
      </w:tr>
      <w:tr w:rsidR="004A4435" w14:paraId="4EB3E794" w14:textId="77777777" w:rsidTr="00EA3068">
        <w:tc>
          <w:tcPr>
            <w:tcW w:w="2127" w:type="dxa"/>
          </w:tcPr>
          <w:p w14:paraId="00D99AF3" w14:textId="77777777" w:rsidR="004A4435" w:rsidRDefault="004A4435" w:rsidP="002B4F6E">
            <w:pPr>
              <w:pStyle w:val="DHHStabletext"/>
            </w:pPr>
            <w:r>
              <w:t>Non-firearm weapons: controlled weapons</w:t>
            </w:r>
          </w:p>
        </w:tc>
        <w:tc>
          <w:tcPr>
            <w:tcW w:w="8079" w:type="dxa"/>
          </w:tcPr>
          <w:p w14:paraId="3719FB60" w14:textId="36F07493" w:rsidR="004A4435" w:rsidRDefault="004A4435" w:rsidP="004A4435">
            <w:pPr>
              <w:pStyle w:val="DHHStabletext"/>
            </w:pPr>
            <w:r>
              <w:t xml:space="preserve">If the health service knows or suspects that an individual is in possession of a controlled weapon, the health service should </w:t>
            </w:r>
            <w:r w:rsidRPr="008F3BE0">
              <w:t>generally</w:t>
            </w:r>
            <w:r>
              <w:t xml:space="preserve"> advise the person that they may not enter the premises.</w:t>
            </w:r>
          </w:p>
          <w:p w14:paraId="7ACD53F6" w14:textId="77777777" w:rsidR="004A4435" w:rsidRDefault="004A4435" w:rsidP="004A4435">
            <w:pPr>
              <w:pStyle w:val="DHHStabletext"/>
            </w:pPr>
            <w:r>
              <w:t>This is irrespective of whether the person has a lawful reason for possessing the weapon</w:t>
            </w:r>
            <w:r w:rsidR="00E9349A">
              <w:t>,</w:t>
            </w:r>
            <w:r>
              <w:t xml:space="preserve"> other than in the case of </w:t>
            </w:r>
            <w:r w:rsidR="001A089E">
              <w:t>p</w:t>
            </w:r>
            <w:r>
              <w:t>olice.</w:t>
            </w:r>
          </w:p>
          <w:p w14:paraId="321AF19D" w14:textId="77777777" w:rsidR="004A4435" w:rsidRDefault="004A4435" w:rsidP="00FB4D1A">
            <w:pPr>
              <w:pStyle w:val="DHHStabletext"/>
            </w:pPr>
            <w:r>
              <w:t xml:space="preserve">Health services should be aware that certain controlled weapons, such as some knives, may have cultural, ceremonial or religious significance to the owner. As a general guide, health services should undertake a risk assessment regarding any item that may cause risk or harm, and determine </w:t>
            </w:r>
            <w:r w:rsidR="00271854">
              <w:t xml:space="preserve">appropriate </w:t>
            </w:r>
            <w:r w:rsidR="00FB4D1A">
              <w:t>controls to eliminate or reduce the identified risk.</w:t>
            </w:r>
          </w:p>
        </w:tc>
      </w:tr>
      <w:tr w:rsidR="004A4435" w14:paraId="6C1D8FF1" w14:textId="77777777" w:rsidTr="00EA3068">
        <w:tc>
          <w:tcPr>
            <w:tcW w:w="2127" w:type="dxa"/>
          </w:tcPr>
          <w:p w14:paraId="66C806E8" w14:textId="77777777" w:rsidR="004A4435" w:rsidRDefault="00DA7D87" w:rsidP="002B4F6E">
            <w:pPr>
              <w:pStyle w:val="DHHStabletext"/>
            </w:pPr>
            <w:r>
              <w:t>Dangerous articles</w:t>
            </w:r>
          </w:p>
        </w:tc>
        <w:tc>
          <w:tcPr>
            <w:tcW w:w="8079" w:type="dxa"/>
          </w:tcPr>
          <w:p w14:paraId="22BDF2EF" w14:textId="77777777" w:rsidR="004A4435" w:rsidRDefault="00785898" w:rsidP="009E4004">
            <w:pPr>
              <w:pStyle w:val="DHHStabletext"/>
            </w:pPr>
            <w:r>
              <w:t xml:space="preserve">Health services should undertake a risk assessment regarding any item that may cause risk or harm, and determine </w:t>
            </w:r>
            <w:r w:rsidR="00FB4D1A">
              <w:t>appropriate controls to eliminate or reduce the identified risk.</w:t>
            </w:r>
          </w:p>
        </w:tc>
      </w:tr>
    </w:tbl>
    <w:p w14:paraId="4527F794" w14:textId="77777777" w:rsidR="00323557" w:rsidRDefault="00323557" w:rsidP="00323557">
      <w:pPr>
        <w:pStyle w:val="Heading3"/>
      </w:pPr>
      <w:r>
        <w:t>Searching for weapons</w:t>
      </w:r>
    </w:p>
    <w:p w14:paraId="2951B951" w14:textId="77777777" w:rsidR="00FD5A09" w:rsidRDefault="00FD5A09" w:rsidP="00FD5A09">
      <w:pPr>
        <w:pStyle w:val="Heading4"/>
      </w:pPr>
      <w:r>
        <w:t>Searches conducted by police</w:t>
      </w:r>
    </w:p>
    <w:p w14:paraId="3F3F1604" w14:textId="77777777" w:rsidR="00FD5A09" w:rsidRDefault="00FD5A09" w:rsidP="00FD5A09">
      <w:pPr>
        <w:pStyle w:val="DHHSbullet1lastline"/>
        <w:numPr>
          <w:ilvl w:val="1"/>
          <w:numId w:val="5"/>
        </w:numPr>
      </w:pPr>
      <w:r>
        <w:t>Police may only search a person for a weapon in limited circumstances, as specified in the relevant legislation.</w:t>
      </w:r>
    </w:p>
    <w:p w14:paraId="723C7D21" w14:textId="77777777" w:rsidR="00FD5A09" w:rsidRDefault="00FD5A09" w:rsidP="00FD5A09">
      <w:pPr>
        <w:pStyle w:val="DHHSbullet1lastline"/>
        <w:numPr>
          <w:ilvl w:val="1"/>
          <w:numId w:val="5"/>
        </w:numPr>
      </w:pPr>
      <w:r>
        <w:t>In situations where police accompany a person to the health service, health service staff should:</w:t>
      </w:r>
    </w:p>
    <w:p w14:paraId="1599477D" w14:textId="41B50FA8" w:rsidR="00FD5A09" w:rsidRDefault="00FD5A09" w:rsidP="00FD5A09">
      <w:pPr>
        <w:pStyle w:val="DHHSbullet2"/>
      </w:pPr>
      <w:r>
        <w:t>confirm with police on arrival whether the person has been searched for a weapon</w:t>
      </w:r>
      <w:r w:rsidR="00153A4B">
        <w:t>,</w:t>
      </w:r>
      <w:r>
        <w:t xml:space="preserve"> and</w:t>
      </w:r>
    </w:p>
    <w:p w14:paraId="34583A7D" w14:textId="77777777" w:rsidR="00FD5A09" w:rsidRDefault="00FD5A09" w:rsidP="00FD5A09">
      <w:pPr>
        <w:pStyle w:val="DHHSbullet2lastline"/>
      </w:pPr>
      <w:r>
        <w:t>document the outcome of that search.</w:t>
      </w:r>
    </w:p>
    <w:p w14:paraId="37C88A1A" w14:textId="77777777" w:rsidR="00FD5A09" w:rsidRDefault="00FD5A09" w:rsidP="00FD5A09">
      <w:pPr>
        <w:pStyle w:val="DHHSbullet1lastline"/>
        <w:numPr>
          <w:ilvl w:val="1"/>
          <w:numId w:val="5"/>
        </w:numPr>
      </w:pPr>
      <w:r>
        <w:t xml:space="preserve">Health services may wish to clarify local protocols with the police representatives on their </w:t>
      </w:r>
      <w:r w:rsidRPr="001B4601">
        <w:t>occupational violence and aggression committee (or similar committee, however named)</w:t>
      </w:r>
      <w:r>
        <w:t>.</w:t>
      </w:r>
    </w:p>
    <w:p w14:paraId="2366E63B" w14:textId="77777777" w:rsidR="00FD5A09" w:rsidRPr="00FD5A09" w:rsidRDefault="00FD5A09" w:rsidP="00FD5A09">
      <w:pPr>
        <w:pStyle w:val="Heading4"/>
      </w:pPr>
      <w:r>
        <w:t>Searches conducted by health service workers</w:t>
      </w:r>
    </w:p>
    <w:p w14:paraId="3D9B36A8" w14:textId="77777777" w:rsidR="00323557" w:rsidRPr="00971032" w:rsidRDefault="00FD5A09" w:rsidP="009B6105">
      <w:pPr>
        <w:pStyle w:val="DHHSbullet1lastline"/>
        <w:numPr>
          <w:ilvl w:val="1"/>
          <w:numId w:val="5"/>
        </w:numPr>
      </w:pPr>
      <w:r>
        <w:t>H</w:t>
      </w:r>
      <w:r w:rsidR="00323557">
        <w:t xml:space="preserve">ealth service </w:t>
      </w:r>
      <w:r w:rsidR="003C46B7">
        <w:t xml:space="preserve">workers </w:t>
      </w:r>
      <w:r w:rsidR="00323557">
        <w:t>may only search a person for a weapon in limited circumstances</w:t>
      </w:r>
      <w:r w:rsidR="001E1AA8">
        <w:t>, as set out in the table below</w:t>
      </w:r>
      <w:r w:rsidR="00323557">
        <w:t>.</w:t>
      </w:r>
    </w:p>
    <w:tbl>
      <w:tblPr>
        <w:tblStyle w:val="TableGrid"/>
        <w:tblW w:w="0" w:type="auto"/>
        <w:tblLook w:val="04A0" w:firstRow="1" w:lastRow="0" w:firstColumn="1" w:lastColumn="0" w:noHBand="0" w:noVBand="1"/>
      </w:tblPr>
      <w:tblGrid>
        <w:gridCol w:w="2127"/>
        <w:gridCol w:w="8185"/>
      </w:tblGrid>
      <w:tr w:rsidR="00F11326" w14:paraId="470E20A6" w14:textId="77777777" w:rsidTr="009E7AF6">
        <w:trPr>
          <w:tblHeader/>
        </w:trPr>
        <w:tc>
          <w:tcPr>
            <w:tcW w:w="2127" w:type="dxa"/>
          </w:tcPr>
          <w:p w14:paraId="068CA0FA" w14:textId="77777777" w:rsidR="00F11326" w:rsidRDefault="002A48BE" w:rsidP="00F11326">
            <w:pPr>
              <w:pStyle w:val="DHHStablecolhead"/>
            </w:pPr>
            <w:r>
              <w:t>Issue</w:t>
            </w:r>
          </w:p>
        </w:tc>
        <w:tc>
          <w:tcPr>
            <w:tcW w:w="8185" w:type="dxa"/>
          </w:tcPr>
          <w:p w14:paraId="5C085768" w14:textId="77777777" w:rsidR="00F11326" w:rsidRDefault="001A021A" w:rsidP="00F11326">
            <w:pPr>
              <w:pStyle w:val="DHHStablecolhead"/>
            </w:pPr>
            <w:r>
              <w:t>Considerations and requirements</w:t>
            </w:r>
          </w:p>
        </w:tc>
      </w:tr>
      <w:tr w:rsidR="00F11326" w14:paraId="1742EF30" w14:textId="77777777" w:rsidTr="00EA3068">
        <w:tc>
          <w:tcPr>
            <w:tcW w:w="2127" w:type="dxa"/>
          </w:tcPr>
          <w:p w14:paraId="0407616A" w14:textId="77777777" w:rsidR="0056016E" w:rsidRDefault="0056016E" w:rsidP="0056016E">
            <w:pPr>
              <w:pStyle w:val="DHHStabletext"/>
            </w:pPr>
            <w:r>
              <w:t>When can a search be carried out?</w:t>
            </w:r>
          </w:p>
          <w:p w14:paraId="2A30E292" w14:textId="77777777" w:rsidR="00F11326" w:rsidRPr="00F11326" w:rsidRDefault="00F11326" w:rsidP="00F11326">
            <w:pPr>
              <w:pStyle w:val="DHHStablebullet"/>
              <w:numPr>
                <w:ilvl w:val="0"/>
                <w:numId w:val="0"/>
              </w:numPr>
              <w:ind w:left="227" w:hanging="227"/>
              <w:rPr>
                <w:b/>
              </w:rPr>
            </w:pPr>
          </w:p>
        </w:tc>
        <w:tc>
          <w:tcPr>
            <w:tcW w:w="8185" w:type="dxa"/>
          </w:tcPr>
          <w:p w14:paraId="3070C452" w14:textId="77777777" w:rsidR="0056016E" w:rsidRDefault="00984703" w:rsidP="0056016E">
            <w:pPr>
              <w:pStyle w:val="DHHSbullet1"/>
              <w:numPr>
                <w:ilvl w:val="0"/>
                <w:numId w:val="0"/>
              </w:numPr>
            </w:pPr>
            <w:r>
              <w:t>A</w:t>
            </w:r>
            <w:r w:rsidR="0056016E" w:rsidRPr="0058152E">
              <w:t xml:space="preserve"> search </w:t>
            </w:r>
            <w:r w:rsidR="0056016E">
              <w:t>can be carried out on site at a health service facility</w:t>
            </w:r>
            <w:r>
              <w:t xml:space="preserve"> if</w:t>
            </w:r>
            <w:r w:rsidR="0056016E">
              <w:t>:</w:t>
            </w:r>
          </w:p>
          <w:p w14:paraId="712849FD" w14:textId="2EF0D88B" w:rsidR="00984703" w:rsidRDefault="00984703" w:rsidP="005C67E8">
            <w:pPr>
              <w:pStyle w:val="DHHStablebullet"/>
            </w:pPr>
            <w:r>
              <w:t xml:space="preserve">there is a reasonable suspicion that a person is carrying a weapon (for example, staff have sighted the weapon, or have been informed </w:t>
            </w:r>
            <w:r w:rsidR="00751498">
              <w:t>by other means)</w:t>
            </w:r>
            <w:r w:rsidR="00153A4B">
              <w:t>, and</w:t>
            </w:r>
          </w:p>
          <w:p w14:paraId="31AB64B3" w14:textId="77777777" w:rsidR="00F11326" w:rsidRPr="002F5103" w:rsidRDefault="00751498" w:rsidP="002F5103">
            <w:pPr>
              <w:pStyle w:val="DHHStablebullet"/>
            </w:pPr>
            <w:r>
              <w:t xml:space="preserve">the person consents to be searched. Health services may use signage to </w:t>
            </w:r>
            <w:r w:rsidR="00780FB1">
              <w:t>notify entrants that they may be requested to submit to a search in certain circumstances, but must still ask the person for permission before carrying out a search.</w:t>
            </w:r>
          </w:p>
        </w:tc>
      </w:tr>
      <w:tr w:rsidR="00780FB1" w14:paraId="4993A9AD" w14:textId="77777777" w:rsidTr="00EA3068">
        <w:trPr>
          <w:cantSplit/>
        </w:trPr>
        <w:tc>
          <w:tcPr>
            <w:tcW w:w="2127" w:type="dxa"/>
          </w:tcPr>
          <w:p w14:paraId="7DDEB4D6" w14:textId="77777777" w:rsidR="00780FB1" w:rsidRPr="0056016E" w:rsidRDefault="00780FB1" w:rsidP="0056016E">
            <w:pPr>
              <w:pStyle w:val="DHHStabletext"/>
            </w:pPr>
            <w:r>
              <w:lastRenderedPageBreak/>
              <w:t>What if the person does not consent to a search?</w:t>
            </w:r>
          </w:p>
        </w:tc>
        <w:tc>
          <w:tcPr>
            <w:tcW w:w="8185" w:type="dxa"/>
          </w:tcPr>
          <w:p w14:paraId="63CC82FB" w14:textId="77777777" w:rsidR="00780FB1" w:rsidRDefault="00B64136" w:rsidP="0056016E">
            <w:pPr>
              <w:pStyle w:val="DHHStablebullet"/>
              <w:numPr>
                <w:ilvl w:val="0"/>
                <w:numId w:val="0"/>
              </w:numPr>
            </w:pPr>
            <w:r>
              <w:t>If a person refuses, is unable or lacks capacity to consent to a search:</w:t>
            </w:r>
          </w:p>
          <w:p w14:paraId="37C9C029" w14:textId="77777777" w:rsidR="00B64136" w:rsidRDefault="00B64136" w:rsidP="002F5103">
            <w:pPr>
              <w:pStyle w:val="DHHStablebullet"/>
            </w:pPr>
            <w:r>
              <w:t>the health service should ask the person to leave, and escort them from the premises</w:t>
            </w:r>
          </w:p>
          <w:p w14:paraId="51DDAABA" w14:textId="77777777" w:rsidR="00B64136" w:rsidRDefault="002F5103" w:rsidP="002F5103">
            <w:pPr>
              <w:pStyle w:val="DHHStablebullet"/>
            </w:pPr>
            <w:r>
              <w:t xml:space="preserve">the health service should contact police </w:t>
            </w:r>
            <w:r w:rsidR="00B64136">
              <w:t>if the person will not leave, or it is impractical or inappropriate to require the person to leave (for example, where the person requires immediate medical treatment)</w:t>
            </w:r>
          </w:p>
          <w:p w14:paraId="3FEB8680" w14:textId="77777777" w:rsidR="00B64136" w:rsidRDefault="002F5103" w:rsidP="00044A1F">
            <w:pPr>
              <w:pStyle w:val="DHHStablebullet"/>
            </w:pPr>
            <w:r>
              <w:t>a search without consent will only be justified in limited exceptional circumstances where there is</w:t>
            </w:r>
            <w:r w:rsidR="00044A1F">
              <w:t xml:space="preserve"> a lawful reason</w:t>
            </w:r>
            <w:r>
              <w:t>.</w:t>
            </w:r>
          </w:p>
        </w:tc>
      </w:tr>
      <w:tr w:rsidR="0056016E" w14:paraId="2DB5254F" w14:textId="77777777" w:rsidTr="00EA3068">
        <w:tc>
          <w:tcPr>
            <w:tcW w:w="2127" w:type="dxa"/>
          </w:tcPr>
          <w:p w14:paraId="40E12F22" w14:textId="77777777" w:rsidR="0056016E" w:rsidRDefault="0056016E" w:rsidP="0056016E">
            <w:pPr>
              <w:pStyle w:val="DHHStabletext"/>
            </w:pPr>
            <w:r w:rsidRPr="0056016E">
              <w:t>What is a lawful reason?</w:t>
            </w:r>
          </w:p>
        </w:tc>
        <w:tc>
          <w:tcPr>
            <w:tcW w:w="8185" w:type="dxa"/>
          </w:tcPr>
          <w:p w14:paraId="19DA0AAA" w14:textId="77777777" w:rsidR="007A09EF" w:rsidRDefault="0056016E" w:rsidP="0056016E">
            <w:pPr>
              <w:pStyle w:val="DHHStablebullet"/>
              <w:numPr>
                <w:ilvl w:val="0"/>
                <w:numId w:val="0"/>
              </w:numPr>
            </w:pPr>
            <w:r>
              <w:t xml:space="preserve">Health services should seek their own independent legal advice about the </w:t>
            </w:r>
            <w:r w:rsidR="00044A1F">
              <w:t xml:space="preserve">limited </w:t>
            </w:r>
            <w:r>
              <w:t xml:space="preserve">circumstances in which there may be a lawful reason to search a person without consent. </w:t>
            </w:r>
          </w:p>
          <w:p w14:paraId="5CD7D108" w14:textId="77777777" w:rsidR="007A09EF" w:rsidRDefault="00D108BC" w:rsidP="0056016E">
            <w:pPr>
              <w:pStyle w:val="DHHStablebullet"/>
              <w:numPr>
                <w:ilvl w:val="0"/>
                <w:numId w:val="0"/>
              </w:numPr>
            </w:pPr>
            <w:r>
              <w:t xml:space="preserve">A search without consent should only be carried out in an emergency situation as a last resort, </w:t>
            </w:r>
            <w:r w:rsidR="00673689">
              <w:t xml:space="preserve">and </w:t>
            </w:r>
            <w:r>
              <w:t>where no other options are available to contain the perceived risk. Such situations may include:</w:t>
            </w:r>
          </w:p>
          <w:p w14:paraId="5E7AFF5D" w14:textId="68B0219D" w:rsidR="0056016E" w:rsidRPr="00F14B63" w:rsidRDefault="009140E5" w:rsidP="0056016E">
            <w:pPr>
              <w:pStyle w:val="DHHStablebullet"/>
            </w:pPr>
            <w:r>
              <w:t>where urgent action is required in view of an imminent threat to the life or health of an individual</w:t>
            </w:r>
          </w:p>
          <w:p w14:paraId="2FA37C5C" w14:textId="2F5B7ABC" w:rsidR="0056016E" w:rsidRPr="00F14B63" w:rsidRDefault="009140E5" w:rsidP="0056016E">
            <w:pPr>
              <w:pStyle w:val="DHHStablebullet"/>
            </w:pPr>
            <w:r>
              <w:t>t</w:t>
            </w:r>
            <w:r w:rsidR="0056016E" w:rsidRPr="00F14B63">
              <w:t>o prevent a person from committing suicide</w:t>
            </w:r>
            <w:r w:rsidR="0056016E" w:rsidRPr="001E1AA8">
              <w:rPr>
                <w:rStyle w:val="FootnoteReference"/>
              </w:rPr>
              <w:footnoteReference w:id="12"/>
            </w:r>
          </w:p>
          <w:p w14:paraId="2DE6ACA4" w14:textId="77777777" w:rsidR="0056016E" w:rsidRDefault="009140E5" w:rsidP="0056016E">
            <w:pPr>
              <w:pStyle w:val="DHHStablebullet"/>
            </w:pPr>
            <w:r>
              <w:t>t</w:t>
            </w:r>
            <w:r w:rsidR="0056016E" w:rsidRPr="00F14B63">
              <w:t>o prevent a person from committing an indictable o</w:t>
            </w:r>
            <w:r>
              <w:t>ffence.</w:t>
            </w:r>
            <w:r w:rsidR="0056016E" w:rsidRPr="001E1AA8">
              <w:rPr>
                <w:rStyle w:val="FootnoteReference"/>
              </w:rPr>
              <w:footnoteReference w:id="13"/>
            </w:r>
          </w:p>
          <w:p w14:paraId="0579D38B" w14:textId="77777777" w:rsidR="007A09EF" w:rsidRDefault="009140E5" w:rsidP="007A09EF">
            <w:pPr>
              <w:pStyle w:val="DHHStablebullet"/>
              <w:numPr>
                <w:ilvl w:val="0"/>
                <w:numId w:val="0"/>
              </w:numPr>
            </w:pPr>
            <w:r>
              <w:t xml:space="preserve">In all cases, any action taken would need to be </w:t>
            </w:r>
            <w:r w:rsidRPr="00F14B63">
              <w:t>reasonable, necessary, and proportionate to the risk.</w:t>
            </w:r>
          </w:p>
        </w:tc>
      </w:tr>
      <w:tr w:rsidR="0056016E" w14:paraId="674D9698" w14:textId="77777777" w:rsidTr="00EA3068">
        <w:tc>
          <w:tcPr>
            <w:tcW w:w="2127" w:type="dxa"/>
          </w:tcPr>
          <w:p w14:paraId="196508D1" w14:textId="77777777" w:rsidR="0056016E" w:rsidRPr="0056016E" w:rsidRDefault="0056016E" w:rsidP="0056016E">
            <w:pPr>
              <w:pStyle w:val="DHHStabletext"/>
            </w:pPr>
            <w:r w:rsidRPr="0056016E">
              <w:t>Who should conduct the search?</w:t>
            </w:r>
          </w:p>
        </w:tc>
        <w:tc>
          <w:tcPr>
            <w:tcW w:w="8185" w:type="dxa"/>
          </w:tcPr>
          <w:p w14:paraId="540FE77B" w14:textId="77777777" w:rsidR="0056016E" w:rsidRPr="00F14B63" w:rsidRDefault="0056016E" w:rsidP="0056016E">
            <w:pPr>
              <w:pStyle w:val="DHHStablebullet"/>
            </w:pPr>
            <w:r>
              <w:t xml:space="preserve">A search </w:t>
            </w:r>
            <w:r w:rsidRPr="00F14B63">
              <w:t>should only be conducted by a designated person, as defined in this document.</w:t>
            </w:r>
          </w:p>
          <w:p w14:paraId="01304450" w14:textId="77777777" w:rsidR="0056016E" w:rsidRDefault="0056016E" w:rsidP="0056016E">
            <w:pPr>
              <w:pStyle w:val="DHHStablebullet"/>
            </w:pPr>
            <w:r>
              <w:t>The search should be witnessed by a second staff member, who is ideally also a designated person.</w:t>
            </w:r>
          </w:p>
          <w:p w14:paraId="33B95062" w14:textId="77777777" w:rsidR="0056016E" w:rsidRDefault="0056016E" w:rsidP="0056016E">
            <w:pPr>
              <w:pStyle w:val="DHHStablebullet"/>
            </w:pPr>
            <w:r>
              <w:t xml:space="preserve">Gender issues should be considered, and any search that requires the patient to remove </w:t>
            </w:r>
            <w:r w:rsidRPr="00F14B63">
              <w:t>items</w:t>
            </w:r>
            <w:r>
              <w:t xml:space="preserve"> of clothing or where there will be contact with their body should be undertaken by staff members of the same gender as the patient where possible.</w:t>
            </w:r>
          </w:p>
        </w:tc>
      </w:tr>
      <w:tr w:rsidR="0056016E" w14:paraId="33B400DE" w14:textId="77777777" w:rsidTr="00EA3068">
        <w:tc>
          <w:tcPr>
            <w:tcW w:w="2127" w:type="dxa"/>
          </w:tcPr>
          <w:p w14:paraId="26972624" w14:textId="77777777" w:rsidR="0056016E" w:rsidRPr="0056016E" w:rsidRDefault="0056016E" w:rsidP="0056016E">
            <w:pPr>
              <w:pStyle w:val="DHHStabletext"/>
            </w:pPr>
            <w:r w:rsidRPr="0056016E">
              <w:t>How should a search be carried out?</w:t>
            </w:r>
          </w:p>
        </w:tc>
        <w:tc>
          <w:tcPr>
            <w:tcW w:w="8185" w:type="dxa"/>
          </w:tcPr>
          <w:p w14:paraId="0F9EF7DE" w14:textId="77777777" w:rsidR="0056016E" w:rsidRPr="00F14B63" w:rsidRDefault="0056016E" w:rsidP="0056016E">
            <w:pPr>
              <w:pStyle w:val="DHHStablebullet"/>
            </w:pPr>
            <w:r>
              <w:t xml:space="preserve">Searches </w:t>
            </w:r>
            <w:r w:rsidRPr="00F14B63">
              <w:t>should be undertaken with sensitivity and respect for a person’s dignity.</w:t>
            </w:r>
          </w:p>
          <w:p w14:paraId="6097A962" w14:textId="77777777" w:rsidR="0056016E" w:rsidRDefault="0056016E" w:rsidP="0056016E">
            <w:pPr>
              <w:pStyle w:val="DHHStablebullet"/>
            </w:pPr>
            <w:r w:rsidRPr="00F14B63">
              <w:t>Health services determine what level of screening is appropriate based on risk. In most contexts no-contact screening activities should be sufficient (for example, requiring a person to empty their pockets or open their bags, or metal detection scanning).</w:t>
            </w:r>
          </w:p>
          <w:p w14:paraId="3549F51C" w14:textId="77777777" w:rsidR="0056016E" w:rsidRPr="00F14B63" w:rsidRDefault="0056016E" w:rsidP="0056016E">
            <w:pPr>
              <w:pStyle w:val="DHHStablebullet"/>
            </w:pPr>
            <w:r>
              <w:t>Health services should seek their own independent legal advice as to when a contact search of the person for a weapon is justified. Other options, such as asking the person to leave or calling the police, should be considered.</w:t>
            </w:r>
          </w:p>
          <w:p w14:paraId="714D0B36" w14:textId="77777777" w:rsidR="0056016E" w:rsidRDefault="0056016E" w:rsidP="0056016E">
            <w:pPr>
              <w:pStyle w:val="DHHStablebullet"/>
            </w:pPr>
            <w:r w:rsidRPr="00F14B63">
              <w:t>The outcome of any search should be</w:t>
            </w:r>
            <w:r>
              <w:t xml:space="preserve"> documented.</w:t>
            </w:r>
          </w:p>
        </w:tc>
      </w:tr>
      <w:tr w:rsidR="0056016E" w14:paraId="701A7B4F" w14:textId="77777777" w:rsidTr="00EA3068">
        <w:tc>
          <w:tcPr>
            <w:tcW w:w="2127" w:type="dxa"/>
          </w:tcPr>
          <w:p w14:paraId="1B920E01" w14:textId="77777777" w:rsidR="0056016E" w:rsidRPr="0056016E" w:rsidRDefault="0056016E" w:rsidP="0056016E">
            <w:pPr>
              <w:pStyle w:val="DHHStabletext"/>
            </w:pPr>
            <w:r w:rsidRPr="001A021A">
              <w:t>Mental health patients</w:t>
            </w:r>
            <w:r w:rsidR="002A48BE">
              <w:t xml:space="preserve"> – specific guidelines</w:t>
            </w:r>
          </w:p>
        </w:tc>
        <w:tc>
          <w:tcPr>
            <w:tcW w:w="8185" w:type="dxa"/>
          </w:tcPr>
          <w:p w14:paraId="4D300F89" w14:textId="50AB6E81" w:rsidR="0056016E" w:rsidRDefault="0056016E" w:rsidP="0056016E">
            <w:pPr>
              <w:pStyle w:val="DHHStablebullet"/>
              <w:numPr>
                <w:ilvl w:val="0"/>
                <w:numId w:val="0"/>
              </w:numPr>
            </w:pPr>
            <w:r>
              <w:t xml:space="preserve">The Chief Psychiatrist’s </w:t>
            </w:r>
            <w:r w:rsidR="00704454">
              <w:t>g</w:t>
            </w:r>
            <w:r>
              <w:t xml:space="preserve">uideline </w:t>
            </w:r>
            <w:hyperlink r:id="rId16" w:history="1">
              <w:r w:rsidRPr="001F38C1">
                <w:rPr>
                  <w:rStyle w:val="Hyperlink"/>
                  <w:i/>
                </w:rPr>
                <w:t>Criteria for searches to maintain safety in an inpatient unit</w:t>
              </w:r>
            </w:hyperlink>
            <w:r w:rsidRPr="001F38C1">
              <w:t>, available at</w:t>
            </w:r>
            <w:r>
              <w:rPr>
                <w:i/>
              </w:rPr>
              <w:t xml:space="preserve"> </w:t>
            </w:r>
            <w:r>
              <w:t>&lt;</w:t>
            </w:r>
            <w:r w:rsidRPr="00632603">
              <w:t>https://www2.health.vic.gov.au/about/key-staff/chief-psychiatrist/chief-psychiatrist-guidelines/criteria-or-searches-maintain-safety-in-inpatient-unit-for-patients-visitors-staff</w:t>
            </w:r>
            <w:r>
              <w:t>&gt;, provides guidance on searches in mental health inpatient units.</w:t>
            </w:r>
          </w:p>
          <w:p w14:paraId="47D0C613" w14:textId="77777777" w:rsidR="0056016E" w:rsidRDefault="0056016E" w:rsidP="0056016E">
            <w:pPr>
              <w:pStyle w:val="DHHStablebullet"/>
              <w:numPr>
                <w:ilvl w:val="0"/>
                <w:numId w:val="0"/>
              </w:numPr>
            </w:pPr>
            <w:r w:rsidRPr="00B77246">
              <w:t>T</w:t>
            </w:r>
            <w:r>
              <w:t xml:space="preserve">here is also a limited power to search a person before they are taken to or from a designated mental health service. Searches may only be carried out by an authorised person (as defined in the </w:t>
            </w:r>
            <w:r>
              <w:rPr>
                <w:i/>
              </w:rPr>
              <w:t>Mental Health Act 2014</w:t>
            </w:r>
            <w:r w:rsidRPr="00B77246">
              <w:t>)</w:t>
            </w:r>
            <w:r>
              <w:t xml:space="preserve"> if the authorised person reasonably suspects that a person is carrying anything that:</w:t>
            </w:r>
          </w:p>
          <w:p w14:paraId="2F4B8F6F" w14:textId="5BBB34A9" w:rsidR="0056016E" w:rsidRPr="00F14B63" w:rsidRDefault="0056016E" w:rsidP="0056016E">
            <w:pPr>
              <w:pStyle w:val="DHHStablebullet"/>
            </w:pPr>
            <w:r w:rsidRPr="00F14B63">
              <w:t>presents a danger to the health and safety of the person or another person</w:t>
            </w:r>
            <w:r w:rsidR="00153A4B">
              <w:t>,</w:t>
            </w:r>
            <w:r w:rsidRPr="00F14B63">
              <w:t xml:space="preserve"> or</w:t>
            </w:r>
          </w:p>
          <w:p w14:paraId="00CA6893" w14:textId="77777777" w:rsidR="0056016E" w:rsidRDefault="0056016E" w:rsidP="0056016E">
            <w:pPr>
              <w:pStyle w:val="DHHStablebullet"/>
            </w:pPr>
            <w:r w:rsidRPr="00F14B63">
              <w:t>could be used</w:t>
            </w:r>
            <w:r>
              <w:t xml:space="preserve"> to assist the person to escape.</w:t>
            </w:r>
            <w:r>
              <w:rPr>
                <w:rStyle w:val="FootnoteReference"/>
              </w:rPr>
              <w:footnoteReference w:id="14"/>
            </w:r>
          </w:p>
        </w:tc>
      </w:tr>
    </w:tbl>
    <w:p w14:paraId="42F97079" w14:textId="77777777" w:rsidR="009B6105" w:rsidRDefault="009B6105">
      <w:pPr>
        <w:rPr>
          <w:rFonts w:ascii="Arial" w:eastAsia="MS Gothic" w:hAnsi="Arial"/>
          <w:b/>
          <w:bCs/>
          <w:sz w:val="24"/>
          <w:szCs w:val="26"/>
        </w:rPr>
      </w:pPr>
      <w:r>
        <w:br w:type="page"/>
      </w:r>
    </w:p>
    <w:p w14:paraId="765CB130" w14:textId="77777777" w:rsidR="00323557" w:rsidRDefault="00BF3543" w:rsidP="00323557">
      <w:pPr>
        <w:pStyle w:val="Heading3"/>
      </w:pPr>
      <w:r>
        <w:lastRenderedPageBreak/>
        <w:t>Confiscation and management of weapons</w:t>
      </w:r>
    </w:p>
    <w:p w14:paraId="5D067978" w14:textId="77777777" w:rsidR="006B3AA5" w:rsidRPr="006B3AA5" w:rsidRDefault="00377D4A" w:rsidP="009B6105">
      <w:pPr>
        <w:pStyle w:val="DHHSbullet1lastline"/>
        <w:numPr>
          <w:ilvl w:val="1"/>
          <w:numId w:val="5"/>
        </w:numPr>
      </w:pPr>
      <w:r>
        <w:t xml:space="preserve">Processes must be followed </w:t>
      </w:r>
      <w:r w:rsidR="007E6571">
        <w:t xml:space="preserve">when a </w:t>
      </w:r>
      <w:r w:rsidR="003C46B7" w:rsidRPr="00435451">
        <w:t>designated person</w:t>
      </w:r>
      <w:r w:rsidR="003C46B7">
        <w:t xml:space="preserve"> </w:t>
      </w:r>
      <w:r>
        <w:t>takes possession of a weapon.</w:t>
      </w:r>
      <w:r w:rsidR="001E1AA8">
        <w:t xml:space="preserve"> Relevant matters are set out in the table below.</w:t>
      </w:r>
    </w:p>
    <w:tbl>
      <w:tblPr>
        <w:tblStyle w:val="TableGrid"/>
        <w:tblW w:w="10206" w:type="dxa"/>
        <w:tblLook w:val="04A0" w:firstRow="1" w:lastRow="0" w:firstColumn="1" w:lastColumn="0" w:noHBand="0" w:noVBand="1"/>
      </w:tblPr>
      <w:tblGrid>
        <w:gridCol w:w="2127"/>
        <w:gridCol w:w="8079"/>
      </w:tblGrid>
      <w:tr w:rsidR="00323557" w:rsidRPr="00DF3A5C" w14:paraId="44650A98" w14:textId="77777777" w:rsidTr="00EA3068">
        <w:tc>
          <w:tcPr>
            <w:tcW w:w="2127" w:type="dxa"/>
          </w:tcPr>
          <w:p w14:paraId="5C6ED452" w14:textId="77777777" w:rsidR="00323557" w:rsidRPr="00DF3A5C" w:rsidRDefault="007959E1" w:rsidP="002B4F6E">
            <w:pPr>
              <w:pStyle w:val="DHHStablecolhead"/>
            </w:pPr>
            <w:r>
              <w:t>Matter</w:t>
            </w:r>
          </w:p>
        </w:tc>
        <w:tc>
          <w:tcPr>
            <w:tcW w:w="8079" w:type="dxa"/>
          </w:tcPr>
          <w:p w14:paraId="22D444ED" w14:textId="77777777" w:rsidR="00323557" w:rsidRPr="00DF3A5C" w:rsidRDefault="004D6F00" w:rsidP="002B4F6E">
            <w:pPr>
              <w:pStyle w:val="DHHStablecolhead"/>
            </w:pPr>
            <w:r>
              <w:t>Requirements</w:t>
            </w:r>
          </w:p>
        </w:tc>
      </w:tr>
      <w:tr w:rsidR="00323557" w14:paraId="56384F62" w14:textId="77777777" w:rsidTr="00EA3068">
        <w:trPr>
          <w:cantSplit/>
        </w:trPr>
        <w:tc>
          <w:tcPr>
            <w:tcW w:w="2127" w:type="dxa"/>
          </w:tcPr>
          <w:p w14:paraId="73544288" w14:textId="77777777" w:rsidR="00323557" w:rsidRDefault="00323557" w:rsidP="002B4F6E">
            <w:pPr>
              <w:pStyle w:val="DHHStabletext"/>
            </w:pPr>
            <w:r>
              <w:t>Confiscation</w:t>
            </w:r>
          </w:p>
        </w:tc>
        <w:tc>
          <w:tcPr>
            <w:tcW w:w="8079" w:type="dxa"/>
          </w:tcPr>
          <w:p w14:paraId="02894908" w14:textId="77777777" w:rsidR="00323557" w:rsidRDefault="00323557" w:rsidP="002B4F6E">
            <w:pPr>
              <w:pStyle w:val="DHHStabletext"/>
            </w:pPr>
            <w:r>
              <w:t>It is illegal to possess a firearm</w:t>
            </w:r>
            <w:r w:rsidR="00462540">
              <w:t xml:space="preserve"> or</w:t>
            </w:r>
            <w:r w:rsidR="009241A0">
              <w:t xml:space="preserve"> </w:t>
            </w:r>
            <w:r>
              <w:t>non-firearm weapon without a licence or an exemption.</w:t>
            </w:r>
            <w:r>
              <w:rPr>
                <w:rStyle w:val="FootnoteReference"/>
              </w:rPr>
              <w:footnoteReference w:id="15"/>
            </w:r>
            <w:r>
              <w:t xml:space="preserve"> However, </w:t>
            </w:r>
            <w:r w:rsidR="007E6571">
              <w:t xml:space="preserve">a </w:t>
            </w:r>
            <w:r>
              <w:t>health service</w:t>
            </w:r>
            <w:r w:rsidR="003C46B7">
              <w:t xml:space="preserve"> worker </w:t>
            </w:r>
            <w:r>
              <w:t>may be exempt from committing an offence when possessing a firearm</w:t>
            </w:r>
            <w:r w:rsidR="00435451">
              <w:t>, non-firearm weapon or dangerous article</w:t>
            </w:r>
            <w:r>
              <w:t xml:space="preserve"> if:</w:t>
            </w:r>
          </w:p>
          <w:p w14:paraId="67C3617D" w14:textId="37E02384" w:rsidR="00323557" w:rsidRPr="00F14B63" w:rsidRDefault="00B564CF" w:rsidP="00F14B63">
            <w:pPr>
              <w:pStyle w:val="DHHStablebullet"/>
            </w:pPr>
            <w:r>
              <w:t>the staff member is</w:t>
            </w:r>
            <w:r w:rsidR="00323557" w:rsidRPr="00F14B63">
              <w:t xml:space="preserve"> a designated person, as defined </w:t>
            </w:r>
            <w:r w:rsidR="00704454">
              <w:t xml:space="preserve">on p. 2 of </w:t>
            </w:r>
            <w:r w:rsidR="00323557" w:rsidRPr="00F14B63">
              <w:t>this document</w:t>
            </w:r>
          </w:p>
          <w:p w14:paraId="4D7FF159" w14:textId="77777777" w:rsidR="00323557" w:rsidRPr="00F14B63" w:rsidRDefault="00323557" w:rsidP="00F14B63">
            <w:pPr>
              <w:pStyle w:val="DHHStablebullet"/>
            </w:pPr>
            <w:r w:rsidRPr="00F14B63">
              <w:t>they are in a health service facility</w:t>
            </w:r>
          </w:p>
          <w:p w14:paraId="405AB441" w14:textId="2CBF5CEA" w:rsidR="00323557" w:rsidRPr="00F14B63" w:rsidRDefault="00B564CF" w:rsidP="00F14B63">
            <w:pPr>
              <w:pStyle w:val="DHHStablebullet"/>
            </w:pPr>
            <w:r>
              <w:t xml:space="preserve">the </w:t>
            </w:r>
            <w:r w:rsidR="003C46B7">
              <w:t xml:space="preserve">designated person </w:t>
            </w:r>
            <w:r w:rsidR="00323557" w:rsidRPr="00F14B63">
              <w:t>takes possession of the firearm or other weapon in the course of carrying out his or her duties</w:t>
            </w:r>
            <w:r w:rsidR="00153A4B">
              <w:t>,</w:t>
            </w:r>
            <w:r w:rsidR="00323557" w:rsidRPr="00F14B63">
              <w:t xml:space="preserve"> and</w:t>
            </w:r>
          </w:p>
          <w:p w14:paraId="72C2020B" w14:textId="77777777" w:rsidR="00323557" w:rsidRPr="00F14B63" w:rsidRDefault="00323557" w:rsidP="00F14B63">
            <w:pPr>
              <w:pStyle w:val="DHHStablebullet"/>
            </w:pPr>
            <w:r w:rsidRPr="00F14B63">
              <w:t>the weapon is:</w:t>
            </w:r>
          </w:p>
          <w:p w14:paraId="17D5576F" w14:textId="445C4E4E" w:rsidR="00323557" w:rsidRPr="0046293E" w:rsidRDefault="00323557" w:rsidP="00563683">
            <w:pPr>
              <w:pStyle w:val="DHHSbullet2"/>
              <w:numPr>
                <w:ilvl w:val="0"/>
                <w:numId w:val="4"/>
              </w:numPr>
            </w:pPr>
            <w:r w:rsidRPr="0046293E">
              <w:t>given to them by a patient</w:t>
            </w:r>
            <w:r w:rsidR="00153A4B">
              <w:t xml:space="preserve">, </w:t>
            </w:r>
            <w:r w:rsidRPr="0046293E">
              <w:t>or</w:t>
            </w:r>
          </w:p>
          <w:p w14:paraId="6E88057A" w14:textId="2434E340" w:rsidR="00323557" w:rsidRPr="0046293E" w:rsidRDefault="00323557" w:rsidP="00563683">
            <w:pPr>
              <w:pStyle w:val="DHHSbullet2"/>
              <w:numPr>
                <w:ilvl w:val="0"/>
                <w:numId w:val="4"/>
              </w:numPr>
            </w:pPr>
            <w:r w:rsidRPr="0046293E">
              <w:t>removed from a patient</w:t>
            </w:r>
            <w:r w:rsidR="00153A4B">
              <w:t>,</w:t>
            </w:r>
            <w:r w:rsidRPr="0046293E">
              <w:t xml:space="preserve"> or</w:t>
            </w:r>
          </w:p>
          <w:p w14:paraId="73471673" w14:textId="1BFECAB8" w:rsidR="00323557" w:rsidRPr="0046293E" w:rsidRDefault="00323557" w:rsidP="00563683">
            <w:pPr>
              <w:pStyle w:val="DHHSbullet2"/>
              <w:numPr>
                <w:ilvl w:val="0"/>
                <w:numId w:val="4"/>
              </w:numPr>
            </w:pPr>
            <w:r w:rsidRPr="0046293E">
              <w:t>found in the vicinity of the patient</w:t>
            </w:r>
            <w:r w:rsidR="00153A4B">
              <w:t>,</w:t>
            </w:r>
            <w:r w:rsidRPr="0046293E">
              <w:t xml:space="preserve"> or</w:t>
            </w:r>
          </w:p>
          <w:p w14:paraId="093520CF" w14:textId="77777777" w:rsidR="00323557" w:rsidRDefault="00323557" w:rsidP="00563683">
            <w:pPr>
              <w:pStyle w:val="DHHSbullet2"/>
              <w:numPr>
                <w:ilvl w:val="0"/>
                <w:numId w:val="4"/>
              </w:numPr>
            </w:pPr>
            <w:r w:rsidRPr="0046293E">
              <w:t>given to them by a</w:t>
            </w:r>
            <w:r w:rsidR="000B6082">
              <w:t xml:space="preserve"> health professional or ambulance worker </w:t>
            </w:r>
            <w:r w:rsidRPr="0046293E">
              <w:t xml:space="preserve">who has taken possession of the firearm or weapon in </w:t>
            </w:r>
            <w:r>
              <w:t>one of the above circumstances.</w:t>
            </w:r>
            <w:r w:rsidR="00435451">
              <w:rPr>
                <w:rStyle w:val="FootnoteReference"/>
              </w:rPr>
              <w:footnoteReference w:id="16"/>
            </w:r>
          </w:p>
        </w:tc>
      </w:tr>
      <w:tr w:rsidR="00323557" w14:paraId="31B2B0C4" w14:textId="77777777" w:rsidTr="00EA3068">
        <w:trPr>
          <w:cantSplit/>
        </w:trPr>
        <w:tc>
          <w:tcPr>
            <w:tcW w:w="2127" w:type="dxa"/>
          </w:tcPr>
          <w:p w14:paraId="494A468E" w14:textId="77777777" w:rsidR="00323557" w:rsidRDefault="00323557" w:rsidP="002B4F6E">
            <w:pPr>
              <w:pStyle w:val="DHHStabletext"/>
            </w:pPr>
            <w:r>
              <w:t>Notification</w:t>
            </w:r>
          </w:p>
        </w:tc>
        <w:tc>
          <w:tcPr>
            <w:tcW w:w="8079" w:type="dxa"/>
          </w:tcPr>
          <w:p w14:paraId="41819B44" w14:textId="77777777" w:rsidR="00323557" w:rsidRDefault="00323557" w:rsidP="002B4F6E">
            <w:pPr>
              <w:pStyle w:val="DHHStabletext"/>
            </w:pPr>
            <w:r>
              <w:t xml:space="preserve">For </w:t>
            </w:r>
            <w:r w:rsidRPr="002A0E2A">
              <w:t>firearms</w:t>
            </w:r>
            <w:r w:rsidRPr="006B3AA5">
              <w:t>:</w:t>
            </w:r>
            <w:r>
              <w:t xml:space="preserve"> the health </w:t>
            </w:r>
            <w:r w:rsidRPr="009232E8">
              <w:t>service should contact police immediately</w:t>
            </w:r>
            <w:r>
              <w:t xml:space="preserve"> when</w:t>
            </w:r>
            <w:r w:rsidRPr="009232E8">
              <w:t xml:space="preserve"> </w:t>
            </w:r>
            <w:r>
              <w:t>a firearm is detected, and arrange for its collection within agreed timeframes.</w:t>
            </w:r>
          </w:p>
          <w:p w14:paraId="242E45D7" w14:textId="77777777" w:rsidR="00323557" w:rsidRDefault="00323557" w:rsidP="002B4F6E">
            <w:pPr>
              <w:pStyle w:val="DHHStabletext"/>
            </w:pPr>
            <w:r>
              <w:t xml:space="preserve">For </w:t>
            </w:r>
            <w:r w:rsidRPr="002A0E2A">
              <w:t>non-firearm weapons</w:t>
            </w:r>
            <w:r w:rsidRPr="006B3AA5">
              <w:t>:</w:t>
            </w:r>
            <w:r>
              <w:t xml:space="preserve"> the health service should contact police to arrange for the collection of non-firearm weapons within agreed timeframes.</w:t>
            </w:r>
          </w:p>
          <w:p w14:paraId="1E39FD2F" w14:textId="77777777" w:rsidR="00AC6BCA" w:rsidRDefault="00AC6BCA" w:rsidP="002B4F6E">
            <w:pPr>
              <w:pStyle w:val="DHHStabletext"/>
            </w:pPr>
            <w:r>
              <w:t xml:space="preserve">For dangerous articles: the health service </w:t>
            </w:r>
            <w:r w:rsidR="00E62A63">
              <w:t>should</w:t>
            </w:r>
            <w:r>
              <w:t xml:space="preserve"> use its discretion in determining whether police should be notified about a dangerous article, and whether collection by police is necessary.</w:t>
            </w:r>
          </w:p>
        </w:tc>
      </w:tr>
      <w:tr w:rsidR="00323557" w14:paraId="2C72324C" w14:textId="77777777" w:rsidTr="00EA3068">
        <w:trPr>
          <w:cantSplit/>
        </w:trPr>
        <w:tc>
          <w:tcPr>
            <w:tcW w:w="2127" w:type="dxa"/>
          </w:tcPr>
          <w:p w14:paraId="2F342DFD" w14:textId="77777777" w:rsidR="00323557" w:rsidRDefault="00323557" w:rsidP="002B4F6E">
            <w:pPr>
              <w:pStyle w:val="DHHStabletext"/>
            </w:pPr>
            <w:r>
              <w:t>Storage</w:t>
            </w:r>
          </w:p>
        </w:tc>
        <w:tc>
          <w:tcPr>
            <w:tcW w:w="8079" w:type="dxa"/>
          </w:tcPr>
          <w:p w14:paraId="7FD51421" w14:textId="77777777" w:rsidR="00323557" w:rsidRDefault="00323557" w:rsidP="00AC6BCA">
            <w:pPr>
              <w:pStyle w:val="DHHStabletext"/>
            </w:pPr>
            <w:r>
              <w:t>The health service should ensure that any firearm</w:t>
            </w:r>
            <w:r w:rsidR="009241A0">
              <w:t xml:space="preserve">, </w:t>
            </w:r>
            <w:r>
              <w:t xml:space="preserve">non-firearm weapon </w:t>
            </w:r>
            <w:r w:rsidR="009241A0">
              <w:t xml:space="preserve">or dangerous article </w:t>
            </w:r>
            <w:r>
              <w:t xml:space="preserve">is </w:t>
            </w:r>
            <w:r w:rsidRPr="00320CA4">
              <w:t>safely stored</w:t>
            </w:r>
            <w:r>
              <w:t xml:space="preserve"> until </w:t>
            </w:r>
            <w:r w:rsidR="00AC6BCA">
              <w:t>it is collected by police, returned to the owner or safely disposed of</w:t>
            </w:r>
            <w:r w:rsidR="001B7414">
              <w:t xml:space="preserve"> as appropriate</w:t>
            </w:r>
            <w:r>
              <w:t xml:space="preserve">. </w:t>
            </w:r>
            <w:r w:rsidR="005D4EF9">
              <w:t>The storage space should be locked</w:t>
            </w:r>
            <w:r>
              <w:t>, and access to keys should be restricted.</w:t>
            </w:r>
          </w:p>
        </w:tc>
      </w:tr>
      <w:tr w:rsidR="00323557" w14:paraId="4AA65DFB" w14:textId="77777777" w:rsidTr="00EA3068">
        <w:trPr>
          <w:cantSplit/>
        </w:trPr>
        <w:tc>
          <w:tcPr>
            <w:tcW w:w="2127" w:type="dxa"/>
          </w:tcPr>
          <w:p w14:paraId="34004E46" w14:textId="77777777" w:rsidR="00323557" w:rsidRDefault="00323557" w:rsidP="00AC6BCA">
            <w:pPr>
              <w:pStyle w:val="DHHStabletext"/>
            </w:pPr>
            <w:r>
              <w:t xml:space="preserve">Handover </w:t>
            </w:r>
            <w:r w:rsidR="00AC6BCA">
              <w:t>and disposal</w:t>
            </w:r>
          </w:p>
        </w:tc>
        <w:tc>
          <w:tcPr>
            <w:tcW w:w="8079" w:type="dxa"/>
          </w:tcPr>
          <w:p w14:paraId="0AC7A3E8" w14:textId="77777777" w:rsidR="00323557" w:rsidRDefault="00AC6BCA" w:rsidP="002B4F6E">
            <w:pPr>
              <w:pStyle w:val="DHHStabletext"/>
            </w:pPr>
            <w:r>
              <w:t>For firearms and non-firearm weapons: o</w:t>
            </w:r>
            <w:r w:rsidR="00323557" w:rsidRPr="00320CA4">
              <w:t>nce confiscated, firearms</w:t>
            </w:r>
            <w:r w:rsidR="00462570">
              <w:t xml:space="preserve"> and</w:t>
            </w:r>
            <w:r w:rsidR="00323557" w:rsidRPr="00320CA4">
              <w:t xml:space="preserve"> non-firearm weapons should only be handed over to police. It is then the responsibility of police to determine an appropriate course of action for the item</w:t>
            </w:r>
            <w:r w:rsidR="008441B4">
              <w:t>.</w:t>
            </w:r>
          </w:p>
          <w:p w14:paraId="27E7B1E8" w14:textId="77777777" w:rsidR="00AC6BCA" w:rsidRDefault="00AC6BCA" w:rsidP="002B4F6E">
            <w:pPr>
              <w:pStyle w:val="DHHStabletext"/>
            </w:pPr>
            <w:r>
              <w:t xml:space="preserve">For dangerous articles: </w:t>
            </w:r>
          </w:p>
          <w:p w14:paraId="7EA0D4B7" w14:textId="18B3BEBA" w:rsidR="00AC6BCA" w:rsidRDefault="00AC6BCA" w:rsidP="0062436F">
            <w:pPr>
              <w:pStyle w:val="DHHStablebullet"/>
            </w:pPr>
            <w:r>
              <w:t xml:space="preserve">items </w:t>
            </w:r>
            <w:r w:rsidR="00153A4B">
              <w:t xml:space="preserve">that </w:t>
            </w:r>
            <w:r>
              <w:t xml:space="preserve">have either been adapted for use of a weapon, or are carried with the intention of being used as a weapon, </w:t>
            </w:r>
            <w:r w:rsidR="00E62A63">
              <w:t>should</w:t>
            </w:r>
            <w:r>
              <w:t xml:space="preserve"> be handed over to police</w:t>
            </w:r>
          </w:p>
          <w:p w14:paraId="7B0D5C99" w14:textId="77777777" w:rsidR="00AC6BCA" w:rsidRDefault="00AC6BCA" w:rsidP="000D7A0C">
            <w:pPr>
              <w:pStyle w:val="DHHStablebullet"/>
            </w:pPr>
            <w:r>
              <w:t>the health service may use its discretion in relation to other items that could potentially be used as a weapon</w:t>
            </w:r>
            <w:r w:rsidR="000D7A0C">
              <w:t xml:space="preserve">, and </w:t>
            </w:r>
            <w:r>
              <w:t xml:space="preserve">should undertake a risk assessment </w:t>
            </w:r>
            <w:r w:rsidR="0062436F">
              <w:t xml:space="preserve">to determine the course of action. For example, some dangerous articles such as syringes should be disposed of safely; other personal items may be returned to the owner </w:t>
            </w:r>
            <w:r w:rsidR="000D7A0C">
              <w:t>if appropriate.</w:t>
            </w:r>
          </w:p>
        </w:tc>
      </w:tr>
      <w:tr w:rsidR="00323557" w14:paraId="5534F9EC" w14:textId="77777777" w:rsidTr="00EA3068">
        <w:trPr>
          <w:cantSplit/>
        </w:trPr>
        <w:tc>
          <w:tcPr>
            <w:tcW w:w="2127" w:type="dxa"/>
          </w:tcPr>
          <w:p w14:paraId="6B703E86" w14:textId="77777777" w:rsidR="00323557" w:rsidRDefault="00323557" w:rsidP="002B4F6E">
            <w:pPr>
              <w:pStyle w:val="DHHStabletext"/>
            </w:pPr>
            <w:r>
              <w:t>Documentation</w:t>
            </w:r>
          </w:p>
        </w:tc>
        <w:tc>
          <w:tcPr>
            <w:tcW w:w="8079" w:type="dxa"/>
          </w:tcPr>
          <w:p w14:paraId="4C1B7A70" w14:textId="77777777" w:rsidR="00323557" w:rsidRDefault="00323557" w:rsidP="002B4F6E">
            <w:pPr>
              <w:pStyle w:val="DHHStabletext"/>
            </w:pPr>
            <w:r>
              <w:t>Details of the confiscation, storage and collection of any weapon should be appropriately documented (</w:t>
            </w:r>
            <w:r w:rsidR="00B564CF">
              <w:t xml:space="preserve">refer to the </w:t>
            </w:r>
            <w:r w:rsidR="00153A4B">
              <w:t>‘</w:t>
            </w:r>
            <w:r w:rsidR="00B564CF" w:rsidRPr="00EA3068">
              <w:t>Documentation and r</w:t>
            </w:r>
            <w:r w:rsidRPr="00EA3068">
              <w:t>eporting</w:t>
            </w:r>
            <w:r w:rsidR="00153A4B">
              <w:t>’</w:t>
            </w:r>
            <w:r>
              <w:t xml:space="preserve"> section below for a list of matters that should be documented</w:t>
            </w:r>
            <w:r w:rsidR="005E0F6E">
              <w:t>)</w:t>
            </w:r>
            <w:r>
              <w:t>.</w:t>
            </w:r>
          </w:p>
        </w:tc>
      </w:tr>
    </w:tbl>
    <w:p w14:paraId="6C64A767" w14:textId="77777777" w:rsidR="009B6105" w:rsidRDefault="009B6105" w:rsidP="009B6105">
      <w:pPr>
        <w:pStyle w:val="Heading2"/>
      </w:pPr>
    </w:p>
    <w:p w14:paraId="6C76FDFF" w14:textId="77777777" w:rsidR="009B6105" w:rsidRDefault="009B6105">
      <w:pPr>
        <w:rPr>
          <w:rFonts w:ascii="Arial" w:hAnsi="Arial"/>
          <w:b/>
          <w:color w:val="007B4B"/>
          <w:sz w:val="28"/>
          <w:szCs w:val="28"/>
        </w:rPr>
      </w:pPr>
      <w:r>
        <w:br w:type="page"/>
      </w:r>
    </w:p>
    <w:p w14:paraId="2BFB08EA" w14:textId="77777777" w:rsidR="00323557" w:rsidRPr="00DD6FF9" w:rsidRDefault="00323557" w:rsidP="009B6105">
      <w:pPr>
        <w:pStyle w:val="Heading2"/>
        <w:numPr>
          <w:ilvl w:val="0"/>
          <w:numId w:val="5"/>
        </w:numPr>
      </w:pPr>
      <w:r w:rsidRPr="00DD6FF9">
        <w:lastRenderedPageBreak/>
        <w:t>Documentation and reporting</w:t>
      </w:r>
    </w:p>
    <w:p w14:paraId="5891B46D" w14:textId="77777777" w:rsidR="00323557" w:rsidRDefault="00323557" w:rsidP="009B6105">
      <w:pPr>
        <w:pStyle w:val="DHHSbullet1lastline"/>
        <w:numPr>
          <w:ilvl w:val="1"/>
          <w:numId w:val="5"/>
        </w:numPr>
        <w:spacing w:after="40"/>
        <w:ind w:left="357" w:hanging="357"/>
      </w:pPr>
      <w:r w:rsidRPr="00BB1917">
        <w:t xml:space="preserve">The management of weapons should be subject to </w:t>
      </w:r>
      <w:r>
        <w:t xml:space="preserve">documentation, </w:t>
      </w:r>
      <w:r w:rsidRPr="00BB1917">
        <w:t>data collection, monitoring, reporting and evaluation by the health service.</w:t>
      </w:r>
    </w:p>
    <w:p w14:paraId="68C39502" w14:textId="77777777" w:rsidR="000064A1" w:rsidRDefault="000064A1" w:rsidP="000064A1">
      <w:pPr>
        <w:pStyle w:val="Heading3"/>
      </w:pPr>
      <w:r>
        <w:t>Documentation</w:t>
      </w:r>
    </w:p>
    <w:p w14:paraId="32385EA5" w14:textId="77777777" w:rsidR="002B6B95" w:rsidRDefault="002B6B95" w:rsidP="009B6105">
      <w:pPr>
        <w:pStyle w:val="DHHSbullet1lastline"/>
        <w:numPr>
          <w:ilvl w:val="1"/>
          <w:numId w:val="5"/>
        </w:numPr>
        <w:spacing w:after="40"/>
        <w:ind w:left="357" w:hanging="357"/>
      </w:pPr>
      <w:r>
        <w:t>Relevant details about weapons should be recorded in a register maintained by the health service, and information specific to a patient, their family or visitors should also be flagged on the patient’s record.</w:t>
      </w:r>
    </w:p>
    <w:p w14:paraId="3793AF84" w14:textId="77777777" w:rsidR="00323557" w:rsidRDefault="00323557" w:rsidP="009B6105">
      <w:pPr>
        <w:pStyle w:val="DHHSbullet1lastline"/>
        <w:numPr>
          <w:ilvl w:val="1"/>
          <w:numId w:val="5"/>
        </w:numPr>
      </w:pPr>
      <w:r>
        <w:t>Matters to be documented should include, but not necessarily be limited to</w:t>
      </w:r>
      <w:r w:rsidR="001E1AA8">
        <w:t>, the matters set out in the following table.</w:t>
      </w:r>
      <w:r w:rsidR="008C79DD">
        <w:t xml:space="preserve"> </w:t>
      </w:r>
    </w:p>
    <w:tbl>
      <w:tblPr>
        <w:tblStyle w:val="TableGrid"/>
        <w:tblW w:w="10206" w:type="dxa"/>
        <w:tblLook w:val="04A0" w:firstRow="1" w:lastRow="0" w:firstColumn="1" w:lastColumn="0" w:noHBand="0" w:noVBand="1"/>
      </w:tblPr>
      <w:tblGrid>
        <w:gridCol w:w="2127"/>
        <w:gridCol w:w="8079"/>
      </w:tblGrid>
      <w:tr w:rsidR="00323557" w:rsidRPr="00DF3A5C" w14:paraId="113530BB" w14:textId="77777777" w:rsidTr="00EA3068">
        <w:tc>
          <w:tcPr>
            <w:tcW w:w="2127" w:type="dxa"/>
          </w:tcPr>
          <w:p w14:paraId="37C1310C" w14:textId="77777777" w:rsidR="00323557" w:rsidRPr="00DF3A5C" w:rsidRDefault="00323557" w:rsidP="002B4F6E">
            <w:pPr>
              <w:pStyle w:val="DHHStablecolhead"/>
            </w:pPr>
            <w:r>
              <w:t>Matter</w:t>
            </w:r>
          </w:p>
        </w:tc>
        <w:tc>
          <w:tcPr>
            <w:tcW w:w="8079" w:type="dxa"/>
          </w:tcPr>
          <w:p w14:paraId="098367E3" w14:textId="77777777" w:rsidR="00323557" w:rsidRPr="00DF3A5C" w:rsidRDefault="00323557" w:rsidP="002B4F6E">
            <w:pPr>
              <w:pStyle w:val="DHHStablecolhead"/>
            </w:pPr>
            <w:r>
              <w:t>Details to be recorded</w:t>
            </w:r>
          </w:p>
        </w:tc>
      </w:tr>
      <w:tr w:rsidR="00323557" w14:paraId="26FFD79E" w14:textId="77777777" w:rsidTr="00EA3068">
        <w:tc>
          <w:tcPr>
            <w:tcW w:w="2127" w:type="dxa"/>
          </w:tcPr>
          <w:p w14:paraId="409B316D" w14:textId="77777777" w:rsidR="00323557" w:rsidRDefault="00323557" w:rsidP="002B4F6E">
            <w:pPr>
              <w:pStyle w:val="DHHStabletext"/>
            </w:pPr>
            <w:r>
              <w:t>Searches by police</w:t>
            </w:r>
          </w:p>
        </w:tc>
        <w:tc>
          <w:tcPr>
            <w:tcW w:w="8079" w:type="dxa"/>
          </w:tcPr>
          <w:p w14:paraId="1CC404FB" w14:textId="3F782CD2" w:rsidR="00323557" w:rsidRDefault="00323557" w:rsidP="002B4F6E">
            <w:pPr>
              <w:pStyle w:val="DHHStabletext"/>
            </w:pPr>
            <w:r>
              <w:t>Confirmation as to whether a person has been searched for a weapon, and the outcome of that search</w:t>
            </w:r>
          </w:p>
        </w:tc>
      </w:tr>
      <w:tr w:rsidR="00323557" w14:paraId="30865E34" w14:textId="77777777" w:rsidTr="00EA3068">
        <w:tc>
          <w:tcPr>
            <w:tcW w:w="2127" w:type="dxa"/>
          </w:tcPr>
          <w:p w14:paraId="3FFF9859" w14:textId="77777777" w:rsidR="00323557" w:rsidRDefault="00C64F16" w:rsidP="00C64F16">
            <w:pPr>
              <w:pStyle w:val="DHHStabletext"/>
            </w:pPr>
            <w:r>
              <w:t>All other s</w:t>
            </w:r>
            <w:r w:rsidR="00323557">
              <w:t xml:space="preserve">earches </w:t>
            </w:r>
          </w:p>
        </w:tc>
        <w:tc>
          <w:tcPr>
            <w:tcW w:w="8079" w:type="dxa"/>
          </w:tcPr>
          <w:p w14:paraId="4B8460E7" w14:textId="005C545A" w:rsidR="00323557" w:rsidRDefault="00323557" w:rsidP="002B4F6E">
            <w:pPr>
              <w:pStyle w:val="DHHStabletext"/>
            </w:pPr>
            <w:r>
              <w:t>Details of any search carried out, including the date and time of the search, the name of the person searched, the name of the</w:t>
            </w:r>
            <w:r w:rsidR="00C64F16">
              <w:t xml:space="preserve"> designated</w:t>
            </w:r>
            <w:r>
              <w:t xml:space="preserve"> person who conducted the search, confirmation that consent was given, and the outcome of the search</w:t>
            </w:r>
          </w:p>
        </w:tc>
      </w:tr>
      <w:tr w:rsidR="00323557" w14:paraId="45E573D4" w14:textId="77777777" w:rsidTr="00EA3068">
        <w:tc>
          <w:tcPr>
            <w:tcW w:w="2127" w:type="dxa"/>
          </w:tcPr>
          <w:p w14:paraId="2DD8B407" w14:textId="77777777" w:rsidR="00323557" w:rsidRDefault="00323557" w:rsidP="002B4F6E">
            <w:pPr>
              <w:pStyle w:val="DHHStabletext"/>
            </w:pPr>
            <w:r>
              <w:t>Confiscation and storage</w:t>
            </w:r>
          </w:p>
        </w:tc>
        <w:tc>
          <w:tcPr>
            <w:tcW w:w="8079" w:type="dxa"/>
          </w:tcPr>
          <w:p w14:paraId="6D7F40CA" w14:textId="711CAEEC" w:rsidR="00323557" w:rsidRDefault="00323557" w:rsidP="002B4F6E">
            <w:pPr>
              <w:pStyle w:val="DHHStabletext"/>
            </w:pPr>
            <w:r>
              <w:t>The type of weapon, the name of the person from whom the weapon was taken, the name of the person who takes possession of the weapon, the date and time of confiscation and the storage location, and details of notification to police</w:t>
            </w:r>
          </w:p>
        </w:tc>
      </w:tr>
      <w:tr w:rsidR="00323557" w14:paraId="758E9B41" w14:textId="77777777" w:rsidTr="00EA3068">
        <w:tc>
          <w:tcPr>
            <w:tcW w:w="2127" w:type="dxa"/>
          </w:tcPr>
          <w:p w14:paraId="0E995BF8" w14:textId="77777777" w:rsidR="00323557" w:rsidRDefault="00323557" w:rsidP="002B4F6E">
            <w:pPr>
              <w:pStyle w:val="DHHStabletext"/>
            </w:pPr>
            <w:r>
              <w:t>Collection</w:t>
            </w:r>
          </w:p>
        </w:tc>
        <w:tc>
          <w:tcPr>
            <w:tcW w:w="8079" w:type="dxa"/>
          </w:tcPr>
          <w:p w14:paraId="2C69E54E" w14:textId="746F96B5" w:rsidR="00323557" w:rsidRDefault="00323557" w:rsidP="002B4F6E">
            <w:pPr>
              <w:pStyle w:val="DHHStabletext"/>
            </w:pPr>
            <w:r>
              <w:t>The time of collection, handover details, and acknowledgement of receipt by the person collecting the weapon</w:t>
            </w:r>
          </w:p>
        </w:tc>
      </w:tr>
      <w:tr w:rsidR="00323557" w14:paraId="094B952E" w14:textId="77777777" w:rsidTr="00EA3068">
        <w:tc>
          <w:tcPr>
            <w:tcW w:w="2127" w:type="dxa"/>
          </w:tcPr>
          <w:p w14:paraId="7AE6F61C" w14:textId="77777777" w:rsidR="00323557" w:rsidRDefault="00323557" w:rsidP="002B4F6E">
            <w:pPr>
              <w:pStyle w:val="DHHStabletext"/>
            </w:pPr>
            <w:r>
              <w:t>Adverse events</w:t>
            </w:r>
          </w:p>
        </w:tc>
        <w:tc>
          <w:tcPr>
            <w:tcW w:w="8079" w:type="dxa"/>
          </w:tcPr>
          <w:p w14:paraId="097C86C9" w14:textId="77F59975" w:rsidR="00323557" w:rsidRDefault="00323557" w:rsidP="002B4F6E">
            <w:pPr>
              <w:pStyle w:val="DHHStabletext"/>
            </w:pPr>
            <w:r>
              <w:t>Details of any adverse events or injuries</w:t>
            </w:r>
          </w:p>
        </w:tc>
      </w:tr>
    </w:tbl>
    <w:p w14:paraId="33A6B61E" w14:textId="77777777" w:rsidR="000064A1" w:rsidRDefault="000064A1" w:rsidP="000064A1">
      <w:pPr>
        <w:pStyle w:val="Heading3"/>
      </w:pPr>
      <w:r>
        <w:t>Data collection, reporting and evaluation</w:t>
      </w:r>
    </w:p>
    <w:p w14:paraId="1DA55D6A" w14:textId="77777777" w:rsidR="001B4601" w:rsidRPr="001B4601" w:rsidRDefault="001B4601" w:rsidP="001305CA">
      <w:pPr>
        <w:pStyle w:val="DHHSbody"/>
        <w:numPr>
          <w:ilvl w:val="1"/>
          <w:numId w:val="5"/>
        </w:numPr>
        <w:spacing w:after="40"/>
        <w:ind w:left="357" w:hanging="357"/>
      </w:pPr>
      <w:r w:rsidRPr="00185A8D">
        <w:t xml:space="preserve">The </w:t>
      </w:r>
      <w:r w:rsidRPr="001B4601">
        <w:t>health service should undertake regular reporting about weapons to the occupational violence and aggression committee (or similar committee, however named), chief executive officer, and board.</w:t>
      </w:r>
    </w:p>
    <w:p w14:paraId="6BFD6E0B" w14:textId="77777777" w:rsidR="00323557" w:rsidRPr="001B4601" w:rsidRDefault="00323557" w:rsidP="001305CA">
      <w:pPr>
        <w:pStyle w:val="DHHSbullet1lastline"/>
        <w:numPr>
          <w:ilvl w:val="1"/>
          <w:numId w:val="5"/>
        </w:numPr>
      </w:pPr>
      <w:r w:rsidRPr="001B4601">
        <w:t>Data collection, reporting and evaluation should include, but not necessarily be limited to, the matters</w:t>
      </w:r>
      <w:r w:rsidR="001E1AA8" w:rsidRPr="001B4601">
        <w:t xml:space="preserve"> set out in the table below</w:t>
      </w:r>
      <w:r w:rsidRPr="001B4601">
        <w:t>. Reporting should link with local incident reporting, Code Grey and Code Black reporting.</w:t>
      </w:r>
      <w:r w:rsidR="00CB7111" w:rsidRPr="001B4601">
        <w:t xml:space="preserve"> </w:t>
      </w:r>
    </w:p>
    <w:tbl>
      <w:tblPr>
        <w:tblStyle w:val="TableGrid"/>
        <w:tblW w:w="10206" w:type="dxa"/>
        <w:tblLook w:val="04A0" w:firstRow="1" w:lastRow="0" w:firstColumn="1" w:lastColumn="0" w:noHBand="0" w:noVBand="1"/>
      </w:tblPr>
      <w:tblGrid>
        <w:gridCol w:w="2127"/>
        <w:gridCol w:w="8079"/>
      </w:tblGrid>
      <w:tr w:rsidR="00323557" w:rsidRPr="00DF3A5C" w14:paraId="14F6CF3A" w14:textId="77777777" w:rsidTr="00EA3068">
        <w:tc>
          <w:tcPr>
            <w:tcW w:w="2127" w:type="dxa"/>
          </w:tcPr>
          <w:p w14:paraId="74738139" w14:textId="77777777" w:rsidR="00323557" w:rsidRPr="00DF3A5C" w:rsidRDefault="00323557" w:rsidP="002B4F6E">
            <w:pPr>
              <w:pStyle w:val="DHHStablecolhead"/>
            </w:pPr>
            <w:r>
              <w:t>Matter</w:t>
            </w:r>
          </w:p>
        </w:tc>
        <w:tc>
          <w:tcPr>
            <w:tcW w:w="8079" w:type="dxa"/>
          </w:tcPr>
          <w:p w14:paraId="0E3150D6" w14:textId="77777777" w:rsidR="00323557" w:rsidRPr="00DF3A5C" w:rsidRDefault="00323557" w:rsidP="002B4F6E">
            <w:pPr>
              <w:pStyle w:val="DHHStablecolhead"/>
            </w:pPr>
            <w:r>
              <w:t>Details to be reported</w:t>
            </w:r>
          </w:p>
        </w:tc>
      </w:tr>
      <w:tr w:rsidR="00323557" w14:paraId="6AE21578" w14:textId="77777777" w:rsidTr="00EA3068">
        <w:tc>
          <w:tcPr>
            <w:tcW w:w="2127" w:type="dxa"/>
          </w:tcPr>
          <w:p w14:paraId="5B78A15C" w14:textId="77777777" w:rsidR="00323557" w:rsidRDefault="00323557" w:rsidP="002B4F6E">
            <w:pPr>
              <w:pStyle w:val="DHHStabletext"/>
            </w:pPr>
            <w:r>
              <w:t>Searches</w:t>
            </w:r>
          </w:p>
        </w:tc>
        <w:tc>
          <w:tcPr>
            <w:tcW w:w="8079" w:type="dxa"/>
          </w:tcPr>
          <w:p w14:paraId="3DD33697" w14:textId="240D1983" w:rsidR="00323557" w:rsidRDefault="00323557" w:rsidP="00C64F16">
            <w:pPr>
              <w:pStyle w:val="DHHStabletext"/>
            </w:pPr>
            <w:r>
              <w:t>The number of searches carried out and the outcomes of those searches (whether or not a weapon was detected)</w:t>
            </w:r>
          </w:p>
        </w:tc>
      </w:tr>
      <w:tr w:rsidR="00323557" w14:paraId="34CA2E4E" w14:textId="77777777" w:rsidTr="00EA3068">
        <w:tc>
          <w:tcPr>
            <w:tcW w:w="2127" w:type="dxa"/>
          </w:tcPr>
          <w:p w14:paraId="7E5E9BE5" w14:textId="77777777" w:rsidR="00323557" w:rsidRDefault="00323557" w:rsidP="002B4F6E">
            <w:pPr>
              <w:pStyle w:val="DHHStabletext"/>
            </w:pPr>
            <w:r>
              <w:t>Confiscation and storage</w:t>
            </w:r>
          </w:p>
        </w:tc>
        <w:tc>
          <w:tcPr>
            <w:tcW w:w="8079" w:type="dxa"/>
          </w:tcPr>
          <w:p w14:paraId="0E8F9169" w14:textId="259881BF" w:rsidR="00323557" w:rsidRDefault="00323557" w:rsidP="005C1A21">
            <w:pPr>
              <w:pStyle w:val="DHHStabletext"/>
            </w:pPr>
            <w:r>
              <w:t>The number and type of weapons</w:t>
            </w:r>
            <w:r w:rsidR="005C1A21">
              <w:t xml:space="preserve">, and where in the health service they were </w:t>
            </w:r>
            <w:r>
              <w:t>detected</w:t>
            </w:r>
          </w:p>
        </w:tc>
      </w:tr>
      <w:tr w:rsidR="00323557" w14:paraId="59E2F28F" w14:textId="77777777" w:rsidTr="00EA3068">
        <w:tc>
          <w:tcPr>
            <w:tcW w:w="2127" w:type="dxa"/>
          </w:tcPr>
          <w:p w14:paraId="4B5F32EA" w14:textId="77777777" w:rsidR="00323557" w:rsidRDefault="00323557" w:rsidP="002B4F6E">
            <w:pPr>
              <w:pStyle w:val="DHHStabletext"/>
            </w:pPr>
            <w:r>
              <w:t>Collection</w:t>
            </w:r>
          </w:p>
        </w:tc>
        <w:tc>
          <w:tcPr>
            <w:tcW w:w="8079" w:type="dxa"/>
          </w:tcPr>
          <w:p w14:paraId="1E3106EA" w14:textId="66B636FB" w:rsidR="00323557" w:rsidRDefault="00323557" w:rsidP="002B4F6E">
            <w:pPr>
              <w:pStyle w:val="DHHStabletext"/>
            </w:pPr>
            <w:r>
              <w:t>The number and type of weapons collected by police, and whether they were collected within agreed timeframes</w:t>
            </w:r>
          </w:p>
        </w:tc>
      </w:tr>
      <w:tr w:rsidR="00323557" w14:paraId="148D2861" w14:textId="77777777" w:rsidTr="00EA3068">
        <w:tc>
          <w:tcPr>
            <w:tcW w:w="2127" w:type="dxa"/>
          </w:tcPr>
          <w:p w14:paraId="72803096" w14:textId="77777777" w:rsidR="00323557" w:rsidRDefault="00323557" w:rsidP="002B4F6E">
            <w:pPr>
              <w:pStyle w:val="DHHStabletext"/>
            </w:pPr>
            <w:r>
              <w:t>Adverse events</w:t>
            </w:r>
          </w:p>
        </w:tc>
        <w:tc>
          <w:tcPr>
            <w:tcW w:w="8079" w:type="dxa"/>
          </w:tcPr>
          <w:p w14:paraId="3AD4E620" w14:textId="776816AB" w:rsidR="00323557" w:rsidRDefault="00323557" w:rsidP="002B4F6E">
            <w:pPr>
              <w:pStyle w:val="DHHStabletext"/>
            </w:pPr>
            <w:r>
              <w:t>Adverse events and injuries to staff or patients</w:t>
            </w:r>
          </w:p>
        </w:tc>
      </w:tr>
      <w:tr w:rsidR="00323557" w14:paraId="241AD6EB" w14:textId="77777777" w:rsidTr="00EA3068">
        <w:tc>
          <w:tcPr>
            <w:tcW w:w="2127" w:type="dxa"/>
          </w:tcPr>
          <w:p w14:paraId="0652C10C" w14:textId="77777777" w:rsidR="00323557" w:rsidRDefault="00323557" w:rsidP="002B4F6E">
            <w:pPr>
              <w:pStyle w:val="DHHStabletext"/>
            </w:pPr>
            <w:r>
              <w:t>Incident review</w:t>
            </w:r>
          </w:p>
        </w:tc>
        <w:tc>
          <w:tcPr>
            <w:tcW w:w="8079" w:type="dxa"/>
          </w:tcPr>
          <w:p w14:paraId="2FC4987E" w14:textId="6F3A9601" w:rsidR="00DB3D8D" w:rsidRDefault="00DB3D8D" w:rsidP="002B4F6E">
            <w:pPr>
              <w:pStyle w:val="DHHStabletext"/>
            </w:pPr>
            <w:r w:rsidRPr="001B4601">
              <w:t>Reviews of incidents at the health service involving a firearm or any other weapon, including incident outcomes, trends identified, learnings, and any measures put in place to improve prevention</w:t>
            </w:r>
          </w:p>
        </w:tc>
      </w:tr>
    </w:tbl>
    <w:p w14:paraId="34B3B13D" w14:textId="77777777" w:rsidR="00260F43" w:rsidRDefault="00260F43" w:rsidP="009B6105">
      <w:pPr>
        <w:pStyle w:val="Heading2"/>
        <w:numPr>
          <w:ilvl w:val="0"/>
          <w:numId w:val="5"/>
        </w:numPr>
      </w:pPr>
      <w:r>
        <w:t>Health service and police cooperation</w:t>
      </w:r>
    </w:p>
    <w:p w14:paraId="6CA35004" w14:textId="77777777" w:rsidR="00E8049C" w:rsidRDefault="00C059B5" w:rsidP="009B6105">
      <w:pPr>
        <w:pStyle w:val="DHHSbullet1lastline"/>
        <w:numPr>
          <w:ilvl w:val="1"/>
          <w:numId w:val="5"/>
        </w:numPr>
        <w:spacing w:after="40"/>
        <w:ind w:left="357" w:hanging="357"/>
      </w:pPr>
      <w:r>
        <w:t xml:space="preserve">Formal partnerships between health services and police are essential </w:t>
      </w:r>
      <w:r w:rsidR="00C8394C">
        <w:t xml:space="preserve">for </w:t>
      </w:r>
      <w:r w:rsidR="00440104">
        <w:t>optimal management of weapons.</w:t>
      </w:r>
    </w:p>
    <w:p w14:paraId="5041A802" w14:textId="77777777" w:rsidR="00440104" w:rsidRDefault="00440104" w:rsidP="009B6105">
      <w:pPr>
        <w:pStyle w:val="DHHSbullet1lastline"/>
        <w:numPr>
          <w:ilvl w:val="1"/>
          <w:numId w:val="5"/>
        </w:numPr>
        <w:spacing w:after="40"/>
        <w:ind w:left="357" w:hanging="357"/>
      </w:pPr>
      <w:r>
        <w:t>Agreements should be negotiated at a local level, and should include:</w:t>
      </w:r>
    </w:p>
    <w:p w14:paraId="01D726A1" w14:textId="77777777" w:rsidR="00440104" w:rsidRDefault="00440104" w:rsidP="00B32AF6">
      <w:pPr>
        <w:pStyle w:val="DHHSbullet2"/>
      </w:pPr>
      <w:r>
        <w:t xml:space="preserve">agreement </w:t>
      </w:r>
      <w:r w:rsidR="008F2ABE">
        <w:t>about</w:t>
      </w:r>
      <w:r>
        <w:t xml:space="preserve"> the appropriate authorised carriage and use of weapons by police officers within the different areas of the health service</w:t>
      </w:r>
    </w:p>
    <w:p w14:paraId="35F1900F" w14:textId="77777777" w:rsidR="00896C19" w:rsidRDefault="00896C19" w:rsidP="00B32AF6">
      <w:pPr>
        <w:pStyle w:val="DHHSbullet2"/>
      </w:pPr>
      <w:r>
        <w:t>access to gun safes or agreed alternatives</w:t>
      </w:r>
    </w:p>
    <w:p w14:paraId="0F305151" w14:textId="77777777" w:rsidR="00B81991" w:rsidRDefault="00440104" w:rsidP="00B32AF6">
      <w:pPr>
        <w:pStyle w:val="DHHSbullet2"/>
      </w:pPr>
      <w:r>
        <w:lastRenderedPageBreak/>
        <w:t xml:space="preserve">processes </w:t>
      </w:r>
      <w:r w:rsidR="00B81991">
        <w:t>for notification, storage and handover of weapons to police</w:t>
      </w:r>
    </w:p>
    <w:p w14:paraId="4BAC4DF1" w14:textId="77777777" w:rsidR="00B81991" w:rsidRDefault="00B81991" w:rsidP="00B32AF6">
      <w:pPr>
        <w:pStyle w:val="DHHSbullet2"/>
      </w:pPr>
      <w:r>
        <w:t>agreed timeframes for the collection of firearm and non-firearm weapons by police</w:t>
      </w:r>
    </w:p>
    <w:p w14:paraId="2C36F543" w14:textId="77777777" w:rsidR="00B81991" w:rsidRDefault="00C52F38" w:rsidP="00B32AF6">
      <w:pPr>
        <w:pStyle w:val="DHHSbullet2"/>
      </w:pPr>
      <w:r>
        <w:t xml:space="preserve">agreement </w:t>
      </w:r>
      <w:r w:rsidR="008F2ABE">
        <w:t>about</w:t>
      </w:r>
      <w:r>
        <w:t xml:space="preserve"> the process when a patient is escorted to hospital by police</w:t>
      </w:r>
    </w:p>
    <w:p w14:paraId="536BD598" w14:textId="77777777" w:rsidR="00C52F38" w:rsidRDefault="00C52F38" w:rsidP="00B32AF6">
      <w:pPr>
        <w:pStyle w:val="DHHSbullet2"/>
      </w:pPr>
      <w:r>
        <w:t>information that police may provide to the health service, including:</w:t>
      </w:r>
    </w:p>
    <w:p w14:paraId="6AEE0248" w14:textId="77777777" w:rsidR="00C52F38" w:rsidRDefault="00C52F38" w:rsidP="009B6105">
      <w:pPr>
        <w:pStyle w:val="DHHStablebullet"/>
        <w:numPr>
          <w:ilvl w:val="0"/>
          <w:numId w:val="6"/>
        </w:numPr>
      </w:pPr>
      <w:r>
        <w:t>confirmation whether the person has been searched for a weapon, and the outcome of that search</w:t>
      </w:r>
    </w:p>
    <w:p w14:paraId="47DA6ABC" w14:textId="77777777" w:rsidR="00C52F38" w:rsidRDefault="00C52F38" w:rsidP="009B6105">
      <w:pPr>
        <w:pStyle w:val="DHHStablebullet"/>
        <w:numPr>
          <w:ilvl w:val="0"/>
          <w:numId w:val="6"/>
        </w:numPr>
      </w:pPr>
      <w:r>
        <w:t xml:space="preserve">information that the police believe is necessary to lessen </w:t>
      </w:r>
      <w:r w:rsidR="009241A0">
        <w:t xml:space="preserve">or </w:t>
      </w:r>
      <w:r>
        <w:t xml:space="preserve">prevent </w:t>
      </w:r>
      <w:r w:rsidR="002F7B89">
        <w:t>a</w:t>
      </w:r>
      <w:r>
        <w:t xml:space="preserve"> serious threat to a person’s life, health, safety or welfare, or a serious threat to public health, </w:t>
      </w:r>
      <w:r w:rsidR="00235D18">
        <w:t>public safety or public welfare</w:t>
      </w:r>
      <w:r>
        <w:rPr>
          <w:rStyle w:val="FootnoteReference"/>
        </w:rPr>
        <w:footnoteReference w:id="17"/>
      </w:r>
    </w:p>
    <w:p w14:paraId="213D7B66" w14:textId="77777777" w:rsidR="00FE1F11" w:rsidRDefault="002A69FD" w:rsidP="00B32AF6">
      <w:pPr>
        <w:pStyle w:val="DHHSbullet2lastline"/>
      </w:pPr>
      <w:r w:rsidRPr="00320CA4">
        <w:t xml:space="preserve">agreements to guide decision making about the return of </w:t>
      </w:r>
      <w:r w:rsidR="00320CA4" w:rsidRPr="00320CA4">
        <w:t>dangerous articles</w:t>
      </w:r>
      <w:r w:rsidRPr="00320CA4">
        <w:t xml:space="preserve"> to owners who have a legitimate reason for having such an item</w:t>
      </w:r>
      <w:r w:rsidR="00320CA4" w:rsidRPr="00320CA4">
        <w:t>.</w:t>
      </w:r>
    </w:p>
    <w:p w14:paraId="4EB3CE5F" w14:textId="77777777" w:rsidR="00DA4759" w:rsidRDefault="00BB03B1" w:rsidP="009B6105">
      <w:pPr>
        <w:pStyle w:val="Heading2"/>
        <w:numPr>
          <w:ilvl w:val="0"/>
          <w:numId w:val="5"/>
        </w:numPr>
      </w:pPr>
      <w:r>
        <w:t>Health service weapons management policies: key elements</w:t>
      </w:r>
    </w:p>
    <w:p w14:paraId="6300F5F1" w14:textId="77777777" w:rsidR="00BB03B1" w:rsidRDefault="00BB03B1" w:rsidP="009B6105">
      <w:pPr>
        <w:pStyle w:val="DHHSbullet1lastline"/>
        <w:numPr>
          <w:ilvl w:val="1"/>
          <w:numId w:val="5"/>
        </w:numPr>
        <w:spacing w:after="40"/>
        <w:ind w:left="357" w:hanging="357"/>
      </w:pPr>
      <w:r>
        <w:t>A health service’s policy and procedures for management of weapons should be consistent with these guidelines, and should take into account local conditions, operational requirements and resources.</w:t>
      </w:r>
    </w:p>
    <w:p w14:paraId="36E7F9D0" w14:textId="77777777" w:rsidR="00BB03B1" w:rsidRDefault="00946F66" w:rsidP="009B6105">
      <w:pPr>
        <w:pStyle w:val="DHHSbullet1lastline"/>
        <w:numPr>
          <w:ilvl w:val="1"/>
          <w:numId w:val="5"/>
        </w:numPr>
        <w:spacing w:after="40"/>
        <w:ind w:left="357" w:hanging="357"/>
      </w:pPr>
      <w:r>
        <w:t>When developing</w:t>
      </w:r>
      <w:r w:rsidR="006046C0">
        <w:t xml:space="preserve"> or reviewing</w:t>
      </w:r>
      <w:r>
        <w:t xml:space="preserve"> their policy</w:t>
      </w:r>
      <w:r w:rsidR="006046C0">
        <w:t xml:space="preserve"> and procedures</w:t>
      </w:r>
      <w:r>
        <w:t xml:space="preserve">, health services </w:t>
      </w:r>
      <w:r w:rsidR="006046C0">
        <w:t xml:space="preserve">should obtain their own independent legal advice, and should consult </w:t>
      </w:r>
      <w:r w:rsidR="00410365">
        <w:t xml:space="preserve">with </w:t>
      </w:r>
      <w:r w:rsidR="008441B4">
        <w:t xml:space="preserve">local </w:t>
      </w:r>
      <w:r w:rsidR="00410365">
        <w:t>police</w:t>
      </w:r>
      <w:r w:rsidR="006046C0">
        <w:t>.</w:t>
      </w:r>
    </w:p>
    <w:p w14:paraId="7C67838A" w14:textId="77777777" w:rsidR="00F923F6" w:rsidRDefault="00F923F6" w:rsidP="009B6105">
      <w:pPr>
        <w:pStyle w:val="DHHSbullet1lastline"/>
        <w:numPr>
          <w:ilvl w:val="1"/>
          <w:numId w:val="5"/>
        </w:numPr>
        <w:spacing w:after="40"/>
        <w:ind w:left="357" w:hanging="357"/>
      </w:pPr>
      <w:r>
        <w:t>Policies and procedures should use clear and consistent language, terminology, and weapons definitions.</w:t>
      </w:r>
    </w:p>
    <w:p w14:paraId="2A2E4350" w14:textId="77777777" w:rsidR="00BB03B1" w:rsidRDefault="00BB03B1" w:rsidP="009B6105">
      <w:pPr>
        <w:pStyle w:val="DHHSbullet1lastline"/>
        <w:numPr>
          <w:ilvl w:val="1"/>
          <w:numId w:val="5"/>
        </w:numPr>
        <w:spacing w:after="40"/>
        <w:ind w:left="357" w:hanging="357"/>
      </w:pPr>
      <w:r>
        <w:t>The policy and procedures should be integrated with the organisation’s other policies for emergency and incident management responses (such as Code Black).</w:t>
      </w:r>
    </w:p>
    <w:p w14:paraId="4BD92968" w14:textId="77777777" w:rsidR="00BB03B1" w:rsidRDefault="00BB03B1" w:rsidP="009B6105">
      <w:pPr>
        <w:pStyle w:val="DHHSbullet1lastline"/>
        <w:numPr>
          <w:ilvl w:val="1"/>
          <w:numId w:val="5"/>
        </w:numPr>
      </w:pPr>
      <w:r>
        <w:t>Local policies and procedures should</w:t>
      </w:r>
      <w:r w:rsidR="00F51331">
        <w:t xml:space="preserve"> cover the following matters:</w:t>
      </w:r>
    </w:p>
    <w:tbl>
      <w:tblPr>
        <w:tblStyle w:val="TableGrid"/>
        <w:tblW w:w="10206" w:type="dxa"/>
        <w:tblLook w:val="04A0" w:firstRow="1" w:lastRow="0" w:firstColumn="1" w:lastColumn="0" w:noHBand="0" w:noVBand="1"/>
      </w:tblPr>
      <w:tblGrid>
        <w:gridCol w:w="2127"/>
        <w:gridCol w:w="8079"/>
      </w:tblGrid>
      <w:tr w:rsidR="00F51331" w14:paraId="60C9CCF2" w14:textId="77777777" w:rsidTr="00236DFD">
        <w:trPr>
          <w:tblHeader/>
        </w:trPr>
        <w:tc>
          <w:tcPr>
            <w:tcW w:w="2127" w:type="dxa"/>
          </w:tcPr>
          <w:p w14:paraId="65165059" w14:textId="77777777" w:rsidR="00F51331" w:rsidRPr="00DF3A5C" w:rsidRDefault="00F51331" w:rsidP="002B4F6E">
            <w:pPr>
              <w:pStyle w:val="DHHStablecolhead"/>
            </w:pPr>
            <w:r>
              <w:t>Matter</w:t>
            </w:r>
          </w:p>
        </w:tc>
        <w:tc>
          <w:tcPr>
            <w:tcW w:w="8079" w:type="dxa"/>
          </w:tcPr>
          <w:p w14:paraId="241550CF" w14:textId="77777777" w:rsidR="00F51331" w:rsidRPr="00DF3A5C" w:rsidRDefault="0028396D" w:rsidP="002B4F6E">
            <w:pPr>
              <w:pStyle w:val="DHHStablecolhead"/>
            </w:pPr>
            <w:r>
              <w:t>Policy and procedures should:</w:t>
            </w:r>
          </w:p>
        </w:tc>
      </w:tr>
      <w:tr w:rsidR="00F51331" w14:paraId="38B8F312" w14:textId="77777777" w:rsidTr="00EA3068">
        <w:tc>
          <w:tcPr>
            <w:tcW w:w="2127" w:type="dxa"/>
          </w:tcPr>
          <w:p w14:paraId="38C83F26" w14:textId="77777777" w:rsidR="00F51331" w:rsidRDefault="00F51331" w:rsidP="002B4F6E">
            <w:pPr>
              <w:pStyle w:val="DHHStabletext"/>
            </w:pPr>
            <w:r>
              <w:t>Staffing</w:t>
            </w:r>
            <w:r w:rsidR="0028396D">
              <w:t xml:space="preserve"> and responsibilities</w:t>
            </w:r>
          </w:p>
        </w:tc>
        <w:tc>
          <w:tcPr>
            <w:tcW w:w="8079" w:type="dxa"/>
          </w:tcPr>
          <w:p w14:paraId="752B6979" w14:textId="77777777" w:rsidR="00B05022" w:rsidRPr="00F14B63" w:rsidRDefault="00A64B4C" w:rsidP="00F14B63">
            <w:pPr>
              <w:pStyle w:val="DHHStablebullet"/>
            </w:pPr>
            <w:r w:rsidRPr="00F14B63">
              <w:t>identify which workers (including contractors, such as external security contractors or agency staff) are designated persons, as defined in this document</w:t>
            </w:r>
          </w:p>
          <w:p w14:paraId="1D7A2A8A" w14:textId="77777777" w:rsidR="00A64B4C" w:rsidRPr="00F14B63" w:rsidRDefault="00A64B4C" w:rsidP="00F14B63">
            <w:pPr>
              <w:pStyle w:val="DHHStablebullet"/>
            </w:pPr>
            <w:r w:rsidRPr="00F14B63">
              <w:t>set out the specific circumstances in which a designated person may take possession of a weapon without committing an offence</w:t>
            </w:r>
          </w:p>
          <w:p w14:paraId="72BEB30A" w14:textId="77777777" w:rsidR="005508F9" w:rsidRPr="00F14B63" w:rsidRDefault="00F51331" w:rsidP="00F14B63">
            <w:pPr>
              <w:pStyle w:val="DHHStablebullet"/>
            </w:pPr>
            <w:r w:rsidRPr="00F14B63">
              <w:t xml:space="preserve">set out the process for ensuring that the health service is informed of any </w:t>
            </w:r>
            <w:r w:rsidR="00501DE3">
              <w:t>workers (including contractors, such as external security contractors or agency staff)</w:t>
            </w:r>
            <w:r w:rsidRPr="00F14B63">
              <w:t xml:space="preserve"> who are prohibited persons </w:t>
            </w:r>
            <w:r w:rsidR="005508F9" w:rsidRPr="00F14B63">
              <w:t xml:space="preserve">under the </w:t>
            </w:r>
            <w:r w:rsidR="00687216" w:rsidRPr="00F14B63">
              <w:t>Firearms Act</w:t>
            </w:r>
            <w:r w:rsidR="005508F9" w:rsidRPr="00F14B63">
              <w:t xml:space="preserve"> and the </w:t>
            </w:r>
            <w:r w:rsidR="00687216" w:rsidRPr="00F14B63">
              <w:t>Control of Weapons Act</w:t>
            </w:r>
            <w:r w:rsidR="005508F9" w:rsidRPr="00F14B63">
              <w:t xml:space="preserve"> and ensure that these </w:t>
            </w:r>
            <w:r w:rsidR="006D665C">
              <w:t>workers</w:t>
            </w:r>
            <w:r w:rsidR="005508F9" w:rsidRPr="00F14B63">
              <w:t xml:space="preserve"> and their managers are aware that they would be committing an offence by taking possession of a weapon</w:t>
            </w:r>
          </w:p>
          <w:p w14:paraId="18E78EB5" w14:textId="77777777" w:rsidR="00113953" w:rsidRDefault="00F51331" w:rsidP="00F14B63">
            <w:pPr>
              <w:pStyle w:val="DHHStablebullet"/>
            </w:pPr>
            <w:r w:rsidRPr="00F14B63">
              <w:t xml:space="preserve">ensure </w:t>
            </w:r>
            <w:r w:rsidR="00FF2BA7">
              <w:t xml:space="preserve">staff involved in the management </w:t>
            </w:r>
            <w:bookmarkStart w:id="2" w:name="_GoBack"/>
            <w:bookmarkEnd w:id="2"/>
            <w:r w:rsidR="00FF2BA7">
              <w:t>of weapons</w:t>
            </w:r>
            <w:r w:rsidRPr="00F14B63">
              <w:t xml:space="preserve"> are aware of</w:t>
            </w:r>
            <w:r w:rsidR="00113953">
              <w:t>, and are trained in,</w:t>
            </w:r>
            <w:r w:rsidR="00FF2BA7">
              <w:t xml:space="preserve"> their responsibilities</w:t>
            </w:r>
            <w:r w:rsidR="001B7414">
              <w:t>, including understanding the different categories of weapons and processes for dealing with each</w:t>
            </w:r>
          </w:p>
          <w:p w14:paraId="065A63D7" w14:textId="77777777" w:rsidR="00F51331" w:rsidRDefault="00501DE3" w:rsidP="00F14B63">
            <w:pPr>
              <w:pStyle w:val="DHHStablebullet"/>
            </w:pPr>
            <w:r>
              <w:t>nominate</w:t>
            </w:r>
            <w:r w:rsidR="0028396D" w:rsidRPr="00F14B63">
              <w:t xml:space="preserve"> who is authorised to refuse entry if a person does not consent to be searched</w:t>
            </w:r>
          </w:p>
          <w:p w14:paraId="54B4D76A" w14:textId="77777777" w:rsidR="00501DE3" w:rsidRPr="00F14B63" w:rsidRDefault="00501DE3" w:rsidP="00F14B63">
            <w:pPr>
              <w:pStyle w:val="DHHStablebullet"/>
            </w:pPr>
            <w:r>
              <w:t>nominate who is authorised to refuse entry if an individual is suspected to be in possession of a non-firearm weapon</w:t>
            </w:r>
            <w:r w:rsidR="001B7414">
              <w:t xml:space="preserve"> or dangerous article</w:t>
            </w:r>
          </w:p>
        </w:tc>
      </w:tr>
      <w:tr w:rsidR="00501DE3" w14:paraId="39EB61C8" w14:textId="77777777" w:rsidTr="00EA3068">
        <w:trPr>
          <w:cantSplit/>
        </w:trPr>
        <w:tc>
          <w:tcPr>
            <w:tcW w:w="2127" w:type="dxa"/>
          </w:tcPr>
          <w:p w14:paraId="2A51D328" w14:textId="77777777" w:rsidR="00501DE3" w:rsidRDefault="00501DE3" w:rsidP="002B4F6E">
            <w:pPr>
              <w:pStyle w:val="DHHStabletext"/>
            </w:pPr>
            <w:r>
              <w:t>Process to follow when a weapon is suspected</w:t>
            </w:r>
          </w:p>
        </w:tc>
        <w:tc>
          <w:tcPr>
            <w:tcW w:w="8079" w:type="dxa"/>
          </w:tcPr>
          <w:p w14:paraId="201E624D" w14:textId="77777777" w:rsidR="00501DE3" w:rsidRDefault="004B5A87" w:rsidP="00F14B63">
            <w:pPr>
              <w:pStyle w:val="DHHStablebullet"/>
            </w:pPr>
            <w:r>
              <w:t>allow any staff member who requires support to call a Code Black</w:t>
            </w:r>
          </w:p>
          <w:p w14:paraId="48ADE35D" w14:textId="77777777" w:rsidR="004B5A87" w:rsidRDefault="004B5A87" w:rsidP="00F14B63">
            <w:pPr>
              <w:pStyle w:val="DHHStablebullet"/>
            </w:pPr>
            <w:r>
              <w:t>include procedures for notifying police immediately when the presence of a firearm is suspected</w:t>
            </w:r>
          </w:p>
          <w:p w14:paraId="51F833E3" w14:textId="3599962E" w:rsidR="004B5A87" w:rsidRPr="00F14B63" w:rsidRDefault="004B5A87" w:rsidP="004B5A87">
            <w:pPr>
              <w:pStyle w:val="DHHStablebullet"/>
            </w:pPr>
            <w:r>
              <w:t>set out the process to be followed to refuse entry to the premises if it is suspected that an individual is in possession of a non-firearm weapon</w:t>
            </w:r>
            <w:r w:rsidR="001B7414">
              <w:t xml:space="preserve"> or dangerous article</w:t>
            </w:r>
          </w:p>
        </w:tc>
      </w:tr>
      <w:tr w:rsidR="00F51331" w14:paraId="38EE9D8F" w14:textId="77777777" w:rsidTr="00EA3068">
        <w:trPr>
          <w:cantSplit/>
        </w:trPr>
        <w:tc>
          <w:tcPr>
            <w:tcW w:w="2127" w:type="dxa"/>
          </w:tcPr>
          <w:p w14:paraId="16131917" w14:textId="77777777" w:rsidR="00F51331" w:rsidRDefault="0028396D" w:rsidP="002B4F6E">
            <w:pPr>
              <w:pStyle w:val="DHHStabletext"/>
            </w:pPr>
            <w:r>
              <w:lastRenderedPageBreak/>
              <w:t>Searches</w:t>
            </w:r>
          </w:p>
        </w:tc>
        <w:tc>
          <w:tcPr>
            <w:tcW w:w="8079" w:type="dxa"/>
          </w:tcPr>
          <w:p w14:paraId="75B63C40" w14:textId="77777777" w:rsidR="0028396D" w:rsidRPr="00F14B63" w:rsidRDefault="0028396D" w:rsidP="00F14B63">
            <w:pPr>
              <w:pStyle w:val="DHHStablebullet"/>
            </w:pPr>
            <w:r w:rsidRPr="00F14B63">
              <w:t>stipulate how a search</w:t>
            </w:r>
            <w:r w:rsidR="006622D8" w:rsidRPr="00F14B63">
              <w:t xml:space="preserve"> by </w:t>
            </w:r>
            <w:r w:rsidR="009241A0">
              <w:t xml:space="preserve">a designated person </w:t>
            </w:r>
            <w:r w:rsidRPr="00F14B63">
              <w:t>is to be conducted, and identify the no-contact screening activities that may be used</w:t>
            </w:r>
          </w:p>
          <w:p w14:paraId="6B326C97" w14:textId="77777777" w:rsidR="00F51331" w:rsidRPr="00F14B63" w:rsidRDefault="0028396D" w:rsidP="00F14B63">
            <w:pPr>
              <w:pStyle w:val="DHHStablebullet"/>
            </w:pPr>
            <w:r w:rsidRPr="00F14B63">
              <w:t>set out the process to be followed if a person declines to be searched, or where an individual’s ability to consent to a search is impaired</w:t>
            </w:r>
          </w:p>
          <w:p w14:paraId="087CDB1D" w14:textId="77777777" w:rsidR="0097114B" w:rsidRPr="00F14B63" w:rsidRDefault="0097114B" w:rsidP="00F14B63">
            <w:pPr>
              <w:pStyle w:val="DHHStablebullet"/>
            </w:pPr>
            <w:r w:rsidRPr="00F14B63">
              <w:t xml:space="preserve">set out the process for health service staff to confirm whether </w:t>
            </w:r>
            <w:r w:rsidR="008F2ABE" w:rsidRPr="00F14B63">
              <w:t xml:space="preserve">a </w:t>
            </w:r>
            <w:r w:rsidRPr="00F14B63">
              <w:t>person has been searched by police</w:t>
            </w:r>
          </w:p>
        </w:tc>
      </w:tr>
      <w:tr w:rsidR="0028396D" w14:paraId="338C418E" w14:textId="77777777" w:rsidTr="00EA3068">
        <w:trPr>
          <w:cantSplit/>
        </w:trPr>
        <w:tc>
          <w:tcPr>
            <w:tcW w:w="2127" w:type="dxa"/>
          </w:tcPr>
          <w:p w14:paraId="351F4F5E" w14:textId="77777777" w:rsidR="0028396D" w:rsidRDefault="006C3DA4" w:rsidP="002B4F6E">
            <w:pPr>
              <w:pStyle w:val="DHHStabletext"/>
            </w:pPr>
            <w:r>
              <w:t>Authorised carriage of weapons</w:t>
            </w:r>
          </w:p>
        </w:tc>
        <w:tc>
          <w:tcPr>
            <w:tcW w:w="8079" w:type="dxa"/>
          </w:tcPr>
          <w:p w14:paraId="0D348984" w14:textId="77777777" w:rsidR="0028396D" w:rsidRPr="00F14B63" w:rsidRDefault="006C3DA4" w:rsidP="00F14B63">
            <w:pPr>
              <w:pStyle w:val="DHHStablebullet"/>
            </w:pPr>
            <w:r w:rsidRPr="00F14B63">
              <w:t>identify the specific processes for negotiating entry to health services by police and other officers authorised to carry and use firearms, and firearm control</w:t>
            </w:r>
            <w:r w:rsidR="008441B4">
              <w:t xml:space="preserve"> and storage</w:t>
            </w:r>
          </w:p>
        </w:tc>
      </w:tr>
      <w:tr w:rsidR="006C3DA4" w14:paraId="003BF54F" w14:textId="77777777" w:rsidTr="00EA3068">
        <w:trPr>
          <w:cantSplit/>
        </w:trPr>
        <w:tc>
          <w:tcPr>
            <w:tcW w:w="2127" w:type="dxa"/>
          </w:tcPr>
          <w:p w14:paraId="26BBABB2" w14:textId="77777777" w:rsidR="006C3DA4" w:rsidRDefault="0063216E" w:rsidP="002B4F6E">
            <w:pPr>
              <w:pStyle w:val="DHHStabletext"/>
            </w:pPr>
            <w:r>
              <w:t>Process to follow when a weapon is identified</w:t>
            </w:r>
          </w:p>
        </w:tc>
        <w:tc>
          <w:tcPr>
            <w:tcW w:w="8079" w:type="dxa"/>
          </w:tcPr>
          <w:p w14:paraId="08B68D9B" w14:textId="77777777" w:rsidR="0097114B" w:rsidRPr="00F14B63" w:rsidRDefault="0097114B" w:rsidP="00F14B63">
            <w:pPr>
              <w:pStyle w:val="DHHStablebullet"/>
            </w:pPr>
            <w:r w:rsidRPr="00F14B63">
              <w:t>include procedures for notifying police when a firearm is detected</w:t>
            </w:r>
          </w:p>
          <w:p w14:paraId="5E6320CA" w14:textId="77777777" w:rsidR="00684CD1" w:rsidRPr="00F14B63" w:rsidRDefault="00684CD1" w:rsidP="00F14B63">
            <w:pPr>
              <w:pStyle w:val="DHHStablebullet"/>
            </w:pPr>
            <w:r w:rsidRPr="00F14B63">
              <w:t>distinguish between emergency and non-emergency situations (that is, when there is no imminent threat to safety)</w:t>
            </w:r>
          </w:p>
          <w:p w14:paraId="1BEDC90A" w14:textId="77777777" w:rsidR="0097114B" w:rsidRPr="00F14B63" w:rsidRDefault="0097114B" w:rsidP="00F14B63">
            <w:pPr>
              <w:pStyle w:val="DHHStablebullet"/>
            </w:pPr>
            <w:r w:rsidRPr="00F14B63">
              <w:t>include procedures for confiscation and storage of weapons</w:t>
            </w:r>
          </w:p>
          <w:p w14:paraId="0C464E71" w14:textId="77777777" w:rsidR="001305CA" w:rsidRPr="00F14B63" w:rsidRDefault="0097114B" w:rsidP="00751498">
            <w:pPr>
              <w:pStyle w:val="DHHStablebullet"/>
            </w:pPr>
            <w:r w:rsidRPr="00F14B63">
              <w:t xml:space="preserve">include procedures for arranging for collection and handover of </w:t>
            </w:r>
            <w:r w:rsidR="009241A0">
              <w:t xml:space="preserve"> </w:t>
            </w:r>
            <w:r w:rsidRPr="00F14B63">
              <w:t>firearms and non-firearm weapons</w:t>
            </w:r>
            <w:r w:rsidR="009241A0">
              <w:t xml:space="preserve"> </w:t>
            </w:r>
            <w:r w:rsidRPr="00F14B63">
              <w:t>by police</w:t>
            </w:r>
          </w:p>
        </w:tc>
      </w:tr>
      <w:tr w:rsidR="00575BEA" w14:paraId="4EF623E3" w14:textId="77777777" w:rsidTr="00EA3068">
        <w:trPr>
          <w:cantSplit/>
        </w:trPr>
        <w:tc>
          <w:tcPr>
            <w:tcW w:w="2127" w:type="dxa"/>
          </w:tcPr>
          <w:p w14:paraId="173E8A47" w14:textId="77777777" w:rsidR="00575BEA" w:rsidRDefault="00575BEA" w:rsidP="002B4F6E">
            <w:pPr>
              <w:pStyle w:val="DHHStabletext"/>
            </w:pPr>
            <w:r>
              <w:t>Dangerous articles</w:t>
            </w:r>
          </w:p>
        </w:tc>
        <w:tc>
          <w:tcPr>
            <w:tcW w:w="8079" w:type="dxa"/>
          </w:tcPr>
          <w:p w14:paraId="554B9092" w14:textId="77777777" w:rsidR="00575BEA" w:rsidRPr="00F14B63" w:rsidRDefault="00575BEA" w:rsidP="00751498">
            <w:pPr>
              <w:pStyle w:val="DHHStablebullet"/>
            </w:pPr>
            <w:r w:rsidRPr="00F14B63">
              <w:t>identify the specific processes for recognising and managing dangerous articles in the health service</w:t>
            </w:r>
            <w:r w:rsidR="00751498">
              <w:t>, including procedures for their return, safe disposal or collection by police as appropriate</w:t>
            </w:r>
          </w:p>
        </w:tc>
      </w:tr>
      <w:tr w:rsidR="0063216E" w14:paraId="653D6424" w14:textId="77777777" w:rsidTr="00EA3068">
        <w:trPr>
          <w:cantSplit/>
        </w:trPr>
        <w:tc>
          <w:tcPr>
            <w:tcW w:w="2127" w:type="dxa"/>
          </w:tcPr>
          <w:p w14:paraId="53CB8844" w14:textId="77777777" w:rsidR="0063216E" w:rsidRDefault="0063216E" w:rsidP="002B4F6E">
            <w:pPr>
              <w:pStyle w:val="DHHStabletext"/>
            </w:pPr>
            <w:r>
              <w:t>Documentation</w:t>
            </w:r>
          </w:p>
        </w:tc>
        <w:tc>
          <w:tcPr>
            <w:tcW w:w="8079" w:type="dxa"/>
          </w:tcPr>
          <w:p w14:paraId="42377983" w14:textId="77777777" w:rsidR="0063216E" w:rsidRPr="00F14B63" w:rsidRDefault="0063216E" w:rsidP="008441B4">
            <w:pPr>
              <w:pStyle w:val="DHHStablebullet"/>
            </w:pPr>
            <w:r w:rsidRPr="00F14B63">
              <w:t xml:space="preserve">identify standards and requirements for documentation, reporting and monitoring of local policy and procedures including </w:t>
            </w:r>
            <w:r w:rsidR="008441B4">
              <w:t>patient</w:t>
            </w:r>
            <w:r w:rsidRPr="00F14B63">
              <w:t xml:space="preserve"> records, incident management and security records</w:t>
            </w:r>
          </w:p>
        </w:tc>
      </w:tr>
    </w:tbl>
    <w:p w14:paraId="7F3792D7" w14:textId="77777777" w:rsidR="00F51331" w:rsidRDefault="00F51331" w:rsidP="00F51331">
      <w:pPr>
        <w:pStyle w:val="DHHSbullet1"/>
        <w:numPr>
          <w:ilvl w:val="0"/>
          <w:numId w:val="0"/>
        </w:numPr>
        <w:ind w:left="284" w:hanging="284"/>
      </w:pPr>
    </w:p>
    <w:p w14:paraId="1209332D" w14:textId="77777777" w:rsidR="00DA4759" w:rsidRDefault="00DA4759" w:rsidP="00DA4759">
      <w:pPr>
        <w:pStyle w:val="Heading1"/>
        <w:spacing w:before="0"/>
      </w:pPr>
      <w:r>
        <w:t>Resources</w:t>
      </w:r>
    </w:p>
    <w:p w14:paraId="05FCFC93" w14:textId="77777777" w:rsidR="001B7BF6" w:rsidRDefault="001B7BF6" w:rsidP="001B7BF6">
      <w:pPr>
        <w:pStyle w:val="Heading3"/>
      </w:pPr>
      <w:r>
        <w:t>Department of Health and Human Services</w:t>
      </w:r>
    </w:p>
    <w:p w14:paraId="557241DB" w14:textId="77777777" w:rsidR="00733991" w:rsidRPr="00632603" w:rsidRDefault="00236DFD" w:rsidP="004E2EE3">
      <w:pPr>
        <w:pStyle w:val="DHHSbullet1"/>
        <w:ind w:left="284"/>
        <w:rPr>
          <w:i/>
        </w:rPr>
      </w:pPr>
      <w:hyperlink r:id="rId17" w:history="1">
        <w:r w:rsidR="00632603">
          <w:rPr>
            <w:rStyle w:val="Hyperlink"/>
            <w:i/>
          </w:rPr>
          <w:t>Framework for preventing and managing occupational violence and aggression</w:t>
        </w:r>
      </w:hyperlink>
      <w:r w:rsidR="00632603">
        <w:rPr>
          <w:i/>
        </w:rPr>
        <w:t xml:space="preserve"> &lt;</w:t>
      </w:r>
      <w:r w:rsidR="00632603">
        <w:rPr>
          <w:lang w:val="en-US"/>
        </w:rPr>
        <w:t>https://www2.health.vic.gov.au/about/publications/policiesandguidelines/occupational-violence-aggression-healthcare-framework-2017&gt;</w:t>
      </w:r>
    </w:p>
    <w:p w14:paraId="1B556014" w14:textId="77777777" w:rsidR="00632603" w:rsidRPr="001B7BF6" w:rsidRDefault="00236DFD" w:rsidP="004E2EE3">
      <w:pPr>
        <w:pStyle w:val="DHHSbullet1"/>
        <w:ind w:left="284"/>
      </w:pPr>
      <w:hyperlink r:id="rId18" w:history="1">
        <w:r w:rsidR="00632603" w:rsidRPr="00632603">
          <w:rPr>
            <w:rStyle w:val="Hyperlink"/>
          </w:rPr>
          <w:t>Criteria for searches to maintain safety in an inpatient unit – Chief Psychiatrist Guidelines</w:t>
        </w:r>
      </w:hyperlink>
      <w:r w:rsidR="00632603">
        <w:t xml:space="preserve"> &lt;</w:t>
      </w:r>
      <w:r w:rsidR="00632603" w:rsidRPr="00632603">
        <w:t>https://www2.health.vic.gov.au/about/key-staff/chief-psychiatrist/chief-psychiatrist-guidelines/criteria-or-searches-maintain-safety-in-inpatient-unit-for-patients-visitors-staff</w:t>
      </w:r>
      <w:r w:rsidR="00632603">
        <w:t>&gt;</w:t>
      </w:r>
    </w:p>
    <w:p w14:paraId="355399DC" w14:textId="77777777" w:rsidR="001B7BF6" w:rsidRDefault="001B7BF6" w:rsidP="004E2EE3">
      <w:pPr>
        <w:pStyle w:val="DHHSbullet1"/>
        <w:ind w:left="284"/>
      </w:pPr>
      <w:r>
        <w:t>Other resources on</w:t>
      </w:r>
      <w:r w:rsidR="008441B4">
        <w:t xml:space="preserve"> preventing and managing</w:t>
      </w:r>
      <w:r>
        <w:t xml:space="preserve"> occupational violence and aggression in health services, available on the </w:t>
      </w:r>
      <w:hyperlink r:id="rId19" w:history="1">
        <w:r w:rsidRPr="001B7BF6">
          <w:rPr>
            <w:rStyle w:val="Hyperlink"/>
          </w:rPr>
          <w:t>Worker Health and Wellbeing webpage</w:t>
        </w:r>
      </w:hyperlink>
      <w:r>
        <w:t xml:space="preserve"> at &lt;</w:t>
      </w:r>
      <w:r w:rsidRPr="001B7BF6">
        <w:t>https://www2.health.vic.gov.au/health-workforce/worker-health-wellbeing/occupational-violence-aggression</w:t>
      </w:r>
      <w:r>
        <w:t>&gt;</w:t>
      </w:r>
    </w:p>
    <w:p w14:paraId="63426868" w14:textId="77777777" w:rsidR="001B7BF6" w:rsidRDefault="001B7BF6" w:rsidP="001B7BF6">
      <w:pPr>
        <w:pStyle w:val="Heading3"/>
      </w:pPr>
      <w:r>
        <w:t>Work</w:t>
      </w:r>
      <w:r w:rsidR="008441B4">
        <w:t>S</w:t>
      </w:r>
      <w:r>
        <w:t>afe Victoria</w:t>
      </w:r>
    </w:p>
    <w:p w14:paraId="05AC55AC" w14:textId="77777777" w:rsidR="00632603" w:rsidRPr="00F449F2" w:rsidRDefault="00236DFD" w:rsidP="00397692">
      <w:pPr>
        <w:pStyle w:val="DHHSbullet1"/>
        <w:ind w:left="284"/>
      </w:pPr>
      <w:hyperlink r:id="rId20" w:history="1">
        <w:r w:rsidR="00632603">
          <w:rPr>
            <w:rStyle w:val="Hyperlink"/>
            <w:i/>
            <w:lang w:val="en-US"/>
          </w:rPr>
          <w:t>Information for employers: prevention and management of violence and aggression in health services</w:t>
        </w:r>
      </w:hyperlink>
      <w:r w:rsidR="00397692">
        <w:rPr>
          <w:lang w:val="en-US"/>
        </w:rPr>
        <w:t xml:space="preserve"> (</w:t>
      </w:r>
      <w:r w:rsidR="00632603">
        <w:rPr>
          <w:lang w:val="en-US"/>
        </w:rPr>
        <w:t>edition number 2, June 2017) &lt;</w:t>
      </w:r>
      <w:r w:rsidR="00397692" w:rsidRPr="00397692">
        <w:rPr>
          <w:lang w:val="en-US"/>
        </w:rPr>
        <w:t>https://www.worksafe.vic.gov.au/resources/prevention-and-management-violence-and-aggression-health-services</w:t>
      </w:r>
      <w:r w:rsidR="00632603">
        <w:rPr>
          <w:lang w:val="en-US"/>
        </w:rPr>
        <w:t>&gt;</w:t>
      </w:r>
    </w:p>
    <w:p w14:paraId="3F5F4C93" w14:textId="77777777" w:rsidR="001B7BF6" w:rsidRDefault="001B7BF6" w:rsidP="001B7BF6">
      <w:pPr>
        <w:pStyle w:val="Heading3"/>
      </w:pPr>
      <w:r>
        <w:t>Legislation</w:t>
      </w:r>
      <w:r w:rsidR="00265C0E">
        <w:t xml:space="preserve"> and regulations</w:t>
      </w:r>
    </w:p>
    <w:p w14:paraId="460979DF" w14:textId="77777777" w:rsidR="00854796" w:rsidRPr="00854796" w:rsidRDefault="00854796" w:rsidP="00854796">
      <w:pPr>
        <w:pStyle w:val="DHHSbody"/>
      </w:pPr>
      <w:r>
        <w:t xml:space="preserve">The following Victorian legislation can be accessed through the Victorian Law Today page on the </w:t>
      </w:r>
      <w:hyperlink r:id="rId21" w:history="1">
        <w:r w:rsidRPr="00854796">
          <w:rPr>
            <w:rStyle w:val="Hyperlink"/>
          </w:rPr>
          <w:t>Victorian Legislation and Parliamentary Documents website</w:t>
        </w:r>
      </w:hyperlink>
      <w:r>
        <w:t xml:space="preserve"> at &lt;www.legislation.vic.gov.au&gt;.</w:t>
      </w:r>
    </w:p>
    <w:p w14:paraId="74952B03" w14:textId="77777777" w:rsidR="00733991" w:rsidRPr="00B32AF6" w:rsidRDefault="00733991" w:rsidP="004E2EE3">
      <w:pPr>
        <w:pStyle w:val="DHHSbullet1"/>
        <w:ind w:left="284"/>
        <w:rPr>
          <w:i/>
        </w:rPr>
      </w:pPr>
      <w:r w:rsidRPr="00B32AF6">
        <w:rPr>
          <w:i/>
        </w:rPr>
        <w:t>Ambulance Services Act 1986</w:t>
      </w:r>
    </w:p>
    <w:p w14:paraId="19A00B7A" w14:textId="77777777" w:rsidR="00DA4759" w:rsidRPr="00B32AF6" w:rsidRDefault="00265C0E" w:rsidP="004E2EE3">
      <w:pPr>
        <w:pStyle w:val="DHHSbullet1"/>
        <w:ind w:left="284"/>
        <w:rPr>
          <w:i/>
        </w:rPr>
      </w:pPr>
      <w:r w:rsidRPr="00B32AF6">
        <w:rPr>
          <w:i/>
        </w:rPr>
        <w:t>Control of Weapons Act 1990</w:t>
      </w:r>
    </w:p>
    <w:p w14:paraId="2BE504B0" w14:textId="77777777" w:rsidR="00265C0E" w:rsidRPr="00B32AF6" w:rsidRDefault="00265C0E" w:rsidP="004E2EE3">
      <w:pPr>
        <w:pStyle w:val="DHHSbullet1"/>
        <w:ind w:left="284"/>
        <w:rPr>
          <w:i/>
        </w:rPr>
      </w:pPr>
      <w:r w:rsidRPr="00B32AF6">
        <w:rPr>
          <w:i/>
        </w:rPr>
        <w:t>Control of Weapons Regulations 2011</w:t>
      </w:r>
    </w:p>
    <w:p w14:paraId="0BF1A4B7" w14:textId="77777777" w:rsidR="00733991" w:rsidRPr="00B32AF6" w:rsidRDefault="00733991" w:rsidP="004E2EE3">
      <w:pPr>
        <w:pStyle w:val="DHHSbullet1"/>
        <w:ind w:left="284"/>
        <w:rPr>
          <w:i/>
        </w:rPr>
      </w:pPr>
      <w:r w:rsidRPr="00B32AF6">
        <w:rPr>
          <w:i/>
        </w:rPr>
        <w:t>Family Violence Protection Act 2008</w:t>
      </w:r>
    </w:p>
    <w:p w14:paraId="5048AC9D" w14:textId="77777777" w:rsidR="00265C0E" w:rsidRPr="00B32AF6" w:rsidRDefault="00265C0E" w:rsidP="004E2EE3">
      <w:pPr>
        <w:pStyle w:val="DHHSbullet1"/>
        <w:ind w:left="284"/>
        <w:rPr>
          <w:i/>
        </w:rPr>
      </w:pPr>
      <w:r w:rsidRPr="00B32AF6">
        <w:rPr>
          <w:i/>
        </w:rPr>
        <w:t>Firearms Act 1996</w:t>
      </w:r>
    </w:p>
    <w:p w14:paraId="0F12DC5A" w14:textId="77777777" w:rsidR="00265C0E" w:rsidRPr="00B32AF6" w:rsidRDefault="00265C0E" w:rsidP="004E2EE3">
      <w:pPr>
        <w:pStyle w:val="DHHSbullet1"/>
        <w:ind w:left="284"/>
        <w:rPr>
          <w:i/>
        </w:rPr>
      </w:pPr>
      <w:r w:rsidRPr="00B32AF6">
        <w:rPr>
          <w:i/>
        </w:rPr>
        <w:lastRenderedPageBreak/>
        <w:t>Health Records Act 2001</w:t>
      </w:r>
    </w:p>
    <w:p w14:paraId="619C2FF3" w14:textId="77777777" w:rsidR="00AB4800" w:rsidRDefault="00AB4800" w:rsidP="004E2EE3">
      <w:pPr>
        <w:pStyle w:val="DHHSbullet1"/>
        <w:ind w:left="284"/>
        <w:rPr>
          <w:i/>
        </w:rPr>
      </w:pPr>
      <w:r>
        <w:rPr>
          <w:i/>
        </w:rPr>
        <w:t>Mental Health Act 2014</w:t>
      </w:r>
    </w:p>
    <w:p w14:paraId="3FE87384" w14:textId="77777777" w:rsidR="00733991" w:rsidRPr="00B32AF6" w:rsidRDefault="00733991" w:rsidP="004E2EE3">
      <w:pPr>
        <w:pStyle w:val="DHHSbullet1"/>
        <w:ind w:left="284"/>
        <w:rPr>
          <w:i/>
        </w:rPr>
      </w:pPr>
      <w:r w:rsidRPr="00B32AF6">
        <w:rPr>
          <w:i/>
        </w:rPr>
        <w:t>Occupational Health and Safety Act 2004</w:t>
      </w:r>
    </w:p>
    <w:p w14:paraId="53A45A8E" w14:textId="77777777" w:rsidR="00733991" w:rsidRPr="00B32AF6" w:rsidRDefault="00733991" w:rsidP="004E2EE3">
      <w:pPr>
        <w:pStyle w:val="DHHSbullet1"/>
        <w:ind w:left="284"/>
        <w:rPr>
          <w:i/>
        </w:rPr>
      </w:pPr>
      <w:r w:rsidRPr="00B32AF6">
        <w:rPr>
          <w:i/>
        </w:rPr>
        <w:t>Personal Safety Intervention Orders Act 2010</w:t>
      </w:r>
    </w:p>
    <w:p w14:paraId="6332DDFD" w14:textId="77777777" w:rsidR="00265C0E" w:rsidRPr="00B32AF6" w:rsidRDefault="00265C0E" w:rsidP="004E2EE3">
      <w:pPr>
        <w:pStyle w:val="DHHSbullet1"/>
        <w:ind w:left="284"/>
        <w:rPr>
          <w:i/>
        </w:rPr>
      </w:pPr>
      <w:r w:rsidRPr="00B32AF6">
        <w:rPr>
          <w:i/>
        </w:rPr>
        <w:t>Privacy and Data Protection Act 2014</w:t>
      </w:r>
    </w:p>
    <w:p w14:paraId="317B1C09" w14:textId="77777777" w:rsidR="00265C0E" w:rsidRDefault="00265C0E" w:rsidP="00673689">
      <w:pPr>
        <w:pStyle w:val="DHHSbullet1"/>
        <w:ind w:left="284"/>
        <w:rPr>
          <w:i/>
        </w:rPr>
      </w:pPr>
      <w:r w:rsidRPr="007951EF">
        <w:rPr>
          <w:i/>
        </w:rPr>
        <w:t>Private Security Act 2004</w:t>
      </w:r>
    </w:p>
    <w:p w14:paraId="5AEF590A" w14:textId="77777777" w:rsidR="00130A69" w:rsidRPr="007951EF" w:rsidRDefault="00130A69" w:rsidP="007951EF">
      <w:pPr>
        <w:pStyle w:val="DHHSbullet1lastline"/>
        <w:rPr>
          <w:i/>
        </w:rPr>
      </w:pPr>
      <w:r>
        <w:rPr>
          <w:i/>
        </w:rPr>
        <w:t>Wrongs Act 1958</w:t>
      </w:r>
    </w:p>
    <w:p w14:paraId="2B37B152" w14:textId="77777777" w:rsidR="000A373F" w:rsidRDefault="000A373F" w:rsidP="006808C4">
      <w:pPr>
        <w:pStyle w:val="DHHSbody"/>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14:paraId="77F6E7EE" w14:textId="77777777" w:rsidTr="00D8025A">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1"/>
          <w:p w14:paraId="129A64B8" w14:textId="77777777" w:rsidR="00254F58" w:rsidRPr="00254F58" w:rsidRDefault="00254F58" w:rsidP="00770F37">
            <w:pPr>
              <w:pStyle w:val="DHHSaccessibilitypara"/>
            </w:pPr>
            <w:r w:rsidRPr="00254F58">
              <w:t xml:space="preserve">To receive this publication in </w:t>
            </w:r>
            <w:r w:rsidRPr="00770F37">
              <w:t>an</w:t>
            </w:r>
            <w:r w:rsidRPr="00254F58">
              <w:t xml:space="preserve"> accessible format </w:t>
            </w:r>
            <w:hyperlink r:id="rId22" w:history="1">
              <w:r w:rsidRPr="00EF79E8">
                <w:rPr>
                  <w:rStyle w:val="Hyperlink"/>
                </w:rPr>
                <w:t>email</w:t>
              </w:r>
              <w:r w:rsidR="00EF79E8" w:rsidRPr="00EF79E8">
                <w:rPr>
                  <w:rStyle w:val="Hyperlink"/>
                </w:rPr>
                <w:t xml:space="preserve"> Worker Health and Wellbeing</w:t>
              </w:r>
            </w:hyperlink>
            <w:r w:rsidR="00EF79E8">
              <w:t xml:space="preserve"> &lt;whwb@dhhs.vic.gov.au&gt;</w:t>
            </w:r>
          </w:p>
          <w:p w14:paraId="481696B9" w14:textId="77777777" w:rsidR="00254F58" w:rsidRPr="00254F58" w:rsidRDefault="00254F58" w:rsidP="00254F58">
            <w:pPr>
              <w:pStyle w:val="DHHSbody"/>
            </w:pPr>
            <w:r w:rsidRPr="00254F58">
              <w:t>Authorised and published by the Victorian Governmen</w:t>
            </w:r>
            <w:r w:rsidR="001F3826">
              <w:t>t, 1 Treasury Place, Melbourne.</w:t>
            </w:r>
          </w:p>
          <w:p w14:paraId="25A113AC" w14:textId="60233940" w:rsidR="00254F58" w:rsidRPr="00254F58" w:rsidRDefault="00254F58" w:rsidP="00254F58">
            <w:pPr>
              <w:pStyle w:val="DHHSbody"/>
            </w:pPr>
            <w:r w:rsidRPr="00254F58">
              <w:t xml:space="preserve">© State of </w:t>
            </w:r>
            <w:r w:rsidR="00A854EB">
              <w:t>Victoria, Department of Health and</w:t>
            </w:r>
            <w:r w:rsidRPr="00254F58">
              <w:t xml:space="preserve"> Human Services</w:t>
            </w:r>
            <w:r w:rsidRPr="00BA3F8D">
              <w:rPr>
                <w:color w:val="008950"/>
              </w:rPr>
              <w:t xml:space="preserve"> </w:t>
            </w:r>
            <w:r w:rsidR="00F0089D" w:rsidRPr="00EA3068">
              <w:rPr>
                <w:color w:val="000000" w:themeColor="text1"/>
              </w:rPr>
              <w:t>October, 2018</w:t>
            </w:r>
            <w:r w:rsidR="00F61A9F">
              <w:t>.</w:t>
            </w:r>
          </w:p>
          <w:p w14:paraId="2F7C6682" w14:textId="77777777" w:rsidR="00254F58" w:rsidRPr="00254F58" w:rsidRDefault="00254F58" w:rsidP="00254F58">
            <w:pPr>
              <w:pStyle w:val="DHHSbody"/>
            </w:pPr>
            <w:r w:rsidRPr="00254F58">
              <w:t>ISBN</w:t>
            </w:r>
            <w:r w:rsidRPr="00F61A9F">
              <w:rPr>
                <w:color w:val="008950"/>
              </w:rPr>
              <w:t xml:space="preserve"> </w:t>
            </w:r>
            <w:r w:rsidR="00F32D82" w:rsidRPr="00F32D82">
              <w:t>978-1-76069-618-4</w:t>
            </w:r>
          </w:p>
          <w:p w14:paraId="52754578" w14:textId="77777777" w:rsidR="002802E3" w:rsidRPr="00D8025A" w:rsidRDefault="00254F58" w:rsidP="00EF79E8">
            <w:pPr>
              <w:pStyle w:val="DHHSbody"/>
              <w:rPr>
                <w:szCs w:val="19"/>
              </w:rPr>
            </w:pPr>
            <w:r w:rsidRPr="00254F58">
              <w:rPr>
                <w:szCs w:val="19"/>
              </w:rPr>
              <w:t>Available at</w:t>
            </w:r>
            <w:r w:rsidR="00EF79E8">
              <w:rPr>
                <w:szCs w:val="19"/>
              </w:rPr>
              <w:t xml:space="preserve"> </w:t>
            </w:r>
            <w:hyperlink r:id="rId23" w:history="1">
              <w:r w:rsidR="00EF79E8" w:rsidRPr="00EF79E8">
                <w:rPr>
                  <w:rStyle w:val="Hyperlink"/>
                  <w:szCs w:val="19"/>
                </w:rPr>
                <w:t>the Worker Health and Wellbeing webpage of the health.vic website</w:t>
              </w:r>
            </w:hyperlink>
            <w:r w:rsidR="00EF79E8">
              <w:rPr>
                <w:szCs w:val="19"/>
              </w:rPr>
              <w:t xml:space="preserve">, at </w:t>
            </w:r>
            <w:r w:rsidR="00EF79E8">
              <w:t>&lt;</w:t>
            </w:r>
            <w:r w:rsidR="00EF79E8" w:rsidRPr="001B7BF6">
              <w:t>https://www2.health.vic.gov.au/health-workforce/worker-health-wellbeing/occupational-violence-aggression</w:t>
            </w:r>
            <w:r w:rsidR="00EF79E8">
              <w:t>&gt;</w:t>
            </w:r>
          </w:p>
        </w:tc>
      </w:tr>
    </w:tbl>
    <w:p w14:paraId="562C7F69" w14:textId="77777777" w:rsidR="00B2752E" w:rsidRPr="00906490" w:rsidRDefault="00B2752E" w:rsidP="00D8025A">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7C055A" w15:done="0"/>
  <w15:commentEx w15:paraId="012C2D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C055A" w16cid:durableId="1F6479AC"/>
  <w16cid:commentId w16cid:paraId="012C2D87" w16cid:durableId="1F6467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2DBB3" w14:textId="77777777" w:rsidR="001F7877" w:rsidRDefault="001F7877">
      <w:r>
        <w:separator/>
      </w:r>
    </w:p>
  </w:endnote>
  <w:endnote w:type="continuationSeparator" w:id="0">
    <w:p w14:paraId="52C15274" w14:textId="77777777" w:rsidR="001F7877" w:rsidRDefault="001F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7949D" w14:textId="77777777" w:rsidR="009D70A4" w:rsidRPr="00F65AA9" w:rsidRDefault="007B4D07" w:rsidP="0051568D">
    <w:pPr>
      <w:pStyle w:val="DHHSfooter"/>
    </w:pPr>
    <w:r>
      <w:rPr>
        <w:noProof/>
        <w:lang w:eastAsia="en-AU"/>
      </w:rPr>
      <w:drawing>
        <wp:anchor distT="0" distB="0" distL="114300" distR="114300" simplePos="0" relativeHeight="251657728" behindDoc="0" locked="1" layoutInCell="0" allowOverlap="1" wp14:anchorId="2C8046CB" wp14:editId="5028A08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7A003" w14:textId="77777777" w:rsidR="009D70A4" w:rsidRPr="00A11421" w:rsidRDefault="0066325A" w:rsidP="0051568D">
    <w:pPr>
      <w:pStyle w:val="DHHSfooter"/>
    </w:pPr>
    <w:r>
      <w:t xml:space="preserve">Weapons management in </w:t>
    </w:r>
    <w:r w:rsidR="00A515C3">
      <w:t xml:space="preserve">Victorian </w:t>
    </w:r>
    <w:r>
      <w:t>health services</w:t>
    </w:r>
    <w:r w:rsidR="00A515C3">
      <w:t>: principles and guidelines</w:t>
    </w:r>
    <w:r w:rsidR="009D70A4" w:rsidRPr="00A11421">
      <w:tab/>
    </w:r>
    <w:r w:rsidR="009D70A4" w:rsidRPr="00A11421">
      <w:fldChar w:fldCharType="begin"/>
    </w:r>
    <w:r w:rsidR="009D70A4" w:rsidRPr="00A11421">
      <w:instrText xml:space="preserve"> PAGE </w:instrText>
    </w:r>
    <w:r w:rsidR="009D70A4" w:rsidRPr="00A11421">
      <w:fldChar w:fldCharType="separate"/>
    </w:r>
    <w:r w:rsidR="00236DFD">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EA310" w14:textId="77777777" w:rsidR="001F7877" w:rsidRDefault="001F7877" w:rsidP="002862F1">
      <w:pPr>
        <w:spacing w:before="120"/>
      </w:pPr>
      <w:r>
        <w:separator/>
      </w:r>
    </w:p>
  </w:footnote>
  <w:footnote w:type="continuationSeparator" w:id="0">
    <w:p w14:paraId="6AD6B042" w14:textId="77777777" w:rsidR="001F7877" w:rsidRDefault="001F7877">
      <w:r>
        <w:continuationSeparator/>
      </w:r>
    </w:p>
  </w:footnote>
  <w:footnote w:id="1">
    <w:p w14:paraId="3D1D0B89" w14:textId="77777777" w:rsidR="00B05022" w:rsidRDefault="00B05022" w:rsidP="00B05022">
      <w:pPr>
        <w:pStyle w:val="FootnoteText"/>
      </w:pPr>
      <w:r>
        <w:rPr>
          <w:rStyle w:val="FootnoteReference"/>
        </w:rPr>
        <w:footnoteRef/>
      </w:r>
      <w:r>
        <w:t xml:space="preserve"> </w:t>
      </w:r>
      <w:r w:rsidRPr="00EA3068">
        <w:rPr>
          <w:i/>
        </w:rPr>
        <w:t>Firearms Act 1996</w:t>
      </w:r>
      <w:r>
        <w:t xml:space="preserve">, </w:t>
      </w:r>
      <w:r w:rsidR="00F65180">
        <w:t>s.</w:t>
      </w:r>
      <w:r>
        <w:t xml:space="preserve"> 3(1).</w:t>
      </w:r>
    </w:p>
  </w:footnote>
  <w:footnote w:id="2">
    <w:p w14:paraId="1E5048B5" w14:textId="77777777" w:rsidR="001E317F" w:rsidRDefault="001E317F">
      <w:pPr>
        <w:pStyle w:val="FootnoteText"/>
      </w:pPr>
      <w:r>
        <w:rPr>
          <w:rStyle w:val="FootnoteReference"/>
        </w:rPr>
        <w:footnoteRef/>
      </w:r>
      <w:r>
        <w:t xml:space="preserve"> </w:t>
      </w:r>
      <w:r w:rsidRPr="00EA3068">
        <w:rPr>
          <w:i/>
        </w:rPr>
        <w:t>Control of Weapons Act 1990</w:t>
      </w:r>
      <w:r>
        <w:t>, s. 3(1).</w:t>
      </w:r>
    </w:p>
  </w:footnote>
  <w:footnote w:id="3">
    <w:p w14:paraId="09021B9A" w14:textId="77777777" w:rsidR="00B05022" w:rsidRDefault="00B05022" w:rsidP="00B05022">
      <w:pPr>
        <w:pStyle w:val="FootnoteText"/>
      </w:pPr>
      <w:r>
        <w:rPr>
          <w:rStyle w:val="FootnoteReference"/>
        </w:rPr>
        <w:footnoteRef/>
      </w:r>
      <w:r>
        <w:t xml:space="preserve"> </w:t>
      </w:r>
      <w:r w:rsidRPr="00EA3068">
        <w:rPr>
          <w:i/>
        </w:rPr>
        <w:t>Control of Weapons Act 1990</w:t>
      </w:r>
      <w:r>
        <w:t xml:space="preserve">, </w:t>
      </w:r>
      <w:r w:rsidR="00F65180">
        <w:t>s.</w:t>
      </w:r>
      <w:r>
        <w:t xml:space="preserve"> 3(1).</w:t>
      </w:r>
    </w:p>
  </w:footnote>
  <w:footnote w:id="4">
    <w:p w14:paraId="30E9A03D" w14:textId="77777777" w:rsidR="00B7522F" w:rsidRDefault="00B7522F" w:rsidP="00B7522F">
      <w:pPr>
        <w:pStyle w:val="FootnoteText"/>
      </w:pPr>
      <w:r>
        <w:rPr>
          <w:rStyle w:val="FootnoteReference"/>
        </w:rPr>
        <w:footnoteRef/>
      </w:r>
      <w:r>
        <w:t xml:space="preserve"> </w:t>
      </w:r>
      <w:r w:rsidRPr="00EA3068">
        <w:rPr>
          <w:i/>
        </w:rPr>
        <w:t>Control of Weapons Act 1990</w:t>
      </w:r>
      <w:r>
        <w:t xml:space="preserve">, </w:t>
      </w:r>
      <w:r w:rsidR="00F65180">
        <w:t>s.</w:t>
      </w:r>
      <w:r>
        <w:t xml:space="preserve"> 3(1).</w:t>
      </w:r>
    </w:p>
  </w:footnote>
  <w:footnote w:id="5">
    <w:p w14:paraId="0DB50DF8" w14:textId="77777777" w:rsidR="001548CD" w:rsidRDefault="001548CD">
      <w:pPr>
        <w:pStyle w:val="FootnoteText"/>
      </w:pPr>
      <w:r>
        <w:rPr>
          <w:rStyle w:val="FootnoteReference"/>
        </w:rPr>
        <w:footnoteRef/>
      </w:r>
      <w:r>
        <w:t xml:space="preserve"> </w:t>
      </w:r>
      <w:r w:rsidRPr="00EA3068">
        <w:rPr>
          <w:i/>
        </w:rPr>
        <w:t>Control of Weapons Act 1990</w:t>
      </w:r>
      <w:r>
        <w:t xml:space="preserve">, s. 7A(5); </w:t>
      </w:r>
      <w:r w:rsidRPr="00EA3068">
        <w:rPr>
          <w:i/>
        </w:rPr>
        <w:t>Firearms Act 1996</w:t>
      </w:r>
      <w:r>
        <w:t>, s. 54AA(6).</w:t>
      </w:r>
    </w:p>
  </w:footnote>
  <w:footnote w:id="6">
    <w:p w14:paraId="75E59358" w14:textId="77777777" w:rsidR="007002E3" w:rsidRDefault="007002E3" w:rsidP="007002E3">
      <w:pPr>
        <w:pStyle w:val="FootnoteText"/>
      </w:pPr>
      <w:r>
        <w:rPr>
          <w:rStyle w:val="FootnoteReference"/>
        </w:rPr>
        <w:footnoteRef/>
      </w:r>
      <w:r>
        <w:t xml:space="preserve"> </w:t>
      </w:r>
      <w:r w:rsidRPr="00EA3068">
        <w:rPr>
          <w:i/>
        </w:rPr>
        <w:t>Control of Weapons Act 1990</w:t>
      </w:r>
      <w:r>
        <w:t xml:space="preserve">, </w:t>
      </w:r>
      <w:r w:rsidR="00F65180">
        <w:t>s.</w:t>
      </w:r>
      <w:r>
        <w:t xml:space="preserve"> 7A(5); </w:t>
      </w:r>
      <w:r w:rsidRPr="00EA3068">
        <w:rPr>
          <w:i/>
        </w:rPr>
        <w:t>Firearms Act 1996</w:t>
      </w:r>
      <w:r>
        <w:t xml:space="preserve">, </w:t>
      </w:r>
      <w:r w:rsidR="00F65180">
        <w:t>s.</w:t>
      </w:r>
      <w:r>
        <w:t xml:space="preserve"> 54AA(6).</w:t>
      </w:r>
    </w:p>
  </w:footnote>
  <w:footnote w:id="7">
    <w:p w14:paraId="03529647" w14:textId="77777777" w:rsidR="007002E3" w:rsidRDefault="007002E3" w:rsidP="007002E3">
      <w:pPr>
        <w:pStyle w:val="FootnoteText"/>
      </w:pPr>
      <w:r>
        <w:rPr>
          <w:rStyle w:val="FootnoteReference"/>
        </w:rPr>
        <w:footnoteRef/>
      </w:r>
      <w:r>
        <w:t xml:space="preserve"> </w:t>
      </w:r>
      <w:r w:rsidRPr="00EA3068">
        <w:rPr>
          <w:i/>
        </w:rPr>
        <w:t>Control of Weapons Act 1990</w:t>
      </w:r>
      <w:r>
        <w:t xml:space="preserve">, </w:t>
      </w:r>
      <w:r w:rsidR="00F65180">
        <w:t>s.</w:t>
      </w:r>
      <w:r>
        <w:t xml:space="preserve"> 7A(5); </w:t>
      </w:r>
      <w:r w:rsidRPr="00EA3068">
        <w:rPr>
          <w:i/>
        </w:rPr>
        <w:t>Firearms Act 1996</w:t>
      </w:r>
      <w:r>
        <w:t xml:space="preserve">, </w:t>
      </w:r>
      <w:r w:rsidR="00F65180">
        <w:t>s.</w:t>
      </w:r>
      <w:r>
        <w:t xml:space="preserve"> 54AA(6).</w:t>
      </w:r>
    </w:p>
  </w:footnote>
  <w:footnote w:id="8">
    <w:p w14:paraId="125BC649" w14:textId="77777777" w:rsidR="007002E3" w:rsidRDefault="007002E3" w:rsidP="007002E3">
      <w:pPr>
        <w:pStyle w:val="FootnoteText"/>
      </w:pPr>
      <w:r>
        <w:rPr>
          <w:rStyle w:val="FootnoteReference"/>
        </w:rPr>
        <w:footnoteRef/>
      </w:r>
      <w:r>
        <w:t xml:space="preserve"> </w:t>
      </w:r>
      <w:r w:rsidRPr="00EA3068">
        <w:rPr>
          <w:i/>
        </w:rPr>
        <w:t>Firearms Act 1996</w:t>
      </w:r>
      <w:r>
        <w:t xml:space="preserve">, </w:t>
      </w:r>
      <w:r w:rsidR="00F65180">
        <w:t>s.</w:t>
      </w:r>
      <w:r>
        <w:t xml:space="preserve"> 3(1).</w:t>
      </w:r>
    </w:p>
  </w:footnote>
  <w:footnote w:id="9">
    <w:p w14:paraId="65D2A39B" w14:textId="77777777" w:rsidR="00B11F7B" w:rsidRDefault="00B11F7B">
      <w:pPr>
        <w:pStyle w:val="FootnoteText"/>
      </w:pPr>
      <w:r>
        <w:rPr>
          <w:rStyle w:val="FootnoteReference"/>
        </w:rPr>
        <w:footnoteRef/>
      </w:r>
      <w:r>
        <w:t xml:space="preserve"> </w:t>
      </w:r>
      <w:r w:rsidR="00AA170A" w:rsidRPr="00EA3068">
        <w:rPr>
          <w:i/>
        </w:rPr>
        <w:t>Control of Weapons Act 1990</w:t>
      </w:r>
      <w:r w:rsidR="00AA170A">
        <w:t xml:space="preserve">, </w:t>
      </w:r>
      <w:r w:rsidR="00F65180">
        <w:t>s.</w:t>
      </w:r>
      <w:r w:rsidR="00AA170A">
        <w:t xml:space="preserve"> 7A(5); </w:t>
      </w:r>
      <w:r w:rsidR="00AA170A" w:rsidRPr="00EA3068">
        <w:rPr>
          <w:i/>
        </w:rPr>
        <w:t>Firearms Act 1996</w:t>
      </w:r>
      <w:r w:rsidR="00AA170A">
        <w:t xml:space="preserve">, </w:t>
      </w:r>
      <w:r w:rsidR="00F65180">
        <w:t>s.</w:t>
      </w:r>
      <w:r w:rsidR="00AA170A">
        <w:t xml:space="preserve"> 54AA(6).</w:t>
      </w:r>
    </w:p>
  </w:footnote>
  <w:footnote w:id="10">
    <w:p w14:paraId="5CDB4DEB" w14:textId="77777777" w:rsidR="0000068C" w:rsidRPr="0000068C" w:rsidRDefault="0000068C">
      <w:pPr>
        <w:pStyle w:val="FootnoteText"/>
      </w:pPr>
      <w:r>
        <w:rPr>
          <w:rStyle w:val="FootnoteReference"/>
        </w:rPr>
        <w:footnoteRef/>
      </w:r>
      <w:r>
        <w:t xml:space="preserve"> Duties arise under the </w:t>
      </w:r>
      <w:r>
        <w:rPr>
          <w:i/>
        </w:rPr>
        <w:t>Occupational Health and Safety Act 2004</w:t>
      </w:r>
      <w:r>
        <w:t xml:space="preserve">, the </w:t>
      </w:r>
      <w:r>
        <w:rPr>
          <w:i/>
        </w:rPr>
        <w:t>Wrongs Act 1958</w:t>
      </w:r>
      <w:r>
        <w:t xml:space="preserve"> and at common law.</w:t>
      </w:r>
    </w:p>
  </w:footnote>
  <w:footnote w:id="11">
    <w:p w14:paraId="4006841A" w14:textId="548AFF27" w:rsidR="006C29EC" w:rsidRDefault="006C29EC">
      <w:pPr>
        <w:pStyle w:val="FootnoteText"/>
      </w:pPr>
      <w:r>
        <w:rPr>
          <w:rStyle w:val="FootnoteReference"/>
        </w:rPr>
        <w:footnoteRef/>
      </w:r>
      <w:r>
        <w:t xml:space="preserve"> Crime prevention through environmental design is a multidisciplinary approach to deterring criminal behaviour. It relies on planning and design to reduce opportunities for unwanted behaviour and associated risks.</w:t>
      </w:r>
    </w:p>
  </w:footnote>
  <w:footnote w:id="12">
    <w:p w14:paraId="64491DB1" w14:textId="77777777" w:rsidR="0056016E" w:rsidRDefault="0056016E" w:rsidP="0056016E">
      <w:pPr>
        <w:pStyle w:val="FootnoteText"/>
      </w:pPr>
      <w:r>
        <w:rPr>
          <w:rStyle w:val="FootnoteReference"/>
        </w:rPr>
        <w:footnoteRef/>
      </w:r>
      <w:r>
        <w:t xml:space="preserve"> </w:t>
      </w:r>
      <w:r w:rsidRPr="00EA3068">
        <w:rPr>
          <w:i/>
        </w:rPr>
        <w:t>Crimes Act 1958</w:t>
      </w:r>
      <w:r>
        <w:t>, s. 463B.</w:t>
      </w:r>
    </w:p>
  </w:footnote>
  <w:footnote w:id="13">
    <w:p w14:paraId="6404E9AA" w14:textId="77777777" w:rsidR="0056016E" w:rsidRDefault="0056016E" w:rsidP="0056016E">
      <w:pPr>
        <w:pStyle w:val="FootnoteText"/>
      </w:pPr>
      <w:r>
        <w:rPr>
          <w:rStyle w:val="FootnoteReference"/>
        </w:rPr>
        <w:footnoteRef/>
      </w:r>
      <w:r>
        <w:t xml:space="preserve"> </w:t>
      </w:r>
      <w:r w:rsidRPr="00EA3068">
        <w:rPr>
          <w:i/>
        </w:rPr>
        <w:t>Crimes Act 1958</w:t>
      </w:r>
      <w:r>
        <w:t>, s. 462A.</w:t>
      </w:r>
    </w:p>
  </w:footnote>
  <w:footnote w:id="14">
    <w:p w14:paraId="2B84FAD9" w14:textId="77777777" w:rsidR="0056016E" w:rsidRDefault="0056016E" w:rsidP="0056016E">
      <w:pPr>
        <w:pStyle w:val="FootnoteText"/>
      </w:pPr>
      <w:r>
        <w:rPr>
          <w:rStyle w:val="FootnoteReference"/>
        </w:rPr>
        <w:footnoteRef/>
      </w:r>
      <w:r>
        <w:t xml:space="preserve"> </w:t>
      </w:r>
      <w:r w:rsidRPr="00EA3068">
        <w:rPr>
          <w:i/>
        </w:rPr>
        <w:t>Mental Health Act 2014</w:t>
      </w:r>
      <w:r>
        <w:t>, s. 354.</w:t>
      </w:r>
    </w:p>
  </w:footnote>
  <w:footnote w:id="15">
    <w:p w14:paraId="27981360" w14:textId="77777777" w:rsidR="00323557" w:rsidRDefault="00323557" w:rsidP="00323557">
      <w:pPr>
        <w:pStyle w:val="FootnoteText"/>
      </w:pPr>
      <w:r>
        <w:rPr>
          <w:rStyle w:val="FootnoteReference"/>
        </w:rPr>
        <w:footnoteRef/>
      </w:r>
      <w:r>
        <w:t xml:space="preserve"> </w:t>
      </w:r>
      <w:r w:rsidRPr="00EA3068">
        <w:rPr>
          <w:i/>
        </w:rPr>
        <w:t>Firearms Act 1996</w:t>
      </w:r>
      <w:r w:rsidR="00975969">
        <w:t>, Part 2, ss. 5, 6, 6A, 7A and 7B;</w:t>
      </w:r>
      <w:r>
        <w:t xml:space="preserve"> </w:t>
      </w:r>
      <w:r w:rsidRPr="00EA3068">
        <w:rPr>
          <w:i/>
        </w:rPr>
        <w:t>Control of Weapons Act 1990</w:t>
      </w:r>
      <w:r w:rsidR="00975969">
        <w:t>, ss. 5AA</w:t>
      </w:r>
      <w:r w:rsidR="003F7DEB">
        <w:t xml:space="preserve"> and</w:t>
      </w:r>
      <w:r w:rsidR="00975969">
        <w:t xml:space="preserve"> 6.</w:t>
      </w:r>
    </w:p>
  </w:footnote>
  <w:footnote w:id="16">
    <w:p w14:paraId="102C1ABA" w14:textId="77777777" w:rsidR="00435451" w:rsidRDefault="00435451">
      <w:pPr>
        <w:pStyle w:val="FootnoteText"/>
      </w:pPr>
      <w:r>
        <w:rPr>
          <w:rStyle w:val="FootnoteReference"/>
        </w:rPr>
        <w:footnoteRef/>
      </w:r>
      <w:r>
        <w:t xml:space="preserve"> </w:t>
      </w:r>
      <w:r w:rsidRPr="00EA3068">
        <w:rPr>
          <w:i/>
        </w:rPr>
        <w:t>Firearms Act 1996</w:t>
      </w:r>
      <w:r>
        <w:t xml:space="preserve">, s 54AA; </w:t>
      </w:r>
      <w:r w:rsidRPr="00EA3068">
        <w:rPr>
          <w:i/>
        </w:rPr>
        <w:t>Control of Weapons Act 1990</w:t>
      </w:r>
      <w:r>
        <w:t>, s 7A.</w:t>
      </w:r>
    </w:p>
  </w:footnote>
  <w:footnote w:id="17">
    <w:p w14:paraId="070A04AD" w14:textId="77777777" w:rsidR="00C52F38" w:rsidRDefault="00C52F38">
      <w:pPr>
        <w:pStyle w:val="FootnoteText"/>
      </w:pPr>
      <w:r>
        <w:rPr>
          <w:rStyle w:val="FootnoteReference"/>
        </w:rPr>
        <w:footnoteRef/>
      </w:r>
      <w:r>
        <w:t xml:space="preserve"> </w:t>
      </w:r>
      <w:r w:rsidR="00F17401" w:rsidRPr="00EA3068">
        <w:rPr>
          <w:i/>
        </w:rPr>
        <w:t>Health Records Act 2001</w:t>
      </w:r>
      <w:r w:rsidR="00F17401">
        <w:t xml:space="preserve">, Schedule 1, Health Privacy Principle 2.2(h); </w:t>
      </w:r>
      <w:r w:rsidR="00F17401" w:rsidRPr="00EA3068">
        <w:rPr>
          <w:i/>
        </w:rPr>
        <w:t>Privacy and Data Protection Act 2014</w:t>
      </w:r>
      <w:r w:rsidR="00F17401">
        <w:t>, Schedule 1, Information Privacy Principle 2.1(d).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70C32" w14:textId="2DFB7953" w:rsidR="00F002E4" w:rsidRDefault="00F00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321E4" w14:textId="236A2F1C" w:rsidR="009D70A4" w:rsidRPr="0051568D" w:rsidRDefault="009D70A4"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194E6" w14:textId="5828BD85" w:rsidR="00F002E4" w:rsidRDefault="00F00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30C4"/>
    <w:multiLevelType w:val="hybridMultilevel"/>
    <w:tmpl w:val="C602EFD8"/>
    <w:lvl w:ilvl="0" w:tplc="9E6880B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3D5C3153"/>
    <w:multiLevelType w:val="multilevel"/>
    <w:tmpl w:val="12F6AD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FC80006"/>
    <w:multiLevelType w:val="hybridMultilevel"/>
    <w:tmpl w:val="239A3E22"/>
    <w:lvl w:ilvl="0" w:tplc="2F9A9CF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54BA1E5A"/>
    <w:multiLevelType w:val="multilevel"/>
    <w:tmpl w:val="265AAA96"/>
    <w:styleLink w:val="ZZBullets"/>
    <w:lvl w:ilvl="0">
      <w:start w:val="1"/>
      <w:numFmt w:val="bullet"/>
      <w:pStyle w:val="DHHSbullet1"/>
      <w:lvlText w:val="•"/>
      <w:lvlJc w:val="left"/>
      <w:pPr>
        <w:ind w:left="10491"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65455DB6"/>
    <w:multiLevelType w:val="multilevel"/>
    <w:tmpl w:val="25F8E7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2">
    <w:abstractNumId w:val="1"/>
  </w:num>
  <w:num w:numId="3">
    <w:abstractNumId w:val="4"/>
  </w:num>
  <w:num w:numId="4">
    <w:abstractNumId w:val="0"/>
  </w:num>
  <w:num w:numId="5">
    <w:abstractNumId w:val="5"/>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11">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12">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13">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14">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15">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16">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17">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18">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19">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20">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21">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22">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23">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24">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25">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26">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27">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28">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29">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30">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31">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32">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33">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34">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35">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36">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37">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38">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39">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40">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41">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42">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43">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44">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45">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 w:numId="46">
    <w:abstractNumId w:val="4"/>
    <w:lvlOverride w:ilvl="2">
      <w:lvl w:ilvl="2">
        <w:start w:val="1"/>
        <w:numFmt w:val="bullet"/>
        <w:lvlRestart w:val="0"/>
        <w:pStyle w:val="DHHSbullet2"/>
        <w:lvlText w:val="–"/>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bullet"/>
        <w:lvlRestart w:val="0"/>
        <w:pStyle w:val="DHHSbullet2lastline"/>
        <w:lvlText w:val="–"/>
        <w:lvlJc w:val="left"/>
        <w:pPr>
          <w:ind w:left="567" w:hanging="283"/>
        </w:pPr>
        <w:rPr>
          <w:rFonts w:ascii="Arial" w:hAnsi="Arial" w:hint="default"/>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Macrae">
    <w15:presenceInfo w15:providerId="Windows Live" w15:userId="74c03d8842a1fa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59"/>
    <w:rsid w:val="0000068C"/>
    <w:rsid w:val="00001C85"/>
    <w:rsid w:val="000064A1"/>
    <w:rsid w:val="000072B6"/>
    <w:rsid w:val="0001021B"/>
    <w:rsid w:val="00011D89"/>
    <w:rsid w:val="00017016"/>
    <w:rsid w:val="00021EEE"/>
    <w:rsid w:val="00024D89"/>
    <w:rsid w:val="000250B6"/>
    <w:rsid w:val="00033D81"/>
    <w:rsid w:val="00035BC0"/>
    <w:rsid w:val="00041BF0"/>
    <w:rsid w:val="00044A1F"/>
    <w:rsid w:val="0004536B"/>
    <w:rsid w:val="00045B3E"/>
    <w:rsid w:val="00046B68"/>
    <w:rsid w:val="00051488"/>
    <w:rsid w:val="000527DD"/>
    <w:rsid w:val="000578B2"/>
    <w:rsid w:val="00060959"/>
    <w:rsid w:val="000663CD"/>
    <w:rsid w:val="000733FE"/>
    <w:rsid w:val="00074219"/>
    <w:rsid w:val="00074E1B"/>
    <w:rsid w:val="00074ED5"/>
    <w:rsid w:val="000831E2"/>
    <w:rsid w:val="000906EC"/>
    <w:rsid w:val="0009113B"/>
    <w:rsid w:val="00094DA3"/>
    <w:rsid w:val="00096CD1"/>
    <w:rsid w:val="000978BA"/>
    <w:rsid w:val="000A012C"/>
    <w:rsid w:val="000A0EB9"/>
    <w:rsid w:val="000A186C"/>
    <w:rsid w:val="000A373F"/>
    <w:rsid w:val="000A575C"/>
    <w:rsid w:val="000A6666"/>
    <w:rsid w:val="000B543D"/>
    <w:rsid w:val="000B5BF7"/>
    <w:rsid w:val="000B6082"/>
    <w:rsid w:val="000B6BC8"/>
    <w:rsid w:val="000C42EA"/>
    <w:rsid w:val="000C4546"/>
    <w:rsid w:val="000D1242"/>
    <w:rsid w:val="000D784D"/>
    <w:rsid w:val="000D7A0C"/>
    <w:rsid w:val="000E3CC7"/>
    <w:rsid w:val="000E4D36"/>
    <w:rsid w:val="000E6BD4"/>
    <w:rsid w:val="000F0B92"/>
    <w:rsid w:val="000F1F1E"/>
    <w:rsid w:val="000F2259"/>
    <w:rsid w:val="000F61AA"/>
    <w:rsid w:val="00102AE7"/>
    <w:rsid w:val="0010392D"/>
    <w:rsid w:val="0010447F"/>
    <w:rsid w:val="00104FE3"/>
    <w:rsid w:val="00113953"/>
    <w:rsid w:val="00116DB8"/>
    <w:rsid w:val="00116DC4"/>
    <w:rsid w:val="00120BD3"/>
    <w:rsid w:val="00122FEA"/>
    <w:rsid w:val="001232BD"/>
    <w:rsid w:val="00124ED5"/>
    <w:rsid w:val="001305CA"/>
    <w:rsid w:val="00130A69"/>
    <w:rsid w:val="00130DD5"/>
    <w:rsid w:val="001322CD"/>
    <w:rsid w:val="00133151"/>
    <w:rsid w:val="00134114"/>
    <w:rsid w:val="00135240"/>
    <w:rsid w:val="00143AF1"/>
    <w:rsid w:val="001447B3"/>
    <w:rsid w:val="0014597B"/>
    <w:rsid w:val="00152073"/>
    <w:rsid w:val="00153A4B"/>
    <w:rsid w:val="001548CD"/>
    <w:rsid w:val="00156393"/>
    <w:rsid w:val="00161939"/>
    <w:rsid w:val="00161AA0"/>
    <w:rsid w:val="00162093"/>
    <w:rsid w:val="001677EB"/>
    <w:rsid w:val="001771DD"/>
    <w:rsid w:val="00177995"/>
    <w:rsid w:val="00177A8C"/>
    <w:rsid w:val="00185A8D"/>
    <w:rsid w:val="00186B33"/>
    <w:rsid w:val="0018786D"/>
    <w:rsid w:val="00192F9D"/>
    <w:rsid w:val="001957B3"/>
    <w:rsid w:val="00196D63"/>
    <w:rsid w:val="00196EB8"/>
    <w:rsid w:val="00196EFB"/>
    <w:rsid w:val="001979FF"/>
    <w:rsid w:val="00197B17"/>
    <w:rsid w:val="001A021A"/>
    <w:rsid w:val="001A089E"/>
    <w:rsid w:val="001A3ACE"/>
    <w:rsid w:val="001B4601"/>
    <w:rsid w:val="001B7414"/>
    <w:rsid w:val="001B7BF6"/>
    <w:rsid w:val="001C2169"/>
    <w:rsid w:val="001C277E"/>
    <w:rsid w:val="001C2A72"/>
    <w:rsid w:val="001C5461"/>
    <w:rsid w:val="001C59DD"/>
    <w:rsid w:val="001C6E8A"/>
    <w:rsid w:val="001C7EC4"/>
    <w:rsid w:val="001D0B75"/>
    <w:rsid w:val="001D16A5"/>
    <w:rsid w:val="001D3C09"/>
    <w:rsid w:val="001D44E8"/>
    <w:rsid w:val="001D60EC"/>
    <w:rsid w:val="001E1AA8"/>
    <w:rsid w:val="001E317F"/>
    <w:rsid w:val="001E44DF"/>
    <w:rsid w:val="001E4FEA"/>
    <w:rsid w:val="001E68A5"/>
    <w:rsid w:val="001E6BB0"/>
    <w:rsid w:val="001F1A0B"/>
    <w:rsid w:val="001F3826"/>
    <w:rsid w:val="001F38C1"/>
    <w:rsid w:val="001F6E46"/>
    <w:rsid w:val="001F7877"/>
    <w:rsid w:val="001F7C52"/>
    <w:rsid w:val="001F7C91"/>
    <w:rsid w:val="00200D8D"/>
    <w:rsid w:val="00201307"/>
    <w:rsid w:val="00203742"/>
    <w:rsid w:val="00206463"/>
    <w:rsid w:val="00206F2F"/>
    <w:rsid w:val="0021053D"/>
    <w:rsid w:val="00210A92"/>
    <w:rsid w:val="00216ADC"/>
    <w:rsid w:val="00216C03"/>
    <w:rsid w:val="00220C04"/>
    <w:rsid w:val="0022278D"/>
    <w:rsid w:val="00225160"/>
    <w:rsid w:val="0022701F"/>
    <w:rsid w:val="00232CF6"/>
    <w:rsid w:val="002333F5"/>
    <w:rsid w:val="00233724"/>
    <w:rsid w:val="00235D18"/>
    <w:rsid w:val="002365F8"/>
    <w:rsid w:val="00236DFD"/>
    <w:rsid w:val="00237250"/>
    <w:rsid w:val="002425BF"/>
    <w:rsid w:val="002432E1"/>
    <w:rsid w:val="00246207"/>
    <w:rsid w:val="00246C5E"/>
    <w:rsid w:val="00247A80"/>
    <w:rsid w:val="00251343"/>
    <w:rsid w:val="00254F58"/>
    <w:rsid w:val="00254F95"/>
    <w:rsid w:val="00255A38"/>
    <w:rsid w:val="00260F43"/>
    <w:rsid w:val="0026126B"/>
    <w:rsid w:val="002620BC"/>
    <w:rsid w:val="00262802"/>
    <w:rsid w:val="00263A90"/>
    <w:rsid w:val="0026408B"/>
    <w:rsid w:val="002649CE"/>
    <w:rsid w:val="00265C0E"/>
    <w:rsid w:val="00265F2A"/>
    <w:rsid w:val="00267C3E"/>
    <w:rsid w:val="002709BB"/>
    <w:rsid w:val="002714C3"/>
    <w:rsid w:val="00271854"/>
    <w:rsid w:val="002745B4"/>
    <w:rsid w:val="002763B3"/>
    <w:rsid w:val="002802E3"/>
    <w:rsid w:val="0028213D"/>
    <w:rsid w:val="0028396D"/>
    <w:rsid w:val="00284D89"/>
    <w:rsid w:val="002862F1"/>
    <w:rsid w:val="0028786C"/>
    <w:rsid w:val="00291373"/>
    <w:rsid w:val="0029597D"/>
    <w:rsid w:val="002962C3"/>
    <w:rsid w:val="0029752B"/>
    <w:rsid w:val="002A0E2A"/>
    <w:rsid w:val="002A483C"/>
    <w:rsid w:val="002A48BE"/>
    <w:rsid w:val="002A551B"/>
    <w:rsid w:val="002A69FD"/>
    <w:rsid w:val="002B1729"/>
    <w:rsid w:val="002B36C7"/>
    <w:rsid w:val="002B45E6"/>
    <w:rsid w:val="002B4DD4"/>
    <w:rsid w:val="002B4F6E"/>
    <w:rsid w:val="002B5277"/>
    <w:rsid w:val="002B5375"/>
    <w:rsid w:val="002B6B95"/>
    <w:rsid w:val="002B77C1"/>
    <w:rsid w:val="002C2728"/>
    <w:rsid w:val="002D32F0"/>
    <w:rsid w:val="002D5006"/>
    <w:rsid w:val="002E01D0"/>
    <w:rsid w:val="002E066C"/>
    <w:rsid w:val="002E161D"/>
    <w:rsid w:val="002E3100"/>
    <w:rsid w:val="002E6C95"/>
    <w:rsid w:val="002E72C2"/>
    <w:rsid w:val="002E7C36"/>
    <w:rsid w:val="002F23AD"/>
    <w:rsid w:val="002F24E2"/>
    <w:rsid w:val="002F2F0B"/>
    <w:rsid w:val="002F4806"/>
    <w:rsid w:val="002F5103"/>
    <w:rsid w:val="002F5F31"/>
    <w:rsid w:val="002F5F46"/>
    <w:rsid w:val="002F7B89"/>
    <w:rsid w:val="00302216"/>
    <w:rsid w:val="00303E53"/>
    <w:rsid w:val="00306E5F"/>
    <w:rsid w:val="00307E14"/>
    <w:rsid w:val="00310917"/>
    <w:rsid w:val="00314054"/>
    <w:rsid w:val="00316F27"/>
    <w:rsid w:val="00320CA4"/>
    <w:rsid w:val="00323557"/>
    <w:rsid w:val="00327870"/>
    <w:rsid w:val="00332060"/>
    <w:rsid w:val="0033259D"/>
    <w:rsid w:val="003406C6"/>
    <w:rsid w:val="003418CC"/>
    <w:rsid w:val="00342433"/>
    <w:rsid w:val="00344F21"/>
    <w:rsid w:val="003459BD"/>
    <w:rsid w:val="00346AFD"/>
    <w:rsid w:val="00347043"/>
    <w:rsid w:val="00350D38"/>
    <w:rsid w:val="00351B36"/>
    <w:rsid w:val="00351B3B"/>
    <w:rsid w:val="00352F69"/>
    <w:rsid w:val="00357B4E"/>
    <w:rsid w:val="003625F4"/>
    <w:rsid w:val="003744CF"/>
    <w:rsid w:val="00374717"/>
    <w:rsid w:val="0037676C"/>
    <w:rsid w:val="00377736"/>
    <w:rsid w:val="00377D4A"/>
    <w:rsid w:val="003829E5"/>
    <w:rsid w:val="00391722"/>
    <w:rsid w:val="0039430B"/>
    <w:rsid w:val="003956CC"/>
    <w:rsid w:val="00395C9A"/>
    <w:rsid w:val="00397692"/>
    <w:rsid w:val="003A6B67"/>
    <w:rsid w:val="003B15E6"/>
    <w:rsid w:val="003C2045"/>
    <w:rsid w:val="003C43A1"/>
    <w:rsid w:val="003C467B"/>
    <w:rsid w:val="003C46B7"/>
    <w:rsid w:val="003C4FC0"/>
    <w:rsid w:val="003C55F4"/>
    <w:rsid w:val="003C7824"/>
    <w:rsid w:val="003C7A3F"/>
    <w:rsid w:val="003D2766"/>
    <w:rsid w:val="003D294E"/>
    <w:rsid w:val="003D3E8F"/>
    <w:rsid w:val="003D6475"/>
    <w:rsid w:val="003E1784"/>
    <w:rsid w:val="003F0445"/>
    <w:rsid w:val="003F0CF0"/>
    <w:rsid w:val="003F14B1"/>
    <w:rsid w:val="003F3289"/>
    <w:rsid w:val="003F38B9"/>
    <w:rsid w:val="003F7DEB"/>
    <w:rsid w:val="00401FCF"/>
    <w:rsid w:val="00406285"/>
    <w:rsid w:val="00410365"/>
    <w:rsid w:val="00413597"/>
    <w:rsid w:val="004148F9"/>
    <w:rsid w:val="0042084E"/>
    <w:rsid w:val="00421EEF"/>
    <w:rsid w:val="00424D65"/>
    <w:rsid w:val="00431F61"/>
    <w:rsid w:val="00435280"/>
    <w:rsid w:val="00435451"/>
    <w:rsid w:val="00437B87"/>
    <w:rsid w:val="00440104"/>
    <w:rsid w:val="00442C6C"/>
    <w:rsid w:val="00443CBE"/>
    <w:rsid w:val="00443E8A"/>
    <w:rsid w:val="004441BC"/>
    <w:rsid w:val="004463CA"/>
    <w:rsid w:val="004468B4"/>
    <w:rsid w:val="0045230A"/>
    <w:rsid w:val="00453985"/>
    <w:rsid w:val="00457337"/>
    <w:rsid w:val="00460D18"/>
    <w:rsid w:val="00462540"/>
    <w:rsid w:val="00462570"/>
    <w:rsid w:val="0046293E"/>
    <w:rsid w:val="004657B3"/>
    <w:rsid w:val="00466EA6"/>
    <w:rsid w:val="00467269"/>
    <w:rsid w:val="0047004F"/>
    <w:rsid w:val="0047372D"/>
    <w:rsid w:val="004741DA"/>
    <w:rsid w:val="004743DD"/>
    <w:rsid w:val="00474CEA"/>
    <w:rsid w:val="00483968"/>
    <w:rsid w:val="00484F86"/>
    <w:rsid w:val="00490746"/>
    <w:rsid w:val="00490852"/>
    <w:rsid w:val="00492F30"/>
    <w:rsid w:val="004946F4"/>
    <w:rsid w:val="0049487E"/>
    <w:rsid w:val="004A160D"/>
    <w:rsid w:val="004A3E81"/>
    <w:rsid w:val="004A4435"/>
    <w:rsid w:val="004A5C62"/>
    <w:rsid w:val="004A618B"/>
    <w:rsid w:val="004A707D"/>
    <w:rsid w:val="004B3961"/>
    <w:rsid w:val="004B5A87"/>
    <w:rsid w:val="004C0649"/>
    <w:rsid w:val="004C6EEE"/>
    <w:rsid w:val="004C702B"/>
    <w:rsid w:val="004C71BB"/>
    <w:rsid w:val="004D016B"/>
    <w:rsid w:val="004D1B08"/>
    <w:rsid w:val="004D1B22"/>
    <w:rsid w:val="004D3545"/>
    <w:rsid w:val="004D36F2"/>
    <w:rsid w:val="004D6F00"/>
    <w:rsid w:val="004D7EE4"/>
    <w:rsid w:val="004E138F"/>
    <w:rsid w:val="004E19A4"/>
    <w:rsid w:val="004E276F"/>
    <w:rsid w:val="004E2EE3"/>
    <w:rsid w:val="004E4649"/>
    <w:rsid w:val="004E5A21"/>
    <w:rsid w:val="004E5C2B"/>
    <w:rsid w:val="004E7690"/>
    <w:rsid w:val="004F00DD"/>
    <w:rsid w:val="004F0B20"/>
    <w:rsid w:val="004F2133"/>
    <w:rsid w:val="004F55F1"/>
    <w:rsid w:val="004F5A78"/>
    <w:rsid w:val="004F6936"/>
    <w:rsid w:val="004F6AF4"/>
    <w:rsid w:val="004F7C4C"/>
    <w:rsid w:val="00501DE3"/>
    <w:rsid w:val="00503DC6"/>
    <w:rsid w:val="00506F5D"/>
    <w:rsid w:val="005126D0"/>
    <w:rsid w:val="0051314F"/>
    <w:rsid w:val="0051568D"/>
    <w:rsid w:val="00516FE0"/>
    <w:rsid w:val="005248FC"/>
    <w:rsid w:val="00526C15"/>
    <w:rsid w:val="00530B6F"/>
    <w:rsid w:val="00536499"/>
    <w:rsid w:val="00543903"/>
    <w:rsid w:val="00543F11"/>
    <w:rsid w:val="005469AA"/>
    <w:rsid w:val="00547458"/>
    <w:rsid w:val="005474E4"/>
    <w:rsid w:val="00547A95"/>
    <w:rsid w:val="005508F9"/>
    <w:rsid w:val="0056016E"/>
    <w:rsid w:val="00560D37"/>
    <w:rsid w:val="00563683"/>
    <w:rsid w:val="005655DE"/>
    <w:rsid w:val="00572031"/>
    <w:rsid w:val="005724C8"/>
    <w:rsid w:val="00575BEA"/>
    <w:rsid w:val="00576E84"/>
    <w:rsid w:val="00580340"/>
    <w:rsid w:val="0058152E"/>
    <w:rsid w:val="00582B8C"/>
    <w:rsid w:val="00582C47"/>
    <w:rsid w:val="00586BF4"/>
    <w:rsid w:val="0058757E"/>
    <w:rsid w:val="00596A4B"/>
    <w:rsid w:val="00597507"/>
    <w:rsid w:val="005A022A"/>
    <w:rsid w:val="005B10EB"/>
    <w:rsid w:val="005B1989"/>
    <w:rsid w:val="005B1D0D"/>
    <w:rsid w:val="005B21B6"/>
    <w:rsid w:val="005B3A08"/>
    <w:rsid w:val="005B3AE3"/>
    <w:rsid w:val="005B7A63"/>
    <w:rsid w:val="005C03F7"/>
    <w:rsid w:val="005C0955"/>
    <w:rsid w:val="005C1A21"/>
    <w:rsid w:val="005C1E4B"/>
    <w:rsid w:val="005C49DA"/>
    <w:rsid w:val="005C50F3"/>
    <w:rsid w:val="005C5D91"/>
    <w:rsid w:val="005C67E8"/>
    <w:rsid w:val="005D07B8"/>
    <w:rsid w:val="005D2F50"/>
    <w:rsid w:val="005D4EF9"/>
    <w:rsid w:val="005D6597"/>
    <w:rsid w:val="005E0D44"/>
    <w:rsid w:val="005E0F6E"/>
    <w:rsid w:val="005E14E7"/>
    <w:rsid w:val="005E26A3"/>
    <w:rsid w:val="005E447E"/>
    <w:rsid w:val="005E4F44"/>
    <w:rsid w:val="005E5A59"/>
    <w:rsid w:val="005E5EFD"/>
    <w:rsid w:val="005E7769"/>
    <w:rsid w:val="005E7DB3"/>
    <w:rsid w:val="005F0775"/>
    <w:rsid w:val="005F0CF5"/>
    <w:rsid w:val="005F21EB"/>
    <w:rsid w:val="005F74E7"/>
    <w:rsid w:val="00604127"/>
    <w:rsid w:val="006046C0"/>
    <w:rsid w:val="00605908"/>
    <w:rsid w:val="00610D7C"/>
    <w:rsid w:val="00613414"/>
    <w:rsid w:val="00617385"/>
    <w:rsid w:val="00620563"/>
    <w:rsid w:val="0062408D"/>
    <w:rsid w:val="006240CC"/>
    <w:rsid w:val="0062436F"/>
    <w:rsid w:val="00627DA7"/>
    <w:rsid w:val="0063216E"/>
    <w:rsid w:val="00632603"/>
    <w:rsid w:val="006358B4"/>
    <w:rsid w:val="00635B34"/>
    <w:rsid w:val="006419AA"/>
    <w:rsid w:val="00644B7E"/>
    <w:rsid w:val="006454E6"/>
    <w:rsid w:val="00646A68"/>
    <w:rsid w:val="00646E96"/>
    <w:rsid w:val="0065092E"/>
    <w:rsid w:val="00653E58"/>
    <w:rsid w:val="006557A7"/>
    <w:rsid w:val="00656290"/>
    <w:rsid w:val="00657068"/>
    <w:rsid w:val="006621D7"/>
    <w:rsid w:val="006622D8"/>
    <w:rsid w:val="0066302A"/>
    <w:rsid w:val="0066325A"/>
    <w:rsid w:val="006649D5"/>
    <w:rsid w:val="006700F2"/>
    <w:rsid w:val="00670597"/>
    <w:rsid w:val="006706D0"/>
    <w:rsid w:val="00673689"/>
    <w:rsid w:val="00677574"/>
    <w:rsid w:val="006808C4"/>
    <w:rsid w:val="00682795"/>
    <w:rsid w:val="0068454C"/>
    <w:rsid w:val="00684CD1"/>
    <w:rsid w:val="00687216"/>
    <w:rsid w:val="006903E9"/>
    <w:rsid w:val="00691B62"/>
    <w:rsid w:val="006933B5"/>
    <w:rsid w:val="00693D14"/>
    <w:rsid w:val="006A18C2"/>
    <w:rsid w:val="006A2434"/>
    <w:rsid w:val="006A73EB"/>
    <w:rsid w:val="006B077C"/>
    <w:rsid w:val="006B3AA5"/>
    <w:rsid w:val="006B6803"/>
    <w:rsid w:val="006C29EC"/>
    <w:rsid w:val="006C3DA4"/>
    <w:rsid w:val="006D00D0"/>
    <w:rsid w:val="006D2A3F"/>
    <w:rsid w:val="006D2FBC"/>
    <w:rsid w:val="006D665C"/>
    <w:rsid w:val="006D72F1"/>
    <w:rsid w:val="006E138B"/>
    <w:rsid w:val="006E3834"/>
    <w:rsid w:val="006F1FDC"/>
    <w:rsid w:val="006F5423"/>
    <w:rsid w:val="006F6C8E"/>
    <w:rsid w:val="007002E3"/>
    <w:rsid w:val="007013EF"/>
    <w:rsid w:val="0070214C"/>
    <w:rsid w:val="00704368"/>
    <w:rsid w:val="00704454"/>
    <w:rsid w:val="007110FC"/>
    <w:rsid w:val="007122A7"/>
    <w:rsid w:val="0071286B"/>
    <w:rsid w:val="007173CA"/>
    <w:rsid w:val="007216AA"/>
    <w:rsid w:val="00721AB5"/>
    <w:rsid w:val="00721DEF"/>
    <w:rsid w:val="00724A43"/>
    <w:rsid w:val="00733991"/>
    <w:rsid w:val="007346E4"/>
    <w:rsid w:val="00740F22"/>
    <w:rsid w:val="00741F1A"/>
    <w:rsid w:val="007439BC"/>
    <w:rsid w:val="007450F8"/>
    <w:rsid w:val="0074696E"/>
    <w:rsid w:val="00750135"/>
    <w:rsid w:val="00750EC2"/>
    <w:rsid w:val="00751498"/>
    <w:rsid w:val="00752B28"/>
    <w:rsid w:val="00754070"/>
    <w:rsid w:val="00754E36"/>
    <w:rsid w:val="00757A8E"/>
    <w:rsid w:val="00763139"/>
    <w:rsid w:val="00770F37"/>
    <w:rsid w:val="007711A0"/>
    <w:rsid w:val="00772D5E"/>
    <w:rsid w:val="00776928"/>
    <w:rsid w:val="007807AA"/>
    <w:rsid w:val="00780FB1"/>
    <w:rsid w:val="00785677"/>
    <w:rsid w:val="00785898"/>
    <w:rsid w:val="00786F16"/>
    <w:rsid w:val="00794B1B"/>
    <w:rsid w:val="007951EF"/>
    <w:rsid w:val="0079565C"/>
    <w:rsid w:val="007959E1"/>
    <w:rsid w:val="00796E20"/>
    <w:rsid w:val="00797C32"/>
    <w:rsid w:val="007A00FF"/>
    <w:rsid w:val="007A09EF"/>
    <w:rsid w:val="007B0914"/>
    <w:rsid w:val="007B1374"/>
    <w:rsid w:val="007B4D07"/>
    <w:rsid w:val="007B589F"/>
    <w:rsid w:val="007B6186"/>
    <w:rsid w:val="007B73BC"/>
    <w:rsid w:val="007C20B9"/>
    <w:rsid w:val="007C7301"/>
    <w:rsid w:val="007C7859"/>
    <w:rsid w:val="007D0E9E"/>
    <w:rsid w:val="007D2BDE"/>
    <w:rsid w:val="007D2FB6"/>
    <w:rsid w:val="007D6B5C"/>
    <w:rsid w:val="007D6E2D"/>
    <w:rsid w:val="007E0DE2"/>
    <w:rsid w:val="007E3B98"/>
    <w:rsid w:val="007E6571"/>
    <w:rsid w:val="007F31B6"/>
    <w:rsid w:val="007F546C"/>
    <w:rsid w:val="007F625F"/>
    <w:rsid w:val="007F665E"/>
    <w:rsid w:val="00800412"/>
    <w:rsid w:val="0080587B"/>
    <w:rsid w:val="00806468"/>
    <w:rsid w:val="008155F0"/>
    <w:rsid w:val="00816735"/>
    <w:rsid w:val="00820141"/>
    <w:rsid w:val="00820E0C"/>
    <w:rsid w:val="008308EE"/>
    <w:rsid w:val="008338A2"/>
    <w:rsid w:val="00834E74"/>
    <w:rsid w:val="00841AA9"/>
    <w:rsid w:val="008441B4"/>
    <w:rsid w:val="00853EE4"/>
    <w:rsid w:val="00854796"/>
    <w:rsid w:val="00855535"/>
    <w:rsid w:val="0086177C"/>
    <w:rsid w:val="0086255E"/>
    <w:rsid w:val="00862D47"/>
    <w:rsid w:val="00862F01"/>
    <w:rsid w:val="008633F0"/>
    <w:rsid w:val="00867D9D"/>
    <w:rsid w:val="00872E0A"/>
    <w:rsid w:val="00875285"/>
    <w:rsid w:val="00876564"/>
    <w:rsid w:val="00884B62"/>
    <w:rsid w:val="0088529C"/>
    <w:rsid w:val="0088762E"/>
    <w:rsid w:val="00887903"/>
    <w:rsid w:val="0089270A"/>
    <w:rsid w:val="00893AF6"/>
    <w:rsid w:val="00894182"/>
    <w:rsid w:val="00894BC4"/>
    <w:rsid w:val="00896560"/>
    <w:rsid w:val="00896C19"/>
    <w:rsid w:val="008A5B32"/>
    <w:rsid w:val="008B0CD3"/>
    <w:rsid w:val="008B2EE4"/>
    <w:rsid w:val="008B4D3D"/>
    <w:rsid w:val="008B57C7"/>
    <w:rsid w:val="008C02D6"/>
    <w:rsid w:val="008C2F92"/>
    <w:rsid w:val="008C3493"/>
    <w:rsid w:val="008C3D30"/>
    <w:rsid w:val="008C79DD"/>
    <w:rsid w:val="008D2846"/>
    <w:rsid w:val="008D4236"/>
    <w:rsid w:val="008D462F"/>
    <w:rsid w:val="008D6DCF"/>
    <w:rsid w:val="008E4376"/>
    <w:rsid w:val="008E7A0A"/>
    <w:rsid w:val="008F0724"/>
    <w:rsid w:val="008F207E"/>
    <w:rsid w:val="008F2ABE"/>
    <w:rsid w:val="008F3BE0"/>
    <w:rsid w:val="00900719"/>
    <w:rsid w:val="009017AC"/>
    <w:rsid w:val="00904A1C"/>
    <w:rsid w:val="00905030"/>
    <w:rsid w:val="00906490"/>
    <w:rsid w:val="009111B2"/>
    <w:rsid w:val="009140E5"/>
    <w:rsid w:val="0091566D"/>
    <w:rsid w:val="009232E8"/>
    <w:rsid w:val="009241A0"/>
    <w:rsid w:val="00924AE1"/>
    <w:rsid w:val="0092524B"/>
    <w:rsid w:val="00925B62"/>
    <w:rsid w:val="009269B1"/>
    <w:rsid w:val="0092724D"/>
    <w:rsid w:val="00927744"/>
    <w:rsid w:val="00932618"/>
    <w:rsid w:val="00934E8B"/>
    <w:rsid w:val="00937BD9"/>
    <w:rsid w:val="00942020"/>
    <w:rsid w:val="00943C96"/>
    <w:rsid w:val="00946F66"/>
    <w:rsid w:val="00947D04"/>
    <w:rsid w:val="00950E2C"/>
    <w:rsid w:val="00951D50"/>
    <w:rsid w:val="00951F04"/>
    <w:rsid w:val="009525EB"/>
    <w:rsid w:val="0095355C"/>
    <w:rsid w:val="00954874"/>
    <w:rsid w:val="00961400"/>
    <w:rsid w:val="0096253B"/>
    <w:rsid w:val="009635ED"/>
    <w:rsid w:val="00963646"/>
    <w:rsid w:val="009675C1"/>
    <w:rsid w:val="00971032"/>
    <w:rsid w:val="0097114B"/>
    <w:rsid w:val="00975969"/>
    <w:rsid w:val="00981145"/>
    <w:rsid w:val="00982F22"/>
    <w:rsid w:val="00984703"/>
    <w:rsid w:val="009853E1"/>
    <w:rsid w:val="00986E6B"/>
    <w:rsid w:val="00991769"/>
    <w:rsid w:val="00994386"/>
    <w:rsid w:val="009A13D8"/>
    <w:rsid w:val="009A279E"/>
    <w:rsid w:val="009A56C1"/>
    <w:rsid w:val="009B0A6F"/>
    <w:rsid w:val="009B0A94"/>
    <w:rsid w:val="009B59E9"/>
    <w:rsid w:val="009B6105"/>
    <w:rsid w:val="009B70AA"/>
    <w:rsid w:val="009C7A7E"/>
    <w:rsid w:val="009D02E8"/>
    <w:rsid w:val="009D27EC"/>
    <w:rsid w:val="009D481A"/>
    <w:rsid w:val="009D51D0"/>
    <w:rsid w:val="009D70A4"/>
    <w:rsid w:val="009E08D1"/>
    <w:rsid w:val="009E1B95"/>
    <w:rsid w:val="009E1F92"/>
    <w:rsid w:val="009E4004"/>
    <w:rsid w:val="009E496F"/>
    <w:rsid w:val="009E49EE"/>
    <w:rsid w:val="009E4B0D"/>
    <w:rsid w:val="009E7AF6"/>
    <w:rsid w:val="009E7F92"/>
    <w:rsid w:val="009F02A3"/>
    <w:rsid w:val="009F05BA"/>
    <w:rsid w:val="009F2F27"/>
    <w:rsid w:val="009F34AA"/>
    <w:rsid w:val="009F6BCB"/>
    <w:rsid w:val="009F7B78"/>
    <w:rsid w:val="00A0057A"/>
    <w:rsid w:val="00A11421"/>
    <w:rsid w:val="00A1536C"/>
    <w:rsid w:val="00A157B1"/>
    <w:rsid w:val="00A22229"/>
    <w:rsid w:val="00A22D93"/>
    <w:rsid w:val="00A34709"/>
    <w:rsid w:val="00A44882"/>
    <w:rsid w:val="00A507F1"/>
    <w:rsid w:val="00A515C3"/>
    <w:rsid w:val="00A54715"/>
    <w:rsid w:val="00A57042"/>
    <w:rsid w:val="00A57920"/>
    <w:rsid w:val="00A6061C"/>
    <w:rsid w:val="00A62D44"/>
    <w:rsid w:val="00A632AB"/>
    <w:rsid w:val="00A64B4C"/>
    <w:rsid w:val="00A67263"/>
    <w:rsid w:val="00A7161C"/>
    <w:rsid w:val="00A76D1E"/>
    <w:rsid w:val="00A77AA3"/>
    <w:rsid w:val="00A82BA6"/>
    <w:rsid w:val="00A84E10"/>
    <w:rsid w:val="00A854EB"/>
    <w:rsid w:val="00A872E5"/>
    <w:rsid w:val="00A91406"/>
    <w:rsid w:val="00A96E65"/>
    <w:rsid w:val="00A97C72"/>
    <w:rsid w:val="00AA0E01"/>
    <w:rsid w:val="00AA170A"/>
    <w:rsid w:val="00AA63D4"/>
    <w:rsid w:val="00AB06E8"/>
    <w:rsid w:val="00AB1CD3"/>
    <w:rsid w:val="00AB352F"/>
    <w:rsid w:val="00AB4800"/>
    <w:rsid w:val="00AC1C0F"/>
    <w:rsid w:val="00AC274B"/>
    <w:rsid w:val="00AC4764"/>
    <w:rsid w:val="00AC6BCA"/>
    <w:rsid w:val="00AC6D36"/>
    <w:rsid w:val="00AD0CBA"/>
    <w:rsid w:val="00AD26E2"/>
    <w:rsid w:val="00AD784C"/>
    <w:rsid w:val="00AE126A"/>
    <w:rsid w:val="00AE3005"/>
    <w:rsid w:val="00AE3BD5"/>
    <w:rsid w:val="00AE44CD"/>
    <w:rsid w:val="00AE59A0"/>
    <w:rsid w:val="00AF0C57"/>
    <w:rsid w:val="00AF26F3"/>
    <w:rsid w:val="00AF3109"/>
    <w:rsid w:val="00AF428A"/>
    <w:rsid w:val="00AF5F04"/>
    <w:rsid w:val="00AF706C"/>
    <w:rsid w:val="00B00672"/>
    <w:rsid w:val="00B01B4D"/>
    <w:rsid w:val="00B05022"/>
    <w:rsid w:val="00B06571"/>
    <w:rsid w:val="00B068BA"/>
    <w:rsid w:val="00B11F7B"/>
    <w:rsid w:val="00B13851"/>
    <w:rsid w:val="00B13B1C"/>
    <w:rsid w:val="00B14D73"/>
    <w:rsid w:val="00B17F2B"/>
    <w:rsid w:val="00B22291"/>
    <w:rsid w:val="00B23682"/>
    <w:rsid w:val="00B23F9A"/>
    <w:rsid w:val="00B2417B"/>
    <w:rsid w:val="00B24E6F"/>
    <w:rsid w:val="00B26CB5"/>
    <w:rsid w:val="00B2752E"/>
    <w:rsid w:val="00B307CC"/>
    <w:rsid w:val="00B326B7"/>
    <w:rsid w:val="00B32AF6"/>
    <w:rsid w:val="00B336A3"/>
    <w:rsid w:val="00B367D0"/>
    <w:rsid w:val="00B41690"/>
    <w:rsid w:val="00B42C7C"/>
    <w:rsid w:val="00B431E8"/>
    <w:rsid w:val="00B45141"/>
    <w:rsid w:val="00B50ADC"/>
    <w:rsid w:val="00B5190D"/>
    <w:rsid w:val="00B5273A"/>
    <w:rsid w:val="00B5354F"/>
    <w:rsid w:val="00B564CF"/>
    <w:rsid w:val="00B57329"/>
    <w:rsid w:val="00B57506"/>
    <w:rsid w:val="00B57B2C"/>
    <w:rsid w:val="00B62B50"/>
    <w:rsid w:val="00B635B7"/>
    <w:rsid w:val="00B63AE8"/>
    <w:rsid w:val="00B64136"/>
    <w:rsid w:val="00B65950"/>
    <w:rsid w:val="00B66D83"/>
    <w:rsid w:val="00B66E33"/>
    <w:rsid w:val="00B672C0"/>
    <w:rsid w:val="00B673AC"/>
    <w:rsid w:val="00B67768"/>
    <w:rsid w:val="00B73EBA"/>
    <w:rsid w:val="00B7522F"/>
    <w:rsid w:val="00B75646"/>
    <w:rsid w:val="00B75ACF"/>
    <w:rsid w:val="00B77246"/>
    <w:rsid w:val="00B81991"/>
    <w:rsid w:val="00B84B52"/>
    <w:rsid w:val="00B84C17"/>
    <w:rsid w:val="00B90729"/>
    <w:rsid w:val="00B907DA"/>
    <w:rsid w:val="00B9329C"/>
    <w:rsid w:val="00B950BC"/>
    <w:rsid w:val="00B9714C"/>
    <w:rsid w:val="00BA19B3"/>
    <w:rsid w:val="00BA3F8D"/>
    <w:rsid w:val="00BB03B1"/>
    <w:rsid w:val="00BB1917"/>
    <w:rsid w:val="00BB7A10"/>
    <w:rsid w:val="00BC2B3A"/>
    <w:rsid w:val="00BC7468"/>
    <w:rsid w:val="00BC7D4F"/>
    <w:rsid w:val="00BC7ED7"/>
    <w:rsid w:val="00BD2850"/>
    <w:rsid w:val="00BD2F85"/>
    <w:rsid w:val="00BD7898"/>
    <w:rsid w:val="00BE117B"/>
    <w:rsid w:val="00BE168E"/>
    <w:rsid w:val="00BE2316"/>
    <w:rsid w:val="00BE28D2"/>
    <w:rsid w:val="00BE4A64"/>
    <w:rsid w:val="00BE5A05"/>
    <w:rsid w:val="00BF3543"/>
    <w:rsid w:val="00BF7F58"/>
    <w:rsid w:val="00C01381"/>
    <w:rsid w:val="00C04937"/>
    <w:rsid w:val="00C04FF0"/>
    <w:rsid w:val="00C053B6"/>
    <w:rsid w:val="00C05860"/>
    <w:rsid w:val="00C059B5"/>
    <w:rsid w:val="00C079B8"/>
    <w:rsid w:val="00C123EA"/>
    <w:rsid w:val="00C12A49"/>
    <w:rsid w:val="00C133EE"/>
    <w:rsid w:val="00C27DE9"/>
    <w:rsid w:val="00C33388"/>
    <w:rsid w:val="00C35484"/>
    <w:rsid w:val="00C4173A"/>
    <w:rsid w:val="00C4177F"/>
    <w:rsid w:val="00C52F38"/>
    <w:rsid w:val="00C562AA"/>
    <w:rsid w:val="00C602FF"/>
    <w:rsid w:val="00C61174"/>
    <w:rsid w:val="00C6148F"/>
    <w:rsid w:val="00C62F7A"/>
    <w:rsid w:val="00C63B9C"/>
    <w:rsid w:val="00C64F16"/>
    <w:rsid w:val="00C6682F"/>
    <w:rsid w:val="00C7275E"/>
    <w:rsid w:val="00C74C5D"/>
    <w:rsid w:val="00C75774"/>
    <w:rsid w:val="00C8394C"/>
    <w:rsid w:val="00C863C4"/>
    <w:rsid w:val="00C91CC6"/>
    <w:rsid w:val="00C93C3E"/>
    <w:rsid w:val="00CA12E3"/>
    <w:rsid w:val="00CA3A13"/>
    <w:rsid w:val="00CA6611"/>
    <w:rsid w:val="00CA6AE6"/>
    <w:rsid w:val="00CA782F"/>
    <w:rsid w:val="00CB3285"/>
    <w:rsid w:val="00CB7111"/>
    <w:rsid w:val="00CC0C72"/>
    <w:rsid w:val="00CC1812"/>
    <w:rsid w:val="00CC2BFD"/>
    <w:rsid w:val="00CC68A7"/>
    <w:rsid w:val="00CD3476"/>
    <w:rsid w:val="00CD64DF"/>
    <w:rsid w:val="00CE3FCF"/>
    <w:rsid w:val="00CE46ED"/>
    <w:rsid w:val="00CE4755"/>
    <w:rsid w:val="00CF2F50"/>
    <w:rsid w:val="00D01158"/>
    <w:rsid w:val="00D011EB"/>
    <w:rsid w:val="00D02919"/>
    <w:rsid w:val="00D04C61"/>
    <w:rsid w:val="00D05B8D"/>
    <w:rsid w:val="00D065A2"/>
    <w:rsid w:val="00D07F00"/>
    <w:rsid w:val="00D108BC"/>
    <w:rsid w:val="00D1294C"/>
    <w:rsid w:val="00D17B72"/>
    <w:rsid w:val="00D258DD"/>
    <w:rsid w:val="00D27D2A"/>
    <w:rsid w:val="00D3185C"/>
    <w:rsid w:val="00D33E72"/>
    <w:rsid w:val="00D35BD6"/>
    <w:rsid w:val="00D361B5"/>
    <w:rsid w:val="00D411A2"/>
    <w:rsid w:val="00D4409C"/>
    <w:rsid w:val="00D4606D"/>
    <w:rsid w:val="00D50B9C"/>
    <w:rsid w:val="00D52D73"/>
    <w:rsid w:val="00D52E58"/>
    <w:rsid w:val="00D667F1"/>
    <w:rsid w:val="00D714CC"/>
    <w:rsid w:val="00D75EA7"/>
    <w:rsid w:val="00D8025A"/>
    <w:rsid w:val="00D80CE7"/>
    <w:rsid w:val="00D81F21"/>
    <w:rsid w:val="00D85185"/>
    <w:rsid w:val="00D911FB"/>
    <w:rsid w:val="00D95470"/>
    <w:rsid w:val="00DA0450"/>
    <w:rsid w:val="00DA0AEC"/>
    <w:rsid w:val="00DA0D61"/>
    <w:rsid w:val="00DA2619"/>
    <w:rsid w:val="00DA4239"/>
    <w:rsid w:val="00DA4759"/>
    <w:rsid w:val="00DA7D87"/>
    <w:rsid w:val="00DB0357"/>
    <w:rsid w:val="00DB0B61"/>
    <w:rsid w:val="00DB3D8D"/>
    <w:rsid w:val="00DC090B"/>
    <w:rsid w:val="00DC1679"/>
    <w:rsid w:val="00DC2CF1"/>
    <w:rsid w:val="00DC4FCF"/>
    <w:rsid w:val="00DC50E0"/>
    <w:rsid w:val="00DC6386"/>
    <w:rsid w:val="00DD0EEA"/>
    <w:rsid w:val="00DD1130"/>
    <w:rsid w:val="00DD1951"/>
    <w:rsid w:val="00DD3665"/>
    <w:rsid w:val="00DD6628"/>
    <w:rsid w:val="00DD6FF9"/>
    <w:rsid w:val="00DE3250"/>
    <w:rsid w:val="00DE6028"/>
    <w:rsid w:val="00DE78A3"/>
    <w:rsid w:val="00DF1A71"/>
    <w:rsid w:val="00DF3A5C"/>
    <w:rsid w:val="00DF49B1"/>
    <w:rsid w:val="00DF68C7"/>
    <w:rsid w:val="00DF731A"/>
    <w:rsid w:val="00E05930"/>
    <w:rsid w:val="00E14B3D"/>
    <w:rsid w:val="00E170DC"/>
    <w:rsid w:val="00E2053E"/>
    <w:rsid w:val="00E2189C"/>
    <w:rsid w:val="00E26818"/>
    <w:rsid w:val="00E27FFC"/>
    <w:rsid w:val="00E30B15"/>
    <w:rsid w:val="00E3650A"/>
    <w:rsid w:val="00E40181"/>
    <w:rsid w:val="00E56A01"/>
    <w:rsid w:val="00E629A1"/>
    <w:rsid w:val="00E62A63"/>
    <w:rsid w:val="00E6794C"/>
    <w:rsid w:val="00E71591"/>
    <w:rsid w:val="00E8049C"/>
    <w:rsid w:val="00E81C7B"/>
    <w:rsid w:val="00E82C55"/>
    <w:rsid w:val="00E907D2"/>
    <w:rsid w:val="00E92AC3"/>
    <w:rsid w:val="00E9349A"/>
    <w:rsid w:val="00E95149"/>
    <w:rsid w:val="00EA1A24"/>
    <w:rsid w:val="00EA3068"/>
    <w:rsid w:val="00EB00E0"/>
    <w:rsid w:val="00EB5DEF"/>
    <w:rsid w:val="00EC059F"/>
    <w:rsid w:val="00EC1F24"/>
    <w:rsid w:val="00EC22F6"/>
    <w:rsid w:val="00EC2F96"/>
    <w:rsid w:val="00EC6820"/>
    <w:rsid w:val="00ED0D82"/>
    <w:rsid w:val="00ED5B9B"/>
    <w:rsid w:val="00ED6711"/>
    <w:rsid w:val="00ED6BAD"/>
    <w:rsid w:val="00ED7447"/>
    <w:rsid w:val="00EE1488"/>
    <w:rsid w:val="00EE4D5D"/>
    <w:rsid w:val="00EE5131"/>
    <w:rsid w:val="00EF109B"/>
    <w:rsid w:val="00EF36AF"/>
    <w:rsid w:val="00EF79E8"/>
    <w:rsid w:val="00F002E4"/>
    <w:rsid w:val="00F0089D"/>
    <w:rsid w:val="00F00F9C"/>
    <w:rsid w:val="00F01E5F"/>
    <w:rsid w:val="00F02ABA"/>
    <w:rsid w:val="00F0437A"/>
    <w:rsid w:val="00F11037"/>
    <w:rsid w:val="00F11326"/>
    <w:rsid w:val="00F140A6"/>
    <w:rsid w:val="00F14B63"/>
    <w:rsid w:val="00F16F1B"/>
    <w:rsid w:val="00F17401"/>
    <w:rsid w:val="00F250A9"/>
    <w:rsid w:val="00F30924"/>
    <w:rsid w:val="00F30FF4"/>
    <w:rsid w:val="00F3122E"/>
    <w:rsid w:val="00F32D82"/>
    <w:rsid w:val="00F331AD"/>
    <w:rsid w:val="00F35287"/>
    <w:rsid w:val="00F429F5"/>
    <w:rsid w:val="00F43A37"/>
    <w:rsid w:val="00F449F2"/>
    <w:rsid w:val="00F4641B"/>
    <w:rsid w:val="00F46EB8"/>
    <w:rsid w:val="00F511E4"/>
    <w:rsid w:val="00F51331"/>
    <w:rsid w:val="00F52D09"/>
    <w:rsid w:val="00F52E08"/>
    <w:rsid w:val="00F55B21"/>
    <w:rsid w:val="00F56EF6"/>
    <w:rsid w:val="00F61A9F"/>
    <w:rsid w:val="00F61BB4"/>
    <w:rsid w:val="00F64696"/>
    <w:rsid w:val="00F65180"/>
    <w:rsid w:val="00F65AA9"/>
    <w:rsid w:val="00F66672"/>
    <w:rsid w:val="00F6768F"/>
    <w:rsid w:val="00F71680"/>
    <w:rsid w:val="00F72C2C"/>
    <w:rsid w:val="00F76CAB"/>
    <w:rsid w:val="00F76ED8"/>
    <w:rsid w:val="00F772C6"/>
    <w:rsid w:val="00F815B5"/>
    <w:rsid w:val="00F83361"/>
    <w:rsid w:val="00F85195"/>
    <w:rsid w:val="00F86B71"/>
    <w:rsid w:val="00F923F6"/>
    <w:rsid w:val="00F938BA"/>
    <w:rsid w:val="00F9686D"/>
    <w:rsid w:val="00FA2C46"/>
    <w:rsid w:val="00FA3525"/>
    <w:rsid w:val="00FA7EBF"/>
    <w:rsid w:val="00FB4769"/>
    <w:rsid w:val="00FB4CDA"/>
    <w:rsid w:val="00FB4D1A"/>
    <w:rsid w:val="00FB671D"/>
    <w:rsid w:val="00FC0784"/>
    <w:rsid w:val="00FC0F81"/>
    <w:rsid w:val="00FC395C"/>
    <w:rsid w:val="00FC5C6F"/>
    <w:rsid w:val="00FC6263"/>
    <w:rsid w:val="00FD3766"/>
    <w:rsid w:val="00FD47C4"/>
    <w:rsid w:val="00FD5A09"/>
    <w:rsid w:val="00FE1F11"/>
    <w:rsid w:val="00FE2DCF"/>
    <w:rsid w:val="00FF2BA7"/>
    <w:rsid w:val="00FF2FCE"/>
    <w:rsid w:val="00FF4E07"/>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F9E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qFormat="1"/>
    <w:lsdException w:name="Table Grid" w:uiPriority="59"/>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F51331"/>
    <w:rPr>
      <w:rFonts w:ascii="Cambria" w:hAnsi="Cambria"/>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3"/>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2"/>
      </w:numPr>
    </w:pPr>
  </w:style>
  <w:style w:type="paragraph" w:customStyle="1" w:styleId="DHHSnumberloweralphaindent">
    <w:name w:val="DHHS number lower alpha indent"/>
    <w:basedOn w:val="DHHSbody"/>
    <w:uiPriority w:val="3"/>
    <w:rsid w:val="00152073"/>
    <w:pPr>
      <w:numPr>
        <w:ilvl w:val="3"/>
        <w:numId w:val="2"/>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2"/>
      </w:numPr>
    </w:pPr>
  </w:style>
  <w:style w:type="paragraph" w:customStyle="1" w:styleId="DHHSnumberlowerroman">
    <w:name w:val="DHHS number lower roman"/>
    <w:basedOn w:val="DHHSbody"/>
    <w:uiPriority w:val="3"/>
    <w:rsid w:val="00152073"/>
    <w:pPr>
      <w:numPr>
        <w:ilvl w:val="4"/>
        <w:numId w:val="2"/>
      </w:numPr>
    </w:pPr>
  </w:style>
  <w:style w:type="paragraph" w:customStyle="1" w:styleId="DHHSnumberlowerromanindent">
    <w:name w:val="DHHS number lower roman indent"/>
    <w:basedOn w:val="DHHSbody"/>
    <w:uiPriority w:val="3"/>
    <w:rsid w:val="00152073"/>
    <w:pPr>
      <w:numPr>
        <w:ilvl w:val="5"/>
        <w:numId w:val="2"/>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NormalWeb">
    <w:name w:val="Normal (Web)"/>
    <w:basedOn w:val="Normal"/>
    <w:uiPriority w:val="99"/>
    <w:semiHidden/>
    <w:unhideWhenUsed/>
    <w:rsid w:val="00D27D2A"/>
    <w:pPr>
      <w:spacing w:before="100" w:beforeAutospacing="1" w:after="100" w:afterAutospacing="1"/>
    </w:pPr>
    <w:rPr>
      <w:rFonts w:ascii="Times New Roman" w:hAnsi="Times New Roman"/>
      <w:sz w:val="24"/>
      <w:szCs w:val="24"/>
      <w:lang w:eastAsia="en-AU"/>
    </w:rPr>
  </w:style>
  <w:style w:type="character" w:styleId="Emphasis">
    <w:name w:val="Emphasis"/>
    <w:basedOn w:val="DefaultParagraphFont"/>
    <w:uiPriority w:val="20"/>
    <w:qFormat/>
    <w:rsid w:val="00D27D2A"/>
    <w:rPr>
      <w:i/>
      <w:iCs/>
    </w:rPr>
  </w:style>
  <w:style w:type="character" w:styleId="CommentReference">
    <w:name w:val="annotation reference"/>
    <w:basedOn w:val="DefaultParagraphFont"/>
    <w:uiPriority w:val="99"/>
    <w:semiHidden/>
    <w:unhideWhenUsed/>
    <w:rsid w:val="002A69FD"/>
    <w:rPr>
      <w:sz w:val="16"/>
      <w:szCs w:val="16"/>
    </w:rPr>
  </w:style>
  <w:style w:type="paragraph" w:styleId="CommentText">
    <w:name w:val="annotation text"/>
    <w:basedOn w:val="Normal"/>
    <w:link w:val="CommentTextChar"/>
    <w:uiPriority w:val="99"/>
    <w:semiHidden/>
    <w:unhideWhenUsed/>
    <w:rsid w:val="002A69FD"/>
  </w:style>
  <w:style w:type="character" w:customStyle="1" w:styleId="CommentTextChar">
    <w:name w:val="Comment Text Char"/>
    <w:basedOn w:val="DefaultParagraphFont"/>
    <w:link w:val="CommentText"/>
    <w:uiPriority w:val="99"/>
    <w:semiHidden/>
    <w:rsid w:val="002A69FD"/>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A69FD"/>
    <w:rPr>
      <w:b/>
      <w:bCs/>
    </w:rPr>
  </w:style>
  <w:style w:type="character" w:customStyle="1" w:styleId="CommentSubjectChar">
    <w:name w:val="Comment Subject Char"/>
    <w:basedOn w:val="CommentTextChar"/>
    <w:link w:val="CommentSubject"/>
    <w:uiPriority w:val="99"/>
    <w:semiHidden/>
    <w:rsid w:val="002A69FD"/>
    <w:rPr>
      <w:rFonts w:ascii="Cambria" w:hAnsi="Cambria"/>
      <w:b/>
      <w:bCs/>
      <w:lang w:eastAsia="en-US"/>
    </w:rPr>
  </w:style>
  <w:style w:type="paragraph" w:styleId="BalloonText">
    <w:name w:val="Balloon Text"/>
    <w:basedOn w:val="Normal"/>
    <w:link w:val="BalloonTextChar"/>
    <w:uiPriority w:val="99"/>
    <w:semiHidden/>
    <w:unhideWhenUsed/>
    <w:rsid w:val="002A69FD"/>
    <w:rPr>
      <w:rFonts w:ascii="Tahoma" w:hAnsi="Tahoma" w:cs="Tahoma"/>
      <w:sz w:val="16"/>
      <w:szCs w:val="16"/>
    </w:rPr>
  </w:style>
  <w:style w:type="character" w:customStyle="1" w:styleId="BalloonTextChar">
    <w:name w:val="Balloon Text Char"/>
    <w:basedOn w:val="DefaultParagraphFont"/>
    <w:link w:val="BalloonText"/>
    <w:uiPriority w:val="99"/>
    <w:semiHidden/>
    <w:rsid w:val="002A69F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qFormat="1"/>
    <w:lsdException w:name="Table Grid" w:uiPriority="59"/>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F51331"/>
    <w:rPr>
      <w:rFonts w:ascii="Cambria" w:hAnsi="Cambria"/>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3"/>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2"/>
      </w:numPr>
    </w:pPr>
  </w:style>
  <w:style w:type="paragraph" w:customStyle="1" w:styleId="DHHSnumberloweralphaindent">
    <w:name w:val="DHHS number lower alpha indent"/>
    <w:basedOn w:val="DHHSbody"/>
    <w:uiPriority w:val="3"/>
    <w:rsid w:val="00152073"/>
    <w:pPr>
      <w:numPr>
        <w:ilvl w:val="3"/>
        <w:numId w:val="2"/>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2"/>
      </w:numPr>
    </w:pPr>
  </w:style>
  <w:style w:type="paragraph" w:customStyle="1" w:styleId="DHHSnumberlowerroman">
    <w:name w:val="DHHS number lower roman"/>
    <w:basedOn w:val="DHHSbody"/>
    <w:uiPriority w:val="3"/>
    <w:rsid w:val="00152073"/>
    <w:pPr>
      <w:numPr>
        <w:ilvl w:val="4"/>
        <w:numId w:val="2"/>
      </w:numPr>
    </w:pPr>
  </w:style>
  <w:style w:type="paragraph" w:customStyle="1" w:styleId="DHHSnumberlowerromanindent">
    <w:name w:val="DHHS number lower roman indent"/>
    <w:basedOn w:val="DHHSbody"/>
    <w:uiPriority w:val="3"/>
    <w:rsid w:val="00152073"/>
    <w:pPr>
      <w:numPr>
        <w:ilvl w:val="5"/>
        <w:numId w:val="2"/>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NormalWeb">
    <w:name w:val="Normal (Web)"/>
    <w:basedOn w:val="Normal"/>
    <w:uiPriority w:val="99"/>
    <w:semiHidden/>
    <w:unhideWhenUsed/>
    <w:rsid w:val="00D27D2A"/>
    <w:pPr>
      <w:spacing w:before="100" w:beforeAutospacing="1" w:after="100" w:afterAutospacing="1"/>
    </w:pPr>
    <w:rPr>
      <w:rFonts w:ascii="Times New Roman" w:hAnsi="Times New Roman"/>
      <w:sz w:val="24"/>
      <w:szCs w:val="24"/>
      <w:lang w:eastAsia="en-AU"/>
    </w:rPr>
  </w:style>
  <w:style w:type="character" w:styleId="Emphasis">
    <w:name w:val="Emphasis"/>
    <w:basedOn w:val="DefaultParagraphFont"/>
    <w:uiPriority w:val="20"/>
    <w:qFormat/>
    <w:rsid w:val="00D27D2A"/>
    <w:rPr>
      <w:i/>
      <w:iCs/>
    </w:rPr>
  </w:style>
  <w:style w:type="character" w:styleId="CommentReference">
    <w:name w:val="annotation reference"/>
    <w:basedOn w:val="DefaultParagraphFont"/>
    <w:uiPriority w:val="99"/>
    <w:semiHidden/>
    <w:unhideWhenUsed/>
    <w:rsid w:val="002A69FD"/>
    <w:rPr>
      <w:sz w:val="16"/>
      <w:szCs w:val="16"/>
    </w:rPr>
  </w:style>
  <w:style w:type="paragraph" w:styleId="CommentText">
    <w:name w:val="annotation text"/>
    <w:basedOn w:val="Normal"/>
    <w:link w:val="CommentTextChar"/>
    <w:uiPriority w:val="99"/>
    <w:semiHidden/>
    <w:unhideWhenUsed/>
    <w:rsid w:val="002A69FD"/>
  </w:style>
  <w:style w:type="character" w:customStyle="1" w:styleId="CommentTextChar">
    <w:name w:val="Comment Text Char"/>
    <w:basedOn w:val="DefaultParagraphFont"/>
    <w:link w:val="CommentText"/>
    <w:uiPriority w:val="99"/>
    <w:semiHidden/>
    <w:rsid w:val="002A69FD"/>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A69FD"/>
    <w:rPr>
      <w:b/>
      <w:bCs/>
    </w:rPr>
  </w:style>
  <w:style w:type="character" w:customStyle="1" w:styleId="CommentSubjectChar">
    <w:name w:val="Comment Subject Char"/>
    <w:basedOn w:val="CommentTextChar"/>
    <w:link w:val="CommentSubject"/>
    <w:uiPriority w:val="99"/>
    <w:semiHidden/>
    <w:rsid w:val="002A69FD"/>
    <w:rPr>
      <w:rFonts w:ascii="Cambria" w:hAnsi="Cambria"/>
      <w:b/>
      <w:bCs/>
      <w:lang w:eastAsia="en-US"/>
    </w:rPr>
  </w:style>
  <w:style w:type="paragraph" w:styleId="BalloonText">
    <w:name w:val="Balloon Text"/>
    <w:basedOn w:val="Normal"/>
    <w:link w:val="BalloonTextChar"/>
    <w:uiPriority w:val="99"/>
    <w:semiHidden/>
    <w:unhideWhenUsed/>
    <w:rsid w:val="002A69FD"/>
    <w:rPr>
      <w:rFonts w:ascii="Tahoma" w:hAnsi="Tahoma" w:cs="Tahoma"/>
      <w:sz w:val="16"/>
      <w:szCs w:val="16"/>
    </w:rPr>
  </w:style>
  <w:style w:type="character" w:customStyle="1" w:styleId="BalloonTextChar">
    <w:name w:val="Balloon Text Char"/>
    <w:basedOn w:val="DefaultParagraphFont"/>
    <w:link w:val="BalloonText"/>
    <w:uiPriority w:val="99"/>
    <w:semiHidden/>
    <w:rsid w:val="002A69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4437">
      <w:bodyDiv w:val="1"/>
      <w:marLeft w:val="0"/>
      <w:marRight w:val="0"/>
      <w:marTop w:val="0"/>
      <w:marBottom w:val="0"/>
      <w:divBdr>
        <w:top w:val="none" w:sz="0" w:space="0" w:color="auto"/>
        <w:left w:val="none" w:sz="0" w:space="0" w:color="auto"/>
        <w:bottom w:val="none" w:sz="0" w:space="0" w:color="auto"/>
        <w:right w:val="none" w:sz="0" w:space="0" w:color="auto"/>
      </w:divBdr>
      <w:divsChild>
        <w:div w:id="733696930">
          <w:marLeft w:val="0"/>
          <w:marRight w:val="0"/>
          <w:marTop w:val="0"/>
          <w:marBottom w:val="0"/>
          <w:divBdr>
            <w:top w:val="none" w:sz="0" w:space="0" w:color="auto"/>
            <w:left w:val="none" w:sz="0" w:space="0" w:color="auto"/>
            <w:bottom w:val="none" w:sz="0" w:space="0" w:color="auto"/>
            <w:right w:val="none" w:sz="0" w:space="0" w:color="auto"/>
          </w:divBdr>
          <w:divsChild>
            <w:div w:id="1364406136">
              <w:marLeft w:val="0"/>
              <w:marRight w:val="0"/>
              <w:marTop w:val="0"/>
              <w:marBottom w:val="0"/>
              <w:divBdr>
                <w:top w:val="none" w:sz="0" w:space="0" w:color="auto"/>
                <w:left w:val="none" w:sz="0" w:space="0" w:color="auto"/>
                <w:bottom w:val="none" w:sz="0" w:space="0" w:color="auto"/>
                <w:right w:val="none" w:sz="0" w:space="0" w:color="auto"/>
              </w:divBdr>
              <w:divsChild>
                <w:div w:id="1393894755">
                  <w:marLeft w:val="0"/>
                  <w:marRight w:val="0"/>
                  <w:marTop w:val="0"/>
                  <w:marBottom w:val="0"/>
                  <w:divBdr>
                    <w:top w:val="none" w:sz="0" w:space="0" w:color="auto"/>
                    <w:left w:val="none" w:sz="0" w:space="0" w:color="auto"/>
                    <w:bottom w:val="none" w:sz="0" w:space="0" w:color="auto"/>
                    <w:right w:val="none" w:sz="0" w:space="0" w:color="auto"/>
                  </w:divBdr>
                  <w:divsChild>
                    <w:div w:id="303700672">
                      <w:marLeft w:val="0"/>
                      <w:marRight w:val="0"/>
                      <w:marTop w:val="0"/>
                      <w:marBottom w:val="0"/>
                      <w:divBdr>
                        <w:top w:val="none" w:sz="0" w:space="0" w:color="auto"/>
                        <w:left w:val="none" w:sz="0" w:space="0" w:color="auto"/>
                        <w:bottom w:val="none" w:sz="0" w:space="0" w:color="auto"/>
                        <w:right w:val="none" w:sz="0" w:space="0" w:color="auto"/>
                      </w:divBdr>
                      <w:divsChild>
                        <w:div w:id="1348289541">
                          <w:marLeft w:val="0"/>
                          <w:marRight w:val="0"/>
                          <w:marTop w:val="0"/>
                          <w:marBottom w:val="0"/>
                          <w:divBdr>
                            <w:top w:val="none" w:sz="0" w:space="0" w:color="auto"/>
                            <w:left w:val="none" w:sz="0" w:space="0" w:color="auto"/>
                            <w:bottom w:val="none" w:sz="0" w:space="0" w:color="auto"/>
                            <w:right w:val="none" w:sz="0" w:space="0" w:color="auto"/>
                          </w:divBdr>
                          <w:divsChild>
                            <w:div w:id="37241536">
                              <w:marLeft w:val="0"/>
                              <w:marRight w:val="0"/>
                              <w:marTop w:val="0"/>
                              <w:marBottom w:val="0"/>
                              <w:divBdr>
                                <w:top w:val="none" w:sz="0" w:space="0" w:color="auto"/>
                                <w:left w:val="none" w:sz="0" w:space="0" w:color="auto"/>
                                <w:bottom w:val="none" w:sz="0" w:space="0" w:color="auto"/>
                                <w:right w:val="none" w:sz="0" w:space="0" w:color="auto"/>
                              </w:divBdr>
                              <w:divsChild>
                                <w:div w:id="3365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240511">
      <w:bodyDiv w:val="1"/>
      <w:marLeft w:val="0"/>
      <w:marRight w:val="0"/>
      <w:marTop w:val="0"/>
      <w:marBottom w:val="0"/>
      <w:divBdr>
        <w:top w:val="none" w:sz="0" w:space="0" w:color="auto"/>
        <w:left w:val="none" w:sz="0" w:space="0" w:color="auto"/>
        <w:bottom w:val="none" w:sz="0" w:space="0" w:color="auto"/>
        <w:right w:val="none" w:sz="0" w:space="0" w:color="auto"/>
      </w:divBdr>
      <w:divsChild>
        <w:div w:id="1836065021">
          <w:marLeft w:val="0"/>
          <w:marRight w:val="0"/>
          <w:marTop w:val="0"/>
          <w:marBottom w:val="0"/>
          <w:divBdr>
            <w:top w:val="none" w:sz="0" w:space="0" w:color="auto"/>
            <w:left w:val="none" w:sz="0" w:space="0" w:color="auto"/>
            <w:bottom w:val="none" w:sz="0" w:space="0" w:color="auto"/>
            <w:right w:val="none" w:sz="0" w:space="0" w:color="auto"/>
          </w:divBdr>
          <w:divsChild>
            <w:div w:id="893464862">
              <w:marLeft w:val="0"/>
              <w:marRight w:val="0"/>
              <w:marTop w:val="0"/>
              <w:marBottom w:val="0"/>
              <w:divBdr>
                <w:top w:val="none" w:sz="0" w:space="0" w:color="auto"/>
                <w:left w:val="none" w:sz="0" w:space="0" w:color="auto"/>
                <w:bottom w:val="none" w:sz="0" w:space="0" w:color="auto"/>
                <w:right w:val="none" w:sz="0" w:space="0" w:color="auto"/>
              </w:divBdr>
              <w:divsChild>
                <w:div w:id="278951919">
                  <w:marLeft w:val="0"/>
                  <w:marRight w:val="0"/>
                  <w:marTop w:val="0"/>
                  <w:marBottom w:val="0"/>
                  <w:divBdr>
                    <w:top w:val="none" w:sz="0" w:space="0" w:color="auto"/>
                    <w:left w:val="none" w:sz="0" w:space="0" w:color="auto"/>
                    <w:bottom w:val="none" w:sz="0" w:space="0" w:color="auto"/>
                    <w:right w:val="none" w:sz="0" w:space="0" w:color="auto"/>
                  </w:divBdr>
                  <w:divsChild>
                    <w:div w:id="1458644478">
                      <w:marLeft w:val="0"/>
                      <w:marRight w:val="0"/>
                      <w:marTop w:val="0"/>
                      <w:marBottom w:val="0"/>
                      <w:divBdr>
                        <w:top w:val="none" w:sz="0" w:space="0" w:color="auto"/>
                        <w:left w:val="none" w:sz="0" w:space="0" w:color="auto"/>
                        <w:bottom w:val="none" w:sz="0" w:space="0" w:color="auto"/>
                        <w:right w:val="none" w:sz="0" w:space="0" w:color="auto"/>
                      </w:divBdr>
                      <w:divsChild>
                        <w:div w:id="781535076">
                          <w:marLeft w:val="0"/>
                          <w:marRight w:val="0"/>
                          <w:marTop w:val="0"/>
                          <w:marBottom w:val="0"/>
                          <w:divBdr>
                            <w:top w:val="none" w:sz="0" w:space="0" w:color="auto"/>
                            <w:left w:val="none" w:sz="0" w:space="0" w:color="auto"/>
                            <w:bottom w:val="none" w:sz="0" w:space="0" w:color="auto"/>
                            <w:right w:val="none" w:sz="0" w:space="0" w:color="auto"/>
                          </w:divBdr>
                          <w:divsChild>
                            <w:div w:id="2006008554">
                              <w:marLeft w:val="0"/>
                              <w:marRight w:val="0"/>
                              <w:marTop w:val="0"/>
                              <w:marBottom w:val="0"/>
                              <w:divBdr>
                                <w:top w:val="none" w:sz="0" w:space="0" w:color="auto"/>
                                <w:left w:val="none" w:sz="0" w:space="0" w:color="auto"/>
                                <w:bottom w:val="none" w:sz="0" w:space="0" w:color="auto"/>
                                <w:right w:val="none" w:sz="0" w:space="0" w:color="auto"/>
                              </w:divBdr>
                              <w:divsChild>
                                <w:div w:id="1281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2.health.vic.gov.au/about/key-staff/chief-psychiatrist/chief-psychiatrist-guidelines/criteria-or-searches-maintain-safety-in-inpatient-unit-for-patients-visitors-staff" TargetMode="External"/><Relationship Id="rId3" Type="http://schemas.openxmlformats.org/officeDocument/2006/relationships/styles" Target="styles.xml"/><Relationship Id="rId21" Type="http://schemas.openxmlformats.org/officeDocument/2006/relationships/hyperlink" Target="http://www.legislation.vic.gov.a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2.health.vic.gov.au/about/publications/policiesandguidelines/occupational-violence-aggression-healthcare-framework-20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health.vic.gov.au/about/key-staff/chief-psychiatrist/chief-psychiatrist-guidelines/criteria-or-searches-maintain-safety-in-inpatient-unit-for-patients-visitors-staff" TargetMode="External"/><Relationship Id="rId20" Type="http://schemas.openxmlformats.org/officeDocument/2006/relationships/hyperlink" Target="https://www.worksafe.vic.gov.au/resources/prevention-and-management-violence-and-aggression-health-services"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2.health.vic.gov.au/health-workforce/worker-health-wellbeing/occupational-violence-aggression" TargetMode="External"/><Relationship Id="rId23" Type="http://schemas.openxmlformats.org/officeDocument/2006/relationships/hyperlink" Target="https://www2.health.vic.gov.au/health-workforce/worker-health-wellbeing/occupational-violence-aggression" TargetMode="External"/><Relationship Id="rId10" Type="http://schemas.openxmlformats.org/officeDocument/2006/relationships/footer" Target="footer1.xml"/><Relationship Id="rId19" Type="http://schemas.openxmlformats.org/officeDocument/2006/relationships/hyperlink" Target="https://www2.health.vic.gov.au/health-workforce/worker-health-wellbeing/occupational-violence-aggression"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whwb@dhhs.vic.gov.au" TargetMode="Externa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6BEFA-B1D1-445E-B14C-0AE340E4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04 Green 7726.dot</Template>
  <TotalTime>24</TotalTime>
  <Pages>10</Pages>
  <Words>3917</Words>
  <Characters>23078</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Weapons management in Victorian health services: principles and guidelines</vt:lpstr>
    </vt:vector>
  </TitlesOfParts>
  <Company>Department of Health and Human Services</Company>
  <LinksUpToDate>false</LinksUpToDate>
  <CharactersWithSpaces>26942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management in Victorian health services: principles and guidelines</dc:title>
  <dc:subject>Weapons management in Victorian health services</dc:subject>
  <dc:creator>Policy and Planning Branch</dc:creator>
  <dc:description>Weapons, searches, occupational violence, guidelines</dc:description>
  <cp:lastModifiedBy>Leonie M Tonkin (DHHS)</cp:lastModifiedBy>
  <cp:revision>11</cp:revision>
  <cp:lastPrinted>2018-10-22T00:18:00Z</cp:lastPrinted>
  <dcterms:created xsi:type="dcterms:W3CDTF">2018-10-22T00:19:00Z</dcterms:created>
  <dcterms:modified xsi:type="dcterms:W3CDTF">2018-10-22T00:43:00Z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