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6C828D" w14:textId="04668537" w:rsidR="00002990" w:rsidRPr="003072C6" w:rsidRDefault="00492BF4" w:rsidP="00A55989">
      <w:pPr>
        <w:pStyle w:val="DHHSbodynospace"/>
      </w:pPr>
      <w:r w:rsidRPr="002051B8">
        <w:rPr>
          <w:noProof/>
        </w:rPr>
        <w:drawing>
          <wp:anchor distT="0" distB="0" distL="114300" distR="114300" simplePos="0" relativeHeight="251659264" behindDoc="1" locked="1" layoutInCell="0" allowOverlap="1" wp14:anchorId="6C113AD0" wp14:editId="6075FB47">
            <wp:simplePos x="0" y="0"/>
            <wp:positionH relativeFrom="page">
              <wp:posOffset>0</wp:posOffset>
            </wp:positionH>
            <wp:positionV relativeFrom="page">
              <wp:posOffset>0</wp:posOffset>
            </wp:positionV>
            <wp:extent cx="7563600" cy="10412640"/>
            <wp:effectExtent l="0" t="0" r="0" b="8255"/>
            <wp:wrapNone/>
            <wp:docPr id="9" name="Picture 9"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 State Government Department of Health and Human Servic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63600" cy="1041264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8109" w:type="dxa"/>
        <w:tblInd w:w="113" w:type="dxa"/>
        <w:tblCellMar>
          <w:left w:w="0" w:type="dxa"/>
          <w:right w:w="0" w:type="dxa"/>
        </w:tblCellMar>
        <w:tblLook w:val="0600" w:firstRow="0" w:lastRow="0" w:firstColumn="0" w:lastColumn="0" w:noHBand="1" w:noVBand="1"/>
      </w:tblPr>
      <w:tblGrid>
        <w:gridCol w:w="8109"/>
      </w:tblGrid>
      <w:tr w:rsidR="001817CD" w:rsidRPr="003072C6" w14:paraId="69B8B9C6" w14:textId="77777777" w:rsidTr="003C2091">
        <w:trPr>
          <w:trHeight w:val="3988"/>
        </w:trPr>
        <w:tc>
          <w:tcPr>
            <w:tcW w:w="8109" w:type="dxa"/>
            <w:shd w:val="clear" w:color="auto" w:fill="auto"/>
          </w:tcPr>
          <w:p w14:paraId="2AD93450" w14:textId="390BE4A5" w:rsidR="0027078E" w:rsidRPr="003E3D70" w:rsidRDefault="00F84C75" w:rsidP="00F84C75">
            <w:pPr>
              <w:pStyle w:val="DHHSreportsubtitlewhite"/>
              <w:rPr>
                <w:sz w:val="50"/>
                <w:szCs w:val="50"/>
              </w:rPr>
            </w:pPr>
            <w:r w:rsidRPr="00F84C75">
              <w:rPr>
                <w:sz w:val="50"/>
                <w:szCs w:val="50"/>
              </w:rPr>
              <w:t>Victoria</w:t>
            </w:r>
            <w:bookmarkStart w:id="0" w:name="_GoBack"/>
            <w:bookmarkEnd w:id="0"/>
            <w:r w:rsidRPr="00F84C75">
              <w:rPr>
                <w:sz w:val="50"/>
                <w:szCs w:val="50"/>
              </w:rPr>
              <w:t xml:space="preserve">n </w:t>
            </w:r>
            <w:r w:rsidR="003342E1">
              <w:rPr>
                <w:sz w:val="50"/>
                <w:szCs w:val="50"/>
              </w:rPr>
              <w:t>h</w:t>
            </w:r>
            <w:r w:rsidRPr="00F84C75">
              <w:rPr>
                <w:sz w:val="50"/>
                <w:szCs w:val="50"/>
              </w:rPr>
              <w:t xml:space="preserve">ealth </w:t>
            </w:r>
            <w:r w:rsidR="003342E1">
              <w:rPr>
                <w:sz w:val="50"/>
                <w:szCs w:val="50"/>
              </w:rPr>
              <w:t>s</w:t>
            </w:r>
            <w:r w:rsidRPr="00F84C75">
              <w:rPr>
                <w:sz w:val="50"/>
                <w:szCs w:val="50"/>
              </w:rPr>
              <w:t xml:space="preserve">ervices </w:t>
            </w:r>
            <w:r w:rsidR="00A32519">
              <w:rPr>
                <w:sz w:val="50"/>
                <w:szCs w:val="50"/>
              </w:rPr>
              <w:t>P</w:t>
            </w:r>
            <w:r w:rsidRPr="00F84C75">
              <w:rPr>
                <w:sz w:val="50"/>
                <w:szCs w:val="50"/>
              </w:rPr>
              <w:t xml:space="preserve">erformance </w:t>
            </w:r>
            <w:r w:rsidR="00A32519">
              <w:rPr>
                <w:sz w:val="50"/>
                <w:szCs w:val="50"/>
              </w:rPr>
              <w:t>M</w:t>
            </w:r>
            <w:r w:rsidR="006F1656" w:rsidRPr="00F84C75">
              <w:rPr>
                <w:sz w:val="50"/>
                <w:szCs w:val="50"/>
              </w:rPr>
              <w:t xml:space="preserve">onitoring </w:t>
            </w:r>
            <w:r w:rsidR="00A32519">
              <w:rPr>
                <w:sz w:val="50"/>
                <w:szCs w:val="50"/>
              </w:rPr>
              <w:t>F</w:t>
            </w:r>
            <w:r w:rsidR="006F1656">
              <w:rPr>
                <w:sz w:val="50"/>
                <w:szCs w:val="50"/>
              </w:rPr>
              <w:t>ramew</w:t>
            </w:r>
            <w:r w:rsidR="007450D2">
              <w:rPr>
                <w:sz w:val="50"/>
                <w:szCs w:val="50"/>
              </w:rPr>
              <w:t>ork</w:t>
            </w:r>
            <w:r w:rsidRPr="00F84C75">
              <w:rPr>
                <w:sz w:val="50"/>
                <w:szCs w:val="50"/>
              </w:rPr>
              <w:t xml:space="preserve"> </w:t>
            </w:r>
            <w:r w:rsidR="00B511DF">
              <w:rPr>
                <w:sz w:val="50"/>
                <w:szCs w:val="50"/>
              </w:rPr>
              <w:t>201</w:t>
            </w:r>
            <w:r w:rsidR="00002AF4">
              <w:rPr>
                <w:sz w:val="50"/>
                <w:szCs w:val="50"/>
              </w:rPr>
              <w:t>9</w:t>
            </w:r>
            <w:r w:rsidR="00B511DF">
              <w:rPr>
                <w:sz w:val="50"/>
                <w:szCs w:val="50"/>
              </w:rPr>
              <w:t>–</w:t>
            </w:r>
            <w:r w:rsidR="00002AF4">
              <w:rPr>
                <w:sz w:val="50"/>
                <w:szCs w:val="50"/>
              </w:rPr>
              <w:t>20</w:t>
            </w:r>
          </w:p>
        </w:tc>
      </w:tr>
    </w:tbl>
    <w:p w14:paraId="67B9A738" w14:textId="77777777" w:rsidR="0069374A" w:rsidRPr="003072C6" w:rsidRDefault="0069374A" w:rsidP="00C2657D">
      <w:pPr>
        <w:pStyle w:val="DHHSbodynospace"/>
        <w:ind w:left="-454"/>
      </w:pPr>
    </w:p>
    <w:p w14:paraId="5850F77E" w14:textId="77777777" w:rsidR="00C51B1C" w:rsidRDefault="00C51B1C" w:rsidP="00CA6D4E">
      <w:pPr>
        <w:pStyle w:val="DHHSbodynospace"/>
        <w:sectPr w:rsidR="00C51B1C" w:rsidSect="00DC6463">
          <w:type w:val="oddPage"/>
          <w:pgSz w:w="11906" w:h="16838"/>
          <w:pgMar w:top="3969" w:right="1304" w:bottom="1134" w:left="1304" w:header="454" w:footer="567" w:gutter="0"/>
          <w:pgNumType w:start="1"/>
          <w:cols w:space="720"/>
          <w:docGrid w:linePitch="360"/>
        </w:sectPr>
      </w:pPr>
    </w:p>
    <w:p w14:paraId="4CE5FC5A" w14:textId="58B448CB" w:rsidR="00CC42F1" w:rsidRDefault="00CC42F1"/>
    <w:tbl>
      <w:tblPr>
        <w:tblW w:w="0" w:type="auto"/>
        <w:tblCellMar>
          <w:top w:w="113" w:type="dxa"/>
          <w:left w:w="0" w:type="dxa"/>
          <w:bottom w:w="57" w:type="dxa"/>
          <w:right w:w="0" w:type="dxa"/>
        </w:tblCellMar>
        <w:tblLook w:val="0600" w:firstRow="0" w:lastRow="0" w:firstColumn="0" w:lastColumn="0" w:noHBand="1" w:noVBand="1"/>
      </w:tblPr>
      <w:tblGrid>
        <w:gridCol w:w="9288"/>
      </w:tblGrid>
      <w:tr w:rsidR="00175B0F" w:rsidRPr="003072C6" w14:paraId="5013F0F9" w14:textId="77777777" w:rsidTr="00175B0F">
        <w:trPr>
          <w:trHeight w:val="6270"/>
        </w:trPr>
        <w:tc>
          <w:tcPr>
            <w:tcW w:w="9288" w:type="dxa"/>
            <w:tcMar>
              <w:top w:w="0" w:type="dxa"/>
            </w:tcMar>
          </w:tcPr>
          <w:p w14:paraId="630614CC" w14:textId="77777777" w:rsidR="00175B0F" w:rsidRDefault="00175B0F" w:rsidP="00175B0F">
            <w:pPr>
              <w:pStyle w:val="DHHSbody"/>
            </w:pPr>
            <w:r>
              <w:t xml:space="preserve">The </w:t>
            </w:r>
            <w:r w:rsidRPr="002955A9">
              <w:rPr>
                <w:i/>
              </w:rPr>
              <w:t xml:space="preserve">Victorian health services </w:t>
            </w:r>
            <w:r>
              <w:rPr>
                <w:i/>
              </w:rPr>
              <w:t>P</w:t>
            </w:r>
            <w:r w:rsidRPr="002955A9">
              <w:rPr>
                <w:i/>
              </w:rPr>
              <w:t xml:space="preserve">erformance </w:t>
            </w:r>
            <w:r>
              <w:rPr>
                <w:i/>
              </w:rPr>
              <w:t>M</w:t>
            </w:r>
            <w:r w:rsidRPr="002955A9">
              <w:rPr>
                <w:i/>
              </w:rPr>
              <w:t xml:space="preserve">onitoring </w:t>
            </w:r>
            <w:r>
              <w:rPr>
                <w:i/>
              </w:rPr>
              <w:t>F</w:t>
            </w:r>
            <w:r w:rsidRPr="002955A9">
              <w:rPr>
                <w:i/>
              </w:rPr>
              <w:t>ramework</w:t>
            </w:r>
            <w:r>
              <w:t xml:space="preserve"> (the Framework) details the approach, rationale and operationalisation of the performance monitoring and support of our Victorian health services (published annually). </w:t>
            </w:r>
          </w:p>
          <w:p w14:paraId="7B58B2DE" w14:textId="77777777" w:rsidR="00175B0F" w:rsidRDefault="00175B0F" w:rsidP="00175B0F">
            <w:pPr>
              <w:pStyle w:val="DHHSbody"/>
            </w:pPr>
            <w:r>
              <w:t xml:space="preserve">The Framework is supported by the </w:t>
            </w:r>
            <w:r w:rsidRPr="00EE2506">
              <w:rPr>
                <w:i/>
              </w:rPr>
              <w:t xml:space="preserve">Key </w:t>
            </w:r>
            <w:r>
              <w:rPr>
                <w:i/>
              </w:rPr>
              <w:t>P</w:t>
            </w:r>
            <w:r w:rsidRPr="00EE2506">
              <w:rPr>
                <w:i/>
              </w:rPr>
              <w:t xml:space="preserve">erformance </w:t>
            </w:r>
            <w:r>
              <w:rPr>
                <w:i/>
              </w:rPr>
              <w:t>M</w:t>
            </w:r>
            <w:r w:rsidRPr="00EE2506">
              <w:rPr>
                <w:i/>
              </w:rPr>
              <w:t xml:space="preserve">easures and </w:t>
            </w:r>
            <w:r>
              <w:rPr>
                <w:i/>
              </w:rPr>
              <w:t>U</w:t>
            </w:r>
            <w:r w:rsidRPr="00EE2506">
              <w:rPr>
                <w:i/>
              </w:rPr>
              <w:t xml:space="preserve">nderlying </w:t>
            </w:r>
            <w:r>
              <w:rPr>
                <w:i/>
              </w:rPr>
              <w:t>R</w:t>
            </w:r>
            <w:r w:rsidRPr="00EE2506">
              <w:rPr>
                <w:i/>
              </w:rPr>
              <w:t xml:space="preserve">isk </w:t>
            </w:r>
            <w:r>
              <w:rPr>
                <w:i/>
              </w:rPr>
              <w:t>F</w:t>
            </w:r>
            <w:r w:rsidRPr="00EE2506">
              <w:rPr>
                <w:i/>
              </w:rPr>
              <w:t>actors</w:t>
            </w:r>
            <w:r>
              <w:t xml:space="preserve"> (the Business Rules), which is updated throughout the year. The Business Rules summarise the list of Key Performance Measures and Underlying Risk Factors, with their corresponding temporal elements and technical specifications, that support </w:t>
            </w:r>
            <w:r w:rsidRPr="009018C1">
              <w:t xml:space="preserve">the </w:t>
            </w:r>
            <w:r>
              <w:t xml:space="preserve">Framework. </w:t>
            </w:r>
          </w:p>
          <w:p w14:paraId="14D2E9E9" w14:textId="77777777" w:rsidR="00175B0F" w:rsidRDefault="00175B0F" w:rsidP="00175B0F">
            <w:pPr>
              <w:pStyle w:val="DHHSbody"/>
            </w:pPr>
            <w:r>
              <w:t>The most recent version of the Business Rules is available from the:</w:t>
            </w:r>
          </w:p>
          <w:p w14:paraId="7A643B79" w14:textId="5450B6C4" w:rsidR="00175B0F" w:rsidRDefault="002007DE" w:rsidP="00175B0F">
            <w:pPr>
              <w:pStyle w:val="DHHSbody"/>
              <w:ind w:left="720"/>
              <w:rPr>
                <w:szCs w:val="19"/>
              </w:rPr>
            </w:pPr>
            <w:hyperlink r:id="rId12" w:history="1">
              <w:r w:rsidR="00175B0F">
                <w:rPr>
                  <w:rStyle w:val="Hyperlink"/>
                  <w:szCs w:val="19"/>
                </w:rPr>
                <w:t>Funding, performance and accountability webpage</w:t>
              </w:r>
            </w:hyperlink>
            <w:r w:rsidR="00175B0F" w:rsidRPr="00E41295">
              <w:rPr>
                <w:szCs w:val="19"/>
              </w:rPr>
              <w:t xml:space="preserve"> </w:t>
            </w:r>
            <w:r w:rsidR="00175B0F">
              <w:rPr>
                <w:szCs w:val="19"/>
              </w:rPr>
              <w:t>&lt;</w:t>
            </w:r>
            <w:r w:rsidR="00175B0F" w:rsidRPr="00463817">
              <w:rPr>
                <w:szCs w:val="19"/>
              </w:rPr>
              <w:t>https://www2.health.vic.gov.au/hospitals-and-health-services/funding-performance-accountability/performance-monitoring</w:t>
            </w:r>
            <w:r w:rsidR="00175B0F">
              <w:rPr>
                <w:szCs w:val="19"/>
              </w:rPr>
              <w:t>&gt;.</w:t>
            </w:r>
            <w:bookmarkStart w:id="1" w:name="_Hlk9356605"/>
          </w:p>
          <w:p w14:paraId="5847A864" w14:textId="332DF25E" w:rsidR="00175B0F" w:rsidRDefault="00175B0F">
            <w:pPr>
              <w:pStyle w:val="DHHSbody"/>
            </w:pPr>
            <w:r>
              <w:t xml:space="preserve">Throughout the Framework, </w:t>
            </w:r>
            <w:r w:rsidRPr="00D34AA9">
              <w:t>t</w:t>
            </w:r>
            <w:r w:rsidRPr="00900BF4">
              <w:t>he t</w:t>
            </w:r>
            <w:r w:rsidRPr="00D34AA9">
              <w:t>erm ‘health services’</w:t>
            </w:r>
            <w:r w:rsidRPr="00900BF4">
              <w:t xml:space="preserve"> refer</w:t>
            </w:r>
            <w:r>
              <w:t>s</w:t>
            </w:r>
            <w:r w:rsidRPr="00900BF4">
              <w:t xml:space="preserve"> to </w:t>
            </w:r>
            <w:r w:rsidRPr="00D34AA9">
              <w:t xml:space="preserve">the </w:t>
            </w:r>
            <w:r>
              <w:t>‘</w:t>
            </w:r>
            <w:r w:rsidRPr="00900BF4">
              <w:t xml:space="preserve">public hospitals’, ‘public health services’ and </w:t>
            </w:r>
            <w:r>
              <w:t>‘</w:t>
            </w:r>
            <w:r w:rsidRPr="00900BF4">
              <w:t>multi-purpose services</w:t>
            </w:r>
            <w:r>
              <w:t>’</w:t>
            </w:r>
            <w:r w:rsidRPr="00900BF4">
              <w:t xml:space="preserve"> listed in the </w:t>
            </w:r>
            <w:r>
              <w:rPr>
                <w:i/>
              </w:rPr>
              <w:t xml:space="preserve">Health Services Act 1988 </w:t>
            </w:r>
            <w:r w:rsidRPr="00A168D5">
              <w:t>(Vic)</w:t>
            </w:r>
            <w:r w:rsidRPr="00D34AA9">
              <w:t>,</w:t>
            </w:r>
            <w:r>
              <w:t xml:space="preserve"> unless otherwise specified.</w:t>
            </w:r>
            <w:bookmarkEnd w:id="1"/>
          </w:p>
        </w:tc>
      </w:tr>
      <w:tr w:rsidR="00564E8F" w:rsidRPr="003072C6" w14:paraId="08BCCB44" w14:textId="77777777" w:rsidTr="00175B0F">
        <w:trPr>
          <w:trHeight w:val="6631"/>
        </w:trPr>
        <w:tc>
          <w:tcPr>
            <w:tcW w:w="9288" w:type="dxa"/>
            <w:vAlign w:val="bottom"/>
          </w:tcPr>
          <w:p w14:paraId="15062A55" w14:textId="378070AB" w:rsidR="00F84C75" w:rsidRPr="006175D2" w:rsidRDefault="00F84C75" w:rsidP="00F84C75">
            <w:pPr>
              <w:pStyle w:val="DHHSaccessibilitypara"/>
            </w:pPr>
            <w:r w:rsidRPr="00605B5B">
              <w:t xml:space="preserve">To receive this publication in an accessible </w:t>
            </w:r>
            <w:r w:rsidRPr="006175D2">
              <w:t>format phone 9096 7120 using the National Relay Service 13 36 77 if required, or email</w:t>
            </w:r>
            <w:r>
              <w:t xml:space="preserve"> </w:t>
            </w:r>
            <w:hyperlink r:id="rId13" w:history="1">
              <w:r w:rsidRPr="00E41295">
                <w:rPr>
                  <w:rStyle w:val="Hyperlink"/>
                </w:rPr>
                <w:t>Commissioning, Performance and Regulation</w:t>
              </w:r>
            </w:hyperlink>
            <w:r>
              <w:t xml:space="preserve"> &lt;</w:t>
            </w:r>
            <w:r w:rsidRPr="00E41295">
              <w:t>performance@dhhs.vic.gov.au</w:t>
            </w:r>
            <w:r>
              <w:t>&gt;</w:t>
            </w:r>
          </w:p>
          <w:p w14:paraId="2892C28A" w14:textId="77777777" w:rsidR="00F84C75" w:rsidRPr="00605B5B" w:rsidRDefault="00F84C75" w:rsidP="00F84C75">
            <w:pPr>
              <w:pStyle w:val="DHHSbody"/>
            </w:pPr>
            <w:r w:rsidRPr="00605B5B">
              <w:t>Authorised and published by the Victorian Governmen</w:t>
            </w:r>
            <w:r>
              <w:t>t, 1 Treasury Place, Melbourne.</w:t>
            </w:r>
          </w:p>
          <w:p w14:paraId="213E02CC" w14:textId="46ED5820" w:rsidR="00F84C75" w:rsidRDefault="00F84C75" w:rsidP="00F84C75">
            <w:pPr>
              <w:pStyle w:val="DHHSbody"/>
            </w:pPr>
            <w:r w:rsidRPr="00605B5B">
              <w:t xml:space="preserve">© State of Victoria, Department of Health </w:t>
            </w:r>
            <w:r>
              <w:t>and</w:t>
            </w:r>
            <w:r w:rsidRPr="00605B5B">
              <w:t xml:space="preserve"> Human </w:t>
            </w:r>
            <w:r w:rsidRPr="006175D2">
              <w:t xml:space="preserve">Services </w:t>
            </w:r>
            <w:r w:rsidR="00531564">
              <w:t xml:space="preserve">August </w:t>
            </w:r>
            <w:r w:rsidR="00CF2F7D">
              <w:t>201</w:t>
            </w:r>
            <w:r w:rsidR="0066666A">
              <w:t>9</w:t>
            </w:r>
            <w:r w:rsidRPr="006175D2">
              <w:t>.</w:t>
            </w:r>
          </w:p>
          <w:p w14:paraId="29E2CCD2" w14:textId="4670CC6E" w:rsidR="00CC42F1" w:rsidRPr="006175D2" w:rsidRDefault="00CC42F1" w:rsidP="00F84C75">
            <w:pPr>
              <w:pStyle w:val="DHHSbody"/>
            </w:pPr>
            <w:bookmarkStart w:id="2" w:name="_Hlk9356611"/>
            <w:r w:rsidRPr="0034212B">
              <w:t xml:space="preserve">This publication is copyright. Apart from any use permitted under the </w:t>
            </w:r>
            <w:r w:rsidRPr="0034212B">
              <w:rPr>
                <w:i/>
              </w:rPr>
              <w:t>Copyright Act 1968</w:t>
            </w:r>
            <w:r w:rsidR="00FC218D" w:rsidRPr="0034212B">
              <w:t xml:space="preserve"> (Cth)</w:t>
            </w:r>
            <w:r w:rsidRPr="0034212B">
              <w:t>, no part may be reproduced by any process, nor may any other exclusive right be exercised, without the permission of the Department of Health and Human Services, 2019.</w:t>
            </w:r>
          </w:p>
          <w:bookmarkEnd w:id="2"/>
          <w:p w14:paraId="7E90F9E6" w14:textId="71DCA36B" w:rsidR="00BF4A9C" w:rsidRPr="00BF4A9C" w:rsidRDefault="00BF4A9C" w:rsidP="00BF4A9C">
            <w:pPr>
              <w:pStyle w:val="DHHSbody"/>
            </w:pPr>
            <w:r w:rsidRPr="006370F0">
              <w:rPr>
                <w:bCs/>
              </w:rPr>
              <w:t>ISSN 2209-4172 – Online (pdf / word)</w:t>
            </w:r>
          </w:p>
          <w:p w14:paraId="36D12AF6" w14:textId="556F2670" w:rsidR="00492BF4" w:rsidRDefault="00492BF4" w:rsidP="00492BF4">
            <w:pPr>
              <w:pStyle w:val="DHHSbody"/>
            </w:pPr>
            <w:r w:rsidRPr="00605B5B">
              <w:rPr>
                <w:szCs w:val="19"/>
              </w:rPr>
              <w:t xml:space="preserve">Available at </w:t>
            </w:r>
            <w:hyperlink r:id="rId14" w:history="1">
              <w:r>
                <w:rPr>
                  <w:rStyle w:val="Hyperlink"/>
                  <w:szCs w:val="19"/>
                </w:rPr>
                <w:t>Funding, performance and accountability webpage</w:t>
              </w:r>
            </w:hyperlink>
            <w:r w:rsidRPr="00E41295">
              <w:rPr>
                <w:szCs w:val="19"/>
              </w:rPr>
              <w:t xml:space="preserve"> </w:t>
            </w:r>
            <w:r>
              <w:rPr>
                <w:szCs w:val="19"/>
              </w:rPr>
              <w:t>&lt;</w:t>
            </w:r>
            <w:r w:rsidRPr="009E5945">
              <w:t>https://www2.health.vic.gov.au/hospitals-and-health-services/funding-performance-accountability</w:t>
            </w:r>
            <w:r>
              <w:t>&gt;.</w:t>
            </w:r>
          </w:p>
          <w:p w14:paraId="59D9847E" w14:textId="3DE7590C" w:rsidR="00FE4636" w:rsidRPr="00DC6463" w:rsidRDefault="00FE4636" w:rsidP="00492BF4">
            <w:pPr>
              <w:pStyle w:val="DHHSbody"/>
              <w:rPr>
                <w:szCs w:val="19"/>
              </w:rPr>
            </w:pPr>
            <w:r>
              <w:rPr>
                <w:szCs w:val="19"/>
              </w:rPr>
              <w:t>(1902131)</w:t>
            </w:r>
          </w:p>
        </w:tc>
      </w:tr>
      <w:tr w:rsidR="009906C7" w:rsidRPr="003072C6" w14:paraId="0A42F9CD" w14:textId="77777777" w:rsidTr="00175B0F">
        <w:trPr>
          <w:trHeight w:val="246"/>
        </w:trPr>
        <w:tc>
          <w:tcPr>
            <w:tcW w:w="9288" w:type="dxa"/>
            <w:vAlign w:val="bottom"/>
          </w:tcPr>
          <w:p w14:paraId="4DCE9BFC" w14:textId="77777777" w:rsidR="009906C7" w:rsidRPr="003072C6" w:rsidRDefault="009906C7" w:rsidP="008639AC">
            <w:pPr>
              <w:pStyle w:val="DHHSbodynospace"/>
            </w:pPr>
          </w:p>
        </w:tc>
      </w:tr>
    </w:tbl>
    <w:p w14:paraId="64E181E4" w14:textId="2B4CA538" w:rsidR="00AC0C3B" w:rsidRPr="00711B0C" w:rsidRDefault="00AC0C3B" w:rsidP="00FE4636">
      <w:pPr>
        <w:pStyle w:val="DHHSTOCheadingreport"/>
        <w:pageBreakBefore/>
      </w:pPr>
      <w:r w:rsidRPr="00711B0C">
        <w:lastRenderedPageBreak/>
        <w:t>Contents</w:t>
      </w:r>
    </w:p>
    <w:p w14:paraId="244150D9" w14:textId="3CE2AE43" w:rsidR="002007DE" w:rsidRDefault="00E15DA9">
      <w:pPr>
        <w:pStyle w:val="TOC2"/>
        <w:rPr>
          <w:rFonts w:asciiTheme="minorHAnsi" w:eastAsiaTheme="minorEastAsia" w:hAnsiTheme="minorHAnsi" w:cstheme="minorBidi"/>
          <w:b w:val="0"/>
          <w:sz w:val="22"/>
          <w:szCs w:val="22"/>
          <w:lang w:eastAsia="en-AU"/>
        </w:rPr>
      </w:pPr>
      <w:r w:rsidRPr="003072C6">
        <w:rPr>
          <w:caps/>
          <w:noProof w:val="0"/>
        </w:rPr>
        <w:fldChar w:fldCharType="begin"/>
      </w:r>
      <w:r w:rsidRPr="003072C6">
        <w:rPr>
          <w:noProof w:val="0"/>
        </w:rPr>
        <w:instrText xml:space="preserve"> TOC \h \z \t "Heading 1,1,Heading 2,2</w:instrText>
      </w:r>
      <w:r w:rsidR="00F02751">
        <w:rPr>
          <w:noProof w:val="0"/>
        </w:rPr>
        <w:instrText>,Heading 3,3</w:instrText>
      </w:r>
      <w:r w:rsidRPr="003072C6">
        <w:rPr>
          <w:noProof w:val="0"/>
        </w:rPr>
        <w:instrText xml:space="preserve">" </w:instrText>
      </w:r>
      <w:r w:rsidRPr="003072C6">
        <w:rPr>
          <w:caps/>
          <w:noProof w:val="0"/>
        </w:rPr>
        <w:fldChar w:fldCharType="separate"/>
      </w:r>
      <w:hyperlink w:anchor="_Toc15579800" w:history="1">
        <w:r w:rsidR="002007DE" w:rsidRPr="002D0EE9">
          <w:rPr>
            <w:rStyle w:val="Hyperlink"/>
          </w:rPr>
          <w:t>The Framework</w:t>
        </w:r>
        <w:r w:rsidR="002007DE">
          <w:rPr>
            <w:webHidden/>
          </w:rPr>
          <w:tab/>
        </w:r>
        <w:r w:rsidR="002007DE">
          <w:rPr>
            <w:webHidden/>
          </w:rPr>
          <w:fldChar w:fldCharType="begin"/>
        </w:r>
        <w:r w:rsidR="002007DE">
          <w:rPr>
            <w:webHidden/>
          </w:rPr>
          <w:instrText xml:space="preserve"> PAGEREF _Toc15579800 \h </w:instrText>
        </w:r>
        <w:r w:rsidR="002007DE">
          <w:rPr>
            <w:webHidden/>
          </w:rPr>
        </w:r>
        <w:r w:rsidR="002007DE">
          <w:rPr>
            <w:webHidden/>
          </w:rPr>
          <w:fldChar w:fldCharType="separate"/>
        </w:r>
        <w:r w:rsidR="002007DE">
          <w:rPr>
            <w:webHidden/>
          </w:rPr>
          <w:t>4</w:t>
        </w:r>
        <w:r w:rsidR="002007DE">
          <w:rPr>
            <w:webHidden/>
          </w:rPr>
          <w:fldChar w:fldCharType="end"/>
        </w:r>
      </w:hyperlink>
    </w:p>
    <w:p w14:paraId="78C75844" w14:textId="7AA6FBA7" w:rsidR="002007DE" w:rsidRDefault="002007DE">
      <w:pPr>
        <w:pStyle w:val="TOC2"/>
        <w:rPr>
          <w:rFonts w:asciiTheme="minorHAnsi" w:eastAsiaTheme="minorEastAsia" w:hAnsiTheme="minorHAnsi" w:cstheme="minorBidi"/>
          <w:b w:val="0"/>
          <w:sz w:val="22"/>
          <w:szCs w:val="22"/>
          <w:lang w:eastAsia="en-AU"/>
        </w:rPr>
      </w:pPr>
      <w:hyperlink w:anchor="_Toc15579801" w:history="1">
        <w:r w:rsidRPr="002D0EE9">
          <w:rPr>
            <w:rStyle w:val="Hyperlink"/>
          </w:rPr>
          <w:t>About the Framework</w:t>
        </w:r>
        <w:r>
          <w:rPr>
            <w:webHidden/>
          </w:rPr>
          <w:tab/>
        </w:r>
        <w:r>
          <w:rPr>
            <w:webHidden/>
          </w:rPr>
          <w:fldChar w:fldCharType="begin"/>
        </w:r>
        <w:r>
          <w:rPr>
            <w:webHidden/>
          </w:rPr>
          <w:instrText xml:space="preserve"> PAGEREF _Toc15579801 \h </w:instrText>
        </w:r>
        <w:r>
          <w:rPr>
            <w:webHidden/>
          </w:rPr>
        </w:r>
        <w:r>
          <w:rPr>
            <w:webHidden/>
          </w:rPr>
          <w:fldChar w:fldCharType="separate"/>
        </w:r>
        <w:r>
          <w:rPr>
            <w:webHidden/>
          </w:rPr>
          <w:t>5</w:t>
        </w:r>
        <w:r>
          <w:rPr>
            <w:webHidden/>
          </w:rPr>
          <w:fldChar w:fldCharType="end"/>
        </w:r>
      </w:hyperlink>
    </w:p>
    <w:p w14:paraId="129214D4" w14:textId="307A0A79" w:rsidR="002007DE" w:rsidRDefault="002007DE">
      <w:pPr>
        <w:pStyle w:val="TOC3"/>
        <w:rPr>
          <w:rFonts w:asciiTheme="minorHAnsi" w:eastAsiaTheme="minorEastAsia" w:hAnsiTheme="minorHAnsi" w:cstheme="minorBidi"/>
          <w:noProof/>
          <w:sz w:val="22"/>
          <w:szCs w:val="22"/>
          <w:lang w:eastAsia="en-AU"/>
        </w:rPr>
      </w:pPr>
      <w:hyperlink w:anchor="_Toc15579802" w:history="1">
        <w:r w:rsidRPr="002D0EE9">
          <w:rPr>
            <w:rStyle w:val="Hyperlink"/>
            <w:noProof/>
          </w:rPr>
          <w:t>Performance strategy</w:t>
        </w:r>
        <w:r>
          <w:rPr>
            <w:noProof/>
            <w:webHidden/>
          </w:rPr>
          <w:tab/>
        </w:r>
        <w:r>
          <w:rPr>
            <w:noProof/>
            <w:webHidden/>
          </w:rPr>
          <w:fldChar w:fldCharType="begin"/>
        </w:r>
        <w:r>
          <w:rPr>
            <w:noProof/>
            <w:webHidden/>
          </w:rPr>
          <w:instrText xml:space="preserve"> PAGEREF _Toc15579802 \h </w:instrText>
        </w:r>
        <w:r>
          <w:rPr>
            <w:noProof/>
            <w:webHidden/>
          </w:rPr>
        </w:r>
        <w:r>
          <w:rPr>
            <w:noProof/>
            <w:webHidden/>
          </w:rPr>
          <w:fldChar w:fldCharType="separate"/>
        </w:r>
        <w:r>
          <w:rPr>
            <w:noProof/>
            <w:webHidden/>
          </w:rPr>
          <w:t>5</w:t>
        </w:r>
        <w:r>
          <w:rPr>
            <w:noProof/>
            <w:webHidden/>
          </w:rPr>
          <w:fldChar w:fldCharType="end"/>
        </w:r>
      </w:hyperlink>
    </w:p>
    <w:p w14:paraId="0935C0B1" w14:textId="70EE1558" w:rsidR="002007DE" w:rsidRDefault="002007DE">
      <w:pPr>
        <w:pStyle w:val="TOC3"/>
        <w:rPr>
          <w:rFonts w:asciiTheme="minorHAnsi" w:eastAsiaTheme="minorEastAsia" w:hAnsiTheme="minorHAnsi" w:cstheme="minorBidi"/>
          <w:noProof/>
          <w:sz w:val="22"/>
          <w:szCs w:val="22"/>
          <w:lang w:eastAsia="en-AU"/>
        </w:rPr>
      </w:pPr>
      <w:hyperlink w:anchor="_Toc15579803" w:history="1">
        <w:r w:rsidRPr="002D0EE9">
          <w:rPr>
            <w:rStyle w:val="Hyperlink"/>
            <w:noProof/>
          </w:rPr>
          <w:t>Future directions</w:t>
        </w:r>
        <w:r>
          <w:rPr>
            <w:noProof/>
            <w:webHidden/>
          </w:rPr>
          <w:tab/>
        </w:r>
        <w:r>
          <w:rPr>
            <w:noProof/>
            <w:webHidden/>
          </w:rPr>
          <w:fldChar w:fldCharType="begin"/>
        </w:r>
        <w:r>
          <w:rPr>
            <w:noProof/>
            <w:webHidden/>
          </w:rPr>
          <w:instrText xml:space="preserve"> PAGEREF _Toc15579803 \h </w:instrText>
        </w:r>
        <w:r>
          <w:rPr>
            <w:noProof/>
            <w:webHidden/>
          </w:rPr>
        </w:r>
        <w:r>
          <w:rPr>
            <w:noProof/>
            <w:webHidden/>
          </w:rPr>
          <w:fldChar w:fldCharType="separate"/>
        </w:r>
        <w:r>
          <w:rPr>
            <w:noProof/>
            <w:webHidden/>
          </w:rPr>
          <w:t>5</w:t>
        </w:r>
        <w:r>
          <w:rPr>
            <w:noProof/>
            <w:webHidden/>
          </w:rPr>
          <w:fldChar w:fldCharType="end"/>
        </w:r>
      </w:hyperlink>
    </w:p>
    <w:p w14:paraId="6E2DF833" w14:textId="05168BEA" w:rsidR="002007DE" w:rsidRDefault="002007DE">
      <w:pPr>
        <w:pStyle w:val="TOC3"/>
        <w:rPr>
          <w:rFonts w:asciiTheme="minorHAnsi" w:eastAsiaTheme="minorEastAsia" w:hAnsiTheme="minorHAnsi" w:cstheme="minorBidi"/>
          <w:noProof/>
          <w:sz w:val="22"/>
          <w:szCs w:val="22"/>
          <w:lang w:eastAsia="en-AU"/>
        </w:rPr>
      </w:pPr>
      <w:hyperlink w:anchor="_Toc15579804" w:history="1">
        <w:r w:rsidRPr="002D0EE9">
          <w:rPr>
            <w:rStyle w:val="Hyperlink"/>
            <w:noProof/>
          </w:rPr>
          <w:t>Coverage</w:t>
        </w:r>
        <w:r>
          <w:rPr>
            <w:noProof/>
            <w:webHidden/>
          </w:rPr>
          <w:tab/>
        </w:r>
        <w:r>
          <w:rPr>
            <w:noProof/>
            <w:webHidden/>
          </w:rPr>
          <w:fldChar w:fldCharType="begin"/>
        </w:r>
        <w:r>
          <w:rPr>
            <w:noProof/>
            <w:webHidden/>
          </w:rPr>
          <w:instrText xml:space="preserve"> PAGEREF _Toc15579804 \h </w:instrText>
        </w:r>
        <w:r>
          <w:rPr>
            <w:noProof/>
            <w:webHidden/>
          </w:rPr>
        </w:r>
        <w:r>
          <w:rPr>
            <w:noProof/>
            <w:webHidden/>
          </w:rPr>
          <w:fldChar w:fldCharType="separate"/>
        </w:r>
        <w:r>
          <w:rPr>
            <w:noProof/>
            <w:webHidden/>
          </w:rPr>
          <w:t>6</w:t>
        </w:r>
        <w:r>
          <w:rPr>
            <w:noProof/>
            <w:webHidden/>
          </w:rPr>
          <w:fldChar w:fldCharType="end"/>
        </w:r>
      </w:hyperlink>
    </w:p>
    <w:p w14:paraId="7497BBAE" w14:textId="0EF3B565" w:rsidR="002007DE" w:rsidRDefault="002007DE">
      <w:pPr>
        <w:pStyle w:val="TOC3"/>
        <w:rPr>
          <w:rFonts w:asciiTheme="minorHAnsi" w:eastAsiaTheme="minorEastAsia" w:hAnsiTheme="minorHAnsi" w:cstheme="minorBidi"/>
          <w:noProof/>
          <w:sz w:val="22"/>
          <w:szCs w:val="22"/>
          <w:lang w:eastAsia="en-AU"/>
        </w:rPr>
      </w:pPr>
      <w:hyperlink w:anchor="_Toc15579805" w:history="1">
        <w:r w:rsidRPr="002D0EE9">
          <w:rPr>
            <w:rStyle w:val="Hyperlink"/>
            <w:noProof/>
          </w:rPr>
          <w:t>Key changes for 2019–20</w:t>
        </w:r>
        <w:r>
          <w:rPr>
            <w:noProof/>
            <w:webHidden/>
          </w:rPr>
          <w:tab/>
        </w:r>
        <w:r>
          <w:rPr>
            <w:noProof/>
            <w:webHidden/>
          </w:rPr>
          <w:fldChar w:fldCharType="begin"/>
        </w:r>
        <w:r>
          <w:rPr>
            <w:noProof/>
            <w:webHidden/>
          </w:rPr>
          <w:instrText xml:space="preserve"> PAGEREF _Toc15579805 \h </w:instrText>
        </w:r>
        <w:r>
          <w:rPr>
            <w:noProof/>
            <w:webHidden/>
          </w:rPr>
        </w:r>
        <w:r>
          <w:rPr>
            <w:noProof/>
            <w:webHidden/>
          </w:rPr>
          <w:fldChar w:fldCharType="separate"/>
        </w:r>
        <w:r>
          <w:rPr>
            <w:noProof/>
            <w:webHidden/>
          </w:rPr>
          <w:t>7</w:t>
        </w:r>
        <w:r>
          <w:rPr>
            <w:noProof/>
            <w:webHidden/>
          </w:rPr>
          <w:fldChar w:fldCharType="end"/>
        </w:r>
      </w:hyperlink>
    </w:p>
    <w:p w14:paraId="7C07E57D" w14:textId="30673369" w:rsidR="002007DE" w:rsidRDefault="002007DE">
      <w:pPr>
        <w:pStyle w:val="TOC2"/>
        <w:rPr>
          <w:rFonts w:asciiTheme="minorHAnsi" w:eastAsiaTheme="minorEastAsia" w:hAnsiTheme="minorHAnsi" w:cstheme="minorBidi"/>
          <w:b w:val="0"/>
          <w:sz w:val="22"/>
          <w:szCs w:val="22"/>
          <w:lang w:eastAsia="en-AU"/>
        </w:rPr>
      </w:pPr>
      <w:hyperlink w:anchor="_Toc15579806" w:history="1">
        <w:r w:rsidRPr="002D0EE9">
          <w:rPr>
            <w:rStyle w:val="Hyperlink"/>
          </w:rPr>
          <w:t>The Framework’s performance objectives</w:t>
        </w:r>
        <w:r>
          <w:rPr>
            <w:webHidden/>
          </w:rPr>
          <w:tab/>
        </w:r>
        <w:r>
          <w:rPr>
            <w:webHidden/>
          </w:rPr>
          <w:fldChar w:fldCharType="begin"/>
        </w:r>
        <w:r>
          <w:rPr>
            <w:webHidden/>
          </w:rPr>
          <w:instrText xml:space="preserve"> PAGEREF _Toc15579806 \h </w:instrText>
        </w:r>
        <w:r>
          <w:rPr>
            <w:webHidden/>
          </w:rPr>
        </w:r>
        <w:r>
          <w:rPr>
            <w:webHidden/>
          </w:rPr>
          <w:fldChar w:fldCharType="separate"/>
        </w:r>
        <w:r>
          <w:rPr>
            <w:webHidden/>
          </w:rPr>
          <w:t>8</w:t>
        </w:r>
        <w:r>
          <w:rPr>
            <w:webHidden/>
          </w:rPr>
          <w:fldChar w:fldCharType="end"/>
        </w:r>
      </w:hyperlink>
    </w:p>
    <w:p w14:paraId="55FBE02C" w14:textId="4A635322" w:rsidR="002007DE" w:rsidRDefault="002007DE">
      <w:pPr>
        <w:pStyle w:val="TOC3"/>
        <w:rPr>
          <w:rFonts w:asciiTheme="minorHAnsi" w:eastAsiaTheme="minorEastAsia" w:hAnsiTheme="minorHAnsi" w:cstheme="minorBidi"/>
          <w:noProof/>
          <w:sz w:val="22"/>
          <w:szCs w:val="22"/>
          <w:lang w:eastAsia="en-AU"/>
        </w:rPr>
      </w:pPr>
      <w:hyperlink w:anchor="_Toc15579807" w:history="1">
        <w:r w:rsidRPr="002D0EE9">
          <w:rPr>
            <w:rStyle w:val="Hyperlink"/>
            <w:noProof/>
          </w:rPr>
          <w:t>The four performance domains</w:t>
        </w:r>
        <w:r>
          <w:rPr>
            <w:noProof/>
            <w:webHidden/>
          </w:rPr>
          <w:tab/>
        </w:r>
        <w:r>
          <w:rPr>
            <w:noProof/>
            <w:webHidden/>
          </w:rPr>
          <w:fldChar w:fldCharType="begin"/>
        </w:r>
        <w:r>
          <w:rPr>
            <w:noProof/>
            <w:webHidden/>
          </w:rPr>
          <w:instrText xml:space="preserve"> PAGEREF _Toc15579807 \h </w:instrText>
        </w:r>
        <w:r>
          <w:rPr>
            <w:noProof/>
            <w:webHidden/>
          </w:rPr>
        </w:r>
        <w:r>
          <w:rPr>
            <w:noProof/>
            <w:webHidden/>
          </w:rPr>
          <w:fldChar w:fldCharType="separate"/>
        </w:r>
        <w:r>
          <w:rPr>
            <w:noProof/>
            <w:webHidden/>
          </w:rPr>
          <w:t>9</w:t>
        </w:r>
        <w:r>
          <w:rPr>
            <w:noProof/>
            <w:webHidden/>
          </w:rPr>
          <w:fldChar w:fldCharType="end"/>
        </w:r>
      </w:hyperlink>
    </w:p>
    <w:p w14:paraId="3AD3EA40" w14:textId="358A466D" w:rsidR="002007DE" w:rsidRDefault="002007DE">
      <w:pPr>
        <w:pStyle w:val="TOC2"/>
        <w:rPr>
          <w:rFonts w:asciiTheme="minorHAnsi" w:eastAsiaTheme="minorEastAsia" w:hAnsiTheme="minorHAnsi" w:cstheme="minorBidi"/>
          <w:b w:val="0"/>
          <w:sz w:val="22"/>
          <w:szCs w:val="22"/>
          <w:lang w:eastAsia="en-AU"/>
        </w:rPr>
      </w:pPr>
      <w:hyperlink w:anchor="_Toc15579808" w:history="1">
        <w:r w:rsidRPr="002D0EE9">
          <w:rPr>
            <w:rStyle w:val="Hyperlink"/>
          </w:rPr>
          <w:t>The performance improvement approach</w:t>
        </w:r>
        <w:r>
          <w:rPr>
            <w:webHidden/>
          </w:rPr>
          <w:tab/>
        </w:r>
        <w:r>
          <w:rPr>
            <w:webHidden/>
          </w:rPr>
          <w:fldChar w:fldCharType="begin"/>
        </w:r>
        <w:r>
          <w:rPr>
            <w:webHidden/>
          </w:rPr>
          <w:instrText xml:space="preserve"> PAGEREF _Toc15579808 \h </w:instrText>
        </w:r>
        <w:r>
          <w:rPr>
            <w:webHidden/>
          </w:rPr>
        </w:r>
        <w:r>
          <w:rPr>
            <w:webHidden/>
          </w:rPr>
          <w:fldChar w:fldCharType="separate"/>
        </w:r>
        <w:r>
          <w:rPr>
            <w:webHidden/>
          </w:rPr>
          <w:t>10</w:t>
        </w:r>
        <w:r>
          <w:rPr>
            <w:webHidden/>
          </w:rPr>
          <w:fldChar w:fldCharType="end"/>
        </w:r>
      </w:hyperlink>
    </w:p>
    <w:p w14:paraId="6ECE7329" w14:textId="2A249A6F" w:rsidR="002007DE" w:rsidRDefault="002007DE">
      <w:pPr>
        <w:pStyle w:val="TOC3"/>
        <w:rPr>
          <w:rFonts w:asciiTheme="minorHAnsi" w:eastAsiaTheme="minorEastAsia" w:hAnsiTheme="minorHAnsi" w:cstheme="minorBidi"/>
          <w:noProof/>
          <w:sz w:val="22"/>
          <w:szCs w:val="22"/>
          <w:lang w:eastAsia="en-AU"/>
        </w:rPr>
      </w:pPr>
      <w:hyperlink w:anchor="_Toc15579809" w:history="1">
        <w:r w:rsidRPr="002D0EE9">
          <w:rPr>
            <w:rStyle w:val="Hyperlink"/>
            <w:noProof/>
          </w:rPr>
          <w:t>Key considerations</w:t>
        </w:r>
        <w:r>
          <w:rPr>
            <w:noProof/>
            <w:webHidden/>
          </w:rPr>
          <w:tab/>
        </w:r>
        <w:r>
          <w:rPr>
            <w:noProof/>
            <w:webHidden/>
          </w:rPr>
          <w:fldChar w:fldCharType="begin"/>
        </w:r>
        <w:r>
          <w:rPr>
            <w:noProof/>
            <w:webHidden/>
          </w:rPr>
          <w:instrText xml:space="preserve"> PAGEREF _Toc15579809 \h </w:instrText>
        </w:r>
        <w:r>
          <w:rPr>
            <w:noProof/>
            <w:webHidden/>
          </w:rPr>
        </w:r>
        <w:r>
          <w:rPr>
            <w:noProof/>
            <w:webHidden/>
          </w:rPr>
          <w:fldChar w:fldCharType="separate"/>
        </w:r>
        <w:r>
          <w:rPr>
            <w:noProof/>
            <w:webHidden/>
          </w:rPr>
          <w:t>11</w:t>
        </w:r>
        <w:r>
          <w:rPr>
            <w:noProof/>
            <w:webHidden/>
          </w:rPr>
          <w:fldChar w:fldCharType="end"/>
        </w:r>
      </w:hyperlink>
    </w:p>
    <w:p w14:paraId="0124EAE7" w14:textId="207E0717" w:rsidR="002007DE" w:rsidRDefault="002007DE">
      <w:pPr>
        <w:pStyle w:val="TOC3"/>
        <w:rPr>
          <w:rFonts w:asciiTheme="minorHAnsi" w:eastAsiaTheme="minorEastAsia" w:hAnsiTheme="minorHAnsi" w:cstheme="minorBidi"/>
          <w:noProof/>
          <w:sz w:val="22"/>
          <w:szCs w:val="22"/>
          <w:lang w:eastAsia="en-AU"/>
        </w:rPr>
      </w:pPr>
      <w:hyperlink w:anchor="_Toc15579810" w:history="1">
        <w:r w:rsidRPr="002D0EE9">
          <w:rPr>
            <w:rStyle w:val="Hyperlink"/>
            <w:noProof/>
          </w:rPr>
          <w:t>The performance improvement process – Step-by-step</w:t>
        </w:r>
        <w:r>
          <w:rPr>
            <w:noProof/>
            <w:webHidden/>
          </w:rPr>
          <w:tab/>
        </w:r>
        <w:r>
          <w:rPr>
            <w:noProof/>
            <w:webHidden/>
          </w:rPr>
          <w:fldChar w:fldCharType="begin"/>
        </w:r>
        <w:r>
          <w:rPr>
            <w:noProof/>
            <w:webHidden/>
          </w:rPr>
          <w:instrText xml:space="preserve"> PAGEREF _Toc15579810 \h </w:instrText>
        </w:r>
        <w:r>
          <w:rPr>
            <w:noProof/>
            <w:webHidden/>
          </w:rPr>
        </w:r>
        <w:r>
          <w:rPr>
            <w:noProof/>
            <w:webHidden/>
          </w:rPr>
          <w:fldChar w:fldCharType="separate"/>
        </w:r>
        <w:r>
          <w:rPr>
            <w:noProof/>
            <w:webHidden/>
          </w:rPr>
          <w:t>12</w:t>
        </w:r>
        <w:r>
          <w:rPr>
            <w:noProof/>
            <w:webHidden/>
          </w:rPr>
          <w:fldChar w:fldCharType="end"/>
        </w:r>
      </w:hyperlink>
    </w:p>
    <w:p w14:paraId="00544EE7" w14:textId="3C32BACF" w:rsidR="002007DE" w:rsidRDefault="002007DE">
      <w:pPr>
        <w:pStyle w:val="TOC3"/>
        <w:rPr>
          <w:rFonts w:asciiTheme="minorHAnsi" w:eastAsiaTheme="minorEastAsia" w:hAnsiTheme="minorHAnsi" w:cstheme="minorBidi"/>
          <w:noProof/>
          <w:sz w:val="22"/>
          <w:szCs w:val="22"/>
          <w:lang w:eastAsia="en-AU"/>
        </w:rPr>
      </w:pPr>
      <w:hyperlink w:anchor="_Toc15579811" w:history="1">
        <w:r w:rsidRPr="002D0EE9">
          <w:rPr>
            <w:rStyle w:val="Hyperlink"/>
            <w:noProof/>
          </w:rPr>
          <w:t>Step 1 – Identify performance risk</w:t>
        </w:r>
        <w:r>
          <w:rPr>
            <w:noProof/>
            <w:webHidden/>
          </w:rPr>
          <w:tab/>
        </w:r>
        <w:r>
          <w:rPr>
            <w:noProof/>
            <w:webHidden/>
          </w:rPr>
          <w:fldChar w:fldCharType="begin"/>
        </w:r>
        <w:r>
          <w:rPr>
            <w:noProof/>
            <w:webHidden/>
          </w:rPr>
          <w:instrText xml:space="preserve"> PAGEREF _Toc15579811 \h </w:instrText>
        </w:r>
        <w:r>
          <w:rPr>
            <w:noProof/>
            <w:webHidden/>
          </w:rPr>
        </w:r>
        <w:r>
          <w:rPr>
            <w:noProof/>
            <w:webHidden/>
          </w:rPr>
          <w:fldChar w:fldCharType="separate"/>
        </w:r>
        <w:r>
          <w:rPr>
            <w:noProof/>
            <w:webHidden/>
          </w:rPr>
          <w:t>13</w:t>
        </w:r>
        <w:r>
          <w:rPr>
            <w:noProof/>
            <w:webHidden/>
          </w:rPr>
          <w:fldChar w:fldCharType="end"/>
        </w:r>
      </w:hyperlink>
    </w:p>
    <w:p w14:paraId="3D63A320" w14:textId="04D16D5C" w:rsidR="002007DE" w:rsidRDefault="002007DE">
      <w:pPr>
        <w:pStyle w:val="TOC3"/>
        <w:rPr>
          <w:rFonts w:asciiTheme="minorHAnsi" w:eastAsiaTheme="minorEastAsia" w:hAnsiTheme="minorHAnsi" w:cstheme="minorBidi"/>
          <w:noProof/>
          <w:sz w:val="22"/>
          <w:szCs w:val="22"/>
          <w:lang w:eastAsia="en-AU"/>
        </w:rPr>
      </w:pPr>
      <w:hyperlink w:anchor="_Toc15579812" w:history="1">
        <w:r w:rsidRPr="002D0EE9">
          <w:rPr>
            <w:rStyle w:val="Hyperlink"/>
            <w:noProof/>
          </w:rPr>
          <w:t>Step 2 – Analyse performance</w:t>
        </w:r>
        <w:r>
          <w:rPr>
            <w:noProof/>
            <w:webHidden/>
          </w:rPr>
          <w:tab/>
        </w:r>
        <w:r>
          <w:rPr>
            <w:noProof/>
            <w:webHidden/>
          </w:rPr>
          <w:fldChar w:fldCharType="begin"/>
        </w:r>
        <w:r>
          <w:rPr>
            <w:noProof/>
            <w:webHidden/>
          </w:rPr>
          <w:instrText xml:space="preserve"> PAGEREF _Toc15579812 \h </w:instrText>
        </w:r>
        <w:r>
          <w:rPr>
            <w:noProof/>
            <w:webHidden/>
          </w:rPr>
        </w:r>
        <w:r>
          <w:rPr>
            <w:noProof/>
            <w:webHidden/>
          </w:rPr>
          <w:fldChar w:fldCharType="separate"/>
        </w:r>
        <w:r>
          <w:rPr>
            <w:noProof/>
            <w:webHidden/>
          </w:rPr>
          <w:t>16</w:t>
        </w:r>
        <w:r>
          <w:rPr>
            <w:noProof/>
            <w:webHidden/>
          </w:rPr>
          <w:fldChar w:fldCharType="end"/>
        </w:r>
      </w:hyperlink>
    </w:p>
    <w:p w14:paraId="3275D23C" w14:textId="2A4AA915" w:rsidR="002007DE" w:rsidRDefault="002007DE">
      <w:pPr>
        <w:pStyle w:val="TOC3"/>
        <w:rPr>
          <w:rFonts w:asciiTheme="minorHAnsi" w:eastAsiaTheme="minorEastAsia" w:hAnsiTheme="minorHAnsi" w:cstheme="minorBidi"/>
          <w:noProof/>
          <w:sz w:val="22"/>
          <w:szCs w:val="22"/>
          <w:lang w:eastAsia="en-AU"/>
        </w:rPr>
      </w:pPr>
      <w:hyperlink w:anchor="_Toc15579813" w:history="1">
        <w:r w:rsidRPr="002D0EE9">
          <w:rPr>
            <w:rStyle w:val="Hyperlink"/>
            <w:noProof/>
          </w:rPr>
          <w:t>Step 3 – Assess monitoring, support and intervention level</w:t>
        </w:r>
        <w:r>
          <w:rPr>
            <w:noProof/>
            <w:webHidden/>
          </w:rPr>
          <w:tab/>
        </w:r>
        <w:r>
          <w:rPr>
            <w:noProof/>
            <w:webHidden/>
          </w:rPr>
          <w:fldChar w:fldCharType="begin"/>
        </w:r>
        <w:r>
          <w:rPr>
            <w:noProof/>
            <w:webHidden/>
          </w:rPr>
          <w:instrText xml:space="preserve"> PAGEREF _Toc15579813 \h </w:instrText>
        </w:r>
        <w:r>
          <w:rPr>
            <w:noProof/>
            <w:webHidden/>
          </w:rPr>
        </w:r>
        <w:r>
          <w:rPr>
            <w:noProof/>
            <w:webHidden/>
          </w:rPr>
          <w:fldChar w:fldCharType="separate"/>
        </w:r>
        <w:r>
          <w:rPr>
            <w:noProof/>
            <w:webHidden/>
          </w:rPr>
          <w:t>18</w:t>
        </w:r>
        <w:r>
          <w:rPr>
            <w:noProof/>
            <w:webHidden/>
          </w:rPr>
          <w:fldChar w:fldCharType="end"/>
        </w:r>
      </w:hyperlink>
    </w:p>
    <w:p w14:paraId="6D0F206F" w14:textId="1397E876" w:rsidR="002007DE" w:rsidRDefault="002007DE">
      <w:pPr>
        <w:pStyle w:val="TOC3"/>
        <w:rPr>
          <w:rFonts w:asciiTheme="minorHAnsi" w:eastAsiaTheme="minorEastAsia" w:hAnsiTheme="minorHAnsi" w:cstheme="minorBidi"/>
          <w:noProof/>
          <w:sz w:val="22"/>
          <w:szCs w:val="22"/>
          <w:lang w:eastAsia="en-AU"/>
        </w:rPr>
      </w:pPr>
      <w:hyperlink w:anchor="_Toc15579814" w:history="1">
        <w:r w:rsidRPr="002D0EE9">
          <w:rPr>
            <w:rStyle w:val="Hyperlink"/>
            <w:noProof/>
          </w:rPr>
          <w:t>Step 4 – Addressing performance concerns</w:t>
        </w:r>
        <w:r>
          <w:rPr>
            <w:noProof/>
            <w:webHidden/>
          </w:rPr>
          <w:tab/>
        </w:r>
        <w:r>
          <w:rPr>
            <w:noProof/>
            <w:webHidden/>
          </w:rPr>
          <w:fldChar w:fldCharType="begin"/>
        </w:r>
        <w:r>
          <w:rPr>
            <w:noProof/>
            <w:webHidden/>
          </w:rPr>
          <w:instrText xml:space="preserve"> PAGEREF _Toc15579814 \h </w:instrText>
        </w:r>
        <w:r>
          <w:rPr>
            <w:noProof/>
            <w:webHidden/>
          </w:rPr>
        </w:r>
        <w:r>
          <w:rPr>
            <w:noProof/>
            <w:webHidden/>
          </w:rPr>
          <w:fldChar w:fldCharType="separate"/>
        </w:r>
        <w:r>
          <w:rPr>
            <w:noProof/>
            <w:webHidden/>
          </w:rPr>
          <w:t>20</w:t>
        </w:r>
        <w:r>
          <w:rPr>
            <w:noProof/>
            <w:webHidden/>
          </w:rPr>
          <w:fldChar w:fldCharType="end"/>
        </w:r>
      </w:hyperlink>
    </w:p>
    <w:p w14:paraId="785C3DF4" w14:textId="2EDC4BCC" w:rsidR="002007DE" w:rsidRDefault="002007DE">
      <w:pPr>
        <w:pStyle w:val="TOC3"/>
        <w:rPr>
          <w:rFonts w:asciiTheme="minorHAnsi" w:eastAsiaTheme="minorEastAsia" w:hAnsiTheme="minorHAnsi" w:cstheme="minorBidi"/>
          <w:noProof/>
          <w:sz w:val="22"/>
          <w:szCs w:val="22"/>
          <w:lang w:eastAsia="en-AU"/>
        </w:rPr>
      </w:pPr>
      <w:hyperlink w:anchor="_Toc15579815" w:history="1">
        <w:r w:rsidRPr="002D0EE9">
          <w:rPr>
            <w:rStyle w:val="Hyperlink"/>
            <w:noProof/>
          </w:rPr>
          <w:t>How is a health service’s monitoring, support and intervention level changed?</w:t>
        </w:r>
        <w:r>
          <w:rPr>
            <w:noProof/>
            <w:webHidden/>
          </w:rPr>
          <w:tab/>
        </w:r>
        <w:r>
          <w:rPr>
            <w:noProof/>
            <w:webHidden/>
          </w:rPr>
          <w:fldChar w:fldCharType="begin"/>
        </w:r>
        <w:r>
          <w:rPr>
            <w:noProof/>
            <w:webHidden/>
          </w:rPr>
          <w:instrText xml:space="preserve"> PAGEREF _Toc15579815 \h </w:instrText>
        </w:r>
        <w:r>
          <w:rPr>
            <w:noProof/>
            <w:webHidden/>
          </w:rPr>
        </w:r>
        <w:r>
          <w:rPr>
            <w:noProof/>
            <w:webHidden/>
          </w:rPr>
          <w:fldChar w:fldCharType="separate"/>
        </w:r>
        <w:r>
          <w:rPr>
            <w:noProof/>
            <w:webHidden/>
          </w:rPr>
          <w:t>21</w:t>
        </w:r>
        <w:r>
          <w:rPr>
            <w:noProof/>
            <w:webHidden/>
          </w:rPr>
          <w:fldChar w:fldCharType="end"/>
        </w:r>
      </w:hyperlink>
    </w:p>
    <w:p w14:paraId="05C1AEC2" w14:textId="7D54F916" w:rsidR="002007DE" w:rsidRDefault="002007DE">
      <w:pPr>
        <w:pStyle w:val="TOC3"/>
        <w:rPr>
          <w:rFonts w:asciiTheme="minorHAnsi" w:eastAsiaTheme="minorEastAsia" w:hAnsiTheme="minorHAnsi" w:cstheme="minorBidi"/>
          <w:noProof/>
          <w:sz w:val="22"/>
          <w:szCs w:val="22"/>
          <w:lang w:eastAsia="en-AU"/>
        </w:rPr>
      </w:pPr>
      <w:hyperlink w:anchor="_Toc15579816" w:history="1">
        <w:r w:rsidRPr="002D0EE9">
          <w:rPr>
            <w:rStyle w:val="Hyperlink"/>
            <w:noProof/>
          </w:rPr>
          <w:t>Risk identification and departmental support</w:t>
        </w:r>
        <w:r>
          <w:rPr>
            <w:noProof/>
            <w:webHidden/>
          </w:rPr>
          <w:tab/>
        </w:r>
        <w:r>
          <w:rPr>
            <w:noProof/>
            <w:webHidden/>
          </w:rPr>
          <w:fldChar w:fldCharType="begin"/>
        </w:r>
        <w:r>
          <w:rPr>
            <w:noProof/>
            <w:webHidden/>
          </w:rPr>
          <w:instrText xml:space="preserve"> PAGEREF _Toc15579816 \h </w:instrText>
        </w:r>
        <w:r>
          <w:rPr>
            <w:noProof/>
            <w:webHidden/>
          </w:rPr>
        </w:r>
        <w:r>
          <w:rPr>
            <w:noProof/>
            <w:webHidden/>
          </w:rPr>
          <w:fldChar w:fldCharType="separate"/>
        </w:r>
        <w:r>
          <w:rPr>
            <w:noProof/>
            <w:webHidden/>
          </w:rPr>
          <w:t>22</w:t>
        </w:r>
        <w:r>
          <w:rPr>
            <w:noProof/>
            <w:webHidden/>
          </w:rPr>
          <w:fldChar w:fldCharType="end"/>
        </w:r>
      </w:hyperlink>
    </w:p>
    <w:p w14:paraId="7259F85A" w14:textId="0D209DCD" w:rsidR="002007DE" w:rsidRDefault="002007DE">
      <w:pPr>
        <w:pStyle w:val="TOC2"/>
        <w:rPr>
          <w:rFonts w:asciiTheme="minorHAnsi" w:eastAsiaTheme="minorEastAsia" w:hAnsiTheme="minorHAnsi" w:cstheme="minorBidi"/>
          <w:b w:val="0"/>
          <w:sz w:val="22"/>
          <w:szCs w:val="22"/>
          <w:lang w:eastAsia="en-AU"/>
        </w:rPr>
      </w:pPr>
      <w:hyperlink w:anchor="_Toc15579817" w:history="1">
        <w:r w:rsidRPr="002D0EE9">
          <w:rPr>
            <w:rStyle w:val="Hyperlink"/>
          </w:rPr>
          <w:t>Operationalising performance monitoring</w:t>
        </w:r>
        <w:r>
          <w:rPr>
            <w:webHidden/>
          </w:rPr>
          <w:tab/>
        </w:r>
        <w:r>
          <w:rPr>
            <w:webHidden/>
          </w:rPr>
          <w:fldChar w:fldCharType="begin"/>
        </w:r>
        <w:r>
          <w:rPr>
            <w:webHidden/>
          </w:rPr>
          <w:instrText xml:space="preserve"> PAGEREF _Toc15579817 \h </w:instrText>
        </w:r>
        <w:r>
          <w:rPr>
            <w:webHidden/>
          </w:rPr>
        </w:r>
        <w:r>
          <w:rPr>
            <w:webHidden/>
          </w:rPr>
          <w:fldChar w:fldCharType="separate"/>
        </w:r>
        <w:r>
          <w:rPr>
            <w:webHidden/>
          </w:rPr>
          <w:t>23</w:t>
        </w:r>
        <w:r>
          <w:rPr>
            <w:webHidden/>
          </w:rPr>
          <w:fldChar w:fldCharType="end"/>
        </w:r>
      </w:hyperlink>
    </w:p>
    <w:p w14:paraId="00999786" w14:textId="36962E21" w:rsidR="002007DE" w:rsidRDefault="002007DE">
      <w:pPr>
        <w:pStyle w:val="TOC3"/>
        <w:rPr>
          <w:rFonts w:asciiTheme="minorHAnsi" w:eastAsiaTheme="minorEastAsia" w:hAnsiTheme="minorHAnsi" w:cstheme="minorBidi"/>
          <w:noProof/>
          <w:sz w:val="22"/>
          <w:szCs w:val="22"/>
          <w:lang w:eastAsia="en-AU"/>
        </w:rPr>
      </w:pPr>
      <w:hyperlink w:anchor="_Toc15579818" w:history="1">
        <w:r w:rsidRPr="002D0EE9">
          <w:rPr>
            <w:rStyle w:val="Hyperlink"/>
            <w:noProof/>
          </w:rPr>
          <w:t>Role and responsibilities</w:t>
        </w:r>
        <w:r>
          <w:rPr>
            <w:noProof/>
            <w:webHidden/>
          </w:rPr>
          <w:tab/>
        </w:r>
        <w:r>
          <w:rPr>
            <w:noProof/>
            <w:webHidden/>
          </w:rPr>
          <w:fldChar w:fldCharType="begin"/>
        </w:r>
        <w:r>
          <w:rPr>
            <w:noProof/>
            <w:webHidden/>
          </w:rPr>
          <w:instrText xml:space="preserve"> PAGEREF _Toc15579818 \h </w:instrText>
        </w:r>
        <w:r>
          <w:rPr>
            <w:noProof/>
            <w:webHidden/>
          </w:rPr>
        </w:r>
        <w:r>
          <w:rPr>
            <w:noProof/>
            <w:webHidden/>
          </w:rPr>
          <w:fldChar w:fldCharType="separate"/>
        </w:r>
        <w:r>
          <w:rPr>
            <w:noProof/>
            <w:webHidden/>
          </w:rPr>
          <w:t>23</w:t>
        </w:r>
        <w:r>
          <w:rPr>
            <w:noProof/>
            <w:webHidden/>
          </w:rPr>
          <w:fldChar w:fldCharType="end"/>
        </w:r>
      </w:hyperlink>
    </w:p>
    <w:p w14:paraId="1F56A8DA" w14:textId="0E9A4803" w:rsidR="002007DE" w:rsidRDefault="002007DE">
      <w:pPr>
        <w:pStyle w:val="TOC3"/>
        <w:rPr>
          <w:rFonts w:asciiTheme="minorHAnsi" w:eastAsiaTheme="minorEastAsia" w:hAnsiTheme="minorHAnsi" w:cstheme="minorBidi"/>
          <w:noProof/>
          <w:sz w:val="22"/>
          <w:szCs w:val="22"/>
          <w:lang w:eastAsia="en-AU"/>
        </w:rPr>
      </w:pPr>
      <w:hyperlink w:anchor="_Toc15579819" w:history="1">
        <w:r w:rsidRPr="002D0EE9">
          <w:rPr>
            <w:rStyle w:val="Hyperlink"/>
            <w:noProof/>
          </w:rPr>
          <w:t>Performance meetings</w:t>
        </w:r>
        <w:r>
          <w:rPr>
            <w:noProof/>
            <w:webHidden/>
          </w:rPr>
          <w:tab/>
        </w:r>
        <w:r>
          <w:rPr>
            <w:noProof/>
            <w:webHidden/>
          </w:rPr>
          <w:fldChar w:fldCharType="begin"/>
        </w:r>
        <w:r>
          <w:rPr>
            <w:noProof/>
            <w:webHidden/>
          </w:rPr>
          <w:instrText xml:space="preserve"> PAGEREF _Toc15579819 \h </w:instrText>
        </w:r>
        <w:r>
          <w:rPr>
            <w:noProof/>
            <w:webHidden/>
          </w:rPr>
        </w:r>
        <w:r>
          <w:rPr>
            <w:noProof/>
            <w:webHidden/>
          </w:rPr>
          <w:fldChar w:fldCharType="separate"/>
        </w:r>
        <w:r>
          <w:rPr>
            <w:noProof/>
            <w:webHidden/>
          </w:rPr>
          <w:t>24</w:t>
        </w:r>
        <w:r>
          <w:rPr>
            <w:noProof/>
            <w:webHidden/>
          </w:rPr>
          <w:fldChar w:fldCharType="end"/>
        </w:r>
      </w:hyperlink>
    </w:p>
    <w:p w14:paraId="5A987D60" w14:textId="7B19D61E" w:rsidR="002007DE" w:rsidRDefault="002007DE">
      <w:pPr>
        <w:pStyle w:val="TOC3"/>
        <w:rPr>
          <w:rFonts w:asciiTheme="minorHAnsi" w:eastAsiaTheme="minorEastAsia" w:hAnsiTheme="minorHAnsi" w:cstheme="minorBidi"/>
          <w:noProof/>
          <w:sz w:val="22"/>
          <w:szCs w:val="22"/>
          <w:lang w:eastAsia="en-AU"/>
        </w:rPr>
      </w:pPr>
      <w:hyperlink w:anchor="_Toc15579820" w:history="1">
        <w:r w:rsidRPr="002D0EE9">
          <w:rPr>
            <w:rStyle w:val="Hyperlink"/>
            <w:noProof/>
          </w:rPr>
          <w:t>Performance monitoring and reporting</w:t>
        </w:r>
        <w:r>
          <w:rPr>
            <w:noProof/>
            <w:webHidden/>
          </w:rPr>
          <w:tab/>
        </w:r>
        <w:r>
          <w:rPr>
            <w:noProof/>
            <w:webHidden/>
          </w:rPr>
          <w:fldChar w:fldCharType="begin"/>
        </w:r>
        <w:r>
          <w:rPr>
            <w:noProof/>
            <w:webHidden/>
          </w:rPr>
          <w:instrText xml:space="preserve"> PAGEREF _Toc15579820 \h </w:instrText>
        </w:r>
        <w:r>
          <w:rPr>
            <w:noProof/>
            <w:webHidden/>
          </w:rPr>
        </w:r>
        <w:r>
          <w:rPr>
            <w:noProof/>
            <w:webHidden/>
          </w:rPr>
          <w:fldChar w:fldCharType="separate"/>
        </w:r>
        <w:r>
          <w:rPr>
            <w:noProof/>
            <w:webHidden/>
          </w:rPr>
          <w:t>25</w:t>
        </w:r>
        <w:r>
          <w:rPr>
            <w:noProof/>
            <w:webHidden/>
          </w:rPr>
          <w:fldChar w:fldCharType="end"/>
        </w:r>
      </w:hyperlink>
    </w:p>
    <w:p w14:paraId="270EAA79" w14:textId="166DACDC" w:rsidR="002007DE" w:rsidRDefault="002007DE">
      <w:pPr>
        <w:pStyle w:val="TOC3"/>
        <w:rPr>
          <w:rFonts w:asciiTheme="minorHAnsi" w:eastAsiaTheme="minorEastAsia" w:hAnsiTheme="minorHAnsi" w:cstheme="minorBidi"/>
          <w:noProof/>
          <w:sz w:val="22"/>
          <w:szCs w:val="22"/>
          <w:lang w:eastAsia="en-AU"/>
        </w:rPr>
      </w:pPr>
      <w:hyperlink w:anchor="_Toc15579821" w:history="1">
        <w:r w:rsidRPr="002D0EE9">
          <w:rPr>
            <w:rStyle w:val="Hyperlink"/>
            <w:noProof/>
          </w:rPr>
          <w:t>Specific events – Breaches</w:t>
        </w:r>
        <w:r>
          <w:rPr>
            <w:noProof/>
            <w:webHidden/>
          </w:rPr>
          <w:tab/>
        </w:r>
        <w:r>
          <w:rPr>
            <w:noProof/>
            <w:webHidden/>
          </w:rPr>
          <w:fldChar w:fldCharType="begin"/>
        </w:r>
        <w:r>
          <w:rPr>
            <w:noProof/>
            <w:webHidden/>
          </w:rPr>
          <w:instrText xml:space="preserve"> PAGEREF _Toc15579821 \h </w:instrText>
        </w:r>
        <w:r>
          <w:rPr>
            <w:noProof/>
            <w:webHidden/>
          </w:rPr>
        </w:r>
        <w:r>
          <w:rPr>
            <w:noProof/>
            <w:webHidden/>
          </w:rPr>
          <w:fldChar w:fldCharType="separate"/>
        </w:r>
        <w:r>
          <w:rPr>
            <w:noProof/>
            <w:webHidden/>
          </w:rPr>
          <w:t>26</w:t>
        </w:r>
        <w:r>
          <w:rPr>
            <w:noProof/>
            <w:webHidden/>
          </w:rPr>
          <w:fldChar w:fldCharType="end"/>
        </w:r>
      </w:hyperlink>
    </w:p>
    <w:p w14:paraId="78AEB6F9" w14:textId="31907740" w:rsidR="002007DE" w:rsidRDefault="002007DE">
      <w:pPr>
        <w:pStyle w:val="TOC3"/>
        <w:rPr>
          <w:rFonts w:asciiTheme="minorHAnsi" w:eastAsiaTheme="minorEastAsia" w:hAnsiTheme="minorHAnsi" w:cstheme="minorBidi"/>
          <w:noProof/>
          <w:sz w:val="22"/>
          <w:szCs w:val="22"/>
          <w:lang w:eastAsia="en-AU"/>
        </w:rPr>
      </w:pPr>
      <w:hyperlink w:anchor="_Toc15579822" w:history="1">
        <w:r w:rsidRPr="002D0EE9">
          <w:rPr>
            <w:rStyle w:val="Hyperlink"/>
            <w:noProof/>
          </w:rPr>
          <w:t>Force majeure</w:t>
        </w:r>
        <w:r>
          <w:rPr>
            <w:noProof/>
            <w:webHidden/>
          </w:rPr>
          <w:tab/>
        </w:r>
        <w:r>
          <w:rPr>
            <w:noProof/>
            <w:webHidden/>
          </w:rPr>
          <w:fldChar w:fldCharType="begin"/>
        </w:r>
        <w:r>
          <w:rPr>
            <w:noProof/>
            <w:webHidden/>
          </w:rPr>
          <w:instrText xml:space="preserve"> PAGEREF _Toc15579822 \h </w:instrText>
        </w:r>
        <w:r>
          <w:rPr>
            <w:noProof/>
            <w:webHidden/>
          </w:rPr>
        </w:r>
        <w:r>
          <w:rPr>
            <w:noProof/>
            <w:webHidden/>
          </w:rPr>
          <w:fldChar w:fldCharType="separate"/>
        </w:r>
        <w:r>
          <w:rPr>
            <w:noProof/>
            <w:webHidden/>
          </w:rPr>
          <w:t>26</w:t>
        </w:r>
        <w:r>
          <w:rPr>
            <w:noProof/>
            <w:webHidden/>
          </w:rPr>
          <w:fldChar w:fldCharType="end"/>
        </w:r>
      </w:hyperlink>
    </w:p>
    <w:p w14:paraId="61AE788C" w14:textId="6D58FA87" w:rsidR="002007DE" w:rsidRDefault="002007DE">
      <w:pPr>
        <w:pStyle w:val="TOC2"/>
        <w:rPr>
          <w:rFonts w:asciiTheme="minorHAnsi" w:eastAsiaTheme="minorEastAsia" w:hAnsiTheme="minorHAnsi" w:cstheme="minorBidi"/>
          <w:b w:val="0"/>
          <w:sz w:val="22"/>
          <w:szCs w:val="22"/>
          <w:lang w:eastAsia="en-AU"/>
        </w:rPr>
      </w:pPr>
      <w:hyperlink w:anchor="_Toc15579823" w:history="1">
        <w:r w:rsidRPr="002D0EE9">
          <w:rPr>
            <w:rStyle w:val="Hyperlink"/>
          </w:rPr>
          <w:t>Appendix: Text-equivalent descriptions of figures</w:t>
        </w:r>
        <w:r>
          <w:rPr>
            <w:webHidden/>
          </w:rPr>
          <w:tab/>
        </w:r>
        <w:r>
          <w:rPr>
            <w:webHidden/>
          </w:rPr>
          <w:fldChar w:fldCharType="begin"/>
        </w:r>
        <w:r>
          <w:rPr>
            <w:webHidden/>
          </w:rPr>
          <w:instrText xml:space="preserve"> PAGEREF _Toc15579823 \h </w:instrText>
        </w:r>
        <w:r>
          <w:rPr>
            <w:webHidden/>
          </w:rPr>
        </w:r>
        <w:r>
          <w:rPr>
            <w:webHidden/>
          </w:rPr>
          <w:fldChar w:fldCharType="separate"/>
        </w:r>
        <w:r>
          <w:rPr>
            <w:webHidden/>
          </w:rPr>
          <w:t>27</w:t>
        </w:r>
        <w:r>
          <w:rPr>
            <w:webHidden/>
          </w:rPr>
          <w:fldChar w:fldCharType="end"/>
        </w:r>
      </w:hyperlink>
    </w:p>
    <w:p w14:paraId="13E18F5E" w14:textId="3F93CD8C" w:rsidR="00EB272E" w:rsidRDefault="00E15DA9" w:rsidP="00213772">
      <w:pPr>
        <w:pStyle w:val="TOC2"/>
        <w:rPr>
          <w:noProof w:val="0"/>
        </w:rPr>
      </w:pPr>
      <w:r w:rsidRPr="003072C6">
        <w:rPr>
          <w:noProof w:val="0"/>
        </w:rPr>
        <w:fldChar w:fldCharType="end"/>
      </w:r>
    </w:p>
    <w:p w14:paraId="2EC57CB2" w14:textId="77777777" w:rsidR="00EB272E" w:rsidRDefault="00EB272E">
      <w:pPr>
        <w:rPr>
          <w:rFonts w:ascii="Arial" w:hAnsi="Arial"/>
          <w:b/>
        </w:rPr>
      </w:pPr>
      <w:r>
        <w:br w:type="page"/>
      </w:r>
    </w:p>
    <w:p w14:paraId="2E20E3C6" w14:textId="13DED75A" w:rsidR="00955B36" w:rsidRDefault="00955B36" w:rsidP="00F02751">
      <w:pPr>
        <w:pStyle w:val="Heading1"/>
        <w:ind w:left="0"/>
        <w:sectPr w:rsidR="00955B36" w:rsidSect="00492BF4">
          <w:headerReference w:type="even" r:id="rId15"/>
          <w:headerReference w:type="default" r:id="rId16"/>
          <w:footerReference w:type="even" r:id="rId17"/>
          <w:footerReference w:type="default" r:id="rId18"/>
          <w:headerReference w:type="first" r:id="rId19"/>
          <w:pgSz w:w="11906" w:h="16838" w:code="9"/>
          <w:pgMar w:top="1701" w:right="1304" w:bottom="1134" w:left="1304" w:header="454" w:footer="510" w:gutter="0"/>
          <w:cols w:space="720"/>
          <w:docGrid w:linePitch="360"/>
        </w:sectPr>
      </w:pPr>
      <w:bookmarkStart w:id="3" w:name="_Toc486512515"/>
      <w:bookmarkStart w:id="4" w:name="_Toc486513080"/>
      <w:bookmarkStart w:id="5" w:name="_Toc516827330"/>
    </w:p>
    <w:p w14:paraId="1B765C1B" w14:textId="77044538" w:rsidR="00BF42AB" w:rsidRDefault="00DE1942" w:rsidP="001817A3">
      <w:pPr>
        <w:pStyle w:val="Heading2"/>
      </w:pPr>
      <w:bookmarkStart w:id="6" w:name="_Toc15579800"/>
      <w:r>
        <w:lastRenderedPageBreak/>
        <w:t xml:space="preserve">The </w:t>
      </w:r>
      <w:r w:rsidR="007450D2">
        <w:t>Framework</w:t>
      </w:r>
      <w:bookmarkEnd w:id="3"/>
      <w:bookmarkEnd w:id="4"/>
      <w:bookmarkEnd w:id="5"/>
      <w:bookmarkEnd w:id="6"/>
    </w:p>
    <w:p w14:paraId="6C0068FC" w14:textId="2565D951" w:rsidR="00837D4F" w:rsidRDefault="00BD5333" w:rsidP="00351905">
      <w:pPr>
        <w:pStyle w:val="DHHSbody"/>
      </w:pPr>
      <w:r>
        <w:t xml:space="preserve">The </w:t>
      </w:r>
      <w:r w:rsidRPr="008B0EB1">
        <w:rPr>
          <w:i/>
        </w:rPr>
        <w:t xml:space="preserve">Victorian </w:t>
      </w:r>
      <w:r w:rsidR="00053174">
        <w:rPr>
          <w:i/>
        </w:rPr>
        <w:t>h</w:t>
      </w:r>
      <w:r w:rsidRPr="008B0EB1">
        <w:rPr>
          <w:i/>
        </w:rPr>
        <w:t xml:space="preserve">ealth </w:t>
      </w:r>
      <w:r w:rsidR="00053174">
        <w:rPr>
          <w:i/>
        </w:rPr>
        <w:t>s</w:t>
      </w:r>
      <w:r w:rsidRPr="008B0EB1">
        <w:rPr>
          <w:i/>
        </w:rPr>
        <w:t xml:space="preserve">ervices </w:t>
      </w:r>
      <w:r w:rsidR="00B3596F">
        <w:rPr>
          <w:i/>
        </w:rPr>
        <w:t>P</w:t>
      </w:r>
      <w:r w:rsidRPr="008B0EB1">
        <w:rPr>
          <w:i/>
        </w:rPr>
        <w:t>erfor</w:t>
      </w:r>
      <w:r w:rsidR="006F1656" w:rsidRPr="008B0EB1">
        <w:rPr>
          <w:i/>
        </w:rPr>
        <w:t xml:space="preserve">mance </w:t>
      </w:r>
      <w:r w:rsidR="00B3596F">
        <w:rPr>
          <w:i/>
        </w:rPr>
        <w:t>M</w:t>
      </w:r>
      <w:r w:rsidR="006F1656">
        <w:rPr>
          <w:i/>
        </w:rPr>
        <w:t xml:space="preserve">onitoring </w:t>
      </w:r>
      <w:r w:rsidR="00B3596F">
        <w:rPr>
          <w:i/>
        </w:rPr>
        <w:t>F</w:t>
      </w:r>
      <w:r w:rsidR="006F1656">
        <w:rPr>
          <w:i/>
        </w:rPr>
        <w:t>ramew</w:t>
      </w:r>
      <w:r>
        <w:rPr>
          <w:i/>
        </w:rPr>
        <w:t>ork</w:t>
      </w:r>
      <w:r>
        <w:t xml:space="preserve"> (the Framework) articulates the Government’s performance monitoring of our Victorian public health services and hospitals</w:t>
      </w:r>
      <w:r w:rsidR="0044258A">
        <w:t>.</w:t>
      </w:r>
      <w:r>
        <w:t xml:space="preserve"> </w:t>
      </w:r>
      <w:r w:rsidR="00837D4F">
        <w:t>The Framework promotes transparency and shared accountability for performance improvement across the system and helps inform future policy and planning strategies.</w:t>
      </w:r>
    </w:p>
    <w:p w14:paraId="1614387B" w14:textId="7B545932" w:rsidR="00BF42AB" w:rsidRDefault="00F93B3B" w:rsidP="00F84C75">
      <w:pPr>
        <w:pStyle w:val="DHHSbody"/>
      </w:pPr>
      <w:r>
        <w:t xml:space="preserve">The </w:t>
      </w:r>
      <w:r w:rsidR="007450D2">
        <w:t>Framework</w:t>
      </w:r>
      <w:r>
        <w:t xml:space="preserve"> </w:t>
      </w:r>
      <w:r w:rsidR="00F84C75">
        <w:t>describes the contextual, strategic and operational aspects of monitoring and improving health services</w:t>
      </w:r>
      <w:r w:rsidR="00E61B48">
        <w:t>’</w:t>
      </w:r>
      <w:r w:rsidR="00F84C75">
        <w:t xml:space="preserve"> performance</w:t>
      </w:r>
      <w:r w:rsidR="001F65E4">
        <w:t>. It also describes</w:t>
      </w:r>
      <w:r w:rsidR="00F84C75">
        <w:t xml:space="preserve"> the</w:t>
      </w:r>
      <w:r w:rsidR="002C332A">
        <w:t xml:space="preserve"> various</w:t>
      </w:r>
      <w:r w:rsidR="00F84C75">
        <w:t xml:space="preserve"> role</w:t>
      </w:r>
      <w:r w:rsidR="00CE2E37">
        <w:t>s</w:t>
      </w:r>
      <w:r w:rsidR="00F84C75">
        <w:t xml:space="preserve"> </w:t>
      </w:r>
      <w:r w:rsidR="00E43F88">
        <w:t xml:space="preserve">the </w:t>
      </w:r>
      <w:r w:rsidR="00F651C8">
        <w:rPr>
          <w:lang w:eastAsia="en-AU"/>
        </w:rPr>
        <w:t>Department of Health and Human Services (the department)</w:t>
      </w:r>
      <w:r w:rsidR="00E43F88">
        <w:t xml:space="preserve">, </w:t>
      </w:r>
      <w:r w:rsidR="00F84C75">
        <w:t>Safer Care Victoria</w:t>
      </w:r>
      <w:r w:rsidR="00362EF0">
        <w:t xml:space="preserve"> (SCV)</w:t>
      </w:r>
      <w:r w:rsidR="00F84C75">
        <w:t xml:space="preserve"> and the Victorian Agency for Health Information</w:t>
      </w:r>
      <w:r w:rsidR="00362EF0">
        <w:t xml:space="preserve"> (VAHI)</w:t>
      </w:r>
      <w:r w:rsidR="00F84C75">
        <w:t xml:space="preserve"> have in </w:t>
      </w:r>
      <w:r w:rsidR="00E43F88">
        <w:t>building</w:t>
      </w:r>
      <w:r w:rsidR="000D4577">
        <w:t>, designing and monitoring</w:t>
      </w:r>
      <w:r w:rsidR="00E43F88">
        <w:t xml:space="preserve"> </w:t>
      </w:r>
      <w:r w:rsidR="001F65E4">
        <w:t xml:space="preserve">best practice </w:t>
      </w:r>
      <w:r w:rsidR="00E43F88">
        <w:t xml:space="preserve">indicators </w:t>
      </w:r>
      <w:r w:rsidR="001F65E4">
        <w:t>to</w:t>
      </w:r>
      <w:r w:rsidR="00F84C75">
        <w:t xml:space="preserve"> </w:t>
      </w:r>
      <w:r w:rsidR="00AA11FA">
        <w:t xml:space="preserve">assist with </w:t>
      </w:r>
      <w:r w:rsidR="00F84C75">
        <w:t>the implementation of health services</w:t>
      </w:r>
      <w:r w:rsidR="00363B35">
        <w:t>’</w:t>
      </w:r>
      <w:r w:rsidR="00F84C75">
        <w:t xml:space="preserve"> performance strateg</w:t>
      </w:r>
      <w:r w:rsidR="00363B35">
        <w:t>ies</w:t>
      </w:r>
      <w:r w:rsidR="00F84C75">
        <w:t>.</w:t>
      </w:r>
    </w:p>
    <w:p w14:paraId="4250EAEB" w14:textId="47A5D399" w:rsidR="00007D51" w:rsidRDefault="00710906" w:rsidP="005448EB">
      <w:pPr>
        <w:pStyle w:val="DHHSbody"/>
      </w:pPr>
      <w:bookmarkStart w:id="7" w:name="_Toc456344265"/>
      <w:bookmarkStart w:id="8" w:name="_Toc428799826"/>
      <w:r>
        <w:t xml:space="preserve">The </w:t>
      </w:r>
      <w:r w:rsidR="007450D2">
        <w:t>Framework</w:t>
      </w:r>
      <w:r>
        <w:t xml:space="preserve"> was extensively revised following the </w:t>
      </w:r>
      <w:r w:rsidRPr="00327F4A">
        <w:rPr>
          <w:i/>
        </w:rPr>
        <w:t>Review o</w:t>
      </w:r>
      <w:r w:rsidR="006F1656" w:rsidRPr="00327F4A">
        <w:rPr>
          <w:i/>
        </w:rPr>
        <w:t>f hospital safety and quality assu</w:t>
      </w:r>
      <w:r w:rsidRPr="00327F4A">
        <w:rPr>
          <w:i/>
        </w:rPr>
        <w:t>rance in Victoria</w:t>
      </w:r>
      <w:r>
        <w:t xml:space="preserve"> (</w:t>
      </w:r>
      <w:r w:rsidRPr="00900BF4">
        <w:rPr>
          <w:i/>
        </w:rPr>
        <w:t>Targeting Zero</w:t>
      </w:r>
      <w:r>
        <w:t xml:space="preserve">). The 2019-20 </w:t>
      </w:r>
      <w:r w:rsidR="007450D2">
        <w:t>Framework</w:t>
      </w:r>
      <w:r>
        <w:t xml:space="preserve"> builds on this foundation </w:t>
      </w:r>
      <w:r w:rsidR="00EA5DAD">
        <w:t xml:space="preserve">with </w:t>
      </w:r>
      <w:r w:rsidR="0032070D">
        <w:t>this year’</w:t>
      </w:r>
      <w:r w:rsidR="00933634">
        <w:t>s</w:t>
      </w:r>
      <w:r w:rsidR="00EA5DAD">
        <w:t xml:space="preserve"> </w:t>
      </w:r>
      <w:r>
        <w:t>changes strengthen</w:t>
      </w:r>
      <w:r w:rsidR="00EA5DAD">
        <w:t>ing</w:t>
      </w:r>
      <w:r>
        <w:t xml:space="preserve"> the monitoring of health service performance in Victoria</w:t>
      </w:r>
      <w:r w:rsidR="000D4577">
        <w:t xml:space="preserve">, </w:t>
      </w:r>
      <w:r w:rsidR="00EA5DAD">
        <w:t>ultimately assisting</w:t>
      </w:r>
      <w:r w:rsidR="000D4577">
        <w:t xml:space="preserve"> our health services </w:t>
      </w:r>
      <w:r w:rsidR="00EA5DAD">
        <w:t>in</w:t>
      </w:r>
      <w:r w:rsidR="000D4577">
        <w:t xml:space="preserve"> continuing </w:t>
      </w:r>
      <w:r w:rsidR="0006426D">
        <w:t xml:space="preserve">to </w:t>
      </w:r>
      <w:r w:rsidR="000D4577">
        <w:t xml:space="preserve">deliver </w:t>
      </w:r>
      <w:r w:rsidR="0006426D">
        <w:t>safe, high-</w:t>
      </w:r>
      <w:r w:rsidR="00B53063">
        <w:t xml:space="preserve">quality </w:t>
      </w:r>
      <w:r w:rsidR="0006426D">
        <w:t xml:space="preserve">care and experiences </w:t>
      </w:r>
      <w:r w:rsidR="000D4577">
        <w:t>to Victorians</w:t>
      </w:r>
      <w:r>
        <w:t>.</w:t>
      </w:r>
    </w:p>
    <w:p w14:paraId="57E9DA41" w14:textId="1FACC6BC" w:rsidR="00710906" w:rsidRDefault="00710906" w:rsidP="00710906">
      <w:pPr>
        <w:pStyle w:val="DHHSbody"/>
      </w:pPr>
      <w:r>
        <w:rPr>
          <w:rFonts w:cs="Arial"/>
          <w:lang w:val="en-US"/>
        </w:rPr>
        <w:t xml:space="preserve">The </w:t>
      </w:r>
      <w:r w:rsidR="007450D2">
        <w:rPr>
          <w:rFonts w:cs="Arial"/>
          <w:lang w:val="en-US"/>
        </w:rPr>
        <w:t>Framework</w:t>
      </w:r>
      <w:r>
        <w:rPr>
          <w:rFonts w:cs="Arial"/>
          <w:lang w:val="en-US"/>
        </w:rPr>
        <w:t xml:space="preserve"> continues to operate</w:t>
      </w:r>
      <w:r w:rsidRPr="00E56F35">
        <w:t xml:space="preserve"> </w:t>
      </w:r>
      <w:r>
        <w:t>in accord</w:t>
      </w:r>
      <w:r w:rsidR="006E2D6F">
        <w:t>ance</w:t>
      </w:r>
      <w:r>
        <w:t xml:space="preserve"> with</w:t>
      </w:r>
      <w:r w:rsidRPr="00E56F35">
        <w:t xml:space="preserve"> the </w:t>
      </w:r>
      <w:r w:rsidRPr="00E56F35">
        <w:rPr>
          <w:i/>
        </w:rPr>
        <w:t>Health Services Act 1988</w:t>
      </w:r>
      <w:bookmarkStart w:id="9" w:name="_Toc456344249"/>
      <w:r w:rsidRPr="00E56F35">
        <w:t xml:space="preserve"> </w:t>
      </w:r>
      <w:r w:rsidR="00FD76F9">
        <w:t>(</w:t>
      </w:r>
      <w:r w:rsidR="00A57405">
        <w:t>HSA</w:t>
      </w:r>
      <w:r w:rsidR="00FD76F9">
        <w:t xml:space="preserve">) </w:t>
      </w:r>
      <w:r w:rsidRPr="00E56F35">
        <w:t>and</w:t>
      </w:r>
      <w:r w:rsidR="005448EB">
        <w:t xml:space="preserve"> </w:t>
      </w:r>
      <w:r w:rsidRPr="00E56F35">
        <w:t>other contextual elements</w:t>
      </w:r>
      <w:r w:rsidR="008C50BB">
        <w:t xml:space="preserve"> (see Figure 1)</w:t>
      </w:r>
      <w:r w:rsidR="00017551">
        <w:t>,</w:t>
      </w:r>
      <w:r w:rsidRPr="00E56F35">
        <w:t xml:space="preserve"> </w:t>
      </w:r>
      <w:r w:rsidR="008C50BB">
        <w:t>including</w:t>
      </w:r>
      <w:r w:rsidRPr="00E56F35">
        <w:t>:</w:t>
      </w:r>
    </w:p>
    <w:p w14:paraId="1E654329" w14:textId="5407D57C" w:rsidR="00710906" w:rsidRPr="00E56F35" w:rsidRDefault="00710906" w:rsidP="00471EF2">
      <w:pPr>
        <w:pStyle w:val="DHHSbullet1"/>
      </w:pPr>
      <w:r w:rsidRPr="00E56F35">
        <w:t>the Government</w:t>
      </w:r>
      <w:r>
        <w:t>’</w:t>
      </w:r>
      <w:r w:rsidRPr="00E56F35">
        <w:t>s commitment to making real and measurable contribution to Victorians</w:t>
      </w:r>
      <w:r>
        <w:t>’</w:t>
      </w:r>
      <w:r w:rsidRPr="00E56F35">
        <w:t xml:space="preserve"> lives as outlined in the </w:t>
      </w:r>
      <w:r w:rsidR="006A157B">
        <w:t xml:space="preserve">department’s </w:t>
      </w:r>
      <w:r w:rsidRPr="00900BF4">
        <w:t xml:space="preserve">Outcomes </w:t>
      </w:r>
      <w:r w:rsidR="007450D2" w:rsidRPr="00900BF4">
        <w:t>Framework</w:t>
      </w:r>
      <w:r w:rsidR="0053200D">
        <w:t xml:space="preserve">, and </w:t>
      </w:r>
      <w:r w:rsidRPr="00E56F35">
        <w:t>the vision for Victoria</w:t>
      </w:r>
      <w:r>
        <w:t>’</w:t>
      </w:r>
      <w:r w:rsidRPr="00E56F35">
        <w:t xml:space="preserve">s health system as </w:t>
      </w:r>
      <w:r w:rsidR="00073422">
        <w:t>detailed</w:t>
      </w:r>
      <w:r w:rsidRPr="00E56F35">
        <w:t xml:space="preserve"> in </w:t>
      </w:r>
      <w:r w:rsidRPr="00A168D5">
        <w:rPr>
          <w:i/>
        </w:rPr>
        <w:t>Health 2040:</w:t>
      </w:r>
      <w:r w:rsidR="00722F94" w:rsidRPr="00A168D5">
        <w:rPr>
          <w:i/>
        </w:rPr>
        <w:t xml:space="preserve"> A</w:t>
      </w:r>
      <w:r w:rsidRPr="00A168D5">
        <w:rPr>
          <w:i/>
        </w:rPr>
        <w:t>dvancing health, access and care</w:t>
      </w:r>
      <w:r w:rsidR="0053200D">
        <w:t xml:space="preserve"> and</w:t>
      </w:r>
    </w:p>
    <w:p w14:paraId="3092E35D" w14:textId="5FFE25E5" w:rsidR="00441555" w:rsidRPr="00A168D5" w:rsidRDefault="00A25BDB" w:rsidP="00A168D5">
      <w:pPr>
        <w:pStyle w:val="DHHSbullet1"/>
        <w:rPr>
          <w:b/>
        </w:rPr>
      </w:pPr>
      <w:r w:rsidRPr="00E56F35">
        <w:t xml:space="preserve">service delivery </w:t>
      </w:r>
      <w:r>
        <w:t xml:space="preserve">targets, </w:t>
      </w:r>
      <w:r w:rsidRPr="00E56F35">
        <w:t xml:space="preserve">as set out </w:t>
      </w:r>
      <w:r w:rsidR="000529B4">
        <w:t xml:space="preserve">by </w:t>
      </w:r>
      <w:r>
        <w:t>each health service’s</w:t>
      </w:r>
      <w:r w:rsidRPr="00E56F35">
        <w:t xml:space="preserve"> </w:t>
      </w:r>
      <w:r w:rsidRPr="00900BF4">
        <w:t>Statement of Priorities</w:t>
      </w:r>
      <w:r w:rsidRPr="00E56F35">
        <w:t xml:space="preserve"> (SOP)</w:t>
      </w:r>
      <w:r w:rsidR="002B676D">
        <w:t xml:space="preserve">, and </w:t>
      </w:r>
      <w:r w:rsidR="00A07513">
        <w:t xml:space="preserve">the </w:t>
      </w:r>
      <w:r w:rsidRPr="00E56F35">
        <w:t xml:space="preserve">conditions of funding as outlined in the </w:t>
      </w:r>
      <w:r w:rsidRPr="00900BF4">
        <w:t xml:space="preserve">Policy and Funding </w:t>
      </w:r>
      <w:r>
        <w:t>G</w:t>
      </w:r>
      <w:r w:rsidRPr="00900BF4">
        <w:t>uidelines</w:t>
      </w:r>
      <w:r w:rsidR="00521A0A">
        <w:t>.</w:t>
      </w:r>
      <w:bookmarkEnd w:id="7"/>
      <w:bookmarkEnd w:id="9"/>
    </w:p>
    <w:p w14:paraId="40645FD3" w14:textId="3400A938" w:rsidR="00560194" w:rsidRPr="0044258A" w:rsidRDefault="00F84C75" w:rsidP="00471EF2">
      <w:pPr>
        <w:pStyle w:val="DHHSfigurecaption"/>
      </w:pPr>
      <w:r w:rsidRPr="00900BF4">
        <w:t xml:space="preserve">Figure 1: </w:t>
      </w:r>
      <w:r w:rsidR="00387412" w:rsidRPr="00900BF4">
        <w:t>The</w:t>
      </w:r>
      <w:r w:rsidRPr="00900BF4">
        <w:t xml:space="preserve"> </w:t>
      </w:r>
      <w:r w:rsidR="007450D2" w:rsidRPr="00900BF4">
        <w:t>Framework</w:t>
      </w:r>
      <w:r w:rsidR="00387412" w:rsidRPr="00900BF4">
        <w:t xml:space="preserve"> – </w:t>
      </w:r>
      <w:r w:rsidR="00D03EDB">
        <w:t>K</w:t>
      </w:r>
      <w:r w:rsidRPr="00900BF4">
        <w:t>ey contextual elements</w:t>
      </w:r>
    </w:p>
    <w:p w14:paraId="0DEDC6D3" w14:textId="1376C32C" w:rsidR="00F84C75" w:rsidRDefault="00560194" w:rsidP="003F0FE3">
      <w:pPr>
        <w:pStyle w:val="DHHSbodyafterbullets"/>
        <w:jc w:val="center"/>
      </w:pPr>
      <w:r>
        <w:rPr>
          <w:noProof/>
        </w:rPr>
        <w:drawing>
          <wp:inline distT="0" distB="0" distL="0" distR="0" wp14:anchorId="206B9E61" wp14:editId="09216509">
            <wp:extent cx="4350397" cy="4352925"/>
            <wp:effectExtent l="0" t="0" r="5080" b="2540"/>
            <wp:docPr id="26" name="Picture 26" descr="For a text-equivalent description of this figure, follow the link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1806002_Fig1_Broader_system.png"/>
                    <pic:cNvPicPr/>
                  </pic:nvPicPr>
                  <pic:blipFill>
                    <a:blip r:embed="rId20"/>
                    <a:stretch>
                      <a:fillRect/>
                    </a:stretch>
                  </pic:blipFill>
                  <pic:spPr>
                    <a:xfrm>
                      <a:off x="0" y="0"/>
                      <a:ext cx="4350397" cy="4352925"/>
                    </a:xfrm>
                    <a:prstGeom prst="rect">
                      <a:avLst/>
                    </a:prstGeom>
                  </pic:spPr>
                </pic:pic>
              </a:graphicData>
            </a:graphic>
          </wp:inline>
        </w:drawing>
      </w:r>
    </w:p>
    <w:p w14:paraId="4E2A2981" w14:textId="1AE04B74" w:rsidR="00441555" w:rsidRPr="00560194" w:rsidRDefault="002007DE" w:rsidP="00441555">
      <w:pPr>
        <w:pStyle w:val="DHHSbodyaftertablefigure"/>
      </w:pPr>
      <w:hyperlink w:anchor="Figure1Description" w:history="1">
        <w:r w:rsidR="00441555" w:rsidRPr="00441555">
          <w:rPr>
            <w:rStyle w:val="Hyperlink"/>
          </w:rPr>
          <w:t>Text-equivalent description of Figure 1 in the Appendix</w:t>
        </w:r>
      </w:hyperlink>
    </w:p>
    <w:p w14:paraId="385ABC21" w14:textId="408A6E48" w:rsidR="00A239D5" w:rsidRPr="00A239D5" w:rsidRDefault="00A239D5" w:rsidP="00A239D5">
      <w:pPr>
        <w:pStyle w:val="Heading2"/>
      </w:pPr>
      <w:bookmarkStart w:id="10" w:name="_About_the_Framework"/>
      <w:bookmarkStart w:id="11" w:name="_Toc486512517"/>
      <w:bookmarkStart w:id="12" w:name="_Toc486513082"/>
      <w:bookmarkStart w:id="13" w:name="_Toc516827332"/>
      <w:bookmarkStart w:id="14" w:name="_Toc15579801"/>
      <w:bookmarkEnd w:id="8"/>
      <w:bookmarkEnd w:id="10"/>
      <w:r>
        <w:lastRenderedPageBreak/>
        <w:t>About</w:t>
      </w:r>
      <w:r w:rsidR="00606104">
        <w:t xml:space="preserve"> the </w:t>
      </w:r>
      <w:r w:rsidR="007450D2">
        <w:t>Framework</w:t>
      </w:r>
      <w:bookmarkEnd w:id="14"/>
    </w:p>
    <w:p w14:paraId="640CF5B3" w14:textId="1CF17465" w:rsidR="005263AB" w:rsidRDefault="005263AB" w:rsidP="005263AB">
      <w:pPr>
        <w:pStyle w:val="DHHSbody"/>
      </w:pPr>
      <w:r>
        <w:t>The Framework utilises the Key Performance Measures (captured quantifiable data) and additional metrics</w:t>
      </w:r>
      <w:r w:rsidR="00344E8C">
        <w:t xml:space="preserve">, </w:t>
      </w:r>
      <w:r>
        <w:t>consist</w:t>
      </w:r>
      <w:r w:rsidR="00344E8C">
        <w:t>ing</w:t>
      </w:r>
      <w:r>
        <w:t xml:space="preserve"> of the Underlying Risk Factors, third party reports and other intelligence</w:t>
      </w:r>
      <w:r w:rsidR="00344E8C">
        <w:t>,</w:t>
      </w:r>
      <w:r>
        <w:t xml:space="preserve"> to inform performance evaluation.</w:t>
      </w:r>
    </w:p>
    <w:p w14:paraId="76588F78" w14:textId="78263148" w:rsidR="00F84C75" w:rsidRDefault="004737CD" w:rsidP="00A239D5">
      <w:pPr>
        <w:pStyle w:val="Heading3"/>
      </w:pPr>
      <w:bookmarkStart w:id="15" w:name="_Toc15579802"/>
      <w:bookmarkEnd w:id="11"/>
      <w:bookmarkEnd w:id="12"/>
      <w:bookmarkEnd w:id="13"/>
      <w:r>
        <w:t>Performance strategy</w:t>
      </w:r>
      <w:bookmarkEnd w:id="15"/>
    </w:p>
    <w:p w14:paraId="734F1D80" w14:textId="0FEDC7EC" w:rsidR="00BF42AB" w:rsidRDefault="002F2363" w:rsidP="00F84C75">
      <w:pPr>
        <w:pStyle w:val="DHHSbody"/>
      </w:pPr>
      <w:bookmarkStart w:id="16" w:name="_Toc456344248"/>
      <w:r>
        <w:t>T</w:t>
      </w:r>
      <w:r w:rsidR="00F84C75">
        <w:t xml:space="preserve">he </w:t>
      </w:r>
      <w:r w:rsidR="007450D2">
        <w:t>Framework</w:t>
      </w:r>
      <w:r w:rsidR="0066156F">
        <w:t xml:space="preserve"> </w:t>
      </w:r>
      <w:r w:rsidR="00F84C75">
        <w:t xml:space="preserve">has </w:t>
      </w:r>
      <w:r w:rsidR="009441CF">
        <w:t>evolved over time to draw on a broader range of factors that impact the performance of health services</w:t>
      </w:r>
      <w:r w:rsidR="00C75F0F">
        <w:t>,</w:t>
      </w:r>
      <w:r w:rsidR="009441CF">
        <w:t xml:space="preserve"> and outcomes they provide for patients and the community</w:t>
      </w:r>
      <w:r w:rsidR="00F84C75">
        <w:t xml:space="preserve">. </w:t>
      </w:r>
      <w:r w:rsidR="009441CF">
        <w:t xml:space="preserve">The findings of </w:t>
      </w:r>
      <w:r w:rsidR="009441CF" w:rsidRPr="00900BF4">
        <w:rPr>
          <w:i/>
        </w:rPr>
        <w:t>Targeting Zero</w:t>
      </w:r>
      <w:r w:rsidR="009441CF">
        <w:t xml:space="preserve"> provided a further catalyst to focus on </w:t>
      </w:r>
      <w:r w:rsidR="003307E0">
        <w:t>the p</w:t>
      </w:r>
      <w:r w:rsidR="00B80416">
        <w:t>roficiency</w:t>
      </w:r>
      <w:r w:rsidR="003307E0">
        <w:t xml:space="preserve"> of </w:t>
      </w:r>
      <w:r w:rsidR="00C75F0F">
        <w:t xml:space="preserve">‘performance </w:t>
      </w:r>
      <w:r w:rsidR="003307E0">
        <w:t>domains</w:t>
      </w:r>
      <w:r w:rsidR="00C75F0F">
        <w:t>’</w:t>
      </w:r>
      <w:r w:rsidR="003307E0">
        <w:t>.</w:t>
      </w:r>
    </w:p>
    <w:p w14:paraId="43873459" w14:textId="251EEEF8" w:rsidR="00173C64" w:rsidRDefault="00D96A28" w:rsidP="00900BF4">
      <w:pPr>
        <w:pStyle w:val="DHHSbody"/>
      </w:pPr>
      <w:r>
        <w:t xml:space="preserve">The </w:t>
      </w:r>
      <w:r w:rsidR="007450D2">
        <w:t>Framework</w:t>
      </w:r>
      <w:r>
        <w:t xml:space="preserve"> outlines how the department, as the </w:t>
      </w:r>
      <w:r w:rsidR="00E97E7C">
        <w:t xml:space="preserve">system </w:t>
      </w:r>
      <w:r w:rsidR="008D2583">
        <w:t xml:space="preserve">steward </w:t>
      </w:r>
      <w:r>
        <w:t>of Victoria</w:t>
      </w:r>
      <w:r w:rsidR="00E61B48">
        <w:t>’</w:t>
      </w:r>
      <w:r>
        <w:t xml:space="preserve">s public health </w:t>
      </w:r>
      <w:r w:rsidR="008D2583">
        <w:t>system</w:t>
      </w:r>
      <w:r>
        <w:t>, takes a risk-based approach to overseeing health service</w:t>
      </w:r>
      <w:r w:rsidR="00C75F0F">
        <w:t xml:space="preserve"> performance</w:t>
      </w:r>
      <w:r>
        <w:t xml:space="preserve">. The </w:t>
      </w:r>
      <w:r w:rsidR="007450D2">
        <w:t>Framework</w:t>
      </w:r>
      <w:r>
        <w:t xml:space="preserve"> is designed to assess the level of </w:t>
      </w:r>
      <w:r w:rsidR="004D72F0">
        <w:t xml:space="preserve">performance </w:t>
      </w:r>
      <w:r>
        <w:t xml:space="preserve">risk posed to each </w:t>
      </w:r>
      <w:r w:rsidR="00C75F0F">
        <w:t xml:space="preserve">health </w:t>
      </w:r>
      <w:r>
        <w:t>service in relation to</w:t>
      </w:r>
      <w:r w:rsidR="005714D6">
        <w:t xml:space="preserve"> its</w:t>
      </w:r>
      <w:r>
        <w:t xml:space="preserve"> delivery of safe, high quality, accessible and sustainable health care for Victorian patients and communities. </w:t>
      </w:r>
      <w:r w:rsidR="005714D6">
        <w:t>Further, t</w:t>
      </w:r>
      <w:r w:rsidR="00173C64">
        <w:t xml:space="preserve">he </w:t>
      </w:r>
      <w:r w:rsidR="005714D6">
        <w:t xml:space="preserve">Framework </w:t>
      </w:r>
      <w:r w:rsidR="00E639BE">
        <w:t>uses targets and other intelligence to</w:t>
      </w:r>
      <w:r w:rsidR="005714D6">
        <w:t xml:space="preserve"> </w:t>
      </w:r>
      <w:r w:rsidR="00173C64">
        <w:t>identif</w:t>
      </w:r>
      <w:r w:rsidR="00AE7869">
        <w:t>y</w:t>
      </w:r>
      <w:r w:rsidR="00173C64">
        <w:t xml:space="preserve"> areas of </w:t>
      </w:r>
      <w:r w:rsidR="005714D6">
        <w:t xml:space="preserve">risk and </w:t>
      </w:r>
      <w:r w:rsidR="00173C64">
        <w:t>poor performance</w:t>
      </w:r>
      <w:r w:rsidR="00AE7869">
        <w:t>,</w:t>
      </w:r>
      <w:r w:rsidR="00173C64">
        <w:t xml:space="preserve"> </w:t>
      </w:r>
      <w:r w:rsidR="005714D6">
        <w:t xml:space="preserve">but also </w:t>
      </w:r>
      <w:r w:rsidR="00173C64">
        <w:t>considers whether a health service is improving over time</w:t>
      </w:r>
      <w:r w:rsidR="00AE7869">
        <w:t xml:space="preserve"> in relation to those targets.</w:t>
      </w:r>
    </w:p>
    <w:p w14:paraId="2AEEA3AC" w14:textId="783ABC9E" w:rsidR="00D96A28" w:rsidRDefault="00D96A28" w:rsidP="00946D7B">
      <w:pPr>
        <w:pStyle w:val="DHHSbody"/>
        <w:rPr>
          <w:lang w:eastAsia="en-AU"/>
        </w:rPr>
      </w:pPr>
      <w:r>
        <w:rPr>
          <w:lang w:eastAsia="en-AU"/>
        </w:rPr>
        <w:t>It therefore considers:</w:t>
      </w:r>
    </w:p>
    <w:p w14:paraId="30CAC88A" w14:textId="0768A7E6" w:rsidR="00D96A28" w:rsidRPr="00D96A28" w:rsidRDefault="00D96A28" w:rsidP="00946D7B">
      <w:pPr>
        <w:pStyle w:val="DHHSbullet1"/>
        <w:rPr>
          <w:lang w:eastAsia="en-AU"/>
        </w:rPr>
      </w:pPr>
      <w:r>
        <w:rPr>
          <w:lang w:eastAsia="en-AU"/>
        </w:rPr>
        <w:t xml:space="preserve">a </w:t>
      </w:r>
      <w:r w:rsidR="005714D6">
        <w:rPr>
          <w:lang w:eastAsia="en-AU"/>
        </w:rPr>
        <w:t xml:space="preserve">health </w:t>
      </w:r>
      <w:r>
        <w:rPr>
          <w:lang w:eastAsia="en-AU"/>
        </w:rPr>
        <w:t>service</w:t>
      </w:r>
      <w:r w:rsidR="00E61B48">
        <w:rPr>
          <w:lang w:eastAsia="en-AU"/>
        </w:rPr>
        <w:t>’</w:t>
      </w:r>
      <w:r>
        <w:rPr>
          <w:lang w:eastAsia="en-AU"/>
        </w:rPr>
        <w:t xml:space="preserve">s current performance </w:t>
      </w:r>
      <w:r w:rsidR="00857FC5">
        <w:rPr>
          <w:lang w:eastAsia="en-AU"/>
        </w:rPr>
        <w:t xml:space="preserve">and trends </w:t>
      </w:r>
      <w:r>
        <w:rPr>
          <w:lang w:eastAsia="en-AU"/>
        </w:rPr>
        <w:t xml:space="preserve">against </w:t>
      </w:r>
      <w:r w:rsidR="003307E0">
        <w:rPr>
          <w:lang w:eastAsia="en-AU"/>
        </w:rPr>
        <w:t xml:space="preserve">targets </w:t>
      </w:r>
      <w:r w:rsidR="00847F44">
        <w:rPr>
          <w:lang w:eastAsia="en-AU"/>
        </w:rPr>
        <w:t>of</w:t>
      </w:r>
      <w:r w:rsidR="005714D6">
        <w:rPr>
          <w:lang w:eastAsia="en-AU"/>
        </w:rPr>
        <w:t xml:space="preserve"> the</w:t>
      </w:r>
      <w:r w:rsidR="00EC3C20">
        <w:rPr>
          <w:lang w:eastAsia="en-AU"/>
        </w:rPr>
        <w:t xml:space="preserve"> </w:t>
      </w:r>
      <w:r w:rsidR="005714D6">
        <w:rPr>
          <w:lang w:eastAsia="en-AU"/>
        </w:rPr>
        <w:t>Key Performance Measures</w:t>
      </w:r>
      <w:r w:rsidR="00EC3C20">
        <w:rPr>
          <w:lang w:eastAsia="en-AU"/>
        </w:rPr>
        <w:t xml:space="preserve"> </w:t>
      </w:r>
      <w:r w:rsidR="003307E0">
        <w:rPr>
          <w:lang w:eastAsia="en-AU"/>
        </w:rPr>
        <w:t xml:space="preserve">within each </w:t>
      </w:r>
      <w:r w:rsidR="00C75F0F">
        <w:rPr>
          <w:lang w:eastAsia="en-AU"/>
        </w:rPr>
        <w:t xml:space="preserve">performance </w:t>
      </w:r>
      <w:r w:rsidR="003307E0">
        <w:rPr>
          <w:lang w:eastAsia="en-AU"/>
        </w:rPr>
        <w:t>domain</w:t>
      </w:r>
      <w:r w:rsidR="00847F44">
        <w:rPr>
          <w:lang w:eastAsia="en-AU"/>
        </w:rPr>
        <w:t xml:space="preserve"> and</w:t>
      </w:r>
    </w:p>
    <w:p w14:paraId="6E7C14FF" w14:textId="553FFD9E" w:rsidR="00D96A28" w:rsidRDefault="00595472" w:rsidP="008C511B">
      <w:pPr>
        <w:pStyle w:val="DHHSbullet1"/>
        <w:rPr>
          <w:lang w:eastAsia="en-AU"/>
        </w:rPr>
      </w:pPr>
      <w:r>
        <w:rPr>
          <w:lang w:eastAsia="en-AU"/>
        </w:rPr>
        <w:t>the U</w:t>
      </w:r>
      <w:r w:rsidR="00D96A28">
        <w:rPr>
          <w:lang w:eastAsia="en-AU"/>
        </w:rPr>
        <w:t xml:space="preserve">nderlying </w:t>
      </w:r>
      <w:r>
        <w:rPr>
          <w:lang w:eastAsia="en-AU"/>
        </w:rPr>
        <w:t>R</w:t>
      </w:r>
      <w:r w:rsidR="00D96A28">
        <w:rPr>
          <w:lang w:eastAsia="en-AU"/>
        </w:rPr>
        <w:t xml:space="preserve">isk </w:t>
      </w:r>
      <w:r>
        <w:rPr>
          <w:lang w:eastAsia="en-AU"/>
        </w:rPr>
        <w:t>F</w:t>
      </w:r>
      <w:r w:rsidR="00D96A28">
        <w:rPr>
          <w:lang w:eastAsia="en-AU"/>
        </w:rPr>
        <w:t>actors</w:t>
      </w:r>
      <w:r w:rsidR="001102F9">
        <w:rPr>
          <w:lang w:eastAsia="en-AU"/>
        </w:rPr>
        <w:t>,</w:t>
      </w:r>
      <w:r w:rsidR="00FB7B30">
        <w:rPr>
          <w:lang w:eastAsia="en-AU"/>
        </w:rPr>
        <w:t xml:space="preserve"> </w:t>
      </w:r>
      <w:r w:rsidR="001102F9">
        <w:rPr>
          <w:lang w:eastAsia="en-AU"/>
        </w:rPr>
        <w:t>t</w:t>
      </w:r>
      <w:r w:rsidR="00FB7B30">
        <w:rPr>
          <w:lang w:eastAsia="en-AU"/>
        </w:rPr>
        <w:t xml:space="preserve">hird party reports </w:t>
      </w:r>
      <w:r w:rsidR="004B4F98">
        <w:rPr>
          <w:lang w:eastAsia="en-AU"/>
        </w:rPr>
        <w:t>and</w:t>
      </w:r>
      <w:r w:rsidR="00FB7B30">
        <w:rPr>
          <w:lang w:eastAsia="en-AU"/>
        </w:rPr>
        <w:t xml:space="preserve"> </w:t>
      </w:r>
      <w:r w:rsidR="00D96A28">
        <w:rPr>
          <w:lang w:eastAsia="en-AU"/>
        </w:rPr>
        <w:t xml:space="preserve">other </w:t>
      </w:r>
      <w:r w:rsidR="00FB7B30">
        <w:rPr>
          <w:lang w:eastAsia="en-AU"/>
        </w:rPr>
        <w:t>intelligence</w:t>
      </w:r>
      <w:r w:rsidR="00D96A28">
        <w:rPr>
          <w:lang w:eastAsia="en-AU"/>
        </w:rPr>
        <w:t xml:space="preserve"> that may indicate emerging or underlying risks to future performance</w:t>
      </w:r>
      <w:r w:rsidR="005F1996">
        <w:rPr>
          <w:lang w:eastAsia="en-AU"/>
        </w:rPr>
        <w:t xml:space="preserve"> (i.e. contextual factors)</w:t>
      </w:r>
      <w:r w:rsidR="00D96A28">
        <w:rPr>
          <w:lang w:eastAsia="en-AU"/>
        </w:rPr>
        <w:t>.</w:t>
      </w:r>
    </w:p>
    <w:p w14:paraId="04EA32CF" w14:textId="77777777" w:rsidR="00007D51" w:rsidRDefault="00D96A28" w:rsidP="004F4A95">
      <w:pPr>
        <w:pStyle w:val="DHHSbodyafterbullets"/>
      </w:pPr>
      <w:r>
        <w:t xml:space="preserve">The department </w:t>
      </w:r>
      <w:r w:rsidR="00904272">
        <w:t xml:space="preserve">provides </w:t>
      </w:r>
      <w:r>
        <w:t xml:space="preserve">more </w:t>
      </w:r>
      <w:r w:rsidR="002277D0">
        <w:t xml:space="preserve">advanced </w:t>
      </w:r>
      <w:r>
        <w:t xml:space="preserve">support </w:t>
      </w:r>
      <w:r w:rsidR="00904272">
        <w:t xml:space="preserve">to </w:t>
      </w:r>
      <w:r>
        <w:t xml:space="preserve">those services with greater risks to the safety, accessibility or sustainability of their service. The </w:t>
      </w:r>
      <w:r w:rsidR="007450D2">
        <w:t>Framework</w:t>
      </w:r>
      <w:r>
        <w:t xml:space="preserve"> </w:t>
      </w:r>
      <w:r w:rsidR="001D26D2">
        <w:t>allows</w:t>
      </w:r>
      <w:r>
        <w:t xml:space="preserve"> the department </w:t>
      </w:r>
      <w:r w:rsidR="001D26D2">
        <w:t xml:space="preserve">to </w:t>
      </w:r>
      <w:r>
        <w:t xml:space="preserve">assess </w:t>
      </w:r>
      <w:r w:rsidR="001D26D2">
        <w:t xml:space="preserve">the </w:t>
      </w:r>
      <w:r>
        <w:t xml:space="preserve">level of </w:t>
      </w:r>
      <w:r w:rsidR="0066156F">
        <w:t xml:space="preserve">performance </w:t>
      </w:r>
      <w:r>
        <w:t>risk</w:t>
      </w:r>
      <w:r w:rsidR="00A35256">
        <w:t>,</w:t>
      </w:r>
      <w:r w:rsidR="001D26D2">
        <w:t xml:space="preserve"> and</w:t>
      </w:r>
      <w:r>
        <w:t xml:space="preserve"> identif</w:t>
      </w:r>
      <w:r w:rsidR="001D26D2">
        <w:t>y</w:t>
      </w:r>
      <w:r>
        <w:t xml:space="preserve"> </w:t>
      </w:r>
      <w:r w:rsidR="001D26D2">
        <w:t xml:space="preserve">the </w:t>
      </w:r>
      <w:r>
        <w:t>type and focus of support required.</w:t>
      </w:r>
    </w:p>
    <w:p w14:paraId="053E39E4" w14:textId="774BD662" w:rsidR="00007D51" w:rsidRDefault="00360FB9" w:rsidP="004F4A95">
      <w:pPr>
        <w:pStyle w:val="DHHSbodyafterbullets"/>
      </w:pPr>
      <w:r>
        <w:t>The 201</w:t>
      </w:r>
      <w:r w:rsidR="001D26D2">
        <w:t>9-20</w:t>
      </w:r>
      <w:r>
        <w:t xml:space="preserve"> </w:t>
      </w:r>
      <w:r w:rsidR="007450D2">
        <w:t>Framework</w:t>
      </w:r>
      <w:r>
        <w:t xml:space="preserve"> continues to sharpen this </w:t>
      </w:r>
      <w:r w:rsidR="007A29D5">
        <w:t>approach</w:t>
      </w:r>
      <w:r>
        <w:t xml:space="preserve"> and strengthens the emphasis on contextual factors that underpin performance</w:t>
      </w:r>
      <w:r w:rsidR="001D26D2">
        <w:t>, acknowledging the complexity of health service delivery</w:t>
      </w:r>
      <w:r w:rsidR="0066156F">
        <w:t>.</w:t>
      </w:r>
      <w:r>
        <w:t xml:space="preserve"> </w:t>
      </w:r>
      <w:r w:rsidR="0066156F">
        <w:t xml:space="preserve">These contextual factors </w:t>
      </w:r>
      <w:r>
        <w:t xml:space="preserve">provide early indications of </w:t>
      </w:r>
      <w:r w:rsidR="000E5916">
        <w:t xml:space="preserve">issues that can </w:t>
      </w:r>
      <w:r w:rsidR="00B8369F">
        <w:t>impact</w:t>
      </w:r>
      <w:r>
        <w:t xml:space="preserve"> patient outcomes</w:t>
      </w:r>
      <w:r w:rsidR="00786261">
        <w:t>. Examples</w:t>
      </w:r>
      <w:r>
        <w:t xml:space="preserve"> include</w:t>
      </w:r>
      <w:r w:rsidR="00150300">
        <w:t>:</w:t>
      </w:r>
    </w:p>
    <w:p w14:paraId="034DFCAB" w14:textId="77777777" w:rsidR="00007D51" w:rsidRDefault="00360FB9" w:rsidP="00900BF4">
      <w:pPr>
        <w:pStyle w:val="DHHSbullet1"/>
        <w:rPr>
          <w:lang w:eastAsia="en-AU"/>
        </w:rPr>
      </w:pPr>
      <w:r>
        <w:rPr>
          <w:lang w:eastAsia="en-AU"/>
        </w:rPr>
        <w:t>the strength of financial, corporate</w:t>
      </w:r>
      <w:r w:rsidR="00786261">
        <w:rPr>
          <w:lang w:eastAsia="en-AU"/>
        </w:rPr>
        <w:t>,</w:t>
      </w:r>
      <w:r>
        <w:rPr>
          <w:lang w:eastAsia="en-AU"/>
        </w:rPr>
        <w:t xml:space="preserve"> and clinical governance and leadership</w:t>
      </w:r>
    </w:p>
    <w:p w14:paraId="597A6D4E" w14:textId="77777777" w:rsidR="00007D51" w:rsidRDefault="00360FB9" w:rsidP="00900BF4">
      <w:pPr>
        <w:pStyle w:val="DHHSbullet1"/>
        <w:rPr>
          <w:lang w:eastAsia="en-AU"/>
        </w:rPr>
      </w:pPr>
      <w:r>
        <w:rPr>
          <w:lang w:eastAsia="en-AU"/>
        </w:rPr>
        <w:t xml:space="preserve">leading indicators that may reveal underlying </w:t>
      </w:r>
      <w:r w:rsidR="00786261">
        <w:rPr>
          <w:lang w:eastAsia="en-AU"/>
        </w:rPr>
        <w:t xml:space="preserve">potential </w:t>
      </w:r>
      <w:r>
        <w:rPr>
          <w:lang w:eastAsia="en-AU"/>
        </w:rPr>
        <w:t>risks to the quality and safety of care and</w:t>
      </w:r>
    </w:p>
    <w:p w14:paraId="0BAD4697" w14:textId="61E2EBBC" w:rsidR="00F84C75" w:rsidRDefault="00360FB9" w:rsidP="00900BF4">
      <w:pPr>
        <w:pStyle w:val="DHHSbullet1"/>
      </w:pPr>
      <w:r>
        <w:rPr>
          <w:lang w:eastAsia="en-AU"/>
        </w:rPr>
        <w:t>qualitative measures</w:t>
      </w:r>
      <w:r w:rsidR="00935D20">
        <w:rPr>
          <w:lang w:eastAsia="en-AU"/>
        </w:rPr>
        <w:t xml:space="preserve"> from a variety of sources</w:t>
      </w:r>
      <w:r>
        <w:rPr>
          <w:lang w:eastAsia="en-AU"/>
        </w:rPr>
        <w:t xml:space="preserve"> that </w:t>
      </w:r>
      <w:r w:rsidR="00935D20">
        <w:rPr>
          <w:lang w:eastAsia="en-AU"/>
        </w:rPr>
        <w:t>can reveal performance issues before they become performance failures.</w:t>
      </w:r>
    </w:p>
    <w:p w14:paraId="76479793" w14:textId="67EE8FA0" w:rsidR="00935D20" w:rsidRDefault="004F4A95" w:rsidP="00A239D5">
      <w:pPr>
        <w:pStyle w:val="Heading3"/>
      </w:pPr>
      <w:bookmarkStart w:id="17" w:name="_Toc516827333"/>
      <w:bookmarkStart w:id="18" w:name="_Toc486512518"/>
      <w:bookmarkStart w:id="19" w:name="_Toc486513083"/>
      <w:bookmarkStart w:id="20" w:name="_Toc441673257"/>
      <w:bookmarkStart w:id="21" w:name="_Toc442863877"/>
      <w:bookmarkStart w:id="22" w:name="_Toc15579803"/>
      <w:bookmarkEnd w:id="16"/>
      <w:r>
        <w:t xml:space="preserve">Future </w:t>
      </w:r>
      <w:r w:rsidR="00A239D5">
        <w:t>d</w:t>
      </w:r>
      <w:r w:rsidR="00CB3FA6">
        <w:t>irections</w:t>
      </w:r>
      <w:bookmarkEnd w:id="17"/>
      <w:bookmarkEnd w:id="22"/>
    </w:p>
    <w:p w14:paraId="6E9B2201" w14:textId="77777777" w:rsidR="00007D51" w:rsidRDefault="00266DE4" w:rsidP="00900BF4">
      <w:pPr>
        <w:pStyle w:val="DHHSbody"/>
        <w:rPr>
          <w:lang w:eastAsia="en-AU"/>
        </w:rPr>
      </w:pPr>
      <w:r>
        <w:rPr>
          <w:lang w:eastAsia="en-AU"/>
        </w:rPr>
        <w:t>Performance monitoring of Victorian health services involves a process of continual improvement to ensure that measurements are relevant to both system managers and health services, while remaining aligned to contemporary methods of service delivery. Looking beyond current practices and identifying opportunities for future improvement is a key component of this process</w:t>
      </w:r>
      <w:r w:rsidR="0085456E">
        <w:rPr>
          <w:lang w:eastAsia="en-AU"/>
        </w:rPr>
        <w:t>.</w:t>
      </w:r>
    </w:p>
    <w:p w14:paraId="1D6CEF58" w14:textId="5BCCE1CD" w:rsidR="00007D51" w:rsidRDefault="00984DC4" w:rsidP="00900BF4">
      <w:pPr>
        <w:pStyle w:val="DHHSbody"/>
        <w:rPr>
          <w:lang w:eastAsia="en-AU"/>
        </w:rPr>
      </w:pPr>
      <w:r>
        <w:rPr>
          <w:lang w:eastAsia="en-AU"/>
        </w:rPr>
        <w:t>T</w:t>
      </w:r>
      <w:r w:rsidR="00A85E5D">
        <w:rPr>
          <w:lang w:eastAsia="en-AU"/>
        </w:rPr>
        <w:t>he Framework</w:t>
      </w:r>
      <w:r>
        <w:rPr>
          <w:lang w:eastAsia="en-AU"/>
        </w:rPr>
        <w:t xml:space="preserve"> </w:t>
      </w:r>
      <w:r w:rsidR="003E3D36">
        <w:rPr>
          <w:lang w:eastAsia="en-AU"/>
        </w:rPr>
        <w:t xml:space="preserve">in 2019-20 will be </w:t>
      </w:r>
      <w:r>
        <w:rPr>
          <w:lang w:eastAsia="en-AU"/>
        </w:rPr>
        <w:t xml:space="preserve">published as </w:t>
      </w:r>
      <w:r w:rsidR="003E3D36">
        <w:rPr>
          <w:lang w:eastAsia="en-AU"/>
        </w:rPr>
        <w:t>two interconnected but separate documents</w:t>
      </w:r>
      <w:r w:rsidR="008805D5">
        <w:rPr>
          <w:lang w:eastAsia="en-AU"/>
        </w:rPr>
        <w:t xml:space="preserve"> as follows</w:t>
      </w:r>
      <w:r w:rsidR="00FC1CB9">
        <w:rPr>
          <w:lang w:eastAsia="en-AU"/>
        </w:rPr>
        <w:t>:</w:t>
      </w:r>
    </w:p>
    <w:p w14:paraId="2431D994" w14:textId="77777777" w:rsidR="00007D51" w:rsidRDefault="000F7137" w:rsidP="00B027D1">
      <w:pPr>
        <w:pStyle w:val="DHHSnumberdigit"/>
        <w:rPr>
          <w:lang w:eastAsia="en-AU"/>
        </w:rPr>
      </w:pPr>
      <w:r w:rsidRPr="007C3760">
        <w:rPr>
          <w:lang w:eastAsia="en-AU"/>
        </w:rPr>
        <w:t xml:space="preserve">Framework </w:t>
      </w:r>
      <w:r w:rsidR="00AB55E8">
        <w:rPr>
          <w:lang w:eastAsia="en-AU"/>
        </w:rPr>
        <w:t xml:space="preserve">– outlines the department’s risk-based approach </w:t>
      </w:r>
      <w:r>
        <w:rPr>
          <w:lang w:eastAsia="en-AU"/>
        </w:rPr>
        <w:t>and</w:t>
      </w:r>
    </w:p>
    <w:p w14:paraId="45F89DBE" w14:textId="1C5AB296" w:rsidR="00007D51" w:rsidRDefault="009236E2" w:rsidP="00B027D1">
      <w:pPr>
        <w:pStyle w:val="DHHSnumberdigit"/>
      </w:pPr>
      <w:r w:rsidRPr="00EE2506">
        <w:t>Key Performance Measures and Underlying Risk Factors</w:t>
      </w:r>
      <w:r>
        <w:t xml:space="preserve"> (the Business Rules).</w:t>
      </w:r>
    </w:p>
    <w:p w14:paraId="3C84276C" w14:textId="041C8227" w:rsidR="00007D51" w:rsidRDefault="003E3D36" w:rsidP="00B027D1">
      <w:pPr>
        <w:pStyle w:val="DHHSbody"/>
        <w:ind w:left="397"/>
        <w:rPr>
          <w:rFonts w:cs="Arial"/>
          <w:szCs w:val="22"/>
          <w:lang w:eastAsia="en-AU"/>
        </w:rPr>
      </w:pPr>
      <w:r>
        <w:t xml:space="preserve">The </w:t>
      </w:r>
      <w:r w:rsidR="000F7137">
        <w:rPr>
          <w:lang w:eastAsia="en-AU"/>
        </w:rPr>
        <w:t xml:space="preserve">Business Rules </w:t>
      </w:r>
      <w:r w:rsidR="000803FE">
        <w:rPr>
          <w:lang w:eastAsia="en-AU"/>
        </w:rPr>
        <w:t>were</w:t>
      </w:r>
      <w:r w:rsidR="000F7137">
        <w:rPr>
          <w:lang w:eastAsia="en-AU"/>
        </w:rPr>
        <w:t xml:space="preserve"> </w:t>
      </w:r>
      <w:r w:rsidR="0046653D">
        <w:rPr>
          <w:lang w:eastAsia="en-AU"/>
        </w:rPr>
        <w:t xml:space="preserve">previously </w:t>
      </w:r>
      <w:r w:rsidR="006C62CD">
        <w:rPr>
          <w:lang w:eastAsia="en-AU"/>
        </w:rPr>
        <w:t>‘</w:t>
      </w:r>
      <w:r w:rsidR="00A85E5D" w:rsidRPr="006C62CD">
        <w:rPr>
          <w:rFonts w:cs="Arial"/>
          <w:i/>
          <w:szCs w:val="22"/>
          <w:lang w:eastAsia="en-AU"/>
        </w:rPr>
        <w:t>Part 2</w:t>
      </w:r>
      <w:r w:rsidR="0046653D">
        <w:rPr>
          <w:rFonts w:cs="Arial"/>
          <w:i/>
          <w:szCs w:val="22"/>
          <w:lang w:eastAsia="en-AU"/>
        </w:rPr>
        <w:t>:</w:t>
      </w:r>
      <w:r w:rsidR="00A85E5D">
        <w:rPr>
          <w:rFonts w:cs="Arial"/>
          <w:szCs w:val="22"/>
          <w:lang w:eastAsia="en-AU"/>
        </w:rPr>
        <w:t xml:space="preserve"> </w:t>
      </w:r>
      <w:r w:rsidR="00C75F16" w:rsidRPr="00B50B70">
        <w:rPr>
          <w:rFonts w:cs="Arial"/>
          <w:i/>
          <w:szCs w:val="22"/>
          <w:lang w:eastAsia="en-AU"/>
        </w:rPr>
        <w:t>Indicators Business Rules</w:t>
      </w:r>
      <w:r w:rsidR="00C75F16">
        <w:rPr>
          <w:rFonts w:cs="Arial"/>
          <w:i/>
          <w:szCs w:val="22"/>
          <w:lang w:eastAsia="en-AU"/>
        </w:rPr>
        <w:t xml:space="preserve">’ </w:t>
      </w:r>
      <w:r w:rsidR="00A85E5D">
        <w:rPr>
          <w:rFonts w:cs="Arial"/>
          <w:szCs w:val="22"/>
          <w:lang w:eastAsia="en-AU"/>
        </w:rPr>
        <w:t>of the 2018-19 Framework</w:t>
      </w:r>
      <w:r w:rsidR="000803FE">
        <w:rPr>
          <w:rFonts w:cs="Arial"/>
          <w:szCs w:val="22"/>
          <w:lang w:eastAsia="en-AU"/>
        </w:rPr>
        <w:t xml:space="preserve">. The Business Rules </w:t>
      </w:r>
      <w:r w:rsidR="00C75F16">
        <w:rPr>
          <w:rFonts w:cs="Arial"/>
          <w:szCs w:val="22"/>
          <w:lang w:eastAsia="en-AU"/>
        </w:rPr>
        <w:t>contain</w:t>
      </w:r>
      <w:r w:rsidR="00A85E5D">
        <w:rPr>
          <w:rFonts w:cs="Arial"/>
          <w:szCs w:val="22"/>
          <w:lang w:eastAsia="en-AU"/>
        </w:rPr>
        <w:t xml:space="preserve"> </w:t>
      </w:r>
      <w:r w:rsidR="0046653D">
        <w:rPr>
          <w:rFonts w:cs="Arial"/>
          <w:szCs w:val="22"/>
          <w:lang w:eastAsia="en-AU"/>
        </w:rPr>
        <w:t>the</w:t>
      </w:r>
      <w:r w:rsidR="00A85E5D">
        <w:rPr>
          <w:rFonts w:cs="Arial"/>
          <w:szCs w:val="22"/>
          <w:lang w:eastAsia="en-AU"/>
        </w:rPr>
        <w:t xml:space="preserve"> list of Key Performance Measures and </w:t>
      </w:r>
      <w:r w:rsidR="003902F3">
        <w:rPr>
          <w:rFonts w:cs="Arial"/>
          <w:szCs w:val="22"/>
          <w:lang w:eastAsia="en-AU"/>
        </w:rPr>
        <w:t>U</w:t>
      </w:r>
      <w:r w:rsidR="00A85E5D">
        <w:rPr>
          <w:rFonts w:cs="Arial"/>
          <w:szCs w:val="22"/>
          <w:lang w:eastAsia="en-AU"/>
        </w:rPr>
        <w:t xml:space="preserve">nderlying </w:t>
      </w:r>
      <w:r w:rsidR="003902F3">
        <w:rPr>
          <w:rFonts w:cs="Arial"/>
          <w:szCs w:val="22"/>
          <w:lang w:eastAsia="en-AU"/>
        </w:rPr>
        <w:t>Risk F</w:t>
      </w:r>
      <w:r w:rsidR="00A85E5D">
        <w:rPr>
          <w:rFonts w:cs="Arial"/>
          <w:szCs w:val="22"/>
          <w:lang w:eastAsia="en-AU"/>
        </w:rPr>
        <w:t>actors</w:t>
      </w:r>
      <w:r w:rsidR="003902F3">
        <w:rPr>
          <w:rFonts w:cs="Arial"/>
          <w:szCs w:val="22"/>
          <w:lang w:eastAsia="en-AU"/>
        </w:rPr>
        <w:t>, as well as their temporal elements and technical specifications</w:t>
      </w:r>
      <w:r w:rsidR="0046653D">
        <w:rPr>
          <w:rFonts w:cs="Arial"/>
          <w:szCs w:val="22"/>
          <w:lang w:eastAsia="en-AU"/>
        </w:rPr>
        <w:t>, that support the Framework</w:t>
      </w:r>
      <w:r w:rsidR="00890C8C">
        <w:rPr>
          <w:rFonts w:cs="Arial"/>
          <w:szCs w:val="22"/>
          <w:lang w:eastAsia="en-AU"/>
        </w:rPr>
        <w:t>.</w:t>
      </w:r>
    </w:p>
    <w:p w14:paraId="6E43B3D1" w14:textId="1DE97DDE" w:rsidR="00007D51" w:rsidRDefault="00A85E5D" w:rsidP="00946D7B">
      <w:pPr>
        <w:pStyle w:val="DHHSbody"/>
        <w:rPr>
          <w:rFonts w:cs="Arial"/>
          <w:szCs w:val="22"/>
          <w:lang w:eastAsia="en-AU"/>
        </w:rPr>
      </w:pPr>
      <w:r w:rsidRPr="00B50B70">
        <w:rPr>
          <w:rFonts w:cs="Arial"/>
          <w:szCs w:val="22"/>
          <w:lang w:eastAsia="en-AU"/>
        </w:rPr>
        <w:t>This</w:t>
      </w:r>
      <w:r w:rsidR="00D76DDF">
        <w:rPr>
          <w:rFonts w:cs="Arial"/>
          <w:szCs w:val="22"/>
          <w:lang w:eastAsia="en-AU"/>
        </w:rPr>
        <w:t xml:space="preserve"> change </w:t>
      </w:r>
      <w:r w:rsidR="00E02B56">
        <w:rPr>
          <w:rFonts w:cs="Arial"/>
          <w:szCs w:val="22"/>
          <w:lang w:eastAsia="en-AU"/>
        </w:rPr>
        <w:t>allows</w:t>
      </w:r>
      <w:r w:rsidR="00D76DDF">
        <w:rPr>
          <w:rFonts w:cs="Arial"/>
          <w:szCs w:val="22"/>
          <w:lang w:eastAsia="en-AU"/>
        </w:rPr>
        <w:t xml:space="preserve"> for</w:t>
      </w:r>
      <w:r w:rsidRPr="00B50B70">
        <w:rPr>
          <w:rFonts w:cs="Arial"/>
          <w:szCs w:val="22"/>
          <w:lang w:eastAsia="en-AU"/>
        </w:rPr>
        <w:t xml:space="preserve"> amend</w:t>
      </w:r>
      <w:r w:rsidR="00232A88">
        <w:rPr>
          <w:rFonts w:cs="Arial"/>
          <w:szCs w:val="22"/>
          <w:lang w:eastAsia="en-AU"/>
        </w:rPr>
        <w:t>ment of</w:t>
      </w:r>
      <w:r w:rsidRPr="00B50B70">
        <w:rPr>
          <w:rFonts w:cs="Arial"/>
          <w:szCs w:val="22"/>
          <w:lang w:eastAsia="en-AU"/>
        </w:rPr>
        <w:t xml:space="preserve"> </w:t>
      </w:r>
      <w:r w:rsidR="00A33C66">
        <w:rPr>
          <w:rFonts w:cs="Arial"/>
          <w:szCs w:val="22"/>
          <w:lang w:eastAsia="en-AU"/>
        </w:rPr>
        <w:t xml:space="preserve">the </w:t>
      </w:r>
      <w:r w:rsidR="003902F3">
        <w:rPr>
          <w:rFonts w:cs="Arial"/>
          <w:szCs w:val="22"/>
          <w:lang w:eastAsia="en-AU"/>
        </w:rPr>
        <w:t>indicators and metrics</w:t>
      </w:r>
      <w:r w:rsidR="00232A88">
        <w:rPr>
          <w:rFonts w:cs="Arial"/>
          <w:szCs w:val="22"/>
          <w:lang w:eastAsia="en-AU"/>
        </w:rPr>
        <w:t xml:space="preserve"> </w:t>
      </w:r>
      <w:r w:rsidR="003902F3">
        <w:rPr>
          <w:rFonts w:cs="Arial"/>
          <w:szCs w:val="22"/>
          <w:lang w:eastAsia="en-AU"/>
        </w:rPr>
        <w:t xml:space="preserve">that </w:t>
      </w:r>
      <w:r w:rsidRPr="00B50B70">
        <w:rPr>
          <w:rFonts w:cs="Arial"/>
          <w:szCs w:val="22"/>
          <w:lang w:eastAsia="en-AU"/>
        </w:rPr>
        <w:t>support the Framework</w:t>
      </w:r>
      <w:r w:rsidR="00D76DDF">
        <w:rPr>
          <w:rFonts w:cs="Arial"/>
          <w:szCs w:val="22"/>
          <w:lang w:eastAsia="en-AU"/>
        </w:rPr>
        <w:t>,</w:t>
      </w:r>
      <w:r>
        <w:rPr>
          <w:rFonts w:cs="Arial"/>
          <w:szCs w:val="22"/>
          <w:lang w:eastAsia="en-AU"/>
        </w:rPr>
        <w:t xml:space="preserve"> as and when necessary</w:t>
      </w:r>
      <w:r w:rsidR="00E233CB">
        <w:rPr>
          <w:rFonts w:cs="Arial"/>
          <w:szCs w:val="22"/>
          <w:lang w:eastAsia="en-AU"/>
        </w:rPr>
        <w:t>,</w:t>
      </w:r>
      <w:r w:rsidR="00E02B56">
        <w:rPr>
          <w:rFonts w:cs="Arial"/>
          <w:szCs w:val="22"/>
          <w:lang w:eastAsia="en-AU"/>
        </w:rPr>
        <w:t xml:space="preserve"> throughout the year</w:t>
      </w:r>
      <w:r w:rsidRPr="00B50B70">
        <w:rPr>
          <w:rFonts w:cs="Arial"/>
          <w:szCs w:val="22"/>
          <w:lang w:eastAsia="en-AU"/>
        </w:rPr>
        <w:t>.</w:t>
      </w:r>
      <w:r w:rsidR="00247A81">
        <w:rPr>
          <w:rFonts w:cs="Arial"/>
          <w:szCs w:val="22"/>
          <w:lang w:eastAsia="en-AU"/>
        </w:rPr>
        <w:t xml:space="preserve"> </w:t>
      </w:r>
      <w:r w:rsidR="001A23AE">
        <w:rPr>
          <w:rFonts w:cs="Arial"/>
          <w:szCs w:val="22"/>
          <w:lang w:eastAsia="en-AU"/>
        </w:rPr>
        <w:t xml:space="preserve">This adjustment </w:t>
      </w:r>
      <w:r w:rsidR="00247A81" w:rsidRPr="00B50B70">
        <w:rPr>
          <w:rFonts w:cs="Arial"/>
          <w:szCs w:val="22"/>
          <w:lang w:eastAsia="en-AU"/>
        </w:rPr>
        <w:t xml:space="preserve">reflects a </w:t>
      </w:r>
      <w:r w:rsidR="00247A81">
        <w:rPr>
          <w:rFonts w:cs="Arial"/>
          <w:szCs w:val="22"/>
          <w:lang w:eastAsia="en-AU"/>
        </w:rPr>
        <w:t xml:space="preserve">simpler and </w:t>
      </w:r>
      <w:r w:rsidR="00247A81" w:rsidRPr="00B50B70">
        <w:rPr>
          <w:rFonts w:cs="Arial"/>
          <w:szCs w:val="22"/>
          <w:lang w:eastAsia="en-AU"/>
        </w:rPr>
        <w:t>more flexible approach to performance monitoring</w:t>
      </w:r>
      <w:r w:rsidR="00247A81">
        <w:rPr>
          <w:rFonts w:cs="Arial"/>
          <w:szCs w:val="22"/>
          <w:lang w:eastAsia="en-AU"/>
        </w:rPr>
        <w:t>.</w:t>
      </w:r>
    </w:p>
    <w:p w14:paraId="3E6FBB48" w14:textId="56D26B05" w:rsidR="00F84C75" w:rsidRPr="003A14B2" w:rsidRDefault="00F84C75" w:rsidP="00441AE1">
      <w:pPr>
        <w:pStyle w:val="Heading3"/>
      </w:pPr>
      <w:bookmarkStart w:id="23" w:name="_Toc486512519"/>
      <w:bookmarkStart w:id="24" w:name="_Toc486513084"/>
      <w:bookmarkStart w:id="25" w:name="_Toc516827334"/>
      <w:bookmarkStart w:id="26" w:name="_Toc15579804"/>
      <w:bookmarkEnd w:id="18"/>
      <w:bookmarkEnd w:id="19"/>
      <w:r w:rsidRPr="003A14B2">
        <w:lastRenderedPageBreak/>
        <w:t>Coverage</w:t>
      </w:r>
      <w:bookmarkEnd w:id="20"/>
      <w:bookmarkEnd w:id="21"/>
      <w:bookmarkEnd w:id="23"/>
      <w:bookmarkEnd w:id="24"/>
      <w:bookmarkEnd w:id="25"/>
      <w:bookmarkEnd w:id="26"/>
    </w:p>
    <w:p w14:paraId="5663ABAE" w14:textId="6477C228" w:rsidR="00BF42AB" w:rsidRDefault="00F84C75" w:rsidP="00F84C75">
      <w:pPr>
        <w:pStyle w:val="DHHSbody"/>
      </w:pPr>
      <w:r>
        <w:t>In exercising it</w:t>
      </w:r>
      <w:r w:rsidR="00B176A0">
        <w:t>s system stewardship role, the d</w:t>
      </w:r>
      <w:r>
        <w:t xml:space="preserve">epartment </w:t>
      </w:r>
      <w:r w:rsidR="00C804CE">
        <w:t xml:space="preserve">is a leader of </w:t>
      </w:r>
      <w:r>
        <w:t>the health system improvement agenda</w:t>
      </w:r>
      <w:r w:rsidR="000E5916">
        <w:t xml:space="preserve">. </w:t>
      </w:r>
      <w:r w:rsidR="00EB68B8">
        <w:t>In doing so, the department</w:t>
      </w:r>
      <w:r w:rsidR="000E5916">
        <w:t xml:space="preserve"> </w:t>
      </w:r>
      <w:r>
        <w:t>acknowledg</w:t>
      </w:r>
      <w:r w:rsidR="00EB68B8">
        <w:t>es</w:t>
      </w:r>
      <w:r>
        <w:t xml:space="preserve"> the </w:t>
      </w:r>
      <w:r w:rsidR="00C804CE">
        <w:t xml:space="preserve">leadership and </w:t>
      </w:r>
      <w:r>
        <w:t>contribution</w:t>
      </w:r>
      <w:r w:rsidR="004A1D7D">
        <w:t xml:space="preserve"> of,</w:t>
      </w:r>
      <w:r>
        <w:t xml:space="preserve"> and strong collaboration with</w:t>
      </w:r>
      <w:r w:rsidR="004A1D7D">
        <w:t>,</w:t>
      </w:r>
      <w:r>
        <w:t xml:space="preserve"> health services and other relevant entities, including private healthcare providers.</w:t>
      </w:r>
    </w:p>
    <w:p w14:paraId="3E039ED8" w14:textId="61607583" w:rsidR="00BF42AB" w:rsidRDefault="00F84C75" w:rsidP="00F84C75">
      <w:pPr>
        <w:pStyle w:val="DHHSbody"/>
      </w:pPr>
      <w:r w:rsidRPr="00FC12DA">
        <w:t xml:space="preserve">The </w:t>
      </w:r>
      <w:r w:rsidR="007450D2">
        <w:t>Framework</w:t>
      </w:r>
      <w:r>
        <w:t xml:space="preserve"> captures all </w:t>
      </w:r>
      <w:r w:rsidR="00C804CE">
        <w:t>publicly</w:t>
      </w:r>
      <w:r>
        <w:t xml:space="preserve"> funded health service providers including:</w:t>
      </w:r>
    </w:p>
    <w:p w14:paraId="7DB4FECF" w14:textId="48BE0CF3" w:rsidR="00F84C75" w:rsidRDefault="00F84C75" w:rsidP="00F84C75">
      <w:pPr>
        <w:pStyle w:val="DHHSbullet1"/>
      </w:pPr>
      <w:r w:rsidRPr="00FC12DA">
        <w:t>metropolitan health services</w:t>
      </w:r>
    </w:p>
    <w:p w14:paraId="23A0499B" w14:textId="77777777" w:rsidR="00F84C75" w:rsidRDefault="00F84C75" w:rsidP="00F84C75">
      <w:pPr>
        <w:pStyle w:val="DHHSbullet1"/>
      </w:pPr>
      <w:r w:rsidRPr="00FC12DA">
        <w:t>regional health services</w:t>
      </w:r>
    </w:p>
    <w:p w14:paraId="57348344" w14:textId="77777777" w:rsidR="00F84C75" w:rsidRDefault="00F84C75" w:rsidP="00F84C75">
      <w:pPr>
        <w:pStyle w:val="DHHSbullet1"/>
      </w:pPr>
      <w:r w:rsidRPr="00FC12DA">
        <w:t>subregional health services</w:t>
      </w:r>
    </w:p>
    <w:p w14:paraId="149CBE3E" w14:textId="77777777" w:rsidR="00F84C75" w:rsidRDefault="00F84C75" w:rsidP="00F84C75">
      <w:pPr>
        <w:pStyle w:val="DHHSbullet1"/>
      </w:pPr>
      <w:r w:rsidRPr="00FC12DA">
        <w:t>local health services</w:t>
      </w:r>
    </w:p>
    <w:p w14:paraId="5C3B11A2" w14:textId="77777777" w:rsidR="00F84C75" w:rsidRDefault="00F84C75" w:rsidP="00F84C75">
      <w:pPr>
        <w:pStyle w:val="DHHSbullet1"/>
      </w:pPr>
      <w:r>
        <w:t>small rural health services</w:t>
      </w:r>
    </w:p>
    <w:p w14:paraId="61206E22" w14:textId="77777777" w:rsidR="00F84C75" w:rsidRDefault="00F84C75" w:rsidP="00F84C75">
      <w:pPr>
        <w:pStyle w:val="DHHSbullet1"/>
      </w:pPr>
      <w:r>
        <w:t>multi-purpose s</w:t>
      </w:r>
      <w:r w:rsidRPr="00FC12DA">
        <w:t>ervices</w:t>
      </w:r>
    </w:p>
    <w:p w14:paraId="342DF8FA" w14:textId="64A18945" w:rsidR="00F84C75" w:rsidRDefault="00F84C75" w:rsidP="00F84C75">
      <w:pPr>
        <w:pStyle w:val="DHHSbullet1"/>
      </w:pPr>
      <w:r w:rsidRPr="00FC12DA">
        <w:t>Ambulance Victoria</w:t>
      </w:r>
    </w:p>
    <w:p w14:paraId="62B55480" w14:textId="72E2E803" w:rsidR="00F84C75" w:rsidRDefault="00F84C75" w:rsidP="00F84C75">
      <w:pPr>
        <w:pStyle w:val="DHHSbullet1"/>
      </w:pPr>
      <w:r w:rsidRPr="00FC12DA">
        <w:t>Dental Health Services Victoria</w:t>
      </w:r>
      <w:r w:rsidR="00287F60">
        <w:t xml:space="preserve"> and</w:t>
      </w:r>
    </w:p>
    <w:p w14:paraId="6177AFDA" w14:textId="77777777" w:rsidR="00F84C75" w:rsidRDefault="00F84C75" w:rsidP="00B226F3">
      <w:pPr>
        <w:pStyle w:val="DHHSbullet1"/>
      </w:pPr>
      <w:r>
        <w:t xml:space="preserve">the </w:t>
      </w:r>
      <w:r w:rsidRPr="00FC12DA">
        <w:t>Victorian Institute of Forensic Mental Health (Forensicare).</w:t>
      </w:r>
    </w:p>
    <w:p w14:paraId="6D986249" w14:textId="7A7A0D48" w:rsidR="00BF42AB" w:rsidRDefault="00F84C75" w:rsidP="00B87548">
      <w:pPr>
        <w:pStyle w:val="DHHSbodyafterbullets"/>
      </w:pPr>
      <w:r w:rsidRPr="00FC12DA">
        <w:t xml:space="preserve">The metropolitan and regional health services are defined under the </w:t>
      </w:r>
      <w:r w:rsidR="00407568">
        <w:t xml:space="preserve">HSA </w:t>
      </w:r>
      <w:r w:rsidRPr="00FC12DA">
        <w:t xml:space="preserve">as </w:t>
      </w:r>
      <w:r w:rsidR="00E61B48">
        <w:t>‘</w:t>
      </w:r>
      <w:r w:rsidRPr="00FC12DA">
        <w:t>public health services</w:t>
      </w:r>
      <w:r w:rsidR="00E61B48">
        <w:t>’</w:t>
      </w:r>
      <w:r>
        <w:t xml:space="preserve">. Together </w:t>
      </w:r>
      <w:r w:rsidRPr="00FC12DA">
        <w:t xml:space="preserve">with Dental Health Services Victoria, </w:t>
      </w:r>
      <w:r>
        <w:t>they</w:t>
      </w:r>
      <w:r w:rsidRPr="00FC12DA">
        <w:t xml:space="preserve"> are governed by boards of directors as set out under </w:t>
      </w:r>
      <w:r w:rsidR="0066156F">
        <w:t>section</w:t>
      </w:r>
      <w:r w:rsidRPr="00FC12DA">
        <w:t xml:space="preserve"> 65S</w:t>
      </w:r>
      <w:r>
        <w:t xml:space="preserve"> of the</w:t>
      </w:r>
      <w:r w:rsidR="00407568">
        <w:t xml:space="preserve"> HSA</w:t>
      </w:r>
      <w:r w:rsidRPr="00FC12DA">
        <w:t>.</w:t>
      </w:r>
    </w:p>
    <w:p w14:paraId="28C7CBFE" w14:textId="1FDB4134" w:rsidR="00BF42AB" w:rsidRDefault="00EE7DE9" w:rsidP="00F84C75">
      <w:pPr>
        <w:pStyle w:val="DHHSbody"/>
      </w:pPr>
      <w:r>
        <w:t>S</w:t>
      </w:r>
      <w:r w:rsidR="00F84C75" w:rsidRPr="00FC12DA">
        <w:t xml:space="preserve">ubregional, local and small rural health services are defined </w:t>
      </w:r>
      <w:r w:rsidR="00F84C75">
        <w:t xml:space="preserve">under the </w:t>
      </w:r>
      <w:r w:rsidR="00407568" w:rsidRPr="00407568">
        <w:t>HSA</w:t>
      </w:r>
      <w:r w:rsidR="00F84C75">
        <w:t xml:space="preserve"> </w:t>
      </w:r>
      <w:r w:rsidR="00F84C75" w:rsidRPr="00FC12DA">
        <w:t xml:space="preserve">as </w:t>
      </w:r>
      <w:r w:rsidR="00E61B48">
        <w:t>‘</w:t>
      </w:r>
      <w:r w:rsidR="00F84C75" w:rsidRPr="00FC12DA">
        <w:t>public hospit</w:t>
      </w:r>
      <w:r w:rsidR="00F84C75">
        <w:t>als</w:t>
      </w:r>
      <w:r w:rsidR="00E61B48">
        <w:t>’</w:t>
      </w:r>
      <w:r w:rsidR="00F84C75">
        <w:t xml:space="preserve"> and are governed by </w:t>
      </w:r>
      <w:r>
        <w:t xml:space="preserve">boards of </w:t>
      </w:r>
      <w:r w:rsidR="00F84C75">
        <w:t>directors</w:t>
      </w:r>
      <w:r w:rsidR="00F84C75" w:rsidRPr="00FC12DA">
        <w:t xml:space="preserve"> as set out under </w:t>
      </w:r>
      <w:r w:rsidR="0066156F">
        <w:t>section</w:t>
      </w:r>
      <w:r w:rsidR="00F84C75" w:rsidRPr="00FC12DA">
        <w:t xml:space="preserve"> 33</w:t>
      </w:r>
      <w:r w:rsidR="00F84C75">
        <w:t xml:space="preserve"> of </w:t>
      </w:r>
      <w:r w:rsidR="00407568">
        <w:t>the HSA</w:t>
      </w:r>
      <w:r w:rsidR="00F84C75">
        <w:t>.</w:t>
      </w:r>
    </w:p>
    <w:p w14:paraId="7E287168" w14:textId="5C31540D" w:rsidR="00F84C75" w:rsidRDefault="00EE7DE9" w:rsidP="00F84C75">
      <w:pPr>
        <w:pStyle w:val="DHHSbody"/>
      </w:pPr>
      <w:r>
        <w:t>M</w:t>
      </w:r>
      <w:r w:rsidR="00F84C75">
        <w:t>ulti-purpose</w:t>
      </w:r>
      <w:r w:rsidR="00F84C75" w:rsidRPr="00FC12DA">
        <w:t xml:space="preserve"> services </w:t>
      </w:r>
      <w:r w:rsidR="00F84C75">
        <w:t xml:space="preserve">are established under Part 4A of the </w:t>
      </w:r>
      <w:r w:rsidR="00D25031">
        <w:t>HSA and are</w:t>
      </w:r>
      <w:r w:rsidR="00F84C75">
        <w:t xml:space="preserve"> governed by boards of </w:t>
      </w:r>
      <w:r w:rsidR="000101C8">
        <w:t xml:space="preserve">directors </w:t>
      </w:r>
      <w:r w:rsidR="00F84C75">
        <w:t xml:space="preserve">as set out under </w:t>
      </w:r>
      <w:r w:rsidR="0066156F">
        <w:t>section</w:t>
      </w:r>
      <w:r w:rsidR="00F84C75">
        <w:t xml:space="preserve"> 115E of th</w:t>
      </w:r>
      <w:r w:rsidR="00287F60">
        <w:t>e</w:t>
      </w:r>
      <w:r w:rsidR="00F84C75">
        <w:t xml:space="preserve"> </w:t>
      </w:r>
      <w:r w:rsidR="00287F60">
        <w:t>HSA.</w:t>
      </w:r>
      <w:r w:rsidR="00F84C75">
        <w:t xml:space="preserve"> </w:t>
      </w:r>
      <w:r w:rsidR="00287F60">
        <w:t>They</w:t>
      </w:r>
      <w:r w:rsidR="00F84C75">
        <w:t xml:space="preserve"> are subject to similar governance and performance policies as public hospitals.</w:t>
      </w:r>
    </w:p>
    <w:p w14:paraId="7093A7A0" w14:textId="169F0574" w:rsidR="00F84C75" w:rsidRPr="00FC12DA" w:rsidRDefault="00F84C75" w:rsidP="00F84C75">
      <w:pPr>
        <w:pStyle w:val="DHHSbody"/>
      </w:pPr>
      <w:r w:rsidRPr="00FC12DA">
        <w:t>M</w:t>
      </w:r>
      <w:r>
        <w:t>ildura Base Hospital (</w:t>
      </w:r>
      <w:r w:rsidRPr="00FC12DA">
        <w:t>a privately</w:t>
      </w:r>
      <w:r w:rsidR="0066156F">
        <w:t>-</w:t>
      </w:r>
      <w:r w:rsidRPr="00FC12DA">
        <w:t>operated public hospital</w:t>
      </w:r>
      <w:r>
        <w:t>)</w:t>
      </w:r>
      <w:r w:rsidRPr="00FC12DA">
        <w:t xml:space="preserve"> and the three denominational hospitals</w:t>
      </w:r>
      <w:r>
        <w:t>, Calvary Health Care Bethlehem Limited, Mercy Public Hospitals Incorporated and St Vincent</w:t>
      </w:r>
      <w:r w:rsidR="00E61B48">
        <w:t>’</w:t>
      </w:r>
      <w:r>
        <w:t>s Hospital (Melbourne) Limited,</w:t>
      </w:r>
      <w:r w:rsidRPr="00FC12DA">
        <w:t xml:space="preserve"> are subject to similar performance</w:t>
      </w:r>
      <w:r>
        <w:t xml:space="preserve"> and oversight </w:t>
      </w:r>
      <w:r w:rsidRPr="00FC12DA">
        <w:t xml:space="preserve">provisions </w:t>
      </w:r>
      <w:r>
        <w:t>as</w:t>
      </w:r>
      <w:r w:rsidRPr="00FC12DA">
        <w:t xml:space="preserve"> public hospitals</w:t>
      </w:r>
      <w:r>
        <w:t>, as set o</w:t>
      </w:r>
      <w:r w:rsidR="00DF02DC">
        <w:t>ut in Part 3 and Part 3A of the HSA</w:t>
      </w:r>
      <w:r>
        <w:t>.</w:t>
      </w:r>
    </w:p>
    <w:p w14:paraId="6B92A746" w14:textId="1591FE67" w:rsidR="00F84C75" w:rsidRDefault="00F84C75" w:rsidP="00F84C75">
      <w:pPr>
        <w:pStyle w:val="DHHSbody"/>
      </w:pPr>
      <w:r>
        <w:t>Ambulance Victoria is</w:t>
      </w:r>
      <w:r w:rsidRPr="00FC12DA">
        <w:t xml:space="preserve"> </w:t>
      </w:r>
      <w:r>
        <w:t xml:space="preserve">established </w:t>
      </w:r>
      <w:r w:rsidRPr="00FC12DA">
        <w:t xml:space="preserve">under </w:t>
      </w:r>
      <w:r w:rsidR="0066156F">
        <w:t>section</w:t>
      </w:r>
      <w:r w:rsidRPr="00FC12DA">
        <w:t xml:space="preserve"> 23 of the </w:t>
      </w:r>
      <w:r w:rsidR="001974C2">
        <w:t xml:space="preserve">Ambulance </w:t>
      </w:r>
      <w:r w:rsidR="00407568">
        <w:t>S</w:t>
      </w:r>
      <w:r w:rsidR="001974C2">
        <w:t xml:space="preserve">ervices </w:t>
      </w:r>
      <w:r w:rsidR="00407568">
        <w:t>A</w:t>
      </w:r>
      <w:r w:rsidR="001974C2">
        <w:t>ct (ASA)</w:t>
      </w:r>
      <w:r w:rsidR="00407568">
        <w:t xml:space="preserve"> </w:t>
      </w:r>
      <w:r w:rsidRPr="00FC12DA">
        <w:t xml:space="preserve">and is governed by a board of directors as set out under </w:t>
      </w:r>
      <w:r w:rsidR="0066156F">
        <w:t>section</w:t>
      </w:r>
      <w:r w:rsidRPr="00FC12DA">
        <w:t xml:space="preserve"> 17 of t</w:t>
      </w:r>
      <w:r w:rsidR="00407568">
        <w:t>he ASA</w:t>
      </w:r>
      <w:r w:rsidRPr="00FC12DA">
        <w:t>.</w:t>
      </w:r>
    </w:p>
    <w:p w14:paraId="742815E6" w14:textId="4FF7D562" w:rsidR="00F84C75" w:rsidRDefault="001974C2" w:rsidP="00F84C75">
      <w:pPr>
        <w:pStyle w:val="DHHSbody"/>
      </w:pPr>
      <w:r>
        <w:t>Forensicare</w:t>
      </w:r>
      <w:r w:rsidR="006E4359">
        <w:t xml:space="preserve"> is</w:t>
      </w:r>
      <w:r w:rsidR="006E4359" w:rsidRPr="00FC12DA">
        <w:t xml:space="preserve"> established under</w:t>
      </w:r>
      <w:r w:rsidR="006E4359">
        <w:t xml:space="preserve"> </w:t>
      </w:r>
      <w:r w:rsidR="0066156F">
        <w:t xml:space="preserve">section </w:t>
      </w:r>
      <w:r w:rsidR="006E4359">
        <w:t>328 of</w:t>
      </w:r>
      <w:r w:rsidR="006E4359" w:rsidRPr="00FC12DA">
        <w:t xml:space="preserve"> the </w:t>
      </w:r>
      <w:r w:rsidR="006E4359" w:rsidRPr="003979BB">
        <w:rPr>
          <w:i/>
        </w:rPr>
        <w:t xml:space="preserve">Mental Health Act </w:t>
      </w:r>
      <w:r w:rsidR="006E4359">
        <w:rPr>
          <w:i/>
        </w:rPr>
        <w:t>2014</w:t>
      </w:r>
      <w:r w:rsidR="006E4359">
        <w:t xml:space="preserve"> (MHA).</w:t>
      </w:r>
      <w:r w:rsidR="006E4359" w:rsidRPr="00FC12DA">
        <w:t xml:space="preserve"> Forensicare is governed by a board of directors </w:t>
      </w:r>
      <w:r w:rsidR="006E4359">
        <w:t>pursuant to provisions in</w:t>
      </w:r>
      <w:r w:rsidR="006E4359" w:rsidRPr="00FC12DA">
        <w:t xml:space="preserve"> the </w:t>
      </w:r>
      <w:r w:rsidR="006E4359" w:rsidRPr="00407568">
        <w:t>MHA</w:t>
      </w:r>
      <w:r w:rsidR="006E4359">
        <w:t xml:space="preserve"> (Part 14 Division 2)</w:t>
      </w:r>
      <w:r w:rsidR="006E4359" w:rsidRPr="00FC12DA">
        <w:t>.</w:t>
      </w:r>
    </w:p>
    <w:p w14:paraId="40481191" w14:textId="77777777" w:rsidR="00E35D22" w:rsidRPr="001817A3" w:rsidRDefault="00E35D22" w:rsidP="001817A3">
      <w:pPr>
        <w:pStyle w:val="DHHSbody"/>
      </w:pPr>
      <w:r w:rsidRPr="001817A3">
        <w:br w:type="page"/>
      </w:r>
    </w:p>
    <w:p w14:paraId="45FD8DD5" w14:textId="35C9898A" w:rsidR="00935D20" w:rsidRDefault="00935D20" w:rsidP="00441AE1">
      <w:pPr>
        <w:pStyle w:val="Heading3"/>
      </w:pPr>
      <w:bookmarkStart w:id="27" w:name="_Toc516827335"/>
      <w:bookmarkStart w:id="28" w:name="_Toc15579805"/>
      <w:r>
        <w:lastRenderedPageBreak/>
        <w:t>Key changes for 201</w:t>
      </w:r>
      <w:r w:rsidR="009803E6">
        <w:t>9</w:t>
      </w:r>
      <w:r>
        <w:t>–</w:t>
      </w:r>
      <w:bookmarkEnd w:id="27"/>
      <w:r w:rsidR="009803E6">
        <w:t>20</w:t>
      </w:r>
      <w:bookmarkEnd w:id="28"/>
    </w:p>
    <w:p w14:paraId="5294FEA5" w14:textId="1CB9A1E0" w:rsidR="003231C9" w:rsidRDefault="00935D20" w:rsidP="00F84C75">
      <w:pPr>
        <w:pStyle w:val="DHHSbody"/>
      </w:pPr>
      <w:r>
        <w:t xml:space="preserve">The overall </w:t>
      </w:r>
      <w:r w:rsidR="007314A0">
        <w:t>risk-based approach</w:t>
      </w:r>
      <w:r>
        <w:t xml:space="preserve"> of the </w:t>
      </w:r>
      <w:r w:rsidR="007450D2">
        <w:t>Framework</w:t>
      </w:r>
      <w:r w:rsidR="0066156F">
        <w:t xml:space="preserve"> </w:t>
      </w:r>
      <w:r>
        <w:t xml:space="preserve">remains unchanged and builds on the </w:t>
      </w:r>
      <w:r w:rsidR="00A362D0">
        <w:t>progress</w:t>
      </w:r>
      <w:r>
        <w:t xml:space="preserve"> made in 2017</w:t>
      </w:r>
      <w:r w:rsidR="00ED5B38">
        <w:t xml:space="preserve"> and 2018</w:t>
      </w:r>
      <w:r>
        <w:t>. It retains the emphasis on four domains of performance: high quality and safe care; strong governance, leadership and culture; timely access to care; and effective financial management.</w:t>
      </w:r>
      <w:r w:rsidR="00392F5D">
        <w:t xml:space="preserve"> </w:t>
      </w:r>
    </w:p>
    <w:p w14:paraId="01ED93E1" w14:textId="29BB694C" w:rsidR="00FB76DB" w:rsidRDefault="00885830" w:rsidP="00FB76DB">
      <w:pPr>
        <w:pStyle w:val="DHHSbody"/>
      </w:pPr>
      <w:r>
        <w:t xml:space="preserve">A summary of </w:t>
      </w:r>
      <w:r w:rsidR="00473910">
        <w:t xml:space="preserve">the 2019-20 </w:t>
      </w:r>
      <w:r w:rsidR="00EC3C20" w:rsidRPr="00F847E6">
        <w:t xml:space="preserve">changes to </w:t>
      </w:r>
      <w:r w:rsidR="003902F3">
        <w:t xml:space="preserve">the </w:t>
      </w:r>
      <w:r w:rsidR="00154B21">
        <w:t>Key Performance Measures</w:t>
      </w:r>
      <w:r w:rsidR="00521797" w:rsidRPr="00F847E6">
        <w:t xml:space="preserve"> </w:t>
      </w:r>
      <w:r w:rsidR="00FB76DB">
        <w:t xml:space="preserve">and Underlying Risk Factors are </w:t>
      </w:r>
      <w:r w:rsidR="00C91466">
        <w:t xml:space="preserve">located </w:t>
      </w:r>
      <w:r w:rsidR="00A37841">
        <w:t xml:space="preserve">at the front of </w:t>
      </w:r>
      <w:r w:rsidR="00C91466">
        <w:t>the Business Rules</w:t>
      </w:r>
      <w:r w:rsidR="0043615E" w:rsidRPr="00F847E6">
        <w:t>.</w:t>
      </w:r>
      <w:r w:rsidR="00682E3E">
        <w:t xml:space="preserve"> </w:t>
      </w:r>
      <w:r w:rsidR="00FB76DB" w:rsidRPr="00F847E6">
        <w:t xml:space="preserve">The </w:t>
      </w:r>
      <w:r w:rsidR="00FB76DB" w:rsidRPr="001817A3">
        <w:t>Business Rules</w:t>
      </w:r>
      <w:r w:rsidR="00FB76DB">
        <w:t xml:space="preserve"> </w:t>
      </w:r>
      <w:r w:rsidR="00A37841">
        <w:t>are availa</w:t>
      </w:r>
      <w:r w:rsidR="000776C6">
        <w:t>b</w:t>
      </w:r>
      <w:r w:rsidR="00A37841">
        <w:t>le from</w:t>
      </w:r>
      <w:r w:rsidR="00FB76DB" w:rsidRPr="00F847E6">
        <w:t xml:space="preserve"> </w:t>
      </w:r>
      <w:r w:rsidR="00FB76DB">
        <w:t xml:space="preserve">the </w:t>
      </w:r>
      <w:hyperlink r:id="rId21" w:history="1">
        <w:r w:rsidR="00FB76DB" w:rsidRPr="001817A3">
          <w:rPr>
            <w:rStyle w:val="Hyperlink"/>
          </w:rPr>
          <w:t>Funding, performance and accountability webpage</w:t>
        </w:r>
      </w:hyperlink>
      <w:r w:rsidR="00FB76DB">
        <w:t xml:space="preserve"> &lt;</w:t>
      </w:r>
      <w:r w:rsidR="00FB76DB" w:rsidRPr="001817A3">
        <w:t>https://www2.health.vic.gov.au/hospitals-and-health-services/funding-performance-accountability</w:t>
      </w:r>
      <w:r w:rsidR="00FB76DB">
        <w:t>&gt;.</w:t>
      </w:r>
    </w:p>
    <w:p w14:paraId="066FEF29" w14:textId="2E7FD395" w:rsidR="00870FF1" w:rsidRDefault="003231C9" w:rsidP="00F84C75">
      <w:pPr>
        <w:pStyle w:val="DHHSbody"/>
      </w:pPr>
      <w:r>
        <w:t>One significant change i</w:t>
      </w:r>
      <w:r w:rsidR="00A07863">
        <w:t>n 2019-20</w:t>
      </w:r>
      <w:r>
        <w:t xml:space="preserve"> is the creation of</w:t>
      </w:r>
      <w:r w:rsidR="00682E3E">
        <w:t xml:space="preserve"> </w:t>
      </w:r>
      <w:r w:rsidR="008C3B8C">
        <w:t xml:space="preserve">a pipeline of </w:t>
      </w:r>
      <w:r w:rsidR="00294211">
        <w:t>indicator</w:t>
      </w:r>
      <w:r w:rsidR="008C3B8C">
        <w:t xml:space="preserve"> development</w:t>
      </w:r>
      <w:r w:rsidR="00EA1064">
        <w:t>.</w:t>
      </w:r>
      <w:r w:rsidR="00434CB7">
        <w:t xml:space="preserve"> </w:t>
      </w:r>
      <w:r w:rsidR="00EA1064">
        <w:t>I</w:t>
      </w:r>
      <w:r w:rsidR="00434CB7">
        <w:t xml:space="preserve">ndicators proposed for incorporation </w:t>
      </w:r>
      <w:r w:rsidR="00FE0419">
        <w:t xml:space="preserve">in the Business Rules </w:t>
      </w:r>
      <w:r w:rsidR="00EA1064">
        <w:t xml:space="preserve">will now </w:t>
      </w:r>
      <w:r w:rsidR="00434CB7">
        <w:t>be shadowed</w:t>
      </w:r>
      <w:r w:rsidR="00FE0419">
        <w:t xml:space="preserve"> for a period</w:t>
      </w:r>
      <w:r w:rsidR="000776C6">
        <w:t xml:space="preserve">, </w:t>
      </w:r>
      <w:r w:rsidR="00FE0419">
        <w:t xml:space="preserve">prior to a decision being made as to their </w:t>
      </w:r>
      <w:r w:rsidR="000776C6">
        <w:t>formal inclusion</w:t>
      </w:r>
      <w:r w:rsidR="00434CB7">
        <w:t>.</w:t>
      </w:r>
      <w:r w:rsidR="00473910">
        <w:t xml:space="preserve"> </w:t>
      </w:r>
      <w:r w:rsidR="00F5775A">
        <w:t xml:space="preserve">These </w:t>
      </w:r>
      <w:r w:rsidR="00436EF6">
        <w:t>‘shadow indicators’</w:t>
      </w:r>
      <w:r w:rsidR="000B6A99">
        <w:t xml:space="preserve"> will be</w:t>
      </w:r>
      <w:r w:rsidR="007F0AC2">
        <w:t xml:space="preserve"> </w:t>
      </w:r>
      <w:r w:rsidR="00B576F0">
        <w:t>reported</w:t>
      </w:r>
      <w:r w:rsidR="008A2850">
        <w:t xml:space="preserve"> alongside the current indicators in the Business Rules</w:t>
      </w:r>
      <w:r w:rsidR="005840C3">
        <w:t>, although will not impact performance monitoring level</w:t>
      </w:r>
      <w:r w:rsidR="00CF3E5D">
        <w:t>.</w:t>
      </w:r>
      <w:r w:rsidR="00863E40">
        <w:t xml:space="preserve"> </w:t>
      </w:r>
      <w:r w:rsidR="008A2850">
        <w:t>This</w:t>
      </w:r>
      <w:r w:rsidR="00CF3E5D">
        <w:t xml:space="preserve"> </w:t>
      </w:r>
      <w:r w:rsidR="008C3B8C">
        <w:t>allow</w:t>
      </w:r>
      <w:r w:rsidR="008A2850">
        <w:t>s</w:t>
      </w:r>
      <w:r w:rsidR="008C3B8C">
        <w:t xml:space="preserve"> </w:t>
      </w:r>
      <w:r w:rsidR="005840C3">
        <w:t xml:space="preserve">the department, SCV, VAHI and health services to </w:t>
      </w:r>
      <w:r w:rsidR="008C3B8C">
        <w:t>asses</w:t>
      </w:r>
      <w:r w:rsidR="00FB76DB">
        <w:t>s</w:t>
      </w:r>
      <w:r w:rsidR="008C3B8C">
        <w:t xml:space="preserve"> </w:t>
      </w:r>
      <w:r w:rsidR="00932A70">
        <w:t xml:space="preserve">an indicator’s </w:t>
      </w:r>
      <w:r w:rsidR="005840C3">
        <w:t xml:space="preserve">performance and </w:t>
      </w:r>
      <w:r w:rsidR="008C3B8C">
        <w:t>suitability</w:t>
      </w:r>
      <w:r w:rsidR="00932A70">
        <w:t>,</w:t>
      </w:r>
      <w:r w:rsidR="008C3B8C">
        <w:t xml:space="preserve"> </w:t>
      </w:r>
      <w:r w:rsidR="0092458E">
        <w:t xml:space="preserve">and whether it should be </w:t>
      </w:r>
      <w:r w:rsidR="00376A56">
        <w:t>formal</w:t>
      </w:r>
      <w:r w:rsidR="0092458E">
        <w:t xml:space="preserve">ly </w:t>
      </w:r>
      <w:r w:rsidR="005840C3">
        <w:t>inclu</w:t>
      </w:r>
      <w:r w:rsidR="0092458E">
        <w:t>ded</w:t>
      </w:r>
      <w:r w:rsidR="005840C3">
        <w:t xml:space="preserve"> </w:t>
      </w:r>
      <w:r w:rsidR="00932A70">
        <w:t>in the Business Rules</w:t>
      </w:r>
      <w:r w:rsidR="0092458E">
        <w:t xml:space="preserve"> that support the Framework</w:t>
      </w:r>
      <w:r w:rsidR="008C3B8C">
        <w:t>.</w:t>
      </w:r>
      <w:r w:rsidR="00582170">
        <w:t xml:space="preserve"> </w:t>
      </w:r>
    </w:p>
    <w:p w14:paraId="75B013B9" w14:textId="49DFDB46" w:rsidR="0043615E" w:rsidRDefault="0043615E" w:rsidP="00F84C75">
      <w:pPr>
        <w:pStyle w:val="DHHSbody"/>
      </w:pPr>
      <w:r>
        <w:t xml:space="preserve">We </w:t>
      </w:r>
      <w:r w:rsidR="00B31F46">
        <w:t xml:space="preserve">continue to </w:t>
      </w:r>
      <w:r>
        <w:t>learn from the experience of implementing the</w:t>
      </w:r>
      <w:r w:rsidR="00916F53">
        <w:t xml:space="preserve"> </w:t>
      </w:r>
      <w:r w:rsidR="007450D2">
        <w:t>Framework</w:t>
      </w:r>
      <w:r>
        <w:t xml:space="preserve">, leading to improvements in the </w:t>
      </w:r>
      <w:r w:rsidR="003902F3">
        <w:t xml:space="preserve">performance monitoring </w:t>
      </w:r>
      <w:r>
        <w:t>process</w:t>
      </w:r>
      <w:r w:rsidR="003902F3">
        <w:t>,</w:t>
      </w:r>
      <w:r>
        <w:t xml:space="preserve"> and greater clarity about the roles and responsibilities of health services, the department, </w:t>
      </w:r>
      <w:r w:rsidR="00362EF0">
        <w:t xml:space="preserve">SCV </w:t>
      </w:r>
      <w:r>
        <w:t xml:space="preserve">and </w:t>
      </w:r>
      <w:r w:rsidR="00362EF0">
        <w:t>VAHI</w:t>
      </w:r>
      <w:r>
        <w:t>.</w:t>
      </w:r>
    </w:p>
    <w:p w14:paraId="05C1B272" w14:textId="6668A150" w:rsidR="00BF42AB" w:rsidRDefault="00DF7FDC" w:rsidP="00DF7FDC">
      <w:pPr>
        <w:pStyle w:val="DHHSbody"/>
      </w:pPr>
      <w:r>
        <w:t xml:space="preserve">Key </w:t>
      </w:r>
      <w:r w:rsidR="0066156F">
        <w:t xml:space="preserve">features </w:t>
      </w:r>
      <w:r w:rsidR="00160527">
        <w:t xml:space="preserve">that remain and </w:t>
      </w:r>
      <w:r w:rsidR="0066156F">
        <w:t xml:space="preserve">have been </w:t>
      </w:r>
      <w:r w:rsidR="00160527">
        <w:t>strengthened for 201</w:t>
      </w:r>
      <w:r w:rsidR="007540C9">
        <w:t>9</w:t>
      </w:r>
      <w:r w:rsidR="0066156F">
        <w:t>–</w:t>
      </w:r>
      <w:r w:rsidR="007540C9">
        <w:t>20</w:t>
      </w:r>
      <w:r w:rsidR="0066156F">
        <w:t xml:space="preserve"> are described below</w:t>
      </w:r>
      <w:r w:rsidR="003902F3">
        <w:t>:</w:t>
      </w:r>
    </w:p>
    <w:p w14:paraId="1ED208BA" w14:textId="43D458EC" w:rsidR="00DF7FDC" w:rsidRPr="001817A3" w:rsidRDefault="0066156F" w:rsidP="001817A3">
      <w:pPr>
        <w:pStyle w:val="DHHSbullet1"/>
      </w:pPr>
      <w:r>
        <w:t xml:space="preserve">The </w:t>
      </w:r>
      <w:r w:rsidR="007450D2">
        <w:t>Frame</w:t>
      </w:r>
      <w:r w:rsidR="007450D2" w:rsidRPr="001817A3">
        <w:t>work</w:t>
      </w:r>
      <w:r w:rsidR="00156163" w:rsidRPr="001817A3">
        <w:t xml:space="preserve">’s </w:t>
      </w:r>
      <w:r w:rsidR="00EB68B8" w:rsidRPr="001817A3">
        <w:t>performance risk</w:t>
      </w:r>
      <w:r w:rsidR="00156163" w:rsidRPr="001817A3">
        <w:t xml:space="preserve"> approach, resulting in comprehensive performance analysis.</w:t>
      </w:r>
    </w:p>
    <w:p w14:paraId="7AA59831" w14:textId="5276DBF0" w:rsidR="00DF7FDC" w:rsidRPr="001817A3" w:rsidRDefault="0066156F" w:rsidP="001817A3">
      <w:pPr>
        <w:pStyle w:val="DHHSbullet1"/>
      </w:pPr>
      <w:r w:rsidRPr="001817A3">
        <w:t xml:space="preserve">The </w:t>
      </w:r>
      <w:r w:rsidR="007450D2" w:rsidRPr="001817A3">
        <w:t>Framework</w:t>
      </w:r>
      <w:r w:rsidRPr="001817A3">
        <w:t xml:space="preserve"> continues to </w:t>
      </w:r>
      <w:r w:rsidR="00173C64" w:rsidRPr="001817A3">
        <w:t xml:space="preserve">move beyond </w:t>
      </w:r>
      <w:r w:rsidRPr="001817A3">
        <w:t>a score-based system in favour of</w:t>
      </w:r>
      <w:r w:rsidR="00DF7FDC" w:rsidRPr="001817A3">
        <w:t xml:space="preserve"> </w:t>
      </w:r>
      <w:r w:rsidR="00EB68B8" w:rsidRPr="001817A3">
        <w:t xml:space="preserve">an approach </w:t>
      </w:r>
      <w:r w:rsidR="00DF7FDC" w:rsidRPr="001817A3">
        <w:t xml:space="preserve">that considers performance against </w:t>
      </w:r>
      <w:r w:rsidRPr="001817A3">
        <w:t xml:space="preserve">key </w:t>
      </w:r>
      <w:r w:rsidR="00DF7FDC" w:rsidRPr="001817A3">
        <w:t>measure</w:t>
      </w:r>
      <w:r w:rsidRPr="001817A3">
        <w:t>s</w:t>
      </w:r>
      <w:r w:rsidR="00DF7FDC" w:rsidRPr="001817A3">
        <w:t xml:space="preserve"> as well as </w:t>
      </w:r>
      <w:r w:rsidR="004C71F8">
        <w:t>contextual</w:t>
      </w:r>
      <w:r w:rsidR="004C71F8" w:rsidRPr="001817A3">
        <w:t xml:space="preserve"> </w:t>
      </w:r>
      <w:r w:rsidR="00B62BB2" w:rsidRPr="001817A3">
        <w:t>risk factors</w:t>
      </w:r>
      <w:r w:rsidR="00DF7FDC" w:rsidRPr="001817A3">
        <w:t>, provid</w:t>
      </w:r>
      <w:r w:rsidRPr="001817A3">
        <w:t>ing</w:t>
      </w:r>
      <w:r w:rsidR="00DF7FDC" w:rsidRPr="001817A3">
        <w:t xml:space="preserve"> a more detailed approach to performance assessment.</w:t>
      </w:r>
    </w:p>
    <w:p w14:paraId="7DAD3CD5" w14:textId="3294C4A9" w:rsidR="00D65593" w:rsidRPr="001817A3" w:rsidRDefault="00AA11FA" w:rsidP="001817A3">
      <w:pPr>
        <w:pStyle w:val="DHHSbullet1"/>
      </w:pPr>
      <w:r w:rsidRPr="001817A3">
        <w:t>To</w:t>
      </w:r>
      <w:r w:rsidR="00D65593" w:rsidRPr="001817A3">
        <w:t xml:space="preserve"> individualise and customise performance discussions, assessments are made across both quantitative and qualitative measures to inform whether a health service is improving in areas of underperformance, whilst maintaining high performing areas. This will provide all health services with the incentive not only to meet ‘target’, but also to address underlying factors that may impact on performance. This continues the change in emphasis from one predominantly based on achievement of targets, to one of continuous improvement.</w:t>
      </w:r>
    </w:p>
    <w:p w14:paraId="7A039FD3" w14:textId="68CE2975" w:rsidR="00D65593" w:rsidRPr="001817A3" w:rsidRDefault="00D65593" w:rsidP="001817A3">
      <w:pPr>
        <w:pStyle w:val="DHHSbullet1"/>
      </w:pPr>
      <w:r w:rsidRPr="001817A3">
        <w:t xml:space="preserve">Significant departmental </w:t>
      </w:r>
      <w:r w:rsidR="00084CCC" w:rsidRPr="001817A3">
        <w:t>support</w:t>
      </w:r>
      <w:r w:rsidRPr="001817A3">
        <w:t xml:space="preserve"> </w:t>
      </w:r>
      <w:r w:rsidR="00820E59" w:rsidRPr="001817A3">
        <w:t xml:space="preserve">and monitoring </w:t>
      </w:r>
      <w:r w:rsidRPr="001817A3">
        <w:t xml:space="preserve">becomes more likely if health services fail to improve performance. For example, if performance against </w:t>
      </w:r>
      <w:r w:rsidR="00084CCC" w:rsidRPr="001817A3">
        <w:t>K</w:t>
      </w:r>
      <w:r w:rsidRPr="001817A3">
        <w:t xml:space="preserve">ey </w:t>
      </w:r>
      <w:r w:rsidR="00084CCC" w:rsidRPr="001817A3">
        <w:t>Performance M</w:t>
      </w:r>
      <w:r w:rsidRPr="001817A3">
        <w:t>easures is deteriorating and action plans to address this are ineffective or have not been implemented, an increased monitoring</w:t>
      </w:r>
      <w:r w:rsidR="008A794B" w:rsidRPr="001817A3">
        <w:t xml:space="preserve"> level</w:t>
      </w:r>
      <w:r w:rsidRPr="001817A3">
        <w:t xml:space="preserve"> may be triggered.</w:t>
      </w:r>
    </w:p>
    <w:p w14:paraId="51A19D7B" w14:textId="198830BB" w:rsidR="00007D51" w:rsidRDefault="00796084" w:rsidP="001817A3">
      <w:pPr>
        <w:pStyle w:val="DHHSbullet1"/>
      </w:pPr>
      <w:r w:rsidRPr="001817A3">
        <w:t>T</w:t>
      </w:r>
      <w:r w:rsidR="00820E59" w:rsidRPr="001817A3">
        <w:t>he Framew</w:t>
      </w:r>
      <w:r w:rsidRPr="001817A3">
        <w:t>o</w:t>
      </w:r>
      <w:r w:rsidR="00820E59" w:rsidRPr="001817A3">
        <w:t>rk</w:t>
      </w:r>
      <w:r w:rsidRPr="001817A3">
        <w:t xml:space="preserve">’s monitoring levels have been </w:t>
      </w:r>
      <w:r w:rsidR="00294C14" w:rsidRPr="001817A3">
        <w:t>refined</w:t>
      </w:r>
      <w:r w:rsidR="00A21DF4">
        <w:t xml:space="preserve"> and </w:t>
      </w:r>
      <w:r w:rsidR="002805C5" w:rsidRPr="001817A3">
        <w:t>t</w:t>
      </w:r>
      <w:r w:rsidR="00CA4926" w:rsidRPr="001817A3">
        <w:t>he</w:t>
      </w:r>
      <w:r w:rsidR="00670C33" w:rsidRPr="001817A3">
        <w:t xml:space="preserve"> ‘high performer’ monitoring level has been removed </w:t>
      </w:r>
      <w:r w:rsidR="00C46CB5" w:rsidRPr="001817A3">
        <w:t xml:space="preserve">to </w:t>
      </w:r>
      <w:r w:rsidR="00A21DF4" w:rsidRPr="001817A3">
        <w:t>improve clarity</w:t>
      </w:r>
      <w:r w:rsidR="00A21DF4">
        <w:t>.</w:t>
      </w:r>
    </w:p>
    <w:p w14:paraId="781769F2" w14:textId="0EBBB1D3" w:rsidR="00D65593" w:rsidRPr="001817A3" w:rsidRDefault="00D65593" w:rsidP="001817A3">
      <w:pPr>
        <w:pStyle w:val="DHHSbullet1"/>
      </w:pPr>
      <w:r w:rsidRPr="001817A3">
        <w:t>The options available to assist health services to manage their performance var</w:t>
      </w:r>
      <w:r w:rsidR="00D262E2" w:rsidRPr="001817A3">
        <w:t>ies</w:t>
      </w:r>
      <w:r w:rsidRPr="001817A3">
        <w:t xml:space="preserve"> depending on the area of concern and their capacity to respond effectively. </w:t>
      </w:r>
      <w:r w:rsidR="008A794B" w:rsidRPr="001817A3">
        <w:t>Supports</w:t>
      </w:r>
      <w:r w:rsidRPr="001817A3">
        <w:t xml:space="preserve"> may range from seeking further input from health services, to service reviews or expert clinical input (via SCV or the Office of the Chief Psychiatrist (OCP), as relevant).</w:t>
      </w:r>
    </w:p>
    <w:p w14:paraId="3DCC7AB9" w14:textId="5DC19F4A" w:rsidR="00DF7FDC" w:rsidRPr="001817A3" w:rsidRDefault="0066156F" w:rsidP="001817A3">
      <w:pPr>
        <w:pStyle w:val="DHHSbullet1"/>
      </w:pPr>
      <w:r w:rsidRPr="001817A3">
        <w:t>T</w:t>
      </w:r>
      <w:r w:rsidR="00DF7FDC" w:rsidRPr="001817A3">
        <w:t>riangulation of other performance intelligence</w:t>
      </w:r>
      <w:r w:rsidRPr="001817A3">
        <w:t xml:space="preserve"> is </w:t>
      </w:r>
      <w:r w:rsidR="008A794B" w:rsidRPr="001817A3">
        <w:t xml:space="preserve">a </w:t>
      </w:r>
      <w:r w:rsidRPr="001817A3">
        <w:t>part of performance assessment</w:t>
      </w:r>
      <w:r w:rsidR="008A794B" w:rsidRPr="001817A3">
        <w:t>. This</w:t>
      </w:r>
      <w:r w:rsidR="00DF7FDC" w:rsidRPr="001817A3">
        <w:t xml:space="preserve"> includ</w:t>
      </w:r>
      <w:r w:rsidR="008A794B" w:rsidRPr="001817A3">
        <w:t>es</w:t>
      </w:r>
      <w:r w:rsidR="00DF7FDC" w:rsidRPr="001817A3">
        <w:t xml:space="preserve"> cross</w:t>
      </w:r>
      <w:r w:rsidR="008A794B" w:rsidRPr="001817A3">
        <w:t>-</w:t>
      </w:r>
      <w:r w:rsidR="00DF7FDC" w:rsidRPr="001817A3">
        <w:t>agency information sharing with the Victorian Managed Insurance Authority, and Australian Health Practitioner Regulation Agency. Formalised arrangements are being established that support early notification of risk and streamlined sharing of cross-agency information.</w:t>
      </w:r>
    </w:p>
    <w:p w14:paraId="688CECD6" w14:textId="5AD73AF8" w:rsidR="00DF7FDC" w:rsidRDefault="0066156F" w:rsidP="001817A3">
      <w:pPr>
        <w:pStyle w:val="DHHSbullet1"/>
      </w:pPr>
      <w:r w:rsidRPr="001817A3">
        <w:t xml:space="preserve">There is improved clarity </w:t>
      </w:r>
      <w:r w:rsidR="00DF7FDC" w:rsidRPr="001817A3">
        <w:t>regarding the indicators for health service performance accountability and measur</w:t>
      </w:r>
      <w:r w:rsidR="00160527" w:rsidRPr="001817A3">
        <w:t>es to monitor healthcare quality.</w:t>
      </w:r>
      <w:r w:rsidR="00DF7FDC" w:rsidRPr="001817A3">
        <w:t xml:space="preserve"> SCV will </w:t>
      </w:r>
      <w:r w:rsidR="00160527" w:rsidRPr="001817A3">
        <w:t xml:space="preserve">continue to </w:t>
      </w:r>
      <w:r w:rsidR="00DF7FDC" w:rsidRPr="001817A3">
        <w:t xml:space="preserve">work with health services to identify </w:t>
      </w:r>
      <w:r w:rsidR="00173C64" w:rsidRPr="001817A3">
        <w:t xml:space="preserve">indicators </w:t>
      </w:r>
      <w:r w:rsidR="00DF7FDC" w:rsidRPr="001817A3">
        <w:t xml:space="preserve">for </w:t>
      </w:r>
      <w:r w:rsidR="00173C64" w:rsidRPr="001817A3">
        <w:t xml:space="preserve">monitoring performance of </w:t>
      </w:r>
      <w:r w:rsidR="00DF7FDC" w:rsidRPr="001817A3">
        <w:t xml:space="preserve">quality and safety across the sector. </w:t>
      </w:r>
      <w:r w:rsidR="00173C64" w:rsidRPr="001817A3">
        <w:t xml:space="preserve">Key indicators identified through this process </w:t>
      </w:r>
      <w:r w:rsidR="00DF7FDC" w:rsidRPr="001817A3">
        <w:t>will form a core part of performance accountability</w:t>
      </w:r>
      <w:r w:rsidR="00173C64" w:rsidRPr="001817A3">
        <w:t xml:space="preserve"> within the quality and safety </w:t>
      </w:r>
      <w:r w:rsidR="008A794B" w:rsidRPr="001817A3">
        <w:t xml:space="preserve">performance </w:t>
      </w:r>
      <w:r w:rsidR="00173C64" w:rsidRPr="001817A3">
        <w:t>domain</w:t>
      </w:r>
      <w:r w:rsidR="00DF7FDC" w:rsidRPr="001817A3">
        <w:t xml:space="preserve">, </w:t>
      </w:r>
      <w:r w:rsidR="00173C64" w:rsidRPr="001817A3">
        <w:t xml:space="preserve">along </w:t>
      </w:r>
      <w:r w:rsidR="00DF7FDC" w:rsidRPr="001817A3">
        <w:t xml:space="preserve">with </w:t>
      </w:r>
      <w:r w:rsidR="00DF7FDC">
        <w:t>the existing measures on finance, access and governance.</w:t>
      </w:r>
    </w:p>
    <w:p w14:paraId="0166C196" w14:textId="462E28C4" w:rsidR="00DF7FDC" w:rsidRDefault="0066156F" w:rsidP="00900BF4">
      <w:pPr>
        <w:pStyle w:val="DHHSbullet1"/>
        <w:spacing w:after="120"/>
      </w:pPr>
      <w:r>
        <w:t xml:space="preserve">Work is continuing to </w:t>
      </w:r>
      <w:r w:rsidR="00160527">
        <w:t xml:space="preserve">further </w:t>
      </w:r>
      <w:r w:rsidR="00DF7FDC">
        <w:t xml:space="preserve">develop </w:t>
      </w:r>
      <w:r w:rsidR="00160527">
        <w:t xml:space="preserve">and refine </w:t>
      </w:r>
      <w:r w:rsidR="00DF7FDC">
        <w:t xml:space="preserve">reports </w:t>
      </w:r>
      <w:r>
        <w:t>on healthcare quality and safety.</w:t>
      </w:r>
      <w:r w:rsidR="00DF7FDC">
        <w:t xml:space="preserve"> </w:t>
      </w:r>
      <w:r>
        <w:t>This work</w:t>
      </w:r>
      <w:r w:rsidR="00DF7FDC">
        <w:t xml:space="preserve"> </w:t>
      </w:r>
      <w:r w:rsidR="00160527">
        <w:t xml:space="preserve">is being </w:t>
      </w:r>
      <w:r w:rsidR="00DF7FDC">
        <w:t xml:space="preserve">led by VAHI in partnership with </w:t>
      </w:r>
      <w:r w:rsidR="00362EF0">
        <w:t xml:space="preserve">SCV </w:t>
      </w:r>
      <w:r w:rsidR="00DF7FDC">
        <w:t>and the department.</w:t>
      </w:r>
    </w:p>
    <w:p w14:paraId="324F5C19" w14:textId="7CCCD5AE" w:rsidR="00BF42AB" w:rsidRDefault="007450D2" w:rsidP="003B44A3">
      <w:pPr>
        <w:pStyle w:val="Heading2"/>
      </w:pPr>
      <w:bookmarkStart w:id="29" w:name="_Toc486512520"/>
      <w:bookmarkStart w:id="30" w:name="_Toc486513085"/>
      <w:bookmarkStart w:id="31" w:name="_Toc516827336"/>
      <w:bookmarkStart w:id="32" w:name="_Toc15579806"/>
      <w:r>
        <w:lastRenderedPageBreak/>
        <w:t xml:space="preserve">The Framework’s </w:t>
      </w:r>
      <w:r w:rsidR="004D0847">
        <w:t>p</w:t>
      </w:r>
      <w:r w:rsidR="00F84C75" w:rsidRPr="006A4ADC">
        <w:t xml:space="preserve">erformance </w:t>
      </w:r>
      <w:r w:rsidR="00F84C75">
        <w:t>objectives</w:t>
      </w:r>
      <w:bookmarkEnd w:id="29"/>
      <w:bookmarkEnd w:id="30"/>
      <w:bookmarkEnd w:id="31"/>
      <w:bookmarkEnd w:id="32"/>
    </w:p>
    <w:p w14:paraId="219B2810" w14:textId="663DBBFE" w:rsidR="00BF42AB" w:rsidRDefault="00F84C75" w:rsidP="00F84C75">
      <w:pPr>
        <w:pStyle w:val="DHHSbody"/>
      </w:pPr>
      <w:r>
        <w:t xml:space="preserve">The </w:t>
      </w:r>
      <w:r w:rsidR="007450D2">
        <w:t>Framework</w:t>
      </w:r>
      <w:r w:rsidRPr="005E6E1F">
        <w:t xml:space="preserve"> </w:t>
      </w:r>
      <w:r w:rsidR="006F4E66">
        <w:t xml:space="preserve">is structured around </w:t>
      </w:r>
      <w:r w:rsidRPr="005E6E1F">
        <w:t xml:space="preserve">four </w:t>
      </w:r>
      <w:r w:rsidR="006F4E66">
        <w:t xml:space="preserve">performance </w:t>
      </w:r>
      <w:r w:rsidR="00952BE2">
        <w:t xml:space="preserve">domains </w:t>
      </w:r>
      <w:r w:rsidR="006F4E66">
        <w:t>that provide a cross-linking and mutually-supporting view of health service performance</w:t>
      </w:r>
      <w:r>
        <w:t>. The</w:t>
      </w:r>
      <w:r w:rsidR="00031660">
        <w:t xml:space="preserve"> domains</w:t>
      </w:r>
      <w:r>
        <w:t xml:space="preserve"> are:</w:t>
      </w:r>
    </w:p>
    <w:p w14:paraId="73871BFB" w14:textId="298D023A" w:rsidR="00F84C75" w:rsidRPr="001817A3" w:rsidRDefault="00355C25" w:rsidP="0062298C">
      <w:pPr>
        <w:pStyle w:val="DHHSnumberdigit"/>
        <w:numPr>
          <w:ilvl w:val="0"/>
          <w:numId w:val="50"/>
        </w:numPr>
      </w:pPr>
      <w:r w:rsidRPr="001817A3">
        <w:t>High quality and safe care</w:t>
      </w:r>
    </w:p>
    <w:p w14:paraId="21496665" w14:textId="77777777" w:rsidR="00F84C75" w:rsidRPr="001817A3" w:rsidRDefault="00F84C75" w:rsidP="001817A3">
      <w:pPr>
        <w:pStyle w:val="DHHSnumberdigit"/>
      </w:pPr>
      <w:r w:rsidRPr="001817A3">
        <w:t>Strong gove</w:t>
      </w:r>
      <w:r w:rsidR="00355C25" w:rsidRPr="001817A3">
        <w:t>rnance, leadership and culture</w:t>
      </w:r>
    </w:p>
    <w:p w14:paraId="17E9EE0F" w14:textId="1FA5678B" w:rsidR="0001100E" w:rsidRPr="001817A3" w:rsidRDefault="00F84C75" w:rsidP="001817A3">
      <w:pPr>
        <w:pStyle w:val="DHHSnumberdigit"/>
      </w:pPr>
      <w:r w:rsidRPr="001817A3">
        <w:t>Effective financial management</w:t>
      </w:r>
      <w:r w:rsidR="00BA0914" w:rsidRPr="001817A3">
        <w:t xml:space="preserve"> and</w:t>
      </w:r>
    </w:p>
    <w:p w14:paraId="045E863A" w14:textId="2E277DE9" w:rsidR="00F84C75" w:rsidRPr="001817A3" w:rsidRDefault="0001100E" w:rsidP="001817A3">
      <w:pPr>
        <w:pStyle w:val="DHHSnumberdigit"/>
      </w:pPr>
      <w:r w:rsidRPr="001817A3">
        <w:t>Timely access to care</w:t>
      </w:r>
      <w:r w:rsidR="008A794B" w:rsidRPr="001817A3">
        <w:t>.</w:t>
      </w:r>
    </w:p>
    <w:p w14:paraId="24C7C131" w14:textId="77777777" w:rsidR="00007D51" w:rsidRDefault="00B00A9D" w:rsidP="00F84C75">
      <w:pPr>
        <w:pStyle w:val="DHHSbody"/>
      </w:pPr>
      <w:r>
        <w:t>E</w:t>
      </w:r>
      <w:r w:rsidR="00F84C75">
        <w:t>ach</w:t>
      </w:r>
      <w:r w:rsidR="00AF402F">
        <w:t xml:space="preserve"> performance</w:t>
      </w:r>
      <w:r w:rsidR="00F84C75">
        <w:t xml:space="preserve"> domain is informed by </w:t>
      </w:r>
      <w:r w:rsidR="00BA0914">
        <w:t>several</w:t>
      </w:r>
      <w:r w:rsidR="00F84C75">
        <w:t xml:space="preserve"> strategic goals, which in turn are supported by relevant qualitative and quantitative measures</w:t>
      </w:r>
      <w:r>
        <w:t xml:space="preserve"> (outlined in Figure 2)</w:t>
      </w:r>
      <w:r w:rsidR="00F84C75">
        <w:t>.</w:t>
      </w:r>
    </w:p>
    <w:p w14:paraId="46A7C841" w14:textId="40234981" w:rsidR="00AF402F" w:rsidRPr="00BA3DEF" w:rsidRDefault="00AF402F" w:rsidP="00007D51">
      <w:pPr>
        <w:pStyle w:val="DHHSfigurecaption"/>
      </w:pPr>
      <w:bookmarkStart w:id="33" w:name="_Toc486512521"/>
      <w:bookmarkStart w:id="34" w:name="_Toc486513086"/>
      <w:bookmarkStart w:id="35" w:name="_Toc516827337"/>
      <w:r w:rsidRPr="00BA3DEF">
        <w:t xml:space="preserve">Figure 2: Performance objectives and the </w:t>
      </w:r>
      <w:r>
        <w:t xml:space="preserve">four </w:t>
      </w:r>
      <w:r w:rsidRPr="00BA3DEF">
        <w:t>performance domains</w:t>
      </w:r>
    </w:p>
    <w:p w14:paraId="2DBA3830" w14:textId="77777777" w:rsidR="00AF402F" w:rsidRDefault="00AF402F" w:rsidP="00AF402F">
      <w:pPr>
        <w:pStyle w:val="DHHSbody"/>
      </w:pPr>
      <w:r>
        <w:rPr>
          <w:noProof/>
          <w:lang w:eastAsia="en-AU"/>
        </w:rPr>
        <w:drawing>
          <wp:inline distT="0" distB="0" distL="0" distR="0" wp14:anchorId="10C6E390" wp14:editId="50147F29">
            <wp:extent cx="5473699" cy="5482847"/>
            <wp:effectExtent l="0" t="0" r="0" b="3810"/>
            <wp:docPr id="1" name="Picture 1" descr="For a text-equivalent description of this figure, follow the link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1806002_Fig2_framework.png"/>
                    <pic:cNvPicPr/>
                  </pic:nvPicPr>
                  <pic:blipFill>
                    <a:blip r:embed="rId22"/>
                    <a:stretch>
                      <a:fillRect/>
                    </a:stretch>
                  </pic:blipFill>
                  <pic:spPr>
                    <a:xfrm>
                      <a:off x="0" y="0"/>
                      <a:ext cx="5473699" cy="5482847"/>
                    </a:xfrm>
                    <a:prstGeom prst="rect">
                      <a:avLst/>
                    </a:prstGeom>
                  </pic:spPr>
                </pic:pic>
              </a:graphicData>
            </a:graphic>
          </wp:inline>
        </w:drawing>
      </w:r>
    </w:p>
    <w:p w14:paraId="64BCACA5" w14:textId="15C35F61" w:rsidR="00441555" w:rsidRPr="00560194" w:rsidRDefault="002007DE" w:rsidP="00441555">
      <w:pPr>
        <w:pStyle w:val="DHHSbodyaftertablefigure"/>
      </w:pPr>
      <w:hyperlink w:anchor="Figure2Description" w:history="1">
        <w:r w:rsidR="00441555" w:rsidRPr="00441555">
          <w:rPr>
            <w:rStyle w:val="Hyperlink"/>
          </w:rPr>
          <w:t xml:space="preserve">Text-equivalent description of Figure </w:t>
        </w:r>
        <w:r w:rsidR="00441555">
          <w:rPr>
            <w:rStyle w:val="Hyperlink"/>
          </w:rPr>
          <w:t>2</w:t>
        </w:r>
        <w:r w:rsidR="00441555" w:rsidRPr="00441555">
          <w:rPr>
            <w:rStyle w:val="Hyperlink"/>
          </w:rPr>
          <w:t xml:space="preserve"> in the Appendix</w:t>
        </w:r>
      </w:hyperlink>
    </w:p>
    <w:p w14:paraId="5C0A435B" w14:textId="77777777" w:rsidR="00AF402F" w:rsidRPr="00C82926" w:rsidRDefault="00AF402F" w:rsidP="00AF402F">
      <w:pPr>
        <w:pStyle w:val="DHHSbody"/>
      </w:pPr>
      <w:r>
        <w:br w:type="page"/>
      </w:r>
    </w:p>
    <w:p w14:paraId="4ECAA334" w14:textId="5DF58928" w:rsidR="00F84C75" w:rsidRDefault="00AF402F" w:rsidP="00900133">
      <w:pPr>
        <w:pStyle w:val="Heading3"/>
      </w:pPr>
      <w:bookmarkStart w:id="36" w:name="_The_four_performance"/>
      <w:bookmarkStart w:id="37" w:name="_Toc15579807"/>
      <w:bookmarkEnd w:id="36"/>
      <w:r>
        <w:lastRenderedPageBreak/>
        <w:t>The four p</w:t>
      </w:r>
      <w:r w:rsidR="00F84C75">
        <w:t>erformance domains</w:t>
      </w:r>
      <w:bookmarkEnd w:id="33"/>
      <w:bookmarkEnd w:id="34"/>
      <w:bookmarkEnd w:id="35"/>
      <w:bookmarkEnd w:id="37"/>
    </w:p>
    <w:p w14:paraId="19684477" w14:textId="19DE0281" w:rsidR="00F84C75" w:rsidRDefault="00F84C75" w:rsidP="00900133">
      <w:pPr>
        <w:pStyle w:val="Heading4"/>
      </w:pPr>
      <w:r>
        <w:t>High quality and safe care</w:t>
      </w:r>
    </w:p>
    <w:p w14:paraId="5C73D07F" w14:textId="77777777" w:rsidR="00007D51" w:rsidRDefault="00BF42AB" w:rsidP="00F84C75">
      <w:pPr>
        <w:pStyle w:val="DHHSbody"/>
      </w:pPr>
      <w:r>
        <w:t>T</w:t>
      </w:r>
      <w:r w:rsidR="00F84C75">
        <w:t xml:space="preserve">his domain assesses </w:t>
      </w:r>
      <w:r w:rsidR="005D09A2">
        <w:t>the ability of</w:t>
      </w:r>
      <w:r w:rsidR="00F84C75" w:rsidRPr="00FD4850">
        <w:t xml:space="preserve"> </w:t>
      </w:r>
      <w:r w:rsidR="00F84C75">
        <w:t>health services</w:t>
      </w:r>
      <w:r w:rsidR="00F84C75" w:rsidRPr="00FD4850">
        <w:t xml:space="preserve"> </w:t>
      </w:r>
      <w:r w:rsidR="005D09A2">
        <w:t>to deliver safe and</w:t>
      </w:r>
      <w:r w:rsidR="00F84C75" w:rsidRPr="00FD4850">
        <w:t xml:space="preserve"> </w:t>
      </w:r>
      <w:r w:rsidR="00F84C75">
        <w:t>high</w:t>
      </w:r>
      <w:r w:rsidR="0066156F">
        <w:t>-</w:t>
      </w:r>
      <w:r w:rsidR="00F84C75">
        <w:t xml:space="preserve">quality </w:t>
      </w:r>
      <w:r w:rsidR="00EB10FF">
        <w:t xml:space="preserve">care </w:t>
      </w:r>
      <w:r w:rsidR="00F84C75">
        <w:t>that improve</w:t>
      </w:r>
      <w:r w:rsidR="00EB10FF">
        <w:t>s</w:t>
      </w:r>
      <w:r w:rsidR="00F84C75">
        <w:t xml:space="preserve"> patient outcomes</w:t>
      </w:r>
      <w:r w:rsidR="005D09A2">
        <w:t xml:space="preserve">. It includes </w:t>
      </w:r>
      <w:r w:rsidR="00BA0914">
        <w:t>several</w:t>
      </w:r>
      <w:r w:rsidR="005D09A2">
        <w:t xml:space="preserve"> clinical indicators and </w:t>
      </w:r>
      <w:r w:rsidR="00A337C9">
        <w:t xml:space="preserve">an increased focus on </w:t>
      </w:r>
      <w:r w:rsidR="00F84C75">
        <w:t>patient experience.</w:t>
      </w:r>
    </w:p>
    <w:p w14:paraId="7A8D6AEE" w14:textId="52748DE1" w:rsidR="00F84C75" w:rsidRDefault="00D34AA9" w:rsidP="00F84C75">
      <w:pPr>
        <w:pStyle w:val="DHHSbody"/>
      </w:pPr>
      <w:r>
        <w:t xml:space="preserve">This domain </w:t>
      </w:r>
      <w:r w:rsidR="00A337C9">
        <w:t>also considers factors that impact the ability of services to develop and maintain a high performing clinical workforce.</w:t>
      </w:r>
    </w:p>
    <w:p w14:paraId="501754D5" w14:textId="77777777" w:rsidR="00F84C75" w:rsidRDefault="00F84C75" w:rsidP="00900133">
      <w:pPr>
        <w:pStyle w:val="Heading4"/>
      </w:pPr>
      <w:r>
        <w:t xml:space="preserve">Strong governance, </w:t>
      </w:r>
      <w:r w:rsidRPr="003A14B2">
        <w:t>leadership</w:t>
      </w:r>
      <w:r>
        <w:t xml:space="preserve"> and culture</w:t>
      </w:r>
    </w:p>
    <w:p w14:paraId="2A1E53C9" w14:textId="1AC98F23" w:rsidR="00F84C75" w:rsidRDefault="00A337C9" w:rsidP="00F84C75">
      <w:pPr>
        <w:pStyle w:val="DHHSbody"/>
      </w:pPr>
      <w:r>
        <w:t>The domain assesses the strength of the organisation</w:t>
      </w:r>
      <w:r w:rsidR="00E61B48">
        <w:t>’</w:t>
      </w:r>
      <w:r>
        <w:t xml:space="preserve">s governance, </w:t>
      </w:r>
      <w:r w:rsidR="00F84C75">
        <w:t xml:space="preserve">leadership </w:t>
      </w:r>
      <w:r>
        <w:t>and culture,</w:t>
      </w:r>
      <w:r w:rsidR="00F84C75">
        <w:t xml:space="preserve"> </w:t>
      </w:r>
      <w:r w:rsidR="00FE201A">
        <w:t xml:space="preserve">which are </w:t>
      </w:r>
      <w:r w:rsidR="00F84C75">
        <w:t xml:space="preserve">key </w:t>
      </w:r>
      <w:r>
        <w:t>attributes</w:t>
      </w:r>
      <w:r w:rsidR="00F84C75">
        <w:t xml:space="preserve"> of high performing and safe health services. Optimising both corporate and clinical governance is essential in creating a high performing health service.</w:t>
      </w:r>
    </w:p>
    <w:p w14:paraId="688108C7" w14:textId="7BF714C5" w:rsidR="00F84C75" w:rsidRDefault="00F84C75" w:rsidP="00F84C75">
      <w:pPr>
        <w:pStyle w:val="DHHSbody"/>
      </w:pPr>
      <w:r>
        <w:t>Organisational culture can significantly influence patient safety through its impact on effective communication, collaboration and engagement across the organisation.</w:t>
      </w:r>
    </w:p>
    <w:p w14:paraId="6918816C" w14:textId="2A870A4F" w:rsidR="00BF42AB" w:rsidRDefault="00F84C75" w:rsidP="00F84C75">
      <w:pPr>
        <w:pStyle w:val="DHHSbody"/>
      </w:pPr>
      <w:r>
        <w:t xml:space="preserve">This domain </w:t>
      </w:r>
      <w:r w:rsidR="0066156F">
        <w:t>includes</w:t>
      </w:r>
      <w:r w:rsidR="00A31342">
        <w:t xml:space="preserve"> </w:t>
      </w:r>
      <w:r w:rsidR="0066156F">
        <w:t xml:space="preserve">assessment of </w:t>
      </w:r>
      <w:r w:rsidR="00A31342">
        <w:t xml:space="preserve">the strength of clinical and corporate governance in health services, and their ability </w:t>
      </w:r>
      <w:r>
        <w:t>to</w:t>
      </w:r>
      <w:r w:rsidRPr="00FD4850">
        <w:t xml:space="preserve"> </w:t>
      </w:r>
      <w:r>
        <w:t>nurture safe cultures and positive clinical engagement.</w:t>
      </w:r>
    </w:p>
    <w:p w14:paraId="7F245C01" w14:textId="1E4C1D9B" w:rsidR="00FA4A77" w:rsidRDefault="00FA4A77" w:rsidP="00900133">
      <w:pPr>
        <w:pStyle w:val="Heading4"/>
      </w:pPr>
      <w:r>
        <w:t>Effective f</w:t>
      </w:r>
      <w:r w:rsidRPr="003A14B2">
        <w:t xml:space="preserve">inancial </w:t>
      </w:r>
      <w:r>
        <w:t>management</w:t>
      </w:r>
    </w:p>
    <w:p w14:paraId="79748C70" w14:textId="77777777" w:rsidR="00007D51" w:rsidRDefault="00FA4A77" w:rsidP="00FA4A77">
      <w:pPr>
        <w:pStyle w:val="DHHSbody"/>
      </w:pPr>
      <w:r>
        <w:t>The ability of health services to</w:t>
      </w:r>
      <w:r w:rsidRPr="00FD4850">
        <w:t xml:space="preserve"> man</w:t>
      </w:r>
      <w:r>
        <w:t>a</w:t>
      </w:r>
      <w:r w:rsidRPr="00FD4850">
        <w:t xml:space="preserve">ge the </w:t>
      </w:r>
      <w:r>
        <w:t xml:space="preserve">effective and </w:t>
      </w:r>
      <w:r w:rsidRPr="00FD4850">
        <w:t>efficient allocation of resources to deliver safe and cost</w:t>
      </w:r>
      <w:r>
        <w:t>-</w:t>
      </w:r>
      <w:r w:rsidRPr="00FD4850">
        <w:t>effective services</w:t>
      </w:r>
      <w:r>
        <w:t xml:space="preserve"> is fundamental to their performance.</w:t>
      </w:r>
    </w:p>
    <w:p w14:paraId="21C1F22B" w14:textId="6B4B57DC" w:rsidR="00BF42AB" w:rsidRDefault="00FA4A77" w:rsidP="00FA4A77">
      <w:pPr>
        <w:pStyle w:val="DHHSbody"/>
      </w:pPr>
      <w:r>
        <w:t>This domain addresses the diligence with which health services manage their finances and seek to identify risks to financial stability and viability.</w:t>
      </w:r>
    </w:p>
    <w:p w14:paraId="1C289649" w14:textId="6C29FC53" w:rsidR="00F84C75" w:rsidRPr="003A14B2" w:rsidRDefault="00F84C75" w:rsidP="00900133">
      <w:pPr>
        <w:pStyle w:val="Heading4"/>
      </w:pPr>
      <w:r>
        <w:t>Timely a</w:t>
      </w:r>
      <w:r w:rsidRPr="003A14B2">
        <w:t xml:space="preserve">ccess </w:t>
      </w:r>
      <w:r>
        <w:t>to care</w:t>
      </w:r>
    </w:p>
    <w:p w14:paraId="0C553C78" w14:textId="0F3CDAE5" w:rsidR="00DE6DEC" w:rsidRDefault="00F84C75" w:rsidP="00F84C75">
      <w:pPr>
        <w:pStyle w:val="DHHSbody"/>
      </w:pPr>
      <w:r w:rsidRPr="00FD4850">
        <w:t xml:space="preserve">This </w:t>
      </w:r>
      <w:r>
        <w:t xml:space="preserve">domain </w:t>
      </w:r>
      <w:r w:rsidRPr="00FD4850">
        <w:t xml:space="preserve">refers to the ability of </w:t>
      </w:r>
      <w:r>
        <w:t>health services</w:t>
      </w:r>
      <w:r w:rsidRPr="00FD4850">
        <w:t xml:space="preserve"> to </w:t>
      </w:r>
      <w:r>
        <w:t xml:space="preserve">efficiently </w:t>
      </w:r>
      <w:r w:rsidRPr="00FD4850">
        <w:t xml:space="preserve">manage supply and demand </w:t>
      </w:r>
      <w:r>
        <w:t>by</w:t>
      </w:r>
      <w:r w:rsidRPr="00FD4850">
        <w:t xml:space="preserve"> provid</w:t>
      </w:r>
      <w:r>
        <w:t>ing</w:t>
      </w:r>
      <w:r w:rsidRPr="00FD4850">
        <w:t xml:space="preserve"> the right care</w:t>
      </w:r>
      <w:r w:rsidR="006E75F0">
        <w:t>,</w:t>
      </w:r>
      <w:r w:rsidRPr="00FD4850">
        <w:t xml:space="preserve"> </w:t>
      </w:r>
      <w:r>
        <w:t>in</w:t>
      </w:r>
      <w:r w:rsidRPr="00FD4850">
        <w:t xml:space="preserve"> the right place</w:t>
      </w:r>
      <w:r w:rsidR="00703521">
        <w:t>,</w:t>
      </w:r>
      <w:r w:rsidRPr="00FD4850">
        <w:t xml:space="preserve"> </w:t>
      </w:r>
      <w:r>
        <w:t xml:space="preserve">at the </w:t>
      </w:r>
      <w:r w:rsidRPr="00FD4850">
        <w:t>right time. This reflects operational capacity and delivery of services and programs.</w:t>
      </w:r>
      <w:r>
        <w:t xml:space="preserve"> </w:t>
      </w:r>
      <w:r w:rsidR="00FD5540">
        <w:t>Typically</w:t>
      </w:r>
      <w:r w:rsidR="007F782A">
        <w:t>,</w:t>
      </w:r>
      <w:r w:rsidR="00FD5540">
        <w:t xml:space="preserve"> indicators within this domain </w:t>
      </w:r>
      <w:r w:rsidR="00883E99">
        <w:t xml:space="preserve">are leading indicators with </w:t>
      </w:r>
      <w:r w:rsidR="00D41BB7">
        <w:t xml:space="preserve">a </w:t>
      </w:r>
      <w:r w:rsidR="006E75F0">
        <w:t>time-based</w:t>
      </w:r>
      <w:r w:rsidR="00D41BB7">
        <w:t xml:space="preserve"> comp</w:t>
      </w:r>
      <w:r w:rsidR="00C3152B">
        <w:t>onent</w:t>
      </w:r>
      <w:r w:rsidR="00D41BB7">
        <w:t xml:space="preserve"> that</w:t>
      </w:r>
      <w:r w:rsidR="006E75F0">
        <w:t>,</w:t>
      </w:r>
      <w:r w:rsidR="00D41BB7">
        <w:t xml:space="preserve"> </w:t>
      </w:r>
      <w:r w:rsidR="00F7298F">
        <w:t>when delivered a</w:t>
      </w:r>
      <w:r w:rsidR="00E80E84">
        <w:t>ppropriately</w:t>
      </w:r>
      <w:r w:rsidR="006E75F0">
        <w:t>,</w:t>
      </w:r>
      <w:r w:rsidR="00E80E84">
        <w:t xml:space="preserve"> result in improve</w:t>
      </w:r>
      <w:r w:rsidR="00F1510F">
        <w:t>d</w:t>
      </w:r>
      <w:r w:rsidR="00E80E84">
        <w:t xml:space="preserve"> patient outcomes.</w:t>
      </w:r>
    </w:p>
    <w:p w14:paraId="07F27E11" w14:textId="5E4F9FC1" w:rsidR="00BF42AB" w:rsidRDefault="00DE6DEC" w:rsidP="00F84C75">
      <w:pPr>
        <w:pStyle w:val="DHHSbody"/>
      </w:pPr>
      <w:r>
        <w:t>This domain</w:t>
      </w:r>
      <w:r w:rsidR="00F84C75">
        <w:t xml:space="preserve"> focuses on equitable and timely access</w:t>
      </w:r>
      <w:r w:rsidR="00A337C9">
        <w:t xml:space="preserve"> </w:t>
      </w:r>
      <w:r w:rsidR="00F84C75">
        <w:t>as well as service efficiency.</w:t>
      </w:r>
    </w:p>
    <w:p w14:paraId="01B02115" w14:textId="06F8FAA5" w:rsidR="00F84C75" w:rsidRPr="003A14B2" w:rsidRDefault="005E7E7D" w:rsidP="005B7C23">
      <w:pPr>
        <w:pStyle w:val="Heading2"/>
      </w:pPr>
      <w:bookmarkStart w:id="38" w:name="_Toc486512522"/>
      <w:bookmarkStart w:id="39" w:name="_Toc486513087"/>
      <w:bookmarkStart w:id="40" w:name="_Toc516827338"/>
      <w:bookmarkStart w:id="41" w:name="_Toc15579808"/>
      <w:r>
        <w:lastRenderedPageBreak/>
        <w:t>The</w:t>
      </w:r>
      <w:r w:rsidR="00F84C75">
        <w:t xml:space="preserve"> performance improvement</w:t>
      </w:r>
      <w:bookmarkEnd w:id="38"/>
      <w:bookmarkEnd w:id="39"/>
      <w:bookmarkEnd w:id="40"/>
      <w:r>
        <w:t xml:space="preserve"> approach</w:t>
      </w:r>
      <w:bookmarkEnd w:id="41"/>
    </w:p>
    <w:p w14:paraId="3980B3C1" w14:textId="77777777" w:rsidR="00007D51" w:rsidRDefault="00A31FD2" w:rsidP="00F84C75">
      <w:pPr>
        <w:pStyle w:val="DHHSbody"/>
        <w:jc w:val="both"/>
      </w:pPr>
      <w:r>
        <w:t xml:space="preserve">The goal of the </w:t>
      </w:r>
      <w:r w:rsidR="007450D2">
        <w:t>Framework</w:t>
      </w:r>
      <w:r>
        <w:t xml:space="preserve"> is to ensure health services are performing effectively to deliver the best patient outcomes and to keep patients safe from harm. To achieve this, the </w:t>
      </w:r>
      <w:r w:rsidR="007450D2">
        <w:t>Framework</w:t>
      </w:r>
      <w:r>
        <w:t xml:space="preserve"> identifies </w:t>
      </w:r>
      <w:r w:rsidR="00FA4A77">
        <w:t>issues and concerns</w:t>
      </w:r>
      <w:r w:rsidR="009B4C20">
        <w:t>,</w:t>
      </w:r>
      <w:r w:rsidR="00FA4A77">
        <w:t xml:space="preserve"> </w:t>
      </w:r>
      <w:r>
        <w:t>and opportunities for improvement that feed into a continuous cycle of performance improvement</w:t>
      </w:r>
      <w:r w:rsidR="001A49F7">
        <w:t xml:space="preserve"> (see Figure 3)</w:t>
      </w:r>
      <w:r>
        <w:t>.</w:t>
      </w:r>
    </w:p>
    <w:p w14:paraId="5CF1C8EA" w14:textId="073C9083" w:rsidR="00F84C75" w:rsidRPr="005B3958" w:rsidRDefault="00A31FD2" w:rsidP="00F84C75">
      <w:pPr>
        <w:pStyle w:val="DHHSbody"/>
        <w:jc w:val="both"/>
        <w:rPr>
          <w:highlight w:val="yellow"/>
        </w:rPr>
      </w:pPr>
      <w:r>
        <w:t xml:space="preserve">Under the </w:t>
      </w:r>
      <w:r w:rsidR="007450D2">
        <w:t>Framework</w:t>
      </w:r>
      <w:r>
        <w:t>,</w:t>
      </w:r>
      <w:r w:rsidR="00F84C75">
        <w:t xml:space="preserve"> the </w:t>
      </w:r>
      <w:r w:rsidR="0077273C">
        <w:t>d</w:t>
      </w:r>
      <w:r w:rsidR="00F84C75">
        <w:t xml:space="preserve">epartment works collaboratively </w:t>
      </w:r>
      <w:r w:rsidR="00F84C75" w:rsidRPr="003A14B2">
        <w:t xml:space="preserve">with </w:t>
      </w:r>
      <w:r w:rsidR="00F84C75">
        <w:t>health services and other stakeholders</w:t>
      </w:r>
      <w:r w:rsidR="00F84C75" w:rsidRPr="003A14B2">
        <w:t xml:space="preserve"> to</w:t>
      </w:r>
      <w:r w:rsidR="00F84C75">
        <w:t>:</w:t>
      </w:r>
    </w:p>
    <w:p w14:paraId="42B5B23F" w14:textId="708F4270" w:rsidR="00F84C75" w:rsidRDefault="00F84C75" w:rsidP="00F84C75">
      <w:pPr>
        <w:pStyle w:val="DHHSbullet1"/>
      </w:pPr>
      <w:r>
        <w:t xml:space="preserve">identify performance concerns and </w:t>
      </w:r>
      <w:r w:rsidR="00A31FD2">
        <w:t>factors that may impact on health service performance</w:t>
      </w:r>
    </w:p>
    <w:p w14:paraId="7AF5D802" w14:textId="77777777" w:rsidR="00BF42AB" w:rsidRDefault="00F84C75" w:rsidP="00F84C75">
      <w:pPr>
        <w:pStyle w:val="DHHSbullet1"/>
      </w:pPr>
      <w:r>
        <w:t xml:space="preserve">analyse </w:t>
      </w:r>
      <w:r w:rsidR="00A31FD2">
        <w:t>performance</w:t>
      </w:r>
      <w:r>
        <w:t xml:space="preserve"> </w:t>
      </w:r>
      <w:r w:rsidR="00FA4A77">
        <w:t xml:space="preserve">issues </w:t>
      </w:r>
      <w:r>
        <w:t xml:space="preserve">and </w:t>
      </w:r>
      <w:r w:rsidR="00A31FD2">
        <w:t xml:space="preserve">the </w:t>
      </w:r>
      <w:r>
        <w:t>opportunities for improvement</w:t>
      </w:r>
    </w:p>
    <w:p w14:paraId="1975CB1C" w14:textId="77777777" w:rsidR="00BF42AB" w:rsidRDefault="00F84C75" w:rsidP="00F84C75">
      <w:pPr>
        <w:pStyle w:val="DHHSbullet1"/>
      </w:pPr>
      <w:r w:rsidRPr="003A14B2">
        <w:t xml:space="preserve">determine appropriate </w:t>
      </w:r>
      <w:r>
        <w:t>interventions and</w:t>
      </w:r>
    </w:p>
    <w:p w14:paraId="5E9643F6" w14:textId="77777777" w:rsidR="00BF42AB" w:rsidRDefault="00F84C75" w:rsidP="006B768A">
      <w:pPr>
        <w:pStyle w:val="DHHSbullet1"/>
      </w:pPr>
      <w:r>
        <w:t xml:space="preserve">ensure that action is taken to </w:t>
      </w:r>
      <w:r w:rsidR="00EE4780">
        <w:t>address performance concerns</w:t>
      </w:r>
      <w:r>
        <w:t xml:space="preserve"> and support ongoing improvement.</w:t>
      </w:r>
    </w:p>
    <w:p w14:paraId="120B2EB8" w14:textId="5FB8FC50" w:rsidR="00F84C75" w:rsidRPr="00900BF4" w:rsidRDefault="007C4CB3" w:rsidP="00007D51">
      <w:pPr>
        <w:pStyle w:val="DHHSfigurecaption"/>
      </w:pPr>
      <w:r w:rsidRPr="00900BF4">
        <w:t>Figure 3</w:t>
      </w:r>
      <w:r w:rsidR="00F50D5D" w:rsidRPr="00900BF4">
        <w:t>:</w:t>
      </w:r>
      <w:r w:rsidR="00F84C75" w:rsidRPr="00900BF4">
        <w:t xml:space="preserve"> The performance improvement process</w:t>
      </w:r>
    </w:p>
    <w:p w14:paraId="520C0BFB" w14:textId="063A6F4A" w:rsidR="00F84C75" w:rsidRPr="00C208CB" w:rsidRDefault="00960D6B" w:rsidP="00F84C75">
      <w:pPr>
        <w:pStyle w:val="DHHSbody"/>
      </w:pPr>
      <w:r>
        <w:rPr>
          <w:noProof/>
          <w:lang w:eastAsia="en-AU"/>
        </w:rPr>
        <w:drawing>
          <wp:inline distT="0" distB="0" distL="0" distR="0" wp14:anchorId="0ACC0CF4" wp14:editId="7540037F">
            <wp:extent cx="5231489" cy="4556261"/>
            <wp:effectExtent l="0" t="0" r="7620" b="0"/>
            <wp:docPr id="28" name="Picture 28" descr="For a text-equivalent description of this figure, follow the link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1806002_Fig3_process.png"/>
                    <pic:cNvPicPr/>
                  </pic:nvPicPr>
                  <pic:blipFill>
                    <a:blip r:embed="rId23"/>
                    <a:stretch>
                      <a:fillRect/>
                    </a:stretch>
                  </pic:blipFill>
                  <pic:spPr>
                    <a:xfrm>
                      <a:off x="0" y="0"/>
                      <a:ext cx="5231489" cy="4556261"/>
                    </a:xfrm>
                    <a:prstGeom prst="rect">
                      <a:avLst/>
                    </a:prstGeom>
                  </pic:spPr>
                </pic:pic>
              </a:graphicData>
            </a:graphic>
          </wp:inline>
        </w:drawing>
      </w:r>
    </w:p>
    <w:p w14:paraId="5AB4347E" w14:textId="032ECCC1" w:rsidR="00441555" w:rsidRPr="00560194" w:rsidRDefault="002007DE" w:rsidP="00441555">
      <w:pPr>
        <w:pStyle w:val="DHHSbodyaftertablefigure"/>
      </w:pPr>
      <w:hyperlink w:anchor="Figure3Description" w:history="1">
        <w:r w:rsidR="00441555" w:rsidRPr="00441555">
          <w:rPr>
            <w:rStyle w:val="Hyperlink"/>
          </w:rPr>
          <w:t xml:space="preserve">Text-equivalent description of Figure </w:t>
        </w:r>
        <w:r w:rsidR="00441555">
          <w:rPr>
            <w:rStyle w:val="Hyperlink"/>
          </w:rPr>
          <w:t>3</w:t>
        </w:r>
        <w:r w:rsidR="00441555" w:rsidRPr="00441555">
          <w:rPr>
            <w:rStyle w:val="Hyperlink"/>
          </w:rPr>
          <w:t xml:space="preserve"> in the Appendix</w:t>
        </w:r>
      </w:hyperlink>
    </w:p>
    <w:p w14:paraId="604BC6CA" w14:textId="77777777" w:rsidR="00007D51" w:rsidRDefault="00EE4780" w:rsidP="00900BF4">
      <w:pPr>
        <w:pStyle w:val="DHHSbodyaftertablefigure"/>
      </w:pPr>
      <w:bookmarkStart w:id="42" w:name="TextAfterFigure3"/>
      <w:r>
        <w:t xml:space="preserve">The performance improvement cycle is supported by </w:t>
      </w:r>
      <w:r w:rsidR="000E7E8A">
        <w:t xml:space="preserve">performance </w:t>
      </w:r>
      <w:r w:rsidR="00F84C75">
        <w:t>risk assessment tool</w:t>
      </w:r>
      <w:r w:rsidR="001A49F7">
        <w:t>s</w:t>
      </w:r>
      <w:r w:rsidR="00F84C75">
        <w:t xml:space="preserve"> </w:t>
      </w:r>
      <w:r w:rsidR="00B91363">
        <w:t xml:space="preserve">that </w:t>
      </w:r>
      <w:r>
        <w:t xml:space="preserve">draw together information from the four domains of performance and </w:t>
      </w:r>
      <w:r w:rsidR="00B6787F">
        <w:t xml:space="preserve">assist in </w:t>
      </w:r>
      <w:r>
        <w:t>document</w:t>
      </w:r>
      <w:r w:rsidR="00B6787F">
        <w:t>ing</w:t>
      </w:r>
      <w:r>
        <w:t xml:space="preserve"> outcomes at each step in the cycle</w:t>
      </w:r>
      <w:r w:rsidR="00F84C75">
        <w:t>. Th</w:t>
      </w:r>
      <w:r>
        <w:t>e</w:t>
      </w:r>
      <w:r w:rsidR="00B6787F">
        <w:t>se</w:t>
      </w:r>
      <w:r w:rsidR="00F84C75">
        <w:t xml:space="preserve"> tool</w:t>
      </w:r>
      <w:r w:rsidR="00B6787F">
        <w:t>s</w:t>
      </w:r>
      <w:r w:rsidR="00F84C75">
        <w:t xml:space="preserve"> </w:t>
      </w:r>
      <w:r w:rsidR="00B6787F">
        <w:t xml:space="preserve">are </w:t>
      </w:r>
      <w:r w:rsidR="00FE201A">
        <w:t xml:space="preserve">usually </w:t>
      </w:r>
      <w:r>
        <w:t>completed</w:t>
      </w:r>
      <w:r w:rsidR="00F84C75">
        <w:t xml:space="preserve"> quarterly for each health service and </w:t>
      </w:r>
      <w:r w:rsidR="00FE201A">
        <w:t xml:space="preserve">are </w:t>
      </w:r>
      <w:r w:rsidR="00F84C75">
        <w:t>used to inform the performance conversation.</w:t>
      </w:r>
    </w:p>
    <w:bookmarkEnd w:id="42"/>
    <w:p w14:paraId="043E1448" w14:textId="197CB581" w:rsidR="00EE4780" w:rsidRDefault="00EE4780" w:rsidP="00F84C75">
      <w:pPr>
        <w:pStyle w:val="DHHSbody"/>
      </w:pPr>
      <w:r>
        <w:t xml:space="preserve">There are </w:t>
      </w:r>
      <w:r w:rsidR="00F94935">
        <w:t>several</w:t>
      </w:r>
      <w:r>
        <w:t xml:space="preserve"> key </w:t>
      </w:r>
      <w:r w:rsidR="00DD350C">
        <w:t>considerations</w:t>
      </w:r>
      <w:r>
        <w:t xml:space="preserve"> to consider in relation to the </w:t>
      </w:r>
      <w:r w:rsidR="00F94935">
        <w:t xml:space="preserve">risk assessment </w:t>
      </w:r>
      <w:r>
        <w:t>tool</w:t>
      </w:r>
      <w:r w:rsidR="00B6787F">
        <w:t>s</w:t>
      </w:r>
      <w:r>
        <w:t xml:space="preserve"> and the broader performance improvement cycle</w:t>
      </w:r>
      <w:r w:rsidR="0066156F">
        <w:t xml:space="preserve">, as described </w:t>
      </w:r>
      <w:r w:rsidR="001458B8">
        <w:t>on the next page</w:t>
      </w:r>
      <w:r w:rsidR="00DD350C">
        <w:t>.</w:t>
      </w:r>
    </w:p>
    <w:p w14:paraId="59703C0E" w14:textId="1E1C142B" w:rsidR="001458B8" w:rsidRDefault="0040781F" w:rsidP="001458B8">
      <w:pPr>
        <w:pStyle w:val="Heading3"/>
      </w:pPr>
      <w:bookmarkStart w:id="43" w:name="_Toc15579809"/>
      <w:r>
        <w:lastRenderedPageBreak/>
        <w:t xml:space="preserve">Key </w:t>
      </w:r>
      <w:r w:rsidR="001458B8">
        <w:t>consider</w:t>
      </w:r>
      <w:r>
        <w:t>ations</w:t>
      </w:r>
      <w:bookmarkEnd w:id="43"/>
    </w:p>
    <w:p w14:paraId="556ADBB7" w14:textId="582D5D8D" w:rsidR="001458B8" w:rsidRPr="00900BF4" w:rsidRDefault="0066156F" w:rsidP="00900BF4">
      <w:pPr>
        <w:pStyle w:val="Heading4"/>
        <w:rPr>
          <w:sz w:val="22"/>
        </w:rPr>
      </w:pPr>
      <w:r w:rsidRPr="00900BF4">
        <w:rPr>
          <w:sz w:val="22"/>
        </w:rPr>
        <w:t xml:space="preserve">The performance risk assessment </w:t>
      </w:r>
      <w:r w:rsidR="00C62679" w:rsidRPr="00900BF4">
        <w:rPr>
          <w:sz w:val="22"/>
        </w:rPr>
        <w:t>approach</w:t>
      </w:r>
      <w:r w:rsidRPr="00900BF4">
        <w:rPr>
          <w:sz w:val="22"/>
        </w:rPr>
        <w:t xml:space="preserve"> is not a </w:t>
      </w:r>
      <w:r w:rsidR="001458B8" w:rsidRPr="00900BF4">
        <w:rPr>
          <w:sz w:val="22"/>
        </w:rPr>
        <w:t>‘</w:t>
      </w:r>
      <w:r w:rsidRPr="00900BF4">
        <w:rPr>
          <w:sz w:val="22"/>
        </w:rPr>
        <w:t>technical</w:t>
      </w:r>
      <w:r w:rsidR="001458B8" w:rsidRPr="00900BF4">
        <w:rPr>
          <w:sz w:val="22"/>
        </w:rPr>
        <w:t>’</w:t>
      </w:r>
      <w:r w:rsidRPr="00900BF4">
        <w:rPr>
          <w:sz w:val="22"/>
        </w:rPr>
        <w:t xml:space="preserve"> risk management </w:t>
      </w:r>
      <w:r w:rsidR="00C62679" w:rsidRPr="00900BF4">
        <w:rPr>
          <w:sz w:val="22"/>
        </w:rPr>
        <w:t>approach</w:t>
      </w:r>
    </w:p>
    <w:p w14:paraId="444E3247" w14:textId="61C6F965" w:rsidR="00EE4780" w:rsidRDefault="00EE4780" w:rsidP="001E50DA">
      <w:pPr>
        <w:pStyle w:val="DHHSbody"/>
      </w:pPr>
      <w:r>
        <w:t xml:space="preserve">While it seeks to identify risks to performance, the </w:t>
      </w:r>
      <w:r w:rsidR="007450D2">
        <w:t>Framework</w:t>
      </w:r>
      <w:r>
        <w:t xml:space="preserve"> is not a technical risk management approach. The department, agencies and health services have their own internal risk management processes that operate separately from the </w:t>
      </w:r>
      <w:r w:rsidR="007450D2">
        <w:t>Framework</w:t>
      </w:r>
      <w:r w:rsidR="00B24CFE">
        <w:t>.</w:t>
      </w:r>
    </w:p>
    <w:p w14:paraId="50CCAD42" w14:textId="4BC484ED" w:rsidR="001458B8" w:rsidRPr="00900BF4" w:rsidRDefault="0066156F" w:rsidP="00900BF4">
      <w:pPr>
        <w:pStyle w:val="Heading4"/>
        <w:rPr>
          <w:sz w:val="22"/>
        </w:rPr>
      </w:pPr>
      <w:r w:rsidRPr="00900BF4">
        <w:rPr>
          <w:sz w:val="22"/>
        </w:rPr>
        <w:t xml:space="preserve">The </w:t>
      </w:r>
      <w:r w:rsidR="00C62679" w:rsidRPr="00900BF4">
        <w:rPr>
          <w:sz w:val="22"/>
        </w:rPr>
        <w:t>approach</w:t>
      </w:r>
      <w:r w:rsidRPr="00900BF4">
        <w:rPr>
          <w:sz w:val="22"/>
        </w:rPr>
        <w:t xml:space="preserve"> is intended to support performance conversations</w:t>
      </w:r>
    </w:p>
    <w:p w14:paraId="3608BE9C" w14:textId="625467C7" w:rsidR="00EE4780" w:rsidRDefault="00EE4780" w:rsidP="001E50DA">
      <w:pPr>
        <w:pStyle w:val="DHHSbody"/>
      </w:pPr>
      <w:r>
        <w:t xml:space="preserve">The </w:t>
      </w:r>
      <w:r w:rsidR="00C62679">
        <w:t xml:space="preserve">approach </w:t>
      </w:r>
      <w:r w:rsidR="00B24CFE">
        <w:t xml:space="preserve">provides the basis for a </w:t>
      </w:r>
      <w:r w:rsidR="00F94935">
        <w:t xml:space="preserve">collaborative </w:t>
      </w:r>
      <w:r w:rsidR="00B24CFE">
        <w:t xml:space="preserve">conversation about performance and should not be viewed as </w:t>
      </w:r>
      <w:r w:rsidR="005E7E7D">
        <w:t>a means to an end</w:t>
      </w:r>
      <w:r w:rsidR="00B24CFE">
        <w:t>. Rather</w:t>
      </w:r>
      <w:r w:rsidR="002D68AE">
        <w:t>,</w:t>
      </w:r>
      <w:r w:rsidR="00B24CFE">
        <w:t xml:space="preserve"> it should capture the </w:t>
      </w:r>
      <w:r w:rsidR="0021214F">
        <w:t>stage</w:t>
      </w:r>
      <w:r w:rsidR="00B24CFE">
        <w:t xml:space="preserve"> the performance conversation has reached at a point in time, as well as the actions </w:t>
      </w:r>
      <w:r w:rsidR="0021214F">
        <w:t>needed</w:t>
      </w:r>
      <w:r w:rsidR="00B24CFE">
        <w:t xml:space="preserve"> to move the conversation forward.</w:t>
      </w:r>
    </w:p>
    <w:p w14:paraId="5513D3CE" w14:textId="64585321" w:rsidR="0066156F" w:rsidRPr="00900BF4" w:rsidRDefault="0066156F" w:rsidP="00900BF4">
      <w:pPr>
        <w:pStyle w:val="Heading4"/>
        <w:rPr>
          <w:sz w:val="22"/>
        </w:rPr>
      </w:pPr>
      <w:r w:rsidRPr="00900BF4">
        <w:rPr>
          <w:sz w:val="22"/>
        </w:rPr>
        <w:t xml:space="preserve">The </w:t>
      </w:r>
      <w:r w:rsidR="00C62679" w:rsidRPr="00900BF4">
        <w:rPr>
          <w:sz w:val="22"/>
        </w:rPr>
        <w:t>approach</w:t>
      </w:r>
      <w:r w:rsidRPr="00900BF4">
        <w:rPr>
          <w:sz w:val="22"/>
        </w:rPr>
        <w:t xml:space="preserve"> is not intended to be punitive</w:t>
      </w:r>
    </w:p>
    <w:p w14:paraId="2A89CCE7" w14:textId="77777777" w:rsidR="00007D51" w:rsidRDefault="00B24CFE" w:rsidP="001E50DA">
      <w:pPr>
        <w:pStyle w:val="DHHSbody"/>
      </w:pPr>
      <w:r>
        <w:t>Risk flags and performance concerns identified in the</w:t>
      </w:r>
      <w:r w:rsidR="005E7E7D">
        <w:t xml:space="preserve"> department’s performance risk</w:t>
      </w:r>
      <w:r>
        <w:t xml:space="preserve"> tool</w:t>
      </w:r>
      <w:r w:rsidR="005E7E7D">
        <w:t>s</w:t>
      </w:r>
      <w:r>
        <w:t xml:space="preserve"> are not intended to be punitive or to highlight failings of health services. They are </w:t>
      </w:r>
      <w:r w:rsidR="000E7DCD">
        <w:t>intended</w:t>
      </w:r>
      <w:r>
        <w:t xml:space="preserve"> to raise issues for discussion</w:t>
      </w:r>
      <w:r w:rsidR="003D6452">
        <w:t>,</w:t>
      </w:r>
      <w:r>
        <w:t xml:space="preserve"> and to </w:t>
      </w:r>
      <w:r w:rsidR="005E7E7D">
        <w:t xml:space="preserve">guide and support </w:t>
      </w:r>
      <w:r>
        <w:t>the way to potential actions for strengthening or improving performance.</w:t>
      </w:r>
    </w:p>
    <w:p w14:paraId="1483D502" w14:textId="561624AC" w:rsidR="0066156F" w:rsidRDefault="0066156F" w:rsidP="00900BF4">
      <w:pPr>
        <w:pStyle w:val="Heading4"/>
      </w:pPr>
      <w:r w:rsidRPr="00900BF4">
        <w:rPr>
          <w:sz w:val="22"/>
        </w:rPr>
        <w:t>The department and health services have a shared responsibility to address performance issues</w:t>
      </w:r>
    </w:p>
    <w:p w14:paraId="5939152E" w14:textId="77777777" w:rsidR="00007D51" w:rsidRDefault="00FA4A77" w:rsidP="001E50DA">
      <w:pPr>
        <w:pStyle w:val="DHHSbody"/>
      </w:pPr>
      <w:r>
        <w:t>Th</w:t>
      </w:r>
      <w:r w:rsidR="005E7E7D">
        <w:t>is</w:t>
      </w:r>
      <w:r>
        <w:t xml:space="preserve"> approach to performance monitoring represent</w:t>
      </w:r>
      <w:r w:rsidR="005E7E7D">
        <w:t>s</w:t>
      </w:r>
      <w:r>
        <w:t xml:space="preserve"> a shared responsibility between health services and the department in understanding and addressing the issues that can affect the performance of a health service.</w:t>
      </w:r>
    </w:p>
    <w:p w14:paraId="1EA1D894" w14:textId="03867B69" w:rsidR="00233C27" w:rsidRPr="00C86FDC" w:rsidRDefault="00233C27" w:rsidP="00900BF4">
      <w:r>
        <w:br w:type="page"/>
      </w:r>
    </w:p>
    <w:p w14:paraId="751F1BC2" w14:textId="02DC09A5" w:rsidR="00C86FDC" w:rsidRDefault="00FC72E5" w:rsidP="00900BF4">
      <w:pPr>
        <w:pStyle w:val="Heading3"/>
      </w:pPr>
      <w:bookmarkStart w:id="44" w:name="_Toc15579810"/>
      <w:r>
        <w:lastRenderedPageBreak/>
        <w:t>The p</w:t>
      </w:r>
      <w:r w:rsidR="00C86FDC">
        <w:t>erformance improvement process</w:t>
      </w:r>
      <w:r w:rsidR="00466EF3">
        <w:t xml:space="preserve"> – </w:t>
      </w:r>
      <w:r w:rsidR="00AC3BBE">
        <w:t>S</w:t>
      </w:r>
      <w:r w:rsidR="00466EF3">
        <w:t>tep-by-step</w:t>
      </w:r>
      <w:bookmarkEnd w:id="44"/>
    </w:p>
    <w:p w14:paraId="5A841EB1" w14:textId="7090E961" w:rsidR="00943963" w:rsidRDefault="00F84C75" w:rsidP="00900BF4">
      <w:pPr>
        <w:pStyle w:val="DHHSbody"/>
        <w:spacing w:after="240"/>
      </w:pPr>
      <w:r>
        <w:t xml:space="preserve">The following sections describe </w:t>
      </w:r>
      <w:r w:rsidR="002D7B60">
        <w:t xml:space="preserve">each step in the </w:t>
      </w:r>
      <w:r w:rsidR="007450D2">
        <w:t>Framework</w:t>
      </w:r>
      <w:r w:rsidR="00E61B48">
        <w:t>’</w:t>
      </w:r>
      <w:r w:rsidR="002D7B60">
        <w:t>s performance improvement process</w:t>
      </w:r>
      <w:r w:rsidR="00466EF3">
        <w:t>,</w:t>
      </w:r>
      <w:r>
        <w:t xml:space="preserve"> including </w:t>
      </w:r>
      <w:r w:rsidR="002D7B60">
        <w:t xml:space="preserve">how the </w:t>
      </w:r>
      <w:r w:rsidR="000736D2">
        <w:t xml:space="preserve">department’s </w:t>
      </w:r>
      <w:r w:rsidR="0027278D">
        <w:t xml:space="preserve">performance </w:t>
      </w:r>
      <w:r w:rsidR="002D7B60">
        <w:t>risk assessment tool</w:t>
      </w:r>
      <w:r w:rsidR="000736D2">
        <w:t>s</w:t>
      </w:r>
      <w:r w:rsidR="002D7B60">
        <w:t xml:space="preserve"> support</w:t>
      </w:r>
      <w:r>
        <w:t xml:space="preserve"> the process.</w:t>
      </w:r>
    </w:p>
    <w:p w14:paraId="01A37954" w14:textId="77777777" w:rsidR="007237B5" w:rsidRDefault="007237B5" w:rsidP="00EF10C9">
      <w:pPr>
        <w:pStyle w:val="Heading4"/>
        <w:rPr>
          <w:color w:val="007B4B"/>
        </w:rPr>
        <w:sectPr w:rsidR="007237B5" w:rsidSect="004755B3">
          <w:footerReference w:type="even" r:id="rId24"/>
          <w:footerReference w:type="default" r:id="rId25"/>
          <w:pgSz w:w="11906" w:h="16838"/>
          <w:pgMar w:top="1134" w:right="1304" w:bottom="851" w:left="1304" w:header="454" w:footer="510" w:gutter="0"/>
          <w:cols w:space="720"/>
          <w:docGrid w:linePitch="360"/>
        </w:sectPr>
      </w:pPr>
      <w:bookmarkStart w:id="45" w:name="_Toc9445511"/>
    </w:p>
    <w:p w14:paraId="7671363A" w14:textId="00DA1191" w:rsidR="007237B5" w:rsidRDefault="00EF4375" w:rsidP="00370906">
      <w:pPr>
        <w:pStyle w:val="DHHSicon"/>
        <w:spacing w:before="0" w:after="0"/>
      </w:pPr>
      <w:r>
        <w:rPr>
          <w:noProof/>
        </w:rPr>
        <w:drawing>
          <wp:inline distT="0" distB="0" distL="0" distR="0" wp14:anchorId="48E0899E" wp14:editId="71443BDE">
            <wp:extent cx="720090" cy="720090"/>
            <wp:effectExtent l="0" t="0" r="3810" b="3810"/>
            <wp:docPr id="27" name="Picture 27"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1806002_risk_id-01.png"/>
                    <pic:cNvPicPr/>
                  </pic:nvPicPr>
                  <pic:blipFill>
                    <a:blip r:embed="rId26"/>
                    <a:stretch>
                      <a:fillRect/>
                    </a:stretch>
                  </pic:blipFill>
                  <pic:spPr>
                    <a:xfrm>
                      <a:off x="0" y="0"/>
                      <a:ext cx="720090" cy="720090"/>
                    </a:xfrm>
                    <a:prstGeom prst="rect">
                      <a:avLst/>
                    </a:prstGeom>
                  </pic:spPr>
                </pic:pic>
              </a:graphicData>
            </a:graphic>
          </wp:inline>
        </w:drawing>
      </w:r>
    </w:p>
    <w:p w14:paraId="2A87E48E" w14:textId="703A3EF0" w:rsidR="00EF10C9" w:rsidRPr="00EF10C9" w:rsidRDefault="007237B5" w:rsidP="00263448">
      <w:pPr>
        <w:pStyle w:val="Heading4"/>
        <w:spacing w:before="120"/>
        <w:rPr>
          <w:color w:val="007B4B"/>
        </w:rPr>
      </w:pPr>
      <w:r>
        <w:rPr>
          <w:color w:val="007B4B"/>
        </w:rPr>
        <w:br w:type="column"/>
      </w:r>
      <w:r w:rsidR="00EF10C9" w:rsidRPr="00EF10C9">
        <w:rPr>
          <w:color w:val="007B4B"/>
        </w:rPr>
        <w:t>Step 1 – Identify performance risk</w:t>
      </w:r>
      <w:bookmarkEnd w:id="45"/>
    </w:p>
    <w:p w14:paraId="3A57E564" w14:textId="77777777" w:rsidR="00EF10C9" w:rsidRPr="001B1C8F" w:rsidRDefault="00EF10C9" w:rsidP="00370906">
      <w:pPr>
        <w:pStyle w:val="DHHSbody"/>
        <w:spacing w:after="0"/>
      </w:pPr>
      <w:r w:rsidRPr="15C59A45">
        <w:t>Performance concerns, inherent vulnerabilities and emerging performance concerns are identified by using quantitative and qualitative data from a range of sources.</w:t>
      </w:r>
    </w:p>
    <w:p w14:paraId="78A71EAF" w14:textId="77777777" w:rsidR="003D1E2F" w:rsidRDefault="003D1E2F" w:rsidP="00370906">
      <w:pPr>
        <w:pStyle w:val="Heading5"/>
        <w:spacing w:after="0"/>
        <w:rPr>
          <w:color w:val="007B4B"/>
        </w:rPr>
        <w:sectPr w:rsidR="003D1E2F" w:rsidSect="003D1E2F">
          <w:type w:val="continuous"/>
          <w:pgSz w:w="11906" w:h="16838"/>
          <w:pgMar w:top="1134" w:right="1304" w:bottom="851" w:left="1304" w:header="454" w:footer="510" w:gutter="0"/>
          <w:cols w:num="2" w:space="227" w:equalWidth="0">
            <w:col w:w="1134" w:space="227"/>
            <w:col w:w="7937"/>
          </w:cols>
          <w:docGrid w:linePitch="360"/>
        </w:sectPr>
      </w:pPr>
    </w:p>
    <w:p w14:paraId="666B0CEF" w14:textId="38B190F3" w:rsidR="003D1E2F" w:rsidRDefault="00EF4375" w:rsidP="00370906">
      <w:pPr>
        <w:pStyle w:val="DHHSicon"/>
        <w:spacing w:before="0" w:after="0"/>
        <w:jc w:val="right"/>
      </w:pPr>
      <w:r>
        <w:rPr>
          <w:noProof/>
        </w:rPr>
        <w:drawing>
          <wp:inline distT="0" distB="0" distL="0" distR="0" wp14:anchorId="0F129552" wp14:editId="56F71280">
            <wp:extent cx="720090" cy="720090"/>
            <wp:effectExtent l="0" t="0" r="3810" b="3810"/>
            <wp:docPr id="32" name="Picture 32"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1806002_risk_measures-01.png"/>
                    <pic:cNvPicPr/>
                  </pic:nvPicPr>
                  <pic:blipFill>
                    <a:blip r:embed="rId27"/>
                    <a:stretch>
                      <a:fillRect/>
                    </a:stretch>
                  </pic:blipFill>
                  <pic:spPr>
                    <a:xfrm>
                      <a:off x="0" y="0"/>
                      <a:ext cx="720090" cy="720090"/>
                    </a:xfrm>
                    <a:prstGeom prst="rect">
                      <a:avLst/>
                    </a:prstGeom>
                  </pic:spPr>
                </pic:pic>
              </a:graphicData>
            </a:graphic>
          </wp:inline>
        </w:drawing>
      </w:r>
    </w:p>
    <w:p w14:paraId="590803F2" w14:textId="68CC4AE3" w:rsidR="00EF10C9" w:rsidRPr="00EF10C9" w:rsidRDefault="003D1E2F" w:rsidP="00370906">
      <w:pPr>
        <w:pStyle w:val="Heading5"/>
        <w:spacing w:before="0"/>
        <w:rPr>
          <w:color w:val="007B4B"/>
        </w:rPr>
      </w:pPr>
      <w:r>
        <w:rPr>
          <w:color w:val="007B4B"/>
        </w:rPr>
        <w:br w:type="column"/>
      </w:r>
      <w:r w:rsidR="00EF10C9" w:rsidRPr="00EF10C9">
        <w:rPr>
          <w:color w:val="007B4B"/>
        </w:rPr>
        <w:t>Key Performance Measures – Provide quantitative analysis</w:t>
      </w:r>
    </w:p>
    <w:p w14:paraId="264CC793" w14:textId="0ED67B3E" w:rsidR="003D1E2F" w:rsidRPr="001B1C8F" w:rsidRDefault="00EF10C9" w:rsidP="003D1E2F">
      <w:pPr>
        <w:pStyle w:val="DHHSbody"/>
      </w:pPr>
      <w:r w:rsidRPr="0040110D">
        <w:t>Risk flags are identified for each measure where targets have not been met and performance is deteriorating</w:t>
      </w:r>
      <w:r>
        <w:t>.</w:t>
      </w:r>
    </w:p>
    <w:p w14:paraId="6A912246" w14:textId="77777777" w:rsidR="003D1E2F" w:rsidRDefault="003D1E2F" w:rsidP="003D1E2F">
      <w:pPr>
        <w:pStyle w:val="Heading5"/>
        <w:rPr>
          <w:color w:val="007B4B"/>
        </w:rPr>
        <w:sectPr w:rsidR="003D1E2F" w:rsidSect="00370906">
          <w:type w:val="continuous"/>
          <w:pgSz w:w="11906" w:h="16838"/>
          <w:pgMar w:top="1134" w:right="1304" w:bottom="851" w:left="1304" w:header="454" w:footer="510" w:gutter="0"/>
          <w:cols w:num="2" w:space="227" w:equalWidth="0">
            <w:col w:w="2495" w:space="227"/>
            <w:col w:w="6576"/>
          </w:cols>
          <w:docGrid w:linePitch="360"/>
        </w:sectPr>
      </w:pPr>
    </w:p>
    <w:p w14:paraId="5CDCC965" w14:textId="7167977B" w:rsidR="003D1E2F" w:rsidRDefault="00EF4375" w:rsidP="00370906">
      <w:pPr>
        <w:pStyle w:val="DHHSicon"/>
        <w:spacing w:before="0" w:after="0"/>
        <w:jc w:val="right"/>
      </w:pPr>
      <w:r>
        <w:rPr>
          <w:noProof/>
        </w:rPr>
        <w:drawing>
          <wp:inline distT="0" distB="0" distL="0" distR="0" wp14:anchorId="2E2B2ACB" wp14:editId="656F6752">
            <wp:extent cx="720090" cy="720090"/>
            <wp:effectExtent l="0" t="0" r="3810" b="3810"/>
            <wp:docPr id="44" name="Picture 44"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1806002_underlying_risks-01.png"/>
                    <pic:cNvPicPr/>
                  </pic:nvPicPr>
                  <pic:blipFill>
                    <a:blip r:embed="rId28"/>
                    <a:stretch>
                      <a:fillRect/>
                    </a:stretch>
                  </pic:blipFill>
                  <pic:spPr>
                    <a:xfrm>
                      <a:off x="0" y="0"/>
                      <a:ext cx="720090" cy="720090"/>
                    </a:xfrm>
                    <a:prstGeom prst="rect">
                      <a:avLst/>
                    </a:prstGeom>
                  </pic:spPr>
                </pic:pic>
              </a:graphicData>
            </a:graphic>
          </wp:inline>
        </w:drawing>
      </w:r>
    </w:p>
    <w:p w14:paraId="54AE2356" w14:textId="0061D2D1" w:rsidR="00EF10C9" w:rsidRPr="003D1E2F" w:rsidRDefault="003D1E2F" w:rsidP="00370906">
      <w:pPr>
        <w:pStyle w:val="Heading5"/>
        <w:spacing w:before="0"/>
        <w:rPr>
          <w:color w:val="007B4B"/>
        </w:rPr>
      </w:pPr>
      <w:r w:rsidRPr="003D1E2F">
        <w:rPr>
          <w:color w:val="007B4B"/>
        </w:rPr>
        <w:br w:type="column"/>
      </w:r>
      <w:r w:rsidR="00EF10C9" w:rsidRPr="003D1E2F">
        <w:rPr>
          <w:color w:val="007B4B"/>
        </w:rPr>
        <w:t>Underlying Risk Factors – Provide performance context</w:t>
      </w:r>
    </w:p>
    <w:p w14:paraId="378E7EB9" w14:textId="77777777" w:rsidR="00EF10C9" w:rsidRPr="0040110D" w:rsidRDefault="00EF10C9" w:rsidP="00EF10C9">
      <w:pPr>
        <w:pStyle w:val="DHHSbody"/>
        <w:rPr>
          <w:rFonts w:eastAsia="MS Gothic"/>
          <w:b/>
          <w:bCs/>
          <w:color w:val="201547"/>
          <w:szCs w:val="26"/>
        </w:rPr>
      </w:pPr>
      <w:r w:rsidRPr="0040110D">
        <w:t>Risk flags are identified for each measure where targets have not been met and performance is deteriorating.</w:t>
      </w:r>
    </w:p>
    <w:p w14:paraId="7A66A57F" w14:textId="77777777" w:rsidR="003D1E2F" w:rsidRDefault="003D1E2F" w:rsidP="00EF10C9">
      <w:pPr>
        <w:pStyle w:val="Heading5"/>
        <w:rPr>
          <w:color w:val="007B4B"/>
        </w:rPr>
        <w:sectPr w:rsidR="003D1E2F" w:rsidSect="003D1E2F">
          <w:type w:val="continuous"/>
          <w:pgSz w:w="11906" w:h="16838"/>
          <w:pgMar w:top="1134" w:right="1304" w:bottom="851" w:left="1304" w:header="454" w:footer="510" w:gutter="0"/>
          <w:cols w:num="2" w:space="227" w:equalWidth="0">
            <w:col w:w="2495" w:space="227"/>
            <w:col w:w="6576"/>
          </w:cols>
          <w:docGrid w:linePitch="360"/>
        </w:sectPr>
      </w:pPr>
    </w:p>
    <w:p w14:paraId="1762FC28" w14:textId="7552E1F6" w:rsidR="003D1E2F" w:rsidRDefault="00EF4375" w:rsidP="00370906">
      <w:pPr>
        <w:pStyle w:val="DHHSicon"/>
        <w:spacing w:before="0" w:after="0"/>
        <w:jc w:val="right"/>
      </w:pPr>
      <w:r>
        <w:rPr>
          <w:noProof/>
        </w:rPr>
        <w:drawing>
          <wp:inline distT="0" distB="0" distL="0" distR="0" wp14:anchorId="07B39CE5" wp14:editId="30468528">
            <wp:extent cx="720090" cy="720090"/>
            <wp:effectExtent l="0" t="0" r="3810" b="3810"/>
            <wp:docPr id="42" name="Picture 42"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1806002_third_party-01.png"/>
                    <pic:cNvPicPr/>
                  </pic:nvPicPr>
                  <pic:blipFill>
                    <a:blip r:embed="rId29"/>
                    <a:stretch>
                      <a:fillRect/>
                    </a:stretch>
                  </pic:blipFill>
                  <pic:spPr>
                    <a:xfrm>
                      <a:off x="0" y="0"/>
                      <a:ext cx="720090" cy="720090"/>
                    </a:xfrm>
                    <a:prstGeom prst="rect">
                      <a:avLst/>
                    </a:prstGeom>
                  </pic:spPr>
                </pic:pic>
              </a:graphicData>
            </a:graphic>
          </wp:inline>
        </w:drawing>
      </w:r>
    </w:p>
    <w:p w14:paraId="70A048EF" w14:textId="43E14210" w:rsidR="00EF10C9" w:rsidRPr="00EF10C9" w:rsidRDefault="003D1E2F" w:rsidP="00370906">
      <w:pPr>
        <w:pStyle w:val="Heading5"/>
        <w:spacing w:before="0"/>
        <w:rPr>
          <w:color w:val="007B4B"/>
        </w:rPr>
      </w:pPr>
      <w:r w:rsidRPr="003D1E2F">
        <w:rPr>
          <w:color w:val="007B4B"/>
        </w:rPr>
        <w:br w:type="column"/>
      </w:r>
      <w:r w:rsidR="00EF10C9" w:rsidRPr="00EF10C9">
        <w:rPr>
          <w:color w:val="007B4B"/>
        </w:rPr>
        <w:t xml:space="preserve">Third party reports and other intelligence – </w:t>
      </w:r>
      <w:r w:rsidR="00753DC5">
        <w:rPr>
          <w:color w:val="007B4B"/>
        </w:rPr>
        <w:t>P</w:t>
      </w:r>
      <w:r w:rsidR="00EF10C9" w:rsidRPr="00EF10C9">
        <w:rPr>
          <w:color w:val="007B4B"/>
        </w:rPr>
        <w:t xml:space="preserve">rovide performance context </w:t>
      </w:r>
    </w:p>
    <w:p w14:paraId="501AEED6" w14:textId="5CC29430" w:rsidR="00EF10C9" w:rsidRPr="0040110D" w:rsidRDefault="00EF10C9" w:rsidP="00EF10C9">
      <w:pPr>
        <w:pStyle w:val="DHHSbody"/>
      </w:pPr>
      <w:r w:rsidRPr="0040110D">
        <w:t>Performance issues are triangulated against third party source</w:t>
      </w:r>
      <w:r w:rsidR="00B2403B">
        <w:t>s</w:t>
      </w:r>
      <w:r w:rsidRPr="0040110D">
        <w:t>. Areas of concern are flagged.</w:t>
      </w:r>
    </w:p>
    <w:p w14:paraId="0ADBBC3F" w14:textId="77777777" w:rsidR="003D1E2F" w:rsidRDefault="003D1E2F" w:rsidP="00EF10C9">
      <w:pPr>
        <w:pStyle w:val="Heading4"/>
        <w:rPr>
          <w:color w:val="007B4B"/>
        </w:rPr>
        <w:sectPr w:rsidR="003D1E2F" w:rsidSect="003D1E2F">
          <w:type w:val="continuous"/>
          <w:pgSz w:w="11906" w:h="16838"/>
          <w:pgMar w:top="1134" w:right="1304" w:bottom="851" w:left="1304" w:header="454" w:footer="510" w:gutter="0"/>
          <w:cols w:num="2" w:space="227" w:equalWidth="0">
            <w:col w:w="2495" w:space="227"/>
            <w:col w:w="6576"/>
          </w:cols>
          <w:docGrid w:linePitch="360"/>
        </w:sectPr>
      </w:pPr>
      <w:bookmarkStart w:id="46" w:name="_Toc9445512"/>
    </w:p>
    <w:p w14:paraId="1A490207" w14:textId="2AC3433A" w:rsidR="003D1E2F" w:rsidRDefault="00EF4375" w:rsidP="00370906">
      <w:pPr>
        <w:pStyle w:val="DHHSicon"/>
        <w:spacing w:before="0" w:after="0"/>
      </w:pPr>
      <w:r>
        <w:rPr>
          <w:noProof/>
        </w:rPr>
        <w:drawing>
          <wp:inline distT="0" distB="0" distL="0" distR="0" wp14:anchorId="1FF6C8A9" wp14:editId="005426EC">
            <wp:extent cx="720090" cy="720090"/>
            <wp:effectExtent l="0" t="0" r="3810" b="3810"/>
            <wp:docPr id="24" name="Picture 24"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1806002_risk_analysis-01.png"/>
                    <pic:cNvPicPr/>
                  </pic:nvPicPr>
                  <pic:blipFill>
                    <a:blip r:embed="rId30"/>
                    <a:stretch>
                      <a:fillRect/>
                    </a:stretch>
                  </pic:blipFill>
                  <pic:spPr>
                    <a:xfrm>
                      <a:off x="0" y="0"/>
                      <a:ext cx="720090" cy="720090"/>
                    </a:xfrm>
                    <a:prstGeom prst="rect">
                      <a:avLst/>
                    </a:prstGeom>
                  </pic:spPr>
                </pic:pic>
              </a:graphicData>
            </a:graphic>
          </wp:inline>
        </w:drawing>
      </w:r>
    </w:p>
    <w:p w14:paraId="344964E1" w14:textId="7DDF8ACD" w:rsidR="00EF10C9" w:rsidRPr="00EF10C9" w:rsidRDefault="003D1E2F" w:rsidP="00370906">
      <w:pPr>
        <w:pStyle w:val="Heading4"/>
        <w:spacing w:before="0"/>
        <w:rPr>
          <w:color w:val="007B4B"/>
          <w:sz w:val="28"/>
        </w:rPr>
      </w:pPr>
      <w:r w:rsidRPr="003D1E2F">
        <w:rPr>
          <w:color w:val="007B4B"/>
        </w:rPr>
        <w:br w:type="column"/>
      </w:r>
      <w:r w:rsidR="00EF10C9" w:rsidRPr="00EF10C9">
        <w:rPr>
          <w:color w:val="007B4B"/>
        </w:rPr>
        <w:t>Step 2 – Analyse performance</w:t>
      </w:r>
      <w:bookmarkEnd w:id="46"/>
    </w:p>
    <w:p w14:paraId="7EAFDD1B" w14:textId="33B04B1D" w:rsidR="00EF10C9" w:rsidRPr="0040110D" w:rsidRDefault="00EF10C9" w:rsidP="00EF10C9">
      <w:pPr>
        <w:pStyle w:val="DHHSbody"/>
      </w:pPr>
      <w:r w:rsidRPr="0040110D">
        <w:t>Once performance flags have been identified they are evaluated</w:t>
      </w:r>
      <w:r w:rsidR="00B426DF">
        <w:t>.</w:t>
      </w:r>
    </w:p>
    <w:p w14:paraId="29CCD412" w14:textId="77777777" w:rsidR="003D1E2F" w:rsidRDefault="003D1E2F" w:rsidP="00EF10C9">
      <w:pPr>
        <w:pStyle w:val="Heading5"/>
        <w:rPr>
          <w:color w:val="007B4B"/>
        </w:rPr>
        <w:sectPr w:rsidR="003D1E2F" w:rsidSect="00370906">
          <w:type w:val="continuous"/>
          <w:pgSz w:w="11906" w:h="16838"/>
          <w:pgMar w:top="1134" w:right="1304" w:bottom="851" w:left="1304" w:header="454" w:footer="510" w:gutter="0"/>
          <w:cols w:num="2" w:space="227" w:equalWidth="0">
            <w:col w:w="1134" w:space="227"/>
            <w:col w:w="7937"/>
          </w:cols>
          <w:docGrid w:linePitch="360"/>
        </w:sectPr>
      </w:pPr>
    </w:p>
    <w:p w14:paraId="21BEC2DC" w14:textId="5864D6BB" w:rsidR="003D1E2F" w:rsidRDefault="00EF4375" w:rsidP="009C2700">
      <w:pPr>
        <w:pStyle w:val="DHHSicon"/>
        <w:spacing w:before="0" w:after="0"/>
        <w:jc w:val="right"/>
      </w:pPr>
      <w:r>
        <w:rPr>
          <w:noProof/>
        </w:rPr>
        <w:drawing>
          <wp:inline distT="0" distB="0" distL="0" distR="0" wp14:anchorId="2F8EA292" wp14:editId="381B0A58">
            <wp:extent cx="720090" cy="720090"/>
            <wp:effectExtent l="0" t="0" r="3810" b="3810"/>
            <wp:docPr id="30" name="Picture 30"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1806002_risk_level-01.png"/>
                    <pic:cNvPicPr/>
                  </pic:nvPicPr>
                  <pic:blipFill>
                    <a:blip r:embed="rId31"/>
                    <a:stretch>
                      <a:fillRect/>
                    </a:stretch>
                  </pic:blipFill>
                  <pic:spPr>
                    <a:xfrm>
                      <a:off x="0" y="0"/>
                      <a:ext cx="720090" cy="720090"/>
                    </a:xfrm>
                    <a:prstGeom prst="rect">
                      <a:avLst/>
                    </a:prstGeom>
                  </pic:spPr>
                </pic:pic>
              </a:graphicData>
            </a:graphic>
          </wp:inline>
        </w:drawing>
      </w:r>
    </w:p>
    <w:p w14:paraId="3BC25F0D" w14:textId="2E464518" w:rsidR="00EF10C9" w:rsidRPr="00EF10C9" w:rsidRDefault="003D1E2F" w:rsidP="00370906">
      <w:pPr>
        <w:pStyle w:val="Heading5"/>
        <w:spacing w:before="0"/>
        <w:rPr>
          <w:color w:val="007B4B"/>
        </w:rPr>
      </w:pPr>
      <w:r w:rsidRPr="003D1E2F">
        <w:rPr>
          <w:color w:val="007B4B"/>
        </w:rPr>
        <w:br w:type="column"/>
      </w:r>
      <w:r w:rsidR="00EF10C9" w:rsidRPr="00EF10C9">
        <w:rPr>
          <w:color w:val="007B4B"/>
        </w:rPr>
        <w:t>A risk rating is determined for each performance input category against each of the four performance domains:</w:t>
      </w:r>
    </w:p>
    <w:p w14:paraId="2AC55482" w14:textId="2C9963B1" w:rsidR="00EF10C9" w:rsidRPr="00814EE9" w:rsidRDefault="00EF10C9" w:rsidP="00EF10C9">
      <w:pPr>
        <w:pStyle w:val="DHHSbullet1"/>
      </w:pPr>
      <w:r w:rsidRPr="00814EE9">
        <w:rPr>
          <w:b/>
        </w:rPr>
        <w:t xml:space="preserve">Key </w:t>
      </w:r>
      <w:r w:rsidR="00B426DF">
        <w:rPr>
          <w:b/>
        </w:rPr>
        <w:t>P</w:t>
      </w:r>
      <w:r w:rsidRPr="00814EE9">
        <w:rPr>
          <w:b/>
        </w:rPr>
        <w:t xml:space="preserve">erformance </w:t>
      </w:r>
      <w:r w:rsidR="00B426DF">
        <w:rPr>
          <w:b/>
        </w:rPr>
        <w:t>M</w:t>
      </w:r>
      <w:r w:rsidRPr="00814EE9">
        <w:rPr>
          <w:b/>
        </w:rPr>
        <w:t>easures</w:t>
      </w:r>
      <w:r w:rsidRPr="00814EE9">
        <w:t xml:space="preserve"> not met in each domain and evidence of deterioration</w:t>
      </w:r>
    </w:p>
    <w:p w14:paraId="6F47D072" w14:textId="6C65BCF1" w:rsidR="00EF10C9" w:rsidRPr="00814EE9" w:rsidRDefault="00EF10C9" w:rsidP="00EF10C9">
      <w:pPr>
        <w:pStyle w:val="DHHSbullet1"/>
        <w:rPr>
          <w:b/>
        </w:rPr>
      </w:pPr>
      <w:r w:rsidRPr="00814EE9">
        <w:rPr>
          <w:b/>
        </w:rPr>
        <w:t xml:space="preserve">Underlying </w:t>
      </w:r>
      <w:r w:rsidR="00B426DF">
        <w:rPr>
          <w:b/>
        </w:rPr>
        <w:t>R</w:t>
      </w:r>
      <w:r w:rsidRPr="00814EE9">
        <w:rPr>
          <w:b/>
        </w:rPr>
        <w:t xml:space="preserve">isk </w:t>
      </w:r>
      <w:r w:rsidR="00B426DF">
        <w:rPr>
          <w:b/>
        </w:rPr>
        <w:t>F</w:t>
      </w:r>
      <w:r w:rsidRPr="00814EE9">
        <w:rPr>
          <w:b/>
        </w:rPr>
        <w:t>actors</w:t>
      </w:r>
    </w:p>
    <w:p w14:paraId="3114A1B9" w14:textId="77777777" w:rsidR="00EF10C9" w:rsidRDefault="00EF10C9" w:rsidP="00EF10C9">
      <w:pPr>
        <w:pStyle w:val="DHHSbullet1"/>
      </w:pPr>
      <w:r w:rsidRPr="00814EE9">
        <w:rPr>
          <w:b/>
        </w:rPr>
        <w:t>Third party reports and other intelligence</w:t>
      </w:r>
      <w:r w:rsidRPr="00814EE9">
        <w:t xml:space="preserve"> and the presence and magnitude of any concerns identified from third party reports and other intelligence.</w:t>
      </w:r>
    </w:p>
    <w:p w14:paraId="0FF72FB7" w14:textId="77777777" w:rsidR="003D1E2F" w:rsidRDefault="003D1E2F" w:rsidP="00EF10C9">
      <w:pPr>
        <w:pStyle w:val="Heading5"/>
        <w:rPr>
          <w:color w:val="007B4B"/>
        </w:rPr>
        <w:sectPr w:rsidR="003D1E2F" w:rsidSect="003D1E2F">
          <w:type w:val="continuous"/>
          <w:pgSz w:w="11906" w:h="16838"/>
          <w:pgMar w:top="1134" w:right="1304" w:bottom="851" w:left="1304" w:header="454" w:footer="510" w:gutter="0"/>
          <w:cols w:num="2" w:space="227" w:equalWidth="0">
            <w:col w:w="2495" w:space="227"/>
            <w:col w:w="6576"/>
          </w:cols>
          <w:docGrid w:linePitch="360"/>
        </w:sectPr>
      </w:pPr>
    </w:p>
    <w:p w14:paraId="32A24F4F" w14:textId="6A3331D5" w:rsidR="003D1E2F" w:rsidRDefault="00EF4375" w:rsidP="0098702D">
      <w:pPr>
        <w:pStyle w:val="DHHSicon"/>
        <w:spacing w:before="160" w:after="0"/>
        <w:jc w:val="right"/>
      </w:pPr>
      <w:r>
        <w:rPr>
          <w:noProof/>
        </w:rPr>
        <w:drawing>
          <wp:inline distT="0" distB="0" distL="0" distR="0" wp14:anchorId="490BA8A9" wp14:editId="5F522952">
            <wp:extent cx="720090" cy="720090"/>
            <wp:effectExtent l="0" t="0" r="3810" b="3810"/>
            <wp:docPr id="25" name="Picture 25"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1806002_risk_ax-01.png"/>
                    <pic:cNvPicPr/>
                  </pic:nvPicPr>
                  <pic:blipFill>
                    <a:blip r:embed="rId32"/>
                    <a:stretch>
                      <a:fillRect/>
                    </a:stretch>
                  </pic:blipFill>
                  <pic:spPr>
                    <a:xfrm>
                      <a:off x="0" y="0"/>
                      <a:ext cx="720090" cy="720090"/>
                    </a:xfrm>
                    <a:prstGeom prst="rect">
                      <a:avLst/>
                    </a:prstGeom>
                  </pic:spPr>
                </pic:pic>
              </a:graphicData>
            </a:graphic>
          </wp:inline>
        </w:drawing>
      </w:r>
    </w:p>
    <w:p w14:paraId="7F8CF6DE" w14:textId="160E64A9" w:rsidR="00EF10C9" w:rsidRPr="00EF10C9" w:rsidRDefault="003D1E2F" w:rsidP="003D1E2F">
      <w:pPr>
        <w:pStyle w:val="Heading5"/>
        <w:rPr>
          <w:color w:val="007B4B"/>
        </w:rPr>
      </w:pPr>
      <w:r w:rsidRPr="003D1E2F">
        <w:rPr>
          <w:color w:val="007B4B"/>
        </w:rPr>
        <w:br w:type="column"/>
      </w:r>
      <w:r w:rsidR="00EF10C9" w:rsidRPr="00EF10C9">
        <w:rPr>
          <w:color w:val="007B4B"/>
        </w:rPr>
        <w:t xml:space="preserve">Assign a risk </w:t>
      </w:r>
      <w:r w:rsidR="00B426DF">
        <w:rPr>
          <w:color w:val="007B4B"/>
        </w:rPr>
        <w:t>level</w:t>
      </w:r>
      <w:r w:rsidR="00B426DF" w:rsidRPr="00EF10C9">
        <w:rPr>
          <w:color w:val="007B4B"/>
        </w:rPr>
        <w:t xml:space="preserve"> </w:t>
      </w:r>
      <w:r w:rsidR="00EF10C9" w:rsidRPr="00EF10C9">
        <w:rPr>
          <w:color w:val="007B4B"/>
        </w:rPr>
        <w:t>to each performance domain</w:t>
      </w:r>
    </w:p>
    <w:p w14:paraId="5DE7997C" w14:textId="271EE5A0" w:rsidR="00EF10C9" w:rsidRDefault="00EF10C9" w:rsidP="00EF10C9">
      <w:pPr>
        <w:pStyle w:val="DHHSbody"/>
      </w:pPr>
      <w:r w:rsidRPr="00AB34F4">
        <w:t>Analysis is undertaken for each of the three performance input categories to identify performance risk across each of the four performance domains.</w:t>
      </w:r>
      <w:bookmarkStart w:id="47" w:name="_Toc9445513"/>
    </w:p>
    <w:p w14:paraId="4F431C1B" w14:textId="77777777" w:rsidR="003D1E2F" w:rsidRDefault="003D1E2F" w:rsidP="00EF10C9">
      <w:pPr>
        <w:pStyle w:val="Heading4"/>
        <w:rPr>
          <w:color w:val="007B4B"/>
        </w:rPr>
        <w:sectPr w:rsidR="003D1E2F" w:rsidSect="003D1E2F">
          <w:type w:val="continuous"/>
          <w:pgSz w:w="11906" w:h="16838"/>
          <w:pgMar w:top="1134" w:right="1304" w:bottom="851" w:left="1304" w:header="454" w:footer="510" w:gutter="0"/>
          <w:cols w:num="2" w:space="227" w:equalWidth="0">
            <w:col w:w="2495" w:space="227"/>
            <w:col w:w="6576"/>
          </w:cols>
          <w:docGrid w:linePitch="360"/>
        </w:sectPr>
      </w:pPr>
    </w:p>
    <w:p w14:paraId="34647956" w14:textId="3D91BE82" w:rsidR="003D1E2F" w:rsidRDefault="00EF4375" w:rsidP="0098702D">
      <w:pPr>
        <w:pStyle w:val="DHHSicon"/>
        <w:spacing w:before="0" w:after="0"/>
      </w:pPr>
      <w:r>
        <w:rPr>
          <w:noProof/>
        </w:rPr>
        <w:drawing>
          <wp:inline distT="0" distB="0" distL="0" distR="0" wp14:anchorId="707E709C" wp14:editId="45B02A06">
            <wp:extent cx="720090" cy="720090"/>
            <wp:effectExtent l="0" t="0" r="3810" b="3810"/>
            <wp:docPr id="45" name="Picture 45"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1806002_intervention_level-01.png"/>
                    <pic:cNvPicPr/>
                  </pic:nvPicPr>
                  <pic:blipFill>
                    <a:blip r:embed="rId33"/>
                    <a:stretch>
                      <a:fillRect/>
                    </a:stretch>
                  </pic:blipFill>
                  <pic:spPr>
                    <a:xfrm>
                      <a:off x="0" y="0"/>
                      <a:ext cx="720090" cy="720090"/>
                    </a:xfrm>
                    <a:prstGeom prst="rect">
                      <a:avLst/>
                    </a:prstGeom>
                  </pic:spPr>
                </pic:pic>
              </a:graphicData>
            </a:graphic>
          </wp:inline>
        </w:drawing>
      </w:r>
    </w:p>
    <w:p w14:paraId="7E386771" w14:textId="0D8FAE57" w:rsidR="00EF10C9" w:rsidRPr="00EF10C9" w:rsidRDefault="003D1E2F" w:rsidP="0098702D">
      <w:pPr>
        <w:pStyle w:val="Heading4"/>
        <w:spacing w:before="0"/>
        <w:rPr>
          <w:color w:val="007B4B"/>
        </w:rPr>
      </w:pPr>
      <w:r w:rsidRPr="003D1E2F">
        <w:rPr>
          <w:color w:val="007B4B"/>
        </w:rPr>
        <w:br w:type="column"/>
      </w:r>
      <w:r w:rsidR="00EF10C9" w:rsidRPr="00EF10C9">
        <w:rPr>
          <w:color w:val="007B4B"/>
        </w:rPr>
        <w:t>Step 3 – Assess monitoring, support and intervention level</w:t>
      </w:r>
      <w:bookmarkEnd w:id="47"/>
    </w:p>
    <w:p w14:paraId="54E5644B" w14:textId="41386BA8" w:rsidR="00EF10C9" w:rsidRDefault="00EF10C9" w:rsidP="00EF10C9">
      <w:pPr>
        <w:pStyle w:val="DHHSbody"/>
      </w:pPr>
      <w:r>
        <w:t xml:space="preserve">The Framework </w:t>
      </w:r>
      <w:r w:rsidR="008D2220">
        <w:t>has</w:t>
      </w:r>
      <w:r>
        <w:t xml:space="preserve"> three levels of monitoring, support and intervention</w:t>
      </w:r>
      <w:r w:rsidR="00BC6200">
        <w:t xml:space="preserve"> with</w:t>
      </w:r>
      <w:r w:rsidR="008D2220">
        <w:t xml:space="preserve"> a level assigned pursuant to </w:t>
      </w:r>
      <w:r w:rsidR="00DA68D9">
        <w:t>corresponding</w:t>
      </w:r>
      <w:r w:rsidR="008D2220">
        <w:t xml:space="preserve"> criteria.</w:t>
      </w:r>
    </w:p>
    <w:p w14:paraId="766AD484" w14:textId="77777777" w:rsidR="003D1E2F" w:rsidRDefault="003D1E2F" w:rsidP="00EF10C9">
      <w:pPr>
        <w:pStyle w:val="Heading4"/>
        <w:rPr>
          <w:color w:val="007B4B"/>
        </w:rPr>
        <w:sectPr w:rsidR="003D1E2F" w:rsidSect="0098702D">
          <w:type w:val="continuous"/>
          <w:pgSz w:w="11906" w:h="16838"/>
          <w:pgMar w:top="1134" w:right="1304" w:bottom="851" w:left="1304" w:header="454" w:footer="510" w:gutter="0"/>
          <w:cols w:num="2" w:space="227" w:equalWidth="0">
            <w:col w:w="1134" w:space="227"/>
            <w:col w:w="7937"/>
          </w:cols>
          <w:docGrid w:linePitch="360"/>
        </w:sectPr>
      </w:pPr>
      <w:bookmarkStart w:id="48" w:name="_Toc9445514"/>
      <w:bookmarkStart w:id="49" w:name="_Toc486512526"/>
      <w:bookmarkStart w:id="50" w:name="_Toc486513091"/>
      <w:bookmarkStart w:id="51" w:name="_Toc516827342"/>
    </w:p>
    <w:p w14:paraId="3917DC4A" w14:textId="61CC76D3" w:rsidR="003D1E2F" w:rsidRDefault="00EF4375" w:rsidP="0098702D">
      <w:pPr>
        <w:pStyle w:val="DHHSicon"/>
        <w:spacing w:before="0" w:after="0"/>
      </w:pPr>
      <w:r>
        <w:rPr>
          <w:noProof/>
        </w:rPr>
        <w:drawing>
          <wp:inline distT="0" distB="0" distL="0" distR="0" wp14:anchorId="7BF75A4F" wp14:editId="2079F9F3">
            <wp:extent cx="720090" cy="720090"/>
            <wp:effectExtent l="0" t="0" r="3810" b="3810"/>
            <wp:docPr id="37" name="Picture 37"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1806002_risk_mitigation-01.png"/>
                    <pic:cNvPicPr/>
                  </pic:nvPicPr>
                  <pic:blipFill>
                    <a:blip r:embed="rId34"/>
                    <a:stretch>
                      <a:fillRect/>
                    </a:stretch>
                  </pic:blipFill>
                  <pic:spPr>
                    <a:xfrm>
                      <a:off x="0" y="0"/>
                      <a:ext cx="720090" cy="720090"/>
                    </a:xfrm>
                    <a:prstGeom prst="rect">
                      <a:avLst/>
                    </a:prstGeom>
                  </pic:spPr>
                </pic:pic>
              </a:graphicData>
            </a:graphic>
          </wp:inline>
        </w:drawing>
      </w:r>
    </w:p>
    <w:p w14:paraId="7F457007" w14:textId="636ADA79" w:rsidR="00EF10C9" w:rsidRPr="00EF10C9" w:rsidRDefault="003D1E2F" w:rsidP="0098702D">
      <w:pPr>
        <w:pStyle w:val="Heading4"/>
        <w:spacing w:before="0"/>
        <w:rPr>
          <w:color w:val="007B4B"/>
        </w:rPr>
      </w:pPr>
      <w:r w:rsidRPr="003D1E2F">
        <w:rPr>
          <w:color w:val="007B4B"/>
        </w:rPr>
        <w:br w:type="column"/>
      </w:r>
      <w:r w:rsidR="00EF10C9" w:rsidRPr="00EF10C9">
        <w:rPr>
          <w:color w:val="007B4B"/>
        </w:rPr>
        <w:t>Step 4 – Addressing performance concerns</w:t>
      </w:r>
      <w:bookmarkEnd w:id="48"/>
      <w:bookmarkEnd w:id="49"/>
      <w:bookmarkEnd w:id="50"/>
      <w:bookmarkEnd w:id="51"/>
    </w:p>
    <w:p w14:paraId="0ACEB2B0" w14:textId="1689DAFA" w:rsidR="00F84C75" w:rsidRPr="00452C34" w:rsidRDefault="00EF10C9" w:rsidP="00452C34">
      <w:pPr>
        <w:pStyle w:val="DHHSbody"/>
      </w:pPr>
      <w:r>
        <w:t>Once performance flags have been raised that require addressing, the department and health services work together in developing and implementing a performance improvement plan</w:t>
      </w:r>
      <w:r w:rsidR="008171BC">
        <w:t>.</w:t>
      </w:r>
    </w:p>
    <w:p w14:paraId="44D2966D" w14:textId="77777777" w:rsidR="00F84C75" w:rsidRPr="00452C34" w:rsidRDefault="00F84C75" w:rsidP="00452C34">
      <w:pPr>
        <w:pStyle w:val="DHHSbody"/>
        <w:sectPr w:rsidR="00F84C75" w:rsidRPr="00452C34" w:rsidSect="0098702D">
          <w:type w:val="continuous"/>
          <w:pgSz w:w="11906" w:h="16838"/>
          <w:pgMar w:top="1134" w:right="1304" w:bottom="851" w:left="1304" w:header="454" w:footer="510" w:gutter="0"/>
          <w:cols w:num="2" w:space="227" w:equalWidth="0">
            <w:col w:w="1134" w:space="227"/>
            <w:col w:w="7937"/>
          </w:cols>
          <w:docGrid w:linePitch="360"/>
        </w:sectPr>
      </w:pPr>
    </w:p>
    <w:p w14:paraId="5DE1AB43" w14:textId="65294C25" w:rsidR="00F84C75" w:rsidRDefault="00C169C1" w:rsidP="000155BB">
      <w:pPr>
        <w:pStyle w:val="DHHSbody"/>
      </w:pPr>
      <w:r>
        <w:rPr>
          <w:noProof/>
        </w:rPr>
        <w:lastRenderedPageBreak/>
        <w:drawing>
          <wp:inline distT="0" distB="0" distL="0" distR="0" wp14:anchorId="7C5B09D2" wp14:editId="1B6639E3">
            <wp:extent cx="720090" cy="720090"/>
            <wp:effectExtent l="0" t="0" r="3810" b="3810"/>
            <wp:docPr id="3" name="Picture 3"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1806002_risk_id-01.png"/>
                    <pic:cNvPicPr/>
                  </pic:nvPicPr>
                  <pic:blipFill>
                    <a:blip r:embed="rId26"/>
                    <a:stretch>
                      <a:fillRect/>
                    </a:stretch>
                  </pic:blipFill>
                  <pic:spPr>
                    <a:xfrm>
                      <a:off x="0" y="0"/>
                      <a:ext cx="720090" cy="720090"/>
                    </a:xfrm>
                    <a:prstGeom prst="rect">
                      <a:avLst/>
                    </a:prstGeom>
                  </pic:spPr>
                </pic:pic>
              </a:graphicData>
            </a:graphic>
          </wp:inline>
        </w:drawing>
      </w:r>
    </w:p>
    <w:p w14:paraId="3574171C" w14:textId="3016C72B" w:rsidR="00F84C75" w:rsidRDefault="00FC53D2" w:rsidP="00FC53D2">
      <w:pPr>
        <w:pStyle w:val="Heading3"/>
      </w:pPr>
      <w:r>
        <w:br w:type="column"/>
      </w:r>
      <w:bookmarkStart w:id="52" w:name="_Toc486512523"/>
      <w:bookmarkStart w:id="53" w:name="_Toc486513088"/>
      <w:bookmarkStart w:id="54" w:name="_Toc516827339"/>
      <w:bookmarkStart w:id="55" w:name="_Toc15579811"/>
      <w:r w:rsidR="00F84C75">
        <w:t xml:space="preserve">Step 1 </w:t>
      </w:r>
      <w:r w:rsidR="00CA1276">
        <w:t>–</w:t>
      </w:r>
      <w:r w:rsidR="00F84C75">
        <w:t xml:space="preserve"> </w:t>
      </w:r>
      <w:r w:rsidR="005F6121">
        <w:t>Identify performance r</w:t>
      </w:r>
      <w:r w:rsidR="00F84C75">
        <w:t>isk</w:t>
      </w:r>
      <w:bookmarkEnd w:id="52"/>
      <w:bookmarkEnd w:id="53"/>
      <w:bookmarkEnd w:id="54"/>
      <w:bookmarkEnd w:id="55"/>
    </w:p>
    <w:p w14:paraId="4EC008E8" w14:textId="4B283079" w:rsidR="00F84C75" w:rsidRDefault="002D1042" w:rsidP="001E50DA">
      <w:pPr>
        <w:pStyle w:val="DHHSbodylargespace"/>
        <w:sectPr w:rsidR="00F84C75" w:rsidSect="004755B3">
          <w:pgSz w:w="11906" w:h="16838" w:code="9"/>
          <w:pgMar w:top="1134" w:right="1304" w:bottom="851" w:left="1304" w:header="454" w:footer="510" w:gutter="0"/>
          <w:cols w:num="2" w:space="397" w:equalWidth="0">
            <w:col w:w="1134" w:space="397"/>
            <w:col w:w="7767"/>
          </w:cols>
          <w:docGrid w:linePitch="360"/>
        </w:sectPr>
      </w:pPr>
      <w:r>
        <w:t>In this step</w:t>
      </w:r>
      <w:r w:rsidR="002317C1">
        <w:t>,</w:t>
      </w:r>
      <w:r w:rsidR="00F84C75">
        <w:t xml:space="preserve"> performance </w:t>
      </w:r>
      <w:r w:rsidR="005B1B27">
        <w:t>issues</w:t>
      </w:r>
      <w:r w:rsidR="00F84C75" w:rsidRPr="00F80FDC">
        <w:t xml:space="preserve">, </w:t>
      </w:r>
      <w:r w:rsidR="00F84C75">
        <w:t xml:space="preserve">inherent vulnerabilities and emerging </w:t>
      </w:r>
      <w:r w:rsidR="0027278D">
        <w:t xml:space="preserve">performance </w:t>
      </w:r>
      <w:r w:rsidR="005B1B27">
        <w:t>concerns</w:t>
      </w:r>
      <w:r w:rsidR="0027278D">
        <w:t xml:space="preserve"> </w:t>
      </w:r>
      <w:r>
        <w:t>are identified</w:t>
      </w:r>
      <w:r w:rsidR="00F84C75">
        <w:t xml:space="preserve"> by using </w:t>
      </w:r>
      <w:r w:rsidR="00F84C75" w:rsidRPr="00F80FDC">
        <w:t>q</w:t>
      </w:r>
      <w:r w:rsidR="00F84C75">
        <w:t xml:space="preserve">uantitative and qualitative data </w:t>
      </w:r>
      <w:r w:rsidR="00F84C75" w:rsidRPr="00F80FDC">
        <w:t>from a range of sources</w:t>
      </w:r>
      <w:r w:rsidR="00F84C75">
        <w:t>.</w:t>
      </w:r>
      <w:r w:rsidR="000657A7" w:rsidRPr="000657A7">
        <w:t xml:space="preserve"> </w:t>
      </w:r>
      <w:r w:rsidR="000657A7">
        <w:t xml:space="preserve">Using </w:t>
      </w:r>
      <w:r w:rsidR="008171BC">
        <w:t>various</w:t>
      </w:r>
      <w:r w:rsidR="000657A7">
        <w:t xml:space="preserve"> sources provides a more robust understanding of a health service’s performance risks and issues, as well as </w:t>
      </w:r>
      <w:r w:rsidR="00C06FA3">
        <w:t xml:space="preserve">highlighting </w:t>
      </w:r>
      <w:r w:rsidR="000657A7">
        <w:t>the opportunities for performance</w:t>
      </w:r>
      <w:r w:rsidR="008171BC">
        <w:t xml:space="preserve"> improvement</w:t>
      </w:r>
      <w:r w:rsidR="000657A7">
        <w:t>.</w:t>
      </w:r>
    </w:p>
    <w:tbl>
      <w:tblPr>
        <w:tblStyle w:val="Highlighttable"/>
        <w:tblW w:w="9299" w:type="dxa"/>
        <w:tblLook w:val="0600" w:firstRow="0" w:lastRow="0" w:firstColumn="0" w:lastColumn="0" w:noHBand="1" w:noVBand="1"/>
      </w:tblPr>
      <w:tblGrid>
        <w:gridCol w:w="9299"/>
      </w:tblGrid>
      <w:tr w:rsidR="00F84C75" w:rsidRPr="005A1753" w14:paraId="0BC71B28" w14:textId="77777777" w:rsidTr="009E692A">
        <w:tc>
          <w:tcPr>
            <w:tcW w:w="8079" w:type="dxa"/>
          </w:tcPr>
          <w:p w14:paraId="376F6BC8" w14:textId="0AE85F1E" w:rsidR="00C06FA3" w:rsidRPr="00900BF4" w:rsidRDefault="00C06FA3" w:rsidP="00E56F35">
            <w:pPr>
              <w:pStyle w:val="DHHSbody"/>
              <w:rPr>
                <w:b/>
              </w:rPr>
            </w:pPr>
            <w:r>
              <w:rPr>
                <w:b/>
              </w:rPr>
              <w:t>Example – Organisational culture</w:t>
            </w:r>
          </w:p>
          <w:p w14:paraId="4DBE2D8B" w14:textId="6BD1C179" w:rsidR="00BF42AB" w:rsidRDefault="00C06FA3" w:rsidP="00E56F35">
            <w:pPr>
              <w:pStyle w:val="DHHSbody"/>
            </w:pPr>
            <w:r>
              <w:t>R</w:t>
            </w:r>
            <w:r w:rsidR="00F84C75" w:rsidRPr="005A1753">
              <w:t xml:space="preserve">isks relating to organisational culture </w:t>
            </w:r>
            <w:r w:rsidR="008171BC">
              <w:t>are</w:t>
            </w:r>
            <w:r w:rsidR="00F84C75" w:rsidRPr="005A1753">
              <w:t xml:space="preserve"> taken very seriously. </w:t>
            </w:r>
            <w:r w:rsidR="00633278">
              <w:t>Using bullying as an example, p</w:t>
            </w:r>
            <w:r w:rsidR="0027278D">
              <w:t>erformance</w:t>
            </w:r>
            <w:r w:rsidR="0027278D" w:rsidRPr="005A1753">
              <w:t xml:space="preserve"> </w:t>
            </w:r>
            <w:r w:rsidR="00F84C75" w:rsidRPr="005A1753">
              <w:t>flags from the People Matter Survey are triangulated with other available information to better understand the extent of the issue and its impact on staff engagement, reporting culture and management response.</w:t>
            </w:r>
          </w:p>
          <w:p w14:paraId="7C636C83" w14:textId="30370AD2" w:rsidR="00BF42AB" w:rsidRDefault="00F84C75" w:rsidP="00E56F35">
            <w:pPr>
              <w:pStyle w:val="DHHSbody"/>
            </w:pPr>
            <w:r w:rsidRPr="005A1753">
              <w:t>Unusually low reporting rates of patient or staff safety concerns may flag potential fear of reporting within the organisation. Such concerns</w:t>
            </w:r>
            <w:r w:rsidR="004F1092">
              <w:t>,</w:t>
            </w:r>
            <w:r w:rsidRPr="005A1753">
              <w:t xml:space="preserve"> compounded by a higher than average rate of sick leave and staff turnover rates</w:t>
            </w:r>
            <w:r w:rsidR="004F1092">
              <w:t>,</w:t>
            </w:r>
            <w:r w:rsidRPr="005A1753">
              <w:t xml:space="preserve"> could be suggestive of more systemic cultural issues.</w:t>
            </w:r>
          </w:p>
          <w:p w14:paraId="68EA9E48" w14:textId="68F82562" w:rsidR="00F84C75" w:rsidRPr="005A1753" w:rsidRDefault="00F84C75" w:rsidP="00E56F35">
            <w:pPr>
              <w:pStyle w:val="DHHSbody"/>
            </w:pPr>
            <w:r w:rsidRPr="005A1753">
              <w:t xml:space="preserve">The </w:t>
            </w:r>
            <w:r w:rsidR="0077273C">
              <w:t>d</w:t>
            </w:r>
            <w:r w:rsidRPr="005A1753">
              <w:t xml:space="preserve">epartment acknowledges that </w:t>
            </w:r>
            <w:r w:rsidR="0027278D">
              <w:t>performance</w:t>
            </w:r>
            <w:r w:rsidR="0027278D" w:rsidRPr="005A1753">
              <w:t xml:space="preserve"> </w:t>
            </w:r>
            <w:r w:rsidRPr="005A1753">
              <w:t>flags may not pose a concern on their own and may</w:t>
            </w:r>
            <w:r w:rsidR="002317C1">
              <w:t xml:space="preserve"> </w:t>
            </w:r>
            <w:r w:rsidRPr="005A1753">
              <w:t xml:space="preserve">easily </w:t>
            </w:r>
            <w:r w:rsidR="00EE0E0C">
              <w:t xml:space="preserve">be </w:t>
            </w:r>
            <w:r w:rsidRPr="005A1753">
              <w:t>explained by other mitigating factors. However, in combination</w:t>
            </w:r>
            <w:r w:rsidR="00EE0E0C">
              <w:t>,</w:t>
            </w:r>
            <w:r w:rsidRPr="005A1753">
              <w:t xml:space="preserve"> they </w:t>
            </w:r>
            <w:r w:rsidR="002317C1">
              <w:t xml:space="preserve">can </w:t>
            </w:r>
            <w:r w:rsidRPr="005A1753">
              <w:t>help paint a sufficient</w:t>
            </w:r>
            <w:r w:rsidR="00C06FA3">
              <w:t xml:space="preserve"> and </w:t>
            </w:r>
            <w:r w:rsidRPr="005A1753">
              <w:t>compelling picture to support a more detailed inquiry by the respective health service.</w:t>
            </w:r>
          </w:p>
        </w:tc>
      </w:tr>
    </w:tbl>
    <w:p w14:paraId="1CBA620E" w14:textId="51774F8E" w:rsidR="00F84C75" w:rsidRPr="007659BE" w:rsidRDefault="003017BE" w:rsidP="009E692A">
      <w:pPr>
        <w:pStyle w:val="DHHSbodyaftertablefigure"/>
      </w:pPr>
      <w:r>
        <w:t>Drawing on a wide variety of sources of informati</w:t>
      </w:r>
      <w:r w:rsidR="00DF2BAF">
        <w:t>on, including qualitative data,</w:t>
      </w:r>
      <w:r w:rsidR="00F84C75">
        <w:t xml:space="preserve"> encourages early identification of </w:t>
      </w:r>
      <w:r w:rsidR="00F84C75" w:rsidRPr="00FD4850">
        <w:t>potential performance issues before t</w:t>
      </w:r>
      <w:r w:rsidR="00F84C75">
        <w:t>hey become performance failures</w:t>
      </w:r>
      <w:r>
        <w:t>.</w:t>
      </w:r>
      <w:r w:rsidR="00F84C75">
        <w:t xml:space="preserve"> </w:t>
      </w:r>
      <w:r>
        <w:t xml:space="preserve">It also </w:t>
      </w:r>
      <w:r w:rsidR="00F84C75">
        <w:t>supports a more transparent information exchange between the department, health services and other entities</w:t>
      </w:r>
      <w:r w:rsidR="005B44EA">
        <w:t>.</w:t>
      </w:r>
      <w:r w:rsidR="00F84C75">
        <w:t xml:space="preserve"> </w:t>
      </w:r>
      <w:r w:rsidR="005B44EA">
        <w:t>This</w:t>
      </w:r>
      <w:r w:rsidR="00F84C75">
        <w:t xml:space="preserve"> ensure</w:t>
      </w:r>
      <w:r w:rsidR="005B44EA">
        <w:t>s</w:t>
      </w:r>
      <w:r w:rsidR="00F84C75">
        <w:t xml:space="preserve"> a common understanding of the challenges and opportunities for improvement at the health service level and across the sector.</w:t>
      </w:r>
    </w:p>
    <w:p w14:paraId="6359857A" w14:textId="0AFE52A2" w:rsidR="00BF42AB" w:rsidRDefault="003017BE" w:rsidP="009E692A">
      <w:pPr>
        <w:pStyle w:val="DHHSbody"/>
      </w:pPr>
      <w:r>
        <w:t>Th</w:t>
      </w:r>
      <w:r w:rsidR="002C715E">
        <w:t>is</w:t>
      </w:r>
      <w:r>
        <w:t xml:space="preserve"> information </w:t>
      </w:r>
      <w:r w:rsidR="002C715E">
        <w:t xml:space="preserve">is </w:t>
      </w:r>
      <w:r>
        <w:t xml:space="preserve">used to build </w:t>
      </w:r>
      <w:r w:rsidR="00F52227">
        <w:t>the performance</w:t>
      </w:r>
      <w:r>
        <w:t xml:space="preserve"> picture within</w:t>
      </w:r>
      <w:r w:rsidR="00F84C75">
        <w:t xml:space="preserve"> each</w:t>
      </w:r>
      <w:r w:rsidR="005B44EA">
        <w:t xml:space="preserve"> </w:t>
      </w:r>
      <w:r w:rsidR="00F84C75">
        <w:t>domain</w:t>
      </w:r>
      <w:r w:rsidR="00C46CBB">
        <w:t>, which</w:t>
      </w:r>
      <w:r w:rsidR="00F84C75">
        <w:t xml:space="preserve"> </w:t>
      </w:r>
      <w:r>
        <w:t xml:space="preserve">is </w:t>
      </w:r>
      <w:r w:rsidR="00F84C75">
        <w:t xml:space="preserve">structured into </w:t>
      </w:r>
      <w:r w:rsidR="00F52227">
        <w:t xml:space="preserve">the following </w:t>
      </w:r>
      <w:r w:rsidR="00F84C75">
        <w:t xml:space="preserve">three </w:t>
      </w:r>
      <w:r w:rsidR="002C715E">
        <w:t xml:space="preserve">performance </w:t>
      </w:r>
      <w:r w:rsidR="00105CF6">
        <w:t xml:space="preserve">input </w:t>
      </w:r>
      <w:r w:rsidR="003451EF">
        <w:t>categories</w:t>
      </w:r>
      <w:r w:rsidR="00F84C75">
        <w:t>:</w:t>
      </w:r>
    </w:p>
    <w:p w14:paraId="681F781F" w14:textId="455AFE8C" w:rsidR="00F84C75" w:rsidRDefault="005B44EA" w:rsidP="009E692A">
      <w:pPr>
        <w:pStyle w:val="DHHSnumberdigit"/>
        <w:numPr>
          <w:ilvl w:val="0"/>
          <w:numId w:val="49"/>
        </w:numPr>
      </w:pPr>
      <w:r>
        <w:rPr>
          <w:rStyle w:val="Strong"/>
        </w:rPr>
        <w:t>K</w:t>
      </w:r>
      <w:r w:rsidR="005A3043">
        <w:rPr>
          <w:rStyle w:val="Strong"/>
        </w:rPr>
        <w:t xml:space="preserve">ey </w:t>
      </w:r>
      <w:r>
        <w:rPr>
          <w:rStyle w:val="Strong"/>
        </w:rPr>
        <w:t>P</w:t>
      </w:r>
      <w:r w:rsidR="0027278D" w:rsidRPr="008565CF">
        <w:rPr>
          <w:rStyle w:val="Strong"/>
        </w:rPr>
        <w:t xml:space="preserve">erformance </w:t>
      </w:r>
      <w:r>
        <w:rPr>
          <w:rStyle w:val="Strong"/>
        </w:rPr>
        <w:t>M</w:t>
      </w:r>
      <w:r w:rsidR="00F84C75" w:rsidRPr="008565CF">
        <w:rPr>
          <w:rStyle w:val="Strong"/>
        </w:rPr>
        <w:t>easures</w:t>
      </w:r>
      <w:r w:rsidR="008F26CD" w:rsidRPr="009E692A">
        <w:rPr>
          <w:rStyle w:val="Strong"/>
          <w:b w:val="0"/>
        </w:rPr>
        <w:t>:</w:t>
      </w:r>
      <w:r w:rsidR="00F84C75">
        <w:t xml:space="preserve"> </w:t>
      </w:r>
      <w:r w:rsidR="008F26CD">
        <w:t>C</w:t>
      </w:r>
      <w:r w:rsidR="00F84C75">
        <w:t>aptur</w:t>
      </w:r>
      <w:r w:rsidR="008F26CD">
        <w:t>e</w:t>
      </w:r>
      <w:r w:rsidR="00F84C75">
        <w:t xml:space="preserve"> </w:t>
      </w:r>
      <w:r w:rsidR="00F84C75" w:rsidRPr="00F67BA0">
        <w:t>quantifiable data</w:t>
      </w:r>
      <w:r w:rsidR="00F84C75">
        <w:t xml:space="preserve"> </w:t>
      </w:r>
      <w:r w:rsidR="00EA2C9C">
        <w:t xml:space="preserve">on </w:t>
      </w:r>
      <w:r w:rsidR="00AF6826">
        <w:t xml:space="preserve">the </w:t>
      </w:r>
      <w:r w:rsidR="00EA2C9C">
        <w:t>indicators</w:t>
      </w:r>
      <w:r w:rsidR="00C06FA3">
        <w:t xml:space="preserve"> compris</w:t>
      </w:r>
      <w:r w:rsidR="00EE0E0C">
        <w:t>ing</w:t>
      </w:r>
      <w:r w:rsidR="00C06FA3">
        <w:t xml:space="preserve"> this input category</w:t>
      </w:r>
    </w:p>
    <w:p w14:paraId="6AE55B2A" w14:textId="6DA57983" w:rsidR="00BF42AB" w:rsidRDefault="005B44EA" w:rsidP="009E692A">
      <w:pPr>
        <w:pStyle w:val="DHHSnumberdigit"/>
      </w:pPr>
      <w:r>
        <w:rPr>
          <w:rStyle w:val="Strong"/>
        </w:rPr>
        <w:t>U</w:t>
      </w:r>
      <w:r w:rsidR="00F84C75" w:rsidRPr="008565CF">
        <w:rPr>
          <w:rStyle w:val="Strong"/>
        </w:rPr>
        <w:t xml:space="preserve">nderlying </w:t>
      </w:r>
      <w:r>
        <w:rPr>
          <w:rStyle w:val="Strong"/>
        </w:rPr>
        <w:t>R</w:t>
      </w:r>
      <w:r w:rsidR="00F84C75" w:rsidRPr="008565CF">
        <w:rPr>
          <w:rStyle w:val="Strong"/>
        </w:rPr>
        <w:t xml:space="preserve">isk </w:t>
      </w:r>
      <w:r>
        <w:rPr>
          <w:rStyle w:val="Strong"/>
        </w:rPr>
        <w:t>F</w:t>
      </w:r>
      <w:r w:rsidR="00F84C75" w:rsidRPr="008565CF">
        <w:rPr>
          <w:rStyle w:val="Strong"/>
        </w:rPr>
        <w:t>actors</w:t>
      </w:r>
      <w:r w:rsidR="008F26CD" w:rsidRPr="00900BF4">
        <w:rPr>
          <w:rStyle w:val="Strong"/>
          <w:b w:val="0"/>
        </w:rPr>
        <w:t>:</w:t>
      </w:r>
      <w:r w:rsidR="00F84C75">
        <w:t xml:space="preserve"> </w:t>
      </w:r>
      <w:r w:rsidR="008F26CD">
        <w:t>A</w:t>
      </w:r>
      <w:r w:rsidR="00F84C75">
        <w:t>ris</w:t>
      </w:r>
      <w:r w:rsidR="008F26CD">
        <w:t>e</w:t>
      </w:r>
      <w:r w:rsidR="00F84C75">
        <w:t xml:space="preserve"> from the contextual assessment of governance, culture and other qualitative assessment</w:t>
      </w:r>
      <w:r w:rsidR="008F26CD">
        <w:t>s</w:t>
      </w:r>
      <w:r w:rsidR="00F84C75">
        <w:t xml:space="preserve"> of </w:t>
      </w:r>
      <w:r w:rsidR="008F26CD">
        <w:t xml:space="preserve">the </w:t>
      </w:r>
      <w:r w:rsidR="00387138">
        <w:t xml:space="preserve">health service’s </w:t>
      </w:r>
      <w:r w:rsidR="00DF2BAF">
        <w:t xml:space="preserve">performance </w:t>
      </w:r>
      <w:r w:rsidR="00F84C75">
        <w:t>management capability</w:t>
      </w:r>
    </w:p>
    <w:p w14:paraId="7227D969" w14:textId="016902D8" w:rsidR="00BF42AB" w:rsidRDefault="005B44EA" w:rsidP="009E692A">
      <w:pPr>
        <w:pStyle w:val="DHHSnumberdigit"/>
      </w:pPr>
      <w:r>
        <w:rPr>
          <w:rStyle w:val="Strong"/>
        </w:rPr>
        <w:t>T</w:t>
      </w:r>
      <w:r w:rsidR="00F84C75" w:rsidRPr="00270923">
        <w:rPr>
          <w:rStyle w:val="Strong"/>
        </w:rPr>
        <w:t xml:space="preserve">hird </w:t>
      </w:r>
      <w:r w:rsidR="000B6FCF">
        <w:rPr>
          <w:rStyle w:val="Strong"/>
        </w:rPr>
        <w:t>p</w:t>
      </w:r>
      <w:r w:rsidR="00F84C75" w:rsidRPr="00270923">
        <w:rPr>
          <w:rStyle w:val="Strong"/>
        </w:rPr>
        <w:t xml:space="preserve">arty </w:t>
      </w:r>
      <w:r w:rsidR="000B6FCF">
        <w:rPr>
          <w:rStyle w:val="Strong"/>
        </w:rPr>
        <w:t>reports and</w:t>
      </w:r>
      <w:r w:rsidR="009978E7">
        <w:rPr>
          <w:rStyle w:val="Strong"/>
        </w:rPr>
        <w:t xml:space="preserve"> </w:t>
      </w:r>
      <w:r w:rsidR="000B6FCF">
        <w:rPr>
          <w:rStyle w:val="Strong"/>
        </w:rPr>
        <w:t>o</w:t>
      </w:r>
      <w:r w:rsidR="00595472">
        <w:rPr>
          <w:rStyle w:val="Strong"/>
        </w:rPr>
        <w:t xml:space="preserve">ther </w:t>
      </w:r>
      <w:r w:rsidR="000B6FCF">
        <w:rPr>
          <w:rStyle w:val="Strong"/>
        </w:rPr>
        <w:t>intelligence</w:t>
      </w:r>
      <w:r w:rsidR="008F26CD" w:rsidRPr="00900BF4">
        <w:rPr>
          <w:rStyle w:val="Strong"/>
          <w:b w:val="0"/>
        </w:rPr>
        <w:t>:</w:t>
      </w:r>
      <w:r w:rsidR="00F84C75">
        <w:t xml:space="preserve"> </w:t>
      </w:r>
      <w:r w:rsidR="00125B52">
        <w:t>A</w:t>
      </w:r>
      <w:r w:rsidR="00F84C75">
        <w:t>ris</w:t>
      </w:r>
      <w:r w:rsidR="00125B52">
        <w:t>e</w:t>
      </w:r>
      <w:r w:rsidR="00F84C75">
        <w:t xml:space="preserve"> from cross</w:t>
      </w:r>
      <w:r w:rsidR="00C06FA3">
        <w:t>-</w:t>
      </w:r>
      <w:r w:rsidR="00F84C75">
        <w:t>agency information and other external reviews/reports.</w:t>
      </w:r>
    </w:p>
    <w:p w14:paraId="7868F4C3" w14:textId="6E1EC943" w:rsidR="00336318" w:rsidRPr="009E692A" w:rsidRDefault="00336318" w:rsidP="009E692A">
      <w:pPr>
        <w:pStyle w:val="DHHSbody"/>
        <w:rPr>
          <w:b/>
          <w:bCs/>
        </w:rPr>
      </w:pPr>
      <w:r w:rsidRPr="009E692A">
        <w:rPr>
          <w:b/>
          <w:bCs/>
        </w:rPr>
        <w:t xml:space="preserve">Each </w:t>
      </w:r>
      <w:r w:rsidR="00555A00" w:rsidRPr="009E692A">
        <w:rPr>
          <w:b/>
          <w:bCs/>
        </w:rPr>
        <w:t xml:space="preserve">performance </w:t>
      </w:r>
      <w:r w:rsidRPr="009E692A">
        <w:rPr>
          <w:b/>
          <w:bCs/>
        </w:rPr>
        <w:t>input categor</w:t>
      </w:r>
      <w:r w:rsidR="00497F36" w:rsidRPr="009E692A">
        <w:rPr>
          <w:b/>
          <w:bCs/>
        </w:rPr>
        <w:t>y</w:t>
      </w:r>
      <w:r w:rsidRPr="009E692A">
        <w:rPr>
          <w:b/>
          <w:bCs/>
        </w:rPr>
        <w:t xml:space="preserve"> provide</w:t>
      </w:r>
      <w:r w:rsidR="00497F36" w:rsidRPr="009E692A">
        <w:rPr>
          <w:b/>
          <w:bCs/>
        </w:rPr>
        <w:t>s</w:t>
      </w:r>
      <w:r w:rsidRPr="009E692A">
        <w:rPr>
          <w:b/>
          <w:bCs/>
        </w:rPr>
        <w:t xml:space="preserve"> a </w:t>
      </w:r>
      <w:r w:rsidR="001847EA" w:rsidRPr="009E692A">
        <w:rPr>
          <w:b/>
          <w:bCs/>
        </w:rPr>
        <w:t xml:space="preserve">risk </w:t>
      </w:r>
      <w:r w:rsidRPr="009E692A">
        <w:rPr>
          <w:b/>
          <w:bCs/>
        </w:rPr>
        <w:t xml:space="preserve">rating </w:t>
      </w:r>
      <w:r w:rsidR="00497F36" w:rsidRPr="009E692A">
        <w:rPr>
          <w:b/>
          <w:bCs/>
        </w:rPr>
        <w:t xml:space="preserve">for each of the four </w:t>
      </w:r>
      <w:r w:rsidR="00387138">
        <w:rPr>
          <w:b/>
          <w:bCs/>
        </w:rPr>
        <w:t xml:space="preserve">performance </w:t>
      </w:r>
      <w:r w:rsidR="00497F36" w:rsidRPr="009E692A">
        <w:rPr>
          <w:b/>
          <w:bCs/>
        </w:rPr>
        <w:t>domains</w:t>
      </w:r>
      <w:r w:rsidR="009E692A">
        <w:rPr>
          <w:b/>
          <w:bCs/>
        </w:rPr>
        <w:t>.</w:t>
      </w:r>
    </w:p>
    <w:p w14:paraId="631E9CCC" w14:textId="067427B2" w:rsidR="00F84C75" w:rsidRPr="001E50DA" w:rsidRDefault="002449A4" w:rsidP="001E50DA">
      <w:pPr>
        <w:pStyle w:val="DHHSbody"/>
        <w:sectPr w:rsidR="00F84C75" w:rsidRPr="001E50DA" w:rsidSect="004755B3">
          <w:type w:val="continuous"/>
          <w:pgSz w:w="11906" w:h="16838"/>
          <w:pgMar w:top="1134" w:right="1304" w:bottom="851" w:left="1304" w:header="454" w:footer="510" w:gutter="0"/>
          <w:cols w:space="720"/>
          <w:docGrid w:linePitch="360"/>
        </w:sectPr>
      </w:pPr>
      <w:r w:rsidRPr="001E50DA">
        <w:br w:type="page"/>
      </w:r>
    </w:p>
    <w:p w14:paraId="7D344B4F" w14:textId="471D4B48" w:rsidR="00F84C75" w:rsidRPr="000155BB" w:rsidRDefault="00EF4375" w:rsidP="000155BB">
      <w:pPr>
        <w:pStyle w:val="DHHSbody"/>
      </w:pPr>
      <w:r>
        <w:rPr>
          <w:noProof/>
        </w:rPr>
        <w:lastRenderedPageBreak/>
        <w:drawing>
          <wp:inline distT="0" distB="0" distL="0" distR="0" wp14:anchorId="49DDE1A5" wp14:editId="25F5C03E">
            <wp:extent cx="720090" cy="720090"/>
            <wp:effectExtent l="0" t="0" r="3810" b="3810"/>
            <wp:docPr id="48" name="Picture 48"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1806002_risk_measures-01.png"/>
                    <pic:cNvPicPr/>
                  </pic:nvPicPr>
                  <pic:blipFill>
                    <a:blip r:embed="rId27"/>
                    <a:stretch>
                      <a:fillRect/>
                    </a:stretch>
                  </pic:blipFill>
                  <pic:spPr>
                    <a:xfrm>
                      <a:off x="0" y="0"/>
                      <a:ext cx="720090" cy="720090"/>
                    </a:xfrm>
                    <a:prstGeom prst="rect">
                      <a:avLst/>
                    </a:prstGeom>
                  </pic:spPr>
                </pic:pic>
              </a:graphicData>
            </a:graphic>
          </wp:inline>
        </w:drawing>
      </w:r>
    </w:p>
    <w:p w14:paraId="5A3A075D" w14:textId="00339107" w:rsidR="00F84C75" w:rsidRDefault="00F84C75" w:rsidP="000155BB">
      <w:pPr>
        <w:pStyle w:val="Heading4"/>
      </w:pPr>
      <w:r>
        <w:br w:type="column"/>
      </w:r>
      <w:r w:rsidR="00127A3C">
        <w:t xml:space="preserve">1. </w:t>
      </w:r>
      <w:r w:rsidR="00016E17">
        <w:t xml:space="preserve">Key </w:t>
      </w:r>
      <w:r w:rsidR="007D1775">
        <w:t>P</w:t>
      </w:r>
      <w:r w:rsidR="00110244">
        <w:t xml:space="preserve">erformance </w:t>
      </w:r>
      <w:r w:rsidR="007D1775">
        <w:t>M</w:t>
      </w:r>
      <w:r>
        <w:t>easures</w:t>
      </w:r>
      <w:r w:rsidR="00131D7A">
        <w:t xml:space="preserve"> – </w:t>
      </w:r>
      <w:r w:rsidR="00BE03F4">
        <w:t>Provide quantitative analysis</w:t>
      </w:r>
    </w:p>
    <w:p w14:paraId="3C41DC7E" w14:textId="554F6586" w:rsidR="00007D51" w:rsidRDefault="00223AE5" w:rsidP="006169BF">
      <w:pPr>
        <w:pStyle w:val="DHHSbody"/>
      </w:pPr>
      <w:r>
        <w:t>The</w:t>
      </w:r>
      <w:r w:rsidR="00DF5023">
        <w:t>se are the</w:t>
      </w:r>
      <w:r>
        <w:t xml:space="preserve"> key</w:t>
      </w:r>
      <w:r w:rsidR="00F84C75">
        <w:t xml:space="preserve"> list of </w:t>
      </w:r>
      <w:r w:rsidR="00DE616B">
        <w:t xml:space="preserve">indicators </w:t>
      </w:r>
      <w:r w:rsidR="00F84C75">
        <w:t xml:space="preserve">used to inform </w:t>
      </w:r>
      <w:r w:rsidR="00B91FFB">
        <w:t>performance risk</w:t>
      </w:r>
      <w:r w:rsidR="006169BF">
        <w:t>.</w:t>
      </w:r>
    </w:p>
    <w:p w14:paraId="3B8126E2" w14:textId="61F6B76C" w:rsidR="00007D51" w:rsidRDefault="00F84C75" w:rsidP="00F84C75">
      <w:pPr>
        <w:pStyle w:val="DHHSbody"/>
      </w:pPr>
      <w:r>
        <w:t xml:space="preserve">Risk flags are identified for each </w:t>
      </w:r>
      <w:r w:rsidR="00D4759C">
        <w:t xml:space="preserve">indicator </w:t>
      </w:r>
      <w:r>
        <w:t xml:space="preserve">where targets have not been met and </w:t>
      </w:r>
      <w:r w:rsidR="002611CC">
        <w:t>performance is deteriorating</w:t>
      </w:r>
      <w:r w:rsidR="00AC173D">
        <w:t>.</w:t>
      </w:r>
    </w:p>
    <w:p w14:paraId="56F8F283" w14:textId="77777777" w:rsidR="00007D51" w:rsidRDefault="00F84C75" w:rsidP="006169BF">
      <w:pPr>
        <w:pStyle w:val="DHHSbody"/>
      </w:pPr>
      <w:r w:rsidRPr="00900BF4">
        <w:t xml:space="preserve">Improvement or deterioration trends are </w:t>
      </w:r>
      <w:r w:rsidR="0087441B" w:rsidRPr="00900BF4">
        <w:t xml:space="preserve">indicator dependent </w:t>
      </w:r>
      <w:r w:rsidR="00486E14" w:rsidRPr="00900BF4">
        <w:t>and the</w:t>
      </w:r>
      <w:r w:rsidR="00BF7493" w:rsidRPr="00900BF4">
        <w:t xml:space="preserve"> method used to establish these trends are outlined in</w:t>
      </w:r>
      <w:r w:rsidR="00486E14" w:rsidRPr="00900BF4">
        <w:t xml:space="preserve"> </w:t>
      </w:r>
      <w:r w:rsidR="00143B62" w:rsidRPr="00900BF4">
        <w:t xml:space="preserve">the Business Rules. </w:t>
      </w:r>
      <w:r w:rsidR="007E7CB8">
        <w:t>G</w:t>
      </w:r>
      <w:r w:rsidR="00143B62" w:rsidRPr="00900BF4">
        <w:t>eneral trends are based on</w:t>
      </w:r>
      <w:r w:rsidR="0087441B" w:rsidRPr="00900BF4">
        <w:t xml:space="preserve"> </w:t>
      </w:r>
      <w:r w:rsidR="00153332" w:rsidRPr="00900BF4">
        <w:t xml:space="preserve">comparisons to </w:t>
      </w:r>
      <w:r w:rsidR="00B91FFB" w:rsidRPr="00F31C22">
        <w:t xml:space="preserve">the </w:t>
      </w:r>
      <w:r w:rsidRPr="00F31C22">
        <w:t>same time last year</w:t>
      </w:r>
      <w:r w:rsidR="00153332" w:rsidRPr="00900BF4">
        <w:t>, last quarter</w:t>
      </w:r>
      <w:r w:rsidR="00F31C22" w:rsidRPr="00900BF4">
        <w:t>,</w:t>
      </w:r>
      <w:r w:rsidR="00153332" w:rsidRPr="00900BF4">
        <w:t xml:space="preserve"> to a baseline</w:t>
      </w:r>
      <w:r w:rsidR="00F31C22" w:rsidRPr="00900BF4">
        <w:t xml:space="preserve"> or through statistical analysis</w:t>
      </w:r>
      <w:r w:rsidR="00153332" w:rsidRPr="00900BF4">
        <w:t>.</w:t>
      </w:r>
    </w:p>
    <w:p w14:paraId="0A73048E" w14:textId="3BA392EC" w:rsidR="0062552C" w:rsidRDefault="0062552C" w:rsidP="0062552C">
      <w:pPr>
        <w:pStyle w:val="DHHSbody"/>
      </w:pPr>
      <w:r w:rsidRPr="00C06BF9">
        <w:t>The Business Rules are updated progressively throughout the year to reflect changes to current, and incorporation of new, Key Performance Measures, which includes ‘shadow</w:t>
      </w:r>
      <w:r w:rsidR="00993326">
        <w:t xml:space="preserve"> indicat</w:t>
      </w:r>
      <w:r w:rsidR="00D12531">
        <w:t>o</w:t>
      </w:r>
      <w:r w:rsidR="00993326">
        <w:t>rs</w:t>
      </w:r>
      <w:r w:rsidRPr="00C06BF9">
        <w:t xml:space="preserve">’ (those </w:t>
      </w:r>
      <w:r w:rsidR="00AC4788">
        <w:t>indicators</w:t>
      </w:r>
      <w:r w:rsidR="00AC4788" w:rsidRPr="00C06BF9">
        <w:t xml:space="preserve"> </w:t>
      </w:r>
      <w:r w:rsidRPr="00C06BF9">
        <w:t xml:space="preserve">that are reported but do not impact </w:t>
      </w:r>
      <w:r w:rsidR="00D709A6">
        <w:t xml:space="preserve">a health service’s </w:t>
      </w:r>
      <w:r w:rsidRPr="00C06BF9">
        <w:t>final performance monitoring level). This is discussed in detail in the Business Rules.</w:t>
      </w:r>
    </w:p>
    <w:p w14:paraId="66BD4A76" w14:textId="3571CAA7" w:rsidR="00765193" w:rsidRDefault="006169BF" w:rsidP="00900BF4">
      <w:pPr>
        <w:pStyle w:val="DHHSbody"/>
        <w:spacing w:after="240"/>
        <w:sectPr w:rsidR="00765193" w:rsidSect="004755B3">
          <w:type w:val="continuous"/>
          <w:pgSz w:w="11906" w:h="16838"/>
          <w:pgMar w:top="1134" w:right="1304" w:bottom="851" w:left="1304" w:header="454" w:footer="510" w:gutter="0"/>
          <w:cols w:num="2" w:space="397" w:equalWidth="0">
            <w:col w:w="1134" w:space="397"/>
            <w:col w:w="7767"/>
          </w:cols>
          <w:docGrid w:linePitch="360"/>
        </w:sectPr>
      </w:pPr>
      <w:r>
        <w:t xml:space="preserve">The </w:t>
      </w:r>
      <w:r w:rsidR="0003428F">
        <w:t>most up to date</w:t>
      </w:r>
      <w:r w:rsidR="00FC218D">
        <w:t xml:space="preserve"> Key Performance M</w:t>
      </w:r>
      <w:r w:rsidR="00F862F9">
        <w:t>easures</w:t>
      </w:r>
      <w:r>
        <w:t xml:space="preserve">, including their </w:t>
      </w:r>
      <w:r w:rsidR="00FC218D">
        <w:t>technical specifications</w:t>
      </w:r>
      <w:r w:rsidR="00E25814">
        <w:t>, can</w:t>
      </w:r>
      <w:r>
        <w:t xml:space="preserve"> be reviewed </w:t>
      </w:r>
      <w:r w:rsidR="000B7FE0">
        <w:t xml:space="preserve">within </w:t>
      </w:r>
      <w:r w:rsidR="00F90C27">
        <w:t>the</w:t>
      </w:r>
      <w:r w:rsidR="00941DCA">
        <w:t xml:space="preserve"> </w:t>
      </w:r>
      <w:r w:rsidR="00FC218D">
        <w:t>Business Rules</w:t>
      </w:r>
      <w:r w:rsidR="00941DCA">
        <w:t xml:space="preserve"> </w:t>
      </w:r>
      <w:r w:rsidR="003D16EC">
        <w:t xml:space="preserve">at the </w:t>
      </w:r>
      <w:hyperlink r:id="rId35" w:history="1">
        <w:r w:rsidR="003D16EC">
          <w:rPr>
            <w:rStyle w:val="Hyperlink"/>
            <w:szCs w:val="19"/>
          </w:rPr>
          <w:t>Funding, performance and accountability webpage</w:t>
        </w:r>
      </w:hyperlink>
      <w:r w:rsidR="003D16EC" w:rsidRPr="00E41295">
        <w:rPr>
          <w:szCs w:val="19"/>
        </w:rPr>
        <w:t xml:space="preserve"> </w:t>
      </w:r>
      <w:r w:rsidR="003D16EC">
        <w:rPr>
          <w:szCs w:val="19"/>
        </w:rPr>
        <w:t>&lt;</w:t>
      </w:r>
      <w:r w:rsidR="003D16EC" w:rsidRPr="00463817">
        <w:rPr>
          <w:szCs w:val="19"/>
        </w:rPr>
        <w:t>https://www2.health.vic.gov.au/hospitals-and-health-services/funding-performance-accountability/performance-monitoring</w:t>
      </w:r>
      <w:r w:rsidR="003D16EC">
        <w:rPr>
          <w:szCs w:val="19"/>
        </w:rPr>
        <w:t>&gt;</w:t>
      </w:r>
      <w:r w:rsidR="003D16EC">
        <w:t>.</w:t>
      </w:r>
    </w:p>
    <w:p w14:paraId="33571684" w14:textId="77777777" w:rsidR="00D615B0" w:rsidRPr="00887CEA" w:rsidRDefault="00D615B0" w:rsidP="00F87ADB">
      <w:pPr>
        <w:pStyle w:val="DHHSbody"/>
      </w:pPr>
    </w:p>
    <w:p w14:paraId="1F4E60CE" w14:textId="77777777" w:rsidR="00765193" w:rsidRDefault="00765193" w:rsidP="00F87ADB">
      <w:pPr>
        <w:pStyle w:val="DHHSbody"/>
        <w:sectPr w:rsidR="00765193" w:rsidSect="004755B3">
          <w:type w:val="continuous"/>
          <w:pgSz w:w="11906" w:h="16838"/>
          <w:pgMar w:top="1134" w:right="1304" w:bottom="851" w:left="1304" w:header="454" w:footer="510" w:gutter="0"/>
          <w:cols w:space="397"/>
          <w:docGrid w:linePitch="360"/>
        </w:sectPr>
      </w:pPr>
    </w:p>
    <w:p w14:paraId="392CD74D" w14:textId="2AB8AFA5" w:rsidR="00F84C75" w:rsidRDefault="00C169C1" w:rsidP="005C11EE">
      <w:pPr>
        <w:pStyle w:val="DHHSicon"/>
      </w:pPr>
      <w:r>
        <w:rPr>
          <w:noProof/>
        </w:rPr>
        <w:drawing>
          <wp:inline distT="0" distB="0" distL="0" distR="0" wp14:anchorId="0A3713C1" wp14:editId="677DE1EA">
            <wp:extent cx="720090" cy="720090"/>
            <wp:effectExtent l="0" t="0" r="3810" b="3810"/>
            <wp:docPr id="4" name="Picture 4"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1806002_underlying_risks-01.png"/>
                    <pic:cNvPicPr/>
                  </pic:nvPicPr>
                  <pic:blipFill>
                    <a:blip r:embed="rId28"/>
                    <a:stretch>
                      <a:fillRect/>
                    </a:stretch>
                  </pic:blipFill>
                  <pic:spPr>
                    <a:xfrm>
                      <a:off x="0" y="0"/>
                      <a:ext cx="720090" cy="720090"/>
                    </a:xfrm>
                    <a:prstGeom prst="rect">
                      <a:avLst/>
                    </a:prstGeom>
                  </pic:spPr>
                </pic:pic>
              </a:graphicData>
            </a:graphic>
          </wp:inline>
        </w:drawing>
      </w:r>
    </w:p>
    <w:p w14:paraId="084C64BE" w14:textId="3CCFC170" w:rsidR="00F84C75" w:rsidRPr="005A1753" w:rsidRDefault="00F84C75" w:rsidP="00270923">
      <w:pPr>
        <w:pStyle w:val="Heading4"/>
      </w:pPr>
      <w:r>
        <w:br w:type="column"/>
      </w:r>
      <w:r w:rsidR="00127A3C">
        <w:t xml:space="preserve">2. </w:t>
      </w:r>
      <w:r w:rsidRPr="005A1753">
        <w:t xml:space="preserve">Underlying </w:t>
      </w:r>
      <w:r w:rsidR="00F54648">
        <w:t>R</w:t>
      </w:r>
      <w:r w:rsidRPr="005A1753">
        <w:t xml:space="preserve">isk </w:t>
      </w:r>
      <w:r w:rsidR="00F54648">
        <w:t>F</w:t>
      </w:r>
      <w:r w:rsidRPr="005A1753">
        <w:t>actors</w:t>
      </w:r>
      <w:r w:rsidR="00917B66">
        <w:t xml:space="preserve"> – Provide </w:t>
      </w:r>
      <w:r w:rsidR="00F14FC8">
        <w:t xml:space="preserve">performance </w:t>
      </w:r>
      <w:r w:rsidR="00917B66">
        <w:t>context</w:t>
      </w:r>
    </w:p>
    <w:p w14:paraId="6DC156CC" w14:textId="093CC646" w:rsidR="00007D51" w:rsidRDefault="00B91FFB" w:rsidP="00946D7B">
      <w:pPr>
        <w:pStyle w:val="DHHSbody"/>
      </w:pPr>
      <w:r w:rsidRPr="00900BF4">
        <w:rPr>
          <w:i/>
        </w:rPr>
        <w:t>Targeting Zero</w:t>
      </w:r>
      <w:r>
        <w:t xml:space="preserve"> identified a range of factors that can impact on the ability of a health service to deliver safe, high-quality outcomes for patients.</w:t>
      </w:r>
      <w:r w:rsidR="000F031C">
        <w:t xml:space="preserve"> </w:t>
      </w:r>
      <w:r w:rsidR="00A20585">
        <w:t>T</w:t>
      </w:r>
      <w:r w:rsidR="00047064">
        <w:t xml:space="preserve">he </w:t>
      </w:r>
      <w:r w:rsidR="007450D2">
        <w:t>Framework</w:t>
      </w:r>
      <w:r w:rsidR="00047064">
        <w:t xml:space="preserve"> includes a set of underlying performance risks intended to assess the contextual aspects of performance for each health service.</w:t>
      </w:r>
    </w:p>
    <w:p w14:paraId="2EB18774" w14:textId="277C7C82" w:rsidR="00BF42AB" w:rsidRDefault="007F5FF0" w:rsidP="00946D7B">
      <w:pPr>
        <w:pStyle w:val="DHHSbody"/>
      </w:pPr>
      <w:r>
        <w:t>Example of u</w:t>
      </w:r>
      <w:r w:rsidR="00047064">
        <w:t xml:space="preserve">nderlying performance risk </w:t>
      </w:r>
      <w:r w:rsidR="001A0DB9">
        <w:t xml:space="preserve">factors </w:t>
      </w:r>
      <w:r w:rsidR="00047064">
        <w:t>are</w:t>
      </w:r>
      <w:r w:rsidR="00233212">
        <w:t>:</w:t>
      </w:r>
    </w:p>
    <w:p w14:paraId="7382DDF8" w14:textId="1204330D" w:rsidR="005964D7" w:rsidRDefault="00015484">
      <w:pPr>
        <w:pStyle w:val="DHHSbullet1"/>
      </w:pPr>
      <w:r>
        <w:t>w</w:t>
      </w:r>
      <w:r w:rsidR="00127A3C">
        <w:t>orkforce</w:t>
      </w:r>
      <w:r w:rsidR="00483252" w:rsidRPr="00483252">
        <w:t xml:space="preserve"> </w:t>
      </w:r>
      <w:r w:rsidR="00483252">
        <w:t>availability, capacity and capability</w:t>
      </w:r>
    </w:p>
    <w:p w14:paraId="0C712F2E" w14:textId="5D9956BC" w:rsidR="00F84C75" w:rsidRDefault="00355C25" w:rsidP="00F84C75">
      <w:pPr>
        <w:pStyle w:val="DHHSbullet1"/>
      </w:pPr>
      <w:r>
        <w:t>abilit</w:t>
      </w:r>
      <w:r w:rsidR="00047064">
        <w:t>y to respond to community needs</w:t>
      </w:r>
    </w:p>
    <w:p w14:paraId="5EA15930" w14:textId="42281EA1" w:rsidR="00047064" w:rsidRDefault="00047064" w:rsidP="00F84C75">
      <w:pPr>
        <w:pStyle w:val="DHHSbullet1"/>
      </w:pPr>
      <w:r>
        <w:t>clinical leadership</w:t>
      </w:r>
    </w:p>
    <w:p w14:paraId="6EE7800B" w14:textId="182BF144" w:rsidR="00047064" w:rsidRDefault="00047064" w:rsidP="00F84C75">
      <w:pPr>
        <w:pStyle w:val="DHHSbullet1"/>
      </w:pPr>
      <w:r>
        <w:t>management of complex care or changes in capability</w:t>
      </w:r>
    </w:p>
    <w:p w14:paraId="6D2BA1F8" w14:textId="54E50B11" w:rsidR="00F84C75" w:rsidRDefault="00047064" w:rsidP="00F84C75">
      <w:pPr>
        <w:pStyle w:val="DHHSbullet1"/>
      </w:pPr>
      <w:r>
        <w:t>board governance</w:t>
      </w:r>
    </w:p>
    <w:p w14:paraId="62DBB56D" w14:textId="4EE74009" w:rsidR="00BF42AB" w:rsidRDefault="00047064" w:rsidP="00F84C75">
      <w:pPr>
        <w:pStyle w:val="DHHSbullet1"/>
      </w:pPr>
      <w:r>
        <w:t>leadership</w:t>
      </w:r>
    </w:p>
    <w:p w14:paraId="3AC63AFE" w14:textId="189078F5" w:rsidR="00047064" w:rsidRDefault="00047064" w:rsidP="00F84C75">
      <w:pPr>
        <w:pStyle w:val="DHHSbullet1"/>
      </w:pPr>
      <w:r>
        <w:t>competing strategic priorities</w:t>
      </w:r>
    </w:p>
    <w:p w14:paraId="0453A548" w14:textId="77777777" w:rsidR="00007D51" w:rsidRDefault="00047064" w:rsidP="00047064">
      <w:pPr>
        <w:pStyle w:val="DHHSbullet1"/>
      </w:pPr>
      <w:r>
        <w:t>culture</w:t>
      </w:r>
    </w:p>
    <w:p w14:paraId="78D65E3F" w14:textId="2D2BCC91" w:rsidR="00047064" w:rsidRDefault="00015484" w:rsidP="00F84C75">
      <w:pPr>
        <w:pStyle w:val="DHHSbullet1"/>
      </w:pPr>
      <w:r>
        <w:t>w</w:t>
      </w:r>
      <w:r w:rsidR="00127A3C">
        <w:t>orkforce</w:t>
      </w:r>
      <w:r w:rsidR="00047064">
        <w:t xml:space="preserve"> sustainability</w:t>
      </w:r>
    </w:p>
    <w:p w14:paraId="75C9B67F" w14:textId="66183B75" w:rsidR="00047064" w:rsidRDefault="00047064" w:rsidP="00F84C75">
      <w:pPr>
        <w:pStyle w:val="DHHSbullet1"/>
      </w:pPr>
      <w:r>
        <w:t>service sustainability</w:t>
      </w:r>
    </w:p>
    <w:p w14:paraId="73E7984C" w14:textId="4163265A" w:rsidR="000F031C" w:rsidRDefault="00355C25" w:rsidP="00900BF4">
      <w:pPr>
        <w:pStyle w:val="DHHSbullet1"/>
        <w:spacing w:after="240"/>
        <w:sectPr w:rsidR="000F031C" w:rsidSect="004755B3">
          <w:type w:val="continuous"/>
          <w:pgSz w:w="11906" w:h="16838"/>
          <w:pgMar w:top="1134" w:right="1304" w:bottom="851" w:left="1304" w:header="454" w:footer="510" w:gutter="0"/>
          <w:cols w:num="2" w:space="397" w:equalWidth="0">
            <w:col w:w="1134" w:space="397"/>
            <w:col w:w="7767"/>
          </w:cols>
          <w:docGrid w:linePitch="360"/>
        </w:sectPr>
      </w:pPr>
      <w:r>
        <w:t>financial performance</w:t>
      </w:r>
      <w:r w:rsidR="00233212">
        <w:t>.</w:t>
      </w:r>
    </w:p>
    <w:p w14:paraId="51979A92" w14:textId="77777777" w:rsidR="004117C3" w:rsidRDefault="004117C3" w:rsidP="004117C3">
      <w:pPr>
        <w:pStyle w:val="DHHSbody"/>
      </w:pPr>
      <w:r>
        <w:t>The Business Rules are updated progressively throughout the year to reflect changes to current, and incorporation of new, Underlying Risk Factors, including their detailed considerations.</w:t>
      </w:r>
    </w:p>
    <w:p w14:paraId="0E501F45" w14:textId="69782788" w:rsidR="003F5365" w:rsidRDefault="00392E3D" w:rsidP="004117C3">
      <w:pPr>
        <w:pStyle w:val="DHHSbody"/>
      </w:pPr>
      <w:r>
        <w:t xml:space="preserve">The most up to date </w:t>
      </w:r>
      <w:r w:rsidR="00FC218D">
        <w:t>U</w:t>
      </w:r>
      <w:r w:rsidR="00080EF3">
        <w:t xml:space="preserve">nderlying </w:t>
      </w:r>
      <w:r w:rsidR="00FC218D">
        <w:t>Risk F</w:t>
      </w:r>
      <w:r w:rsidR="00080EF3">
        <w:t>actors</w:t>
      </w:r>
      <w:r>
        <w:t xml:space="preserve">, including their </w:t>
      </w:r>
      <w:r w:rsidR="005E492A">
        <w:t>detailed</w:t>
      </w:r>
      <w:r w:rsidR="00FC218D">
        <w:t xml:space="preserve"> </w:t>
      </w:r>
      <w:r w:rsidR="005E492A">
        <w:t>considerations</w:t>
      </w:r>
      <w:r>
        <w:t xml:space="preserve">, can be reviewed within the </w:t>
      </w:r>
      <w:r w:rsidR="00FC218D">
        <w:t>Business Rules</w:t>
      </w:r>
      <w:r>
        <w:rPr>
          <w:i/>
        </w:rPr>
        <w:t xml:space="preserve"> </w:t>
      </w:r>
      <w:r w:rsidR="00950D71">
        <w:t>from</w:t>
      </w:r>
      <w:r>
        <w:t xml:space="preserve"> </w:t>
      </w:r>
      <w:r w:rsidR="003D16EC">
        <w:t xml:space="preserve">the </w:t>
      </w:r>
      <w:hyperlink r:id="rId36" w:history="1">
        <w:r w:rsidR="003D16EC">
          <w:rPr>
            <w:rStyle w:val="Hyperlink"/>
            <w:szCs w:val="19"/>
          </w:rPr>
          <w:t>Funding, performance and accountability webpage</w:t>
        </w:r>
      </w:hyperlink>
      <w:r w:rsidR="003D16EC" w:rsidRPr="00E41295">
        <w:rPr>
          <w:szCs w:val="19"/>
        </w:rPr>
        <w:t xml:space="preserve"> </w:t>
      </w:r>
      <w:r w:rsidR="003D16EC">
        <w:rPr>
          <w:szCs w:val="19"/>
        </w:rPr>
        <w:t>&lt;</w:t>
      </w:r>
      <w:r w:rsidR="003D16EC" w:rsidRPr="00463817">
        <w:rPr>
          <w:szCs w:val="19"/>
        </w:rPr>
        <w:t>https://www2.health.vic.gov.au/hospitals-and-health-services/funding-performance-accountability/performance-monitoring</w:t>
      </w:r>
      <w:r w:rsidR="003D16EC">
        <w:rPr>
          <w:szCs w:val="19"/>
        </w:rPr>
        <w:t>&gt;.</w:t>
      </w:r>
    </w:p>
    <w:p w14:paraId="2929FDFE" w14:textId="77777777" w:rsidR="004755B3" w:rsidRDefault="004755B3" w:rsidP="004755B3">
      <w:pPr>
        <w:pStyle w:val="DHHSbody"/>
      </w:pPr>
      <w:r>
        <w:br w:type="page"/>
      </w:r>
    </w:p>
    <w:p w14:paraId="0CB275AA" w14:textId="7B8F2412" w:rsidR="00F84C75" w:rsidRDefault="00D5292C" w:rsidP="00900BF4">
      <w:pPr>
        <w:pStyle w:val="DHHSbodylargespace"/>
        <w:spacing w:after="240"/>
      </w:pPr>
      <w:r>
        <w:lastRenderedPageBreak/>
        <w:t xml:space="preserve">While some areas of </w:t>
      </w:r>
      <w:r w:rsidR="004F2014">
        <w:t xml:space="preserve">underlying </w:t>
      </w:r>
      <w:r w:rsidR="00CA1276">
        <w:t xml:space="preserve">performance </w:t>
      </w:r>
      <w:r w:rsidRPr="00CA1276">
        <w:t>risk</w:t>
      </w:r>
      <w:r>
        <w:t xml:space="preserve"> may not be in the direct control of health services (for example, </w:t>
      </w:r>
      <w:r w:rsidR="006407EC">
        <w:t>the size of the local recruitment pool for clinicians</w:t>
      </w:r>
      <w:r>
        <w:t xml:space="preserve">), they must still be acknowledged in the </w:t>
      </w:r>
      <w:r w:rsidR="00E40FD8">
        <w:t xml:space="preserve">performance </w:t>
      </w:r>
      <w:r>
        <w:t>risk assessment</w:t>
      </w:r>
      <w:r w:rsidR="00756DDA">
        <w:t>. This</w:t>
      </w:r>
      <w:r>
        <w:t xml:space="preserve"> ensure</w:t>
      </w:r>
      <w:r w:rsidR="00756DDA">
        <w:t>s</w:t>
      </w:r>
      <w:r>
        <w:t xml:space="preserve"> health services are </w:t>
      </w:r>
      <w:r w:rsidRPr="00CA1276">
        <w:t xml:space="preserve">minimising </w:t>
      </w:r>
      <w:r w:rsidR="00CA1276">
        <w:t xml:space="preserve">concerns </w:t>
      </w:r>
      <w:r>
        <w:t>where possible</w:t>
      </w:r>
      <w:r w:rsidR="00756DDA">
        <w:t>,</w:t>
      </w:r>
      <w:r>
        <w:t xml:space="preserve"> and to explore new or additional opportunities to </w:t>
      </w:r>
      <w:r w:rsidR="00E40FD8">
        <w:t xml:space="preserve">understand </w:t>
      </w:r>
      <w:r>
        <w:t xml:space="preserve">the impact of these </w:t>
      </w:r>
      <w:r w:rsidR="00CA1276">
        <w:t xml:space="preserve">concerns </w:t>
      </w:r>
      <w:r>
        <w:t xml:space="preserve">(including work </w:t>
      </w:r>
      <w:r w:rsidR="00756DDA">
        <w:t>required</w:t>
      </w:r>
      <w:r>
        <w:t xml:space="preserve"> at </w:t>
      </w:r>
      <w:r w:rsidR="00756DDA">
        <w:t>the</w:t>
      </w:r>
      <w:r>
        <w:t xml:space="preserve"> system level).</w:t>
      </w:r>
    </w:p>
    <w:tbl>
      <w:tblPr>
        <w:tblStyle w:val="Highlighttable"/>
        <w:tblW w:w="9299" w:type="dxa"/>
        <w:tblLook w:val="0600" w:firstRow="0" w:lastRow="0" w:firstColumn="0" w:lastColumn="0" w:noHBand="1" w:noVBand="1"/>
      </w:tblPr>
      <w:tblGrid>
        <w:gridCol w:w="9299"/>
      </w:tblGrid>
      <w:tr w:rsidR="00F84C75" w:rsidRPr="005A1753" w14:paraId="053E6194" w14:textId="77777777" w:rsidTr="003D16EC">
        <w:tc>
          <w:tcPr>
            <w:tcW w:w="7796" w:type="dxa"/>
          </w:tcPr>
          <w:p w14:paraId="255C1C33" w14:textId="0838ED58" w:rsidR="00765193" w:rsidRPr="00900BF4" w:rsidRDefault="00765193" w:rsidP="00E56F35">
            <w:pPr>
              <w:pStyle w:val="DHHSbody"/>
              <w:rPr>
                <w:b/>
              </w:rPr>
            </w:pPr>
            <w:r>
              <w:rPr>
                <w:b/>
              </w:rPr>
              <w:t>Example – Geographical impact</w:t>
            </w:r>
            <w:r w:rsidR="00FC218D">
              <w:rPr>
                <w:b/>
              </w:rPr>
              <w:t>s</w:t>
            </w:r>
          </w:p>
          <w:p w14:paraId="2E158CEB" w14:textId="77777777" w:rsidR="00007D51" w:rsidRDefault="00FC218D" w:rsidP="00E56F35">
            <w:pPr>
              <w:pStyle w:val="DHHSbody"/>
            </w:pPr>
            <w:r>
              <w:t>H</w:t>
            </w:r>
            <w:r w:rsidR="006407EC">
              <w:t>ealth services in rural areas face significant</w:t>
            </w:r>
            <w:r w:rsidR="00F84C75" w:rsidRPr="005A1753">
              <w:t xml:space="preserve"> challenges in attracting and retaining skilled staff as well as board </w:t>
            </w:r>
            <w:r w:rsidR="00AC2378">
              <w:t>directors</w:t>
            </w:r>
            <w:r w:rsidR="00F84C75" w:rsidRPr="005A1753">
              <w:t xml:space="preserve">. There may also </w:t>
            </w:r>
            <w:r w:rsidR="00CD3995">
              <w:t xml:space="preserve">be </w:t>
            </w:r>
            <w:r w:rsidR="00F84C75" w:rsidRPr="005A1753">
              <w:t>a higher risk of professional isolation for practitioners with limited</w:t>
            </w:r>
            <w:r w:rsidR="00685E68">
              <w:t xml:space="preserve"> career</w:t>
            </w:r>
            <w:r w:rsidR="00F84C75" w:rsidRPr="005A1753">
              <w:t xml:space="preserve"> options</w:t>
            </w:r>
            <w:r w:rsidR="00685E68">
              <w:t>,</w:t>
            </w:r>
            <w:r w:rsidR="00F84C75" w:rsidRPr="005A1753">
              <w:t xml:space="preserve"> no back</w:t>
            </w:r>
            <w:r w:rsidR="00CD3995">
              <w:t>-</w:t>
            </w:r>
            <w:r w:rsidR="00F84C75" w:rsidRPr="005A1753">
              <w:t xml:space="preserve">up cover </w:t>
            </w:r>
            <w:r w:rsidR="00685E68">
              <w:t>and</w:t>
            </w:r>
            <w:r w:rsidR="00F84C75" w:rsidRPr="005A1753">
              <w:t xml:space="preserve"> </w:t>
            </w:r>
            <w:r w:rsidR="00685E68">
              <w:t xml:space="preserve">no </w:t>
            </w:r>
            <w:r w:rsidR="00F84C75" w:rsidRPr="005A1753">
              <w:t>succession planning</w:t>
            </w:r>
            <w:r w:rsidR="00CD3995">
              <w:t>.</w:t>
            </w:r>
            <w:r w:rsidR="00F84C75" w:rsidRPr="005A1753">
              <w:t xml:space="preserve"> </w:t>
            </w:r>
            <w:r w:rsidR="00CD3995">
              <w:t>M</w:t>
            </w:r>
            <w:r w:rsidR="00F84C75" w:rsidRPr="005A1753">
              <w:t>anagement may find it difficult to manage contracts or performance of clinicians who are difficult to replace.</w:t>
            </w:r>
          </w:p>
          <w:p w14:paraId="4DEFD800" w14:textId="17F85D07" w:rsidR="00F84C75" w:rsidRPr="005A1753" w:rsidRDefault="00F84C75" w:rsidP="00E56F35">
            <w:pPr>
              <w:pStyle w:val="DHHSbody"/>
            </w:pPr>
            <w:r w:rsidRPr="005A1753">
              <w:t>Recognising these challenges provides a better appreciation of the contextual environment various health services operate in, the impact this has on service delivery</w:t>
            </w:r>
            <w:r w:rsidR="00FC218D">
              <w:t>,</w:t>
            </w:r>
            <w:r w:rsidRPr="005A1753">
              <w:t xml:space="preserve"> and the type of strategies required </w:t>
            </w:r>
            <w:r>
              <w:t xml:space="preserve">by the department </w:t>
            </w:r>
            <w:r w:rsidR="00DE78F7">
              <w:t xml:space="preserve">(at a system level) </w:t>
            </w:r>
            <w:r>
              <w:t>and the health service</w:t>
            </w:r>
            <w:r w:rsidR="00DE78F7">
              <w:t xml:space="preserve"> (at a local level)</w:t>
            </w:r>
            <w:r>
              <w:t xml:space="preserve"> </w:t>
            </w:r>
            <w:r w:rsidRPr="005A1753">
              <w:t>to support improved performance.</w:t>
            </w:r>
          </w:p>
        </w:tc>
      </w:tr>
    </w:tbl>
    <w:p w14:paraId="6644BC75" w14:textId="71924235" w:rsidR="004A0F13" w:rsidRDefault="00D23259" w:rsidP="00A168D5">
      <w:pPr>
        <w:pStyle w:val="Heading5"/>
      </w:pPr>
      <w:r>
        <w:t xml:space="preserve">Underlying Risk Factor </w:t>
      </w:r>
      <w:r w:rsidR="00807FCE">
        <w:t xml:space="preserve">example </w:t>
      </w:r>
      <w:r w:rsidR="003C2091">
        <w:t>–</w:t>
      </w:r>
      <w:r>
        <w:t xml:space="preserve"> Culture</w:t>
      </w:r>
    </w:p>
    <w:p w14:paraId="5FB5761B" w14:textId="030EAAC3" w:rsidR="00BF42AB" w:rsidRDefault="00A138AD" w:rsidP="00F84C75">
      <w:pPr>
        <w:pStyle w:val="DHHSbody"/>
      </w:pPr>
      <w:r>
        <w:t>Poor o</w:t>
      </w:r>
      <w:r w:rsidR="00F84C75" w:rsidRPr="009637EE">
        <w:t xml:space="preserve">rganisational culture can significantly impact patient safety and </w:t>
      </w:r>
      <w:r w:rsidR="00644EC2">
        <w:t>is</w:t>
      </w:r>
      <w:r w:rsidR="00644EC2" w:rsidRPr="009637EE">
        <w:t xml:space="preserve"> </w:t>
      </w:r>
      <w:r w:rsidR="00F84C75" w:rsidRPr="009637EE">
        <w:t xml:space="preserve">known as </w:t>
      </w:r>
      <w:r w:rsidR="00644EC2">
        <w:t xml:space="preserve">a </w:t>
      </w:r>
      <w:r w:rsidR="00F84C75" w:rsidRPr="009637EE">
        <w:t xml:space="preserve">recurring feature of serious failings in care. For example, negative culture is directly linked to communication, collaboration and engagement breakdown, which are lead indicators of increased harm and poor patient outcomes. </w:t>
      </w:r>
      <w:r w:rsidR="00E64986">
        <w:t>Ineffective</w:t>
      </w:r>
      <w:r w:rsidR="00E64986" w:rsidRPr="009637EE">
        <w:t xml:space="preserve"> </w:t>
      </w:r>
      <w:r w:rsidR="00F84C75" w:rsidRPr="009637EE">
        <w:t xml:space="preserve">governance and leadership further </w:t>
      </w:r>
      <w:r w:rsidR="00E27DA9" w:rsidRPr="009637EE">
        <w:t xml:space="preserve">compound </w:t>
      </w:r>
      <w:r w:rsidR="00F84C75" w:rsidRPr="009637EE">
        <w:t xml:space="preserve">the risk </w:t>
      </w:r>
      <w:r w:rsidR="00E27DA9" w:rsidRPr="009637EE">
        <w:t>through failure</w:t>
      </w:r>
      <w:r w:rsidR="00F84C75" w:rsidRPr="009637EE">
        <w:t xml:space="preserve"> to identify and </w:t>
      </w:r>
      <w:r w:rsidR="00140E67">
        <w:t>remediate</w:t>
      </w:r>
      <w:r w:rsidR="00140E67" w:rsidRPr="009637EE">
        <w:t xml:space="preserve"> </w:t>
      </w:r>
      <w:r w:rsidR="00F84C75" w:rsidRPr="009637EE">
        <w:t xml:space="preserve">issues early </w:t>
      </w:r>
      <w:r w:rsidR="00644EC2">
        <w:t>and</w:t>
      </w:r>
      <w:r w:rsidR="00F84C75" w:rsidRPr="009637EE">
        <w:t xml:space="preserve"> </w:t>
      </w:r>
      <w:r w:rsidR="00E03E3D" w:rsidRPr="009637EE">
        <w:t>successfully</w:t>
      </w:r>
      <w:r w:rsidR="00F84C75" w:rsidRPr="009637EE">
        <w:t>.</w:t>
      </w:r>
    </w:p>
    <w:p w14:paraId="39734BB7" w14:textId="077D42E1" w:rsidR="00F84C75" w:rsidRPr="007574BD" w:rsidRDefault="00F84C75" w:rsidP="00F84C75">
      <w:pPr>
        <w:pStyle w:val="DHHSbody"/>
      </w:pPr>
      <w:r>
        <w:t xml:space="preserve">Monitoring </w:t>
      </w:r>
      <w:r w:rsidR="00E64986">
        <w:t xml:space="preserve">weaknesses in </w:t>
      </w:r>
      <w:r>
        <w:t>cultur</w:t>
      </w:r>
      <w:r w:rsidR="004C5284">
        <w:t>e</w:t>
      </w:r>
      <w:r>
        <w:t xml:space="preserve"> allows for early identification of risks to patient safety before they </w:t>
      </w:r>
      <w:r w:rsidR="00644EC2">
        <w:t>begin</w:t>
      </w:r>
      <w:r>
        <w:t xml:space="preserve"> manifest</w:t>
      </w:r>
      <w:r w:rsidR="00644EC2">
        <w:t>ing</w:t>
      </w:r>
      <w:r>
        <w:t xml:space="preserve"> in patient outcomes.</w:t>
      </w:r>
    </w:p>
    <w:p w14:paraId="32F51D6F" w14:textId="0DECCC48" w:rsidR="00F36CD9" w:rsidRDefault="00F36CD9" w:rsidP="00A168D5">
      <w:pPr>
        <w:pStyle w:val="DHHSbody"/>
      </w:pPr>
      <w:r>
        <w:t xml:space="preserve">The ‘culture’ factor </w:t>
      </w:r>
      <w:r w:rsidR="00A138AD">
        <w:t>is</w:t>
      </w:r>
      <w:r>
        <w:t xml:space="preserve"> informed primarily by data from the People Matter Survey as well as feedback from the Health Complaints Commissioner and SCV</w:t>
      </w:r>
      <w:r w:rsidR="00C62BDD">
        <w:t>. This is</w:t>
      </w:r>
      <w:r>
        <w:t xml:space="preserve"> particularly </w:t>
      </w:r>
      <w:r w:rsidR="00C62BDD">
        <w:t xml:space="preserve">so </w:t>
      </w:r>
      <w:r>
        <w:t>where concerns relate to a low reporting culture, poor management of complaints or general lack of interest in feedback from consumers.</w:t>
      </w:r>
    </w:p>
    <w:p w14:paraId="172C7F67" w14:textId="77777777" w:rsidR="00F84C75" w:rsidRDefault="00F84C75" w:rsidP="00F84C75">
      <w:pPr>
        <w:pStyle w:val="Heading3"/>
        <w:sectPr w:rsidR="00F84C75" w:rsidSect="004755B3">
          <w:type w:val="continuous"/>
          <w:pgSz w:w="11906" w:h="16838"/>
          <w:pgMar w:top="1134" w:right="1304" w:bottom="851" w:left="1304" w:header="454" w:footer="510" w:gutter="0"/>
          <w:cols w:space="720"/>
          <w:docGrid w:linePitch="360"/>
        </w:sectPr>
      </w:pPr>
    </w:p>
    <w:p w14:paraId="60B90546" w14:textId="03E7AC61" w:rsidR="00684D0A" w:rsidRDefault="00C169C1" w:rsidP="00440952">
      <w:pPr>
        <w:pStyle w:val="DHHSicon"/>
      </w:pPr>
      <w:r>
        <w:rPr>
          <w:noProof/>
        </w:rPr>
        <w:drawing>
          <wp:inline distT="0" distB="0" distL="0" distR="0" wp14:anchorId="69CCC467" wp14:editId="25EA2A6B">
            <wp:extent cx="720090" cy="720090"/>
            <wp:effectExtent l="0" t="0" r="3810" b="3810"/>
            <wp:docPr id="6" name="Picture 6"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1806002_third_party-01.png"/>
                    <pic:cNvPicPr/>
                  </pic:nvPicPr>
                  <pic:blipFill>
                    <a:blip r:embed="rId29"/>
                    <a:stretch>
                      <a:fillRect/>
                    </a:stretch>
                  </pic:blipFill>
                  <pic:spPr>
                    <a:xfrm>
                      <a:off x="0" y="0"/>
                      <a:ext cx="720090" cy="720090"/>
                    </a:xfrm>
                    <a:prstGeom prst="rect">
                      <a:avLst/>
                    </a:prstGeom>
                  </pic:spPr>
                </pic:pic>
              </a:graphicData>
            </a:graphic>
          </wp:inline>
        </w:drawing>
      </w:r>
    </w:p>
    <w:p w14:paraId="41F55D6F" w14:textId="1A4CF171" w:rsidR="00A64178" w:rsidRPr="0020331D" w:rsidRDefault="003D16EC" w:rsidP="003D16EC">
      <w:pPr>
        <w:pStyle w:val="Heading4"/>
      </w:pPr>
      <w:r>
        <w:br w:type="column"/>
      </w:r>
      <w:r w:rsidR="00A64178">
        <w:t>3. Thi</w:t>
      </w:r>
      <w:r w:rsidR="00A64178" w:rsidRPr="0020331D">
        <w:t>rd</w:t>
      </w:r>
      <w:r w:rsidR="00A64178">
        <w:t xml:space="preserve"> Party Reports and Other Intelligence – Provide performance context</w:t>
      </w:r>
    </w:p>
    <w:p w14:paraId="24EE551E" w14:textId="56009318" w:rsidR="00007D51" w:rsidRDefault="00A64178" w:rsidP="00A64178">
      <w:pPr>
        <w:pStyle w:val="DHHSbody"/>
      </w:pPr>
      <w:r>
        <w:t>The department continues to build formal arrangements to support cross-agency sharing and as these formal relationships mature, additional third</w:t>
      </w:r>
      <w:r w:rsidR="00C00BAC">
        <w:t xml:space="preserve"> </w:t>
      </w:r>
      <w:r>
        <w:t>party information will be introduced into the performance conversation.</w:t>
      </w:r>
    </w:p>
    <w:p w14:paraId="27B10BBC" w14:textId="0BCBCFC4" w:rsidR="00A64178" w:rsidRDefault="00A64178" w:rsidP="00A64178">
      <w:pPr>
        <w:pStyle w:val="DHHSbody"/>
      </w:pPr>
      <w:r>
        <w:t>These arrangements will increasingly add depth and breadth to performance monitoring, providing additional layers of advice on risks and other concerns relating to patient safety, governance and culture.</w:t>
      </w:r>
    </w:p>
    <w:p w14:paraId="4B43F84F" w14:textId="0999D594" w:rsidR="00A64178" w:rsidRDefault="00A64178" w:rsidP="00A64178">
      <w:pPr>
        <w:pStyle w:val="DHHSbody"/>
      </w:pPr>
      <w:r>
        <w:t>Recommendations from independent reviews initiated by the department (including specialist areas such as</w:t>
      </w:r>
      <w:r w:rsidRPr="00483252">
        <w:t xml:space="preserve"> </w:t>
      </w:r>
      <w:r>
        <w:t xml:space="preserve">the OCP), SCV, the Victorian Auditor General’s Office, the Independent Broad-based Anti-Corruption Commission and Worksafe are also used where available to fill out the picture of performance for each health service. </w:t>
      </w:r>
      <w:r w:rsidRPr="00792063">
        <w:t xml:space="preserve">Reports of </w:t>
      </w:r>
      <w:r>
        <w:t>IT</w:t>
      </w:r>
      <w:r w:rsidRPr="00792063">
        <w:t xml:space="preserve"> security risks from the department</w:t>
      </w:r>
      <w:r>
        <w:t>’</w:t>
      </w:r>
      <w:r w:rsidRPr="00792063">
        <w:t>s Digital Health Branch will also be considered.</w:t>
      </w:r>
    </w:p>
    <w:p w14:paraId="1F2F98BE" w14:textId="79A3FE4E" w:rsidR="00A64178" w:rsidRDefault="00A64178" w:rsidP="000330C1">
      <w:pPr>
        <w:pStyle w:val="DHHSbody"/>
      </w:pPr>
      <w:r>
        <w:t>Further, relevant outcomes or performance measures within specialist reports may also be captured as part of this process. This includes the Victorian Perinatal Services Performance Indicators report</w:t>
      </w:r>
      <w:r w:rsidR="00934B68">
        <w:t>,</w:t>
      </w:r>
      <w:r>
        <w:t xml:space="preserve"> the reports of the consultative councils for obstetric and paediatric, surgical and anaesthetic mortality</w:t>
      </w:r>
      <w:r w:rsidR="00934B68">
        <w:t>,</w:t>
      </w:r>
      <w:r>
        <w:t xml:space="preserve"> the Victorian Audit of Surgical Mortality</w:t>
      </w:r>
      <w:r w:rsidR="00934B68">
        <w:t xml:space="preserve">, </w:t>
      </w:r>
      <w:r>
        <w:t>and other specialist VAHI reports.</w:t>
      </w:r>
    </w:p>
    <w:p w14:paraId="42EAE86B" w14:textId="77777777" w:rsidR="000330C1" w:rsidRDefault="000330C1" w:rsidP="003D16EC">
      <w:pPr>
        <w:pStyle w:val="DHHSbody"/>
        <w:sectPr w:rsidR="000330C1" w:rsidSect="004755B3">
          <w:type w:val="continuous"/>
          <w:pgSz w:w="11906" w:h="16838"/>
          <w:pgMar w:top="1134" w:right="1304" w:bottom="851" w:left="1304" w:header="454" w:footer="510" w:gutter="0"/>
          <w:cols w:num="2" w:space="397" w:equalWidth="0">
            <w:col w:w="1134" w:space="397"/>
            <w:col w:w="7767"/>
          </w:cols>
          <w:docGrid w:linePitch="360"/>
        </w:sectPr>
      </w:pPr>
      <w:bookmarkStart w:id="56" w:name="_Toc486512524"/>
      <w:bookmarkStart w:id="57" w:name="_Toc486513089"/>
      <w:bookmarkStart w:id="58" w:name="_Toc516827340"/>
    </w:p>
    <w:p w14:paraId="40E4CB62" w14:textId="75E444F7" w:rsidR="003D16EC" w:rsidRDefault="00C169C1" w:rsidP="000155BB">
      <w:pPr>
        <w:pStyle w:val="DHHSbody"/>
      </w:pPr>
      <w:r>
        <w:rPr>
          <w:noProof/>
        </w:rPr>
        <w:lastRenderedPageBreak/>
        <w:drawing>
          <wp:inline distT="0" distB="0" distL="0" distR="0" wp14:anchorId="5136BBC1" wp14:editId="28B6FC47">
            <wp:extent cx="720090" cy="720090"/>
            <wp:effectExtent l="0" t="0" r="3810" b="3810"/>
            <wp:docPr id="7" name="Picture 7"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1806002_risk_analysis-01.png"/>
                    <pic:cNvPicPr/>
                  </pic:nvPicPr>
                  <pic:blipFill>
                    <a:blip r:embed="rId30"/>
                    <a:stretch>
                      <a:fillRect/>
                    </a:stretch>
                  </pic:blipFill>
                  <pic:spPr>
                    <a:xfrm>
                      <a:off x="0" y="0"/>
                      <a:ext cx="720090" cy="720090"/>
                    </a:xfrm>
                    <a:prstGeom prst="rect">
                      <a:avLst/>
                    </a:prstGeom>
                  </pic:spPr>
                </pic:pic>
              </a:graphicData>
            </a:graphic>
          </wp:inline>
        </w:drawing>
      </w:r>
    </w:p>
    <w:p w14:paraId="5B6CA950" w14:textId="2B93D860" w:rsidR="00F84C75" w:rsidRPr="00461D51" w:rsidRDefault="000330C1" w:rsidP="003D16EC">
      <w:pPr>
        <w:pStyle w:val="Heading3"/>
      </w:pPr>
      <w:r>
        <w:br w:type="column"/>
      </w:r>
      <w:bookmarkStart w:id="59" w:name="_Toc15579812"/>
      <w:r w:rsidR="00F84C75">
        <w:t xml:space="preserve">Step 2 </w:t>
      </w:r>
      <w:r w:rsidR="005F6121">
        <w:t>–</w:t>
      </w:r>
      <w:r w:rsidR="00F84C75">
        <w:t xml:space="preserve"> </w:t>
      </w:r>
      <w:bookmarkEnd w:id="56"/>
      <w:bookmarkEnd w:id="57"/>
      <w:r w:rsidR="005F6121">
        <w:t>Analyse performa</w:t>
      </w:r>
      <w:r w:rsidR="005F6121" w:rsidRPr="00461D51">
        <w:t>nce</w:t>
      </w:r>
      <w:bookmarkEnd w:id="58"/>
      <w:bookmarkEnd w:id="59"/>
    </w:p>
    <w:p w14:paraId="1FDE4E36" w14:textId="1CAB807C" w:rsidR="00BF42AB" w:rsidRDefault="00F84C75" w:rsidP="00F84C75">
      <w:pPr>
        <w:pStyle w:val="DHHSbody"/>
        <w:jc w:val="both"/>
      </w:pPr>
      <w:r>
        <w:t xml:space="preserve">Once </w:t>
      </w:r>
      <w:r w:rsidR="00E40FD8">
        <w:t xml:space="preserve">performance </w:t>
      </w:r>
      <w:r w:rsidR="00540E44">
        <w:t xml:space="preserve">flags </w:t>
      </w:r>
      <w:r>
        <w:t>have been identified they are evaluated in terms of</w:t>
      </w:r>
      <w:r w:rsidR="00934B68">
        <w:t xml:space="preserve"> the</w:t>
      </w:r>
      <w:r>
        <w:t>:</w:t>
      </w:r>
    </w:p>
    <w:p w14:paraId="3DACA075" w14:textId="2F998AE3" w:rsidR="00F84C75" w:rsidRDefault="00F84C75" w:rsidP="00355C25">
      <w:pPr>
        <w:pStyle w:val="DHHSbullet1"/>
      </w:pPr>
      <w:r>
        <w:t xml:space="preserve">number of </w:t>
      </w:r>
      <w:r w:rsidR="00D92735">
        <w:t>Key P</w:t>
      </w:r>
      <w:r w:rsidR="00E40FD8">
        <w:t xml:space="preserve">erformance </w:t>
      </w:r>
      <w:r w:rsidR="00D92735">
        <w:t>M</w:t>
      </w:r>
      <w:r>
        <w:t>easures not met in each domain and evidence of improvement or deterioration</w:t>
      </w:r>
    </w:p>
    <w:p w14:paraId="229480D9" w14:textId="1DF03FA0" w:rsidR="00F84C75" w:rsidRPr="008A491E" w:rsidRDefault="00F84C75" w:rsidP="00355C25">
      <w:pPr>
        <w:pStyle w:val="DHHSbullet1"/>
        <w:rPr>
          <w:rFonts w:cs="Arial"/>
        </w:rPr>
      </w:pPr>
      <w:r w:rsidRPr="00675ADC">
        <w:rPr>
          <w:rFonts w:cs="Arial"/>
        </w:rPr>
        <w:t xml:space="preserve">presence and magnitude of any </w:t>
      </w:r>
      <w:r w:rsidR="00D92735" w:rsidRPr="00675ADC">
        <w:rPr>
          <w:rFonts w:cs="Arial"/>
        </w:rPr>
        <w:t xml:space="preserve">of the </w:t>
      </w:r>
      <w:r w:rsidR="000B6FCF" w:rsidRPr="00EF535E">
        <w:rPr>
          <w:rFonts w:cs="Arial"/>
        </w:rPr>
        <w:t>U</w:t>
      </w:r>
      <w:r w:rsidRPr="00470E81">
        <w:rPr>
          <w:rFonts w:cs="Arial"/>
        </w:rPr>
        <w:t xml:space="preserve">nderlying </w:t>
      </w:r>
      <w:r w:rsidR="000B6FCF" w:rsidRPr="00F1470B">
        <w:rPr>
          <w:rFonts w:cs="Arial"/>
        </w:rPr>
        <w:t>R</w:t>
      </w:r>
      <w:r w:rsidRPr="008A491E">
        <w:rPr>
          <w:rFonts w:cs="Arial"/>
        </w:rPr>
        <w:t xml:space="preserve">isk </w:t>
      </w:r>
      <w:r w:rsidR="000B6FCF" w:rsidRPr="008A491E">
        <w:rPr>
          <w:rFonts w:cs="Arial"/>
        </w:rPr>
        <w:t>F</w:t>
      </w:r>
      <w:r w:rsidRPr="008A491E">
        <w:rPr>
          <w:rFonts w:cs="Arial"/>
        </w:rPr>
        <w:t>actors and</w:t>
      </w:r>
    </w:p>
    <w:p w14:paraId="5E6B8CB1" w14:textId="4DAA6EB1" w:rsidR="00BF42AB" w:rsidRPr="008A491E" w:rsidRDefault="00F84C75" w:rsidP="00355C25">
      <w:pPr>
        <w:pStyle w:val="DHHSbullet1"/>
        <w:rPr>
          <w:rFonts w:cs="Arial"/>
        </w:rPr>
      </w:pPr>
      <w:r w:rsidRPr="008A491E">
        <w:rPr>
          <w:rFonts w:cs="Arial"/>
        </w:rPr>
        <w:t xml:space="preserve">presence and magnitude of any concerns identified from </w:t>
      </w:r>
      <w:r w:rsidR="000B6FCF" w:rsidRPr="008A491E">
        <w:rPr>
          <w:rFonts w:cs="Arial"/>
        </w:rPr>
        <w:t>t</w:t>
      </w:r>
      <w:r w:rsidRPr="008A491E">
        <w:rPr>
          <w:rFonts w:cs="Arial"/>
        </w:rPr>
        <w:t xml:space="preserve">hird </w:t>
      </w:r>
      <w:r w:rsidR="000B6FCF" w:rsidRPr="008A491E">
        <w:rPr>
          <w:rFonts w:cs="Arial"/>
        </w:rPr>
        <w:t>p</w:t>
      </w:r>
      <w:r w:rsidRPr="008A491E">
        <w:rPr>
          <w:rFonts w:cs="Arial"/>
        </w:rPr>
        <w:t xml:space="preserve">arty </w:t>
      </w:r>
      <w:r w:rsidR="000B6FCF" w:rsidRPr="008A491E">
        <w:rPr>
          <w:rFonts w:cs="Arial"/>
        </w:rPr>
        <w:t>r</w:t>
      </w:r>
      <w:r w:rsidRPr="008A491E">
        <w:rPr>
          <w:rFonts w:cs="Arial"/>
        </w:rPr>
        <w:t>eports</w:t>
      </w:r>
      <w:r w:rsidR="00540E44" w:rsidRPr="008A491E">
        <w:rPr>
          <w:rFonts w:cs="Arial"/>
        </w:rPr>
        <w:t xml:space="preserve"> </w:t>
      </w:r>
      <w:r w:rsidR="000B6FCF" w:rsidRPr="008A491E">
        <w:rPr>
          <w:rFonts w:cs="Arial"/>
        </w:rPr>
        <w:t>and</w:t>
      </w:r>
      <w:r w:rsidR="00540E44" w:rsidRPr="008A491E">
        <w:rPr>
          <w:rFonts w:cs="Arial"/>
        </w:rPr>
        <w:t xml:space="preserve"> </w:t>
      </w:r>
      <w:r w:rsidRPr="008A491E">
        <w:rPr>
          <w:rFonts w:cs="Arial"/>
        </w:rPr>
        <w:t>other intelligence.</w:t>
      </w:r>
    </w:p>
    <w:p w14:paraId="5DD5EDF7" w14:textId="1E6548E1" w:rsidR="00007D51" w:rsidRDefault="00B15737" w:rsidP="00B87548">
      <w:pPr>
        <w:pStyle w:val="DHHSbodyafterbullets"/>
        <w:rPr>
          <w:rFonts w:ascii="Arial" w:hAnsi="Arial" w:cs="Arial"/>
        </w:rPr>
      </w:pPr>
      <w:r w:rsidRPr="00900BF4">
        <w:rPr>
          <w:rFonts w:ascii="Arial" w:hAnsi="Arial" w:cs="Arial"/>
        </w:rPr>
        <w:t xml:space="preserve">The metrics that feed into the performance conversation involve </w:t>
      </w:r>
      <w:r w:rsidR="00D324EB" w:rsidRPr="00900BF4">
        <w:rPr>
          <w:rFonts w:ascii="Arial" w:hAnsi="Arial" w:cs="Arial"/>
        </w:rPr>
        <w:t xml:space="preserve">both </w:t>
      </w:r>
      <w:r w:rsidRPr="00900BF4">
        <w:rPr>
          <w:rFonts w:ascii="Arial" w:hAnsi="Arial" w:cs="Arial"/>
        </w:rPr>
        <w:t xml:space="preserve">objective and subjective </w:t>
      </w:r>
      <w:r w:rsidR="00DC6917" w:rsidRPr="00900BF4">
        <w:rPr>
          <w:rFonts w:ascii="Arial" w:hAnsi="Arial" w:cs="Arial"/>
        </w:rPr>
        <w:t xml:space="preserve">performance </w:t>
      </w:r>
      <w:r w:rsidR="00D324EB" w:rsidRPr="00900BF4">
        <w:rPr>
          <w:rFonts w:ascii="Arial" w:hAnsi="Arial" w:cs="Arial"/>
        </w:rPr>
        <w:t>factors as well as interpretation</w:t>
      </w:r>
      <w:r w:rsidR="00945602" w:rsidRPr="00900BF4">
        <w:rPr>
          <w:rFonts w:ascii="Arial" w:hAnsi="Arial" w:cs="Arial"/>
        </w:rPr>
        <w:t xml:space="preserve"> of those factors</w:t>
      </w:r>
      <w:r w:rsidR="00D324EB" w:rsidRPr="00900BF4">
        <w:rPr>
          <w:rFonts w:ascii="Arial" w:hAnsi="Arial" w:cs="Arial"/>
        </w:rPr>
        <w:t>.</w:t>
      </w:r>
    </w:p>
    <w:p w14:paraId="7AD19627" w14:textId="66441B3D" w:rsidR="00F84C75" w:rsidRPr="00900BF4" w:rsidRDefault="00945602" w:rsidP="00B87548">
      <w:pPr>
        <w:pStyle w:val="DHHSbodyafterbullets"/>
        <w:rPr>
          <w:rFonts w:ascii="Arial" w:hAnsi="Arial" w:cs="Arial"/>
        </w:rPr>
      </w:pPr>
      <w:r w:rsidRPr="00900BF4">
        <w:rPr>
          <w:rFonts w:ascii="Arial" w:hAnsi="Arial" w:cs="Arial"/>
        </w:rPr>
        <w:t xml:space="preserve">On that basis, </w:t>
      </w:r>
      <w:r w:rsidR="00D324EB" w:rsidRPr="00900BF4">
        <w:rPr>
          <w:rFonts w:ascii="Arial" w:hAnsi="Arial" w:cs="Arial"/>
        </w:rPr>
        <w:t>c</w:t>
      </w:r>
      <w:r w:rsidR="00157BAF" w:rsidRPr="00900BF4">
        <w:rPr>
          <w:rFonts w:ascii="Arial" w:hAnsi="Arial" w:cs="Arial"/>
        </w:rPr>
        <w:t xml:space="preserve">lear communication </w:t>
      </w:r>
      <w:r w:rsidR="00FC7B08" w:rsidRPr="00900BF4">
        <w:rPr>
          <w:rFonts w:ascii="Arial" w:hAnsi="Arial" w:cs="Arial"/>
        </w:rPr>
        <w:t>and</w:t>
      </w:r>
      <w:r w:rsidR="00157BAF" w:rsidRPr="00900BF4">
        <w:rPr>
          <w:rFonts w:ascii="Arial" w:hAnsi="Arial" w:cs="Arial"/>
        </w:rPr>
        <w:t xml:space="preserve"> </w:t>
      </w:r>
      <w:r w:rsidR="00A81CD0" w:rsidRPr="00900BF4">
        <w:rPr>
          <w:rFonts w:ascii="Arial" w:hAnsi="Arial" w:cs="Arial"/>
        </w:rPr>
        <w:t>supporting rationale of the interpretation</w:t>
      </w:r>
      <w:r w:rsidR="00157BAF" w:rsidRPr="00900BF4">
        <w:rPr>
          <w:rFonts w:ascii="Arial" w:hAnsi="Arial" w:cs="Arial"/>
        </w:rPr>
        <w:t xml:space="preserve"> </w:t>
      </w:r>
      <w:r w:rsidR="00FC7B08" w:rsidRPr="00900BF4">
        <w:rPr>
          <w:rFonts w:ascii="Arial" w:hAnsi="Arial" w:cs="Arial"/>
        </w:rPr>
        <w:t xml:space="preserve">is essential to </w:t>
      </w:r>
      <w:r w:rsidR="00A81CD0" w:rsidRPr="00900BF4">
        <w:rPr>
          <w:rFonts w:ascii="Arial" w:hAnsi="Arial" w:cs="Arial"/>
        </w:rPr>
        <w:t>a productive and supporting</w:t>
      </w:r>
      <w:r w:rsidR="00FC7B08" w:rsidRPr="00900BF4">
        <w:rPr>
          <w:rFonts w:ascii="Arial" w:hAnsi="Arial" w:cs="Arial"/>
        </w:rPr>
        <w:t xml:space="preserve"> performance conversation</w:t>
      </w:r>
      <w:r w:rsidR="00157BAF" w:rsidRPr="00900BF4">
        <w:rPr>
          <w:rFonts w:ascii="Arial" w:hAnsi="Arial" w:cs="Arial"/>
        </w:rPr>
        <w:t>.</w:t>
      </w:r>
      <w:r w:rsidR="00EB68B8" w:rsidRPr="00900BF4">
        <w:rPr>
          <w:rFonts w:ascii="Arial" w:hAnsi="Arial" w:cs="Arial"/>
        </w:rPr>
        <w:t xml:space="preserve"> </w:t>
      </w:r>
      <w:r w:rsidR="00E40FD8" w:rsidRPr="00900BF4">
        <w:rPr>
          <w:rFonts w:ascii="Arial" w:hAnsi="Arial" w:cs="Arial"/>
        </w:rPr>
        <w:t>Performance</w:t>
      </w:r>
      <w:r w:rsidR="00303660" w:rsidRPr="00900BF4">
        <w:rPr>
          <w:rFonts w:ascii="Arial" w:hAnsi="Arial" w:cs="Arial"/>
        </w:rPr>
        <w:t xml:space="preserve"> flags are prompts to begin a conversation with health services </w:t>
      </w:r>
      <w:r w:rsidR="00687BB7" w:rsidRPr="00900BF4">
        <w:rPr>
          <w:rFonts w:ascii="Arial" w:hAnsi="Arial" w:cs="Arial"/>
        </w:rPr>
        <w:t>regarding performance</w:t>
      </w:r>
      <w:r w:rsidR="00303660" w:rsidRPr="00900BF4">
        <w:rPr>
          <w:rFonts w:ascii="Arial" w:hAnsi="Arial" w:cs="Arial"/>
        </w:rPr>
        <w:t xml:space="preserve"> </w:t>
      </w:r>
      <w:r w:rsidR="00E40FD8" w:rsidRPr="00900BF4">
        <w:rPr>
          <w:rFonts w:ascii="Arial" w:hAnsi="Arial" w:cs="Arial"/>
        </w:rPr>
        <w:t>issues and</w:t>
      </w:r>
      <w:r w:rsidR="00303660" w:rsidRPr="00900BF4">
        <w:rPr>
          <w:rFonts w:ascii="Arial" w:hAnsi="Arial" w:cs="Arial"/>
        </w:rPr>
        <w:t xml:space="preserve"> concerns</w:t>
      </w:r>
      <w:r w:rsidR="00687BB7" w:rsidRPr="00900BF4">
        <w:rPr>
          <w:rFonts w:ascii="Arial" w:hAnsi="Arial" w:cs="Arial"/>
        </w:rPr>
        <w:t>.</w:t>
      </w:r>
    </w:p>
    <w:p w14:paraId="557A4343" w14:textId="77777777" w:rsidR="00F84C75" w:rsidRDefault="00F84C75" w:rsidP="00F84C75">
      <w:pPr>
        <w:pStyle w:val="Heading3"/>
        <w:sectPr w:rsidR="00F84C75" w:rsidSect="004755B3">
          <w:type w:val="continuous"/>
          <w:pgSz w:w="11906" w:h="16838"/>
          <w:pgMar w:top="1134" w:right="1304" w:bottom="851" w:left="1304" w:header="454" w:footer="510" w:gutter="0"/>
          <w:cols w:num="2" w:space="397" w:equalWidth="0">
            <w:col w:w="1134" w:space="397"/>
            <w:col w:w="7767"/>
          </w:cols>
          <w:docGrid w:linePitch="360"/>
        </w:sectPr>
      </w:pPr>
    </w:p>
    <w:p w14:paraId="4E734D29" w14:textId="261EB179" w:rsidR="00F84C75" w:rsidRDefault="00C169C1" w:rsidP="00900BF4">
      <w:pPr>
        <w:pStyle w:val="DHHSicon"/>
        <w:spacing w:before="480"/>
      </w:pPr>
      <w:r>
        <w:rPr>
          <w:noProof/>
        </w:rPr>
        <w:drawing>
          <wp:inline distT="0" distB="0" distL="0" distR="0" wp14:anchorId="028B2A87" wp14:editId="1E9A3E0F">
            <wp:extent cx="720090" cy="720090"/>
            <wp:effectExtent l="0" t="0" r="3810" b="3810"/>
            <wp:docPr id="8" name="Picture 8"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1806002_risk_level-01.png"/>
                    <pic:cNvPicPr/>
                  </pic:nvPicPr>
                  <pic:blipFill>
                    <a:blip r:embed="rId31"/>
                    <a:stretch>
                      <a:fillRect/>
                    </a:stretch>
                  </pic:blipFill>
                  <pic:spPr>
                    <a:xfrm>
                      <a:off x="0" y="0"/>
                      <a:ext cx="720090" cy="720090"/>
                    </a:xfrm>
                    <a:prstGeom prst="rect">
                      <a:avLst/>
                    </a:prstGeom>
                  </pic:spPr>
                </pic:pic>
              </a:graphicData>
            </a:graphic>
          </wp:inline>
        </w:drawing>
      </w:r>
    </w:p>
    <w:p w14:paraId="38640658" w14:textId="44AAC3FF" w:rsidR="00F84C75" w:rsidRDefault="00F84C75" w:rsidP="00900BF4">
      <w:pPr>
        <w:pStyle w:val="Heading4"/>
        <w:spacing w:before="480"/>
      </w:pPr>
      <w:r>
        <w:br w:type="column"/>
      </w:r>
      <w:r w:rsidR="00A90F8D">
        <w:t xml:space="preserve">A </w:t>
      </w:r>
      <w:r w:rsidR="00F37290">
        <w:t xml:space="preserve">risk </w:t>
      </w:r>
      <w:r w:rsidR="005F6121">
        <w:t xml:space="preserve">rating </w:t>
      </w:r>
      <w:r w:rsidR="00A90F8D">
        <w:t xml:space="preserve">is determined </w:t>
      </w:r>
      <w:r w:rsidR="005F6121">
        <w:t xml:space="preserve">for each </w:t>
      </w:r>
      <w:r w:rsidR="00DC6917">
        <w:t xml:space="preserve">performance </w:t>
      </w:r>
      <w:r w:rsidR="005F6121">
        <w:t>input category</w:t>
      </w:r>
      <w:r w:rsidR="009E18E5">
        <w:t xml:space="preserve"> against </w:t>
      </w:r>
      <w:r w:rsidR="00F37290">
        <w:t>each</w:t>
      </w:r>
      <w:r w:rsidR="009E18E5">
        <w:t xml:space="preserve"> </w:t>
      </w:r>
      <w:r w:rsidR="00256054">
        <w:t xml:space="preserve">of the four </w:t>
      </w:r>
      <w:r w:rsidR="001D5734">
        <w:t xml:space="preserve">performance </w:t>
      </w:r>
      <w:r w:rsidR="009E18E5">
        <w:t>domain</w:t>
      </w:r>
      <w:r w:rsidR="00256054">
        <w:t>s</w:t>
      </w:r>
    </w:p>
    <w:p w14:paraId="571181C4" w14:textId="77777777" w:rsidR="00007D51" w:rsidRDefault="006F3E20" w:rsidP="00BE3B91">
      <w:pPr>
        <w:pStyle w:val="DHHSbody"/>
      </w:pPr>
      <w:r>
        <w:t>A</w:t>
      </w:r>
      <w:r w:rsidR="00F84C75">
        <w:t>nalysis is undertaken for each of the three</w:t>
      </w:r>
      <w:r w:rsidR="00DC6917">
        <w:t xml:space="preserve"> performance</w:t>
      </w:r>
      <w:r w:rsidR="00F84C75">
        <w:t xml:space="preserve"> </w:t>
      </w:r>
      <w:r w:rsidR="00EB68B8">
        <w:t xml:space="preserve">input </w:t>
      </w:r>
      <w:r w:rsidR="00614AF8">
        <w:t xml:space="preserve">categories </w:t>
      </w:r>
      <w:r w:rsidR="00687BB7">
        <w:t>to identify</w:t>
      </w:r>
      <w:r w:rsidR="00EB68B8">
        <w:t xml:space="preserve"> </w:t>
      </w:r>
      <w:r w:rsidR="00FD5139">
        <w:t xml:space="preserve">performance </w:t>
      </w:r>
      <w:r w:rsidR="00F84C75" w:rsidRPr="00FD5139">
        <w:t>risk</w:t>
      </w:r>
      <w:r w:rsidR="00F84C75">
        <w:t xml:space="preserve"> across each </w:t>
      </w:r>
      <w:r w:rsidR="00AD76C9">
        <w:t xml:space="preserve">of the four </w:t>
      </w:r>
      <w:r w:rsidR="00256054">
        <w:t xml:space="preserve">performance </w:t>
      </w:r>
      <w:r w:rsidR="00F84C75">
        <w:t>domain</w:t>
      </w:r>
      <w:r w:rsidR="00AD76C9">
        <w:t>s.</w:t>
      </w:r>
    </w:p>
    <w:p w14:paraId="45D0B5ED" w14:textId="3E2A8C7E" w:rsidR="00007D51" w:rsidRDefault="00FD0570" w:rsidP="00BE3B91">
      <w:pPr>
        <w:pStyle w:val="DHHSbody"/>
      </w:pPr>
      <w:r>
        <w:t>This</w:t>
      </w:r>
      <w:r w:rsidR="00F84C75">
        <w:t xml:space="preserve"> result</w:t>
      </w:r>
      <w:r>
        <w:t>s</w:t>
      </w:r>
      <w:r w:rsidR="00F84C75">
        <w:t xml:space="preserve"> in </w:t>
      </w:r>
      <w:r w:rsidR="00E5788E">
        <w:t xml:space="preserve">the determination of </w:t>
      </w:r>
      <w:r w:rsidR="00F84C75" w:rsidRPr="00FD5139">
        <w:t xml:space="preserve">12 </w:t>
      </w:r>
      <w:r w:rsidR="007B5B9F">
        <w:t>sub</w:t>
      </w:r>
      <w:r w:rsidR="00201059">
        <w:t>-</w:t>
      </w:r>
      <w:r w:rsidR="00EB68B8">
        <w:t xml:space="preserve">performance </w:t>
      </w:r>
      <w:r w:rsidR="00552ACE">
        <w:t xml:space="preserve">risk </w:t>
      </w:r>
      <w:r w:rsidR="005F6121">
        <w:t>ratings</w:t>
      </w:r>
      <w:r w:rsidR="00F84C75" w:rsidRPr="00FD5139">
        <w:t>.</w:t>
      </w:r>
    </w:p>
    <w:p w14:paraId="41FDC09C" w14:textId="55AC15E4" w:rsidR="00687BB7" w:rsidRDefault="00687BB7" w:rsidP="00BE3B91">
      <w:pPr>
        <w:pStyle w:val="DHHSbody"/>
        <w:sectPr w:rsidR="00687BB7" w:rsidSect="004755B3">
          <w:type w:val="continuous"/>
          <w:pgSz w:w="11906" w:h="16838"/>
          <w:pgMar w:top="1134" w:right="1304" w:bottom="851" w:left="1304" w:header="454" w:footer="510" w:gutter="0"/>
          <w:cols w:num="2" w:space="397" w:equalWidth="0">
            <w:col w:w="1134" w:space="397"/>
            <w:col w:w="7767"/>
          </w:cols>
          <w:docGrid w:linePitch="360"/>
        </w:sectPr>
      </w:pPr>
    </w:p>
    <w:p w14:paraId="4309646B" w14:textId="015C966B" w:rsidR="00FE2FA0" w:rsidRDefault="00387DCC" w:rsidP="003C2091">
      <w:pPr>
        <w:pStyle w:val="Heading5"/>
      </w:pPr>
      <w:r>
        <w:t xml:space="preserve">Rating </w:t>
      </w:r>
      <w:r w:rsidR="00A838BF">
        <w:t xml:space="preserve">determination of input </w:t>
      </w:r>
      <w:r>
        <w:t xml:space="preserve">category 1: </w:t>
      </w:r>
      <w:r w:rsidR="00DC6917">
        <w:t xml:space="preserve">Key </w:t>
      </w:r>
      <w:r w:rsidR="006B2CDF">
        <w:t>P</w:t>
      </w:r>
      <w:r w:rsidR="00FE2FA0">
        <w:t xml:space="preserve">erformance </w:t>
      </w:r>
      <w:r w:rsidR="006B2CDF">
        <w:t>M</w:t>
      </w:r>
      <w:r w:rsidR="00FE2FA0">
        <w:t xml:space="preserve">easures </w:t>
      </w:r>
    </w:p>
    <w:p w14:paraId="5E942251" w14:textId="0E32E1E6" w:rsidR="006B2CDF" w:rsidRDefault="001C2916" w:rsidP="00FD0570">
      <w:pPr>
        <w:pStyle w:val="DHHSbody"/>
      </w:pPr>
      <w:r>
        <w:t>H</w:t>
      </w:r>
      <w:r w:rsidR="00FD0570">
        <w:t xml:space="preserve">igher ratings are assigned where a larger proportion of </w:t>
      </w:r>
      <w:r w:rsidR="006B2CDF">
        <w:t xml:space="preserve">the </w:t>
      </w:r>
      <w:r w:rsidR="00FD0570">
        <w:t xml:space="preserve">measures are not met and </w:t>
      </w:r>
      <w:r w:rsidR="002834AC">
        <w:t>have</w:t>
      </w:r>
      <w:r w:rsidR="00FD0570">
        <w:t xml:space="preserve"> deteriorating trends. For example, a </w:t>
      </w:r>
      <w:r w:rsidR="000D7A1F">
        <w:t>‘</w:t>
      </w:r>
      <w:r w:rsidR="00FD0570">
        <w:t>high</w:t>
      </w:r>
      <w:r w:rsidR="006D219D">
        <w:t xml:space="preserve"> </w:t>
      </w:r>
      <w:r w:rsidR="00FD0570" w:rsidRPr="00FD5139">
        <w:t>risk</w:t>
      </w:r>
      <w:r w:rsidR="000D7A1F">
        <w:t>’</w:t>
      </w:r>
      <w:r w:rsidR="00FD0570">
        <w:t xml:space="preserve"> rating is applied to any domain where over 30 percent of measures were not </w:t>
      </w:r>
      <w:r w:rsidR="00BB15AF">
        <w:t>met</w:t>
      </w:r>
      <w:r w:rsidR="00FD0570">
        <w:t xml:space="preserve"> and </w:t>
      </w:r>
      <w:r w:rsidR="00A23445">
        <w:t>performance is deteriorating</w:t>
      </w:r>
      <w:r w:rsidR="00FD0570">
        <w:t>.</w:t>
      </w:r>
    </w:p>
    <w:p w14:paraId="0CC109D1" w14:textId="49DF8D95" w:rsidR="00E33CB3" w:rsidRDefault="00F84C75">
      <w:pPr>
        <w:pStyle w:val="DHHSbody"/>
      </w:pPr>
      <w:r>
        <w:t>As such, only measures that have not been met</w:t>
      </w:r>
      <w:r w:rsidR="00BB15AF">
        <w:t>,</w:t>
      </w:r>
      <w:r>
        <w:t xml:space="preserve"> and are showings signs of deterioration</w:t>
      </w:r>
      <w:r w:rsidR="00BB15AF">
        <w:t>,</w:t>
      </w:r>
      <w:r>
        <w:t xml:space="preserve"> are captured by the percentage thresholds described in Table 1. </w:t>
      </w:r>
      <w:r w:rsidR="0030537B">
        <w:t xml:space="preserve">This approach </w:t>
      </w:r>
      <w:r>
        <w:t>acknowledg</w:t>
      </w:r>
      <w:r w:rsidR="0030537B">
        <w:t>es the effort of health services to maintain or improve performance,</w:t>
      </w:r>
      <w:r>
        <w:t xml:space="preserve"> </w:t>
      </w:r>
      <w:r w:rsidR="0030537B">
        <w:t xml:space="preserve">rather than focusing exclusively on whether a </w:t>
      </w:r>
      <w:r>
        <w:t>target</w:t>
      </w:r>
      <w:r w:rsidR="0030537B">
        <w:t xml:space="preserve"> has been met in any given quarter</w:t>
      </w:r>
      <w:r>
        <w:t>.</w:t>
      </w:r>
    </w:p>
    <w:p w14:paraId="1A9FC19E" w14:textId="0C1F8AE5" w:rsidR="00F84C75" w:rsidRPr="00900BF4" w:rsidRDefault="00172D45" w:rsidP="00796B2E">
      <w:pPr>
        <w:pStyle w:val="DHHStablecaption"/>
      </w:pPr>
      <w:r w:rsidRPr="00900BF4">
        <w:t>Table 1:</w:t>
      </w:r>
      <w:r w:rsidR="00F84C75" w:rsidRPr="00900BF4">
        <w:t xml:space="preserve"> </w:t>
      </w:r>
      <w:r w:rsidR="006D219D" w:rsidRPr="00900BF4">
        <w:t xml:space="preserve">Key </w:t>
      </w:r>
      <w:r w:rsidR="009978E7" w:rsidRPr="00900BF4">
        <w:t>P</w:t>
      </w:r>
      <w:r w:rsidR="00FD5139" w:rsidRPr="00900BF4">
        <w:t xml:space="preserve">erformance </w:t>
      </w:r>
      <w:r w:rsidR="009978E7" w:rsidRPr="00900BF4">
        <w:t>M</w:t>
      </w:r>
      <w:r w:rsidR="00F84C75" w:rsidRPr="00900BF4">
        <w:t>easures analysis</w:t>
      </w:r>
    </w:p>
    <w:tbl>
      <w:tblPr>
        <w:tblW w:w="9299" w:type="dxa"/>
        <w:tblBorders>
          <w:top w:val="single" w:sz="4" w:space="0" w:color="201547"/>
          <w:left w:val="single" w:sz="4" w:space="0" w:color="201547"/>
          <w:bottom w:val="single" w:sz="4" w:space="0" w:color="201547"/>
          <w:right w:val="single" w:sz="4" w:space="0" w:color="201547"/>
          <w:insideH w:val="single" w:sz="4" w:space="0" w:color="201547"/>
          <w:insideV w:val="single" w:sz="4" w:space="0" w:color="201547"/>
        </w:tblBorders>
        <w:tblLook w:val="06A0" w:firstRow="1" w:lastRow="0" w:firstColumn="1" w:lastColumn="0" w:noHBand="1" w:noVBand="1"/>
      </w:tblPr>
      <w:tblGrid>
        <w:gridCol w:w="6941"/>
        <w:gridCol w:w="2358"/>
      </w:tblGrid>
      <w:tr w:rsidR="00194C76" w14:paraId="502F3647" w14:textId="77777777" w:rsidTr="005B2DF7">
        <w:trPr>
          <w:trHeight w:val="552"/>
          <w:tblHeader/>
        </w:trPr>
        <w:tc>
          <w:tcPr>
            <w:tcW w:w="6941" w:type="dxa"/>
            <w:shd w:val="clear" w:color="auto" w:fill="007B4B"/>
            <w:vAlign w:val="center"/>
          </w:tcPr>
          <w:p w14:paraId="10093B89" w14:textId="3CE1E65B" w:rsidR="00194C76" w:rsidRDefault="00194C76" w:rsidP="005B2DF7">
            <w:pPr>
              <w:pStyle w:val="DHHStablecolhead"/>
              <w:rPr>
                <w:rFonts w:eastAsia="Times"/>
              </w:rPr>
            </w:pPr>
            <w:r w:rsidRPr="003C2091">
              <w:t>Description</w:t>
            </w:r>
          </w:p>
        </w:tc>
        <w:tc>
          <w:tcPr>
            <w:tcW w:w="2358" w:type="dxa"/>
            <w:shd w:val="clear" w:color="auto" w:fill="007B4B"/>
            <w:vAlign w:val="center"/>
          </w:tcPr>
          <w:p w14:paraId="4D3D9FFB" w14:textId="323E7BA5" w:rsidR="00194C76" w:rsidRDefault="003176C7" w:rsidP="005B2DF7">
            <w:pPr>
              <w:pStyle w:val="DHHStablecolhead"/>
              <w:rPr>
                <w:rFonts w:eastAsia="Times"/>
              </w:rPr>
            </w:pPr>
            <w:r>
              <w:t>Risk r</w:t>
            </w:r>
            <w:r w:rsidR="00194C76" w:rsidRPr="003C2091">
              <w:t>ating</w:t>
            </w:r>
          </w:p>
        </w:tc>
      </w:tr>
      <w:tr w:rsidR="00F84C75" w14:paraId="78ECEF28" w14:textId="77777777" w:rsidTr="00194C76">
        <w:trPr>
          <w:trHeight w:val="552"/>
        </w:trPr>
        <w:tc>
          <w:tcPr>
            <w:tcW w:w="6941" w:type="dxa"/>
            <w:shd w:val="clear" w:color="auto" w:fill="FFFFFF"/>
            <w:vAlign w:val="center"/>
          </w:tcPr>
          <w:p w14:paraId="7DD38C08" w14:textId="2F0F7825" w:rsidR="00F84C75" w:rsidRDefault="003E2424" w:rsidP="00355C25">
            <w:pPr>
              <w:pStyle w:val="DHHStabletext"/>
              <w:rPr>
                <w:rFonts w:eastAsia="Times"/>
              </w:rPr>
            </w:pPr>
            <w:r>
              <w:rPr>
                <w:rFonts w:eastAsia="Times"/>
              </w:rPr>
              <w:t>&lt;</w:t>
            </w:r>
            <w:r w:rsidR="00F84C75">
              <w:rPr>
                <w:rFonts w:eastAsia="Times"/>
              </w:rPr>
              <w:t xml:space="preserve"> 10% </w:t>
            </w:r>
            <w:r w:rsidR="0029039B">
              <w:rPr>
                <w:rFonts w:eastAsia="Times"/>
              </w:rPr>
              <w:t xml:space="preserve">of </w:t>
            </w:r>
            <w:r w:rsidR="00F84C75">
              <w:rPr>
                <w:rFonts w:eastAsia="Times"/>
              </w:rPr>
              <w:t xml:space="preserve">KPIs </w:t>
            </w:r>
            <w:r w:rsidR="0029039B">
              <w:rPr>
                <w:rFonts w:eastAsia="Times"/>
              </w:rPr>
              <w:t xml:space="preserve">are </w:t>
            </w:r>
            <w:r w:rsidR="00F84C75">
              <w:rPr>
                <w:rFonts w:eastAsia="Times"/>
              </w:rPr>
              <w:t xml:space="preserve">not met and </w:t>
            </w:r>
            <w:r w:rsidR="00DE6952">
              <w:rPr>
                <w:rFonts w:eastAsia="Times"/>
              </w:rPr>
              <w:t xml:space="preserve">have </w:t>
            </w:r>
            <w:r w:rsidR="0076142D">
              <w:rPr>
                <w:rFonts w:eastAsia="Times"/>
              </w:rPr>
              <w:t>deteriorated</w:t>
            </w:r>
          </w:p>
        </w:tc>
        <w:tc>
          <w:tcPr>
            <w:tcW w:w="2358" w:type="dxa"/>
            <w:shd w:val="clear" w:color="auto" w:fill="EAF1DD"/>
            <w:vAlign w:val="center"/>
          </w:tcPr>
          <w:p w14:paraId="37B0139B" w14:textId="73E0C521" w:rsidR="00F84C75" w:rsidRPr="002642E5" w:rsidRDefault="00F84C75" w:rsidP="00FD5139">
            <w:pPr>
              <w:pStyle w:val="DHHStabletext"/>
              <w:rPr>
                <w:rFonts w:eastAsia="Times"/>
              </w:rPr>
            </w:pPr>
            <w:r>
              <w:rPr>
                <w:rFonts w:eastAsia="Times"/>
              </w:rPr>
              <w:t xml:space="preserve">Low </w:t>
            </w:r>
          </w:p>
        </w:tc>
      </w:tr>
      <w:tr w:rsidR="00F84C75" w14:paraId="0FA972A5" w14:textId="77777777" w:rsidTr="00194C76">
        <w:trPr>
          <w:trHeight w:val="559"/>
        </w:trPr>
        <w:tc>
          <w:tcPr>
            <w:tcW w:w="6941" w:type="dxa"/>
            <w:shd w:val="clear" w:color="auto" w:fill="FFFFFF"/>
            <w:vAlign w:val="center"/>
          </w:tcPr>
          <w:p w14:paraId="349FC72B" w14:textId="392AB3B9" w:rsidR="00F84C75" w:rsidRDefault="00355C25" w:rsidP="00355C25">
            <w:pPr>
              <w:pStyle w:val="DHHStabletext"/>
              <w:rPr>
                <w:rFonts w:eastAsia="Times"/>
              </w:rPr>
            </w:pPr>
            <w:r>
              <w:rPr>
                <w:rFonts w:eastAsia="Times"/>
              </w:rPr>
              <w:t>10–</w:t>
            </w:r>
            <w:r w:rsidR="00F84C75">
              <w:rPr>
                <w:rFonts w:eastAsia="Times"/>
              </w:rPr>
              <w:t xml:space="preserve">30% of KPIs </w:t>
            </w:r>
            <w:r w:rsidR="0029039B">
              <w:rPr>
                <w:rFonts w:eastAsia="Times"/>
              </w:rPr>
              <w:t xml:space="preserve">are </w:t>
            </w:r>
            <w:r w:rsidR="00F84C75">
              <w:rPr>
                <w:rFonts w:eastAsia="Times"/>
              </w:rPr>
              <w:t xml:space="preserve">not met and </w:t>
            </w:r>
            <w:r w:rsidR="00DE6952">
              <w:rPr>
                <w:rFonts w:eastAsia="Times"/>
              </w:rPr>
              <w:t xml:space="preserve">have </w:t>
            </w:r>
            <w:bookmarkStart w:id="60" w:name="_Hlk8823697"/>
            <w:r w:rsidR="007E4442">
              <w:rPr>
                <w:rFonts w:eastAsia="Times"/>
              </w:rPr>
              <w:t>deteriorated</w:t>
            </w:r>
            <w:bookmarkEnd w:id="60"/>
          </w:p>
        </w:tc>
        <w:tc>
          <w:tcPr>
            <w:tcW w:w="2358" w:type="dxa"/>
            <w:shd w:val="clear" w:color="auto" w:fill="FDE9D9"/>
            <w:vAlign w:val="center"/>
          </w:tcPr>
          <w:p w14:paraId="70A89D5A" w14:textId="10F78AE9" w:rsidR="00F84C75" w:rsidRPr="002642E5" w:rsidRDefault="00F84C75" w:rsidP="00FD5139">
            <w:pPr>
              <w:pStyle w:val="DHHStabletext"/>
              <w:rPr>
                <w:rFonts w:eastAsia="Times"/>
              </w:rPr>
            </w:pPr>
            <w:r>
              <w:rPr>
                <w:rFonts w:eastAsia="Times"/>
              </w:rPr>
              <w:t xml:space="preserve">Medium </w:t>
            </w:r>
          </w:p>
        </w:tc>
      </w:tr>
      <w:tr w:rsidR="00F84C75" w14:paraId="469AD8EA" w14:textId="77777777" w:rsidTr="00194C76">
        <w:trPr>
          <w:trHeight w:val="553"/>
        </w:trPr>
        <w:tc>
          <w:tcPr>
            <w:tcW w:w="6941" w:type="dxa"/>
            <w:shd w:val="clear" w:color="auto" w:fill="FFFFFF"/>
            <w:vAlign w:val="center"/>
          </w:tcPr>
          <w:p w14:paraId="729FDB9C" w14:textId="7F80EAC5" w:rsidR="00F84C75" w:rsidRDefault="003E2424" w:rsidP="00355C25">
            <w:pPr>
              <w:pStyle w:val="DHHStabletext"/>
              <w:rPr>
                <w:rFonts w:eastAsia="Times"/>
              </w:rPr>
            </w:pPr>
            <w:r>
              <w:rPr>
                <w:rFonts w:eastAsia="Times"/>
              </w:rPr>
              <w:t xml:space="preserve">&gt; </w:t>
            </w:r>
            <w:r w:rsidR="00F84C75">
              <w:rPr>
                <w:rFonts w:eastAsia="Times"/>
              </w:rPr>
              <w:t xml:space="preserve">30% of KPIs </w:t>
            </w:r>
            <w:r w:rsidR="0029039B">
              <w:rPr>
                <w:rFonts w:eastAsia="Times"/>
              </w:rPr>
              <w:t xml:space="preserve">are </w:t>
            </w:r>
            <w:r w:rsidR="00F84C75">
              <w:rPr>
                <w:rFonts w:eastAsia="Times"/>
              </w:rPr>
              <w:t xml:space="preserve">not met and </w:t>
            </w:r>
            <w:r w:rsidR="00DE6952">
              <w:rPr>
                <w:rFonts w:eastAsia="Times"/>
              </w:rPr>
              <w:t xml:space="preserve">have </w:t>
            </w:r>
            <w:r w:rsidR="007E4442">
              <w:rPr>
                <w:rFonts w:eastAsia="Times"/>
              </w:rPr>
              <w:t>deteriorated</w:t>
            </w:r>
          </w:p>
        </w:tc>
        <w:tc>
          <w:tcPr>
            <w:tcW w:w="2358" w:type="dxa"/>
            <w:shd w:val="clear" w:color="auto" w:fill="F2DBDB"/>
            <w:vAlign w:val="center"/>
          </w:tcPr>
          <w:p w14:paraId="79B8EE4C" w14:textId="0398D34E" w:rsidR="00F84C75" w:rsidRPr="002642E5" w:rsidRDefault="00F84C75" w:rsidP="00FD5139">
            <w:pPr>
              <w:pStyle w:val="DHHStabletext"/>
              <w:rPr>
                <w:rFonts w:eastAsia="Times"/>
              </w:rPr>
            </w:pPr>
            <w:r>
              <w:rPr>
                <w:rFonts w:eastAsia="Times"/>
              </w:rPr>
              <w:t xml:space="preserve">High </w:t>
            </w:r>
          </w:p>
        </w:tc>
      </w:tr>
    </w:tbl>
    <w:p w14:paraId="6408510F" w14:textId="77777777" w:rsidR="002B71D5" w:rsidRDefault="002B71D5">
      <w:pPr>
        <w:rPr>
          <w:rFonts w:ascii="Arial" w:hAnsi="Arial"/>
          <w:b/>
        </w:rPr>
      </w:pPr>
      <w:r>
        <w:br w:type="page"/>
      </w:r>
    </w:p>
    <w:p w14:paraId="6A0740E7" w14:textId="0B8FF4DD" w:rsidR="00387DCC" w:rsidRDefault="00A838BF" w:rsidP="003C2091">
      <w:pPr>
        <w:pStyle w:val="Heading5"/>
      </w:pPr>
      <w:r>
        <w:lastRenderedPageBreak/>
        <w:t xml:space="preserve">Rating determination of input </w:t>
      </w:r>
      <w:r w:rsidR="00387DCC">
        <w:t xml:space="preserve">categories 2 and 3: </w:t>
      </w:r>
      <w:r w:rsidR="006603BD">
        <w:t xml:space="preserve">Underlying </w:t>
      </w:r>
      <w:r w:rsidR="009978E7">
        <w:t>R</w:t>
      </w:r>
      <w:r w:rsidR="006603BD">
        <w:t xml:space="preserve">isk </w:t>
      </w:r>
      <w:r w:rsidR="009978E7">
        <w:t>F</w:t>
      </w:r>
      <w:r w:rsidR="006603BD">
        <w:t>actors</w:t>
      </w:r>
      <w:r w:rsidR="0029039B">
        <w:t>,</w:t>
      </w:r>
      <w:r w:rsidR="006603BD">
        <w:t xml:space="preserve"> and third party</w:t>
      </w:r>
      <w:r>
        <w:t xml:space="preserve"> </w:t>
      </w:r>
      <w:r w:rsidR="006B2CDF">
        <w:t>and</w:t>
      </w:r>
      <w:r>
        <w:t xml:space="preserve"> other intelligence</w:t>
      </w:r>
    </w:p>
    <w:p w14:paraId="16707A67" w14:textId="1E203C25" w:rsidR="00BF42AB" w:rsidRDefault="001C2916" w:rsidP="00900BF4">
      <w:pPr>
        <w:pStyle w:val="DHHSbody"/>
      </w:pPr>
      <w:r>
        <w:t>T</w:t>
      </w:r>
      <w:r w:rsidR="00F84C75">
        <w:t xml:space="preserve">he assigned </w:t>
      </w:r>
      <w:r w:rsidR="00552ACE">
        <w:t>rating</w:t>
      </w:r>
      <w:r w:rsidR="00F84C75">
        <w:t xml:space="preserve"> for each </w:t>
      </w:r>
      <w:r w:rsidR="00DD3EE5">
        <w:t xml:space="preserve">performance </w:t>
      </w:r>
      <w:r w:rsidR="00F84C75">
        <w:t>domain increases where there is evidence</w:t>
      </w:r>
      <w:r w:rsidR="00232820">
        <w:t>d</w:t>
      </w:r>
      <w:r w:rsidR="00F84C75">
        <w:t xml:space="preserve"> </w:t>
      </w:r>
      <w:r w:rsidR="00232820">
        <w:t xml:space="preserve">presence of </w:t>
      </w:r>
      <w:r w:rsidR="00F84C75" w:rsidRPr="00FD5139">
        <w:t xml:space="preserve">significant </w:t>
      </w:r>
      <w:r w:rsidR="00232820">
        <w:t>U</w:t>
      </w:r>
      <w:r w:rsidR="00F84C75" w:rsidRPr="00FD5139">
        <w:t xml:space="preserve">nderlying </w:t>
      </w:r>
      <w:r w:rsidR="00232820">
        <w:t>Risk F</w:t>
      </w:r>
      <w:r w:rsidR="00F84C75" w:rsidRPr="00FD5139">
        <w:t>actors</w:t>
      </w:r>
      <w:r w:rsidR="00DD3EE5">
        <w:t>,</w:t>
      </w:r>
      <w:r w:rsidR="00F84C75" w:rsidRPr="00FD5139">
        <w:t xml:space="preserve"> or outstanding</w:t>
      </w:r>
      <w:r w:rsidR="00F84C75">
        <w:t xml:space="preserve"> concerns from third party reports </w:t>
      </w:r>
      <w:r w:rsidR="00664039">
        <w:t>and</w:t>
      </w:r>
      <w:r w:rsidR="00F84C75">
        <w:t xml:space="preserve"> other intelligence </w:t>
      </w:r>
      <w:r w:rsidR="00664039">
        <w:t>(see</w:t>
      </w:r>
      <w:r w:rsidR="00F84C75">
        <w:t xml:space="preserve"> Table</w:t>
      </w:r>
      <w:r w:rsidR="00664039">
        <w:t>s</w:t>
      </w:r>
      <w:r w:rsidR="00F84C75">
        <w:t xml:space="preserve"> 2 and 3</w:t>
      </w:r>
      <w:r w:rsidR="00664039">
        <w:t>)</w:t>
      </w:r>
      <w:r w:rsidR="00F84C75">
        <w:t>.</w:t>
      </w:r>
    </w:p>
    <w:p w14:paraId="7F1E0A5E" w14:textId="6FD803F1" w:rsidR="00F84C75" w:rsidRDefault="00172D45" w:rsidP="00796B2E">
      <w:pPr>
        <w:pStyle w:val="DHHStablecaption"/>
      </w:pPr>
      <w:r w:rsidRPr="00900BF4">
        <w:t>Table 2:</w:t>
      </w:r>
      <w:r w:rsidR="00F84C75" w:rsidRPr="00900BF4">
        <w:t xml:space="preserve"> Underlying </w:t>
      </w:r>
      <w:r w:rsidR="009978E7" w:rsidRPr="00900BF4">
        <w:t>R</w:t>
      </w:r>
      <w:r w:rsidR="00F84C75" w:rsidRPr="00900BF4">
        <w:t xml:space="preserve">isk </w:t>
      </w:r>
      <w:r w:rsidR="009978E7" w:rsidRPr="00900BF4">
        <w:t>F</w:t>
      </w:r>
      <w:r w:rsidR="00F84C75" w:rsidRPr="00900BF4">
        <w:t>actors analysis</w:t>
      </w:r>
    </w:p>
    <w:tbl>
      <w:tblPr>
        <w:tblW w:w="9299" w:type="dxa"/>
        <w:tblBorders>
          <w:top w:val="single" w:sz="4" w:space="0" w:color="201547"/>
          <w:left w:val="single" w:sz="4" w:space="0" w:color="201547"/>
          <w:bottom w:val="single" w:sz="4" w:space="0" w:color="201547"/>
          <w:right w:val="single" w:sz="4" w:space="0" w:color="201547"/>
          <w:insideH w:val="single" w:sz="4" w:space="0" w:color="201547"/>
          <w:insideV w:val="single" w:sz="4" w:space="0" w:color="201547"/>
        </w:tblBorders>
        <w:tblLook w:val="06A0" w:firstRow="1" w:lastRow="0" w:firstColumn="1" w:lastColumn="0" w:noHBand="1" w:noVBand="1"/>
      </w:tblPr>
      <w:tblGrid>
        <w:gridCol w:w="6941"/>
        <w:gridCol w:w="2358"/>
      </w:tblGrid>
      <w:tr w:rsidR="005B2DF7" w14:paraId="6FC12E23" w14:textId="77777777" w:rsidTr="00954029">
        <w:trPr>
          <w:trHeight w:val="552"/>
          <w:tblHeader/>
        </w:trPr>
        <w:tc>
          <w:tcPr>
            <w:tcW w:w="6941" w:type="dxa"/>
            <w:shd w:val="clear" w:color="auto" w:fill="007B4B"/>
            <w:vAlign w:val="center"/>
          </w:tcPr>
          <w:p w14:paraId="6CEBA76F" w14:textId="77777777" w:rsidR="005B2DF7" w:rsidRDefault="005B2DF7" w:rsidP="00954029">
            <w:pPr>
              <w:pStyle w:val="DHHStablecolhead"/>
              <w:rPr>
                <w:rFonts w:eastAsia="Times"/>
              </w:rPr>
            </w:pPr>
            <w:r w:rsidRPr="003C2091">
              <w:t>Description</w:t>
            </w:r>
          </w:p>
        </w:tc>
        <w:tc>
          <w:tcPr>
            <w:tcW w:w="2358" w:type="dxa"/>
            <w:shd w:val="clear" w:color="auto" w:fill="007B4B"/>
            <w:vAlign w:val="center"/>
          </w:tcPr>
          <w:p w14:paraId="27833627" w14:textId="4970B256" w:rsidR="005B2DF7" w:rsidRDefault="003176C7" w:rsidP="00954029">
            <w:pPr>
              <w:pStyle w:val="DHHStablecolhead"/>
              <w:rPr>
                <w:rFonts w:eastAsia="Times"/>
              </w:rPr>
            </w:pPr>
            <w:r>
              <w:t>Risk r</w:t>
            </w:r>
            <w:r w:rsidR="005B2DF7" w:rsidRPr="003C2091">
              <w:t>ating</w:t>
            </w:r>
          </w:p>
        </w:tc>
      </w:tr>
      <w:tr w:rsidR="005B2DF7" w14:paraId="42637FBB" w14:textId="77777777" w:rsidTr="00954029">
        <w:trPr>
          <w:trHeight w:val="552"/>
        </w:trPr>
        <w:tc>
          <w:tcPr>
            <w:tcW w:w="6941" w:type="dxa"/>
            <w:shd w:val="clear" w:color="auto" w:fill="FFFFFF"/>
            <w:vAlign w:val="center"/>
          </w:tcPr>
          <w:p w14:paraId="6113E8DA" w14:textId="540A1879" w:rsidR="005B2DF7" w:rsidRDefault="005B2DF7" w:rsidP="005B2DF7">
            <w:pPr>
              <w:pStyle w:val="DHHStabletext"/>
              <w:rPr>
                <w:rFonts w:eastAsia="Times"/>
              </w:rPr>
            </w:pPr>
            <w:r>
              <w:rPr>
                <w:rFonts w:eastAsia="Times"/>
              </w:rPr>
              <w:t>No concerns</w:t>
            </w:r>
          </w:p>
        </w:tc>
        <w:tc>
          <w:tcPr>
            <w:tcW w:w="2358" w:type="dxa"/>
            <w:shd w:val="clear" w:color="auto" w:fill="EAF1DD"/>
            <w:vAlign w:val="center"/>
          </w:tcPr>
          <w:p w14:paraId="53D8E203" w14:textId="77777777" w:rsidR="005B2DF7" w:rsidRPr="002642E5" w:rsidRDefault="005B2DF7" w:rsidP="005B2DF7">
            <w:pPr>
              <w:pStyle w:val="DHHStabletext"/>
              <w:rPr>
                <w:rFonts w:eastAsia="Times"/>
              </w:rPr>
            </w:pPr>
            <w:r>
              <w:rPr>
                <w:rFonts w:eastAsia="Times"/>
              </w:rPr>
              <w:t xml:space="preserve">Low </w:t>
            </w:r>
          </w:p>
        </w:tc>
      </w:tr>
      <w:tr w:rsidR="005B2DF7" w14:paraId="0C5DE15E" w14:textId="77777777" w:rsidTr="00954029">
        <w:trPr>
          <w:trHeight w:val="559"/>
        </w:trPr>
        <w:tc>
          <w:tcPr>
            <w:tcW w:w="6941" w:type="dxa"/>
            <w:shd w:val="clear" w:color="auto" w:fill="FFFFFF"/>
            <w:vAlign w:val="center"/>
          </w:tcPr>
          <w:p w14:paraId="7E27FF53" w14:textId="6758FF03" w:rsidR="005B2DF7" w:rsidRDefault="005B2DF7" w:rsidP="005B2DF7">
            <w:pPr>
              <w:pStyle w:val="DHHStabletext"/>
              <w:rPr>
                <w:rFonts w:eastAsia="Times"/>
              </w:rPr>
            </w:pPr>
            <w:r>
              <w:rPr>
                <w:rFonts w:eastAsia="Times"/>
              </w:rPr>
              <w:t>Some underlying risk factors present</w:t>
            </w:r>
          </w:p>
        </w:tc>
        <w:tc>
          <w:tcPr>
            <w:tcW w:w="2358" w:type="dxa"/>
            <w:shd w:val="clear" w:color="auto" w:fill="FDE9D9"/>
            <w:vAlign w:val="center"/>
          </w:tcPr>
          <w:p w14:paraId="5F7AFD8D" w14:textId="77777777" w:rsidR="005B2DF7" w:rsidRPr="002642E5" w:rsidRDefault="005B2DF7" w:rsidP="005B2DF7">
            <w:pPr>
              <w:pStyle w:val="DHHStabletext"/>
              <w:rPr>
                <w:rFonts w:eastAsia="Times"/>
              </w:rPr>
            </w:pPr>
            <w:r>
              <w:rPr>
                <w:rFonts w:eastAsia="Times"/>
              </w:rPr>
              <w:t xml:space="preserve">Medium </w:t>
            </w:r>
          </w:p>
        </w:tc>
      </w:tr>
      <w:tr w:rsidR="005B2DF7" w14:paraId="30A3E89D" w14:textId="77777777" w:rsidTr="00954029">
        <w:trPr>
          <w:trHeight w:val="553"/>
        </w:trPr>
        <w:tc>
          <w:tcPr>
            <w:tcW w:w="6941" w:type="dxa"/>
            <w:shd w:val="clear" w:color="auto" w:fill="FFFFFF"/>
            <w:vAlign w:val="center"/>
          </w:tcPr>
          <w:p w14:paraId="089B9025" w14:textId="03A9A10A" w:rsidR="005B2DF7" w:rsidRDefault="005B2DF7" w:rsidP="005B2DF7">
            <w:pPr>
              <w:pStyle w:val="DHHStabletext"/>
              <w:rPr>
                <w:rFonts w:eastAsia="Times"/>
              </w:rPr>
            </w:pPr>
            <w:r>
              <w:rPr>
                <w:rFonts w:eastAsia="Times"/>
              </w:rPr>
              <w:t>Significant underlying risk factors present</w:t>
            </w:r>
          </w:p>
        </w:tc>
        <w:tc>
          <w:tcPr>
            <w:tcW w:w="2358" w:type="dxa"/>
            <w:shd w:val="clear" w:color="auto" w:fill="F2DBDB"/>
            <w:vAlign w:val="center"/>
          </w:tcPr>
          <w:p w14:paraId="52F5895F" w14:textId="77777777" w:rsidR="005B2DF7" w:rsidRPr="002642E5" w:rsidRDefault="005B2DF7" w:rsidP="005B2DF7">
            <w:pPr>
              <w:pStyle w:val="DHHStabletext"/>
              <w:rPr>
                <w:rFonts w:eastAsia="Times"/>
              </w:rPr>
            </w:pPr>
            <w:r>
              <w:rPr>
                <w:rFonts w:eastAsia="Times"/>
              </w:rPr>
              <w:t xml:space="preserve">High </w:t>
            </w:r>
          </w:p>
        </w:tc>
      </w:tr>
    </w:tbl>
    <w:p w14:paraId="156C085F" w14:textId="6A3F90DA" w:rsidR="00F84C75" w:rsidRDefault="00172D45" w:rsidP="00796B2E">
      <w:pPr>
        <w:pStyle w:val="DHHStablecaption"/>
      </w:pPr>
      <w:r w:rsidRPr="00900BF4">
        <w:t>Table 3:</w:t>
      </w:r>
      <w:r w:rsidR="00F84C75" w:rsidRPr="00900BF4">
        <w:t xml:space="preserve"> Third party </w:t>
      </w:r>
      <w:r w:rsidR="001E63B8" w:rsidRPr="00900BF4">
        <w:t xml:space="preserve">reports </w:t>
      </w:r>
      <w:r w:rsidR="00F84C75" w:rsidRPr="00900BF4">
        <w:t>and other intelligence analysis</w:t>
      </w:r>
    </w:p>
    <w:tbl>
      <w:tblPr>
        <w:tblW w:w="9299" w:type="dxa"/>
        <w:tblBorders>
          <w:top w:val="single" w:sz="4" w:space="0" w:color="201547"/>
          <w:left w:val="single" w:sz="4" w:space="0" w:color="201547"/>
          <w:bottom w:val="single" w:sz="4" w:space="0" w:color="201547"/>
          <w:right w:val="single" w:sz="4" w:space="0" w:color="201547"/>
          <w:insideH w:val="single" w:sz="4" w:space="0" w:color="201547"/>
          <w:insideV w:val="single" w:sz="4" w:space="0" w:color="201547"/>
        </w:tblBorders>
        <w:tblLook w:val="06A0" w:firstRow="1" w:lastRow="0" w:firstColumn="1" w:lastColumn="0" w:noHBand="1" w:noVBand="1"/>
      </w:tblPr>
      <w:tblGrid>
        <w:gridCol w:w="6941"/>
        <w:gridCol w:w="2358"/>
      </w:tblGrid>
      <w:tr w:rsidR="005B2DF7" w14:paraId="4CAFBD9F" w14:textId="77777777" w:rsidTr="00954029">
        <w:trPr>
          <w:trHeight w:val="552"/>
          <w:tblHeader/>
        </w:trPr>
        <w:tc>
          <w:tcPr>
            <w:tcW w:w="6941" w:type="dxa"/>
            <w:shd w:val="clear" w:color="auto" w:fill="007B4B"/>
            <w:vAlign w:val="center"/>
          </w:tcPr>
          <w:p w14:paraId="6F38052E" w14:textId="77777777" w:rsidR="005B2DF7" w:rsidRDefault="005B2DF7" w:rsidP="00954029">
            <w:pPr>
              <w:pStyle w:val="DHHStablecolhead"/>
              <w:rPr>
                <w:rFonts w:eastAsia="Times"/>
              </w:rPr>
            </w:pPr>
            <w:r w:rsidRPr="003C2091">
              <w:t>Description</w:t>
            </w:r>
          </w:p>
        </w:tc>
        <w:tc>
          <w:tcPr>
            <w:tcW w:w="2358" w:type="dxa"/>
            <w:shd w:val="clear" w:color="auto" w:fill="007B4B"/>
            <w:vAlign w:val="center"/>
          </w:tcPr>
          <w:p w14:paraId="532BA6ED" w14:textId="7982F9CE" w:rsidR="005B2DF7" w:rsidRDefault="003176C7" w:rsidP="00954029">
            <w:pPr>
              <w:pStyle w:val="DHHStablecolhead"/>
              <w:rPr>
                <w:rFonts w:eastAsia="Times"/>
              </w:rPr>
            </w:pPr>
            <w:r>
              <w:t>Risk r</w:t>
            </w:r>
            <w:r w:rsidR="005B2DF7" w:rsidRPr="003C2091">
              <w:t>ating</w:t>
            </w:r>
          </w:p>
        </w:tc>
      </w:tr>
      <w:tr w:rsidR="005B2DF7" w14:paraId="15190725" w14:textId="77777777" w:rsidTr="00954029">
        <w:trPr>
          <w:trHeight w:val="552"/>
        </w:trPr>
        <w:tc>
          <w:tcPr>
            <w:tcW w:w="6941" w:type="dxa"/>
            <w:shd w:val="clear" w:color="auto" w:fill="FFFFFF"/>
            <w:vAlign w:val="center"/>
          </w:tcPr>
          <w:p w14:paraId="0D0A4958" w14:textId="27A031CA" w:rsidR="005B2DF7" w:rsidRDefault="005B2DF7" w:rsidP="005B2DF7">
            <w:pPr>
              <w:pStyle w:val="DHHStabletext"/>
              <w:rPr>
                <w:rFonts w:eastAsia="Times"/>
              </w:rPr>
            </w:pPr>
            <w:r>
              <w:rPr>
                <w:rFonts w:eastAsia="Times"/>
              </w:rPr>
              <w:t>No concerns</w:t>
            </w:r>
          </w:p>
        </w:tc>
        <w:tc>
          <w:tcPr>
            <w:tcW w:w="2358" w:type="dxa"/>
            <w:shd w:val="clear" w:color="auto" w:fill="EAF1DD"/>
            <w:vAlign w:val="center"/>
          </w:tcPr>
          <w:p w14:paraId="5EAC5A82" w14:textId="77777777" w:rsidR="005B2DF7" w:rsidRPr="002642E5" w:rsidRDefault="005B2DF7" w:rsidP="005B2DF7">
            <w:pPr>
              <w:pStyle w:val="DHHStabletext"/>
              <w:rPr>
                <w:rFonts w:eastAsia="Times"/>
              </w:rPr>
            </w:pPr>
            <w:r>
              <w:rPr>
                <w:rFonts w:eastAsia="Times"/>
              </w:rPr>
              <w:t xml:space="preserve">Low </w:t>
            </w:r>
          </w:p>
        </w:tc>
      </w:tr>
      <w:tr w:rsidR="005B2DF7" w14:paraId="6F7EF748" w14:textId="77777777" w:rsidTr="00954029">
        <w:trPr>
          <w:trHeight w:val="559"/>
        </w:trPr>
        <w:tc>
          <w:tcPr>
            <w:tcW w:w="6941" w:type="dxa"/>
            <w:shd w:val="clear" w:color="auto" w:fill="FFFFFF"/>
            <w:vAlign w:val="center"/>
          </w:tcPr>
          <w:p w14:paraId="7C33C8B7" w14:textId="4BACCDA9" w:rsidR="005B2DF7" w:rsidRDefault="005B2DF7" w:rsidP="005B2DF7">
            <w:pPr>
              <w:pStyle w:val="DHHStabletext"/>
              <w:rPr>
                <w:rFonts w:eastAsia="Times"/>
              </w:rPr>
            </w:pPr>
            <w:r>
              <w:rPr>
                <w:rFonts w:eastAsia="Times"/>
              </w:rPr>
              <w:t>Some concerns</w:t>
            </w:r>
          </w:p>
        </w:tc>
        <w:tc>
          <w:tcPr>
            <w:tcW w:w="2358" w:type="dxa"/>
            <w:shd w:val="clear" w:color="auto" w:fill="FDE9D9"/>
            <w:vAlign w:val="center"/>
          </w:tcPr>
          <w:p w14:paraId="69A8101C" w14:textId="77777777" w:rsidR="005B2DF7" w:rsidRPr="002642E5" w:rsidRDefault="005B2DF7" w:rsidP="005B2DF7">
            <w:pPr>
              <w:pStyle w:val="DHHStabletext"/>
              <w:rPr>
                <w:rFonts w:eastAsia="Times"/>
              </w:rPr>
            </w:pPr>
            <w:r>
              <w:rPr>
                <w:rFonts w:eastAsia="Times"/>
              </w:rPr>
              <w:t xml:space="preserve">Medium </w:t>
            </w:r>
          </w:p>
        </w:tc>
      </w:tr>
      <w:tr w:rsidR="005B2DF7" w14:paraId="4A8AA948" w14:textId="77777777" w:rsidTr="00954029">
        <w:trPr>
          <w:trHeight w:val="553"/>
        </w:trPr>
        <w:tc>
          <w:tcPr>
            <w:tcW w:w="6941" w:type="dxa"/>
            <w:shd w:val="clear" w:color="auto" w:fill="FFFFFF"/>
            <w:vAlign w:val="center"/>
          </w:tcPr>
          <w:p w14:paraId="74E181AF" w14:textId="15124D2D" w:rsidR="005B2DF7" w:rsidRDefault="005B2DF7" w:rsidP="005B2DF7">
            <w:pPr>
              <w:pStyle w:val="DHHStabletext"/>
              <w:rPr>
                <w:rFonts w:eastAsia="Times"/>
              </w:rPr>
            </w:pPr>
            <w:r>
              <w:rPr>
                <w:rFonts w:eastAsia="Times"/>
              </w:rPr>
              <w:t>Significant outstanding concerns</w:t>
            </w:r>
          </w:p>
        </w:tc>
        <w:tc>
          <w:tcPr>
            <w:tcW w:w="2358" w:type="dxa"/>
            <w:shd w:val="clear" w:color="auto" w:fill="F2DBDB"/>
            <w:vAlign w:val="center"/>
          </w:tcPr>
          <w:p w14:paraId="0A391296" w14:textId="77777777" w:rsidR="005B2DF7" w:rsidRPr="002642E5" w:rsidRDefault="005B2DF7" w:rsidP="005B2DF7">
            <w:pPr>
              <w:pStyle w:val="DHHStabletext"/>
              <w:rPr>
                <w:rFonts w:eastAsia="Times"/>
              </w:rPr>
            </w:pPr>
            <w:r>
              <w:rPr>
                <w:rFonts w:eastAsia="Times"/>
              </w:rPr>
              <w:t xml:space="preserve">High </w:t>
            </w:r>
          </w:p>
        </w:tc>
      </w:tr>
    </w:tbl>
    <w:p w14:paraId="44DEFAD5" w14:textId="02DF9C25" w:rsidR="00894788" w:rsidRPr="007A2DC6" w:rsidRDefault="00EC16F1" w:rsidP="004408FA">
      <w:pPr>
        <w:pStyle w:val="DHHSbodyaftertablefigure"/>
        <w:spacing w:after="240"/>
      </w:pPr>
      <w:r>
        <w:t>T</w:t>
      </w:r>
      <w:r w:rsidR="00894788">
        <w:t xml:space="preserve">here is a degree of judgement that must be exercised in determining the significance of particular </w:t>
      </w:r>
      <w:r w:rsidR="006F3E20">
        <w:t xml:space="preserve">performance concerns </w:t>
      </w:r>
      <w:r w:rsidR="00894788">
        <w:t>and issues. It is vital any assumptions are made explicit and communicated clearly in discussion with health services.</w:t>
      </w:r>
      <w:r>
        <w:t xml:space="preserve"> </w:t>
      </w:r>
      <w:r w:rsidR="00894788">
        <w:t xml:space="preserve">Additionally, any reasoning used to assign a level </w:t>
      </w:r>
      <w:r w:rsidR="00894788" w:rsidRPr="0084582A">
        <w:t xml:space="preserve">of </w:t>
      </w:r>
      <w:r w:rsidR="0084582A">
        <w:t xml:space="preserve">concern </w:t>
      </w:r>
      <w:r w:rsidR="00894788">
        <w:t>to quantitative</w:t>
      </w:r>
      <w:r w:rsidR="00E32EC6">
        <w:t xml:space="preserve"> and</w:t>
      </w:r>
      <w:r w:rsidR="00244AB5">
        <w:t xml:space="preserve"> </w:t>
      </w:r>
      <w:r w:rsidR="00DE78F7">
        <w:t>qualitative</w:t>
      </w:r>
      <w:r w:rsidR="00894788">
        <w:t xml:space="preserve"> factors</w:t>
      </w:r>
      <w:r w:rsidR="00E32EC6">
        <w:t>,</w:t>
      </w:r>
      <w:r w:rsidR="00894788">
        <w:t xml:space="preserve"> and third</w:t>
      </w:r>
      <w:r w:rsidR="00EB68B8">
        <w:t>-</w:t>
      </w:r>
      <w:r w:rsidR="00894788">
        <w:t xml:space="preserve">party sources must be clearly documented in the </w:t>
      </w:r>
      <w:r w:rsidR="00164E75">
        <w:t xml:space="preserve">department’s </w:t>
      </w:r>
      <w:r w:rsidR="00F93FC8">
        <w:t xml:space="preserve">relevant </w:t>
      </w:r>
      <w:r w:rsidR="006F3E20">
        <w:t xml:space="preserve">performance </w:t>
      </w:r>
      <w:r w:rsidR="00894788">
        <w:t>risk assessment tool</w:t>
      </w:r>
      <w:r w:rsidR="00164E75">
        <w:t>s</w:t>
      </w:r>
      <w:r w:rsidR="00894788">
        <w:t>.</w:t>
      </w:r>
    </w:p>
    <w:p w14:paraId="4121F863" w14:textId="77777777" w:rsidR="00F84C75" w:rsidRDefault="00F84C75" w:rsidP="00F84C75">
      <w:pPr>
        <w:pStyle w:val="DHHSbody"/>
        <w:sectPr w:rsidR="00F84C75" w:rsidSect="004755B3">
          <w:type w:val="continuous"/>
          <w:pgSz w:w="11906" w:h="16838"/>
          <w:pgMar w:top="1134" w:right="1304" w:bottom="851" w:left="1304" w:header="454" w:footer="510" w:gutter="0"/>
          <w:cols w:space="720"/>
          <w:docGrid w:linePitch="360"/>
        </w:sectPr>
      </w:pPr>
    </w:p>
    <w:p w14:paraId="4A1937BA" w14:textId="4D7CE4C1" w:rsidR="000330C1" w:rsidRPr="000A67A8" w:rsidRDefault="00EF4375" w:rsidP="000A67A8">
      <w:pPr>
        <w:pStyle w:val="DHHSicon"/>
      </w:pPr>
      <w:r>
        <w:rPr>
          <w:noProof/>
        </w:rPr>
        <w:drawing>
          <wp:inline distT="0" distB="0" distL="0" distR="0" wp14:anchorId="4B609335" wp14:editId="2BD3A30B">
            <wp:extent cx="720090" cy="720090"/>
            <wp:effectExtent l="0" t="0" r="3810" b="3810"/>
            <wp:docPr id="54" name="Picture 54"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1806002_risk_ax-01.png"/>
                    <pic:cNvPicPr/>
                  </pic:nvPicPr>
                  <pic:blipFill>
                    <a:blip r:embed="rId32"/>
                    <a:stretch>
                      <a:fillRect/>
                    </a:stretch>
                  </pic:blipFill>
                  <pic:spPr>
                    <a:xfrm>
                      <a:off x="0" y="0"/>
                      <a:ext cx="720090" cy="720090"/>
                    </a:xfrm>
                    <a:prstGeom prst="rect">
                      <a:avLst/>
                    </a:prstGeom>
                  </pic:spPr>
                </pic:pic>
              </a:graphicData>
            </a:graphic>
          </wp:inline>
        </w:drawing>
      </w:r>
    </w:p>
    <w:p w14:paraId="22874018" w14:textId="20760A29" w:rsidR="00F84C75" w:rsidRPr="00361A24" w:rsidRDefault="000A67A8" w:rsidP="000A67A8">
      <w:pPr>
        <w:pStyle w:val="Heading4"/>
      </w:pPr>
      <w:r>
        <w:br w:type="column"/>
      </w:r>
      <w:r w:rsidR="00552ACE">
        <w:t xml:space="preserve">Assign </w:t>
      </w:r>
      <w:r w:rsidR="00094AEF">
        <w:t xml:space="preserve">a </w:t>
      </w:r>
      <w:r w:rsidR="00552ACE">
        <w:t>risk</w:t>
      </w:r>
      <w:r w:rsidR="00F84C75">
        <w:t xml:space="preserve"> </w:t>
      </w:r>
      <w:r w:rsidR="0035734A">
        <w:t>level</w:t>
      </w:r>
      <w:r w:rsidR="00F84C75">
        <w:t xml:space="preserve"> </w:t>
      </w:r>
      <w:r w:rsidR="005C72AE">
        <w:t>to</w:t>
      </w:r>
      <w:r w:rsidR="00F37290">
        <w:t xml:space="preserve"> each performance </w:t>
      </w:r>
      <w:r w:rsidR="00F84C75">
        <w:t>domain</w:t>
      </w:r>
    </w:p>
    <w:p w14:paraId="59C691D3" w14:textId="037DBA96" w:rsidR="0019285D" w:rsidRPr="0019285D" w:rsidRDefault="00894788" w:rsidP="00796B2E">
      <w:pPr>
        <w:pStyle w:val="DHHSbodylargespace"/>
      </w:pPr>
      <w:r>
        <w:t xml:space="preserve">To determine </w:t>
      </w:r>
      <w:r w:rsidR="00094AEF">
        <w:t>the</w:t>
      </w:r>
      <w:r>
        <w:t xml:space="preserve"> </w:t>
      </w:r>
      <w:r w:rsidRPr="0084582A">
        <w:t>risk</w:t>
      </w:r>
      <w:r>
        <w:t xml:space="preserve"> </w:t>
      </w:r>
      <w:r w:rsidR="0035734A">
        <w:t>level</w:t>
      </w:r>
      <w:r>
        <w:t xml:space="preserve"> for each </w:t>
      </w:r>
      <w:r w:rsidR="004C611B">
        <w:t xml:space="preserve">performance </w:t>
      </w:r>
      <w:r>
        <w:t>domain,</w:t>
      </w:r>
      <w:r w:rsidR="00F84C75" w:rsidRPr="00E87164">
        <w:t xml:space="preserve"> </w:t>
      </w:r>
      <w:r w:rsidR="0035734A">
        <w:t xml:space="preserve">the </w:t>
      </w:r>
      <w:r w:rsidR="00F84C75" w:rsidRPr="00E87164">
        <w:t xml:space="preserve">risk </w:t>
      </w:r>
      <w:r w:rsidR="0035734A">
        <w:t xml:space="preserve">rating </w:t>
      </w:r>
      <w:r w:rsidR="00F84C75" w:rsidRPr="00E87164">
        <w:t xml:space="preserve">is </w:t>
      </w:r>
      <w:r w:rsidR="000E38BA" w:rsidRPr="00E87164">
        <w:t>consider</w:t>
      </w:r>
      <w:r w:rsidR="00F443F8">
        <w:t>ed</w:t>
      </w:r>
      <w:r w:rsidR="00F84C75" w:rsidRPr="00E87164">
        <w:t xml:space="preserve"> from each of the</w:t>
      </w:r>
      <w:r w:rsidR="0015512D">
        <w:t xml:space="preserve"> performance</w:t>
      </w:r>
      <w:r w:rsidR="00F84C75" w:rsidRPr="00E87164">
        <w:t xml:space="preserve"> input categories.</w:t>
      </w:r>
      <w:r>
        <w:t xml:space="preserve"> </w:t>
      </w:r>
      <w:r w:rsidR="006266DF">
        <w:t>Please note, i</w:t>
      </w:r>
      <w:r w:rsidR="00F84C75" w:rsidRPr="00E87164">
        <w:t xml:space="preserve">f one input </w:t>
      </w:r>
      <w:r w:rsidR="00F84C75">
        <w:t xml:space="preserve">category </w:t>
      </w:r>
      <w:r w:rsidR="00F84C75" w:rsidRPr="00E87164">
        <w:t xml:space="preserve">is </w:t>
      </w:r>
      <w:r w:rsidR="00F443F8">
        <w:t>rated</w:t>
      </w:r>
      <w:r w:rsidR="00F443F8" w:rsidRPr="00E87164">
        <w:t xml:space="preserve"> </w:t>
      </w:r>
      <w:r w:rsidR="00F84C75" w:rsidRPr="00E87164">
        <w:t xml:space="preserve">as </w:t>
      </w:r>
      <w:r w:rsidR="006266DF">
        <w:t>‘</w:t>
      </w:r>
      <w:r w:rsidR="00F84C75" w:rsidRPr="00E87164">
        <w:t>high</w:t>
      </w:r>
      <w:r w:rsidR="00B45055">
        <w:t xml:space="preserve"> risk</w:t>
      </w:r>
      <w:r w:rsidR="006266DF">
        <w:t>’</w:t>
      </w:r>
      <w:r w:rsidR="00F84C75" w:rsidRPr="00E87164">
        <w:t xml:space="preserve">, the </w:t>
      </w:r>
      <w:r w:rsidR="00B45055">
        <w:t>risk level</w:t>
      </w:r>
      <w:r w:rsidR="00687BB7" w:rsidRPr="00E87164">
        <w:t xml:space="preserve"> </w:t>
      </w:r>
      <w:r w:rsidR="00F84C75" w:rsidRPr="00E87164">
        <w:t xml:space="preserve">of the </w:t>
      </w:r>
      <w:r w:rsidR="00F84C75" w:rsidRPr="00C92A8D">
        <w:t>entire</w:t>
      </w:r>
      <w:r w:rsidR="00F84C75" w:rsidRPr="00E87164">
        <w:t xml:space="preserve"> domain is elevated to high</w:t>
      </w:r>
      <w:r>
        <w:t>, as shown in</w:t>
      </w:r>
      <w:r w:rsidR="00F84C75" w:rsidRPr="00E87164">
        <w:t xml:space="preserve"> </w:t>
      </w:r>
      <w:r w:rsidR="00F84C75">
        <w:t>Table 4.</w:t>
      </w:r>
    </w:p>
    <w:p w14:paraId="278FD4A8" w14:textId="77777777" w:rsidR="00005D73" w:rsidRDefault="00005D73" w:rsidP="00642545">
      <w:pPr>
        <w:pStyle w:val="DHHSbodyaftertablefigure"/>
        <w:widowControl w:val="0"/>
        <w:spacing w:after="240"/>
        <w:ind w:left="-284"/>
        <w:sectPr w:rsidR="00005D73" w:rsidSect="004755B3">
          <w:type w:val="continuous"/>
          <w:pgSz w:w="11906" w:h="16838"/>
          <w:pgMar w:top="1134" w:right="1304" w:bottom="851" w:left="1304" w:header="454" w:footer="510" w:gutter="0"/>
          <w:cols w:num="2" w:space="397" w:equalWidth="0">
            <w:col w:w="1134" w:space="397"/>
            <w:col w:w="7767"/>
          </w:cols>
          <w:docGrid w:linePitch="360"/>
        </w:sectPr>
      </w:pPr>
    </w:p>
    <w:p w14:paraId="1F67F5D5" w14:textId="7BE39003" w:rsidR="0019285D" w:rsidRDefault="0019285D" w:rsidP="00796B2E">
      <w:pPr>
        <w:pStyle w:val="DHHStablecaption"/>
      </w:pPr>
      <w:r w:rsidRPr="00900BF4">
        <w:t xml:space="preserve">Table 4: </w:t>
      </w:r>
      <w:r w:rsidR="00D96B06">
        <w:t>Aggregated r</w:t>
      </w:r>
      <w:r w:rsidRPr="00900BF4">
        <w:t>isk rating</w:t>
      </w:r>
      <w:r w:rsidR="006069A1">
        <w:t>s of performance input categories</w:t>
      </w:r>
      <w:r w:rsidRPr="00900BF4">
        <w:t xml:space="preserve"> </w:t>
      </w:r>
      <w:r w:rsidR="00D96B06">
        <w:t xml:space="preserve">and </w:t>
      </w:r>
      <w:r w:rsidR="006266DF">
        <w:t xml:space="preserve">corresponding </w:t>
      </w:r>
      <w:r w:rsidR="00175EEA">
        <w:t xml:space="preserve">performance </w:t>
      </w:r>
      <w:r w:rsidR="00D96B06">
        <w:t xml:space="preserve">domain </w:t>
      </w:r>
      <w:r w:rsidR="006266DF">
        <w:t>risk level</w:t>
      </w:r>
    </w:p>
    <w:tbl>
      <w:tblPr>
        <w:tblW w:w="9299" w:type="dxa"/>
        <w:tblBorders>
          <w:top w:val="single" w:sz="4" w:space="0" w:color="201547"/>
          <w:left w:val="single" w:sz="4" w:space="0" w:color="201547"/>
          <w:bottom w:val="single" w:sz="4" w:space="0" w:color="201547"/>
          <w:right w:val="single" w:sz="4" w:space="0" w:color="201547"/>
          <w:insideH w:val="single" w:sz="4" w:space="0" w:color="201547"/>
          <w:insideV w:val="single" w:sz="4" w:space="0" w:color="201547"/>
        </w:tblBorders>
        <w:tblLook w:val="06A0" w:firstRow="1" w:lastRow="0" w:firstColumn="1" w:lastColumn="0" w:noHBand="1" w:noVBand="1"/>
      </w:tblPr>
      <w:tblGrid>
        <w:gridCol w:w="6941"/>
        <w:gridCol w:w="2358"/>
      </w:tblGrid>
      <w:tr w:rsidR="005B2DF7" w14:paraId="23E38FC7" w14:textId="77777777" w:rsidTr="00954029">
        <w:trPr>
          <w:trHeight w:val="552"/>
          <w:tblHeader/>
        </w:trPr>
        <w:tc>
          <w:tcPr>
            <w:tcW w:w="6941" w:type="dxa"/>
            <w:shd w:val="clear" w:color="auto" w:fill="007B4B"/>
            <w:vAlign w:val="center"/>
          </w:tcPr>
          <w:p w14:paraId="7C75B4D9" w14:textId="77777777" w:rsidR="005B2DF7" w:rsidRDefault="005B2DF7" w:rsidP="00954029">
            <w:pPr>
              <w:pStyle w:val="DHHStablecolhead"/>
              <w:rPr>
                <w:rFonts w:eastAsia="Times"/>
              </w:rPr>
            </w:pPr>
            <w:r w:rsidRPr="003C2091">
              <w:t>Description</w:t>
            </w:r>
          </w:p>
        </w:tc>
        <w:tc>
          <w:tcPr>
            <w:tcW w:w="2358" w:type="dxa"/>
            <w:shd w:val="clear" w:color="auto" w:fill="007B4B"/>
            <w:vAlign w:val="center"/>
          </w:tcPr>
          <w:p w14:paraId="4AA7D6AD" w14:textId="27E73173" w:rsidR="005B2DF7" w:rsidRDefault="003176C7" w:rsidP="00954029">
            <w:pPr>
              <w:pStyle w:val="DHHStablecolhead"/>
              <w:rPr>
                <w:rFonts w:eastAsia="Times"/>
              </w:rPr>
            </w:pPr>
            <w:r>
              <w:t>Risk level</w:t>
            </w:r>
          </w:p>
        </w:tc>
      </w:tr>
      <w:tr w:rsidR="005B2DF7" w14:paraId="4E76B11F" w14:textId="77777777" w:rsidTr="00954029">
        <w:trPr>
          <w:trHeight w:val="552"/>
        </w:trPr>
        <w:tc>
          <w:tcPr>
            <w:tcW w:w="6941" w:type="dxa"/>
            <w:shd w:val="clear" w:color="auto" w:fill="FFFFFF"/>
            <w:vAlign w:val="center"/>
          </w:tcPr>
          <w:p w14:paraId="6C0F9277" w14:textId="20D0EBCD" w:rsidR="005B2DF7" w:rsidRDefault="005B2DF7" w:rsidP="005B2DF7">
            <w:pPr>
              <w:pStyle w:val="DHHStabletext"/>
              <w:rPr>
                <w:rFonts w:eastAsia="Times"/>
              </w:rPr>
            </w:pPr>
            <w:r>
              <w:rPr>
                <w:rFonts w:eastAsia="Times"/>
              </w:rPr>
              <w:t xml:space="preserve">All low ratings </w:t>
            </w:r>
          </w:p>
        </w:tc>
        <w:tc>
          <w:tcPr>
            <w:tcW w:w="2358" w:type="dxa"/>
            <w:shd w:val="clear" w:color="auto" w:fill="EAF1DD"/>
            <w:vAlign w:val="center"/>
          </w:tcPr>
          <w:p w14:paraId="2C72E2E2" w14:textId="77777777" w:rsidR="005B2DF7" w:rsidRPr="002642E5" w:rsidRDefault="005B2DF7" w:rsidP="005B2DF7">
            <w:pPr>
              <w:pStyle w:val="DHHStabletext"/>
              <w:rPr>
                <w:rFonts w:eastAsia="Times"/>
              </w:rPr>
            </w:pPr>
            <w:r>
              <w:rPr>
                <w:rFonts w:eastAsia="Times"/>
              </w:rPr>
              <w:t xml:space="preserve">Low </w:t>
            </w:r>
          </w:p>
        </w:tc>
      </w:tr>
      <w:tr w:rsidR="005B2DF7" w14:paraId="6395647E" w14:textId="77777777" w:rsidTr="00954029">
        <w:trPr>
          <w:trHeight w:val="559"/>
        </w:trPr>
        <w:tc>
          <w:tcPr>
            <w:tcW w:w="6941" w:type="dxa"/>
            <w:shd w:val="clear" w:color="auto" w:fill="FFFFFF"/>
            <w:vAlign w:val="center"/>
          </w:tcPr>
          <w:p w14:paraId="3A75D4DE" w14:textId="45041F8F" w:rsidR="005B2DF7" w:rsidRDefault="005B2DF7" w:rsidP="005B2DF7">
            <w:pPr>
              <w:pStyle w:val="DHHStabletext"/>
              <w:rPr>
                <w:rFonts w:eastAsia="Times"/>
              </w:rPr>
            </w:pPr>
            <w:r>
              <w:rPr>
                <w:rFonts w:eastAsia="Times"/>
              </w:rPr>
              <w:t>Any medium rating AND no high ratings</w:t>
            </w:r>
          </w:p>
        </w:tc>
        <w:tc>
          <w:tcPr>
            <w:tcW w:w="2358" w:type="dxa"/>
            <w:shd w:val="clear" w:color="auto" w:fill="FDE9D9"/>
            <w:vAlign w:val="center"/>
          </w:tcPr>
          <w:p w14:paraId="557423FC" w14:textId="77777777" w:rsidR="005B2DF7" w:rsidRPr="002642E5" w:rsidRDefault="005B2DF7" w:rsidP="005B2DF7">
            <w:pPr>
              <w:pStyle w:val="DHHStabletext"/>
              <w:rPr>
                <w:rFonts w:eastAsia="Times"/>
              </w:rPr>
            </w:pPr>
            <w:r>
              <w:rPr>
                <w:rFonts w:eastAsia="Times"/>
              </w:rPr>
              <w:t xml:space="preserve">Medium </w:t>
            </w:r>
          </w:p>
        </w:tc>
      </w:tr>
      <w:tr w:rsidR="005B2DF7" w14:paraId="68B59520" w14:textId="77777777" w:rsidTr="00954029">
        <w:trPr>
          <w:trHeight w:val="553"/>
        </w:trPr>
        <w:tc>
          <w:tcPr>
            <w:tcW w:w="6941" w:type="dxa"/>
            <w:shd w:val="clear" w:color="auto" w:fill="FFFFFF"/>
            <w:vAlign w:val="center"/>
          </w:tcPr>
          <w:p w14:paraId="753D2FD4" w14:textId="67CFA9FF" w:rsidR="005B2DF7" w:rsidRDefault="005B2DF7" w:rsidP="005B2DF7">
            <w:pPr>
              <w:pStyle w:val="DHHStabletext"/>
              <w:rPr>
                <w:rFonts w:eastAsia="Times"/>
              </w:rPr>
            </w:pPr>
            <w:r>
              <w:rPr>
                <w:rFonts w:eastAsia="Times"/>
              </w:rPr>
              <w:t xml:space="preserve">Any high rating </w:t>
            </w:r>
          </w:p>
        </w:tc>
        <w:tc>
          <w:tcPr>
            <w:tcW w:w="2358" w:type="dxa"/>
            <w:shd w:val="clear" w:color="auto" w:fill="F2DBDB"/>
            <w:vAlign w:val="center"/>
          </w:tcPr>
          <w:p w14:paraId="4760D419" w14:textId="77777777" w:rsidR="005B2DF7" w:rsidRPr="002642E5" w:rsidRDefault="005B2DF7" w:rsidP="005B2DF7">
            <w:pPr>
              <w:pStyle w:val="DHHStabletext"/>
              <w:rPr>
                <w:rFonts w:eastAsia="Times"/>
              </w:rPr>
            </w:pPr>
            <w:r>
              <w:rPr>
                <w:rFonts w:eastAsia="Times"/>
              </w:rPr>
              <w:t xml:space="preserve">High </w:t>
            </w:r>
          </w:p>
        </w:tc>
      </w:tr>
    </w:tbl>
    <w:p w14:paraId="3A1E9AC5" w14:textId="77777777" w:rsidR="00796B2E" w:rsidRDefault="00796B2E">
      <w:pPr>
        <w:rPr>
          <w:rFonts w:ascii="Arial" w:eastAsia="Times" w:hAnsi="Arial"/>
        </w:rPr>
      </w:pPr>
      <w:r>
        <w:br w:type="page"/>
      </w:r>
    </w:p>
    <w:p w14:paraId="01C1955F" w14:textId="1C59BFC5" w:rsidR="003A177C" w:rsidRDefault="003A177C" w:rsidP="00900BF4">
      <w:pPr>
        <w:pStyle w:val="DHHSbody"/>
        <w:keepLines/>
        <w:widowControl w:val="0"/>
        <w:spacing w:after="240"/>
      </w:pPr>
      <w:r>
        <w:lastRenderedPageBreak/>
        <w:t xml:space="preserve">It is the </w:t>
      </w:r>
      <w:r w:rsidRPr="00900BF4">
        <w:rPr>
          <w:b/>
        </w:rPr>
        <w:t>aggregation</w:t>
      </w:r>
      <w:r>
        <w:t xml:space="preserve"> of the three performance input categories (for a single performance domain) that provides the proportionate low, medium or high risk </w:t>
      </w:r>
      <w:r w:rsidR="005351AA">
        <w:t>level</w:t>
      </w:r>
      <w:r>
        <w:t>.</w:t>
      </w:r>
    </w:p>
    <w:tbl>
      <w:tblPr>
        <w:tblStyle w:val="Highlighttable"/>
        <w:tblW w:w="9299" w:type="dxa"/>
        <w:tblLook w:val="0600" w:firstRow="0" w:lastRow="0" w:firstColumn="0" w:lastColumn="0" w:noHBand="1" w:noVBand="1"/>
      </w:tblPr>
      <w:tblGrid>
        <w:gridCol w:w="9299"/>
      </w:tblGrid>
      <w:tr w:rsidR="00932B13" w14:paraId="5D47670A" w14:textId="77777777" w:rsidTr="00833658">
        <w:tc>
          <w:tcPr>
            <w:tcW w:w="7796" w:type="dxa"/>
          </w:tcPr>
          <w:p w14:paraId="457A82CB" w14:textId="76C338A6" w:rsidR="00C72D5F" w:rsidRPr="00900BF4" w:rsidRDefault="00C72D5F" w:rsidP="00C72D5F">
            <w:pPr>
              <w:pStyle w:val="DHHSbody"/>
              <w:rPr>
                <w:b/>
              </w:rPr>
            </w:pPr>
            <w:r w:rsidRPr="00900BF4">
              <w:rPr>
                <w:b/>
              </w:rPr>
              <w:t>Example</w:t>
            </w:r>
            <w:r w:rsidR="001127FA" w:rsidRPr="00900BF4">
              <w:rPr>
                <w:b/>
              </w:rPr>
              <w:t xml:space="preserve"> </w:t>
            </w:r>
            <w:r w:rsidR="00FC7C5F" w:rsidRPr="00900BF4">
              <w:rPr>
                <w:b/>
              </w:rPr>
              <w:t>–</w:t>
            </w:r>
            <w:r w:rsidR="001127FA" w:rsidRPr="00900BF4">
              <w:rPr>
                <w:b/>
              </w:rPr>
              <w:t xml:space="preserve"> </w:t>
            </w:r>
            <w:r w:rsidR="00FC7C5F" w:rsidRPr="00900BF4">
              <w:rPr>
                <w:b/>
              </w:rPr>
              <w:t xml:space="preserve">Domain risk </w:t>
            </w:r>
            <w:r w:rsidR="00786EDD">
              <w:rPr>
                <w:b/>
              </w:rPr>
              <w:t>levels</w:t>
            </w:r>
          </w:p>
          <w:p w14:paraId="1C3AA169" w14:textId="77777777" w:rsidR="00007D51" w:rsidRDefault="00C72D5F" w:rsidP="00C72D5F">
            <w:pPr>
              <w:pStyle w:val="DHHSbody"/>
            </w:pPr>
            <w:r>
              <w:t>I</w:t>
            </w:r>
            <w:r w:rsidRPr="00CD5330">
              <w:t xml:space="preserve">f a health service </w:t>
            </w:r>
            <w:r>
              <w:t xml:space="preserve">met the </w:t>
            </w:r>
            <w:r w:rsidR="00EB22DB">
              <w:t xml:space="preserve">‘Key Performance Measures’ </w:t>
            </w:r>
            <w:r w:rsidR="002454B6">
              <w:t>o</w:t>
            </w:r>
            <w:r w:rsidR="00EB22DB">
              <w:t xml:space="preserve">f the </w:t>
            </w:r>
            <w:r>
              <w:t>Timely Access to Care performance domain</w:t>
            </w:r>
            <w:r w:rsidR="00FC03C8">
              <w:t xml:space="preserve"> (all low risk ratings)</w:t>
            </w:r>
            <w:r>
              <w:t xml:space="preserve">, it would be </w:t>
            </w:r>
            <w:r w:rsidR="000451F6">
              <w:t>assigned</w:t>
            </w:r>
            <w:r w:rsidRPr="00CD5330">
              <w:t xml:space="preserve"> </w:t>
            </w:r>
            <w:r w:rsidR="000451F6">
              <w:t>a level of ‘</w:t>
            </w:r>
            <w:r w:rsidRPr="00CD5330">
              <w:t xml:space="preserve">low </w:t>
            </w:r>
            <w:r>
              <w:t>risk</w:t>
            </w:r>
            <w:r w:rsidR="000451F6">
              <w:t xml:space="preserve">’ </w:t>
            </w:r>
            <w:r>
              <w:t>against that performance input category.</w:t>
            </w:r>
          </w:p>
          <w:p w14:paraId="472B256B" w14:textId="2578F6C2" w:rsidR="00932B13" w:rsidRPr="008A491E" w:rsidRDefault="00C72D5F" w:rsidP="00900BF4">
            <w:pPr>
              <w:pStyle w:val="DHHSbody"/>
            </w:pPr>
            <w:r>
              <w:t xml:space="preserve">However, if a </w:t>
            </w:r>
            <w:r w:rsidR="000451F6">
              <w:t xml:space="preserve">high risk rating </w:t>
            </w:r>
            <w:r>
              <w:t>was applied to either of the other performance input categories</w:t>
            </w:r>
            <w:r w:rsidR="00EB558B">
              <w:t xml:space="preserve"> in that domain</w:t>
            </w:r>
            <w:r>
              <w:t xml:space="preserve">, ‘Underlying Risk Factors’ or ‘third party reports and other intelligence’, due to </w:t>
            </w:r>
            <w:r w:rsidRPr="00CD5330">
              <w:t xml:space="preserve">significant </w:t>
            </w:r>
            <w:r>
              <w:t xml:space="preserve">contextual issues relating to timely access, the risk </w:t>
            </w:r>
            <w:r w:rsidR="005351AA">
              <w:t>level</w:t>
            </w:r>
            <w:r>
              <w:t xml:space="preserve"> of the </w:t>
            </w:r>
            <w:r w:rsidRPr="00900BF4">
              <w:rPr>
                <w:b/>
              </w:rPr>
              <w:t>entire</w:t>
            </w:r>
            <w:r>
              <w:t xml:space="preserve"> domain is automatically elevated to</w:t>
            </w:r>
            <w:r w:rsidRPr="00CD5330">
              <w:t xml:space="preserve"> high</w:t>
            </w:r>
            <w:r>
              <w:t>.</w:t>
            </w:r>
          </w:p>
        </w:tc>
      </w:tr>
    </w:tbl>
    <w:p w14:paraId="438FAB1E" w14:textId="77777777" w:rsidR="00007D51" w:rsidRDefault="004D44A5" w:rsidP="00900BF4">
      <w:pPr>
        <w:pStyle w:val="DHHSbody"/>
        <w:keepLines/>
        <w:widowControl w:val="0"/>
        <w:spacing w:before="240"/>
      </w:pPr>
      <w:r>
        <w:t>C</w:t>
      </w:r>
      <w:r w:rsidR="0019285D">
        <w:t>omment</w:t>
      </w:r>
      <w:r>
        <w:t>ary</w:t>
      </w:r>
      <w:r w:rsidR="0019285D">
        <w:t xml:space="preserve"> outlining the assessment rationale are captured in the department’s performance risk assessment tools and validated further in consultation with the respective health service. This </w:t>
      </w:r>
      <w:r>
        <w:t xml:space="preserve">also </w:t>
      </w:r>
      <w:r w:rsidR="0019285D">
        <w:t xml:space="preserve">includes </w:t>
      </w:r>
      <w:r>
        <w:t xml:space="preserve">consultation with </w:t>
      </w:r>
      <w:r w:rsidR="0019285D">
        <w:t xml:space="preserve">other </w:t>
      </w:r>
      <w:r>
        <w:t xml:space="preserve">relevant </w:t>
      </w:r>
      <w:r w:rsidR="0019285D">
        <w:t>stakeholders such as SCV and departmental program areas.</w:t>
      </w:r>
    </w:p>
    <w:p w14:paraId="5D3D698B" w14:textId="104F0C18" w:rsidR="0019285D" w:rsidRPr="00F519A4" w:rsidRDefault="0019285D" w:rsidP="0019285D">
      <w:pPr>
        <w:pStyle w:val="DHHSbody"/>
        <w:keepLines/>
        <w:widowControl w:val="0"/>
      </w:pPr>
      <w:r>
        <w:t xml:space="preserve">The department decides the overall performance risk </w:t>
      </w:r>
      <w:r w:rsidR="005351AA">
        <w:t>level</w:t>
      </w:r>
      <w:r>
        <w:t xml:space="preserve"> for each domain</w:t>
      </w:r>
      <w:r w:rsidRPr="00F519A4">
        <w:t>.</w:t>
      </w:r>
    </w:p>
    <w:p w14:paraId="22F8DED2" w14:textId="77777777" w:rsidR="00005D73" w:rsidRDefault="00005D73">
      <w:pPr>
        <w:pStyle w:val="DHHSbody"/>
        <w:keepLines/>
        <w:widowControl w:val="0"/>
        <w:sectPr w:rsidR="00005D73" w:rsidSect="004755B3">
          <w:type w:val="continuous"/>
          <w:pgSz w:w="11906" w:h="16838"/>
          <w:pgMar w:top="1134" w:right="1304" w:bottom="851" w:left="1304" w:header="454" w:footer="510" w:gutter="0"/>
          <w:cols w:space="397"/>
          <w:docGrid w:linePitch="360"/>
        </w:sectPr>
      </w:pPr>
    </w:p>
    <w:p w14:paraId="7185BC3B" w14:textId="0E12B21B" w:rsidR="00F84C75" w:rsidRDefault="00C169C1" w:rsidP="00900BF4">
      <w:pPr>
        <w:pStyle w:val="DHHSicon"/>
        <w:keepNext/>
        <w:keepLines/>
        <w:widowControl w:val="0"/>
      </w:pPr>
      <w:r>
        <w:rPr>
          <w:noProof/>
        </w:rPr>
        <w:drawing>
          <wp:inline distT="0" distB="0" distL="0" distR="0" wp14:anchorId="7E4772CC" wp14:editId="7B33AB3A">
            <wp:extent cx="720090" cy="720090"/>
            <wp:effectExtent l="0" t="0" r="3810" b="3810"/>
            <wp:docPr id="10" name="Picture 10"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1806002_intervention_level-01.png"/>
                    <pic:cNvPicPr/>
                  </pic:nvPicPr>
                  <pic:blipFill>
                    <a:blip r:embed="rId33"/>
                    <a:stretch>
                      <a:fillRect/>
                    </a:stretch>
                  </pic:blipFill>
                  <pic:spPr>
                    <a:xfrm>
                      <a:off x="0" y="0"/>
                      <a:ext cx="720090" cy="720090"/>
                    </a:xfrm>
                    <a:prstGeom prst="rect">
                      <a:avLst/>
                    </a:prstGeom>
                  </pic:spPr>
                </pic:pic>
              </a:graphicData>
            </a:graphic>
          </wp:inline>
        </w:drawing>
      </w:r>
    </w:p>
    <w:p w14:paraId="329316D3" w14:textId="3AA026E7" w:rsidR="00F84C75" w:rsidRDefault="00F84C75" w:rsidP="00900BF4">
      <w:pPr>
        <w:pStyle w:val="Heading3"/>
        <w:widowControl w:val="0"/>
      </w:pPr>
      <w:r>
        <w:br w:type="column"/>
      </w:r>
      <w:bookmarkStart w:id="61" w:name="_Toc486512525"/>
      <w:bookmarkStart w:id="62" w:name="_Toc486513090"/>
      <w:bookmarkStart w:id="63" w:name="_Toc516827341"/>
      <w:bookmarkStart w:id="64" w:name="_Toc15579813"/>
      <w:r>
        <w:t xml:space="preserve">Step 3 </w:t>
      </w:r>
      <w:r w:rsidR="00552ACE">
        <w:t>–</w:t>
      </w:r>
      <w:r>
        <w:t xml:space="preserve"> </w:t>
      </w:r>
      <w:r w:rsidR="00552ACE">
        <w:t xml:space="preserve">Assess </w:t>
      </w:r>
      <w:bookmarkEnd w:id="61"/>
      <w:bookmarkEnd w:id="62"/>
      <w:bookmarkEnd w:id="63"/>
      <w:r w:rsidR="00F61284">
        <w:t>monitoring, support and intervention level</w:t>
      </w:r>
      <w:bookmarkEnd w:id="64"/>
    </w:p>
    <w:p w14:paraId="6A92AF9C" w14:textId="53FD395D" w:rsidR="00BF42AB" w:rsidRDefault="00F84C75" w:rsidP="00FC38E7">
      <w:pPr>
        <w:pStyle w:val="DHHSbody"/>
      </w:pPr>
      <w:r>
        <w:t xml:space="preserve">The </w:t>
      </w:r>
      <w:r w:rsidR="007450D2">
        <w:t>Framework</w:t>
      </w:r>
      <w:r>
        <w:t xml:space="preserve"> includes </w:t>
      </w:r>
      <w:r w:rsidR="00A91235">
        <w:t>three</w:t>
      </w:r>
      <w:r>
        <w:t xml:space="preserve"> levels of monitoring, support and intervention:</w:t>
      </w:r>
    </w:p>
    <w:p w14:paraId="1643B31D" w14:textId="7FEE6AC5" w:rsidR="00F84C75" w:rsidRPr="00FC38E7" w:rsidRDefault="00F84C75" w:rsidP="00FC38E7">
      <w:pPr>
        <w:pStyle w:val="DHHSbullet1"/>
      </w:pPr>
      <w:r>
        <w:t>Sta</w:t>
      </w:r>
      <w:r w:rsidRPr="00FC38E7">
        <w:t>ndard (with/without a</w:t>
      </w:r>
      <w:r w:rsidR="00687BB7" w:rsidRPr="00FC38E7">
        <w:t xml:space="preserve">n </w:t>
      </w:r>
      <w:r w:rsidR="00EB558B">
        <w:t xml:space="preserve">agreed </w:t>
      </w:r>
      <w:r w:rsidR="00687BB7" w:rsidRPr="00FC38E7">
        <w:t>action</w:t>
      </w:r>
      <w:r w:rsidRPr="00FC38E7">
        <w:t xml:space="preserve"> plan)</w:t>
      </w:r>
    </w:p>
    <w:p w14:paraId="34D4A7DE" w14:textId="77777777" w:rsidR="00007D51" w:rsidRPr="00FC38E7" w:rsidRDefault="00F1470B" w:rsidP="00FC38E7">
      <w:pPr>
        <w:pStyle w:val="DHHSbullet1"/>
      </w:pPr>
      <w:r w:rsidRPr="00FC38E7">
        <w:t>Performance Support</w:t>
      </w:r>
    </w:p>
    <w:p w14:paraId="7D3AF5E7" w14:textId="79A472CA" w:rsidR="00F84C75" w:rsidRDefault="00F1470B" w:rsidP="00FC38E7">
      <w:pPr>
        <w:pStyle w:val="DHHSbullet1"/>
      </w:pPr>
      <w:r w:rsidRPr="00FC38E7">
        <w:t xml:space="preserve">Intensive </w:t>
      </w:r>
      <w:r>
        <w:t>Monitoring</w:t>
      </w:r>
    </w:p>
    <w:p w14:paraId="64D60322" w14:textId="247ADF3E" w:rsidR="00BF42AB" w:rsidRDefault="00F84C75" w:rsidP="00FC38E7">
      <w:pPr>
        <w:pStyle w:val="DHHSbodyafterbullets"/>
      </w:pPr>
      <w:r>
        <w:t>In determining the level of monitoring, support or inter</w:t>
      </w:r>
      <w:r w:rsidR="00B176A0">
        <w:t>vention required, the d</w:t>
      </w:r>
      <w:r>
        <w:t xml:space="preserve">epartment </w:t>
      </w:r>
      <w:r w:rsidR="00DC255F">
        <w:t>considers</w:t>
      </w:r>
      <w:r>
        <w:t xml:space="preserve"> the </w:t>
      </w:r>
      <w:r w:rsidR="00EB558B">
        <w:t>risk levels</w:t>
      </w:r>
      <w:r w:rsidR="00D74CDB">
        <w:t xml:space="preserve"> </w:t>
      </w:r>
      <w:r>
        <w:t xml:space="preserve">for each </w:t>
      </w:r>
      <w:r w:rsidR="00DC255F">
        <w:t xml:space="preserve">performance </w:t>
      </w:r>
      <w:r>
        <w:t xml:space="preserve">domain and progress towards </w:t>
      </w:r>
      <w:r w:rsidR="006F3E20">
        <w:t>agreed action plans</w:t>
      </w:r>
      <w:r>
        <w:t>.</w:t>
      </w:r>
    </w:p>
    <w:p w14:paraId="3D48F640" w14:textId="1867E557" w:rsidR="00F84C75" w:rsidRPr="002642E5" w:rsidRDefault="007B40E8" w:rsidP="00FC38E7">
      <w:pPr>
        <w:pStyle w:val="DHHSbody"/>
      </w:pPr>
      <w:r>
        <w:t>Table 5</w:t>
      </w:r>
      <w:r w:rsidR="00F84C75">
        <w:t xml:space="preserve"> summarises the criteria used to</w:t>
      </w:r>
      <w:r w:rsidR="00E255B2">
        <w:t xml:space="preserve"> guide this determination (for example, </w:t>
      </w:r>
      <w:r w:rsidR="00F84C75">
        <w:t xml:space="preserve">the higher the </w:t>
      </w:r>
      <w:r w:rsidR="00D74CDB">
        <w:t xml:space="preserve">ratings </w:t>
      </w:r>
      <w:r w:rsidR="00F84C75">
        <w:t xml:space="preserve">across the domains and the lesser the progress to mitigate the </w:t>
      </w:r>
      <w:r w:rsidR="00D74CDB">
        <w:t>concern</w:t>
      </w:r>
      <w:r w:rsidR="00F84C75">
        <w:t xml:space="preserve">, the </w:t>
      </w:r>
      <w:r w:rsidR="004705C9">
        <w:t>higher the requirement for</w:t>
      </w:r>
      <w:r w:rsidR="00F84C75">
        <w:t xml:space="preserve"> monitoring, support </w:t>
      </w:r>
      <w:r w:rsidR="004705C9">
        <w:t xml:space="preserve">or </w:t>
      </w:r>
      <w:r w:rsidR="00F84C75">
        <w:t>intervention</w:t>
      </w:r>
      <w:r w:rsidR="00F84C75" w:rsidRPr="005F72F5">
        <w:rPr>
          <w:color w:val="000000"/>
        </w:rPr>
        <w:t>).</w:t>
      </w:r>
    </w:p>
    <w:p w14:paraId="331BC1C1" w14:textId="77777777" w:rsidR="00F84C75" w:rsidRDefault="00F84C75" w:rsidP="00172D45">
      <w:pPr>
        <w:pStyle w:val="DHHSbody"/>
        <w:sectPr w:rsidR="00F84C75" w:rsidSect="004755B3">
          <w:type w:val="continuous"/>
          <w:pgSz w:w="11906" w:h="16838"/>
          <w:pgMar w:top="1134" w:right="1304" w:bottom="851" w:left="1304" w:header="454" w:footer="510" w:gutter="0"/>
          <w:cols w:num="2" w:space="397" w:equalWidth="0">
            <w:col w:w="1134" w:space="397"/>
            <w:col w:w="7767"/>
          </w:cols>
          <w:docGrid w:linePitch="360"/>
        </w:sectPr>
      </w:pPr>
    </w:p>
    <w:p w14:paraId="4AE4CE0C" w14:textId="20051A84" w:rsidR="00F84C75" w:rsidRPr="00900BF4" w:rsidRDefault="00F84C75" w:rsidP="00796B2E">
      <w:pPr>
        <w:pStyle w:val="DHHStablecaption"/>
      </w:pPr>
      <w:r w:rsidRPr="00900BF4">
        <w:t>T</w:t>
      </w:r>
      <w:r w:rsidR="00C47569" w:rsidRPr="00900BF4">
        <w:t>able 5</w:t>
      </w:r>
      <w:r w:rsidRPr="00900BF4">
        <w:t>: Criteria for determining the level of monitoring, support and intervention</w:t>
      </w:r>
    </w:p>
    <w:tbl>
      <w:tblPr>
        <w:tblW w:w="9299" w:type="dxa"/>
        <w:tblBorders>
          <w:top w:val="single" w:sz="4" w:space="0" w:color="201547"/>
          <w:left w:val="single" w:sz="4" w:space="0" w:color="201547"/>
          <w:bottom w:val="single" w:sz="4" w:space="0" w:color="201547"/>
          <w:right w:val="single" w:sz="4" w:space="0" w:color="201547"/>
          <w:insideH w:val="single" w:sz="4" w:space="0" w:color="201547"/>
          <w:insideV w:val="single" w:sz="4" w:space="0" w:color="201547"/>
        </w:tblBorders>
        <w:tblLook w:val="06A0" w:firstRow="1" w:lastRow="0" w:firstColumn="1" w:lastColumn="0" w:noHBand="1" w:noVBand="1"/>
      </w:tblPr>
      <w:tblGrid>
        <w:gridCol w:w="2263"/>
        <w:gridCol w:w="7036"/>
      </w:tblGrid>
      <w:tr w:rsidR="005B2DF7" w14:paraId="6E077D5E" w14:textId="77777777" w:rsidTr="005B2DF7">
        <w:trPr>
          <w:trHeight w:val="454"/>
          <w:tblHeader/>
        </w:trPr>
        <w:tc>
          <w:tcPr>
            <w:tcW w:w="2263" w:type="dxa"/>
            <w:shd w:val="clear" w:color="auto" w:fill="007B4B"/>
            <w:vAlign w:val="center"/>
          </w:tcPr>
          <w:p w14:paraId="27F6AF18" w14:textId="611EB64D" w:rsidR="005B2DF7" w:rsidRPr="002642E5" w:rsidRDefault="003176C7" w:rsidP="005B2DF7">
            <w:pPr>
              <w:pStyle w:val="DHHStablecolhead"/>
              <w:rPr>
                <w:rFonts w:eastAsia="Times"/>
              </w:rPr>
            </w:pPr>
            <w:r>
              <w:t>Monitoring l</w:t>
            </w:r>
            <w:r w:rsidR="005B2DF7" w:rsidRPr="003C2091">
              <w:t>evel</w:t>
            </w:r>
          </w:p>
        </w:tc>
        <w:tc>
          <w:tcPr>
            <w:tcW w:w="7036" w:type="dxa"/>
            <w:shd w:val="clear" w:color="auto" w:fill="007B4B"/>
            <w:vAlign w:val="center"/>
          </w:tcPr>
          <w:p w14:paraId="3DA7EBA2" w14:textId="7A2FE0F3" w:rsidR="005B2DF7" w:rsidRPr="002642E5" w:rsidRDefault="005B2DF7" w:rsidP="005B2DF7">
            <w:pPr>
              <w:pStyle w:val="DHHStablecolhead"/>
              <w:rPr>
                <w:rFonts w:eastAsia="Times"/>
              </w:rPr>
            </w:pPr>
            <w:r w:rsidRPr="003C2091">
              <w:t>Description</w:t>
            </w:r>
          </w:p>
        </w:tc>
      </w:tr>
      <w:tr w:rsidR="00F84C75" w14:paraId="0D10EE49" w14:textId="77777777" w:rsidTr="005B2DF7">
        <w:trPr>
          <w:trHeight w:val="840"/>
        </w:trPr>
        <w:tc>
          <w:tcPr>
            <w:tcW w:w="2263" w:type="dxa"/>
            <w:shd w:val="clear" w:color="auto" w:fill="EAF1DD"/>
          </w:tcPr>
          <w:p w14:paraId="5BB70BF3" w14:textId="3B479C6C" w:rsidR="00F84C75" w:rsidRPr="002642E5" w:rsidRDefault="00F84C75" w:rsidP="00946D7B">
            <w:pPr>
              <w:pStyle w:val="DHHStabletext"/>
              <w:keepNext/>
              <w:rPr>
                <w:rFonts w:eastAsia="Times"/>
              </w:rPr>
            </w:pPr>
            <w:r w:rsidRPr="002642E5">
              <w:rPr>
                <w:rFonts w:eastAsia="Times"/>
              </w:rPr>
              <w:t>Standard</w:t>
            </w:r>
            <w:r w:rsidR="00CC5FE5">
              <w:rPr>
                <w:rFonts w:eastAsia="Times"/>
              </w:rPr>
              <w:t xml:space="preserve"> </w:t>
            </w:r>
          </w:p>
          <w:p w14:paraId="18525600" w14:textId="7ECB670A" w:rsidR="00F84C75" w:rsidRPr="002642E5" w:rsidRDefault="00F84C75" w:rsidP="00946D7B">
            <w:pPr>
              <w:pStyle w:val="DHHStabletext"/>
              <w:keepNext/>
              <w:rPr>
                <w:rFonts w:eastAsia="Times"/>
              </w:rPr>
            </w:pPr>
            <w:r w:rsidRPr="002642E5">
              <w:rPr>
                <w:rFonts w:eastAsia="Times"/>
              </w:rPr>
              <w:t>(with</w:t>
            </w:r>
            <w:r w:rsidR="003E11EB">
              <w:rPr>
                <w:rFonts w:eastAsia="Times"/>
              </w:rPr>
              <w:t>/</w:t>
            </w:r>
            <w:r w:rsidRPr="002642E5">
              <w:rPr>
                <w:rFonts w:eastAsia="Times"/>
              </w:rPr>
              <w:t xml:space="preserve">without </w:t>
            </w:r>
            <w:r w:rsidR="00D74CDB">
              <w:rPr>
                <w:rFonts w:eastAsia="Times"/>
              </w:rPr>
              <w:t>agreed action plan</w:t>
            </w:r>
            <w:r w:rsidRPr="002642E5">
              <w:rPr>
                <w:rFonts w:eastAsia="Times"/>
              </w:rPr>
              <w:t>)</w:t>
            </w:r>
          </w:p>
        </w:tc>
        <w:tc>
          <w:tcPr>
            <w:tcW w:w="7036" w:type="dxa"/>
            <w:shd w:val="clear" w:color="auto" w:fill="auto"/>
          </w:tcPr>
          <w:p w14:paraId="60AAA1E0" w14:textId="05F99795" w:rsidR="00F84C75" w:rsidRPr="002642E5" w:rsidRDefault="00F84C75" w:rsidP="00946D7B">
            <w:pPr>
              <w:pStyle w:val="DHHStabletext"/>
              <w:keepNext/>
              <w:rPr>
                <w:rFonts w:eastAsia="Times"/>
              </w:rPr>
            </w:pPr>
            <w:r w:rsidRPr="002642E5">
              <w:rPr>
                <w:rFonts w:eastAsia="Times"/>
              </w:rPr>
              <w:t>L</w:t>
            </w:r>
            <w:r>
              <w:rPr>
                <w:rFonts w:eastAsia="Times"/>
              </w:rPr>
              <w:t xml:space="preserve">ow </w:t>
            </w:r>
            <w:r w:rsidR="00605483">
              <w:rPr>
                <w:rFonts w:eastAsia="Times"/>
              </w:rPr>
              <w:t xml:space="preserve">risk </w:t>
            </w:r>
            <w:r w:rsidR="00216862">
              <w:rPr>
                <w:rFonts w:eastAsia="Times"/>
              </w:rPr>
              <w:t>levels</w:t>
            </w:r>
            <w:r w:rsidR="00D74CDB">
              <w:rPr>
                <w:rFonts w:eastAsia="Times"/>
              </w:rPr>
              <w:t xml:space="preserve"> </w:t>
            </w:r>
            <w:r>
              <w:rPr>
                <w:rFonts w:eastAsia="Times"/>
              </w:rPr>
              <w:t xml:space="preserve">across all domains </w:t>
            </w:r>
            <w:r w:rsidR="004401EE">
              <w:rPr>
                <w:rFonts w:eastAsia="Times"/>
              </w:rPr>
              <w:t xml:space="preserve">OR </w:t>
            </w:r>
            <w:r>
              <w:rPr>
                <w:rFonts w:eastAsia="Times"/>
              </w:rPr>
              <w:br/>
            </w:r>
            <w:r w:rsidR="001E001C">
              <w:rPr>
                <w:rFonts w:eastAsia="Times"/>
              </w:rPr>
              <w:t>D</w:t>
            </w:r>
            <w:r w:rsidRPr="002642E5">
              <w:rPr>
                <w:rFonts w:eastAsia="Times"/>
              </w:rPr>
              <w:t>omain</w:t>
            </w:r>
            <w:r w:rsidR="00B07E14">
              <w:rPr>
                <w:rFonts w:eastAsia="Times"/>
              </w:rPr>
              <w:t>(s)</w:t>
            </w:r>
            <w:r w:rsidRPr="002642E5">
              <w:rPr>
                <w:rFonts w:eastAsia="Times"/>
              </w:rPr>
              <w:t xml:space="preserve"> </w:t>
            </w:r>
            <w:r w:rsidR="00C92A8D">
              <w:rPr>
                <w:rFonts w:eastAsia="Times"/>
              </w:rPr>
              <w:t xml:space="preserve">with </w:t>
            </w:r>
            <w:r w:rsidR="00A964BC">
              <w:rPr>
                <w:rFonts w:eastAsia="Times"/>
              </w:rPr>
              <w:t xml:space="preserve">a </w:t>
            </w:r>
            <w:r w:rsidRPr="002642E5">
              <w:rPr>
                <w:rFonts w:eastAsia="Times"/>
              </w:rPr>
              <w:t xml:space="preserve">medium </w:t>
            </w:r>
            <w:r w:rsidR="002267DF">
              <w:rPr>
                <w:rFonts w:eastAsia="Times"/>
              </w:rPr>
              <w:t xml:space="preserve">risk </w:t>
            </w:r>
            <w:r w:rsidR="00216862">
              <w:rPr>
                <w:rFonts w:eastAsia="Times"/>
              </w:rPr>
              <w:t>level</w:t>
            </w:r>
            <w:r w:rsidR="002267DF">
              <w:rPr>
                <w:rFonts w:eastAsia="Times"/>
              </w:rPr>
              <w:t xml:space="preserve"> </w:t>
            </w:r>
            <w:r w:rsidR="001079F6">
              <w:rPr>
                <w:rFonts w:eastAsia="Times"/>
              </w:rPr>
              <w:t>AND</w:t>
            </w:r>
            <w:r w:rsidR="002267DF">
              <w:rPr>
                <w:rFonts w:eastAsia="Times"/>
              </w:rPr>
              <w:t xml:space="preserve"> </w:t>
            </w:r>
            <w:r w:rsidR="00A565CB" w:rsidRPr="00900BF4">
              <w:rPr>
                <w:rFonts w:eastAsia="Times"/>
                <w:u w:val="single"/>
              </w:rPr>
              <w:t>working</w:t>
            </w:r>
            <w:r w:rsidR="00A565CB">
              <w:rPr>
                <w:rFonts w:eastAsia="Times"/>
              </w:rPr>
              <w:t xml:space="preserve"> </w:t>
            </w:r>
            <w:r w:rsidR="00A964BC">
              <w:rPr>
                <w:rFonts w:eastAsia="Times"/>
              </w:rPr>
              <w:t>performance improvement /</w:t>
            </w:r>
            <w:r w:rsidR="001079F6">
              <w:rPr>
                <w:rFonts w:eastAsia="Times"/>
              </w:rPr>
              <w:t xml:space="preserve"> </w:t>
            </w:r>
            <w:r w:rsidR="00A964BC">
              <w:rPr>
                <w:rFonts w:eastAsia="Times"/>
              </w:rPr>
              <w:t xml:space="preserve">mitigation </w:t>
            </w:r>
            <w:r w:rsidR="00A565CB">
              <w:rPr>
                <w:rFonts w:eastAsia="Times"/>
              </w:rPr>
              <w:t>plan</w:t>
            </w:r>
            <w:r w:rsidR="00B07E14">
              <w:rPr>
                <w:rFonts w:eastAsia="Times"/>
              </w:rPr>
              <w:t>(s)</w:t>
            </w:r>
          </w:p>
        </w:tc>
      </w:tr>
      <w:tr w:rsidR="00F84C75" w14:paraId="51671D19" w14:textId="77777777" w:rsidTr="005B2DF7">
        <w:trPr>
          <w:trHeight w:val="697"/>
        </w:trPr>
        <w:tc>
          <w:tcPr>
            <w:tcW w:w="2263" w:type="dxa"/>
            <w:shd w:val="clear" w:color="auto" w:fill="FDE9D9"/>
          </w:tcPr>
          <w:p w14:paraId="5D922D2D" w14:textId="61181967" w:rsidR="00F84C75" w:rsidRPr="002642E5" w:rsidRDefault="00532745" w:rsidP="00946D7B">
            <w:pPr>
              <w:pStyle w:val="DHHStabletext"/>
              <w:keepNext/>
              <w:rPr>
                <w:rFonts w:eastAsia="Times"/>
              </w:rPr>
            </w:pPr>
            <w:r>
              <w:rPr>
                <w:rFonts w:eastAsia="Times"/>
              </w:rPr>
              <w:t>Performance support</w:t>
            </w:r>
          </w:p>
        </w:tc>
        <w:tc>
          <w:tcPr>
            <w:tcW w:w="7036" w:type="dxa"/>
            <w:shd w:val="clear" w:color="auto" w:fill="auto"/>
          </w:tcPr>
          <w:p w14:paraId="4BDBFC33" w14:textId="7E2BE1BB" w:rsidR="00F84C75" w:rsidRPr="002642E5" w:rsidRDefault="00F84C75" w:rsidP="00946D7B">
            <w:pPr>
              <w:pStyle w:val="DHHStabletext"/>
              <w:keepNext/>
              <w:rPr>
                <w:rFonts w:eastAsia="Times"/>
              </w:rPr>
            </w:pPr>
            <w:r w:rsidRPr="002642E5">
              <w:rPr>
                <w:rFonts w:eastAsia="Times"/>
              </w:rPr>
              <w:t xml:space="preserve">High </w:t>
            </w:r>
            <w:r w:rsidR="00D93E77">
              <w:rPr>
                <w:rFonts w:eastAsia="Times"/>
              </w:rPr>
              <w:t xml:space="preserve">risk </w:t>
            </w:r>
            <w:r w:rsidR="00216862">
              <w:rPr>
                <w:rFonts w:eastAsia="Times"/>
              </w:rPr>
              <w:t>level</w:t>
            </w:r>
            <w:r w:rsidR="00D74CDB">
              <w:rPr>
                <w:rFonts w:eastAsia="Times"/>
              </w:rPr>
              <w:t xml:space="preserve"> </w:t>
            </w:r>
            <w:r>
              <w:rPr>
                <w:rFonts w:eastAsia="Times"/>
              </w:rPr>
              <w:t xml:space="preserve">on any domain </w:t>
            </w:r>
            <w:r w:rsidR="004401EE">
              <w:rPr>
                <w:rFonts w:eastAsia="Times"/>
              </w:rPr>
              <w:t xml:space="preserve">OR </w:t>
            </w:r>
            <w:r>
              <w:rPr>
                <w:rFonts w:eastAsia="Times"/>
              </w:rPr>
              <w:br/>
            </w:r>
            <w:r w:rsidR="00B07E14">
              <w:rPr>
                <w:rFonts w:eastAsia="Times"/>
              </w:rPr>
              <w:t xml:space="preserve">Any </w:t>
            </w:r>
            <w:r w:rsidR="00FD7687" w:rsidRPr="002642E5">
              <w:rPr>
                <w:rFonts w:eastAsia="Times"/>
              </w:rPr>
              <w:t xml:space="preserve">domain </w:t>
            </w:r>
            <w:r w:rsidR="00FD7687">
              <w:rPr>
                <w:rFonts w:eastAsia="Times"/>
              </w:rPr>
              <w:t xml:space="preserve">with a </w:t>
            </w:r>
            <w:r w:rsidR="00FD7687" w:rsidRPr="002642E5">
              <w:rPr>
                <w:rFonts w:eastAsia="Times"/>
              </w:rPr>
              <w:t xml:space="preserve">medium </w:t>
            </w:r>
            <w:r w:rsidR="00FD7687">
              <w:rPr>
                <w:rFonts w:eastAsia="Times"/>
              </w:rPr>
              <w:t xml:space="preserve">risk </w:t>
            </w:r>
            <w:r w:rsidR="00216862">
              <w:rPr>
                <w:rFonts w:eastAsia="Times"/>
              </w:rPr>
              <w:t>level</w:t>
            </w:r>
            <w:r w:rsidR="00FD7687">
              <w:rPr>
                <w:rFonts w:eastAsia="Times"/>
              </w:rPr>
              <w:t xml:space="preserve"> </w:t>
            </w:r>
            <w:r w:rsidR="00C06DD9">
              <w:rPr>
                <w:rFonts w:eastAsia="Times"/>
              </w:rPr>
              <w:t>with</w:t>
            </w:r>
            <w:r w:rsidR="00FD7687">
              <w:rPr>
                <w:rFonts w:eastAsia="Times"/>
              </w:rPr>
              <w:t xml:space="preserve"> </w:t>
            </w:r>
            <w:r w:rsidR="00D74CDB">
              <w:rPr>
                <w:rFonts w:eastAsia="Times"/>
              </w:rPr>
              <w:t>action</w:t>
            </w:r>
            <w:r w:rsidRPr="002642E5">
              <w:rPr>
                <w:rFonts w:eastAsia="Times"/>
              </w:rPr>
              <w:t xml:space="preserve"> plan </w:t>
            </w:r>
            <w:r w:rsidRPr="00900BF4">
              <w:rPr>
                <w:rFonts w:eastAsia="Times"/>
                <w:u w:val="single"/>
              </w:rPr>
              <w:t>not working</w:t>
            </w:r>
            <w:r w:rsidR="008A6E58">
              <w:rPr>
                <w:rFonts w:eastAsia="Times"/>
              </w:rPr>
              <w:t xml:space="preserve"> </w:t>
            </w:r>
            <w:r w:rsidR="00CC5FE5">
              <w:rPr>
                <w:rFonts w:eastAsia="Times"/>
              </w:rPr>
              <w:t xml:space="preserve">OR </w:t>
            </w:r>
            <w:r w:rsidR="008A6E58">
              <w:rPr>
                <w:rFonts w:eastAsia="Times"/>
              </w:rPr>
              <w:t>any actions or interventions identified in previous quarters not undertaken</w:t>
            </w:r>
          </w:p>
        </w:tc>
      </w:tr>
      <w:tr w:rsidR="00F84C75" w14:paraId="194A3235" w14:textId="77777777" w:rsidTr="005B2DF7">
        <w:trPr>
          <w:trHeight w:val="693"/>
        </w:trPr>
        <w:tc>
          <w:tcPr>
            <w:tcW w:w="2263" w:type="dxa"/>
            <w:shd w:val="clear" w:color="auto" w:fill="F2DBDB"/>
          </w:tcPr>
          <w:p w14:paraId="7BD4297C" w14:textId="4548BA65" w:rsidR="00F84C75" w:rsidRPr="002642E5" w:rsidRDefault="00532745" w:rsidP="00946D7B">
            <w:pPr>
              <w:pStyle w:val="DHHStabletext"/>
              <w:keepNext/>
              <w:rPr>
                <w:rFonts w:eastAsia="Times"/>
              </w:rPr>
            </w:pPr>
            <w:r>
              <w:rPr>
                <w:rFonts w:eastAsia="Times"/>
              </w:rPr>
              <w:t xml:space="preserve">Intensive </w:t>
            </w:r>
          </w:p>
        </w:tc>
        <w:tc>
          <w:tcPr>
            <w:tcW w:w="7036" w:type="dxa"/>
            <w:shd w:val="clear" w:color="auto" w:fill="auto"/>
          </w:tcPr>
          <w:p w14:paraId="67098CE8" w14:textId="77777777" w:rsidR="00007D51" w:rsidRDefault="00F84C75" w:rsidP="00946D7B">
            <w:pPr>
              <w:pStyle w:val="DHHStabletext"/>
              <w:keepNext/>
              <w:rPr>
                <w:rFonts w:eastAsia="Times"/>
              </w:rPr>
            </w:pPr>
            <w:r w:rsidRPr="002642E5">
              <w:rPr>
                <w:rFonts w:eastAsia="Times"/>
              </w:rPr>
              <w:t xml:space="preserve">High </w:t>
            </w:r>
            <w:r w:rsidR="00216862">
              <w:rPr>
                <w:rFonts w:eastAsia="Times"/>
              </w:rPr>
              <w:t>risk level</w:t>
            </w:r>
            <w:r w:rsidR="00D74CDB" w:rsidRPr="002642E5">
              <w:rPr>
                <w:rFonts w:eastAsia="Times"/>
              </w:rPr>
              <w:t xml:space="preserve"> </w:t>
            </w:r>
            <w:r w:rsidRPr="002642E5">
              <w:rPr>
                <w:rFonts w:eastAsia="Times"/>
              </w:rPr>
              <w:t>on two or more domains</w:t>
            </w:r>
          </w:p>
          <w:p w14:paraId="15487F59" w14:textId="5D38CC7C" w:rsidR="00F84C75" w:rsidRPr="00900BF4" w:rsidRDefault="00D51431" w:rsidP="00946D7B">
            <w:pPr>
              <w:pStyle w:val="DHHStabletext"/>
              <w:keepNext/>
              <w:rPr>
                <w:rFonts w:eastAsia="Times"/>
                <w:i/>
              </w:rPr>
            </w:pPr>
            <w:r>
              <w:rPr>
                <w:rFonts w:eastAsia="Times"/>
                <w:i/>
              </w:rPr>
              <w:t>H</w:t>
            </w:r>
            <w:r w:rsidR="00CA43BB" w:rsidRPr="00900BF4">
              <w:rPr>
                <w:rFonts w:eastAsia="Times"/>
                <w:i/>
              </w:rPr>
              <w:t>ealth s</w:t>
            </w:r>
            <w:r w:rsidR="00F84C75" w:rsidRPr="00900BF4">
              <w:rPr>
                <w:rFonts w:eastAsia="Times"/>
                <w:i/>
              </w:rPr>
              <w:t xml:space="preserve">ervice review may be required </w:t>
            </w:r>
            <w:r w:rsidR="008478F8">
              <w:rPr>
                <w:rFonts w:eastAsia="Times"/>
                <w:i/>
              </w:rPr>
              <w:t>to address</w:t>
            </w:r>
            <w:r w:rsidR="008478F8" w:rsidRPr="00900BF4">
              <w:rPr>
                <w:rFonts w:eastAsia="Times"/>
                <w:i/>
              </w:rPr>
              <w:t xml:space="preserve"> </w:t>
            </w:r>
            <w:r w:rsidR="00F84C75" w:rsidRPr="00900BF4">
              <w:rPr>
                <w:rFonts w:eastAsia="Times"/>
                <w:i/>
              </w:rPr>
              <w:t xml:space="preserve">performance </w:t>
            </w:r>
            <w:r w:rsidR="008478F8">
              <w:rPr>
                <w:rFonts w:eastAsia="Times"/>
                <w:i/>
              </w:rPr>
              <w:t>concerns</w:t>
            </w:r>
          </w:p>
        </w:tc>
      </w:tr>
    </w:tbl>
    <w:p w14:paraId="0BA1BCA2" w14:textId="77777777" w:rsidR="00F94383" w:rsidRDefault="00F94383">
      <w:pPr>
        <w:rPr>
          <w:rFonts w:ascii="Arial" w:eastAsia="Times" w:hAnsi="Arial"/>
        </w:rPr>
      </w:pPr>
      <w:r>
        <w:br w:type="page"/>
      </w:r>
    </w:p>
    <w:p w14:paraId="088737A4" w14:textId="6BF75C6D" w:rsidR="00BF42AB" w:rsidRDefault="00F84C75" w:rsidP="00F519A4">
      <w:pPr>
        <w:pStyle w:val="DHHSbodyaftertablefigure"/>
      </w:pPr>
      <w:r>
        <w:lastRenderedPageBreak/>
        <w:t xml:space="preserve">Performance levels are </w:t>
      </w:r>
      <w:r w:rsidRPr="007665E5">
        <w:t>determined quarterly unless serious concern</w:t>
      </w:r>
      <w:r w:rsidR="00687BB7">
        <w:t>s</w:t>
      </w:r>
      <w:r w:rsidRPr="007665E5">
        <w:t xml:space="preserve"> or </w:t>
      </w:r>
      <w:r>
        <w:t xml:space="preserve">emerging </w:t>
      </w:r>
      <w:r w:rsidR="006F3E20">
        <w:t>issues</w:t>
      </w:r>
      <w:r w:rsidR="006F3E20" w:rsidRPr="007665E5">
        <w:t xml:space="preserve"> </w:t>
      </w:r>
      <w:r w:rsidRPr="007665E5">
        <w:t>require more immediate escalation and intervention.</w:t>
      </w:r>
    </w:p>
    <w:p w14:paraId="11729309" w14:textId="1E9F41A9" w:rsidR="00BF42AB" w:rsidRDefault="00B176A0" w:rsidP="00F84C75">
      <w:pPr>
        <w:pStyle w:val="DHHSbody"/>
      </w:pPr>
      <w:r>
        <w:t>The d</w:t>
      </w:r>
      <w:r w:rsidR="00F84C75">
        <w:t xml:space="preserve">epartment </w:t>
      </w:r>
      <w:r w:rsidR="00B303C4">
        <w:t>determine</w:t>
      </w:r>
      <w:r w:rsidR="00AA4C2E">
        <w:t>s</w:t>
      </w:r>
      <w:r w:rsidR="00B303C4">
        <w:t xml:space="preserve"> </w:t>
      </w:r>
      <w:r w:rsidR="00F84C75">
        <w:t xml:space="preserve">the </w:t>
      </w:r>
      <w:r w:rsidR="00B303C4">
        <w:t xml:space="preserve">risk </w:t>
      </w:r>
      <w:r w:rsidR="00216862">
        <w:t>level</w:t>
      </w:r>
      <w:r w:rsidR="00B303C4">
        <w:t xml:space="preserve"> </w:t>
      </w:r>
      <w:r w:rsidR="00BF345B">
        <w:t>for each domain and the associated level of monitoring, support and intervention</w:t>
      </w:r>
      <w:r w:rsidR="008E3B4E">
        <w:t xml:space="preserve"> (</w:t>
      </w:r>
      <w:r w:rsidR="00D10D80">
        <w:t xml:space="preserve">see </w:t>
      </w:r>
      <w:r w:rsidR="008E3B4E">
        <w:t>Figure 4)</w:t>
      </w:r>
      <w:r w:rsidR="00BF345B">
        <w:t>.</w:t>
      </w:r>
      <w:r w:rsidR="007A2BC0">
        <w:t xml:space="preserve"> </w:t>
      </w:r>
      <w:r w:rsidR="00BF345B">
        <w:t xml:space="preserve">In making this determination the department will consult </w:t>
      </w:r>
      <w:r w:rsidR="00F84C75">
        <w:t xml:space="preserve">with the </w:t>
      </w:r>
      <w:r w:rsidR="00D13980">
        <w:t>h</w:t>
      </w:r>
      <w:r w:rsidR="00F84C75">
        <w:t xml:space="preserve">ealth </w:t>
      </w:r>
      <w:r w:rsidR="00D13980">
        <w:t>s</w:t>
      </w:r>
      <w:r w:rsidR="00F84C75">
        <w:t>ervice</w:t>
      </w:r>
      <w:r w:rsidR="00E61B48">
        <w:t>’</w:t>
      </w:r>
      <w:r w:rsidR="00F84C75">
        <w:t xml:space="preserve">s executives and </w:t>
      </w:r>
      <w:r w:rsidR="00D13980">
        <w:t xml:space="preserve">seek </w:t>
      </w:r>
      <w:r w:rsidR="00F84C75">
        <w:t xml:space="preserve">input </w:t>
      </w:r>
      <w:r w:rsidR="00D13980">
        <w:t xml:space="preserve">from experts, </w:t>
      </w:r>
      <w:r w:rsidR="00F84C75">
        <w:t xml:space="preserve">such as SCV and the </w:t>
      </w:r>
      <w:r w:rsidR="00477FA1">
        <w:t>OCP</w:t>
      </w:r>
      <w:r w:rsidR="00F84C75">
        <w:t>.</w:t>
      </w:r>
    </w:p>
    <w:p w14:paraId="77A65B26" w14:textId="77777777" w:rsidR="00007D51" w:rsidRDefault="00F84C75" w:rsidP="00F84C75">
      <w:pPr>
        <w:pStyle w:val="DHHSbody"/>
      </w:pPr>
      <w:r>
        <w:t xml:space="preserve">The rationale for the assigned level of monitoring, support or intervention </w:t>
      </w:r>
      <w:r w:rsidR="004705C9">
        <w:t xml:space="preserve">must be </w:t>
      </w:r>
      <w:r>
        <w:t xml:space="preserve">documented in the </w:t>
      </w:r>
      <w:r w:rsidR="002E5457">
        <w:t xml:space="preserve">department’s </w:t>
      </w:r>
      <w:r w:rsidR="000B621D">
        <w:t xml:space="preserve">performance </w:t>
      </w:r>
      <w:r>
        <w:t>risk assessment tool</w:t>
      </w:r>
      <w:r w:rsidR="00AA4C2E">
        <w:t>s</w:t>
      </w:r>
      <w:r>
        <w:t xml:space="preserve"> alongside any agreed actions </w:t>
      </w:r>
      <w:r w:rsidR="00C0138E">
        <w:t xml:space="preserve">associated with these </w:t>
      </w:r>
      <w:r w:rsidR="000B621D">
        <w:t xml:space="preserve">issues </w:t>
      </w:r>
      <w:r w:rsidR="007040EE">
        <w:t xml:space="preserve">as well as </w:t>
      </w:r>
      <w:r>
        <w:t>timelines for remediation.</w:t>
      </w:r>
    </w:p>
    <w:p w14:paraId="3BE6B19F" w14:textId="0C6671E9" w:rsidR="00966657" w:rsidRDefault="004705C9" w:rsidP="00F84C75">
      <w:pPr>
        <w:pStyle w:val="DHHSbody"/>
      </w:pPr>
      <w:r>
        <w:t xml:space="preserve">At a minimum, these actions should specify </w:t>
      </w:r>
      <w:r w:rsidRPr="00C36EE2">
        <w:rPr>
          <w:b/>
        </w:rPr>
        <w:t>who</w:t>
      </w:r>
      <w:r>
        <w:t xml:space="preserve"> is responsible for undertaking the action, </w:t>
      </w:r>
      <w:r w:rsidRPr="00C36EE2">
        <w:rPr>
          <w:b/>
        </w:rPr>
        <w:t>what</w:t>
      </w:r>
      <w:r>
        <w:t xml:space="preserve"> action is required, and </w:t>
      </w:r>
      <w:r w:rsidRPr="00C36EE2">
        <w:rPr>
          <w:b/>
        </w:rPr>
        <w:t>when</w:t>
      </w:r>
      <w:r>
        <w:t xml:space="preserve"> the action should be completed or otherwise reviewed.</w:t>
      </w:r>
      <w:r w:rsidR="00A46DEE">
        <w:t xml:space="preserve"> This is described in more detail in Step 4</w:t>
      </w:r>
      <w:r w:rsidR="00AD0A95">
        <w:t xml:space="preserve"> ‘Addressing performance concerns’</w:t>
      </w:r>
      <w:r w:rsidR="0081457F">
        <w:t>.</w:t>
      </w:r>
    </w:p>
    <w:p w14:paraId="313F9BEA" w14:textId="47A7351D" w:rsidR="00C33827" w:rsidRDefault="004C15C1" w:rsidP="00796B2E">
      <w:pPr>
        <w:pStyle w:val="DHHSfigurecaption"/>
      </w:pPr>
      <w:r w:rsidRPr="00216862">
        <w:t>Figure 4</w:t>
      </w:r>
      <w:r w:rsidR="00F64072">
        <w:t>:</w:t>
      </w:r>
      <w:r w:rsidRPr="00216862">
        <w:t xml:space="preserve"> </w:t>
      </w:r>
      <w:r w:rsidR="003921E8" w:rsidRPr="00585A5D">
        <w:t xml:space="preserve">Example of </w:t>
      </w:r>
      <w:r w:rsidR="003A0E9B" w:rsidRPr="00585A5D">
        <w:t>p</w:t>
      </w:r>
      <w:r w:rsidR="00C33827" w:rsidRPr="00585A5D">
        <w:t>erformance</w:t>
      </w:r>
      <w:r w:rsidR="00C33827" w:rsidRPr="00A73A11">
        <w:t xml:space="preserve"> </w:t>
      </w:r>
      <w:r w:rsidR="00F64072">
        <w:t>m</w:t>
      </w:r>
      <w:r w:rsidR="00C33827" w:rsidRPr="00A73A11">
        <w:t xml:space="preserve">onitoring </w:t>
      </w:r>
      <w:r w:rsidR="00CC1E06">
        <w:t>level determination</w:t>
      </w:r>
    </w:p>
    <w:p w14:paraId="74AD7039" w14:textId="5F932063" w:rsidR="00D82C69" w:rsidRDefault="00D82C69" w:rsidP="00D82C69">
      <w:pPr>
        <w:pStyle w:val="DHHSbody"/>
      </w:pPr>
      <w:r>
        <w:rPr>
          <w:noProof/>
        </w:rPr>
        <w:drawing>
          <wp:inline distT="0" distB="0" distL="0" distR="0" wp14:anchorId="2D4E53F6" wp14:editId="54740648">
            <wp:extent cx="5526035" cy="4367793"/>
            <wp:effectExtent l="0" t="0" r="0" b="0"/>
            <wp:docPr id="23" name="Picture 23" descr="For a text-equivalent description of this figure, follow the link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1806002_Fig4 Performance level determination.png"/>
                    <pic:cNvPicPr/>
                  </pic:nvPicPr>
                  <pic:blipFill>
                    <a:blip r:embed="rId37"/>
                    <a:stretch>
                      <a:fillRect/>
                    </a:stretch>
                  </pic:blipFill>
                  <pic:spPr>
                    <a:xfrm>
                      <a:off x="0" y="0"/>
                      <a:ext cx="5526035" cy="4367793"/>
                    </a:xfrm>
                    <a:prstGeom prst="rect">
                      <a:avLst/>
                    </a:prstGeom>
                  </pic:spPr>
                </pic:pic>
              </a:graphicData>
            </a:graphic>
          </wp:inline>
        </w:drawing>
      </w:r>
    </w:p>
    <w:p w14:paraId="1BD0C70F" w14:textId="41918C75" w:rsidR="00441555" w:rsidRPr="00560194" w:rsidRDefault="002007DE" w:rsidP="00441555">
      <w:pPr>
        <w:pStyle w:val="DHHSbodyaftertablefigure"/>
      </w:pPr>
      <w:hyperlink w:anchor="Figure4Description" w:history="1">
        <w:r w:rsidR="00441555" w:rsidRPr="00441555">
          <w:rPr>
            <w:rStyle w:val="Hyperlink"/>
          </w:rPr>
          <w:t xml:space="preserve">Text-equivalent description of Figure </w:t>
        </w:r>
        <w:r w:rsidR="00441555">
          <w:rPr>
            <w:rStyle w:val="Hyperlink"/>
          </w:rPr>
          <w:t>4</w:t>
        </w:r>
        <w:r w:rsidR="00441555" w:rsidRPr="00441555">
          <w:rPr>
            <w:rStyle w:val="Hyperlink"/>
          </w:rPr>
          <w:t xml:space="preserve"> in the Appendix</w:t>
        </w:r>
      </w:hyperlink>
    </w:p>
    <w:p w14:paraId="2A4E604A" w14:textId="77777777" w:rsidR="00441555" w:rsidRPr="00D82C69" w:rsidRDefault="00441555" w:rsidP="00D82C69">
      <w:pPr>
        <w:pStyle w:val="DHHSbody"/>
      </w:pPr>
    </w:p>
    <w:p w14:paraId="6A973C0D" w14:textId="6BDAE59A" w:rsidR="00F84C75" w:rsidRPr="00F519A4" w:rsidRDefault="00F84C75" w:rsidP="00900BF4">
      <w:pPr>
        <w:pStyle w:val="DHHSbody"/>
        <w:jc w:val="center"/>
        <w:sectPr w:rsidR="00F84C75" w:rsidRPr="00F519A4" w:rsidSect="004755B3">
          <w:type w:val="continuous"/>
          <w:pgSz w:w="11906" w:h="16838"/>
          <w:pgMar w:top="1134" w:right="1304" w:bottom="851" w:left="1304" w:header="454" w:footer="510" w:gutter="0"/>
          <w:cols w:space="720"/>
          <w:docGrid w:linePitch="360"/>
        </w:sectPr>
      </w:pPr>
    </w:p>
    <w:p w14:paraId="46E7A00E" w14:textId="1B86B52A" w:rsidR="00F84C75" w:rsidRDefault="00EF4375" w:rsidP="00F84C75">
      <w:pPr>
        <w:pStyle w:val="DHHSbody"/>
      </w:pPr>
      <w:r>
        <w:rPr>
          <w:noProof/>
        </w:rPr>
        <w:lastRenderedPageBreak/>
        <w:drawing>
          <wp:inline distT="0" distB="0" distL="0" distR="0" wp14:anchorId="19E0D3AB" wp14:editId="716C670A">
            <wp:extent cx="720090" cy="720090"/>
            <wp:effectExtent l="0" t="0" r="3810" b="3810"/>
            <wp:docPr id="55" name="Picture 55"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1806002_risk_mitigation-01.png"/>
                    <pic:cNvPicPr/>
                  </pic:nvPicPr>
                  <pic:blipFill>
                    <a:blip r:embed="rId34"/>
                    <a:stretch>
                      <a:fillRect/>
                    </a:stretch>
                  </pic:blipFill>
                  <pic:spPr>
                    <a:xfrm>
                      <a:off x="0" y="0"/>
                      <a:ext cx="720090" cy="720090"/>
                    </a:xfrm>
                    <a:prstGeom prst="rect">
                      <a:avLst/>
                    </a:prstGeom>
                  </pic:spPr>
                </pic:pic>
              </a:graphicData>
            </a:graphic>
          </wp:inline>
        </w:drawing>
      </w:r>
    </w:p>
    <w:p w14:paraId="5ED6BE0F" w14:textId="429821EF" w:rsidR="00007D51" w:rsidRDefault="00FC38E7" w:rsidP="00DD4B34">
      <w:pPr>
        <w:pStyle w:val="Heading3"/>
      </w:pPr>
      <w:bookmarkStart w:id="65" w:name="_Step_4_–"/>
      <w:bookmarkEnd w:id="65"/>
      <w:r>
        <w:br w:type="column"/>
      </w:r>
      <w:bookmarkStart w:id="66" w:name="_Toc15579814"/>
      <w:r w:rsidR="00DD4B34">
        <w:t>Step 4 – Addressing performance concerns</w:t>
      </w:r>
      <w:bookmarkEnd w:id="66"/>
    </w:p>
    <w:p w14:paraId="719C727B" w14:textId="4403BF82" w:rsidR="00D41375" w:rsidRDefault="00DD4B34" w:rsidP="00617756">
      <w:pPr>
        <w:pStyle w:val="DHHSbody"/>
      </w:pPr>
      <w:r>
        <w:t xml:space="preserve">Once performance flags have been raised that require </w:t>
      </w:r>
      <w:r w:rsidR="000B7F73">
        <w:t>addressing</w:t>
      </w:r>
      <w:r w:rsidR="00D41375">
        <w:t xml:space="preserve">, the department and health services work together in developing and implementing a performance improvement plan and </w:t>
      </w:r>
      <w:r w:rsidR="005F541C">
        <w:t>will monito</w:t>
      </w:r>
      <w:r w:rsidR="00BB0491">
        <w:t>r health services according</w:t>
      </w:r>
      <w:r w:rsidR="000B7F73">
        <w:t xml:space="preserve"> to their </w:t>
      </w:r>
      <w:r w:rsidR="00534F18">
        <w:t>determined</w:t>
      </w:r>
      <w:r w:rsidR="000B7F73">
        <w:t xml:space="preserve"> </w:t>
      </w:r>
      <w:r w:rsidR="00534F18">
        <w:t xml:space="preserve">monitoring, support and </w:t>
      </w:r>
      <w:r w:rsidR="000B7F73">
        <w:t>intervention level</w:t>
      </w:r>
      <w:r w:rsidR="00D41375">
        <w:t>.</w:t>
      </w:r>
    </w:p>
    <w:p w14:paraId="5C745405" w14:textId="65A91BFA" w:rsidR="00BB0491" w:rsidRDefault="00BB0491" w:rsidP="00BB0491">
      <w:pPr>
        <w:pStyle w:val="DHHSbody"/>
      </w:pPr>
      <w:r>
        <w:t xml:space="preserve">As outlined in Table 6, </w:t>
      </w:r>
      <w:r w:rsidR="00FF6838">
        <w:t>monitoring</w:t>
      </w:r>
      <w:r w:rsidR="008916B7">
        <w:t>, support and intervention</w:t>
      </w:r>
      <w:r w:rsidR="00FF6838">
        <w:t xml:space="preserve"> </w:t>
      </w:r>
      <w:r>
        <w:t xml:space="preserve">levels intensify proportionate to the </w:t>
      </w:r>
      <w:r w:rsidR="00660A5A">
        <w:t>health service’s</w:t>
      </w:r>
      <w:r w:rsidR="004C712D">
        <w:t xml:space="preserve"> </w:t>
      </w:r>
      <w:r w:rsidR="00152159">
        <w:t xml:space="preserve">identified </w:t>
      </w:r>
      <w:r>
        <w:t>underperformance and safety concern</w:t>
      </w:r>
      <w:r w:rsidR="004C712D">
        <w:t>s</w:t>
      </w:r>
      <w:r>
        <w:t>. Increasing levels of consultation, support and intervention strategies are tailored depending on the level of monitoring required.</w:t>
      </w:r>
    </w:p>
    <w:p w14:paraId="654AC49E" w14:textId="77777777" w:rsidR="00117114" w:rsidRDefault="00117114" w:rsidP="00117114">
      <w:pPr>
        <w:pStyle w:val="DHHSbody"/>
      </w:pPr>
      <w:r w:rsidRPr="004A6FE4">
        <w:t>Such decisions are dependent on the magnitude of underperformance, the capacity or demonstrated level of remediation as well as any significant issues relating to governance and culture, given their risk to achieving and supporting sustained improvement.</w:t>
      </w:r>
    </w:p>
    <w:p w14:paraId="70630AB0" w14:textId="7D4C9B46" w:rsidR="00355C25" w:rsidRDefault="005728ED" w:rsidP="00172D45">
      <w:pPr>
        <w:pStyle w:val="DHHSbody"/>
        <w:sectPr w:rsidR="00355C25" w:rsidSect="004755B3">
          <w:headerReference w:type="even" r:id="rId38"/>
          <w:headerReference w:type="default" r:id="rId39"/>
          <w:footerReference w:type="even" r:id="rId40"/>
          <w:footerReference w:type="default" r:id="rId41"/>
          <w:headerReference w:type="first" r:id="rId42"/>
          <w:footerReference w:type="first" r:id="rId43"/>
          <w:pgSz w:w="11906" w:h="16838"/>
          <w:pgMar w:top="1134" w:right="1304" w:bottom="851" w:left="1304" w:header="454" w:footer="510" w:gutter="0"/>
          <w:cols w:num="2" w:space="397" w:equalWidth="0">
            <w:col w:w="1134" w:space="397"/>
            <w:col w:w="7767"/>
          </w:cols>
          <w:docGrid w:linePitch="360"/>
        </w:sectPr>
      </w:pPr>
      <w:r>
        <w:t>T</w:t>
      </w:r>
      <w:r w:rsidR="00D936C2" w:rsidRPr="004A6FE4">
        <w:t xml:space="preserve">he department will </w:t>
      </w:r>
      <w:r w:rsidR="001368AC" w:rsidRPr="004A6FE4">
        <w:t>consider</w:t>
      </w:r>
      <w:r w:rsidR="00D936C2" w:rsidRPr="004A6FE4">
        <w:t xml:space="preserve"> evidence </w:t>
      </w:r>
      <w:r>
        <w:t>supporting</w:t>
      </w:r>
      <w:r w:rsidR="00D936C2" w:rsidRPr="004A6FE4">
        <w:t xml:space="preserve"> </w:t>
      </w:r>
      <w:r w:rsidR="008E40A8">
        <w:t xml:space="preserve">the </w:t>
      </w:r>
      <w:r w:rsidR="00D936C2">
        <w:t>steps taken</w:t>
      </w:r>
      <w:r>
        <w:t xml:space="preserve"> and</w:t>
      </w:r>
      <w:r w:rsidR="00D936C2">
        <w:t xml:space="preserve"> progress </w:t>
      </w:r>
      <w:r w:rsidR="00F75202">
        <w:t xml:space="preserve">made </w:t>
      </w:r>
      <w:r w:rsidR="00D936C2">
        <w:t xml:space="preserve">by </w:t>
      </w:r>
      <w:r w:rsidR="008E40A8">
        <w:t>the</w:t>
      </w:r>
      <w:r w:rsidR="00D936C2" w:rsidRPr="004A6FE4">
        <w:t xml:space="preserve"> health service</w:t>
      </w:r>
      <w:r w:rsidR="00711BB5">
        <w:t>,</w:t>
      </w:r>
      <w:r w:rsidR="00D936C2" w:rsidRPr="004A6FE4">
        <w:t xml:space="preserve"> and adjust the monitoring</w:t>
      </w:r>
      <w:r w:rsidR="00E209C7">
        <w:t>, support and intervention level</w:t>
      </w:r>
      <w:r w:rsidR="00D936C2" w:rsidRPr="004A6FE4">
        <w:t xml:space="preserve"> accordingly. This var</w:t>
      </w:r>
      <w:r w:rsidR="00A344CF">
        <w:t>ies</w:t>
      </w:r>
      <w:r w:rsidR="00D936C2" w:rsidRPr="004A6FE4">
        <w:t xml:space="preserve"> from case to case </w:t>
      </w:r>
      <w:r w:rsidR="002B03C9">
        <w:t xml:space="preserve">and </w:t>
      </w:r>
      <w:r w:rsidR="00EF5461">
        <w:t>can result in</w:t>
      </w:r>
      <w:r w:rsidR="00D936C2" w:rsidRPr="004A6FE4">
        <w:t xml:space="preserve"> </w:t>
      </w:r>
      <w:r w:rsidR="00EF5461">
        <w:t xml:space="preserve">either </w:t>
      </w:r>
      <w:r w:rsidR="007452F9">
        <w:t xml:space="preserve">a </w:t>
      </w:r>
      <w:r w:rsidR="00D936C2" w:rsidRPr="004A6FE4">
        <w:t xml:space="preserve">level </w:t>
      </w:r>
      <w:r w:rsidR="007452F9">
        <w:t xml:space="preserve">increase </w:t>
      </w:r>
      <w:r w:rsidR="00D936C2" w:rsidRPr="004A6FE4">
        <w:t>(</w:t>
      </w:r>
      <w:r w:rsidR="00A344CF">
        <w:t xml:space="preserve">e.g. </w:t>
      </w:r>
      <w:r w:rsidR="00D936C2" w:rsidRPr="004A6FE4">
        <w:t xml:space="preserve">through an independent report indicating systemic clinical risk) or </w:t>
      </w:r>
      <w:r w:rsidR="00EF5461">
        <w:t xml:space="preserve">level </w:t>
      </w:r>
      <w:r w:rsidR="007452F9">
        <w:t>decrease</w:t>
      </w:r>
      <w:r w:rsidR="00D936C2" w:rsidRPr="004A6FE4">
        <w:t xml:space="preserve"> (</w:t>
      </w:r>
      <w:r w:rsidR="00A344CF">
        <w:t xml:space="preserve">e.g. </w:t>
      </w:r>
      <w:r w:rsidR="00D936C2" w:rsidRPr="004A6FE4">
        <w:t>through verification of an effective remediation action).</w:t>
      </w:r>
      <w:r w:rsidR="002A540C">
        <w:t xml:space="preserve"> This is discussed in more detail below.</w:t>
      </w:r>
    </w:p>
    <w:p w14:paraId="229DED29" w14:textId="6B33E32D" w:rsidR="00F84C75" w:rsidRPr="00900BF4" w:rsidRDefault="007B40E8" w:rsidP="00796B2E">
      <w:pPr>
        <w:pStyle w:val="DHHStablecaption"/>
      </w:pPr>
      <w:r w:rsidRPr="00900BF4">
        <w:t>Table 6</w:t>
      </w:r>
      <w:r w:rsidR="00172D45" w:rsidRPr="00900BF4">
        <w:t>:</w:t>
      </w:r>
      <w:r w:rsidR="00F84C75" w:rsidRPr="00900BF4">
        <w:t xml:space="preserve"> </w:t>
      </w:r>
      <w:r w:rsidR="0041745B" w:rsidRPr="00900BF4">
        <w:t>Monitoring, support and intervention</w:t>
      </w:r>
      <w:r w:rsidR="00395B1A" w:rsidRPr="00900BF4">
        <w:t xml:space="preserve"> level</w:t>
      </w:r>
      <w:r w:rsidR="0041745B" w:rsidRPr="00900BF4">
        <w:t>s</w:t>
      </w:r>
      <w:r w:rsidR="00395B1A" w:rsidRPr="00900BF4">
        <w:t xml:space="preserve"> </w:t>
      </w:r>
      <w:r w:rsidR="0041745B" w:rsidRPr="00900BF4">
        <w:t>with</w:t>
      </w:r>
      <w:r w:rsidR="00395B1A" w:rsidRPr="00900BF4">
        <w:t xml:space="preserve"> </w:t>
      </w:r>
      <w:r w:rsidR="00B17CDB">
        <w:t>corresponding</w:t>
      </w:r>
      <w:r w:rsidR="00395B1A" w:rsidRPr="00900BF4">
        <w:t xml:space="preserve"> </w:t>
      </w:r>
      <w:r w:rsidR="003A7B53" w:rsidRPr="00900BF4">
        <w:t xml:space="preserve">meeting frequency and </w:t>
      </w:r>
      <w:r w:rsidR="00C23826" w:rsidRPr="00900BF4">
        <w:t>improvement</w:t>
      </w:r>
      <w:r w:rsidR="00BD4F8B" w:rsidRPr="00900BF4">
        <w:t xml:space="preserve"> </w:t>
      </w:r>
      <w:r w:rsidR="00F84C75" w:rsidRPr="00900BF4">
        <w:t>strategies</w:t>
      </w:r>
    </w:p>
    <w:tbl>
      <w:tblPr>
        <w:tblStyle w:val="TableGrid"/>
        <w:tblW w:w="9299" w:type="dxa"/>
        <w:tblInd w:w="0" w:type="dxa"/>
        <w:tblBorders>
          <w:top w:val="single" w:sz="4" w:space="0" w:color="201547"/>
          <w:left w:val="single" w:sz="4" w:space="0" w:color="201547"/>
          <w:bottom w:val="single" w:sz="4" w:space="0" w:color="201547"/>
          <w:right w:val="single" w:sz="4" w:space="0" w:color="201547"/>
          <w:insideH w:val="single" w:sz="4" w:space="0" w:color="201547"/>
          <w:insideV w:val="single" w:sz="4" w:space="0" w:color="201547"/>
        </w:tblBorders>
        <w:tblLayout w:type="fixed"/>
        <w:tblLook w:val="06A0" w:firstRow="1" w:lastRow="0" w:firstColumn="1" w:lastColumn="0" w:noHBand="1" w:noVBand="1"/>
      </w:tblPr>
      <w:tblGrid>
        <w:gridCol w:w="1753"/>
        <w:gridCol w:w="2297"/>
        <w:gridCol w:w="5249"/>
      </w:tblGrid>
      <w:tr w:rsidR="00081858" w:rsidRPr="00B17CDB" w14:paraId="3B6A176C" w14:textId="77777777" w:rsidTr="005B2DF7">
        <w:trPr>
          <w:trHeight w:val="455"/>
          <w:tblHeader/>
        </w:trPr>
        <w:tc>
          <w:tcPr>
            <w:tcW w:w="1730" w:type="dxa"/>
            <w:shd w:val="clear" w:color="auto" w:fill="007B4B"/>
            <w:vAlign w:val="center"/>
          </w:tcPr>
          <w:p w14:paraId="1FA0150A" w14:textId="001C68BC" w:rsidR="002D47BF" w:rsidRPr="003C2091" w:rsidRDefault="00A760B1" w:rsidP="002D47BF">
            <w:pPr>
              <w:pStyle w:val="DHHStablecolhead"/>
            </w:pPr>
            <w:r w:rsidRPr="003C2091">
              <w:t>L</w:t>
            </w:r>
            <w:r w:rsidR="002D47BF" w:rsidRPr="003C2091">
              <w:t>evel</w:t>
            </w:r>
          </w:p>
        </w:tc>
        <w:tc>
          <w:tcPr>
            <w:tcW w:w="2268" w:type="dxa"/>
            <w:shd w:val="clear" w:color="auto" w:fill="007B4B"/>
            <w:vAlign w:val="center"/>
          </w:tcPr>
          <w:p w14:paraId="0C323666" w14:textId="4562B2FE" w:rsidR="002D47BF" w:rsidRPr="003C2091" w:rsidRDefault="002D47BF" w:rsidP="002D47BF">
            <w:pPr>
              <w:pStyle w:val="DHHStablecolhead"/>
            </w:pPr>
            <w:r w:rsidRPr="003C2091">
              <w:t>Meeting frequency</w:t>
            </w:r>
          </w:p>
        </w:tc>
        <w:tc>
          <w:tcPr>
            <w:tcW w:w="5182" w:type="dxa"/>
            <w:shd w:val="clear" w:color="auto" w:fill="007B4B"/>
            <w:vAlign w:val="center"/>
          </w:tcPr>
          <w:p w14:paraId="5B53DDA0" w14:textId="5CEA9ACF" w:rsidR="002D47BF" w:rsidRPr="003C2091" w:rsidRDefault="00FF6838" w:rsidP="002D47BF">
            <w:pPr>
              <w:pStyle w:val="DHHStablecolhead"/>
            </w:pPr>
            <w:r w:rsidRPr="003C2091">
              <w:t>Performance improvement</w:t>
            </w:r>
            <w:r w:rsidR="002D47BF" w:rsidRPr="003C2091">
              <w:t xml:space="preserve"> strategies</w:t>
            </w:r>
          </w:p>
        </w:tc>
      </w:tr>
      <w:tr w:rsidR="002D47BF" w:rsidRPr="002643CA" w14:paraId="4689D4A4" w14:textId="77777777" w:rsidTr="005B2DF7">
        <w:trPr>
          <w:trHeight w:val="527"/>
        </w:trPr>
        <w:tc>
          <w:tcPr>
            <w:tcW w:w="1730" w:type="dxa"/>
            <w:shd w:val="clear" w:color="auto" w:fill="EAF1DD"/>
            <w:hideMark/>
          </w:tcPr>
          <w:p w14:paraId="33773C7D" w14:textId="69D61DA4" w:rsidR="002D47BF" w:rsidRPr="00900BF4" w:rsidRDefault="002D47BF" w:rsidP="002D47BF">
            <w:pPr>
              <w:pStyle w:val="DHHStabletext"/>
              <w:rPr>
                <w:b/>
              </w:rPr>
            </w:pPr>
            <w:r w:rsidRPr="00900BF4">
              <w:rPr>
                <w:b/>
              </w:rPr>
              <w:t xml:space="preserve">Standard </w:t>
            </w:r>
          </w:p>
        </w:tc>
        <w:tc>
          <w:tcPr>
            <w:tcW w:w="2268" w:type="dxa"/>
          </w:tcPr>
          <w:p w14:paraId="460310D6" w14:textId="77777777" w:rsidR="002D47BF" w:rsidRDefault="002D47BF">
            <w:pPr>
              <w:pStyle w:val="DHHStabletext"/>
            </w:pPr>
            <w:r>
              <w:t>Quarterly</w:t>
            </w:r>
          </w:p>
          <w:p w14:paraId="0F29EC12" w14:textId="7EA9AB3E" w:rsidR="00F43DF0" w:rsidRDefault="00F43DF0" w:rsidP="00900BF4">
            <w:pPr>
              <w:pStyle w:val="DHHStabletext"/>
            </w:pPr>
            <w:r>
              <w:t>(or as determined by the department)</w:t>
            </w:r>
          </w:p>
        </w:tc>
        <w:tc>
          <w:tcPr>
            <w:tcW w:w="5182" w:type="dxa"/>
            <w:hideMark/>
          </w:tcPr>
          <w:p w14:paraId="12149448" w14:textId="77777777" w:rsidR="002D47BF" w:rsidRDefault="002D47BF" w:rsidP="000A67A8">
            <w:pPr>
              <w:pStyle w:val="DHHStablebullet1"/>
            </w:pPr>
            <w:r>
              <w:t>Routine performance risk assessment.</w:t>
            </w:r>
          </w:p>
          <w:p w14:paraId="0CA239A3" w14:textId="3263F09D" w:rsidR="002D47BF" w:rsidRPr="002643CA" w:rsidRDefault="002D47BF" w:rsidP="000A67A8">
            <w:pPr>
              <w:pStyle w:val="DHHStablebullet1"/>
            </w:pPr>
            <w:r>
              <w:t>Progress update on agreed action</w:t>
            </w:r>
            <w:r w:rsidRPr="002643CA">
              <w:t xml:space="preserve"> plan</w:t>
            </w:r>
            <w:r>
              <w:t xml:space="preserve">s, where </w:t>
            </w:r>
            <w:r w:rsidR="00626614">
              <w:t xml:space="preserve">applicable </w:t>
            </w:r>
            <w:r w:rsidR="00726A18">
              <w:t>or</w:t>
            </w:r>
            <w:r>
              <w:t xml:space="preserve"> relevant.</w:t>
            </w:r>
          </w:p>
        </w:tc>
      </w:tr>
      <w:tr w:rsidR="002D47BF" w:rsidRPr="002643CA" w14:paraId="7B7BEF91" w14:textId="77777777" w:rsidTr="005B2DF7">
        <w:trPr>
          <w:trHeight w:val="2470"/>
        </w:trPr>
        <w:tc>
          <w:tcPr>
            <w:tcW w:w="1730" w:type="dxa"/>
            <w:shd w:val="clear" w:color="auto" w:fill="FDE9D9"/>
            <w:hideMark/>
          </w:tcPr>
          <w:p w14:paraId="30AF7AC9" w14:textId="09BC6325" w:rsidR="002D47BF" w:rsidRPr="00900BF4" w:rsidRDefault="00326A99" w:rsidP="002D47BF">
            <w:pPr>
              <w:pStyle w:val="DHHStabletext"/>
              <w:rPr>
                <w:b/>
              </w:rPr>
            </w:pPr>
            <w:r>
              <w:rPr>
                <w:b/>
              </w:rPr>
              <w:t xml:space="preserve">Performance Support </w:t>
            </w:r>
          </w:p>
        </w:tc>
        <w:tc>
          <w:tcPr>
            <w:tcW w:w="2268" w:type="dxa"/>
          </w:tcPr>
          <w:p w14:paraId="378E1ABB" w14:textId="0BEC83E7" w:rsidR="002D47BF" w:rsidRDefault="002D47BF" w:rsidP="00900BF4">
            <w:pPr>
              <w:pStyle w:val="DHHStabletext"/>
            </w:pPr>
            <w:r>
              <w:t>Every 6 weeks (or as determined by the department)</w:t>
            </w:r>
          </w:p>
        </w:tc>
        <w:tc>
          <w:tcPr>
            <w:tcW w:w="5182" w:type="dxa"/>
            <w:hideMark/>
          </w:tcPr>
          <w:p w14:paraId="41091A1B" w14:textId="1B475B9D" w:rsidR="002D47BF" w:rsidRDefault="002D47BF" w:rsidP="000A67A8">
            <w:pPr>
              <w:pStyle w:val="DHHStablebullet1"/>
            </w:pPr>
            <w:r w:rsidRPr="002643CA">
              <w:t xml:space="preserve">Closer monitoring </w:t>
            </w:r>
            <w:r>
              <w:t xml:space="preserve">of performance, and development and progression of action plan(s) </w:t>
            </w:r>
            <w:r w:rsidRPr="002643CA">
              <w:t xml:space="preserve">until </w:t>
            </w:r>
            <w:r>
              <w:t xml:space="preserve">performance concerns </w:t>
            </w:r>
            <w:r w:rsidRPr="002643CA">
              <w:t>resolved</w:t>
            </w:r>
            <w:r>
              <w:t>.</w:t>
            </w:r>
          </w:p>
          <w:p w14:paraId="75AA3408" w14:textId="051163D2" w:rsidR="002D47BF" w:rsidRDefault="002D47BF" w:rsidP="000A67A8">
            <w:pPr>
              <w:pStyle w:val="DHHStablebullet1"/>
            </w:pPr>
            <w:r w:rsidRPr="002643CA">
              <w:t>Support to undertak</w:t>
            </w:r>
            <w:r>
              <w:t>e and sustain improvement that may include</w:t>
            </w:r>
            <w:r w:rsidR="00853436">
              <w:t>, but not limited to</w:t>
            </w:r>
            <w:r>
              <w:t>:</w:t>
            </w:r>
          </w:p>
          <w:p w14:paraId="21DA7EC1" w14:textId="77777777" w:rsidR="002D47BF" w:rsidRDefault="002D47BF" w:rsidP="000A67A8">
            <w:pPr>
              <w:pStyle w:val="DHHStablebullet2"/>
            </w:pPr>
            <w:r>
              <w:t>e</w:t>
            </w:r>
            <w:r w:rsidRPr="002643CA">
              <w:t>ngaging an independent expert to review clinical practice, governance</w:t>
            </w:r>
            <w:r>
              <w:t xml:space="preserve"> or financial concerns and make </w:t>
            </w:r>
            <w:r w:rsidRPr="002643CA">
              <w:t>re</w:t>
            </w:r>
            <w:r>
              <w:t>commendations for improvement</w:t>
            </w:r>
          </w:p>
          <w:p w14:paraId="62BB345E" w14:textId="73C78695" w:rsidR="002D47BF" w:rsidRDefault="002D47BF" w:rsidP="000A67A8">
            <w:pPr>
              <w:pStyle w:val="DHHStablebullet2"/>
            </w:pPr>
            <w:r>
              <w:t>seeking SCV’s input and support with further improvement</w:t>
            </w:r>
          </w:p>
          <w:p w14:paraId="42D4DF01" w14:textId="6356BB8F" w:rsidR="002D47BF" w:rsidRPr="002643CA" w:rsidRDefault="002D47BF" w:rsidP="000A67A8">
            <w:pPr>
              <w:pStyle w:val="DHHStablebullet2"/>
            </w:pPr>
            <w:r>
              <w:t>appointing an independent expert to the health service’s safety and quality committee.</w:t>
            </w:r>
          </w:p>
        </w:tc>
      </w:tr>
      <w:tr w:rsidR="002D47BF" w:rsidRPr="002643CA" w14:paraId="0A34A2A9" w14:textId="77777777" w:rsidTr="005B2DF7">
        <w:trPr>
          <w:trHeight w:val="1056"/>
        </w:trPr>
        <w:tc>
          <w:tcPr>
            <w:tcW w:w="1730" w:type="dxa"/>
            <w:shd w:val="clear" w:color="auto" w:fill="F2DBDB"/>
            <w:hideMark/>
          </w:tcPr>
          <w:p w14:paraId="5CA29572" w14:textId="6D9EB50C" w:rsidR="002D47BF" w:rsidRPr="00900BF4" w:rsidRDefault="00326A99" w:rsidP="002D47BF">
            <w:pPr>
              <w:pStyle w:val="DHHStabletext"/>
              <w:rPr>
                <w:b/>
              </w:rPr>
            </w:pPr>
            <w:r>
              <w:rPr>
                <w:b/>
              </w:rPr>
              <w:t>Intensive</w:t>
            </w:r>
          </w:p>
        </w:tc>
        <w:tc>
          <w:tcPr>
            <w:tcW w:w="2268" w:type="dxa"/>
          </w:tcPr>
          <w:p w14:paraId="363FFE18" w14:textId="77777777" w:rsidR="002D47BF" w:rsidRDefault="006646A1">
            <w:pPr>
              <w:pStyle w:val="DHHStabletext"/>
            </w:pPr>
            <w:r>
              <w:t>Monthly</w:t>
            </w:r>
          </w:p>
          <w:p w14:paraId="1E765A5F" w14:textId="5003A659" w:rsidR="00AC67C2" w:rsidRDefault="00AC67C2" w:rsidP="00900BF4">
            <w:pPr>
              <w:pStyle w:val="DHHStabletext"/>
            </w:pPr>
            <w:r>
              <w:t>(or as determined by the department)</w:t>
            </w:r>
          </w:p>
        </w:tc>
        <w:tc>
          <w:tcPr>
            <w:tcW w:w="5182" w:type="dxa"/>
            <w:hideMark/>
          </w:tcPr>
          <w:p w14:paraId="55DBD67D" w14:textId="45F7B068" w:rsidR="002D47BF" w:rsidRDefault="002D47BF" w:rsidP="000A67A8">
            <w:pPr>
              <w:pStyle w:val="DHHStablebullet1"/>
            </w:pPr>
            <w:r>
              <w:t>May include d</w:t>
            </w:r>
            <w:r w:rsidRPr="00555AC2">
              <w:t xml:space="preserve">iscussions </w:t>
            </w:r>
            <w:r>
              <w:t>between the department and the board chair</w:t>
            </w:r>
            <w:r w:rsidR="005A6340">
              <w:t>person</w:t>
            </w:r>
            <w:r w:rsidRPr="00555AC2">
              <w:t xml:space="preserve"> regarding strategies related to </w:t>
            </w:r>
            <w:r>
              <w:t>organisational issues and capability</w:t>
            </w:r>
            <w:r w:rsidRPr="00555AC2">
              <w:t xml:space="preserve"> that may have an impact on performance improvement goals</w:t>
            </w:r>
            <w:r>
              <w:t>.</w:t>
            </w:r>
          </w:p>
          <w:p w14:paraId="6DC06D79" w14:textId="12238265" w:rsidR="002D47BF" w:rsidRPr="002643CA" w:rsidRDefault="002D47BF" w:rsidP="000A67A8">
            <w:pPr>
              <w:pStyle w:val="DHHStablebullet1"/>
            </w:pPr>
            <w:r>
              <w:t>More direct intervention, which can include an independent, external health service review and appointment of a delegate to the board of the health service.</w:t>
            </w:r>
          </w:p>
        </w:tc>
      </w:tr>
    </w:tbl>
    <w:p w14:paraId="57ED1011" w14:textId="77777777" w:rsidR="004755B3" w:rsidRPr="004755B3" w:rsidRDefault="004755B3" w:rsidP="004755B3">
      <w:pPr>
        <w:pStyle w:val="DHHSbody"/>
      </w:pPr>
      <w:r w:rsidRPr="004755B3">
        <w:br w:type="page"/>
      </w:r>
    </w:p>
    <w:p w14:paraId="71FFB679" w14:textId="19727B33" w:rsidR="00007D51" w:rsidRDefault="00ED01D0" w:rsidP="00F519A4">
      <w:pPr>
        <w:pStyle w:val="Heading4"/>
      </w:pPr>
      <w:r>
        <w:lastRenderedPageBreak/>
        <w:t>What is</w:t>
      </w:r>
      <w:r w:rsidR="00294AB5">
        <w:t xml:space="preserve"> the</w:t>
      </w:r>
      <w:r>
        <w:t xml:space="preserve"> ‘</w:t>
      </w:r>
      <w:r w:rsidR="00415A21">
        <w:t xml:space="preserve">Intensive’ </w:t>
      </w:r>
      <w:r w:rsidR="00135A34">
        <w:t>level of m</w:t>
      </w:r>
      <w:r w:rsidR="002E512D">
        <w:t>o</w:t>
      </w:r>
      <w:r w:rsidR="00AF3F48">
        <w:t>n</w:t>
      </w:r>
      <w:r w:rsidR="002E512D">
        <w:t>i</w:t>
      </w:r>
      <w:r w:rsidR="00AF3F48">
        <w:t>t</w:t>
      </w:r>
      <w:r w:rsidR="002E512D">
        <w:t>oring</w:t>
      </w:r>
      <w:r w:rsidR="00294AB5">
        <w:t>, support and intervention</w:t>
      </w:r>
      <w:r>
        <w:t>?</w:t>
      </w:r>
    </w:p>
    <w:p w14:paraId="11E9924C" w14:textId="6F462B80" w:rsidR="00F84C75" w:rsidRDefault="002752BB" w:rsidP="00B41DA5">
      <w:pPr>
        <w:pStyle w:val="DHHSbodylargespace"/>
      </w:pPr>
      <w:r>
        <w:t xml:space="preserve">This level of </w:t>
      </w:r>
      <w:r w:rsidR="00F84C75">
        <w:t>monitoring applies to health services</w:t>
      </w:r>
      <w:r w:rsidR="00F84C75" w:rsidRPr="00FD4850">
        <w:t xml:space="preserve"> with significant </w:t>
      </w:r>
      <w:r w:rsidR="00F84C75">
        <w:t xml:space="preserve">areas of </w:t>
      </w:r>
      <w:r w:rsidR="00F84C75" w:rsidRPr="00FD4850">
        <w:t>under</w:t>
      </w:r>
      <w:r w:rsidR="00F84C75">
        <w:t>-</w:t>
      </w:r>
      <w:r w:rsidR="00F84C75" w:rsidRPr="00FD4850">
        <w:t>performance</w:t>
      </w:r>
      <w:r w:rsidR="00687BB7">
        <w:t>, including major</w:t>
      </w:r>
      <w:r w:rsidR="00F84C75" w:rsidRPr="00FD4850">
        <w:t xml:space="preserve"> </w:t>
      </w:r>
      <w:r w:rsidR="00F84C75">
        <w:t>patient safety or service delivery</w:t>
      </w:r>
      <w:r w:rsidR="00687BB7">
        <w:t xml:space="preserve"> concerns</w:t>
      </w:r>
      <w:r w:rsidR="00F84C75" w:rsidRPr="00FD4850">
        <w:t xml:space="preserve">. </w:t>
      </w:r>
      <w:r w:rsidR="00B176A0">
        <w:t>In this instance, d</w:t>
      </w:r>
      <w:r w:rsidR="00F84C75">
        <w:t>epartmental intervention intensifies by increasing the</w:t>
      </w:r>
      <w:r w:rsidR="00F84C75" w:rsidRPr="00FD4850">
        <w:t xml:space="preserve"> </w:t>
      </w:r>
      <w:r w:rsidR="003302F6">
        <w:t xml:space="preserve">frequency </w:t>
      </w:r>
      <w:r w:rsidR="00F84C75">
        <w:t>of performance interactions</w:t>
      </w:r>
      <w:r w:rsidR="0017218E">
        <w:t>,</w:t>
      </w:r>
      <w:r w:rsidR="00F84C75">
        <w:t xml:space="preserve"> escalating the range of interventions and support to achieve the required </w:t>
      </w:r>
      <w:r w:rsidR="00344336">
        <w:t>improvement</w:t>
      </w:r>
      <w:r w:rsidR="00F84C75">
        <w:t>.</w:t>
      </w:r>
    </w:p>
    <w:tbl>
      <w:tblPr>
        <w:tblStyle w:val="Highlighttable"/>
        <w:tblW w:w="9299" w:type="dxa"/>
        <w:tblLook w:val="0600" w:firstRow="0" w:lastRow="0" w:firstColumn="0" w:lastColumn="0" w:noHBand="1" w:noVBand="1"/>
      </w:tblPr>
      <w:tblGrid>
        <w:gridCol w:w="9299"/>
      </w:tblGrid>
      <w:tr w:rsidR="00F84C75" w:rsidRPr="00193714" w14:paraId="677DA47A" w14:textId="77777777" w:rsidTr="00FC38E7">
        <w:tc>
          <w:tcPr>
            <w:tcW w:w="7655" w:type="dxa"/>
          </w:tcPr>
          <w:p w14:paraId="6E6EC164" w14:textId="63B372D6" w:rsidR="00BF42AB" w:rsidRPr="00B41DA5" w:rsidRDefault="00F84C75" w:rsidP="00B41DA5">
            <w:pPr>
              <w:pStyle w:val="DHHSbody"/>
              <w:rPr>
                <w:rStyle w:val="Strong"/>
              </w:rPr>
            </w:pPr>
            <w:r w:rsidRPr="00B41DA5">
              <w:rPr>
                <w:rStyle w:val="Strong"/>
              </w:rPr>
              <w:t>Key features:</w:t>
            </w:r>
          </w:p>
          <w:p w14:paraId="1196E5A4" w14:textId="774E1E07" w:rsidR="00BF42AB" w:rsidRDefault="005A6340" w:rsidP="00E56F35">
            <w:pPr>
              <w:pStyle w:val="DHHSbullet1"/>
            </w:pPr>
            <w:r>
              <w:t>I</w:t>
            </w:r>
            <w:r w:rsidR="00E255B2">
              <w:t>nherent vulnerabilities (for example,</w:t>
            </w:r>
            <w:r w:rsidR="00F84C75" w:rsidRPr="00193714">
              <w:t xml:space="preserve"> </w:t>
            </w:r>
            <w:r w:rsidR="00BF345B">
              <w:t>significant workforce shortages</w:t>
            </w:r>
            <w:r w:rsidR="00F84C75" w:rsidRPr="00193714">
              <w:t xml:space="preserve">, </w:t>
            </w:r>
            <w:r w:rsidR="00F84C75">
              <w:t xml:space="preserve">high reliance on locums and </w:t>
            </w:r>
            <w:r w:rsidR="001E41DE">
              <w:t>i</w:t>
            </w:r>
            <w:r w:rsidR="00F84C75">
              <w:t xml:space="preserve">nternational </w:t>
            </w:r>
            <w:r w:rsidR="001E41DE">
              <w:t>m</w:t>
            </w:r>
            <w:r w:rsidR="00F84C75">
              <w:t xml:space="preserve">edical </w:t>
            </w:r>
            <w:r w:rsidR="001E41DE">
              <w:t>g</w:t>
            </w:r>
            <w:r w:rsidR="00F84C75">
              <w:t>raduates</w:t>
            </w:r>
            <w:r w:rsidR="00E255B2">
              <w:t xml:space="preserve">, </w:t>
            </w:r>
            <w:r w:rsidR="001E41DE">
              <w:t xml:space="preserve">and </w:t>
            </w:r>
            <w:r w:rsidR="00E255B2">
              <w:t>rapid population growth</w:t>
            </w:r>
            <w:r w:rsidR="00687BB7">
              <w:t xml:space="preserve"> or decline</w:t>
            </w:r>
            <w:r w:rsidR="00F84C75" w:rsidRPr="00193714">
              <w:t>)</w:t>
            </w:r>
          </w:p>
          <w:p w14:paraId="2A72112E" w14:textId="0AE2DB5F" w:rsidR="00F84C75" w:rsidRPr="00193714" w:rsidRDefault="005A6340" w:rsidP="00E56F35">
            <w:pPr>
              <w:pStyle w:val="DHHSbullet1"/>
            </w:pPr>
            <w:r>
              <w:t>D</w:t>
            </w:r>
            <w:r w:rsidR="00F84C75" w:rsidRPr="00193714">
              <w:t xml:space="preserve">emonstrated pattern of poor care outcomes including significant incidents, complaints and repeated failure to meet </w:t>
            </w:r>
            <w:r w:rsidR="00C75F0F">
              <w:t>the K</w:t>
            </w:r>
            <w:r w:rsidR="005F1ABD">
              <w:t xml:space="preserve">ey </w:t>
            </w:r>
            <w:r w:rsidR="00C75F0F">
              <w:t>P</w:t>
            </w:r>
            <w:r w:rsidR="005F1ABD">
              <w:t xml:space="preserve">erformance </w:t>
            </w:r>
            <w:r w:rsidR="00C75F0F">
              <w:t>M</w:t>
            </w:r>
            <w:r w:rsidR="005F1ABD">
              <w:t>easures</w:t>
            </w:r>
          </w:p>
          <w:p w14:paraId="7509E421" w14:textId="3C06837C" w:rsidR="00F84C75" w:rsidRPr="00193714" w:rsidRDefault="005A6340" w:rsidP="00E56F35">
            <w:pPr>
              <w:pStyle w:val="DHHSbullet1"/>
            </w:pPr>
            <w:r>
              <w:t>W</w:t>
            </w:r>
            <w:r w:rsidR="00F84C75" w:rsidRPr="00193714">
              <w:t xml:space="preserve">eak governance or leadership including ineffective </w:t>
            </w:r>
            <w:r w:rsidR="00687BB7">
              <w:t xml:space="preserve">performance </w:t>
            </w:r>
            <w:r w:rsidR="00F84C75" w:rsidRPr="00193714">
              <w:t>risk identification and/or mitigation strategies and poor</w:t>
            </w:r>
            <w:r w:rsidR="00F84C75">
              <w:t xml:space="preserve"> </w:t>
            </w:r>
            <w:r w:rsidR="00F84C75" w:rsidRPr="00193714">
              <w:t>financial management</w:t>
            </w:r>
          </w:p>
          <w:p w14:paraId="1781BEB3" w14:textId="60EEF9D2" w:rsidR="00F84C75" w:rsidRPr="00193714" w:rsidRDefault="005A6340" w:rsidP="003A50BB">
            <w:pPr>
              <w:pStyle w:val="DHHSbullet1"/>
              <w:spacing w:after="120"/>
            </w:pPr>
            <w:r>
              <w:t>P</w:t>
            </w:r>
            <w:r w:rsidR="00F84C75" w:rsidRPr="00193714">
              <w:t>oor safety culture, including low incident reporting, evidence of bullying and staff disengagement.</w:t>
            </w:r>
          </w:p>
        </w:tc>
      </w:tr>
    </w:tbl>
    <w:p w14:paraId="2695990B" w14:textId="77777777" w:rsidR="00007D51" w:rsidRDefault="004D386F" w:rsidP="00900BF4">
      <w:pPr>
        <w:pStyle w:val="Heading3"/>
        <w:spacing w:before="480"/>
      </w:pPr>
      <w:bookmarkStart w:id="67" w:name="_Toc15579815"/>
      <w:r>
        <w:t xml:space="preserve">How is a health service’s </w:t>
      </w:r>
      <w:r w:rsidR="005D2139">
        <w:t xml:space="preserve">monitoring, support and intervention </w:t>
      </w:r>
      <w:r>
        <w:t>level changed?</w:t>
      </w:r>
      <w:bookmarkEnd w:id="67"/>
    </w:p>
    <w:p w14:paraId="2FC2C342" w14:textId="7A082C3A" w:rsidR="00581958" w:rsidRDefault="00581958" w:rsidP="00900BF4">
      <w:pPr>
        <w:pStyle w:val="Heading4"/>
      </w:pPr>
      <w:r>
        <w:t>The process</w:t>
      </w:r>
      <w:r w:rsidR="00377A13">
        <w:t xml:space="preserve"> (escalation and de-escalation)</w:t>
      </w:r>
    </w:p>
    <w:p w14:paraId="793F7839" w14:textId="61ED2AB5" w:rsidR="00007D51" w:rsidRDefault="00C03B5E" w:rsidP="00C03B5E">
      <w:pPr>
        <w:pStyle w:val="DHHSbody"/>
      </w:pPr>
      <w:r>
        <w:t xml:space="preserve">Should the department assess there are apparent </w:t>
      </w:r>
      <w:r w:rsidRPr="00FD4850">
        <w:t xml:space="preserve">performance </w:t>
      </w:r>
      <w:r>
        <w:t xml:space="preserve">concerns, it may propose escalation of a health service’s monitoring level as well as the proportionate </w:t>
      </w:r>
      <w:r w:rsidRPr="00FD4850">
        <w:t xml:space="preserve">response </w:t>
      </w:r>
      <w:r>
        <w:t>required.</w:t>
      </w:r>
    </w:p>
    <w:p w14:paraId="79741687" w14:textId="541D0B18" w:rsidR="00C03B5E" w:rsidRDefault="00C03B5E" w:rsidP="00C03B5E">
      <w:pPr>
        <w:pStyle w:val="DHHSbody"/>
      </w:pPr>
      <w:r>
        <w:t>A discussion is subsequently undertaken between the department and the relevant health service executives to discuss the concerns.</w:t>
      </w:r>
      <w:r w:rsidR="00E9133C">
        <w:t xml:space="preserve"> </w:t>
      </w:r>
      <w:r>
        <w:t>Post the performance meeting, t</w:t>
      </w:r>
      <w:r w:rsidRPr="00FD4850">
        <w:t xml:space="preserve">he department will </w:t>
      </w:r>
      <w:r>
        <w:t xml:space="preserve">then </w:t>
      </w:r>
      <w:r w:rsidRPr="00FD4850">
        <w:t xml:space="preserve">consider </w:t>
      </w:r>
      <w:r>
        <w:t>whether</w:t>
      </w:r>
      <w:r w:rsidRPr="00FD4850">
        <w:t xml:space="preserve"> </w:t>
      </w:r>
      <w:r>
        <w:t>the proposed escalated monitoring level should be formalised.</w:t>
      </w:r>
    </w:p>
    <w:p w14:paraId="3AA7197F" w14:textId="77777777" w:rsidR="00007D51" w:rsidRDefault="00C03B5E" w:rsidP="00C03B5E">
      <w:pPr>
        <w:pStyle w:val="DHHSbody"/>
      </w:pPr>
      <w:r>
        <w:t>This process also applies in the case of a proposed de-escalation of monitoring level</w:t>
      </w:r>
      <w:r w:rsidR="004A6477">
        <w:t>.</w:t>
      </w:r>
      <w:r w:rsidR="008601E8">
        <w:t xml:space="preserve"> </w:t>
      </w:r>
      <w:r w:rsidR="004A6477">
        <w:t>S</w:t>
      </w:r>
      <w:r w:rsidR="008601E8">
        <w:t xml:space="preserve">hould a health service improve its performance and rectify any concerns, the department will </w:t>
      </w:r>
      <w:r w:rsidR="004A6477">
        <w:t xml:space="preserve">propose </w:t>
      </w:r>
      <w:r w:rsidR="008601E8">
        <w:t xml:space="preserve">the health service’s monitoring level </w:t>
      </w:r>
      <w:r w:rsidR="004A6477">
        <w:t xml:space="preserve">be </w:t>
      </w:r>
      <w:r w:rsidR="00771536">
        <w:t xml:space="preserve">reduced, </w:t>
      </w:r>
      <w:r w:rsidR="008601E8">
        <w:t>cater</w:t>
      </w:r>
      <w:r w:rsidR="00771536">
        <w:t>ing</w:t>
      </w:r>
      <w:r w:rsidR="008601E8">
        <w:t xml:space="preserve"> for its current performance.</w:t>
      </w:r>
    </w:p>
    <w:p w14:paraId="63112AB2" w14:textId="12F4211D" w:rsidR="009E4F61" w:rsidRPr="00617756" w:rsidRDefault="00377A13" w:rsidP="00900BF4">
      <w:pPr>
        <w:pStyle w:val="Heading4"/>
        <w:spacing w:before="360"/>
      </w:pPr>
      <w:r>
        <w:t>The o</w:t>
      </w:r>
      <w:r w:rsidR="007C7D05">
        <w:t>ptions to rectify performance concerns</w:t>
      </w:r>
    </w:p>
    <w:p w14:paraId="4161D72D" w14:textId="77777777" w:rsidR="00007D51" w:rsidRDefault="00905641" w:rsidP="00F84C75">
      <w:pPr>
        <w:pStyle w:val="DHHSbody"/>
      </w:pPr>
      <w:r>
        <w:t>Where</w:t>
      </w:r>
      <w:r w:rsidR="00F84C75" w:rsidRPr="003A14B2">
        <w:t xml:space="preserve"> </w:t>
      </w:r>
      <w:r w:rsidR="00DD785E">
        <w:t>risks</w:t>
      </w:r>
      <w:r w:rsidR="00F84C75" w:rsidRPr="003A14B2">
        <w:t xml:space="preserve"> or </w:t>
      </w:r>
      <w:r w:rsidR="00DD785E">
        <w:t xml:space="preserve">performance </w:t>
      </w:r>
      <w:r w:rsidR="007B1F72">
        <w:t>concern</w:t>
      </w:r>
      <w:r w:rsidR="007B1F72" w:rsidRPr="003A14B2">
        <w:t xml:space="preserve">s </w:t>
      </w:r>
      <w:r w:rsidR="00DD785E">
        <w:t xml:space="preserve">result in </w:t>
      </w:r>
      <w:r w:rsidR="00F84C75" w:rsidRPr="003A14B2">
        <w:t>a higher level of monitoring and intervention</w:t>
      </w:r>
      <w:r w:rsidR="00DD785E">
        <w:t>, t</w:t>
      </w:r>
      <w:r w:rsidR="00F84C75" w:rsidRPr="003A14B2">
        <w:t xml:space="preserve">he department </w:t>
      </w:r>
      <w:r w:rsidR="0095139C">
        <w:t xml:space="preserve">will work with the </w:t>
      </w:r>
      <w:r w:rsidR="00DD785E">
        <w:t xml:space="preserve">relevant </w:t>
      </w:r>
      <w:r w:rsidR="0095139C">
        <w:t xml:space="preserve">health service </w:t>
      </w:r>
      <w:r w:rsidR="00F84C75" w:rsidRPr="003A14B2">
        <w:t xml:space="preserve">to ensure appropriate action is taken to address </w:t>
      </w:r>
      <w:r w:rsidR="0095139C">
        <w:t xml:space="preserve">said </w:t>
      </w:r>
      <w:r w:rsidR="00F84C75" w:rsidRPr="003A14B2">
        <w:t>concerns</w:t>
      </w:r>
      <w:r w:rsidR="00DD785E">
        <w:t xml:space="preserve"> to</w:t>
      </w:r>
      <w:r w:rsidR="00F84C75">
        <w:t xml:space="preserve"> minimise the risk to patients or service</w:t>
      </w:r>
      <w:r w:rsidR="00687BB7">
        <w:t xml:space="preserve"> delivery</w:t>
      </w:r>
      <w:r w:rsidR="00F84C75" w:rsidRPr="003A14B2">
        <w:t>.</w:t>
      </w:r>
      <w:r w:rsidR="002A540C">
        <w:t xml:space="preserve"> </w:t>
      </w:r>
      <w:r w:rsidR="009017F1">
        <w:t>T</w:t>
      </w:r>
      <w:r w:rsidR="00F84C75">
        <w:t>he department may</w:t>
      </w:r>
      <w:r w:rsidR="007C7D05">
        <w:t>:</w:t>
      </w:r>
    </w:p>
    <w:p w14:paraId="536BF453" w14:textId="628C4063" w:rsidR="00007D51" w:rsidRDefault="00F84C75" w:rsidP="00796B2E">
      <w:pPr>
        <w:pStyle w:val="DHHSbullet1"/>
      </w:pPr>
      <w:r>
        <w:t xml:space="preserve">assign </w:t>
      </w:r>
      <w:r w:rsidRPr="0014351C">
        <w:t xml:space="preserve">individuals to work with the </w:t>
      </w:r>
      <w:r>
        <w:t>health service</w:t>
      </w:r>
      <w:r w:rsidRPr="0014351C">
        <w:t xml:space="preserve"> to develop and implement </w:t>
      </w:r>
      <w:r>
        <w:t xml:space="preserve">a </w:t>
      </w:r>
      <w:r w:rsidRPr="0014351C">
        <w:t>performanc</w:t>
      </w:r>
      <w:r>
        <w:t>e improvement strategy</w:t>
      </w:r>
      <w:r w:rsidR="007C7D05">
        <w:t xml:space="preserve"> </w:t>
      </w:r>
      <w:r w:rsidR="00675753">
        <w:t>and</w:t>
      </w:r>
    </w:p>
    <w:p w14:paraId="61D18922" w14:textId="6188AD44" w:rsidR="00F84C75" w:rsidRDefault="00F84C75" w:rsidP="00796B2E">
      <w:pPr>
        <w:pStyle w:val="DHHSbullet1"/>
      </w:pPr>
      <w:r>
        <w:t>commission</w:t>
      </w:r>
      <w:r w:rsidRPr="0014351C">
        <w:t xml:space="preserve"> </w:t>
      </w:r>
      <w:r w:rsidR="008F4DDB">
        <w:t xml:space="preserve">independent </w:t>
      </w:r>
      <w:r w:rsidRPr="0014351C">
        <w:t xml:space="preserve">reviews of </w:t>
      </w:r>
      <w:r>
        <w:t>the health service</w:t>
      </w:r>
      <w:r w:rsidR="00E61B48">
        <w:t>’</w:t>
      </w:r>
      <w:r>
        <w:t xml:space="preserve">s </w:t>
      </w:r>
      <w:r w:rsidRPr="0014351C">
        <w:t xml:space="preserve">operational effectiveness </w:t>
      </w:r>
      <w:r>
        <w:t>and sustainability.</w:t>
      </w:r>
    </w:p>
    <w:p w14:paraId="75D97B84" w14:textId="3B07E5DE" w:rsidR="00007D51" w:rsidRDefault="00F84C75" w:rsidP="00796B2E">
      <w:pPr>
        <w:pStyle w:val="DHHSbodyafterbullets"/>
      </w:pPr>
      <w:r>
        <w:t>More serious concerns may necessitate drastic action</w:t>
      </w:r>
      <w:r w:rsidR="00C50050">
        <w:t>,</w:t>
      </w:r>
      <w:r>
        <w:t xml:space="preserve"> including an i</w:t>
      </w:r>
      <w:r w:rsidRPr="0014351C">
        <w:t xml:space="preserve">ndependent review of </w:t>
      </w:r>
      <w:r w:rsidR="0041167B">
        <w:t xml:space="preserve">the </w:t>
      </w:r>
      <w:r>
        <w:t>health service</w:t>
      </w:r>
      <w:r w:rsidR="0041167B">
        <w:t>’s</w:t>
      </w:r>
      <w:r w:rsidRPr="0014351C">
        <w:t xml:space="preserve"> governance and management capability. </w:t>
      </w:r>
      <w:r w:rsidR="005513E7">
        <w:t xml:space="preserve">Such actions </w:t>
      </w:r>
      <w:r>
        <w:t>may include</w:t>
      </w:r>
      <w:r w:rsidR="00454BE4">
        <w:t xml:space="preserve">, but </w:t>
      </w:r>
      <w:r w:rsidR="007C7D05">
        <w:t xml:space="preserve">are </w:t>
      </w:r>
      <w:r w:rsidR="00454BE4">
        <w:t>not limited to</w:t>
      </w:r>
      <w:r w:rsidR="003F1431">
        <w:t>:</w:t>
      </w:r>
    </w:p>
    <w:p w14:paraId="2F9552C8" w14:textId="77777777" w:rsidR="00007D51" w:rsidRDefault="003F1431" w:rsidP="00796B2E">
      <w:pPr>
        <w:pStyle w:val="DHHSbullet1"/>
      </w:pPr>
      <w:r>
        <w:t xml:space="preserve">the board chairperson </w:t>
      </w:r>
      <w:r w:rsidR="00987444">
        <w:t xml:space="preserve">demonstrating </w:t>
      </w:r>
      <w:r w:rsidR="00F84C75">
        <w:t xml:space="preserve">the </w:t>
      </w:r>
      <w:r w:rsidR="001444E1">
        <w:t xml:space="preserve">health service </w:t>
      </w:r>
      <w:r w:rsidR="00141C96">
        <w:t>can</w:t>
      </w:r>
      <w:r w:rsidR="00F84C75">
        <w:t xml:space="preserve"> achieve </w:t>
      </w:r>
      <w:r>
        <w:t xml:space="preserve">rectification of the performance concern </w:t>
      </w:r>
      <w:r w:rsidR="00F84C75">
        <w:t>within a reasonable timeframe</w:t>
      </w:r>
    </w:p>
    <w:p w14:paraId="192F0D84" w14:textId="62D5328B" w:rsidR="00007D51" w:rsidRDefault="009603FB" w:rsidP="00796B2E">
      <w:pPr>
        <w:pStyle w:val="DHHSbullet1"/>
      </w:pPr>
      <w:r>
        <w:t xml:space="preserve">a </w:t>
      </w:r>
      <w:r w:rsidR="00F84C75">
        <w:t xml:space="preserve">change to </w:t>
      </w:r>
      <w:r w:rsidR="00987444">
        <w:t xml:space="preserve">directorship </w:t>
      </w:r>
      <w:r w:rsidR="00F84C75">
        <w:t xml:space="preserve">of the board </w:t>
      </w:r>
      <w:r>
        <w:t xml:space="preserve">of the health service </w:t>
      </w:r>
      <w:r w:rsidR="006F2604">
        <w:t>or</w:t>
      </w:r>
    </w:p>
    <w:p w14:paraId="7D8553D4" w14:textId="77777777" w:rsidR="00007D51" w:rsidRDefault="00F84C75" w:rsidP="00796B2E">
      <w:pPr>
        <w:pStyle w:val="DHHSbullet1"/>
        <w:rPr>
          <w:i/>
        </w:rPr>
      </w:pPr>
      <w:r>
        <w:t>appointment of an administrator or delegate</w:t>
      </w:r>
      <w:r w:rsidR="009603FB">
        <w:t xml:space="preserve"> to the board of the health service</w:t>
      </w:r>
      <w:r>
        <w:t>.</w:t>
      </w:r>
    </w:p>
    <w:p w14:paraId="38FE8145" w14:textId="7C2FB29B" w:rsidR="00770763" w:rsidRPr="00900BF4" w:rsidRDefault="000B0F61" w:rsidP="00796B2E">
      <w:pPr>
        <w:pStyle w:val="DHHSbodyafterbullets"/>
      </w:pPr>
      <w:r>
        <w:t xml:space="preserve">The list of </w:t>
      </w:r>
      <w:r w:rsidR="00C0476B">
        <w:t xml:space="preserve">rectification </w:t>
      </w:r>
      <w:r>
        <w:t xml:space="preserve">options available to the Minister, Secretary and department are set out at Figure </w:t>
      </w:r>
      <w:r w:rsidR="00AA6D2D">
        <w:t>5</w:t>
      </w:r>
      <w:r>
        <w:t>.</w:t>
      </w:r>
    </w:p>
    <w:p w14:paraId="0C4F6C27" w14:textId="2800F569" w:rsidR="00423F2F" w:rsidRPr="00DE0D62" w:rsidRDefault="00F84C75" w:rsidP="00454BE4">
      <w:pPr>
        <w:pStyle w:val="DHHSbody"/>
      </w:pPr>
      <w:r w:rsidRPr="00900BF4">
        <w:t>The</w:t>
      </w:r>
      <w:r w:rsidRPr="00B865D8">
        <w:rPr>
          <w:i/>
        </w:rPr>
        <w:t xml:space="preserve"> </w:t>
      </w:r>
      <w:r w:rsidR="00A57405">
        <w:t>HSA</w:t>
      </w:r>
      <w:r w:rsidRPr="00B865D8">
        <w:rPr>
          <w:i/>
        </w:rPr>
        <w:t xml:space="preserve"> </w:t>
      </w:r>
      <w:r w:rsidR="00C0476B">
        <w:t xml:space="preserve">details </w:t>
      </w:r>
      <w:r>
        <w:t xml:space="preserve">the powers of the Minister </w:t>
      </w:r>
      <w:r w:rsidR="00454BE4">
        <w:t xml:space="preserve">and Secretary </w:t>
      </w:r>
      <w:r>
        <w:t xml:space="preserve">regarding inadequate </w:t>
      </w:r>
      <w:r w:rsidR="007012A2">
        <w:t xml:space="preserve">health service </w:t>
      </w:r>
      <w:r>
        <w:t>performance</w:t>
      </w:r>
      <w:r w:rsidR="00454BE4">
        <w:t xml:space="preserve">, which includes </w:t>
      </w:r>
      <w:r w:rsidR="00423F2F">
        <w:t>ensuring</w:t>
      </w:r>
      <w:r w:rsidR="00423F2F" w:rsidRPr="00D6050B">
        <w:t xml:space="preserve"> services </w:t>
      </w:r>
      <w:r w:rsidR="00C103AD">
        <w:t xml:space="preserve">provided </w:t>
      </w:r>
      <w:r w:rsidR="00423F2F" w:rsidRPr="00D6050B">
        <w:t>are safe, appropriate and patient-centred</w:t>
      </w:r>
      <w:r w:rsidR="00423F2F">
        <w:t>.</w:t>
      </w:r>
    </w:p>
    <w:p w14:paraId="3B21D66E" w14:textId="77777777" w:rsidR="004755B3" w:rsidRPr="004755B3" w:rsidRDefault="004755B3" w:rsidP="004755B3">
      <w:pPr>
        <w:pStyle w:val="DHHSbody"/>
      </w:pPr>
      <w:r w:rsidRPr="004755B3">
        <w:br w:type="page"/>
      </w:r>
    </w:p>
    <w:p w14:paraId="077ADE4E" w14:textId="3C8E5363" w:rsidR="00007D51" w:rsidRDefault="00423F2F" w:rsidP="00946D7B">
      <w:pPr>
        <w:pStyle w:val="DHHSbody"/>
      </w:pPr>
      <w:r>
        <w:lastRenderedPageBreak/>
        <w:t xml:space="preserve">Where a ministerial delegate has been appointed to a health service board, the health service will remain on </w:t>
      </w:r>
      <w:r w:rsidR="001B23B8">
        <w:t>‘</w:t>
      </w:r>
      <w:r w:rsidR="00E454A8">
        <w:t>Intensive</w:t>
      </w:r>
      <w:r w:rsidR="001B23B8">
        <w:t>’ level of monitoring</w:t>
      </w:r>
      <w:r>
        <w:t xml:space="preserve"> until the end of the delegate</w:t>
      </w:r>
      <w:r w:rsidR="00E61B48">
        <w:t>’</w:t>
      </w:r>
      <w:r>
        <w:t>s appointment.</w:t>
      </w:r>
    </w:p>
    <w:p w14:paraId="67520F9C" w14:textId="7EEDE519" w:rsidR="00BF42AB" w:rsidRDefault="00423F2F" w:rsidP="00946D7B">
      <w:pPr>
        <w:pStyle w:val="DHHSbody"/>
      </w:pPr>
      <w:r>
        <w:t xml:space="preserve">In the circumstances of </w:t>
      </w:r>
      <w:r w:rsidR="00A007F0">
        <w:t>an entire health service b</w:t>
      </w:r>
      <w:r>
        <w:t xml:space="preserve">oard being </w:t>
      </w:r>
      <w:r w:rsidR="00DA4056">
        <w:t>removed</w:t>
      </w:r>
      <w:r>
        <w:t xml:space="preserve"> and an administrator appointed, the health service will remain on </w:t>
      </w:r>
      <w:r w:rsidR="00617756">
        <w:t>‘</w:t>
      </w:r>
      <w:r w:rsidR="00E454A8">
        <w:t>Intensive</w:t>
      </w:r>
      <w:r w:rsidR="00617756">
        <w:t>’ level of monitoring</w:t>
      </w:r>
      <w:r w:rsidR="00617756" w:rsidDel="00617756">
        <w:t xml:space="preserve"> </w:t>
      </w:r>
      <w:r>
        <w:t>until a new board is appointed.</w:t>
      </w:r>
    </w:p>
    <w:p w14:paraId="31EC906E" w14:textId="77777777" w:rsidR="005B68E0" w:rsidRDefault="008D43A8" w:rsidP="005B68E0">
      <w:pPr>
        <w:pStyle w:val="DHHSfigurecaption"/>
      </w:pPr>
      <w:r w:rsidRPr="00900BF4">
        <w:t xml:space="preserve">Figure </w:t>
      </w:r>
      <w:r w:rsidR="00F64072">
        <w:t>5</w:t>
      </w:r>
      <w:r w:rsidRPr="00900BF4">
        <w:t>: Indicative options for escalating actions in response to performance issues</w:t>
      </w:r>
    </w:p>
    <w:p w14:paraId="642B4CCC" w14:textId="47B2D044" w:rsidR="00D70E78" w:rsidRDefault="000640E6" w:rsidP="005B68E0">
      <w:pPr>
        <w:pStyle w:val="DHHSbody"/>
      </w:pPr>
      <w:r>
        <w:rPr>
          <w:noProof/>
        </w:rPr>
        <w:drawing>
          <wp:inline distT="0" distB="0" distL="0" distR="0" wp14:anchorId="71D012D0" wp14:editId="35930146">
            <wp:extent cx="5306978" cy="3920215"/>
            <wp:effectExtent l="0" t="0" r="8255" b="4445"/>
            <wp:docPr id="5" name="Picture 5" descr="For a text-equivalent description of this figure, follow the link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5306978" cy="3920215"/>
                    </a:xfrm>
                    <a:prstGeom prst="rect">
                      <a:avLst/>
                    </a:prstGeom>
                  </pic:spPr>
                </pic:pic>
              </a:graphicData>
            </a:graphic>
          </wp:inline>
        </w:drawing>
      </w:r>
    </w:p>
    <w:p w14:paraId="0EE0398B" w14:textId="07C64E9B" w:rsidR="00441555" w:rsidRPr="00560194" w:rsidRDefault="002007DE" w:rsidP="00441555">
      <w:pPr>
        <w:pStyle w:val="DHHSbodyaftertablefigure"/>
      </w:pPr>
      <w:hyperlink w:anchor="Figure5Description" w:history="1">
        <w:r w:rsidR="00441555" w:rsidRPr="00441555">
          <w:rPr>
            <w:rStyle w:val="Hyperlink"/>
          </w:rPr>
          <w:t xml:space="preserve">Text-equivalent description of Figure </w:t>
        </w:r>
        <w:r w:rsidR="00441555">
          <w:rPr>
            <w:rStyle w:val="Hyperlink"/>
          </w:rPr>
          <w:t>5</w:t>
        </w:r>
        <w:r w:rsidR="00441555" w:rsidRPr="00441555">
          <w:rPr>
            <w:rStyle w:val="Hyperlink"/>
          </w:rPr>
          <w:t xml:space="preserve"> in the Appendix</w:t>
        </w:r>
      </w:hyperlink>
    </w:p>
    <w:p w14:paraId="33A8DD06" w14:textId="7E917C64" w:rsidR="0000682C" w:rsidRPr="00A65E60" w:rsidRDefault="0000682C" w:rsidP="00900BF4">
      <w:pPr>
        <w:pStyle w:val="Heading3"/>
      </w:pPr>
      <w:bookmarkStart w:id="68" w:name="_Risk_identification_and"/>
      <w:bookmarkStart w:id="69" w:name="_Toc15579816"/>
      <w:bookmarkEnd w:id="68"/>
      <w:r>
        <w:t>Risk identification and departmental support</w:t>
      </w:r>
      <w:bookmarkEnd w:id="69"/>
    </w:p>
    <w:p w14:paraId="4A37B54D" w14:textId="77777777" w:rsidR="00007D51" w:rsidRDefault="0000682C" w:rsidP="0000682C">
      <w:pPr>
        <w:pStyle w:val="DHHSbody"/>
      </w:pPr>
      <w:r>
        <w:t xml:space="preserve">The </w:t>
      </w:r>
      <w:r w:rsidRPr="00FD4850">
        <w:t xml:space="preserve">department supports open dialogue with </w:t>
      </w:r>
      <w:r>
        <w:t>health services to discuss and address performance concerns as soon as they are identified.</w:t>
      </w:r>
    </w:p>
    <w:p w14:paraId="048240F1" w14:textId="77777777" w:rsidR="00007D51" w:rsidRDefault="0000682C" w:rsidP="0000682C">
      <w:pPr>
        <w:pStyle w:val="DHHSbody"/>
      </w:pPr>
      <w:r>
        <w:t>The department’s expectation is that issues are investigated by the health service</w:t>
      </w:r>
      <w:r w:rsidRPr="00687BB7">
        <w:t xml:space="preserve"> </w:t>
      </w:r>
      <w:r>
        <w:t>in the first instance</w:t>
      </w:r>
      <w:r w:rsidR="0032658E">
        <w:t>. Evidence</w:t>
      </w:r>
      <w:r>
        <w:t xml:space="preserve"> of improvement </w:t>
      </w:r>
      <w:r w:rsidR="0032658E">
        <w:t xml:space="preserve">should be </w:t>
      </w:r>
      <w:r>
        <w:t>provided to the department as part of the routine performance review meetings or separate correspondence.</w:t>
      </w:r>
    </w:p>
    <w:p w14:paraId="15902A68" w14:textId="3BCF44B9" w:rsidR="0000682C" w:rsidRDefault="0000682C" w:rsidP="0000682C">
      <w:pPr>
        <w:pStyle w:val="DHHSbody"/>
      </w:pPr>
      <w:r>
        <w:t>Where relevant, input from SCV,</w:t>
      </w:r>
      <w:r w:rsidR="00112AE6">
        <w:t xml:space="preserve"> respective program areas and</w:t>
      </w:r>
      <w:r>
        <w:t xml:space="preserve"> other experts may be </w:t>
      </w:r>
      <w:r w:rsidR="001A25E6">
        <w:t>obtained</w:t>
      </w:r>
      <w:r>
        <w:t xml:space="preserve"> to support health services in developing</w:t>
      </w:r>
      <w:r w:rsidR="00112AE6">
        <w:t xml:space="preserve"> and</w:t>
      </w:r>
      <w:r>
        <w:t xml:space="preserve"> implementing targeted improvement</w:t>
      </w:r>
      <w:r w:rsidR="001A25E6">
        <w:t>s</w:t>
      </w:r>
      <w:r>
        <w:t>.</w:t>
      </w:r>
    </w:p>
    <w:p w14:paraId="56B79FA3" w14:textId="198C4C5E" w:rsidR="0000682C" w:rsidRDefault="001A25E6" w:rsidP="0000682C">
      <w:pPr>
        <w:pStyle w:val="DHHSbody"/>
      </w:pPr>
      <w:r>
        <w:t>As discussed above, d</w:t>
      </w:r>
      <w:r w:rsidR="0000682C">
        <w:t xml:space="preserve">epending on the level of concern and nature of under-performance, a plan for remediation may be agreed between the health service and the department. SCV will provide expert input in the development and progress of actions relating to </w:t>
      </w:r>
      <w:r w:rsidR="00B1097E">
        <w:t>q</w:t>
      </w:r>
      <w:r w:rsidR="0000682C">
        <w:t xml:space="preserve">uality and </w:t>
      </w:r>
      <w:r w:rsidR="00B1097E">
        <w:t>s</w:t>
      </w:r>
      <w:r w:rsidR="0000682C">
        <w:t>afety improvement plans.</w:t>
      </w:r>
    </w:p>
    <w:p w14:paraId="092DDDA3" w14:textId="04266A27" w:rsidR="0000682C" w:rsidRPr="0000682C" w:rsidRDefault="0000682C" w:rsidP="00900BF4">
      <w:pPr>
        <w:pStyle w:val="DHHSbody"/>
      </w:pPr>
      <w:r w:rsidRPr="00AB656F">
        <w:t>Where performance improvement involves implementing new models of care or service redesign, program areas</w:t>
      </w:r>
      <w:r>
        <w:t>,</w:t>
      </w:r>
      <w:r w:rsidRPr="00AB656F">
        <w:t xml:space="preserve"> SCV</w:t>
      </w:r>
      <w:r>
        <w:t xml:space="preserve">, and the OCP (as appropriate) </w:t>
      </w:r>
      <w:r w:rsidRPr="00AB656F">
        <w:t>will work with health services to reorient care provision to meet acceptable standards of care.</w:t>
      </w:r>
    </w:p>
    <w:p w14:paraId="42C72E51" w14:textId="77777777" w:rsidR="00BF42AB" w:rsidRDefault="00F84C75" w:rsidP="00494924">
      <w:pPr>
        <w:pStyle w:val="Heading2"/>
      </w:pPr>
      <w:bookmarkStart w:id="70" w:name="_Toc486512528"/>
      <w:bookmarkStart w:id="71" w:name="_Toc486513093"/>
      <w:bookmarkStart w:id="72" w:name="_Toc516827344"/>
      <w:bookmarkStart w:id="73" w:name="_Toc15579817"/>
      <w:r w:rsidRPr="002347D3">
        <w:lastRenderedPageBreak/>
        <w:t>Operationalising performance monitoring</w:t>
      </w:r>
      <w:bookmarkEnd w:id="70"/>
      <w:bookmarkEnd w:id="71"/>
      <w:bookmarkEnd w:id="72"/>
      <w:bookmarkEnd w:id="73"/>
    </w:p>
    <w:p w14:paraId="54AE9C9B" w14:textId="522DD167" w:rsidR="00F84C75" w:rsidRPr="003D2D95" w:rsidRDefault="00F84C75" w:rsidP="00494924">
      <w:pPr>
        <w:pStyle w:val="Heading3"/>
      </w:pPr>
      <w:bookmarkStart w:id="74" w:name="_Toc486512529"/>
      <w:bookmarkStart w:id="75" w:name="_Toc486513094"/>
      <w:bookmarkStart w:id="76" w:name="_Toc516827345"/>
      <w:bookmarkStart w:id="77" w:name="_Toc15579818"/>
      <w:r>
        <w:t>Role and responsibilities</w:t>
      </w:r>
      <w:bookmarkEnd w:id="74"/>
      <w:bookmarkEnd w:id="75"/>
      <w:bookmarkEnd w:id="76"/>
      <w:bookmarkEnd w:id="77"/>
    </w:p>
    <w:p w14:paraId="49BABDC0" w14:textId="54324749" w:rsidR="00F84C75" w:rsidRDefault="00DA2814" w:rsidP="00494924">
      <w:pPr>
        <w:pStyle w:val="Heading4"/>
      </w:pPr>
      <w:r>
        <w:t>D</w:t>
      </w:r>
      <w:r w:rsidR="0033748C">
        <w:t>epartment</w:t>
      </w:r>
      <w:r>
        <w:t xml:space="preserve"> of Health and Human Services</w:t>
      </w:r>
    </w:p>
    <w:p w14:paraId="73630848" w14:textId="27E5A864" w:rsidR="00BF42AB" w:rsidRDefault="00F84C75" w:rsidP="00F84C75">
      <w:pPr>
        <w:pStyle w:val="DHHSbody"/>
      </w:pPr>
      <w:r>
        <w:t xml:space="preserve">The </w:t>
      </w:r>
      <w:r w:rsidR="006640CB">
        <w:t>department</w:t>
      </w:r>
      <w:r>
        <w:t xml:space="preserve"> is the system manager of the Victorian health care system. It advises government on health strategy, policy, planning, funding allocation and performance oversight of health services. Its vision is to achieve the best health, wellbeing and safety of all Victorians so that they can live a life they value.</w:t>
      </w:r>
    </w:p>
    <w:p w14:paraId="2675DB6A" w14:textId="77777777" w:rsidR="00BF42AB" w:rsidRDefault="00B176A0" w:rsidP="00F84C75">
      <w:pPr>
        <w:pStyle w:val="DHHSbody"/>
      </w:pPr>
      <w:r>
        <w:t>The d</w:t>
      </w:r>
      <w:r w:rsidR="00F84C75">
        <w:t xml:space="preserve">epartment </w:t>
      </w:r>
      <w:r w:rsidR="00D905FA">
        <w:t>carries out</w:t>
      </w:r>
      <w:r w:rsidR="00F84C75">
        <w:t xml:space="preserve"> its performance oversight role by:</w:t>
      </w:r>
    </w:p>
    <w:p w14:paraId="6AB8A5DA" w14:textId="4DDCCE56" w:rsidR="00F84C75" w:rsidRDefault="00E255B2" w:rsidP="00F84C75">
      <w:pPr>
        <w:pStyle w:val="DHHSbullet1"/>
      </w:pPr>
      <w:r>
        <w:t>i</w:t>
      </w:r>
      <w:r w:rsidR="00F84C75">
        <w:t xml:space="preserve">mplementing </w:t>
      </w:r>
      <w:r w:rsidR="00D905FA">
        <w:t xml:space="preserve">the </w:t>
      </w:r>
      <w:r w:rsidR="007450D2">
        <w:t>Framework</w:t>
      </w:r>
      <w:r w:rsidR="00D905FA">
        <w:t xml:space="preserve"> </w:t>
      </w:r>
      <w:r w:rsidR="00F84C75">
        <w:t xml:space="preserve">and associated </w:t>
      </w:r>
      <w:r w:rsidR="003B78DF">
        <w:t xml:space="preserve">risk assessment and performance improvement </w:t>
      </w:r>
      <w:r w:rsidR="00F84C75">
        <w:t>tools</w:t>
      </w:r>
    </w:p>
    <w:p w14:paraId="50A21E69" w14:textId="77777777" w:rsidR="00BF42AB" w:rsidRDefault="00E255B2" w:rsidP="00F84C75">
      <w:pPr>
        <w:pStyle w:val="DHHSbullet1"/>
      </w:pPr>
      <w:r>
        <w:t>p</w:t>
      </w:r>
      <w:r w:rsidR="00F84C75">
        <w:t>artner</w:t>
      </w:r>
      <w:r w:rsidR="00D905FA">
        <w:t>ing</w:t>
      </w:r>
      <w:r w:rsidR="00F84C75">
        <w:t xml:space="preserve"> with health services to identify and </w:t>
      </w:r>
      <w:r w:rsidR="00687BB7">
        <w:t xml:space="preserve">address </w:t>
      </w:r>
      <w:r w:rsidR="00F84C75">
        <w:t xml:space="preserve">performance </w:t>
      </w:r>
      <w:r w:rsidR="007B1F72">
        <w:t xml:space="preserve">concerns </w:t>
      </w:r>
      <w:r w:rsidR="00F84C75">
        <w:t>early and effectively</w:t>
      </w:r>
    </w:p>
    <w:p w14:paraId="169D87A4" w14:textId="77777777" w:rsidR="00BF42AB" w:rsidRDefault="00E255B2" w:rsidP="00F84C75">
      <w:pPr>
        <w:pStyle w:val="DHHSbullet1"/>
      </w:pPr>
      <w:r>
        <w:t>s</w:t>
      </w:r>
      <w:r w:rsidR="00F84C75">
        <w:t>upport</w:t>
      </w:r>
      <w:r w:rsidR="00D905FA">
        <w:t>ing</w:t>
      </w:r>
      <w:r w:rsidR="00F84C75">
        <w:t xml:space="preserve"> or interven</w:t>
      </w:r>
      <w:r w:rsidR="00D905FA">
        <w:t>ing</w:t>
      </w:r>
      <w:r w:rsidR="00F84C75">
        <w:t xml:space="preserve"> to ensure long term and sustained performance improvement</w:t>
      </w:r>
    </w:p>
    <w:p w14:paraId="48EDA434" w14:textId="6A2ABBED" w:rsidR="00BF42AB" w:rsidRDefault="00B24092" w:rsidP="00F84C75">
      <w:pPr>
        <w:pStyle w:val="DHHSbullet1"/>
      </w:pPr>
      <w:r>
        <w:t>facilitating sector</w:t>
      </w:r>
      <w:r w:rsidR="00F84C75">
        <w:t xml:space="preserve"> consultation and communication, including </w:t>
      </w:r>
      <w:r w:rsidR="00D905FA">
        <w:t xml:space="preserve">providing </w:t>
      </w:r>
      <w:r w:rsidR="00F84C75">
        <w:t>information on departmental policy directions and sharing with other relevant agencies</w:t>
      </w:r>
    </w:p>
    <w:p w14:paraId="1408DFD5" w14:textId="77777777" w:rsidR="00BF42AB" w:rsidRDefault="00E255B2" w:rsidP="00F84C75">
      <w:pPr>
        <w:pStyle w:val="DHHSbullet1"/>
      </w:pPr>
      <w:r>
        <w:t>m</w:t>
      </w:r>
      <w:r w:rsidR="00F84C75">
        <w:t>ak</w:t>
      </w:r>
      <w:r w:rsidR="00D905FA">
        <w:t>ing</w:t>
      </w:r>
      <w:r w:rsidR="00F84C75">
        <w:t xml:space="preserve"> use of available data and third</w:t>
      </w:r>
      <w:r w:rsidR="00687BB7">
        <w:t>-</w:t>
      </w:r>
      <w:r w:rsidR="00F84C75">
        <w:t>party intelligence</w:t>
      </w:r>
      <w:r w:rsidR="00D905FA">
        <w:t xml:space="preserve"> to maximise the depth and breadth of performance information used to assess health service performance</w:t>
      </w:r>
    </w:p>
    <w:p w14:paraId="3A39D2AA" w14:textId="2A20A6E4" w:rsidR="00F84C75" w:rsidRDefault="00E255B2" w:rsidP="00F84C75">
      <w:pPr>
        <w:pStyle w:val="DHHSbullet1"/>
      </w:pPr>
      <w:r>
        <w:t>m</w:t>
      </w:r>
      <w:r w:rsidR="00F84C75">
        <w:t>aximis</w:t>
      </w:r>
      <w:r w:rsidR="00D905FA">
        <w:t>ing</w:t>
      </w:r>
      <w:r w:rsidR="00F84C75">
        <w:t xml:space="preserve"> input from </w:t>
      </w:r>
      <w:r w:rsidR="00C40738">
        <w:t>SCV</w:t>
      </w:r>
      <w:r w:rsidR="00F84C75">
        <w:t>, and other experts/clinical leaders</w:t>
      </w:r>
    </w:p>
    <w:p w14:paraId="575391E8" w14:textId="0F73F3FB" w:rsidR="00F84C75" w:rsidRDefault="00E255B2" w:rsidP="00F84C75">
      <w:pPr>
        <w:pStyle w:val="DHHSbullet1"/>
      </w:pPr>
      <w:r>
        <w:t>e</w:t>
      </w:r>
      <w:r w:rsidR="00F84C75">
        <w:t>nhanc</w:t>
      </w:r>
      <w:r w:rsidR="00D905FA">
        <w:t>ing</w:t>
      </w:r>
      <w:r w:rsidR="00F84C75">
        <w:t xml:space="preserve"> board skills and capabilities in clinical governance and other information required to ensure high quality and safe care</w:t>
      </w:r>
    </w:p>
    <w:p w14:paraId="3C115C6E" w14:textId="399BBD9E" w:rsidR="00F84C75" w:rsidRDefault="00E255B2" w:rsidP="00B226F3">
      <w:pPr>
        <w:pStyle w:val="DHHSbullet1"/>
      </w:pPr>
      <w:r>
        <w:t>p</w:t>
      </w:r>
      <w:r w:rsidR="00F84C75">
        <w:t>rovid</w:t>
      </w:r>
      <w:r w:rsidR="00D905FA">
        <w:t>ing</w:t>
      </w:r>
      <w:r w:rsidR="00F84C75">
        <w:t xml:space="preserve"> staff with training and mentoring in performance management and quality improvement</w:t>
      </w:r>
      <w:r w:rsidR="00C32FBE">
        <w:t>,</w:t>
      </w:r>
      <w:r w:rsidR="00F84C75">
        <w:t xml:space="preserve"> and the tools to enable them to have an effective performance improvement role.</w:t>
      </w:r>
    </w:p>
    <w:p w14:paraId="41C4A7FD" w14:textId="767A3D3A" w:rsidR="00BF42AB" w:rsidRDefault="00F84C75" w:rsidP="00FB4060">
      <w:pPr>
        <w:pStyle w:val="DHHSbodyafterbullets"/>
      </w:pPr>
      <w:r>
        <w:t xml:space="preserve">The department </w:t>
      </w:r>
      <w:r w:rsidR="00D905FA">
        <w:t>relies</w:t>
      </w:r>
      <w:r>
        <w:t xml:space="preserve"> on SCV, VAHI </w:t>
      </w:r>
      <w:r w:rsidR="00A2382D">
        <w:t xml:space="preserve">and the OCP </w:t>
      </w:r>
      <w:r>
        <w:t>as key partners to help manage and improve sector</w:t>
      </w:r>
      <w:r w:rsidR="00687BB7">
        <w:t>-</w:t>
      </w:r>
      <w:r>
        <w:t>wide performance.</w:t>
      </w:r>
    </w:p>
    <w:p w14:paraId="6C88F7F4" w14:textId="337F9D5C" w:rsidR="00F84C75" w:rsidRDefault="00F84C75" w:rsidP="00494924">
      <w:pPr>
        <w:pStyle w:val="Heading4"/>
      </w:pPr>
      <w:r>
        <w:t>Safer Care Victoria</w:t>
      </w:r>
    </w:p>
    <w:p w14:paraId="73BCB0B5" w14:textId="77777777" w:rsidR="00BF42AB" w:rsidRDefault="00F84C75" w:rsidP="00F84C75">
      <w:pPr>
        <w:pStyle w:val="DHHSbody"/>
      </w:pPr>
      <w:r>
        <w:t>SCV is the peak state authority for leading quality and safety improvement in healthcare. Its role is to oversee and support Victorian health services to provide safe, high</w:t>
      </w:r>
      <w:r w:rsidR="00687BB7">
        <w:t>-</w:t>
      </w:r>
      <w:r>
        <w:t>quality care.</w:t>
      </w:r>
    </w:p>
    <w:p w14:paraId="6B43F270" w14:textId="29273616" w:rsidR="00BF42AB" w:rsidRDefault="00F84C75" w:rsidP="00F84C75">
      <w:pPr>
        <w:pStyle w:val="DHHSbody"/>
      </w:pPr>
      <w:r>
        <w:t>As well as monitoring the standards of care provided,</w:t>
      </w:r>
      <w:r w:rsidRPr="00B40933">
        <w:t xml:space="preserve"> </w:t>
      </w:r>
      <w:r>
        <w:t xml:space="preserve">SCV </w:t>
      </w:r>
      <w:r w:rsidR="001F4220">
        <w:t>partners</w:t>
      </w:r>
      <w:r>
        <w:t xml:space="preserve"> with consumers and their families, clinicians and health services to support continuous improvement in healthcare. There is a strong focus on listening to patients</w:t>
      </w:r>
      <w:r w:rsidR="00E61B48">
        <w:t>’</w:t>
      </w:r>
      <w:r>
        <w:t xml:space="preserve"> voices</w:t>
      </w:r>
      <w:r w:rsidR="00196E3F">
        <w:t>,</w:t>
      </w:r>
      <w:r>
        <w:t xml:space="preserve"> and ensuring patients and patient outcomes remain at the centre of safety and quality conversations. In terms of quality and safety performance, SCV set</w:t>
      </w:r>
      <w:r w:rsidR="001F4220">
        <w:t>s</w:t>
      </w:r>
      <w:r>
        <w:t xml:space="preserve"> expectations and lead</w:t>
      </w:r>
      <w:r w:rsidR="001F4220">
        <w:t>s</w:t>
      </w:r>
      <w:r>
        <w:t xml:space="preserve"> improvement efforts across the sector.</w:t>
      </w:r>
    </w:p>
    <w:p w14:paraId="4D74EBE0" w14:textId="36C78B9D" w:rsidR="00BF42AB" w:rsidRDefault="00F84C75" w:rsidP="00F84C75">
      <w:pPr>
        <w:pStyle w:val="DHHSbody"/>
      </w:pPr>
      <w:r>
        <w:t xml:space="preserve">One of </w:t>
      </w:r>
      <w:r w:rsidR="00D905FA">
        <w:t>SCV</w:t>
      </w:r>
      <w:r w:rsidR="00E61B48">
        <w:t>’</w:t>
      </w:r>
      <w:r>
        <w:t>s aims is to provide patients, clinicians and hospitals with tools and resources to improve quality and safety in the health system.</w:t>
      </w:r>
    </w:p>
    <w:p w14:paraId="1A43A930" w14:textId="28B89D3D" w:rsidR="001F4220" w:rsidRDefault="00D905FA" w:rsidP="00F84C75">
      <w:pPr>
        <w:pStyle w:val="DHHSbody"/>
      </w:pPr>
      <w:r>
        <w:t>SCV</w:t>
      </w:r>
      <w:r w:rsidR="001F4220">
        <w:t xml:space="preserve"> works closely with the department on improving </w:t>
      </w:r>
      <w:r w:rsidR="00687BB7">
        <w:t xml:space="preserve">the </w:t>
      </w:r>
      <w:r w:rsidR="001F4220">
        <w:t xml:space="preserve">performance of health services and participates in key performance conversations with health services, particularly where concerns exist about </w:t>
      </w:r>
      <w:r w:rsidR="001D7656">
        <w:t>safety and quality of care.</w:t>
      </w:r>
    </w:p>
    <w:p w14:paraId="26030F02" w14:textId="1EF0F289" w:rsidR="00F84C75" w:rsidRDefault="00F84C75" w:rsidP="00494924">
      <w:pPr>
        <w:pStyle w:val="Heading4"/>
      </w:pPr>
      <w:r>
        <w:t>Office of the Chief Psychiatrist</w:t>
      </w:r>
    </w:p>
    <w:p w14:paraId="56504F74" w14:textId="1A37AC50" w:rsidR="00BF42AB" w:rsidRDefault="00F84C75" w:rsidP="00C36EE2">
      <w:pPr>
        <w:pStyle w:val="DHHSbody"/>
      </w:pPr>
      <w:r>
        <w:t>The Chief Psychiatrist provides system-wide oversight of Victoria</w:t>
      </w:r>
      <w:r w:rsidR="00E61B48">
        <w:t>’</w:t>
      </w:r>
      <w:r>
        <w:t xml:space="preserve">s public mental health services. Supported by the </w:t>
      </w:r>
      <w:r w:rsidR="00477FA1">
        <w:t>OCP</w:t>
      </w:r>
      <w:r>
        <w:t>, the role supports quality and safety in services provided to some of Victoria</w:t>
      </w:r>
      <w:r w:rsidR="00E61B48">
        <w:t>’</w:t>
      </w:r>
      <w:r>
        <w:t xml:space="preserve">s most vulnerable people. The role and functions of the Chief Psychiatrist are </w:t>
      </w:r>
      <w:r w:rsidR="00687BB7">
        <w:t xml:space="preserve">set out </w:t>
      </w:r>
      <w:r>
        <w:t xml:space="preserve">under the </w:t>
      </w:r>
      <w:r w:rsidR="00A57405" w:rsidRPr="00900BF4">
        <w:t>MHA</w:t>
      </w:r>
      <w:r>
        <w:t>.</w:t>
      </w:r>
    </w:p>
    <w:p w14:paraId="5F45D905" w14:textId="772CB659" w:rsidR="00F84C75" w:rsidRDefault="00925BB2" w:rsidP="00F84C75">
      <w:pPr>
        <w:pStyle w:val="DHHSbody"/>
      </w:pPr>
      <w:r>
        <w:t xml:space="preserve">Its </w:t>
      </w:r>
      <w:r w:rsidR="00F84C75">
        <w:t xml:space="preserve">responsibilities under the </w:t>
      </w:r>
      <w:r>
        <w:t xml:space="preserve">MHA </w:t>
      </w:r>
      <w:r w:rsidR="00F84C75">
        <w:t>include clinical leadership and quality and safety improvements across Victoria</w:t>
      </w:r>
      <w:r w:rsidR="00E61B48">
        <w:t>’</w:t>
      </w:r>
      <w:r w:rsidR="00F84C75">
        <w:t xml:space="preserve">s public mental health system. The activities undertaken by the </w:t>
      </w:r>
      <w:r>
        <w:t xml:space="preserve">OCP </w:t>
      </w:r>
      <w:r w:rsidR="00F84C75">
        <w:t>are far ranging and include assisting services in developing and implementing clinical best practice approaches and advice to the sector, undertaking reviews, audits and investigations as required, and promot</w:t>
      </w:r>
      <w:r w:rsidR="004356A9">
        <w:t>ing</w:t>
      </w:r>
      <w:r w:rsidR="00F84C75">
        <w:t xml:space="preserve"> continuous improvement in areas of quality and safety.</w:t>
      </w:r>
    </w:p>
    <w:p w14:paraId="30EEED36" w14:textId="5F4A1E4C" w:rsidR="00007D51" w:rsidRDefault="00F84C75" w:rsidP="00F84C75">
      <w:pPr>
        <w:pStyle w:val="DHHSbody"/>
      </w:pPr>
      <w:r>
        <w:lastRenderedPageBreak/>
        <w:t xml:space="preserve">The </w:t>
      </w:r>
      <w:r w:rsidR="00477FA1">
        <w:t>OCP</w:t>
      </w:r>
      <w:r>
        <w:t xml:space="preserve"> incorporates the work of the Office of the Chief Mental Health Nurse. The Chief Mental Health Nurse provides nursing leadership and supports mental health nursing through education and training, promotion of best practice</w:t>
      </w:r>
      <w:r w:rsidR="005E1114">
        <w:t>,</w:t>
      </w:r>
      <w:r>
        <w:t xml:space="preserve"> and workforce planning and development. The Chief Mental Health Nurse and her staff make a significant contribution to systems improvements with a focus on safety</w:t>
      </w:r>
      <w:r w:rsidR="00925BB2">
        <w:t>.</w:t>
      </w:r>
    </w:p>
    <w:p w14:paraId="3C76B692" w14:textId="1402226A" w:rsidR="00F84C75" w:rsidRDefault="00F84C75" w:rsidP="00494924">
      <w:pPr>
        <w:pStyle w:val="Heading4"/>
      </w:pPr>
      <w:r>
        <w:t>Victorian Agency for Health Information</w:t>
      </w:r>
    </w:p>
    <w:p w14:paraId="6998FF54" w14:textId="56EF93DC" w:rsidR="00BF42AB" w:rsidRDefault="00F84C75" w:rsidP="00F84C75">
      <w:pPr>
        <w:pStyle w:val="DHHSbody"/>
      </w:pPr>
      <w:r w:rsidRPr="00E06B7C">
        <w:t xml:space="preserve">VAHI </w:t>
      </w:r>
      <w:r w:rsidR="001D7656">
        <w:t>is responsible for</w:t>
      </w:r>
      <w:r w:rsidRPr="00E06B7C">
        <w:t xml:space="preserve"> analys</w:t>
      </w:r>
      <w:r w:rsidR="001D7656">
        <w:t>ing</w:t>
      </w:r>
      <w:r w:rsidRPr="00E06B7C">
        <w:t xml:space="preserve"> and shar</w:t>
      </w:r>
      <w:r w:rsidR="001D7656">
        <w:t>ing</w:t>
      </w:r>
      <w:r w:rsidRPr="00E06B7C">
        <w:t xml:space="preserve"> information across the health system. </w:t>
      </w:r>
      <w:r w:rsidR="007E7592">
        <w:t>To</w:t>
      </w:r>
      <w:r w:rsidR="001D7656">
        <w:t xml:space="preserve"> discharge this responsibility, it</w:t>
      </w:r>
      <w:r w:rsidRPr="00E06B7C">
        <w:t xml:space="preserve"> develop</w:t>
      </w:r>
      <w:r w:rsidR="001D7656">
        <w:t>s</w:t>
      </w:r>
      <w:r w:rsidRPr="00E06B7C">
        <w:t xml:space="preserve"> relevant and meaningful measure</w:t>
      </w:r>
      <w:r w:rsidR="00D905FA">
        <w:t>s</w:t>
      </w:r>
      <w:r w:rsidRPr="00E06B7C">
        <w:t xml:space="preserve"> of patient care and outcomes </w:t>
      </w:r>
      <w:r w:rsidR="003410DC">
        <w:t>for</w:t>
      </w:r>
      <w:r>
        <w:t xml:space="preserve"> </w:t>
      </w:r>
      <w:r w:rsidRPr="00E06B7C">
        <w:t xml:space="preserve">public reporting, oversight and clinical improvement. </w:t>
      </w:r>
      <w:r>
        <w:t xml:space="preserve">Accordingly, </w:t>
      </w:r>
      <w:r w:rsidR="007E7592">
        <w:t>VAHI</w:t>
      </w:r>
      <w:r>
        <w:t xml:space="preserve"> </w:t>
      </w:r>
      <w:r w:rsidRPr="00E06B7C">
        <w:t>play</w:t>
      </w:r>
      <w:r>
        <w:t>s a key</w:t>
      </w:r>
      <w:r w:rsidRPr="00E06B7C">
        <w:t xml:space="preserve"> a role in data management, standards and integrity.</w:t>
      </w:r>
    </w:p>
    <w:p w14:paraId="5E2F389C" w14:textId="77E2BCA9" w:rsidR="00BF42AB" w:rsidRDefault="00F84C75" w:rsidP="00F84C75">
      <w:pPr>
        <w:pStyle w:val="DHHSbody"/>
      </w:pPr>
      <w:r>
        <w:t>VAHI</w:t>
      </w:r>
      <w:r w:rsidR="00E61B48">
        <w:t>’</w:t>
      </w:r>
      <w:r>
        <w:t>s key functions include</w:t>
      </w:r>
      <w:r w:rsidRPr="00E06B7C">
        <w:t>:</w:t>
      </w:r>
    </w:p>
    <w:p w14:paraId="70AC4D9C" w14:textId="77777777" w:rsidR="00BF42AB" w:rsidRDefault="00407568" w:rsidP="00F84C75">
      <w:pPr>
        <w:pStyle w:val="DHHSbullet1"/>
      </w:pPr>
      <w:r>
        <w:t>c</w:t>
      </w:r>
      <w:r w:rsidR="00F84C75" w:rsidRPr="00E06B7C">
        <w:t>ollect</w:t>
      </w:r>
      <w:r w:rsidR="00F84C75">
        <w:t>ing</w:t>
      </w:r>
      <w:r w:rsidR="00F84C75" w:rsidRPr="00E06B7C">
        <w:t>, analysing and sharing data so that the community is better informed about health services and health services receive better information about their performance</w:t>
      </w:r>
    </w:p>
    <w:p w14:paraId="2E2FABBD" w14:textId="549B9B94" w:rsidR="00F84C75" w:rsidRPr="00E06B7C" w:rsidRDefault="00407568" w:rsidP="00F84C75">
      <w:pPr>
        <w:pStyle w:val="DHHSbullet1"/>
      </w:pPr>
      <w:r>
        <w:t>p</w:t>
      </w:r>
      <w:r w:rsidR="00F84C75">
        <w:t>roviding</w:t>
      </w:r>
      <w:r w:rsidR="00F84C75" w:rsidRPr="00E06B7C">
        <w:t xml:space="preserve"> boards, health executives and clinicians with the information they need to best serve their communities and provide better, safer care</w:t>
      </w:r>
    </w:p>
    <w:p w14:paraId="75DC3AB6" w14:textId="77777777" w:rsidR="00F84C75" w:rsidRPr="00E06B7C" w:rsidRDefault="00407568" w:rsidP="00F84C75">
      <w:pPr>
        <w:pStyle w:val="DHHSbullet1"/>
      </w:pPr>
      <w:r>
        <w:t>p</w:t>
      </w:r>
      <w:r w:rsidR="00F84C75">
        <w:t>roviding</w:t>
      </w:r>
      <w:r w:rsidR="00F84C75" w:rsidRPr="00E06B7C">
        <w:t xml:space="preserve"> patients and carers with meaningful and useful information about care in their local community</w:t>
      </w:r>
    </w:p>
    <w:p w14:paraId="1CC55C25" w14:textId="7008BB36" w:rsidR="00F84C75" w:rsidRDefault="00407568" w:rsidP="00B226F3">
      <w:pPr>
        <w:pStyle w:val="DHHSbullet1"/>
      </w:pPr>
      <w:r>
        <w:t>i</w:t>
      </w:r>
      <w:r w:rsidR="00F84C75">
        <w:t>mproving</w:t>
      </w:r>
      <w:r w:rsidR="00F84C75" w:rsidRPr="00E06B7C">
        <w:t xml:space="preserve"> researchers</w:t>
      </w:r>
      <w:r w:rsidR="00E61B48">
        <w:t>’</w:t>
      </w:r>
      <w:r w:rsidR="00F84C75" w:rsidRPr="00E06B7C">
        <w:t xml:space="preserve"> access to data to create evidence that informs the provision of better, safer ca</w:t>
      </w:r>
      <w:r w:rsidR="00F84C75">
        <w:t>re</w:t>
      </w:r>
      <w:r>
        <w:t>.</w:t>
      </w:r>
    </w:p>
    <w:p w14:paraId="5A6CAD04" w14:textId="2B11D21D" w:rsidR="00F84C75" w:rsidRDefault="00F84C75" w:rsidP="00FB4060">
      <w:pPr>
        <w:pStyle w:val="DHHSbodyafterbullets"/>
      </w:pPr>
      <w:r>
        <w:t xml:space="preserve">To achieve its objectives, VAHI </w:t>
      </w:r>
      <w:r w:rsidR="001D7656">
        <w:t xml:space="preserve">relies on obtaining </w:t>
      </w:r>
      <w:r w:rsidR="00D905FA">
        <w:t xml:space="preserve">timely, </w:t>
      </w:r>
      <w:r w:rsidRPr="00E06B7C">
        <w:t xml:space="preserve">accurate and </w:t>
      </w:r>
      <w:r w:rsidR="001D7656">
        <w:t>high</w:t>
      </w:r>
      <w:r w:rsidR="00D905FA">
        <w:t>-</w:t>
      </w:r>
      <w:r w:rsidRPr="00E06B7C">
        <w:t xml:space="preserve">quality data from public and private providers of health services. </w:t>
      </w:r>
      <w:r w:rsidR="00D905FA">
        <w:t>VAHI</w:t>
      </w:r>
      <w:r w:rsidR="001D7656">
        <w:t xml:space="preserve"> is vital to </w:t>
      </w:r>
      <w:r w:rsidR="00D905FA">
        <w:t xml:space="preserve">the </w:t>
      </w:r>
      <w:r w:rsidR="001D7656">
        <w:t xml:space="preserve">effective functioning of the </w:t>
      </w:r>
      <w:r w:rsidR="007450D2">
        <w:t>Framework</w:t>
      </w:r>
      <w:r w:rsidR="001D7656">
        <w:t xml:space="preserve"> through its provision of </w:t>
      </w:r>
      <w:r w:rsidR="007B1F72">
        <w:t xml:space="preserve">performance </w:t>
      </w:r>
      <w:r w:rsidR="001D7656">
        <w:t>measures data and its work on developing additional robust measures of performance.</w:t>
      </w:r>
    </w:p>
    <w:p w14:paraId="3172B7C8" w14:textId="77777777" w:rsidR="00007D51" w:rsidRDefault="00E86433" w:rsidP="00494924">
      <w:pPr>
        <w:pStyle w:val="Heading4"/>
      </w:pPr>
      <w:r>
        <w:t>Public hospitals and h</w:t>
      </w:r>
      <w:r w:rsidR="00F84C75">
        <w:t>ealth services</w:t>
      </w:r>
    </w:p>
    <w:p w14:paraId="7CB858B1" w14:textId="4D7BEB3A" w:rsidR="00BF42AB" w:rsidRDefault="00F84C75" w:rsidP="00B226F3">
      <w:pPr>
        <w:pStyle w:val="DHHSbullet1"/>
      </w:pPr>
      <w:r>
        <w:t>Victoria</w:t>
      </w:r>
      <w:r w:rsidR="00E61B48">
        <w:t>’</w:t>
      </w:r>
      <w:r>
        <w:t xml:space="preserve">s public </w:t>
      </w:r>
      <w:r w:rsidR="00E86433">
        <w:t xml:space="preserve">hospitals and </w:t>
      </w:r>
      <w:r>
        <w:t xml:space="preserve">health services are independent legal entities established under the </w:t>
      </w:r>
      <w:r w:rsidR="00A57405" w:rsidRPr="00900BF4">
        <w:t>HSA</w:t>
      </w:r>
      <w:r w:rsidR="006E4359">
        <w:rPr>
          <w:i/>
        </w:rPr>
        <w:t xml:space="preserve">, </w:t>
      </w:r>
      <w:r w:rsidR="004568DC">
        <w:t>ASA</w:t>
      </w:r>
      <w:r w:rsidR="006E4359">
        <w:rPr>
          <w:i/>
        </w:rPr>
        <w:t xml:space="preserve"> </w:t>
      </w:r>
      <w:r w:rsidR="006E4359" w:rsidRPr="00141C3B">
        <w:t xml:space="preserve">and </w:t>
      </w:r>
      <w:r w:rsidR="00A57405" w:rsidRPr="00900BF4">
        <w:t>MHA</w:t>
      </w:r>
      <w:r w:rsidR="00E86433">
        <w:t xml:space="preserve"> (where applicable to the respective hospital and health service)</w:t>
      </w:r>
      <w:r>
        <w:t xml:space="preserve">. They are governed by boards of directors, </w:t>
      </w:r>
      <w:r w:rsidR="00091494">
        <w:t xml:space="preserve">who are </w:t>
      </w:r>
      <w:r>
        <w:t>appointed by the Governor-in-Council on recommendation of the Minister</w:t>
      </w:r>
      <w:r w:rsidR="00112495">
        <w:t xml:space="preserve"> for Health</w:t>
      </w:r>
      <w:r>
        <w:t xml:space="preserve">. The board oversees the health service on behalf of the Minister </w:t>
      </w:r>
      <w:r w:rsidR="00817828">
        <w:t xml:space="preserve">for Health </w:t>
      </w:r>
      <w:r>
        <w:t>and in accordance with government policy and its legal obligations.</w:t>
      </w:r>
    </w:p>
    <w:p w14:paraId="015A6BF7" w14:textId="02F4E015" w:rsidR="00BF42AB" w:rsidRDefault="00EE3486" w:rsidP="00B226F3">
      <w:pPr>
        <w:pStyle w:val="DHHSbullet1"/>
      </w:pPr>
      <w:r>
        <w:t>Public hospitals and h</w:t>
      </w:r>
      <w:r w:rsidR="00F84C75">
        <w:t xml:space="preserve">ealth services </w:t>
      </w:r>
      <w:r w:rsidR="00F84C75" w:rsidRPr="0022502B">
        <w:t xml:space="preserve">discharge their obligations under </w:t>
      </w:r>
      <w:r w:rsidR="004356A9">
        <w:t xml:space="preserve">the </w:t>
      </w:r>
      <w:r w:rsidR="007450D2">
        <w:t>Framework</w:t>
      </w:r>
      <w:r w:rsidR="00F84C75" w:rsidRPr="0022502B">
        <w:t xml:space="preserve"> by:</w:t>
      </w:r>
    </w:p>
    <w:p w14:paraId="03D25ADA" w14:textId="77777777" w:rsidR="00BF42AB" w:rsidRDefault="00407568" w:rsidP="00900BF4">
      <w:pPr>
        <w:pStyle w:val="DHHSbullet2"/>
      </w:pPr>
      <w:r>
        <w:t>p</w:t>
      </w:r>
      <w:r w:rsidR="00B176A0">
        <w:t>artnering with the d</w:t>
      </w:r>
      <w:r w:rsidR="00F84C75">
        <w:t>epartment and other agencies to improve health service and system wide performance</w:t>
      </w:r>
    </w:p>
    <w:p w14:paraId="236415F2" w14:textId="3503284E" w:rsidR="00F84C75" w:rsidRDefault="00BC7FF0" w:rsidP="00900BF4">
      <w:pPr>
        <w:pStyle w:val="DHHSbullet2"/>
      </w:pPr>
      <w:r>
        <w:t xml:space="preserve">promptly </w:t>
      </w:r>
      <w:r w:rsidR="00407568">
        <w:t>r</w:t>
      </w:r>
      <w:r w:rsidR="00B176A0">
        <w:t>eporting to the d</w:t>
      </w:r>
      <w:r w:rsidR="00F84C75">
        <w:t>epartment any emerging risks or potential performance issues including immediate action taken</w:t>
      </w:r>
    </w:p>
    <w:p w14:paraId="51AAAD85" w14:textId="77777777" w:rsidR="00F84C75" w:rsidRDefault="00407568" w:rsidP="00900BF4">
      <w:pPr>
        <w:pStyle w:val="DHHSbullet2"/>
      </w:pPr>
      <w:r>
        <w:t>e</w:t>
      </w:r>
      <w:r w:rsidR="00F84C75">
        <w:t>stablishing and maintaining a culture of safety and performance improvement within the health service</w:t>
      </w:r>
    </w:p>
    <w:p w14:paraId="1BCFA188" w14:textId="10A022DE" w:rsidR="00F84C75" w:rsidRDefault="00407568" w:rsidP="00900BF4">
      <w:pPr>
        <w:pStyle w:val="DHHSbullet2"/>
      </w:pPr>
      <w:r>
        <w:t>e</w:t>
      </w:r>
      <w:r w:rsidR="00F84C75">
        <w:t xml:space="preserve">nsuring accurate and timely submission of data and other information, including </w:t>
      </w:r>
      <w:r w:rsidR="007B1F72">
        <w:t xml:space="preserve">implementing </w:t>
      </w:r>
      <w:r w:rsidR="0059603A">
        <w:t>agreed action plans</w:t>
      </w:r>
      <w:r w:rsidR="00F84C75">
        <w:t xml:space="preserve"> and status update reports</w:t>
      </w:r>
    </w:p>
    <w:p w14:paraId="0774AC8F" w14:textId="15EB57DF" w:rsidR="00F84C75" w:rsidRDefault="00407568" w:rsidP="00900BF4">
      <w:pPr>
        <w:pStyle w:val="DHHSbullet2"/>
      </w:pPr>
      <w:r>
        <w:t>c</w:t>
      </w:r>
      <w:r w:rsidR="00F84C75">
        <w:t>ollaborating with other health services and system partners to</w:t>
      </w:r>
      <w:r w:rsidR="004356A9">
        <w:t xml:space="preserve"> maintain and improve their performance and to</w:t>
      </w:r>
      <w:r w:rsidR="00F84C75">
        <w:t xml:space="preserve"> meet the needs of their communities.</w:t>
      </w:r>
    </w:p>
    <w:p w14:paraId="2A908851" w14:textId="1562D07E" w:rsidR="00BF42AB" w:rsidRDefault="00F84C75" w:rsidP="003F170E">
      <w:pPr>
        <w:pStyle w:val="Heading3"/>
      </w:pPr>
      <w:bookmarkStart w:id="78" w:name="_Toc486512530"/>
      <w:bookmarkStart w:id="79" w:name="_Toc486513095"/>
      <w:bookmarkStart w:id="80" w:name="_Toc516827346"/>
      <w:bookmarkStart w:id="81" w:name="_Toc15579819"/>
      <w:r>
        <w:t>Performance</w:t>
      </w:r>
      <w:r w:rsidR="00C60656">
        <w:t xml:space="preserve"> </w:t>
      </w:r>
      <w:r>
        <w:t>meetings</w:t>
      </w:r>
      <w:bookmarkEnd w:id="78"/>
      <w:bookmarkEnd w:id="79"/>
      <w:bookmarkEnd w:id="80"/>
      <w:bookmarkEnd w:id="81"/>
    </w:p>
    <w:p w14:paraId="5E357EC7" w14:textId="77777777" w:rsidR="00007D51" w:rsidRDefault="00E85ACD" w:rsidP="00F84C75">
      <w:pPr>
        <w:pStyle w:val="DHHSbody"/>
      </w:pPr>
      <w:r>
        <w:t>P</w:t>
      </w:r>
      <w:r w:rsidR="00F84C75">
        <w:t xml:space="preserve">erformance meetings are </w:t>
      </w:r>
      <w:r>
        <w:t xml:space="preserve">usually </w:t>
      </w:r>
      <w:r w:rsidR="00F84C75">
        <w:t xml:space="preserve">undertaken </w:t>
      </w:r>
      <w:r w:rsidR="008C511B">
        <w:t xml:space="preserve">on a </w:t>
      </w:r>
      <w:r w:rsidR="00F84C75">
        <w:t xml:space="preserve">quarterly </w:t>
      </w:r>
      <w:r w:rsidR="008C511B">
        <w:t xml:space="preserve">basis </w:t>
      </w:r>
      <w:r w:rsidR="00F84C75">
        <w:t>and include a mid</w:t>
      </w:r>
      <w:r w:rsidR="009C1B2A">
        <w:t>-</w:t>
      </w:r>
      <w:r w:rsidR="00F84C75">
        <w:t xml:space="preserve"> and end of</w:t>
      </w:r>
      <w:r w:rsidR="009C1B2A">
        <w:t>-</w:t>
      </w:r>
      <w:r w:rsidR="00F84C75">
        <w:t xml:space="preserve"> year review of t</w:t>
      </w:r>
      <w:r w:rsidR="00B176A0">
        <w:t xml:space="preserve">he </w:t>
      </w:r>
      <w:r w:rsidR="007A2BC0">
        <w:t>S</w:t>
      </w:r>
      <w:r w:rsidR="008347E5">
        <w:t>O</w:t>
      </w:r>
      <w:r w:rsidR="007A2BC0">
        <w:t>P</w:t>
      </w:r>
      <w:r w:rsidR="00B176A0">
        <w:t xml:space="preserve"> Part A actions.</w:t>
      </w:r>
    </w:p>
    <w:p w14:paraId="78D22D32" w14:textId="19013406" w:rsidR="00F84C75" w:rsidRDefault="00F84C75" w:rsidP="00F84C75">
      <w:pPr>
        <w:pStyle w:val="DHHSbody"/>
      </w:pPr>
      <w:r>
        <w:t>The</w:t>
      </w:r>
      <w:r w:rsidR="0059603A">
        <w:t xml:space="preserve"> </w:t>
      </w:r>
      <w:r w:rsidR="00582F7D">
        <w:t xml:space="preserve">department’s </w:t>
      </w:r>
      <w:r w:rsidR="0059603A">
        <w:t>performance</w:t>
      </w:r>
      <w:r>
        <w:t xml:space="preserve"> risk assessment tool</w:t>
      </w:r>
      <w:r w:rsidR="00582F7D">
        <w:t>s</w:t>
      </w:r>
      <w:r>
        <w:t xml:space="preserve"> provide the baseline for </w:t>
      </w:r>
      <w:bookmarkStart w:id="82" w:name="_Toc428799829"/>
      <w:bookmarkStart w:id="83" w:name="_Toc441042596"/>
      <w:bookmarkStart w:id="84" w:name="_Toc442863883"/>
      <w:bookmarkStart w:id="85" w:name="_Toc453325206"/>
      <w:bookmarkStart w:id="86" w:name="Appendix"/>
      <w:r>
        <w:t xml:space="preserve">analysing performance at the performance meeting. </w:t>
      </w:r>
      <w:r w:rsidR="001D7656">
        <w:t xml:space="preserve">The performance meeting is used to finalise the </w:t>
      </w:r>
      <w:r w:rsidR="00C059AF">
        <w:t xml:space="preserve">health service’s </w:t>
      </w:r>
      <w:r w:rsidR="0059603A">
        <w:t xml:space="preserve">performance </w:t>
      </w:r>
      <w:r w:rsidR="001D7656">
        <w:t>risk and document the monitoring, support and intervention level for each health service, as determined by the department.</w:t>
      </w:r>
    </w:p>
    <w:p w14:paraId="4E0AE061" w14:textId="53A1D07C" w:rsidR="00BF42AB" w:rsidRDefault="00F84C75" w:rsidP="007F00DE">
      <w:pPr>
        <w:pStyle w:val="DHHSbody"/>
      </w:pPr>
      <w:r>
        <w:lastRenderedPageBreak/>
        <w:t xml:space="preserve">Progress updates on </w:t>
      </w:r>
      <w:r w:rsidR="007B1F72">
        <w:t xml:space="preserve">the development and implementation of agreed action </w:t>
      </w:r>
      <w:r>
        <w:t>plans or recommendations from third</w:t>
      </w:r>
      <w:r w:rsidR="004356A9">
        <w:t>-</w:t>
      </w:r>
      <w:r>
        <w:t xml:space="preserve">party reports are considered as part of the performance discussion, as well as emerging performance </w:t>
      </w:r>
      <w:r w:rsidR="0059603A">
        <w:t xml:space="preserve">concerns </w:t>
      </w:r>
      <w:r>
        <w:t>or trends that may affect future performance.</w:t>
      </w:r>
    </w:p>
    <w:p w14:paraId="4A117224" w14:textId="77777777" w:rsidR="00007D51" w:rsidRDefault="00F84C75" w:rsidP="00F84C75">
      <w:pPr>
        <w:pStyle w:val="DHHSbody"/>
      </w:pPr>
      <w:r>
        <w:t xml:space="preserve">Required representation from the </w:t>
      </w:r>
      <w:r w:rsidR="004356A9">
        <w:t>d</w:t>
      </w:r>
      <w:r>
        <w:t xml:space="preserve">epartment and </w:t>
      </w:r>
      <w:r w:rsidR="004356A9">
        <w:t>h</w:t>
      </w:r>
      <w:r>
        <w:t xml:space="preserve">ealth </w:t>
      </w:r>
      <w:r w:rsidR="004356A9">
        <w:t>s</w:t>
      </w:r>
      <w:r>
        <w:t>ervices will depend on the level and areas of performance concern. Attendance is kept to a minimum</w:t>
      </w:r>
      <w:r w:rsidR="004356A9">
        <w:t>,</w:t>
      </w:r>
      <w:r>
        <w:t xml:space="preserve"> </w:t>
      </w:r>
      <w:r w:rsidR="004356A9">
        <w:t xml:space="preserve">involving only the </w:t>
      </w:r>
      <w:r>
        <w:t xml:space="preserve">core </w:t>
      </w:r>
      <w:r w:rsidR="004B0512">
        <w:t xml:space="preserve">performance </w:t>
      </w:r>
      <w:r>
        <w:t xml:space="preserve">group </w:t>
      </w:r>
      <w:r w:rsidR="004356A9">
        <w:t xml:space="preserve">required to </w:t>
      </w:r>
      <w:r>
        <w:t>ensur</w:t>
      </w:r>
      <w:r w:rsidR="004356A9">
        <w:t>e</w:t>
      </w:r>
      <w:r>
        <w:t xml:space="preserve"> coverage of each aspect of performance. SCV </w:t>
      </w:r>
      <w:r w:rsidR="007C2401">
        <w:t xml:space="preserve">representatives </w:t>
      </w:r>
      <w:r>
        <w:t>feature regularly at performance review meetings where quality and safety concerns are apparent.</w:t>
      </w:r>
    </w:p>
    <w:p w14:paraId="7350DFEB" w14:textId="454D85C3" w:rsidR="00BF42AB" w:rsidRDefault="00545B82" w:rsidP="00F84C75">
      <w:pPr>
        <w:pStyle w:val="DHHSbody"/>
      </w:pPr>
      <w:r w:rsidRPr="006B50A1">
        <w:t xml:space="preserve">The </w:t>
      </w:r>
      <w:r>
        <w:t xml:space="preserve">abovementioned </w:t>
      </w:r>
      <w:r w:rsidRPr="006B50A1">
        <w:t>approach to performance monitoring represent</w:t>
      </w:r>
      <w:r>
        <w:t>s</w:t>
      </w:r>
      <w:r w:rsidRPr="006B50A1">
        <w:t xml:space="preserve"> a shared responsibility between health services and the department in understanding and addressing the issues that can </w:t>
      </w:r>
      <w:r>
        <w:t>impact</w:t>
      </w:r>
      <w:r w:rsidRPr="006B50A1">
        <w:t xml:space="preserve"> health service</w:t>
      </w:r>
      <w:r>
        <w:t xml:space="preserve"> performance</w:t>
      </w:r>
      <w:r w:rsidRPr="006B50A1">
        <w:t>.</w:t>
      </w:r>
    </w:p>
    <w:p w14:paraId="3BFB1B64" w14:textId="011F0A16" w:rsidR="00007D51" w:rsidRDefault="004A5643" w:rsidP="00796B2E">
      <w:pPr>
        <w:pStyle w:val="Heading4"/>
      </w:pPr>
      <w:r w:rsidRPr="002412FE">
        <w:t xml:space="preserve">Frequency of formal performance meetings </w:t>
      </w:r>
      <w:r w:rsidR="00A33FAC" w:rsidRPr="00D96D99">
        <w:t xml:space="preserve">and </w:t>
      </w:r>
      <w:r w:rsidRPr="002412FE">
        <w:t>department</w:t>
      </w:r>
      <w:r w:rsidR="0045168A">
        <w:t>al</w:t>
      </w:r>
      <w:r w:rsidRPr="002412FE">
        <w:t xml:space="preserve"> discretion</w:t>
      </w:r>
    </w:p>
    <w:p w14:paraId="33A40FF8" w14:textId="66726559" w:rsidR="00007D51" w:rsidRDefault="00C16B76" w:rsidP="00C16B76">
      <w:pPr>
        <w:pStyle w:val="DHHSbody"/>
      </w:pPr>
      <w:r>
        <w:t>The frequency of formal performance meetings</w:t>
      </w:r>
      <w:r w:rsidR="0056340E">
        <w:t xml:space="preserve"> </w:t>
      </w:r>
      <w:r w:rsidR="006B46FB">
        <w:t xml:space="preserve">usually </w:t>
      </w:r>
      <w:r w:rsidR="0056340E">
        <w:t>increase</w:t>
      </w:r>
      <w:r>
        <w:t xml:space="preserve"> proportionate to </w:t>
      </w:r>
      <w:r w:rsidR="006B46FB">
        <w:t xml:space="preserve">a </w:t>
      </w:r>
      <w:r>
        <w:t>monitoring level</w:t>
      </w:r>
      <w:r w:rsidR="006B46FB">
        <w:t xml:space="preserve"> increase</w:t>
      </w:r>
      <w:r w:rsidR="00AD6F3B">
        <w:t>,</w:t>
      </w:r>
      <w:r>
        <w:t xml:space="preserve"> per the Framework’s </w:t>
      </w:r>
      <w:r w:rsidR="00876CDA">
        <w:t>principles</w:t>
      </w:r>
      <w:r>
        <w:t>. This applies for all health services.</w:t>
      </w:r>
    </w:p>
    <w:p w14:paraId="448E020C" w14:textId="77777777" w:rsidR="00007D51" w:rsidRDefault="00C16B76" w:rsidP="00C16B76">
      <w:pPr>
        <w:pStyle w:val="DHHSbody"/>
      </w:pPr>
      <w:r>
        <w:t xml:space="preserve">The department, and health services are in constant, informal contact. On that basis, and in some circumstances, even though a hospital can be on an increased monitoring level, this may not translate to a proportionate increase in the frequency of </w:t>
      </w:r>
      <w:r w:rsidRPr="00EE3486">
        <w:rPr>
          <w:i/>
        </w:rPr>
        <w:t>formal</w:t>
      </w:r>
      <w:r>
        <w:t xml:space="preserve"> performance meetings.</w:t>
      </w:r>
    </w:p>
    <w:p w14:paraId="469C83D6" w14:textId="77777777" w:rsidR="00007D51" w:rsidRDefault="002412FE" w:rsidP="002412FE">
      <w:pPr>
        <w:pStyle w:val="DHHSbody"/>
      </w:pPr>
      <w:r>
        <w:t xml:space="preserve">In </w:t>
      </w:r>
      <w:r w:rsidR="00674306">
        <w:t xml:space="preserve">unique </w:t>
      </w:r>
      <w:r>
        <w:t>circumstances, the frequency of formal performance meetings</w:t>
      </w:r>
      <w:r w:rsidR="009B423E">
        <w:t xml:space="preserve"> (such as for some small rural health services) may be altered</w:t>
      </w:r>
      <w:r w:rsidR="00A20509">
        <w:t xml:space="preserve"> </w:t>
      </w:r>
      <w:r w:rsidR="009B423E">
        <w:t xml:space="preserve">to </w:t>
      </w:r>
      <w:r w:rsidR="00F33110">
        <w:t>allow for</w:t>
      </w:r>
      <w:r w:rsidR="009B423E">
        <w:t xml:space="preserve"> flexibility </w:t>
      </w:r>
      <w:r w:rsidR="0009242C">
        <w:t>for that health service</w:t>
      </w:r>
      <w:r w:rsidR="00F33110">
        <w:t xml:space="preserve"> and the department</w:t>
      </w:r>
      <w:r w:rsidR="00CC3BDD">
        <w:t>,</w:t>
      </w:r>
      <w:r w:rsidR="00CC3BDD" w:rsidRPr="00CC3BDD">
        <w:t xml:space="preserve"> </w:t>
      </w:r>
      <w:r w:rsidR="00CC3BDD">
        <w:t>regardless of monitoring level</w:t>
      </w:r>
      <w:r w:rsidR="0009242C">
        <w:t xml:space="preserve">. </w:t>
      </w:r>
      <w:r w:rsidR="00DC425F">
        <w:t xml:space="preserve">The rationale for </w:t>
      </w:r>
      <w:r w:rsidR="00F33110">
        <w:t xml:space="preserve">this </w:t>
      </w:r>
      <w:r w:rsidR="00CC3BDD">
        <w:t>flexibility ensure</w:t>
      </w:r>
      <w:r w:rsidR="00DC425F">
        <w:t>s</w:t>
      </w:r>
      <w:r w:rsidR="00CC3BDD">
        <w:t xml:space="preserve"> strategic discussion based on best practice</w:t>
      </w:r>
      <w:r w:rsidR="00DC425F">
        <w:t xml:space="preserve"> for that health service</w:t>
      </w:r>
      <w:r w:rsidR="00CC3BDD">
        <w:t xml:space="preserve"> versus simply relying on a prescriptive calendar of formal meetings that may not necessarily lend themselves to </w:t>
      </w:r>
      <w:r w:rsidR="00DE62AE">
        <w:t>better performance outcomes</w:t>
      </w:r>
      <w:r w:rsidR="00CC3BDD">
        <w:t>.</w:t>
      </w:r>
    </w:p>
    <w:p w14:paraId="5453D43E" w14:textId="77777777" w:rsidR="00D9287F" w:rsidRDefault="00F33110" w:rsidP="00E408C7">
      <w:pPr>
        <w:pStyle w:val="DHHSbody"/>
      </w:pPr>
      <w:r>
        <w:t xml:space="preserve">However, </w:t>
      </w:r>
      <w:r w:rsidR="00052958">
        <w:t>risk identification and mitigation</w:t>
      </w:r>
      <w:r w:rsidR="001E1072">
        <w:t xml:space="preserve"> </w:t>
      </w:r>
      <w:r w:rsidR="00547ECE">
        <w:t xml:space="preserve">will remain </w:t>
      </w:r>
      <w:r w:rsidR="001E1072">
        <w:t xml:space="preserve">a </w:t>
      </w:r>
      <w:r w:rsidR="00547ECE">
        <w:t>priority for health services, the department and other performance agencies (such as SCV)</w:t>
      </w:r>
      <w:r w:rsidR="001E1072">
        <w:t>, when determining frequency.</w:t>
      </w:r>
      <w:r w:rsidR="00C16B76">
        <w:t xml:space="preserve"> T</w:t>
      </w:r>
      <w:r w:rsidR="00E408C7">
        <w:t xml:space="preserve">he department </w:t>
      </w:r>
      <w:r w:rsidR="00C16B76">
        <w:t xml:space="preserve">will </w:t>
      </w:r>
      <w:r w:rsidR="00E408C7">
        <w:t xml:space="preserve">still implement performance improvement plans and interventions as, and when, necessary but </w:t>
      </w:r>
      <w:r w:rsidR="00E408C7" w:rsidRPr="00E408C7">
        <w:rPr>
          <w:i/>
        </w:rPr>
        <w:t>informally</w:t>
      </w:r>
      <w:r w:rsidR="00E408C7">
        <w:t>.</w:t>
      </w:r>
      <w:r w:rsidR="00007D51">
        <w:t xml:space="preserve"> </w:t>
      </w:r>
    </w:p>
    <w:p w14:paraId="601FBD2C" w14:textId="38093570" w:rsidR="00E408C7" w:rsidRDefault="00E408C7" w:rsidP="00E408C7">
      <w:pPr>
        <w:pStyle w:val="DHHSbody"/>
      </w:pPr>
      <w:r>
        <w:t>Similarly, the department can initiate additional meetings</w:t>
      </w:r>
      <w:r w:rsidRPr="00E408C7">
        <w:t xml:space="preserve"> </w:t>
      </w:r>
      <w:r>
        <w:t>when emerging issues have been identified</w:t>
      </w:r>
      <w:r w:rsidR="00796608">
        <w:t xml:space="preserve">, </w:t>
      </w:r>
      <w:r>
        <w:t>performance escalation initiated or at the request of the health service.</w:t>
      </w:r>
    </w:p>
    <w:p w14:paraId="5E697163" w14:textId="3D5AFB54" w:rsidR="00007D51" w:rsidRDefault="004A5643" w:rsidP="004A5643">
      <w:pPr>
        <w:pStyle w:val="DHHSbody"/>
      </w:pPr>
      <w:r w:rsidRPr="00E408C7">
        <w:t xml:space="preserve">It is at the department’s discretion </w:t>
      </w:r>
      <w:r w:rsidR="00EE3486" w:rsidRPr="00E408C7">
        <w:t>as to the frequency of formal performance meetings</w:t>
      </w:r>
      <w:r w:rsidR="002B2705">
        <w:t>, however</w:t>
      </w:r>
      <w:r w:rsidR="00D9287F">
        <w:t xml:space="preserve"> frequency</w:t>
      </w:r>
      <w:r w:rsidR="002B2705">
        <w:t xml:space="preserve"> should be reasonably agreed with the health service</w:t>
      </w:r>
      <w:r w:rsidR="00EE3486" w:rsidRPr="00E408C7">
        <w:t>.</w:t>
      </w:r>
    </w:p>
    <w:p w14:paraId="2804FE2D" w14:textId="7D7A7863" w:rsidR="00F84C75" w:rsidRPr="00E50894" w:rsidRDefault="00F84C75" w:rsidP="003F170E">
      <w:pPr>
        <w:pStyle w:val="Heading3"/>
      </w:pPr>
      <w:bookmarkStart w:id="87" w:name="_Performance_monitoring_and"/>
      <w:bookmarkStart w:id="88" w:name="_Toc486512531"/>
      <w:bookmarkStart w:id="89" w:name="_Toc486513096"/>
      <w:bookmarkStart w:id="90" w:name="_Toc516827347"/>
      <w:bookmarkStart w:id="91" w:name="_Toc15579820"/>
      <w:bookmarkEnd w:id="87"/>
      <w:r w:rsidRPr="00E50894">
        <w:t xml:space="preserve">Performance monitoring </w:t>
      </w:r>
      <w:bookmarkEnd w:id="82"/>
      <w:bookmarkEnd w:id="83"/>
      <w:bookmarkEnd w:id="84"/>
      <w:bookmarkEnd w:id="88"/>
      <w:bookmarkEnd w:id="89"/>
      <w:bookmarkEnd w:id="90"/>
      <w:r w:rsidR="004A1F02">
        <w:t>and reporting</w:t>
      </w:r>
      <w:bookmarkEnd w:id="91"/>
    </w:p>
    <w:p w14:paraId="401617A3" w14:textId="16D87A55" w:rsidR="00BF42AB" w:rsidRDefault="00F84C75" w:rsidP="00F84C75">
      <w:pPr>
        <w:pStyle w:val="DHHSbody"/>
      </w:pPr>
      <w:r w:rsidRPr="00331116">
        <w:t>As determined by legislation, the S</w:t>
      </w:r>
      <w:r w:rsidR="008347E5">
        <w:t>O</w:t>
      </w:r>
      <w:r w:rsidRPr="00331116">
        <w:t>P is the key service delivery and ac</w:t>
      </w:r>
      <w:r>
        <w:t>countability agreement between health s</w:t>
      </w:r>
      <w:r w:rsidR="00B176A0">
        <w:t>ervices and the d</w:t>
      </w:r>
      <w:r w:rsidRPr="00331116">
        <w:t>epartment. It outlines key deliverables and performance</w:t>
      </w:r>
      <w:r>
        <w:t xml:space="preserve"> targets to be achieved by the health s</w:t>
      </w:r>
      <w:r w:rsidRPr="00331116">
        <w:t xml:space="preserve">ervices within the allocated annual budget. Performance against these is monitored </w:t>
      </w:r>
      <w:r w:rsidR="00B777C5">
        <w:t>in monthly report</w:t>
      </w:r>
      <w:r w:rsidR="00D800FA">
        <w:t>s</w:t>
      </w:r>
      <w:r w:rsidR="00B777C5">
        <w:t xml:space="preserve"> </w:t>
      </w:r>
      <w:r w:rsidR="00D800FA">
        <w:t xml:space="preserve">produced </w:t>
      </w:r>
      <w:r w:rsidR="00B777C5">
        <w:t>by VAHI</w:t>
      </w:r>
      <w:r>
        <w:t>.</w:t>
      </w:r>
    </w:p>
    <w:p w14:paraId="4A2BE813" w14:textId="1E9F6676" w:rsidR="00BF42AB" w:rsidRDefault="001D7656" w:rsidP="00F84C75">
      <w:pPr>
        <w:pStyle w:val="DHHSbody"/>
      </w:pPr>
      <w:r>
        <w:t xml:space="preserve">The </w:t>
      </w:r>
      <w:r w:rsidR="004B0512">
        <w:t xml:space="preserve">department’s </w:t>
      </w:r>
      <w:r w:rsidR="00F84C75">
        <w:t>performance risk assessment</w:t>
      </w:r>
      <w:r w:rsidR="00E0064B">
        <w:t>s</w:t>
      </w:r>
      <w:r w:rsidR="00F84C75">
        <w:t xml:space="preserve"> </w:t>
      </w:r>
      <w:r w:rsidR="00E0064B">
        <w:t>extend</w:t>
      </w:r>
      <w:r>
        <w:t xml:space="preserve"> </w:t>
      </w:r>
      <w:r w:rsidR="00F84C75">
        <w:t xml:space="preserve">beyond the measures </w:t>
      </w:r>
      <w:r w:rsidR="007F154F">
        <w:t xml:space="preserve">set out </w:t>
      </w:r>
      <w:r w:rsidR="00F84C75">
        <w:t xml:space="preserve">in the </w:t>
      </w:r>
      <w:r w:rsidR="007A2BC0">
        <w:t>S</w:t>
      </w:r>
      <w:r w:rsidR="008347E5">
        <w:t>O</w:t>
      </w:r>
      <w:r w:rsidR="007A2BC0">
        <w:t>P</w:t>
      </w:r>
      <w:r w:rsidR="007F154F">
        <w:t>. This is</w:t>
      </w:r>
      <w:r w:rsidR="00F84C75">
        <w:t xml:space="preserve"> to ensure other concerns </w:t>
      </w:r>
      <w:r w:rsidR="007F154F">
        <w:t>(</w:t>
      </w:r>
      <w:r w:rsidR="00F84C75">
        <w:t xml:space="preserve">emerging </w:t>
      </w:r>
      <w:r w:rsidR="007F154F">
        <w:t xml:space="preserve">or otherwise) </w:t>
      </w:r>
      <w:r w:rsidR="00E87E70">
        <w:t>are considered</w:t>
      </w:r>
      <w:r w:rsidR="00F84C75">
        <w:t>.</w:t>
      </w:r>
    </w:p>
    <w:p w14:paraId="58D897AE" w14:textId="3CBEC332" w:rsidR="00F84C75" w:rsidRPr="00E841FD" w:rsidRDefault="00F84C75" w:rsidP="003F170E">
      <w:pPr>
        <w:pStyle w:val="Heading4"/>
      </w:pPr>
      <w:bookmarkStart w:id="92" w:name="_Toc441042599"/>
      <w:bookmarkStart w:id="93" w:name="_Toc442863884"/>
      <w:r>
        <w:t>Statement of Priorities (Part A)</w:t>
      </w:r>
    </w:p>
    <w:p w14:paraId="7B2DDD5C" w14:textId="1F3F758B" w:rsidR="007A1A8C" w:rsidRPr="00C275B5" w:rsidRDefault="00F84C75" w:rsidP="00E0064B">
      <w:pPr>
        <w:pStyle w:val="DHHSbody"/>
        <w:rPr>
          <w:rFonts w:ascii="Cambria" w:eastAsia="MS Mincho" w:hAnsi="Cambria"/>
          <w:b/>
          <w:bCs/>
        </w:rPr>
      </w:pPr>
      <w:r w:rsidRPr="007D4AE2">
        <w:t xml:space="preserve">Performance against the actions and deliverables committed to in </w:t>
      </w:r>
      <w:r w:rsidR="00E0064B">
        <w:t>Part A of the</w:t>
      </w:r>
      <w:r w:rsidRPr="007D4AE2">
        <w:t xml:space="preserve"> S</w:t>
      </w:r>
      <w:r w:rsidR="00726D3B">
        <w:t>O</w:t>
      </w:r>
      <w:r>
        <w:t>P are formally reported in health service</w:t>
      </w:r>
      <w:r w:rsidRPr="007D4AE2">
        <w:t>s</w:t>
      </w:r>
      <w:r w:rsidR="00E61B48">
        <w:t>’</w:t>
      </w:r>
      <w:r w:rsidRPr="007D4AE2">
        <w:t xml:space="preserve"> annual reports at the end of the financial year</w:t>
      </w:r>
      <w:r w:rsidR="00C564A7">
        <w:t>,</w:t>
      </w:r>
      <w:r w:rsidRPr="007D4AE2">
        <w:t xml:space="preserve"> as consistent with the annual report guidelines (report of operations). Health services are expected to also provide a half yearly progress report on achieving Part A action items and associated deliverables.</w:t>
      </w:r>
      <w:bookmarkEnd w:id="92"/>
      <w:bookmarkEnd w:id="93"/>
    </w:p>
    <w:p w14:paraId="5973CB2F" w14:textId="77777777" w:rsidR="004755B3" w:rsidRPr="004755B3" w:rsidRDefault="004755B3" w:rsidP="004755B3">
      <w:pPr>
        <w:pStyle w:val="DHHSbody"/>
      </w:pPr>
      <w:bookmarkStart w:id="94" w:name="_Toc453325212"/>
      <w:bookmarkStart w:id="95" w:name="_Toc456342100"/>
      <w:bookmarkStart w:id="96" w:name="_Toc486512532"/>
      <w:bookmarkStart w:id="97" w:name="_Toc486513097"/>
      <w:bookmarkStart w:id="98" w:name="_Toc516827348"/>
      <w:r w:rsidRPr="004755B3">
        <w:br w:type="page"/>
      </w:r>
    </w:p>
    <w:p w14:paraId="36194CED" w14:textId="4A8BDEB1" w:rsidR="00F84C75" w:rsidRPr="00B503F3" w:rsidRDefault="004B531D" w:rsidP="003F170E">
      <w:pPr>
        <w:pStyle w:val="Heading3"/>
      </w:pPr>
      <w:bookmarkStart w:id="99" w:name="_Toc15579821"/>
      <w:r>
        <w:lastRenderedPageBreak/>
        <w:t xml:space="preserve">Specific events </w:t>
      </w:r>
      <w:r w:rsidR="00FD6933">
        <w:t>–</w:t>
      </w:r>
      <w:r w:rsidR="00EF535E">
        <w:t xml:space="preserve"> </w:t>
      </w:r>
      <w:r w:rsidR="00AC3BBE">
        <w:t>B</w:t>
      </w:r>
      <w:r w:rsidR="00F84C75" w:rsidRPr="00B503F3">
        <w:t>reaches</w:t>
      </w:r>
      <w:bookmarkEnd w:id="94"/>
      <w:bookmarkEnd w:id="95"/>
      <w:bookmarkEnd w:id="96"/>
      <w:bookmarkEnd w:id="97"/>
      <w:bookmarkEnd w:id="98"/>
      <w:bookmarkEnd w:id="99"/>
    </w:p>
    <w:p w14:paraId="5BE054AD" w14:textId="2B933C8D" w:rsidR="00007D51" w:rsidRDefault="002B64DC" w:rsidP="00F84C75">
      <w:pPr>
        <w:pStyle w:val="DHHSbody"/>
        <w:rPr>
          <w:rFonts w:cs="Arial"/>
        </w:rPr>
      </w:pPr>
      <w:r w:rsidRPr="00C024D3">
        <w:rPr>
          <w:rFonts w:cs="Arial"/>
        </w:rPr>
        <w:t>Should the following events be realised</w:t>
      </w:r>
      <w:r w:rsidR="00501D92">
        <w:rPr>
          <w:rFonts w:cs="Arial"/>
        </w:rPr>
        <w:t>,</w:t>
      </w:r>
      <w:r w:rsidR="00FD6933" w:rsidRPr="00C024D3">
        <w:rPr>
          <w:rFonts w:cs="Arial"/>
        </w:rPr>
        <w:t xml:space="preserve"> </w:t>
      </w:r>
      <w:r w:rsidRPr="00C024D3">
        <w:rPr>
          <w:rFonts w:cs="Arial"/>
        </w:rPr>
        <w:t xml:space="preserve">this </w:t>
      </w:r>
      <w:r w:rsidR="00FD6933" w:rsidRPr="00C024D3">
        <w:rPr>
          <w:rFonts w:cs="Arial"/>
        </w:rPr>
        <w:t xml:space="preserve">event </w:t>
      </w:r>
      <w:r w:rsidRPr="00C024D3">
        <w:rPr>
          <w:rFonts w:cs="Arial"/>
        </w:rPr>
        <w:t xml:space="preserve">is recorded as </w:t>
      </w:r>
      <w:r w:rsidR="00F307BF" w:rsidRPr="00C024D3">
        <w:rPr>
          <w:rFonts w:cs="Arial"/>
        </w:rPr>
        <w:t xml:space="preserve">a </w:t>
      </w:r>
      <w:r w:rsidR="00F84C75" w:rsidRPr="00C024D3">
        <w:rPr>
          <w:rFonts w:cs="Arial"/>
        </w:rPr>
        <w:t>breach and requires immediate escalation to the department</w:t>
      </w:r>
      <w:r w:rsidR="007A1A8C" w:rsidRPr="00C024D3">
        <w:rPr>
          <w:rFonts w:cs="Arial"/>
        </w:rPr>
        <w:t>:</w:t>
      </w:r>
    </w:p>
    <w:p w14:paraId="7A5A2A46" w14:textId="0E2FD3E3" w:rsidR="00BF42AB" w:rsidRPr="00C024D3" w:rsidRDefault="00F84C75" w:rsidP="003F170E">
      <w:pPr>
        <w:pStyle w:val="DHHSbullet1"/>
        <w:rPr>
          <w:rFonts w:cs="Arial"/>
        </w:rPr>
      </w:pPr>
      <w:r w:rsidRPr="00A275ED">
        <w:rPr>
          <w:rFonts w:cs="Arial"/>
        </w:rPr>
        <w:t>Emergency Care Triage Category 1</w:t>
      </w:r>
      <w:r w:rsidR="00F76995" w:rsidRPr="00A275ED">
        <w:rPr>
          <w:rFonts w:cs="Arial"/>
        </w:rPr>
        <w:t xml:space="preserve"> failure</w:t>
      </w:r>
    </w:p>
    <w:p w14:paraId="67561808" w14:textId="649032BD" w:rsidR="00BF42AB" w:rsidRPr="00C024D3" w:rsidRDefault="00F84C75" w:rsidP="003F170E">
      <w:pPr>
        <w:pStyle w:val="DHHSbullet1"/>
        <w:rPr>
          <w:rFonts w:cs="Arial"/>
        </w:rPr>
      </w:pPr>
      <w:r w:rsidRPr="00C024D3">
        <w:rPr>
          <w:rFonts w:cs="Arial"/>
        </w:rPr>
        <w:t>Emergency Department 24 hours waiting time</w:t>
      </w:r>
      <w:r w:rsidR="00F76995" w:rsidRPr="00C024D3">
        <w:rPr>
          <w:rFonts w:cs="Arial"/>
        </w:rPr>
        <w:t xml:space="preserve"> failure</w:t>
      </w:r>
    </w:p>
    <w:p w14:paraId="2620358D" w14:textId="5058A776" w:rsidR="00F84C75" w:rsidRPr="00C024D3" w:rsidRDefault="00F84C75" w:rsidP="003F170E">
      <w:pPr>
        <w:pStyle w:val="DHHSbullet1"/>
        <w:rPr>
          <w:rFonts w:cs="Arial"/>
        </w:rPr>
      </w:pPr>
      <w:r w:rsidRPr="00C024D3">
        <w:rPr>
          <w:rFonts w:cs="Arial"/>
        </w:rPr>
        <w:t>Elective Surgery Category 1 admissions</w:t>
      </w:r>
    </w:p>
    <w:p w14:paraId="741D2AF0" w14:textId="5893C898" w:rsidR="00675ADC" w:rsidRPr="00A275ED" w:rsidRDefault="00675ADC" w:rsidP="003F170E">
      <w:pPr>
        <w:pStyle w:val="DHHSbullet1"/>
        <w:rPr>
          <w:rFonts w:cs="Arial"/>
        </w:rPr>
      </w:pPr>
      <w:r w:rsidRPr="00900BF4">
        <w:rPr>
          <w:rFonts w:cs="Arial"/>
        </w:rPr>
        <w:t xml:space="preserve">Colonoscopy Category </w:t>
      </w:r>
      <w:r w:rsidR="00506DB8" w:rsidRPr="00A275ED">
        <w:rPr>
          <w:rFonts w:cs="Arial"/>
        </w:rPr>
        <w:t>1</w:t>
      </w:r>
      <w:r w:rsidRPr="00900BF4">
        <w:rPr>
          <w:rFonts w:cs="Arial"/>
        </w:rPr>
        <w:t xml:space="preserve"> not treated within recommended time</w:t>
      </w:r>
    </w:p>
    <w:p w14:paraId="32D6D81D" w14:textId="3ECAC613" w:rsidR="00557940" w:rsidRPr="00C024D3" w:rsidRDefault="003F5B75" w:rsidP="003F170E">
      <w:pPr>
        <w:pStyle w:val="DHHSbullet1"/>
        <w:rPr>
          <w:rFonts w:cs="Arial"/>
        </w:rPr>
      </w:pPr>
      <w:r w:rsidRPr="00A275ED">
        <w:rPr>
          <w:rFonts w:cs="Arial"/>
        </w:rPr>
        <w:t>Compliance with the National Safety and Quality Health Service</w:t>
      </w:r>
      <w:r w:rsidRPr="00C024D3">
        <w:rPr>
          <w:rFonts w:cs="Arial"/>
        </w:rPr>
        <w:t xml:space="preserve"> standards</w:t>
      </w:r>
      <w:r w:rsidR="00935462">
        <w:rPr>
          <w:rFonts w:cs="Arial"/>
        </w:rPr>
        <w:t xml:space="preserve"> and</w:t>
      </w:r>
    </w:p>
    <w:p w14:paraId="6DE842D5" w14:textId="264AE8A2" w:rsidR="00DD4CF4" w:rsidRPr="00A275ED" w:rsidRDefault="00DD4CF4" w:rsidP="003F170E">
      <w:pPr>
        <w:pStyle w:val="DHHSbullet1"/>
        <w:rPr>
          <w:rFonts w:cs="Arial"/>
        </w:rPr>
      </w:pPr>
      <w:bookmarkStart w:id="100" w:name="_Hlk10128190"/>
      <w:r w:rsidRPr="00900BF4">
        <w:rPr>
          <w:rFonts w:cs="Arial"/>
          <w:color w:val="000000"/>
          <w:lang w:eastAsia="en-AU"/>
        </w:rPr>
        <w:t xml:space="preserve">Compliance with </w:t>
      </w:r>
      <w:r w:rsidR="006454AE">
        <w:rPr>
          <w:rFonts w:cs="Arial"/>
          <w:color w:val="000000"/>
          <w:lang w:eastAsia="en-AU"/>
        </w:rPr>
        <w:t>A</w:t>
      </w:r>
      <w:r w:rsidRPr="00900BF4">
        <w:rPr>
          <w:rFonts w:cs="Arial"/>
          <w:color w:val="000000"/>
          <w:lang w:eastAsia="en-AU"/>
        </w:rPr>
        <w:t xml:space="preserve">ged </w:t>
      </w:r>
      <w:r w:rsidR="006454AE">
        <w:rPr>
          <w:rFonts w:cs="Arial"/>
          <w:color w:val="000000"/>
          <w:lang w:eastAsia="en-AU"/>
        </w:rPr>
        <w:t>C</w:t>
      </w:r>
      <w:r w:rsidRPr="00900BF4">
        <w:rPr>
          <w:rFonts w:cs="Arial"/>
          <w:color w:val="000000"/>
          <w:lang w:eastAsia="en-AU"/>
        </w:rPr>
        <w:t xml:space="preserve">are </w:t>
      </w:r>
      <w:r w:rsidR="006454AE">
        <w:rPr>
          <w:rFonts w:cs="Arial"/>
          <w:color w:val="000000"/>
          <w:lang w:eastAsia="en-AU"/>
        </w:rPr>
        <w:t>S</w:t>
      </w:r>
      <w:r w:rsidRPr="00900BF4">
        <w:rPr>
          <w:rFonts w:cs="Arial"/>
          <w:color w:val="000000"/>
          <w:lang w:eastAsia="en-AU"/>
        </w:rPr>
        <w:t>tandards</w:t>
      </w:r>
      <w:bookmarkEnd w:id="100"/>
      <w:r w:rsidR="00705740">
        <w:rPr>
          <w:rFonts w:cs="Arial"/>
          <w:color w:val="000000"/>
          <w:lang w:eastAsia="en-AU"/>
        </w:rPr>
        <w:t>.</w:t>
      </w:r>
    </w:p>
    <w:p w14:paraId="1FE0DF1D" w14:textId="2533B5C0" w:rsidR="00BF42AB" w:rsidRPr="00900BF4" w:rsidRDefault="00F84C75" w:rsidP="003F170E">
      <w:pPr>
        <w:pStyle w:val="DHHSbodyafterbullets"/>
        <w:rPr>
          <w:rFonts w:ascii="Arial" w:hAnsi="Arial" w:cs="Arial"/>
        </w:rPr>
      </w:pPr>
      <w:r w:rsidRPr="00900BF4">
        <w:rPr>
          <w:rFonts w:ascii="Arial" w:hAnsi="Arial" w:cs="Arial"/>
        </w:rPr>
        <w:t>Health servi</w:t>
      </w:r>
      <w:r w:rsidR="00B176A0" w:rsidRPr="00900BF4">
        <w:rPr>
          <w:rFonts w:ascii="Arial" w:hAnsi="Arial" w:cs="Arial"/>
        </w:rPr>
        <w:t>ces are required to notify the d</w:t>
      </w:r>
      <w:r w:rsidRPr="00900BF4">
        <w:rPr>
          <w:rFonts w:ascii="Arial" w:hAnsi="Arial" w:cs="Arial"/>
        </w:rPr>
        <w:t>epartment (via the Director</w:t>
      </w:r>
      <w:r w:rsidR="00EE0B49" w:rsidRPr="00900BF4">
        <w:rPr>
          <w:rFonts w:ascii="Arial" w:hAnsi="Arial" w:cs="Arial"/>
        </w:rPr>
        <w:t>,</w:t>
      </w:r>
      <w:r w:rsidRPr="00900BF4">
        <w:rPr>
          <w:rFonts w:ascii="Arial" w:hAnsi="Arial" w:cs="Arial"/>
        </w:rPr>
        <w:t xml:space="preserve"> Commissioning, Performance and Regulation</w:t>
      </w:r>
      <w:r w:rsidR="00501D92">
        <w:rPr>
          <w:rFonts w:ascii="Arial" w:hAnsi="Arial" w:cs="Arial"/>
        </w:rPr>
        <w:t xml:space="preserve"> for metropolitan health services</w:t>
      </w:r>
      <w:r w:rsidR="0059603A" w:rsidRPr="00900BF4">
        <w:rPr>
          <w:rFonts w:ascii="Arial" w:hAnsi="Arial" w:cs="Arial"/>
        </w:rPr>
        <w:t xml:space="preserve">, </w:t>
      </w:r>
      <w:r w:rsidR="008C5F95" w:rsidRPr="00900BF4">
        <w:rPr>
          <w:rFonts w:ascii="Arial" w:hAnsi="Arial" w:cs="Arial"/>
        </w:rPr>
        <w:t xml:space="preserve">or the </w:t>
      </w:r>
      <w:r w:rsidR="0059603A" w:rsidRPr="00900BF4">
        <w:rPr>
          <w:rFonts w:ascii="Arial" w:hAnsi="Arial" w:cs="Arial"/>
        </w:rPr>
        <w:t>Director</w:t>
      </w:r>
      <w:r w:rsidR="00EE0B49" w:rsidRPr="00900BF4">
        <w:rPr>
          <w:rFonts w:ascii="Arial" w:hAnsi="Arial" w:cs="Arial"/>
        </w:rPr>
        <w:t>,</w:t>
      </w:r>
      <w:r w:rsidR="0059603A" w:rsidRPr="00900BF4">
        <w:rPr>
          <w:rFonts w:ascii="Arial" w:hAnsi="Arial" w:cs="Arial"/>
        </w:rPr>
        <w:t xml:space="preserve"> Rural and Regional Health</w:t>
      </w:r>
      <w:r w:rsidR="008C5F95" w:rsidRPr="00900BF4">
        <w:rPr>
          <w:rFonts w:ascii="Arial" w:hAnsi="Arial" w:cs="Arial"/>
        </w:rPr>
        <w:t xml:space="preserve"> for rural </w:t>
      </w:r>
      <w:r w:rsidR="00501D92">
        <w:rPr>
          <w:rFonts w:ascii="Arial" w:hAnsi="Arial" w:cs="Arial"/>
        </w:rPr>
        <w:t xml:space="preserve">and regional </w:t>
      </w:r>
      <w:r w:rsidR="008C5F95" w:rsidRPr="00900BF4">
        <w:rPr>
          <w:rFonts w:ascii="Arial" w:hAnsi="Arial" w:cs="Arial"/>
        </w:rPr>
        <w:t>health services</w:t>
      </w:r>
      <w:r w:rsidRPr="00900BF4">
        <w:rPr>
          <w:rFonts w:ascii="Arial" w:hAnsi="Arial" w:cs="Arial"/>
        </w:rPr>
        <w:t xml:space="preserve">) within 24 hours of </w:t>
      </w:r>
      <w:r w:rsidR="00343B8B" w:rsidRPr="00900BF4">
        <w:rPr>
          <w:rFonts w:ascii="Arial" w:hAnsi="Arial" w:cs="Arial"/>
        </w:rPr>
        <w:t xml:space="preserve">a </w:t>
      </w:r>
      <w:r w:rsidRPr="00900BF4">
        <w:rPr>
          <w:rFonts w:ascii="Arial" w:hAnsi="Arial" w:cs="Arial"/>
        </w:rPr>
        <w:t xml:space="preserve">breach or becoming aware of </w:t>
      </w:r>
      <w:r w:rsidR="00343B8B" w:rsidRPr="00900BF4">
        <w:rPr>
          <w:rFonts w:ascii="Arial" w:hAnsi="Arial" w:cs="Arial"/>
        </w:rPr>
        <w:t xml:space="preserve">a </w:t>
      </w:r>
      <w:r w:rsidRPr="00900BF4">
        <w:rPr>
          <w:rFonts w:ascii="Arial" w:hAnsi="Arial" w:cs="Arial"/>
        </w:rPr>
        <w:t>breach</w:t>
      </w:r>
      <w:r w:rsidR="00287BE4" w:rsidRPr="00900BF4">
        <w:rPr>
          <w:rFonts w:ascii="Arial" w:hAnsi="Arial" w:cs="Arial"/>
        </w:rPr>
        <w:t>.</w:t>
      </w:r>
      <w:r w:rsidRPr="00900BF4">
        <w:rPr>
          <w:rFonts w:ascii="Arial" w:hAnsi="Arial" w:cs="Arial"/>
        </w:rPr>
        <w:t xml:space="preserve"> </w:t>
      </w:r>
      <w:r w:rsidR="00375F8D" w:rsidRPr="00900BF4">
        <w:rPr>
          <w:rFonts w:ascii="Arial" w:hAnsi="Arial" w:cs="Arial"/>
        </w:rPr>
        <w:t>Notification will include</w:t>
      </w:r>
      <w:r w:rsidRPr="00900BF4">
        <w:rPr>
          <w:rFonts w:ascii="Arial" w:hAnsi="Arial" w:cs="Arial"/>
        </w:rPr>
        <w:t xml:space="preserve"> </w:t>
      </w:r>
      <w:r w:rsidR="00375F8D" w:rsidRPr="00900BF4">
        <w:rPr>
          <w:rFonts w:ascii="Arial" w:hAnsi="Arial" w:cs="Arial"/>
        </w:rPr>
        <w:t>the</w:t>
      </w:r>
      <w:r w:rsidRPr="00900BF4">
        <w:rPr>
          <w:rFonts w:ascii="Arial" w:hAnsi="Arial" w:cs="Arial"/>
        </w:rPr>
        <w:t xml:space="preserve"> circumstances and response to the breach</w:t>
      </w:r>
      <w:r w:rsidR="00134CF5">
        <w:rPr>
          <w:rFonts w:ascii="Arial" w:hAnsi="Arial" w:cs="Arial"/>
        </w:rPr>
        <w:t>,</w:t>
      </w:r>
      <w:r w:rsidRPr="00900BF4">
        <w:rPr>
          <w:rFonts w:ascii="Arial" w:hAnsi="Arial" w:cs="Arial"/>
        </w:rPr>
        <w:t xml:space="preserve"> including </w:t>
      </w:r>
      <w:r w:rsidR="00643928" w:rsidRPr="00900BF4">
        <w:rPr>
          <w:rFonts w:ascii="Arial" w:hAnsi="Arial" w:cs="Arial"/>
        </w:rPr>
        <w:t>whether</w:t>
      </w:r>
      <w:r w:rsidRPr="00900BF4">
        <w:rPr>
          <w:rFonts w:ascii="Arial" w:hAnsi="Arial" w:cs="Arial"/>
        </w:rPr>
        <w:t xml:space="preserve"> patient safety has been compromised.</w:t>
      </w:r>
    </w:p>
    <w:p w14:paraId="2B89F344" w14:textId="2EC695D2" w:rsidR="001970E5" w:rsidRPr="00900BF4" w:rsidRDefault="001970E5" w:rsidP="003F170E">
      <w:pPr>
        <w:pStyle w:val="DHHSbodyafterbullets"/>
        <w:rPr>
          <w:rFonts w:ascii="Arial" w:hAnsi="Arial" w:cs="Arial"/>
        </w:rPr>
      </w:pPr>
      <w:r w:rsidRPr="00900BF4">
        <w:rPr>
          <w:rFonts w:ascii="Arial" w:hAnsi="Arial" w:cs="Arial"/>
        </w:rPr>
        <w:t>In 2018, Victoria introduced statewide risk stratified guidelines for the categorisation of colonoscopy procedures for all public hospitals. Patients who are considered a category one patient (the most urgent category) are those most at risk of having a suspected colorectal cancer</w:t>
      </w:r>
      <w:r w:rsidR="004C27CF" w:rsidRPr="00900BF4">
        <w:rPr>
          <w:rFonts w:ascii="Arial" w:hAnsi="Arial" w:cs="Arial"/>
        </w:rPr>
        <w:t>. It is for this reason that the department needs to be notified immediately.</w:t>
      </w:r>
      <w:r w:rsidR="00D06527" w:rsidRPr="00900BF4">
        <w:rPr>
          <w:rFonts w:ascii="Arial" w:hAnsi="Arial" w:cs="Arial"/>
        </w:rPr>
        <w:t xml:space="preserve"> </w:t>
      </w:r>
      <w:r w:rsidR="00872459" w:rsidRPr="00900BF4">
        <w:rPr>
          <w:rFonts w:ascii="Arial" w:hAnsi="Arial" w:cs="Arial"/>
        </w:rPr>
        <w:t xml:space="preserve">Please refer to the </w:t>
      </w:r>
      <w:r w:rsidR="00863032">
        <w:rPr>
          <w:rFonts w:ascii="Arial" w:hAnsi="Arial" w:cs="Arial"/>
        </w:rPr>
        <w:t xml:space="preserve">relevant section in the </w:t>
      </w:r>
      <w:r w:rsidR="00872459" w:rsidRPr="00900BF4">
        <w:rPr>
          <w:rFonts w:ascii="Arial" w:hAnsi="Arial" w:cs="Arial"/>
        </w:rPr>
        <w:t xml:space="preserve">Business Rules </w:t>
      </w:r>
      <w:r w:rsidR="00863032">
        <w:rPr>
          <w:rFonts w:ascii="Arial" w:hAnsi="Arial" w:cs="Arial"/>
        </w:rPr>
        <w:t>for more details.</w:t>
      </w:r>
    </w:p>
    <w:p w14:paraId="0E64CA59" w14:textId="1096FF05" w:rsidR="00F84C75" w:rsidRPr="00C024D3" w:rsidRDefault="00E0064B" w:rsidP="00F84C75">
      <w:pPr>
        <w:pStyle w:val="DHHSbody"/>
        <w:rPr>
          <w:rFonts w:cs="Arial"/>
        </w:rPr>
      </w:pPr>
      <w:r w:rsidRPr="00A275ED">
        <w:rPr>
          <w:rFonts w:cs="Arial"/>
        </w:rPr>
        <w:t>‘</w:t>
      </w:r>
      <w:r w:rsidR="00E5191E" w:rsidRPr="00C024D3">
        <w:rPr>
          <w:rFonts w:cs="Arial"/>
        </w:rPr>
        <w:t>Specific events</w:t>
      </w:r>
      <w:r w:rsidRPr="00C024D3">
        <w:rPr>
          <w:rFonts w:cs="Arial"/>
        </w:rPr>
        <w:t>’</w:t>
      </w:r>
      <w:r w:rsidR="00F84C75" w:rsidRPr="00C024D3">
        <w:rPr>
          <w:rFonts w:cs="Arial"/>
        </w:rPr>
        <w:t xml:space="preserve"> breache</w:t>
      </w:r>
      <w:r w:rsidR="00E5191E" w:rsidRPr="00C024D3">
        <w:rPr>
          <w:rFonts w:cs="Arial"/>
        </w:rPr>
        <w:t>s</w:t>
      </w:r>
      <w:r w:rsidR="00F84C75" w:rsidRPr="00C024D3">
        <w:rPr>
          <w:rFonts w:cs="Arial"/>
        </w:rPr>
        <w:t xml:space="preserve"> will be included as a separate item for discussion at performance meeting</w:t>
      </w:r>
      <w:r w:rsidR="00484072">
        <w:rPr>
          <w:rFonts w:cs="Arial"/>
        </w:rPr>
        <w:t>s</w:t>
      </w:r>
      <w:r w:rsidR="007030F2" w:rsidRPr="00C024D3">
        <w:rPr>
          <w:rFonts w:cs="Arial"/>
        </w:rPr>
        <w:t>.</w:t>
      </w:r>
    </w:p>
    <w:p w14:paraId="4BB36DD5" w14:textId="77777777" w:rsidR="00F84C75" w:rsidRPr="00AA34F1" w:rsidRDefault="00F84C75" w:rsidP="003F170E">
      <w:pPr>
        <w:pStyle w:val="Heading3"/>
      </w:pPr>
      <w:bookmarkStart w:id="101" w:name="_Toc486512533"/>
      <w:bookmarkStart w:id="102" w:name="_Toc486513098"/>
      <w:bookmarkStart w:id="103" w:name="_Toc516827349"/>
      <w:bookmarkStart w:id="104" w:name="_Toc15579822"/>
      <w:r w:rsidRPr="00AA34F1">
        <w:t>Force majeure</w:t>
      </w:r>
      <w:bookmarkEnd w:id="101"/>
      <w:bookmarkEnd w:id="102"/>
      <w:bookmarkEnd w:id="103"/>
      <w:bookmarkEnd w:id="104"/>
    </w:p>
    <w:p w14:paraId="68D46386" w14:textId="72061F57" w:rsidR="00BF42AB" w:rsidRDefault="00E0064B" w:rsidP="00F84C75">
      <w:pPr>
        <w:pStyle w:val="DHHSbody"/>
      </w:pPr>
      <w:r>
        <w:t>In some circumstances</w:t>
      </w:r>
      <w:r w:rsidR="00F84C75">
        <w:t xml:space="preserve">, unforeseen events may occur that adversely impact on </w:t>
      </w:r>
      <w:r>
        <w:t xml:space="preserve">a </w:t>
      </w:r>
      <w:r w:rsidR="00F84C75">
        <w:t>health service</w:t>
      </w:r>
      <w:r>
        <w:t>’s</w:t>
      </w:r>
      <w:r w:rsidR="00F84C75">
        <w:t xml:space="preserve"> performance. In these instances, it is important to consider bona fide concerns, which were extraordinary and genuinely unforeseen events beyond the control of the </w:t>
      </w:r>
      <w:r>
        <w:t>health service</w:t>
      </w:r>
      <w:r w:rsidR="00F84C75">
        <w:t xml:space="preserve"> that </w:t>
      </w:r>
      <w:r>
        <w:t>impacted</w:t>
      </w:r>
      <w:r w:rsidR="00F84C75">
        <w:t xml:space="preserve"> service delivery or r</w:t>
      </w:r>
      <w:r w:rsidR="00E255B2">
        <w:t>eporting requirements</w:t>
      </w:r>
      <w:r>
        <w:t>.</w:t>
      </w:r>
    </w:p>
    <w:p w14:paraId="582A3073" w14:textId="1CF47E11" w:rsidR="00F84C75" w:rsidRDefault="00F84C75" w:rsidP="00F84C75">
      <w:pPr>
        <w:pStyle w:val="DHHSbody"/>
      </w:pPr>
      <w:r>
        <w:t xml:space="preserve">Where such circumstances have a significant impact on performance, a health service may request that the department consider a </w:t>
      </w:r>
      <w:r w:rsidR="00E61B48">
        <w:t>‘</w:t>
      </w:r>
      <w:r>
        <w:t>force majeure</w:t>
      </w:r>
      <w:r w:rsidR="00E61B48">
        <w:t>’</w:t>
      </w:r>
      <w:r>
        <w:t xml:space="preserve"> claim. The proc</w:t>
      </w:r>
      <w:r w:rsidR="00E0064B">
        <w:t>ess should not be applied to ad-</w:t>
      </w:r>
      <w:r>
        <w:t xml:space="preserve">hoc operational difficulties or for planned service interruptions such as capital works </w:t>
      </w:r>
      <w:r w:rsidRPr="0003608F">
        <w:t xml:space="preserve">or </w:t>
      </w:r>
      <w:r w:rsidR="00FF3A96">
        <w:t>information technology</w:t>
      </w:r>
      <w:r w:rsidRPr="0003608F">
        <w:t xml:space="preserve"> upgrades</w:t>
      </w:r>
      <w:r>
        <w:t>.</w:t>
      </w:r>
    </w:p>
    <w:p w14:paraId="26375A14" w14:textId="77777777" w:rsidR="00007D51" w:rsidRDefault="00F84C75" w:rsidP="00F84C75">
      <w:pPr>
        <w:pStyle w:val="DHHSbody"/>
      </w:pPr>
      <w:r>
        <w:t>When a health service is reliant on services provided by a third party, the health service is responsible for ensuring that, as far as practicable, the service is of an acceptable quality and delivered in a t</w:t>
      </w:r>
      <w:r w:rsidR="00E0064B">
        <w:t>imely manner. T</w:t>
      </w:r>
      <w:r>
        <w:t>he failure of a third party to deliver a service is not in itself regarded as acceptable grounds for a force majeure.</w:t>
      </w:r>
    </w:p>
    <w:p w14:paraId="1A8652A9" w14:textId="481D46F1" w:rsidR="00F84C75" w:rsidRDefault="00F84C75" w:rsidP="00F84C75">
      <w:pPr>
        <w:pStyle w:val="DHHSbody"/>
      </w:pPr>
      <w:r>
        <w:t xml:space="preserve">In applying the force </w:t>
      </w:r>
      <w:r w:rsidR="00E0064B">
        <w:t xml:space="preserve">majeure policy, the monitoring level </w:t>
      </w:r>
      <w:r>
        <w:t xml:space="preserve">of a health service will not change, but the department will consider adjusting </w:t>
      </w:r>
      <w:r w:rsidR="00E0064B">
        <w:t>its</w:t>
      </w:r>
      <w:r>
        <w:t xml:space="preserve"> assessment, </w:t>
      </w:r>
      <w:r w:rsidR="00EA3316">
        <w:t xml:space="preserve">and any required actions, </w:t>
      </w:r>
      <w:r>
        <w:t>depending on the circumstances</w:t>
      </w:r>
      <w:r w:rsidR="00D957CB">
        <w:t>.</w:t>
      </w:r>
      <w:bookmarkEnd w:id="85"/>
    </w:p>
    <w:p w14:paraId="2E1DD61E" w14:textId="6F4B2586" w:rsidR="00F84C75" w:rsidRPr="002C08E8" w:rsidRDefault="00F84C75" w:rsidP="003F170E">
      <w:pPr>
        <w:pStyle w:val="Heading4"/>
      </w:pPr>
      <w:r w:rsidRPr="00ED2635">
        <w:t xml:space="preserve">Submitting </w:t>
      </w:r>
      <w:r w:rsidR="008B4FD9">
        <w:t xml:space="preserve">a </w:t>
      </w:r>
      <w:r w:rsidRPr="00ED2635">
        <w:t>request</w:t>
      </w:r>
    </w:p>
    <w:p w14:paraId="54BC5489" w14:textId="0E4B02AE" w:rsidR="00BF42AB" w:rsidRDefault="00F84C75" w:rsidP="00F84C75">
      <w:pPr>
        <w:pStyle w:val="DHHSbody"/>
      </w:pPr>
      <w:r>
        <w:t>Individual health services may make a formal request for consideration to the Director, Commissioning, Performance and Regulation</w:t>
      </w:r>
      <w:r w:rsidR="0059603A">
        <w:t xml:space="preserve"> </w:t>
      </w:r>
      <w:r w:rsidR="00E0064B">
        <w:t xml:space="preserve">for metropolitan services </w:t>
      </w:r>
      <w:r w:rsidR="0059603A">
        <w:t>or Director, Rural and Regional Health</w:t>
      </w:r>
      <w:r w:rsidR="008C5F95">
        <w:t xml:space="preserve"> for rural </w:t>
      </w:r>
      <w:r w:rsidR="00F55E21">
        <w:t xml:space="preserve">and regional </w:t>
      </w:r>
      <w:r w:rsidR="008C5F95">
        <w:t>health services</w:t>
      </w:r>
      <w:r>
        <w:t xml:space="preserve">. The request should clearly indicate the event(s) </w:t>
      </w:r>
      <w:r w:rsidR="00943270">
        <w:t>impacting</w:t>
      </w:r>
      <w:r>
        <w:t xml:space="preserve"> performance and include supporting </w:t>
      </w:r>
      <w:r w:rsidR="00943270">
        <w:t>evidence</w:t>
      </w:r>
      <w:r>
        <w:t>.</w:t>
      </w:r>
    </w:p>
    <w:p w14:paraId="7B13490A" w14:textId="77777777" w:rsidR="00DA16B8" w:rsidRDefault="00F84C75" w:rsidP="00796B2E">
      <w:pPr>
        <w:pStyle w:val="DHHSbody"/>
      </w:pPr>
      <w:r>
        <w:t>The department will only consider issues of force majeure retrospectively. Health services should not apply for a force majeure in anticipation of poor results</w:t>
      </w:r>
      <w:r w:rsidR="00DA16B8">
        <w:t>.</w:t>
      </w:r>
    </w:p>
    <w:p w14:paraId="6D290DEB" w14:textId="77777777" w:rsidR="00DA16B8" w:rsidRDefault="00DA16B8">
      <w:pPr>
        <w:rPr>
          <w:rFonts w:ascii="Arial" w:eastAsia="Times" w:hAnsi="Arial"/>
        </w:rPr>
      </w:pPr>
      <w:r>
        <w:br w:type="page"/>
      </w:r>
    </w:p>
    <w:p w14:paraId="4C68E707" w14:textId="1DE2FC57" w:rsidR="00DA16B8" w:rsidRDefault="001717AA" w:rsidP="00DA16B8">
      <w:pPr>
        <w:pStyle w:val="Heading2"/>
      </w:pPr>
      <w:bookmarkStart w:id="105" w:name="_Toc15579823"/>
      <w:r>
        <w:lastRenderedPageBreak/>
        <w:t xml:space="preserve">Appendix: </w:t>
      </w:r>
      <w:r w:rsidR="00DA16B8">
        <w:t>Text-equivalent descriptions of figures</w:t>
      </w:r>
      <w:bookmarkEnd w:id="105"/>
    </w:p>
    <w:p w14:paraId="352718BC" w14:textId="72EB199E" w:rsidR="00DA16B8" w:rsidRDefault="00DA16B8" w:rsidP="00DA16B8">
      <w:pPr>
        <w:pStyle w:val="Heading3notforTOC"/>
      </w:pPr>
      <w:bookmarkStart w:id="106" w:name="Figure1Description"/>
      <w:r>
        <w:t xml:space="preserve">Figure 1: </w:t>
      </w:r>
      <w:r w:rsidR="00441555" w:rsidRPr="00900BF4">
        <w:t xml:space="preserve">The Framework – </w:t>
      </w:r>
      <w:r w:rsidR="00D03EDB">
        <w:t>K</w:t>
      </w:r>
      <w:r w:rsidR="00441555" w:rsidRPr="00900BF4">
        <w:t>ey contextual elements</w:t>
      </w:r>
    </w:p>
    <w:bookmarkEnd w:id="106"/>
    <w:p w14:paraId="37ECB093" w14:textId="4042C320" w:rsidR="00DA16B8" w:rsidRDefault="00DA16B8" w:rsidP="00DA16B8">
      <w:pPr>
        <w:pStyle w:val="DHHSbody"/>
      </w:pPr>
      <w:r>
        <w:t xml:space="preserve">The </w:t>
      </w:r>
      <w:r w:rsidR="00232ED4">
        <w:t>F</w:t>
      </w:r>
      <w:r>
        <w:t xml:space="preserve">ramework </w:t>
      </w:r>
      <w:r w:rsidR="00232ED4">
        <w:t xml:space="preserve">consists of the following </w:t>
      </w:r>
      <w:r>
        <w:t>key contextual elements</w:t>
      </w:r>
      <w:r w:rsidR="00B531C7">
        <w:t>.</w:t>
      </w:r>
    </w:p>
    <w:p w14:paraId="0E3ECDCC" w14:textId="77777777" w:rsidR="00DA16B8" w:rsidRDefault="00DA16B8" w:rsidP="00DE28CA">
      <w:pPr>
        <w:pStyle w:val="Heading4"/>
      </w:pPr>
      <w:r>
        <w:t>Governance</w:t>
      </w:r>
    </w:p>
    <w:p w14:paraId="1A69CF26" w14:textId="77777777" w:rsidR="00DA16B8" w:rsidRDefault="00DA16B8" w:rsidP="00DE28CA">
      <w:pPr>
        <w:pStyle w:val="DHHSbullet1"/>
      </w:pPr>
      <w:r>
        <w:t>Legislation</w:t>
      </w:r>
    </w:p>
    <w:p w14:paraId="683C9595" w14:textId="77777777" w:rsidR="00DA16B8" w:rsidRDefault="00DA16B8" w:rsidP="00DE28CA">
      <w:pPr>
        <w:pStyle w:val="DHHSbullet1"/>
      </w:pPr>
      <w:r>
        <w:t>Health service boards</w:t>
      </w:r>
    </w:p>
    <w:p w14:paraId="7743587B" w14:textId="77777777" w:rsidR="00DA16B8" w:rsidRDefault="00DA16B8" w:rsidP="00DE28CA">
      <w:pPr>
        <w:pStyle w:val="DHHSbullet1"/>
      </w:pPr>
      <w:r>
        <w:t>Ministerial Advisory Committee</w:t>
      </w:r>
    </w:p>
    <w:p w14:paraId="6DA66157" w14:textId="5592DDD3" w:rsidR="00DA16B8" w:rsidRDefault="00DA16B8" w:rsidP="00DE28CA">
      <w:pPr>
        <w:pStyle w:val="DHHSbullet1"/>
      </w:pPr>
      <w:r>
        <w:t>Key entities (Safer Care Victoria, Victorian Agency for Health Information)</w:t>
      </w:r>
    </w:p>
    <w:p w14:paraId="22F12DC9" w14:textId="77777777" w:rsidR="00DA16B8" w:rsidRDefault="00DA16B8" w:rsidP="00DE28CA">
      <w:pPr>
        <w:pStyle w:val="Heading4"/>
      </w:pPr>
      <w:r>
        <w:t>Policy and planning</w:t>
      </w:r>
    </w:p>
    <w:p w14:paraId="19763025" w14:textId="77777777" w:rsidR="00DA16B8" w:rsidRDefault="00DA16B8" w:rsidP="00DE28CA">
      <w:pPr>
        <w:pStyle w:val="DHHSbullet1"/>
      </w:pPr>
      <w:r>
        <w:t>Whole-of-government policy and programs</w:t>
      </w:r>
    </w:p>
    <w:p w14:paraId="6621B0CA" w14:textId="77777777" w:rsidR="00DA16B8" w:rsidRDefault="00DA16B8" w:rsidP="00DE28CA">
      <w:pPr>
        <w:pStyle w:val="DHHSbullet1"/>
      </w:pPr>
      <w:r>
        <w:t>Statewide and service stream plans</w:t>
      </w:r>
    </w:p>
    <w:p w14:paraId="35881BD0" w14:textId="77777777" w:rsidR="00DA16B8" w:rsidRDefault="00DA16B8" w:rsidP="00DE28CA">
      <w:pPr>
        <w:pStyle w:val="DHHSbullet1"/>
      </w:pPr>
      <w:r>
        <w:t>Strategic planning guidelines</w:t>
      </w:r>
    </w:p>
    <w:p w14:paraId="419FB9A7" w14:textId="77777777" w:rsidR="00DA16B8" w:rsidRDefault="00DA16B8" w:rsidP="00DE28CA">
      <w:pPr>
        <w:pStyle w:val="DHHSbullet1"/>
      </w:pPr>
      <w:r>
        <w:t>Role delineation and capability frameworks</w:t>
      </w:r>
    </w:p>
    <w:p w14:paraId="27A21343" w14:textId="77777777" w:rsidR="00DA16B8" w:rsidRDefault="00DA16B8" w:rsidP="00DE28CA">
      <w:pPr>
        <w:pStyle w:val="DHHSbullet1"/>
      </w:pPr>
      <w:r>
        <w:t>Service provider plans</w:t>
      </w:r>
    </w:p>
    <w:p w14:paraId="0FC9B1C8" w14:textId="77777777" w:rsidR="00DA16B8" w:rsidRDefault="00DA16B8" w:rsidP="00DE28CA">
      <w:pPr>
        <w:pStyle w:val="Heading4"/>
      </w:pPr>
      <w:r>
        <w:t>Evaluation and reporting</w:t>
      </w:r>
    </w:p>
    <w:p w14:paraId="47B60139" w14:textId="77777777" w:rsidR="00DA16B8" w:rsidRDefault="00DA16B8" w:rsidP="00DE28CA">
      <w:pPr>
        <w:pStyle w:val="DHHSbullet1"/>
      </w:pPr>
      <w:r>
        <w:t>Annual reports</w:t>
      </w:r>
    </w:p>
    <w:p w14:paraId="2C59D10F" w14:textId="77777777" w:rsidR="00DA16B8" w:rsidRDefault="00DA16B8" w:rsidP="00DE28CA">
      <w:pPr>
        <w:pStyle w:val="DHHSbullet1"/>
      </w:pPr>
      <w:r>
        <w:t>Performance reports</w:t>
      </w:r>
    </w:p>
    <w:p w14:paraId="0CB5EEC4" w14:textId="77777777" w:rsidR="00DA16B8" w:rsidRDefault="00DA16B8" w:rsidP="00DE28CA">
      <w:pPr>
        <w:pStyle w:val="DHHSbullet1"/>
      </w:pPr>
      <w:r>
        <w:t>Policy and program evaluation</w:t>
      </w:r>
    </w:p>
    <w:p w14:paraId="3A957F2A" w14:textId="77777777" w:rsidR="00DA16B8" w:rsidRDefault="00DA16B8" w:rsidP="00DE28CA">
      <w:pPr>
        <w:pStyle w:val="Heading4"/>
      </w:pPr>
      <w:r>
        <w:t>Measuring and monitoring</w:t>
      </w:r>
    </w:p>
    <w:p w14:paraId="143C3D4F" w14:textId="77777777" w:rsidR="00DA16B8" w:rsidRDefault="00DA16B8" w:rsidP="00DE28CA">
      <w:pPr>
        <w:pStyle w:val="DHHSbullet1"/>
      </w:pPr>
      <w:r>
        <w:t>Performance monitoring and intervention processes</w:t>
      </w:r>
    </w:p>
    <w:p w14:paraId="6608CB60" w14:textId="77777777" w:rsidR="00DA16B8" w:rsidRDefault="00DA16B8" w:rsidP="00DE28CA">
      <w:pPr>
        <w:pStyle w:val="DHHSbullet1"/>
      </w:pPr>
      <w:r>
        <w:t>Inter-agency information sharing</w:t>
      </w:r>
    </w:p>
    <w:p w14:paraId="7A6F0D3E" w14:textId="77777777" w:rsidR="00DA16B8" w:rsidRDefault="00DA16B8" w:rsidP="00DE28CA">
      <w:pPr>
        <w:pStyle w:val="Heading4"/>
      </w:pPr>
      <w:r>
        <w:t>Funding</w:t>
      </w:r>
    </w:p>
    <w:p w14:paraId="115C0EE5" w14:textId="77777777" w:rsidR="00DA16B8" w:rsidRDefault="00DA16B8" w:rsidP="00DE28CA">
      <w:pPr>
        <w:pStyle w:val="DHHSbullet1"/>
      </w:pPr>
      <w:r>
        <w:t>Budget</w:t>
      </w:r>
    </w:p>
    <w:p w14:paraId="13B414FA" w14:textId="77777777" w:rsidR="00DA16B8" w:rsidRDefault="00DA16B8" w:rsidP="00DE28CA">
      <w:pPr>
        <w:pStyle w:val="DHHSbullet1"/>
      </w:pPr>
      <w:r>
        <w:t>Policy and funding guidelines</w:t>
      </w:r>
    </w:p>
    <w:p w14:paraId="7E956D9E" w14:textId="56A9A63A" w:rsidR="00DA16B8" w:rsidRDefault="00DA16B8" w:rsidP="00DE28CA">
      <w:pPr>
        <w:pStyle w:val="DHHSbullet1"/>
      </w:pPr>
      <w:r>
        <w:t>Service agreements</w:t>
      </w:r>
    </w:p>
    <w:p w14:paraId="4A9C04AB" w14:textId="5DC24B93" w:rsidR="00DE28CA" w:rsidRDefault="002007DE" w:rsidP="00DE28CA">
      <w:pPr>
        <w:pStyle w:val="DHHSbodyafterbullets"/>
      </w:pPr>
      <w:hyperlink w:anchor="_About_the_Framework" w:history="1">
        <w:r w:rsidR="00DE28CA">
          <w:rPr>
            <w:rStyle w:val="Hyperlink"/>
          </w:rPr>
          <w:t>Return to text following Figure 1</w:t>
        </w:r>
      </w:hyperlink>
    </w:p>
    <w:p w14:paraId="459B4C72" w14:textId="0F48E022" w:rsidR="00DA16B8" w:rsidRDefault="00DA16B8" w:rsidP="00DA16B8">
      <w:pPr>
        <w:pStyle w:val="Heading3notforTOC"/>
      </w:pPr>
      <w:bookmarkStart w:id="107" w:name="Figure2Description"/>
      <w:r>
        <w:t>Figure 2</w:t>
      </w:r>
      <w:r w:rsidR="00441555">
        <w:t xml:space="preserve">: </w:t>
      </w:r>
      <w:r w:rsidR="00441555" w:rsidRPr="00BA3DEF">
        <w:t xml:space="preserve">Performance objectives and the </w:t>
      </w:r>
      <w:r w:rsidR="00441555">
        <w:t xml:space="preserve">four </w:t>
      </w:r>
      <w:r w:rsidR="00441555" w:rsidRPr="00BA3DEF">
        <w:t>performance domains</w:t>
      </w:r>
    </w:p>
    <w:bookmarkEnd w:id="107"/>
    <w:p w14:paraId="71D0899A" w14:textId="4AC3AEC3" w:rsidR="00DA16B8" w:rsidRDefault="00232ED4" w:rsidP="00DA16B8">
      <w:pPr>
        <w:pStyle w:val="DHHSbody"/>
      </w:pPr>
      <w:r>
        <w:t>F</w:t>
      </w:r>
      <w:r w:rsidR="00DA16B8">
        <w:t xml:space="preserve">our </w:t>
      </w:r>
      <w:r w:rsidR="00DA16B8" w:rsidRPr="00EB1C71">
        <w:t>performance domains</w:t>
      </w:r>
      <w:r w:rsidR="002E3530">
        <w:t>,</w:t>
      </w:r>
      <w:r>
        <w:t xml:space="preserve"> </w:t>
      </w:r>
      <w:r w:rsidR="002E3530">
        <w:t xml:space="preserve">and their </w:t>
      </w:r>
      <w:r w:rsidR="000B64CB">
        <w:t xml:space="preserve">associated </w:t>
      </w:r>
      <w:r w:rsidR="005366A0">
        <w:t>performance objectives</w:t>
      </w:r>
      <w:r w:rsidR="002E3530">
        <w:t>,</w:t>
      </w:r>
      <w:r w:rsidR="000B64CB">
        <w:t xml:space="preserve"> </w:t>
      </w:r>
      <w:r w:rsidR="002E3530">
        <w:t>are utilised to</w:t>
      </w:r>
      <w:r w:rsidR="00786C00">
        <w:t xml:space="preserve"> provide a whole</w:t>
      </w:r>
      <w:r w:rsidR="00607B27">
        <w:t>-</w:t>
      </w:r>
      <w:r w:rsidR="00786C00">
        <w:t>of</w:t>
      </w:r>
      <w:r w:rsidR="00607B27">
        <w:t>-</w:t>
      </w:r>
      <w:r w:rsidR="00786C00">
        <w:t>health</w:t>
      </w:r>
      <w:r w:rsidR="00607B27">
        <w:t>-</w:t>
      </w:r>
      <w:r w:rsidR="00786C00">
        <w:t>service performance view</w:t>
      </w:r>
      <w:r w:rsidR="00FE6BCE">
        <w:t>.</w:t>
      </w:r>
    </w:p>
    <w:p w14:paraId="683BD121" w14:textId="77777777" w:rsidR="00DA16B8" w:rsidRDefault="00DA16B8" w:rsidP="00DE28CA">
      <w:pPr>
        <w:pStyle w:val="Heading4"/>
      </w:pPr>
      <w:r>
        <w:t>Strong governance, leadership and culture</w:t>
      </w:r>
    </w:p>
    <w:p w14:paraId="59D2C650" w14:textId="77777777" w:rsidR="00DA16B8" w:rsidRDefault="00DA16B8" w:rsidP="00DE28CA">
      <w:pPr>
        <w:pStyle w:val="DHHSbullet1"/>
      </w:pPr>
      <w:r>
        <w:t>Board and leadership capability</w:t>
      </w:r>
    </w:p>
    <w:p w14:paraId="060ED76A" w14:textId="77777777" w:rsidR="00DA16B8" w:rsidRDefault="00DA16B8" w:rsidP="00DE28CA">
      <w:pPr>
        <w:pStyle w:val="DHHSbullet1"/>
      </w:pPr>
      <w:r>
        <w:t>Workforce safety and engagement</w:t>
      </w:r>
    </w:p>
    <w:p w14:paraId="026AA3A7" w14:textId="77777777" w:rsidR="00DA16B8" w:rsidRDefault="00DA16B8" w:rsidP="00DE28CA">
      <w:pPr>
        <w:pStyle w:val="DHHSbullet1"/>
      </w:pPr>
      <w:r>
        <w:t>Effective risk management</w:t>
      </w:r>
    </w:p>
    <w:p w14:paraId="30D4B590" w14:textId="77777777" w:rsidR="00607B27" w:rsidRDefault="00607B27">
      <w:pPr>
        <w:rPr>
          <w:rFonts w:ascii="Arial" w:eastAsia="MS Mincho" w:hAnsi="Arial" w:cs="Arial"/>
          <w:b/>
          <w:bCs/>
          <w:sz w:val="24"/>
        </w:rPr>
      </w:pPr>
      <w:r>
        <w:br w:type="page"/>
      </w:r>
    </w:p>
    <w:p w14:paraId="5014DC3D" w14:textId="29760CC5" w:rsidR="00DA16B8" w:rsidRDefault="00DA16B8" w:rsidP="00DE28CA">
      <w:pPr>
        <w:pStyle w:val="Heading4"/>
      </w:pPr>
      <w:r>
        <w:lastRenderedPageBreak/>
        <w:t>Timely access to care</w:t>
      </w:r>
    </w:p>
    <w:p w14:paraId="4B51EE32" w14:textId="77777777" w:rsidR="00DA16B8" w:rsidRDefault="00DA16B8" w:rsidP="00DE28CA">
      <w:pPr>
        <w:pStyle w:val="DHHSbullet1"/>
      </w:pPr>
      <w:r>
        <w:t>Reduced waiting</w:t>
      </w:r>
    </w:p>
    <w:p w14:paraId="212BE36F" w14:textId="77777777" w:rsidR="00DA16B8" w:rsidRDefault="00DA16B8" w:rsidP="00DE28CA">
      <w:pPr>
        <w:pStyle w:val="DHHSbullet1"/>
      </w:pPr>
      <w:r>
        <w:t>Equitable access</w:t>
      </w:r>
    </w:p>
    <w:p w14:paraId="2BC0E90D" w14:textId="77777777" w:rsidR="00DA16B8" w:rsidRDefault="00DA16B8" w:rsidP="00DE28CA">
      <w:pPr>
        <w:pStyle w:val="DHHSbullet1"/>
      </w:pPr>
      <w:r>
        <w:t>Optimal recovery</w:t>
      </w:r>
    </w:p>
    <w:p w14:paraId="22B95564" w14:textId="77777777" w:rsidR="00DA16B8" w:rsidRDefault="00DA16B8" w:rsidP="00DE28CA">
      <w:pPr>
        <w:pStyle w:val="Heading4"/>
      </w:pPr>
      <w:r>
        <w:t>Effective financial management</w:t>
      </w:r>
    </w:p>
    <w:p w14:paraId="3B0DA39D" w14:textId="77777777" w:rsidR="00DA16B8" w:rsidRDefault="00DA16B8" w:rsidP="00DE28CA">
      <w:pPr>
        <w:pStyle w:val="DHHSbullet1"/>
      </w:pPr>
      <w:r>
        <w:t>Cash availability</w:t>
      </w:r>
    </w:p>
    <w:p w14:paraId="154A800D" w14:textId="77777777" w:rsidR="00DA16B8" w:rsidRDefault="00DA16B8" w:rsidP="00DE28CA">
      <w:pPr>
        <w:pStyle w:val="DHHSbullet1"/>
      </w:pPr>
      <w:r>
        <w:t>Effective use of resources</w:t>
      </w:r>
    </w:p>
    <w:p w14:paraId="661F272C" w14:textId="77777777" w:rsidR="00DA16B8" w:rsidRDefault="00DA16B8" w:rsidP="00DE28CA">
      <w:pPr>
        <w:pStyle w:val="DHHSbullet1"/>
      </w:pPr>
      <w:r>
        <w:t>Appropriate settings and equipment</w:t>
      </w:r>
    </w:p>
    <w:p w14:paraId="542EA284" w14:textId="77777777" w:rsidR="00DA16B8" w:rsidRDefault="00DA16B8" w:rsidP="00DE28CA">
      <w:pPr>
        <w:pStyle w:val="Heading4"/>
      </w:pPr>
      <w:r>
        <w:t>High quality and safe care</w:t>
      </w:r>
    </w:p>
    <w:p w14:paraId="1C1D927F" w14:textId="77777777" w:rsidR="00DA16B8" w:rsidRDefault="00DA16B8" w:rsidP="00DE28CA">
      <w:pPr>
        <w:pStyle w:val="DHHSbullet1"/>
      </w:pPr>
      <w:r>
        <w:t>Best practice</w:t>
      </w:r>
    </w:p>
    <w:p w14:paraId="3589E53C" w14:textId="77777777" w:rsidR="00DA16B8" w:rsidRDefault="00DA16B8" w:rsidP="00DE28CA">
      <w:pPr>
        <w:pStyle w:val="DHHSbullet1"/>
      </w:pPr>
      <w:r>
        <w:t>Zero harm</w:t>
      </w:r>
    </w:p>
    <w:p w14:paraId="062BF323" w14:textId="610ECD56" w:rsidR="00DA16B8" w:rsidRDefault="00DA16B8" w:rsidP="00DE28CA">
      <w:pPr>
        <w:pStyle w:val="DHHSbullet1"/>
      </w:pPr>
      <w:r>
        <w:t>Positive patient experience</w:t>
      </w:r>
    </w:p>
    <w:p w14:paraId="5A19592E" w14:textId="01DA3A3F" w:rsidR="00DE28CA" w:rsidRDefault="002007DE" w:rsidP="00DE28CA">
      <w:pPr>
        <w:pStyle w:val="DHHSbodyafterbullets"/>
      </w:pPr>
      <w:hyperlink w:anchor="_The_four_performance" w:history="1">
        <w:r w:rsidR="00DE28CA">
          <w:rPr>
            <w:rStyle w:val="Hyperlink"/>
          </w:rPr>
          <w:t>Return to text following Figure 2</w:t>
        </w:r>
      </w:hyperlink>
    </w:p>
    <w:p w14:paraId="5F1B2C00" w14:textId="214F4D31" w:rsidR="00DA16B8" w:rsidRDefault="00DA16B8" w:rsidP="00DA16B8">
      <w:pPr>
        <w:pStyle w:val="Heading3notforTOC"/>
      </w:pPr>
      <w:bookmarkStart w:id="108" w:name="Figure3Description"/>
      <w:r>
        <w:t>Figure 3</w:t>
      </w:r>
      <w:r w:rsidR="00441555">
        <w:t xml:space="preserve">: </w:t>
      </w:r>
      <w:r w:rsidR="00441555" w:rsidRPr="00900BF4">
        <w:t>The performance improvement process</w:t>
      </w:r>
    </w:p>
    <w:bookmarkEnd w:id="108"/>
    <w:p w14:paraId="3073F53C" w14:textId="77777777" w:rsidR="00DA16B8" w:rsidRDefault="00DA16B8" w:rsidP="00DA16B8">
      <w:pPr>
        <w:pStyle w:val="DHHSbody"/>
      </w:pPr>
      <w:r>
        <w:t>The performance improvement process is a continuous cycle comprising four steps:</w:t>
      </w:r>
    </w:p>
    <w:p w14:paraId="6B93D496" w14:textId="77777777" w:rsidR="00DA16B8" w:rsidRDefault="00DA16B8" w:rsidP="00DE28CA">
      <w:pPr>
        <w:pStyle w:val="DHHSbullet1"/>
      </w:pPr>
      <w:r>
        <w:t>Identify performance risk</w:t>
      </w:r>
    </w:p>
    <w:p w14:paraId="214F7DDF" w14:textId="14AF6F07" w:rsidR="00DA16B8" w:rsidRDefault="00DA16B8" w:rsidP="00DE28CA">
      <w:pPr>
        <w:pStyle w:val="DHHSbullet2"/>
      </w:pPr>
      <w:r>
        <w:t>Performance measures</w:t>
      </w:r>
    </w:p>
    <w:p w14:paraId="019CA5C3" w14:textId="0C23C52A" w:rsidR="00DA16B8" w:rsidRDefault="00DA16B8" w:rsidP="00DE28CA">
      <w:pPr>
        <w:pStyle w:val="DHHSbullet2"/>
      </w:pPr>
      <w:r>
        <w:t>Underlying factors</w:t>
      </w:r>
    </w:p>
    <w:p w14:paraId="718FE3D5" w14:textId="3140CED4" w:rsidR="00DA16B8" w:rsidRDefault="00DA16B8" w:rsidP="00DE28CA">
      <w:pPr>
        <w:pStyle w:val="DHHSbullet2"/>
      </w:pPr>
      <w:r>
        <w:t>Other intelligence sources</w:t>
      </w:r>
    </w:p>
    <w:p w14:paraId="382452D9" w14:textId="77777777" w:rsidR="00DA16B8" w:rsidRDefault="00DA16B8" w:rsidP="00DE28CA">
      <w:pPr>
        <w:pStyle w:val="DHHSbullet1"/>
      </w:pPr>
      <w:r>
        <w:t>Analyse performance</w:t>
      </w:r>
    </w:p>
    <w:p w14:paraId="648B2692" w14:textId="4DAC9FCD" w:rsidR="00DA16B8" w:rsidRDefault="00DA16B8" w:rsidP="00DE28CA">
      <w:pPr>
        <w:pStyle w:val="DHHSbullet2"/>
      </w:pPr>
      <w:r>
        <w:t>Performance assessment by domain</w:t>
      </w:r>
    </w:p>
    <w:p w14:paraId="4953A3C7" w14:textId="77777777" w:rsidR="00DA16B8" w:rsidRDefault="00DA16B8" w:rsidP="00DE28CA">
      <w:pPr>
        <w:pStyle w:val="DHHSbullet1"/>
      </w:pPr>
      <w:r>
        <w:t>Assess performance outcome</w:t>
      </w:r>
    </w:p>
    <w:p w14:paraId="28BEE2FC" w14:textId="02CF155B" w:rsidR="00DA16B8" w:rsidRDefault="00DA16B8" w:rsidP="00DE28CA">
      <w:pPr>
        <w:pStyle w:val="DHHSbullet2"/>
      </w:pPr>
      <w:r>
        <w:t>Monitoring and intervention level</w:t>
      </w:r>
    </w:p>
    <w:p w14:paraId="3E16A148" w14:textId="47A36E1B" w:rsidR="00DA16B8" w:rsidRDefault="00DA16B8" w:rsidP="00DE28CA">
      <w:pPr>
        <w:pStyle w:val="DHHSbullet1"/>
      </w:pPr>
      <w:r>
        <w:t>Address performance risk, undertake monitoring and provide support</w:t>
      </w:r>
    </w:p>
    <w:p w14:paraId="699ADA52" w14:textId="2BF92F52" w:rsidR="00DE28CA" w:rsidRDefault="002007DE" w:rsidP="00DE28CA">
      <w:pPr>
        <w:pStyle w:val="DHHSbodyafterbullets"/>
      </w:pPr>
      <w:hyperlink w:anchor="TextAfterFigure3" w:history="1">
        <w:r w:rsidR="00DE28CA">
          <w:rPr>
            <w:rStyle w:val="Hyperlink"/>
          </w:rPr>
          <w:t>Return to text following Figure 3</w:t>
        </w:r>
      </w:hyperlink>
    </w:p>
    <w:p w14:paraId="053628CB" w14:textId="2551DBFF" w:rsidR="00DA16B8" w:rsidRDefault="00DA16B8" w:rsidP="00DA16B8">
      <w:pPr>
        <w:pStyle w:val="Heading3notforTOC"/>
      </w:pPr>
      <w:bookmarkStart w:id="109" w:name="Figure4Description"/>
      <w:r>
        <w:t>Figure 4</w:t>
      </w:r>
      <w:r w:rsidR="00441555">
        <w:t xml:space="preserve">: </w:t>
      </w:r>
      <w:r w:rsidR="00441555" w:rsidRPr="00585A5D">
        <w:t>Example of performance</w:t>
      </w:r>
      <w:r w:rsidR="00441555" w:rsidRPr="00A73A11">
        <w:t xml:space="preserve"> </w:t>
      </w:r>
      <w:r w:rsidR="00441555">
        <w:t>m</w:t>
      </w:r>
      <w:r w:rsidR="00441555" w:rsidRPr="00A73A11">
        <w:t xml:space="preserve">onitoring </w:t>
      </w:r>
      <w:r w:rsidR="00441555">
        <w:t>level determination</w:t>
      </w:r>
    </w:p>
    <w:bookmarkEnd w:id="109"/>
    <w:p w14:paraId="09C79ADD" w14:textId="70D4F02D" w:rsidR="00DA16B8" w:rsidRDefault="00DA16B8" w:rsidP="00DA16B8">
      <w:pPr>
        <w:pStyle w:val="DHHSbody"/>
      </w:pPr>
      <w:r>
        <w:t xml:space="preserve">The example </w:t>
      </w:r>
      <w:r w:rsidR="00AD0A95">
        <w:t xml:space="preserve">depicts how a final </w:t>
      </w:r>
      <w:r w:rsidR="002D72C7">
        <w:t>risk</w:t>
      </w:r>
      <w:r w:rsidR="00B11CE0">
        <w:t xml:space="preserve"> level is determined for each domain</w:t>
      </w:r>
      <w:r w:rsidR="0047331F">
        <w:t xml:space="preserve"> (e.g. High quality and safe care)</w:t>
      </w:r>
      <w:r w:rsidR="002D72C7">
        <w:t>, and ultimately the final monitoring level</w:t>
      </w:r>
      <w:r w:rsidR="0047331F">
        <w:t xml:space="preserve"> for the health service</w:t>
      </w:r>
      <w:r w:rsidR="002D72C7">
        <w:t>.</w:t>
      </w:r>
      <w:r w:rsidR="00B11CE0">
        <w:t xml:space="preserve"> </w:t>
      </w:r>
    </w:p>
    <w:p w14:paraId="4C46799E" w14:textId="062D4574" w:rsidR="00107418" w:rsidRDefault="00DA16B8" w:rsidP="00DA16B8">
      <w:pPr>
        <w:pStyle w:val="DHHSbody"/>
      </w:pPr>
      <w:r>
        <w:t>In the example</w:t>
      </w:r>
      <w:r w:rsidR="00C56F15">
        <w:t>, the risk rating for</w:t>
      </w:r>
      <w:r w:rsidR="00107418">
        <w:t>:</w:t>
      </w:r>
    </w:p>
    <w:p w14:paraId="498CBCB8" w14:textId="3A6CB9C8" w:rsidR="00DA16B8" w:rsidRDefault="00DA16B8" w:rsidP="00107418">
      <w:pPr>
        <w:pStyle w:val="DHHSbullet1"/>
      </w:pPr>
      <w:r>
        <w:t>‘Key performance measures’ is high</w:t>
      </w:r>
    </w:p>
    <w:p w14:paraId="3730ADAB" w14:textId="183EBD1F" w:rsidR="00DA16B8" w:rsidRDefault="00DA16B8" w:rsidP="00107418">
      <w:pPr>
        <w:pStyle w:val="DHHSbullet1"/>
      </w:pPr>
      <w:r>
        <w:t>‘Underlying performance risk factors’ is low</w:t>
      </w:r>
    </w:p>
    <w:p w14:paraId="61835641" w14:textId="647F083B" w:rsidR="00DA16B8" w:rsidRDefault="00DA16B8" w:rsidP="00107418">
      <w:pPr>
        <w:pStyle w:val="DHHSbullet1"/>
      </w:pPr>
      <w:r>
        <w:t>‘Third party reports and other intelligence is low.</w:t>
      </w:r>
    </w:p>
    <w:p w14:paraId="0690F35A" w14:textId="43E27E9D" w:rsidR="00DA16B8" w:rsidRDefault="00DA16B8" w:rsidP="00107418">
      <w:pPr>
        <w:pStyle w:val="DHHSbodyafterbullets"/>
      </w:pPr>
      <w:r>
        <w:t xml:space="preserve">A high rating in one or more performance input categories automatically assigns a high risk rating to the </w:t>
      </w:r>
      <w:r w:rsidR="00F813DF">
        <w:t xml:space="preserve">performance </w:t>
      </w:r>
      <w:r>
        <w:t xml:space="preserve">domain. </w:t>
      </w:r>
      <w:r w:rsidR="00037CCB">
        <w:t>I</w:t>
      </w:r>
      <w:r w:rsidR="001444C3">
        <w:t xml:space="preserve">n </w:t>
      </w:r>
      <w:r w:rsidR="00114F58">
        <w:t>the</w:t>
      </w:r>
      <w:r w:rsidR="001444C3">
        <w:t xml:space="preserve"> example,</w:t>
      </w:r>
      <w:r w:rsidR="005C763A">
        <w:t xml:space="preserve"> </w:t>
      </w:r>
      <w:r>
        <w:t xml:space="preserve">the risk </w:t>
      </w:r>
      <w:r w:rsidR="00715DFE">
        <w:t>level</w:t>
      </w:r>
      <w:r>
        <w:t xml:space="preserve"> for </w:t>
      </w:r>
      <w:r w:rsidR="005C763A">
        <w:t xml:space="preserve">the </w:t>
      </w:r>
      <w:r w:rsidR="00715DFE">
        <w:t>‘H</w:t>
      </w:r>
      <w:r w:rsidR="00F72B0F">
        <w:t xml:space="preserve">igh </w:t>
      </w:r>
      <w:r w:rsidR="00715DFE">
        <w:t>Q</w:t>
      </w:r>
      <w:r w:rsidR="00F72B0F">
        <w:t xml:space="preserve">uality and </w:t>
      </w:r>
      <w:r w:rsidR="00715DFE">
        <w:t>S</w:t>
      </w:r>
      <w:r w:rsidR="00F72B0F">
        <w:t xml:space="preserve">afe </w:t>
      </w:r>
      <w:r w:rsidR="00715DFE">
        <w:t>C</w:t>
      </w:r>
      <w:r w:rsidR="00F72B0F">
        <w:t>are</w:t>
      </w:r>
      <w:r w:rsidR="00715DFE">
        <w:t>’</w:t>
      </w:r>
      <w:r w:rsidR="00F72B0F">
        <w:t xml:space="preserve"> </w:t>
      </w:r>
      <w:r w:rsidR="005C763A">
        <w:t xml:space="preserve">performance </w:t>
      </w:r>
      <w:r>
        <w:t>domain is high</w:t>
      </w:r>
      <w:r w:rsidR="0068437C">
        <w:t xml:space="preserve"> </w:t>
      </w:r>
      <w:r w:rsidR="00CE1E6B">
        <w:t>due to</w:t>
      </w:r>
      <w:r w:rsidR="00DC562F">
        <w:t xml:space="preserve"> </w:t>
      </w:r>
      <w:r w:rsidR="0068437C">
        <w:t xml:space="preserve">the ‘key performance measures’ risk rating </w:t>
      </w:r>
      <w:r w:rsidR="00CE1E6B">
        <w:t>being</w:t>
      </w:r>
      <w:r w:rsidR="0068437C">
        <w:t xml:space="preserve"> high</w:t>
      </w:r>
      <w:r>
        <w:t>.</w:t>
      </w:r>
    </w:p>
    <w:p w14:paraId="01D48137" w14:textId="66F3610E" w:rsidR="00DA16B8" w:rsidRDefault="00B32F3D" w:rsidP="00DA16B8">
      <w:pPr>
        <w:pStyle w:val="DHHSbody"/>
      </w:pPr>
      <w:r>
        <w:t xml:space="preserve">This performance risk evaluation </w:t>
      </w:r>
      <w:r w:rsidR="00DA16B8">
        <w:t xml:space="preserve">is </w:t>
      </w:r>
      <w:r>
        <w:t xml:space="preserve">replicated </w:t>
      </w:r>
      <w:r w:rsidR="00DA16B8">
        <w:t xml:space="preserve">for </w:t>
      </w:r>
      <w:r>
        <w:t xml:space="preserve">the </w:t>
      </w:r>
      <w:r w:rsidR="00DA16B8">
        <w:t xml:space="preserve">three other </w:t>
      </w:r>
      <w:r>
        <w:t xml:space="preserve">performance </w:t>
      </w:r>
      <w:r w:rsidR="00DA16B8">
        <w:t>domains:</w:t>
      </w:r>
    </w:p>
    <w:p w14:paraId="506DD353" w14:textId="77777777" w:rsidR="00DA16B8" w:rsidRDefault="00DA16B8" w:rsidP="00107418">
      <w:pPr>
        <w:pStyle w:val="DHHSbullet1"/>
      </w:pPr>
      <w:r>
        <w:t>Strong governance, leadership and culture</w:t>
      </w:r>
    </w:p>
    <w:p w14:paraId="205107C6" w14:textId="77777777" w:rsidR="00DA16B8" w:rsidRDefault="00DA16B8" w:rsidP="00107418">
      <w:pPr>
        <w:pStyle w:val="DHHSbullet1"/>
      </w:pPr>
      <w:r>
        <w:t>Effective financial management</w:t>
      </w:r>
    </w:p>
    <w:p w14:paraId="5FA401A2" w14:textId="73B00B3E" w:rsidR="00DA16B8" w:rsidRDefault="00DA16B8" w:rsidP="00107418">
      <w:pPr>
        <w:pStyle w:val="DHHSbullet1"/>
      </w:pPr>
      <w:r>
        <w:t>Timely access to care</w:t>
      </w:r>
      <w:r w:rsidR="00107418">
        <w:t>.</w:t>
      </w:r>
    </w:p>
    <w:p w14:paraId="31DF815D" w14:textId="0E82B7A1" w:rsidR="00DA16B8" w:rsidRDefault="00DA16B8" w:rsidP="00107418">
      <w:pPr>
        <w:pStyle w:val="DHHSbodyafterbullets"/>
      </w:pPr>
      <w:r>
        <w:t>The</w:t>
      </w:r>
      <w:r w:rsidR="009C5182">
        <w:t xml:space="preserve"> </w:t>
      </w:r>
      <w:r w:rsidR="00D65ABB">
        <w:t>combined ‘risk levels’</w:t>
      </w:r>
      <w:r w:rsidR="009C5182">
        <w:t xml:space="preserve"> of the</w:t>
      </w:r>
      <w:r>
        <w:t xml:space="preserve"> four </w:t>
      </w:r>
      <w:r w:rsidR="00A179B3">
        <w:t xml:space="preserve">performance </w:t>
      </w:r>
      <w:r>
        <w:t xml:space="preserve">domains </w:t>
      </w:r>
      <w:r w:rsidR="009C5182">
        <w:t xml:space="preserve">determine </w:t>
      </w:r>
      <w:r w:rsidR="00D65ABB">
        <w:t>the</w:t>
      </w:r>
      <w:r w:rsidR="009C5182">
        <w:t xml:space="preserve"> final</w:t>
      </w:r>
      <w:r>
        <w:t xml:space="preserve"> monitoring level.</w:t>
      </w:r>
    </w:p>
    <w:p w14:paraId="4775C3CB" w14:textId="11992B9E" w:rsidR="00107418" w:rsidRDefault="002007DE" w:rsidP="00A168D5">
      <w:pPr>
        <w:pStyle w:val="DHHSbody"/>
      </w:pPr>
      <w:hyperlink w:anchor="_Step_4_–" w:history="1">
        <w:r w:rsidR="00DE28CA">
          <w:rPr>
            <w:rStyle w:val="Hyperlink"/>
          </w:rPr>
          <w:t>Return to text following Figure 4</w:t>
        </w:r>
      </w:hyperlink>
    </w:p>
    <w:p w14:paraId="66729AA2" w14:textId="58320301" w:rsidR="00DA16B8" w:rsidRDefault="00DA16B8" w:rsidP="00DA16B8">
      <w:pPr>
        <w:pStyle w:val="Heading3notforTOC"/>
      </w:pPr>
      <w:bookmarkStart w:id="110" w:name="Figure5Description"/>
      <w:r>
        <w:lastRenderedPageBreak/>
        <w:t>Figure 5</w:t>
      </w:r>
      <w:r w:rsidR="00441555">
        <w:t xml:space="preserve">: </w:t>
      </w:r>
      <w:r w:rsidR="00441555" w:rsidRPr="00900BF4">
        <w:t>Indicative options for escalating actions in response to performance issues</w:t>
      </w:r>
    </w:p>
    <w:bookmarkEnd w:id="110"/>
    <w:p w14:paraId="349ECB71" w14:textId="5A25FCCD" w:rsidR="00E33A40" w:rsidRDefault="00E33A40" w:rsidP="00A001DD">
      <w:pPr>
        <w:pStyle w:val="DHHSbullet1"/>
        <w:numPr>
          <w:ilvl w:val="0"/>
          <w:numId w:val="0"/>
        </w:numPr>
      </w:pPr>
      <w:r>
        <w:t xml:space="preserve">With escalating performance concerns </w:t>
      </w:r>
      <w:r w:rsidR="00091A1E">
        <w:t>(</w:t>
      </w:r>
      <w:r>
        <w:t xml:space="preserve">and </w:t>
      </w:r>
      <w:r w:rsidR="00091A1E">
        <w:t xml:space="preserve">the </w:t>
      </w:r>
      <w:r>
        <w:t xml:space="preserve">corresponding </w:t>
      </w:r>
      <w:r w:rsidR="00945537">
        <w:t>monitoring levels</w:t>
      </w:r>
      <w:r w:rsidR="00091A1E">
        <w:t>)</w:t>
      </w:r>
      <w:r w:rsidR="00945537">
        <w:t xml:space="preserve"> there are various options</w:t>
      </w:r>
      <w:r w:rsidR="00B44A28">
        <w:t xml:space="preserve">, proportionate to </w:t>
      </w:r>
      <w:r w:rsidR="00A9355F">
        <w:t xml:space="preserve">the </w:t>
      </w:r>
      <w:r w:rsidR="00B44A28">
        <w:t xml:space="preserve">monitoring level, that can be used </w:t>
      </w:r>
      <w:r w:rsidR="00A001DD">
        <w:t>to rectify performance issues</w:t>
      </w:r>
      <w:r w:rsidR="00DC7ED6">
        <w:t>.</w:t>
      </w:r>
    </w:p>
    <w:p w14:paraId="745F4D56" w14:textId="4525C7A2" w:rsidR="002762C9" w:rsidRDefault="002762C9" w:rsidP="00A168D5">
      <w:pPr>
        <w:pStyle w:val="DHHSbullet1"/>
        <w:numPr>
          <w:ilvl w:val="0"/>
          <w:numId w:val="0"/>
        </w:numPr>
      </w:pPr>
      <w:r>
        <w:t>The three monitoring levels are:</w:t>
      </w:r>
    </w:p>
    <w:p w14:paraId="1B2D5B91" w14:textId="2DE1FAA4" w:rsidR="00107418" w:rsidRDefault="00107418" w:rsidP="00107418">
      <w:pPr>
        <w:pStyle w:val="DHHSbullet1"/>
      </w:pPr>
      <w:r>
        <w:t xml:space="preserve">Standard </w:t>
      </w:r>
    </w:p>
    <w:p w14:paraId="152149C9" w14:textId="2147F47D" w:rsidR="00107418" w:rsidRDefault="00107418" w:rsidP="00107418">
      <w:pPr>
        <w:pStyle w:val="DHHSbullet1"/>
      </w:pPr>
      <w:r>
        <w:t>Pe</w:t>
      </w:r>
      <w:r w:rsidR="004174C9">
        <w:t>r</w:t>
      </w:r>
      <w:r>
        <w:t>formance support</w:t>
      </w:r>
    </w:p>
    <w:p w14:paraId="60665DED" w14:textId="67502423" w:rsidR="00107418" w:rsidRDefault="00107418" w:rsidP="00107418">
      <w:pPr>
        <w:pStyle w:val="DHHSbullet1"/>
      </w:pPr>
      <w:r>
        <w:t>Intensive.</w:t>
      </w:r>
    </w:p>
    <w:p w14:paraId="45653371" w14:textId="5285E1D1" w:rsidR="00107418" w:rsidRDefault="00107418" w:rsidP="00107418">
      <w:pPr>
        <w:pStyle w:val="DHHSbodyafterbullets"/>
      </w:pPr>
      <w:r>
        <w:t xml:space="preserve">Escalating performance risk </w:t>
      </w:r>
      <w:r w:rsidR="007402B1">
        <w:t xml:space="preserve">can </w:t>
      </w:r>
      <w:r>
        <w:t xml:space="preserve">correlate </w:t>
      </w:r>
      <w:r w:rsidR="007402B1">
        <w:t xml:space="preserve">to </w:t>
      </w:r>
      <w:r>
        <w:t>the following increasing levels of interventions</w:t>
      </w:r>
      <w:r w:rsidR="009606D4">
        <w:t xml:space="preserve">, listed from </w:t>
      </w:r>
      <w:r w:rsidR="00DA61DE">
        <w:t>least</w:t>
      </w:r>
      <w:r w:rsidR="009606D4">
        <w:t xml:space="preserve"> to </w:t>
      </w:r>
      <w:r w:rsidR="00DA61DE">
        <w:t>most</w:t>
      </w:r>
      <w:r w:rsidR="009606D4">
        <w:t xml:space="preserve"> </w:t>
      </w:r>
      <w:r w:rsidR="00DA61DE">
        <w:t>significant</w:t>
      </w:r>
      <w:r w:rsidR="007402B1">
        <w:t xml:space="preserve"> (theoretically)</w:t>
      </w:r>
      <w:r w:rsidR="009606D4">
        <w:t>:</w:t>
      </w:r>
    </w:p>
    <w:p w14:paraId="611805DE" w14:textId="77777777" w:rsidR="009606D4" w:rsidRDefault="009606D4" w:rsidP="009606D4">
      <w:pPr>
        <w:pStyle w:val="DHHSbullet1"/>
      </w:pPr>
      <w:r>
        <w:t>Dialogue and collaboration on performance</w:t>
      </w:r>
    </w:p>
    <w:p w14:paraId="7AABBFC4" w14:textId="77777777" w:rsidR="009606D4" w:rsidRDefault="009606D4" w:rsidP="009606D4">
      <w:pPr>
        <w:pStyle w:val="DHHSbullet1"/>
      </w:pPr>
      <w:r>
        <w:t>Direct engagement with board chairs</w:t>
      </w:r>
    </w:p>
    <w:p w14:paraId="1A559496" w14:textId="77777777" w:rsidR="009606D4" w:rsidRDefault="009606D4" w:rsidP="009606D4">
      <w:pPr>
        <w:pStyle w:val="DHHSbullet1"/>
      </w:pPr>
      <w:r>
        <w:t>Performance improvement plans</w:t>
      </w:r>
    </w:p>
    <w:p w14:paraId="1D9E2FBA" w14:textId="77777777" w:rsidR="009606D4" w:rsidRDefault="009606D4" w:rsidP="009606D4">
      <w:pPr>
        <w:pStyle w:val="DHHSbullet1"/>
      </w:pPr>
      <w:r>
        <w:t>Partnerships with another provider</w:t>
      </w:r>
    </w:p>
    <w:p w14:paraId="16BD2E81" w14:textId="77777777" w:rsidR="009606D4" w:rsidRDefault="009606D4" w:rsidP="009606D4">
      <w:pPr>
        <w:pStyle w:val="DHHSbullet1"/>
      </w:pPr>
      <w:r>
        <w:t>Action plans with SCV or external agencies</w:t>
      </w:r>
    </w:p>
    <w:p w14:paraId="3FD026E1" w14:textId="77777777" w:rsidR="009606D4" w:rsidRDefault="009606D4" w:rsidP="009606D4">
      <w:pPr>
        <w:pStyle w:val="DHHSbullet1"/>
      </w:pPr>
      <w:r>
        <w:t>Department-sanctioned audit</w:t>
      </w:r>
    </w:p>
    <w:p w14:paraId="192987EB" w14:textId="77777777" w:rsidR="009606D4" w:rsidRDefault="009606D4" w:rsidP="009606D4">
      <w:pPr>
        <w:pStyle w:val="DHHSbullet1"/>
      </w:pPr>
      <w:r>
        <w:t>Independent review</w:t>
      </w:r>
    </w:p>
    <w:p w14:paraId="5553310D" w14:textId="77777777" w:rsidR="009606D4" w:rsidRDefault="009606D4" w:rsidP="009606D4">
      <w:pPr>
        <w:pStyle w:val="DHHSbullet1"/>
      </w:pPr>
      <w:r>
        <w:t>Suspend admission</w:t>
      </w:r>
    </w:p>
    <w:p w14:paraId="1627FF0E" w14:textId="77777777" w:rsidR="009606D4" w:rsidRDefault="009606D4" w:rsidP="009606D4">
      <w:pPr>
        <w:pStyle w:val="DHHSbullet1"/>
      </w:pPr>
      <w:r>
        <w:t>Ministerial censure</w:t>
      </w:r>
    </w:p>
    <w:p w14:paraId="7254E336" w14:textId="63ECA920" w:rsidR="00D340EB" w:rsidRDefault="00D340EB" w:rsidP="009606D4">
      <w:pPr>
        <w:pStyle w:val="DHHSbullet1"/>
      </w:pPr>
      <w:r>
        <w:t>Appoint delegate to the board</w:t>
      </w:r>
    </w:p>
    <w:p w14:paraId="3E16D4B1" w14:textId="3E2D7E59" w:rsidR="009606D4" w:rsidRDefault="009606D4" w:rsidP="009606D4">
      <w:pPr>
        <w:pStyle w:val="DHHSbullet1"/>
      </w:pPr>
      <w:r>
        <w:t>Dismiss board and appoint administrator</w:t>
      </w:r>
    </w:p>
    <w:p w14:paraId="27CCB1AE" w14:textId="6AABBECC" w:rsidR="009606D4" w:rsidRDefault="009606D4" w:rsidP="00492BF4">
      <w:pPr>
        <w:pStyle w:val="DHHSbullet1"/>
      </w:pPr>
      <w:r>
        <w:t>Exercise Ministerial powers.</w:t>
      </w:r>
    </w:p>
    <w:p w14:paraId="4FC5FAF0" w14:textId="3C2B1A2D" w:rsidR="006D360C" w:rsidRPr="00690BD0" w:rsidRDefault="002007DE" w:rsidP="00107418">
      <w:pPr>
        <w:pStyle w:val="DHHSbodyafterbullets"/>
      </w:pPr>
      <w:hyperlink w:anchor="_Risk_identification_and" w:history="1">
        <w:r w:rsidR="00DE28CA" w:rsidRPr="00DE28CA">
          <w:rPr>
            <w:rStyle w:val="Hyperlink"/>
          </w:rPr>
          <w:t>Return to text following Figure 5</w:t>
        </w:r>
        <w:bookmarkEnd w:id="86"/>
      </w:hyperlink>
    </w:p>
    <w:sectPr w:rsidR="006D360C" w:rsidRPr="00690BD0" w:rsidSect="004755B3">
      <w:type w:val="continuous"/>
      <w:pgSz w:w="11906" w:h="16838" w:code="9"/>
      <w:pgMar w:top="1134" w:right="1304" w:bottom="851" w:left="1304" w:header="454"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9E3DC6" w14:textId="77777777" w:rsidR="005F5EFA" w:rsidRDefault="005F5EFA">
      <w:r>
        <w:separator/>
      </w:r>
    </w:p>
  </w:endnote>
  <w:endnote w:type="continuationSeparator" w:id="0">
    <w:p w14:paraId="685EEDC1" w14:textId="77777777" w:rsidR="005F5EFA" w:rsidRDefault="005F5EFA">
      <w:r>
        <w:continuationSeparator/>
      </w:r>
    </w:p>
  </w:endnote>
  <w:endnote w:type="continuationNotice" w:id="1">
    <w:p w14:paraId="0CA068D1" w14:textId="77777777" w:rsidR="005F5EFA" w:rsidRDefault="005F5E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87935" w14:textId="17FAB43A" w:rsidR="00492BF4" w:rsidRDefault="00492BF4" w:rsidP="00E56F35">
    <w:pPr>
      <w:pStyle w:val="DHHS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9225A" w14:textId="07E0C5A1" w:rsidR="00492BF4" w:rsidRDefault="00492B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27B23" w14:textId="77777777" w:rsidR="00EB272E" w:rsidRDefault="00EB272E" w:rsidP="00E56F35">
    <w:pPr>
      <w:pStyle w:val="DHHSfooter"/>
    </w:pPr>
    <w:r w:rsidRPr="0031753A">
      <w:t xml:space="preserve">Page </w:t>
    </w:r>
    <w:r w:rsidRPr="0031753A">
      <w:fldChar w:fldCharType="begin"/>
    </w:r>
    <w:r w:rsidRPr="0031753A">
      <w:instrText xml:space="preserve"> PAGE </w:instrText>
    </w:r>
    <w:r w:rsidRPr="0031753A">
      <w:fldChar w:fldCharType="separate"/>
    </w:r>
    <w:r>
      <w:rPr>
        <w:noProof/>
      </w:rPr>
      <w:t>26</w:t>
    </w:r>
    <w:r w:rsidRPr="0031753A">
      <w:fldChar w:fldCharType="end"/>
    </w:r>
    <w:r>
      <w:tab/>
    </w:r>
    <w:r w:rsidRPr="00492BF4">
      <w:t xml:space="preserve">Victorian health services </w:t>
    </w:r>
    <w:r>
      <w:t>Performance Monitoring Framework 2019–20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6D4C3" w14:textId="01B69B53" w:rsidR="00492BF4" w:rsidRDefault="00492BF4">
    <w:pPr>
      <w:pStyle w:val="Footer"/>
    </w:pPr>
    <w:r w:rsidRPr="00492BF4">
      <w:t xml:space="preserve">Victorian health services </w:t>
    </w:r>
    <w:r>
      <w:t>Performance Monitoring Framework 2019–20</w:t>
    </w:r>
    <w:r>
      <w:ptab w:relativeTo="margin" w:alignment="right" w:leader="none"/>
    </w:r>
    <w:r>
      <w:t xml:space="preserve">Page </w:t>
    </w:r>
    <w:r w:rsidRPr="00492BF4">
      <w:fldChar w:fldCharType="begin"/>
    </w:r>
    <w:r w:rsidRPr="00492BF4">
      <w:instrText xml:space="preserve"> PAGE   \* MERGEFORMAT </w:instrText>
    </w:r>
    <w:r w:rsidRPr="00492BF4">
      <w:fldChar w:fldCharType="separate"/>
    </w:r>
    <w:r w:rsidRPr="00492BF4">
      <w:rPr>
        <w:noProof/>
      </w:rPr>
      <w:t>1</w:t>
    </w:r>
    <w:r w:rsidRPr="00492BF4">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C2781" w14:textId="761C1F6A" w:rsidR="00492BF4" w:rsidRPr="008114D1" w:rsidRDefault="00492BF4" w:rsidP="00E969B1">
    <w:pPr>
      <w:pStyle w:val="DHHSfooter"/>
    </w:pPr>
    <w:r>
      <w:t xml:space="preserve">Page </w:t>
    </w:r>
    <w:r w:rsidRPr="005A39EC">
      <w:fldChar w:fldCharType="begin"/>
    </w:r>
    <w:r w:rsidRPr="005A39EC">
      <w:instrText xml:space="preserve"> PAGE </w:instrText>
    </w:r>
    <w:r w:rsidRPr="005A39EC">
      <w:fldChar w:fldCharType="separate"/>
    </w:r>
    <w:r>
      <w:rPr>
        <w:noProof/>
      </w:rPr>
      <w:t>146</w:t>
    </w:r>
    <w:r w:rsidRPr="005A39EC">
      <w:fldChar w:fldCharType="end"/>
    </w:r>
    <w:r>
      <w:tab/>
      <w:t xml:space="preserve">Victoria health services </w:t>
    </w:r>
    <w:r w:rsidRPr="005F72F5">
      <w:t xml:space="preserve">Performance </w:t>
    </w:r>
    <w:r>
      <w:t>M</w:t>
    </w:r>
    <w:r w:rsidRPr="005F72F5">
      <w:t xml:space="preserve">onitoring </w:t>
    </w:r>
    <w:r>
      <w:t>Framework 2019–20</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BD98A" w14:textId="7F6D4F67" w:rsidR="00492BF4" w:rsidRPr="0031753A" w:rsidRDefault="00492BF4" w:rsidP="00E969B1">
    <w:pPr>
      <w:pStyle w:val="DHHSfooter"/>
    </w:pPr>
    <w:r>
      <w:t xml:space="preserve">Victoria health services </w:t>
    </w:r>
    <w:r w:rsidRPr="005F72F5">
      <w:t xml:space="preserve">Performance </w:t>
    </w:r>
    <w:r>
      <w:t>M</w:t>
    </w:r>
    <w:r w:rsidRPr="005F72F5">
      <w:t xml:space="preserve">onitoring </w:t>
    </w:r>
    <w:r>
      <w:t>Framework 2019–20</w:t>
    </w:r>
    <w:r w:rsidRPr="0031753A">
      <w:tab/>
      <w:t xml:space="preserve">Page </w:t>
    </w:r>
    <w:r w:rsidRPr="0031753A">
      <w:fldChar w:fldCharType="begin"/>
    </w:r>
    <w:r w:rsidRPr="0031753A">
      <w:instrText xml:space="preserve"> PAGE </w:instrText>
    </w:r>
    <w:r w:rsidRPr="0031753A">
      <w:fldChar w:fldCharType="separate"/>
    </w:r>
    <w:r>
      <w:rPr>
        <w:noProof/>
      </w:rPr>
      <w:t>145</w:t>
    </w:r>
    <w:r w:rsidRPr="0031753A">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9E42D" w14:textId="77777777" w:rsidR="00492BF4" w:rsidRPr="001A7E04" w:rsidRDefault="00492BF4" w:rsidP="00AC0C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C65385" w14:textId="77777777" w:rsidR="005F5EFA" w:rsidRDefault="005F5EFA">
      <w:r>
        <w:separator/>
      </w:r>
    </w:p>
  </w:footnote>
  <w:footnote w:type="continuationSeparator" w:id="0">
    <w:p w14:paraId="605E0D2A" w14:textId="77777777" w:rsidR="005F5EFA" w:rsidRDefault="005F5EFA">
      <w:r>
        <w:continuationSeparator/>
      </w:r>
    </w:p>
  </w:footnote>
  <w:footnote w:type="continuationNotice" w:id="1">
    <w:p w14:paraId="16EE1FFF" w14:textId="77777777" w:rsidR="005F5EFA" w:rsidRDefault="005F5EF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EE4DB" w14:textId="3DB21431" w:rsidR="00492BF4" w:rsidRDefault="00492B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014D4" w14:textId="73BD70D7" w:rsidR="00492BF4" w:rsidRDefault="00492B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734EE" w14:textId="70F9E423" w:rsidR="00492BF4" w:rsidRDefault="00492BF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D9986" w14:textId="7D3185C9" w:rsidR="00492BF4" w:rsidRPr="0069374A" w:rsidRDefault="00492BF4" w:rsidP="00E969B1">
    <w:pPr>
      <w:pStyle w:val="DHHS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94CB3" w14:textId="6FE65A91" w:rsidR="00492BF4" w:rsidRDefault="00492BF4" w:rsidP="00E969B1">
    <w:pPr>
      <w:pStyle w:val="DHHS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87889" w14:textId="459EEE87" w:rsidR="00492BF4" w:rsidRDefault="00492B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F5A507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542A43"/>
    <w:multiLevelType w:val="hybridMultilevel"/>
    <w:tmpl w:val="0BE464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D60B3A"/>
    <w:multiLevelType w:val="hybridMultilevel"/>
    <w:tmpl w:val="C67E78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40592A"/>
    <w:multiLevelType w:val="multilevel"/>
    <w:tmpl w:val="F96EBCAE"/>
    <w:lvl w:ilvl="0">
      <w:start w:val="1"/>
      <w:numFmt w:val="decimal"/>
      <w:lvlText w:val="4.%1"/>
      <w:lvlJc w:val="left"/>
      <w:pPr>
        <w:tabs>
          <w:tab w:val="num" w:pos="1247"/>
        </w:tabs>
        <w:ind w:left="1247" w:hanging="1247"/>
      </w:pPr>
      <w:rPr>
        <w:rFonts w:hint="default"/>
      </w:rPr>
    </w:lvl>
    <w:lvl w:ilvl="1">
      <w:start w:val="1"/>
      <w:numFmt w:val="decimal"/>
      <w:lvlText w:val="4.%1.%2"/>
      <w:lvlJc w:val="left"/>
      <w:pPr>
        <w:tabs>
          <w:tab w:val="num" w:pos="1247"/>
        </w:tabs>
        <w:ind w:left="1247" w:hanging="1247"/>
      </w:pPr>
      <w:rPr>
        <w:rFonts w:hint="default"/>
      </w:rPr>
    </w:lvl>
    <w:lvl w:ilvl="2">
      <w:start w:val="1"/>
      <w:numFmt w:val="decimal"/>
      <w:lvlText w:val="4.%1.%2.%3"/>
      <w:lvlJc w:val="left"/>
      <w:pPr>
        <w:tabs>
          <w:tab w:val="num" w:pos="1247"/>
        </w:tabs>
        <w:ind w:left="1247" w:hanging="1247"/>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0BAD2E30"/>
    <w:multiLevelType w:val="multilevel"/>
    <w:tmpl w:val="4A1477D0"/>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0C1B1D91"/>
    <w:multiLevelType w:val="multilevel"/>
    <w:tmpl w:val="A670A8C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5375E52"/>
    <w:multiLevelType w:val="multilevel"/>
    <w:tmpl w:val="C20251EE"/>
    <w:lvl w:ilvl="0">
      <w:start w:val="4"/>
      <w:numFmt w:val="decimal"/>
      <w:suff w:val="space"/>
      <w:lvlText w:val="Chapter %1:"/>
      <w:lvlJc w:val="left"/>
      <w:pPr>
        <w:ind w:left="0" w:firstLine="0"/>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27E37578"/>
    <w:multiLevelType w:val="hybridMultilevel"/>
    <w:tmpl w:val="914A45D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316E14DD"/>
    <w:multiLevelType w:val="hybridMultilevel"/>
    <w:tmpl w:val="2AAC80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6BD34C5"/>
    <w:multiLevelType w:val="multilevel"/>
    <w:tmpl w:val="ED3A811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7B96CDA"/>
    <w:multiLevelType w:val="multilevel"/>
    <w:tmpl w:val="782A6ADC"/>
    <w:lvl w:ilvl="0">
      <w:start w:val="1"/>
      <w:numFmt w:val="decimal"/>
      <w:pStyle w:val="DHHSnumberdigit"/>
      <w:lvlText w:val="%1."/>
      <w:lvlJc w:val="left"/>
      <w:pPr>
        <w:tabs>
          <w:tab w:val="num" w:pos="397"/>
        </w:tabs>
        <w:ind w:left="397" w:hanging="397"/>
      </w:pPr>
      <w:rPr>
        <w:rFonts w:hint="default"/>
        <w:b/>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1" w15:restartNumberingAfterBreak="0">
    <w:nsid w:val="3C4303A5"/>
    <w:multiLevelType w:val="multilevel"/>
    <w:tmpl w:val="BC9AFEF6"/>
    <w:styleLink w:val="ZZNumbers"/>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2" w15:restartNumberingAfterBreak="0">
    <w:nsid w:val="3E6C68D4"/>
    <w:multiLevelType w:val="multilevel"/>
    <w:tmpl w:val="18944BD2"/>
    <w:styleLink w:val="ZZNumbersdigit"/>
    <w:lvl w:ilvl="0">
      <w:start w:val="1"/>
      <w:numFmt w:val="decimal"/>
      <w:lvlText w:val="%1."/>
      <w:lvlJc w:val="left"/>
      <w:pPr>
        <w:tabs>
          <w:tab w:val="num" w:pos="397"/>
        </w:tabs>
        <w:ind w:left="397" w:hanging="397"/>
      </w:pPr>
      <w:rPr>
        <w:rFonts w:hint="default"/>
        <w:b w:val="0"/>
        <w:i w:val="0"/>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hAnsi="Calibri" w:hint="default"/>
        <w:color w:val="auto"/>
      </w:rPr>
    </w:lvl>
    <w:lvl w:ilvl="3">
      <w:start w:val="1"/>
      <w:numFmt w:val="bullet"/>
      <w:lvlRestart w:val="0"/>
      <w:pStyle w:val="DHHS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3" w15:restartNumberingAfterBreak="0">
    <w:nsid w:val="3EB033C5"/>
    <w:multiLevelType w:val="multilevel"/>
    <w:tmpl w:val="A670A8CC"/>
    <w:styleLink w:val="Style1"/>
    <w:lvl w:ilvl="0">
      <w:start w:val="1"/>
      <w:numFmt w:val="decimal"/>
      <w:lvlText w:val="%1."/>
      <w:lvlJc w:val="left"/>
      <w:pPr>
        <w:ind w:left="360" w:hanging="360"/>
      </w:pPr>
      <w:rPr>
        <w:rFonts w:ascii="Arial" w:eastAsia="Times New Roman" w:hAnsi="Arial"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EC54A41"/>
    <w:multiLevelType w:val="multilevel"/>
    <w:tmpl w:val="46940C74"/>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46B375EA"/>
    <w:multiLevelType w:val="multilevel"/>
    <w:tmpl w:val="D6CA8BF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ABF3595"/>
    <w:multiLevelType w:val="hybridMultilevel"/>
    <w:tmpl w:val="AAA292EC"/>
    <w:lvl w:ilvl="0" w:tplc="07CA1842">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AF8540D"/>
    <w:multiLevelType w:val="multilevel"/>
    <w:tmpl w:val="A670A8C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BA23DAC"/>
    <w:multiLevelType w:val="multilevel"/>
    <w:tmpl w:val="EF74F930"/>
    <w:styleLink w:val="Bullets"/>
    <w:lvl w:ilvl="0">
      <w:start w:val="1"/>
      <w:numFmt w:val="bullet"/>
      <w:lvlText w:val=""/>
      <w:lvlJc w:val="left"/>
      <w:pPr>
        <w:ind w:left="284" w:hanging="284"/>
      </w:pPr>
      <w:rPr>
        <w:rFonts w:ascii="Symbol" w:hAnsi="Symbol" w:hint="default"/>
      </w:rPr>
    </w:lvl>
    <w:lvl w:ilvl="1">
      <w:start w:val="1"/>
      <w:numFmt w:val="bullet"/>
      <w:lvlText w:val="o"/>
      <w:lvlJc w:val="left"/>
      <w:pPr>
        <w:ind w:left="3120" w:hanging="284"/>
      </w:pPr>
      <w:rPr>
        <w:rFonts w:ascii="Courier New" w:hAnsi="Courier New" w:cs="Courier New" w:hint="default"/>
      </w:rPr>
    </w:lvl>
    <w:lvl w:ilvl="2">
      <w:start w:val="1"/>
      <w:numFmt w:val="bullet"/>
      <w:lvlRestart w:val="0"/>
      <w:lvlText w:val="–"/>
      <w:lvlJc w:val="left"/>
      <w:pPr>
        <w:ind w:left="567" w:hanging="283"/>
      </w:pPr>
    </w:lvl>
    <w:lvl w:ilvl="3">
      <w:start w:val="1"/>
      <w:numFmt w:val="bullet"/>
      <w:lvlRestart w:val="0"/>
      <w:lvlText w:val="–"/>
      <w:lvlJc w:val="left"/>
      <w:pPr>
        <w:ind w:left="567" w:hanging="283"/>
      </w:p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bullet"/>
      <w:lvlRestart w:val="0"/>
      <w:lvlText w:val="–"/>
      <w:lvlJc w:val="left"/>
      <w:pPr>
        <w:ind w:left="454" w:hanging="227"/>
      </w:pPr>
      <w:rPr>
        <w:rFonts w:ascii="Arial" w:hAnsi="Arial" w:cs="Times New Roman" w:hint="default"/>
      </w:rPr>
    </w:lvl>
    <w:lvl w:ilvl="8">
      <w:start w:val="1"/>
      <w:numFmt w:val="none"/>
      <w:lvlRestart w:val="0"/>
      <w:lvlText w:val=""/>
      <w:lvlJc w:val="left"/>
      <w:pPr>
        <w:ind w:left="0" w:firstLine="0"/>
      </w:pPr>
    </w:lvl>
  </w:abstractNum>
  <w:abstractNum w:abstractNumId="19" w15:restartNumberingAfterBreak="0">
    <w:nsid w:val="541611C2"/>
    <w:multiLevelType w:val="multilevel"/>
    <w:tmpl w:val="96B4DF56"/>
    <w:styleLink w:val="ZZTablebullets"/>
    <w:lvl w:ilvl="0">
      <w:start w:val="1"/>
      <w:numFmt w:val="bullet"/>
      <w:pStyle w:val="DHHStablebullet1"/>
      <w:lvlText w:val="•"/>
      <w:lvlJc w:val="left"/>
      <w:pPr>
        <w:ind w:left="227" w:hanging="227"/>
      </w:pPr>
      <w:rPr>
        <w:rFonts w:ascii="Calibri" w:hAnsi="Calibri" w:hint="default"/>
      </w:rPr>
    </w:lvl>
    <w:lvl w:ilvl="1">
      <w:start w:val="1"/>
      <w:numFmt w:val="bullet"/>
      <w:lvlRestart w:val="0"/>
      <w:pStyle w:val="DHHS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0" w15:restartNumberingAfterBreak="0">
    <w:nsid w:val="54BA1E5A"/>
    <w:multiLevelType w:val="multilevel"/>
    <w:tmpl w:val="F1AE3C58"/>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5599280C"/>
    <w:multiLevelType w:val="multilevel"/>
    <w:tmpl w:val="ED3A8116"/>
    <w:styleLink w:val="Style3"/>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7B457C8"/>
    <w:multiLevelType w:val="hybridMultilevel"/>
    <w:tmpl w:val="B53077E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3E34D6F"/>
    <w:multiLevelType w:val="multilevel"/>
    <w:tmpl w:val="DAB86DB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6BB7254B"/>
    <w:multiLevelType w:val="hybridMultilevel"/>
    <w:tmpl w:val="D38675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DA825C7"/>
    <w:multiLevelType w:val="multilevel"/>
    <w:tmpl w:val="ED3A8116"/>
    <w:numStyleLink w:val="Style3"/>
  </w:abstractNum>
  <w:abstractNum w:abstractNumId="26" w15:restartNumberingAfterBreak="0">
    <w:nsid w:val="6F207153"/>
    <w:multiLevelType w:val="multilevel"/>
    <w:tmpl w:val="A670A8CC"/>
    <w:numStyleLink w:val="Style1"/>
  </w:abstractNum>
  <w:abstractNum w:abstractNumId="27" w15:restartNumberingAfterBreak="0">
    <w:nsid w:val="73F30FD1"/>
    <w:multiLevelType w:val="multilevel"/>
    <w:tmpl w:val="577C881E"/>
    <w:styleLink w:val="Numbers"/>
    <w:lvl w:ilvl="0">
      <w:start w:val="1"/>
      <w:numFmt w:val="decimal"/>
      <w:lvlText w:val="%1."/>
      <w:lvlJc w:val="left"/>
      <w:pPr>
        <w:tabs>
          <w:tab w:val="num" w:pos="397"/>
        </w:tabs>
        <w:ind w:left="397" w:hanging="397"/>
      </w:pPr>
    </w:lvl>
    <w:lvl w:ilvl="1">
      <w:start w:val="1"/>
      <w:numFmt w:val="decimal"/>
      <w:lvlRestart w:val="0"/>
      <w:lvlText w:val="%2."/>
      <w:lvlJc w:val="left"/>
      <w:pPr>
        <w:tabs>
          <w:tab w:val="num" w:pos="794"/>
        </w:tabs>
        <w:ind w:left="794" w:hanging="397"/>
      </w:pPr>
    </w:lvl>
    <w:lvl w:ilvl="2">
      <w:start w:val="1"/>
      <w:numFmt w:val="lowerLetter"/>
      <w:lvlRestart w:val="0"/>
      <w:lvlText w:val="(%3)"/>
      <w:lvlJc w:val="left"/>
      <w:pPr>
        <w:tabs>
          <w:tab w:val="num" w:pos="397"/>
        </w:tabs>
        <w:ind w:left="397" w:hanging="397"/>
      </w:pPr>
    </w:lvl>
    <w:lvl w:ilvl="3">
      <w:start w:val="1"/>
      <w:numFmt w:val="lowerLetter"/>
      <w:lvlRestart w:val="0"/>
      <w:lvlText w:val="(%4)"/>
      <w:lvlJc w:val="left"/>
      <w:pPr>
        <w:tabs>
          <w:tab w:val="num" w:pos="794"/>
        </w:tabs>
        <w:ind w:left="794" w:hanging="397"/>
      </w:pPr>
    </w:lvl>
    <w:lvl w:ilvl="4">
      <w:start w:val="1"/>
      <w:numFmt w:val="lowerRoman"/>
      <w:lvlRestart w:val="0"/>
      <w:lvlText w:val="(%5)"/>
      <w:lvlJc w:val="left"/>
      <w:pPr>
        <w:tabs>
          <w:tab w:val="num" w:pos="397"/>
        </w:tabs>
        <w:ind w:left="397" w:hanging="397"/>
      </w:pPr>
    </w:lvl>
    <w:lvl w:ilvl="5">
      <w:start w:val="1"/>
      <w:numFmt w:val="lowerRoman"/>
      <w:lvlRestart w:val="0"/>
      <w:lvlText w:val="(%6)"/>
      <w:lvlJc w:val="left"/>
      <w:pPr>
        <w:tabs>
          <w:tab w:val="num" w:pos="794"/>
        </w:tabs>
        <w:ind w:left="794" w:hanging="397"/>
      </w:pPr>
    </w:lvl>
    <w:lvl w:ilvl="6">
      <w:start w:val="1"/>
      <w:numFmt w:val="none"/>
      <w:lvlRestart w:val="0"/>
      <w:lvlText w:val=""/>
      <w:lvlJc w:val="left"/>
      <w:pPr>
        <w:ind w:left="0" w:firstLine="0"/>
      </w:pPr>
    </w:lvl>
    <w:lvl w:ilvl="7">
      <w:start w:val="1"/>
      <w:numFmt w:val="none"/>
      <w:lvlRestart w:val="0"/>
      <w:lvlText w:val=""/>
      <w:lvlJc w:val="left"/>
      <w:pPr>
        <w:ind w:left="0" w:firstLine="0"/>
      </w:pPr>
    </w:lvl>
    <w:lvl w:ilvl="8">
      <w:start w:val="1"/>
      <w:numFmt w:val="none"/>
      <w:lvlRestart w:val="0"/>
      <w:lvlText w:val=""/>
      <w:lvlJc w:val="right"/>
      <w:pPr>
        <w:ind w:left="0" w:firstLine="0"/>
      </w:pPr>
    </w:lvl>
  </w:abstractNum>
  <w:abstractNum w:abstractNumId="28" w15:restartNumberingAfterBreak="0">
    <w:nsid w:val="75D715D8"/>
    <w:multiLevelType w:val="multilevel"/>
    <w:tmpl w:val="A670A8CC"/>
    <w:styleLink w:val="Style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0"/>
  </w:num>
  <w:num w:numId="2">
    <w:abstractNumId w:val="11"/>
  </w:num>
  <w:num w:numId="3">
    <w:abstractNumId w:val="0"/>
  </w:num>
  <w:num w:numId="4">
    <w:abstractNumId w:val="18"/>
  </w:num>
  <w:num w:numId="5">
    <w:abstractNumId w:val="27"/>
  </w:num>
  <w:num w:numId="6">
    <w:abstractNumId w:val="2"/>
  </w:num>
  <w:num w:numId="7">
    <w:abstractNumId w:val="18"/>
    <w:lvlOverride w:ilvl="0"/>
    <w:lvlOverride w:ilvl="1"/>
    <w:lvlOverride w:ilvl="2"/>
    <w:lvlOverride w:ilvl="3"/>
    <w:lvlOverride w:ilvl="4"/>
    <w:lvlOverride w:ilvl="5"/>
    <w:lvlOverride w:ilvl="6"/>
    <w:lvlOverride w:ilvl="7"/>
    <w:lvlOverride w:ilvl="8">
      <w:startOverride w:val="1"/>
    </w:lvlOverride>
  </w:num>
  <w:num w:numId="8">
    <w:abstractNumId w:val="17"/>
  </w:num>
  <w:num w:numId="9">
    <w:abstractNumId w:val="5"/>
  </w:num>
  <w:num w:numId="10">
    <w:abstractNumId w:val="13"/>
  </w:num>
  <w:num w:numId="11">
    <w:abstractNumId w:val="26"/>
  </w:num>
  <w:num w:numId="12">
    <w:abstractNumId w:val="28"/>
  </w:num>
  <w:num w:numId="13">
    <w:abstractNumId w:val="9"/>
  </w:num>
  <w:num w:numId="14">
    <w:abstractNumId w:val="21"/>
  </w:num>
  <w:num w:numId="15">
    <w:abstractNumId w:val="25"/>
  </w:num>
  <w:num w:numId="16">
    <w:abstractNumId w:val="23"/>
  </w:num>
  <w:num w:numId="17">
    <w:abstractNumId w:val="15"/>
  </w:num>
  <w:num w:numId="18">
    <w:abstractNumId w:val="6"/>
  </w:num>
  <w:num w:numId="19">
    <w:abstractNumId w:val="3"/>
  </w:num>
  <w:num w:numId="20">
    <w:abstractNumId w:val="3"/>
  </w:num>
  <w:num w:numId="21">
    <w:abstractNumId w:val="3"/>
  </w:num>
  <w:num w:numId="22">
    <w:abstractNumId w:val="20"/>
  </w:num>
  <w:num w:numId="23">
    <w:abstractNumId w:val="20"/>
  </w:num>
  <w:num w:numId="24">
    <w:abstractNumId w:val="12"/>
  </w:num>
  <w:num w:numId="25">
    <w:abstractNumId w:val="12"/>
  </w:num>
  <w:num w:numId="26">
    <w:abstractNumId w:val="10"/>
  </w:num>
  <w:num w:numId="27">
    <w:abstractNumId w:val="4"/>
  </w:num>
  <w:num w:numId="28">
    <w:abstractNumId w:val="12"/>
  </w:num>
  <w:num w:numId="29">
    <w:abstractNumId w:val="4"/>
  </w:num>
  <w:num w:numId="30">
    <w:abstractNumId w:val="14"/>
  </w:num>
  <w:num w:numId="31">
    <w:abstractNumId w:val="14"/>
  </w:num>
  <w:num w:numId="32">
    <w:abstractNumId w:val="19"/>
  </w:num>
  <w:num w:numId="33">
    <w:abstractNumId w:val="19"/>
  </w:num>
  <w:num w:numId="34">
    <w:abstractNumId w:val="20"/>
  </w:num>
  <w:num w:numId="35">
    <w:abstractNumId w:val="12"/>
  </w:num>
  <w:num w:numId="36">
    <w:abstractNumId w:val="4"/>
  </w:num>
  <w:num w:numId="37">
    <w:abstractNumId w:val="14"/>
  </w:num>
  <w:num w:numId="38">
    <w:abstractNumId w:val="19"/>
  </w:num>
  <w:num w:numId="39">
    <w:abstractNumId w:val="20"/>
  </w:num>
  <w:num w:numId="40">
    <w:abstractNumId w:val="16"/>
  </w:num>
  <w:num w:numId="41">
    <w:abstractNumId w:val="24"/>
  </w:num>
  <w:num w:numId="42">
    <w:abstractNumId w:val="7"/>
  </w:num>
  <w:num w:numId="43">
    <w:abstractNumId w:val="8"/>
  </w:num>
  <w:num w:numId="44">
    <w:abstractNumId w:val="20"/>
  </w:num>
  <w:num w:numId="45">
    <w:abstractNumId w:val="6"/>
    <w:lvlOverride w:ilvl="0">
      <w:lvl w:ilvl="0">
        <w:start w:val="1"/>
        <w:numFmt w:val="decimal"/>
        <w:lvlText w:val="%1."/>
        <w:lvlJc w:val="left"/>
        <w:pPr>
          <w:ind w:left="357" w:hanging="357"/>
        </w:pPr>
        <w:rPr>
          <w:rFonts w:hint="default"/>
        </w:rPr>
      </w:lvl>
    </w:lvlOverride>
  </w:num>
  <w:num w:numId="46">
    <w:abstractNumId w:val="6"/>
    <w:lvlOverride w:ilvl="0">
      <w:startOverride w:val="1"/>
      <w:lvl w:ilvl="0">
        <w:start w:val="1"/>
        <w:numFmt w:val="decimal"/>
        <w:lvlText w:val="%1."/>
        <w:lvlJc w:val="left"/>
        <w:pPr>
          <w:ind w:left="357" w:hanging="357"/>
        </w:pPr>
        <w:rPr>
          <w:rFonts w:hint="default"/>
          <w:b w:val="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num>
  <w:num w:numId="47">
    <w:abstractNumId w:val="1"/>
  </w:num>
  <w:num w:numId="48">
    <w:abstractNumId w:val="22"/>
  </w:num>
  <w:num w:numId="4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98"/>
  <w:mirrorMargin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evenAndOddHeaders/>
  <w:drawingGridHorizontalSpacing w:val="181"/>
  <w:drawingGridVerticalSpacing w:val="181"/>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C75"/>
    <w:rsid w:val="00001143"/>
    <w:rsid w:val="00001673"/>
    <w:rsid w:val="00001C04"/>
    <w:rsid w:val="00002345"/>
    <w:rsid w:val="00002990"/>
    <w:rsid w:val="00002AF4"/>
    <w:rsid w:val="00003ABC"/>
    <w:rsid w:val="000048AC"/>
    <w:rsid w:val="00005D73"/>
    <w:rsid w:val="0000682C"/>
    <w:rsid w:val="00007D51"/>
    <w:rsid w:val="00007F62"/>
    <w:rsid w:val="000101C8"/>
    <w:rsid w:val="0001057A"/>
    <w:rsid w:val="0001079A"/>
    <w:rsid w:val="00010820"/>
    <w:rsid w:val="0001100E"/>
    <w:rsid w:val="00014E26"/>
    <w:rsid w:val="00014FC4"/>
    <w:rsid w:val="00015484"/>
    <w:rsid w:val="000155BB"/>
    <w:rsid w:val="00015C29"/>
    <w:rsid w:val="00016E17"/>
    <w:rsid w:val="00017178"/>
    <w:rsid w:val="00017551"/>
    <w:rsid w:val="00020634"/>
    <w:rsid w:val="00020AAB"/>
    <w:rsid w:val="000223A4"/>
    <w:rsid w:val="00022E60"/>
    <w:rsid w:val="000238F5"/>
    <w:rsid w:val="000241DF"/>
    <w:rsid w:val="0002672B"/>
    <w:rsid w:val="00026C19"/>
    <w:rsid w:val="00030A0F"/>
    <w:rsid w:val="00031263"/>
    <w:rsid w:val="00031660"/>
    <w:rsid w:val="00031671"/>
    <w:rsid w:val="000330C1"/>
    <w:rsid w:val="0003427B"/>
    <w:rsid w:val="0003428F"/>
    <w:rsid w:val="0003654B"/>
    <w:rsid w:val="00037CCB"/>
    <w:rsid w:val="00042BDB"/>
    <w:rsid w:val="00043818"/>
    <w:rsid w:val="0004427A"/>
    <w:rsid w:val="000451F6"/>
    <w:rsid w:val="000458B1"/>
    <w:rsid w:val="00047064"/>
    <w:rsid w:val="00050E7C"/>
    <w:rsid w:val="00052958"/>
    <w:rsid w:val="000529B4"/>
    <w:rsid w:val="00053174"/>
    <w:rsid w:val="00054235"/>
    <w:rsid w:val="000544DB"/>
    <w:rsid w:val="0005501B"/>
    <w:rsid w:val="000550D0"/>
    <w:rsid w:val="00055F3F"/>
    <w:rsid w:val="00057818"/>
    <w:rsid w:val="00060E93"/>
    <w:rsid w:val="000640E6"/>
    <w:rsid w:val="0006426D"/>
    <w:rsid w:val="000644DB"/>
    <w:rsid w:val="00064936"/>
    <w:rsid w:val="000657A7"/>
    <w:rsid w:val="00065B56"/>
    <w:rsid w:val="0006777F"/>
    <w:rsid w:val="0007137D"/>
    <w:rsid w:val="000717BB"/>
    <w:rsid w:val="000718EA"/>
    <w:rsid w:val="00073422"/>
    <w:rsid w:val="000734F8"/>
    <w:rsid w:val="000736B8"/>
    <w:rsid w:val="000736D2"/>
    <w:rsid w:val="000739EA"/>
    <w:rsid w:val="00076C2D"/>
    <w:rsid w:val="00076D3D"/>
    <w:rsid w:val="000773C3"/>
    <w:rsid w:val="000776C6"/>
    <w:rsid w:val="00077D29"/>
    <w:rsid w:val="000803FE"/>
    <w:rsid w:val="00080EF3"/>
    <w:rsid w:val="000817CB"/>
    <w:rsid w:val="00081858"/>
    <w:rsid w:val="0008326C"/>
    <w:rsid w:val="00084175"/>
    <w:rsid w:val="00084CCC"/>
    <w:rsid w:val="00085631"/>
    <w:rsid w:val="00085923"/>
    <w:rsid w:val="000873EF"/>
    <w:rsid w:val="00087B1C"/>
    <w:rsid w:val="00091494"/>
    <w:rsid w:val="00091A1E"/>
    <w:rsid w:val="0009242C"/>
    <w:rsid w:val="00093686"/>
    <w:rsid w:val="000943B5"/>
    <w:rsid w:val="00094998"/>
    <w:rsid w:val="00094AEF"/>
    <w:rsid w:val="00096EE3"/>
    <w:rsid w:val="00097404"/>
    <w:rsid w:val="00097783"/>
    <w:rsid w:val="000A0CE8"/>
    <w:rsid w:val="000A18D0"/>
    <w:rsid w:val="000A1A04"/>
    <w:rsid w:val="000A1C93"/>
    <w:rsid w:val="000A2A97"/>
    <w:rsid w:val="000A3488"/>
    <w:rsid w:val="000A67A8"/>
    <w:rsid w:val="000B0F61"/>
    <w:rsid w:val="000B144E"/>
    <w:rsid w:val="000B236D"/>
    <w:rsid w:val="000B3792"/>
    <w:rsid w:val="000B44FB"/>
    <w:rsid w:val="000B621D"/>
    <w:rsid w:val="000B64CB"/>
    <w:rsid w:val="000B6A99"/>
    <w:rsid w:val="000B6FCF"/>
    <w:rsid w:val="000B73BB"/>
    <w:rsid w:val="000B7F73"/>
    <w:rsid w:val="000B7FE0"/>
    <w:rsid w:val="000C0D14"/>
    <w:rsid w:val="000C2E4F"/>
    <w:rsid w:val="000C30D0"/>
    <w:rsid w:val="000C3764"/>
    <w:rsid w:val="000C3A86"/>
    <w:rsid w:val="000C6242"/>
    <w:rsid w:val="000C68DB"/>
    <w:rsid w:val="000C7551"/>
    <w:rsid w:val="000C7F3E"/>
    <w:rsid w:val="000D1698"/>
    <w:rsid w:val="000D2C32"/>
    <w:rsid w:val="000D4577"/>
    <w:rsid w:val="000D46DF"/>
    <w:rsid w:val="000D7A1F"/>
    <w:rsid w:val="000D7B4F"/>
    <w:rsid w:val="000E00F4"/>
    <w:rsid w:val="000E1C81"/>
    <w:rsid w:val="000E26BE"/>
    <w:rsid w:val="000E362B"/>
    <w:rsid w:val="000E38BA"/>
    <w:rsid w:val="000E5916"/>
    <w:rsid w:val="000E59D1"/>
    <w:rsid w:val="000E5C96"/>
    <w:rsid w:val="000E6E16"/>
    <w:rsid w:val="000E6F72"/>
    <w:rsid w:val="000E74BD"/>
    <w:rsid w:val="000E7DCD"/>
    <w:rsid w:val="000E7E8A"/>
    <w:rsid w:val="000F031C"/>
    <w:rsid w:val="000F0478"/>
    <w:rsid w:val="000F0A50"/>
    <w:rsid w:val="000F1D00"/>
    <w:rsid w:val="000F23EF"/>
    <w:rsid w:val="000F2E74"/>
    <w:rsid w:val="000F3865"/>
    <w:rsid w:val="000F3B6E"/>
    <w:rsid w:val="000F4BA3"/>
    <w:rsid w:val="000F4EEA"/>
    <w:rsid w:val="000F61E6"/>
    <w:rsid w:val="000F7137"/>
    <w:rsid w:val="000F7FE8"/>
    <w:rsid w:val="001002AB"/>
    <w:rsid w:val="00100D2A"/>
    <w:rsid w:val="00100D85"/>
    <w:rsid w:val="001026BC"/>
    <w:rsid w:val="00102A65"/>
    <w:rsid w:val="00103D5E"/>
    <w:rsid w:val="00104EA7"/>
    <w:rsid w:val="0010535C"/>
    <w:rsid w:val="00105CF6"/>
    <w:rsid w:val="00105FAD"/>
    <w:rsid w:val="00106CD9"/>
    <w:rsid w:val="00107418"/>
    <w:rsid w:val="00107812"/>
    <w:rsid w:val="001079F6"/>
    <w:rsid w:val="0011001E"/>
    <w:rsid w:val="00110244"/>
    <w:rsid w:val="001102F9"/>
    <w:rsid w:val="0011155B"/>
    <w:rsid w:val="00111A6A"/>
    <w:rsid w:val="00112495"/>
    <w:rsid w:val="001127FA"/>
    <w:rsid w:val="00112AE6"/>
    <w:rsid w:val="00112D82"/>
    <w:rsid w:val="00114F58"/>
    <w:rsid w:val="0011599A"/>
    <w:rsid w:val="00116397"/>
    <w:rsid w:val="00117114"/>
    <w:rsid w:val="00117965"/>
    <w:rsid w:val="00121BF1"/>
    <w:rsid w:val="00125B52"/>
    <w:rsid w:val="0012712C"/>
    <w:rsid w:val="00127A3C"/>
    <w:rsid w:val="00127A8B"/>
    <w:rsid w:val="00131219"/>
    <w:rsid w:val="00131D7A"/>
    <w:rsid w:val="001325F5"/>
    <w:rsid w:val="00133409"/>
    <w:rsid w:val="00134578"/>
    <w:rsid w:val="00134BE5"/>
    <w:rsid w:val="00134CF5"/>
    <w:rsid w:val="0013537B"/>
    <w:rsid w:val="00135A34"/>
    <w:rsid w:val="001368AC"/>
    <w:rsid w:val="00137CBA"/>
    <w:rsid w:val="001408F7"/>
    <w:rsid w:val="00140E67"/>
    <w:rsid w:val="001410B3"/>
    <w:rsid w:val="001412D1"/>
    <w:rsid w:val="001412EF"/>
    <w:rsid w:val="00141B61"/>
    <w:rsid w:val="00141C96"/>
    <w:rsid w:val="001423E3"/>
    <w:rsid w:val="00143B62"/>
    <w:rsid w:val="001444C3"/>
    <w:rsid w:val="001444E1"/>
    <w:rsid w:val="001458B8"/>
    <w:rsid w:val="001461A8"/>
    <w:rsid w:val="001467E7"/>
    <w:rsid w:val="00146E03"/>
    <w:rsid w:val="00146F47"/>
    <w:rsid w:val="001475EA"/>
    <w:rsid w:val="0014776B"/>
    <w:rsid w:val="00147FAC"/>
    <w:rsid w:val="00150300"/>
    <w:rsid w:val="001504F5"/>
    <w:rsid w:val="001517BD"/>
    <w:rsid w:val="001518F9"/>
    <w:rsid w:val="00152159"/>
    <w:rsid w:val="00153332"/>
    <w:rsid w:val="0015417B"/>
    <w:rsid w:val="00154B21"/>
    <w:rsid w:val="0015512D"/>
    <w:rsid w:val="00155E67"/>
    <w:rsid w:val="0015606F"/>
    <w:rsid w:val="00156163"/>
    <w:rsid w:val="00156B5D"/>
    <w:rsid w:val="001577DB"/>
    <w:rsid w:val="001579D3"/>
    <w:rsid w:val="00157BAF"/>
    <w:rsid w:val="00157E8A"/>
    <w:rsid w:val="00160527"/>
    <w:rsid w:val="001605D0"/>
    <w:rsid w:val="00161C18"/>
    <w:rsid w:val="001641B3"/>
    <w:rsid w:val="00164E75"/>
    <w:rsid w:val="0016584F"/>
    <w:rsid w:val="00166557"/>
    <w:rsid w:val="001717AA"/>
    <w:rsid w:val="00171B65"/>
    <w:rsid w:val="00171C99"/>
    <w:rsid w:val="0017218E"/>
    <w:rsid w:val="0017248D"/>
    <w:rsid w:val="00172D45"/>
    <w:rsid w:val="00173122"/>
    <w:rsid w:val="00173626"/>
    <w:rsid w:val="00173C64"/>
    <w:rsid w:val="0017536C"/>
    <w:rsid w:val="001759AB"/>
    <w:rsid w:val="00175B0F"/>
    <w:rsid w:val="00175EEA"/>
    <w:rsid w:val="001760D8"/>
    <w:rsid w:val="0017614A"/>
    <w:rsid w:val="00176422"/>
    <w:rsid w:val="00176F85"/>
    <w:rsid w:val="00176FA4"/>
    <w:rsid w:val="00180362"/>
    <w:rsid w:val="001806FA"/>
    <w:rsid w:val="001817A3"/>
    <w:rsid w:val="001817CD"/>
    <w:rsid w:val="0018235E"/>
    <w:rsid w:val="0018431B"/>
    <w:rsid w:val="001847EA"/>
    <w:rsid w:val="00185B9E"/>
    <w:rsid w:val="0018768C"/>
    <w:rsid w:val="00190372"/>
    <w:rsid w:val="001926D9"/>
    <w:rsid w:val="0019285D"/>
    <w:rsid w:val="00192BA0"/>
    <w:rsid w:val="00193305"/>
    <w:rsid w:val="00193CD0"/>
    <w:rsid w:val="00194728"/>
    <w:rsid w:val="00194C76"/>
    <w:rsid w:val="00196E3F"/>
    <w:rsid w:val="001970E5"/>
    <w:rsid w:val="00197303"/>
    <w:rsid w:val="001974C2"/>
    <w:rsid w:val="00197CD3"/>
    <w:rsid w:val="001A0DB9"/>
    <w:rsid w:val="001A17EA"/>
    <w:rsid w:val="001A1D17"/>
    <w:rsid w:val="001A22AA"/>
    <w:rsid w:val="001A23AE"/>
    <w:rsid w:val="001A25E6"/>
    <w:rsid w:val="001A49F7"/>
    <w:rsid w:val="001A4E33"/>
    <w:rsid w:val="001A7A18"/>
    <w:rsid w:val="001B1565"/>
    <w:rsid w:val="001B166D"/>
    <w:rsid w:val="001B23B8"/>
    <w:rsid w:val="001B28B5"/>
    <w:rsid w:val="001B2975"/>
    <w:rsid w:val="001B3225"/>
    <w:rsid w:val="001B48C3"/>
    <w:rsid w:val="001B7BA3"/>
    <w:rsid w:val="001C122D"/>
    <w:rsid w:val="001C2916"/>
    <w:rsid w:val="001C404A"/>
    <w:rsid w:val="001D26D2"/>
    <w:rsid w:val="001D2A82"/>
    <w:rsid w:val="001D524E"/>
    <w:rsid w:val="001D569B"/>
    <w:rsid w:val="001D5734"/>
    <w:rsid w:val="001D5789"/>
    <w:rsid w:val="001D58AD"/>
    <w:rsid w:val="001D64B8"/>
    <w:rsid w:val="001D69CC"/>
    <w:rsid w:val="001D72BA"/>
    <w:rsid w:val="001D7656"/>
    <w:rsid w:val="001D7C79"/>
    <w:rsid w:val="001E001C"/>
    <w:rsid w:val="001E0EA3"/>
    <w:rsid w:val="001E1072"/>
    <w:rsid w:val="001E3F2E"/>
    <w:rsid w:val="001E41DE"/>
    <w:rsid w:val="001E4995"/>
    <w:rsid w:val="001E4EDC"/>
    <w:rsid w:val="001E50DA"/>
    <w:rsid w:val="001E5129"/>
    <w:rsid w:val="001E5E80"/>
    <w:rsid w:val="001E61AC"/>
    <w:rsid w:val="001E63B8"/>
    <w:rsid w:val="001E6DD6"/>
    <w:rsid w:val="001E6EFF"/>
    <w:rsid w:val="001E70E8"/>
    <w:rsid w:val="001E7A42"/>
    <w:rsid w:val="001F00C0"/>
    <w:rsid w:val="001F09DC"/>
    <w:rsid w:val="001F0C7A"/>
    <w:rsid w:val="001F117F"/>
    <w:rsid w:val="001F4220"/>
    <w:rsid w:val="001F43E6"/>
    <w:rsid w:val="001F55DD"/>
    <w:rsid w:val="001F5C1B"/>
    <w:rsid w:val="001F653C"/>
    <w:rsid w:val="001F65E4"/>
    <w:rsid w:val="001F77C1"/>
    <w:rsid w:val="00200236"/>
    <w:rsid w:val="00200342"/>
    <w:rsid w:val="0020078E"/>
    <w:rsid w:val="002007DE"/>
    <w:rsid w:val="00201059"/>
    <w:rsid w:val="00202B9D"/>
    <w:rsid w:val="00202F2B"/>
    <w:rsid w:val="00205620"/>
    <w:rsid w:val="00206A8F"/>
    <w:rsid w:val="00211916"/>
    <w:rsid w:val="00211AE4"/>
    <w:rsid w:val="0021214F"/>
    <w:rsid w:val="00213297"/>
    <w:rsid w:val="00213772"/>
    <w:rsid w:val="00215547"/>
    <w:rsid w:val="00215905"/>
    <w:rsid w:val="00216862"/>
    <w:rsid w:val="00220749"/>
    <w:rsid w:val="00222A96"/>
    <w:rsid w:val="00222C4F"/>
    <w:rsid w:val="00223AE5"/>
    <w:rsid w:val="0022422C"/>
    <w:rsid w:val="002267DF"/>
    <w:rsid w:val="0022724E"/>
    <w:rsid w:val="002277D0"/>
    <w:rsid w:val="00227B59"/>
    <w:rsid w:val="00230666"/>
    <w:rsid w:val="00231153"/>
    <w:rsid w:val="0023175F"/>
    <w:rsid w:val="002317C1"/>
    <w:rsid w:val="0023252E"/>
    <w:rsid w:val="00232820"/>
    <w:rsid w:val="00232A88"/>
    <w:rsid w:val="00232ED4"/>
    <w:rsid w:val="00233212"/>
    <w:rsid w:val="00233C27"/>
    <w:rsid w:val="00233D2B"/>
    <w:rsid w:val="002366B3"/>
    <w:rsid w:val="00237B2C"/>
    <w:rsid w:val="00240727"/>
    <w:rsid w:val="002412FE"/>
    <w:rsid w:val="00241C31"/>
    <w:rsid w:val="002425D4"/>
    <w:rsid w:val="00242FA8"/>
    <w:rsid w:val="002449A4"/>
    <w:rsid w:val="00244AB5"/>
    <w:rsid w:val="00244F27"/>
    <w:rsid w:val="002454B6"/>
    <w:rsid w:val="00245D1F"/>
    <w:rsid w:val="00245F6C"/>
    <w:rsid w:val="00247A81"/>
    <w:rsid w:val="00251ACA"/>
    <w:rsid w:val="00253525"/>
    <w:rsid w:val="002539E1"/>
    <w:rsid w:val="00253EEA"/>
    <w:rsid w:val="002559E1"/>
    <w:rsid w:val="00256054"/>
    <w:rsid w:val="002611CC"/>
    <w:rsid w:val="002619CB"/>
    <w:rsid w:val="00263448"/>
    <w:rsid w:val="0026356C"/>
    <w:rsid w:val="00264226"/>
    <w:rsid w:val="00264AAC"/>
    <w:rsid w:val="0026518F"/>
    <w:rsid w:val="00266DE4"/>
    <w:rsid w:val="002671A0"/>
    <w:rsid w:val="002679D5"/>
    <w:rsid w:val="002700E4"/>
    <w:rsid w:val="0027078E"/>
    <w:rsid w:val="00270891"/>
    <w:rsid w:val="00270923"/>
    <w:rsid w:val="002714FD"/>
    <w:rsid w:val="002715C3"/>
    <w:rsid w:val="00271917"/>
    <w:rsid w:val="0027278D"/>
    <w:rsid w:val="00273057"/>
    <w:rsid w:val="00273E7D"/>
    <w:rsid w:val="002752BB"/>
    <w:rsid w:val="0027538F"/>
    <w:rsid w:val="00275B72"/>
    <w:rsid w:val="00275F94"/>
    <w:rsid w:val="002762C9"/>
    <w:rsid w:val="00276C71"/>
    <w:rsid w:val="00276EC9"/>
    <w:rsid w:val="002805C5"/>
    <w:rsid w:val="002809F4"/>
    <w:rsid w:val="00281B9C"/>
    <w:rsid w:val="00282668"/>
    <w:rsid w:val="002834AC"/>
    <w:rsid w:val="00284C9B"/>
    <w:rsid w:val="00287BE4"/>
    <w:rsid w:val="00287F60"/>
    <w:rsid w:val="0029039B"/>
    <w:rsid w:val="00292283"/>
    <w:rsid w:val="00292D0B"/>
    <w:rsid w:val="00293D6A"/>
    <w:rsid w:val="00293FCF"/>
    <w:rsid w:val="00294211"/>
    <w:rsid w:val="00294AB5"/>
    <w:rsid w:val="00294C14"/>
    <w:rsid w:val="002951B7"/>
    <w:rsid w:val="00297307"/>
    <w:rsid w:val="002A108D"/>
    <w:rsid w:val="002A141B"/>
    <w:rsid w:val="002A26B6"/>
    <w:rsid w:val="002A4ECD"/>
    <w:rsid w:val="002A540C"/>
    <w:rsid w:val="002A579B"/>
    <w:rsid w:val="002A6A4E"/>
    <w:rsid w:val="002B03C9"/>
    <w:rsid w:val="002B12EB"/>
    <w:rsid w:val="002B1E6E"/>
    <w:rsid w:val="002B24DD"/>
    <w:rsid w:val="002B2705"/>
    <w:rsid w:val="002B4CC9"/>
    <w:rsid w:val="002B5A85"/>
    <w:rsid w:val="002B63A7"/>
    <w:rsid w:val="002B64DC"/>
    <w:rsid w:val="002B676D"/>
    <w:rsid w:val="002B71D5"/>
    <w:rsid w:val="002C00A7"/>
    <w:rsid w:val="002C08AB"/>
    <w:rsid w:val="002C1AC0"/>
    <w:rsid w:val="002C332A"/>
    <w:rsid w:val="002C5543"/>
    <w:rsid w:val="002C5D11"/>
    <w:rsid w:val="002C6CF7"/>
    <w:rsid w:val="002C6FBC"/>
    <w:rsid w:val="002C715E"/>
    <w:rsid w:val="002C7FBE"/>
    <w:rsid w:val="002D09D8"/>
    <w:rsid w:val="002D0F7F"/>
    <w:rsid w:val="002D1042"/>
    <w:rsid w:val="002D1C52"/>
    <w:rsid w:val="002D47BF"/>
    <w:rsid w:val="002D68AE"/>
    <w:rsid w:val="002D6B77"/>
    <w:rsid w:val="002D72C7"/>
    <w:rsid w:val="002D7B60"/>
    <w:rsid w:val="002E0198"/>
    <w:rsid w:val="002E0E3A"/>
    <w:rsid w:val="002E1D7C"/>
    <w:rsid w:val="002E2E00"/>
    <w:rsid w:val="002E3530"/>
    <w:rsid w:val="002E5090"/>
    <w:rsid w:val="002E512D"/>
    <w:rsid w:val="002E5457"/>
    <w:rsid w:val="002E61C2"/>
    <w:rsid w:val="002E6F9A"/>
    <w:rsid w:val="002E7DA3"/>
    <w:rsid w:val="002F0C34"/>
    <w:rsid w:val="002F1F4F"/>
    <w:rsid w:val="002F2144"/>
    <w:rsid w:val="002F2363"/>
    <w:rsid w:val="002F449B"/>
    <w:rsid w:val="002F4D86"/>
    <w:rsid w:val="002F5626"/>
    <w:rsid w:val="002F5CBA"/>
    <w:rsid w:val="002F5D69"/>
    <w:rsid w:val="002F7C77"/>
    <w:rsid w:val="00300AF9"/>
    <w:rsid w:val="00300CB3"/>
    <w:rsid w:val="00300D88"/>
    <w:rsid w:val="003017BE"/>
    <w:rsid w:val="00302D9D"/>
    <w:rsid w:val="00303660"/>
    <w:rsid w:val="0030394B"/>
    <w:rsid w:val="0030537B"/>
    <w:rsid w:val="003072C6"/>
    <w:rsid w:val="00310170"/>
    <w:rsid w:val="00310917"/>
    <w:rsid w:val="00310933"/>
    <w:rsid w:val="00310D8E"/>
    <w:rsid w:val="00310E65"/>
    <w:rsid w:val="00311295"/>
    <w:rsid w:val="003132E4"/>
    <w:rsid w:val="00315BBD"/>
    <w:rsid w:val="00316DFE"/>
    <w:rsid w:val="0031753A"/>
    <w:rsid w:val="003176C7"/>
    <w:rsid w:val="00317D35"/>
    <w:rsid w:val="00320293"/>
    <w:rsid w:val="003202BE"/>
    <w:rsid w:val="0032070D"/>
    <w:rsid w:val="00322CC2"/>
    <w:rsid w:val="003231C9"/>
    <w:rsid w:val="00323447"/>
    <w:rsid w:val="00324A72"/>
    <w:rsid w:val="00324E1F"/>
    <w:rsid w:val="00325AC0"/>
    <w:rsid w:val="003264A0"/>
    <w:rsid w:val="0032658E"/>
    <w:rsid w:val="00326A99"/>
    <w:rsid w:val="003271DC"/>
    <w:rsid w:val="003302F6"/>
    <w:rsid w:val="00330636"/>
    <w:rsid w:val="003307E0"/>
    <w:rsid w:val="003309B4"/>
    <w:rsid w:val="00331EC9"/>
    <w:rsid w:val="00332A22"/>
    <w:rsid w:val="00333CF5"/>
    <w:rsid w:val="003342E1"/>
    <w:rsid w:val="00334B54"/>
    <w:rsid w:val="00334E33"/>
    <w:rsid w:val="00335D4E"/>
    <w:rsid w:val="00336318"/>
    <w:rsid w:val="0033739E"/>
    <w:rsid w:val="0033748C"/>
    <w:rsid w:val="003410DC"/>
    <w:rsid w:val="0034212B"/>
    <w:rsid w:val="003422A1"/>
    <w:rsid w:val="00342390"/>
    <w:rsid w:val="00343733"/>
    <w:rsid w:val="0034394D"/>
    <w:rsid w:val="00343B8B"/>
    <w:rsid w:val="00344336"/>
    <w:rsid w:val="00344E8C"/>
    <w:rsid w:val="003451EF"/>
    <w:rsid w:val="00345544"/>
    <w:rsid w:val="003463E4"/>
    <w:rsid w:val="00346713"/>
    <w:rsid w:val="00350B0F"/>
    <w:rsid w:val="00351905"/>
    <w:rsid w:val="00352176"/>
    <w:rsid w:val="00355886"/>
    <w:rsid w:val="00355C25"/>
    <w:rsid w:val="003561B5"/>
    <w:rsid w:val="00356814"/>
    <w:rsid w:val="0035734A"/>
    <w:rsid w:val="00357802"/>
    <w:rsid w:val="00357A47"/>
    <w:rsid w:val="00360132"/>
    <w:rsid w:val="00360FB9"/>
    <w:rsid w:val="00362EDB"/>
    <w:rsid w:val="00362EF0"/>
    <w:rsid w:val="00362F69"/>
    <w:rsid w:val="00363B35"/>
    <w:rsid w:val="00364444"/>
    <w:rsid w:val="00367248"/>
    <w:rsid w:val="00370158"/>
    <w:rsid w:val="00370906"/>
    <w:rsid w:val="00373C86"/>
    <w:rsid w:val="00373E9F"/>
    <w:rsid w:val="003741BA"/>
    <w:rsid w:val="003756E4"/>
    <w:rsid w:val="00375BB8"/>
    <w:rsid w:val="00375F8D"/>
    <w:rsid w:val="00375FB6"/>
    <w:rsid w:val="00376697"/>
    <w:rsid w:val="00376A56"/>
    <w:rsid w:val="00377A13"/>
    <w:rsid w:val="0038019F"/>
    <w:rsid w:val="00382071"/>
    <w:rsid w:val="00383A64"/>
    <w:rsid w:val="00387138"/>
    <w:rsid w:val="00387412"/>
    <w:rsid w:val="00387DCC"/>
    <w:rsid w:val="003902F3"/>
    <w:rsid w:val="00390B41"/>
    <w:rsid w:val="00390D20"/>
    <w:rsid w:val="003921E8"/>
    <w:rsid w:val="00392E3D"/>
    <w:rsid w:val="00392F5D"/>
    <w:rsid w:val="00395B1A"/>
    <w:rsid w:val="003979D7"/>
    <w:rsid w:val="003A0D15"/>
    <w:rsid w:val="003A0E9B"/>
    <w:rsid w:val="003A1684"/>
    <w:rsid w:val="003A177C"/>
    <w:rsid w:val="003A2F25"/>
    <w:rsid w:val="003A3900"/>
    <w:rsid w:val="003A50BB"/>
    <w:rsid w:val="003A7B53"/>
    <w:rsid w:val="003A7C07"/>
    <w:rsid w:val="003B0763"/>
    <w:rsid w:val="003B1C5C"/>
    <w:rsid w:val="003B2807"/>
    <w:rsid w:val="003B44A3"/>
    <w:rsid w:val="003B5387"/>
    <w:rsid w:val="003B5C54"/>
    <w:rsid w:val="003B700D"/>
    <w:rsid w:val="003B78DF"/>
    <w:rsid w:val="003C2091"/>
    <w:rsid w:val="003C4223"/>
    <w:rsid w:val="003C62A3"/>
    <w:rsid w:val="003C68F2"/>
    <w:rsid w:val="003C692B"/>
    <w:rsid w:val="003C6B5D"/>
    <w:rsid w:val="003D0534"/>
    <w:rsid w:val="003D16EC"/>
    <w:rsid w:val="003D1E2F"/>
    <w:rsid w:val="003D30C6"/>
    <w:rsid w:val="003D40DA"/>
    <w:rsid w:val="003D5055"/>
    <w:rsid w:val="003D5151"/>
    <w:rsid w:val="003D58B8"/>
    <w:rsid w:val="003D5CFB"/>
    <w:rsid w:val="003D6452"/>
    <w:rsid w:val="003E11EB"/>
    <w:rsid w:val="003E2424"/>
    <w:rsid w:val="003E2636"/>
    <w:rsid w:val="003E2E12"/>
    <w:rsid w:val="003E34CC"/>
    <w:rsid w:val="003E3D36"/>
    <w:rsid w:val="003E3D70"/>
    <w:rsid w:val="003E5A8A"/>
    <w:rsid w:val="003F01F0"/>
    <w:rsid w:val="003F0FE3"/>
    <w:rsid w:val="003F13E4"/>
    <w:rsid w:val="003F1431"/>
    <w:rsid w:val="003F170E"/>
    <w:rsid w:val="003F26F5"/>
    <w:rsid w:val="003F3451"/>
    <w:rsid w:val="003F39CE"/>
    <w:rsid w:val="003F3AD5"/>
    <w:rsid w:val="003F4EE1"/>
    <w:rsid w:val="003F5365"/>
    <w:rsid w:val="003F5B75"/>
    <w:rsid w:val="0040064D"/>
    <w:rsid w:val="00401108"/>
    <w:rsid w:val="004019B2"/>
    <w:rsid w:val="0040227C"/>
    <w:rsid w:val="00402927"/>
    <w:rsid w:val="00405A2E"/>
    <w:rsid w:val="0040680C"/>
    <w:rsid w:val="00407568"/>
    <w:rsid w:val="0040781F"/>
    <w:rsid w:val="00407993"/>
    <w:rsid w:val="00407AFF"/>
    <w:rsid w:val="00410398"/>
    <w:rsid w:val="00410B4C"/>
    <w:rsid w:val="004114D9"/>
    <w:rsid w:val="0041167B"/>
    <w:rsid w:val="004117C3"/>
    <w:rsid w:val="00411833"/>
    <w:rsid w:val="00411A56"/>
    <w:rsid w:val="00412F64"/>
    <w:rsid w:val="00414209"/>
    <w:rsid w:val="00415A0B"/>
    <w:rsid w:val="00415A21"/>
    <w:rsid w:val="0041745B"/>
    <w:rsid w:val="004174C9"/>
    <w:rsid w:val="00417A9D"/>
    <w:rsid w:val="00417ADF"/>
    <w:rsid w:val="00417BEB"/>
    <w:rsid w:val="00420525"/>
    <w:rsid w:val="00421384"/>
    <w:rsid w:val="00421555"/>
    <w:rsid w:val="00423F2F"/>
    <w:rsid w:val="00424464"/>
    <w:rsid w:val="00424C8A"/>
    <w:rsid w:val="00426A58"/>
    <w:rsid w:val="00427016"/>
    <w:rsid w:val="00427E69"/>
    <w:rsid w:val="00431820"/>
    <w:rsid w:val="0043196D"/>
    <w:rsid w:val="00431B3F"/>
    <w:rsid w:val="004324FF"/>
    <w:rsid w:val="00432A55"/>
    <w:rsid w:val="00432D15"/>
    <w:rsid w:val="00432E12"/>
    <w:rsid w:val="00433C27"/>
    <w:rsid w:val="00434CB7"/>
    <w:rsid w:val="00434EA2"/>
    <w:rsid w:val="004356A9"/>
    <w:rsid w:val="0043615E"/>
    <w:rsid w:val="00436EF6"/>
    <w:rsid w:val="004401EE"/>
    <w:rsid w:val="004408FA"/>
    <w:rsid w:val="00440952"/>
    <w:rsid w:val="00441555"/>
    <w:rsid w:val="00441AE1"/>
    <w:rsid w:val="0044258A"/>
    <w:rsid w:val="0044260A"/>
    <w:rsid w:val="00444D82"/>
    <w:rsid w:val="00445BB9"/>
    <w:rsid w:val="0045084F"/>
    <w:rsid w:val="00450BD6"/>
    <w:rsid w:val="0045168A"/>
    <w:rsid w:val="00452C34"/>
    <w:rsid w:val="00454BE4"/>
    <w:rsid w:val="004564C6"/>
    <w:rsid w:val="004568DC"/>
    <w:rsid w:val="004610CC"/>
    <w:rsid w:val="00461B97"/>
    <w:rsid w:val="00461D51"/>
    <w:rsid w:val="00463817"/>
    <w:rsid w:val="00464A59"/>
    <w:rsid w:val="00464B6F"/>
    <w:rsid w:val="00465077"/>
    <w:rsid w:val="00465464"/>
    <w:rsid w:val="00465E55"/>
    <w:rsid w:val="00465E73"/>
    <w:rsid w:val="00465E87"/>
    <w:rsid w:val="0046653D"/>
    <w:rsid w:val="00466BCC"/>
    <w:rsid w:val="00466EF3"/>
    <w:rsid w:val="00467765"/>
    <w:rsid w:val="00470153"/>
    <w:rsid w:val="004705C9"/>
    <w:rsid w:val="00470E81"/>
    <w:rsid w:val="004710FB"/>
    <w:rsid w:val="00471EF2"/>
    <w:rsid w:val="0047331F"/>
    <w:rsid w:val="004737CD"/>
    <w:rsid w:val="004738AA"/>
    <w:rsid w:val="00473910"/>
    <w:rsid w:val="004755B3"/>
    <w:rsid w:val="00476A7C"/>
    <w:rsid w:val="0047786A"/>
    <w:rsid w:val="00477A65"/>
    <w:rsid w:val="00477FA1"/>
    <w:rsid w:val="00480202"/>
    <w:rsid w:val="00482DB3"/>
    <w:rsid w:val="00483058"/>
    <w:rsid w:val="00483252"/>
    <w:rsid w:val="004839E3"/>
    <w:rsid w:val="00483C00"/>
    <w:rsid w:val="00484072"/>
    <w:rsid w:val="00484D54"/>
    <w:rsid w:val="00485933"/>
    <w:rsid w:val="00486E14"/>
    <w:rsid w:val="00492BF4"/>
    <w:rsid w:val="00494924"/>
    <w:rsid w:val="00496487"/>
    <w:rsid w:val="00497F36"/>
    <w:rsid w:val="004A0236"/>
    <w:rsid w:val="004A02F4"/>
    <w:rsid w:val="004A0554"/>
    <w:rsid w:val="004A0F13"/>
    <w:rsid w:val="004A1D7D"/>
    <w:rsid w:val="004A1F02"/>
    <w:rsid w:val="004A369A"/>
    <w:rsid w:val="004A3B3E"/>
    <w:rsid w:val="004A421E"/>
    <w:rsid w:val="004A5643"/>
    <w:rsid w:val="004A6477"/>
    <w:rsid w:val="004A6FE4"/>
    <w:rsid w:val="004A7228"/>
    <w:rsid w:val="004B03D7"/>
    <w:rsid w:val="004B0512"/>
    <w:rsid w:val="004B1B7B"/>
    <w:rsid w:val="004B4F98"/>
    <w:rsid w:val="004B531D"/>
    <w:rsid w:val="004B628C"/>
    <w:rsid w:val="004C1542"/>
    <w:rsid w:val="004C15C1"/>
    <w:rsid w:val="004C15E2"/>
    <w:rsid w:val="004C27CF"/>
    <w:rsid w:val="004C312A"/>
    <w:rsid w:val="004C4268"/>
    <w:rsid w:val="004C5284"/>
    <w:rsid w:val="004C5777"/>
    <w:rsid w:val="004C5F56"/>
    <w:rsid w:val="004C611B"/>
    <w:rsid w:val="004C712D"/>
    <w:rsid w:val="004C71F8"/>
    <w:rsid w:val="004D0173"/>
    <w:rsid w:val="004D0847"/>
    <w:rsid w:val="004D0C58"/>
    <w:rsid w:val="004D1056"/>
    <w:rsid w:val="004D277F"/>
    <w:rsid w:val="004D386F"/>
    <w:rsid w:val="004D44A5"/>
    <w:rsid w:val="004D577F"/>
    <w:rsid w:val="004D60D3"/>
    <w:rsid w:val="004D72F0"/>
    <w:rsid w:val="004D7FFD"/>
    <w:rsid w:val="004E1760"/>
    <w:rsid w:val="004E1EDE"/>
    <w:rsid w:val="004E21E2"/>
    <w:rsid w:val="004E293F"/>
    <w:rsid w:val="004E2BF5"/>
    <w:rsid w:val="004E380D"/>
    <w:rsid w:val="004E43CB"/>
    <w:rsid w:val="004E55C6"/>
    <w:rsid w:val="004E5988"/>
    <w:rsid w:val="004E598C"/>
    <w:rsid w:val="004E77D6"/>
    <w:rsid w:val="004E7922"/>
    <w:rsid w:val="004E7D5F"/>
    <w:rsid w:val="004F0DFC"/>
    <w:rsid w:val="004F1092"/>
    <w:rsid w:val="004F1366"/>
    <w:rsid w:val="004F2014"/>
    <w:rsid w:val="004F22FB"/>
    <w:rsid w:val="004F318A"/>
    <w:rsid w:val="004F3441"/>
    <w:rsid w:val="004F41B2"/>
    <w:rsid w:val="004F47F6"/>
    <w:rsid w:val="004F4A95"/>
    <w:rsid w:val="004F4AFC"/>
    <w:rsid w:val="004F52A5"/>
    <w:rsid w:val="004F5DF3"/>
    <w:rsid w:val="004F65CB"/>
    <w:rsid w:val="00500B8D"/>
    <w:rsid w:val="00500C8C"/>
    <w:rsid w:val="00500E8A"/>
    <w:rsid w:val="00501375"/>
    <w:rsid w:val="00501D3B"/>
    <w:rsid w:val="00501D92"/>
    <w:rsid w:val="00502111"/>
    <w:rsid w:val="005022C9"/>
    <w:rsid w:val="005067D7"/>
    <w:rsid w:val="00506DB8"/>
    <w:rsid w:val="0050779D"/>
    <w:rsid w:val="00507ADB"/>
    <w:rsid w:val="00507D96"/>
    <w:rsid w:val="00510AE5"/>
    <w:rsid w:val="00510B10"/>
    <w:rsid w:val="005139EA"/>
    <w:rsid w:val="00513DAC"/>
    <w:rsid w:val="00515A89"/>
    <w:rsid w:val="00520BBB"/>
    <w:rsid w:val="00521797"/>
    <w:rsid w:val="00521A0A"/>
    <w:rsid w:val="00522A19"/>
    <w:rsid w:val="00523BE1"/>
    <w:rsid w:val="00524B6C"/>
    <w:rsid w:val="00525456"/>
    <w:rsid w:val="005263AB"/>
    <w:rsid w:val="00530111"/>
    <w:rsid w:val="00531564"/>
    <w:rsid w:val="00531F0E"/>
    <w:rsid w:val="0053200D"/>
    <w:rsid w:val="00532236"/>
    <w:rsid w:val="00532745"/>
    <w:rsid w:val="00534F18"/>
    <w:rsid w:val="005351AA"/>
    <w:rsid w:val="005366A0"/>
    <w:rsid w:val="005378B2"/>
    <w:rsid w:val="00540E44"/>
    <w:rsid w:val="0054152F"/>
    <w:rsid w:val="00541DFE"/>
    <w:rsid w:val="00541F60"/>
    <w:rsid w:val="00543E6C"/>
    <w:rsid w:val="00544184"/>
    <w:rsid w:val="005448EB"/>
    <w:rsid w:val="00544EC3"/>
    <w:rsid w:val="00545B82"/>
    <w:rsid w:val="00545F25"/>
    <w:rsid w:val="00546E19"/>
    <w:rsid w:val="00547359"/>
    <w:rsid w:val="00547ECE"/>
    <w:rsid w:val="00547F15"/>
    <w:rsid w:val="0055095F"/>
    <w:rsid w:val="005513E7"/>
    <w:rsid w:val="005525D0"/>
    <w:rsid w:val="00552ACE"/>
    <w:rsid w:val="00553087"/>
    <w:rsid w:val="005552FD"/>
    <w:rsid w:val="0055599C"/>
    <w:rsid w:val="00555A00"/>
    <w:rsid w:val="00557940"/>
    <w:rsid w:val="005600E5"/>
    <w:rsid w:val="00560194"/>
    <w:rsid w:val="00560716"/>
    <w:rsid w:val="00560764"/>
    <w:rsid w:val="00560FD0"/>
    <w:rsid w:val="0056340E"/>
    <w:rsid w:val="00564814"/>
    <w:rsid w:val="00564E8F"/>
    <w:rsid w:val="00566F4D"/>
    <w:rsid w:val="00567D98"/>
    <w:rsid w:val="005714D6"/>
    <w:rsid w:val="005728A4"/>
    <w:rsid w:val="005728ED"/>
    <w:rsid w:val="00573666"/>
    <w:rsid w:val="00573810"/>
    <w:rsid w:val="00576090"/>
    <w:rsid w:val="005763FC"/>
    <w:rsid w:val="005764A0"/>
    <w:rsid w:val="00576EB4"/>
    <w:rsid w:val="00577B30"/>
    <w:rsid w:val="00580175"/>
    <w:rsid w:val="00581958"/>
    <w:rsid w:val="00582170"/>
    <w:rsid w:val="00582768"/>
    <w:rsid w:val="00582F7D"/>
    <w:rsid w:val="00583461"/>
    <w:rsid w:val="00583C05"/>
    <w:rsid w:val="005840C3"/>
    <w:rsid w:val="005856A4"/>
    <w:rsid w:val="00585A5D"/>
    <w:rsid w:val="00590730"/>
    <w:rsid w:val="005912B2"/>
    <w:rsid w:val="00591708"/>
    <w:rsid w:val="00592A84"/>
    <w:rsid w:val="00592B48"/>
    <w:rsid w:val="00594472"/>
    <w:rsid w:val="00595472"/>
    <w:rsid w:val="0059603A"/>
    <w:rsid w:val="005964D7"/>
    <w:rsid w:val="00596C6E"/>
    <w:rsid w:val="005A2261"/>
    <w:rsid w:val="005A2421"/>
    <w:rsid w:val="005A3043"/>
    <w:rsid w:val="005A3051"/>
    <w:rsid w:val="005A31EF"/>
    <w:rsid w:val="005A3AA8"/>
    <w:rsid w:val="005A49D6"/>
    <w:rsid w:val="005A4F78"/>
    <w:rsid w:val="005A53FE"/>
    <w:rsid w:val="005A6340"/>
    <w:rsid w:val="005B18B8"/>
    <w:rsid w:val="005B1B27"/>
    <w:rsid w:val="005B239C"/>
    <w:rsid w:val="005B2DF7"/>
    <w:rsid w:val="005B3DA6"/>
    <w:rsid w:val="005B3E6D"/>
    <w:rsid w:val="005B44EA"/>
    <w:rsid w:val="005B491B"/>
    <w:rsid w:val="005B4F44"/>
    <w:rsid w:val="005B68E0"/>
    <w:rsid w:val="005B737C"/>
    <w:rsid w:val="005B7C23"/>
    <w:rsid w:val="005B7D22"/>
    <w:rsid w:val="005C029E"/>
    <w:rsid w:val="005C11EE"/>
    <w:rsid w:val="005C2668"/>
    <w:rsid w:val="005C3307"/>
    <w:rsid w:val="005C4E97"/>
    <w:rsid w:val="005C656A"/>
    <w:rsid w:val="005C72AE"/>
    <w:rsid w:val="005C763A"/>
    <w:rsid w:val="005D09A2"/>
    <w:rsid w:val="005D2139"/>
    <w:rsid w:val="005E085D"/>
    <w:rsid w:val="005E1114"/>
    <w:rsid w:val="005E3FA7"/>
    <w:rsid w:val="005E492A"/>
    <w:rsid w:val="005E78AB"/>
    <w:rsid w:val="005E7963"/>
    <w:rsid w:val="005E7E7D"/>
    <w:rsid w:val="005F1852"/>
    <w:rsid w:val="005F1996"/>
    <w:rsid w:val="005F1ABD"/>
    <w:rsid w:val="005F1C5B"/>
    <w:rsid w:val="005F218C"/>
    <w:rsid w:val="005F2321"/>
    <w:rsid w:val="005F3C80"/>
    <w:rsid w:val="005F4523"/>
    <w:rsid w:val="005F541C"/>
    <w:rsid w:val="005F5EFA"/>
    <w:rsid w:val="005F6121"/>
    <w:rsid w:val="005F6CAD"/>
    <w:rsid w:val="005F6D54"/>
    <w:rsid w:val="00600D14"/>
    <w:rsid w:val="00601D4D"/>
    <w:rsid w:val="006021B4"/>
    <w:rsid w:val="00603411"/>
    <w:rsid w:val="00605483"/>
    <w:rsid w:val="00605B5B"/>
    <w:rsid w:val="00606104"/>
    <w:rsid w:val="0060610A"/>
    <w:rsid w:val="006062D8"/>
    <w:rsid w:val="00606342"/>
    <w:rsid w:val="00606827"/>
    <w:rsid w:val="006069A1"/>
    <w:rsid w:val="00607B27"/>
    <w:rsid w:val="00610C17"/>
    <w:rsid w:val="00611252"/>
    <w:rsid w:val="00611754"/>
    <w:rsid w:val="00614AF8"/>
    <w:rsid w:val="00614DEF"/>
    <w:rsid w:val="006153D0"/>
    <w:rsid w:val="00615BF5"/>
    <w:rsid w:val="0061611F"/>
    <w:rsid w:val="006167E2"/>
    <w:rsid w:val="006169BF"/>
    <w:rsid w:val="00617710"/>
    <w:rsid w:val="00617756"/>
    <w:rsid w:val="0062021C"/>
    <w:rsid w:val="00620262"/>
    <w:rsid w:val="00620D21"/>
    <w:rsid w:val="00621337"/>
    <w:rsid w:val="00621B4C"/>
    <w:rsid w:val="006224DA"/>
    <w:rsid w:val="006228B1"/>
    <w:rsid w:val="0062298C"/>
    <w:rsid w:val="0062552C"/>
    <w:rsid w:val="00625590"/>
    <w:rsid w:val="00625914"/>
    <w:rsid w:val="00626614"/>
    <w:rsid w:val="006266DF"/>
    <w:rsid w:val="00627C52"/>
    <w:rsid w:val="00630318"/>
    <w:rsid w:val="00630937"/>
    <w:rsid w:val="00633278"/>
    <w:rsid w:val="006370F0"/>
    <w:rsid w:val="00637B17"/>
    <w:rsid w:val="0064049D"/>
    <w:rsid w:val="006407EC"/>
    <w:rsid w:val="00640ADE"/>
    <w:rsid w:val="00641731"/>
    <w:rsid w:val="00642545"/>
    <w:rsid w:val="00642F78"/>
    <w:rsid w:val="00643928"/>
    <w:rsid w:val="00644E16"/>
    <w:rsid w:val="00644EC2"/>
    <w:rsid w:val="006454AE"/>
    <w:rsid w:val="0064738B"/>
    <w:rsid w:val="00647C4B"/>
    <w:rsid w:val="0065023A"/>
    <w:rsid w:val="0065068B"/>
    <w:rsid w:val="00650E45"/>
    <w:rsid w:val="00651587"/>
    <w:rsid w:val="0065208B"/>
    <w:rsid w:val="00653B84"/>
    <w:rsid w:val="00653E0D"/>
    <w:rsid w:val="006548D9"/>
    <w:rsid w:val="00654EAA"/>
    <w:rsid w:val="006579F4"/>
    <w:rsid w:val="00657AF0"/>
    <w:rsid w:val="006603BD"/>
    <w:rsid w:val="00660A5A"/>
    <w:rsid w:val="0066156F"/>
    <w:rsid w:val="00664039"/>
    <w:rsid w:val="006640CB"/>
    <w:rsid w:val="006646A1"/>
    <w:rsid w:val="0066666A"/>
    <w:rsid w:val="0066696B"/>
    <w:rsid w:val="00667377"/>
    <w:rsid w:val="00667E2F"/>
    <w:rsid w:val="00670C33"/>
    <w:rsid w:val="00673D15"/>
    <w:rsid w:val="00674306"/>
    <w:rsid w:val="00675753"/>
    <w:rsid w:val="00675ADC"/>
    <w:rsid w:val="00677792"/>
    <w:rsid w:val="00677C01"/>
    <w:rsid w:val="00680BA8"/>
    <w:rsid w:val="00682E3E"/>
    <w:rsid w:val="0068437C"/>
    <w:rsid w:val="00684D0A"/>
    <w:rsid w:val="00685E68"/>
    <w:rsid w:val="006865C8"/>
    <w:rsid w:val="00686B48"/>
    <w:rsid w:val="00687038"/>
    <w:rsid w:val="0068714E"/>
    <w:rsid w:val="00687BB7"/>
    <w:rsid w:val="00690BD0"/>
    <w:rsid w:val="00691281"/>
    <w:rsid w:val="006925D1"/>
    <w:rsid w:val="006929F7"/>
    <w:rsid w:val="0069317A"/>
    <w:rsid w:val="0069374A"/>
    <w:rsid w:val="00693C2A"/>
    <w:rsid w:val="00694A75"/>
    <w:rsid w:val="00694AB8"/>
    <w:rsid w:val="006957C9"/>
    <w:rsid w:val="00695ACA"/>
    <w:rsid w:val="00695EF7"/>
    <w:rsid w:val="0069699D"/>
    <w:rsid w:val="00697487"/>
    <w:rsid w:val="006A157B"/>
    <w:rsid w:val="006A2EE5"/>
    <w:rsid w:val="006A2EFF"/>
    <w:rsid w:val="006A66C1"/>
    <w:rsid w:val="006A6C54"/>
    <w:rsid w:val="006A79A3"/>
    <w:rsid w:val="006A7B9C"/>
    <w:rsid w:val="006B2C51"/>
    <w:rsid w:val="006B2CDF"/>
    <w:rsid w:val="006B3B11"/>
    <w:rsid w:val="006B41D4"/>
    <w:rsid w:val="006B4485"/>
    <w:rsid w:val="006B46FB"/>
    <w:rsid w:val="006B50A1"/>
    <w:rsid w:val="006B6361"/>
    <w:rsid w:val="006B6CC7"/>
    <w:rsid w:val="006B768A"/>
    <w:rsid w:val="006C06F8"/>
    <w:rsid w:val="006C2015"/>
    <w:rsid w:val="006C28A7"/>
    <w:rsid w:val="006C3CCF"/>
    <w:rsid w:val="006C4EF2"/>
    <w:rsid w:val="006C62CD"/>
    <w:rsid w:val="006D066F"/>
    <w:rsid w:val="006D219D"/>
    <w:rsid w:val="006D3299"/>
    <w:rsid w:val="006D360C"/>
    <w:rsid w:val="006D5AC9"/>
    <w:rsid w:val="006D66ED"/>
    <w:rsid w:val="006E14AD"/>
    <w:rsid w:val="006E2D6F"/>
    <w:rsid w:val="006E3F35"/>
    <w:rsid w:val="006E4359"/>
    <w:rsid w:val="006E75F0"/>
    <w:rsid w:val="006E786B"/>
    <w:rsid w:val="006F0763"/>
    <w:rsid w:val="006F11B4"/>
    <w:rsid w:val="006F1656"/>
    <w:rsid w:val="006F2604"/>
    <w:rsid w:val="006F3D26"/>
    <w:rsid w:val="006F3E20"/>
    <w:rsid w:val="006F4E66"/>
    <w:rsid w:val="006F68AA"/>
    <w:rsid w:val="006F6B5D"/>
    <w:rsid w:val="007002B1"/>
    <w:rsid w:val="007012A2"/>
    <w:rsid w:val="00702AAA"/>
    <w:rsid w:val="007030F2"/>
    <w:rsid w:val="00703521"/>
    <w:rsid w:val="007040EE"/>
    <w:rsid w:val="00704EB7"/>
    <w:rsid w:val="00705022"/>
    <w:rsid w:val="00705740"/>
    <w:rsid w:val="00705742"/>
    <w:rsid w:val="00705CE2"/>
    <w:rsid w:val="007104FE"/>
    <w:rsid w:val="00710906"/>
    <w:rsid w:val="00710E5E"/>
    <w:rsid w:val="00711B0C"/>
    <w:rsid w:val="00711BB5"/>
    <w:rsid w:val="007121A2"/>
    <w:rsid w:val="00712718"/>
    <w:rsid w:val="00712F9D"/>
    <w:rsid w:val="00713981"/>
    <w:rsid w:val="00714811"/>
    <w:rsid w:val="00715DFE"/>
    <w:rsid w:val="00717616"/>
    <w:rsid w:val="007176D6"/>
    <w:rsid w:val="00720BC8"/>
    <w:rsid w:val="00721219"/>
    <w:rsid w:val="00722126"/>
    <w:rsid w:val="00722560"/>
    <w:rsid w:val="00722F94"/>
    <w:rsid w:val="007237B5"/>
    <w:rsid w:val="00726A18"/>
    <w:rsid w:val="00726D3B"/>
    <w:rsid w:val="00727D54"/>
    <w:rsid w:val="007314A0"/>
    <w:rsid w:val="00731CCF"/>
    <w:rsid w:val="00731EF2"/>
    <w:rsid w:val="00733598"/>
    <w:rsid w:val="007344C5"/>
    <w:rsid w:val="00734959"/>
    <w:rsid w:val="00735137"/>
    <w:rsid w:val="0073520D"/>
    <w:rsid w:val="007358A0"/>
    <w:rsid w:val="007377F8"/>
    <w:rsid w:val="0074025D"/>
    <w:rsid w:val="007402B1"/>
    <w:rsid w:val="0074116E"/>
    <w:rsid w:val="00742C8B"/>
    <w:rsid w:val="00742E4D"/>
    <w:rsid w:val="007441A2"/>
    <w:rsid w:val="007450D2"/>
    <w:rsid w:val="007452F9"/>
    <w:rsid w:val="0074556A"/>
    <w:rsid w:val="0074795A"/>
    <w:rsid w:val="00753DC5"/>
    <w:rsid w:val="007540C9"/>
    <w:rsid w:val="00755291"/>
    <w:rsid w:val="00755F2A"/>
    <w:rsid w:val="00755FBA"/>
    <w:rsid w:val="00756DDA"/>
    <w:rsid w:val="0076142D"/>
    <w:rsid w:val="00762B4C"/>
    <w:rsid w:val="00763244"/>
    <w:rsid w:val="00765193"/>
    <w:rsid w:val="007657C0"/>
    <w:rsid w:val="00765EBC"/>
    <w:rsid w:val="00766C06"/>
    <w:rsid w:val="00767DC4"/>
    <w:rsid w:val="00767F54"/>
    <w:rsid w:val="00770763"/>
    <w:rsid w:val="00771536"/>
    <w:rsid w:val="00771664"/>
    <w:rsid w:val="0077273C"/>
    <w:rsid w:val="00772B51"/>
    <w:rsid w:val="007733BD"/>
    <w:rsid w:val="007739CC"/>
    <w:rsid w:val="00775367"/>
    <w:rsid w:val="00776C75"/>
    <w:rsid w:val="00776CC0"/>
    <w:rsid w:val="00780131"/>
    <w:rsid w:val="007801C4"/>
    <w:rsid w:val="00780226"/>
    <w:rsid w:val="00781AB4"/>
    <w:rsid w:val="00782E3D"/>
    <w:rsid w:val="007833A8"/>
    <w:rsid w:val="007839B8"/>
    <w:rsid w:val="00785586"/>
    <w:rsid w:val="00786261"/>
    <w:rsid w:val="00786B25"/>
    <w:rsid w:val="00786C00"/>
    <w:rsid w:val="00786CBC"/>
    <w:rsid w:val="00786EDD"/>
    <w:rsid w:val="00787366"/>
    <w:rsid w:val="007902F5"/>
    <w:rsid w:val="00792063"/>
    <w:rsid w:val="007923B7"/>
    <w:rsid w:val="00792616"/>
    <w:rsid w:val="007926BB"/>
    <w:rsid w:val="0079344C"/>
    <w:rsid w:val="00794BF4"/>
    <w:rsid w:val="00796084"/>
    <w:rsid w:val="00796608"/>
    <w:rsid w:val="007966F0"/>
    <w:rsid w:val="007968AE"/>
    <w:rsid w:val="00796B2E"/>
    <w:rsid w:val="007A000A"/>
    <w:rsid w:val="007A0283"/>
    <w:rsid w:val="007A04F6"/>
    <w:rsid w:val="007A1A8C"/>
    <w:rsid w:val="007A1D0F"/>
    <w:rsid w:val="007A2472"/>
    <w:rsid w:val="007A29D5"/>
    <w:rsid w:val="007A2BC0"/>
    <w:rsid w:val="007A2C29"/>
    <w:rsid w:val="007A3B58"/>
    <w:rsid w:val="007A5EB2"/>
    <w:rsid w:val="007B1F72"/>
    <w:rsid w:val="007B29F4"/>
    <w:rsid w:val="007B40E8"/>
    <w:rsid w:val="007B5B9F"/>
    <w:rsid w:val="007B5F60"/>
    <w:rsid w:val="007C02C7"/>
    <w:rsid w:val="007C21EE"/>
    <w:rsid w:val="007C2401"/>
    <w:rsid w:val="007C2663"/>
    <w:rsid w:val="007C3760"/>
    <w:rsid w:val="007C37CC"/>
    <w:rsid w:val="007C39A1"/>
    <w:rsid w:val="007C4CB3"/>
    <w:rsid w:val="007C7D05"/>
    <w:rsid w:val="007D141D"/>
    <w:rsid w:val="007D1775"/>
    <w:rsid w:val="007D2E44"/>
    <w:rsid w:val="007D3A2E"/>
    <w:rsid w:val="007D42BA"/>
    <w:rsid w:val="007D537C"/>
    <w:rsid w:val="007D6652"/>
    <w:rsid w:val="007D7CCE"/>
    <w:rsid w:val="007E12E4"/>
    <w:rsid w:val="007E1674"/>
    <w:rsid w:val="007E1C4D"/>
    <w:rsid w:val="007E343D"/>
    <w:rsid w:val="007E3988"/>
    <w:rsid w:val="007E4442"/>
    <w:rsid w:val="007E4A82"/>
    <w:rsid w:val="007E5714"/>
    <w:rsid w:val="007E7592"/>
    <w:rsid w:val="007E7CB8"/>
    <w:rsid w:val="007E7D53"/>
    <w:rsid w:val="007F00DE"/>
    <w:rsid w:val="007F035E"/>
    <w:rsid w:val="007F0AC2"/>
    <w:rsid w:val="007F154F"/>
    <w:rsid w:val="007F4383"/>
    <w:rsid w:val="007F5FF0"/>
    <w:rsid w:val="007F7691"/>
    <w:rsid w:val="007F782A"/>
    <w:rsid w:val="00801601"/>
    <w:rsid w:val="00805271"/>
    <w:rsid w:val="008076E5"/>
    <w:rsid w:val="00807FCE"/>
    <w:rsid w:val="00810991"/>
    <w:rsid w:val="00810CFE"/>
    <w:rsid w:val="0081356F"/>
    <w:rsid w:val="0081382A"/>
    <w:rsid w:val="0081457F"/>
    <w:rsid w:val="00814A9B"/>
    <w:rsid w:val="00814F66"/>
    <w:rsid w:val="00814F89"/>
    <w:rsid w:val="008158E2"/>
    <w:rsid w:val="00815BC4"/>
    <w:rsid w:val="008171BC"/>
    <w:rsid w:val="008177B3"/>
    <w:rsid w:val="00817828"/>
    <w:rsid w:val="00817AD2"/>
    <w:rsid w:val="00817AEF"/>
    <w:rsid w:val="00817C9E"/>
    <w:rsid w:val="008205AF"/>
    <w:rsid w:val="00820E59"/>
    <w:rsid w:val="008225E5"/>
    <w:rsid w:val="0082357D"/>
    <w:rsid w:val="00824A0C"/>
    <w:rsid w:val="00826914"/>
    <w:rsid w:val="00830E2A"/>
    <w:rsid w:val="00831053"/>
    <w:rsid w:val="008314D2"/>
    <w:rsid w:val="0083254D"/>
    <w:rsid w:val="00833658"/>
    <w:rsid w:val="008347E5"/>
    <w:rsid w:val="00836249"/>
    <w:rsid w:val="00836899"/>
    <w:rsid w:val="00836F00"/>
    <w:rsid w:val="00837D4F"/>
    <w:rsid w:val="00840EAB"/>
    <w:rsid w:val="008415DE"/>
    <w:rsid w:val="008427A6"/>
    <w:rsid w:val="00842A0B"/>
    <w:rsid w:val="00844B06"/>
    <w:rsid w:val="0084582A"/>
    <w:rsid w:val="00846192"/>
    <w:rsid w:val="0084642C"/>
    <w:rsid w:val="008478F8"/>
    <w:rsid w:val="00847F44"/>
    <w:rsid w:val="008504B1"/>
    <w:rsid w:val="00850806"/>
    <w:rsid w:val="008522DB"/>
    <w:rsid w:val="00853436"/>
    <w:rsid w:val="0085456E"/>
    <w:rsid w:val="00855A16"/>
    <w:rsid w:val="008565CF"/>
    <w:rsid w:val="00856A1B"/>
    <w:rsid w:val="00857AFB"/>
    <w:rsid w:val="00857FC5"/>
    <w:rsid w:val="008601E8"/>
    <w:rsid w:val="00861D71"/>
    <w:rsid w:val="008621C3"/>
    <w:rsid w:val="00863032"/>
    <w:rsid w:val="008634C2"/>
    <w:rsid w:val="00863866"/>
    <w:rsid w:val="008639AC"/>
    <w:rsid w:val="00863E40"/>
    <w:rsid w:val="00864969"/>
    <w:rsid w:val="0086501A"/>
    <w:rsid w:val="00865486"/>
    <w:rsid w:val="0086566B"/>
    <w:rsid w:val="00866603"/>
    <w:rsid w:val="00867899"/>
    <w:rsid w:val="0087007C"/>
    <w:rsid w:val="00870794"/>
    <w:rsid w:val="00870FF1"/>
    <w:rsid w:val="00871699"/>
    <w:rsid w:val="00872459"/>
    <w:rsid w:val="008725B6"/>
    <w:rsid w:val="0087441B"/>
    <w:rsid w:val="008744FE"/>
    <w:rsid w:val="0087453F"/>
    <w:rsid w:val="0087480C"/>
    <w:rsid w:val="00875B12"/>
    <w:rsid w:val="00876275"/>
    <w:rsid w:val="00876CDA"/>
    <w:rsid w:val="00877C54"/>
    <w:rsid w:val="008805D5"/>
    <w:rsid w:val="00880D8E"/>
    <w:rsid w:val="00882B99"/>
    <w:rsid w:val="00883E99"/>
    <w:rsid w:val="00885830"/>
    <w:rsid w:val="00885E8B"/>
    <w:rsid w:val="00886121"/>
    <w:rsid w:val="00887CEA"/>
    <w:rsid w:val="008901E5"/>
    <w:rsid w:val="00890C8C"/>
    <w:rsid w:val="0089166B"/>
    <w:rsid w:val="008916B7"/>
    <w:rsid w:val="00894788"/>
    <w:rsid w:val="00895870"/>
    <w:rsid w:val="00897327"/>
    <w:rsid w:val="008A064F"/>
    <w:rsid w:val="008A17E5"/>
    <w:rsid w:val="008A2850"/>
    <w:rsid w:val="008A295B"/>
    <w:rsid w:val="008A491E"/>
    <w:rsid w:val="008A5351"/>
    <w:rsid w:val="008A5E43"/>
    <w:rsid w:val="008A6604"/>
    <w:rsid w:val="008A6E58"/>
    <w:rsid w:val="008A794B"/>
    <w:rsid w:val="008B0A3A"/>
    <w:rsid w:val="008B1C73"/>
    <w:rsid w:val="008B4FD9"/>
    <w:rsid w:val="008B5482"/>
    <w:rsid w:val="008C11F4"/>
    <w:rsid w:val="008C148E"/>
    <w:rsid w:val="008C2516"/>
    <w:rsid w:val="008C2BEC"/>
    <w:rsid w:val="008C3B8C"/>
    <w:rsid w:val="008C50BB"/>
    <w:rsid w:val="008C511B"/>
    <w:rsid w:val="008C5141"/>
    <w:rsid w:val="008C5F95"/>
    <w:rsid w:val="008C61FF"/>
    <w:rsid w:val="008C6358"/>
    <w:rsid w:val="008C6523"/>
    <w:rsid w:val="008C6D0E"/>
    <w:rsid w:val="008D09D2"/>
    <w:rsid w:val="008D20BA"/>
    <w:rsid w:val="008D2220"/>
    <w:rsid w:val="008D2583"/>
    <w:rsid w:val="008D286C"/>
    <w:rsid w:val="008D2A54"/>
    <w:rsid w:val="008D39C5"/>
    <w:rsid w:val="008D43A8"/>
    <w:rsid w:val="008D5AD6"/>
    <w:rsid w:val="008D72EB"/>
    <w:rsid w:val="008D79D7"/>
    <w:rsid w:val="008E00D5"/>
    <w:rsid w:val="008E1D89"/>
    <w:rsid w:val="008E1E1E"/>
    <w:rsid w:val="008E291C"/>
    <w:rsid w:val="008E326C"/>
    <w:rsid w:val="008E3B4E"/>
    <w:rsid w:val="008E3E3E"/>
    <w:rsid w:val="008E40A8"/>
    <w:rsid w:val="008E5882"/>
    <w:rsid w:val="008E5AA4"/>
    <w:rsid w:val="008E66C9"/>
    <w:rsid w:val="008F26CD"/>
    <w:rsid w:val="008F4DDB"/>
    <w:rsid w:val="008F5F87"/>
    <w:rsid w:val="008F676F"/>
    <w:rsid w:val="008F746E"/>
    <w:rsid w:val="008F773E"/>
    <w:rsid w:val="008F78FE"/>
    <w:rsid w:val="00900133"/>
    <w:rsid w:val="00900A34"/>
    <w:rsid w:val="00900BF4"/>
    <w:rsid w:val="0090171B"/>
    <w:rsid w:val="009017F1"/>
    <w:rsid w:val="009040BE"/>
    <w:rsid w:val="00904272"/>
    <w:rsid w:val="00904836"/>
    <w:rsid w:val="00905641"/>
    <w:rsid w:val="00907073"/>
    <w:rsid w:val="00907149"/>
    <w:rsid w:val="00907BE1"/>
    <w:rsid w:val="009118A5"/>
    <w:rsid w:val="00916611"/>
    <w:rsid w:val="00916F53"/>
    <w:rsid w:val="0091749E"/>
    <w:rsid w:val="00917B66"/>
    <w:rsid w:val="009208F5"/>
    <w:rsid w:val="0092144E"/>
    <w:rsid w:val="009236E2"/>
    <w:rsid w:val="0092392F"/>
    <w:rsid w:val="00923CD3"/>
    <w:rsid w:val="0092458E"/>
    <w:rsid w:val="009245D8"/>
    <w:rsid w:val="00925BB2"/>
    <w:rsid w:val="0092730C"/>
    <w:rsid w:val="00927D51"/>
    <w:rsid w:val="009307E7"/>
    <w:rsid w:val="00932272"/>
    <w:rsid w:val="009322C2"/>
    <w:rsid w:val="00932862"/>
    <w:rsid w:val="00932A70"/>
    <w:rsid w:val="00932B13"/>
    <w:rsid w:val="00933634"/>
    <w:rsid w:val="009347BF"/>
    <w:rsid w:val="00934B68"/>
    <w:rsid w:val="00934F43"/>
    <w:rsid w:val="00935462"/>
    <w:rsid w:val="00935D20"/>
    <w:rsid w:val="00935D60"/>
    <w:rsid w:val="00941DCA"/>
    <w:rsid w:val="00943270"/>
    <w:rsid w:val="00943963"/>
    <w:rsid w:val="009441CF"/>
    <w:rsid w:val="009447BB"/>
    <w:rsid w:val="00944C48"/>
    <w:rsid w:val="00945537"/>
    <w:rsid w:val="00945602"/>
    <w:rsid w:val="009456C6"/>
    <w:rsid w:val="00946335"/>
    <w:rsid w:val="00946D7B"/>
    <w:rsid w:val="00950984"/>
    <w:rsid w:val="00950D71"/>
    <w:rsid w:val="0095139C"/>
    <w:rsid w:val="009513C4"/>
    <w:rsid w:val="00952BE2"/>
    <w:rsid w:val="009539DB"/>
    <w:rsid w:val="00955B36"/>
    <w:rsid w:val="00955E55"/>
    <w:rsid w:val="009560CB"/>
    <w:rsid w:val="009603FB"/>
    <w:rsid w:val="009606D4"/>
    <w:rsid w:val="00960B1E"/>
    <w:rsid w:val="00960D6B"/>
    <w:rsid w:val="00960E7E"/>
    <w:rsid w:val="00962200"/>
    <w:rsid w:val="009632A3"/>
    <w:rsid w:val="009637EE"/>
    <w:rsid w:val="00966657"/>
    <w:rsid w:val="00966F54"/>
    <w:rsid w:val="009732CA"/>
    <w:rsid w:val="009733F1"/>
    <w:rsid w:val="00975E61"/>
    <w:rsid w:val="009767CE"/>
    <w:rsid w:val="00976E31"/>
    <w:rsid w:val="009771C1"/>
    <w:rsid w:val="0097770F"/>
    <w:rsid w:val="00977C63"/>
    <w:rsid w:val="00980087"/>
    <w:rsid w:val="009803E6"/>
    <w:rsid w:val="00980C0B"/>
    <w:rsid w:val="009817DA"/>
    <w:rsid w:val="00984DC4"/>
    <w:rsid w:val="0098524F"/>
    <w:rsid w:val="0098702D"/>
    <w:rsid w:val="009872B1"/>
    <w:rsid w:val="00987444"/>
    <w:rsid w:val="00987ABE"/>
    <w:rsid w:val="009906C7"/>
    <w:rsid w:val="00991C66"/>
    <w:rsid w:val="0099219B"/>
    <w:rsid w:val="00993326"/>
    <w:rsid w:val="009954C4"/>
    <w:rsid w:val="009963CD"/>
    <w:rsid w:val="00997130"/>
    <w:rsid w:val="009978E7"/>
    <w:rsid w:val="009A1CAD"/>
    <w:rsid w:val="009A1F52"/>
    <w:rsid w:val="009A2AD1"/>
    <w:rsid w:val="009A45A5"/>
    <w:rsid w:val="009A53E9"/>
    <w:rsid w:val="009A58A7"/>
    <w:rsid w:val="009B266D"/>
    <w:rsid w:val="009B423E"/>
    <w:rsid w:val="009B4C20"/>
    <w:rsid w:val="009B5CBF"/>
    <w:rsid w:val="009C007E"/>
    <w:rsid w:val="009C184A"/>
    <w:rsid w:val="009C1B2A"/>
    <w:rsid w:val="009C2700"/>
    <w:rsid w:val="009C2CA5"/>
    <w:rsid w:val="009C4B14"/>
    <w:rsid w:val="009C5182"/>
    <w:rsid w:val="009C621D"/>
    <w:rsid w:val="009D1F94"/>
    <w:rsid w:val="009D2619"/>
    <w:rsid w:val="009D3420"/>
    <w:rsid w:val="009D3E45"/>
    <w:rsid w:val="009D45E4"/>
    <w:rsid w:val="009D4B88"/>
    <w:rsid w:val="009D6E80"/>
    <w:rsid w:val="009D73F0"/>
    <w:rsid w:val="009D7909"/>
    <w:rsid w:val="009E102E"/>
    <w:rsid w:val="009E18E5"/>
    <w:rsid w:val="009E44B2"/>
    <w:rsid w:val="009E4F61"/>
    <w:rsid w:val="009E58B4"/>
    <w:rsid w:val="009E5945"/>
    <w:rsid w:val="009E5C71"/>
    <w:rsid w:val="009E692A"/>
    <w:rsid w:val="009E7138"/>
    <w:rsid w:val="009F0FCE"/>
    <w:rsid w:val="009F351F"/>
    <w:rsid w:val="009F3891"/>
    <w:rsid w:val="009F3E19"/>
    <w:rsid w:val="009F3F89"/>
    <w:rsid w:val="009F44EF"/>
    <w:rsid w:val="009F4706"/>
    <w:rsid w:val="009F480E"/>
    <w:rsid w:val="009F48CA"/>
    <w:rsid w:val="009F65F3"/>
    <w:rsid w:val="00A001DD"/>
    <w:rsid w:val="00A007F0"/>
    <w:rsid w:val="00A022A2"/>
    <w:rsid w:val="00A02D15"/>
    <w:rsid w:val="00A0417C"/>
    <w:rsid w:val="00A0450D"/>
    <w:rsid w:val="00A04A99"/>
    <w:rsid w:val="00A07513"/>
    <w:rsid w:val="00A07863"/>
    <w:rsid w:val="00A11403"/>
    <w:rsid w:val="00A135F7"/>
    <w:rsid w:val="00A138AD"/>
    <w:rsid w:val="00A15A19"/>
    <w:rsid w:val="00A168D5"/>
    <w:rsid w:val="00A16A18"/>
    <w:rsid w:val="00A179B3"/>
    <w:rsid w:val="00A20509"/>
    <w:rsid w:val="00A20585"/>
    <w:rsid w:val="00A21DF4"/>
    <w:rsid w:val="00A23445"/>
    <w:rsid w:val="00A2382D"/>
    <w:rsid w:val="00A239D5"/>
    <w:rsid w:val="00A2475C"/>
    <w:rsid w:val="00A25751"/>
    <w:rsid w:val="00A25BDB"/>
    <w:rsid w:val="00A2650B"/>
    <w:rsid w:val="00A26B0D"/>
    <w:rsid w:val="00A275ED"/>
    <w:rsid w:val="00A30496"/>
    <w:rsid w:val="00A31342"/>
    <w:rsid w:val="00A31594"/>
    <w:rsid w:val="00A31FD2"/>
    <w:rsid w:val="00A32519"/>
    <w:rsid w:val="00A33212"/>
    <w:rsid w:val="00A337C9"/>
    <w:rsid w:val="00A337F6"/>
    <w:rsid w:val="00A3397C"/>
    <w:rsid w:val="00A33C66"/>
    <w:rsid w:val="00A33DA1"/>
    <w:rsid w:val="00A33FAC"/>
    <w:rsid w:val="00A344CF"/>
    <w:rsid w:val="00A35256"/>
    <w:rsid w:val="00A352A5"/>
    <w:rsid w:val="00A362D0"/>
    <w:rsid w:val="00A3735A"/>
    <w:rsid w:val="00A37841"/>
    <w:rsid w:val="00A405B5"/>
    <w:rsid w:val="00A405D0"/>
    <w:rsid w:val="00A41A97"/>
    <w:rsid w:val="00A4264C"/>
    <w:rsid w:val="00A42E3A"/>
    <w:rsid w:val="00A42F1B"/>
    <w:rsid w:val="00A43A91"/>
    <w:rsid w:val="00A44D62"/>
    <w:rsid w:val="00A45634"/>
    <w:rsid w:val="00A4632B"/>
    <w:rsid w:val="00A46DEE"/>
    <w:rsid w:val="00A52738"/>
    <w:rsid w:val="00A5303A"/>
    <w:rsid w:val="00A538F6"/>
    <w:rsid w:val="00A53DDA"/>
    <w:rsid w:val="00A5444E"/>
    <w:rsid w:val="00A546BC"/>
    <w:rsid w:val="00A54D2C"/>
    <w:rsid w:val="00A55989"/>
    <w:rsid w:val="00A559F2"/>
    <w:rsid w:val="00A565CB"/>
    <w:rsid w:val="00A56864"/>
    <w:rsid w:val="00A5694A"/>
    <w:rsid w:val="00A57405"/>
    <w:rsid w:val="00A63DA4"/>
    <w:rsid w:val="00A64178"/>
    <w:rsid w:val="00A65EB8"/>
    <w:rsid w:val="00A7018A"/>
    <w:rsid w:val="00A73CBA"/>
    <w:rsid w:val="00A75CD5"/>
    <w:rsid w:val="00A760B1"/>
    <w:rsid w:val="00A76EFF"/>
    <w:rsid w:val="00A76F2F"/>
    <w:rsid w:val="00A8020A"/>
    <w:rsid w:val="00A8109E"/>
    <w:rsid w:val="00A81CD0"/>
    <w:rsid w:val="00A81D91"/>
    <w:rsid w:val="00A829BE"/>
    <w:rsid w:val="00A830D2"/>
    <w:rsid w:val="00A83188"/>
    <w:rsid w:val="00A838BF"/>
    <w:rsid w:val="00A83DF3"/>
    <w:rsid w:val="00A85915"/>
    <w:rsid w:val="00A85E5D"/>
    <w:rsid w:val="00A90F8D"/>
    <w:rsid w:val="00A90FE3"/>
    <w:rsid w:val="00A91235"/>
    <w:rsid w:val="00A9355F"/>
    <w:rsid w:val="00A9367A"/>
    <w:rsid w:val="00A945BD"/>
    <w:rsid w:val="00A952AB"/>
    <w:rsid w:val="00A964BC"/>
    <w:rsid w:val="00A96F80"/>
    <w:rsid w:val="00A9783D"/>
    <w:rsid w:val="00AA0738"/>
    <w:rsid w:val="00AA11FA"/>
    <w:rsid w:val="00AA450A"/>
    <w:rsid w:val="00AA45E6"/>
    <w:rsid w:val="00AA4C2E"/>
    <w:rsid w:val="00AA5376"/>
    <w:rsid w:val="00AA5A37"/>
    <w:rsid w:val="00AA64CF"/>
    <w:rsid w:val="00AA6D2D"/>
    <w:rsid w:val="00AB3DE4"/>
    <w:rsid w:val="00AB489C"/>
    <w:rsid w:val="00AB50C1"/>
    <w:rsid w:val="00AB55E8"/>
    <w:rsid w:val="00AB6936"/>
    <w:rsid w:val="00AB6CD2"/>
    <w:rsid w:val="00AC0C3B"/>
    <w:rsid w:val="00AC173D"/>
    <w:rsid w:val="00AC2378"/>
    <w:rsid w:val="00AC2D63"/>
    <w:rsid w:val="00AC3169"/>
    <w:rsid w:val="00AC3BBE"/>
    <w:rsid w:val="00AC4788"/>
    <w:rsid w:val="00AC67C2"/>
    <w:rsid w:val="00AC6DF5"/>
    <w:rsid w:val="00AD03D8"/>
    <w:rsid w:val="00AD0711"/>
    <w:rsid w:val="00AD0A95"/>
    <w:rsid w:val="00AD23E8"/>
    <w:rsid w:val="00AD2944"/>
    <w:rsid w:val="00AD3DC3"/>
    <w:rsid w:val="00AD58B0"/>
    <w:rsid w:val="00AD6F3B"/>
    <w:rsid w:val="00AD704E"/>
    <w:rsid w:val="00AD76C9"/>
    <w:rsid w:val="00AD7A0A"/>
    <w:rsid w:val="00AE041D"/>
    <w:rsid w:val="00AE3E7F"/>
    <w:rsid w:val="00AE5FE0"/>
    <w:rsid w:val="00AE60B7"/>
    <w:rsid w:val="00AE7869"/>
    <w:rsid w:val="00AF14CE"/>
    <w:rsid w:val="00AF14D0"/>
    <w:rsid w:val="00AF2AB7"/>
    <w:rsid w:val="00AF2B1C"/>
    <w:rsid w:val="00AF3F48"/>
    <w:rsid w:val="00AF402F"/>
    <w:rsid w:val="00AF4627"/>
    <w:rsid w:val="00AF4D3F"/>
    <w:rsid w:val="00AF5926"/>
    <w:rsid w:val="00AF5D30"/>
    <w:rsid w:val="00AF6826"/>
    <w:rsid w:val="00AF6E47"/>
    <w:rsid w:val="00B00A9D"/>
    <w:rsid w:val="00B027AA"/>
    <w:rsid w:val="00B027D1"/>
    <w:rsid w:val="00B02B24"/>
    <w:rsid w:val="00B0300B"/>
    <w:rsid w:val="00B05457"/>
    <w:rsid w:val="00B057F5"/>
    <w:rsid w:val="00B0688E"/>
    <w:rsid w:val="00B07E14"/>
    <w:rsid w:val="00B07EF1"/>
    <w:rsid w:val="00B1097E"/>
    <w:rsid w:val="00B11B21"/>
    <w:rsid w:val="00B11CE0"/>
    <w:rsid w:val="00B11F65"/>
    <w:rsid w:val="00B128A0"/>
    <w:rsid w:val="00B12F3B"/>
    <w:rsid w:val="00B15737"/>
    <w:rsid w:val="00B17030"/>
    <w:rsid w:val="00B176A0"/>
    <w:rsid w:val="00B17CDB"/>
    <w:rsid w:val="00B17EB0"/>
    <w:rsid w:val="00B20240"/>
    <w:rsid w:val="00B20F2D"/>
    <w:rsid w:val="00B21B7D"/>
    <w:rsid w:val="00B226F3"/>
    <w:rsid w:val="00B23281"/>
    <w:rsid w:val="00B23ABA"/>
    <w:rsid w:val="00B2403B"/>
    <w:rsid w:val="00B24092"/>
    <w:rsid w:val="00B24185"/>
    <w:rsid w:val="00B24CFE"/>
    <w:rsid w:val="00B27571"/>
    <w:rsid w:val="00B27CF9"/>
    <w:rsid w:val="00B303C4"/>
    <w:rsid w:val="00B315D9"/>
    <w:rsid w:val="00B31854"/>
    <w:rsid w:val="00B31F46"/>
    <w:rsid w:val="00B32F3D"/>
    <w:rsid w:val="00B349C1"/>
    <w:rsid w:val="00B3596F"/>
    <w:rsid w:val="00B35C20"/>
    <w:rsid w:val="00B35FA1"/>
    <w:rsid w:val="00B37185"/>
    <w:rsid w:val="00B40D3B"/>
    <w:rsid w:val="00B41520"/>
    <w:rsid w:val="00B4164B"/>
    <w:rsid w:val="00B41DA5"/>
    <w:rsid w:val="00B426DF"/>
    <w:rsid w:val="00B431FD"/>
    <w:rsid w:val="00B4332A"/>
    <w:rsid w:val="00B44A28"/>
    <w:rsid w:val="00B45055"/>
    <w:rsid w:val="00B47A93"/>
    <w:rsid w:val="00B511DF"/>
    <w:rsid w:val="00B514DD"/>
    <w:rsid w:val="00B53063"/>
    <w:rsid w:val="00B531C7"/>
    <w:rsid w:val="00B5409A"/>
    <w:rsid w:val="00B55574"/>
    <w:rsid w:val="00B576F0"/>
    <w:rsid w:val="00B61D15"/>
    <w:rsid w:val="00B62711"/>
    <w:rsid w:val="00B629D0"/>
    <w:rsid w:val="00B62BB2"/>
    <w:rsid w:val="00B62E2C"/>
    <w:rsid w:val="00B646E6"/>
    <w:rsid w:val="00B64847"/>
    <w:rsid w:val="00B649BE"/>
    <w:rsid w:val="00B6525D"/>
    <w:rsid w:val="00B65ABA"/>
    <w:rsid w:val="00B66CD2"/>
    <w:rsid w:val="00B6787F"/>
    <w:rsid w:val="00B6790F"/>
    <w:rsid w:val="00B70108"/>
    <w:rsid w:val="00B71B3B"/>
    <w:rsid w:val="00B75E2F"/>
    <w:rsid w:val="00B76256"/>
    <w:rsid w:val="00B777C5"/>
    <w:rsid w:val="00B80416"/>
    <w:rsid w:val="00B8369F"/>
    <w:rsid w:val="00B84477"/>
    <w:rsid w:val="00B8480F"/>
    <w:rsid w:val="00B84D9C"/>
    <w:rsid w:val="00B853DB"/>
    <w:rsid w:val="00B86663"/>
    <w:rsid w:val="00B87548"/>
    <w:rsid w:val="00B87785"/>
    <w:rsid w:val="00B87A38"/>
    <w:rsid w:val="00B87D61"/>
    <w:rsid w:val="00B91363"/>
    <w:rsid w:val="00B91FFB"/>
    <w:rsid w:val="00B92311"/>
    <w:rsid w:val="00B93948"/>
    <w:rsid w:val="00B93B59"/>
    <w:rsid w:val="00B950A0"/>
    <w:rsid w:val="00B95192"/>
    <w:rsid w:val="00B97933"/>
    <w:rsid w:val="00BA07C3"/>
    <w:rsid w:val="00BA0914"/>
    <w:rsid w:val="00BA1B94"/>
    <w:rsid w:val="00BA1CC1"/>
    <w:rsid w:val="00BA3F2C"/>
    <w:rsid w:val="00BA453D"/>
    <w:rsid w:val="00BA4BC7"/>
    <w:rsid w:val="00BA4F84"/>
    <w:rsid w:val="00BA55B7"/>
    <w:rsid w:val="00BA5E47"/>
    <w:rsid w:val="00BA720E"/>
    <w:rsid w:val="00BA7D57"/>
    <w:rsid w:val="00BB0491"/>
    <w:rsid w:val="00BB0EB8"/>
    <w:rsid w:val="00BB156E"/>
    <w:rsid w:val="00BB15AF"/>
    <w:rsid w:val="00BB1C53"/>
    <w:rsid w:val="00BB1EB4"/>
    <w:rsid w:val="00BB2D61"/>
    <w:rsid w:val="00BB3330"/>
    <w:rsid w:val="00BB376D"/>
    <w:rsid w:val="00BB47D7"/>
    <w:rsid w:val="00BB4A62"/>
    <w:rsid w:val="00BC01C1"/>
    <w:rsid w:val="00BC35C1"/>
    <w:rsid w:val="00BC45A1"/>
    <w:rsid w:val="00BC5A34"/>
    <w:rsid w:val="00BC6200"/>
    <w:rsid w:val="00BC7FF0"/>
    <w:rsid w:val="00BD17F5"/>
    <w:rsid w:val="00BD1B31"/>
    <w:rsid w:val="00BD328B"/>
    <w:rsid w:val="00BD3488"/>
    <w:rsid w:val="00BD4F8B"/>
    <w:rsid w:val="00BD5333"/>
    <w:rsid w:val="00BD582C"/>
    <w:rsid w:val="00BD6D38"/>
    <w:rsid w:val="00BD6E05"/>
    <w:rsid w:val="00BE03F4"/>
    <w:rsid w:val="00BE202E"/>
    <w:rsid w:val="00BE2ACB"/>
    <w:rsid w:val="00BE3694"/>
    <w:rsid w:val="00BE3B91"/>
    <w:rsid w:val="00BE3BCE"/>
    <w:rsid w:val="00BE4595"/>
    <w:rsid w:val="00BE510C"/>
    <w:rsid w:val="00BE54D0"/>
    <w:rsid w:val="00BE5D2F"/>
    <w:rsid w:val="00BE5F98"/>
    <w:rsid w:val="00BE6081"/>
    <w:rsid w:val="00BE6134"/>
    <w:rsid w:val="00BE6CD2"/>
    <w:rsid w:val="00BE7651"/>
    <w:rsid w:val="00BF0E9F"/>
    <w:rsid w:val="00BF345B"/>
    <w:rsid w:val="00BF3496"/>
    <w:rsid w:val="00BF38E4"/>
    <w:rsid w:val="00BF3B07"/>
    <w:rsid w:val="00BF42AB"/>
    <w:rsid w:val="00BF4A9C"/>
    <w:rsid w:val="00BF4B0C"/>
    <w:rsid w:val="00BF6B60"/>
    <w:rsid w:val="00BF6B6C"/>
    <w:rsid w:val="00BF7251"/>
    <w:rsid w:val="00BF7493"/>
    <w:rsid w:val="00BF7F28"/>
    <w:rsid w:val="00C00BAC"/>
    <w:rsid w:val="00C0138E"/>
    <w:rsid w:val="00C01909"/>
    <w:rsid w:val="00C024D3"/>
    <w:rsid w:val="00C039CF"/>
    <w:rsid w:val="00C03B5E"/>
    <w:rsid w:val="00C03C11"/>
    <w:rsid w:val="00C0476B"/>
    <w:rsid w:val="00C05101"/>
    <w:rsid w:val="00C054E1"/>
    <w:rsid w:val="00C05787"/>
    <w:rsid w:val="00C059AF"/>
    <w:rsid w:val="00C06BF9"/>
    <w:rsid w:val="00C06DD9"/>
    <w:rsid w:val="00C06FA3"/>
    <w:rsid w:val="00C07825"/>
    <w:rsid w:val="00C07871"/>
    <w:rsid w:val="00C103AD"/>
    <w:rsid w:val="00C11E67"/>
    <w:rsid w:val="00C1235D"/>
    <w:rsid w:val="00C13059"/>
    <w:rsid w:val="00C1481E"/>
    <w:rsid w:val="00C1500F"/>
    <w:rsid w:val="00C156D4"/>
    <w:rsid w:val="00C161BB"/>
    <w:rsid w:val="00C167A3"/>
    <w:rsid w:val="00C169C1"/>
    <w:rsid w:val="00C16B76"/>
    <w:rsid w:val="00C17320"/>
    <w:rsid w:val="00C17A3B"/>
    <w:rsid w:val="00C2181C"/>
    <w:rsid w:val="00C23826"/>
    <w:rsid w:val="00C2657D"/>
    <w:rsid w:val="00C275B5"/>
    <w:rsid w:val="00C3103D"/>
    <w:rsid w:val="00C3152B"/>
    <w:rsid w:val="00C32FBE"/>
    <w:rsid w:val="00C33827"/>
    <w:rsid w:val="00C340EF"/>
    <w:rsid w:val="00C36EE2"/>
    <w:rsid w:val="00C379A4"/>
    <w:rsid w:val="00C40738"/>
    <w:rsid w:val="00C4150E"/>
    <w:rsid w:val="00C416E1"/>
    <w:rsid w:val="00C41C45"/>
    <w:rsid w:val="00C441BC"/>
    <w:rsid w:val="00C445E4"/>
    <w:rsid w:val="00C45302"/>
    <w:rsid w:val="00C458E0"/>
    <w:rsid w:val="00C46CB5"/>
    <w:rsid w:val="00C46CBB"/>
    <w:rsid w:val="00C46F43"/>
    <w:rsid w:val="00C47569"/>
    <w:rsid w:val="00C47BF8"/>
    <w:rsid w:val="00C50050"/>
    <w:rsid w:val="00C51B1C"/>
    <w:rsid w:val="00C52A08"/>
    <w:rsid w:val="00C53DCE"/>
    <w:rsid w:val="00C54D1F"/>
    <w:rsid w:val="00C564A7"/>
    <w:rsid w:val="00C56F15"/>
    <w:rsid w:val="00C60656"/>
    <w:rsid w:val="00C60A1E"/>
    <w:rsid w:val="00C62679"/>
    <w:rsid w:val="00C62BDD"/>
    <w:rsid w:val="00C63F3A"/>
    <w:rsid w:val="00C64F42"/>
    <w:rsid w:val="00C655F2"/>
    <w:rsid w:val="00C65B4C"/>
    <w:rsid w:val="00C65B61"/>
    <w:rsid w:val="00C66322"/>
    <w:rsid w:val="00C6654C"/>
    <w:rsid w:val="00C70205"/>
    <w:rsid w:val="00C70972"/>
    <w:rsid w:val="00C70E53"/>
    <w:rsid w:val="00C717E8"/>
    <w:rsid w:val="00C71BF2"/>
    <w:rsid w:val="00C7260D"/>
    <w:rsid w:val="00C72979"/>
    <w:rsid w:val="00C72C90"/>
    <w:rsid w:val="00C72D5F"/>
    <w:rsid w:val="00C73780"/>
    <w:rsid w:val="00C75F0F"/>
    <w:rsid w:val="00C75F16"/>
    <w:rsid w:val="00C804CE"/>
    <w:rsid w:val="00C81529"/>
    <w:rsid w:val="00C81BA6"/>
    <w:rsid w:val="00C826CC"/>
    <w:rsid w:val="00C82A28"/>
    <w:rsid w:val="00C82A8D"/>
    <w:rsid w:val="00C834C7"/>
    <w:rsid w:val="00C8377C"/>
    <w:rsid w:val="00C86E2F"/>
    <w:rsid w:val="00C86FDC"/>
    <w:rsid w:val="00C87630"/>
    <w:rsid w:val="00C877CD"/>
    <w:rsid w:val="00C87CED"/>
    <w:rsid w:val="00C87E33"/>
    <w:rsid w:val="00C902E9"/>
    <w:rsid w:val="00C908B7"/>
    <w:rsid w:val="00C90F93"/>
    <w:rsid w:val="00C91466"/>
    <w:rsid w:val="00C91D81"/>
    <w:rsid w:val="00C92A42"/>
    <w:rsid w:val="00C92A8D"/>
    <w:rsid w:val="00C95849"/>
    <w:rsid w:val="00C97A2A"/>
    <w:rsid w:val="00CA1276"/>
    <w:rsid w:val="00CA18F2"/>
    <w:rsid w:val="00CA3FFE"/>
    <w:rsid w:val="00CA43BB"/>
    <w:rsid w:val="00CA4871"/>
    <w:rsid w:val="00CA4926"/>
    <w:rsid w:val="00CA5FD5"/>
    <w:rsid w:val="00CA6464"/>
    <w:rsid w:val="00CA6722"/>
    <w:rsid w:val="00CA6D4E"/>
    <w:rsid w:val="00CA7203"/>
    <w:rsid w:val="00CA7B4B"/>
    <w:rsid w:val="00CB3458"/>
    <w:rsid w:val="00CB36A8"/>
    <w:rsid w:val="00CB3FA6"/>
    <w:rsid w:val="00CB43CD"/>
    <w:rsid w:val="00CB5178"/>
    <w:rsid w:val="00CB518C"/>
    <w:rsid w:val="00CB6B36"/>
    <w:rsid w:val="00CB72B4"/>
    <w:rsid w:val="00CB7E62"/>
    <w:rsid w:val="00CC139A"/>
    <w:rsid w:val="00CC1E06"/>
    <w:rsid w:val="00CC1E7A"/>
    <w:rsid w:val="00CC3BDD"/>
    <w:rsid w:val="00CC42F1"/>
    <w:rsid w:val="00CC4464"/>
    <w:rsid w:val="00CC4F64"/>
    <w:rsid w:val="00CC5FE5"/>
    <w:rsid w:val="00CC689F"/>
    <w:rsid w:val="00CD058C"/>
    <w:rsid w:val="00CD0BF0"/>
    <w:rsid w:val="00CD1E86"/>
    <w:rsid w:val="00CD3295"/>
    <w:rsid w:val="00CD37FA"/>
    <w:rsid w:val="00CD3995"/>
    <w:rsid w:val="00CD3B98"/>
    <w:rsid w:val="00CD4216"/>
    <w:rsid w:val="00CD518C"/>
    <w:rsid w:val="00CD654B"/>
    <w:rsid w:val="00CD67EE"/>
    <w:rsid w:val="00CD6898"/>
    <w:rsid w:val="00CD733F"/>
    <w:rsid w:val="00CE045E"/>
    <w:rsid w:val="00CE0942"/>
    <w:rsid w:val="00CE1E6B"/>
    <w:rsid w:val="00CE2B5E"/>
    <w:rsid w:val="00CE2C14"/>
    <w:rsid w:val="00CE2E37"/>
    <w:rsid w:val="00CE6E45"/>
    <w:rsid w:val="00CE7CA5"/>
    <w:rsid w:val="00CF1D81"/>
    <w:rsid w:val="00CF2DC9"/>
    <w:rsid w:val="00CF2F7D"/>
    <w:rsid w:val="00CF3E5D"/>
    <w:rsid w:val="00CF4B96"/>
    <w:rsid w:val="00CF7CB6"/>
    <w:rsid w:val="00D00165"/>
    <w:rsid w:val="00D00CCE"/>
    <w:rsid w:val="00D02BD6"/>
    <w:rsid w:val="00D02F64"/>
    <w:rsid w:val="00D03A4A"/>
    <w:rsid w:val="00D03EDB"/>
    <w:rsid w:val="00D0579B"/>
    <w:rsid w:val="00D06257"/>
    <w:rsid w:val="00D06527"/>
    <w:rsid w:val="00D10D80"/>
    <w:rsid w:val="00D12531"/>
    <w:rsid w:val="00D135A2"/>
    <w:rsid w:val="00D13980"/>
    <w:rsid w:val="00D13E71"/>
    <w:rsid w:val="00D1787A"/>
    <w:rsid w:val="00D2000F"/>
    <w:rsid w:val="00D20AC9"/>
    <w:rsid w:val="00D21D6F"/>
    <w:rsid w:val="00D22F68"/>
    <w:rsid w:val="00D23259"/>
    <w:rsid w:val="00D24501"/>
    <w:rsid w:val="00D249D2"/>
    <w:rsid w:val="00D24DAA"/>
    <w:rsid w:val="00D25031"/>
    <w:rsid w:val="00D262E2"/>
    <w:rsid w:val="00D307A9"/>
    <w:rsid w:val="00D311AB"/>
    <w:rsid w:val="00D324EB"/>
    <w:rsid w:val="00D325A8"/>
    <w:rsid w:val="00D32649"/>
    <w:rsid w:val="00D340EB"/>
    <w:rsid w:val="00D34965"/>
    <w:rsid w:val="00D34AA9"/>
    <w:rsid w:val="00D34C4B"/>
    <w:rsid w:val="00D35311"/>
    <w:rsid w:val="00D3636F"/>
    <w:rsid w:val="00D41375"/>
    <w:rsid w:val="00D41BB7"/>
    <w:rsid w:val="00D42B17"/>
    <w:rsid w:val="00D442AD"/>
    <w:rsid w:val="00D4660A"/>
    <w:rsid w:val="00D4759C"/>
    <w:rsid w:val="00D500C5"/>
    <w:rsid w:val="00D50ECD"/>
    <w:rsid w:val="00D510C1"/>
    <w:rsid w:val="00D51431"/>
    <w:rsid w:val="00D51E4B"/>
    <w:rsid w:val="00D51E79"/>
    <w:rsid w:val="00D5219E"/>
    <w:rsid w:val="00D5292C"/>
    <w:rsid w:val="00D54854"/>
    <w:rsid w:val="00D5618A"/>
    <w:rsid w:val="00D5674F"/>
    <w:rsid w:val="00D5784B"/>
    <w:rsid w:val="00D60897"/>
    <w:rsid w:val="00D615B0"/>
    <w:rsid w:val="00D6185A"/>
    <w:rsid w:val="00D623F1"/>
    <w:rsid w:val="00D62A1C"/>
    <w:rsid w:val="00D63EFB"/>
    <w:rsid w:val="00D65593"/>
    <w:rsid w:val="00D65665"/>
    <w:rsid w:val="00D658AF"/>
    <w:rsid w:val="00D65ABB"/>
    <w:rsid w:val="00D66B2B"/>
    <w:rsid w:val="00D67084"/>
    <w:rsid w:val="00D702B6"/>
    <w:rsid w:val="00D709A6"/>
    <w:rsid w:val="00D70BF2"/>
    <w:rsid w:val="00D70E78"/>
    <w:rsid w:val="00D7227A"/>
    <w:rsid w:val="00D7295C"/>
    <w:rsid w:val="00D7326D"/>
    <w:rsid w:val="00D74CDB"/>
    <w:rsid w:val="00D75C90"/>
    <w:rsid w:val="00D76B0F"/>
    <w:rsid w:val="00D76DDF"/>
    <w:rsid w:val="00D800FA"/>
    <w:rsid w:val="00D814D1"/>
    <w:rsid w:val="00D81A36"/>
    <w:rsid w:val="00D82C69"/>
    <w:rsid w:val="00D83BC4"/>
    <w:rsid w:val="00D83DE9"/>
    <w:rsid w:val="00D8450D"/>
    <w:rsid w:val="00D8704D"/>
    <w:rsid w:val="00D8750B"/>
    <w:rsid w:val="00D905FA"/>
    <w:rsid w:val="00D90778"/>
    <w:rsid w:val="00D92735"/>
    <w:rsid w:val="00D9287F"/>
    <w:rsid w:val="00D936C2"/>
    <w:rsid w:val="00D93E77"/>
    <w:rsid w:val="00D95755"/>
    <w:rsid w:val="00D957CB"/>
    <w:rsid w:val="00D95AF9"/>
    <w:rsid w:val="00D95D4C"/>
    <w:rsid w:val="00D96A28"/>
    <w:rsid w:val="00D96B06"/>
    <w:rsid w:val="00D96D99"/>
    <w:rsid w:val="00DA09C9"/>
    <w:rsid w:val="00DA0EE1"/>
    <w:rsid w:val="00DA1527"/>
    <w:rsid w:val="00DA16B8"/>
    <w:rsid w:val="00DA1822"/>
    <w:rsid w:val="00DA2814"/>
    <w:rsid w:val="00DA3D75"/>
    <w:rsid w:val="00DA4056"/>
    <w:rsid w:val="00DA44C0"/>
    <w:rsid w:val="00DA61DE"/>
    <w:rsid w:val="00DA68D9"/>
    <w:rsid w:val="00DA6C95"/>
    <w:rsid w:val="00DB037A"/>
    <w:rsid w:val="00DB38C0"/>
    <w:rsid w:val="00DB493B"/>
    <w:rsid w:val="00DB5195"/>
    <w:rsid w:val="00DB5E1F"/>
    <w:rsid w:val="00DB6396"/>
    <w:rsid w:val="00DB64CD"/>
    <w:rsid w:val="00DC19D8"/>
    <w:rsid w:val="00DC1A61"/>
    <w:rsid w:val="00DC255F"/>
    <w:rsid w:val="00DC2613"/>
    <w:rsid w:val="00DC425F"/>
    <w:rsid w:val="00DC4512"/>
    <w:rsid w:val="00DC4681"/>
    <w:rsid w:val="00DC50E9"/>
    <w:rsid w:val="00DC5504"/>
    <w:rsid w:val="00DC562F"/>
    <w:rsid w:val="00DC6387"/>
    <w:rsid w:val="00DC6463"/>
    <w:rsid w:val="00DC6917"/>
    <w:rsid w:val="00DC7ED6"/>
    <w:rsid w:val="00DD2C62"/>
    <w:rsid w:val="00DD350C"/>
    <w:rsid w:val="00DD3691"/>
    <w:rsid w:val="00DD3EE5"/>
    <w:rsid w:val="00DD4B34"/>
    <w:rsid w:val="00DD4B55"/>
    <w:rsid w:val="00DD4CF4"/>
    <w:rsid w:val="00DD558E"/>
    <w:rsid w:val="00DD785E"/>
    <w:rsid w:val="00DE0DB8"/>
    <w:rsid w:val="00DE1942"/>
    <w:rsid w:val="00DE1E90"/>
    <w:rsid w:val="00DE24E6"/>
    <w:rsid w:val="00DE276C"/>
    <w:rsid w:val="00DE28CA"/>
    <w:rsid w:val="00DE2FF9"/>
    <w:rsid w:val="00DE3812"/>
    <w:rsid w:val="00DE3E5B"/>
    <w:rsid w:val="00DE616B"/>
    <w:rsid w:val="00DE62AE"/>
    <w:rsid w:val="00DE6372"/>
    <w:rsid w:val="00DE6841"/>
    <w:rsid w:val="00DE6952"/>
    <w:rsid w:val="00DE6DEC"/>
    <w:rsid w:val="00DE78F7"/>
    <w:rsid w:val="00DE7A99"/>
    <w:rsid w:val="00DE7E9A"/>
    <w:rsid w:val="00DF02DC"/>
    <w:rsid w:val="00DF07AD"/>
    <w:rsid w:val="00DF1260"/>
    <w:rsid w:val="00DF2BAF"/>
    <w:rsid w:val="00DF3364"/>
    <w:rsid w:val="00DF44BA"/>
    <w:rsid w:val="00DF5023"/>
    <w:rsid w:val="00DF59D7"/>
    <w:rsid w:val="00DF5A37"/>
    <w:rsid w:val="00DF5A83"/>
    <w:rsid w:val="00DF5DA8"/>
    <w:rsid w:val="00DF6AB2"/>
    <w:rsid w:val="00DF6E17"/>
    <w:rsid w:val="00DF71B3"/>
    <w:rsid w:val="00DF743F"/>
    <w:rsid w:val="00DF7BDD"/>
    <w:rsid w:val="00DF7FDC"/>
    <w:rsid w:val="00E0064B"/>
    <w:rsid w:val="00E00EC0"/>
    <w:rsid w:val="00E0172F"/>
    <w:rsid w:val="00E02B56"/>
    <w:rsid w:val="00E03E3D"/>
    <w:rsid w:val="00E055BB"/>
    <w:rsid w:val="00E05E03"/>
    <w:rsid w:val="00E06588"/>
    <w:rsid w:val="00E07019"/>
    <w:rsid w:val="00E07387"/>
    <w:rsid w:val="00E07B44"/>
    <w:rsid w:val="00E10213"/>
    <w:rsid w:val="00E1181B"/>
    <w:rsid w:val="00E11988"/>
    <w:rsid w:val="00E13ECF"/>
    <w:rsid w:val="00E15DA9"/>
    <w:rsid w:val="00E161C0"/>
    <w:rsid w:val="00E17524"/>
    <w:rsid w:val="00E17A47"/>
    <w:rsid w:val="00E2095D"/>
    <w:rsid w:val="00E209C7"/>
    <w:rsid w:val="00E20E40"/>
    <w:rsid w:val="00E2202A"/>
    <w:rsid w:val="00E2240E"/>
    <w:rsid w:val="00E23389"/>
    <w:rsid w:val="00E233CB"/>
    <w:rsid w:val="00E24490"/>
    <w:rsid w:val="00E24587"/>
    <w:rsid w:val="00E255B2"/>
    <w:rsid w:val="00E25814"/>
    <w:rsid w:val="00E27DA9"/>
    <w:rsid w:val="00E30414"/>
    <w:rsid w:val="00E31A9C"/>
    <w:rsid w:val="00E32EC6"/>
    <w:rsid w:val="00E33A40"/>
    <w:rsid w:val="00E33CB3"/>
    <w:rsid w:val="00E34A0B"/>
    <w:rsid w:val="00E35D22"/>
    <w:rsid w:val="00E36AA0"/>
    <w:rsid w:val="00E40769"/>
    <w:rsid w:val="00E408C7"/>
    <w:rsid w:val="00E40FD8"/>
    <w:rsid w:val="00E424E3"/>
    <w:rsid w:val="00E429A9"/>
    <w:rsid w:val="00E42E8B"/>
    <w:rsid w:val="00E43F88"/>
    <w:rsid w:val="00E441B7"/>
    <w:rsid w:val="00E454A8"/>
    <w:rsid w:val="00E46C98"/>
    <w:rsid w:val="00E50A87"/>
    <w:rsid w:val="00E50B4A"/>
    <w:rsid w:val="00E50EEB"/>
    <w:rsid w:val="00E513B3"/>
    <w:rsid w:val="00E5191E"/>
    <w:rsid w:val="00E5345B"/>
    <w:rsid w:val="00E54E7A"/>
    <w:rsid w:val="00E56F35"/>
    <w:rsid w:val="00E5788E"/>
    <w:rsid w:val="00E6039C"/>
    <w:rsid w:val="00E60F12"/>
    <w:rsid w:val="00E61B48"/>
    <w:rsid w:val="00E639BE"/>
    <w:rsid w:val="00E64155"/>
    <w:rsid w:val="00E64986"/>
    <w:rsid w:val="00E652FB"/>
    <w:rsid w:val="00E66C20"/>
    <w:rsid w:val="00E67358"/>
    <w:rsid w:val="00E674FB"/>
    <w:rsid w:val="00E71BB6"/>
    <w:rsid w:val="00E71C46"/>
    <w:rsid w:val="00E72FFE"/>
    <w:rsid w:val="00E73EDD"/>
    <w:rsid w:val="00E754F5"/>
    <w:rsid w:val="00E75ED2"/>
    <w:rsid w:val="00E76EBD"/>
    <w:rsid w:val="00E77A9D"/>
    <w:rsid w:val="00E80D67"/>
    <w:rsid w:val="00E80E84"/>
    <w:rsid w:val="00E8131C"/>
    <w:rsid w:val="00E8280C"/>
    <w:rsid w:val="00E83E4C"/>
    <w:rsid w:val="00E84AF7"/>
    <w:rsid w:val="00E84E8A"/>
    <w:rsid w:val="00E8546F"/>
    <w:rsid w:val="00E85ACD"/>
    <w:rsid w:val="00E86433"/>
    <w:rsid w:val="00E876BF"/>
    <w:rsid w:val="00E8780F"/>
    <w:rsid w:val="00E87812"/>
    <w:rsid w:val="00E87E70"/>
    <w:rsid w:val="00E905EA"/>
    <w:rsid w:val="00E9129B"/>
    <w:rsid w:val="00E9133C"/>
    <w:rsid w:val="00E915CE"/>
    <w:rsid w:val="00E91933"/>
    <w:rsid w:val="00E9293A"/>
    <w:rsid w:val="00E92A81"/>
    <w:rsid w:val="00E94197"/>
    <w:rsid w:val="00E95273"/>
    <w:rsid w:val="00E956B1"/>
    <w:rsid w:val="00E969B1"/>
    <w:rsid w:val="00E97CD0"/>
    <w:rsid w:val="00E97E7C"/>
    <w:rsid w:val="00EA1064"/>
    <w:rsid w:val="00EA1732"/>
    <w:rsid w:val="00EA2C9C"/>
    <w:rsid w:val="00EA3316"/>
    <w:rsid w:val="00EA5906"/>
    <w:rsid w:val="00EA5DAD"/>
    <w:rsid w:val="00EA7FE5"/>
    <w:rsid w:val="00EB10FF"/>
    <w:rsid w:val="00EB127F"/>
    <w:rsid w:val="00EB1C71"/>
    <w:rsid w:val="00EB22DB"/>
    <w:rsid w:val="00EB2505"/>
    <w:rsid w:val="00EB272E"/>
    <w:rsid w:val="00EB558B"/>
    <w:rsid w:val="00EB6552"/>
    <w:rsid w:val="00EB68B8"/>
    <w:rsid w:val="00EC0238"/>
    <w:rsid w:val="00EC16F1"/>
    <w:rsid w:val="00EC18E6"/>
    <w:rsid w:val="00EC1984"/>
    <w:rsid w:val="00EC234C"/>
    <w:rsid w:val="00EC351F"/>
    <w:rsid w:val="00EC3C20"/>
    <w:rsid w:val="00EC46F6"/>
    <w:rsid w:val="00ED01D0"/>
    <w:rsid w:val="00ED0C33"/>
    <w:rsid w:val="00ED10DE"/>
    <w:rsid w:val="00ED182C"/>
    <w:rsid w:val="00ED3529"/>
    <w:rsid w:val="00ED4139"/>
    <w:rsid w:val="00ED4D17"/>
    <w:rsid w:val="00ED5B38"/>
    <w:rsid w:val="00ED5BE9"/>
    <w:rsid w:val="00ED6141"/>
    <w:rsid w:val="00EE0B49"/>
    <w:rsid w:val="00EE0E0C"/>
    <w:rsid w:val="00EE1A0E"/>
    <w:rsid w:val="00EE2506"/>
    <w:rsid w:val="00EE3166"/>
    <w:rsid w:val="00EE3486"/>
    <w:rsid w:val="00EE407E"/>
    <w:rsid w:val="00EE4780"/>
    <w:rsid w:val="00EE4D97"/>
    <w:rsid w:val="00EE522F"/>
    <w:rsid w:val="00EE6CD3"/>
    <w:rsid w:val="00EE7DE9"/>
    <w:rsid w:val="00EF10C9"/>
    <w:rsid w:val="00EF18E0"/>
    <w:rsid w:val="00EF20D7"/>
    <w:rsid w:val="00EF3419"/>
    <w:rsid w:val="00EF3E6E"/>
    <w:rsid w:val="00EF4375"/>
    <w:rsid w:val="00EF472C"/>
    <w:rsid w:val="00EF535E"/>
    <w:rsid w:val="00EF5461"/>
    <w:rsid w:val="00EF6B9C"/>
    <w:rsid w:val="00F0119C"/>
    <w:rsid w:val="00F013C2"/>
    <w:rsid w:val="00F018F1"/>
    <w:rsid w:val="00F01979"/>
    <w:rsid w:val="00F02751"/>
    <w:rsid w:val="00F029F6"/>
    <w:rsid w:val="00F02BDB"/>
    <w:rsid w:val="00F03F1A"/>
    <w:rsid w:val="00F0441B"/>
    <w:rsid w:val="00F0572E"/>
    <w:rsid w:val="00F06B2B"/>
    <w:rsid w:val="00F07611"/>
    <w:rsid w:val="00F07623"/>
    <w:rsid w:val="00F10C4C"/>
    <w:rsid w:val="00F10F59"/>
    <w:rsid w:val="00F135BC"/>
    <w:rsid w:val="00F1470B"/>
    <w:rsid w:val="00F147A1"/>
    <w:rsid w:val="00F14FC8"/>
    <w:rsid w:val="00F1510F"/>
    <w:rsid w:val="00F21115"/>
    <w:rsid w:val="00F2127E"/>
    <w:rsid w:val="00F22B75"/>
    <w:rsid w:val="00F24518"/>
    <w:rsid w:val="00F2534E"/>
    <w:rsid w:val="00F307BF"/>
    <w:rsid w:val="00F3136B"/>
    <w:rsid w:val="00F314F1"/>
    <w:rsid w:val="00F31C22"/>
    <w:rsid w:val="00F327EA"/>
    <w:rsid w:val="00F33110"/>
    <w:rsid w:val="00F33641"/>
    <w:rsid w:val="00F358CF"/>
    <w:rsid w:val="00F36CD9"/>
    <w:rsid w:val="00F36DD8"/>
    <w:rsid w:val="00F37290"/>
    <w:rsid w:val="00F41ED9"/>
    <w:rsid w:val="00F42842"/>
    <w:rsid w:val="00F43DF0"/>
    <w:rsid w:val="00F43EE0"/>
    <w:rsid w:val="00F443F8"/>
    <w:rsid w:val="00F44988"/>
    <w:rsid w:val="00F46E40"/>
    <w:rsid w:val="00F4760A"/>
    <w:rsid w:val="00F476E3"/>
    <w:rsid w:val="00F50B3B"/>
    <w:rsid w:val="00F50D5D"/>
    <w:rsid w:val="00F519A4"/>
    <w:rsid w:val="00F52227"/>
    <w:rsid w:val="00F52B8E"/>
    <w:rsid w:val="00F53CFD"/>
    <w:rsid w:val="00F54648"/>
    <w:rsid w:val="00F54AF5"/>
    <w:rsid w:val="00F5544F"/>
    <w:rsid w:val="00F557E3"/>
    <w:rsid w:val="00F55E21"/>
    <w:rsid w:val="00F56B9F"/>
    <w:rsid w:val="00F5710F"/>
    <w:rsid w:val="00F5775A"/>
    <w:rsid w:val="00F606D9"/>
    <w:rsid w:val="00F61284"/>
    <w:rsid w:val="00F61E78"/>
    <w:rsid w:val="00F62638"/>
    <w:rsid w:val="00F626D2"/>
    <w:rsid w:val="00F6313D"/>
    <w:rsid w:val="00F635C5"/>
    <w:rsid w:val="00F64072"/>
    <w:rsid w:val="00F651C8"/>
    <w:rsid w:val="00F65C3C"/>
    <w:rsid w:val="00F65E22"/>
    <w:rsid w:val="00F664E9"/>
    <w:rsid w:val="00F66910"/>
    <w:rsid w:val="00F67DB1"/>
    <w:rsid w:val="00F70730"/>
    <w:rsid w:val="00F7298F"/>
    <w:rsid w:val="00F72B0F"/>
    <w:rsid w:val="00F736E3"/>
    <w:rsid w:val="00F75202"/>
    <w:rsid w:val="00F7665D"/>
    <w:rsid w:val="00F767E8"/>
    <w:rsid w:val="00F76995"/>
    <w:rsid w:val="00F813DF"/>
    <w:rsid w:val="00F81813"/>
    <w:rsid w:val="00F823EC"/>
    <w:rsid w:val="00F8245E"/>
    <w:rsid w:val="00F847E6"/>
    <w:rsid w:val="00F84C75"/>
    <w:rsid w:val="00F85246"/>
    <w:rsid w:val="00F85313"/>
    <w:rsid w:val="00F862F9"/>
    <w:rsid w:val="00F86A3F"/>
    <w:rsid w:val="00F8753B"/>
    <w:rsid w:val="00F87ADB"/>
    <w:rsid w:val="00F90168"/>
    <w:rsid w:val="00F90C27"/>
    <w:rsid w:val="00F91297"/>
    <w:rsid w:val="00F9133B"/>
    <w:rsid w:val="00F93B3B"/>
    <w:rsid w:val="00F93E16"/>
    <w:rsid w:val="00F93FC8"/>
    <w:rsid w:val="00F94383"/>
    <w:rsid w:val="00F94935"/>
    <w:rsid w:val="00F97730"/>
    <w:rsid w:val="00FA231A"/>
    <w:rsid w:val="00FA3DBC"/>
    <w:rsid w:val="00FA3EF3"/>
    <w:rsid w:val="00FA4851"/>
    <w:rsid w:val="00FA4A77"/>
    <w:rsid w:val="00FA66F0"/>
    <w:rsid w:val="00FA6AB7"/>
    <w:rsid w:val="00FB0E14"/>
    <w:rsid w:val="00FB32A4"/>
    <w:rsid w:val="00FB3E0B"/>
    <w:rsid w:val="00FB4060"/>
    <w:rsid w:val="00FB594D"/>
    <w:rsid w:val="00FB67F1"/>
    <w:rsid w:val="00FB76DB"/>
    <w:rsid w:val="00FB7B30"/>
    <w:rsid w:val="00FC03C8"/>
    <w:rsid w:val="00FC047A"/>
    <w:rsid w:val="00FC1CB9"/>
    <w:rsid w:val="00FC218D"/>
    <w:rsid w:val="00FC21E0"/>
    <w:rsid w:val="00FC38E7"/>
    <w:rsid w:val="00FC49BB"/>
    <w:rsid w:val="00FC53D2"/>
    <w:rsid w:val="00FC5BE6"/>
    <w:rsid w:val="00FC72E5"/>
    <w:rsid w:val="00FC7B08"/>
    <w:rsid w:val="00FC7C5F"/>
    <w:rsid w:val="00FD0570"/>
    <w:rsid w:val="00FD16AC"/>
    <w:rsid w:val="00FD2856"/>
    <w:rsid w:val="00FD5139"/>
    <w:rsid w:val="00FD5540"/>
    <w:rsid w:val="00FD616B"/>
    <w:rsid w:val="00FD61D3"/>
    <w:rsid w:val="00FD6933"/>
    <w:rsid w:val="00FD7687"/>
    <w:rsid w:val="00FD76F9"/>
    <w:rsid w:val="00FE0419"/>
    <w:rsid w:val="00FE0A0F"/>
    <w:rsid w:val="00FE201A"/>
    <w:rsid w:val="00FE2FA0"/>
    <w:rsid w:val="00FE367F"/>
    <w:rsid w:val="00FE4636"/>
    <w:rsid w:val="00FE6BCE"/>
    <w:rsid w:val="00FE7989"/>
    <w:rsid w:val="00FF1D8A"/>
    <w:rsid w:val="00FF29DC"/>
    <w:rsid w:val="00FF36BC"/>
    <w:rsid w:val="00FF3A96"/>
    <w:rsid w:val="00FF6838"/>
    <w:rsid w:val="00FF6F38"/>
    <w:rsid w:val="00FF71D4"/>
    <w:rsid w:val="1A58EA95"/>
    <w:rsid w:val="709BD719"/>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12A0353"/>
  <w15:docId w15:val="{519CABCF-1788-874A-BC3B-734FF2A32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817A3"/>
    <w:rPr>
      <w:rFonts w:ascii="Cambria" w:hAnsi="Cambria"/>
      <w:lang w:eastAsia="en-US"/>
    </w:rPr>
  </w:style>
  <w:style w:type="paragraph" w:styleId="Heading1">
    <w:name w:val="heading 1"/>
    <w:next w:val="DHHSbody"/>
    <w:link w:val="Heading1Char"/>
    <w:qFormat/>
    <w:rsid w:val="001817A3"/>
    <w:pPr>
      <w:keepNext/>
      <w:keepLines/>
      <w:spacing w:before="2640" w:after="440" w:line="440" w:lineRule="atLeast"/>
      <w:ind w:left="1701"/>
      <w:outlineLvl w:val="0"/>
    </w:pPr>
    <w:rPr>
      <w:rFonts w:ascii="Arial" w:hAnsi="Arial"/>
      <w:bCs/>
      <w:color w:val="007B4B"/>
      <w:sz w:val="44"/>
      <w:szCs w:val="44"/>
      <w:lang w:eastAsia="en-US"/>
    </w:rPr>
  </w:style>
  <w:style w:type="paragraph" w:styleId="Heading2">
    <w:name w:val="heading 2"/>
    <w:next w:val="DHHSbody"/>
    <w:link w:val="Heading2Char"/>
    <w:uiPriority w:val="1"/>
    <w:qFormat/>
    <w:rsid w:val="001817A3"/>
    <w:pPr>
      <w:keepNext/>
      <w:keepLines/>
      <w:pageBreakBefore/>
      <w:spacing w:after="440" w:line="440" w:lineRule="atLeast"/>
      <w:outlineLvl w:val="1"/>
    </w:pPr>
    <w:rPr>
      <w:rFonts w:ascii="Arial" w:hAnsi="Arial" w:cs="Arial"/>
      <w:color w:val="007B4B"/>
      <w:sz w:val="44"/>
      <w:szCs w:val="28"/>
      <w:lang w:eastAsia="en-US"/>
    </w:rPr>
  </w:style>
  <w:style w:type="paragraph" w:styleId="Heading3">
    <w:name w:val="heading 3"/>
    <w:next w:val="DHHSbody"/>
    <w:link w:val="Heading3Char"/>
    <w:uiPriority w:val="1"/>
    <w:qFormat/>
    <w:rsid w:val="001817A3"/>
    <w:pPr>
      <w:keepNext/>
      <w:keepLines/>
      <w:spacing w:before="240" w:after="90" w:line="320" w:lineRule="atLeast"/>
      <w:outlineLvl w:val="2"/>
    </w:pPr>
    <w:rPr>
      <w:rFonts w:ascii="Arial" w:eastAsia="MS Gothic" w:hAnsi="Arial" w:cs="Arial"/>
      <w:b/>
      <w:bCs/>
      <w:color w:val="007B4B"/>
      <w:sz w:val="28"/>
      <w:szCs w:val="26"/>
      <w:lang w:eastAsia="en-US"/>
    </w:rPr>
  </w:style>
  <w:style w:type="paragraph" w:styleId="Heading4">
    <w:name w:val="heading 4"/>
    <w:next w:val="DHHSbody"/>
    <w:link w:val="Heading4Char"/>
    <w:uiPriority w:val="1"/>
    <w:qFormat/>
    <w:rsid w:val="00FD16AC"/>
    <w:pPr>
      <w:keepNext/>
      <w:keepLines/>
      <w:spacing w:before="240" w:after="120" w:line="280" w:lineRule="atLeast"/>
      <w:outlineLvl w:val="3"/>
    </w:pPr>
    <w:rPr>
      <w:rFonts w:ascii="Arial" w:eastAsia="MS Mincho" w:hAnsi="Arial" w:cs="Arial"/>
      <w:b/>
      <w:bCs/>
      <w:sz w:val="24"/>
      <w:lang w:eastAsia="en-US"/>
    </w:rPr>
  </w:style>
  <w:style w:type="paragraph" w:styleId="Heading5">
    <w:name w:val="heading 5"/>
    <w:next w:val="DHHSbody"/>
    <w:link w:val="Heading5Char"/>
    <w:uiPriority w:val="9"/>
    <w:qFormat/>
    <w:rsid w:val="00FD16AC"/>
    <w:pPr>
      <w:keepNext/>
      <w:keepLines/>
      <w:suppressAutoHyphens/>
      <w:spacing w:before="160" w:after="60" w:line="240" w:lineRule="atLeast"/>
      <w:outlineLvl w:val="4"/>
    </w:pPr>
    <w:rPr>
      <w:rFonts w:ascii="Arial" w:eastAsia="MS Mincho" w:hAnsi="Arial"/>
      <w:b/>
      <w:bCs/>
      <w:lang w:eastAsia="en-US"/>
    </w:rPr>
  </w:style>
  <w:style w:type="paragraph" w:styleId="Heading6">
    <w:name w:val="heading 6"/>
    <w:basedOn w:val="Normal"/>
    <w:next w:val="Normal"/>
    <w:link w:val="Heading6Char"/>
    <w:uiPriority w:val="9"/>
    <w:qFormat/>
    <w:rsid w:val="00FD16AC"/>
    <w:pPr>
      <w:keepNext/>
      <w:keepLines/>
      <w:spacing w:before="160" w:after="60"/>
      <w:outlineLvl w:val="5"/>
    </w:pPr>
    <w:rPr>
      <w:rFonts w:ascii="Arial" w:hAnsi="Arial" w:cs="Arial"/>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817A3"/>
    <w:rPr>
      <w:rFonts w:ascii="Arial" w:hAnsi="Arial"/>
      <w:bCs/>
      <w:color w:val="007B4B"/>
      <w:sz w:val="44"/>
      <w:szCs w:val="44"/>
      <w:lang w:eastAsia="en-US"/>
    </w:rPr>
  </w:style>
  <w:style w:type="character" w:customStyle="1" w:styleId="Heading2Char">
    <w:name w:val="Heading 2 Char"/>
    <w:link w:val="Heading2"/>
    <w:uiPriority w:val="1"/>
    <w:rsid w:val="001817A3"/>
    <w:rPr>
      <w:rFonts w:ascii="Arial" w:hAnsi="Arial" w:cs="Arial"/>
      <w:color w:val="007B4B"/>
      <w:sz w:val="44"/>
      <w:szCs w:val="28"/>
      <w:lang w:eastAsia="en-US"/>
    </w:rPr>
  </w:style>
  <w:style w:type="character" w:customStyle="1" w:styleId="Heading3Char">
    <w:name w:val="Heading 3 Char"/>
    <w:link w:val="Heading3"/>
    <w:uiPriority w:val="1"/>
    <w:rsid w:val="001817A3"/>
    <w:rPr>
      <w:rFonts w:ascii="Arial" w:eastAsia="MS Gothic" w:hAnsi="Arial" w:cs="Arial"/>
      <w:b/>
      <w:bCs/>
      <w:color w:val="007B4B"/>
      <w:sz w:val="28"/>
      <w:szCs w:val="26"/>
      <w:lang w:eastAsia="en-US"/>
    </w:rPr>
  </w:style>
  <w:style w:type="character" w:customStyle="1" w:styleId="Heading4Char">
    <w:name w:val="Heading 4 Char"/>
    <w:link w:val="Heading4"/>
    <w:uiPriority w:val="1"/>
    <w:rsid w:val="00FD16AC"/>
    <w:rPr>
      <w:rFonts w:ascii="Arial" w:eastAsia="MS Mincho" w:hAnsi="Arial" w:cs="Arial"/>
      <w:b/>
      <w:bCs/>
      <w:sz w:val="24"/>
      <w:lang w:eastAsia="en-US"/>
    </w:rPr>
  </w:style>
  <w:style w:type="paragraph" w:styleId="Header">
    <w:name w:val="header"/>
    <w:basedOn w:val="DHHSheader"/>
    <w:link w:val="HeaderChar"/>
    <w:uiPriority w:val="99"/>
    <w:rsid w:val="004E380D"/>
  </w:style>
  <w:style w:type="paragraph" w:styleId="Footer">
    <w:name w:val="footer"/>
    <w:basedOn w:val="DHHSfooter"/>
    <w:link w:val="FooterChar"/>
    <w:uiPriority w:val="99"/>
    <w:rsid w:val="0031753A"/>
  </w:style>
  <w:style w:type="character" w:styleId="FollowedHyperlink">
    <w:name w:val="FollowedHyperlink"/>
    <w:uiPriority w:val="99"/>
    <w:rsid w:val="00463817"/>
    <w:rPr>
      <w:color w:val="87189D"/>
      <w:u w:val="dotted"/>
    </w:rPr>
  </w:style>
  <w:style w:type="paragraph" w:customStyle="1" w:styleId="DHHStabletext6pt">
    <w:name w:val="DHHS table text + 6pt"/>
    <w:basedOn w:val="DHHStabletext"/>
    <w:rsid w:val="00E91933"/>
    <w:pPr>
      <w:spacing w:after="120"/>
    </w:pPr>
  </w:style>
  <w:style w:type="paragraph" w:styleId="Subtitle">
    <w:name w:val="Subtitle"/>
    <w:basedOn w:val="Normal"/>
    <w:next w:val="Normal"/>
    <w:link w:val="SubtitleChar"/>
    <w:uiPriority w:val="11"/>
    <w:qFormat/>
    <w:rsid w:val="00E71C46"/>
    <w:pPr>
      <w:spacing w:after="60"/>
      <w:jc w:val="center"/>
    </w:pPr>
    <w:rPr>
      <w:rFonts w:ascii="Calibri Light" w:hAnsi="Calibri Light"/>
      <w:sz w:val="24"/>
      <w:szCs w:val="24"/>
    </w:rPr>
  </w:style>
  <w:style w:type="paragraph" w:styleId="EndnoteText">
    <w:name w:val="endnote text"/>
    <w:basedOn w:val="Normal"/>
    <w:uiPriority w:val="99"/>
    <w:semiHidden/>
    <w:rsid w:val="00EA6F2B"/>
    <w:rPr>
      <w:sz w:val="24"/>
      <w:szCs w:val="24"/>
    </w:rPr>
  </w:style>
  <w:style w:type="character" w:styleId="EndnoteReference">
    <w:name w:val="endnote reference"/>
    <w:aliases w:val="Endnote Text Char"/>
    <w:semiHidden/>
    <w:rsid w:val="00923608"/>
    <w:rPr>
      <w:rFonts w:ascii="Arial" w:hAnsi="Arial"/>
      <w:sz w:val="20"/>
      <w:vertAlign w:val="superscript"/>
    </w:rPr>
  </w:style>
  <w:style w:type="table" w:styleId="TableGrid">
    <w:name w:val="Table Grid"/>
    <w:basedOn w:val="TableNormal"/>
    <w:uiPriority w:val="59"/>
    <w:rsid w:val="00CD058C"/>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DA7946"/>
  </w:style>
  <w:style w:type="paragraph" w:customStyle="1" w:styleId="DHHSreportsubtitle">
    <w:name w:val="DHHS report subtitle"/>
    <w:basedOn w:val="Normal"/>
    <w:uiPriority w:val="4"/>
    <w:rsid w:val="00630937"/>
    <w:pPr>
      <w:spacing w:after="120" w:line="380" w:lineRule="atLeast"/>
    </w:pPr>
    <w:rPr>
      <w:rFonts w:ascii="Arial" w:hAnsi="Arial"/>
      <w:color w:val="000000"/>
      <w:sz w:val="30"/>
      <w:szCs w:val="30"/>
    </w:rPr>
  </w:style>
  <w:style w:type="character" w:styleId="FootnoteReference">
    <w:name w:val="footnote reference"/>
    <w:rsid w:val="00D869F2"/>
    <w:rPr>
      <w:vertAlign w:val="superscript"/>
    </w:rPr>
  </w:style>
  <w:style w:type="paragraph" w:customStyle="1" w:styleId="DHHSreportmaintitle">
    <w:name w:val="DHHS report main title"/>
    <w:uiPriority w:val="4"/>
    <w:rsid w:val="001817A3"/>
    <w:pPr>
      <w:keepLines/>
      <w:spacing w:after="240" w:line="580" w:lineRule="atLeast"/>
    </w:pPr>
    <w:rPr>
      <w:rFonts w:ascii="Arial" w:hAnsi="Arial"/>
      <w:color w:val="007B4B"/>
      <w:sz w:val="50"/>
      <w:szCs w:val="24"/>
      <w:lang w:eastAsia="en-US"/>
    </w:rPr>
  </w:style>
  <w:style w:type="paragraph" w:styleId="FootnoteText">
    <w:name w:val="footnote text"/>
    <w:basedOn w:val="Normal"/>
    <w:link w:val="FootnoteTextChar"/>
    <w:rsid w:val="003072C6"/>
    <w:pPr>
      <w:spacing w:before="60" w:after="60" w:line="200" w:lineRule="atLeast"/>
    </w:pPr>
    <w:rPr>
      <w:rFonts w:ascii="Arial" w:eastAsia="MS Gothic" w:hAnsi="Arial" w:cs="Arial"/>
      <w:sz w:val="16"/>
      <w:szCs w:val="16"/>
    </w:rPr>
  </w:style>
  <w:style w:type="paragraph" w:styleId="TOC1">
    <w:name w:val="toc 1"/>
    <w:basedOn w:val="Normal"/>
    <w:next w:val="Normal"/>
    <w:uiPriority w:val="39"/>
    <w:rsid w:val="000C7551"/>
    <w:pPr>
      <w:tabs>
        <w:tab w:val="right" w:leader="dot" w:pos="9299"/>
      </w:tabs>
      <w:spacing w:before="240" w:after="60" w:line="270" w:lineRule="atLeast"/>
    </w:pPr>
    <w:rPr>
      <w:rFonts w:ascii="Arial" w:hAnsi="Arial"/>
      <w:b/>
      <w:caps/>
      <w:noProof/>
    </w:rPr>
  </w:style>
  <w:style w:type="paragraph" w:styleId="TOC2">
    <w:name w:val="toc 2"/>
    <w:basedOn w:val="Normal"/>
    <w:next w:val="Normal"/>
    <w:uiPriority w:val="39"/>
    <w:rsid w:val="000C7551"/>
    <w:pPr>
      <w:tabs>
        <w:tab w:val="right" w:leader="dot" w:pos="9299"/>
      </w:tabs>
      <w:spacing w:before="120" w:after="60" w:line="270" w:lineRule="atLeast"/>
    </w:pPr>
    <w:rPr>
      <w:rFonts w:ascii="Arial" w:hAnsi="Arial"/>
      <w:b/>
      <w:noProof/>
    </w:rPr>
  </w:style>
  <w:style w:type="paragraph" w:styleId="TOC3">
    <w:name w:val="toc 3"/>
    <w:basedOn w:val="Normal"/>
    <w:next w:val="Normal"/>
    <w:uiPriority w:val="39"/>
    <w:rsid w:val="000C7551"/>
    <w:pPr>
      <w:tabs>
        <w:tab w:val="right" w:leader="dot" w:pos="9299"/>
      </w:tabs>
      <w:spacing w:after="60" w:line="270" w:lineRule="atLeast"/>
    </w:pPr>
    <w:rPr>
      <w:rFonts w:ascii="Arial" w:hAnsi="Arial" w:cs="Arial"/>
    </w:rPr>
  </w:style>
  <w:style w:type="paragraph" w:styleId="TOC4">
    <w:name w:val="toc 4"/>
    <w:basedOn w:val="Normal"/>
    <w:next w:val="Normal"/>
    <w:uiPriority w:val="39"/>
    <w:rsid w:val="000C7551"/>
    <w:pPr>
      <w:keepLines/>
      <w:tabs>
        <w:tab w:val="right" w:leader="dot" w:pos="9299"/>
      </w:tabs>
      <w:spacing w:after="60" w:line="270" w:lineRule="atLeast"/>
      <w:ind w:left="567"/>
    </w:pPr>
    <w:rPr>
      <w:rFonts w:ascii="Arial" w:hAnsi="Arial" w:cs="Arial"/>
    </w:rPr>
  </w:style>
  <w:style w:type="paragraph" w:styleId="TOC5">
    <w:name w:val="toc 5"/>
    <w:basedOn w:val="Normal"/>
    <w:next w:val="Normal"/>
    <w:autoRedefine/>
    <w:uiPriority w:val="39"/>
    <w:semiHidden/>
    <w:rsid w:val="00862D33"/>
    <w:pPr>
      <w:ind w:left="800"/>
    </w:pPr>
  </w:style>
  <w:style w:type="paragraph" w:styleId="TOC6">
    <w:name w:val="toc 6"/>
    <w:basedOn w:val="Normal"/>
    <w:next w:val="Normal"/>
    <w:autoRedefine/>
    <w:uiPriority w:val="39"/>
    <w:semiHidden/>
    <w:rsid w:val="00862D33"/>
    <w:pPr>
      <w:ind w:left="1000"/>
    </w:pPr>
  </w:style>
  <w:style w:type="paragraph" w:styleId="TOC7">
    <w:name w:val="toc 7"/>
    <w:basedOn w:val="Normal"/>
    <w:next w:val="Normal"/>
    <w:autoRedefine/>
    <w:uiPriority w:val="39"/>
    <w:semiHidden/>
    <w:rsid w:val="00862D33"/>
    <w:pPr>
      <w:ind w:left="1200"/>
    </w:pPr>
  </w:style>
  <w:style w:type="paragraph" w:styleId="TOC8">
    <w:name w:val="toc 8"/>
    <w:basedOn w:val="Normal"/>
    <w:next w:val="Normal"/>
    <w:autoRedefine/>
    <w:uiPriority w:val="39"/>
    <w:semiHidden/>
    <w:rsid w:val="00862D33"/>
    <w:pPr>
      <w:ind w:left="1400"/>
    </w:pPr>
  </w:style>
  <w:style w:type="paragraph" w:styleId="TOC9">
    <w:name w:val="toc 9"/>
    <w:basedOn w:val="Normal"/>
    <w:next w:val="Normal"/>
    <w:autoRedefine/>
    <w:uiPriority w:val="39"/>
    <w:semiHidden/>
    <w:rsid w:val="00862D33"/>
    <w:pPr>
      <w:ind w:left="1600"/>
    </w:pPr>
  </w:style>
  <w:style w:type="paragraph" w:customStyle="1" w:styleId="DHHSreportmaintitlewhite">
    <w:name w:val="DHHS report main title white"/>
    <w:uiPriority w:val="4"/>
    <w:rsid w:val="00E91933"/>
    <w:pPr>
      <w:keepLines/>
      <w:spacing w:after="240" w:line="580" w:lineRule="atLeast"/>
    </w:pPr>
    <w:rPr>
      <w:rFonts w:ascii="Arial" w:hAnsi="Arial"/>
      <w:bCs/>
      <w:color w:val="FFFFFF"/>
      <w:sz w:val="50"/>
      <w:szCs w:val="50"/>
      <w:lang w:eastAsia="en-US"/>
    </w:rPr>
  </w:style>
  <w:style w:type="paragraph" w:customStyle="1" w:styleId="DHHSreportsubtitlewhite">
    <w:name w:val="DHHS report subtitle white"/>
    <w:uiPriority w:val="4"/>
    <w:rsid w:val="00E91933"/>
    <w:pPr>
      <w:spacing w:after="120" w:line="380" w:lineRule="atLeast"/>
    </w:pPr>
    <w:rPr>
      <w:rFonts w:ascii="Arial" w:hAnsi="Arial"/>
      <w:bCs/>
      <w:color w:val="FFFFFF"/>
      <w:sz w:val="30"/>
      <w:szCs w:val="30"/>
      <w:lang w:eastAsia="en-US"/>
    </w:rPr>
  </w:style>
  <w:style w:type="paragraph" w:customStyle="1" w:styleId="Coverinstructions">
    <w:name w:val="Cover instructions"/>
    <w:uiPriority w:val="99"/>
    <w:rsid w:val="001A7E04"/>
    <w:pPr>
      <w:spacing w:after="200" w:line="320" w:lineRule="atLeast"/>
    </w:pPr>
    <w:rPr>
      <w:rFonts w:ascii="Arial" w:hAnsi="Arial"/>
      <w:color w:val="FFFFFF"/>
      <w:sz w:val="24"/>
      <w:lang w:eastAsia="en-US"/>
    </w:rPr>
  </w:style>
  <w:style w:type="character" w:customStyle="1" w:styleId="Heading5Char">
    <w:name w:val="Heading 5 Char"/>
    <w:link w:val="Heading5"/>
    <w:uiPriority w:val="9"/>
    <w:rsid w:val="00FD16AC"/>
    <w:rPr>
      <w:rFonts w:ascii="Arial" w:eastAsia="MS Mincho" w:hAnsi="Arial"/>
      <w:b/>
      <w:bCs/>
      <w:lang w:eastAsia="en-US"/>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463817"/>
    <w:rPr>
      <w:color w:val="0072CE"/>
      <w:u w:val="dotted"/>
    </w:rPr>
  </w:style>
  <w:style w:type="paragraph" w:customStyle="1" w:styleId="DHHSbody">
    <w:name w:val="DHHS body"/>
    <w:qFormat/>
    <w:rsid w:val="00E30414"/>
    <w:pPr>
      <w:spacing w:after="120" w:line="270" w:lineRule="atLeast"/>
    </w:pPr>
    <w:rPr>
      <w:rFonts w:ascii="Arial" w:eastAsia="Times" w:hAnsi="Arial"/>
      <w:lang w:eastAsia="en-US"/>
    </w:rPr>
  </w:style>
  <w:style w:type="paragraph" w:customStyle="1" w:styleId="DHHSbullet1">
    <w:name w:val="DHHS bullet 1"/>
    <w:basedOn w:val="DHHSbody"/>
    <w:qFormat/>
    <w:rsid w:val="00721219"/>
    <w:pPr>
      <w:numPr>
        <w:numId w:val="34"/>
      </w:numPr>
      <w:spacing w:after="40"/>
    </w:pPr>
  </w:style>
  <w:style w:type="paragraph" w:customStyle="1" w:styleId="DHHSnumberloweralpha">
    <w:name w:val="DHHS number lower alpha"/>
    <w:basedOn w:val="DHHSbody"/>
    <w:uiPriority w:val="3"/>
    <w:rsid w:val="00721219"/>
    <w:pPr>
      <w:numPr>
        <w:numId w:val="36"/>
      </w:numPr>
    </w:pPr>
  </w:style>
  <w:style w:type="paragraph" w:customStyle="1" w:styleId="DHHSnumberloweralphaindent">
    <w:name w:val="DHHS number lower alpha indent"/>
    <w:basedOn w:val="DHHSbody"/>
    <w:uiPriority w:val="3"/>
    <w:rsid w:val="00721219"/>
    <w:pPr>
      <w:numPr>
        <w:ilvl w:val="1"/>
        <w:numId w:val="36"/>
      </w:numPr>
    </w:pPr>
  </w:style>
  <w:style w:type="paragraph" w:customStyle="1" w:styleId="DHHStablefigurenote">
    <w:name w:val="DHHS table/figure note"/>
    <w:uiPriority w:val="4"/>
    <w:rsid w:val="00C82A8D"/>
    <w:pPr>
      <w:spacing w:before="60" w:after="60" w:line="240" w:lineRule="exact"/>
    </w:pPr>
    <w:rPr>
      <w:rFonts w:ascii="Arial" w:hAnsi="Arial"/>
      <w:sz w:val="18"/>
      <w:lang w:eastAsia="en-US"/>
    </w:rPr>
  </w:style>
  <w:style w:type="paragraph" w:customStyle="1" w:styleId="DHHStabletext">
    <w:name w:val="DHHS table text"/>
    <w:uiPriority w:val="3"/>
    <w:qFormat/>
    <w:rsid w:val="00E30414"/>
    <w:pPr>
      <w:spacing w:before="80" w:after="60"/>
    </w:pPr>
    <w:rPr>
      <w:rFonts w:ascii="Arial" w:hAnsi="Arial"/>
      <w:lang w:eastAsia="en-US"/>
    </w:rPr>
  </w:style>
  <w:style w:type="paragraph" w:customStyle="1" w:styleId="DHHStablecaption">
    <w:name w:val="DHHS table caption"/>
    <w:next w:val="DHHSbody"/>
    <w:uiPriority w:val="3"/>
    <w:qFormat/>
    <w:rsid w:val="004E21E2"/>
    <w:pPr>
      <w:keepNext/>
      <w:keepLines/>
      <w:spacing w:before="240" w:after="120" w:line="240" w:lineRule="atLeast"/>
    </w:pPr>
    <w:rPr>
      <w:rFonts w:ascii="Arial" w:hAnsi="Arial"/>
      <w:b/>
      <w:lang w:eastAsia="en-US"/>
    </w:rPr>
  </w:style>
  <w:style w:type="paragraph" w:customStyle="1" w:styleId="DHHSfigurecaption">
    <w:name w:val="DHHS figure caption"/>
    <w:next w:val="DHHSbody"/>
    <w:link w:val="DHHSfigurecaptionChar"/>
    <w:uiPriority w:val="4"/>
    <w:rsid w:val="00E91933"/>
    <w:pPr>
      <w:keepNext/>
      <w:keepLines/>
      <w:spacing w:before="240" w:after="120"/>
    </w:pPr>
    <w:rPr>
      <w:rFonts w:ascii="Arial" w:hAnsi="Arial"/>
      <w:b/>
      <w:lang w:eastAsia="en-US"/>
    </w:rPr>
  </w:style>
  <w:style w:type="paragraph" w:customStyle="1" w:styleId="DHHSfooter">
    <w:name w:val="DHHS footer"/>
    <w:uiPriority w:val="11"/>
    <w:rsid w:val="00E969B1"/>
    <w:pPr>
      <w:tabs>
        <w:tab w:val="right" w:pos="9299"/>
      </w:tabs>
    </w:pPr>
    <w:rPr>
      <w:rFonts w:ascii="Arial" w:hAnsi="Arial" w:cs="Arial"/>
      <w:sz w:val="18"/>
      <w:szCs w:val="18"/>
      <w:lang w:eastAsia="en-US"/>
    </w:rPr>
  </w:style>
  <w:style w:type="paragraph" w:customStyle="1" w:styleId="DHHSbullet2">
    <w:name w:val="DHHS bullet 2"/>
    <w:basedOn w:val="DHHSbody"/>
    <w:uiPriority w:val="2"/>
    <w:qFormat/>
    <w:rsid w:val="00721219"/>
    <w:pPr>
      <w:numPr>
        <w:ilvl w:val="1"/>
        <w:numId w:val="34"/>
      </w:numPr>
      <w:spacing w:after="40"/>
    </w:pPr>
  </w:style>
  <w:style w:type="paragraph" w:customStyle="1" w:styleId="DHHSheader">
    <w:name w:val="DHHS header"/>
    <w:basedOn w:val="DHHSfooter"/>
    <w:uiPriority w:val="11"/>
    <w:rsid w:val="00E969B1"/>
  </w:style>
  <w:style w:type="character" w:styleId="Strong">
    <w:name w:val="Strong"/>
    <w:uiPriority w:val="22"/>
    <w:qFormat/>
    <w:rsid w:val="00DC19D8"/>
    <w:rPr>
      <w:b/>
      <w:bCs/>
    </w:rPr>
  </w:style>
  <w:style w:type="paragraph" w:customStyle="1" w:styleId="DHHSnumberdigit">
    <w:name w:val="DHHS number digit"/>
    <w:basedOn w:val="DHHSbody"/>
    <w:uiPriority w:val="2"/>
    <w:rsid w:val="00721219"/>
    <w:pPr>
      <w:numPr>
        <w:numId w:val="26"/>
      </w:numPr>
    </w:pPr>
  </w:style>
  <w:style w:type="paragraph" w:customStyle="1" w:styleId="DHHStablecolhead">
    <w:name w:val="DHHS table col head"/>
    <w:uiPriority w:val="3"/>
    <w:qFormat/>
    <w:rsid w:val="0077273C"/>
    <w:pPr>
      <w:spacing w:before="80" w:after="60"/>
    </w:pPr>
    <w:rPr>
      <w:rFonts w:ascii="Arial" w:hAnsi="Arial"/>
      <w:b/>
      <w:color w:val="FFFFFF" w:themeColor="background1"/>
      <w:lang w:eastAsia="en-US"/>
    </w:rPr>
  </w:style>
  <w:style w:type="paragraph" w:customStyle="1" w:styleId="DHHSbodyaftertablefigure">
    <w:name w:val="DHHS body after table/figure"/>
    <w:basedOn w:val="DHHSbody"/>
    <w:next w:val="DHHSbody"/>
    <w:uiPriority w:val="99"/>
    <w:rsid w:val="00876275"/>
    <w:pPr>
      <w:spacing w:before="240"/>
    </w:pPr>
  </w:style>
  <w:style w:type="paragraph" w:customStyle="1" w:styleId="DHHSTOCheadingreport">
    <w:name w:val="DHHS TOC heading report"/>
    <w:basedOn w:val="Heading1"/>
    <w:link w:val="DHHSTOCheadingreportChar"/>
    <w:uiPriority w:val="5"/>
    <w:rsid w:val="001817A3"/>
    <w:pPr>
      <w:spacing w:before="0"/>
      <w:ind w:left="0"/>
      <w:outlineLvl w:val="9"/>
    </w:pPr>
  </w:style>
  <w:style w:type="character" w:customStyle="1" w:styleId="DHHSTOCheadingreportChar">
    <w:name w:val="DHHS TOC heading report Char"/>
    <w:link w:val="DHHSTOCheadingreport"/>
    <w:uiPriority w:val="5"/>
    <w:rsid w:val="001817A3"/>
    <w:rPr>
      <w:rFonts w:ascii="Arial" w:hAnsi="Arial"/>
      <w:bCs/>
      <w:color w:val="007B4B"/>
      <w:sz w:val="44"/>
      <w:szCs w:val="44"/>
      <w:lang w:eastAsia="en-US"/>
    </w:rPr>
  </w:style>
  <w:style w:type="paragraph" w:customStyle="1" w:styleId="DHHSaccessibilitypara">
    <w:name w:val="DHHS accessibility para"/>
    <w:uiPriority w:val="8"/>
    <w:rsid w:val="00B0300B"/>
    <w:pPr>
      <w:spacing w:after="300" w:line="300" w:lineRule="atLeast"/>
    </w:pPr>
    <w:rPr>
      <w:rFonts w:ascii="Arial" w:eastAsia="Times" w:hAnsi="Arial"/>
      <w:sz w:val="24"/>
      <w:szCs w:val="19"/>
      <w:lang w:eastAsia="en-US"/>
    </w:rPr>
  </w:style>
  <w:style w:type="paragraph" w:customStyle="1" w:styleId="DHHSbodynospace">
    <w:name w:val="DHHS body no space"/>
    <w:basedOn w:val="DHHSbody"/>
    <w:uiPriority w:val="3"/>
    <w:qFormat/>
    <w:rsid w:val="00CA6D4E"/>
    <w:pPr>
      <w:spacing w:after="0"/>
    </w:pPr>
  </w:style>
  <w:style w:type="paragraph" w:customStyle="1" w:styleId="DHHSquote">
    <w:name w:val="DHHS quote"/>
    <w:basedOn w:val="DHHSbody"/>
    <w:uiPriority w:val="4"/>
    <w:rsid w:val="00E75ED2"/>
    <w:pPr>
      <w:ind w:left="397"/>
    </w:pPr>
    <w:rPr>
      <w:szCs w:val="18"/>
    </w:rPr>
  </w:style>
  <w:style w:type="numbering" w:customStyle="1" w:styleId="ZZBullets">
    <w:name w:val="ZZ Bullets"/>
    <w:rsid w:val="00721219"/>
    <w:pPr>
      <w:numPr>
        <w:numId w:val="1"/>
      </w:numPr>
    </w:pPr>
  </w:style>
  <w:style w:type="numbering" w:customStyle="1" w:styleId="ZZNumbers">
    <w:name w:val="ZZ Numbers"/>
    <w:rsid w:val="00CF7CB6"/>
    <w:pPr>
      <w:numPr>
        <w:numId w:val="2"/>
      </w:numPr>
    </w:pPr>
  </w:style>
  <w:style w:type="paragraph" w:customStyle="1" w:styleId="DHHSnumberlowerroman">
    <w:name w:val="DHHS number lower roman"/>
    <w:basedOn w:val="DHHSbody"/>
    <w:uiPriority w:val="3"/>
    <w:rsid w:val="00721219"/>
    <w:pPr>
      <w:numPr>
        <w:numId w:val="37"/>
      </w:numPr>
    </w:pPr>
  </w:style>
  <w:style w:type="paragraph" w:customStyle="1" w:styleId="DHHSnumberlowerromanindent">
    <w:name w:val="DHHS number lower roman indent"/>
    <w:basedOn w:val="DHHSbody"/>
    <w:uiPriority w:val="3"/>
    <w:rsid w:val="00721219"/>
    <w:pPr>
      <w:numPr>
        <w:ilvl w:val="1"/>
        <w:numId w:val="37"/>
      </w:numPr>
    </w:pPr>
  </w:style>
  <w:style w:type="paragraph" w:customStyle="1" w:styleId="DHHSnumberdigitindent">
    <w:name w:val="DHHS number digit indent"/>
    <w:basedOn w:val="DHHSnumberloweralphaindent"/>
    <w:uiPriority w:val="3"/>
    <w:rsid w:val="001817A3"/>
    <w:pPr>
      <w:numPr>
        <w:numId w:val="24"/>
      </w:numPr>
    </w:pPr>
  </w:style>
  <w:style w:type="character" w:customStyle="1" w:styleId="SubtitleChar">
    <w:name w:val="Subtitle Char"/>
    <w:link w:val="Subtitle"/>
    <w:uiPriority w:val="11"/>
    <w:rsid w:val="00E71C46"/>
    <w:rPr>
      <w:rFonts w:ascii="Calibri Light" w:eastAsia="Times New Roman" w:hAnsi="Calibri Light" w:cs="Times New Roman"/>
      <w:sz w:val="24"/>
      <w:szCs w:val="24"/>
      <w:lang w:eastAsia="en-US"/>
    </w:rPr>
  </w:style>
  <w:style w:type="paragraph" w:styleId="Title">
    <w:name w:val="Title"/>
    <w:basedOn w:val="Normal"/>
    <w:next w:val="Normal"/>
    <w:link w:val="TitleChar"/>
    <w:uiPriority w:val="10"/>
    <w:qFormat/>
    <w:rsid w:val="00E71C46"/>
    <w:pPr>
      <w:spacing w:before="240" w:after="60"/>
      <w:jc w:val="center"/>
    </w:pPr>
    <w:rPr>
      <w:rFonts w:ascii="Calibri Light" w:hAnsi="Calibri Light"/>
      <w:b/>
      <w:bCs/>
      <w:kern w:val="28"/>
      <w:sz w:val="32"/>
      <w:szCs w:val="32"/>
    </w:rPr>
  </w:style>
  <w:style w:type="character" w:customStyle="1" w:styleId="TitleChar">
    <w:name w:val="Title Char"/>
    <w:link w:val="Title"/>
    <w:uiPriority w:val="10"/>
    <w:rsid w:val="00E71C46"/>
    <w:rPr>
      <w:rFonts w:ascii="Calibri Light" w:eastAsia="Times New Roman" w:hAnsi="Calibri Light" w:cs="Times New Roman"/>
      <w:b/>
      <w:bCs/>
      <w:kern w:val="28"/>
      <w:sz w:val="32"/>
      <w:szCs w:val="32"/>
      <w:lang w:eastAsia="en-US"/>
    </w:rPr>
  </w:style>
  <w:style w:type="paragraph" w:styleId="Revision">
    <w:name w:val="Revision"/>
    <w:hidden/>
    <w:uiPriority w:val="99"/>
    <w:rsid w:val="00F84C75"/>
    <w:rPr>
      <w:rFonts w:ascii="Cambria" w:hAnsi="Cambria"/>
      <w:lang w:eastAsia="en-US"/>
    </w:rPr>
  </w:style>
  <w:style w:type="paragraph" w:styleId="BalloonText">
    <w:name w:val="Balloon Text"/>
    <w:basedOn w:val="Normal"/>
    <w:link w:val="BalloonTextChar"/>
    <w:uiPriority w:val="99"/>
    <w:semiHidden/>
    <w:unhideWhenUsed/>
    <w:rsid w:val="00F84C75"/>
    <w:rPr>
      <w:rFonts w:ascii="Tahoma" w:hAnsi="Tahoma" w:cs="Tahoma"/>
      <w:sz w:val="16"/>
      <w:szCs w:val="16"/>
    </w:rPr>
  </w:style>
  <w:style w:type="character" w:customStyle="1" w:styleId="BalloonTextChar">
    <w:name w:val="Balloon Text Char"/>
    <w:basedOn w:val="DefaultParagraphFont"/>
    <w:link w:val="BalloonText"/>
    <w:uiPriority w:val="99"/>
    <w:semiHidden/>
    <w:rsid w:val="00F84C75"/>
    <w:rPr>
      <w:rFonts w:ascii="Tahoma" w:hAnsi="Tahoma" w:cs="Tahoma"/>
      <w:sz w:val="16"/>
      <w:szCs w:val="16"/>
      <w:lang w:eastAsia="en-US"/>
    </w:rPr>
  </w:style>
  <w:style w:type="paragraph" w:customStyle="1" w:styleId="zreportaddinfo">
    <w:name w:val="zreport addinfo"/>
    <w:basedOn w:val="Normal"/>
    <w:semiHidden/>
    <w:rsid w:val="00F84C75"/>
    <w:pPr>
      <w:framePr w:wrap="around" w:hAnchor="margin" w:xAlign="center" w:yAlign="bottom"/>
      <w:spacing w:line="240" w:lineRule="exact"/>
      <w:jc w:val="center"/>
    </w:pPr>
    <w:rPr>
      <w:rFonts w:ascii="Times New Roman" w:hAnsi="Times New Roman"/>
      <w:noProof/>
    </w:rPr>
  </w:style>
  <w:style w:type="paragraph" w:customStyle="1" w:styleId="DHHSbodylargespace">
    <w:name w:val="DHHS body large space"/>
    <w:basedOn w:val="DHHSbody"/>
    <w:rsid w:val="00F84C75"/>
    <w:pPr>
      <w:spacing w:after="300"/>
    </w:pPr>
  </w:style>
  <w:style w:type="character" w:styleId="CommentReference">
    <w:name w:val="annotation reference"/>
    <w:uiPriority w:val="99"/>
    <w:semiHidden/>
    <w:unhideWhenUsed/>
    <w:rsid w:val="00F84C75"/>
    <w:rPr>
      <w:sz w:val="16"/>
      <w:szCs w:val="16"/>
    </w:rPr>
  </w:style>
  <w:style w:type="paragraph" w:styleId="CommentText">
    <w:name w:val="annotation text"/>
    <w:basedOn w:val="Normal"/>
    <w:link w:val="CommentTextChar"/>
    <w:uiPriority w:val="99"/>
    <w:unhideWhenUsed/>
    <w:rsid w:val="00F84C75"/>
  </w:style>
  <w:style w:type="character" w:customStyle="1" w:styleId="CommentTextChar">
    <w:name w:val="Comment Text Char"/>
    <w:basedOn w:val="DefaultParagraphFont"/>
    <w:link w:val="CommentText"/>
    <w:uiPriority w:val="99"/>
    <w:rsid w:val="00F84C75"/>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F84C75"/>
    <w:rPr>
      <w:b/>
      <w:bCs/>
    </w:rPr>
  </w:style>
  <w:style w:type="character" w:customStyle="1" w:styleId="CommentSubjectChar">
    <w:name w:val="Comment Subject Char"/>
    <w:basedOn w:val="CommentTextChar"/>
    <w:link w:val="CommentSubject"/>
    <w:uiPriority w:val="99"/>
    <w:semiHidden/>
    <w:rsid w:val="00F84C75"/>
    <w:rPr>
      <w:rFonts w:ascii="Cambria" w:hAnsi="Cambria"/>
      <w:b/>
      <w:bCs/>
      <w:lang w:eastAsia="en-US"/>
    </w:rPr>
  </w:style>
  <w:style w:type="paragraph" w:styleId="BodyText">
    <w:name w:val="Body Text"/>
    <w:basedOn w:val="Normal"/>
    <w:link w:val="BodyTextChar"/>
    <w:uiPriority w:val="99"/>
    <w:unhideWhenUsed/>
    <w:rsid w:val="00F84C75"/>
    <w:pPr>
      <w:spacing w:after="120"/>
    </w:pPr>
  </w:style>
  <w:style w:type="character" w:customStyle="1" w:styleId="BodyTextChar">
    <w:name w:val="Body Text Char"/>
    <w:basedOn w:val="DefaultParagraphFont"/>
    <w:link w:val="BodyText"/>
    <w:uiPriority w:val="99"/>
    <w:rsid w:val="00F84C75"/>
    <w:rPr>
      <w:rFonts w:ascii="Cambria" w:hAnsi="Cambria"/>
      <w:lang w:eastAsia="en-US"/>
    </w:rPr>
  </w:style>
  <w:style w:type="paragraph" w:styleId="NormalWeb">
    <w:name w:val="Normal (Web)"/>
    <w:basedOn w:val="Normal"/>
    <w:uiPriority w:val="99"/>
    <w:semiHidden/>
    <w:unhideWhenUsed/>
    <w:rsid w:val="00F84C75"/>
    <w:pPr>
      <w:spacing w:before="100" w:beforeAutospacing="1" w:after="100" w:afterAutospacing="1"/>
    </w:pPr>
    <w:rPr>
      <w:rFonts w:ascii="Verdana" w:hAnsi="Verdana"/>
      <w:color w:val="000000"/>
      <w:sz w:val="18"/>
      <w:szCs w:val="24"/>
    </w:rPr>
  </w:style>
  <w:style w:type="character" w:customStyle="1" w:styleId="FootnoteTextChar">
    <w:name w:val="Footnote Text Char"/>
    <w:link w:val="FootnoteText"/>
    <w:rsid w:val="00F84C75"/>
    <w:rPr>
      <w:rFonts w:ascii="Arial" w:eastAsia="MS Gothic" w:hAnsi="Arial" w:cs="Arial"/>
      <w:sz w:val="16"/>
      <w:szCs w:val="16"/>
      <w:lang w:eastAsia="en-US"/>
    </w:rPr>
  </w:style>
  <w:style w:type="character" w:customStyle="1" w:styleId="HeaderChar">
    <w:name w:val="Header Char"/>
    <w:link w:val="Header"/>
    <w:uiPriority w:val="99"/>
    <w:rsid w:val="00F84C75"/>
    <w:rPr>
      <w:rFonts w:ascii="Arial" w:hAnsi="Arial" w:cs="Arial"/>
      <w:sz w:val="18"/>
      <w:szCs w:val="18"/>
      <w:lang w:eastAsia="en-US"/>
    </w:rPr>
  </w:style>
  <w:style w:type="character" w:customStyle="1" w:styleId="FooterChar">
    <w:name w:val="Footer Char"/>
    <w:link w:val="Footer"/>
    <w:uiPriority w:val="99"/>
    <w:rsid w:val="00F84C75"/>
    <w:rPr>
      <w:rFonts w:ascii="Arial" w:hAnsi="Arial" w:cs="Arial"/>
      <w:sz w:val="18"/>
      <w:szCs w:val="18"/>
      <w:lang w:eastAsia="en-US"/>
    </w:rPr>
  </w:style>
  <w:style w:type="paragraph" w:styleId="ListBullet">
    <w:name w:val="List Bullet"/>
    <w:basedOn w:val="Normal"/>
    <w:uiPriority w:val="99"/>
    <w:semiHidden/>
    <w:unhideWhenUsed/>
    <w:rsid w:val="00F84C75"/>
    <w:pPr>
      <w:numPr>
        <w:numId w:val="3"/>
      </w:numPr>
      <w:contextualSpacing/>
    </w:pPr>
    <w:rPr>
      <w:rFonts w:ascii="Calibri" w:hAnsi="Calibri"/>
      <w:sz w:val="24"/>
      <w:szCs w:val="24"/>
      <w:lang w:val="en-US"/>
    </w:rPr>
  </w:style>
  <w:style w:type="character" w:styleId="Emphasis">
    <w:name w:val="Emphasis"/>
    <w:uiPriority w:val="20"/>
    <w:qFormat/>
    <w:rsid w:val="00F84C75"/>
    <w:rPr>
      <w:i/>
      <w:iCs/>
    </w:rPr>
  </w:style>
  <w:style w:type="character" w:customStyle="1" w:styleId="DHHSfootnoteChar">
    <w:name w:val="DHHS footnote Char"/>
    <w:link w:val="DHHSfootnote"/>
    <w:uiPriority w:val="4"/>
    <w:locked/>
    <w:rsid w:val="00F84C75"/>
    <w:rPr>
      <w:rFonts w:ascii="Arial" w:hAnsi="Arial" w:cs="Arial"/>
      <w:sz w:val="16"/>
      <w:szCs w:val="16"/>
      <w:lang w:eastAsia="en-US"/>
    </w:rPr>
  </w:style>
  <w:style w:type="paragraph" w:customStyle="1" w:styleId="DHHSfootnote">
    <w:name w:val="DHHS footnote"/>
    <w:link w:val="DHHSfootnoteChar"/>
    <w:uiPriority w:val="4"/>
    <w:rsid w:val="00F84C75"/>
    <w:pPr>
      <w:spacing w:before="60" w:after="60" w:line="200" w:lineRule="atLeast"/>
    </w:pPr>
    <w:rPr>
      <w:rFonts w:ascii="Arial" w:hAnsi="Arial" w:cs="Arial"/>
      <w:sz w:val="16"/>
      <w:szCs w:val="16"/>
      <w:lang w:eastAsia="en-US"/>
    </w:rPr>
  </w:style>
  <w:style w:type="character" w:customStyle="1" w:styleId="DHHSfigurecaptionChar">
    <w:name w:val="DHHS figure caption Char"/>
    <w:link w:val="DHHSfigurecaption"/>
    <w:uiPriority w:val="4"/>
    <w:locked/>
    <w:rsid w:val="00F84C75"/>
    <w:rPr>
      <w:rFonts w:ascii="Arial" w:hAnsi="Arial"/>
      <w:b/>
      <w:lang w:eastAsia="en-US"/>
    </w:rPr>
  </w:style>
  <w:style w:type="character" w:customStyle="1" w:styleId="HealthbodyChar">
    <w:name w:val="Health body Char"/>
    <w:link w:val="Healthbody"/>
    <w:uiPriority w:val="99"/>
    <w:locked/>
    <w:rsid w:val="00F84C75"/>
    <w:rPr>
      <w:rFonts w:ascii="Arial" w:hAnsi="Arial" w:cs="Arial"/>
      <w:sz w:val="22"/>
      <w:szCs w:val="22"/>
      <w:lang w:eastAsia="en-US"/>
    </w:rPr>
  </w:style>
  <w:style w:type="paragraph" w:customStyle="1" w:styleId="Healthbody">
    <w:name w:val="Health body"/>
    <w:link w:val="HealthbodyChar"/>
    <w:uiPriority w:val="99"/>
    <w:rsid w:val="00F84C75"/>
    <w:pPr>
      <w:spacing w:after="120" w:line="270" w:lineRule="atLeast"/>
    </w:pPr>
    <w:rPr>
      <w:rFonts w:ascii="Arial" w:hAnsi="Arial" w:cs="Arial"/>
      <w:sz w:val="22"/>
      <w:szCs w:val="22"/>
      <w:lang w:eastAsia="en-US"/>
    </w:rPr>
  </w:style>
  <w:style w:type="paragraph" w:customStyle="1" w:styleId="DHHStablebullet2">
    <w:name w:val="DHHS table bullet 2"/>
    <w:basedOn w:val="DHHStabletext"/>
    <w:uiPriority w:val="11"/>
    <w:rsid w:val="00721219"/>
    <w:pPr>
      <w:numPr>
        <w:ilvl w:val="1"/>
        <w:numId w:val="38"/>
      </w:numPr>
    </w:pPr>
  </w:style>
  <w:style w:type="character" w:customStyle="1" w:styleId="CommentTextChar1">
    <w:name w:val="Comment Text Char1"/>
    <w:uiPriority w:val="99"/>
    <w:semiHidden/>
    <w:rsid w:val="00F84C75"/>
    <w:rPr>
      <w:rFonts w:ascii="Calibri" w:eastAsia="Times New Roman" w:hAnsi="Calibri" w:hint="default"/>
      <w:lang w:val="en-US" w:eastAsia="en-US"/>
    </w:rPr>
  </w:style>
  <w:style w:type="numbering" w:customStyle="1" w:styleId="Bullets">
    <w:name w:val="Bullets"/>
    <w:rsid w:val="00F84C75"/>
    <w:pPr>
      <w:numPr>
        <w:numId w:val="4"/>
      </w:numPr>
    </w:pPr>
  </w:style>
  <w:style w:type="numbering" w:customStyle="1" w:styleId="Numbers">
    <w:name w:val="Numbers"/>
    <w:uiPriority w:val="99"/>
    <w:rsid w:val="00F84C75"/>
    <w:pPr>
      <w:numPr>
        <w:numId w:val="5"/>
      </w:numPr>
    </w:pPr>
  </w:style>
  <w:style w:type="paragraph" w:styleId="ListParagraph">
    <w:name w:val="List Paragraph"/>
    <w:basedOn w:val="Normal"/>
    <w:uiPriority w:val="34"/>
    <w:qFormat/>
    <w:rsid w:val="00F84C75"/>
    <w:pPr>
      <w:spacing w:after="200" w:line="276" w:lineRule="auto"/>
      <w:ind w:left="720"/>
      <w:contextualSpacing/>
    </w:pPr>
    <w:rPr>
      <w:rFonts w:ascii="Calibri" w:eastAsia="Calibri" w:hAnsi="Calibri"/>
      <w:sz w:val="22"/>
      <w:szCs w:val="22"/>
    </w:rPr>
  </w:style>
  <w:style w:type="character" w:customStyle="1" w:styleId="valuetext1">
    <w:name w:val="valuetext1"/>
    <w:basedOn w:val="DefaultParagraphFont"/>
    <w:rsid w:val="002F5626"/>
    <w:rPr>
      <w:color w:val="0000CD"/>
    </w:rPr>
  </w:style>
  <w:style w:type="paragraph" w:customStyle="1" w:styleId="Default">
    <w:name w:val="Default"/>
    <w:rsid w:val="001325F5"/>
    <w:pPr>
      <w:autoSpaceDE w:val="0"/>
      <w:autoSpaceDN w:val="0"/>
      <w:adjustRightInd w:val="0"/>
    </w:pPr>
    <w:rPr>
      <w:rFonts w:eastAsia="Calibri"/>
      <w:color w:val="000000"/>
      <w:sz w:val="24"/>
      <w:szCs w:val="24"/>
      <w:lang w:eastAsia="en-US"/>
    </w:rPr>
  </w:style>
  <w:style w:type="numbering" w:customStyle="1" w:styleId="Bullets1">
    <w:name w:val="Bullets1"/>
    <w:rsid w:val="001325F5"/>
  </w:style>
  <w:style w:type="paragraph" w:customStyle="1" w:styleId="Healthtablebody">
    <w:name w:val="Health table body"/>
    <w:link w:val="HealthtablebodyChar"/>
    <w:rsid w:val="001325F5"/>
    <w:pPr>
      <w:spacing w:after="40" w:line="220" w:lineRule="atLeast"/>
    </w:pPr>
    <w:rPr>
      <w:rFonts w:ascii="Arial" w:eastAsia="MS Mincho" w:hAnsi="Arial"/>
      <w:sz w:val="18"/>
      <w:szCs w:val="24"/>
      <w:lang w:eastAsia="en-US"/>
    </w:rPr>
  </w:style>
  <w:style w:type="character" w:customStyle="1" w:styleId="HealthtablebodyChar">
    <w:name w:val="Health table body Char"/>
    <w:link w:val="Healthtablebody"/>
    <w:rsid w:val="001325F5"/>
    <w:rPr>
      <w:rFonts w:ascii="Arial" w:eastAsia="MS Mincho" w:hAnsi="Arial"/>
      <w:sz w:val="18"/>
      <w:szCs w:val="24"/>
      <w:lang w:eastAsia="en-US"/>
    </w:rPr>
  </w:style>
  <w:style w:type="numbering" w:customStyle="1" w:styleId="Style1">
    <w:name w:val="Style1"/>
    <w:uiPriority w:val="99"/>
    <w:rsid w:val="001325F5"/>
    <w:pPr>
      <w:numPr>
        <w:numId w:val="10"/>
      </w:numPr>
    </w:pPr>
  </w:style>
  <w:style w:type="numbering" w:customStyle="1" w:styleId="Style2">
    <w:name w:val="Style2"/>
    <w:uiPriority w:val="99"/>
    <w:rsid w:val="001325F5"/>
    <w:pPr>
      <w:numPr>
        <w:numId w:val="12"/>
      </w:numPr>
    </w:pPr>
  </w:style>
  <w:style w:type="numbering" w:customStyle="1" w:styleId="Style3">
    <w:name w:val="Style3"/>
    <w:uiPriority w:val="99"/>
    <w:rsid w:val="001325F5"/>
    <w:pPr>
      <w:numPr>
        <w:numId w:val="14"/>
      </w:numPr>
    </w:pPr>
  </w:style>
  <w:style w:type="paragraph" w:customStyle="1" w:styleId="DHHSbodyafterbullets">
    <w:name w:val="DHHS body after bullets"/>
    <w:basedOn w:val="DHHSbody"/>
    <w:rsid w:val="004F4A95"/>
    <w:pPr>
      <w:spacing w:before="120"/>
    </w:pPr>
    <w:rPr>
      <w:rFonts w:ascii="Helv" w:hAnsi="Helv" w:cs="Helv"/>
      <w:color w:val="000000"/>
      <w:lang w:eastAsia="en-AU"/>
    </w:rPr>
  </w:style>
  <w:style w:type="character" w:customStyle="1" w:styleId="Heading6Char">
    <w:name w:val="Heading 6 Char"/>
    <w:link w:val="Heading6"/>
    <w:uiPriority w:val="9"/>
    <w:rsid w:val="00FD16AC"/>
    <w:rPr>
      <w:rFonts w:ascii="Arial" w:hAnsi="Arial" w:cs="Arial"/>
      <w:bCs/>
      <w:i/>
      <w:lang w:eastAsia="en-US"/>
    </w:rPr>
  </w:style>
  <w:style w:type="table" w:customStyle="1" w:styleId="Highlighttable">
    <w:name w:val="Highlight table"/>
    <w:basedOn w:val="TableNormal"/>
    <w:uiPriority w:val="99"/>
    <w:rsid w:val="00476A7C"/>
    <w:tblPr>
      <w:tblBorders>
        <w:top w:val="single" w:sz="4" w:space="0" w:color="CCF1F2"/>
        <w:left w:val="single" w:sz="4" w:space="0" w:color="CCF1F2"/>
        <w:bottom w:val="single" w:sz="4" w:space="0" w:color="CCF1F2"/>
        <w:right w:val="single" w:sz="4" w:space="0" w:color="CCF1F2"/>
      </w:tblBorders>
      <w:tblCellMar>
        <w:top w:w="113" w:type="dxa"/>
        <w:left w:w="170" w:type="dxa"/>
        <w:bottom w:w="57" w:type="dxa"/>
        <w:right w:w="170" w:type="dxa"/>
      </w:tblCellMar>
    </w:tblPr>
    <w:tcPr>
      <w:shd w:val="clear" w:color="auto" w:fill="E1F0EA"/>
    </w:tcPr>
  </w:style>
  <w:style w:type="paragraph" w:customStyle="1" w:styleId="DHHSicon">
    <w:name w:val="DHHS icon"/>
    <w:basedOn w:val="DHHSbody"/>
    <w:rsid w:val="005C11EE"/>
    <w:pPr>
      <w:spacing w:before="240"/>
    </w:pPr>
  </w:style>
  <w:style w:type="paragraph" w:customStyle="1" w:styleId="DHHSbulletafternumbers1">
    <w:name w:val="DHHS bullet after numbers 1"/>
    <w:basedOn w:val="DHHSbody"/>
    <w:uiPriority w:val="4"/>
    <w:rsid w:val="001817A3"/>
    <w:pPr>
      <w:numPr>
        <w:ilvl w:val="2"/>
        <w:numId w:val="24"/>
      </w:numPr>
    </w:pPr>
  </w:style>
  <w:style w:type="paragraph" w:customStyle="1" w:styleId="DHHSbulletafternumbers2">
    <w:name w:val="DHHS bullet after numbers 2"/>
    <w:basedOn w:val="DHHSbody"/>
    <w:rsid w:val="001817A3"/>
    <w:pPr>
      <w:numPr>
        <w:ilvl w:val="3"/>
        <w:numId w:val="24"/>
      </w:numPr>
    </w:pPr>
  </w:style>
  <w:style w:type="paragraph" w:customStyle="1" w:styleId="DHHStablebullet1">
    <w:name w:val="DHHS table bullet 1"/>
    <w:basedOn w:val="DHHStabletext"/>
    <w:uiPriority w:val="3"/>
    <w:qFormat/>
    <w:rsid w:val="00721219"/>
    <w:pPr>
      <w:numPr>
        <w:numId w:val="38"/>
      </w:numPr>
    </w:pPr>
  </w:style>
  <w:style w:type="numbering" w:customStyle="1" w:styleId="ZZNumbersdigit">
    <w:name w:val="ZZ Numbers digit"/>
    <w:rsid w:val="001817A3"/>
    <w:pPr>
      <w:numPr>
        <w:numId w:val="24"/>
      </w:numPr>
    </w:pPr>
  </w:style>
  <w:style w:type="numbering" w:customStyle="1" w:styleId="ZZNumbersloweralpha">
    <w:name w:val="ZZ Numbers lower alpha"/>
    <w:basedOn w:val="NoList"/>
    <w:rsid w:val="00721219"/>
    <w:pPr>
      <w:numPr>
        <w:numId w:val="27"/>
      </w:numPr>
    </w:pPr>
  </w:style>
  <w:style w:type="numbering" w:customStyle="1" w:styleId="ZZNumberslowerroman">
    <w:name w:val="ZZ Numbers lower roman"/>
    <w:basedOn w:val="NoList"/>
    <w:rsid w:val="00721219"/>
    <w:pPr>
      <w:numPr>
        <w:numId w:val="30"/>
      </w:numPr>
    </w:pPr>
  </w:style>
  <w:style w:type="numbering" w:customStyle="1" w:styleId="ZZTablebullets">
    <w:name w:val="ZZ Table bullets"/>
    <w:basedOn w:val="NoList"/>
    <w:rsid w:val="00721219"/>
    <w:pPr>
      <w:numPr>
        <w:numId w:val="32"/>
      </w:numPr>
    </w:pPr>
  </w:style>
  <w:style w:type="paragraph" w:customStyle="1" w:styleId="DHHStabletextsubhead">
    <w:name w:val="DHHS table text subhead"/>
    <w:basedOn w:val="DHHStabletext"/>
    <w:rsid w:val="00641731"/>
    <w:pPr>
      <w:spacing w:before="120"/>
    </w:pPr>
    <w:rPr>
      <w:b/>
    </w:rPr>
  </w:style>
  <w:style w:type="character" w:customStyle="1" w:styleId="apple-converted-space">
    <w:name w:val="apple-converted-space"/>
    <w:basedOn w:val="DefaultParagraphFont"/>
    <w:rsid w:val="00667377"/>
  </w:style>
  <w:style w:type="character" w:styleId="UnresolvedMention">
    <w:name w:val="Unresolved Mention"/>
    <w:basedOn w:val="DefaultParagraphFont"/>
    <w:uiPriority w:val="99"/>
    <w:semiHidden/>
    <w:unhideWhenUsed/>
    <w:rsid w:val="00CC42F1"/>
    <w:rPr>
      <w:color w:val="808080"/>
      <w:shd w:val="clear" w:color="auto" w:fill="E6E6E6"/>
    </w:rPr>
  </w:style>
  <w:style w:type="paragraph" w:customStyle="1" w:styleId="Numbers1">
    <w:name w:val="Numbers 1"/>
    <w:basedOn w:val="Normal"/>
    <w:uiPriority w:val="1"/>
    <w:qFormat/>
    <w:rsid w:val="00A85E5D"/>
    <w:pPr>
      <w:spacing w:after="120"/>
      <w:ind w:left="357" w:hanging="357"/>
      <w:jc w:val="both"/>
    </w:pPr>
    <w:rPr>
      <w:rFonts w:asciiTheme="minorHAnsi" w:eastAsiaTheme="minorHAnsi" w:hAnsiTheme="minorHAnsi"/>
      <w:color w:val="000000" w:themeColor="text1"/>
      <w:sz w:val="22"/>
    </w:rPr>
  </w:style>
  <w:style w:type="paragraph" w:customStyle="1" w:styleId="Numbers2">
    <w:name w:val="Numbers 2"/>
    <w:basedOn w:val="Normal"/>
    <w:uiPriority w:val="1"/>
    <w:qFormat/>
    <w:rsid w:val="00A85E5D"/>
    <w:pPr>
      <w:spacing w:after="120"/>
      <w:ind w:left="868" w:hanging="358"/>
      <w:jc w:val="both"/>
    </w:pPr>
    <w:rPr>
      <w:rFonts w:asciiTheme="minorHAnsi" w:eastAsiaTheme="minorHAnsi" w:hAnsiTheme="minorHAnsi"/>
      <w:color w:val="000000" w:themeColor="text1"/>
      <w:sz w:val="22"/>
    </w:rPr>
  </w:style>
  <w:style w:type="paragraph" w:customStyle="1" w:styleId="Numbers3">
    <w:name w:val="Numbers 3"/>
    <w:basedOn w:val="Normal"/>
    <w:uiPriority w:val="1"/>
    <w:qFormat/>
    <w:rsid w:val="00A85E5D"/>
    <w:pPr>
      <w:spacing w:after="120"/>
      <w:ind w:left="1378" w:hanging="357"/>
      <w:jc w:val="both"/>
    </w:pPr>
    <w:rPr>
      <w:rFonts w:asciiTheme="minorHAnsi" w:eastAsiaTheme="minorHAnsi" w:hAnsiTheme="minorHAnsi"/>
      <w:color w:val="000000" w:themeColor="text1"/>
      <w:sz w:val="22"/>
    </w:rPr>
  </w:style>
  <w:style w:type="paragraph" w:customStyle="1" w:styleId="Heading3notforTOC">
    <w:name w:val="Heading 3 not for TOC"/>
    <w:basedOn w:val="Heading3"/>
    <w:rsid w:val="00DA16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019083">
      <w:bodyDiv w:val="1"/>
      <w:marLeft w:val="0"/>
      <w:marRight w:val="0"/>
      <w:marTop w:val="0"/>
      <w:marBottom w:val="0"/>
      <w:divBdr>
        <w:top w:val="none" w:sz="0" w:space="0" w:color="auto"/>
        <w:left w:val="none" w:sz="0" w:space="0" w:color="auto"/>
        <w:bottom w:val="none" w:sz="0" w:space="0" w:color="auto"/>
        <w:right w:val="none" w:sz="0" w:space="0" w:color="auto"/>
      </w:divBdr>
    </w:div>
    <w:div w:id="378673679">
      <w:bodyDiv w:val="1"/>
      <w:marLeft w:val="0"/>
      <w:marRight w:val="0"/>
      <w:marTop w:val="0"/>
      <w:marBottom w:val="0"/>
      <w:divBdr>
        <w:top w:val="none" w:sz="0" w:space="0" w:color="auto"/>
        <w:left w:val="none" w:sz="0" w:space="0" w:color="auto"/>
        <w:bottom w:val="none" w:sz="0" w:space="0" w:color="auto"/>
        <w:right w:val="none" w:sz="0" w:space="0" w:color="auto"/>
      </w:divBdr>
    </w:div>
    <w:div w:id="436605794">
      <w:bodyDiv w:val="1"/>
      <w:marLeft w:val="0"/>
      <w:marRight w:val="0"/>
      <w:marTop w:val="0"/>
      <w:marBottom w:val="0"/>
      <w:divBdr>
        <w:top w:val="none" w:sz="0" w:space="0" w:color="auto"/>
        <w:left w:val="none" w:sz="0" w:space="0" w:color="auto"/>
        <w:bottom w:val="none" w:sz="0" w:space="0" w:color="auto"/>
        <w:right w:val="none" w:sz="0" w:space="0" w:color="auto"/>
      </w:divBdr>
    </w:div>
    <w:div w:id="479468839">
      <w:bodyDiv w:val="1"/>
      <w:marLeft w:val="0"/>
      <w:marRight w:val="0"/>
      <w:marTop w:val="0"/>
      <w:marBottom w:val="0"/>
      <w:divBdr>
        <w:top w:val="none" w:sz="0" w:space="0" w:color="auto"/>
        <w:left w:val="none" w:sz="0" w:space="0" w:color="auto"/>
        <w:bottom w:val="none" w:sz="0" w:space="0" w:color="auto"/>
        <w:right w:val="none" w:sz="0" w:space="0" w:color="auto"/>
      </w:divBdr>
    </w:div>
    <w:div w:id="525800038">
      <w:bodyDiv w:val="1"/>
      <w:marLeft w:val="0"/>
      <w:marRight w:val="0"/>
      <w:marTop w:val="0"/>
      <w:marBottom w:val="0"/>
      <w:divBdr>
        <w:top w:val="none" w:sz="0" w:space="0" w:color="auto"/>
        <w:left w:val="none" w:sz="0" w:space="0" w:color="auto"/>
        <w:bottom w:val="none" w:sz="0" w:space="0" w:color="auto"/>
        <w:right w:val="none" w:sz="0" w:space="0" w:color="auto"/>
      </w:divBdr>
    </w:div>
    <w:div w:id="1042167267">
      <w:bodyDiv w:val="1"/>
      <w:marLeft w:val="0"/>
      <w:marRight w:val="0"/>
      <w:marTop w:val="0"/>
      <w:marBottom w:val="0"/>
      <w:divBdr>
        <w:top w:val="none" w:sz="0" w:space="0" w:color="auto"/>
        <w:left w:val="none" w:sz="0" w:space="0" w:color="auto"/>
        <w:bottom w:val="none" w:sz="0" w:space="0" w:color="auto"/>
        <w:right w:val="none" w:sz="0" w:space="0" w:color="auto"/>
      </w:divBdr>
    </w:div>
    <w:div w:id="1714378598">
      <w:bodyDiv w:val="1"/>
      <w:marLeft w:val="0"/>
      <w:marRight w:val="0"/>
      <w:marTop w:val="0"/>
      <w:marBottom w:val="0"/>
      <w:divBdr>
        <w:top w:val="none" w:sz="0" w:space="0" w:color="auto"/>
        <w:left w:val="none" w:sz="0" w:space="0" w:color="auto"/>
        <w:bottom w:val="none" w:sz="0" w:space="0" w:color="auto"/>
        <w:right w:val="none" w:sz="0" w:space="0" w:color="auto"/>
      </w:divBdr>
    </w:div>
    <w:div w:id="1800145942">
      <w:bodyDiv w:val="1"/>
      <w:marLeft w:val="0"/>
      <w:marRight w:val="0"/>
      <w:marTop w:val="0"/>
      <w:marBottom w:val="0"/>
      <w:divBdr>
        <w:top w:val="none" w:sz="0" w:space="0" w:color="auto"/>
        <w:left w:val="none" w:sz="0" w:space="0" w:color="auto"/>
        <w:bottom w:val="none" w:sz="0" w:space="0" w:color="auto"/>
        <w:right w:val="none" w:sz="0" w:space="0" w:color="auto"/>
      </w:divBdr>
    </w:div>
    <w:div w:id="1878809567">
      <w:bodyDiv w:val="1"/>
      <w:marLeft w:val="0"/>
      <w:marRight w:val="0"/>
      <w:marTop w:val="0"/>
      <w:marBottom w:val="0"/>
      <w:divBdr>
        <w:top w:val="none" w:sz="0" w:space="0" w:color="auto"/>
        <w:left w:val="none" w:sz="0" w:space="0" w:color="auto"/>
        <w:bottom w:val="none" w:sz="0" w:space="0" w:color="auto"/>
        <w:right w:val="none" w:sz="0" w:space="0" w:color="auto"/>
      </w:divBdr>
    </w:div>
    <w:div w:id="1906211370">
      <w:bodyDiv w:val="1"/>
      <w:marLeft w:val="0"/>
      <w:marRight w:val="0"/>
      <w:marTop w:val="0"/>
      <w:marBottom w:val="0"/>
      <w:divBdr>
        <w:top w:val="none" w:sz="0" w:space="0" w:color="auto"/>
        <w:left w:val="none" w:sz="0" w:space="0" w:color="auto"/>
        <w:bottom w:val="none" w:sz="0" w:space="0" w:color="auto"/>
        <w:right w:val="none" w:sz="0" w:space="0" w:color="auto"/>
      </w:divBdr>
      <w:divsChild>
        <w:div w:id="26373166">
          <w:marLeft w:val="0"/>
          <w:marRight w:val="0"/>
          <w:marTop w:val="0"/>
          <w:marBottom w:val="0"/>
          <w:divBdr>
            <w:top w:val="none" w:sz="0" w:space="0" w:color="auto"/>
            <w:left w:val="none" w:sz="0" w:space="0" w:color="auto"/>
            <w:bottom w:val="none" w:sz="0" w:space="0" w:color="auto"/>
            <w:right w:val="none" w:sz="0" w:space="0" w:color="auto"/>
          </w:divBdr>
        </w:div>
        <w:div w:id="1489513730">
          <w:marLeft w:val="0"/>
          <w:marRight w:val="0"/>
          <w:marTop w:val="0"/>
          <w:marBottom w:val="0"/>
          <w:divBdr>
            <w:top w:val="none" w:sz="0" w:space="0" w:color="auto"/>
            <w:left w:val="none" w:sz="0" w:space="0" w:color="auto"/>
            <w:bottom w:val="none" w:sz="0" w:space="0" w:color="auto"/>
            <w:right w:val="none" w:sz="0" w:space="0" w:color="auto"/>
          </w:divBdr>
        </w:div>
        <w:div w:id="1000231844">
          <w:marLeft w:val="0"/>
          <w:marRight w:val="0"/>
          <w:marTop w:val="0"/>
          <w:marBottom w:val="0"/>
          <w:divBdr>
            <w:top w:val="none" w:sz="0" w:space="0" w:color="auto"/>
            <w:left w:val="none" w:sz="0" w:space="0" w:color="auto"/>
            <w:bottom w:val="none" w:sz="0" w:space="0" w:color="auto"/>
            <w:right w:val="none" w:sz="0" w:space="0" w:color="auto"/>
          </w:divBdr>
        </w:div>
        <w:div w:id="1442602948">
          <w:marLeft w:val="0"/>
          <w:marRight w:val="0"/>
          <w:marTop w:val="0"/>
          <w:marBottom w:val="0"/>
          <w:divBdr>
            <w:top w:val="none" w:sz="0" w:space="0" w:color="auto"/>
            <w:left w:val="none" w:sz="0" w:space="0" w:color="auto"/>
            <w:bottom w:val="none" w:sz="0" w:space="0" w:color="auto"/>
            <w:right w:val="none" w:sz="0" w:space="0" w:color="auto"/>
          </w:divBdr>
        </w:div>
        <w:div w:id="259607473">
          <w:marLeft w:val="0"/>
          <w:marRight w:val="0"/>
          <w:marTop w:val="0"/>
          <w:marBottom w:val="0"/>
          <w:divBdr>
            <w:top w:val="none" w:sz="0" w:space="0" w:color="auto"/>
            <w:left w:val="none" w:sz="0" w:space="0" w:color="auto"/>
            <w:bottom w:val="none" w:sz="0" w:space="0" w:color="auto"/>
            <w:right w:val="none" w:sz="0" w:space="0" w:color="auto"/>
          </w:divBdr>
        </w:div>
      </w:divsChild>
    </w:div>
    <w:div w:id="1908221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erformance@dhhs.vic.gov.au" TargetMode="External"/><Relationship Id="rId18" Type="http://schemas.openxmlformats.org/officeDocument/2006/relationships/footer" Target="footer2.xml"/><Relationship Id="rId26" Type="http://schemas.openxmlformats.org/officeDocument/2006/relationships/image" Target="media/image5.png"/><Relationship Id="rId39"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yperlink" Target="https://www2.health.vic.gov.au/hospitals-and-health-services/funding-performance-accountability/performance-monitoring" TargetMode="External"/><Relationship Id="rId34" Type="http://schemas.openxmlformats.org/officeDocument/2006/relationships/image" Target="media/image13.png"/><Relationship Id="rId42"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yperlink" Target="https://www2.health.vic.gov.au/hospitals-and-health-services/funding-performance-accountability/performance-monitoring" TargetMode="External"/><Relationship Id="rId17" Type="http://schemas.openxmlformats.org/officeDocument/2006/relationships/footer" Target="footer1.xml"/><Relationship Id="rId25" Type="http://schemas.openxmlformats.org/officeDocument/2006/relationships/footer" Target="footer4.xml"/><Relationship Id="rId33" Type="http://schemas.openxmlformats.org/officeDocument/2006/relationships/image" Target="media/image12.png"/><Relationship Id="rId38" Type="http://schemas.openxmlformats.org/officeDocument/2006/relationships/header" Target="header4.xm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image" Target="media/image2.png"/><Relationship Id="rId29" Type="http://schemas.openxmlformats.org/officeDocument/2006/relationships/image" Target="media/image8.png"/><Relationship Id="rId41"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32" Type="http://schemas.openxmlformats.org/officeDocument/2006/relationships/image" Target="media/image11.png"/><Relationship Id="rId37" Type="http://schemas.openxmlformats.org/officeDocument/2006/relationships/image" Target="media/image14.png"/><Relationship Id="rId40" Type="http://schemas.openxmlformats.org/officeDocument/2006/relationships/footer" Target="footer5.xm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image" Target="media/image4.png"/><Relationship Id="rId28" Type="http://schemas.openxmlformats.org/officeDocument/2006/relationships/image" Target="media/image7.png"/><Relationship Id="rId36" Type="http://schemas.openxmlformats.org/officeDocument/2006/relationships/hyperlink" Target="https://www2.health.vic.gov.au/hospitals-and-health-services/funding-performance-accountability/performance-monitoring" TargetMode="Externa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image" Target="media/image10.png"/><Relationship Id="rId44" Type="http://schemas.openxmlformats.org/officeDocument/2006/relationships/image" Target="media/image1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health.vic.gov.au/hospitals-and-health-services/funding-performance-accountability/performance-monitoring" TargetMode="External"/><Relationship Id="rId22" Type="http://schemas.openxmlformats.org/officeDocument/2006/relationships/image" Target="media/image3.png"/><Relationship Id="rId27" Type="http://schemas.openxmlformats.org/officeDocument/2006/relationships/image" Target="media/image6.png"/><Relationship Id="rId30" Type="http://schemas.openxmlformats.org/officeDocument/2006/relationships/image" Target="media/image9.png"/><Relationship Id="rId35" Type="http://schemas.openxmlformats.org/officeDocument/2006/relationships/hyperlink" Target="https://www2.health.vic.gov.au/hospitals-and-health-services/funding-performance-accountability/performance-monitoring" TargetMode="External"/><Relationship Id="rId43"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3A2E645BEFD54C91A08FC3BFA18D83" ma:contentTypeVersion="8" ma:contentTypeDescription="Create a new document." ma:contentTypeScope="" ma:versionID="fc0093e0ec9f4ea880ffc7f9b2e76127">
  <xsd:schema xmlns:xsd="http://www.w3.org/2001/XMLSchema" xmlns:xs="http://www.w3.org/2001/XMLSchema" xmlns:p="http://schemas.microsoft.com/office/2006/metadata/properties" xmlns:ns2="633922f3-ea76-4505-87b2-d399f18a3c52" xmlns:ns3="c6381a7c-ec5f-41ca-8e08-6bffea716bff" targetNamespace="http://schemas.microsoft.com/office/2006/metadata/properties" ma:root="true" ma:fieldsID="3439adbb28e70c42f7986bafd33185cb" ns2:_="" ns3:_="">
    <xsd:import namespace="633922f3-ea76-4505-87b2-d399f18a3c52"/>
    <xsd:import namespace="c6381a7c-ec5f-41ca-8e08-6bffea716bf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3922f3-ea76-4505-87b2-d399f18a3c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381a7c-ec5f-41ca-8e08-6bffea716bf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c6381a7c-ec5f-41ca-8e08-6bffea716bff">
      <UserInfo>
        <DisplayName>Jacqui Hickey (DHHS)</DisplayName>
        <AccountId>32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24D32-C303-4000-8250-2A9D159307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3922f3-ea76-4505-87b2-d399f18a3c52"/>
    <ds:schemaRef ds:uri="c6381a7c-ec5f-41ca-8e08-6bffea716b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4B3EAF-C064-42E8-B940-A26CD28DDE45}">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c6381a7c-ec5f-41ca-8e08-6bffea716bff"/>
    <ds:schemaRef ds:uri="http://purl.org/dc/terms/"/>
    <ds:schemaRef ds:uri="http://schemas.openxmlformats.org/package/2006/metadata/core-properties"/>
    <ds:schemaRef ds:uri="633922f3-ea76-4505-87b2-d399f18a3c52"/>
    <ds:schemaRef ds:uri="http://www.w3.org/XML/1998/namespace"/>
    <ds:schemaRef ds:uri="http://purl.org/dc/dcmitype/"/>
  </ds:schemaRefs>
</ds:datastoreItem>
</file>

<file path=customXml/itemProps3.xml><?xml version="1.0" encoding="utf-8"?>
<ds:datastoreItem xmlns:ds="http://schemas.openxmlformats.org/officeDocument/2006/customXml" ds:itemID="{A0D25FA6-7FD4-4D8D-8C54-6C81A707CFEF}">
  <ds:schemaRefs>
    <ds:schemaRef ds:uri="http://schemas.microsoft.com/sharepoint/v3/contenttype/forms"/>
  </ds:schemaRefs>
</ds:datastoreItem>
</file>

<file path=customXml/itemProps4.xml><?xml version="1.0" encoding="utf-8"?>
<ds:datastoreItem xmlns:ds="http://schemas.openxmlformats.org/officeDocument/2006/customXml" ds:itemID="{0C67A912-4F27-488C-A169-A0E5D101B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4756</TotalTime>
  <Pages>29</Pages>
  <Words>8753</Words>
  <Characters>55651</Characters>
  <Application>Microsoft Office Word</Application>
  <DocSecurity>0</DocSecurity>
  <Lines>463</Lines>
  <Paragraphs>128</Paragraphs>
  <ScaleCrop>false</ScaleCrop>
  <HeadingPairs>
    <vt:vector size="2" baseType="variant">
      <vt:variant>
        <vt:lpstr>Title</vt:lpstr>
      </vt:variant>
      <vt:variant>
        <vt:i4>1</vt:i4>
      </vt:variant>
    </vt:vector>
  </HeadingPairs>
  <TitlesOfParts>
    <vt:vector size="1" baseType="lpstr">
      <vt:lpstr>Victorian Health Services Performance Monitoring Framework 2019–20</vt:lpstr>
    </vt:vector>
  </TitlesOfParts>
  <Company>Department of Health and Human Services</Company>
  <LinksUpToDate>false</LinksUpToDate>
  <CharactersWithSpaces>64276</CharactersWithSpaces>
  <SharedDoc>false</SharedDoc>
  <HyperlinkBase/>
  <HLinks>
    <vt:vector size="66" baseType="variant">
      <vt:variant>
        <vt:i4>6291573</vt:i4>
      </vt:variant>
      <vt:variant>
        <vt:i4>54</vt:i4>
      </vt:variant>
      <vt:variant>
        <vt:i4>0</vt:i4>
      </vt:variant>
      <vt:variant>
        <vt:i4>5</vt:i4>
      </vt:variant>
      <vt:variant>
        <vt:lpwstr>http://intranet.health.vic.gov.au/resources-and-tools/forms-and-templates/microsoft-word-templates</vt:lpwstr>
      </vt:variant>
      <vt:variant>
        <vt:lpwstr/>
      </vt:variant>
      <vt:variant>
        <vt:i4>7536758</vt:i4>
      </vt:variant>
      <vt:variant>
        <vt:i4>51</vt:i4>
      </vt:variant>
      <vt:variant>
        <vt:i4>0</vt:i4>
      </vt:variant>
      <vt:variant>
        <vt:i4>5</vt:i4>
      </vt:variant>
      <vt:variant>
        <vt:lpwstr>http://intranet.dhs.vic.gov.au/resources-and-tools/forms-and-templates/microsoft-word-templates</vt:lpwstr>
      </vt:variant>
      <vt:variant>
        <vt:lpwstr/>
      </vt:variant>
      <vt:variant>
        <vt:i4>1048626</vt:i4>
      </vt:variant>
      <vt:variant>
        <vt:i4>44</vt:i4>
      </vt:variant>
      <vt:variant>
        <vt:i4>0</vt:i4>
      </vt:variant>
      <vt:variant>
        <vt:i4>5</vt:i4>
      </vt:variant>
      <vt:variant>
        <vt:lpwstr/>
      </vt:variant>
      <vt:variant>
        <vt:lpwstr>_Toc442704404</vt:lpwstr>
      </vt:variant>
      <vt:variant>
        <vt:i4>1048626</vt:i4>
      </vt:variant>
      <vt:variant>
        <vt:i4>38</vt:i4>
      </vt:variant>
      <vt:variant>
        <vt:i4>0</vt:i4>
      </vt:variant>
      <vt:variant>
        <vt:i4>5</vt:i4>
      </vt:variant>
      <vt:variant>
        <vt:lpwstr/>
      </vt:variant>
      <vt:variant>
        <vt:lpwstr>_Toc442704403</vt:lpwstr>
      </vt:variant>
      <vt:variant>
        <vt:i4>1048626</vt:i4>
      </vt:variant>
      <vt:variant>
        <vt:i4>32</vt:i4>
      </vt:variant>
      <vt:variant>
        <vt:i4>0</vt:i4>
      </vt:variant>
      <vt:variant>
        <vt:i4>5</vt:i4>
      </vt:variant>
      <vt:variant>
        <vt:lpwstr/>
      </vt:variant>
      <vt:variant>
        <vt:lpwstr>_Toc442704402</vt:lpwstr>
      </vt:variant>
      <vt:variant>
        <vt:i4>1048626</vt:i4>
      </vt:variant>
      <vt:variant>
        <vt:i4>26</vt:i4>
      </vt:variant>
      <vt:variant>
        <vt:i4>0</vt:i4>
      </vt:variant>
      <vt:variant>
        <vt:i4>5</vt:i4>
      </vt:variant>
      <vt:variant>
        <vt:lpwstr/>
      </vt:variant>
      <vt:variant>
        <vt:lpwstr>_Toc442704401</vt:lpwstr>
      </vt:variant>
      <vt:variant>
        <vt:i4>1048626</vt:i4>
      </vt:variant>
      <vt:variant>
        <vt:i4>20</vt:i4>
      </vt:variant>
      <vt:variant>
        <vt:i4>0</vt:i4>
      </vt:variant>
      <vt:variant>
        <vt:i4>5</vt:i4>
      </vt:variant>
      <vt:variant>
        <vt:lpwstr/>
      </vt:variant>
      <vt:variant>
        <vt:lpwstr>_Toc442704400</vt:lpwstr>
      </vt:variant>
      <vt:variant>
        <vt:i4>1638453</vt:i4>
      </vt:variant>
      <vt:variant>
        <vt:i4>14</vt:i4>
      </vt:variant>
      <vt:variant>
        <vt:i4>0</vt:i4>
      </vt:variant>
      <vt:variant>
        <vt:i4>5</vt:i4>
      </vt:variant>
      <vt:variant>
        <vt:lpwstr/>
      </vt:variant>
      <vt:variant>
        <vt:lpwstr>_Toc442704399</vt:lpwstr>
      </vt:variant>
      <vt:variant>
        <vt:i4>1638453</vt:i4>
      </vt:variant>
      <vt:variant>
        <vt:i4>8</vt:i4>
      </vt:variant>
      <vt:variant>
        <vt:i4>0</vt:i4>
      </vt:variant>
      <vt:variant>
        <vt:i4>5</vt:i4>
      </vt:variant>
      <vt:variant>
        <vt:lpwstr/>
      </vt:variant>
      <vt:variant>
        <vt:lpwstr>_Toc442704398</vt:lpwstr>
      </vt:variant>
      <vt:variant>
        <vt:i4>2555941</vt:i4>
      </vt:variant>
      <vt:variant>
        <vt:i4>3</vt:i4>
      </vt:variant>
      <vt:variant>
        <vt:i4>0</vt:i4>
      </vt:variant>
      <vt:variant>
        <vt:i4>5</vt:i4>
      </vt:variant>
      <vt:variant>
        <vt:lpwstr>http://survey.tool.tempdomain.info/TakeSurveycss.asp?SurveyID=3K33p3LIm66MG</vt:lpwstr>
      </vt:variant>
      <vt:variant>
        <vt:lpwstr/>
      </vt:variant>
      <vt:variant>
        <vt:i4>3145752</vt:i4>
      </vt:variant>
      <vt:variant>
        <vt:i4>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Health Services Performance Monitoring Framework 2019–20</dc:title>
  <dc:subject>Victorian health services Performance monitoring framework</dc:subject>
  <dc:creator>Commissioning, Performance and Regulation</dc:creator>
  <cp:keywords>performance, monitoring, PMF</cp:keywords>
  <cp:lastModifiedBy>Robert Di Renzo</cp:lastModifiedBy>
  <cp:revision>396</cp:revision>
  <cp:lastPrinted>2019-08-01T09:23:00Z</cp:lastPrinted>
  <dcterms:created xsi:type="dcterms:W3CDTF">2019-07-02T23:48:00Z</dcterms:created>
  <dcterms:modified xsi:type="dcterms:W3CDTF">2019-08-01T09:23:00Z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