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E5F" w:rsidRPr="004946F4" w:rsidRDefault="00AF44A1" w:rsidP="00DE6028">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10695305" cy="1713865"/>
            <wp:effectExtent l="0" t="0" r="0" b="0"/>
            <wp:wrapNone/>
            <wp:docPr id="33" name="Picture 3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95305" cy="1713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CF41DA">
          <w:footerReference w:type="default" r:id="rId9"/>
          <w:pgSz w:w="16838" w:h="11906" w:orient="landscape" w:code="9"/>
          <w:pgMar w:top="425" w:right="851" w:bottom="1418" w:left="851" w:header="510" w:footer="510" w:gutter="0"/>
          <w:cols w:space="708"/>
          <w:docGrid w:linePitch="360"/>
        </w:sectPr>
      </w:pPr>
    </w:p>
    <w:tbl>
      <w:tblPr>
        <w:tblW w:w="13291" w:type="dxa"/>
        <w:tblLook w:val="04A0" w:firstRow="1" w:lastRow="0" w:firstColumn="1" w:lastColumn="0" w:noHBand="0" w:noVBand="1"/>
      </w:tblPr>
      <w:tblGrid>
        <w:gridCol w:w="13291"/>
      </w:tblGrid>
      <w:tr w:rsidR="003A3438" w:rsidTr="00BA4845">
        <w:trPr>
          <w:trHeight w:val="1106"/>
        </w:trPr>
        <w:tc>
          <w:tcPr>
            <w:tcW w:w="13291" w:type="dxa"/>
            <w:shd w:val="clear" w:color="auto" w:fill="auto"/>
            <w:vAlign w:val="bottom"/>
          </w:tcPr>
          <w:p w:rsidR="003A3438" w:rsidRPr="00161AA0" w:rsidRDefault="00AF44A1" w:rsidP="00840DF3">
            <w:pPr>
              <w:pStyle w:val="DHHSmainheading"/>
            </w:pPr>
            <w:bookmarkStart w:id="0" w:name="_Toc410762195"/>
            <w:r>
              <w:t>Victorian Alcohol and Drug Collection (VADC) 18/19 Bulletin</w:t>
            </w:r>
          </w:p>
        </w:tc>
      </w:tr>
      <w:tr w:rsidR="003A3438" w:rsidTr="00CA6B58">
        <w:trPr>
          <w:trHeight w:hRule="exact" w:val="709"/>
        </w:trPr>
        <w:tc>
          <w:tcPr>
            <w:tcW w:w="13291" w:type="dxa"/>
            <w:shd w:val="clear" w:color="auto" w:fill="auto"/>
            <w:tcMar>
              <w:top w:w="340" w:type="dxa"/>
              <w:bottom w:w="680" w:type="dxa"/>
            </w:tcMar>
          </w:tcPr>
          <w:p w:rsidR="003A3438" w:rsidRDefault="005133F9" w:rsidP="00840DF3">
            <w:pPr>
              <w:pStyle w:val="DHHSmainsubheading"/>
            </w:pPr>
            <w:r>
              <w:rPr>
                <w:szCs w:val="28"/>
              </w:rPr>
              <w:t>Edition</w:t>
            </w:r>
            <w:r w:rsidR="00AF44A1">
              <w:rPr>
                <w:szCs w:val="28"/>
              </w:rPr>
              <w:t xml:space="preserve"> </w:t>
            </w:r>
            <w:r w:rsidR="007F0632">
              <w:rPr>
                <w:szCs w:val="28"/>
              </w:rPr>
              <w:t>2</w:t>
            </w:r>
            <w:r w:rsidR="00AF44A1">
              <w:rPr>
                <w:szCs w:val="28"/>
              </w:rPr>
              <w:t xml:space="preserve">: </w:t>
            </w:r>
            <w:r w:rsidR="002C1623">
              <w:rPr>
                <w:szCs w:val="28"/>
              </w:rPr>
              <w:t xml:space="preserve">10 </w:t>
            </w:r>
            <w:r w:rsidR="002A462B">
              <w:rPr>
                <w:szCs w:val="28"/>
              </w:rPr>
              <w:t>December</w:t>
            </w:r>
            <w:r w:rsidR="00AF44A1">
              <w:rPr>
                <w:szCs w:val="28"/>
              </w:rPr>
              <w:t xml:space="preserve"> 2018</w:t>
            </w:r>
          </w:p>
        </w:tc>
      </w:tr>
    </w:tbl>
    <w:p w:rsidR="008C5F67" w:rsidRDefault="008C5F67" w:rsidP="008C5F67">
      <w:pPr>
        <w:rPr>
          <w:rFonts w:ascii="Arial" w:hAnsi="Arial" w:cs="Arial"/>
          <w:b/>
          <w:color w:val="000000" w:themeColor="text1"/>
          <w:sz w:val="22"/>
        </w:rPr>
      </w:pPr>
      <w:bookmarkStart w:id="1" w:name="_Toc531174432"/>
      <w:bookmarkEnd w:id="0"/>
    </w:p>
    <w:p w:rsidR="008C5F67" w:rsidRDefault="008C5F67" w:rsidP="008C5F67">
      <w:pPr>
        <w:rPr>
          <w:rFonts w:ascii="Arial" w:hAnsi="Arial" w:cs="Arial"/>
          <w:b/>
          <w:color w:val="000000" w:themeColor="text1"/>
          <w:sz w:val="22"/>
        </w:rPr>
      </w:pPr>
      <w:r>
        <w:rPr>
          <w:rFonts w:ascii="Arial" w:hAnsi="Arial" w:cs="Arial"/>
          <w:b/>
          <w:color w:val="000000" w:themeColor="text1"/>
          <w:sz w:val="22"/>
        </w:rPr>
        <w:t xml:space="preserve">VADC 18/19 Bulletins must be read in conjunction with the VADC 2018-19 Specification for the latest version of the specifications. </w:t>
      </w:r>
    </w:p>
    <w:p w:rsidR="00AF44A1" w:rsidRDefault="00AF44A1" w:rsidP="00AF44A1">
      <w:pPr>
        <w:pStyle w:val="Heading1"/>
        <w:spacing w:before="0"/>
      </w:pPr>
    </w:p>
    <w:p w:rsidR="00AF44A1" w:rsidRDefault="00AF44A1" w:rsidP="00AF44A1">
      <w:pPr>
        <w:pStyle w:val="Heading1"/>
        <w:spacing w:before="0"/>
      </w:pPr>
      <w:r>
        <w:t>VADC</w:t>
      </w:r>
      <w:r w:rsidR="0061635F">
        <w:t xml:space="preserve"> Data Collection</w:t>
      </w:r>
      <w:r>
        <w:t xml:space="preserve"> </w:t>
      </w:r>
      <w:r w:rsidR="0061635F">
        <w:t xml:space="preserve">implementation </w:t>
      </w:r>
      <w:r>
        <w:t>update</w:t>
      </w:r>
      <w:bookmarkEnd w:id="1"/>
    </w:p>
    <w:p w:rsidR="002033C0" w:rsidRDefault="002033C0" w:rsidP="002033C0">
      <w:pPr>
        <w:pStyle w:val="Heading2"/>
        <w:numPr>
          <w:ilvl w:val="0"/>
          <w:numId w:val="15"/>
        </w:numPr>
      </w:pPr>
      <w:bookmarkStart w:id="2" w:name="_Toc531174435"/>
      <w:r>
        <w:t>VADC Specification update</w:t>
      </w:r>
      <w:bookmarkEnd w:id="2"/>
    </w:p>
    <w:p w:rsidR="002033C0" w:rsidRPr="00906490" w:rsidRDefault="002033C0" w:rsidP="002033C0">
      <w:pPr>
        <w:pStyle w:val="DHHSbody"/>
      </w:pPr>
      <w:r>
        <w:t>This is where issues that are resolved</w:t>
      </w:r>
      <w:r w:rsidR="00CA05D1">
        <w:t xml:space="preserve"> and are live in the VADC production database</w:t>
      </w:r>
      <w:r>
        <w:t xml:space="preserve"> are specified.</w:t>
      </w:r>
    </w:p>
    <w:p w:rsidR="002033C0" w:rsidRPr="002033C0" w:rsidRDefault="002033C0" w:rsidP="002033C0">
      <w:pPr>
        <w:pStyle w:val="DHHSbody"/>
      </w:pPr>
    </w:p>
    <w:p w:rsidR="00AF44A1" w:rsidRPr="00EA0C53" w:rsidRDefault="00AF44A1" w:rsidP="00AF44A1">
      <w:pPr>
        <w:pStyle w:val="Heading2"/>
        <w:numPr>
          <w:ilvl w:val="0"/>
          <w:numId w:val="15"/>
        </w:numPr>
      </w:pPr>
      <w:bookmarkStart w:id="3" w:name="_Toc531174433"/>
      <w:r>
        <w:t>Validation issues</w:t>
      </w:r>
      <w:bookmarkEnd w:id="3"/>
    </w:p>
    <w:p w:rsidR="00AF44A1" w:rsidRDefault="00AF44A1" w:rsidP="00AF44A1">
      <w:pPr>
        <w:pStyle w:val="DHHSbody"/>
      </w:pPr>
      <w:r>
        <w:t>The following list desc</w:t>
      </w:r>
      <w:r w:rsidR="00513896">
        <w:t>ribes current validation issues that have been identified and are in progress for review by the VADC Technical team</w:t>
      </w:r>
    </w:p>
    <w:tbl>
      <w:tblPr>
        <w:tblW w:w="14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2513"/>
        <w:gridCol w:w="6025"/>
        <w:gridCol w:w="2127"/>
        <w:gridCol w:w="2693"/>
      </w:tblGrid>
      <w:tr w:rsidR="00B4088B" w:rsidTr="00B4088B">
        <w:trPr>
          <w:tblHeader/>
        </w:trPr>
        <w:tc>
          <w:tcPr>
            <w:tcW w:w="985" w:type="dxa"/>
          </w:tcPr>
          <w:p w:rsidR="00B4088B" w:rsidRDefault="00B4088B" w:rsidP="001C5D54">
            <w:pPr>
              <w:pStyle w:val="DHHStablecolhead"/>
            </w:pPr>
            <w:r>
              <w:t>ID</w:t>
            </w:r>
          </w:p>
        </w:tc>
        <w:tc>
          <w:tcPr>
            <w:tcW w:w="2513" w:type="dxa"/>
            <w:shd w:val="clear" w:color="auto" w:fill="auto"/>
          </w:tcPr>
          <w:p w:rsidR="00B4088B" w:rsidRPr="000A6666" w:rsidRDefault="00B4088B" w:rsidP="001C5D54">
            <w:pPr>
              <w:pStyle w:val="DHHStablecolhead"/>
            </w:pPr>
            <w:r>
              <w:t xml:space="preserve">Related validations </w:t>
            </w:r>
          </w:p>
        </w:tc>
        <w:tc>
          <w:tcPr>
            <w:tcW w:w="6025" w:type="dxa"/>
          </w:tcPr>
          <w:p w:rsidR="00B4088B" w:rsidRPr="00B36948" w:rsidRDefault="00B4088B" w:rsidP="001C5D54">
            <w:pPr>
              <w:pStyle w:val="DHHStablecolhead"/>
            </w:pPr>
            <w:r>
              <w:t>Issue Description</w:t>
            </w:r>
          </w:p>
        </w:tc>
        <w:tc>
          <w:tcPr>
            <w:tcW w:w="2127" w:type="dxa"/>
          </w:tcPr>
          <w:p w:rsidR="00B4088B" w:rsidRPr="002C1623" w:rsidRDefault="00B4088B" w:rsidP="001C5D54">
            <w:pPr>
              <w:pStyle w:val="DHHStablecolhead"/>
              <w:rPr>
                <w:rFonts w:cs="Arial"/>
              </w:rPr>
            </w:pPr>
            <w:r w:rsidRPr="002C1623">
              <w:rPr>
                <w:rFonts w:cs="Arial"/>
              </w:rPr>
              <w:t>Update</w:t>
            </w:r>
          </w:p>
        </w:tc>
        <w:tc>
          <w:tcPr>
            <w:tcW w:w="2693" w:type="dxa"/>
          </w:tcPr>
          <w:p w:rsidR="00B4088B" w:rsidRDefault="00B4088B" w:rsidP="001C5D54">
            <w:pPr>
              <w:pStyle w:val="DHHStablecolhead"/>
            </w:pPr>
            <w:r>
              <w:t>Outcome</w:t>
            </w:r>
          </w:p>
        </w:tc>
      </w:tr>
      <w:tr w:rsidR="00B4088B" w:rsidTr="00B4088B">
        <w:tc>
          <w:tcPr>
            <w:tcW w:w="985" w:type="dxa"/>
          </w:tcPr>
          <w:p w:rsidR="00B4088B" w:rsidRDefault="00B4088B" w:rsidP="001C5D54">
            <w:pPr>
              <w:pStyle w:val="DHHStabletext"/>
            </w:pPr>
            <w:r>
              <w:t>VI_1</w:t>
            </w:r>
          </w:p>
        </w:tc>
        <w:tc>
          <w:tcPr>
            <w:tcW w:w="2513" w:type="dxa"/>
            <w:shd w:val="clear" w:color="auto" w:fill="auto"/>
          </w:tcPr>
          <w:p w:rsidR="00B4088B" w:rsidRDefault="00B4088B" w:rsidP="001C5D54">
            <w:pPr>
              <w:pStyle w:val="DHHStabletext"/>
            </w:pPr>
            <w:r>
              <w:t>AOD140</w:t>
            </w:r>
          </w:p>
        </w:tc>
        <w:tc>
          <w:tcPr>
            <w:tcW w:w="6025" w:type="dxa"/>
          </w:tcPr>
          <w:p w:rsidR="00B4088B" w:rsidRPr="00BB0E10" w:rsidRDefault="00B4088B" w:rsidP="001C5D54">
            <w:pPr>
              <w:pStyle w:val="DHHStabletext"/>
            </w:pPr>
            <w:r>
              <w:t>Currently triggers an error, under review whether to change to warning</w:t>
            </w:r>
          </w:p>
        </w:tc>
        <w:tc>
          <w:tcPr>
            <w:tcW w:w="2127" w:type="dxa"/>
          </w:tcPr>
          <w:p w:rsidR="00B4088B" w:rsidRPr="002C1623" w:rsidRDefault="002C1623" w:rsidP="001C5D54">
            <w:pPr>
              <w:pStyle w:val="DHHStabletext"/>
              <w:rPr>
                <w:rFonts w:cs="Arial"/>
              </w:rPr>
            </w:pPr>
            <w:r w:rsidRPr="002C1623">
              <w:rPr>
                <w:rFonts w:cs="Arial"/>
              </w:rPr>
              <w:t>Pending</w:t>
            </w:r>
          </w:p>
        </w:tc>
        <w:tc>
          <w:tcPr>
            <w:tcW w:w="2693" w:type="dxa"/>
          </w:tcPr>
          <w:p w:rsidR="00B4088B" w:rsidRPr="00BB0E10" w:rsidRDefault="00B4088B" w:rsidP="001C5D54">
            <w:pPr>
              <w:pStyle w:val="DHHStabletext"/>
            </w:pPr>
          </w:p>
        </w:tc>
      </w:tr>
      <w:tr w:rsidR="002C1623" w:rsidTr="00B4088B">
        <w:tc>
          <w:tcPr>
            <w:tcW w:w="985" w:type="dxa"/>
          </w:tcPr>
          <w:p w:rsidR="002C1623" w:rsidRDefault="002C1623" w:rsidP="002C1623">
            <w:pPr>
              <w:pStyle w:val="DHHStabletext"/>
            </w:pPr>
            <w:r>
              <w:t>VI_2</w:t>
            </w:r>
          </w:p>
        </w:tc>
        <w:tc>
          <w:tcPr>
            <w:tcW w:w="2513" w:type="dxa"/>
            <w:shd w:val="clear" w:color="auto" w:fill="auto"/>
          </w:tcPr>
          <w:p w:rsidR="002C1623" w:rsidRDefault="002C1623" w:rsidP="002C1623">
            <w:pPr>
              <w:pStyle w:val="DHHStabletext"/>
            </w:pPr>
            <w:r>
              <w:t>AOD29</w:t>
            </w:r>
          </w:p>
        </w:tc>
        <w:tc>
          <w:tcPr>
            <w:tcW w:w="6025" w:type="dxa"/>
          </w:tcPr>
          <w:p w:rsidR="002C1623" w:rsidRPr="00BB0E10" w:rsidRDefault="002C1623" w:rsidP="002C1623">
            <w:pPr>
              <w:pStyle w:val="DHHStabletext"/>
            </w:pPr>
            <w:r>
              <w:t>Currently triggers an error, under review whether to change to warning</w:t>
            </w:r>
          </w:p>
        </w:tc>
        <w:tc>
          <w:tcPr>
            <w:tcW w:w="2127" w:type="dxa"/>
          </w:tcPr>
          <w:p w:rsidR="002C1623" w:rsidRPr="002C1623" w:rsidRDefault="002C1623" w:rsidP="002C1623">
            <w:pPr>
              <w:rPr>
                <w:rFonts w:ascii="Arial" w:hAnsi="Arial" w:cs="Arial"/>
              </w:rPr>
            </w:pPr>
            <w:r w:rsidRPr="002C1623">
              <w:rPr>
                <w:rFonts w:ascii="Arial" w:hAnsi="Arial" w:cs="Arial"/>
              </w:rPr>
              <w:t>Pending</w:t>
            </w:r>
          </w:p>
        </w:tc>
        <w:tc>
          <w:tcPr>
            <w:tcW w:w="2693" w:type="dxa"/>
          </w:tcPr>
          <w:p w:rsidR="002C1623" w:rsidRPr="00BB0E10" w:rsidRDefault="002C1623" w:rsidP="002C1623">
            <w:pPr>
              <w:pStyle w:val="DHHStabletext"/>
            </w:pPr>
          </w:p>
        </w:tc>
      </w:tr>
      <w:tr w:rsidR="002C1623" w:rsidTr="00B4088B">
        <w:tc>
          <w:tcPr>
            <w:tcW w:w="985" w:type="dxa"/>
          </w:tcPr>
          <w:p w:rsidR="002C1623" w:rsidRDefault="002C1623" w:rsidP="002C1623">
            <w:pPr>
              <w:pStyle w:val="DHHStabletext"/>
            </w:pPr>
            <w:r>
              <w:t>VI_3</w:t>
            </w:r>
          </w:p>
        </w:tc>
        <w:tc>
          <w:tcPr>
            <w:tcW w:w="2513" w:type="dxa"/>
            <w:shd w:val="clear" w:color="auto" w:fill="auto"/>
          </w:tcPr>
          <w:p w:rsidR="002C1623" w:rsidRDefault="002C1623" w:rsidP="002C1623">
            <w:pPr>
              <w:pStyle w:val="DHHStabletext"/>
            </w:pPr>
            <w:r>
              <w:t>AOD116</w:t>
            </w:r>
          </w:p>
        </w:tc>
        <w:tc>
          <w:tcPr>
            <w:tcW w:w="6025" w:type="dxa"/>
          </w:tcPr>
          <w:p w:rsidR="002C1623" w:rsidRPr="00BB0E10" w:rsidRDefault="002C1623" w:rsidP="002C1623">
            <w:pPr>
              <w:pStyle w:val="DHHStabletext"/>
            </w:pPr>
            <w:r>
              <w:t>Currently triggers an error, under review whether to change to warning</w:t>
            </w:r>
          </w:p>
        </w:tc>
        <w:tc>
          <w:tcPr>
            <w:tcW w:w="2127" w:type="dxa"/>
          </w:tcPr>
          <w:p w:rsidR="002C1623" w:rsidRPr="002C1623" w:rsidRDefault="002C1623" w:rsidP="002C1623">
            <w:pPr>
              <w:rPr>
                <w:rFonts w:ascii="Arial" w:hAnsi="Arial" w:cs="Arial"/>
              </w:rPr>
            </w:pPr>
            <w:r w:rsidRPr="002C1623">
              <w:rPr>
                <w:rFonts w:ascii="Arial" w:hAnsi="Arial" w:cs="Arial"/>
              </w:rPr>
              <w:t>Pending</w:t>
            </w:r>
          </w:p>
        </w:tc>
        <w:tc>
          <w:tcPr>
            <w:tcW w:w="2693" w:type="dxa"/>
          </w:tcPr>
          <w:p w:rsidR="002C1623" w:rsidRPr="00BB0E10" w:rsidRDefault="002C1623" w:rsidP="002C1623">
            <w:pPr>
              <w:pStyle w:val="DHHStabletext"/>
            </w:pPr>
          </w:p>
        </w:tc>
      </w:tr>
      <w:tr w:rsidR="002C1623" w:rsidTr="00B4088B">
        <w:tc>
          <w:tcPr>
            <w:tcW w:w="985" w:type="dxa"/>
          </w:tcPr>
          <w:p w:rsidR="002C1623" w:rsidRDefault="002C1623" w:rsidP="002C1623">
            <w:pPr>
              <w:pStyle w:val="DHHStabletext"/>
            </w:pPr>
            <w:r>
              <w:t>VI_4</w:t>
            </w:r>
          </w:p>
        </w:tc>
        <w:tc>
          <w:tcPr>
            <w:tcW w:w="2513" w:type="dxa"/>
            <w:shd w:val="clear" w:color="auto" w:fill="auto"/>
          </w:tcPr>
          <w:p w:rsidR="002C1623" w:rsidRDefault="002C1623" w:rsidP="002C1623">
            <w:pPr>
              <w:pStyle w:val="DHHStabletext"/>
            </w:pPr>
            <w:r>
              <w:t>Aod79, 80, 126 and 127</w:t>
            </w:r>
          </w:p>
        </w:tc>
        <w:tc>
          <w:tcPr>
            <w:tcW w:w="6025" w:type="dxa"/>
          </w:tcPr>
          <w:p w:rsidR="002C1623" w:rsidRPr="00BB0E10" w:rsidRDefault="002C1623" w:rsidP="002C1623">
            <w:pPr>
              <w:pStyle w:val="DHHStabletext"/>
            </w:pPr>
            <w:r>
              <w:t xml:space="preserve">False triggers: Clients in residential services to be flagged as being the Person of Concern, so to not trigger these validations for residential service streams. This will bring in line with AOD68 changes. </w:t>
            </w:r>
          </w:p>
        </w:tc>
        <w:tc>
          <w:tcPr>
            <w:tcW w:w="2127" w:type="dxa"/>
          </w:tcPr>
          <w:p w:rsidR="002C1623" w:rsidRPr="002C1623" w:rsidRDefault="002C1623" w:rsidP="002C1623">
            <w:pPr>
              <w:rPr>
                <w:rFonts w:ascii="Arial" w:hAnsi="Arial" w:cs="Arial"/>
              </w:rPr>
            </w:pPr>
            <w:r w:rsidRPr="002C1623">
              <w:rPr>
                <w:rFonts w:ascii="Arial" w:hAnsi="Arial" w:cs="Arial"/>
              </w:rPr>
              <w:t>Pending</w:t>
            </w:r>
          </w:p>
        </w:tc>
        <w:tc>
          <w:tcPr>
            <w:tcW w:w="2693" w:type="dxa"/>
          </w:tcPr>
          <w:p w:rsidR="002C1623" w:rsidRPr="00BB0E10" w:rsidRDefault="002C1623" w:rsidP="002C1623">
            <w:pPr>
              <w:pStyle w:val="DHHStabletext"/>
            </w:pPr>
          </w:p>
        </w:tc>
      </w:tr>
      <w:tr w:rsidR="002C1623" w:rsidTr="00B4088B">
        <w:tc>
          <w:tcPr>
            <w:tcW w:w="985" w:type="dxa"/>
          </w:tcPr>
          <w:p w:rsidR="002C1623" w:rsidRDefault="002C1623" w:rsidP="002C1623">
            <w:pPr>
              <w:pStyle w:val="DHHStabletext"/>
            </w:pPr>
            <w:bookmarkStart w:id="4" w:name="_Hlk531327748"/>
            <w:r>
              <w:lastRenderedPageBreak/>
              <w:t>VI_5</w:t>
            </w:r>
          </w:p>
        </w:tc>
        <w:tc>
          <w:tcPr>
            <w:tcW w:w="2513" w:type="dxa"/>
            <w:shd w:val="clear" w:color="auto" w:fill="auto"/>
          </w:tcPr>
          <w:p w:rsidR="002C1623" w:rsidRDefault="002C1623" w:rsidP="002C1623">
            <w:pPr>
              <w:pStyle w:val="DHHStabletext"/>
            </w:pPr>
            <w:bookmarkStart w:id="5" w:name="_Hlk531244937"/>
            <w:r>
              <w:t>Aod78, 79, 108, 109</w:t>
            </w:r>
            <w:bookmarkEnd w:id="5"/>
          </w:p>
        </w:tc>
        <w:tc>
          <w:tcPr>
            <w:tcW w:w="6025" w:type="dxa"/>
          </w:tcPr>
          <w:p w:rsidR="002C1623" w:rsidRPr="00BB0E10" w:rsidRDefault="002C1623" w:rsidP="002C1623">
            <w:pPr>
              <w:pStyle w:val="DHHStabletext"/>
            </w:pPr>
            <w:r>
              <w:t>False triggers: The way “Today” is coded in validations is under review.</w:t>
            </w:r>
          </w:p>
        </w:tc>
        <w:tc>
          <w:tcPr>
            <w:tcW w:w="2127" w:type="dxa"/>
          </w:tcPr>
          <w:p w:rsidR="002C1623" w:rsidRPr="002C1623" w:rsidRDefault="002C1623" w:rsidP="002C1623">
            <w:pPr>
              <w:rPr>
                <w:rFonts w:ascii="Arial" w:hAnsi="Arial" w:cs="Arial"/>
              </w:rPr>
            </w:pPr>
            <w:r w:rsidRPr="002C1623">
              <w:rPr>
                <w:rFonts w:ascii="Arial" w:hAnsi="Arial" w:cs="Arial"/>
              </w:rPr>
              <w:t>Pending</w:t>
            </w:r>
          </w:p>
        </w:tc>
        <w:tc>
          <w:tcPr>
            <w:tcW w:w="2693" w:type="dxa"/>
          </w:tcPr>
          <w:p w:rsidR="002C1623" w:rsidRPr="00BB0E10" w:rsidRDefault="002C1623" w:rsidP="002C1623">
            <w:pPr>
              <w:pStyle w:val="DHHStabletext"/>
            </w:pPr>
          </w:p>
        </w:tc>
      </w:tr>
      <w:bookmarkEnd w:id="4"/>
      <w:tr w:rsidR="002C1623" w:rsidTr="00B4088B">
        <w:tc>
          <w:tcPr>
            <w:tcW w:w="985" w:type="dxa"/>
          </w:tcPr>
          <w:p w:rsidR="002C1623" w:rsidRDefault="002C1623" w:rsidP="002C1623">
            <w:pPr>
              <w:pStyle w:val="DHHStabletext"/>
            </w:pPr>
            <w:r>
              <w:t>VI_6</w:t>
            </w:r>
          </w:p>
        </w:tc>
        <w:tc>
          <w:tcPr>
            <w:tcW w:w="2513" w:type="dxa"/>
            <w:shd w:val="clear" w:color="auto" w:fill="auto"/>
          </w:tcPr>
          <w:p w:rsidR="002C1623" w:rsidRDefault="002C1623" w:rsidP="002C1623">
            <w:pPr>
              <w:pStyle w:val="DHHStabletext"/>
            </w:pPr>
            <w:proofErr w:type="spellStart"/>
            <w:r>
              <w:t>Aod</w:t>
            </w:r>
            <w:proofErr w:type="spellEnd"/>
            <w:r>
              <w:t xml:space="preserve"> 74 and 77</w:t>
            </w:r>
          </w:p>
        </w:tc>
        <w:tc>
          <w:tcPr>
            <w:tcW w:w="6025" w:type="dxa"/>
          </w:tcPr>
          <w:p w:rsidR="002C1623" w:rsidRPr="00BB0E10" w:rsidRDefault="002C1623" w:rsidP="002C1623">
            <w:pPr>
              <w:pStyle w:val="DHHStabletext"/>
            </w:pPr>
            <w:r>
              <w:t>Under review for change from warning to error.</w:t>
            </w:r>
          </w:p>
        </w:tc>
        <w:tc>
          <w:tcPr>
            <w:tcW w:w="2127" w:type="dxa"/>
          </w:tcPr>
          <w:p w:rsidR="002C1623" w:rsidRPr="002C1623" w:rsidRDefault="002C1623" w:rsidP="002C1623">
            <w:pPr>
              <w:rPr>
                <w:rFonts w:ascii="Arial" w:hAnsi="Arial" w:cs="Arial"/>
              </w:rPr>
            </w:pPr>
            <w:r w:rsidRPr="002C1623">
              <w:rPr>
                <w:rFonts w:ascii="Arial" w:hAnsi="Arial" w:cs="Arial"/>
              </w:rPr>
              <w:t>Pending</w:t>
            </w:r>
          </w:p>
        </w:tc>
        <w:tc>
          <w:tcPr>
            <w:tcW w:w="2693" w:type="dxa"/>
          </w:tcPr>
          <w:p w:rsidR="002C1623" w:rsidRPr="00BB0E10" w:rsidRDefault="002C1623" w:rsidP="002C1623">
            <w:pPr>
              <w:pStyle w:val="DHHStabletext"/>
            </w:pPr>
          </w:p>
        </w:tc>
      </w:tr>
      <w:tr w:rsidR="002C1623" w:rsidTr="00B4088B">
        <w:tc>
          <w:tcPr>
            <w:tcW w:w="985" w:type="dxa"/>
          </w:tcPr>
          <w:p w:rsidR="002C1623" w:rsidRDefault="002C1623" w:rsidP="002C1623">
            <w:pPr>
              <w:pStyle w:val="DHHStabletext"/>
            </w:pPr>
            <w:r>
              <w:t>VI_7</w:t>
            </w:r>
          </w:p>
        </w:tc>
        <w:tc>
          <w:tcPr>
            <w:tcW w:w="2513" w:type="dxa"/>
            <w:shd w:val="clear" w:color="auto" w:fill="auto"/>
          </w:tcPr>
          <w:p w:rsidR="002C1623" w:rsidRDefault="002C1623" w:rsidP="002C1623">
            <w:pPr>
              <w:pStyle w:val="DHHStabletext"/>
            </w:pPr>
            <w:r>
              <w:t>AOD31</w:t>
            </w:r>
          </w:p>
        </w:tc>
        <w:tc>
          <w:tcPr>
            <w:tcW w:w="6025" w:type="dxa"/>
          </w:tcPr>
          <w:p w:rsidR="002C1623" w:rsidRDefault="002C1623" w:rsidP="002C1623">
            <w:pPr>
              <w:pStyle w:val="DHHStabletext"/>
            </w:pPr>
            <w:r>
              <w:t>Currently triggers an error, under review whether to change to warning</w:t>
            </w:r>
          </w:p>
        </w:tc>
        <w:tc>
          <w:tcPr>
            <w:tcW w:w="2127" w:type="dxa"/>
          </w:tcPr>
          <w:p w:rsidR="002C1623" w:rsidRPr="002C1623" w:rsidRDefault="002C1623" w:rsidP="002C1623">
            <w:pPr>
              <w:rPr>
                <w:rFonts w:ascii="Arial" w:hAnsi="Arial" w:cs="Arial"/>
              </w:rPr>
            </w:pPr>
            <w:r w:rsidRPr="002C1623">
              <w:rPr>
                <w:rFonts w:ascii="Arial" w:hAnsi="Arial" w:cs="Arial"/>
              </w:rPr>
              <w:t>Pending</w:t>
            </w:r>
          </w:p>
        </w:tc>
        <w:tc>
          <w:tcPr>
            <w:tcW w:w="2693" w:type="dxa"/>
          </w:tcPr>
          <w:p w:rsidR="002C1623" w:rsidRPr="00BB0E10" w:rsidRDefault="002C1623" w:rsidP="002C1623">
            <w:pPr>
              <w:pStyle w:val="DHHStabletext"/>
            </w:pPr>
          </w:p>
        </w:tc>
      </w:tr>
      <w:tr w:rsidR="002C1623" w:rsidTr="00B4088B">
        <w:tc>
          <w:tcPr>
            <w:tcW w:w="985" w:type="dxa"/>
          </w:tcPr>
          <w:p w:rsidR="002C1623" w:rsidRDefault="002C1623" w:rsidP="002C1623">
            <w:pPr>
              <w:pStyle w:val="DHHStabletext"/>
            </w:pPr>
            <w:r>
              <w:t>VI_8</w:t>
            </w:r>
          </w:p>
        </w:tc>
        <w:tc>
          <w:tcPr>
            <w:tcW w:w="2513" w:type="dxa"/>
            <w:shd w:val="clear" w:color="auto" w:fill="auto"/>
          </w:tcPr>
          <w:p w:rsidR="002C1623" w:rsidRDefault="002C1623" w:rsidP="002C1623">
            <w:pPr>
              <w:pStyle w:val="DHHStabletext"/>
            </w:pPr>
            <w:r>
              <w:t>AOD55</w:t>
            </w:r>
          </w:p>
        </w:tc>
        <w:tc>
          <w:tcPr>
            <w:tcW w:w="6025" w:type="dxa"/>
          </w:tcPr>
          <w:p w:rsidR="002C1623" w:rsidRDefault="002C1623" w:rsidP="002C1623">
            <w:pPr>
              <w:pStyle w:val="DHHStabletext"/>
            </w:pPr>
            <w:r>
              <w:t>Currently triggers an error, under review whether to change to warning</w:t>
            </w:r>
          </w:p>
        </w:tc>
        <w:tc>
          <w:tcPr>
            <w:tcW w:w="2127" w:type="dxa"/>
          </w:tcPr>
          <w:p w:rsidR="002C1623" w:rsidRPr="002C1623" w:rsidRDefault="002C1623" w:rsidP="002C1623">
            <w:pPr>
              <w:rPr>
                <w:rFonts w:ascii="Arial" w:hAnsi="Arial" w:cs="Arial"/>
              </w:rPr>
            </w:pPr>
            <w:r w:rsidRPr="002C1623">
              <w:rPr>
                <w:rFonts w:ascii="Arial" w:hAnsi="Arial" w:cs="Arial"/>
              </w:rPr>
              <w:t>Pending</w:t>
            </w:r>
          </w:p>
        </w:tc>
        <w:tc>
          <w:tcPr>
            <w:tcW w:w="2693" w:type="dxa"/>
          </w:tcPr>
          <w:p w:rsidR="002C1623" w:rsidRPr="00BB0E10" w:rsidRDefault="002C1623" w:rsidP="002C1623">
            <w:pPr>
              <w:pStyle w:val="DHHStabletext"/>
            </w:pPr>
          </w:p>
        </w:tc>
      </w:tr>
      <w:tr w:rsidR="002C1623" w:rsidTr="00B4088B">
        <w:tc>
          <w:tcPr>
            <w:tcW w:w="985" w:type="dxa"/>
            <w:vAlign w:val="bottom"/>
          </w:tcPr>
          <w:p w:rsidR="002C1623" w:rsidRDefault="002C1623" w:rsidP="002C1623">
            <w:pPr>
              <w:rPr>
                <w:rFonts w:ascii="Calibri" w:hAnsi="Calibri"/>
                <w:color w:val="000000"/>
                <w:sz w:val="22"/>
                <w:szCs w:val="22"/>
                <w:lang w:eastAsia="en-AU"/>
              </w:rPr>
            </w:pPr>
            <w:r>
              <w:rPr>
                <w:rFonts w:ascii="Calibri" w:hAnsi="Calibri"/>
                <w:color w:val="000000"/>
                <w:sz w:val="22"/>
                <w:szCs w:val="22"/>
              </w:rPr>
              <w:t>VI_9</w:t>
            </w:r>
          </w:p>
        </w:tc>
        <w:tc>
          <w:tcPr>
            <w:tcW w:w="2513" w:type="dxa"/>
            <w:shd w:val="clear" w:color="auto" w:fill="auto"/>
            <w:vAlign w:val="bottom"/>
          </w:tcPr>
          <w:p w:rsidR="002C1623" w:rsidRDefault="002C1623" w:rsidP="002C1623">
            <w:pPr>
              <w:rPr>
                <w:rFonts w:ascii="Calibri" w:hAnsi="Calibri"/>
                <w:color w:val="000000"/>
                <w:sz w:val="22"/>
                <w:szCs w:val="22"/>
              </w:rPr>
            </w:pPr>
            <w:r>
              <w:rPr>
                <w:rFonts w:ascii="Calibri" w:hAnsi="Calibri"/>
                <w:color w:val="000000"/>
                <w:sz w:val="22"/>
                <w:szCs w:val="22"/>
              </w:rPr>
              <w:t>AOD112</w:t>
            </w:r>
          </w:p>
        </w:tc>
        <w:tc>
          <w:tcPr>
            <w:tcW w:w="6025" w:type="dxa"/>
            <w:vAlign w:val="bottom"/>
          </w:tcPr>
          <w:p w:rsidR="002C1623" w:rsidRDefault="002C1623" w:rsidP="002C1623">
            <w:pPr>
              <w:rPr>
                <w:rFonts w:ascii="Calibri" w:hAnsi="Calibri"/>
                <w:color w:val="000000"/>
                <w:sz w:val="22"/>
                <w:szCs w:val="22"/>
              </w:rPr>
            </w:pPr>
            <w:r>
              <w:rPr>
                <w:rFonts w:ascii="Calibri" w:hAnsi="Calibri"/>
                <w:color w:val="000000"/>
                <w:sz w:val="22"/>
                <w:szCs w:val="22"/>
              </w:rPr>
              <w:t>Currently triggers as warning in system in certain circumstances, needs to change to trigger as error per specification requirement</w:t>
            </w:r>
          </w:p>
        </w:tc>
        <w:tc>
          <w:tcPr>
            <w:tcW w:w="2127" w:type="dxa"/>
          </w:tcPr>
          <w:p w:rsidR="002C1623" w:rsidRPr="002C1623" w:rsidRDefault="002C1623" w:rsidP="002C1623">
            <w:pPr>
              <w:rPr>
                <w:rFonts w:ascii="Arial" w:hAnsi="Arial" w:cs="Arial"/>
              </w:rPr>
            </w:pPr>
            <w:r w:rsidRPr="002C1623">
              <w:rPr>
                <w:rFonts w:ascii="Arial" w:hAnsi="Arial" w:cs="Arial"/>
              </w:rPr>
              <w:t>New</w:t>
            </w:r>
          </w:p>
        </w:tc>
        <w:tc>
          <w:tcPr>
            <w:tcW w:w="2693" w:type="dxa"/>
          </w:tcPr>
          <w:p w:rsidR="002C1623" w:rsidRPr="00BB0E10" w:rsidRDefault="002C1623" w:rsidP="002C1623">
            <w:pPr>
              <w:pStyle w:val="DHHStabletext"/>
            </w:pPr>
          </w:p>
        </w:tc>
      </w:tr>
      <w:tr w:rsidR="002C1623" w:rsidTr="00B4088B">
        <w:tc>
          <w:tcPr>
            <w:tcW w:w="985" w:type="dxa"/>
            <w:vAlign w:val="bottom"/>
          </w:tcPr>
          <w:p w:rsidR="002C1623" w:rsidRDefault="002C1623" w:rsidP="002C1623">
            <w:pPr>
              <w:rPr>
                <w:rFonts w:ascii="Calibri" w:hAnsi="Calibri"/>
                <w:color w:val="000000"/>
                <w:sz w:val="22"/>
                <w:szCs w:val="22"/>
              </w:rPr>
            </w:pPr>
            <w:r>
              <w:rPr>
                <w:rFonts w:ascii="Calibri" w:hAnsi="Calibri"/>
                <w:color w:val="000000"/>
                <w:sz w:val="22"/>
                <w:szCs w:val="22"/>
              </w:rPr>
              <w:t>VI_10</w:t>
            </w:r>
          </w:p>
        </w:tc>
        <w:tc>
          <w:tcPr>
            <w:tcW w:w="2513" w:type="dxa"/>
            <w:shd w:val="clear" w:color="auto" w:fill="auto"/>
            <w:vAlign w:val="bottom"/>
          </w:tcPr>
          <w:p w:rsidR="002C1623" w:rsidRDefault="002C1623" w:rsidP="002C1623">
            <w:pPr>
              <w:rPr>
                <w:rFonts w:ascii="Calibri" w:hAnsi="Calibri"/>
                <w:color w:val="000000"/>
                <w:sz w:val="22"/>
                <w:szCs w:val="22"/>
              </w:rPr>
            </w:pPr>
            <w:r>
              <w:rPr>
                <w:rFonts w:ascii="Calibri" w:hAnsi="Calibri"/>
                <w:color w:val="000000"/>
                <w:sz w:val="22"/>
                <w:szCs w:val="22"/>
              </w:rPr>
              <w:t>AOD110</w:t>
            </w:r>
          </w:p>
        </w:tc>
        <w:tc>
          <w:tcPr>
            <w:tcW w:w="6025" w:type="dxa"/>
            <w:vAlign w:val="bottom"/>
          </w:tcPr>
          <w:p w:rsidR="002C1623" w:rsidRDefault="002C1623" w:rsidP="002C1623">
            <w:pPr>
              <w:rPr>
                <w:rFonts w:ascii="Calibri" w:hAnsi="Calibri"/>
                <w:color w:val="000000"/>
                <w:sz w:val="22"/>
                <w:szCs w:val="22"/>
              </w:rPr>
            </w:pPr>
            <w:r>
              <w:rPr>
                <w:rFonts w:ascii="Calibri" w:hAnsi="Calibri"/>
                <w:color w:val="000000"/>
                <w:sz w:val="22"/>
                <w:szCs w:val="22"/>
              </w:rPr>
              <w:t>In certain circumstances, triggers as AOD0 where drug is not part of ASCDC, instead of AOD110</w:t>
            </w:r>
          </w:p>
        </w:tc>
        <w:tc>
          <w:tcPr>
            <w:tcW w:w="2127" w:type="dxa"/>
          </w:tcPr>
          <w:p w:rsidR="002C1623" w:rsidRPr="002C1623" w:rsidRDefault="002C1623" w:rsidP="002C1623">
            <w:pPr>
              <w:rPr>
                <w:rFonts w:ascii="Arial" w:hAnsi="Arial" w:cs="Arial"/>
              </w:rPr>
            </w:pPr>
            <w:r w:rsidRPr="002C1623">
              <w:rPr>
                <w:rFonts w:ascii="Arial" w:hAnsi="Arial" w:cs="Arial"/>
              </w:rPr>
              <w:t>New</w:t>
            </w:r>
          </w:p>
        </w:tc>
        <w:tc>
          <w:tcPr>
            <w:tcW w:w="2693" w:type="dxa"/>
          </w:tcPr>
          <w:p w:rsidR="002C1623" w:rsidRDefault="002C1623" w:rsidP="002C1623">
            <w:pPr>
              <w:pStyle w:val="DHHStabletext"/>
            </w:pPr>
            <w:r>
              <w:t>Resolved –</w:t>
            </w:r>
          </w:p>
          <w:p w:rsidR="002C1623" w:rsidRPr="00BB0E10" w:rsidRDefault="002C1623" w:rsidP="002C1623">
            <w:pPr>
              <w:pStyle w:val="DHHStabletext"/>
            </w:pPr>
            <w:r>
              <w:t xml:space="preserve">In all circumstances, AOD110 will be triggered where drug is not part of ASCDC </w:t>
            </w:r>
            <w:proofErr w:type="spellStart"/>
            <w:r>
              <w:t>codeset</w:t>
            </w:r>
            <w:proofErr w:type="spellEnd"/>
            <w:r>
              <w:t xml:space="preserve">. </w:t>
            </w:r>
          </w:p>
        </w:tc>
      </w:tr>
      <w:tr w:rsidR="002C1623" w:rsidTr="00B4088B">
        <w:tc>
          <w:tcPr>
            <w:tcW w:w="985" w:type="dxa"/>
            <w:vAlign w:val="bottom"/>
          </w:tcPr>
          <w:p w:rsidR="002C1623" w:rsidRDefault="002C1623" w:rsidP="002C1623">
            <w:pPr>
              <w:rPr>
                <w:rFonts w:ascii="Calibri" w:hAnsi="Calibri"/>
                <w:color w:val="000000"/>
                <w:sz w:val="22"/>
                <w:szCs w:val="22"/>
              </w:rPr>
            </w:pPr>
            <w:r>
              <w:rPr>
                <w:rFonts w:ascii="Calibri" w:hAnsi="Calibri"/>
                <w:color w:val="000000"/>
                <w:sz w:val="22"/>
                <w:szCs w:val="22"/>
              </w:rPr>
              <w:t>VI_11</w:t>
            </w:r>
          </w:p>
        </w:tc>
        <w:tc>
          <w:tcPr>
            <w:tcW w:w="2513" w:type="dxa"/>
            <w:shd w:val="clear" w:color="auto" w:fill="auto"/>
            <w:vAlign w:val="bottom"/>
          </w:tcPr>
          <w:p w:rsidR="002C1623" w:rsidRDefault="002C1623" w:rsidP="002C1623">
            <w:pPr>
              <w:rPr>
                <w:rFonts w:ascii="Calibri" w:hAnsi="Calibri"/>
                <w:color w:val="000000"/>
                <w:sz w:val="22"/>
                <w:szCs w:val="22"/>
              </w:rPr>
            </w:pPr>
            <w:r>
              <w:rPr>
                <w:rFonts w:ascii="Calibri" w:hAnsi="Calibri"/>
                <w:color w:val="000000"/>
                <w:sz w:val="22"/>
                <w:szCs w:val="22"/>
              </w:rPr>
              <w:t>AOD16</w:t>
            </w:r>
          </w:p>
        </w:tc>
        <w:tc>
          <w:tcPr>
            <w:tcW w:w="6025" w:type="dxa"/>
            <w:vAlign w:val="bottom"/>
          </w:tcPr>
          <w:p w:rsidR="002C1623" w:rsidRDefault="00461543" w:rsidP="002C1623">
            <w:pPr>
              <w:rPr>
                <w:rFonts w:ascii="Calibri" w:hAnsi="Calibri"/>
                <w:color w:val="000000"/>
                <w:sz w:val="22"/>
                <w:szCs w:val="22"/>
              </w:rPr>
            </w:pPr>
            <w:r>
              <w:rPr>
                <w:rFonts w:ascii="Calibri" w:hAnsi="Calibri"/>
                <w:color w:val="000000"/>
                <w:sz w:val="22"/>
                <w:szCs w:val="22"/>
              </w:rPr>
              <w:t xml:space="preserve">Under review – unexpected handing where text of locality is lowercase. </w:t>
            </w:r>
          </w:p>
        </w:tc>
        <w:tc>
          <w:tcPr>
            <w:tcW w:w="2127" w:type="dxa"/>
          </w:tcPr>
          <w:p w:rsidR="002C1623" w:rsidRPr="002C1623" w:rsidRDefault="002C1623" w:rsidP="002C1623">
            <w:pPr>
              <w:rPr>
                <w:rFonts w:ascii="Arial" w:hAnsi="Arial" w:cs="Arial"/>
              </w:rPr>
            </w:pPr>
            <w:r w:rsidRPr="002C1623">
              <w:rPr>
                <w:rFonts w:ascii="Arial" w:hAnsi="Arial" w:cs="Arial"/>
              </w:rPr>
              <w:t>New</w:t>
            </w:r>
          </w:p>
        </w:tc>
        <w:tc>
          <w:tcPr>
            <w:tcW w:w="2693" w:type="dxa"/>
          </w:tcPr>
          <w:p w:rsidR="002C1623" w:rsidRPr="00BB0E10" w:rsidRDefault="002C1623" w:rsidP="002C1623">
            <w:pPr>
              <w:pStyle w:val="DHHStabletext"/>
            </w:pPr>
          </w:p>
        </w:tc>
      </w:tr>
      <w:tr w:rsidR="002C1623" w:rsidTr="00B4088B">
        <w:tc>
          <w:tcPr>
            <w:tcW w:w="985" w:type="dxa"/>
            <w:vAlign w:val="bottom"/>
          </w:tcPr>
          <w:p w:rsidR="002C1623" w:rsidRDefault="002C1623" w:rsidP="002C1623">
            <w:pPr>
              <w:rPr>
                <w:rFonts w:ascii="Calibri" w:hAnsi="Calibri"/>
                <w:color w:val="000000"/>
                <w:sz w:val="22"/>
                <w:szCs w:val="22"/>
              </w:rPr>
            </w:pPr>
            <w:r>
              <w:rPr>
                <w:rFonts w:ascii="Calibri" w:hAnsi="Calibri"/>
                <w:color w:val="000000"/>
                <w:sz w:val="22"/>
                <w:szCs w:val="22"/>
              </w:rPr>
              <w:t>VI_12</w:t>
            </w:r>
          </w:p>
        </w:tc>
        <w:tc>
          <w:tcPr>
            <w:tcW w:w="2513" w:type="dxa"/>
            <w:shd w:val="clear" w:color="auto" w:fill="auto"/>
            <w:vAlign w:val="bottom"/>
          </w:tcPr>
          <w:p w:rsidR="002C1623" w:rsidRDefault="002C1623" w:rsidP="002C1623">
            <w:pPr>
              <w:rPr>
                <w:rFonts w:ascii="Calibri" w:hAnsi="Calibri"/>
                <w:color w:val="000000"/>
                <w:sz w:val="22"/>
                <w:szCs w:val="22"/>
              </w:rPr>
            </w:pPr>
            <w:r>
              <w:rPr>
                <w:rFonts w:ascii="Calibri" w:hAnsi="Calibri"/>
                <w:color w:val="000000"/>
                <w:sz w:val="22"/>
                <w:szCs w:val="22"/>
              </w:rPr>
              <w:t>AOD108</w:t>
            </w:r>
          </w:p>
        </w:tc>
        <w:tc>
          <w:tcPr>
            <w:tcW w:w="6025" w:type="dxa"/>
            <w:vAlign w:val="bottom"/>
          </w:tcPr>
          <w:p w:rsidR="002C1623" w:rsidRDefault="002C1623" w:rsidP="002C1623">
            <w:pPr>
              <w:rPr>
                <w:rFonts w:ascii="Calibri" w:hAnsi="Calibri"/>
                <w:color w:val="000000"/>
                <w:sz w:val="22"/>
                <w:szCs w:val="22"/>
              </w:rPr>
            </w:pPr>
            <w:r>
              <w:rPr>
                <w:rFonts w:ascii="Calibri" w:hAnsi="Calibri"/>
                <w:color w:val="000000"/>
                <w:sz w:val="22"/>
                <w:szCs w:val="22"/>
              </w:rPr>
              <w:t>Pseudocode description does not match validation requirement</w:t>
            </w:r>
          </w:p>
        </w:tc>
        <w:tc>
          <w:tcPr>
            <w:tcW w:w="2127" w:type="dxa"/>
          </w:tcPr>
          <w:p w:rsidR="002C1623" w:rsidRPr="002C1623" w:rsidRDefault="002C1623" w:rsidP="002C1623">
            <w:pPr>
              <w:rPr>
                <w:rFonts w:ascii="Arial" w:hAnsi="Arial" w:cs="Arial"/>
              </w:rPr>
            </w:pPr>
            <w:r w:rsidRPr="002C1623">
              <w:rPr>
                <w:rFonts w:ascii="Arial" w:hAnsi="Arial" w:cs="Arial"/>
              </w:rPr>
              <w:t>New</w:t>
            </w:r>
          </w:p>
        </w:tc>
        <w:tc>
          <w:tcPr>
            <w:tcW w:w="2693" w:type="dxa"/>
          </w:tcPr>
          <w:p w:rsidR="002C1623" w:rsidRPr="00BB0E10" w:rsidRDefault="002C1623" w:rsidP="002C1623">
            <w:pPr>
              <w:pStyle w:val="DHHStabletext"/>
            </w:pPr>
          </w:p>
        </w:tc>
      </w:tr>
      <w:tr w:rsidR="002C1623" w:rsidTr="00B4088B">
        <w:tc>
          <w:tcPr>
            <w:tcW w:w="985" w:type="dxa"/>
            <w:vAlign w:val="bottom"/>
          </w:tcPr>
          <w:p w:rsidR="002C1623" w:rsidRDefault="002C1623" w:rsidP="002C1623">
            <w:pPr>
              <w:rPr>
                <w:rFonts w:ascii="Calibri" w:hAnsi="Calibri"/>
                <w:color w:val="000000"/>
                <w:sz w:val="22"/>
                <w:szCs w:val="22"/>
              </w:rPr>
            </w:pPr>
            <w:r>
              <w:rPr>
                <w:rFonts w:ascii="Calibri" w:hAnsi="Calibri"/>
                <w:color w:val="000000"/>
                <w:sz w:val="22"/>
                <w:szCs w:val="22"/>
              </w:rPr>
              <w:t>VI_13</w:t>
            </w:r>
          </w:p>
        </w:tc>
        <w:tc>
          <w:tcPr>
            <w:tcW w:w="2513" w:type="dxa"/>
            <w:shd w:val="clear" w:color="auto" w:fill="auto"/>
            <w:vAlign w:val="bottom"/>
          </w:tcPr>
          <w:p w:rsidR="002C1623" w:rsidRDefault="002C1623" w:rsidP="002C1623">
            <w:pPr>
              <w:rPr>
                <w:rFonts w:ascii="Calibri" w:hAnsi="Calibri"/>
                <w:color w:val="000000"/>
                <w:sz w:val="22"/>
                <w:szCs w:val="22"/>
              </w:rPr>
            </w:pPr>
            <w:r>
              <w:rPr>
                <w:rFonts w:ascii="Calibri" w:hAnsi="Calibri"/>
                <w:color w:val="000000"/>
                <w:sz w:val="22"/>
                <w:szCs w:val="22"/>
              </w:rPr>
              <w:t>AOD79</w:t>
            </w:r>
          </w:p>
        </w:tc>
        <w:tc>
          <w:tcPr>
            <w:tcW w:w="6025" w:type="dxa"/>
            <w:vAlign w:val="bottom"/>
          </w:tcPr>
          <w:p w:rsidR="002C1623" w:rsidRDefault="002C1623" w:rsidP="002C1623">
            <w:pPr>
              <w:rPr>
                <w:rFonts w:ascii="Calibri" w:hAnsi="Calibri"/>
                <w:color w:val="000000"/>
                <w:sz w:val="22"/>
                <w:szCs w:val="22"/>
              </w:rPr>
            </w:pPr>
            <w:r>
              <w:rPr>
                <w:rFonts w:ascii="Calibri" w:hAnsi="Calibri"/>
                <w:color w:val="000000"/>
                <w:sz w:val="22"/>
                <w:szCs w:val="22"/>
              </w:rPr>
              <w:t>Pseudocode description does not match validation requirement</w:t>
            </w:r>
          </w:p>
        </w:tc>
        <w:tc>
          <w:tcPr>
            <w:tcW w:w="2127" w:type="dxa"/>
          </w:tcPr>
          <w:p w:rsidR="002C1623" w:rsidRPr="002C1623" w:rsidRDefault="002C1623" w:rsidP="002C1623">
            <w:pPr>
              <w:rPr>
                <w:rFonts w:ascii="Arial" w:hAnsi="Arial" w:cs="Arial"/>
              </w:rPr>
            </w:pPr>
            <w:r w:rsidRPr="002C1623">
              <w:rPr>
                <w:rFonts w:ascii="Arial" w:hAnsi="Arial" w:cs="Arial"/>
              </w:rPr>
              <w:t>New</w:t>
            </w:r>
          </w:p>
        </w:tc>
        <w:tc>
          <w:tcPr>
            <w:tcW w:w="2693" w:type="dxa"/>
          </w:tcPr>
          <w:p w:rsidR="002C1623" w:rsidRPr="00BB0E10" w:rsidRDefault="002C1623" w:rsidP="002C1623">
            <w:pPr>
              <w:pStyle w:val="DHHStabletext"/>
            </w:pPr>
          </w:p>
        </w:tc>
      </w:tr>
    </w:tbl>
    <w:p w:rsidR="00AF44A1" w:rsidRDefault="00AF44A1" w:rsidP="00AF44A1">
      <w:pPr>
        <w:rPr>
          <w:rFonts w:ascii="Arial" w:hAnsi="Arial" w:cs="Arial"/>
          <w:color w:val="000000"/>
          <w:lang w:eastAsia="en-AU"/>
        </w:rPr>
      </w:pPr>
    </w:p>
    <w:p w:rsidR="002C1623" w:rsidRDefault="002C1623">
      <w:pPr>
        <w:rPr>
          <w:rFonts w:ascii="Arial" w:hAnsi="Arial"/>
          <w:b/>
          <w:color w:val="201547"/>
          <w:sz w:val="28"/>
          <w:szCs w:val="28"/>
        </w:rPr>
      </w:pPr>
      <w:bookmarkStart w:id="6" w:name="_Toc531174434"/>
      <w:r>
        <w:br w:type="page"/>
      </w:r>
    </w:p>
    <w:p w:rsidR="00AF44A1" w:rsidRDefault="00AF44A1" w:rsidP="00AF44A1">
      <w:pPr>
        <w:pStyle w:val="Heading2"/>
        <w:numPr>
          <w:ilvl w:val="0"/>
          <w:numId w:val="15"/>
        </w:numPr>
      </w:pPr>
      <w:r>
        <w:lastRenderedPageBreak/>
        <w:t>Data issues</w:t>
      </w:r>
      <w:bookmarkEnd w:id="6"/>
    </w:p>
    <w:p w:rsidR="00AF44A1" w:rsidRDefault="00AF44A1" w:rsidP="00AF44A1">
      <w:pPr>
        <w:pStyle w:val="DHHSbody"/>
      </w:pPr>
      <w:r>
        <w:t>The following current data issues:</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095"/>
        <w:gridCol w:w="7229"/>
      </w:tblGrid>
      <w:tr w:rsidR="002C1623" w:rsidTr="00A9126C">
        <w:trPr>
          <w:tblHeader/>
        </w:trPr>
        <w:tc>
          <w:tcPr>
            <w:tcW w:w="993" w:type="dxa"/>
          </w:tcPr>
          <w:p w:rsidR="002C1623" w:rsidRDefault="002C1623" w:rsidP="00E96AA0">
            <w:pPr>
              <w:pStyle w:val="DHHStablecolhead"/>
            </w:pPr>
            <w:r>
              <w:t>ID</w:t>
            </w:r>
          </w:p>
        </w:tc>
        <w:tc>
          <w:tcPr>
            <w:tcW w:w="6095" w:type="dxa"/>
            <w:shd w:val="clear" w:color="auto" w:fill="auto"/>
          </w:tcPr>
          <w:p w:rsidR="002C1623" w:rsidRPr="000A6666" w:rsidRDefault="002C1623" w:rsidP="00E96AA0">
            <w:pPr>
              <w:pStyle w:val="DHHStablecolhead"/>
            </w:pPr>
            <w:r>
              <w:t xml:space="preserve">Issue </w:t>
            </w:r>
          </w:p>
        </w:tc>
        <w:tc>
          <w:tcPr>
            <w:tcW w:w="7229" w:type="dxa"/>
          </w:tcPr>
          <w:p w:rsidR="002C1623" w:rsidRPr="00B36948" w:rsidRDefault="002C1623" w:rsidP="00E96AA0">
            <w:pPr>
              <w:pStyle w:val="DHHStablecolhead"/>
            </w:pPr>
            <w:r>
              <w:t>Proposed resolution</w:t>
            </w:r>
          </w:p>
        </w:tc>
      </w:tr>
      <w:tr w:rsidR="002C1623" w:rsidTr="00A9126C">
        <w:tc>
          <w:tcPr>
            <w:tcW w:w="993" w:type="dxa"/>
          </w:tcPr>
          <w:p w:rsidR="002C1623" w:rsidRDefault="002C1623" w:rsidP="002A462B">
            <w:pPr>
              <w:pStyle w:val="DHHStabletext"/>
            </w:pPr>
            <w:r>
              <w:t>DE_2</w:t>
            </w:r>
          </w:p>
        </w:tc>
        <w:tc>
          <w:tcPr>
            <w:tcW w:w="6095" w:type="dxa"/>
            <w:shd w:val="clear" w:color="auto" w:fill="auto"/>
            <w:vAlign w:val="center"/>
          </w:tcPr>
          <w:p w:rsidR="002C1623" w:rsidRDefault="002C1623" w:rsidP="002A462B">
            <w:pPr>
              <w:rPr>
                <w:rFonts w:ascii="Arial" w:hAnsi="Arial" w:cs="Arial"/>
                <w:color w:val="000000"/>
                <w:lang w:eastAsia="en-AU"/>
              </w:rPr>
            </w:pPr>
            <w:r>
              <w:rPr>
                <w:rFonts w:ascii="Arial" w:hAnsi="Arial" w:cs="Arial"/>
                <w:color w:val="000000"/>
              </w:rPr>
              <w:t>Do services need to report ACSO referral ID for all ACSO referrals or only ACSO COATS referrals?</w:t>
            </w:r>
          </w:p>
        </w:tc>
        <w:tc>
          <w:tcPr>
            <w:tcW w:w="7229" w:type="dxa"/>
            <w:vAlign w:val="center"/>
          </w:tcPr>
          <w:p w:rsidR="002C1623" w:rsidRDefault="002C1623" w:rsidP="002A462B">
            <w:pPr>
              <w:rPr>
                <w:rFonts w:ascii="Arial" w:hAnsi="Arial" w:cs="Arial"/>
                <w:color w:val="000000"/>
              </w:rPr>
            </w:pPr>
            <w:r>
              <w:rPr>
                <w:rFonts w:ascii="Arial" w:hAnsi="Arial" w:cs="Arial"/>
                <w:color w:val="000000"/>
              </w:rPr>
              <w:t>ACSO referral ID is only for ACSO COATS referrals. Where ACSO is providing an intake function to regional services, an ACSO referral ID is not required to be reported. Referral provider type for these ACSO referrals for regional services should be reported as "6 AODT Service"</w:t>
            </w:r>
          </w:p>
        </w:tc>
      </w:tr>
      <w:tr w:rsidR="002C1623" w:rsidTr="00A9126C">
        <w:tc>
          <w:tcPr>
            <w:tcW w:w="993" w:type="dxa"/>
          </w:tcPr>
          <w:p w:rsidR="002C1623" w:rsidRDefault="002C1623" w:rsidP="002A462B">
            <w:pPr>
              <w:pStyle w:val="DHHStabletext"/>
            </w:pPr>
            <w:r>
              <w:t>DE_3</w:t>
            </w:r>
          </w:p>
        </w:tc>
        <w:tc>
          <w:tcPr>
            <w:tcW w:w="6095" w:type="dxa"/>
            <w:shd w:val="clear" w:color="auto" w:fill="auto"/>
          </w:tcPr>
          <w:p w:rsidR="002C1623" w:rsidRDefault="002C1623" w:rsidP="002A462B">
            <w:pPr>
              <w:pStyle w:val="DHHStabletext"/>
            </w:pPr>
            <w:r>
              <w:t>Agencies VADC test file submissions in MFT are overwriting their production data for the reporting period submitted.</w:t>
            </w:r>
          </w:p>
        </w:tc>
        <w:tc>
          <w:tcPr>
            <w:tcW w:w="7229" w:type="dxa"/>
          </w:tcPr>
          <w:p w:rsidR="002C1623" w:rsidRPr="00401692" w:rsidRDefault="002C1623" w:rsidP="002A462B">
            <w:pPr>
              <w:pStyle w:val="DHHStabletext"/>
            </w:pPr>
            <w:r w:rsidRPr="002A462B">
              <w:t>VADC XML test files submitted to MFT must have an "_Test" at the end of the XML file name. If a test file is named incorrectly it will be processed as a production file</w:t>
            </w:r>
          </w:p>
        </w:tc>
      </w:tr>
      <w:tr w:rsidR="002C1623" w:rsidTr="00A9126C">
        <w:tc>
          <w:tcPr>
            <w:tcW w:w="993" w:type="dxa"/>
          </w:tcPr>
          <w:p w:rsidR="002C1623" w:rsidRDefault="002C1623" w:rsidP="002A462B">
            <w:pPr>
              <w:pStyle w:val="DHHStabletext"/>
            </w:pPr>
            <w:r>
              <w:t>DE_4</w:t>
            </w:r>
          </w:p>
        </w:tc>
        <w:tc>
          <w:tcPr>
            <w:tcW w:w="6095" w:type="dxa"/>
            <w:shd w:val="clear" w:color="auto" w:fill="auto"/>
          </w:tcPr>
          <w:p w:rsidR="002C1623" w:rsidRDefault="002C1623" w:rsidP="002A462B">
            <w:pPr>
              <w:pStyle w:val="DHHStabletext"/>
            </w:pPr>
            <w:r w:rsidRPr="002A462B">
              <w:t>Services not reviewing errors and resubmitting corrections within reporting period</w:t>
            </w:r>
          </w:p>
        </w:tc>
        <w:tc>
          <w:tcPr>
            <w:tcW w:w="7229" w:type="dxa"/>
          </w:tcPr>
          <w:p w:rsidR="002C1623" w:rsidRPr="00BB0E10" w:rsidRDefault="002C1623" w:rsidP="002A462B">
            <w:pPr>
              <w:pStyle w:val="DHHStabletext"/>
            </w:pPr>
          </w:p>
        </w:tc>
      </w:tr>
    </w:tbl>
    <w:p w:rsidR="00AF44A1" w:rsidRDefault="00AF44A1" w:rsidP="00AF44A1">
      <w:pPr>
        <w:pStyle w:val="DHHSbody"/>
      </w:pPr>
    </w:p>
    <w:tbl>
      <w:tblPr>
        <w:tblW w:w="14317" w:type="dxa"/>
        <w:tblInd w:w="108" w:type="dxa"/>
        <w:tblLayout w:type="fixed"/>
        <w:tblCellMar>
          <w:top w:w="113" w:type="dxa"/>
          <w:bottom w:w="57" w:type="dxa"/>
        </w:tblCellMar>
        <w:tblLook w:val="00A0" w:firstRow="1" w:lastRow="0" w:firstColumn="1" w:lastColumn="0" w:noHBand="0" w:noVBand="0"/>
      </w:tblPr>
      <w:tblGrid>
        <w:gridCol w:w="14317"/>
      </w:tblGrid>
      <w:tr w:rsidR="00A9126C" w:rsidRPr="002802E3" w:rsidTr="00A9126C">
        <w:trPr>
          <w:cantSplit/>
        </w:trPr>
        <w:tc>
          <w:tcPr>
            <w:tcW w:w="14317" w:type="dxa"/>
            <w:tcBorders>
              <w:top w:val="single" w:sz="4" w:space="0" w:color="auto"/>
              <w:left w:val="single" w:sz="4" w:space="0" w:color="auto"/>
              <w:bottom w:val="single" w:sz="4" w:space="0" w:color="auto"/>
              <w:right w:val="single" w:sz="4" w:space="0" w:color="auto"/>
            </w:tcBorders>
            <w:vAlign w:val="bottom"/>
          </w:tcPr>
          <w:p w:rsidR="00A9126C" w:rsidRPr="00254F58" w:rsidRDefault="00A9126C" w:rsidP="00AA6416">
            <w:pPr>
              <w:pStyle w:val="DHHSaccessibilitypara"/>
            </w:pPr>
            <w:r w:rsidRPr="00254F58">
              <w:t xml:space="preserve">To receive this publication in </w:t>
            </w:r>
            <w:r w:rsidRPr="00770F37">
              <w:t>an</w:t>
            </w:r>
            <w:r w:rsidRPr="00254F58">
              <w:t xml:space="preserve"> accessible format </w:t>
            </w:r>
            <w:hyperlink r:id="rId10" w:history="1">
              <w:r w:rsidRPr="0087696B">
                <w:rPr>
                  <w:rStyle w:val="Hyperlink"/>
                </w:rPr>
                <w:t>email VADC Data</w:t>
              </w:r>
            </w:hyperlink>
            <w:r w:rsidRPr="00254F58">
              <w:t xml:space="preserve"> </w:t>
            </w:r>
            <w:r w:rsidRPr="0087696B">
              <w:t>&lt;vadc_data@dhhs.vic.gov.au&gt;</w:t>
            </w:r>
          </w:p>
          <w:p w:rsidR="00A9126C" w:rsidRPr="00254F58" w:rsidRDefault="00A9126C" w:rsidP="00AA6416">
            <w:pPr>
              <w:pStyle w:val="DHHSbody"/>
            </w:pPr>
            <w:r w:rsidRPr="00254F58">
              <w:t>Authorised and published by the Victorian Governmen</w:t>
            </w:r>
            <w:r>
              <w:t>t, 1 Treasury Place, Melbourne.</w:t>
            </w:r>
          </w:p>
          <w:p w:rsidR="00A9126C" w:rsidRPr="00254F58" w:rsidRDefault="00A9126C" w:rsidP="00AA6416">
            <w:pPr>
              <w:pStyle w:val="DHHSbody"/>
            </w:pPr>
            <w:r w:rsidRPr="00254F58">
              <w:t xml:space="preserve">© State of </w:t>
            </w:r>
            <w:r>
              <w:t>Victoria, Department of Health and</w:t>
            </w:r>
            <w:r w:rsidRPr="00254F58">
              <w:t xml:space="preserve"> Human Services</w:t>
            </w:r>
            <w:r w:rsidRPr="00BA3F8D">
              <w:rPr>
                <w:color w:val="008950"/>
              </w:rPr>
              <w:t xml:space="preserve"> </w:t>
            </w:r>
            <w:r w:rsidRPr="00A9126C">
              <w:t>November 2018</w:t>
            </w:r>
            <w:bookmarkStart w:id="7" w:name="_GoBack"/>
            <w:bookmarkEnd w:id="7"/>
          </w:p>
          <w:p w:rsidR="00A9126C" w:rsidRPr="002802E3" w:rsidRDefault="00A9126C" w:rsidP="00AA6416">
            <w:pPr>
              <w:pStyle w:val="DHHSbody"/>
            </w:pPr>
            <w:r w:rsidRPr="006A6159">
              <w:t>Available f</w:t>
            </w:r>
            <w:r>
              <w:t xml:space="preserve">rom the </w:t>
            </w:r>
            <w:r>
              <w:t xml:space="preserve">VADC Data specification page on the </w:t>
            </w:r>
            <w:proofErr w:type="spellStart"/>
            <w:r>
              <w:t>Health.vic</w:t>
            </w:r>
            <w:proofErr w:type="spellEnd"/>
            <w:r>
              <w:t xml:space="preserve"> website &lt; </w:t>
            </w:r>
            <w:r w:rsidRPr="00A9126C">
              <w:t>https://www2.health.vic.gov.au/about/publications/policiesandguidelines/vadc-data-specification</w:t>
            </w:r>
            <w:r>
              <w:t>&gt;</w:t>
            </w:r>
          </w:p>
        </w:tc>
      </w:tr>
    </w:tbl>
    <w:p w:rsidR="00A9126C" w:rsidRPr="001B3593" w:rsidRDefault="00A9126C" w:rsidP="00AF44A1">
      <w:pPr>
        <w:pStyle w:val="DHHSbody"/>
      </w:pPr>
    </w:p>
    <w:sectPr w:rsidR="00A9126C" w:rsidRPr="001B3593" w:rsidSect="00E45931">
      <w:headerReference w:type="default" r:id="rId11"/>
      <w:footerReference w:type="default" r:id="rId12"/>
      <w:type w:val="continuous"/>
      <w:pgSz w:w="16838" w:h="11906" w:orient="landscape" w:code="9"/>
      <w:pgMar w:top="1134"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4A1" w:rsidRDefault="00AF44A1">
      <w:r>
        <w:separator/>
      </w:r>
    </w:p>
  </w:endnote>
  <w:endnote w:type="continuationSeparator" w:id="0">
    <w:p w:rsidR="00AF44A1" w:rsidRDefault="00AF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F65AA9" w:rsidRDefault="00AF44A1" w:rsidP="007034E7">
    <w:pPr>
      <w:pStyle w:val="DHHSfooter"/>
    </w:pPr>
    <w:r>
      <w:rPr>
        <w:noProof/>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6769100</wp:posOffset>
          </wp:positionV>
          <wp:extent cx="10691495" cy="791210"/>
          <wp:effectExtent l="0" t="0" r="0" b="0"/>
          <wp:wrapNone/>
          <wp:docPr id="13" name="Picture 13"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1495"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A11421" w:rsidRDefault="002A462B" w:rsidP="007034E7">
    <w:pPr>
      <w:pStyle w:val="DHHSfooter"/>
    </w:pPr>
    <w:r>
      <w:t>VADC Bulletin 2</w:t>
    </w:r>
    <w:r w:rsidR="005C33FD">
      <w:t xml:space="preserve"> 2018/19</w:t>
    </w:r>
    <w:r w:rsidR="009D70A4" w:rsidRPr="00A11421">
      <w:tab/>
    </w:r>
    <w:r w:rsidR="009D70A4" w:rsidRPr="00A11421">
      <w:fldChar w:fldCharType="begin"/>
    </w:r>
    <w:r w:rsidR="009D70A4" w:rsidRPr="00A11421">
      <w:instrText xml:space="preserve"> PAGE </w:instrText>
    </w:r>
    <w:r w:rsidR="009D70A4" w:rsidRPr="00A11421">
      <w:fldChar w:fldCharType="separate"/>
    </w:r>
    <w:r w:rsidR="00AD7EDA">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4A1" w:rsidRDefault="00AF44A1" w:rsidP="002862F1">
      <w:pPr>
        <w:spacing w:before="120"/>
      </w:pPr>
      <w:r>
        <w:separator/>
      </w:r>
    </w:p>
  </w:footnote>
  <w:footnote w:type="continuationSeparator" w:id="0">
    <w:p w:rsidR="00AF44A1" w:rsidRDefault="00AF4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8D2F4B" w:rsidRDefault="009D70A4" w:rsidP="008D2F4B">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28A87821"/>
    <w:multiLevelType w:val="hybridMultilevel"/>
    <w:tmpl w:val="D2B044FC"/>
    <w:lvl w:ilvl="0" w:tplc="758621E6">
      <w:start w:val="1"/>
      <w:numFmt w:val="decimal"/>
      <w:lvlText w:val="1.%1"/>
      <w:lvlJc w:val="right"/>
      <w:pPr>
        <w:ind w:left="108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753" w:hanging="360"/>
      </w:pPr>
    </w:lvl>
    <w:lvl w:ilvl="2" w:tplc="0C09001B" w:tentative="1">
      <w:start w:val="1"/>
      <w:numFmt w:val="lowerRoman"/>
      <w:lvlText w:val="%3."/>
      <w:lvlJc w:val="right"/>
      <w:pPr>
        <w:ind w:left="1473" w:hanging="180"/>
      </w:pPr>
    </w:lvl>
    <w:lvl w:ilvl="3" w:tplc="0C09000F" w:tentative="1">
      <w:start w:val="1"/>
      <w:numFmt w:val="decimal"/>
      <w:lvlText w:val="%4."/>
      <w:lvlJc w:val="left"/>
      <w:pPr>
        <w:ind w:left="2193" w:hanging="360"/>
      </w:pPr>
    </w:lvl>
    <w:lvl w:ilvl="4" w:tplc="0C090019" w:tentative="1">
      <w:start w:val="1"/>
      <w:numFmt w:val="lowerLetter"/>
      <w:lvlText w:val="%5."/>
      <w:lvlJc w:val="left"/>
      <w:pPr>
        <w:ind w:left="2913" w:hanging="360"/>
      </w:pPr>
    </w:lvl>
    <w:lvl w:ilvl="5" w:tplc="0C09001B" w:tentative="1">
      <w:start w:val="1"/>
      <w:numFmt w:val="lowerRoman"/>
      <w:lvlText w:val="%6."/>
      <w:lvlJc w:val="right"/>
      <w:pPr>
        <w:ind w:left="3633" w:hanging="180"/>
      </w:pPr>
    </w:lvl>
    <w:lvl w:ilvl="6" w:tplc="0C09000F" w:tentative="1">
      <w:start w:val="1"/>
      <w:numFmt w:val="decimal"/>
      <w:lvlText w:val="%7."/>
      <w:lvlJc w:val="left"/>
      <w:pPr>
        <w:ind w:left="4353" w:hanging="360"/>
      </w:pPr>
    </w:lvl>
    <w:lvl w:ilvl="7" w:tplc="0C090019" w:tentative="1">
      <w:start w:val="1"/>
      <w:numFmt w:val="lowerLetter"/>
      <w:lvlText w:val="%8."/>
      <w:lvlJc w:val="left"/>
      <w:pPr>
        <w:ind w:left="5073" w:hanging="360"/>
      </w:pPr>
    </w:lvl>
    <w:lvl w:ilvl="8" w:tplc="0C09001B" w:tentative="1">
      <w:start w:val="1"/>
      <w:numFmt w:val="lowerRoman"/>
      <w:lvlText w:val="%9."/>
      <w:lvlJc w:val="right"/>
      <w:pPr>
        <w:ind w:left="5793" w:hanging="180"/>
      </w:pPr>
    </w:lvl>
  </w:abstractNum>
  <w:abstractNum w:abstractNumId="4" w15:restartNumberingAfterBreak="0">
    <w:nsid w:val="2B370F66"/>
    <w:multiLevelType w:val="multilevel"/>
    <w:tmpl w:val="4B4E7622"/>
    <w:numStyleLink w:val="ZZNumbers"/>
  </w:abstractNum>
  <w:abstractNum w:abstractNumId="5"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4A1"/>
    <w:rsid w:val="000072B6"/>
    <w:rsid w:val="0001021B"/>
    <w:rsid w:val="00011D89"/>
    <w:rsid w:val="00024D89"/>
    <w:rsid w:val="00033D81"/>
    <w:rsid w:val="00041BF0"/>
    <w:rsid w:val="0004326C"/>
    <w:rsid w:val="0004536B"/>
    <w:rsid w:val="00046B68"/>
    <w:rsid w:val="000527DD"/>
    <w:rsid w:val="0005459F"/>
    <w:rsid w:val="000578B2"/>
    <w:rsid w:val="00060959"/>
    <w:rsid w:val="00064864"/>
    <w:rsid w:val="000663CD"/>
    <w:rsid w:val="000669AD"/>
    <w:rsid w:val="00074219"/>
    <w:rsid w:val="00074ED5"/>
    <w:rsid w:val="0008494B"/>
    <w:rsid w:val="000871B9"/>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05E4"/>
    <w:rsid w:val="0010392D"/>
    <w:rsid w:val="00104FE3"/>
    <w:rsid w:val="00120BD3"/>
    <w:rsid w:val="00122FEA"/>
    <w:rsid w:val="001232BD"/>
    <w:rsid w:val="00124ED5"/>
    <w:rsid w:val="001447B3"/>
    <w:rsid w:val="00152073"/>
    <w:rsid w:val="00161939"/>
    <w:rsid w:val="00161AA0"/>
    <w:rsid w:val="00162093"/>
    <w:rsid w:val="001645B1"/>
    <w:rsid w:val="001666C9"/>
    <w:rsid w:val="00172473"/>
    <w:rsid w:val="001771DD"/>
    <w:rsid w:val="00177995"/>
    <w:rsid w:val="00177A8C"/>
    <w:rsid w:val="00186B33"/>
    <w:rsid w:val="00187F13"/>
    <w:rsid w:val="00192F9D"/>
    <w:rsid w:val="00196EB8"/>
    <w:rsid w:val="001979FF"/>
    <w:rsid w:val="00197B17"/>
    <w:rsid w:val="001A3ACE"/>
    <w:rsid w:val="001C2A72"/>
    <w:rsid w:val="001D0B75"/>
    <w:rsid w:val="001D3C09"/>
    <w:rsid w:val="001D44E8"/>
    <w:rsid w:val="001D60EC"/>
    <w:rsid w:val="001E44DF"/>
    <w:rsid w:val="001E68A5"/>
    <w:rsid w:val="001E73EF"/>
    <w:rsid w:val="001F167A"/>
    <w:rsid w:val="001F3826"/>
    <w:rsid w:val="001F6E46"/>
    <w:rsid w:val="001F7C91"/>
    <w:rsid w:val="002033C0"/>
    <w:rsid w:val="00206463"/>
    <w:rsid w:val="00206F2F"/>
    <w:rsid w:val="0021053D"/>
    <w:rsid w:val="00210A92"/>
    <w:rsid w:val="002131E2"/>
    <w:rsid w:val="00216C03"/>
    <w:rsid w:val="00220C04"/>
    <w:rsid w:val="0022701F"/>
    <w:rsid w:val="002333F5"/>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213D"/>
    <w:rsid w:val="002862F1"/>
    <w:rsid w:val="00291373"/>
    <w:rsid w:val="0029597D"/>
    <w:rsid w:val="002962C3"/>
    <w:rsid w:val="002A462B"/>
    <w:rsid w:val="002A483C"/>
    <w:rsid w:val="002B1729"/>
    <w:rsid w:val="002B4DD4"/>
    <w:rsid w:val="002B5277"/>
    <w:rsid w:val="002B77C1"/>
    <w:rsid w:val="002C1623"/>
    <w:rsid w:val="002C2728"/>
    <w:rsid w:val="002D5006"/>
    <w:rsid w:val="002E01D0"/>
    <w:rsid w:val="002E161D"/>
    <w:rsid w:val="002E6C95"/>
    <w:rsid w:val="002E7C36"/>
    <w:rsid w:val="002F5F31"/>
    <w:rsid w:val="002F7F61"/>
    <w:rsid w:val="00302216"/>
    <w:rsid w:val="00303860"/>
    <w:rsid w:val="00303E53"/>
    <w:rsid w:val="003041C3"/>
    <w:rsid w:val="00305D25"/>
    <w:rsid w:val="00306E5F"/>
    <w:rsid w:val="00307CFE"/>
    <w:rsid w:val="00307E14"/>
    <w:rsid w:val="00310351"/>
    <w:rsid w:val="00314054"/>
    <w:rsid w:val="00316F27"/>
    <w:rsid w:val="00327870"/>
    <w:rsid w:val="0033259D"/>
    <w:rsid w:val="003406C6"/>
    <w:rsid w:val="003418CC"/>
    <w:rsid w:val="00344EBE"/>
    <w:rsid w:val="003459BD"/>
    <w:rsid w:val="00350D38"/>
    <w:rsid w:val="0036022F"/>
    <w:rsid w:val="003613F9"/>
    <w:rsid w:val="0037290E"/>
    <w:rsid w:val="003744CF"/>
    <w:rsid w:val="00374717"/>
    <w:rsid w:val="0037676C"/>
    <w:rsid w:val="003829E5"/>
    <w:rsid w:val="003928BC"/>
    <w:rsid w:val="003956CC"/>
    <w:rsid w:val="00395C9A"/>
    <w:rsid w:val="003A3438"/>
    <w:rsid w:val="003A6B67"/>
    <w:rsid w:val="003B15E6"/>
    <w:rsid w:val="003B2106"/>
    <w:rsid w:val="003C2045"/>
    <w:rsid w:val="003C2440"/>
    <w:rsid w:val="003C43A1"/>
    <w:rsid w:val="003C4FC0"/>
    <w:rsid w:val="003C55F4"/>
    <w:rsid w:val="003C7A3F"/>
    <w:rsid w:val="003D3E8F"/>
    <w:rsid w:val="003D6475"/>
    <w:rsid w:val="003E2E5F"/>
    <w:rsid w:val="003F0445"/>
    <w:rsid w:val="003F0CF0"/>
    <w:rsid w:val="003F3289"/>
    <w:rsid w:val="00401FCF"/>
    <w:rsid w:val="00406285"/>
    <w:rsid w:val="004148F9"/>
    <w:rsid w:val="0042084E"/>
    <w:rsid w:val="0042175D"/>
    <w:rsid w:val="00421EEF"/>
    <w:rsid w:val="00424D65"/>
    <w:rsid w:val="004367B3"/>
    <w:rsid w:val="00442C6C"/>
    <w:rsid w:val="00443CBE"/>
    <w:rsid w:val="00443E8A"/>
    <w:rsid w:val="004441BC"/>
    <w:rsid w:val="0045230A"/>
    <w:rsid w:val="00457337"/>
    <w:rsid w:val="00461543"/>
    <w:rsid w:val="0047372D"/>
    <w:rsid w:val="004743DD"/>
    <w:rsid w:val="00474CEA"/>
    <w:rsid w:val="00483968"/>
    <w:rsid w:val="0048442F"/>
    <w:rsid w:val="00484F86"/>
    <w:rsid w:val="00490746"/>
    <w:rsid w:val="00490852"/>
    <w:rsid w:val="00492D85"/>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E7DBA"/>
    <w:rsid w:val="004F00DD"/>
    <w:rsid w:val="004F2133"/>
    <w:rsid w:val="004F55F1"/>
    <w:rsid w:val="004F6936"/>
    <w:rsid w:val="005027C0"/>
    <w:rsid w:val="00503DC6"/>
    <w:rsid w:val="00504932"/>
    <w:rsid w:val="00506F5D"/>
    <w:rsid w:val="005126D0"/>
    <w:rsid w:val="005133F9"/>
    <w:rsid w:val="00513896"/>
    <w:rsid w:val="0051568D"/>
    <w:rsid w:val="0052216A"/>
    <w:rsid w:val="00526C15"/>
    <w:rsid w:val="005273B4"/>
    <w:rsid w:val="00536499"/>
    <w:rsid w:val="00541ADB"/>
    <w:rsid w:val="00543903"/>
    <w:rsid w:val="00547A95"/>
    <w:rsid w:val="00557E03"/>
    <w:rsid w:val="00572031"/>
    <w:rsid w:val="00576E84"/>
    <w:rsid w:val="00582B8C"/>
    <w:rsid w:val="0058757E"/>
    <w:rsid w:val="00596A4B"/>
    <w:rsid w:val="00597507"/>
    <w:rsid w:val="005B21B6"/>
    <w:rsid w:val="005B3A08"/>
    <w:rsid w:val="005B7A63"/>
    <w:rsid w:val="005C0955"/>
    <w:rsid w:val="005C33FD"/>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1635F"/>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D2A3F"/>
    <w:rsid w:val="006E138B"/>
    <w:rsid w:val="006F1FDC"/>
    <w:rsid w:val="007013EF"/>
    <w:rsid w:val="007034E7"/>
    <w:rsid w:val="007216AA"/>
    <w:rsid w:val="00721AB5"/>
    <w:rsid w:val="00721DEF"/>
    <w:rsid w:val="00724A43"/>
    <w:rsid w:val="007346E4"/>
    <w:rsid w:val="00740F22"/>
    <w:rsid w:val="00741F1A"/>
    <w:rsid w:val="007450F8"/>
    <w:rsid w:val="0074696E"/>
    <w:rsid w:val="00750135"/>
    <w:rsid w:val="00752B28"/>
    <w:rsid w:val="00754E36"/>
    <w:rsid w:val="00763139"/>
    <w:rsid w:val="00770F37"/>
    <w:rsid w:val="00772D5E"/>
    <w:rsid w:val="00776928"/>
    <w:rsid w:val="00786F16"/>
    <w:rsid w:val="00796E20"/>
    <w:rsid w:val="00797C32"/>
    <w:rsid w:val="007B0914"/>
    <w:rsid w:val="007B1374"/>
    <w:rsid w:val="007B589F"/>
    <w:rsid w:val="007B6186"/>
    <w:rsid w:val="007C14D9"/>
    <w:rsid w:val="007C7301"/>
    <w:rsid w:val="007C7859"/>
    <w:rsid w:val="007D2BDE"/>
    <w:rsid w:val="007D2FB6"/>
    <w:rsid w:val="007E0DE2"/>
    <w:rsid w:val="007F0632"/>
    <w:rsid w:val="007F31B6"/>
    <w:rsid w:val="007F546C"/>
    <w:rsid w:val="007F665E"/>
    <w:rsid w:val="00800412"/>
    <w:rsid w:val="0080587B"/>
    <w:rsid w:val="00806468"/>
    <w:rsid w:val="008155F0"/>
    <w:rsid w:val="00816735"/>
    <w:rsid w:val="00820141"/>
    <w:rsid w:val="008204A8"/>
    <w:rsid w:val="00820E0C"/>
    <w:rsid w:val="008338A2"/>
    <w:rsid w:val="00840DF3"/>
    <w:rsid w:val="0084417C"/>
    <w:rsid w:val="00850E19"/>
    <w:rsid w:val="00853EE4"/>
    <w:rsid w:val="00855535"/>
    <w:rsid w:val="00856385"/>
    <w:rsid w:val="008633F0"/>
    <w:rsid w:val="00867D9D"/>
    <w:rsid w:val="00872E0A"/>
    <w:rsid w:val="00875285"/>
    <w:rsid w:val="00884B62"/>
    <w:rsid w:val="0088529C"/>
    <w:rsid w:val="00887903"/>
    <w:rsid w:val="0089270A"/>
    <w:rsid w:val="00893AF6"/>
    <w:rsid w:val="00894BC4"/>
    <w:rsid w:val="008B2EE4"/>
    <w:rsid w:val="008B2F9E"/>
    <w:rsid w:val="008B4D3D"/>
    <w:rsid w:val="008B57C7"/>
    <w:rsid w:val="008C2F92"/>
    <w:rsid w:val="008C5F67"/>
    <w:rsid w:val="008C65EB"/>
    <w:rsid w:val="008D2F4B"/>
    <w:rsid w:val="008D4236"/>
    <w:rsid w:val="008D462F"/>
    <w:rsid w:val="008E4376"/>
    <w:rsid w:val="008E7A0A"/>
    <w:rsid w:val="008F5956"/>
    <w:rsid w:val="00900719"/>
    <w:rsid w:val="009017AC"/>
    <w:rsid w:val="00905030"/>
    <w:rsid w:val="00906490"/>
    <w:rsid w:val="009111B2"/>
    <w:rsid w:val="00924AE1"/>
    <w:rsid w:val="009269B1"/>
    <w:rsid w:val="0092724D"/>
    <w:rsid w:val="00937BD9"/>
    <w:rsid w:val="00950325"/>
    <w:rsid w:val="00950E2C"/>
    <w:rsid w:val="00951D50"/>
    <w:rsid w:val="009525EB"/>
    <w:rsid w:val="0095645E"/>
    <w:rsid w:val="00961400"/>
    <w:rsid w:val="00963646"/>
    <w:rsid w:val="009853E1"/>
    <w:rsid w:val="00986E6B"/>
    <w:rsid w:val="00991769"/>
    <w:rsid w:val="00994386"/>
    <w:rsid w:val="009A13D8"/>
    <w:rsid w:val="009A279E"/>
    <w:rsid w:val="009B0A6F"/>
    <w:rsid w:val="009B59E9"/>
    <w:rsid w:val="009C7A7E"/>
    <w:rsid w:val="009D02E8"/>
    <w:rsid w:val="009D51D0"/>
    <w:rsid w:val="009D70A4"/>
    <w:rsid w:val="009E08D1"/>
    <w:rsid w:val="009E1B95"/>
    <w:rsid w:val="009E496F"/>
    <w:rsid w:val="009E4B0D"/>
    <w:rsid w:val="009E7F92"/>
    <w:rsid w:val="009F02A3"/>
    <w:rsid w:val="009F2F27"/>
    <w:rsid w:val="009F6BCB"/>
    <w:rsid w:val="009F7B78"/>
    <w:rsid w:val="00A0057A"/>
    <w:rsid w:val="00A11421"/>
    <w:rsid w:val="00A157B1"/>
    <w:rsid w:val="00A22229"/>
    <w:rsid w:val="00A44882"/>
    <w:rsid w:val="00A54715"/>
    <w:rsid w:val="00A6061C"/>
    <w:rsid w:val="00A62787"/>
    <w:rsid w:val="00A62D44"/>
    <w:rsid w:val="00A67263"/>
    <w:rsid w:val="00A7161C"/>
    <w:rsid w:val="00A77AA3"/>
    <w:rsid w:val="00A872E5"/>
    <w:rsid w:val="00A9126C"/>
    <w:rsid w:val="00A96E65"/>
    <w:rsid w:val="00A97C72"/>
    <w:rsid w:val="00AA325B"/>
    <w:rsid w:val="00AA5797"/>
    <w:rsid w:val="00AA63D4"/>
    <w:rsid w:val="00AB06E8"/>
    <w:rsid w:val="00AB1CD3"/>
    <w:rsid w:val="00AB352F"/>
    <w:rsid w:val="00AC274B"/>
    <w:rsid w:val="00AC4764"/>
    <w:rsid w:val="00AC6D36"/>
    <w:rsid w:val="00AD0CBA"/>
    <w:rsid w:val="00AD26E2"/>
    <w:rsid w:val="00AD7EDA"/>
    <w:rsid w:val="00AE126A"/>
    <w:rsid w:val="00AE3005"/>
    <w:rsid w:val="00AE59A0"/>
    <w:rsid w:val="00AF0C57"/>
    <w:rsid w:val="00AF26F3"/>
    <w:rsid w:val="00AF44A1"/>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88B"/>
    <w:rsid w:val="00B431E8"/>
    <w:rsid w:val="00B45141"/>
    <w:rsid w:val="00B5273A"/>
    <w:rsid w:val="00B62B50"/>
    <w:rsid w:val="00B635B7"/>
    <w:rsid w:val="00B63AE8"/>
    <w:rsid w:val="00B65950"/>
    <w:rsid w:val="00B672C0"/>
    <w:rsid w:val="00B75646"/>
    <w:rsid w:val="00B90729"/>
    <w:rsid w:val="00B907DA"/>
    <w:rsid w:val="00B950BC"/>
    <w:rsid w:val="00B9714C"/>
    <w:rsid w:val="00BA3F8D"/>
    <w:rsid w:val="00BA4845"/>
    <w:rsid w:val="00BB7A10"/>
    <w:rsid w:val="00BC7D4F"/>
    <w:rsid w:val="00BC7ED7"/>
    <w:rsid w:val="00BD2850"/>
    <w:rsid w:val="00BE28D2"/>
    <w:rsid w:val="00BF5F6F"/>
    <w:rsid w:val="00BF7F58"/>
    <w:rsid w:val="00C01381"/>
    <w:rsid w:val="00C079B8"/>
    <w:rsid w:val="00C123EA"/>
    <w:rsid w:val="00C125E4"/>
    <w:rsid w:val="00C12A49"/>
    <w:rsid w:val="00C133EE"/>
    <w:rsid w:val="00C27DE9"/>
    <w:rsid w:val="00C33388"/>
    <w:rsid w:val="00C4173A"/>
    <w:rsid w:val="00C56492"/>
    <w:rsid w:val="00C602FF"/>
    <w:rsid w:val="00C61174"/>
    <w:rsid w:val="00C6148F"/>
    <w:rsid w:val="00C62F7A"/>
    <w:rsid w:val="00C63B9C"/>
    <w:rsid w:val="00C6682F"/>
    <w:rsid w:val="00C7275E"/>
    <w:rsid w:val="00C74C5D"/>
    <w:rsid w:val="00C863C4"/>
    <w:rsid w:val="00C93C3E"/>
    <w:rsid w:val="00CA05D1"/>
    <w:rsid w:val="00CA12E3"/>
    <w:rsid w:val="00CA6611"/>
    <w:rsid w:val="00CA6B58"/>
    <w:rsid w:val="00CC0C72"/>
    <w:rsid w:val="00CC2BFD"/>
    <w:rsid w:val="00CD3476"/>
    <w:rsid w:val="00CD64DF"/>
    <w:rsid w:val="00CE5C12"/>
    <w:rsid w:val="00CF2F50"/>
    <w:rsid w:val="00CF41DA"/>
    <w:rsid w:val="00D02919"/>
    <w:rsid w:val="00D04C61"/>
    <w:rsid w:val="00D0539B"/>
    <w:rsid w:val="00D05B8D"/>
    <w:rsid w:val="00D065A2"/>
    <w:rsid w:val="00D07F00"/>
    <w:rsid w:val="00D1790F"/>
    <w:rsid w:val="00D206C2"/>
    <w:rsid w:val="00D33E72"/>
    <w:rsid w:val="00D35BD6"/>
    <w:rsid w:val="00D361B5"/>
    <w:rsid w:val="00D411A2"/>
    <w:rsid w:val="00D50B9C"/>
    <w:rsid w:val="00D52D73"/>
    <w:rsid w:val="00D52E58"/>
    <w:rsid w:val="00D714CC"/>
    <w:rsid w:val="00D75EA7"/>
    <w:rsid w:val="00D81F21"/>
    <w:rsid w:val="00D95470"/>
    <w:rsid w:val="00DA2619"/>
    <w:rsid w:val="00DA4239"/>
    <w:rsid w:val="00DB0B61"/>
    <w:rsid w:val="00DC090B"/>
    <w:rsid w:val="00DC2CF1"/>
    <w:rsid w:val="00DC4FCF"/>
    <w:rsid w:val="00DC50E0"/>
    <w:rsid w:val="00DC5A51"/>
    <w:rsid w:val="00DC6386"/>
    <w:rsid w:val="00DD1130"/>
    <w:rsid w:val="00DD1951"/>
    <w:rsid w:val="00DD6628"/>
    <w:rsid w:val="00DE09D5"/>
    <w:rsid w:val="00DE3250"/>
    <w:rsid w:val="00DE6028"/>
    <w:rsid w:val="00DE78A3"/>
    <w:rsid w:val="00DF1A71"/>
    <w:rsid w:val="00DF68C7"/>
    <w:rsid w:val="00DF731A"/>
    <w:rsid w:val="00E14388"/>
    <w:rsid w:val="00E170DC"/>
    <w:rsid w:val="00E21842"/>
    <w:rsid w:val="00E26818"/>
    <w:rsid w:val="00E27FFC"/>
    <w:rsid w:val="00E30B15"/>
    <w:rsid w:val="00E40181"/>
    <w:rsid w:val="00E43426"/>
    <w:rsid w:val="00E45931"/>
    <w:rsid w:val="00E53A79"/>
    <w:rsid w:val="00E629A1"/>
    <w:rsid w:val="00E82C55"/>
    <w:rsid w:val="00E92AC3"/>
    <w:rsid w:val="00E96AA0"/>
    <w:rsid w:val="00EB00E0"/>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317C"/>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550F3E66"/>
  <w15:docId w15:val="{96822CC6-7559-46DA-B515-CEF88D3A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11"/>
    <w:lsdException w:name="heading 1" w:uiPriority="0"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8C5F67"/>
    <w:rPr>
      <w:rFonts w:ascii="Cambria" w:hAnsi="Cambria"/>
      <w:lang w:eastAsia="en-US"/>
    </w:rPr>
  </w:style>
  <w:style w:type="paragraph" w:styleId="Heading1">
    <w:name w:val="heading 1"/>
    <w:next w:val="DHHSbody"/>
    <w:link w:val="Heading1Char"/>
    <w:qFormat/>
    <w:rsid w:val="00541ADB"/>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541ADB"/>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541ADB"/>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541ADB"/>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AA5797"/>
    <w:pPr>
      <w:keepLines/>
      <w:tabs>
        <w:tab w:val="right" w:leader="dot" w:pos="9072"/>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DHHSfigurecaptionChar">
    <w:name w:val="DHHS figure caption Char"/>
    <w:link w:val="DHHSfigurecaption"/>
    <w:uiPriority w:val="4"/>
    <w:rsid w:val="00D0539B"/>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541ADB"/>
    <w:pPr>
      <w:spacing w:before="0" w:after="200"/>
      <w:outlineLvl w:val="9"/>
    </w:pPr>
  </w:style>
  <w:style w:type="character" w:customStyle="1" w:styleId="DHHSTOCheadingfactsheetChar">
    <w:name w:val="DHHS TOC heading fact sheet Char"/>
    <w:link w:val="DHHSTOCheadingfactsheet"/>
    <w:uiPriority w:val="4"/>
    <w:rsid w:val="00541ADB"/>
    <w:rPr>
      <w:rFonts w:ascii="Arial" w:hAnsi="Arial"/>
      <w:b/>
      <w:color w:val="201547"/>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F575C2"/>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Strong">
    <w:name w:val="Strong"/>
    <w:uiPriority w:val="22"/>
    <w:qFormat/>
    <w:rsid w:val="0048442F"/>
    <w:rPr>
      <w:b/>
      <w:bC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541ADB"/>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4"/>
    <w:rsid w:val="00152073"/>
    <w:pPr>
      <w:numPr>
        <w:numId w:val="8"/>
      </w:numPr>
    </w:pPr>
  </w:style>
  <w:style w:type="paragraph" w:customStyle="1" w:styleId="DHHSnumberloweralphaindent">
    <w:name w:val="DHHS number lower alpha indent"/>
    <w:basedOn w:val="DHHSbody"/>
    <w:uiPriority w:val="4"/>
    <w:qFormat/>
    <w:rsid w:val="00152073"/>
    <w:pPr>
      <w:numPr>
        <w:ilvl w:val="3"/>
        <w:numId w:val="8"/>
      </w:numPr>
    </w:pPr>
  </w:style>
  <w:style w:type="paragraph" w:customStyle="1" w:styleId="DHHSnumberdigitindent">
    <w:name w:val="DHHS number digit indent"/>
    <w:basedOn w:val="DHHSnumberloweralphaindent"/>
    <w:uiPriority w:val="4"/>
    <w:qFormat/>
    <w:rsid w:val="00152073"/>
    <w:pPr>
      <w:numPr>
        <w:ilvl w:val="1"/>
      </w:numPr>
    </w:pPr>
  </w:style>
  <w:style w:type="paragraph" w:customStyle="1" w:styleId="DHHSnumberloweralpha">
    <w:name w:val="DHHS number lower alpha"/>
    <w:basedOn w:val="DHHSbody"/>
    <w:uiPriority w:val="4"/>
    <w:qFormat/>
    <w:rsid w:val="00152073"/>
    <w:pPr>
      <w:numPr>
        <w:ilvl w:val="2"/>
        <w:numId w:val="8"/>
      </w:numPr>
    </w:pPr>
  </w:style>
  <w:style w:type="paragraph" w:customStyle="1" w:styleId="DHHSnumberlowerroman">
    <w:name w:val="DHHS number lower roman"/>
    <w:basedOn w:val="DHHSbody"/>
    <w:uiPriority w:val="4"/>
    <w:qFormat/>
    <w:rsid w:val="00152073"/>
    <w:pPr>
      <w:numPr>
        <w:ilvl w:val="4"/>
        <w:numId w:val="8"/>
      </w:numPr>
    </w:pPr>
  </w:style>
  <w:style w:type="paragraph" w:customStyle="1" w:styleId="DHHSnumberlowerromanindent">
    <w:name w:val="DHHS number lower roman indent"/>
    <w:basedOn w:val="DHHSbody"/>
    <w:uiPriority w:val="4"/>
    <w:qFormat/>
    <w:rsid w:val="00152073"/>
    <w:pPr>
      <w:numPr>
        <w:ilvl w:val="5"/>
        <w:numId w:val="8"/>
      </w:numPr>
    </w:pPr>
  </w:style>
  <w:style w:type="paragraph" w:customStyle="1" w:styleId="DHHSquote">
    <w:name w:val="DHHS quote"/>
    <w:basedOn w:val="DHHSbody"/>
    <w:uiPriority w:val="3"/>
    <w:qFormat/>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7034E7"/>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8D2F4B"/>
  </w:style>
  <w:style w:type="paragraph" w:styleId="BalloonText">
    <w:name w:val="Balloon Text"/>
    <w:basedOn w:val="Normal"/>
    <w:link w:val="BalloonTextChar"/>
    <w:uiPriority w:val="99"/>
    <w:semiHidden/>
    <w:unhideWhenUsed/>
    <w:rsid w:val="009503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32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48839">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adc_data@dhhs.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Landscape%2001%20Navy%2027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EF859-E777-4E3E-8153-C00991A5C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Landscape 01 Navy 2765.dot</Template>
  <TotalTime>1337</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VADC 1819 Bulletin - Edition 2</vt:lpstr>
    </vt:vector>
  </TitlesOfParts>
  <Company>Department of Health and Human Services</Company>
  <LinksUpToDate>false</LinksUpToDate>
  <CharactersWithSpaces>3430</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VADC 1819 Bulletin - Edition 2</dc:title>
  <dc:subject>VADC 1819 Bulletin - Edition 2</dc:subject>
  <dc:creator>Mental Health and Drugs data </dc:creator>
  <cp:keywords>VADC, Bulletin</cp:keywords>
  <cp:lastModifiedBy>Sarah Luscombe (DHHS)</cp:lastModifiedBy>
  <cp:revision>19</cp:revision>
  <cp:lastPrinted>2018-11-29T02:36:00Z</cp:lastPrinted>
  <dcterms:created xsi:type="dcterms:W3CDTF">2018-11-28T05:05:00Z</dcterms:created>
  <dcterms:modified xsi:type="dcterms:W3CDTF">2019-08-12T03:06:00Z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