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E5F" w:rsidRPr="004946F4" w:rsidRDefault="00AF44A1"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10695305" cy="1713865"/>
            <wp:effectExtent l="0" t="0" r="0" b="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5305"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CF41DA">
          <w:footerReference w:type="default" r:id="rId9"/>
          <w:pgSz w:w="16838" w:h="11906" w:orient="landscape" w:code="9"/>
          <w:pgMar w:top="425" w:right="851" w:bottom="1418" w:left="851" w:header="510" w:footer="510" w:gutter="0"/>
          <w:cols w:space="708"/>
          <w:docGrid w:linePitch="360"/>
        </w:sectPr>
      </w:pPr>
    </w:p>
    <w:tbl>
      <w:tblPr>
        <w:tblW w:w="13291" w:type="dxa"/>
        <w:tblLook w:val="04A0" w:firstRow="1" w:lastRow="0" w:firstColumn="1" w:lastColumn="0" w:noHBand="0" w:noVBand="1"/>
      </w:tblPr>
      <w:tblGrid>
        <w:gridCol w:w="13291"/>
      </w:tblGrid>
      <w:tr w:rsidR="003A3438" w:rsidTr="00BA4845">
        <w:trPr>
          <w:trHeight w:val="1106"/>
        </w:trPr>
        <w:tc>
          <w:tcPr>
            <w:tcW w:w="13291" w:type="dxa"/>
            <w:shd w:val="clear" w:color="auto" w:fill="auto"/>
            <w:vAlign w:val="bottom"/>
          </w:tcPr>
          <w:p w:rsidR="003A3438" w:rsidRPr="00161AA0" w:rsidRDefault="00AF44A1" w:rsidP="00840DF3">
            <w:pPr>
              <w:pStyle w:val="DHHSmainheading"/>
            </w:pPr>
            <w:bookmarkStart w:id="0" w:name="_Toc410762195"/>
            <w:r>
              <w:t xml:space="preserve">Victorian Alcohol and Drug Collection (VADC) </w:t>
            </w:r>
            <w:r w:rsidR="006B5E1A">
              <w:t>20</w:t>
            </w:r>
            <w:r>
              <w:t>18/19 Bulletin</w:t>
            </w:r>
          </w:p>
        </w:tc>
      </w:tr>
      <w:tr w:rsidR="003A3438" w:rsidTr="00CA6B58">
        <w:trPr>
          <w:trHeight w:hRule="exact" w:val="709"/>
        </w:trPr>
        <w:tc>
          <w:tcPr>
            <w:tcW w:w="13291" w:type="dxa"/>
            <w:shd w:val="clear" w:color="auto" w:fill="auto"/>
            <w:tcMar>
              <w:top w:w="340" w:type="dxa"/>
              <w:bottom w:w="680" w:type="dxa"/>
            </w:tcMar>
          </w:tcPr>
          <w:p w:rsidR="003A3438" w:rsidRDefault="005133F9" w:rsidP="00840DF3">
            <w:pPr>
              <w:pStyle w:val="DHHSmainsubheading"/>
            </w:pPr>
            <w:r>
              <w:rPr>
                <w:szCs w:val="28"/>
              </w:rPr>
              <w:t>Edition</w:t>
            </w:r>
            <w:r w:rsidR="00AF44A1">
              <w:rPr>
                <w:szCs w:val="28"/>
              </w:rPr>
              <w:t xml:space="preserve"> </w:t>
            </w:r>
            <w:r w:rsidR="00580072">
              <w:rPr>
                <w:szCs w:val="28"/>
              </w:rPr>
              <w:t>5</w:t>
            </w:r>
            <w:r w:rsidR="00AF44A1">
              <w:rPr>
                <w:szCs w:val="28"/>
              </w:rPr>
              <w:t xml:space="preserve">: </w:t>
            </w:r>
            <w:r w:rsidR="008A0EBF">
              <w:rPr>
                <w:szCs w:val="28"/>
              </w:rPr>
              <w:t>13</w:t>
            </w:r>
            <w:r w:rsidR="002C1623">
              <w:rPr>
                <w:szCs w:val="28"/>
              </w:rPr>
              <w:t xml:space="preserve"> </w:t>
            </w:r>
            <w:r w:rsidR="00580072">
              <w:rPr>
                <w:szCs w:val="28"/>
              </w:rPr>
              <w:t>March</w:t>
            </w:r>
            <w:r w:rsidR="00AF44A1">
              <w:rPr>
                <w:szCs w:val="28"/>
              </w:rPr>
              <w:t xml:space="preserve"> 201</w:t>
            </w:r>
            <w:r w:rsidR="00EC0082">
              <w:rPr>
                <w:szCs w:val="28"/>
              </w:rPr>
              <w:t>9</w:t>
            </w:r>
          </w:p>
        </w:tc>
      </w:tr>
    </w:tbl>
    <w:p w:rsidR="00AF44A1" w:rsidRDefault="008C5F67" w:rsidP="003823BC">
      <w:pPr>
        <w:rPr>
          <w:rFonts w:ascii="Arial" w:hAnsi="Arial" w:cs="Arial"/>
          <w:b/>
          <w:color w:val="000000" w:themeColor="text1"/>
          <w:sz w:val="22"/>
        </w:rPr>
      </w:pPr>
      <w:bookmarkStart w:id="1" w:name="_Toc531174432"/>
      <w:bookmarkEnd w:id="0"/>
      <w:r>
        <w:rPr>
          <w:rFonts w:ascii="Arial" w:hAnsi="Arial" w:cs="Arial"/>
          <w:b/>
          <w:color w:val="000000" w:themeColor="text1"/>
          <w:sz w:val="22"/>
        </w:rPr>
        <w:t xml:space="preserve">VADC 18/19 Bulletins must be read in conjunction with the VADC 2018-19 </w:t>
      </w:r>
      <w:r w:rsidR="002B1569">
        <w:rPr>
          <w:rFonts w:ascii="Arial" w:hAnsi="Arial" w:cs="Arial"/>
          <w:b/>
          <w:color w:val="000000" w:themeColor="text1"/>
          <w:sz w:val="22"/>
        </w:rPr>
        <w:t xml:space="preserve">Data </w:t>
      </w:r>
      <w:r>
        <w:rPr>
          <w:rFonts w:ascii="Arial" w:hAnsi="Arial" w:cs="Arial"/>
          <w:b/>
          <w:color w:val="000000" w:themeColor="text1"/>
          <w:sz w:val="22"/>
        </w:rPr>
        <w:t xml:space="preserve">Specification </w:t>
      </w:r>
    </w:p>
    <w:p w:rsidR="00AF44A1" w:rsidRDefault="00AF44A1" w:rsidP="003823BC">
      <w:pPr>
        <w:pStyle w:val="Heading1"/>
        <w:spacing w:before="360"/>
      </w:pPr>
      <w:r>
        <w:t>VADC</w:t>
      </w:r>
      <w:r w:rsidR="0061635F">
        <w:t xml:space="preserve"> Data Collection</w:t>
      </w:r>
      <w:r>
        <w:t xml:space="preserve"> </w:t>
      </w:r>
      <w:r w:rsidR="0061635F">
        <w:t xml:space="preserve">implementation </w:t>
      </w:r>
      <w:r>
        <w:t>update</w:t>
      </w:r>
      <w:bookmarkEnd w:id="1"/>
    </w:p>
    <w:p w:rsidR="00AF44A1" w:rsidRPr="00EA0C53" w:rsidRDefault="00AF44A1" w:rsidP="00AF44A1">
      <w:pPr>
        <w:pStyle w:val="Heading2"/>
        <w:numPr>
          <w:ilvl w:val="0"/>
          <w:numId w:val="15"/>
        </w:numPr>
      </w:pPr>
      <w:bookmarkStart w:id="2" w:name="_Toc531174433"/>
      <w:r>
        <w:t xml:space="preserve">Validation </w:t>
      </w:r>
      <w:r w:rsidR="00CB5C0E">
        <w:t>I</w:t>
      </w:r>
      <w:r>
        <w:t>ssues</w:t>
      </w:r>
      <w:bookmarkEnd w:id="2"/>
      <w:r w:rsidR="00A227F1">
        <w:t xml:space="preserve"> </w:t>
      </w:r>
      <w:r w:rsidR="00CB5C0E">
        <w:t>U</w:t>
      </w:r>
      <w:r w:rsidR="00A227F1">
        <w:t>pdate</w:t>
      </w:r>
    </w:p>
    <w:p w:rsidR="00AF44A1" w:rsidRDefault="00AF44A1" w:rsidP="00AF44A1">
      <w:pPr>
        <w:pStyle w:val="DHHSbody"/>
      </w:pPr>
      <w:r>
        <w:t>The following list desc</w:t>
      </w:r>
      <w:r w:rsidR="00513896">
        <w:t xml:space="preserve">ribes current validation issues that have been identified and </w:t>
      </w:r>
      <w:r w:rsidR="00F75920">
        <w:t>their status.</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268"/>
        <w:gridCol w:w="7512"/>
        <w:gridCol w:w="2410"/>
        <w:gridCol w:w="1701"/>
      </w:tblGrid>
      <w:tr w:rsidR="00B4088B" w:rsidTr="00DC5420">
        <w:trPr>
          <w:tblHeader/>
        </w:trPr>
        <w:tc>
          <w:tcPr>
            <w:tcW w:w="880" w:type="dxa"/>
          </w:tcPr>
          <w:p w:rsidR="00B4088B" w:rsidRPr="004E15A7" w:rsidRDefault="00B4088B" w:rsidP="001C5D54">
            <w:pPr>
              <w:pStyle w:val="DHHStablecolhead"/>
              <w:rPr>
                <w:rFonts w:cs="Arial"/>
              </w:rPr>
            </w:pPr>
            <w:bookmarkStart w:id="3" w:name="_Hlk2177217"/>
            <w:r w:rsidRPr="004E15A7">
              <w:rPr>
                <w:rFonts w:cs="Arial"/>
              </w:rPr>
              <w:t>ID</w:t>
            </w:r>
          </w:p>
        </w:tc>
        <w:tc>
          <w:tcPr>
            <w:tcW w:w="2268" w:type="dxa"/>
            <w:shd w:val="clear" w:color="auto" w:fill="auto"/>
          </w:tcPr>
          <w:p w:rsidR="00B4088B" w:rsidRPr="004E15A7" w:rsidRDefault="00B4088B" w:rsidP="001C5D54">
            <w:pPr>
              <w:pStyle w:val="DHHStablecolhead"/>
              <w:rPr>
                <w:rFonts w:cs="Arial"/>
              </w:rPr>
            </w:pPr>
            <w:r w:rsidRPr="004E15A7">
              <w:rPr>
                <w:rFonts w:cs="Arial"/>
              </w:rPr>
              <w:t xml:space="preserve">Related validations </w:t>
            </w:r>
          </w:p>
        </w:tc>
        <w:tc>
          <w:tcPr>
            <w:tcW w:w="7512" w:type="dxa"/>
          </w:tcPr>
          <w:p w:rsidR="00B4088B" w:rsidRPr="004E15A7" w:rsidRDefault="00B4088B" w:rsidP="001C5D54">
            <w:pPr>
              <w:pStyle w:val="DHHStablecolhead"/>
              <w:rPr>
                <w:rFonts w:cs="Arial"/>
              </w:rPr>
            </w:pPr>
            <w:r w:rsidRPr="004E15A7">
              <w:rPr>
                <w:rFonts w:cs="Arial"/>
              </w:rPr>
              <w:t>Issue Description</w:t>
            </w:r>
          </w:p>
        </w:tc>
        <w:tc>
          <w:tcPr>
            <w:tcW w:w="2410" w:type="dxa"/>
          </w:tcPr>
          <w:p w:rsidR="00B4088B" w:rsidRPr="004E15A7" w:rsidRDefault="00B4088B" w:rsidP="001C5D54">
            <w:pPr>
              <w:pStyle w:val="DHHStablecolhead"/>
              <w:rPr>
                <w:rFonts w:cs="Arial"/>
              </w:rPr>
            </w:pPr>
            <w:r w:rsidRPr="004E15A7">
              <w:rPr>
                <w:rFonts w:cs="Arial"/>
              </w:rPr>
              <w:t>Update</w:t>
            </w:r>
          </w:p>
        </w:tc>
        <w:tc>
          <w:tcPr>
            <w:tcW w:w="1701" w:type="dxa"/>
          </w:tcPr>
          <w:p w:rsidR="00B4088B" w:rsidRPr="004E15A7" w:rsidRDefault="00B4088B" w:rsidP="001C5D54">
            <w:pPr>
              <w:pStyle w:val="DHHStablecolhead"/>
              <w:rPr>
                <w:rFonts w:cs="Arial"/>
              </w:rPr>
            </w:pPr>
            <w:r w:rsidRPr="004E15A7">
              <w:rPr>
                <w:rFonts w:cs="Arial"/>
              </w:rPr>
              <w:t>Outcome</w:t>
            </w:r>
          </w:p>
        </w:tc>
      </w:tr>
      <w:tr w:rsidR="00E92DFC" w:rsidTr="009F1116">
        <w:tc>
          <w:tcPr>
            <w:tcW w:w="880" w:type="dxa"/>
          </w:tcPr>
          <w:p w:rsidR="00E92DFC" w:rsidRPr="004E15A7" w:rsidRDefault="00E92DFC" w:rsidP="009F1116">
            <w:pPr>
              <w:spacing w:before="60" w:after="60"/>
              <w:rPr>
                <w:rFonts w:ascii="Arial" w:hAnsi="Arial" w:cs="Arial"/>
                <w:color w:val="000000"/>
              </w:rPr>
            </w:pPr>
            <w:r w:rsidRPr="004E15A7">
              <w:rPr>
                <w:rFonts w:ascii="Arial" w:hAnsi="Arial" w:cs="Arial"/>
                <w:color w:val="000000"/>
              </w:rPr>
              <w:t>VI_14</w:t>
            </w:r>
          </w:p>
        </w:tc>
        <w:tc>
          <w:tcPr>
            <w:tcW w:w="2268" w:type="dxa"/>
            <w:shd w:val="clear" w:color="auto" w:fill="auto"/>
          </w:tcPr>
          <w:p w:rsidR="00E92DFC" w:rsidRPr="004E15A7" w:rsidRDefault="00E92DFC" w:rsidP="009F1116">
            <w:pPr>
              <w:spacing w:before="60" w:after="60"/>
              <w:rPr>
                <w:rFonts w:ascii="Arial" w:hAnsi="Arial" w:cs="Arial"/>
                <w:color w:val="000000"/>
              </w:rPr>
            </w:pPr>
            <w:r w:rsidRPr="004E15A7">
              <w:rPr>
                <w:rFonts w:ascii="Arial" w:hAnsi="Arial" w:cs="Arial"/>
                <w:color w:val="000000"/>
              </w:rPr>
              <w:t>AOD140</w:t>
            </w:r>
          </w:p>
        </w:tc>
        <w:tc>
          <w:tcPr>
            <w:tcW w:w="7512" w:type="dxa"/>
            <w:vAlign w:val="center"/>
          </w:tcPr>
          <w:p w:rsidR="00E92DFC" w:rsidRDefault="00E92DFC" w:rsidP="009F1116">
            <w:pPr>
              <w:pStyle w:val="BodyText"/>
              <w:spacing w:before="60" w:after="60"/>
              <w:rPr>
                <w:rFonts w:ascii="Arial" w:hAnsi="Arial" w:cs="Arial"/>
                <w:color w:val="auto"/>
                <w:sz w:val="20"/>
                <w:lang w:eastAsia="en-AU"/>
              </w:rPr>
            </w:pPr>
            <w:r w:rsidRPr="004E15A7">
              <w:rPr>
                <w:rFonts w:ascii="Arial" w:hAnsi="Arial" w:cs="Arial"/>
                <w:color w:val="auto"/>
                <w:sz w:val="20"/>
              </w:rPr>
              <w:t xml:space="preserve">False triggers: </w:t>
            </w:r>
            <w:r w:rsidRPr="004E15A7">
              <w:rPr>
                <w:rFonts w:ascii="Arial" w:hAnsi="Arial" w:cs="Arial"/>
                <w:color w:val="auto"/>
                <w:sz w:val="20"/>
                <w:lang w:eastAsia="en-AU"/>
              </w:rPr>
              <w:t xml:space="preserve">Currently triggers an </w:t>
            </w:r>
            <w:r>
              <w:rPr>
                <w:rFonts w:ascii="Arial" w:hAnsi="Arial" w:cs="Arial"/>
                <w:color w:val="auto"/>
                <w:sz w:val="20"/>
                <w:lang w:eastAsia="en-AU"/>
              </w:rPr>
              <w:t>‘</w:t>
            </w:r>
            <w:r w:rsidRPr="004E15A7">
              <w:rPr>
                <w:rFonts w:ascii="Arial" w:hAnsi="Arial" w:cs="Arial"/>
                <w:color w:val="auto"/>
                <w:sz w:val="20"/>
                <w:lang w:eastAsia="en-AU"/>
              </w:rPr>
              <w:t>error</w:t>
            </w:r>
            <w:r>
              <w:rPr>
                <w:rFonts w:ascii="Arial" w:hAnsi="Arial" w:cs="Arial"/>
                <w:color w:val="auto"/>
                <w:sz w:val="20"/>
                <w:lang w:eastAsia="en-AU"/>
              </w:rPr>
              <w:t>’</w:t>
            </w:r>
            <w:r w:rsidRPr="004E15A7">
              <w:rPr>
                <w:rFonts w:ascii="Arial" w:hAnsi="Arial" w:cs="Arial"/>
                <w:color w:val="auto"/>
                <w:sz w:val="20"/>
                <w:lang w:eastAsia="en-AU"/>
              </w:rPr>
              <w:t xml:space="preserve"> where a client’s treatment service event is related to the alcohol and other drug use of another person, eg family member. </w:t>
            </w:r>
          </w:p>
          <w:p w:rsidR="00E92DFC" w:rsidRDefault="00E92DFC" w:rsidP="009F1116">
            <w:pPr>
              <w:pStyle w:val="BodyText"/>
              <w:spacing w:before="60" w:after="60"/>
              <w:rPr>
                <w:rFonts w:ascii="Arial" w:hAnsi="Arial" w:cs="Arial"/>
                <w:color w:val="auto"/>
                <w:sz w:val="20"/>
                <w:lang w:eastAsia="en-AU"/>
              </w:rPr>
            </w:pPr>
          </w:p>
          <w:p w:rsidR="00E92DFC" w:rsidRPr="00642691" w:rsidRDefault="00E92DFC" w:rsidP="009F1116">
            <w:pPr>
              <w:pStyle w:val="BodyText"/>
              <w:spacing w:before="60" w:after="60"/>
              <w:rPr>
                <w:rFonts w:ascii="Arial" w:hAnsi="Arial" w:cs="Arial"/>
                <w:color w:val="auto"/>
                <w:sz w:val="20"/>
                <w:lang w:eastAsia="en-AU"/>
              </w:rPr>
            </w:pPr>
          </w:p>
        </w:tc>
        <w:tc>
          <w:tcPr>
            <w:tcW w:w="2410" w:type="dxa"/>
          </w:tcPr>
          <w:p w:rsidR="00E92DFC" w:rsidRPr="004E15A7" w:rsidRDefault="00E92DFC" w:rsidP="009F1116">
            <w:pPr>
              <w:pStyle w:val="DHHStabletext"/>
              <w:spacing w:before="60"/>
              <w:rPr>
                <w:rFonts w:cs="Arial"/>
                <w:b/>
              </w:rPr>
            </w:pPr>
            <w:bookmarkStart w:id="4" w:name="_Hlk367647"/>
            <w:r w:rsidRPr="004E15A7">
              <w:rPr>
                <w:rFonts w:cs="Arial"/>
                <w:b/>
              </w:rPr>
              <w:t>Resolved –</w:t>
            </w:r>
          </w:p>
          <w:p w:rsidR="00E92DFC" w:rsidRPr="004E15A7" w:rsidRDefault="00E92DFC" w:rsidP="009F1116">
            <w:pPr>
              <w:pStyle w:val="DHHStabletext"/>
              <w:spacing w:before="60"/>
              <w:rPr>
                <w:rFonts w:cs="Arial"/>
                <w:b/>
              </w:rPr>
            </w:pPr>
            <w:r w:rsidRPr="004E15A7">
              <w:rPr>
                <w:rFonts w:cs="Arial"/>
                <w:b/>
              </w:rPr>
              <w:t>For deployment into VADC live Production</w:t>
            </w:r>
          </w:p>
          <w:p w:rsidR="00E92DFC" w:rsidRPr="004E15A7" w:rsidRDefault="00E92DFC" w:rsidP="009F1116">
            <w:pPr>
              <w:spacing w:before="60" w:after="60"/>
              <w:rPr>
                <w:rFonts w:ascii="Arial" w:hAnsi="Arial" w:cs="Arial"/>
              </w:rPr>
            </w:pPr>
            <w:r w:rsidRPr="00E92DFC">
              <w:rPr>
                <w:rFonts w:ascii="Arial" w:hAnsi="Arial" w:cs="Arial"/>
                <w:b/>
              </w:rPr>
              <w:t>1</w:t>
            </w:r>
            <w:r w:rsidR="00272FBA">
              <w:rPr>
                <w:rFonts w:ascii="Arial" w:hAnsi="Arial" w:cs="Arial"/>
                <w:b/>
              </w:rPr>
              <w:t>3</w:t>
            </w:r>
            <w:r w:rsidRPr="00E92DFC">
              <w:rPr>
                <w:rFonts w:ascii="Arial" w:hAnsi="Arial" w:cs="Arial"/>
                <w:b/>
              </w:rPr>
              <w:t xml:space="preserve">/03/2019 </w:t>
            </w:r>
            <w:bookmarkEnd w:id="4"/>
            <w:r w:rsidRPr="00E92DFC">
              <w:rPr>
                <w:rFonts w:ascii="Arial" w:hAnsi="Arial" w:cs="Arial"/>
                <w:b/>
              </w:rPr>
              <w:t>0</w:t>
            </w:r>
            <w:r w:rsidR="00272FBA">
              <w:rPr>
                <w:rFonts w:ascii="Arial" w:hAnsi="Arial" w:cs="Arial"/>
                <w:b/>
              </w:rPr>
              <w:t>5</w:t>
            </w:r>
            <w:r w:rsidRPr="00E92DFC">
              <w:rPr>
                <w:rFonts w:ascii="Arial" w:hAnsi="Arial" w:cs="Arial"/>
                <w:b/>
              </w:rPr>
              <w:t>:00PM</w:t>
            </w:r>
          </w:p>
        </w:tc>
        <w:tc>
          <w:tcPr>
            <w:tcW w:w="1701" w:type="dxa"/>
          </w:tcPr>
          <w:p w:rsidR="00E92DFC" w:rsidRPr="004E15A7" w:rsidRDefault="00E92DFC" w:rsidP="009F1116">
            <w:pPr>
              <w:spacing w:before="60" w:after="60"/>
              <w:rPr>
                <w:rFonts w:ascii="Arial" w:hAnsi="Arial" w:cs="Arial"/>
              </w:rPr>
            </w:pPr>
            <w:r w:rsidRPr="004E15A7">
              <w:rPr>
                <w:rFonts w:ascii="Arial" w:hAnsi="Arial" w:cs="Arial"/>
              </w:rPr>
              <w:t xml:space="preserve">Refer to Section 1.3 </w:t>
            </w:r>
            <w:r>
              <w:rPr>
                <w:rFonts w:ascii="Arial" w:hAnsi="Arial" w:cs="Arial"/>
              </w:rPr>
              <w:t>VADC S</w:t>
            </w:r>
            <w:r w:rsidRPr="004E15A7">
              <w:rPr>
                <w:rFonts w:ascii="Arial" w:hAnsi="Arial" w:cs="Arial"/>
              </w:rPr>
              <w:t xml:space="preserve">pecification </w:t>
            </w:r>
            <w:r>
              <w:rPr>
                <w:rFonts w:ascii="Arial" w:hAnsi="Arial" w:cs="Arial"/>
              </w:rPr>
              <w:t>U</w:t>
            </w:r>
            <w:r w:rsidRPr="004E15A7">
              <w:rPr>
                <w:rFonts w:ascii="Arial" w:hAnsi="Arial" w:cs="Arial"/>
              </w:rPr>
              <w:t>pdate</w:t>
            </w:r>
            <w:r>
              <w:rPr>
                <w:rFonts w:ascii="Arial" w:hAnsi="Arial" w:cs="Arial"/>
              </w:rPr>
              <w:t xml:space="preserve"> of this document</w:t>
            </w:r>
            <w:r w:rsidRPr="004E15A7">
              <w:rPr>
                <w:rFonts w:ascii="Arial" w:hAnsi="Arial" w:cs="Arial"/>
              </w:rPr>
              <w:t>.</w:t>
            </w:r>
          </w:p>
        </w:tc>
      </w:tr>
      <w:tr w:rsidR="00E92DFC" w:rsidTr="009F1116">
        <w:tc>
          <w:tcPr>
            <w:tcW w:w="880" w:type="dxa"/>
          </w:tcPr>
          <w:p w:rsidR="00E92DFC" w:rsidRPr="004E15A7" w:rsidRDefault="00E92DFC" w:rsidP="009F1116">
            <w:pPr>
              <w:spacing w:before="60" w:after="60"/>
              <w:rPr>
                <w:rFonts w:ascii="Arial" w:hAnsi="Arial" w:cs="Arial"/>
                <w:color w:val="000000"/>
              </w:rPr>
            </w:pPr>
            <w:r>
              <w:rPr>
                <w:rFonts w:ascii="Arial" w:hAnsi="Arial" w:cs="Arial"/>
                <w:color w:val="000000"/>
              </w:rPr>
              <w:t>VI_15</w:t>
            </w:r>
          </w:p>
        </w:tc>
        <w:tc>
          <w:tcPr>
            <w:tcW w:w="2268" w:type="dxa"/>
            <w:shd w:val="clear" w:color="auto" w:fill="auto"/>
          </w:tcPr>
          <w:p w:rsidR="00E92DFC" w:rsidRPr="004E15A7" w:rsidRDefault="00E92DFC" w:rsidP="009F1116">
            <w:pPr>
              <w:spacing w:before="60" w:after="60"/>
              <w:rPr>
                <w:rFonts w:ascii="Arial" w:hAnsi="Arial" w:cs="Arial"/>
                <w:color w:val="000000"/>
              </w:rPr>
            </w:pPr>
            <w:r>
              <w:rPr>
                <w:rFonts w:ascii="Arial" w:hAnsi="Arial" w:cs="Arial"/>
                <w:color w:val="000000"/>
              </w:rPr>
              <w:t>AOD126</w:t>
            </w:r>
          </w:p>
        </w:tc>
        <w:tc>
          <w:tcPr>
            <w:tcW w:w="7512" w:type="dxa"/>
            <w:vAlign w:val="center"/>
          </w:tcPr>
          <w:p w:rsidR="00E92DFC" w:rsidRDefault="00E92DFC" w:rsidP="009F1116">
            <w:pPr>
              <w:pStyle w:val="BodyText"/>
              <w:spacing w:before="60" w:after="60"/>
              <w:rPr>
                <w:rFonts w:ascii="Arial" w:hAnsi="Arial" w:cs="Arial"/>
                <w:color w:val="auto"/>
                <w:sz w:val="20"/>
                <w:lang w:eastAsia="en-AU"/>
              </w:rPr>
            </w:pPr>
            <w:r w:rsidRPr="004E15A7">
              <w:rPr>
                <w:rFonts w:ascii="Arial" w:hAnsi="Arial" w:cs="Arial"/>
                <w:color w:val="auto"/>
                <w:sz w:val="20"/>
              </w:rPr>
              <w:t xml:space="preserve">False triggers: </w:t>
            </w:r>
            <w:r w:rsidRPr="004E15A7">
              <w:rPr>
                <w:rFonts w:ascii="Arial" w:hAnsi="Arial" w:cs="Arial"/>
                <w:color w:val="auto"/>
                <w:sz w:val="20"/>
                <w:lang w:eastAsia="en-AU"/>
              </w:rPr>
              <w:t>Currently triggers a</w:t>
            </w:r>
            <w:r>
              <w:rPr>
                <w:rFonts w:ascii="Arial" w:hAnsi="Arial" w:cs="Arial"/>
                <w:color w:val="auto"/>
                <w:sz w:val="20"/>
                <w:lang w:eastAsia="en-AU"/>
              </w:rPr>
              <w:t xml:space="preserve"> ‘warning’ in the system. Should trigger ‘error’ as per VADC 2018/19 Data specification. For the rest of 2018/19, the validation will remain as ‘warning’. The 2019/20FY system will return ‘error’ to reflect the specification. </w:t>
            </w:r>
          </w:p>
          <w:p w:rsidR="00E92DFC" w:rsidRPr="004E15A7" w:rsidRDefault="00E92DFC" w:rsidP="009F1116">
            <w:pPr>
              <w:pStyle w:val="BodyText"/>
              <w:spacing w:before="60" w:after="60"/>
              <w:rPr>
                <w:rFonts w:ascii="Arial" w:hAnsi="Arial" w:cs="Arial"/>
                <w:color w:val="auto"/>
                <w:sz w:val="20"/>
              </w:rPr>
            </w:pPr>
          </w:p>
        </w:tc>
        <w:tc>
          <w:tcPr>
            <w:tcW w:w="2410" w:type="dxa"/>
          </w:tcPr>
          <w:p w:rsidR="00E92DFC" w:rsidRPr="00642691" w:rsidRDefault="00E92DFC" w:rsidP="009F1116">
            <w:pPr>
              <w:pStyle w:val="DHHStabletext"/>
              <w:spacing w:before="60"/>
              <w:rPr>
                <w:rFonts w:cs="Arial"/>
                <w:b/>
                <w:highlight w:val="green"/>
              </w:rPr>
            </w:pPr>
            <w:r w:rsidRPr="00642691">
              <w:rPr>
                <w:rFonts w:cs="Arial"/>
                <w:b/>
                <w:highlight w:val="green"/>
              </w:rPr>
              <w:t>New</w:t>
            </w:r>
          </w:p>
          <w:p w:rsidR="00544B98" w:rsidRDefault="00E92DFC" w:rsidP="009F1116">
            <w:pPr>
              <w:pStyle w:val="DHHStabletext"/>
              <w:spacing w:before="60"/>
              <w:rPr>
                <w:rFonts w:cs="Arial"/>
                <w:b/>
              </w:rPr>
            </w:pPr>
            <w:r>
              <w:rPr>
                <w:rFonts w:cs="Arial"/>
                <w:b/>
              </w:rPr>
              <w:t xml:space="preserve">Resolved </w:t>
            </w:r>
            <w:r w:rsidR="00544B98">
              <w:rPr>
                <w:rFonts w:cs="Arial"/>
                <w:b/>
              </w:rPr>
              <w:t>–</w:t>
            </w:r>
            <w:r>
              <w:rPr>
                <w:rFonts w:cs="Arial"/>
                <w:b/>
              </w:rPr>
              <w:t xml:space="preserve"> </w:t>
            </w:r>
          </w:p>
          <w:p w:rsidR="00E92DFC" w:rsidRPr="004E15A7" w:rsidRDefault="00E92DFC" w:rsidP="009F1116">
            <w:pPr>
              <w:pStyle w:val="DHHStabletext"/>
              <w:spacing w:before="60"/>
              <w:rPr>
                <w:rFonts w:cs="Arial"/>
                <w:b/>
              </w:rPr>
            </w:pPr>
            <w:r w:rsidRPr="004E15A7">
              <w:rPr>
                <w:rFonts w:cs="Arial"/>
                <w:b/>
              </w:rPr>
              <w:t>For deployment into VADC live Production</w:t>
            </w:r>
          </w:p>
          <w:p w:rsidR="00E92DFC" w:rsidRPr="00DC5420" w:rsidRDefault="00E92DFC" w:rsidP="009F1116">
            <w:pPr>
              <w:pStyle w:val="DHHStabletext"/>
              <w:spacing w:before="60"/>
              <w:rPr>
                <w:rFonts w:cs="Arial"/>
                <w:b/>
              </w:rPr>
            </w:pPr>
            <w:r w:rsidRPr="00E92DFC">
              <w:rPr>
                <w:rFonts w:cs="Arial"/>
                <w:b/>
              </w:rPr>
              <w:t>1</w:t>
            </w:r>
            <w:r w:rsidR="00272FBA">
              <w:rPr>
                <w:rFonts w:cs="Arial"/>
                <w:b/>
              </w:rPr>
              <w:t>3</w:t>
            </w:r>
            <w:r w:rsidRPr="00E92DFC">
              <w:rPr>
                <w:rFonts w:cs="Arial"/>
                <w:b/>
              </w:rPr>
              <w:t>/03/2019 0</w:t>
            </w:r>
            <w:r w:rsidR="00272FBA">
              <w:rPr>
                <w:rFonts w:cs="Arial"/>
                <w:b/>
              </w:rPr>
              <w:t>5</w:t>
            </w:r>
            <w:r w:rsidRPr="00E92DFC">
              <w:rPr>
                <w:rFonts w:cs="Arial"/>
                <w:b/>
              </w:rPr>
              <w:t>:00PM</w:t>
            </w:r>
          </w:p>
        </w:tc>
        <w:tc>
          <w:tcPr>
            <w:tcW w:w="1701" w:type="dxa"/>
          </w:tcPr>
          <w:p w:rsidR="00E92DFC" w:rsidRPr="004E15A7" w:rsidRDefault="00E92DFC" w:rsidP="009F1116">
            <w:pPr>
              <w:spacing w:before="60" w:after="60"/>
              <w:rPr>
                <w:rFonts w:ascii="Arial" w:hAnsi="Arial" w:cs="Arial"/>
              </w:rPr>
            </w:pPr>
            <w:r>
              <w:rPr>
                <w:rFonts w:ascii="Arial" w:hAnsi="Arial" w:cs="Arial"/>
              </w:rPr>
              <w:t>Refer to Section 1.2 Data Issues of this document.</w:t>
            </w:r>
          </w:p>
        </w:tc>
      </w:tr>
      <w:bookmarkEnd w:id="3"/>
      <w:tr w:rsidR="00A227F1" w:rsidTr="00DC5420">
        <w:tc>
          <w:tcPr>
            <w:tcW w:w="880" w:type="dxa"/>
          </w:tcPr>
          <w:p w:rsidR="00A227F1" w:rsidRPr="004E15A7" w:rsidRDefault="00A227F1" w:rsidP="005F43B9">
            <w:pPr>
              <w:pStyle w:val="DHHStabletext"/>
              <w:spacing w:before="60"/>
              <w:rPr>
                <w:rFonts w:cs="Arial"/>
              </w:rPr>
            </w:pPr>
            <w:r w:rsidRPr="004E15A7">
              <w:rPr>
                <w:rFonts w:cs="Arial"/>
              </w:rPr>
              <w:t>VI_4</w:t>
            </w:r>
          </w:p>
        </w:tc>
        <w:tc>
          <w:tcPr>
            <w:tcW w:w="2268" w:type="dxa"/>
            <w:shd w:val="clear" w:color="auto" w:fill="auto"/>
          </w:tcPr>
          <w:p w:rsidR="00A227F1" w:rsidRPr="004E15A7" w:rsidRDefault="00A227F1" w:rsidP="005F43B9">
            <w:pPr>
              <w:pStyle w:val="DHHStabletext"/>
              <w:spacing w:before="60"/>
              <w:rPr>
                <w:rFonts w:cs="Arial"/>
              </w:rPr>
            </w:pPr>
            <w:r w:rsidRPr="004E15A7">
              <w:rPr>
                <w:rFonts w:cs="Arial"/>
              </w:rPr>
              <w:t>A</w:t>
            </w:r>
            <w:r w:rsidR="008A0EBF">
              <w:rPr>
                <w:rFonts w:cs="Arial"/>
              </w:rPr>
              <w:t>O</w:t>
            </w:r>
            <w:r w:rsidRPr="004E15A7">
              <w:rPr>
                <w:rFonts w:cs="Arial"/>
              </w:rPr>
              <w:t>D79, 80, 126 and 127</w:t>
            </w:r>
          </w:p>
        </w:tc>
        <w:tc>
          <w:tcPr>
            <w:tcW w:w="7512" w:type="dxa"/>
          </w:tcPr>
          <w:p w:rsidR="00FD2F09" w:rsidRPr="004E15A7" w:rsidRDefault="00A227F1" w:rsidP="00DC5420">
            <w:pPr>
              <w:pStyle w:val="DHHStabletext"/>
              <w:spacing w:before="60"/>
              <w:rPr>
                <w:rFonts w:cs="Arial"/>
              </w:rPr>
            </w:pPr>
            <w:r w:rsidRPr="004E15A7">
              <w:rPr>
                <w:rFonts w:cs="Arial"/>
              </w:rPr>
              <w:t xml:space="preserve">False triggers: Clients in residential services to be flagged as being the Person of Concern, so to not trigger these validations for residential service streams. This will bring in line with AOD68 changes. </w:t>
            </w:r>
          </w:p>
        </w:tc>
        <w:tc>
          <w:tcPr>
            <w:tcW w:w="2410" w:type="dxa"/>
          </w:tcPr>
          <w:p w:rsidR="00A227F1" w:rsidRPr="004E15A7" w:rsidRDefault="00A227F1" w:rsidP="005F43B9">
            <w:pPr>
              <w:spacing w:before="60" w:after="60"/>
              <w:rPr>
                <w:rFonts w:ascii="Arial" w:hAnsi="Arial" w:cs="Arial"/>
              </w:rPr>
            </w:pPr>
            <w:r w:rsidRPr="004E15A7">
              <w:rPr>
                <w:rFonts w:ascii="Arial" w:hAnsi="Arial" w:cs="Arial"/>
              </w:rPr>
              <w:t>Pending</w:t>
            </w:r>
          </w:p>
        </w:tc>
        <w:tc>
          <w:tcPr>
            <w:tcW w:w="1701" w:type="dxa"/>
          </w:tcPr>
          <w:p w:rsidR="00A227F1" w:rsidRPr="004E15A7" w:rsidRDefault="00A227F1" w:rsidP="005F43B9">
            <w:pPr>
              <w:spacing w:before="60" w:after="60"/>
              <w:rPr>
                <w:rFonts w:ascii="Arial" w:hAnsi="Arial" w:cs="Arial"/>
              </w:rPr>
            </w:pPr>
            <w:r w:rsidRPr="004E15A7">
              <w:rPr>
                <w:rFonts w:ascii="Arial" w:hAnsi="Arial" w:cs="Arial"/>
              </w:rPr>
              <w:t>Pending</w:t>
            </w:r>
          </w:p>
        </w:tc>
      </w:tr>
      <w:tr w:rsidR="00A227F1" w:rsidTr="00DC5420">
        <w:tc>
          <w:tcPr>
            <w:tcW w:w="880" w:type="dxa"/>
          </w:tcPr>
          <w:p w:rsidR="00A227F1" w:rsidRPr="004E15A7" w:rsidRDefault="00A227F1" w:rsidP="005F43B9">
            <w:pPr>
              <w:pStyle w:val="DHHStabletext"/>
              <w:spacing w:before="60"/>
              <w:rPr>
                <w:rFonts w:cs="Arial"/>
              </w:rPr>
            </w:pPr>
            <w:bookmarkStart w:id="5" w:name="_Hlk531327748"/>
            <w:r w:rsidRPr="004E15A7">
              <w:rPr>
                <w:rFonts w:cs="Arial"/>
              </w:rPr>
              <w:t>VI_5</w:t>
            </w:r>
          </w:p>
        </w:tc>
        <w:tc>
          <w:tcPr>
            <w:tcW w:w="2268" w:type="dxa"/>
            <w:shd w:val="clear" w:color="auto" w:fill="auto"/>
          </w:tcPr>
          <w:p w:rsidR="00A227F1" w:rsidRPr="004E15A7" w:rsidRDefault="00A227F1" w:rsidP="005F43B9">
            <w:pPr>
              <w:pStyle w:val="DHHStabletext"/>
              <w:spacing w:before="60"/>
              <w:rPr>
                <w:rFonts w:cs="Arial"/>
              </w:rPr>
            </w:pPr>
            <w:bookmarkStart w:id="6" w:name="_Hlk531244937"/>
            <w:r w:rsidRPr="004E15A7">
              <w:rPr>
                <w:rFonts w:cs="Arial"/>
              </w:rPr>
              <w:t>A</w:t>
            </w:r>
            <w:r w:rsidR="008A0EBF">
              <w:rPr>
                <w:rFonts w:cs="Arial"/>
              </w:rPr>
              <w:t>O</w:t>
            </w:r>
            <w:r w:rsidRPr="004E15A7">
              <w:rPr>
                <w:rFonts w:cs="Arial"/>
              </w:rPr>
              <w:t>D 78, 79, 108, 109</w:t>
            </w:r>
            <w:bookmarkEnd w:id="6"/>
          </w:p>
        </w:tc>
        <w:tc>
          <w:tcPr>
            <w:tcW w:w="7512" w:type="dxa"/>
          </w:tcPr>
          <w:p w:rsidR="00A227F1" w:rsidRPr="004E15A7" w:rsidRDefault="00A227F1" w:rsidP="00DC5420">
            <w:pPr>
              <w:pStyle w:val="DHHStabletext"/>
              <w:spacing w:before="60"/>
              <w:rPr>
                <w:rFonts w:cs="Arial"/>
              </w:rPr>
            </w:pPr>
            <w:r w:rsidRPr="004E15A7">
              <w:rPr>
                <w:rFonts w:cs="Arial"/>
              </w:rPr>
              <w:t>False triggers: The way “</w:t>
            </w:r>
            <w:r w:rsidR="00276BF0" w:rsidRPr="004E15A7">
              <w:rPr>
                <w:rFonts w:cs="Arial"/>
              </w:rPr>
              <w:t>t</w:t>
            </w:r>
            <w:r w:rsidRPr="004E15A7">
              <w:rPr>
                <w:rFonts w:cs="Arial"/>
              </w:rPr>
              <w:t>oday” is coded in validations is under review.</w:t>
            </w:r>
          </w:p>
        </w:tc>
        <w:tc>
          <w:tcPr>
            <w:tcW w:w="2410" w:type="dxa"/>
          </w:tcPr>
          <w:p w:rsidR="00A227F1" w:rsidRPr="004E15A7" w:rsidRDefault="00A227F1" w:rsidP="005F43B9">
            <w:pPr>
              <w:spacing w:before="60" w:after="60"/>
              <w:rPr>
                <w:rFonts w:ascii="Arial" w:hAnsi="Arial" w:cs="Arial"/>
              </w:rPr>
            </w:pPr>
            <w:r w:rsidRPr="004E15A7">
              <w:rPr>
                <w:rFonts w:ascii="Arial" w:hAnsi="Arial" w:cs="Arial"/>
              </w:rPr>
              <w:t>Pending</w:t>
            </w:r>
          </w:p>
        </w:tc>
        <w:tc>
          <w:tcPr>
            <w:tcW w:w="1701" w:type="dxa"/>
          </w:tcPr>
          <w:p w:rsidR="00A227F1" w:rsidRPr="004E15A7" w:rsidRDefault="00A227F1" w:rsidP="005F43B9">
            <w:pPr>
              <w:spacing w:before="60" w:after="60"/>
              <w:rPr>
                <w:rFonts w:ascii="Arial" w:hAnsi="Arial" w:cs="Arial"/>
              </w:rPr>
            </w:pPr>
            <w:r w:rsidRPr="004E15A7">
              <w:rPr>
                <w:rFonts w:ascii="Arial" w:hAnsi="Arial" w:cs="Arial"/>
              </w:rPr>
              <w:t>Pending</w:t>
            </w:r>
          </w:p>
        </w:tc>
      </w:tr>
      <w:bookmarkEnd w:id="5"/>
      <w:tr w:rsidR="00A227F1" w:rsidTr="00DC5420">
        <w:tc>
          <w:tcPr>
            <w:tcW w:w="880" w:type="dxa"/>
            <w:vAlign w:val="center"/>
          </w:tcPr>
          <w:p w:rsidR="00A227F1" w:rsidRPr="004E15A7" w:rsidRDefault="00A227F1" w:rsidP="005F43B9">
            <w:pPr>
              <w:spacing w:before="60" w:after="60"/>
              <w:rPr>
                <w:rFonts w:ascii="Arial" w:hAnsi="Arial" w:cs="Arial"/>
                <w:color w:val="000000"/>
              </w:rPr>
            </w:pPr>
            <w:r w:rsidRPr="004E15A7">
              <w:rPr>
                <w:rFonts w:ascii="Arial" w:hAnsi="Arial" w:cs="Arial"/>
                <w:color w:val="000000"/>
              </w:rPr>
              <w:t>VI_12</w:t>
            </w:r>
          </w:p>
        </w:tc>
        <w:tc>
          <w:tcPr>
            <w:tcW w:w="2268" w:type="dxa"/>
            <w:shd w:val="clear" w:color="auto" w:fill="auto"/>
            <w:vAlign w:val="center"/>
          </w:tcPr>
          <w:p w:rsidR="00A227F1" w:rsidRPr="004E15A7" w:rsidRDefault="00A227F1" w:rsidP="005F43B9">
            <w:pPr>
              <w:spacing w:before="60" w:after="60"/>
              <w:rPr>
                <w:rFonts w:ascii="Arial" w:hAnsi="Arial" w:cs="Arial"/>
                <w:color w:val="000000"/>
              </w:rPr>
            </w:pPr>
            <w:r w:rsidRPr="004E15A7">
              <w:rPr>
                <w:rFonts w:ascii="Arial" w:hAnsi="Arial" w:cs="Arial"/>
                <w:color w:val="000000"/>
              </w:rPr>
              <w:t>A</w:t>
            </w:r>
            <w:r w:rsidR="008A0EBF">
              <w:rPr>
                <w:rFonts w:ascii="Arial" w:hAnsi="Arial" w:cs="Arial"/>
                <w:color w:val="000000"/>
              </w:rPr>
              <w:t>O</w:t>
            </w:r>
            <w:r w:rsidRPr="004E15A7">
              <w:rPr>
                <w:rFonts w:ascii="Arial" w:hAnsi="Arial" w:cs="Arial"/>
                <w:color w:val="000000"/>
              </w:rPr>
              <w:t>D108</w:t>
            </w:r>
          </w:p>
        </w:tc>
        <w:tc>
          <w:tcPr>
            <w:tcW w:w="7512" w:type="dxa"/>
            <w:vAlign w:val="center"/>
          </w:tcPr>
          <w:p w:rsidR="00FD2F09" w:rsidRPr="004E15A7" w:rsidRDefault="00A227F1" w:rsidP="00DC5420">
            <w:pPr>
              <w:spacing w:before="60" w:after="60"/>
              <w:rPr>
                <w:rFonts w:ascii="Arial" w:hAnsi="Arial" w:cs="Arial"/>
                <w:color w:val="000000"/>
              </w:rPr>
            </w:pPr>
            <w:r w:rsidRPr="004E15A7">
              <w:rPr>
                <w:rFonts w:ascii="Arial" w:hAnsi="Arial" w:cs="Arial"/>
                <w:color w:val="000000"/>
              </w:rPr>
              <w:t>Pseudocode description does not match validation requirement.</w:t>
            </w:r>
          </w:p>
        </w:tc>
        <w:tc>
          <w:tcPr>
            <w:tcW w:w="2410" w:type="dxa"/>
            <w:vAlign w:val="center"/>
          </w:tcPr>
          <w:p w:rsidR="00A227F1" w:rsidRPr="004E15A7" w:rsidRDefault="00A227F1" w:rsidP="005F43B9">
            <w:pPr>
              <w:spacing w:before="60" w:after="60"/>
              <w:rPr>
                <w:rFonts w:ascii="Arial" w:hAnsi="Arial" w:cs="Arial"/>
              </w:rPr>
            </w:pPr>
            <w:r w:rsidRPr="004E15A7">
              <w:rPr>
                <w:rFonts w:ascii="Arial" w:hAnsi="Arial" w:cs="Arial"/>
              </w:rPr>
              <w:t>Pending</w:t>
            </w:r>
          </w:p>
        </w:tc>
        <w:tc>
          <w:tcPr>
            <w:tcW w:w="1701" w:type="dxa"/>
            <w:vAlign w:val="center"/>
          </w:tcPr>
          <w:p w:rsidR="00A227F1" w:rsidRPr="004E15A7" w:rsidRDefault="00A227F1" w:rsidP="005F43B9">
            <w:pPr>
              <w:pStyle w:val="DHHStabletext"/>
              <w:spacing w:before="60"/>
              <w:rPr>
                <w:rFonts w:cs="Arial"/>
              </w:rPr>
            </w:pPr>
            <w:r w:rsidRPr="004E15A7">
              <w:rPr>
                <w:rFonts w:cs="Arial"/>
              </w:rPr>
              <w:t>Pending</w:t>
            </w:r>
          </w:p>
        </w:tc>
      </w:tr>
      <w:tr w:rsidR="00A227F1" w:rsidTr="00DC5420">
        <w:tc>
          <w:tcPr>
            <w:tcW w:w="880" w:type="dxa"/>
            <w:vAlign w:val="center"/>
          </w:tcPr>
          <w:p w:rsidR="00A227F1" w:rsidRPr="004E15A7" w:rsidRDefault="00A227F1" w:rsidP="005F43B9">
            <w:pPr>
              <w:spacing w:before="60" w:after="60"/>
              <w:rPr>
                <w:rFonts w:ascii="Arial" w:hAnsi="Arial" w:cs="Arial"/>
                <w:color w:val="000000"/>
              </w:rPr>
            </w:pPr>
            <w:r w:rsidRPr="004E15A7">
              <w:rPr>
                <w:rFonts w:ascii="Arial" w:hAnsi="Arial" w:cs="Arial"/>
                <w:color w:val="000000"/>
              </w:rPr>
              <w:t>VI_13</w:t>
            </w:r>
          </w:p>
        </w:tc>
        <w:tc>
          <w:tcPr>
            <w:tcW w:w="2268" w:type="dxa"/>
            <w:shd w:val="clear" w:color="auto" w:fill="auto"/>
            <w:vAlign w:val="center"/>
          </w:tcPr>
          <w:p w:rsidR="00A227F1" w:rsidRPr="004E15A7" w:rsidRDefault="00A227F1" w:rsidP="005F43B9">
            <w:pPr>
              <w:spacing w:before="60" w:after="60"/>
              <w:rPr>
                <w:rFonts w:ascii="Arial" w:hAnsi="Arial" w:cs="Arial"/>
                <w:color w:val="000000"/>
              </w:rPr>
            </w:pPr>
            <w:r w:rsidRPr="004E15A7">
              <w:rPr>
                <w:rFonts w:ascii="Arial" w:hAnsi="Arial" w:cs="Arial"/>
                <w:color w:val="000000"/>
              </w:rPr>
              <w:t>AOD79</w:t>
            </w:r>
          </w:p>
        </w:tc>
        <w:tc>
          <w:tcPr>
            <w:tcW w:w="7512" w:type="dxa"/>
            <w:vAlign w:val="center"/>
          </w:tcPr>
          <w:p w:rsidR="00FD2F09" w:rsidRPr="004E15A7" w:rsidRDefault="00A227F1" w:rsidP="00544B98">
            <w:pPr>
              <w:spacing w:before="60" w:after="60"/>
              <w:rPr>
                <w:rFonts w:ascii="Arial" w:hAnsi="Arial" w:cs="Arial"/>
                <w:color w:val="000000"/>
              </w:rPr>
            </w:pPr>
            <w:r w:rsidRPr="004E15A7">
              <w:rPr>
                <w:rFonts w:ascii="Arial" w:hAnsi="Arial" w:cs="Arial"/>
                <w:color w:val="000000"/>
              </w:rPr>
              <w:t>Pseudocode description does not match validation requirement.</w:t>
            </w:r>
          </w:p>
        </w:tc>
        <w:tc>
          <w:tcPr>
            <w:tcW w:w="2410" w:type="dxa"/>
            <w:vAlign w:val="center"/>
          </w:tcPr>
          <w:p w:rsidR="00A227F1" w:rsidRPr="004E15A7" w:rsidRDefault="00A227F1" w:rsidP="005F43B9">
            <w:pPr>
              <w:spacing w:before="60" w:after="60"/>
              <w:rPr>
                <w:rFonts w:ascii="Arial" w:hAnsi="Arial" w:cs="Arial"/>
              </w:rPr>
            </w:pPr>
            <w:r w:rsidRPr="004E15A7">
              <w:rPr>
                <w:rFonts w:ascii="Arial" w:hAnsi="Arial" w:cs="Arial"/>
              </w:rPr>
              <w:t>Pending</w:t>
            </w:r>
          </w:p>
        </w:tc>
        <w:tc>
          <w:tcPr>
            <w:tcW w:w="1701" w:type="dxa"/>
            <w:vAlign w:val="center"/>
          </w:tcPr>
          <w:p w:rsidR="00A227F1" w:rsidRPr="004E15A7" w:rsidRDefault="00A227F1" w:rsidP="005F43B9">
            <w:pPr>
              <w:pStyle w:val="DHHStabletext"/>
              <w:spacing w:before="60"/>
              <w:rPr>
                <w:rFonts w:cs="Arial"/>
              </w:rPr>
            </w:pPr>
            <w:r w:rsidRPr="004E15A7">
              <w:rPr>
                <w:rFonts w:cs="Arial"/>
              </w:rPr>
              <w:t xml:space="preserve">Pending </w:t>
            </w:r>
          </w:p>
        </w:tc>
      </w:tr>
    </w:tbl>
    <w:p w:rsidR="00AF44A1" w:rsidRDefault="00AF44A1" w:rsidP="00AF44A1">
      <w:pPr>
        <w:pStyle w:val="Heading2"/>
        <w:numPr>
          <w:ilvl w:val="0"/>
          <w:numId w:val="15"/>
        </w:numPr>
      </w:pPr>
      <w:bookmarkStart w:id="7" w:name="_Toc531174434"/>
      <w:r>
        <w:lastRenderedPageBreak/>
        <w:t xml:space="preserve">Data </w:t>
      </w:r>
      <w:bookmarkEnd w:id="7"/>
      <w:r w:rsidR="00CB5C0E">
        <w:t>I</w:t>
      </w:r>
      <w:r w:rsidR="00C74DBF" w:rsidRPr="00F94062">
        <w:t>ssues</w:t>
      </w:r>
    </w:p>
    <w:p w:rsidR="00AF44A1" w:rsidRDefault="00AF44A1" w:rsidP="00AF44A1">
      <w:pPr>
        <w:pStyle w:val="DHHSbody"/>
      </w:pPr>
      <w:r>
        <w:t>The following</w:t>
      </w:r>
      <w:r w:rsidR="003823BC">
        <w:t xml:space="preserve"> describes the</w:t>
      </w:r>
      <w:r>
        <w:t xml:space="preserve"> current data issues</w:t>
      </w:r>
      <w:r w:rsidR="002F1D25">
        <w:t>.</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39"/>
        <w:gridCol w:w="9214"/>
      </w:tblGrid>
      <w:tr w:rsidR="002C1623" w:rsidTr="00FA2F92">
        <w:trPr>
          <w:tblHeader/>
        </w:trPr>
        <w:tc>
          <w:tcPr>
            <w:tcW w:w="993" w:type="dxa"/>
          </w:tcPr>
          <w:p w:rsidR="002C1623" w:rsidRDefault="002C1623" w:rsidP="00E96AA0">
            <w:pPr>
              <w:pStyle w:val="DHHStablecolhead"/>
            </w:pPr>
            <w:r>
              <w:t>ID</w:t>
            </w:r>
          </w:p>
        </w:tc>
        <w:tc>
          <w:tcPr>
            <w:tcW w:w="4139" w:type="dxa"/>
            <w:shd w:val="clear" w:color="auto" w:fill="auto"/>
          </w:tcPr>
          <w:p w:rsidR="002C1623" w:rsidRPr="000A6666" w:rsidRDefault="002C1623" w:rsidP="00E96AA0">
            <w:pPr>
              <w:pStyle w:val="DHHStablecolhead"/>
            </w:pPr>
            <w:r>
              <w:t xml:space="preserve">Issue </w:t>
            </w:r>
          </w:p>
        </w:tc>
        <w:tc>
          <w:tcPr>
            <w:tcW w:w="9214" w:type="dxa"/>
          </w:tcPr>
          <w:p w:rsidR="002C1623" w:rsidRPr="00B36948" w:rsidRDefault="00433AE7" w:rsidP="00E96AA0">
            <w:pPr>
              <w:pStyle w:val="DHHStablecolhead"/>
            </w:pPr>
            <w:r>
              <w:t>Reminder</w:t>
            </w:r>
          </w:p>
        </w:tc>
      </w:tr>
      <w:tr w:rsidR="002C1623" w:rsidTr="00FA2F92">
        <w:tc>
          <w:tcPr>
            <w:tcW w:w="993" w:type="dxa"/>
          </w:tcPr>
          <w:p w:rsidR="002C1623" w:rsidRDefault="002C1623" w:rsidP="005F43B9">
            <w:pPr>
              <w:pStyle w:val="DHHStabletext"/>
              <w:spacing w:before="60"/>
            </w:pPr>
            <w:r>
              <w:t>DE_4</w:t>
            </w:r>
          </w:p>
        </w:tc>
        <w:tc>
          <w:tcPr>
            <w:tcW w:w="4139" w:type="dxa"/>
            <w:shd w:val="clear" w:color="auto" w:fill="auto"/>
          </w:tcPr>
          <w:p w:rsidR="002C1623" w:rsidRPr="005F43B9" w:rsidRDefault="002C1623" w:rsidP="005F43B9">
            <w:pPr>
              <w:pStyle w:val="DHHStabletext"/>
              <w:spacing w:before="60"/>
              <w:rPr>
                <w:rFonts w:cs="Arial"/>
              </w:rPr>
            </w:pPr>
            <w:r w:rsidRPr="005F43B9">
              <w:rPr>
                <w:rFonts w:cs="Arial"/>
              </w:rPr>
              <w:t>Services not reviewing errors and resubmitting corrections within reporting period</w:t>
            </w:r>
          </w:p>
        </w:tc>
        <w:tc>
          <w:tcPr>
            <w:tcW w:w="9214" w:type="dxa"/>
          </w:tcPr>
          <w:p w:rsidR="00CA4E81" w:rsidRPr="005F43B9" w:rsidRDefault="00276BF0" w:rsidP="005F43B9">
            <w:pPr>
              <w:pStyle w:val="DHHStabletext"/>
              <w:spacing w:before="60"/>
              <w:rPr>
                <w:rFonts w:cs="Arial"/>
              </w:rPr>
            </w:pPr>
            <w:r w:rsidRPr="005F43B9">
              <w:rPr>
                <w:rFonts w:cs="Arial"/>
              </w:rPr>
              <w:t>It is service provider’s responsibility to address critical errors by COB the 15</w:t>
            </w:r>
            <w:r w:rsidRPr="005F43B9">
              <w:rPr>
                <w:rFonts w:cs="Arial"/>
                <w:vertAlign w:val="superscript"/>
              </w:rPr>
              <w:t>th</w:t>
            </w:r>
            <w:r w:rsidRPr="005F43B9">
              <w:rPr>
                <w:rFonts w:cs="Arial"/>
              </w:rPr>
              <w:t xml:space="preserve"> of the month fo</w:t>
            </w:r>
            <w:r w:rsidR="006B5E1A" w:rsidRPr="005F43B9">
              <w:rPr>
                <w:rFonts w:cs="Arial"/>
              </w:rPr>
              <w:t>r the submitted reporting period</w:t>
            </w:r>
            <w:r w:rsidRPr="005F43B9">
              <w:rPr>
                <w:rFonts w:cs="Arial"/>
              </w:rPr>
              <w:t>.</w:t>
            </w:r>
            <w:r w:rsidR="00DF25FF" w:rsidRPr="005F43B9">
              <w:rPr>
                <w:rFonts w:cs="Arial"/>
              </w:rPr>
              <w:t xml:space="preserve">  </w:t>
            </w:r>
          </w:p>
          <w:p w:rsidR="006B5E1A" w:rsidRPr="005F43B9" w:rsidRDefault="00DF25FF" w:rsidP="005F43B9">
            <w:pPr>
              <w:pStyle w:val="DHHStabletext"/>
              <w:spacing w:before="60"/>
              <w:rPr>
                <w:rFonts w:cs="Arial"/>
              </w:rPr>
            </w:pPr>
            <w:r w:rsidRPr="005F43B9">
              <w:rPr>
                <w:rFonts w:cs="Arial"/>
              </w:rPr>
              <w:t>F</w:t>
            </w:r>
            <w:r w:rsidR="006B5E1A" w:rsidRPr="005F43B9">
              <w:rPr>
                <w:rFonts w:cs="Arial"/>
              </w:rPr>
              <w:t xml:space="preserve">or example, where a service provider submits January 2019 reporting period on 07/02/2019, they have until 15/02/2019 to resolve </w:t>
            </w:r>
            <w:r w:rsidR="00CB5C0E">
              <w:rPr>
                <w:rFonts w:cs="Arial"/>
              </w:rPr>
              <w:t xml:space="preserve">all </w:t>
            </w:r>
            <w:r w:rsidR="006B5E1A" w:rsidRPr="005F43B9">
              <w:rPr>
                <w:rFonts w:cs="Arial"/>
              </w:rPr>
              <w:t>errors.</w:t>
            </w:r>
          </w:p>
        </w:tc>
      </w:tr>
      <w:tr w:rsidR="001A325A" w:rsidTr="00FA2F92">
        <w:tc>
          <w:tcPr>
            <w:tcW w:w="993" w:type="dxa"/>
          </w:tcPr>
          <w:p w:rsidR="001A325A" w:rsidRDefault="001A325A" w:rsidP="005F43B9">
            <w:pPr>
              <w:pStyle w:val="DHHStabletext"/>
              <w:spacing w:before="60"/>
            </w:pPr>
            <w:r>
              <w:t>DE_</w:t>
            </w:r>
            <w:r w:rsidR="00866C6D">
              <w:t>5</w:t>
            </w:r>
          </w:p>
        </w:tc>
        <w:tc>
          <w:tcPr>
            <w:tcW w:w="4139" w:type="dxa"/>
            <w:shd w:val="clear" w:color="auto" w:fill="auto"/>
          </w:tcPr>
          <w:p w:rsidR="001A325A" w:rsidRPr="005F43B9" w:rsidRDefault="001A325A" w:rsidP="005F43B9">
            <w:pPr>
              <w:pStyle w:val="DHHStabletext"/>
              <w:spacing w:before="60"/>
              <w:rPr>
                <w:rFonts w:cs="Arial"/>
              </w:rPr>
            </w:pPr>
            <w:r w:rsidRPr="005F43B9">
              <w:rPr>
                <w:rFonts w:cs="Arial"/>
              </w:rPr>
              <w:t>Transition</w:t>
            </w:r>
            <w:r w:rsidR="004A0A86">
              <w:rPr>
                <w:rFonts w:cs="Arial"/>
              </w:rPr>
              <w:t>ing from ADIS to VADC</w:t>
            </w:r>
            <w:r w:rsidR="00433AE7">
              <w:rPr>
                <w:rFonts w:cs="Arial"/>
              </w:rPr>
              <w:t xml:space="preserve"> - submitting OPEN ADIS episodes</w:t>
            </w:r>
          </w:p>
        </w:tc>
        <w:tc>
          <w:tcPr>
            <w:tcW w:w="9214" w:type="dxa"/>
          </w:tcPr>
          <w:p w:rsidR="00E85FD0" w:rsidRPr="005F43B9" w:rsidRDefault="001A325A" w:rsidP="00433AE7">
            <w:pPr>
              <w:pStyle w:val="DHHStabletext"/>
              <w:spacing w:before="60"/>
              <w:rPr>
                <w:rFonts w:cs="Arial"/>
                <w:color w:val="000000"/>
              </w:rPr>
            </w:pPr>
            <w:r w:rsidRPr="005F43B9">
              <w:rPr>
                <w:rFonts w:cs="Arial"/>
                <w:color w:val="000000"/>
              </w:rPr>
              <w:t>All service events that are open at the transition date from ADIS to VADC must be reported in the final submission of ADIS and must be reported in the first submission of VADC, along with the VADC Client Record for each client with an open service event.</w:t>
            </w:r>
          </w:p>
          <w:p w:rsidR="00544B98" w:rsidRDefault="00680836" w:rsidP="00433AE7">
            <w:pPr>
              <w:pStyle w:val="DHHStabletext"/>
              <w:spacing w:before="60"/>
              <w:rPr>
                <w:rFonts w:cs="Arial"/>
                <w:color w:val="000000"/>
              </w:rPr>
            </w:pPr>
            <w:r w:rsidRPr="005F43B9">
              <w:rPr>
                <w:rFonts w:cs="Arial"/>
                <w:color w:val="000000"/>
              </w:rPr>
              <w:t>A</w:t>
            </w:r>
            <w:r w:rsidR="001A325A" w:rsidRPr="005F43B9">
              <w:rPr>
                <w:rFonts w:cs="Arial"/>
                <w:color w:val="000000"/>
              </w:rPr>
              <w:t xml:space="preserve"> </w:t>
            </w:r>
            <w:r w:rsidR="005F0EA5" w:rsidRPr="005F43B9">
              <w:rPr>
                <w:rFonts w:cs="Arial"/>
                <w:color w:val="000000"/>
              </w:rPr>
              <w:t>s</w:t>
            </w:r>
            <w:r w:rsidR="001A325A" w:rsidRPr="005F43B9">
              <w:rPr>
                <w:rFonts w:cs="Arial"/>
                <w:color w:val="000000"/>
              </w:rPr>
              <w:t xml:space="preserve">ervice </w:t>
            </w:r>
            <w:r w:rsidR="005F0EA5" w:rsidRPr="005F43B9">
              <w:rPr>
                <w:rFonts w:cs="Arial"/>
                <w:color w:val="000000"/>
              </w:rPr>
              <w:t>e</w:t>
            </w:r>
            <w:r w:rsidR="001A325A" w:rsidRPr="005F43B9">
              <w:rPr>
                <w:rFonts w:cs="Arial"/>
                <w:color w:val="000000"/>
              </w:rPr>
              <w:t xml:space="preserve">vent that has already been submitted in a previous reporting period must include all child [associated data] records associated with that </w:t>
            </w:r>
            <w:r w:rsidR="005F0EA5" w:rsidRPr="005F43B9">
              <w:rPr>
                <w:rFonts w:cs="Arial"/>
                <w:color w:val="000000"/>
              </w:rPr>
              <w:t>s</w:t>
            </w:r>
            <w:r w:rsidR="001A325A" w:rsidRPr="005F43B9">
              <w:rPr>
                <w:rFonts w:cs="Arial"/>
                <w:color w:val="000000"/>
              </w:rPr>
              <w:t xml:space="preserve">ervice </w:t>
            </w:r>
            <w:r w:rsidR="005F0EA5" w:rsidRPr="005F43B9">
              <w:rPr>
                <w:rFonts w:cs="Arial"/>
                <w:color w:val="000000"/>
              </w:rPr>
              <w:t>e</w:t>
            </w:r>
            <w:r w:rsidR="001A325A" w:rsidRPr="005F43B9">
              <w:rPr>
                <w:rFonts w:cs="Arial"/>
                <w:color w:val="000000"/>
              </w:rPr>
              <w:t>vent in the current reporting period submission, not just the child records that occurred during the current reporting period.' (</w:t>
            </w:r>
            <w:r w:rsidRPr="005F43B9">
              <w:rPr>
                <w:rFonts w:cs="Arial"/>
                <w:color w:val="000000"/>
              </w:rPr>
              <w:t>S</w:t>
            </w:r>
            <w:r w:rsidR="001A325A" w:rsidRPr="005F43B9">
              <w:rPr>
                <w:rFonts w:cs="Arial"/>
                <w:color w:val="000000"/>
              </w:rPr>
              <w:t xml:space="preserve">ection 4.3). </w:t>
            </w:r>
          </w:p>
          <w:p w:rsidR="00E85FD0" w:rsidRPr="005F43B9" w:rsidRDefault="001A325A" w:rsidP="00433AE7">
            <w:pPr>
              <w:pStyle w:val="DHHStabletext"/>
              <w:spacing w:before="60"/>
              <w:rPr>
                <w:rFonts w:cs="Arial"/>
                <w:color w:val="000000"/>
              </w:rPr>
            </w:pPr>
            <w:r w:rsidRPr="005F43B9">
              <w:rPr>
                <w:rFonts w:cs="Arial"/>
                <w:color w:val="000000"/>
              </w:rPr>
              <w:t xml:space="preserve">Data for open </w:t>
            </w:r>
            <w:r w:rsidR="005F0EA5" w:rsidRPr="005F43B9">
              <w:rPr>
                <w:rFonts w:cs="Arial"/>
                <w:color w:val="000000"/>
              </w:rPr>
              <w:t>service events must</w:t>
            </w:r>
            <w:r w:rsidRPr="005F43B9">
              <w:rPr>
                <w:rFonts w:cs="Arial"/>
                <w:color w:val="000000"/>
              </w:rPr>
              <w:t xml:space="preserve"> be included even if no activity occurred for that </w:t>
            </w:r>
            <w:r w:rsidR="005F0EA5" w:rsidRPr="005F43B9">
              <w:rPr>
                <w:rFonts w:cs="Arial"/>
                <w:color w:val="000000"/>
              </w:rPr>
              <w:t>s</w:t>
            </w:r>
            <w:r w:rsidRPr="005F43B9">
              <w:rPr>
                <w:rFonts w:cs="Arial"/>
                <w:color w:val="000000"/>
              </w:rPr>
              <w:t xml:space="preserve">ervice </w:t>
            </w:r>
            <w:r w:rsidR="005F0EA5" w:rsidRPr="005F43B9">
              <w:rPr>
                <w:rFonts w:cs="Arial"/>
                <w:color w:val="000000"/>
              </w:rPr>
              <w:t>e</w:t>
            </w:r>
            <w:r w:rsidRPr="005F43B9">
              <w:rPr>
                <w:rFonts w:cs="Arial"/>
                <w:color w:val="000000"/>
              </w:rPr>
              <w:t xml:space="preserve">vent in the current reporting period. </w:t>
            </w:r>
          </w:p>
          <w:p w:rsidR="00E85FD0" w:rsidRPr="005F43B9" w:rsidRDefault="001A298C" w:rsidP="00433AE7">
            <w:pPr>
              <w:pStyle w:val="DHHStabletext"/>
              <w:spacing w:before="60"/>
              <w:rPr>
                <w:rFonts w:cs="Arial"/>
                <w:color w:val="000000"/>
              </w:rPr>
            </w:pPr>
            <w:r>
              <w:rPr>
                <w:rFonts w:cs="Arial"/>
                <w:color w:val="000000"/>
              </w:rPr>
              <w:t>VADC</w:t>
            </w:r>
            <w:r w:rsidR="001A325A" w:rsidRPr="005F43B9">
              <w:rPr>
                <w:rFonts w:cs="Arial"/>
                <w:color w:val="000000"/>
              </w:rPr>
              <w:t xml:space="preserve"> Implementation Guide mapping table is provided to assist service providers and their CMS software vendors with translating data reported in ADIS to the relevant VADC data elements for those open service events and their related VADC Client Records.</w:t>
            </w:r>
          </w:p>
        </w:tc>
      </w:tr>
      <w:tr w:rsidR="003E5931" w:rsidTr="00FA2F92">
        <w:tc>
          <w:tcPr>
            <w:tcW w:w="993" w:type="dxa"/>
          </w:tcPr>
          <w:p w:rsidR="003E5931" w:rsidRDefault="003E5931" w:rsidP="005F43B9">
            <w:pPr>
              <w:pStyle w:val="DHHStabletext"/>
              <w:spacing w:before="60"/>
            </w:pPr>
            <w:r>
              <w:t>DE_6</w:t>
            </w:r>
          </w:p>
        </w:tc>
        <w:tc>
          <w:tcPr>
            <w:tcW w:w="4139" w:type="dxa"/>
            <w:shd w:val="clear" w:color="auto" w:fill="auto"/>
          </w:tcPr>
          <w:p w:rsidR="003E5931" w:rsidRPr="005F43B9" w:rsidRDefault="00433AE7" w:rsidP="005F43B9">
            <w:pPr>
              <w:pStyle w:val="DHHStabletext"/>
              <w:spacing w:before="60"/>
              <w:rPr>
                <w:rFonts w:cs="Arial"/>
                <w:highlight w:val="yellow"/>
              </w:rPr>
            </w:pPr>
            <w:r w:rsidRPr="00433AE7">
              <w:rPr>
                <w:rFonts w:cs="Arial"/>
                <w:iCs/>
              </w:rPr>
              <w:t xml:space="preserve">Reporting </w:t>
            </w:r>
            <w:r w:rsidR="003E5931" w:rsidRPr="00433AE7">
              <w:rPr>
                <w:rFonts w:cs="Arial"/>
                <w:iCs/>
              </w:rPr>
              <w:t>anonymous clients</w:t>
            </w:r>
          </w:p>
        </w:tc>
        <w:tc>
          <w:tcPr>
            <w:tcW w:w="9214" w:type="dxa"/>
          </w:tcPr>
          <w:p w:rsidR="003E5931" w:rsidRDefault="003E5931" w:rsidP="00433AE7">
            <w:pPr>
              <w:pStyle w:val="IMBodyText"/>
              <w:spacing w:before="60" w:after="60" w:line="240" w:lineRule="auto"/>
              <w:rPr>
                <w:rFonts w:ascii="Arial" w:hAnsi="Arial" w:cs="Arial"/>
              </w:rPr>
            </w:pPr>
            <w:r w:rsidRPr="005F43B9">
              <w:rPr>
                <w:rFonts w:ascii="Arial" w:hAnsi="Arial" w:cs="Arial"/>
              </w:rPr>
              <w:t xml:space="preserve">A client accessing EOC/DTAU funded activity who wants to remain anonymous will still need </w:t>
            </w:r>
            <w:r w:rsidR="00433AE7">
              <w:rPr>
                <w:rFonts w:ascii="Arial" w:hAnsi="Arial" w:cs="Arial"/>
              </w:rPr>
              <w:t>a client record submitted in VADC</w:t>
            </w:r>
            <w:r w:rsidRPr="005F43B9">
              <w:rPr>
                <w:rFonts w:ascii="Arial" w:hAnsi="Arial" w:cs="Arial"/>
              </w:rPr>
              <w:t xml:space="preserve">. </w:t>
            </w:r>
            <w:r w:rsidR="00433AE7">
              <w:rPr>
                <w:rFonts w:ascii="Arial" w:hAnsi="Arial" w:cs="Arial"/>
              </w:rPr>
              <w:t>This will ensure that s</w:t>
            </w:r>
            <w:r w:rsidRPr="005F43B9">
              <w:rPr>
                <w:rFonts w:ascii="Arial" w:hAnsi="Arial" w:cs="Arial"/>
              </w:rPr>
              <w:t>ervice provider</w:t>
            </w:r>
            <w:r w:rsidR="00433AE7">
              <w:rPr>
                <w:rFonts w:ascii="Arial" w:hAnsi="Arial" w:cs="Arial"/>
              </w:rPr>
              <w:t>s’ activity will count towards their</w:t>
            </w:r>
            <w:r w:rsidRPr="005F43B9">
              <w:rPr>
                <w:rFonts w:ascii="Arial" w:hAnsi="Arial" w:cs="Arial"/>
              </w:rPr>
              <w:t xml:space="preserve"> targets. </w:t>
            </w:r>
          </w:p>
          <w:p w:rsidR="00433AE7" w:rsidRPr="00433AE7" w:rsidRDefault="00433AE7" w:rsidP="00433AE7">
            <w:pPr>
              <w:pStyle w:val="IMBodyText"/>
              <w:spacing w:before="60" w:after="60" w:line="240" w:lineRule="auto"/>
              <w:rPr>
                <w:rFonts w:ascii="Arial" w:hAnsi="Arial" w:cs="Arial"/>
                <w:color w:val="000000"/>
              </w:rPr>
            </w:pPr>
            <w:r w:rsidRPr="00433AE7">
              <w:rPr>
                <w:rFonts w:ascii="Arial" w:hAnsi="Arial" w:cs="Arial"/>
                <w:color w:val="000000"/>
              </w:rPr>
              <w:t>Where a date of birth has not been collected, service providers must provide an estimated date of birth (age)</w:t>
            </w:r>
            <w:r>
              <w:rPr>
                <w:rFonts w:ascii="Arial" w:hAnsi="Arial" w:cs="Arial"/>
                <w:color w:val="000000"/>
              </w:rPr>
              <w:t xml:space="preserve">. Refer to </w:t>
            </w:r>
            <w:r w:rsidR="00356D6C">
              <w:rPr>
                <w:rFonts w:ascii="Arial" w:hAnsi="Arial" w:cs="Arial"/>
                <w:color w:val="000000"/>
              </w:rPr>
              <w:t>G</w:t>
            </w:r>
            <w:r>
              <w:rPr>
                <w:rFonts w:ascii="Arial" w:hAnsi="Arial" w:cs="Arial"/>
                <w:color w:val="000000"/>
              </w:rPr>
              <w:t>uide for use</w:t>
            </w:r>
            <w:r w:rsidR="00356D6C">
              <w:rPr>
                <w:rFonts w:ascii="Arial" w:hAnsi="Arial" w:cs="Arial"/>
                <w:color w:val="000000"/>
              </w:rPr>
              <w:t>,</w:t>
            </w:r>
            <w:r>
              <w:rPr>
                <w:rFonts w:ascii="Arial" w:hAnsi="Arial" w:cs="Arial"/>
                <w:color w:val="000000"/>
              </w:rPr>
              <w:t xml:space="preserve"> </w:t>
            </w:r>
            <w:r w:rsidR="00356D6C">
              <w:rPr>
                <w:rFonts w:ascii="Arial" w:hAnsi="Arial" w:cs="Arial"/>
                <w:color w:val="000000"/>
              </w:rPr>
              <w:t xml:space="preserve">VADC Data specification, </w:t>
            </w:r>
            <w:r>
              <w:rPr>
                <w:rFonts w:ascii="Arial" w:hAnsi="Arial" w:cs="Arial"/>
                <w:color w:val="000000"/>
              </w:rPr>
              <w:t>5.1.9 Client – client date of birth accuracy.</w:t>
            </w:r>
          </w:p>
        </w:tc>
      </w:tr>
      <w:tr w:rsidR="00C74DBF" w:rsidTr="00FA2F92">
        <w:tc>
          <w:tcPr>
            <w:tcW w:w="993" w:type="dxa"/>
          </w:tcPr>
          <w:p w:rsidR="00C74DBF" w:rsidRDefault="00C74DBF" w:rsidP="005F43B9">
            <w:pPr>
              <w:pStyle w:val="DHHStabletext"/>
              <w:spacing w:before="60"/>
            </w:pPr>
            <w:bookmarkStart w:id="8" w:name="_Hlk2938149"/>
            <w:r>
              <w:t>DE_7</w:t>
            </w:r>
          </w:p>
        </w:tc>
        <w:tc>
          <w:tcPr>
            <w:tcW w:w="4139" w:type="dxa"/>
            <w:shd w:val="clear" w:color="auto" w:fill="auto"/>
          </w:tcPr>
          <w:p w:rsidR="00C74DBF" w:rsidRPr="005F43B9" w:rsidRDefault="00C74DBF" w:rsidP="005F43B9">
            <w:pPr>
              <w:pStyle w:val="DHHStabletext"/>
              <w:spacing w:before="60"/>
              <w:rPr>
                <w:rFonts w:cs="Arial"/>
                <w:iCs/>
                <w:highlight w:val="yellow"/>
              </w:rPr>
            </w:pPr>
            <w:r w:rsidRPr="00356D6C">
              <w:rPr>
                <w:rFonts w:cs="Arial"/>
                <w:iCs/>
              </w:rPr>
              <w:t>AOD126 triggers</w:t>
            </w:r>
          </w:p>
        </w:tc>
        <w:tc>
          <w:tcPr>
            <w:tcW w:w="9214" w:type="dxa"/>
          </w:tcPr>
          <w:p w:rsidR="00C74DBF" w:rsidRDefault="00E92DFC" w:rsidP="005F43B9">
            <w:pPr>
              <w:pStyle w:val="IMBodyText"/>
              <w:spacing w:before="60" w:after="60" w:line="240" w:lineRule="auto"/>
              <w:rPr>
                <w:rFonts w:ascii="Arial" w:hAnsi="Arial" w:cs="Arial"/>
                <w:color w:val="000000"/>
              </w:rPr>
            </w:pPr>
            <w:r>
              <w:rPr>
                <w:rFonts w:ascii="Arial" w:hAnsi="Arial" w:cs="Arial"/>
              </w:rPr>
              <w:t xml:space="preserve">Where the client record relates to a client receiving treatment for their own substance use </w:t>
            </w:r>
            <w:r w:rsidR="00CD66D3">
              <w:rPr>
                <w:rFonts w:ascii="Arial" w:hAnsi="Arial" w:cs="Arial"/>
              </w:rPr>
              <w:t>problem</w:t>
            </w:r>
            <w:r w:rsidR="00356D6C">
              <w:rPr>
                <w:rFonts w:ascii="Arial" w:hAnsi="Arial" w:cs="Arial"/>
              </w:rPr>
              <w:t xml:space="preserve"> and the client has no experience of maltreatment (code 0 no maltreatment), </w:t>
            </w:r>
            <w:r w:rsidR="00CD66D3">
              <w:rPr>
                <w:rFonts w:ascii="Arial" w:hAnsi="Arial" w:cs="Arial"/>
              </w:rPr>
              <w:t>then</w:t>
            </w:r>
            <w:r w:rsidR="00356D6C">
              <w:rPr>
                <w:rFonts w:ascii="Arial" w:hAnsi="Arial" w:cs="Arial"/>
              </w:rPr>
              <w:t xml:space="preserve"> maltreatment perpetrator element must be null. </w:t>
            </w:r>
            <w:r w:rsidR="00356D6C">
              <w:rPr>
                <w:rFonts w:ascii="Arial" w:hAnsi="Arial" w:cs="Arial"/>
                <w:color w:val="000000"/>
              </w:rPr>
              <w:t xml:space="preserve">Refer to </w:t>
            </w:r>
            <w:r w:rsidR="00CD66D3">
              <w:rPr>
                <w:rFonts w:ascii="Arial" w:hAnsi="Arial" w:cs="Arial"/>
                <w:color w:val="000000"/>
              </w:rPr>
              <w:t>Guide for use, VADC Data specification, 5.1.14 Client – maltreatment code and 5.1.15 Client – maltreatment perpetrator.</w:t>
            </w:r>
          </w:p>
          <w:p w:rsidR="008E0104" w:rsidRDefault="008E0104" w:rsidP="005F43B9">
            <w:pPr>
              <w:pStyle w:val="IMBodyText"/>
              <w:spacing w:before="60" w:after="60" w:line="240" w:lineRule="auto"/>
              <w:rPr>
                <w:rFonts w:ascii="Arial" w:hAnsi="Arial" w:cs="Arial"/>
              </w:rPr>
            </w:pPr>
            <w:r>
              <w:rPr>
                <w:rFonts w:ascii="Arial" w:hAnsi="Arial" w:cs="Arial"/>
              </w:rPr>
              <w:t xml:space="preserve">Where the client record does not relate to a </w:t>
            </w:r>
            <w:r w:rsidR="001A298C">
              <w:rPr>
                <w:rFonts w:ascii="Arial" w:hAnsi="Arial" w:cs="Arial"/>
              </w:rPr>
              <w:t>P</w:t>
            </w:r>
            <w:r>
              <w:rPr>
                <w:rFonts w:ascii="Arial" w:hAnsi="Arial" w:cs="Arial"/>
              </w:rPr>
              <w:t xml:space="preserve">erson of </w:t>
            </w:r>
            <w:r w:rsidR="001A298C">
              <w:rPr>
                <w:rFonts w:ascii="Arial" w:hAnsi="Arial" w:cs="Arial"/>
              </w:rPr>
              <w:t>C</w:t>
            </w:r>
            <w:r>
              <w:rPr>
                <w:rFonts w:ascii="Arial" w:hAnsi="Arial" w:cs="Arial"/>
              </w:rPr>
              <w:t xml:space="preserve">oncern, then maltreatment code must be null and maltreatment perpetrator must </w:t>
            </w:r>
            <w:r w:rsidR="001A298C">
              <w:rPr>
                <w:rFonts w:ascii="Arial" w:hAnsi="Arial" w:cs="Arial"/>
              </w:rPr>
              <w:t xml:space="preserve">also </w:t>
            </w:r>
            <w:r>
              <w:rPr>
                <w:rFonts w:ascii="Arial" w:hAnsi="Arial" w:cs="Arial"/>
              </w:rPr>
              <w:t xml:space="preserve">be null. </w:t>
            </w:r>
          </w:p>
          <w:p w:rsidR="00F94062" w:rsidRPr="00CD66D3" w:rsidRDefault="00CD66D3" w:rsidP="00CD66D3">
            <w:pPr>
              <w:pStyle w:val="BodyText"/>
              <w:spacing w:before="60" w:after="60"/>
              <w:rPr>
                <w:rFonts w:ascii="Arial" w:hAnsi="Arial" w:cs="Arial"/>
                <w:color w:val="auto"/>
                <w:sz w:val="20"/>
                <w:lang w:eastAsia="en-AU"/>
              </w:rPr>
            </w:pPr>
            <w:r>
              <w:rPr>
                <w:rFonts w:ascii="Arial" w:hAnsi="Arial" w:cs="Arial"/>
                <w:color w:val="auto"/>
                <w:sz w:val="20"/>
                <w:lang w:eastAsia="en-AU"/>
              </w:rPr>
              <w:t xml:space="preserve">For the rest of 2018/19, the validation will remain as ‘warning’. The 2019/20FY system will return ‘error’ to reflect the specification. </w:t>
            </w:r>
          </w:p>
        </w:tc>
      </w:tr>
    </w:tbl>
    <w:p w:rsidR="004D14F2" w:rsidRDefault="004D14F2">
      <w:pPr>
        <w:rPr>
          <w:rFonts w:ascii="Arial" w:hAnsi="Arial"/>
          <w:color w:val="000000"/>
          <w:sz w:val="28"/>
          <w:szCs w:val="28"/>
          <w:highlight w:val="lightGray"/>
          <w14:scene3d>
            <w14:camera w14:prst="orthographicFront"/>
            <w14:lightRig w14:rig="threePt" w14:dir="t">
              <w14:rot w14:lat="0" w14:lon="0" w14:rev="0"/>
            </w14:lightRig>
          </w14:scene3d>
        </w:rPr>
      </w:pPr>
      <w:bookmarkStart w:id="9" w:name="_Toc531174435"/>
      <w:bookmarkEnd w:id="8"/>
      <w:r>
        <w:rPr>
          <w:b/>
          <w:color w:val="000000"/>
          <w:highlight w:val="lightGray"/>
          <w14:scene3d>
            <w14:camera w14:prst="orthographicFront"/>
            <w14:lightRig w14:rig="threePt" w14:dir="t">
              <w14:rot w14:lat="0" w14:lon="0" w14:rev="0"/>
            </w14:lightRig>
          </w14:scene3d>
        </w:rPr>
        <w:br w:type="page"/>
      </w:r>
    </w:p>
    <w:bookmarkEnd w:id="9"/>
    <w:p w:rsidR="00893B60" w:rsidRDefault="00893B60" w:rsidP="00893B60">
      <w:pPr>
        <w:pStyle w:val="Heading2"/>
        <w:numPr>
          <w:ilvl w:val="0"/>
          <w:numId w:val="15"/>
        </w:numPr>
      </w:pPr>
      <w:r>
        <w:lastRenderedPageBreak/>
        <w:t xml:space="preserve">VADC Specification </w:t>
      </w:r>
      <w:r w:rsidR="00CB5C0E">
        <w:t>U</w:t>
      </w:r>
      <w:r>
        <w:t>pdate</w:t>
      </w:r>
    </w:p>
    <w:p w:rsidR="00A227F1" w:rsidRDefault="00A227F1" w:rsidP="00A227F1">
      <w:pPr>
        <w:pStyle w:val="DHHSbody"/>
      </w:pPr>
    </w:p>
    <w:tbl>
      <w:tblPr>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421"/>
      </w:tblGrid>
      <w:tr w:rsidR="00680836" w:rsidRPr="003072C6" w:rsidTr="00680836">
        <w:tc>
          <w:tcPr>
            <w:tcW w:w="14295" w:type="dxa"/>
            <w:gridSpan w:val="6"/>
            <w:shd w:val="clear" w:color="auto" w:fill="auto"/>
          </w:tcPr>
          <w:p w:rsidR="00680836" w:rsidRPr="00A46FC4" w:rsidRDefault="00680836" w:rsidP="00070237">
            <w:pPr>
              <w:pStyle w:val="DHHStabletext"/>
              <w:rPr>
                <w:b/>
              </w:rPr>
            </w:pPr>
            <w:r w:rsidRPr="00A46FC4">
              <w:rPr>
                <w:b/>
              </w:rPr>
              <w:t>CURRENT</w:t>
            </w:r>
          </w:p>
        </w:tc>
      </w:tr>
      <w:tr w:rsidR="00680836" w:rsidRPr="003072C6" w:rsidTr="00680836">
        <w:tc>
          <w:tcPr>
            <w:tcW w:w="939" w:type="dxa"/>
            <w:shd w:val="clear" w:color="auto" w:fill="auto"/>
          </w:tcPr>
          <w:p w:rsidR="00680836" w:rsidRDefault="00680836" w:rsidP="00070237">
            <w:pPr>
              <w:pStyle w:val="DHHStabletext"/>
              <w:rPr>
                <w:rFonts w:cs="Arial"/>
                <w:color w:val="000000"/>
              </w:rPr>
            </w:pPr>
            <w:r>
              <w:rPr>
                <w:rFonts w:cs="Arial"/>
                <w:color w:val="000000"/>
                <w:lang w:eastAsia="en-AU"/>
              </w:rPr>
              <w:t>AoD140</w:t>
            </w:r>
          </w:p>
        </w:tc>
        <w:tc>
          <w:tcPr>
            <w:tcW w:w="3205" w:type="dxa"/>
            <w:shd w:val="clear" w:color="auto" w:fill="auto"/>
          </w:tcPr>
          <w:p w:rsidR="00680836" w:rsidRDefault="00680836" w:rsidP="00070237">
            <w:pPr>
              <w:pStyle w:val="DHHStabletext"/>
              <w:rPr>
                <w:rFonts w:cs="Arial"/>
                <w:color w:val="000000"/>
              </w:rPr>
            </w:pPr>
            <w:r>
              <w:rPr>
                <w:rFonts w:cs="Arial"/>
                <w:color w:val="000000"/>
              </w:rPr>
              <w:t xml:space="preserve">At least one Drug of concern group not reported within an Outcome measure </w:t>
            </w:r>
            <w:r w:rsidRPr="003F30BA">
              <w:rPr>
                <w:rFonts w:cs="Arial"/>
                <w:color w:val="000000"/>
              </w:rPr>
              <w:t>for closed service events</w:t>
            </w:r>
          </w:p>
        </w:tc>
        <w:tc>
          <w:tcPr>
            <w:tcW w:w="3420" w:type="dxa"/>
            <w:shd w:val="clear" w:color="auto" w:fill="auto"/>
          </w:tcPr>
          <w:p w:rsidR="00680836" w:rsidRDefault="00680836" w:rsidP="00070237">
            <w:pPr>
              <w:pStyle w:val="DHHStabletext"/>
              <w:rPr>
                <w:rFonts w:cs="Arial"/>
                <w:color w:val="000000"/>
                <w:lang w:eastAsia="en-AU"/>
              </w:rPr>
            </w:pPr>
            <w:r>
              <w:rPr>
                <w:rFonts w:cs="Arial"/>
                <w:color w:val="000000"/>
                <w:lang w:eastAsia="en-AU"/>
              </w:rPr>
              <w:t>Outcome Measure</w:t>
            </w:r>
          </w:p>
          <w:p w:rsidR="00680836" w:rsidRDefault="00680836" w:rsidP="00070237">
            <w:pPr>
              <w:pStyle w:val="DHHStabletext"/>
              <w:rPr>
                <w:rFonts w:cs="Arial"/>
                <w:color w:val="000000"/>
                <w:lang w:eastAsia="en-AU"/>
              </w:rPr>
            </w:pPr>
            <w:r>
              <w:rPr>
                <w:rFonts w:cs="Arial"/>
                <w:color w:val="000000"/>
                <w:lang w:eastAsia="en-AU"/>
              </w:rPr>
              <w:t>Drug of Concern</w:t>
            </w:r>
          </w:p>
          <w:p w:rsidR="00680836" w:rsidRDefault="00680836" w:rsidP="00070237">
            <w:pPr>
              <w:pStyle w:val="DHHStabletext"/>
            </w:pPr>
            <w:r w:rsidRPr="003F30BA">
              <w:t>Event-end date</w:t>
            </w:r>
          </w:p>
        </w:tc>
        <w:tc>
          <w:tcPr>
            <w:tcW w:w="3420" w:type="dxa"/>
          </w:tcPr>
          <w:p w:rsidR="00680836" w:rsidRPr="00387263" w:rsidRDefault="00680836" w:rsidP="00070237">
            <w:pPr>
              <w:pStyle w:val="DHHStabletext"/>
            </w:pPr>
            <w:r w:rsidRPr="003F30BA">
              <w:t xml:space="preserve">Event-end </w:t>
            </w:r>
            <w:proofErr w:type="gramStart"/>
            <w:r w:rsidRPr="003F30BA">
              <w:t>date !</w:t>
            </w:r>
            <w:proofErr w:type="gramEnd"/>
            <w:r w:rsidRPr="003F30BA">
              <w:t>= null AND</w:t>
            </w:r>
            <w:r w:rsidRPr="00387263">
              <w:t xml:space="preserve"> </w:t>
            </w:r>
            <w:r>
              <w:rPr>
                <w:rFonts w:cs="Arial"/>
              </w:rPr>
              <w:t>for each Outcome Measure (count(Drug of concern) &lt; 1)</w:t>
            </w:r>
          </w:p>
        </w:tc>
        <w:tc>
          <w:tcPr>
            <w:tcW w:w="1890" w:type="dxa"/>
          </w:tcPr>
          <w:p w:rsidR="00680836" w:rsidRDefault="00680836" w:rsidP="00070237">
            <w:pPr>
              <w:pStyle w:val="DHHStabletext"/>
              <w:rPr>
                <w:rFonts w:cs="Arial"/>
              </w:rPr>
            </w:pPr>
            <w:r>
              <w:rPr>
                <w:rFonts w:cs="Arial"/>
              </w:rPr>
              <w:t>DHHS</w:t>
            </w:r>
          </w:p>
        </w:tc>
        <w:tc>
          <w:tcPr>
            <w:tcW w:w="1421" w:type="dxa"/>
          </w:tcPr>
          <w:p w:rsidR="00680836" w:rsidRDefault="00680836" w:rsidP="00070237">
            <w:pPr>
              <w:pStyle w:val="DHHStabletext"/>
            </w:pPr>
            <w:r>
              <w:t>error</w:t>
            </w:r>
          </w:p>
        </w:tc>
      </w:tr>
      <w:tr w:rsidR="00680836" w:rsidRPr="003072C6" w:rsidTr="00680836">
        <w:tc>
          <w:tcPr>
            <w:tcW w:w="14295" w:type="dxa"/>
            <w:gridSpan w:val="6"/>
            <w:tcBorders>
              <w:top w:val="single" w:sz="4" w:space="0" w:color="auto"/>
              <w:left w:val="single" w:sz="4" w:space="0" w:color="auto"/>
              <w:bottom w:val="single" w:sz="4" w:space="0" w:color="auto"/>
              <w:right w:val="single" w:sz="4" w:space="0" w:color="auto"/>
            </w:tcBorders>
            <w:shd w:val="clear" w:color="auto" w:fill="auto"/>
          </w:tcPr>
          <w:p w:rsidR="00680836" w:rsidRPr="00A46FC4" w:rsidRDefault="00680836" w:rsidP="00070237">
            <w:pPr>
              <w:pStyle w:val="DHHStabletext"/>
              <w:rPr>
                <w:b/>
                <w:strike/>
                <w:highlight w:val="yellow"/>
              </w:rPr>
            </w:pPr>
            <w:r>
              <w:rPr>
                <w:b/>
              </w:rPr>
              <w:t>FUTURE</w:t>
            </w:r>
          </w:p>
        </w:tc>
      </w:tr>
      <w:tr w:rsidR="00680836" w:rsidRPr="003072C6" w:rsidTr="00680836">
        <w:tc>
          <w:tcPr>
            <w:tcW w:w="939" w:type="dxa"/>
            <w:shd w:val="clear" w:color="auto" w:fill="auto"/>
          </w:tcPr>
          <w:p w:rsidR="00680836" w:rsidRDefault="00680836" w:rsidP="00070237">
            <w:pPr>
              <w:pStyle w:val="DHHStabletext"/>
              <w:rPr>
                <w:rFonts w:cs="Arial"/>
                <w:color w:val="000000"/>
              </w:rPr>
            </w:pPr>
            <w:r>
              <w:rPr>
                <w:rFonts w:cs="Arial"/>
                <w:color w:val="000000"/>
                <w:lang w:eastAsia="en-AU"/>
              </w:rPr>
              <w:t>AoD140</w:t>
            </w:r>
          </w:p>
        </w:tc>
        <w:tc>
          <w:tcPr>
            <w:tcW w:w="3205" w:type="dxa"/>
            <w:shd w:val="clear" w:color="auto" w:fill="auto"/>
          </w:tcPr>
          <w:p w:rsidR="00680836" w:rsidRDefault="00680836" w:rsidP="00070237">
            <w:pPr>
              <w:pStyle w:val="DHHStabletext"/>
              <w:rPr>
                <w:rFonts w:cs="Arial"/>
                <w:color w:val="000000"/>
              </w:rPr>
            </w:pPr>
            <w:r>
              <w:rPr>
                <w:rFonts w:cs="Arial"/>
                <w:color w:val="000000"/>
              </w:rPr>
              <w:t xml:space="preserve">At least one Drug of concern group not reported within an Outcome measure </w:t>
            </w:r>
            <w:r w:rsidRPr="003F30BA">
              <w:rPr>
                <w:rFonts w:cs="Arial"/>
                <w:color w:val="000000"/>
              </w:rPr>
              <w:t>for closed service events</w:t>
            </w:r>
          </w:p>
        </w:tc>
        <w:tc>
          <w:tcPr>
            <w:tcW w:w="3420" w:type="dxa"/>
            <w:shd w:val="clear" w:color="auto" w:fill="auto"/>
          </w:tcPr>
          <w:p w:rsidR="00680836" w:rsidRDefault="00680836" w:rsidP="00070237">
            <w:pPr>
              <w:pStyle w:val="DHHStabletext"/>
              <w:rPr>
                <w:rFonts w:cs="Arial"/>
                <w:color w:val="000000"/>
                <w:lang w:eastAsia="en-AU"/>
              </w:rPr>
            </w:pPr>
            <w:r>
              <w:rPr>
                <w:rFonts w:cs="Arial"/>
                <w:color w:val="000000"/>
                <w:lang w:eastAsia="en-AU"/>
              </w:rPr>
              <w:t>Outcome Measure</w:t>
            </w:r>
          </w:p>
          <w:p w:rsidR="00680836" w:rsidRDefault="00680836" w:rsidP="00070237">
            <w:pPr>
              <w:pStyle w:val="DHHStabletext"/>
              <w:rPr>
                <w:rFonts w:cs="Arial"/>
                <w:color w:val="000000"/>
                <w:lang w:eastAsia="en-AU"/>
              </w:rPr>
            </w:pPr>
            <w:r>
              <w:rPr>
                <w:rFonts w:cs="Arial"/>
                <w:color w:val="000000"/>
                <w:lang w:eastAsia="en-AU"/>
              </w:rPr>
              <w:t>Drug of Concern</w:t>
            </w:r>
          </w:p>
          <w:p w:rsidR="00680836" w:rsidRDefault="00680836" w:rsidP="00070237">
            <w:pPr>
              <w:pStyle w:val="DHHStabletext"/>
            </w:pPr>
            <w:r w:rsidRPr="003F30BA">
              <w:t>Event-end date</w:t>
            </w:r>
          </w:p>
        </w:tc>
        <w:tc>
          <w:tcPr>
            <w:tcW w:w="3420" w:type="dxa"/>
          </w:tcPr>
          <w:p w:rsidR="00680836" w:rsidRPr="00387263" w:rsidRDefault="00680836" w:rsidP="00070237">
            <w:pPr>
              <w:pStyle w:val="DHHStabletext"/>
            </w:pPr>
            <w:r w:rsidRPr="003F30BA">
              <w:t xml:space="preserve">Event-end </w:t>
            </w:r>
            <w:proofErr w:type="gramStart"/>
            <w:r w:rsidRPr="003F30BA">
              <w:t>date !</w:t>
            </w:r>
            <w:proofErr w:type="gramEnd"/>
            <w:r w:rsidRPr="003F30BA">
              <w:t>= null AND</w:t>
            </w:r>
            <w:r w:rsidRPr="00387263">
              <w:t xml:space="preserve"> </w:t>
            </w:r>
            <w:r>
              <w:rPr>
                <w:rFonts w:cs="Arial"/>
              </w:rPr>
              <w:t>for each Outcome Measure (count(Drug of concern) &lt; 1)</w:t>
            </w:r>
          </w:p>
        </w:tc>
        <w:tc>
          <w:tcPr>
            <w:tcW w:w="1890" w:type="dxa"/>
          </w:tcPr>
          <w:p w:rsidR="00680836" w:rsidRDefault="00680836" w:rsidP="00070237">
            <w:pPr>
              <w:pStyle w:val="DHHStabletext"/>
              <w:rPr>
                <w:rFonts w:cs="Arial"/>
              </w:rPr>
            </w:pPr>
            <w:r>
              <w:rPr>
                <w:rFonts w:cs="Arial"/>
              </w:rPr>
              <w:t>DHHS</w:t>
            </w:r>
          </w:p>
        </w:tc>
        <w:tc>
          <w:tcPr>
            <w:tcW w:w="1421" w:type="dxa"/>
          </w:tcPr>
          <w:p w:rsidR="00680836" w:rsidRPr="003F30BA" w:rsidRDefault="00680836" w:rsidP="00070237">
            <w:pPr>
              <w:pStyle w:val="DHHStabletext"/>
              <w:rPr>
                <w:strike/>
                <w:highlight w:val="yellow"/>
              </w:rPr>
            </w:pPr>
            <w:r w:rsidRPr="003F30BA">
              <w:rPr>
                <w:strike/>
                <w:highlight w:val="yellow"/>
              </w:rPr>
              <w:t>error</w:t>
            </w:r>
          </w:p>
          <w:p w:rsidR="00680836" w:rsidRDefault="00680836" w:rsidP="00070237">
            <w:pPr>
              <w:pStyle w:val="DHHStabletext"/>
            </w:pPr>
            <w:r w:rsidRPr="003F30BA">
              <w:rPr>
                <w:highlight w:val="yellow"/>
              </w:rPr>
              <w:t>warning</w:t>
            </w:r>
          </w:p>
        </w:tc>
      </w:tr>
    </w:tbl>
    <w:p w:rsidR="009A686F" w:rsidRDefault="009A686F" w:rsidP="00FF6D9D">
      <w:pPr>
        <w:pStyle w:val="DHHSbody"/>
      </w:pPr>
    </w:p>
    <w:tbl>
      <w:tblPr>
        <w:tblW w:w="14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421"/>
      </w:tblGrid>
      <w:tr w:rsidR="006F4D55" w:rsidRPr="003072C6" w:rsidTr="009F1116">
        <w:tc>
          <w:tcPr>
            <w:tcW w:w="14295" w:type="dxa"/>
            <w:gridSpan w:val="6"/>
            <w:shd w:val="clear" w:color="auto" w:fill="auto"/>
          </w:tcPr>
          <w:p w:rsidR="006F4D55" w:rsidRPr="00A46FC4" w:rsidRDefault="006F4D55" w:rsidP="009F1116">
            <w:pPr>
              <w:pStyle w:val="DHHStabletext"/>
              <w:rPr>
                <w:b/>
              </w:rPr>
            </w:pPr>
            <w:r w:rsidRPr="00A46FC4">
              <w:rPr>
                <w:b/>
              </w:rPr>
              <w:t>CURRENT</w:t>
            </w:r>
          </w:p>
        </w:tc>
      </w:tr>
      <w:tr w:rsidR="006F4D55" w:rsidRPr="003072C6" w:rsidTr="009F1116">
        <w:tc>
          <w:tcPr>
            <w:tcW w:w="939" w:type="dxa"/>
            <w:tcBorders>
              <w:top w:val="single" w:sz="4" w:space="0" w:color="auto"/>
              <w:left w:val="single" w:sz="4" w:space="0" w:color="auto"/>
              <w:bottom w:val="single" w:sz="4" w:space="0" w:color="auto"/>
              <w:right w:val="single" w:sz="4" w:space="0" w:color="auto"/>
            </w:tcBorders>
            <w:shd w:val="clear" w:color="auto" w:fill="auto"/>
          </w:tcPr>
          <w:p w:rsidR="006F4D55" w:rsidRPr="00FA2F92" w:rsidRDefault="006F4D55" w:rsidP="009F1116">
            <w:pPr>
              <w:pStyle w:val="DHHStabletext"/>
              <w:rPr>
                <w:rFonts w:cs="Arial"/>
                <w:color w:val="000000"/>
                <w:lang w:eastAsia="en-AU"/>
              </w:rPr>
            </w:pPr>
            <w:r w:rsidRPr="00FA2F92">
              <w:rPr>
                <w:rFonts w:cs="Arial"/>
                <w:color w:val="000000"/>
                <w:lang w:eastAsia="en-AU"/>
              </w:rPr>
              <w:t>AoD126</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6F4D55" w:rsidRPr="00FA2F92" w:rsidRDefault="006F4D55" w:rsidP="009F1116">
            <w:pPr>
              <w:pStyle w:val="DHHStabletext"/>
              <w:rPr>
                <w:rFonts w:cs="Arial"/>
                <w:color w:val="000000"/>
              </w:rPr>
            </w:pPr>
            <w:r w:rsidRPr="00FA2F92">
              <w:rPr>
                <w:rFonts w:cs="Arial"/>
                <w:color w:val="000000"/>
              </w:rPr>
              <w:t>Client-maltreatment code and client is not the person of concern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F4D55" w:rsidRPr="00FA2F92" w:rsidRDefault="006F4D55" w:rsidP="009F1116">
            <w:pPr>
              <w:pStyle w:val="DHHStabletext"/>
              <w:rPr>
                <w:rFonts w:cs="Arial"/>
                <w:color w:val="000000"/>
                <w:lang w:eastAsia="en-AU"/>
              </w:rPr>
            </w:pPr>
            <w:r w:rsidRPr="00FA2F92">
              <w:rPr>
                <w:rFonts w:cs="Arial"/>
                <w:color w:val="000000"/>
                <w:lang w:eastAsia="en-AU"/>
              </w:rPr>
              <w:t>Client-maltreatment code</w:t>
            </w:r>
          </w:p>
          <w:p w:rsidR="006F4D55" w:rsidRPr="00FA2F92" w:rsidRDefault="006F4D55" w:rsidP="009F1116">
            <w:pPr>
              <w:pStyle w:val="DHHStabletext"/>
              <w:rPr>
                <w:rFonts w:cs="Arial"/>
                <w:color w:val="000000"/>
                <w:lang w:eastAsia="en-AU"/>
              </w:rPr>
            </w:pPr>
            <w:r w:rsidRPr="00FA2F92">
              <w:rPr>
                <w:rFonts w:cs="Arial"/>
                <w:color w:val="000000"/>
                <w:lang w:eastAsia="en-AU"/>
              </w:rPr>
              <w:t>Contact-relationship to person of concern</w:t>
            </w:r>
          </w:p>
        </w:tc>
        <w:tc>
          <w:tcPr>
            <w:tcW w:w="3420" w:type="dxa"/>
            <w:tcBorders>
              <w:top w:val="single" w:sz="4" w:space="0" w:color="auto"/>
              <w:left w:val="single" w:sz="4" w:space="0" w:color="auto"/>
              <w:bottom w:val="single" w:sz="4" w:space="0" w:color="auto"/>
              <w:right w:val="single" w:sz="4" w:space="0" w:color="auto"/>
            </w:tcBorders>
          </w:tcPr>
          <w:p w:rsidR="006F4D55" w:rsidRDefault="006F4D55" w:rsidP="009F1116">
            <w:pPr>
              <w:pStyle w:val="DHHStabletext"/>
            </w:pPr>
            <w:r>
              <w:t xml:space="preserve">Client-maltreatment </w:t>
            </w:r>
            <w:proofErr w:type="gramStart"/>
            <w:r>
              <w:t>code !</w:t>
            </w:r>
            <w:proofErr w:type="gramEnd"/>
            <w:r>
              <w:t>= (0 or null) and (</w:t>
            </w:r>
            <w:r w:rsidRPr="00504759">
              <w:t>Contact-relationship to person of concern</w:t>
            </w:r>
            <w:r>
              <w:t xml:space="preserve"> !</w:t>
            </w:r>
            <w:r w:rsidRPr="00504759">
              <w:t>=</w:t>
            </w:r>
            <w:r>
              <w:t xml:space="preserve"> 0) </w:t>
            </w:r>
          </w:p>
        </w:tc>
        <w:tc>
          <w:tcPr>
            <w:tcW w:w="1890" w:type="dxa"/>
            <w:tcBorders>
              <w:top w:val="single" w:sz="4" w:space="0" w:color="auto"/>
              <w:left w:val="single" w:sz="4" w:space="0" w:color="auto"/>
              <w:bottom w:val="single" w:sz="4" w:space="0" w:color="auto"/>
              <w:right w:val="single" w:sz="4" w:space="0" w:color="auto"/>
            </w:tcBorders>
          </w:tcPr>
          <w:p w:rsidR="006F4D55" w:rsidRPr="00FA2F92" w:rsidRDefault="006F4D55" w:rsidP="009F1116">
            <w:pPr>
              <w:pStyle w:val="DHHStabletext"/>
              <w:rPr>
                <w:rFonts w:cs="Arial"/>
              </w:rPr>
            </w:pPr>
            <w:r w:rsidRPr="00FA2F92">
              <w:rPr>
                <w:rFonts w:cs="Arial"/>
              </w:rPr>
              <w:t>DHHS</w:t>
            </w:r>
          </w:p>
        </w:tc>
        <w:tc>
          <w:tcPr>
            <w:tcW w:w="1421" w:type="dxa"/>
            <w:tcBorders>
              <w:top w:val="single" w:sz="4" w:space="0" w:color="auto"/>
              <w:left w:val="single" w:sz="4" w:space="0" w:color="auto"/>
              <w:bottom w:val="single" w:sz="4" w:space="0" w:color="auto"/>
              <w:right w:val="single" w:sz="4" w:space="0" w:color="auto"/>
            </w:tcBorders>
          </w:tcPr>
          <w:p w:rsidR="006F4D55" w:rsidRPr="00FA2F92" w:rsidRDefault="006F4D55" w:rsidP="009F1116">
            <w:pPr>
              <w:pStyle w:val="DHHStabletext"/>
              <w:rPr>
                <w:strike/>
                <w:highlight w:val="yellow"/>
              </w:rPr>
            </w:pPr>
            <w:r>
              <w:t>error</w:t>
            </w:r>
          </w:p>
        </w:tc>
      </w:tr>
      <w:tr w:rsidR="006F4D55" w:rsidRPr="003072C6" w:rsidTr="009F1116">
        <w:tc>
          <w:tcPr>
            <w:tcW w:w="14295" w:type="dxa"/>
            <w:gridSpan w:val="6"/>
            <w:tcBorders>
              <w:top w:val="single" w:sz="4" w:space="0" w:color="auto"/>
              <w:left w:val="single" w:sz="4" w:space="0" w:color="auto"/>
              <w:bottom w:val="single" w:sz="4" w:space="0" w:color="auto"/>
              <w:right w:val="single" w:sz="4" w:space="0" w:color="auto"/>
            </w:tcBorders>
            <w:shd w:val="clear" w:color="auto" w:fill="auto"/>
          </w:tcPr>
          <w:p w:rsidR="006F4D55" w:rsidRPr="00A46FC4" w:rsidRDefault="006F4D55" w:rsidP="009F1116">
            <w:pPr>
              <w:pStyle w:val="DHHStabletext"/>
              <w:rPr>
                <w:b/>
                <w:strike/>
                <w:highlight w:val="yellow"/>
              </w:rPr>
            </w:pPr>
            <w:r>
              <w:rPr>
                <w:b/>
              </w:rPr>
              <w:t xml:space="preserve">FUTURE </w:t>
            </w:r>
            <w:r w:rsidRPr="00FA2F92">
              <w:rPr>
                <w:b/>
                <w:highlight w:val="green"/>
              </w:rPr>
              <w:t>(2018/19 ONLY)</w:t>
            </w:r>
          </w:p>
        </w:tc>
      </w:tr>
      <w:tr w:rsidR="006F4D55" w:rsidRPr="003072C6" w:rsidTr="009F1116">
        <w:tc>
          <w:tcPr>
            <w:tcW w:w="939" w:type="dxa"/>
            <w:tcBorders>
              <w:top w:val="single" w:sz="4" w:space="0" w:color="auto"/>
              <w:left w:val="single" w:sz="4" w:space="0" w:color="auto"/>
              <w:bottom w:val="single" w:sz="4" w:space="0" w:color="auto"/>
              <w:right w:val="single" w:sz="4" w:space="0" w:color="auto"/>
            </w:tcBorders>
            <w:shd w:val="clear" w:color="auto" w:fill="auto"/>
          </w:tcPr>
          <w:p w:rsidR="006F4D55" w:rsidRPr="00FA2F92" w:rsidRDefault="006F4D55" w:rsidP="009F1116">
            <w:pPr>
              <w:pStyle w:val="DHHStabletext"/>
              <w:rPr>
                <w:rFonts w:cs="Arial"/>
                <w:color w:val="000000"/>
                <w:lang w:eastAsia="en-AU"/>
              </w:rPr>
            </w:pPr>
            <w:bookmarkStart w:id="10" w:name="_Hlk531076967"/>
            <w:r w:rsidRPr="00FA2F92">
              <w:rPr>
                <w:rFonts w:cs="Arial"/>
                <w:color w:val="000000"/>
                <w:lang w:eastAsia="en-AU"/>
              </w:rPr>
              <w:t>AoD126</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6F4D55" w:rsidRPr="00FA2F92" w:rsidRDefault="006F4D55" w:rsidP="009F1116">
            <w:pPr>
              <w:pStyle w:val="DHHStabletext"/>
              <w:rPr>
                <w:rFonts w:cs="Arial"/>
                <w:color w:val="000000"/>
              </w:rPr>
            </w:pPr>
            <w:r w:rsidRPr="00FA2F92">
              <w:rPr>
                <w:rFonts w:cs="Arial"/>
                <w:color w:val="000000"/>
              </w:rPr>
              <w:t>Client-maltreatment code and client is not the person of concern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6F4D55" w:rsidRPr="00FA2F92" w:rsidRDefault="006F4D55" w:rsidP="009F1116">
            <w:pPr>
              <w:pStyle w:val="DHHStabletext"/>
              <w:rPr>
                <w:rFonts w:cs="Arial"/>
                <w:color w:val="000000"/>
                <w:lang w:eastAsia="en-AU"/>
              </w:rPr>
            </w:pPr>
            <w:r w:rsidRPr="00FA2F92">
              <w:rPr>
                <w:rFonts w:cs="Arial"/>
                <w:color w:val="000000"/>
                <w:lang w:eastAsia="en-AU"/>
              </w:rPr>
              <w:t>Client-maltreatment code</w:t>
            </w:r>
          </w:p>
          <w:p w:rsidR="006F4D55" w:rsidRPr="00FA2F92" w:rsidRDefault="006F4D55" w:rsidP="009F1116">
            <w:pPr>
              <w:pStyle w:val="DHHStabletext"/>
              <w:rPr>
                <w:rFonts w:cs="Arial"/>
                <w:color w:val="000000"/>
                <w:lang w:eastAsia="en-AU"/>
              </w:rPr>
            </w:pPr>
            <w:r w:rsidRPr="00FA2F92">
              <w:rPr>
                <w:rFonts w:cs="Arial"/>
                <w:color w:val="000000"/>
                <w:lang w:eastAsia="en-AU"/>
              </w:rPr>
              <w:t>Contact-relationship to person of concern</w:t>
            </w:r>
          </w:p>
        </w:tc>
        <w:tc>
          <w:tcPr>
            <w:tcW w:w="3420" w:type="dxa"/>
            <w:tcBorders>
              <w:top w:val="single" w:sz="4" w:space="0" w:color="auto"/>
              <w:left w:val="single" w:sz="4" w:space="0" w:color="auto"/>
              <w:bottom w:val="single" w:sz="4" w:space="0" w:color="auto"/>
              <w:right w:val="single" w:sz="4" w:space="0" w:color="auto"/>
            </w:tcBorders>
          </w:tcPr>
          <w:p w:rsidR="006F4D55" w:rsidRDefault="006F4D55" w:rsidP="009F1116">
            <w:pPr>
              <w:pStyle w:val="DHHStabletext"/>
            </w:pPr>
            <w:r>
              <w:t xml:space="preserve">Client-maltreatment </w:t>
            </w:r>
            <w:proofErr w:type="gramStart"/>
            <w:r>
              <w:t>code !</w:t>
            </w:r>
            <w:proofErr w:type="gramEnd"/>
            <w:r>
              <w:t>= (0 or null) and (</w:t>
            </w:r>
            <w:r w:rsidRPr="00504759">
              <w:t>Contact-relationship to person of concern</w:t>
            </w:r>
            <w:r>
              <w:t xml:space="preserve"> !</w:t>
            </w:r>
            <w:r w:rsidRPr="00504759">
              <w:t>=</w:t>
            </w:r>
            <w:r>
              <w:t xml:space="preserve"> 0) </w:t>
            </w:r>
          </w:p>
        </w:tc>
        <w:tc>
          <w:tcPr>
            <w:tcW w:w="1890" w:type="dxa"/>
            <w:tcBorders>
              <w:top w:val="single" w:sz="4" w:space="0" w:color="auto"/>
              <w:left w:val="single" w:sz="4" w:space="0" w:color="auto"/>
              <w:bottom w:val="single" w:sz="4" w:space="0" w:color="auto"/>
              <w:right w:val="single" w:sz="4" w:space="0" w:color="auto"/>
            </w:tcBorders>
          </w:tcPr>
          <w:p w:rsidR="006F4D55" w:rsidRPr="00FA2F92" w:rsidRDefault="006F4D55" w:rsidP="009F1116">
            <w:pPr>
              <w:pStyle w:val="DHHStabletext"/>
              <w:rPr>
                <w:rFonts w:cs="Arial"/>
              </w:rPr>
            </w:pPr>
            <w:r w:rsidRPr="00FA2F92">
              <w:rPr>
                <w:rFonts w:cs="Arial"/>
              </w:rPr>
              <w:t>DHHS</w:t>
            </w:r>
          </w:p>
        </w:tc>
        <w:tc>
          <w:tcPr>
            <w:tcW w:w="1421" w:type="dxa"/>
            <w:tcBorders>
              <w:top w:val="single" w:sz="4" w:space="0" w:color="auto"/>
              <w:left w:val="single" w:sz="4" w:space="0" w:color="auto"/>
              <w:bottom w:val="single" w:sz="4" w:space="0" w:color="auto"/>
              <w:right w:val="single" w:sz="4" w:space="0" w:color="auto"/>
            </w:tcBorders>
          </w:tcPr>
          <w:p w:rsidR="006F4D55" w:rsidRPr="003F30BA" w:rsidRDefault="006F4D55" w:rsidP="009F1116">
            <w:pPr>
              <w:pStyle w:val="DHHStabletext"/>
              <w:rPr>
                <w:strike/>
                <w:highlight w:val="yellow"/>
              </w:rPr>
            </w:pPr>
            <w:r w:rsidRPr="003F30BA">
              <w:rPr>
                <w:strike/>
                <w:highlight w:val="yellow"/>
              </w:rPr>
              <w:t>error</w:t>
            </w:r>
          </w:p>
          <w:p w:rsidR="006F4D55" w:rsidRPr="00FA2F92" w:rsidRDefault="006F4D55" w:rsidP="009F1116">
            <w:pPr>
              <w:pStyle w:val="DHHStabletext"/>
              <w:rPr>
                <w:strike/>
                <w:highlight w:val="yellow"/>
              </w:rPr>
            </w:pPr>
            <w:r w:rsidRPr="003F30BA">
              <w:rPr>
                <w:highlight w:val="yellow"/>
              </w:rPr>
              <w:t>warning</w:t>
            </w:r>
          </w:p>
        </w:tc>
      </w:tr>
      <w:bookmarkEnd w:id="10"/>
    </w:tbl>
    <w:p w:rsidR="006F4D55" w:rsidRDefault="006F4D55" w:rsidP="00FF6D9D">
      <w:pPr>
        <w:pStyle w:val="DHHSbody"/>
      </w:pPr>
    </w:p>
    <w:tbl>
      <w:tblPr>
        <w:tblW w:w="4800" w:type="pct"/>
        <w:tblInd w:w="113" w:type="dxa"/>
        <w:tblCellMar>
          <w:top w:w="113" w:type="dxa"/>
          <w:bottom w:w="57" w:type="dxa"/>
        </w:tblCellMar>
        <w:tblLook w:val="00A0" w:firstRow="1" w:lastRow="0" w:firstColumn="1" w:lastColumn="0" w:noHBand="0" w:noVBand="0"/>
      </w:tblPr>
      <w:tblGrid>
        <w:gridCol w:w="14521"/>
      </w:tblGrid>
      <w:tr w:rsidR="006D42E6" w:rsidRPr="002802E3" w:rsidTr="00F17EF9">
        <w:trPr>
          <w:cantSplit/>
        </w:trPr>
        <w:tc>
          <w:tcPr>
            <w:tcW w:w="4800" w:type="pct"/>
            <w:tcBorders>
              <w:top w:val="single" w:sz="4" w:space="0" w:color="auto"/>
              <w:left w:val="single" w:sz="4" w:space="0" w:color="auto"/>
              <w:bottom w:val="single" w:sz="4" w:space="0" w:color="auto"/>
              <w:right w:val="single" w:sz="4" w:space="0" w:color="auto"/>
            </w:tcBorders>
            <w:vAlign w:val="bottom"/>
          </w:tcPr>
          <w:p w:rsidR="007041A9" w:rsidRPr="00254F58" w:rsidRDefault="007041A9" w:rsidP="007041A9">
            <w:pPr>
              <w:pStyle w:val="DHHSaccessibilitypara"/>
            </w:pPr>
            <w:r w:rsidRPr="00254F58">
              <w:t xml:space="preserve">To receive this publication in </w:t>
            </w:r>
            <w:r w:rsidRPr="00770F37">
              <w:t>an</w:t>
            </w:r>
            <w:r w:rsidRPr="00254F58">
              <w:t xml:space="preserve"> accessible format </w:t>
            </w:r>
            <w:hyperlink r:id="rId10" w:history="1">
              <w:r w:rsidRPr="0087696B">
                <w:rPr>
                  <w:rStyle w:val="Hyperlink"/>
                </w:rPr>
                <w:t>email VADC Data</w:t>
              </w:r>
            </w:hyperlink>
            <w:r w:rsidRPr="00254F58">
              <w:t xml:space="preserve"> </w:t>
            </w:r>
            <w:r w:rsidRPr="0087696B">
              <w:t>&lt;vadc_data@dhhs.vic.gov.au&gt;</w:t>
            </w:r>
          </w:p>
          <w:p w:rsidR="007041A9" w:rsidRPr="00254F58" w:rsidRDefault="007041A9" w:rsidP="007041A9">
            <w:pPr>
              <w:pStyle w:val="DHHSbody"/>
            </w:pPr>
            <w:r w:rsidRPr="00254F58">
              <w:t>Authorised and published by the Victorian Governmen</w:t>
            </w:r>
            <w:r>
              <w:t>t, 1 Treasury Place, Melbourne.</w:t>
            </w:r>
          </w:p>
          <w:p w:rsidR="007041A9" w:rsidRPr="00254F58" w:rsidRDefault="007041A9" w:rsidP="007041A9">
            <w:pPr>
              <w:pStyle w:val="DHHSbody"/>
            </w:pPr>
            <w:r w:rsidRPr="00254F58">
              <w:t xml:space="preserve">© State of </w:t>
            </w:r>
            <w:r>
              <w:t>Victoria, Department of Health and</w:t>
            </w:r>
            <w:r w:rsidRPr="00254F58">
              <w:t xml:space="preserve"> Human Services</w:t>
            </w:r>
            <w:r w:rsidRPr="00BA3F8D">
              <w:rPr>
                <w:color w:val="008950"/>
              </w:rPr>
              <w:t xml:space="preserve"> </w:t>
            </w:r>
            <w:r>
              <w:t>2019</w:t>
            </w:r>
          </w:p>
          <w:p w:rsidR="006D42E6" w:rsidRPr="002802E3" w:rsidRDefault="007041A9" w:rsidP="007041A9">
            <w:pPr>
              <w:pStyle w:val="DHHSbody"/>
            </w:pPr>
            <w:r w:rsidRPr="006A6159">
              <w:t>Available f</w:t>
            </w:r>
            <w:r>
              <w:t xml:space="preserve">rom the </w:t>
            </w:r>
            <w:hyperlink r:id="rId11" w:history="1">
              <w:r w:rsidRPr="00851F1B">
                <w:rPr>
                  <w:rStyle w:val="Hyperlink"/>
                </w:rPr>
                <w:t>VADC Data specification page</w:t>
              </w:r>
            </w:hyperlink>
            <w:r>
              <w:t xml:space="preserve"> on the </w:t>
            </w:r>
            <w:proofErr w:type="spellStart"/>
            <w:r>
              <w:t>Health.vic</w:t>
            </w:r>
            <w:proofErr w:type="spellEnd"/>
            <w:r>
              <w:t xml:space="preserve"> website &lt; </w:t>
            </w:r>
            <w:r w:rsidRPr="00A9126C">
              <w:t>https://www2.health.vic.gov.au/about/publications/policiesandguidelines/vadc-data-specification</w:t>
            </w:r>
            <w:r>
              <w:t>&gt;</w:t>
            </w:r>
            <w:bookmarkStart w:id="11" w:name="_GoBack"/>
            <w:bookmarkEnd w:id="11"/>
          </w:p>
        </w:tc>
      </w:tr>
    </w:tbl>
    <w:p w:rsidR="006D42E6" w:rsidRDefault="006D42E6" w:rsidP="00FF6D9D">
      <w:pPr>
        <w:pStyle w:val="DHHSbody"/>
      </w:pPr>
    </w:p>
    <w:sectPr w:rsidR="006D42E6" w:rsidSect="00E45931">
      <w:headerReference w:type="default" r:id="rId12"/>
      <w:footerReference w:type="default" r:id="rId13"/>
      <w:type w:val="continuous"/>
      <w:pgSz w:w="16838" w:h="11906" w:orient="landscape" w:code="9"/>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4A1" w:rsidRDefault="00AF44A1">
      <w:r>
        <w:separator/>
      </w:r>
    </w:p>
  </w:endnote>
  <w:endnote w:type="continuationSeparator" w:id="0">
    <w:p w:rsidR="00AF44A1" w:rsidRDefault="00AF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AF44A1" w:rsidP="007034E7">
    <w:pPr>
      <w:pStyle w:val="DHHSfooter"/>
    </w:pPr>
    <w:r>
      <w:rPr>
        <w:noProof/>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6769100</wp:posOffset>
          </wp:positionV>
          <wp:extent cx="10691495" cy="791210"/>
          <wp:effectExtent l="0" t="0" r="0" b="0"/>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2A462B" w:rsidP="007034E7">
    <w:pPr>
      <w:pStyle w:val="DHHSfooter"/>
    </w:pPr>
    <w:r>
      <w:t xml:space="preserve">VADC </w:t>
    </w:r>
    <w:r w:rsidR="005C33FD">
      <w:t>2018/19</w:t>
    </w:r>
    <w:r w:rsidR="00821297">
      <w:t xml:space="preserve">: Bulletin </w:t>
    </w:r>
    <w:r w:rsidR="00580072">
      <w:t>5</w:t>
    </w:r>
    <w:r w:rsidR="009D70A4" w:rsidRPr="00A11421">
      <w:tab/>
    </w:r>
    <w:r w:rsidR="009D70A4" w:rsidRPr="00A11421">
      <w:fldChar w:fldCharType="begin"/>
    </w:r>
    <w:r w:rsidR="009D70A4" w:rsidRPr="00A11421">
      <w:instrText xml:space="preserve"> PAGE </w:instrText>
    </w:r>
    <w:r w:rsidR="009D70A4" w:rsidRPr="00A11421">
      <w:fldChar w:fldCharType="separate"/>
    </w:r>
    <w:r w:rsidR="00AD7EDA">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4A1" w:rsidRDefault="00AF44A1" w:rsidP="002862F1">
      <w:pPr>
        <w:spacing w:before="120"/>
      </w:pPr>
      <w:r>
        <w:separator/>
      </w:r>
    </w:p>
  </w:footnote>
  <w:footnote w:type="continuationSeparator" w:id="0">
    <w:p w:rsidR="00AF44A1" w:rsidRDefault="00AF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8D2F4B" w:rsidRDefault="009D70A4" w:rsidP="008D2F4B">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8A87821"/>
    <w:multiLevelType w:val="hybridMultilevel"/>
    <w:tmpl w:val="05169D4A"/>
    <w:lvl w:ilvl="0" w:tplc="758621E6">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4" w15:restartNumberingAfterBreak="0">
    <w:nsid w:val="2B370F66"/>
    <w:multiLevelType w:val="multilevel"/>
    <w:tmpl w:val="4B4E7622"/>
    <w:numStyleLink w:val="ZZNumbers"/>
  </w:abstractNum>
  <w:abstractNum w:abstractNumId="5" w15:restartNumberingAfterBreak="0">
    <w:nsid w:val="39BC2EAE"/>
    <w:multiLevelType w:val="hybridMultilevel"/>
    <w:tmpl w:val="D2B044FC"/>
    <w:lvl w:ilvl="0" w:tplc="758621E6">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4AD73B7"/>
    <w:multiLevelType w:val="hybridMultilevel"/>
    <w:tmpl w:val="D2B044FC"/>
    <w:lvl w:ilvl="0" w:tplc="758621E6">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EA57B5D"/>
    <w:multiLevelType w:val="hybridMultilevel"/>
    <w:tmpl w:val="C23624C4"/>
    <w:lvl w:ilvl="0" w:tplc="758621E6">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7"/>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A1"/>
    <w:rsid w:val="00004E6A"/>
    <w:rsid w:val="000072B6"/>
    <w:rsid w:val="0001021B"/>
    <w:rsid w:val="00011D89"/>
    <w:rsid w:val="00024D89"/>
    <w:rsid w:val="00030139"/>
    <w:rsid w:val="00030974"/>
    <w:rsid w:val="00033D81"/>
    <w:rsid w:val="00041BF0"/>
    <w:rsid w:val="0004326C"/>
    <w:rsid w:val="0004536B"/>
    <w:rsid w:val="00046B68"/>
    <w:rsid w:val="000527DD"/>
    <w:rsid w:val="0005459F"/>
    <w:rsid w:val="000578B2"/>
    <w:rsid w:val="00060959"/>
    <w:rsid w:val="0006388D"/>
    <w:rsid w:val="00064864"/>
    <w:rsid w:val="000663CD"/>
    <w:rsid w:val="000669AD"/>
    <w:rsid w:val="00072D64"/>
    <w:rsid w:val="00074219"/>
    <w:rsid w:val="00074ED5"/>
    <w:rsid w:val="0008494B"/>
    <w:rsid w:val="000871B9"/>
    <w:rsid w:val="00094DA3"/>
    <w:rsid w:val="0009502F"/>
    <w:rsid w:val="00096CD1"/>
    <w:rsid w:val="000A012C"/>
    <w:rsid w:val="000A0EB9"/>
    <w:rsid w:val="000A186C"/>
    <w:rsid w:val="000B543D"/>
    <w:rsid w:val="000B5BF7"/>
    <w:rsid w:val="000B6BC8"/>
    <w:rsid w:val="000C42EA"/>
    <w:rsid w:val="000C4546"/>
    <w:rsid w:val="000D1242"/>
    <w:rsid w:val="000D744E"/>
    <w:rsid w:val="000E3CC7"/>
    <w:rsid w:val="000E6BD4"/>
    <w:rsid w:val="000F1F1E"/>
    <w:rsid w:val="000F2259"/>
    <w:rsid w:val="001005E4"/>
    <w:rsid w:val="0010392D"/>
    <w:rsid w:val="00104FE3"/>
    <w:rsid w:val="00120BD3"/>
    <w:rsid w:val="00122FEA"/>
    <w:rsid w:val="001232BD"/>
    <w:rsid w:val="00124ED5"/>
    <w:rsid w:val="00140BE7"/>
    <w:rsid w:val="001447B3"/>
    <w:rsid w:val="00152073"/>
    <w:rsid w:val="00155EAE"/>
    <w:rsid w:val="00161939"/>
    <w:rsid w:val="00161AA0"/>
    <w:rsid w:val="00162093"/>
    <w:rsid w:val="0016437F"/>
    <w:rsid w:val="001645B1"/>
    <w:rsid w:val="001666C9"/>
    <w:rsid w:val="00172473"/>
    <w:rsid w:val="001771DD"/>
    <w:rsid w:val="00177995"/>
    <w:rsid w:val="00177A8C"/>
    <w:rsid w:val="00186B33"/>
    <w:rsid w:val="00187F13"/>
    <w:rsid w:val="00192F9D"/>
    <w:rsid w:val="00196EB8"/>
    <w:rsid w:val="001979FF"/>
    <w:rsid w:val="00197B17"/>
    <w:rsid w:val="001A298C"/>
    <w:rsid w:val="001A325A"/>
    <w:rsid w:val="001A3ACE"/>
    <w:rsid w:val="001C2A72"/>
    <w:rsid w:val="001D0B75"/>
    <w:rsid w:val="001D3C09"/>
    <w:rsid w:val="001D44E8"/>
    <w:rsid w:val="001D60EC"/>
    <w:rsid w:val="001E44DF"/>
    <w:rsid w:val="001E68A5"/>
    <w:rsid w:val="001E6B17"/>
    <w:rsid w:val="001E73EF"/>
    <w:rsid w:val="001E7BC3"/>
    <w:rsid w:val="001F08D8"/>
    <w:rsid w:val="001F167A"/>
    <w:rsid w:val="001F22D3"/>
    <w:rsid w:val="001F3826"/>
    <w:rsid w:val="001F5BD0"/>
    <w:rsid w:val="001F6E46"/>
    <w:rsid w:val="001F7C91"/>
    <w:rsid w:val="002033C0"/>
    <w:rsid w:val="00206463"/>
    <w:rsid w:val="00206F2F"/>
    <w:rsid w:val="0021053D"/>
    <w:rsid w:val="00210A92"/>
    <w:rsid w:val="002131E2"/>
    <w:rsid w:val="00216C03"/>
    <w:rsid w:val="00220C04"/>
    <w:rsid w:val="0022701F"/>
    <w:rsid w:val="00231893"/>
    <w:rsid w:val="002333F5"/>
    <w:rsid w:val="002432E1"/>
    <w:rsid w:val="00244DBA"/>
    <w:rsid w:val="00246C5E"/>
    <w:rsid w:val="00251343"/>
    <w:rsid w:val="00254F58"/>
    <w:rsid w:val="00257984"/>
    <w:rsid w:val="002620BC"/>
    <w:rsid w:val="00262802"/>
    <w:rsid w:val="00263A90"/>
    <w:rsid w:val="0026408B"/>
    <w:rsid w:val="00267C3E"/>
    <w:rsid w:val="002709BB"/>
    <w:rsid w:val="002716A9"/>
    <w:rsid w:val="00272FBA"/>
    <w:rsid w:val="002763B3"/>
    <w:rsid w:val="00276BF0"/>
    <w:rsid w:val="00277B40"/>
    <w:rsid w:val="002802E3"/>
    <w:rsid w:val="0028213D"/>
    <w:rsid w:val="002862F1"/>
    <w:rsid w:val="00291373"/>
    <w:rsid w:val="0029597D"/>
    <w:rsid w:val="002962C3"/>
    <w:rsid w:val="002A462B"/>
    <w:rsid w:val="002A483C"/>
    <w:rsid w:val="002B1569"/>
    <w:rsid w:val="002B1729"/>
    <w:rsid w:val="002B4DD4"/>
    <w:rsid w:val="002B5277"/>
    <w:rsid w:val="002B77C1"/>
    <w:rsid w:val="002C1623"/>
    <w:rsid w:val="002C2728"/>
    <w:rsid w:val="002D5006"/>
    <w:rsid w:val="002E01D0"/>
    <w:rsid w:val="002E161D"/>
    <w:rsid w:val="002E6C95"/>
    <w:rsid w:val="002E7C36"/>
    <w:rsid w:val="002F1D25"/>
    <w:rsid w:val="002F5F31"/>
    <w:rsid w:val="002F7F61"/>
    <w:rsid w:val="00302216"/>
    <w:rsid w:val="00303860"/>
    <w:rsid w:val="00303E53"/>
    <w:rsid w:val="003041C3"/>
    <w:rsid w:val="00305D25"/>
    <w:rsid w:val="00306E5F"/>
    <w:rsid w:val="00307CFE"/>
    <w:rsid w:val="00307E14"/>
    <w:rsid w:val="00310351"/>
    <w:rsid w:val="00314054"/>
    <w:rsid w:val="00316F27"/>
    <w:rsid w:val="00327870"/>
    <w:rsid w:val="0033259D"/>
    <w:rsid w:val="003406C6"/>
    <w:rsid w:val="003418CC"/>
    <w:rsid w:val="00344EBE"/>
    <w:rsid w:val="003459BD"/>
    <w:rsid w:val="00350D38"/>
    <w:rsid w:val="00356D6C"/>
    <w:rsid w:val="0036022F"/>
    <w:rsid w:val="003613F9"/>
    <w:rsid w:val="0037290E"/>
    <w:rsid w:val="003744CF"/>
    <w:rsid w:val="00374717"/>
    <w:rsid w:val="0037676C"/>
    <w:rsid w:val="003823BC"/>
    <w:rsid w:val="003829E5"/>
    <w:rsid w:val="003928BC"/>
    <w:rsid w:val="003956CC"/>
    <w:rsid w:val="00395C9A"/>
    <w:rsid w:val="003A3438"/>
    <w:rsid w:val="003A6B67"/>
    <w:rsid w:val="003B15E6"/>
    <w:rsid w:val="003B183A"/>
    <w:rsid w:val="003B2106"/>
    <w:rsid w:val="003C2045"/>
    <w:rsid w:val="003C2440"/>
    <w:rsid w:val="003C43A1"/>
    <w:rsid w:val="003C4FC0"/>
    <w:rsid w:val="003C55F4"/>
    <w:rsid w:val="003C7A3F"/>
    <w:rsid w:val="003D3E8F"/>
    <w:rsid w:val="003D4B4A"/>
    <w:rsid w:val="003D6475"/>
    <w:rsid w:val="003E2E5F"/>
    <w:rsid w:val="003E5931"/>
    <w:rsid w:val="003F0445"/>
    <w:rsid w:val="003F0CF0"/>
    <w:rsid w:val="003F3289"/>
    <w:rsid w:val="00401FCF"/>
    <w:rsid w:val="00406285"/>
    <w:rsid w:val="004148F9"/>
    <w:rsid w:val="0042084E"/>
    <w:rsid w:val="0042175D"/>
    <w:rsid w:val="00421EEF"/>
    <w:rsid w:val="00424D65"/>
    <w:rsid w:val="00426AEB"/>
    <w:rsid w:val="00433AE7"/>
    <w:rsid w:val="004340DE"/>
    <w:rsid w:val="004367B3"/>
    <w:rsid w:val="00442C6C"/>
    <w:rsid w:val="00443CBE"/>
    <w:rsid w:val="00443E8A"/>
    <w:rsid w:val="004441BC"/>
    <w:rsid w:val="00446810"/>
    <w:rsid w:val="0045230A"/>
    <w:rsid w:val="00457337"/>
    <w:rsid w:val="00461543"/>
    <w:rsid w:val="00462315"/>
    <w:rsid w:val="0047372D"/>
    <w:rsid w:val="004743DD"/>
    <w:rsid w:val="00474CEA"/>
    <w:rsid w:val="00483968"/>
    <w:rsid w:val="0048442F"/>
    <w:rsid w:val="00484695"/>
    <w:rsid w:val="00484F86"/>
    <w:rsid w:val="00490746"/>
    <w:rsid w:val="00490852"/>
    <w:rsid w:val="00492D85"/>
    <w:rsid w:val="00492F30"/>
    <w:rsid w:val="004946F4"/>
    <w:rsid w:val="0049487E"/>
    <w:rsid w:val="004A0A86"/>
    <w:rsid w:val="004A160D"/>
    <w:rsid w:val="004A3E81"/>
    <w:rsid w:val="004A5C62"/>
    <w:rsid w:val="004A707D"/>
    <w:rsid w:val="004C57C4"/>
    <w:rsid w:val="004C6EEE"/>
    <w:rsid w:val="004C702B"/>
    <w:rsid w:val="004D016B"/>
    <w:rsid w:val="004D14F2"/>
    <w:rsid w:val="004D1B22"/>
    <w:rsid w:val="004D36F2"/>
    <w:rsid w:val="004E138F"/>
    <w:rsid w:val="004E15A7"/>
    <w:rsid w:val="004E4649"/>
    <w:rsid w:val="004E5C2B"/>
    <w:rsid w:val="004E6906"/>
    <w:rsid w:val="004E7DBA"/>
    <w:rsid w:val="004F00DD"/>
    <w:rsid w:val="004F2133"/>
    <w:rsid w:val="004F55F1"/>
    <w:rsid w:val="004F6936"/>
    <w:rsid w:val="005027C0"/>
    <w:rsid w:val="00503DC6"/>
    <w:rsid w:val="00504932"/>
    <w:rsid w:val="00506F5D"/>
    <w:rsid w:val="005126D0"/>
    <w:rsid w:val="005133F9"/>
    <w:rsid w:val="00513896"/>
    <w:rsid w:val="0051568D"/>
    <w:rsid w:val="0052216A"/>
    <w:rsid w:val="00526C15"/>
    <w:rsid w:val="005273B4"/>
    <w:rsid w:val="00536499"/>
    <w:rsid w:val="00541ADB"/>
    <w:rsid w:val="00543903"/>
    <w:rsid w:val="00544B98"/>
    <w:rsid w:val="00547A95"/>
    <w:rsid w:val="00557E03"/>
    <w:rsid w:val="0056239D"/>
    <w:rsid w:val="00572031"/>
    <w:rsid w:val="00576E84"/>
    <w:rsid w:val="00580072"/>
    <w:rsid w:val="00582B8C"/>
    <w:rsid w:val="0058757E"/>
    <w:rsid w:val="00596A4B"/>
    <w:rsid w:val="00597507"/>
    <w:rsid w:val="005B21B6"/>
    <w:rsid w:val="005B3A08"/>
    <w:rsid w:val="005B7A63"/>
    <w:rsid w:val="005C0955"/>
    <w:rsid w:val="005C33FD"/>
    <w:rsid w:val="005C49DA"/>
    <w:rsid w:val="005C50F3"/>
    <w:rsid w:val="005C5D91"/>
    <w:rsid w:val="005C77D1"/>
    <w:rsid w:val="005D07B8"/>
    <w:rsid w:val="005D6597"/>
    <w:rsid w:val="005E0B34"/>
    <w:rsid w:val="005E14E7"/>
    <w:rsid w:val="005E15F3"/>
    <w:rsid w:val="005E26A3"/>
    <w:rsid w:val="005E447E"/>
    <w:rsid w:val="005E4B44"/>
    <w:rsid w:val="005F0775"/>
    <w:rsid w:val="005F0CF5"/>
    <w:rsid w:val="005F0EA5"/>
    <w:rsid w:val="005F1906"/>
    <w:rsid w:val="005F21EB"/>
    <w:rsid w:val="005F43B9"/>
    <w:rsid w:val="00605908"/>
    <w:rsid w:val="00605F1B"/>
    <w:rsid w:val="00610D7C"/>
    <w:rsid w:val="00613414"/>
    <w:rsid w:val="0061635F"/>
    <w:rsid w:val="0062408D"/>
    <w:rsid w:val="006240CC"/>
    <w:rsid w:val="00627DA7"/>
    <w:rsid w:val="006358B4"/>
    <w:rsid w:val="006419AA"/>
    <w:rsid w:val="00642691"/>
    <w:rsid w:val="00644B7E"/>
    <w:rsid w:val="006454E6"/>
    <w:rsid w:val="00646A68"/>
    <w:rsid w:val="00647C87"/>
    <w:rsid w:val="0065092E"/>
    <w:rsid w:val="006557A7"/>
    <w:rsid w:val="00656290"/>
    <w:rsid w:val="006621D7"/>
    <w:rsid w:val="0066302A"/>
    <w:rsid w:val="00670597"/>
    <w:rsid w:val="006706D0"/>
    <w:rsid w:val="00677574"/>
    <w:rsid w:val="00680836"/>
    <w:rsid w:val="0068454C"/>
    <w:rsid w:val="00691B62"/>
    <w:rsid w:val="00693D14"/>
    <w:rsid w:val="006A18C2"/>
    <w:rsid w:val="006B077C"/>
    <w:rsid w:val="006B2B53"/>
    <w:rsid w:val="006B5E1A"/>
    <w:rsid w:val="006D2A3F"/>
    <w:rsid w:val="006D42E6"/>
    <w:rsid w:val="006E138B"/>
    <w:rsid w:val="006F1FDC"/>
    <w:rsid w:val="006F4D55"/>
    <w:rsid w:val="007013EF"/>
    <w:rsid w:val="007034E7"/>
    <w:rsid w:val="007041A9"/>
    <w:rsid w:val="007216AA"/>
    <w:rsid w:val="00721AB5"/>
    <w:rsid w:val="00721DEF"/>
    <w:rsid w:val="00724A43"/>
    <w:rsid w:val="007346E4"/>
    <w:rsid w:val="00740F22"/>
    <w:rsid w:val="00741F1A"/>
    <w:rsid w:val="0074430F"/>
    <w:rsid w:val="007450F8"/>
    <w:rsid w:val="0074696E"/>
    <w:rsid w:val="00750135"/>
    <w:rsid w:val="00752B28"/>
    <w:rsid w:val="00754E36"/>
    <w:rsid w:val="0075750C"/>
    <w:rsid w:val="00763139"/>
    <w:rsid w:val="00770F37"/>
    <w:rsid w:val="00772D5E"/>
    <w:rsid w:val="00776928"/>
    <w:rsid w:val="00786F16"/>
    <w:rsid w:val="00796E20"/>
    <w:rsid w:val="00797C32"/>
    <w:rsid w:val="007B0914"/>
    <w:rsid w:val="007B1374"/>
    <w:rsid w:val="007B589F"/>
    <w:rsid w:val="007B5C54"/>
    <w:rsid w:val="007B6186"/>
    <w:rsid w:val="007C14D9"/>
    <w:rsid w:val="007C7301"/>
    <w:rsid w:val="007C7859"/>
    <w:rsid w:val="007D1235"/>
    <w:rsid w:val="007D2BDE"/>
    <w:rsid w:val="007D2FB6"/>
    <w:rsid w:val="007E0DE2"/>
    <w:rsid w:val="007E2322"/>
    <w:rsid w:val="007F0632"/>
    <w:rsid w:val="007F31B6"/>
    <w:rsid w:val="007F546C"/>
    <w:rsid w:val="007F665E"/>
    <w:rsid w:val="00800412"/>
    <w:rsid w:val="00804484"/>
    <w:rsid w:val="0080587B"/>
    <w:rsid w:val="00806468"/>
    <w:rsid w:val="008155F0"/>
    <w:rsid w:val="00816735"/>
    <w:rsid w:val="00820141"/>
    <w:rsid w:val="008204A8"/>
    <w:rsid w:val="00820E0C"/>
    <w:rsid w:val="00821297"/>
    <w:rsid w:val="008310E8"/>
    <w:rsid w:val="008338A2"/>
    <w:rsid w:val="00840DF3"/>
    <w:rsid w:val="0084417C"/>
    <w:rsid w:val="00853EE4"/>
    <w:rsid w:val="00855535"/>
    <w:rsid w:val="00856385"/>
    <w:rsid w:val="008633F0"/>
    <w:rsid w:val="008649E3"/>
    <w:rsid w:val="00866C6D"/>
    <w:rsid w:val="00867D9D"/>
    <w:rsid w:val="00872E0A"/>
    <w:rsid w:val="00875285"/>
    <w:rsid w:val="008753FA"/>
    <w:rsid w:val="00884B62"/>
    <w:rsid w:val="0088529C"/>
    <w:rsid w:val="008871E0"/>
    <w:rsid w:val="00887903"/>
    <w:rsid w:val="0089270A"/>
    <w:rsid w:val="00893AF6"/>
    <w:rsid w:val="00893B60"/>
    <w:rsid w:val="00894BC4"/>
    <w:rsid w:val="008A0EBF"/>
    <w:rsid w:val="008A1753"/>
    <w:rsid w:val="008B2362"/>
    <w:rsid w:val="008B2EE4"/>
    <w:rsid w:val="008B2F9E"/>
    <w:rsid w:val="008B4D3D"/>
    <w:rsid w:val="008B57C7"/>
    <w:rsid w:val="008C2F92"/>
    <w:rsid w:val="008C5F67"/>
    <w:rsid w:val="008C65EB"/>
    <w:rsid w:val="008D2F4B"/>
    <w:rsid w:val="008D4236"/>
    <w:rsid w:val="008D462F"/>
    <w:rsid w:val="008E0104"/>
    <w:rsid w:val="008E4376"/>
    <w:rsid w:val="008E6B9B"/>
    <w:rsid w:val="008E7A0A"/>
    <w:rsid w:val="008F5956"/>
    <w:rsid w:val="00900719"/>
    <w:rsid w:val="009017AC"/>
    <w:rsid w:val="00905030"/>
    <w:rsid w:val="00906490"/>
    <w:rsid w:val="009111B2"/>
    <w:rsid w:val="00923AAC"/>
    <w:rsid w:val="00924AE1"/>
    <w:rsid w:val="009267A6"/>
    <w:rsid w:val="009269B1"/>
    <w:rsid w:val="0092724D"/>
    <w:rsid w:val="00937BD9"/>
    <w:rsid w:val="00950325"/>
    <w:rsid w:val="00950E2C"/>
    <w:rsid w:val="00951D50"/>
    <w:rsid w:val="009525EB"/>
    <w:rsid w:val="0095645E"/>
    <w:rsid w:val="00961400"/>
    <w:rsid w:val="00962747"/>
    <w:rsid w:val="00963646"/>
    <w:rsid w:val="009702DF"/>
    <w:rsid w:val="009853E1"/>
    <w:rsid w:val="00986E6B"/>
    <w:rsid w:val="00991769"/>
    <w:rsid w:val="00994386"/>
    <w:rsid w:val="009A13D8"/>
    <w:rsid w:val="009A279E"/>
    <w:rsid w:val="009A686F"/>
    <w:rsid w:val="009B0A6F"/>
    <w:rsid w:val="009B59E9"/>
    <w:rsid w:val="009C7A7E"/>
    <w:rsid w:val="009D02E8"/>
    <w:rsid w:val="009D2682"/>
    <w:rsid w:val="009D345D"/>
    <w:rsid w:val="009D51D0"/>
    <w:rsid w:val="009D70A4"/>
    <w:rsid w:val="009E08D1"/>
    <w:rsid w:val="009E1B95"/>
    <w:rsid w:val="009E496F"/>
    <w:rsid w:val="009E4B0D"/>
    <w:rsid w:val="009E7F92"/>
    <w:rsid w:val="009F02A3"/>
    <w:rsid w:val="009F2F27"/>
    <w:rsid w:val="009F6BCB"/>
    <w:rsid w:val="009F7B78"/>
    <w:rsid w:val="00A0057A"/>
    <w:rsid w:val="00A0176A"/>
    <w:rsid w:val="00A06377"/>
    <w:rsid w:val="00A11421"/>
    <w:rsid w:val="00A157B1"/>
    <w:rsid w:val="00A22229"/>
    <w:rsid w:val="00A227F1"/>
    <w:rsid w:val="00A272E1"/>
    <w:rsid w:val="00A44882"/>
    <w:rsid w:val="00A54715"/>
    <w:rsid w:val="00A6061C"/>
    <w:rsid w:val="00A62787"/>
    <w:rsid w:val="00A62D44"/>
    <w:rsid w:val="00A67263"/>
    <w:rsid w:val="00A7161C"/>
    <w:rsid w:val="00A77AA3"/>
    <w:rsid w:val="00A872E5"/>
    <w:rsid w:val="00A96E65"/>
    <w:rsid w:val="00A97C72"/>
    <w:rsid w:val="00AA325B"/>
    <w:rsid w:val="00AA5797"/>
    <w:rsid w:val="00AA63D4"/>
    <w:rsid w:val="00AB06E8"/>
    <w:rsid w:val="00AB1CD3"/>
    <w:rsid w:val="00AB352F"/>
    <w:rsid w:val="00AB5997"/>
    <w:rsid w:val="00AC274B"/>
    <w:rsid w:val="00AC4764"/>
    <w:rsid w:val="00AC6D36"/>
    <w:rsid w:val="00AD0CBA"/>
    <w:rsid w:val="00AD26E2"/>
    <w:rsid w:val="00AD7EDA"/>
    <w:rsid w:val="00AE126A"/>
    <w:rsid w:val="00AE3005"/>
    <w:rsid w:val="00AE59A0"/>
    <w:rsid w:val="00AE6CCA"/>
    <w:rsid w:val="00AF0C57"/>
    <w:rsid w:val="00AF26F3"/>
    <w:rsid w:val="00AF44A1"/>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88B"/>
    <w:rsid w:val="00B431E8"/>
    <w:rsid w:val="00B45141"/>
    <w:rsid w:val="00B5273A"/>
    <w:rsid w:val="00B6126E"/>
    <w:rsid w:val="00B62B50"/>
    <w:rsid w:val="00B635B7"/>
    <w:rsid w:val="00B63AE8"/>
    <w:rsid w:val="00B65950"/>
    <w:rsid w:val="00B672C0"/>
    <w:rsid w:val="00B75646"/>
    <w:rsid w:val="00B766FF"/>
    <w:rsid w:val="00B90729"/>
    <w:rsid w:val="00B907DA"/>
    <w:rsid w:val="00B950BC"/>
    <w:rsid w:val="00B9714C"/>
    <w:rsid w:val="00BA04B8"/>
    <w:rsid w:val="00BA3F8D"/>
    <w:rsid w:val="00BA4845"/>
    <w:rsid w:val="00BB7A10"/>
    <w:rsid w:val="00BC7D4F"/>
    <w:rsid w:val="00BC7ED7"/>
    <w:rsid w:val="00BD2850"/>
    <w:rsid w:val="00BE28D2"/>
    <w:rsid w:val="00BF5F6F"/>
    <w:rsid w:val="00BF7F58"/>
    <w:rsid w:val="00C01381"/>
    <w:rsid w:val="00C04764"/>
    <w:rsid w:val="00C079B8"/>
    <w:rsid w:val="00C123EA"/>
    <w:rsid w:val="00C125E4"/>
    <w:rsid w:val="00C12A49"/>
    <w:rsid w:val="00C133EE"/>
    <w:rsid w:val="00C27DE9"/>
    <w:rsid w:val="00C33388"/>
    <w:rsid w:val="00C4173A"/>
    <w:rsid w:val="00C5292A"/>
    <w:rsid w:val="00C5433B"/>
    <w:rsid w:val="00C56492"/>
    <w:rsid w:val="00C602FF"/>
    <w:rsid w:val="00C61174"/>
    <w:rsid w:val="00C6148F"/>
    <w:rsid w:val="00C62F7A"/>
    <w:rsid w:val="00C63B9C"/>
    <w:rsid w:val="00C6682F"/>
    <w:rsid w:val="00C7275E"/>
    <w:rsid w:val="00C74C5D"/>
    <w:rsid w:val="00C74DBF"/>
    <w:rsid w:val="00C863C4"/>
    <w:rsid w:val="00C93C3E"/>
    <w:rsid w:val="00CA05D1"/>
    <w:rsid w:val="00CA12E3"/>
    <w:rsid w:val="00CA4E81"/>
    <w:rsid w:val="00CA6611"/>
    <w:rsid w:val="00CA6B58"/>
    <w:rsid w:val="00CB5C0E"/>
    <w:rsid w:val="00CC0C72"/>
    <w:rsid w:val="00CC2BFD"/>
    <w:rsid w:val="00CD11A5"/>
    <w:rsid w:val="00CD3476"/>
    <w:rsid w:val="00CD64DF"/>
    <w:rsid w:val="00CD66D3"/>
    <w:rsid w:val="00CE5C12"/>
    <w:rsid w:val="00CF2F50"/>
    <w:rsid w:val="00CF41DA"/>
    <w:rsid w:val="00D02919"/>
    <w:rsid w:val="00D04AF5"/>
    <w:rsid w:val="00D04C61"/>
    <w:rsid w:val="00D0539B"/>
    <w:rsid w:val="00D05B8D"/>
    <w:rsid w:val="00D065A2"/>
    <w:rsid w:val="00D07F00"/>
    <w:rsid w:val="00D1790F"/>
    <w:rsid w:val="00D206C2"/>
    <w:rsid w:val="00D245D3"/>
    <w:rsid w:val="00D24DEE"/>
    <w:rsid w:val="00D33E72"/>
    <w:rsid w:val="00D35BD6"/>
    <w:rsid w:val="00D361B5"/>
    <w:rsid w:val="00D411A2"/>
    <w:rsid w:val="00D50B9C"/>
    <w:rsid w:val="00D52D73"/>
    <w:rsid w:val="00D52E58"/>
    <w:rsid w:val="00D714CC"/>
    <w:rsid w:val="00D75EA7"/>
    <w:rsid w:val="00D76A97"/>
    <w:rsid w:val="00D81F21"/>
    <w:rsid w:val="00D95470"/>
    <w:rsid w:val="00D95FB6"/>
    <w:rsid w:val="00DA2619"/>
    <w:rsid w:val="00DA4239"/>
    <w:rsid w:val="00DA71B1"/>
    <w:rsid w:val="00DB0B61"/>
    <w:rsid w:val="00DB16EB"/>
    <w:rsid w:val="00DC090B"/>
    <w:rsid w:val="00DC2CF1"/>
    <w:rsid w:val="00DC4FCF"/>
    <w:rsid w:val="00DC50E0"/>
    <w:rsid w:val="00DC5420"/>
    <w:rsid w:val="00DC5A51"/>
    <w:rsid w:val="00DC6386"/>
    <w:rsid w:val="00DD1130"/>
    <w:rsid w:val="00DD1951"/>
    <w:rsid w:val="00DD6628"/>
    <w:rsid w:val="00DE09D5"/>
    <w:rsid w:val="00DE3250"/>
    <w:rsid w:val="00DE6028"/>
    <w:rsid w:val="00DE78A3"/>
    <w:rsid w:val="00DF1A71"/>
    <w:rsid w:val="00DF25FF"/>
    <w:rsid w:val="00DF68C7"/>
    <w:rsid w:val="00DF731A"/>
    <w:rsid w:val="00E01B9D"/>
    <w:rsid w:val="00E14388"/>
    <w:rsid w:val="00E170DC"/>
    <w:rsid w:val="00E21842"/>
    <w:rsid w:val="00E26818"/>
    <w:rsid w:val="00E27FFC"/>
    <w:rsid w:val="00E30B15"/>
    <w:rsid w:val="00E40181"/>
    <w:rsid w:val="00E43426"/>
    <w:rsid w:val="00E45931"/>
    <w:rsid w:val="00E501C9"/>
    <w:rsid w:val="00E53A79"/>
    <w:rsid w:val="00E629A1"/>
    <w:rsid w:val="00E82C55"/>
    <w:rsid w:val="00E85FD0"/>
    <w:rsid w:val="00E92AC3"/>
    <w:rsid w:val="00E92DFC"/>
    <w:rsid w:val="00E96AA0"/>
    <w:rsid w:val="00EB00E0"/>
    <w:rsid w:val="00EC0082"/>
    <w:rsid w:val="00EC059F"/>
    <w:rsid w:val="00EC1F24"/>
    <w:rsid w:val="00EC22F6"/>
    <w:rsid w:val="00EC36B3"/>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0169"/>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0662"/>
    <w:rsid w:val="00F725AE"/>
    <w:rsid w:val="00F72C2C"/>
    <w:rsid w:val="00F75920"/>
    <w:rsid w:val="00F76CAB"/>
    <w:rsid w:val="00F772C6"/>
    <w:rsid w:val="00F85195"/>
    <w:rsid w:val="00F87F6C"/>
    <w:rsid w:val="00F92503"/>
    <w:rsid w:val="00F938BA"/>
    <w:rsid w:val="00F94062"/>
    <w:rsid w:val="00FA2C46"/>
    <w:rsid w:val="00FA2F92"/>
    <w:rsid w:val="00FA6B67"/>
    <w:rsid w:val="00FB317C"/>
    <w:rsid w:val="00FB4CDA"/>
    <w:rsid w:val="00FC0F81"/>
    <w:rsid w:val="00FC395C"/>
    <w:rsid w:val="00FD2AF0"/>
    <w:rsid w:val="00FD2F09"/>
    <w:rsid w:val="00FD3766"/>
    <w:rsid w:val="00FD47C4"/>
    <w:rsid w:val="00FE2DCF"/>
    <w:rsid w:val="00FF1661"/>
    <w:rsid w:val="00FF230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5:docId w15:val="{96822CC6-7559-46DA-B515-CEF88D3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8C5F67"/>
    <w:rPr>
      <w:rFonts w:ascii="Cambria" w:hAnsi="Cambria"/>
      <w:lang w:eastAsia="en-US"/>
    </w:rPr>
  </w:style>
  <w:style w:type="paragraph" w:styleId="Heading1">
    <w:name w:val="heading 1"/>
    <w:next w:val="DHHSbody"/>
    <w:link w:val="Heading1Char"/>
    <w:qFormat/>
    <w:rsid w:val="00541ADB"/>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41ADB"/>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41ADB"/>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41ADB"/>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541ADB"/>
    <w:pPr>
      <w:spacing w:before="0" w:after="200"/>
      <w:outlineLvl w:val="9"/>
    </w:pPr>
  </w:style>
  <w:style w:type="character" w:customStyle="1" w:styleId="DHHSTOCheadingfactsheetChar">
    <w:name w:val="DHHS TOC heading fact sheet Char"/>
    <w:link w:val="DHHSTOCheadingfactsheet"/>
    <w:uiPriority w:val="4"/>
    <w:rsid w:val="00541ADB"/>
    <w:rPr>
      <w:rFonts w:ascii="Arial" w:hAnsi="Arial"/>
      <w:b/>
      <w:color w:val="201547"/>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41ADB"/>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950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325"/>
    <w:rPr>
      <w:rFonts w:ascii="Segoe UI" w:hAnsi="Segoe UI" w:cs="Segoe UI"/>
      <w:sz w:val="18"/>
      <w:szCs w:val="18"/>
      <w:lang w:eastAsia="en-US"/>
    </w:rPr>
  </w:style>
  <w:style w:type="paragraph" w:styleId="BodyText">
    <w:name w:val="Body Text"/>
    <w:basedOn w:val="Normal"/>
    <w:link w:val="BodyTextChar"/>
    <w:rsid w:val="00680836"/>
    <w:rPr>
      <w:rFonts w:ascii="Verdana" w:hAnsi="Verdana"/>
      <w:color w:val="000000"/>
      <w:sz w:val="18"/>
    </w:rPr>
  </w:style>
  <w:style w:type="character" w:customStyle="1" w:styleId="BodyTextChar">
    <w:name w:val="Body Text Char"/>
    <w:basedOn w:val="DefaultParagraphFont"/>
    <w:link w:val="BodyText"/>
    <w:rsid w:val="00680836"/>
    <w:rPr>
      <w:rFonts w:ascii="Verdana" w:hAnsi="Verdana"/>
      <w:color w:val="000000"/>
      <w:sz w:val="18"/>
      <w:lang w:eastAsia="en-US"/>
    </w:rPr>
  </w:style>
  <w:style w:type="character" w:customStyle="1" w:styleId="IMBodyTextChar">
    <w:name w:val="IM Body Text Char"/>
    <w:basedOn w:val="DefaultParagraphFont"/>
    <w:link w:val="IMBodyText"/>
    <w:locked/>
    <w:rsid w:val="003E5931"/>
    <w:rPr>
      <w:rFonts w:ascii="Verdana" w:hAnsi="Verdana"/>
      <w:lang w:eastAsia="en-US"/>
    </w:rPr>
  </w:style>
  <w:style w:type="paragraph" w:customStyle="1" w:styleId="IMBodyText">
    <w:name w:val="IM Body Text"/>
    <w:basedOn w:val="Normal"/>
    <w:link w:val="IMBodyTextChar"/>
    <w:rsid w:val="003E5931"/>
    <w:pPr>
      <w:spacing w:after="180" w:line="240" w:lineRule="exact"/>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8839">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611087393">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428430790">
      <w:bodyDiv w:val="1"/>
      <w:marLeft w:val="0"/>
      <w:marRight w:val="0"/>
      <w:marTop w:val="0"/>
      <w:marBottom w:val="0"/>
      <w:divBdr>
        <w:top w:val="none" w:sz="0" w:space="0" w:color="auto"/>
        <w:left w:val="none" w:sz="0" w:space="0" w:color="auto"/>
        <w:bottom w:val="none" w:sz="0" w:space="0" w:color="auto"/>
        <w:right w:val="none" w:sz="0" w:space="0" w:color="auto"/>
      </w:divBdr>
    </w:div>
    <w:div w:id="1862472970">
      <w:bodyDiv w:val="1"/>
      <w:marLeft w:val="0"/>
      <w:marRight w:val="0"/>
      <w:marTop w:val="0"/>
      <w:marBottom w:val="0"/>
      <w:divBdr>
        <w:top w:val="none" w:sz="0" w:space="0" w:color="auto"/>
        <w:left w:val="none" w:sz="0" w:space="0" w:color="auto"/>
        <w:bottom w:val="none" w:sz="0" w:space="0" w:color="auto"/>
        <w:right w:val="none" w:sz="0" w:space="0" w:color="auto"/>
      </w:divBdr>
    </w:div>
    <w:div w:id="18965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about/publications/policiesandguidelines/vadc-data-specifi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dc_data@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FFF53-C8E5-47A3-B984-148E4962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01 Navy 2765.dot</Template>
  <TotalTime>474</TotalTime>
  <Pages>3</Pages>
  <Words>858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VADC 1819 Bulletin - edition 5 </vt:lpstr>
    </vt:vector>
  </TitlesOfParts>
  <Company>Department of Health and Human Services</Company>
  <LinksUpToDate>false</LinksUpToDate>
  <CharactersWithSpaces>5912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1819 Bulletin - edition 5 </dc:title>
  <dc:subject>VADC 1819 Bulletin - edition 5</dc:subject>
  <dc:creator>Mental health and Drugs data </dc:creator>
  <cp:keywords>VADC. Bulletin</cp:keywords>
  <cp:lastModifiedBy>Sarah Luscombe (DHHS)</cp:lastModifiedBy>
  <cp:revision>27</cp:revision>
  <cp:lastPrinted>2019-03-13T05:32:00Z</cp:lastPrinted>
  <dcterms:created xsi:type="dcterms:W3CDTF">2019-02-27T04:16:00Z</dcterms:created>
  <dcterms:modified xsi:type="dcterms:W3CDTF">2019-08-12T03:09:00Z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