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E5F" w:rsidRPr="004946F4" w:rsidRDefault="00AF44A1" w:rsidP="00DE6028">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10695305" cy="1713865"/>
            <wp:effectExtent l="0" t="0" r="0" b="0"/>
            <wp:wrapNone/>
            <wp:docPr id="33" name="Picture 3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95305"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CF41DA">
          <w:footerReference w:type="default" r:id="rId9"/>
          <w:pgSz w:w="16838" w:h="11906" w:orient="landscape" w:code="9"/>
          <w:pgMar w:top="425" w:right="851" w:bottom="1418" w:left="851" w:header="510" w:footer="510" w:gutter="0"/>
          <w:cols w:space="708"/>
          <w:docGrid w:linePitch="360"/>
        </w:sectPr>
      </w:pPr>
    </w:p>
    <w:tbl>
      <w:tblPr>
        <w:tblW w:w="13291" w:type="dxa"/>
        <w:tblLook w:val="04A0" w:firstRow="1" w:lastRow="0" w:firstColumn="1" w:lastColumn="0" w:noHBand="0" w:noVBand="1"/>
      </w:tblPr>
      <w:tblGrid>
        <w:gridCol w:w="13291"/>
      </w:tblGrid>
      <w:tr w:rsidR="003A3438" w:rsidTr="00BA4845">
        <w:trPr>
          <w:trHeight w:val="1106"/>
        </w:trPr>
        <w:tc>
          <w:tcPr>
            <w:tcW w:w="13291" w:type="dxa"/>
            <w:shd w:val="clear" w:color="auto" w:fill="auto"/>
            <w:vAlign w:val="bottom"/>
          </w:tcPr>
          <w:p w:rsidR="003A3438" w:rsidRPr="00161AA0" w:rsidRDefault="00AF44A1" w:rsidP="00840DF3">
            <w:pPr>
              <w:pStyle w:val="DHHSmainheading"/>
            </w:pPr>
            <w:bookmarkStart w:id="0" w:name="_Toc410762195"/>
            <w:r>
              <w:t xml:space="preserve">Victorian Alcohol and Drug Collection (VADC) </w:t>
            </w:r>
            <w:r w:rsidR="006B5E1A">
              <w:t>20</w:t>
            </w:r>
            <w:r>
              <w:t>18/19 Bulletin</w:t>
            </w:r>
          </w:p>
        </w:tc>
      </w:tr>
      <w:tr w:rsidR="003A3438" w:rsidTr="00CA6B58">
        <w:trPr>
          <w:trHeight w:hRule="exact" w:val="709"/>
        </w:trPr>
        <w:tc>
          <w:tcPr>
            <w:tcW w:w="13291" w:type="dxa"/>
            <w:shd w:val="clear" w:color="auto" w:fill="auto"/>
            <w:tcMar>
              <w:top w:w="340" w:type="dxa"/>
              <w:bottom w:w="680" w:type="dxa"/>
            </w:tcMar>
          </w:tcPr>
          <w:p w:rsidR="003A3438" w:rsidRDefault="005133F9" w:rsidP="00840DF3">
            <w:pPr>
              <w:pStyle w:val="DHHSmainsubheading"/>
            </w:pPr>
            <w:r>
              <w:rPr>
                <w:szCs w:val="28"/>
              </w:rPr>
              <w:t>Edition</w:t>
            </w:r>
            <w:r w:rsidR="00AF44A1">
              <w:rPr>
                <w:szCs w:val="28"/>
              </w:rPr>
              <w:t xml:space="preserve"> </w:t>
            </w:r>
            <w:r w:rsidR="00EC0082">
              <w:rPr>
                <w:szCs w:val="28"/>
              </w:rPr>
              <w:t>3</w:t>
            </w:r>
            <w:r w:rsidR="00AF44A1">
              <w:rPr>
                <w:szCs w:val="28"/>
              </w:rPr>
              <w:t xml:space="preserve">: </w:t>
            </w:r>
            <w:r w:rsidR="002C1623">
              <w:rPr>
                <w:szCs w:val="28"/>
              </w:rPr>
              <w:t>1</w:t>
            </w:r>
            <w:r w:rsidR="003D4B4A">
              <w:rPr>
                <w:szCs w:val="28"/>
              </w:rPr>
              <w:t>1</w:t>
            </w:r>
            <w:r w:rsidR="002C1623">
              <w:rPr>
                <w:szCs w:val="28"/>
              </w:rPr>
              <w:t xml:space="preserve"> </w:t>
            </w:r>
            <w:r w:rsidR="00EC0082">
              <w:rPr>
                <w:szCs w:val="28"/>
              </w:rPr>
              <w:t>February</w:t>
            </w:r>
            <w:r w:rsidR="00AF44A1">
              <w:rPr>
                <w:szCs w:val="28"/>
              </w:rPr>
              <w:t xml:space="preserve"> 201</w:t>
            </w:r>
            <w:r w:rsidR="00EC0082">
              <w:rPr>
                <w:szCs w:val="28"/>
              </w:rPr>
              <w:t>9</w:t>
            </w:r>
          </w:p>
        </w:tc>
      </w:tr>
    </w:tbl>
    <w:p w:rsidR="008C5F67" w:rsidRDefault="008C5F67" w:rsidP="008C5F67">
      <w:pPr>
        <w:rPr>
          <w:rFonts w:ascii="Arial" w:hAnsi="Arial" w:cs="Arial"/>
          <w:b/>
          <w:color w:val="000000" w:themeColor="text1"/>
          <w:sz w:val="22"/>
        </w:rPr>
      </w:pPr>
      <w:bookmarkStart w:id="1" w:name="_Toc531174432"/>
      <w:bookmarkEnd w:id="0"/>
      <w:r>
        <w:rPr>
          <w:rFonts w:ascii="Arial" w:hAnsi="Arial" w:cs="Arial"/>
          <w:b/>
          <w:color w:val="000000" w:themeColor="text1"/>
          <w:sz w:val="22"/>
        </w:rPr>
        <w:t xml:space="preserve">VADC 18/19 Bulletins must be read in conjunction with the VADC 2018-19 Specification for the latest version of the specifications. </w:t>
      </w:r>
    </w:p>
    <w:p w:rsidR="00AF44A1" w:rsidRDefault="00AF44A1" w:rsidP="00AF44A1">
      <w:pPr>
        <w:pStyle w:val="Heading1"/>
        <w:spacing w:before="0"/>
      </w:pPr>
    </w:p>
    <w:p w:rsidR="00AF44A1" w:rsidRDefault="00AF44A1" w:rsidP="00AF44A1">
      <w:pPr>
        <w:pStyle w:val="Heading1"/>
        <w:spacing w:before="0"/>
      </w:pPr>
      <w:r>
        <w:t>VADC</w:t>
      </w:r>
      <w:r w:rsidR="0061635F">
        <w:t xml:space="preserve"> Data Collection</w:t>
      </w:r>
      <w:r>
        <w:t xml:space="preserve"> </w:t>
      </w:r>
      <w:r w:rsidR="0061635F">
        <w:t xml:space="preserve">implementation </w:t>
      </w:r>
      <w:r>
        <w:t>update</w:t>
      </w:r>
      <w:bookmarkEnd w:id="1"/>
    </w:p>
    <w:p w:rsidR="00AF44A1" w:rsidRPr="00EA0C53" w:rsidRDefault="00AF44A1" w:rsidP="00AF44A1">
      <w:pPr>
        <w:pStyle w:val="Heading2"/>
        <w:numPr>
          <w:ilvl w:val="0"/>
          <w:numId w:val="15"/>
        </w:numPr>
      </w:pPr>
      <w:bookmarkStart w:id="2" w:name="_Toc531174433"/>
      <w:r>
        <w:t>Validation issues</w:t>
      </w:r>
      <w:bookmarkEnd w:id="2"/>
      <w:r w:rsidR="00A227F1">
        <w:t xml:space="preserve"> update</w:t>
      </w:r>
    </w:p>
    <w:p w:rsidR="00AF44A1" w:rsidRDefault="00AF44A1" w:rsidP="00AF44A1">
      <w:pPr>
        <w:pStyle w:val="DHHSbody"/>
      </w:pPr>
      <w:r>
        <w:t>The following list desc</w:t>
      </w:r>
      <w:r w:rsidR="00513896">
        <w:t xml:space="preserve">ribes current validation issues that have been identified and </w:t>
      </w:r>
      <w:r w:rsidR="00F75920">
        <w:t>their status.</w:t>
      </w:r>
    </w:p>
    <w:tbl>
      <w:tblPr>
        <w:tblW w:w="14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618"/>
        <w:gridCol w:w="5461"/>
        <w:gridCol w:w="2691"/>
        <w:gridCol w:w="2693"/>
      </w:tblGrid>
      <w:tr w:rsidR="00B4088B" w:rsidTr="003B183A">
        <w:trPr>
          <w:tblHeader/>
        </w:trPr>
        <w:tc>
          <w:tcPr>
            <w:tcW w:w="880" w:type="dxa"/>
          </w:tcPr>
          <w:p w:rsidR="00B4088B" w:rsidRDefault="00B4088B" w:rsidP="001C5D54">
            <w:pPr>
              <w:pStyle w:val="DHHStablecolhead"/>
            </w:pPr>
            <w:r>
              <w:t>ID</w:t>
            </w:r>
          </w:p>
        </w:tc>
        <w:tc>
          <w:tcPr>
            <w:tcW w:w="2618" w:type="dxa"/>
            <w:shd w:val="clear" w:color="auto" w:fill="auto"/>
          </w:tcPr>
          <w:p w:rsidR="00B4088B" w:rsidRPr="000A6666" w:rsidRDefault="00B4088B" w:rsidP="001C5D54">
            <w:pPr>
              <w:pStyle w:val="DHHStablecolhead"/>
            </w:pPr>
            <w:r>
              <w:t xml:space="preserve">Related validations </w:t>
            </w:r>
          </w:p>
        </w:tc>
        <w:tc>
          <w:tcPr>
            <w:tcW w:w="5461" w:type="dxa"/>
          </w:tcPr>
          <w:p w:rsidR="00B4088B" w:rsidRPr="00B36948" w:rsidRDefault="00B4088B" w:rsidP="001C5D54">
            <w:pPr>
              <w:pStyle w:val="DHHStablecolhead"/>
            </w:pPr>
            <w:r>
              <w:t>Issue Description</w:t>
            </w:r>
          </w:p>
        </w:tc>
        <w:tc>
          <w:tcPr>
            <w:tcW w:w="2691" w:type="dxa"/>
          </w:tcPr>
          <w:p w:rsidR="00B4088B" w:rsidRPr="00D95FB6" w:rsidRDefault="00B4088B" w:rsidP="001C5D54">
            <w:pPr>
              <w:pStyle w:val="DHHStablecolhead"/>
              <w:rPr>
                <w:rFonts w:cs="Arial"/>
              </w:rPr>
            </w:pPr>
            <w:r w:rsidRPr="00D95FB6">
              <w:rPr>
                <w:rFonts w:cs="Arial"/>
              </w:rPr>
              <w:t>Update</w:t>
            </w:r>
          </w:p>
        </w:tc>
        <w:tc>
          <w:tcPr>
            <w:tcW w:w="2693" w:type="dxa"/>
          </w:tcPr>
          <w:p w:rsidR="00B4088B" w:rsidRDefault="00B4088B" w:rsidP="001C5D54">
            <w:pPr>
              <w:pStyle w:val="DHHStablecolhead"/>
            </w:pPr>
            <w:r>
              <w:t>Outcome</w:t>
            </w:r>
          </w:p>
        </w:tc>
      </w:tr>
      <w:tr w:rsidR="00B4088B" w:rsidTr="003B183A">
        <w:tc>
          <w:tcPr>
            <w:tcW w:w="880" w:type="dxa"/>
          </w:tcPr>
          <w:p w:rsidR="00B4088B" w:rsidRPr="00EC0082" w:rsidRDefault="00B4088B" w:rsidP="001C5D54">
            <w:pPr>
              <w:pStyle w:val="DHHStabletext"/>
              <w:rPr>
                <w:rFonts w:cs="Arial"/>
              </w:rPr>
            </w:pPr>
            <w:r w:rsidRPr="00EC0082">
              <w:rPr>
                <w:rFonts w:cs="Arial"/>
              </w:rPr>
              <w:t>VI_1</w:t>
            </w:r>
          </w:p>
        </w:tc>
        <w:tc>
          <w:tcPr>
            <w:tcW w:w="2618" w:type="dxa"/>
            <w:shd w:val="clear" w:color="auto" w:fill="auto"/>
          </w:tcPr>
          <w:p w:rsidR="00B4088B" w:rsidRPr="00EC0082" w:rsidRDefault="00B4088B" w:rsidP="001C5D54">
            <w:pPr>
              <w:pStyle w:val="DHHStabletext"/>
              <w:rPr>
                <w:rFonts w:cs="Arial"/>
              </w:rPr>
            </w:pPr>
            <w:r w:rsidRPr="00EC0082">
              <w:rPr>
                <w:rFonts w:cs="Arial"/>
              </w:rPr>
              <w:t>AOD140</w:t>
            </w:r>
          </w:p>
        </w:tc>
        <w:tc>
          <w:tcPr>
            <w:tcW w:w="5461" w:type="dxa"/>
          </w:tcPr>
          <w:p w:rsidR="00B4088B" w:rsidRDefault="00B4088B" w:rsidP="003B183A">
            <w:pPr>
              <w:pStyle w:val="DHHStabletext"/>
              <w:rPr>
                <w:rFonts w:cs="Arial"/>
              </w:rPr>
            </w:pPr>
            <w:r w:rsidRPr="00EC0082">
              <w:rPr>
                <w:rFonts w:cs="Arial"/>
              </w:rPr>
              <w:t>Currently triggers an error, under review whether to change to warning</w:t>
            </w:r>
            <w:r w:rsidR="00A0176A">
              <w:rPr>
                <w:rFonts w:cs="Arial"/>
              </w:rPr>
              <w:t>.</w:t>
            </w:r>
          </w:p>
          <w:p w:rsidR="006B5E1A" w:rsidRDefault="006B5E1A" w:rsidP="003B183A">
            <w:pPr>
              <w:pStyle w:val="DHHStabletext"/>
              <w:rPr>
                <w:rFonts w:cs="Arial"/>
              </w:rPr>
            </w:pPr>
          </w:p>
          <w:p w:rsidR="006B5E1A" w:rsidRPr="00EC0082" w:rsidRDefault="003B183A" w:rsidP="003B183A">
            <w:pPr>
              <w:pStyle w:val="DHHStabletext"/>
              <w:rPr>
                <w:rFonts w:cs="Arial"/>
              </w:rPr>
            </w:pPr>
            <w:r>
              <w:rPr>
                <w:rFonts w:cs="Arial"/>
              </w:rPr>
              <w:t>Issue u</w:t>
            </w:r>
            <w:r w:rsidR="009D345D">
              <w:rPr>
                <w:rFonts w:cs="Arial"/>
              </w:rPr>
              <w:t xml:space="preserve">pdate: </w:t>
            </w:r>
            <w:r w:rsidR="006B5E1A">
              <w:rPr>
                <w:rFonts w:cs="Arial"/>
              </w:rPr>
              <w:t>AOD providers unable to submit outcomes for open service events.</w:t>
            </w:r>
          </w:p>
        </w:tc>
        <w:tc>
          <w:tcPr>
            <w:tcW w:w="2691" w:type="dxa"/>
          </w:tcPr>
          <w:p w:rsidR="003D4B4A" w:rsidRPr="00D95FB6" w:rsidRDefault="00804484" w:rsidP="001C5D54">
            <w:pPr>
              <w:pStyle w:val="DHHStabletext"/>
              <w:rPr>
                <w:rFonts w:cs="Arial"/>
                <w:b/>
              </w:rPr>
            </w:pPr>
            <w:bookmarkStart w:id="3" w:name="_Hlk367647"/>
            <w:r w:rsidRPr="00D95FB6">
              <w:rPr>
                <w:rFonts w:cs="Arial"/>
                <w:b/>
              </w:rPr>
              <w:t>Resolved</w:t>
            </w:r>
            <w:r w:rsidR="003D4B4A" w:rsidRPr="00D95FB6">
              <w:rPr>
                <w:rFonts w:cs="Arial"/>
                <w:b/>
              </w:rPr>
              <w:t xml:space="preserve"> –</w:t>
            </w:r>
          </w:p>
          <w:p w:rsidR="003D4B4A" w:rsidRPr="00D95FB6" w:rsidRDefault="003D4B4A" w:rsidP="001C5D54">
            <w:pPr>
              <w:pStyle w:val="DHHStabletext"/>
              <w:rPr>
                <w:rFonts w:cs="Arial"/>
                <w:b/>
              </w:rPr>
            </w:pPr>
            <w:r w:rsidRPr="00D95FB6">
              <w:rPr>
                <w:rFonts w:cs="Arial"/>
                <w:b/>
              </w:rPr>
              <w:t>For deployment into VADC live Production</w:t>
            </w:r>
          </w:p>
          <w:p w:rsidR="00B4088B" w:rsidRPr="00D95FB6" w:rsidRDefault="003D4B4A" w:rsidP="001C5D54">
            <w:pPr>
              <w:pStyle w:val="DHHStabletext"/>
              <w:rPr>
                <w:rFonts w:cs="Arial"/>
                <w:b/>
              </w:rPr>
            </w:pPr>
            <w:r w:rsidRPr="00D95FB6">
              <w:rPr>
                <w:rFonts w:cs="Arial"/>
                <w:b/>
              </w:rPr>
              <w:t>13/02/2019</w:t>
            </w:r>
            <w:r w:rsidR="00804484" w:rsidRPr="00D95FB6">
              <w:rPr>
                <w:rFonts w:cs="Arial"/>
                <w:b/>
              </w:rPr>
              <w:t xml:space="preserve"> </w:t>
            </w:r>
            <w:bookmarkEnd w:id="3"/>
            <w:r w:rsidR="00D95FB6" w:rsidRPr="00D95FB6">
              <w:rPr>
                <w:rFonts w:cs="Arial"/>
                <w:b/>
              </w:rPr>
              <w:t>14:00</w:t>
            </w:r>
          </w:p>
        </w:tc>
        <w:tc>
          <w:tcPr>
            <w:tcW w:w="2693" w:type="dxa"/>
          </w:tcPr>
          <w:p w:rsidR="00B4088B" w:rsidRDefault="00EC0082" w:rsidP="001C5D54">
            <w:pPr>
              <w:pStyle w:val="DHHStabletext"/>
              <w:rPr>
                <w:rFonts w:cs="Arial"/>
              </w:rPr>
            </w:pPr>
            <w:r>
              <w:rPr>
                <w:rFonts w:cs="Arial"/>
              </w:rPr>
              <w:t xml:space="preserve">Refer to Section </w:t>
            </w:r>
            <w:r w:rsidR="00A227F1">
              <w:rPr>
                <w:rFonts w:cs="Arial"/>
              </w:rPr>
              <w:t>1.3</w:t>
            </w:r>
            <w:r>
              <w:rPr>
                <w:rFonts w:cs="Arial"/>
              </w:rPr>
              <w:t xml:space="preserve"> VADC specification update</w:t>
            </w:r>
            <w:r w:rsidR="003D4B4A">
              <w:rPr>
                <w:rFonts w:cs="Arial"/>
              </w:rPr>
              <w:t>.</w:t>
            </w:r>
          </w:p>
          <w:p w:rsidR="006B5E1A" w:rsidRPr="00EC0082" w:rsidRDefault="006B5E1A" w:rsidP="001C5D54">
            <w:pPr>
              <w:pStyle w:val="DHHStabletext"/>
              <w:rPr>
                <w:rFonts w:cs="Arial"/>
              </w:rPr>
            </w:pPr>
            <w:r>
              <w:rPr>
                <w:rFonts w:cs="Arial"/>
              </w:rPr>
              <w:t>Outcomes validation will only trigger for closed service events.</w:t>
            </w:r>
          </w:p>
        </w:tc>
      </w:tr>
      <w:tr w:rsidR="002C1623" w:rsidTr="003B183A">
        <w:tc>
          <w:tcPr>
            <w:tcW w:w="880" w:type="dxa"/>
          </w:tcPr>
          <w:p w:rsidR="002C1623" w:rsidRPr="00EC0082" w:rsidRDefault="002C1623" w:rsidP="002C1623">
            <w:pPr>
              <w:pStyle w:val="DHHStabletext"/>
              <w:rPr>
                <w:rFonts w:cs="Arial"/>
              </w:rPr>
            </w:pPr>
            <w:r w:rsidRPr="00EC0082">
              <w:rPr>
                <w:rFonts w:cs="Arial"/>
              </w:rPr>
              <w:t>VI_2</w:t>
            </w:r>
          </w:p>
        </w:tc>
        <w:tc>
          <w:tcPr>
            <w:tcW w:w="2618" w:type="dxa"/>
            <w:shd w:val="clear" w:color="auto" w:fill="auto"/>
          </w:tcPr>
          <w:p w:rsidR="002C1623" w:rsidRPr="00EC0082" w:rsidRDefault="002C1623" w:rsidP="002C1623">
            <w:pPr>
              <w:pStyle w:val="DHHStabletext"/>
              <w:rPr>
                <w:rFonts w:cs="Arial"/>
              </w:rPr>
            </w:pPr>
            <w:r w:rsidRPr="00EC0082">
              <w:rPr>
                <w:rFonts w:cs="Arial"/>
              </w:rPr>
              <w:t>AOD29</w:t>
            </w:r>
          </w:p>
        </w:tc>
        <w:tc>
          <w:tcPr>
            <w:tcW w:w="5461" w:type="dxa"/>
          </w:tcPr>
          <w:p w:rsidR="002C1623" w:rsidRDefault="002C1623" w:rsidP="003B183A">
            <w:pPr>
              <w:pStyle w:val="DHHStabletext"/>
              <w:rPr>
                <w:rFonts w:cs="Arial"/>
              </w:rPr>
            </w:pPr>
            <w:r w:rsidRPr="00EC0082">
              <w:rPr>
                <w:rFonts w:cs="Arial"/>
              </w:rPr>
              <w:t>Currently triggers an error, under review whether to change to warning</w:t>
            </w:r>
            <w:r w:rsidR="00A0176A">
              <w:rPr>
                <w:rFonts w:cs="Arial"/>
              </w:rPr>
              <w:t>.</w:t>
            </w:r>
          </w:p>
          <w:p w:rsidR="003B183A" w:rsidRDefault="003B183A" w:rsidP="003B183A">
            <w:pPr>
              <w:pStyle w:val="DHHStabletext"/>
              <w:rPr>
                <w:rFonts w:cs="Arial"/>
              </w:rPr>
            </w:pPr>
          </w:p>
          <w:p w:rsidR="003B183A" w:rsidRDefault="003B183A" w:rsidP="003B183A">
            <w:pPr>
              <w:pStyle w:val="DHHStabletext"/>
              <w:rPr>
                <w:rFonts w:cs="Arial"/>
              </w:rPr>
            </w:pPr>
          </w:p>
          <w:p w:rsidR="003B183A" w:rsidRPr="00EC0082" w:rsidRDefault="003B183A" w:rsidP="003B183A">
            <w:pPr>
              <w:pStyle w:val="DHHStabletext"/>
              <w:rPr>
                <w:rFonts w:cs="Arial"/>
              </w:rPr>
            </w:pPr>
            <w:r>
              <w:rPr>
                <w:rFonts w:cs="Arial"/>
              </w:rPr>
              <w:t>Issue update: TIER/MASCOT not applicable for all service providers.</w:t>
            </w:r>
          </w:p>
        </w:tc>
        <w:tc>
          <w:tcPr>
            <w:tcW w:w="2691" w:type="dxa"/>
          </w:tcPr>
          <w:p w:rsidR="003D4B4A" w:rsidRPr="00D95FB6" w:rsidRDefault="003D4B4A" w:rsidP="003D4B4A">
            <w:pPr>
              <w:pStyle w:val="DHHStabletext"/>
              <w:rPr>
                <w:rFonts w:cs="Arial"/>
                <w:b/>
              </w:rPr>
            </w:pPr>
            <w:r w:rsidRPr="00D95FB6">
              <w:rPr>
                <w:rFonts w:cs="Arial"/>
                <w:b/>
              </w:rPr>
              <w:t>Resolved –</w:t>
            </w:r>
          </w:p>
          <w:p w:rsidR="003D4B4A" w:rsidRPr="00D95FB6" w:rsidRDefault="003D4B4A" w:rsidP="003D4B4A">
            <w:pPr>
              <w:pStyle w:val="DHHStabletext"/>
              <w:rPr>
                <w:rFonts w:cs="Arial"/>
                <w:b/>
              </w:rPr>
            </w:pPr>
            <w:r w:rsidRPr="00D95FB6">
              <w:rPr>
                <w:rFonts w:cs="Arial"/>
                <w:b/>
              </w:rPr>
              <w:t>For deployment into VADC live Production</w:t>
            </w:r>
          </w:p>
          <w:p w:rsidR="002C1623" w:rsidRPr="00D95FB6" w:rsidRDefault="00D95FB6" w:rsidP="003D4B4A">
            <w:pPr>
              <w:rPr>
                <w:rFonts w:ascii="Arial" w:hAnsi="Arial" w:cs="Arial"/>
                <w:b/>
              </w:rPr>
            </w:pPr>
            <w:r w:rsidRPr="00D95FB6">
              <w:rPr>
                <w:rFonts w:ascii="Arial" w:hAnsi="Arial" w:cs="Arial"/>
                <w:b/>
              </w:rPr>
              <w:t>13/02/2019 14:00</w:t>
            </w:r>
          </w:p>
        </w:tc>
        <w:tc>
          <w:tcPr>
            <w:tcW w:w="2693" w:type="dxa"/>
          </w:tcPr>
          <w:p w:rsidR="00EC0082" w:rsidRDefault="00EC0082" w:rsidP="00EC0082">
            <w:pPr>
              <w:pStyle w:val="DHHStabletext"/>
              <w:rPr>
                <w:rFonts w:cs="Arial"/>
              </w:rPr>
            </w:pPr>
            <w:r>
              <w:rPr>
                <w:rFonts w:cs="Arial"/>
              </w:rPr>
              <w:t xml:space="preserve">Resolved – </w:t>
            </w:r>
          </w:p>
          <w:p w:rsidR="002C1623" w:rsidRDefault="00EC0082" w:rsidP="00EC0082">
            <w:pPr>
              <w:pStyle w:val="DHHStabletext"/>
              <w:rPr>
                <w:rFonts w:cs="Arial"/>
              </w:rPr>
            </w:pPr>
            <w:r>
              <w:rPr>
                <w:rFonts w:cs="Arial"/>
              </w:rPr>
              <w:t xml:space="preserve">Refer to Section </w:t>
            </w:r>
            <w:r w:rsidR="00A227F1">
              <w:rPr>
                <w:rFonts w:cs="Arial"/>
              </w:rPr>
              <w:t>1.3</w:t>
            </w:r>
            <w:r>
              <w:rPr>
                <w:rFonts w:cs="Arial"/>
              </w:rPr>
              <w:t xml:space="preserve"> VADC specification update</w:t>
            </w:r>
            <w:r w:rsidR="001F08D8">
              <w:rPr>
                <w:rFonts w:cs="Arial"/>
              </w:rPr>
              <w:t>.</w:t>
            </w:r>
          </w:p>
          <w:p w:rsidR="003B183A" w:rsidRDefault="003B183A" w:rsidP="00EC0082">
            <w:pPr>
              <w:pStyle w:val="DHHStabletext"/>
              <w:rPr>
                <w:rFonts w:cs="Arial"/>
              </w:rPr>
            </w:pPr>
          </w:p>
          <w:p w:rsidR="003B183A" w:rsidRPr="00EC0082" w:rsidRDefault="003B183A" w:rsidP="00EC0082">
            <w:pPr>
              <w:pStyle w:val="DHHStabletext"/>
              <w:rPr>
                <w:rFonts w:cs="Arial"/>
              </w:rPr>
            </w:pPr>
            <w:r>
              <w:rPr>
                <w:rFonts w:cs="Arial"/>
              </w:rPr>
              <w:t>Where a supplementary value is submitted for TIER/MASCOT, validation will not be triggered.</w:t>
            </w:r>
          </w:p>
        </w:tc>
      </w:tr>
      <w:tr w:rsidR="00A227F1" w:rsidTr="003B183A">
        <w:tc>
          <w:tcPr>
            <w:tcW w:w="880" w:type="dxa"/>
          </w:tcPr>
          <w:p w:rsidR="00A227F1" w:rsidRPr="00EC0082" w:rsidRDefault="00A227F1" w:rsidP="00A227F1">
            <w:pPr>
              <w:pStyle w:val="DHHStabletext"/>
              <w:rPr>
                <w:rFonts w:cs="Arial"/>
              </w:rPr>
            </w:pPr>
            <w:r w:rsidRPr="00EC0082">
              <w:rPr>
                <w:rFonts w:cs="Arial"/>
              </w:rPr>
              <w:t>VI_6</w:t>
            </w:r>
          </w:p>
        </w:tc>
        <w:tc>
          <w:tcPr>
            <w:tcW w:w="2618" w:type="dxa"/>
            <w:shd w:val="clear" w:color="auto" w:fill="auto"/>
          </w:tcPr>
          <w:p w:rsidR="00A227F1" w:rsidRPr="00EC0082" w:rsidRDefault="00A227F1" w:rsidP="00A227F1">
            <w:pPr>
              <w:pStyle w:val="DHHStabletext"/>
              <w:rPr>
                <w:rFonts w:cs="Arial"/>
              </w:rPr>
            </w:pPr>
            <w:r w:rsidRPr="00EC0082">
              <w:rPr>
                <w:rFonts w:cs="Arial"/>
              </w:rPr>
              <w:t>AOD 74 and 77</w:t>
            </w:r>
          </w:p>
        </w:tc>
        <w:tc>
          <w:tcPr>
            <w:tcW w:w="5461" w:type="dxa"/>
          </w:tcPr>
          <w:p w:rsidR="00A227F1" w:rsidRPr="00EC0082" w:rsidRDefault="00A227F1" w:rsidP="003B183A">
            <w:pPr>
              <w:pStyle w:val="DHHStabletext"/>
              <w:rPr>
                <w:rFonts w:cs="Arial"/>
              </w:rPr>
            </w:pPr>
            <w:r w:rsidRPr="00EC0082">
              <w:rPr>
                <w:rFonts w:cs="Arial"/>
              </w:rPr>
              <w:t>Under review for change from warning to error.</w:t>
            </w:r>
          </w:p>
        </w:tc>
        <w:tc>
          <w:tcPr>
            <w:tcW w:w="2691" w:type="dxa"/>
          </w:tcPr>
          <w:p w:rsidR="003D4B4A" w:rsidRPr="00D95FB6" w:rsidRDefault="003D4B4A" w:rsidP="003D4B4A">
            <w:pPr>
              <w:pStyle w:val="DHHStabletext"/>
              <w:rPr>
                <w:rFonts w:cs="Arial"/>
                <w:b/>
              </w:rPr>
            </w:pPr>
            <w:r w:rsidRPr="00D95FB6">
              <w:rPr>
                <w:rFonts w:cs="Arial"/>
                <w:b/>
              </w:rPr>
              <w:t>Resolved –</w:t>
            </w:r>
          </w:p>
          <w:p w:rsidR="003D4B4A" w:rsidRPr="00D95FB6" w:rsidRDefault="003D4B4A" w:rsidP="003D4B4A">
            <w:pPr>
              <w:pStyle w:val="DHHStabletext"/>
              <w:rPr>
                <w:rFonts w:cs="Arial"/>
                <w:b/>
              </w:rPr>
            </w:pPr>
            <w:r w:rsidRPr="00D95FB6">
              <w:rPr>
                <w:rFonts w:cs="Arial"/>
                <w:b/>
              </w:rPr>
              <w:t>For deployment into VADC live Production</w:t>
            </w:r>
          </w:p>
          <w:p w:rsidR="00A227F1" w:rsidRPr="00D95FB6" w:rsidRDefault="00D95FB6" w:rsidP="003D4B4A">
            <w:pPr>
              <w:rPr>
                <w:rFonts w:ascii="Arial" w:hAnsi="Arial" w:cs="Arial"/>
                <w:b/>
              </w:rPr>
            </w:pPr>
            <w:r w:rsidRPr="00D95FB6">
              <w:rPr>
                <w:rFonts w:ascii="Arial" w:hAnsi="Arial" w:cs="Arial"/>
                <w:b/>
              </w:rPr>
              <w:lastRenderedPageBreak/>
              <w:t>13/02/2019 14:00</w:t>
            </w:r>
          </w:p>
        </w:tc>
        <w:tc>
          <w:tcPr>
            <w:tcW w:w="2693" w:type="dxa"/>
          </w:tcPr>
          <w:p w:rsidR="00A227F1" w:rsidRPr="00EC0082" w:rsidRDefault="00A227F1" w:rsidP="00A227F1">
            <w:pPr>
              <w:pStyle w:val="DHHStabletext"/>
              <w:rPr>
                <w:rFonts w:cs="Arial"/>
              </w:rPr>
            </w:pPr>
            <w:r>
              <w:rPr>
                <w:rFonts w:cs="Arial"/>
              </w:rPr>
              <w:lastRenderedPageBreak/>
              <w:t>Refer to Section 1.3 VADC specification update.</w:t>
            </w:r>
          </w:p>
        </w:tc>
      </w:tr>
      <w:tr w:rsidR="00A227F1" w:rsidTr="003B183A">
        <w:tc>
          <w:tcPr>
            <w:tcW w:w="880" w:type="dxa"/>
          </w:tcPr>
          <w:p w:rsidR="00A227F1" w:rsidRPr="00EC0082" w:rsidRDefault="00A227F1" w:rsidP="00A227F1">
            <w:pPr>
              <w:pStyle w:val="DHHStabletext"/>
              <w:rPr>
                <w:rFonts w:cs="Arial"/>
              </w:rPr>
            </w:pPr>
            <w:r w:rsidRPr="00EC0082">
              <w:rPr>
                <w:rFonts w:cs="Arial"/>
              </w:rPr>
              <w:t>VI_7</w:t>
            </w:r>
          </w:p>
        </w:tc>
        <w:tc>
          <w:tcPr>
            <w:tcW w:w="2618" w:type="dxa"/>
            <w:shd w:val="clear" w:color="auto" w:fill="auto"/>
          </w:tcPr>
          <w:p w:rsidR="00A227F1" w:rsidRPr="00EC0082" w:rsidRDefault="00A227F1" w:rsidP="00A227F1">
            <w:pPr>
              <w:pStyle w:val="DHHStabletext"/>
              <w:rPr>
                <w:rFonts w:cs="Arial"/>
              </w:rPr>
            </w:pPr>
            <w:r w:rsidRPr="00EC0082">
              <w:rPr>
                <w:rFonts w:cs="Arial"/>
              </w:rPr>
              <w:t>AOD31</w:t>
            </w:r>
          </w:p>
        </w:tc>
        <w:tc>
          <w:tcPr>
            <w:tcW w:w="5461" w:type="dxa"/>
          </w:tcPr>
          <w:p w:rsidR="00A227F1" w:rsidRPr="00EC0082" w:rsidRDefault="00A227F1" w:rsidP="003B183A">
            <w:pPr>
              <w:pStyle w:val="DHHStabletext"/>
              <w:rPr>
                <w:rFonts w:cs="Arial"/>
              </w:rPr>
            </w:pPr>
            <w:r w:rsidRPr="00EC0082">
              <w:rPr>
                <w:rFonts w:cs="Arial"/>
              </w:rPr>
              <w:t>Currently triggers an error, under review whether to change to warning</w:t>
            </w:r>
            <w:r>
              <w:rPr>
                <w:rFonts w:cs="Arial"/>
              </w:rPr>
              <w:t>.</w:t>
            </w:r>
          </w:p>
        </w:tc>
        <w:tc>
          <w:tcPr>
            <w:tcW w:w="2691" w:type="dxa"/>
          </w:tcPr>
          <w:p w:rsidR="003D4B4A" w:rsidRPr="00D95FB6" w:rsidRDefault="003D4B4A" w:rsidP="003D4B4A">
            <w:pPr>
              <w:pStyle w:val="DHHStabletext"/>
              <w:rPr>
                <w:rFonts w:cs="Arial"/>
                <w:b/>
              </w:rPr>
            </w:pPr>
            <w:r w:rsidRPr="00D95FB6">
              <w:rPr>
                <w:rFonts w:cs="Arial"/>
                <w:b/>
              </w:rPr>
              <w:t>Resolved –</w:t>
            </w:r>
          </w:p>
          <w:p w:rsidR="003D4B4A" w:rsidRPr="00D95FB6" w:rsidRDefault="003D4B4A" w:rsidP="003D4B4A">
            <w:pPr>
              <w:pStyle w:val="DHHStabletext"/>
              <w:rPr>
                <w:rFonts w:cs="Arial"/>
                <w:b/>
              </w:rPr>
            </w:pPr>
            <w:r w:rsidRPr="00D95FB6">
              <w:rPr>
                <w:rFonts w:cs="Arial"/>
                <w:b/>
              </w:rPr>
              <w:t>For deployment into VADC live Production</w:t>
            </w:r>
          </w:p>
          <w:p w:rsidR="00A227F1" w:rsidRPr="00D95FB6" w:rsidRDefault="00D95FB6" w:rsidP="003D4B4A">
            <w:pPr>
              <w:rPr>
                <w:rFonts w:ascii="Arial" w:hAnsi="Arial" w:cs="Arial"/>
                <w:b/>
              </w:rPr>
            </w:pPr>
            <w:r w:rsidRPr="00D95FB6">
              <w:rPr>
                <w:rFonts w:ascii="Arial" w:hAnsi="Arial" w:cs="Arial"/>
                <w:b/>
              </w:rPr>
              <w:t>13/02/2019 14:00</w:t>
            </w:r>
          </w:p>
        </w:tc>
        <w:tc>
          <w:tcPr>
            <w:tcW w:w="2693" w:type="dxa"/>
          </w:tcPr>
          <w:p w:rsidR="00A227F1" w:rsidRPr="00EC0082" w:rsidRDefault="00A227F1" w:rsidP="00A227F1">
            <w:pPr>
              <w:pStyle w:val="DHHStabletext"/>
              <w:rPr>
                <w:rFonts w:cs="Arial"/>
              </w:rPr>
            </w:pPr>
            <w:r>
              <w:rPr>
                <w:rFonts w:cs="Arial"/>
              </w:rPr>
              <w:t>Refer to Section 1.3 VADC specification update.</w:t>
            </w:r>
          </w:p>
        </w:tc>
      </w:tr>
      <w:tr w:rsidR="00A227F1" w:rsidTr="003B183A">
        <w:tc>
          <w:tcPr>
            <w:tcW w:w="880" w:type="dxa"/>
          </w:tcPr>
          <w:p w:rsidR="00A227F1" w:rsidRPr="00EC0082" w:rsidRDefault="00A227F1" w:rsidP="00A227F1">
            <w:pPr>
              <w:pStyle w:val="DHHStabletext"/>
              <w:rPr>
                <w:rFonts w:cs="Arial"/>
              </w:rPr>
            </w:pPr>
            <w:r w:rsidRPr="00EC0082">
              <w:rPr>
                <w:rFonts w:cs="Arial"/>
              </w:rPr>
              <w:t>VI_8</w:t>
            </w:r>
          </w:p>
        </w:tc>
        <w:tc>
          <w:tcPr>
            <w:tcW w:w="2618" w:type="dxa"/>
            <w:shd w:val="clear" w:color="auto" w:fill="auto"/>
          </w:tcPr>
          <w:p w:rsidR="00A227F1" w:rsidRPr="00EC0082" w:rsidRDefault="00A227F1" w:rsidP="00A227F1">
            <w:pPr>
              <w:pStyle w:val="DHHStabletext"/>
              <w:rPr>
                <w:rFonts w:cs="Arial"/>
              </w:rPr>
            </w:pPr>
            <w:r w:rsidRPr="00EC0082">
              <w:rPr>
                <w:rFonts w:cs="Arial"/>
              </w:rPr>
              <w:t>AOD55</w:t>
            </w:r>
          </w:p>
        </w:tc>
        <w:tc>
          <w:tcPr>
            <w:tcW w:w="5461" w:type="dxa"/>
          </w:tcPr>
          <w:p w:rsidR="00A227F1" w:rsidRPr="00EC0082" w:rsidRDefault="00A227F1" w:rsidP="003B183A">
            <w:pPr>
              <w:pStyle w:val="DHHStabletext"/>
              <w:rPr>
                <w:rFonts w:cs="Arial"/>
              </w:rPr>
            </w:pPr>
            <w:r w:rsidRPr="00EC0082">
              <w:rPr>
                <w:rFonts w:cs="Arial"/>
              </w:rPr>
              <w:t>Currently triggers an error, under review whether to change to warning</w:t>
            </w:r>
            <w:r>
              <w:rPr>
                <w:rFonts w:cs="Arial"/>
              </w:rPr>
              <w:t>.</w:t>
            </w:r>
          </w:p>
        </w:tc>
        <w:tc>
          <w:tcPr>
            <w:tcW w:w="2691" w:type="dxa"/>
          </w:tcPr>
          <w:p w:rsidR="003D4B4A" w:rsidRPr="00D95FB6" w:rsidRDefault="003D4B4A" w:rsidP="003D4B4A">
            <w:pPr>
              <w:pStyle w:val="DHHStabletext"/>
              <w:rPr>
                <w:rFonts w:cs="Arial"/>
                <w:b/>
              </w:rPr>
            </w:pPr>
            <w:r w:rsidRPr="00D95FB6">
              <w:rPr>
                <w:rFonts w:cs="Arial"/>
                <w:b/>
              </w:rPr>
              <w:t>Resolved –</w:t>
            </w:r>
          </w:p>
          <w:p w:rsidR="003D4B4A" w:rsidRPr="00D95FB6" w:rsidRDefault="003D4B4A" w:rsidP="003D4B4A">
            <w:pPr>
              <w:pStyle w:val="DHHStabletext"/>
              <w:rPr>
                <w:rFonts w:cs="Arial"/>
                <w:b/>
              </w:rPr>
            </w:pPr>
            <w:r w:rsidRPr="00D95FB6">
              <w:rPr>
                <w:rFonts w:cs="Arial"/>
                <w:b/>
              </w:rPr>
              <w:t>For deployment into VADC live Production</w:t>
            </w:r>
          </w:p>
          <w:p w:rsidR="00A227F1" w:rsidRPr="00D95FB6" w:rsidRDefault="00D95FB6" w:rsidP="003D4B4A">
            <w:pPr>
              <w:rPr>
                <w:rFonts w:ascii="Arial" w:hAnsi="Arial" w:cs="Arial"/>
                <w:b/>
              </w:rPr>
            </w:pPr>
            <w:r w:rsidRPr="00D95FB6">
              <w:rPr>
                <w:rFonts w:ascii="Arial" w:hAnsi="Arial" w:cs="Arial"/>
                <w:b/>
              </w:rPr>
              <w:t>13/02/2019 14:00</w:t>
            </w:r>
          </w:p>
        </w:tc>
        <w:tc>
          <w:tcPr>
            <w:tcW w:w="2693" w:type="dxa"/>
          </w:tcPr>
          <w:p w:rsidR="00A227F1" w:rsidRPr="00EC0082" w:rsidRDefault="00A227F1" w:rsidP="00A227F1">
            <w:pPr>
              <w:pStyle w:val="DHHStabletext"/>
              <w:rPr>
                <w:rFonts w:cs="Arial"/>
              </w:rPr>
            </w:pPr>
            <w:r>
              <w:rPr>
                <w:rFonts w:cs="Arial"/>
              </w:rPr>
              <w:t>Refer to Section 1.3 VADC specification update.</w:t>
            </w:r>
          </w:p>
        </w:tc>
      </w:tr>
      <w:tr w:rsidR="00A227F1" w:rsidTr="003B183A">
        <w:tc>
          <w:tcPr>
            <w:tcW w:w="880" w:type="dxa"/>
            <w:vAlign w:val="bottom"/>
          </w:tcPr>
          <w:p w:rsidR="00A227F1" w:rsidRPr="00EC0082" w:rsidRDefault="00A227F1" w:rsidP="00A227F1">
            <w:pPr>
              <w:rPr>
                <w:rFonts w:ascii="Arial" w:hAnsi="Arial" w:cs="Arial"/>
                <w:color w:val="000000"/>
                <w:lang w:eastAsia="en-AU"/>
              </w:rPr>
            </w:pPr>
            <w:r w:rsidRPr="00EC0082">
              <w:rPr>
                <w:rFonts w:ascii="Arial" w:hAnsi="Arial" w:cs="Arial"/>
                <w:color w:val="000000"/>
              </w:rPr>
              <w:t>VI_9</w:t>
            </w:r>
          </w:p>
        </w:tc>
        <w:tc>
          <w:tcPr>
            <w:tcW w:w="2618" w:type="dxa"/>
            <w:shd w:val="clear" w:color="auto" w:fill="auto"/>
            <w:vAlign w:val="bottom"/>
          </w:tcPr>
          <w:p w:rsidR="00A227F1" w:rsidRPr="00EC0082" w:rsidRDefault="00A227F1" w:rsidP="00A227F1">
            <w:pPr>
              <w:rPr>
                <w:rFonts w:ascii="Arial" w:hAnsi="Arial" w:cs="Arial"/>
                <w:color w:val="000000"/>
              </w:rPr>
            </w:pPr>
            <w:r w:rsidRPr="00EC0082">
              <w:rPr>
                <w:rFonts w:ascii="Arial" w:hAnsi="Arial" w:cs="Arial"/>
                <w:color w:val="000000"/>
              </w:rPr>
              <w:t>AOD112</w:t>
            </w:r>
          </w:p>
        </w:tc>
        <w:tc>
          <w:tcPr>
            <w:tcW w:w="5461" w:type="dxa"/>
          </w:tcPr>
          <w:p w:rsidR="00A227F1" w:rsidRPr="00EC0082" w:rsidRDefault="00A227F1" w:rsidP="003B183A">
            <w:pPr>
              <w:rPr>
                <w:rFonts w:ascii="Arial" w:hAnsi="Arial" w:cs="Arial"/>
                <w:color w:val="000000"/>
              </w:rPr>
            </w:pPr>
            <w:r w:rsidRPr="00EC0082">
              <w:rPr>
                <w:rFonts w:ascii="Arial" w:hAnsi="Arial" w:cs="Arial"/>
                <w:color w:val="000000"/>
              </w:rPr>
              <w:t>Currently triggers as warning in system in certain circumstances, needs to change to trigger as error per specification requirement</w:t>
            </w:r>
            <w:r w:rsidR="00D245D3">
              <w:rPr>
                <w:rFonts w:ascii="Arial" w:hAnsi="Arial" w:cs="Arial"/>
                <w:color w:val="000000"/>
              </w:rPr>
              <w:t>.</w:t>
            </w:r>
          </w:p>
        </w:tc>
        <w:tc>
          <w:tcPr>
            <w:tcW w:w="2691" w:type="dxa"/>
          </w:tcPr>
          <w:p w:rsidR="003D4B4A" w:rsidRPr="00D95FB6" w:rsidRDefault="003D4B4A" w:rsidP="003D4B4A">
            <w:pPr>
              <w:pStyle w:val="DHHStabletext"/>
              <w:rPr>
                <w:rFonts w:cs="Arial"/>
                <w:b/>
              </w:rPr>
            </w:pPr>
            <w:r w:rsidRPr="00D95FB6">
              <w:rPr>
                <w:rFonts w:cs="Arial"/>
                <w:b/>
              </w:rPr>
              <w:t>Resolved –</w:t>
            </w:r>
          </w:p>
          <w:p w:rsidR="00A227F1" w:rsidRPr="00D95FB6" w:rsidRDefault="006B5E1A" w:rsidP="003D4B4A">
            <w:pPr>
              <w:rPr>
                <w:rFonts w:ascii="Arial" w:hAnsi="Arial" w:cs="Arial"/>
                <w:b/>
              </w:rPr>
            </w:pPr>
            <w:r>
              <w:rPr>
                <w:rFonts w:ascii="Arial" w:hAnsi="Arial" w:cs="Arial"/>
                <w:b/>
              </w:rPr>
              <w:t>Deployed December 2018</w:t>
            </w:r>
          </w:p>
        </w:tc>
        <w:tc>
          <w:tcPr>
            <w:tcW w:w="2693" w:type="dxa"/>
          </w:tcPr>
          <w:p w:rsidR="00A227F1" w:rsidRPr="00EC0082" w:rsidRDefault="006B5E1A" w:rsidP="00A227F1">
            <w:pPr>
              <w:pStyle w:val="DHHStabletext"/>
              <w:rPr>
                <w:rFonts w:cs="Arial"/>
              </w:rPr>
            </w:pPr>
            <w:r>
              <w:rPr>
                <w:rFonts w:cs="Arial"/>
              </w:rPr>
              <w:t>DHHS VADC database issue resolved.</w:t>
            </w:r>
          </w:p>
        </w:tc>
      </w:tr>
      <w:tr w:rsidR="00A227F1" w:rsidTr="003B183A">
        <w:tc>
          <w:tcPr>
            <w:tcW w:w="880" w:type="dxa"/>
            <w:vAlign w:val="bottom"/>
          </w:tcPr>
          <w:p w:rsidR="00A227F1" w:rsidRPr="00EC0082" w:rsidRDefault="00A227F1" w:rsidP="00A227F1">
            <w:pPr>
              <w:rPr>
                <w:rFonts w:ascii="Arial" w:hAnsi="Arial" w:cs="Arial"/>
                <w:color w:val="000000"/>
              </w:rPr>
            </w:pPr>
            <w:r w:rsidRPr="00EC0082">
              <w:rPr>
                <w:rFonts w:ascii="Arial" w:hAnsi="Arial" w:cs="Arial"/>
                <w:color w:val="000000"/>
              </w:rPr>
              <w:t>VI_11</w:t>
            </w:r>
          </w:p>
        </w:tc>
        <w:tc>
          <w:tcPr>
            <w:tcW w:w="2618" w:type="dxa"/>
            <w:shd w:val="clear" w:color="auto" w:fill="auto"/>
            <w:vAlign w:val="bottom"/>
          </w:tcPr>
          <w:p w:rsidR="00A227F1" w:rsidRPr="00EC0082" w:rsidRDefault="00A227F1" w:rsidP="00A227F1">
            <w:pPr>
              <w:rPr>
                <w:rFonts w:ascii="Arial" w:hAnsi="Arial" w:cs="Arial"/>
                <w:color w:val="000000"/>
              </w:rPr>
            </w:pPr>
            <w:r w:rsidRPr="00EC0082">
              <w:rPr>
                <w:rFonts w:ascii="Arial" w:hAnsi="Arial" w:cs="Arial"/>
                <w:color w:val="000000"/>
              </w:rPr>
              <w:t>AOD16</w:t>
            </w:r>
          </w:p>
        </w:tc>
        <w:tc>
          <w:tcPr>
            <w:tcW w:w="5461" w:type="dxa"/>
          </w:tcPr>
          <w:p w:rsidR="00A227F1" w:rsidRPr="00EC0082" w:rsidRDefault="00A227F1" w:rsidP="003B183A">
            <w:pPr>
              <w:rPr>
                <w:rFonts w:ascii="Arial" w:hAnsi="Arial" w:cs="Arial"/>
                <w:color w:val="000000"/>
              </w:rPr>
            </w:pPr>
            <w:r w:rsidRPr="00EC0082">
              <w:rPr>
                <w:rFonts w:ascii="Arial" w:hAnsi="Arial" w:cs="Arial"/>
                <w:color w:val="000000"/>
              </w:rPr>
              <w:t xml:space="preserve">Under review – unexpected handing where text of locality is lowercase. </w:t>
            </w:r>
          </w:p>
        </w:tc>
        <w:tc>
          <w:tcPr>
            <w:tcW w:w="2691" w:type="dxa"/>
          </w:tcPr>
          <w:p w:rsidR="00A227F1" w:rsidRPr="00D95FB6" w:rsidRDefault="00A227F1" w:rsidP="00A227F1">
            <w:pPr>
              <w:rPr>
                <w:rFonts w:ascii="Arial" w:hAnsi="Arial" w:cs="Arial"/>
                <w:b/>
              </w:rPr>
            </w:pPr>
            <w:r w:rsidRPr="00D95FB6">
              <w:rPr>
                <w:rFonts w:ascii="Arial" w:hAnsi="Arial" w:cs="Arial"/>
                <w:b/>
              </w:rPr>
              <w:t>Resolved</w:t>
            </w:r>
          </w:p>
        </w:tc>
        <w:tc>
          <w:tcPr>
            <w:tcW w:w="2693" w:type="dxa"/>
          </w:tcPr>
          <w:p w:rsidR="00A227F1" w:rsidRPr="00EC0082" w:rsidRDefault="00A227F1" w:rsidP="00A227F1">
            <w:pPr>
              <w:pStyle w:val="DHHStabletext"/>
              <w:rPr>
                <w:rFonts w:cs="Arial"/>
              </w:rPr>
            </w:pPr>
            <w:r>
              <w:rPr>
                <w:rFonts w:cs="Arial"/>
              </w:rPr>
              <w:t xml:space="preserve">No </w:t>
            </w:r>
            <w:r w:rsidR="00D95FB6">
              <w:rPr>
                <w:rFonts w:cs="Arial"/>
              </w:rPr>
              <w:t xml:space="preserve">system </w:t>
            </w:r>
            <w:proofErr w:type="gramStart"/>
            <w:r>
              <w:rPr>
                <w:rFonts w:cs="Arial"/>
              </w:rPr>
              <w:t>change</w:t>
            </w:r>
            <w:proofErr w:type="gramEnd"/>
            <w:r w:rsidR="00D95FB6">
              <w:rPr>
                <w:rFonts w:cs="Arial"/>
              </w:rPr>
              <w:t>. Locality and postcode must match, locality should be provided in capitals</w:t>
            </w:r>
            <w:r w:rsidR="00276BF0">
              <w:rPr>
                <w:rFonts w:cs="Arial"/>
              </w:rPr>
              <w:t>.</w:t>
            </w:r>
            <w:r w:rsidR="00D95FB6">
              <w:rPr>
                <w:rFonts w:cs="Arial"/>
              </w:rPr>
              <w:t xml:space="preserve"> </w:t>
            </w:r>
          </w:p>
        </w:tc>
      </w:tr>
      <w:tr w:rsidR="00A227F1" w:rsidTr="003B183A">
        <w:tc>
          <w:tcPr>
            <w:tcW w:w="880" w:type="dxa"/>
            <w:vAlign w:val="bottom"/>
          </w:tcPr>
          <w:p w:rsidR="00A227F1" w:rsidRPr="00EC0082" w:rsidRDefault="00A227F1" w:rsidP="00A227F1">
            <w:pPr>
              <w:rPr>
                <w:rFonts w:ascii="Arial" w:hAnsi="Arial" w:cs="Arial"/>
                <w:color w:val="000000"/>
              </w:rPr>
            </w:pPr>
            <w:r>
              <w:rPr>
                <w:rFonts w:ascii="Arial" w:hAnsi="Arial" w:cs="Arial"/>
                <w:color w:val="000000"/>
              </w:rPr>
              <w:t>VI_16</w:t>
            </w:r>
          </w:p>
        </w:tc>
        <w:tc>
          <w:tcPr>
            <w:tcW w:w="2618" w:type="dxa"/>
            <w:shd w:val="clear" w:color="auto" w:fill="auto"/>
            <w:vAlign w:val="bottom"/>
          </w:tcPr>
          <w:p w:rsidR="00A227F1" w:rsidRPr="00EC0082" w:rsidRDefault="00A227F1" w:rsidP="00A227F1">
            <w:pPr>
              <w:rPr>
                <w:rFonts w:ascii="Arial" w:hAnsi="Arial" w:cs="Arial"/>
                <w:color w:val="000000"/>
              </w:rPr>
            </w:pPr>
            <w:r>
              <w:rPr>
                <w:rFonts w:ascii="Arial" w:hAnsi="Arial" w:cs="Arial"/>
                <w:color w:val="000000"/>
              </w:rPr>
              <w:t>AOD111</w:t>
            </w:r>
          </w:p>
        </w:tc>
        <w:tc>
          <w:tcPr>
            <w:tcW w:w="5461" w:type="dxa"/>
          </w:tcPr>
          <w:p w:rsidR="00A227F1" w:rsidRPr="00EC0082" w:rsidRDefault="00A227F1" w:rsidP="003B183A">
            <w:pPr>
              <w:rPr>
                <w:rFonts w:ascii="Arial" w:hAnsi="Arial" w:cs="Arial"/>
                <w:color w:val="000000"/>
              </w:rPr>
            </w:pPr>
            <w:r>
              <w:rPr>
                <w:rFonts w:ascii="Arial" w:hAnsi="Arial" w:cs="Arial"/>
                <w:color w:val="000000"/>
              </w:rPr>
              <w:t>Validation</w:t>
            </w:r>
            <w:r w:rsidRPr="00EC0082">
              <w:rPr>
                <w:rFonts w:ascii="Arial" w:hAnsi="Arial" w:cs="Arial"/>
                <w:color w:val="000000"/>
              </w:rPr>
              <w:t xml:space="preserve"> Pseudocode </w:t>
            </w:r>
            <w:r>
              <w:rPr>
                <w:rFonts w:ascii="Arial" w:hAnsi="Arial" w:cs="Arial"/>
                <w:color w:val="000000"/>
              </w:rPr>
              <w:t>updated to reflect practice.</w:t>
            </w:r>
            <w:r w:rsidR="00E501C9">
              <w:rPr>
                <w:rFonts w:ascii="Arial" w:hAnsi="Arial" w:cs="Arial"/>
                <w:color w:val="000000"/>
              </w:rPr>
              <w:t xml:space="preserve"> Feedback received from agencies and </w:t>
            </w:r>
            <w:r w:rsidR="004C57C4">
              <w:rPr>
                <w:rFonts w:ascii="Arial" w:hAnsi="Arial" w:cs="Arial"/>
                <w:color w:val="000000"/>
              </w:rPr>
              <w:t xml:space="preserve">AOD </w:t>
            </w:r>
            <w:r w:rsidR="00E501C9">
              <w:rPr>
                <w:rFonts w:ascii="Arial" w:hAnsi="Arial" w:cs="Arial"/>
                <w:color w:val="000000"/>
              </w:rPr>
              <w:t>policy area that there are valid instances where pills</w:t>
            </w:r>
            <w:r w:rsidR="004C57C4">
              <w:rPr>
                <w:rFonts w:ascii="Arial" w:hAnsi="Arial" w:cs="Arial"/>
                <w:color w:val="000000"/>
              </w:rPr>
              <w:t xml:space="preserve"> and alcohol</w:t>
            </w:r>
            <w:r w:rsidR="00E501C9">
              <w:rPr>
                <w:rFonts w:ascii="Arial" w:hAnsi="Arial" w:cs="Arial"/>
                <w:color w:val="000000"/>
              </w:rPr>
              <w:t xml:space="preserve"> may not be </w:t>
            </w:r>
            <w:r w:rsidR="004C57C4">
              <w:rPr>
                <w:rFonts w:ascii="Arial" w:hAnsi="Arial" w:cs="Arial"/>
                <w:color w:val="000000"/>
              </w:rPr>
              <w:t>administered by being</w:t>
            </w:r>
            <w:r w:rsidR="00E501C9">
              <w:rPr>
                <w:rFonts w:ascii="Arial" w:hAnsi="Arial" w:cs="Arial"/>
                <w:color w:val="000000"/>
              </w:rPr>
              <w:t xml:space="preserve"> </w:t>
            </w:r>
            <w:r w:rsidR="004C57C4">
              <w:rPr>
                <w:rFonts w:ascii="Arial" w:hAnsi="Arial" w:cs="Arial"/>
                <w:color w:val="000000"/>
              </w:rPr>
              <w:t>ingested/ swallowed</w:t>
            </w:r>
            <w:r w:rsidR="00E501C9">
              <w:rPr>
                <w:rFonts w:ascii="Arial" w:hAnsi="Arial" w:cs="Arial"/>
                <w:color w:val="000000"/>
              </w:rPr>
              <w:t>.</w:t>
            </w:r>
          </w:p>
        </w:tc>
        <w:tc>
          <w:tcPr>
            <w:tcW w:w="2691" w:type="dxa"/>
          </w:tcPr>
          <w:p w:rsidR="003D4B4A" w:rsidRPr="00D95FB6" w:rsidRDefault="003D4B4A" w:rsidP="003D4B4A">
            <w:pPr>
              <w:pStyle w:val="DHHStabletext"/>
              <w:rPr>
                <w:rFonts w:cs="Arial"/>
                <w:b/>
              </w:rPr>
            </w:pPr>
            <w:r w:rsidRPr="00D95FB6">
              <w:rPr>
                <w:rFonts w:cs="Arial"/>
                <w:b/>
              </w:rPr>
              <w:t>Resolved –</w:t>
            </w:r>
          </w:p>
          <w:p w:rsidR="003D4B4A" w:rsidRPr="00D95FB6" w:rsidRDefault="003D4B4A" w:rsidP="003D4B4A">
            <w:pPr>
              <w:pStyle w:val="DHHStabletext"/>
              <w:rPr>
                <w:rFonts w:cs="Arial"/>
                <w:b/>
              </w:rPr>
            </w:pPr>
            <w:r w:rsidRPr="00D95FB6">
              <w:rPr>
                <w:rFonts w:cs="Arial"/>
                <w:b/>
              </w:rPr>
              <w:t>For deployment into VADC live Production</w:t>
            </w:r>
          </w:p>
          <w:p w:rsidR="00A227F1" w:rsidRPr="00D95FB6" w:rsidRDefault="00D95FB6" w:rsidP="003D4B4A">
            <w:pPr>
              <w:rPr>
                <w:rFonts w:ascii="Arial" w:hAnsi="Arial" w:cs="Arial"/>
                <w:b/>
              </w:rPr>
            </w:pPr>
            <w:r w:rsidRPr="00D95FB6">
              <w:rPr>
                <w:rFonts w:ascii="Arial" w:hAnsi="Arial" w:cs="Arial"/>
                <w:b/>
              </w:rPr>
              <w:t>13/02/2019 14:00</w:t>
            </w:r>
          </w:p>
        </w:tc>
        <w:tc>
          <w:tcPr>
            <w:tcW w:w="2693" w:type="dxa"/>
          </w:tcPr>
          <w:p w:rsidR="00A227F1" w:rsidRPr="00EC0082" w:rsidRDefault="00A227F1" w:rsidP="00A227F1">
            <w:pPr>
              <w:pStyle w:val="DHHStabletext"/>
              <w:rPr>
                <w:rFonts w:cs="Arial"/>
              </w:rPr>
            </w:pPr>
            <w:r>
              <w:rPr>
                <w:rFonts w:cs="Arial"/>
              </w:rPr>
              <w:t>Refer to Section 1.3 VADC specification update.</w:t>
            </w:r>
          </w:p>
        </w:tc>
      </w:tr>
      <w:tr w:rsidR="001F22D3" w:rsidTr="003B183A">
        <w:tc>
          <w:tcPr>
            <w:tcW w:w="880" w:type="dxa"/>
          </w:tcPr>
          <w:p w:rsidR="001F22D3" w:rsidRPr="00D95FB6" w:rsidRDefault="001F22D3" w:rsidP="001F22D3">
            <w:pPr>
              <w:pStyle w:val="DHHStabletext"/>
              <w:rPr>
                <w:rFonts w:cs="Arial"/>
              </w:rPr>
            </w:pPr>
            <w:r w:rsidRPr="00D95FB6">
              <w:rPr>
                <w:rFonts w:cs="Arial"/>
              </w:rPr>
              <w:t>VI_3</w:t>
            </w:r>
          </w:p>
        </w:tc>
        <w:tc>
          <w:tcPr>
            <w:tcW w:w="2618" w:type="dxa"/>
            <w:shd w:val="clear" w:color="auto" w:fill="auto"/>
          </w:tcPr>
          <w:p w:rsidR="001F22D3" w:rsidRPr="00D95FB6" w:rsidRDefault="001F22D3" w:rsidP="001F22D3">
            <w:pPr>
              <w:pStyle w:val="DHHStabletext"/>
              <w:rPr>
                <w:rFonts w:cs="Arial"/>
              </w:rPr>
            </w:pPr>
            <w:r w:rsidRPr="00D95FB6">
              <w:rPr>
                <w:rFonts w:cs="Arial"/>
              </w:rPr>
              <w:t>AOD116</w:t>
            </w:r>
          </w:p>
        </w:tc>
        <w:tc>
          <w:tcPr>
            <w:tcW w:w="5461" w:type="dxa"/>
          </w:tcPr>
          <w:p w:rsidR="001F22D3" w:rsidRDefault="001F22D3" w:rsidP="001F22D3">
            <w:pPr>
              <w:pStyle w:val="DHHStabletext"/>
              <w:rPr>
                <w:rFonts w:cs="Arial"/>
              </w:rPr>
            </w:pPr>
            <w:r w:rsidRPr="00D95FB6">
              <w:rPr>
                <w:rFonts w:cs="Arial"/>
              </w:rPr>
              <w:t>Currently triggers an error, under review whether to change to warning.</w:t>
            </w:r>
          </w:p>
          <w:p w:rsidR="001F22D3" w:rsidRDefault="001F22D3" w:rsidP="001F22D3">
            <w:pPr>
              <w:pStyle w:val="DHHStabletext"/>
              <w:rPr>
                <w:rFonts w:cs="Arial"/>
              </w:rPr>
            </w:pPr>
          </w:p>
          <w:p w:rsidR="001F22D3" w:rsidRPr="00D95FB6" w:rsidRDefault="00004E6A" w:rsidP="001F22D3">
            <w:pPr>
              <w:pStyle w:val="DHHStabletext"/>
              <w:rPr>
                <w:rFonts w:cs="Arial"/>
              </w:rPr>
            </w:pPr>
            <w:r w:rsidRPr="00004E6A">
              <w:rPr>
                <w:rFonts w:cs="Arial"/>
              </w:rPr>
              <w:t xml:space="preserve">Update: Agencies are expected to only provide an ACSO identifier for ACSO/COATS referrals. This is being scoped for downgrade to warning in Bulletin 4. </w:t>
            </w:r>
            <w:proofErr w:type="gramStart"/>
            <w:r w:rsidRPr="00004E6A">
              <w:rPr>
                <w:rFonts w:cs="Arial"/>
              </w:rPr>
              <w:t>However</w:t>
            </w:r>
            <w:proofErr w:type="gramEnd"/>
            <w:r w:rsidRPr="00004E6A">
              <w:rPr>
                <w:rFonts w:cs="Arial"/>
              </w:rPr>
              <w:t xml:space="preserve"> the 2019/2020 data specification will require null value for ACSO/COATS referral ID, where ACSO/COATS have not provided the referral.</w:t>
            </w:r>
          </w:p>
        </w:tc>
        <w:tc>
          <w:tcPr>
            <w:tcW w:w="2691" w:type="dxa"/>
          </w:tcPr>
          <w:p w:rsidR="001F22D3" w:rsidRPr="00D95FB6" w:rsidRDefault="001F22D3" w:rsidP="001F22D3">
            <w:pPr>
              <w:rPr>
                <w:rFonts w:ascii="Arial" w:hAnsi="Arial" w:cs="Arial"/>
              </w:rPr>
            </w:pPr>
            <w:r w:rsidRPr="00D95FB6">
              <w:rPr>
                <w:rFonts w:ascii="Arial" w:hAnsi="Arial" w:cs="Arial"/>
              </w:rPr>
              <w:t>Pending</w:t>
            </w:r>
          </w:p>
        </w:tc>
        <w:tc>
          <w:tcPr>
            <w:tcW w:w="2693" w:type="dxa"/>
          </w:tcPr>
          <w:p w:rsidR="001F22D3" w:rsidRPr="00EC0082" w:rsidRDefault="001F22D3" w:rsidP="001F22D3">
            <w:pPr>
              <w:rPr>
                <w:rFonts w:ascii="Arial" w:hAnsi="Arial" w:cs="Arial"/>
              </w:rPr>
            </w:pPr>
            <w:r w:rsidRPr="00EC0082">
              <w:rPr>
                <w:rFonts w:ascii="Arial" w:hAnsi="Arial" w:cs="Arial"/>
              </w:rPr>
              <w:t>Pending</w:t>
            </w:r>
          </w:p>
        </w:tc>
      </w:tr>
      <w:tr w:rsidR="00A227F1" w:rsidTr="003B183A">
        <w:tc>
          <w:tcPr>
            <w:tcW w:w="880" w:type="dxa"/>
          </w:tcPr>
          <w:p w:rsidR="00A227F1" w:rsidRPr="00EC0082" w:rsidRDefault="00A227F1" w:rsidP="00A227F1">
            <w:pPr>
              <w:pStyle w:val="DHHStabletext"/>
              <w:rPr>
                <w:rFonts w:cs="Arial"/>
              </w:rPr>
            </w:pPr>
            <w:r w:rsidRPr="00EC0082">
              <w:rPr>
                <w:rFonts w:cs="Arial"/>
              </w:rPr>
              <w:t>VI_4</w:t>
            </w:r>
          </w:p>
        </w:tc>
        <w:tc>
          <w:tcPr>
            <w:tcW w:w="2618" w:type="dxa"/>
            <w:shd w:val="clear" w:color="auto" w:fill="auto"/>
          </w:tcPr>
          <w:p w:rsidR="00A227F1" w:rsidRPr="00EC0082" w:rsidRDefault="00A227F1" w:rsidP="00A227F1">
            <w:pPr>
              <w:pStyle w:val="DHHStabletext"/>
              <w:rPr>
                <w:rFonts w:cs="Arial"/>
              </w:rPr>
            </w:pPr>
            <w:r w:rsidRPr="00EC0082">
              <w:rPr>
                <w:rFonts w:cs="Arial"/>
              </w:rPr>
              <w:t>AOD 79, 80, 126 and 127</w:t>
            </w:r>
          </w:p>
        </w:tc>
        <w:tc>
          <w:tcPr>
            <w:tcW w:w="5461" w:type="dxa"/>
          </w:tcPr>
          <w:p w:rsidR="00A227F1" w:rsidRPr="00EC0082" w:rsidRDefault="00A227F1" w:rsidP="003B183A">
            <w:pPr>
              <w:pStyle w:val="DHHStabletext"/>
              <w:rPr>
                <w:rFonts w:cs="Arial"/>
              </w:rPr>
            </w:pPr>
            <w:r w:rsidRPr="00EC0082">
              <w:rPr>
                <w:rFonts w:cs="Arial"/>
              </w:rPr>
              <w:t xml:space="preserve">False triggers: Clients in residential services to be flagged as being the Person of Concern, so to not trigger these validations for residential service streams. This will bring in line with AOD68 changes. </w:t>
            </w:r>
          </w:p>
        </w:tc>
        <w:tc>
          <w:tcPr>
            <w:tcW w:w="2691" w:type="dxa"/>
          </w:tcPr>
          <w:p w:rsidR="00A227F1" w:rsidRPr="00D95FB6" w:rsidRDefault="00A227F1" w:rsidP="00A227F1">
            <w:pPr>
              <w:rPr>
                <w:rFonts w:ascii="Arial" w:hAnsi="Arial" w:cs="Arial"/>
              </w:rPr>
            </w:pPr>
            <w:r w:rsidRPr="00D95FB6">
              <w:rPr>
                <w:rFonts w:ascii="Arial" w:hAnsi="Arial" w:cs="Arial"/>
              </w:rPr>
              <w:t>Pending</w:t>
            </w:r>
          </w:p>
        </w:tc>
        <w:tc>
          <w:tcPr>
            <w:tcW w:w="2693" w:type="dxa"/>
          </w:tcPr>
          <w:p w:rsidR="00A227F1" w:rsidRPr="00EC0082" w:rsidRDefault="00A227F1" w:rsidP="00A227F1">
            <w:pPr>
              <w:rPr>
                <w:rFonts w:ascii="Arial" w:hAnsi="Arial" w:cs="Arial"/>
              </w:rPr>
            </w:pPr>
            <w:r w:rsidRPr="00EC0082">
              <w:rPr>
                <w:rFonts w:ascii="Arial" w:hAnsi="Arial" w:cs="Arial"/>
              </w:rPr>
              <w:t>Pending</w:t>
            </w:r>
          </w:p>
        </w:tc>
      </w:tr>
      <w:tr w:rsidR="00A227F1" w:rsidTr="003B183A">
        <w:tc>
          <w:tcPr>
            <w:tcW w:w="880" w:type="dxa"/>
          </w:tcPr>
          <w:p w:rsidR="00A227F1" w:rsidRPr="00EC0082" w:rsidRDefault="00A227F1" w:rsidP="00A227F1">
            <w:pPr>
              <w:pStyle w:val="DHHStabletext"/>
              <w:rPr>
                <w:rFonts w:cs="Arial"/>
              </w:rPr>
            </w:pPr>
            <w:bookmarkStart w:id="4" w:name="_Hlk531327748"/>
            <w:r w:rsidRPr="00EC0082">
              <w:rPr>
                <w:rFonts w:cs="Arial"/>
              </w:rPr>
              <w:lastRenderedPageBreak/>
              <w:t>VI_5</w:t>
            </w:r>
          </w:p>
        </w:tc>
        <w:tc>
          <w:tcPr>
            <w:tcW w:w="2618" w:type="dxa"/>
            <w:shd w:val="clear" w:color="auto" w:fill="auto"/>
          </w:tcPr>
          <w:p w:rsidR="00A227F1" w:rsidRPr="00EC0082" w:rsidRDefault="00A227F1" w:rsidP="00A227F1">
            <w:pPr>
              <w:pStyle w:val="DHHStabletext"/>
              <w:rPr>
                <w:rFonts w:cs="Arial"/>
              </w:rPr>
            </w:pPr>
            <w:bookmarkStart w:id="5" w:name="_Hlk531244937"/>
            <w:r w:rsidRPr="00EC0082">
              <w:rPr>
                <w:rFonts w:cs="Arial"/>
              </w:rPr>
              <w:t>AOD 78, 79, 108, 109</w:t>
            </w:r>
            <w:bookmarkEnd w:id="5"/>
          </w:p>
        </w:tc>
        <w:tc>
          <w:tcPr>
            <w:tcW w:w="5461" w:type="dxa"/>
          </w:tcPr>
          <w:p w:rsidR="00A227F1" w:rsidRPr="00EC0082" w:rsidRDefault="00A227F1" w:rsidP="003B183A">
            <w:pPr>
              <w:pStyle w:val="DHHStabletext"/>
              <w:rPr>
                <w:rFonts w:cs="Arial"/>
              </w:rPr>
            </w:pPr>
            <w:r w:rsidRPr="00EC0082">
              <w:rPr>
                <w:rFonts w:cs="Arial"/>
              </w:rPr>
              <w:t>False triggers: The way “</w:t>
            </w:r>
            <w:r w:rsidR="00276BF0">
              <w:rPr>
                <w:rFonts w:cs="Arial"/>
              </w:rPr>
              <w:t>t</w:t>
            </w:r>
            <w:r w:rsidRPr="00EC0082">
              <w:rPr>
                <w:rFonts w:cs="Arial"/>
              </w:rPr>
              <w:t>oday” is coded in validations is under review.</w:t>
            </w:r>
          </w:p>
        </w:tc>
        <w:tc>
          <w:tcPr>
            <w:tcW w:w="2691" w:type="dxa"/>
          </w:tcPr>
          <w:p w:rsidR="00A227F1" w:rsidRPr="00D95FB6" w:rsidRDefault="00A227F1" w:rsidP="00A227F1">
            <w:pPr>
              <w:rPr>
                <w:rFonts w:ascii="Arial" w:hAnsi="Arial" w:cs="Arial"/>
              </w:rPr>
            </w:pPr>
            <w:r w:rsidRPr="00D95FB6">
              <w:rPr>
                <w:rFonts w:ascii="Arial" w:hAnsi="Arial" w:cs="Arial"/>
              </w:rPr>
              <w:t>Pending</w:t>
            </w:r>
          </w:p>
        </w:tc>
        <w:tc>
          <w:tcPr>
            <w:tcW w:w="2693" w:type="dxa"/>
          </w:tcPr>
          <w:p w:rsidR="00A227F1" w:rsidRPr="00EC0082" w:rsidRDefault="00A227F1" w:rsidP="00A227F1">
            <w:pPr>
              <w:rPr>
                <w:rFonts w:ascii="Arial" w:hAnsi="Arial" w:cs="Arial"/>
              </w:rPr>
            </w:pPr>
            <w:r w:rsidRPr="00EC0082">
              <w:rPr>
                <w:rFonts w:ascii="Arial" w:hAnsi="Arial" w:cs="Arial"/>
              </w:rPr>
              <w:t>Pending</w:t>
            </w:r>
          </w:p>
        </w:tc>
      </w:tr>
      <w:bookmarkEnd w:id="4"/>
      <w:tr w:rsidR="00A227F1" w:rsidTr="003B183A">
        <w:tc>
          <w:tcPr>
            <w:tcW w:w="880" w:type="dxa"/>
            <w:vAlign w:val="bottom"/>
          </w:tcPr>
          <w:p w:rsidR="00A227F1" w:rsidRPr="00EC0082" w:rsidRDefault="00A227F1" w:rsidP="00A227F1">
            <w:pPr>
              <w:rPr>
                <w:rFonts w:ascii="Arial" w:hAnsi="Arial" w:cs="Arial"/>
                <w:color w:val="000000"/>
              </w:rPr>
            </w:pPr>
            <w:r w:rsidRPr="00EC0082">
              <w:rPr>
                <w:rFonts w:ascii="Arial" w:hAnsi="Arial" w:cs="Arial"/>
                <w:color w:val="000000"/>
              </w:rPr>
              <w:t>VI_12</w:t>
            </w:r>
          </w:p>
        </w:tc>
        <w:tc>
          <w:tcPr>
            <w:tcW w:w="2618" w:type="dxa"/>
            <w:shd w:val="clear" w:color="auto" w:fill="auto"/>
            <w:vAlign w:val="bottom"/>
          </w:tcPr>
          <w:p w:rsidR="00A227F1" w:rsidRPr="00EC0082" w:rsidRDefault="00A227F1" w:rsidP="00A227F1">
            <w:pPr>
              <w:rPr>
                <w:rFonts w:ascii="Arial" w:hAnsi="Arial" w:cs="Arial"/>
                <w:color w:val="000000"/>
              </w:rPr>
            </w:pPr>
            <w:r w:rsidRPr="00EC0082">
              <w:rPr>
                <w:rFonts w:ascii="Arial" w:hAnsi="Arial" w:cs="Arial"/>
                <w:color w:val="000000"/>
              </w:rPr>
              <w:t>AOD108</w:t>
            </w:r>
          </w:p>
        </w:tc>
        <w:tc>
          <w:tcPr>
            <w:tcW w:w="5461" w:type="dxa"/>
          </w:tcPr>
          <w:p w:rsidR="00A227F1" w:rsidRPr="00EC0082" w:rsidRDefault="00A227F1" w:rsidP="003B183A">
            <w:pPr>
              <w:rPr>
                <w:rFonts w:ascii="Arial" w:hAnsi="Arial" w:cs="Arial"/>
                <w:color w:val="000000"/>
              </w:rPr>
            </w:pPr>
            <w:r w:rsidRPr="00EC0082">
              <w:rPr>
                <w:rFonts w:ascii="Arial" w:hAnsi="Arial" w:cs="Arial"/>
                <w:color w:val="000000"/>
              </w:rPr>
              <w:t>Pseudocode description does not match validation requirement</w:t>
            </w:r>
            <w:r>
              <w:rPr>
                <w:rFonts w:ascii="Arial" w:hAnsi="Arial" w:cs="Arial"/>
                <w:color w:val="000000"/>
              </w:rPr>
              <w:t>.</w:t>
            </w:r>
          </w:p>
        </w:tc>
        <w:tc>
          <w:tcPr>
            <w:tcW w:w="2691" w:type="dxa"/>
          </w:tcPr>
          <w:p w:rsidR="00A227F1" w:rsidRPr="00D95FB6" w:rsidRDefault="00A227F1" w:rsidP="00A227F1">
            <w:pPr>
              <w:rPr>
                <w:rFonts w:ascii="Arial" w:hAnsi="Arial" w:cs="Arial"/>
              </w:rPr>
            </w:pPr>
            <w:r w:rsidRPr="00D95FB6">
              <w:rPr>
                <w:rFonts w:ascii="Arial" w:hAnsi="Arial" w:cs="Arial"/>
              </w:rPr>
              <w:t>Pending</w:t>
            </w:r>
          </w:p>
        </w:tc>
        <w:tc>
          <w:tcPr>
            <w:tcW w:w="2693" w:type="dxa"/>
          </w:tcPr>
          <w:p w:rsidR="00A227F1" w:rsidRPr="00EC0082" w:rsidRDefault="00A227F1" w:rsidP="00A227F1">
            <w:pPr>
              <w:pStyle w:val="DHHStabletext"/>
              <w:rPr>
                <w:rFonts w:cs="Arial"/>
              </w:rPr>
            </w:pPr>
            <w:r>
              <w:rPr>
                <w:rFonts w:cs="Arial"/>
              </w:rPr>
              <w:t>Pending</w:t>
            </w:r>
          </w:p>
        </w:tc>
      </w:tr>
      <w:tr w:rsidR="00A227F1" w:rsidTr="003B183A">
        <w:tc>
          <w:tcPr>
            <w:tcW w:w="880" w:type="dxa"/>
            <w:vAlign w:val="bottom"/>
          </w:tcPr>
          <w:p w:rsidR="00A227F1" w:rsidRPr="00EC0082" w:rsidRDefault="00A227F1" w:rsidP="00A227F1">
            <w:pPr>
              <w:rPr>
                <w:rFonts w:ascii="Arial" w:hAnsi="Arial" w:cs="Arial"/>
                <w:color w:val="000000"/>
              </w:rPr>
            </w:pPr>
            <w:r w:rsidRPr="00EC0082">
              <w:rPr>
                <w:rFonts w:ascii="Arial" w:hAnsi="Arial" w:cs="Arial"/>
                <w:color w:val="000000"/>
              </w:rPr>
              <w:t>VI_13</w:t>
            </w:r>
          </w:p>
        </w:tc>
        <w:tc>
          <w:tcPr>
            <w:tcW w:w="2618" w:type="dxa"/>
            <w:shd w:val="clear" w:color="auto" w:fill="auto"/>
            <w:vAlign w:val="bottom"/>
          </w:tcPr>
          <w:p w:rsidR="00A227F1" w:rsidRPr="00EC0082" w:rsidRDefault="00A227F1" w:rsidP="00A227F1">
            <w:pPr>
              <w:rPr>
                <w:rFonts w:ascii="Arial" w:hAnsi="Arial" w:cs="Arial"/>
                <w:color w:val="000000"/>
              </w:rPr>
            </w:pPr>
            <w:r w:rsidRPr="00EC0082">
              <w:rPr>
                <w:rFonts w:ascii="Arial" w:hAnsi="Arial" w:cs="Arial"/>
                <w:color w:val="000000"/>
              </w:rPr>
              <w:t>AOD79</w:t>
            </w:r>
          </w:p>
        </w:tc>
        <w:tc>
          <w:tcPr>
            <w:tcW w:w="5461" w:type="dxa"/>
          </w:tcPr>
          <w:p w:rsidR="00A227F1" w:rsidRPr="00EC0082" w:rsidRDefault="00A227F1" w:rsidP="003B183A">
            <w:pPr>
              <w:rPr>
                <w:rFonts w:ascii="Arial" w:hAnsi="Arial" w:cs="Arial"/>
                <w:color w:val="000000"/>
              </w:rPr>
            </w:pPr>
            <w:r w:rsidRPr="00EC0082">
              <w:rPr>
                <w:rFonts w:ascii="Arial" w:hAnsi="Arial" w:cs="Arial"/>
                <w:color w:val="000000"/>
              </w:rPr>
              <w:t>Pseudocode description does not match validation requirement</w:t>
            </w:r>
            <w:r>
              <w:rPr>
                <w:rFonts w:ascii="Arial" w:hAnsi="Arial" w:cs="Arial"/>
                <w:color w:val="000000"/>
              </w:rPr>
              <w:t>.</w:t>
            </w:r>
          </w:p>
        </w:tc>
        <w:tc>
          <w:tcPr>
            <w:tcW w:w="2691" w:type="dxa"/>
          </w:tcPr>
          <w:p w:rsidR="00A227F1" w:rsidRPr="00D95FB6" w:rsidRDefault="00A227F1" w:rsidP="00A227F1">
            <w:pPr>
              <w:rPr>
                <w:rFonts w:ascii="Arial" w:hAnsi="Arial" w:cs="Arial"/>
              </w:rPr>
            </w:pPr>
            <w:r w:rsidRPr="00D95FB6">
              <w:rPr>
                <w:rFonts w:ascii="Arial" w:hAnsi="Arial" w:cs="Arial"/>
              </w:rPr>
              <w:t>Pending</w:t>
            </w:r>
          </w:p>
        </w:tc>
        <w:tc>
          <w:tcPr>
            <w:tcW w:w="2693" w:type="dxa"/>
          </w:tcPr>
          <w:p w:rsidR="00A227F1" w:rsidRPr="00EC0082" w:rsidRDefault="00A227F1" w:rsidP="00A227F1">
            <w:pPr>
              <w:pStyle w:val="DHHStabletext"/>
              <w:rPr>
                <w:rFonts w:cs="Arial"/>
              </w:rPr>
            </w:pPr>
            <w:r>
              <w:rPr>
                <w:rFonts w:cs="Arial"/>
              </w:rPr>
              <w:t xml:space="preserve">Pending </w:t>
            </w:r>
          </w:p>
        </w:tc>
      </w:tr>
    </w:tbl>
    <w:p w:rsidR="00AF44A1" w:rsidRDefault="00AF44A1" w:rsidP="00AF44A1">
      <w:pPr>
        <w:rPr>
          <w:rFonts w:ascii="Arial" w:hAnsi="Arial" w:cs="Arial"/>
          <w:color w:val="000000"/>
          <w:lang w:eastAsia="en-AU"/>
        </w:rPr>
      </w:pPr>
    </w:p>
    <w:p w:rsidR="00AF44A1" w:rsidRDefault="00AF44A1" w:rsidP="00AF44A1">
      <w:pPr>
        <w:pStyle w:val="Heading2"/>
        <w:numPr>
          <w:ilvl w:val="0"/>
          <w:numId w:val="15"/>
        </w:numPr>
      </w:pPr>
      <w:bookmarkStart w:id="6" w:name="_Toc531174434"/>
      <w:r>
        <w:t>Data issues</w:t>
      </w:r>
      <w:bookmarkEnd w:id="6"/>
    </w:p>
    <w:p w:rsidR="00AF44A1" w:rsidRDefault="00AF44A1" w:rsidP="00AF44A1">
      <w:pPr>
        <w:pStyle w:val="DHHSbody"/>
      </w:pPr>
      <w:r>
        <w:t>The following current data issues:</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95"/>
        <w:gridCol w:w="7229"/>
      </w:tblGrid>
      <w:tr w:rsidR="002C1623" w:rsidTr="002C1623">
        <w:trPr>
          <w:tblHeader/>
        </w:trPr>
        <w:tc>
          <w:tcPr>
            <w:tcW w:w="993" w:type="dxa"/>
          </w:tcPr>
          <w:p w:rsidR="002C1623" w:rsidRDefault="002C1623" w:rsidP="00E96AA0">
            <w:pPr>
              <w:pStyle w:val="DHHStablecolhead"/>
            </w:pPr>
            <w:r>
              <w:t>ID</w:t>
            </w:r>
          </w:p>
        </w:tc>
        <w:tc>
          <w:tcPr>
            <w:tcW w:w="6095" w:type="dxa"/>
            <w:shd w:val="clear" w:color="auto" w:fill="auto"/>
          </w:tcPr>
          <w:p w:rsidR="002C1623" w:rsidRPr="000A6666" w:rsidRDefault="002C1623" w:rsidP="00E96AA0">
            <w:pPr>
              <w:pStyle w:val="DHHStablecolhead"/>
            </w:pPr>
            <w:r>
              <w:t xml:space="preserve">Issue </w:t>
            </w:r>
          </w:p>
        </w:tc>
        <w:tc>
          <w:tcPr>
            <w:tcW w:w="7229" w:type="dxa"/>
          </w:tcPr>
          <w:p w:rsidR="002C1623" w:rsidRPr="00B36948" w:rsidRDefault="002C1623" w:rsidP="00E96AA0">
            <w:pPr>
              <w:pStyle w:val="DHHStablecolhead"/>
            </w:pPr>
            <w:r>
              <w:t>Proposed resolution</w:t>
            </w:r>
          </w:p>
        </w:tc>
      </w:tr>
      <w:tr w:rsidR="002C1623" w:rsidTr="002C1623">
        <w:tc>
          <w:tcPr>
            <w:tcW w:w="993" w:type="dxa"/>
          </w:tcPr>
          <w:p w:rsidR="002C1623" w:rsidRDefault="002C1623" w:rsidP="002A462B">
            <w:pPr>
              <w:pStyle w:val="DHHStabletext"/>
            </w:pPr>
            <w:r>
              <w:t>DE_4</w:t>
            </w:r>
          </w:p>
        </w:tc>
        <w:tc>
          <w:tcPr>
            <w:tcW w:w="6095" w:type="dxa"/>
            <w:shd w:val="clear" w:color="auto" w:fill="auto"/>
          </w:tcPr>
          <w:p w:rsidR="002C1623" w:rsidRDefault="002C1623" w:rsidP="002A462B">
            <w:pPr>
              <w:pStyle w:val="DHHStabletext"/>
            </w:pPr>
            <w:r w:rsidRPr="002A462B">
              <w:t>Services not reviewing errors and resubmitting corrections within reporting period</w:t>
            </w:r>
          </w:p>
        </w:tc>
        <w:tc>
          <w:tcPr>
            <w:tcW w:w="7229" w:type="dxa"/>
          </w:tcPr>
          <w:p w:rsidR="002C1623" w:rsidRDefault="00276BF0" w:rsidP="002A462B">
            <w:pPr>
              <w:pStyle w:val="DHHStabletext"/>
            </w:pPr>
            <w:r>
              <w:t>It is service provider’s responsibility to address critical errors by COB the 15</w:t>
            </w:r>
            <w:r w:rsidRPr="00276BF0">
              <w:rPr>
                <w:vertAlign w:val="superscript"/>
              </w:rPr>
              <w:t>th</w:t>
            </w:r>
            <w:r>
              <w:t xml:space="preserve"> of the month fo</w:t>
            </w:r>
            <w:r w:rsidR="006B5E1A">
              <w:t>r the submitted reporting period</w:t>
            </w:r>
            <w:r>
              <w:t>.</w:t>
            </w:r>
          </w:p>
          <w:p w:rsidR="006B5E1A" w:rsidRDefault="006B5E1A" w:rsidP="002A462B">
            <w:pPr>
              <w:pStyle w:val="DHHStabletext"/>
            </w:pPr>
          </w:p>
          <w:p w:rsidR="006B5E1A" w:rsidRPr="00BB0E10" w:rsidRDefault="006B5E1A" w:rsidP="006B5E1A">
            <w:pPr>
              <w:pStyle w:val="DHHStabletext"/>
            </w:pPr>
            <w:r>
              <w:t>For example, where a service provider submits January 2019 reporting period on 07/02/2019, they have until 15/02/2019 to resolve errors.</w:t>
            </w:r>
          </w:p>
        </w:tc>
      </w:tr>
    </w:tbl>
    <w:p w:rsidR="00A227F1" w:rsidRDefault="00A227F1" w:rsidP="00AF44A1">
      <w:pPr>
        <w:pStyle w:val="DHHSbody"/>
      </w:pPr>
    </w:p>
    <w:p w:rsidR="00A227F1" w:rsidRDefault="00A227F1">
      <w:pPr>
        <w:rPr>
          <w:rFonts w:ascii="Arial" w:eastAsia="Times" w:hAnsi="Arial"/>
        </w:rPr>
      </w:pPr>
      <w:r>
        <w:br w:type="page"/>
      </w:r>
    </w:p>
    <w:p w:rsidR="00A227F1" w:rsidRDefault="00A227F1" w:rsidP="00A227F1">
      <w:pPr>
        <w:pStyle w:val="Heading2"/>
        <w:numPr>
          <w:ilvl w:val="0"/>
          <w:numId w:val="15"/>
        </w:numPr>
      </w:pPr>
      <w:bookmarkStart w:id="7" w:name="_Toc531174435"/>
      <w:r>
        <w:lastRenderedPageBreak/>
        <w:t>VADC Specification update</w:t>
      </w:r>
      <w:bookmarkEnd w:id="7"/>
    </w:p>
    <w:p w:rsidR="00A227F1" w:rsidRDefault="00A227F1" w:rsidP="00A227F1">
      <w:pPr>
        <w:pStyle w:val="DHHSbody"/>
      </w:pPr>
      <w:r>
        <w:t>This is where issues that are resolved and are live in the VADC production database are specified.</w:t>
      </w:r>
    </w:p>
    <w:p w:rsidR="00A227F1" w:rsidRDefault="00A227F1" w:rsidP="00A227F1">
      <w:pPr>
        <w:pStyle w:val="DHHSbody"/>
      </w:pPr>
    </w:p>
    <w:tbl>
      <w:tblPr>
        <w:tblW w:w="14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3205"/>
        <w:gridCol w:w="3420"/>
        <w:gridCol w:w="3420"/>
        <w:gridCol w:w="1890"/>
        <w:gridCol w:w="1421"/>
      </w:tblGrid>
      <w:tr w:rsidR="00A227F1" w:rsidRPr="003072C6" w:rsidTr="000D1627">
        <w:tc>
          <w:tcPr>
            <w:tcW w:w="14295" w:type="dxa"/>
            <w:gridSpan w:val="6"/>
            <w:shd w:val="clear" w:color="auto" w:fill="auto"/>
          </w:tcPr>
          <w:p w:rsidR="00A227F1" w:rsidRPr="00A46FC4" w:rsidRDefault="00A227F1" w:rsidP="000D1627">
            <w:pPr>
              <w:pStyle w:val="DHHStabletext"/>
              <w:rPr>
                <w:b/>
              </w:rPr>
            </w:pPr>
            <w:r w:rsidRPr="00A46FC4">
              <w:rPr>
                <w:b/>
              </w:rPr>
              <w:t>CURRENT</w:t>
            </w:r>
          </w:p>
        </w:tc>
      </w:tr>
      <w:tr w:rsidR="00A227F1" w:rsidRPr="003072C6" w:rsidTr="000D1627">
        <w:tc>
          <w:tcPr>
            <w:tcW w:w="939" w:type="dxa"/>
            <w:shd w:val="clear" w:color="auto" w:fill="auto"/>
          </w:tcPr>
          <w:p w:rsidR="00A227F1" w:rsidRDefault="00A227F1" w:rsidP="000D1627">
            <w:pPr>
              <w:pStyle w:val="DHHStabletext"/>
              <w:rPr>
                <w:rFonts w:cs="Arial"/>
                <w:color w:val="000000"/>
              </w:rPr>
            </w:pPr>
            <w:r>
              <w:rPr>
                <w:rFonts w:cs="Arial"/>
                <w:color w:val="000000"/>
                <w:lang w:eastAsia="en-AU"/>
              </w:rPr>
              <w:t>AoD140</w:t>
            </w:r>
          </w:p>
        </w:tc>
        <w:tc>
          <w:tcPr>
            <w:tcW w:w="3205" w:type="dxa"/>
            <w:shd w:val="clear" w:color="auto" w:fill="auto"/>
          </w:tcPr>
          <w:p w:rsidR="00A227F1" w:rsidRDefault="00A227F1" w:rsidP="000D1627">
            <w:pPr>
              <w:pStyle w:val="DHHStabletext"/>
              <w:rPr>
                <w:rFonts w:cs="Arial"/>
                <w:color w:val="000000"/>
              </w:rPr>
            </w:pPr>
            <w:r>
              <w:rPr>
                <w:rFonts w:cs="Arial"/>
                <w:color w:val="000000"/>
              </w:rPr>
              <w:t>At least one Drug of concern group not reported within an Outcome measure</w:t>
            </w:r>
          </w:p>
        </w:tc>
        <w:tc>
          <w:tcPr>
            <w:tcW w:w="3420" w:type="dxa"/>
            <w:shd w:val="clear" w:color="auto" w:fill="auto"/>
          </w:tcPr>
          <w:p w:rsidR="00A227F1" w:rsidRDefault="00A227F1" w:rsidP="000D1627">
            <w:pPr>
              <w:pStyle w:val="DHHStabletext"/>
              <w:rPr>
                <w:rFonts w:cs="Arial"/>
                <w:color w:val="000000"/>
                <w:lang w:eastAsia="en-AU"/>
              </w:rPr>
            </w:pPr>
            <w:r>
              <w:rPr>
                <w:rFonts w:cs="Arial"/>
                <w:color w:val="000000"/>
                <w:lang w:eastAsia="en-AU"/>
              </w:rPr>
              <w:t>Outcome Measure</w:t>
            </w:r>
          </w:p>
          <w:p w:rsidR="00A227F1" w:rsidRDefault="00A227F1" w:rsidP="000D1627">
            <w:pPr>
              <w:pStyle w:val="DHHStabletext"/>
            </w:pPr>
            <w:r>
              <w:rPr>
                <w:rFonts w:cs="Arial"/>
                <w:color w:val="000000"/>
                <w:lang w:eastAsia="en-AU"/>
              </w:rPr>
              <w:t>Drug of Concern</w:t>
            </w:r>
          </w:p>
        </w:tc>
        <w:tc>
          <w:tcPr>
            <w:tcW w:w="3420" w:type="dxa"/>
          </w:tcPr>
          <w:p w:rsidR="00A227F1" w:rsidRPr="00387263" w:rsidRDefault="00A227F1" w:rsidP="000D1627">
            <w:pPr>
              <w:pStyle w:val="DHHStabletext"/>
            </w:pPr>
            <w:r>
              <w:rPr>
                <w:rFonts w:cs="Arial"/>
              </w:rPr>
              <w:t>For each Outcome Measure (</w:t>
            </w:r>
            <w:proofErr w:type="gramStart"/>
            <w:r>
              <w:rPr>
                <w:rFonts w:cs="Arial"/>
              </w:rPr>
              <w:t>count(</w:t>
            </w:r>
            <w:proofErr w:type="gramEnd"/>
            <w:r>
              <w:rPr>
                <w:rFonts w:cs="Arial"/>
              </w:rPr>
              <w:t>Drug of concern) &lt; 1)</w:t>
            </w:r>
          </w:p>
        </w:tc>
        <w:tc>
          <w:tcPr>
            <w:tcW w:w="1890" w:type="dxa"/>
          </w:tcPr>
          <w:p w:rsidR="00A227F1" w:rsidRDefault="00A227F1" w:rsidP="000D1627">
            <w:pPr>
              <w:pStyle w:val="DHHStabletext"/>
              <w:rPr>
                <w:rFonts w:cs="Arial"/>
              </w:rPr>
            </w:pPr>
            <w:r>
              <w:rPr>
                <w:rFonts w:cs="Arial"/>
              </w:rPr>
              <w:t>DHHS</w:t>
            </w:r>
          </w:p>
        </w:tc>
        <w:tc>
          <w:tcPr>
            <w:tcW w:w="1421" w:type="dxa"/>
          </w:tcPr>
          <w:p w:rsidR="00A227F1" w:rsidRDefault="00A227F1" w:rsidP="000D1627">
            <w:pPr>
              <w:pStyle w:val="DHHStabletext"/>
            </w:pPr>
            <w:r>
              <w:t>error</w:t>
            </w:r>
          </w:p>
        </w:tc>
      </w:tr>
      <w:tr w:rsidR="00A227F1" w:rsidRPr="003072C6" w:rsidTr="000D1627">
        <w:tc>
          <w:tcPr>
            <w:tcW w:w="14295" w:type="dxa"/>
            <w:gridSpan w:val="6"/>
            <w:tcBorders>
              <w:top w:val="single" w:sz="4" w:space="0" w:color="auto"/>
              <w:left w:val="single" w:sz="4" w:space="0" w:color="auto"/>
              <w:bottom w:val="single" w:sz="4" w:space="0" w:color="auto"/>
              <w:right w:val="single" w:sz="4" w:space="0" w:color="auto"/>
            </w:tcBorders>
            <w:shd w:val="clear" w:color="auto" w:fill="auto"/>
          </w:tcPr>
          <w:p w:rsidR="00A227F1" w:rsidRPr="00A46FC4" w:rsidRDefault="00A227F1" w:rsidP="000D1627">
            <w:pPr>
              <w:pStyle w:val="DHHStabletext"/>
              <w:rPr>
                <w:b/>
                <w:strike/>
                <w:highlight w:val="yellow"/>
              </w:rPr>
            </w:pPr>
            <w:r>
              <w:rPr>
                <w:b/>
              </w:rPr>
              <w:t>UPDATE</w:t>
            </w:r>
          </w:p>
        </w:tc>
      </w:tr>
      <w:tr w:rsidR="00A227F1" w:rsidRPr="003072C6" w:rsidTr="000D1627">
        <w:tc>
          <w:tcPr>
            <w:tcW w:w="939" w:type="dxa"/>
            <w:shd w:val="clear" w:color="auto" w:fill="auto"/>
          </w:tcPr>
          <w:p w:rsidR="00A227F1" w:rsidRDefault="00A227F1" w:rsidP="000D1627">
            <w:pPr>
              <w:pStyle w:val="DHHStabletext"/>
              <w:rPr>
                <w:rFonts w:cs="Arial"/>
                <w:color w:val="000000"/>
              </w:rPr>
            </w:pPr>
            <w:r>
              <w:rPr>
                <w:rFonts w:cs="Arial"/>
                <w:color w:val="000000"/>
                <w:lang w:eastAsia="en-AU"/>
              </w:rPr>
              <w:t>AoD140</w:t>
            </w:r>
          </w:p>
        </w:tc>
        <w:tc>
          <w:tcPr>
            <w:tcW w:w="3205" w:type="dxa"/>
            <w:shd w:val="clear" w:color="auto" w:fill="auto"/>
          </w:tcPr>
          <w:p w:rsidR="00A227F1" w:rsidRDefault="00A227F1" w:rsidP="000D1627">
            <w:pPr>
              <w:pStyle w:val="DHHStabletext"/>
              <w:rPr>
                <w:rFonts w:cs="Arial"/>
                <w:color w:val="000000"/>
              </w:rPr>
            </w:pPr>
            <w:r>
              <w:rPr>
                <w:rFonts w:cs="Arial"/>
                <w:color w:val="000000"/>
              </w:rPr>
              <w:t xml:space="preserve">At least one Drug of concern group not reported within an Outcome measure </w:t>
            </w:r>
            <w:r w:rsidRPr="00442F21">
              <w:rPr>
                <w:rFonts w:cs="Arial"/>
                <w:color w:val="000000"/>
                <w:highlight w:val="yellow"/>
              </w:rPr>
              <w:t>for closed service events</w:t>
            </w:r>
          </w:p>
        </w:tc>
        <w:tc>
          <w:tcPr>
            <w:tcW w:w="3420" w:type="dxa"/>
            <w:shd w:val="clear" w:color="auto" w:fill="auto"/>
          </w:tcPr>
          <w:p w:rsidR="00A227F1" w:rsidRDefault="00A227F1" w:rsidP="000D1627">
            <w:pPr>
              <w:pStyle w:val="DHHStabletext"/>
              <w:rPr>
                <w:rFonts w:cs="Arial"/>
                <w:color w:val="000000"/>
                <w:lang w:eastAsia="en-AU"/>
              </w:rPr>
            </w:pPr>
            <w:r>
              <w:rPr>
                <w:rFonts w:cs="Arial"/>
                <w:color w:val="000000"/>
                <w:lang w:eastAsia="en-AU"/>
              </w:rPr>
              <w:t>Outcome Measure</w:t>
            </w:r>
          </w:p>
          <w:p w:rsidR="00A227F1" w:rsidRDefault="00A227F1" w:rsidP="000D1627">
            <w:pPr>
              <w:pStyle w:val="DHHStabletext"/>
              <w:rPr>
                <w:rFonts w:cs="Arial"/>
                <w:color w:val="000000"/>
                <w:lang w:eastAsia="en-AU"/>
              </w:rPr>
            </w:pPr>
            <w:r>
              <w:rPr>
                <w:rFonts w:cs="Arial"/>
                <w:color w:val="000000"/>
                <w:lang w:eastAsia="en-AU"/>
              </w:rPr>
              <w:t>Drug of Concern</w:t>
            </w:r>
          </w:p>
          <w:p w:rsidR="00A227F1" w:rsidRDefault="00A227F1" w:rsidP="000D1627">
            <w:pPr>
              <w:pStyle w:val="DHHStabletext"/>
            </w:pPr>
            <w:r w:rsidRPr="00F51480">
              <w:rPr>
                <w:highlight w:val="yellow"/>
              </w:rPr>
              <w:t>Event-end date</w:t>
            </w:r>
          </w:p>
        </w:tc>
        <w:tc>
          <w:tcPr>
            <w:tcW w:w="3420" w:type="dxa"/>
          </w:tcPr>
          <w:p w:rsidR="00A227F1" w:rsidRPr="00387263" w:rsidRDefault="00A227F1" w:rsidP="000D1627">
            <w:pPr>
              <w:pStyle w:val="DHHStabletext"/>
            </w:pPr>
            <w:r w:rsidRPr="00B419A9">
              <w:rPr>
                <w:highlight w:val="yellow"/>
              </w:rPr>
              <w:t xml:space="preserve">Event-end </w:t>
            </w:r>
            <w:proofErr w:type="gramStart"/>
            <w:r w:rsidRPr="00B419A9">
              <w:rPr>
                <w:highlight w:val="yellow"/>
              </w:rPr>
              <w:t>date !</w:t>
            </w:r>
            <w:proofErr w:type="gramEnd"/>
            <w:r w:rsidRPr="00B419A9">
              <w:rPr>
                <w:highlight w:val="yellow"/>
              </w:rPr>
              <w:t xml:space="preserve">= null </w:t>
            </w:r>
            <w:r>
              <w:rPr>
                <w:highlight w:val="yellow"/>
              </w:rPr>
              <w:t>AND</w:t>
            </w:r>
            <w:r w:rsidRPr="00387263">
              <w:t xml:space="preserve"> </w:t>
            </w:r>
            <w:r>
              <w:rPr>
                <w:rFonts w:cs="Arial"/>
              </w:rPr>
              <w:t>for each Outcome Measure (count(Drug of concern) &lt; 1)</w:t>
            </w:r>
          </w:p>
        </w:tc>
        <w:tc>
          <w:tcPr>
            <w:tcW w:w="1890" w:type="dxa"/>
          </w:tcPr>
          <w:p w:rsidR="00A227F1" w:rsidRDefault="00A227F1" w:rsidP="000D1627">
            <w:pPr>
              <w:pStyle w:val="DHHStabletext"/>
              <w:rPr>
                <w:rFonts w:cs="Arial"/>
              </w:rPr>
            </w:pPr>
            <w:r>
              <w:rPr>
                <w:rFonts w:cs="Arial"/>
              </w:rPr>
              <w:t>DHHS</w:t>
            </w:r>
          </w:p>
        </w:tc>
        <w:tc>
          <w:tcPr>
            <w:tcW w:w="1421" w:type="dxa"/>
          </w:tcPr>
          <w:p w:rsidR="00A227F1" w:rsidRDefault="00A227F1" w:rsidP="000D1627">
            <w:pPr>
              <w:pStyle w:val="DHHStabletext"/>
            </w:pPr>
            <w:r>
              <w:t>error</w:t>
            </w:r>
          </w:p>
        </w:tc>
      </w:tr>
    </w:tbl>
    <w:p w:rsidR="00A227F1" w:rsidRDefault="00A227F1" w:rsidP="00A227F1">
      <w:pPr>
        <w:pStyle w:val="DHHSbody"/>
        <w:rPr>
          <w:rFonts w:eastAsia="Times New Roman"/>
        </w:rPr>
      </w:pPr>
    </w:p>
    <w:tbl>
      <w:tblPr>
        <w:tblW w:w="14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3205"/>
        <w:gridCol w:w="3420"/>
        <w:gridCol w:w="3420"/>
        <w:gridCol w:w="1890"/>
        <w:gridCol w:w="1421"/>
      </w:tblGrid>
      <w:tr w:rsidR="00A227F1" w:rsidRPr="003072C6" w:rsidTr="000D1627">
        <w:tc>
          <w:tcPr>
            <w:tcW w:w="14295" w:type="dxa"/>
            <w:gridSpan w:val="6"/>
            <w:shd w:val="clear" w:color="auto" w:fill="auto"/>
          </w:tcPr>
          <w:p w:rsidR="00A227F1" w:rsidRPr="00A46FC4" w:rsidRDefault="00A227F1" w:rsidP="000D1627">
            <w:pPr>
              <w:pStyle w:val="DHHStabletext"/>
              <w:rPr>
                <w:b/>
              </w:rPr>
            </w:pPr>
            <w:bookmarkStart w:id="8" w:name="_Hlk536784263"/>
            <w:r w:rsidRPr="00A46FC4">
              <w:rPr>
                <w:b/>
              </w:rPr>
              <w:t>CURRENT</w:t>
            </w:r>
          </w:p>
        </w:tc>
      </w:tr>
      <w:tr w:rsidR="00A227F1" w:rsidRPr="003072C6" w:rsidTr="000D1627">
        <w:tc>
          <w:tcPr>
            <w:tcW w:w="939" w:type="dxa"/>
            <w:shd w:val="clear" w:color="auto" w:fill="auto"/>
          </w:tcPr>
          <w:p w:rsidR="00A227F1" w:rsidRPr="004957D2" w:rsidRDefault="00A227F1" w:rsidP="000D1627">
            <w:pPr>
              <w:pStyle w:val="DHHStabletext"/>
            </w:pPr>
            <w:r>
              <w:t>AoD29</w:t>
            </w:r>
          </w:p>
        </w:tc>
        <w:tc>
          <w:tcPr>
            <w:tcW w:w="3205" w:type="dxa"/>
            <w:shd w:val="clear" w:color="auto" w:fill="auto"/>
          </w:tcPr>
          <w:p w:rsidR="00A227F1" w:rsidRPr="003431E5" w:rsidRDefault="00A227F1" w:rsidP="000D1627">
            <w:pPr>
              <w:pStyle w:val="DHHStabletext"/>
            </w:pPr>
            <w:r>
              <w:t>Event-</w:t>
            </w:r>
            <w:r w:rsidRPr="0015263B">
              <w:t>event type mismatch, event type is not assessment</w:t>
            </w:r>
          </w:p>
          <w:p w:rsidR="00A227F1" w:rsidRPr="004957D2" w:rsidRDefault="00A227F1" w:rsidP="000D1627">
            <w:pPr>
              <w:pStyle w:val="DHHStabletext"/>
            </w:pPr>
          </w:p>
        </w:tc>
        <w:tc>
          <w:tcPr>
            <w:tcW w:w="3420" w:type="dxa"/>
            <w:shd w:val="clear" w:color="auto" w:fill="auto"/>
          </w:tcPr>
          <w:p w:rsidR="00A227F1" w:rsidRDefault="00A227F1" w:rsidP="000D1627">
            <w:pPr>
              <w:pStyle w:val="DHHStabletext"/>
            </w:pPr>
            <w:r>
              <w:t>Event-MASCOT Score</w:t>
            </w:r>
          </w:p>
          <w:p w:rsidR="00A227F1" w:rsidRDefault="00A227F1" w:rsidP="000D1627">
            <w:pPr>
              <w:pStyle w:val="DHHStabletext"/>
            </w:pPr>
            <w:r>
              <w:t>Event-TIER</w:t>
            </w:r>
          </w:p>
          <w:p w:rsidR="00A227F1" w:rsidRDefault="00A227F1" w:rsidP="000D1627">
            <w:pPr>
              <w:pStyle w:val="DHHStabletext"/>
            </w:pPr>
            <w:r>
              <w:t>Event-event type</w:t>
            </w:r>
          </w:p>
          <w:p w:rsidR="00A227F1" w:rsidRPr="004957D2" w:rsidRDefault="00A227F1" w:rsidP="000D1627">
            <w:pPr>
              <w:pStyle w:val="DHHStabletext"/>
            </w:pPr>
          </w:p>
        </w:tc>
        <w:tc>
          <w:tcPr>
            <w:tcW w:w="3420" w:type="dxa"/>
          </w:tcPr>
          <w:p w:rsidR="00A227F1" w:rsidRPr="00FA420A" w:rsidRDefault="00A227F1" w:rsidP="000D1627">
            <w:pPr>
              <w:pStyle w:val="DHHStabletext"/>
            </w:pPr>
            <w:proofErr w:type="gramStart"/>
            <w:r w:rsidRPr="00FA420A">
              <w:t>value !</w:t>
            </w:r>
            <w:proofErr w:type="gramEnd"/>
            <w:r w:rsidRPr="00FA420A">
              <w:t>=</w:t>
            </w:r>
            <w:r>
              <w:t>null</w:t>
            </w:r>
            <w:r w:rsidRPr="00FA420A">
              <w:t xml:space="preserve"> and event type != 2</w:t>
            </w:r>
          </w:p>
          <w:p w:rsidR="00A227F1" w:rsidRPr="004957D2" w:rsidRDefault="00A227F1" w:rsidP="000D1627">
            <w:pPr>
              <w:pStyle w:val="DHHStabletext"/>
            </w:pPr>
          </w:p>
        </w:tc>
        <w:tc>
          <w:tcPr>
            <w:tcW w:w="1890" w:type="dxa"/>
          </w:tcPr>
          <w:p w:rsidR="00A227F1" w:rsidRPr="00A613E0" w:rsidRDefault="00A227F1" w:rsidP="000D1627">
            <w:pPr>
              <w:pStyle w:val="DHHStabletext"/>
            </w:pPr>
            <w:r w:rsidRPr="00A613E0">
              <w:t>DH</w:t>
            </w:r>
            <w:r>
              <w:t>HS</w:t>
            </w:r>
          </w:p>
        </w:tc>
        <w:tc>
          <w:tcPr>
            <w:tcW w:w="1421" w:type="dxa"/>
          </w:tcPr>
          <w:p w:rsidR="00A227F1" w:rsidRPr="00556EE7" w:rsidRDefault="00A227F1" w:rsidP="000D1627">
            <w:pPr>
              <w:pStyle w:val="DHHStabletext"/>
            </w:pPr>
            <w:r>
              <w:t>error</w:t>
            </w:r>
          </w:p>
        </w:tc>
      </w:tr>
      <w:tr w:rsidR="00A227F1" w:rsidRPr="003072C6" w:rsidTr="000D1627">
        <w:tc>
          <w:tcPr>
            <w:tcW w:w="14295" w:type="dxa"/>
            <w:gridSpan w:val="6"/>
            <w:tcBorders>
              <w:top w:val="single" w:sz="4" w:space="0" w:color="auto"/>
              <w:left w:val="single" w:sz="4" w:space="0" w:color="auto"/>
              <w:bottom w:val="single" w:sz="4" w:space="0" w:color="auto"/>
              <w:right w:val="single" w:sz="4" w:space="0" w:color="auto"/>
            </w:tcBorders>
            <w:shd w:val="clear" w:color="auto" w:fill="auto"/>
          </w:tcPr>
          <w:p w:rsidR="00A227F1" w:rsidRPr="00A46FC4" w:rsidRDefault="00A227F1" w:rsidP="000D1627">
            <w:pPr>
              <w:pStyle w:val="DHHStabletext"/>
              <w:rPr>
                <w:b/>
                <w:strike/>
                <w:highlight w:val="yellow"/>
              </w:rPr>
            </w:pPr>
            <w:r>
              <w:rPr>
                <w:b/>
              </w:rPr>
              <w:t>UPDATE</w:t>
            </w:r>
          </w:p>
        </w:tc>
      </w:tr>
      <w:tr w:rsidR="00A227F1" w:rsidRPr="003072C6" w:rsidTr="000D1627">
        <w:tc>
          <w:tcPr>
            <w:tcW w:w="939" w:type="dxa"/>
            <w:tcBorders>
              <w:top w:val="single" w:sz="4" w:space="0" w:color="auto"/>
              <w:left w:val="single" w:sz="4" w:space="0" w:color="auto"/>
              <w:bottom w:val="single" w:sz="4" w:space="0" w:color="auto"/>
              <w:right w:val="single" w:sz="4" w:space="0" w:color="auto"/>
            </w:tcBorders>
            <w:shd w:val="clear" w:color="auto" w:fill="auto"/>
          </w:tcPr>
          <w:p w:rsidR="00A227F1" w:rsidRPr="004957D2" w:rsidRDefault="00A227F1" w:rsidP="000D1627">
            <w:pPr>
              <w:pStyle w:val="DHHStabletext"/>
            </w:pPr>
            <w:r>
              <w:t>AoD29</w:t>
            </w:r>
          </w:p>
        </w:tc>
        <w:tc>
          <w:tcPr>
            <w:tcW w:w="3205" w:type="dxa"/>
            <w:tcBorders>
              <w:top w:val="single" w:sz="4" w:space="0" w:color="auto"/>
              <w:left w:val="single" w:sz="4" w:space="0" w:color="auto"/>
              <w:bottom w:val="single" w:sz="4" w:space="0" w:color="auto"/>
              <w:right w:val="single" w:sz="4" w:space="0" w:color="auto"/>
            </w:tcBorders>
            <w:shd w:val="clear" w:color="auto" w:fill="auto"/>
          </w:tcPr>
          <w:p w:rsidR="00A227F1" w:rsidRPr="003431E5" w:rsidRDefault="00A227F1" w:rsidP="000D1627">
            <w:pPr>
              <w:pStyle w:val="DHHStabletext"/>
            </w:pPr>
            <w:r>
              <w:t>Event-</w:t>
            </w:r>
            <w:r w:rsidRPr="0015263B">
              <w:t>event type mismatch, event type is not assessment</w:t>
            </w:r>
          </w:p>
          <w:p w:rsidR="00A227F1" w:rsidRPr="004957D2" w:rsidRDefault="00A227F1" w:rsidP="000D1627">
            <w:pPr>
              <w:pStyle w:val="DHHStabletext"/>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227F1" w:rsidRDefault="00A227F1" w:rsidP="000D1627">
            <w:pPr>
              <w:pStyle w:val="DHHStabletext"/>
            </w:pPr>
            <w:r>
              <w:t>Event-MASCOT Score</w:t>
            </w:r>
          </w:p>
          <w:p w:rsidR="00A227F1" w:rsidRDefault="00A227F1" w:rsidP="000D1627">
            <w:pPr>
              <w:pStyle w:val="DHHStabletext"/>
            </w:pPr>
            <w:r>
              <w:t>Event-TIER</w:t>
            </w:r>
          </w:p>
          <w:p w:rsidR="00A227F1" w:rsidRDefault="00A227F1" w:rsidP="000D1627">
            <w:pPr>
              <w:pStyle w:val="DHHStabletext"/>
            </w:pPr>
            <w:r>
              <w:t>Event-event type</w:t>
            </w:r>
          </w:p>
          <w:p w:rsidR="00A227F1" w:rsidRPr="004957D2" w:rsidRDefault="00A227F1" w:rsidP="000D1627">
            <w:pPr>
              <w:pStyle w:val="DHHStabletext"/>
            </w:pPr>
          </w:p>
        </w:tc>
        <w:tc>
          <w:tcPr>
            <w:tcW w:w="3420" w:type="dxa"/>
            <w:tcBorders>
              <w:top w:val="single" w:sz="4" w:space="0" w:color="auto"/>
              <w:left w:val="single" w:sz="4" w:space="0" w:color="auto"/>
              <w:bottom w:val="single" w:sz="4" w:space="0" w:color="auto"/>
              <w:right w:val="single" w:sz="4" w:space="0" w:color="auto"/>
            </w:tcBorders>
          </w:tcPr>
          <w:p w:rsidR="00A227F1" w:rsidRPr="00FA420A" w:rsidRDefault="00A227F1" w:rsidP="000D1627">
            <w:pPr>
              <w:pStyle w:val="DHHStabletext"/>
            </w:pPr>
            <w:proofErr w:type="gramStart"/>
            <w:r w:rsidRPr="00FA420A">
              <w:t>value !</w:t>
            </w:r>
            <w:proofErr w:type="gramEnd"/>
            <w:r w:rsidRPr="00FA420A">
              <w:t>=</w:t>
            </w:r>
            <w:r>
              <w:t>(null</w:t>
            </w:r>
            <w:r w:rsidRPr="006723F3">
              <w:rPr>
                <w:highlight w:val="yellow"/>
              </w:rPr>
              <w:t>, 8, 9</w:t>
            </w:r>
            <w:r>
              <w:t>)</w:t>
            </w:r>
            <w:r w:rsidRPr="00FA420A">
              <w:t xml:space="preserve"> and event type != 2</w:t>
            </w:r>
          </w:p>
          <w:p w:rsidR="00A227F1" w:rsidRPr="004957D2" w:rsidRDefault="00A227F1" w:rsidP="000D1627">
            <w:pPr>
              <w:pStyle w:val="DHHStabletext"/>
            </w:pPr>
          </w:p>
        </w:tc>
        <w:tc>
          <w:tcPr>
            <w:tcW w:w="1890" w:type="dxa"/>
            <w:tcBorders>
              <w:top w:val="single" w:sz="4" w:space="0" w:color="auto"/>
              <w:left w:val="single" w:sz="4" w:space="0" w:color="auto"/>
              <w:bottom w:val="single" w:sz="4" w:space="0" w:color="auto"/>
              <w:right w:val="single" w:sz="4" w:space="0" w:color="auto"/>
            </w:tcBorders>
          </w:tcPr>
          <w:p w:rsidR="00A227F1" w:rsidRPr="00A613E0" w:rsidRDefault="00A227F1" w:rsidP="000D1627">
            <w:pPr>
              <w:pStyle w:val="DHHStabletext"/>
            </w:pPr>
            <w:r w:rsidRPr="00A613E0">
              <w:t>DH</w:t>
            </w:r>
            <w:r>
              <w:t>HS</w:t>
            </w:r>
          </w:p>
        </w:tc>
        <w:tc>
          <w:tcPr>
            <w:tcW w:w="1421" w:type="dxa"/>
            <w:tcBorders>
              <w:top w:val="single" w:sz="4" w:space="0" w:color="auto"/>
              <w:left w:val="single" w:sz="4" w:space="0" w:color="auto"/>
              <w:bottom w:val="single" w:sz="4" w:space="0" w:color="auto"/>
              <w:right w:val="single" w:sz="4" w:space="0" w:color="auto"/>
            </w:tcBorders>
          </w:tcPr>
          <w:p w:rsidR="00A227F1" w:rsidRPr="006723F3" w:rsidRDefault="00A227F1" w:rsidP="000D1627">
            <w:pPr>
              <w:pStyle w:val="DHHStabletext"/>
              <w:rPr>
                <w:strike/>
              </w:rPr>
            </w:pPr>
            <w:r w:rsidRPr="006723F3">
              <w:rPr>
                <w:strike/>
                <w:highlight w:val="yellow"/>
              </w:rPr>
              <w:t>error</w:t>
            </w:r>
          </w:p>
          <w:p w:rsidR="00A227F1" w:rsidRPr="00556EE7" w:rsidRDefault="00A227F1" w:rsidP="000D1627">
            <w:pPr>
              <w:pStyle w:val="DHHStabletext"/>
            </w:pPr>
            <w:r>
              <w:t>warning</w:t>
            </w:r>
          </w:p>
        </w:tc>
      </w:tr>
      <w:bookmarkEnd w:id="8"/>
    </w:tbl>
    <w:p w:rsidR="00A227F1" w:rsidRDefault="00A227F1" w:rsidP="00A227F1">
      <w:pPr>
        <w:pStyle w:val="DHHSbody"/>
        <w:rPr>
          <w:rFonts w:eastAsia="Times New Roman"/>
        </w:rPr>
      </w:pPr>
    </w:p>
    <w:tbl>
      <w:tblPr>
        <w:tblW w:w="14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3205"/>
        <w:gridCol w:w="3420"/>
        <w:gridCol w:w="3420"/>
        <w:gridCol w:w="1890"/>
        <w:gridCol w:w="1421"/>
      </w:tblGrid>
      <w:tr w:rsidR="00A227F1" w:rsidRPr="003072C6" w:rsidTr="000D1627">
        <w:tc>
          <w:tcPr>
            <w:tcW w:w="14295" w:type="dxa"/>
            <w:gridSpan w:val="6"/>
            <w:shd w:val="clear" w:color="auto" w:fill="auto"/>
          </w:tcPr>
          <w:p w:rsidR="00A227F1" w:rsidRPr="00A46FC4" w:rsidRDefault="00A227F1" w:rsidP="000D1627">
            <w:pPr>
              <w:pStyle w:val="DHHStabletext"/>
              <w:rPr>
                <w:b/>
              </w:rPr>
            </w:pPr>
            <w:r w:rsidRPr="00A46FC4">
              <w:rPr>
                <w:b/>
              </w:rPr>
              <w:t>CURRENT</w:t>
            </w:r>
            <w:r>
              <w:rPr>
                <w:b/>
              </w:rPr>
              <w:t xml:space="preserve"> </w:t>
            </w:r>
          </w:p>
        </w:tc>
      </w:tr>
      <w:tr w:rsidR="00A227F1" w:rsidRPr="003072C6" w:rsidTr="000D1627">
        <w:tc>
          <w:tcPr>
            <w:tcW w:w="939" w:type="dxa"/>
            <w:shd w:val="clear" w:color="auto" w:fill="auto"/>
          </w:tcPr>
          <w:p w:rsidR="00A227F1" w:rsidRDefault="00A227F1" w:rsidP="000D1627">
            <w:pPr>
              <w:pStyle w:val="DHHStabletext"/>
            </w:pPr>
            <w:r>
              <w:t>AoD74</w:t>
            </w:r>
          </w:p>
        </w:tc>
        <w:tc>
          <w:tcPr>
            <w:tcW w:w="3205" w:type="dxa"/>
            <w:shd w:val="clear" w:color="auto" w:fill="auto"/>
          </w:tcPr>
          <w:p w:rsidR="00A227F1" w:rsidRPr="001003A9" w:rsidRDefault="00A227F1" w:rsidP="000D1627">
            <w:pPr>
              <w:pStyle w:val="DHHStabletext"/>
            </w:pPr>
            <w:r w:rsidRPr="001003A9">
              <w:t>Outcomes-out of audit score range</w:t>
            </w:r>
          </w:p>
          <w:p w:rsidR="00A227F1" w:rsidRDefault="00A227F1" w:rsidP="000D1627">
            <w:pPr>
              <w:pStyle w:val="DHHStabletext"/>
            </w:pPr>
          </w:p>
        </w:tc>
        <w:tc>
          <w:tcPr>
            <w:tcW w:w="3420" w:type="dxa"/>
            <w:shd w:val="clear" w:color="auto" w:fill="auto"/>
          </w:tcPr>
          <w:p w:rsidR="00A227F1" w:rsidRDefault="00A227F1" w:rsidP="000D1627">
            <w:pPr>
              <w:pStyle w:val="DHHStabletext"/>
            </w:pPr>
            <w:r>
              <w:t>Outcomes-AUDIT Score</w:t>
            </w:r>
          </w:p>
        </w:tc>
        <w:tc>
          <w:tcPr>
            <w:tcW w:w="3420" w:type="dxa"/>
          </w:tcPr>
          <w:p w:rsidR="00A227F1" w:rsidRPr="001003A9" w:rsidRDefault="00A227F1" w:rsidP="000D1627">
            <w:pPr>
              <w:pStyle w:val="DHHStabletext"/>
            </w:pPr>
            <w:r>
              <w:t>Outcomes-</w:t>
            </w:r>
            <w:r w:rsidRPr="001003A9">
              <w:t>AUDIT score &lt;0 or &gt; 40</w:t>
            </w:r>
          </w:p>
          <w:p w:rsidR="00A227F1" w:rsidRDefault="00A227F1" w:rsidP="000D1627">
            <w:pPr>
              <w:pStyle w:val="DHHStabletext"/>
            </w:pPr>
            <w:proofErr w:type="gramStart"/>
            <w:r>
              <w:t>AND !</w:t>
            </w:r>
            <w:proofErr w:type="gramEnd"/>
            <w:r>
              <w:t>= (98,99)</w:t>
            </w:r>
          </w:p>
        </w:tc>
        <w:tc>
          <w:tcPr>
            <w:tcW w:w="1890" w:type="dxa"/>
          </w:tcPr>
          <w:p w:rsidR="00A227F1" w:rsidRPr="00BB6A2C" w:rsidRDefault="00A227F1" w:rsidP="000D1627">
            <w:pPr>
              <w:pStyle w:val="DHHStabletext"/>
            </w:pPr>
            <w:r>
              <w:t>DHHS</w:t>
            </w:r>
          </w:p>
        </w:tc>
        <w:tc>
          <w:tcPr>
            <w:tcW w:w="1421" w:type="dxa"/>
          </w:tcPr>
          <w:p w:rsidR="00A227F1" w:rsidRPr="0049398B" w:rsidRDefault="00A227F1" w:rsidP="000D1627">
            <w:pPr>
              <w:pStyle w:val="DHHStabletext"/>
            </w:pPr>
            <w:r>
              <w:t>warning</w:t>
            </w:r>
          </w:p>
        </w:tc>
      </w:tr>
      <w:tr w:rsidR="00A227F1" w:rsidRPr="003072C6" w:rsidTr="000D1627">
        <w:tc>
          <w:tcPr>
            <w:tcW w:w="939" w:type="dxa"/>
            <w:shd w:val="clear" w:color="auto" w:fill="auto"/>
          </w:tcPr>
          <w:p w:rsidR="00A227F1" w:rsidRDefault="00A227F1" w:rsidP="000D1627">
            <w:pPr>
              <w:pStyle w:val="DHHStabletext"/>
            </w:pPr>
            <w:r>
              <w:lastRenderedPageBreak/>
              <w:t>AoD77</w:t>
            </w:r>
          </w:p>
        </w:tc>
        <w:tc>
          <w:tcPr>
            <w:tcW w:w="3205" w:type="dxa"/>
            <w:shd w:val="clear" w:color="auto" w:fill="auto"/>
          </w:tcPr>
          <w:p w:rsidR="00A227F1" w:rsidRPr="001003A9" w:rsidRDefault="00A227F1" w:rsidP="000D1627">
            <w:pPr>
              <w:pStyle w:val="DHHStabletext"/>
            </w:pPr>
            <w:r w:rsidRPr="001003A9">
              <w:t>Outcomes-</w:t>
            </w:r>
          </w:p>
          <w:p w:rsidR="00A227F1" w:rsidRPr="001003A9" w:rsidRDefault="00A227F1" w:rsidP="000D1627">
            <w:pPr>
              <w:pStyle w:val="DHHStabletext"/>
            </w:pPr>
            <w:r w:rsidRPr="001003A9">
              <w:t>days injected last four weeks invalid range</w:t>
            </w:r>
          </w:p>
          <w:p w:rsidR="00A227F1" w:rsidRPr="001003A9" w:rsidRDefault="00A227F1" w:rsidP="000D1627">
            <w:pPr>
              <w:pStyle w:val="DHHStabletext"/>
            </w:pPr>
          </w:p>
        </w:tc>
        <w:tc>
          <w:tcPr>
            <w:tcW w:w="3420" w:type="dxa"/>
            <w:shd w:val="clear" w:color="auto" w:fill="auto"/>
          </w:tcPr>
          <w:p w:rsidR="00A227F1" w:rsidRDefault="00A227F1" w:rsidP="000D1627">
            <w:pPr>
              <w:pStyle w:val="DHHStabletext"/>
            </w:pPr>
            <w:r>
              <w:t>Outcomes-days injected last four weeks</w:t>
            </w:r>
          </w:p>
        </w:tc>
        <w:tc>
          <w:tcPr>
            <w:tcW w:w="3420" w:type="dxa"/>
          </w:tcPr>
          <w:p w:rsidR="00A227F1" w:rsidRPr="001003A9" w:rsidRDefault="00A227F1" w:rsidP="000D1627">
            <w:pPr>
              <w:pStyle w:val="DHHStabletext"/>
            </w:pPr>
            <w:r>
              <w:t>Outcomes-</w:t>
            </w:r>
            <w:r w:rsidRPr="001003A9">
              <w:t>days injected last four weeks &lt;0 or &gt;28</w:t>
            </w:r>
          </w:p>
          <w:p w:rsidR="00A227F1" w:rsidRDefault="00A227F1" w:rsidP="000D1627">
            <w:pPr>
              <w:pStyle w:val="DHHStabletext"/>
            </w:pPr>
            <w:proofErr w:type="gramStart"/>
            <w:r>
              <w:t>AND !</w:t>
            </w:r>
            <w:proofErr w:type="gramEnd"/>
            <w:r>
              <w:t>= (98,99)</w:t>
            </w:r>
          </w:p>
        </w:tc>
        <w:tc>
          <w:tcPr>
            <w:tcW w:w="1890" w:type="dxa"/>
          </w:tcPr>
          <w:p w:rsidR="00A227F1" w:rsidRPr="00BB6A2C" w:rsidRDefault="00A227F1" w:rsidP="000D1627">
            <w:pPr>
              <w:pStyle w:val="DHHStabletext"/>
            </w:pPr>
            <w:r w:rsidRPr="0067073E">
              <w:t>DHHS</w:t>
            </w:r>
          </w:p>
        </w:tc>
        <w:tc>
          <w:tcPr>
            <w:tcW w:w="1421" w:type="dxa"/>
          </w:tcPr>
          <w:p w:rsidR="00A227F1" w:rsidRPr="0049398B" w:rsidRDefault="00A227F1" w:rsidP="000D1627">
            <w:pPr>
              <w:pStyle w:val="DHHStabletext"/>
            </w:pPr>
            <w:r>
              <w:t>warning</w:t>
            </w:r>
          </w:p>
        </w:tc>
      </w:tr>
      <w:tr w:rsidR="00A227F1" w:rsidRPr="003072C6" w:rsidTr="000D1627">
        <w:tc>
          <w:tcPr>
            <w:tcW w:w="14295" w:type="dxa"/>
            <w:gridSpan w:val="6"/>
            <w:shd w:val="clear" w:color="auto" w:fill="auto"/>
          </w:tcPr>
          <w:p w:rsidR="00A227F1" w:rsidRPr="00A46FC4" w:rsidRDefault="00A227F1" w:rsidP="000D1627">
            <w:pPr>
              <w:pStyle w:val="DHHStabletext"/>
              <w:rPr>
                <w:b/>
              </w:rPr>
            </w:pPr>
            <w:r>
              <w:rPr>
                <w:b/>
              </w:rPr>
              <w:t xml:space="preserve">UPDATE </w:t>
            </w:r>
          </w:p>
        </w:tc>
      </w:tr>
      <w:tr w:rsidR="00A227F1" w:rsidRPr="003072C6" w:rsidTr="000D1627">
        <w:tc>
          <w:tcPr>
            <w:tcW w:w="939" w:type="dxa"/>
            <w:shd w:val="clear" w:color="auto" w:fill="auto"/>
          </w:tcPr>
          <w:p w:rsidR="00A227F1" w:rsidRDefault="00A227F1" w:rsidP="000D1627">
            <w:pPr>
              <w:pStyle w:val="DHHStabletext"/>
            </w:pPr>
            <w:r>
              <w:t>AoD74</w:t>
            </w:r>
          </w:p>
        </w:tc>
        <w:tc>
          <w:tcPr>
            <w:tcW w:w="3205" w:type="dxa"/>
            <w:shd w:val="clear" w:color="auto" w:fill="auto"/>
          </w:tcPr>
          <w:p w:rsidR="00A227F1" w:rsidRPr="001003A9" w:rsidRDefault="00A227F1" w:rsidP="000D1627">
            <w:pPr>
              <w:pStyle w:val="DHHStabletext"/>
            </w:pPr>
            <w:r w:rsidRPr="001003A9">
              <w:t>Outcomes-out of audit score range</w:t>
            </w:r>
          </w:p>
          <w:p w:rsidR="00A227F1" w:rsidRDefault="00A227F1" w:rsidP="000D1627">
            <w:pPr>
              <w:pStyle w:val="DHHStabletext"/>
            </w:pPr>
          </w:p>
        </w:tc>
        <w:tc>
          <w:tcPr>
            <w:tcW w:w="3420" w:type="dxa"/>
            <w:shd w:val="clear" w:color="auto" w:fill="auto"/>
          </w:tcPr>
          <w:p w:rsidR="00A227F1" w:rsidRDefault="00A227F1" w:rsidP="000D1627">
            <w:pPr>
              <w:pStyle w:val="DHHStabletext"/>
            </w:pPr>
            <w:r>
              <w:t>Outcomes-AUDIT Score</w:t>
            </w:r>
          </w:p>
        </w:tc>
        <w:tc>
          <w:tcPr>
            <w:tcW w:w="3420" w:type="dxa"/>
          </w:tcPr>
          <w:p w:rsidR="00A227F1" w:rsidRPr="001003A9" w:rsidRDefault="00A227F1" w:rsidP="000D1627">
            <w:pPr>
              <w:pStyle w:val="DHHStabletext"/>
            </w:pPr>
            <w:r>
              <w:t>Outcomes-</w:t>
            </w:r>
            <w:r w:rsidRPr="001003A9">
              <w:t>AUDIT score &lt;0 or &gt; 40</w:t>
            </w:r>
          </w:p>
          <w:p w:rsidR="00A227F1" w:rsidRDefault="00A227F1" w:rsidP="000D1627">
            <w:pPr>
              <w:pStyle w:val="DHHStabletext"/>
            </w:pPr>
            <w:proofErr w:type="gramStart"/>
            <w:r>
              <w:t>AND !</w:t>
            </w:r>
            <w:proofErr w:type="gramEnd"/>
            <w:r>
              <w:t>= (98,99)</w:t>
            </w:r>
          </w:p>
        </w:tc>
        <w:tc>
          <w:tcPr>
            <w:tcW w:w="1890" w:type="dxa"/>
          </w:tcPr>
          <w:p w:rsidR="00A227F1" w:rsidRPr="00BB6A2C" w:rsidRDefault="00A227F1" w:rsidP="000D1627">
            <w:pPr>
              <w:pStyle w:val="DHHStabletext"/>
            </w:pPr>
            <w:r>
              <w:t>DHHS</w:t>
            </w:r>
          </w:p>
        </w:tc>
        <w:tc>
          <w:tcPr>
            <w:tcW w:w="1421" w:type="dxa"/>
          </w:tcPr>
          <w:p w:rsidR="00A227F1" w:rsidRPr="00B57276" w:rsidRDefault="00A227F1" w:rsidP="000D1627">
            <w:pPr>
              <w:pStyle w:val="DHHStabletext"/>
              <w:rPr>
                <w:strike/>
              </w:rPr>
            </w:pPr>
            <w:r>
              <w:rPr>
                <w:strike/>
                <w:highlight w:val="yellow"/>
              </w:rPr>
              <w:t>warning</w:t>
            </w:r>
          </w:p>
          <w:p w:rsidR="00A227F1" w:rsidRPr="0049398B" w:rsidRDefault="00A227F1" w:rsidP="000D1627">
            <w:pPr>
              <w:pStyle w:val="DHHStabletext"/>
            </w:pPr>
            <w:r>
              <w:t>error</w:t>
            </w:r>
          </w:p>
        </w:tc>
      </w:tr>
      <w:tr w:rsidR="00A227F1" w:rsidRPr="003072C6" w:rsidTr="000D1627">
        <w:tc>
          <w:tcPr>
            <w:tcW w:w="939" w:type="dxa"/>
            <w:shd w:val="clear" w:color="auto" w:fill="auto"/>
          </w:tcPr>
          <w:p w:rsidR="00A227F1" w:rsidRDefault="00A227F1" w:rsidP="000D1627">
            <w:pPr>
              <w:pStyle w:val="DHHStabletext"/>
            </w:pPr>
            <w:r>
              <w:t>AoD77</w:t>
            </w:r>
          </w:p>
        </w:tc>
        <w:tc>
          <w:tcPr>
            <w:tcW w:w="3205" w:type="dxa"/>
            <w:shd w:val="clear" w:color="auto" w:fill="auto"/>
          </w:tcPr>
          <w:p w:rsidR="00A227F1" w:rsidRPr="001003A9" w:rsidRDefault="00A227F1" w:rsidP="000D1627">
            <w:pPr>
              <w:pStyle w:val="DHHStabletext"/>
            </w:pPr>
            <w:r w:rsidRPr="001003A9">
              <w:t>Outcomes-</w:t>
            </w:r>
          </w:p>
          <w:p w:rsidR="00A227F1" w:rsidRPr="001003A9" w:rsidRDefault="00A227F1" w:rsidP="000D1627">
            <w:pPr>
              <w:pStyle w:val="DHHStabletext"/>
            </w:pPr>
            <w:r w:rsidRPr="001003A9">
              <w:t>days injected last four weeks invalid range</w:t>
            </w:r>
          </w:p>
          <w:p w:rsidR="00A227F1" w:rsidRPr="001003A9" w:rsidRDefault="00A227F1" w:rsidP="000D1627">
            <w:pPr>
              <w:pStyle w:val="DHHStabletext"/>
            </w:pPr>
          </w:p>
        </w:tc>
        <w:tc>
          <w:tcPr>
            <w:tcW w:w="3420" w:type="dxa"/>
            <w:shd w:val="clear" w:color="auto" w:fill="auto"/>
          </w:tcPr>
          <w:p w:rsidR="00A227F1" w:rsidRDefault="00A227F1" w:rsidP="000D1627">
            <w:pPr>
              <w:pStyle w:val="DHHStabletext"/>
            </w:pPr>
            <w:r>
              <w:t>Outcomes-days injected last four weeks</w:t>
            </w:r>
          </w:p>
        </w:tc>
        <w:tc>
          <w:tcPr>
            <w:tcW w:w="3420" w:type="dxa"/>
          </w:tcPr>
          <w:p w:rsidR="00A227F1" w:rsidRPr="001003A9" w:rsidRDefault="00A227F1" w:rsidP="000D1627">
            <w:pPr>
              <w:pStyle w:val="DHHStabletext"/>
            </w:pPr>
            <w:r>
              <w:t>Outcomes-</w:t>
            </w:r>
            <w:r w:rsidRPr="001003A9">
              <w:t>days injected last four weeks &lt;0 or &gt;28</w:t>
            </w:r>
          </w:p>
          <w:p w:rsidR="00A227F1" w:rsidRDefault="00A227F1" w:rsidP="000D1627">
            <w:pPr>
              <w:pStyle w:val="DHHStabletext"/>
            </w:pPr>
            <w:proofErr w:type="gramStart"/>
            <w:r>
              <w:t>AND !</w:t>
            </w:r>
            <w:proofErr w:type="gramEnd"/>
            <w:r>
              <w:t>= (98,99)</w:t>
            </w:r>
          </w:p>
        </w:tc>
        <w:tc>
          <w:tcPr>
            <w:tcW w:w="1890" w:type="dxa"/>
          </w:tcPr>
          <w:p w:rsidR="00A227F1" w:rsidRPr="00BB6A2C" w:rsidRDefault="00A227F1" w:rsidP="000D1627">
            <w:pPr>
              <w:pStyle w:val="DHHStabletext"/>
            </w:pPr>
            <w:r w:rsidRPr="0067073E">
              <w:t>DHHS</w:t>
            </w:r>
          </w:p>
        </w:tc>
        <w:tc>
          <w:tcPr>
            <w:tcW w:w="1421" w:type="dxa"/>
          </w:tcPr>
          <w:p w:rsidR="00A227F1" w:rsidRPr="00B57276" w:rsidRDefault="00A227F1" w:rsidP="000D1627">
            <w:pPr>
              <w:pStyle w:val="DHHStabletext"/>
              <w:rPr>
                <w:strike/>
              </w:rPr>
            </w:pPr>
            <w:r>
              <w:rPr>
                <w:strike/>
                <w:highlight w:val="yellow"/>
              </w:rPr>
              <w:t>warning</w:t>
            </w:r>
          </w:p>
          <w:p w:rsidR="00A227F1" w:rsidRPr="00430F02" w:rsidRDefault="00A227F1" w:rsidP="000D1627">
            <w:pPr>
              <w:pStyle w:val="DHHStabletext"/>
            </w:pPr>
            <w:r>
              <w:t xml:space="preserve">error </w:t>
            </w:r>
          </w:p>
        </w:tc>
      </w:tr>
    </w:tbl>
    <w:p w:rsidR="00A227F1" w:rsidRDefault="00A227F1" w:rsidP="00A227F1">
      <w:pPr>
        <w:pStyle w:val="DHHSbody"/>
      </w:pPr>
    </w:p>
    <w:tbl>
      <w:tblPr>
        <w:tblW w:w="14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3205"/>
        <w:gridCol w:w="3420"/>
        <w:gridCol w:w="3420"/>
        <w:gridCol w:w="1890"/>
        <w:gridCol w:w="1421"/>
      </w:tblGrid>
      <w:tr w:rsidR="00A227F1" w:rsidRPr="003072C6" w:rsidTr="000D1627">
        <w:tc>
          <w:tcPr>
            <w:tcW w:w="14295" w:type="dxa"/>
            <w:gridSpan w:val="6"/>
            <w:shd w:val="clear" w:color="auto" w:fill="auto"/>
          </w:tcPr>
          <w:p w:rsidR="00A227F1" w:rsidRPr="00A46FC4" w:rsidRDefault="00A227F1" w:rsidP="000D1627">
            <w:pPr>
              <w:pStyle w:val="DHHStabletext"/>
              <w:rPr>
                <w:b/>
              </w:rPr>
            </w:pPr>
            <w:r w:rsidRPr="00A46FC4">
              <w:rPr>
                <w:b/>
              </w:rPr>
              <w:t>CURRENT</w:t>
            </w:r>
          </w:p>
        </w:tc>
      </w:tr>
      <w:tr w:rsidR="00A227F1" w:rsidRPr="003072C6" w:rsidTr="000D1627">
        <w:tc>
          <w:tcPr>
            <w:tcW w:w="939" w:type="dxa"/>
            <w:shd w:val="clear" w:color="auto" w:fill="auto"/>
          </w:tcPr>
          <w:p w:rsidR="00A227F1" w:rsidRDefault="00A227F1" w:rsidP="000D1627">
            <w:pPr>
              <w:pStyle w:val="DHHStabletext"/>
            </w:pPr>
            <w:r>
              <w:t>AoD31</w:t>
            </w:r>
          </w:p>
        </w:tc>
        <w:tc>
          <w:tcPr>
            <w:tcW w:w="3205" w:type="dxa"/>
            <w:shd w:val="clear" w:color="auto" w:fill="auto"/>
          </w:tcPr>
          <w:p w:rsidR="00A227F1" w:rsidRPr="0015263B" w:rsidRDefault="00A227F1" w:rsidP="000D1627">
            <w:pPr>
              <w:pStyle w:val="DHHStabletext"/>
            </w:pPr>
            <w:r w:rsidRPr="0015263B">
              <w:t>Event-event type mismatch, event type is not assessment or treatment</w:t>
            </w:r>
          </w:p>
          <w:p w:rsidR="00A227F1" w:rsidRDefault="00A227F1" w:rsidP="000D1627">
            <w:pPr>
              <w:pStyle w:val="DHHStabletext"/>
            </w:pPr>
          </w:p>
        </w:tc>
        <w:tc>
          <w:tcPr>
            <w:tcW w:w="3420" w:type="dxa"/>
            <w:shd w:val="clear" w:color="auto" w:fill="auto"/>
          </w:tcPr>
          <w:p w:rsidR="00A227F1" w:rsidRDefault="00A227F1" w:rsidP="000D1627">
            <w:pPr>
              <w:pStyle w:val="DHHStabletext"/>
            </w:pPr>
            <w:r>
              <w:t>Event-did not attend</w:t>
            </w:r>
          </w:p>
          <w:p w:rsidR="00A227F1" w:rsidRDefault="00A227F1" w:rsidP="000D1627">
            <w:pPr>
              <w:pStyle w:val="DHHStabletext"/>
            </w:pPr>
            <w:r>
              <w:t>Event-event type</w:t>
            </w:r>
          </w:p>
        </w:tc>
        <w:tc>
          <w:tcPr>
            <w:tcW w:w="3420" w:type="dxa"/>
          </w:tcPr>
          <w:p w:rsidR="00A227F1" w:rsidRPr="00FA420A" w:rsidRDefault="00A227F1" w:rsidP="000D1627">
            <w:pPr>
              <w:pStyle w:val="DHHStabletext"/>
            </w:pPr>
            <w:proofErr w:type="gramStart"/>
            <w:r w:rsidRPr="00FA420A">
              <w:t>Value</w:t>
            </w:r>
            <w:r>
              <w:t xml:space="preserve"> </w:t>
            </w:r>
            <w:r w:rsidRPr="00FA420A">
              <w:t>!</w:t>
            </w:r>
            <w:proofErr w:type="gramEnd"/>
            <w:r w:rsidRPr="00FA420A">
              <w:t>=</w:t>
            </w:r>
            <w:r>
              <w:t xml:space="preserve"> null</w:t>
            </w:r>
            <w:r w:rsidRPr="00FA420A">
              <w:t xml:space="preserve"> and </w:t>
            </w:r>
            <w:r>
              <w:t>Event-</w:t>
            </w:r>
            <w:r w:rsidRPr="00FA420A">
              <w:t>event type !=</w:t>
            </w:r>
            <w:r>
              <w:t>[</w:t>
            </w:r>
            <w:r w:rsidRPr="00FA420A">
              <w:t xml:space="preserve"> 2, or 3</w:t>
            </w:r>
            <w:r>
              <w:t>]</w:t>
            </w:r>
          </w:p>
        </w:tc>
        <w:tc>
          <w:tcPr>
            <w:tcW w:w="1890" w:type="dxa"/>
          </w:tcPr>
          <w:p w:rsidR="00A227F1" w:rsidRPr="00430F02" w:rsidRDefault="00A227F1" w:rsidP="000D1627">
            <w:pPr>
              <w:pStyle w:val="DHHStabletext"/>
            </w:pPr>
            <w:r>
              <w:t>DHHS</w:t>
            </w:r>
          </w:p>
        </w:tc>
        <w:tc>
          <w:tcPr>
            <w:tcW w:w="1421" w:type="dxa"/>
          </w:tcPr>
          <w:p w:rsidR="00A227F1" w:rsidRPr="00913ED8" w:rsidRDefault="00A227F1" w:rsidP="000D1627">
            <w:pPr>
              <w:pStyle w:val="DHHStabletext"/>
              <w:rPr>
                <w:strike/>
              </w:rPr>
            </w:pPr>
            <w:r>
              <w:t>error</w:t>
            </w:r>
          </w:p>
        </w:tc>
      </w:tr>
      <w:tr w:rsidR="00A227F1" w:rsidRPr="003072C6" w:rsidTr="000D1627">
        <w:tc>
          <w:tcPr>
            <w:tcW w:w="14295" w:type="dxa"/>
            <w:gridSpan w:val="6"/>
            <w:shd w:val="clear" w:color="auto" w:fill="auto"/>
          </w:tcPr>
          <w:p w:rsidR="00A227F1" w:rsidRPr="00A46FC4" w:rsidRDefault="00A227F1" w:rsidP="000D1627">
            <w:pPr>
              <w:pStyle w:val="DHHStabletext"/>
              <w:rPr>
                <w:b/>
              </w:rPr>
            </w:pPr>
            <w:r>
              <w:rPr>
                <w:b/>
              </w:rPr>
              <w:t>UPDATE</w:t>
            </w:r>
          </w:p>
        </w:tc>
      </w:tr>
      <w:tr w:rsidR="00A227F1" w:rsidRPr="003072C6" w:rsidTr="000D1627">
        <w:tc>
          <w:tcPr>
            <w:tcW w:w="939" w:type="dxa"/>
            <w:shd w:val="clear" w:color="auto" w:fill="auto"/>
          </w:tcPr>
          <w:p w:rsidR="00A227F1" w:rsidRDefault="00A227F1" w:rsidP="000D1627">
            <w:pPr>
              <w:pStyle w:val="DHHStabletext"/>
            </w:pPr>
            <w:r>
              <w:t>AoD31</w:t>
            </w:r>
          </w:p>
        </w:tc>
        <w:tc>
          <w:tcPr>
            <w:tcW w:w="3205" w:type="dxa"/>
            <w:shd w:val="clear" w:color="auto" w:fill="auto"/>
          </w:tcPr>
          <w:p w:rsidR="00A227F1" w:rsidRPr="0015263B" w:rsidRDefault="00A227F1" w:rsidP="000D1627">
            <w:pPr>
              <w:pStyle w:val="DHHStabletext"/>
            </w:pPr>
            <w:r w:rsidRPr="0015263B">
              <w:t>Event-event type mismatch, event type is not assessment or treatment</w:t>
            </w:r>
          </w:p>
          <w:p w:rsidR="00A227F1" w:rsidRDefault="00A227F1" w:rsidP="000D1627">
            <w:pPr>
              <w:pStyle w:val="DHHStabletext"/>
            </w:pPr>
          </w:p>
        </w:tc>
        <w:tc>
          <w:tcPr>
            <w:tcW w:w="3420" w:type="dxa"/>
            <w:shd w:val="clear" w:color="auto" w:fill="auto"/>
          </w:tcPr>
          <w:p w:rsidR="00A227F1" w:rsidRDefault="00A227F1" w:rsidP="000D1627">
            <w:pPr>
              <w:pStyle w:val="DHHStabletext"/>
            </w:pPr>
            <w:r>
              <w:t>Event-did not attend</w:t>
            </w:r>
          </w:p>
          <w:p w:rsidR="00A227F1" w:rsidRDefault="00A227F1" w:rsidP="000D1627">
            <w:pPr>
              <w:pStyle w:val="DHHStabletext"/>
            </w:pPr>
            <w:r>
              <w:t>Event-event type</w:t>
            </w:r>
          </w:p>
        </w:tc>
        <w:tc>
          <w:tcPr>
            <w:tcW w:w="3420" w:type="dxa"/>
          </w:tcPr>
          <w:p w:rsidR="00A227F1" w:rsidRPr="00FA420A" w:rsidRDefault="00A227F1" w:rsidP="000D1627">
            <w:pPr>
              <w:pStyle w:val="DHHStabletext"/>
            </w:pPr>
            <w:proofErr w:type="gramStart"/>
            <w:r w:rsidRPr="00FA420A">
              <w:t>Value</w:t>
            </w:r>
            <w:r>
              <w:t xml:space="preserve"> </w:t>
            </w:r>
            <w:r w:rsidRPr="00FA420A">
              <w:t>!</w:t>
            </w:r>
            <w:proofErr w:type="gramEnd"/>
            <w:r w:rsidRPr="00FA420A">
              <w:t>=</w:t>
            </w:r>
            <w:r>
              <w:t xml:space="preserve"> null</w:t>
            </w:r>
            <w:r w:rsidRPr="00FA420A">
              <w:t xml:space="preserve"> and </w:t>
            </w:r>
            <w:r>
              <w:t>Event-</w:t>
            </w:r>
            <w:r w:rsidRPr="00FA420A">
              <w:t>event type !=</w:t>
            </w:r>
            <w:r>
              <w:t>[</w:t>
            </w:r>
            <w:r w:rsidRPr="00FA420A">
              <w:t xml:space="preserve"> 2, or 3</w:t>
            </w:r>
            <w:r>
              <w:t>]</w:t>
            </w:r>
          </w:p>
        </w:tc>
        <w:tc>
          <w:tcPr>
            <w:tcW w:w="1890" w:type="dxa"/>
          </w:tcPr>
          <w:p w:rsidR="00A227F1" w:rsidRPr="00430F02" w:rsidRDefault="00A227F1" w:rsidP="000D1627">
            <w:pPr>
              <w:pStyle w:val="DHHStabletext"/>
            </w:pPr>
            <w:r>
              <w:t>DHHS</w:t>
            </w:r>
          </w:p>
        </w:tc>
        <w:tc>
          <w:tcPr>
            <w:tcW w:w="1421" w:type="dxa"/>
          </w:tcPr>
          <w:p w:rsidR="00A227F1" w:rsidRPr="00B57276" w:rsidRDefault="00A227F1" w:rsidP="000D1627">
            <w:pPr>
              <w:pStyle w:val="DHHStabletext"/>
              <w:rPr>
                <w:strike/>
              </w:rPr>
            </w:pPr>
            <w:r w:rsidRPr="00B57276">
              <w:rPr>
                <w:strike/>
                <w:highlight w:val="yellow"/>
              </w:rPr>
              <w:t>error</w:t>
            </w:r>
          </w:p>
          <w:p w:rsidR="00A227F1" w:rsidRPr="00913ED8" w:rsidRDefault="00A227F1" w:rsidP="000D1627">
            <w:pPr>
              <w:pStyle w:val="DHHStabletext"/>
              <w:rPr>
                <w:strike/>
              </w:rPr>
            </w:pPr>
            <w:r>
              <w:t>warning</w:t>
            </w:r>
          </w:p>
        </w:tc>
      </w:tr>
    </w:tbl>
    <w:p w:rsidR="00A227F1" w:rsidRDefault="00A227F1" w:rsidP="00A227F1">
      <w:pPr>
        <w:pStyle w:val="DHHSbody"/>
      </w:pPr>
    </w:p>
    <w:p w:rsidR="00072D64" w:rsidRDefault="00072D64" w:rsidP="00A227F1">
      <w:pPr>
        <w:pStyle w:val="DHHSbody"/>
      </w:pPr>
    </w:p>
    <w:tbl>
      <w:tblPr>
        <w:tblW w:w="14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3205"/>
        <w:gridCol w:w="3420"/>
        <w:gridCol w:w="3420"/>
        <w:gridCol w:w="1890"/>
        <w:gridCol w:w="1421"/>
      </w:tblGrid>
      <w:tr w:rsidR="00A227F1" w:rsidRPr="003072C6" w:rsidTr="000D1627">
        <w:tc>
          <w:tcPr>
            <w:tcW w:w="14295" w:type="dxa"/>
            <w:gridSpan w:val="6"/>
            <w:shd w:val="clear" w:color="auto" w:fill="auto"/>
          </w:tcPr>
          <w:p w:rsidR="00A227F1" w:rsidRPr="00A46FC4" w:rsidRDefault="00A227F1" w:rsidP="000D1627">
            <w:pPr>
              <w:pStyle w:val="DHHStabletext"/>
              <w:rPr>
                <w:b/>
              </w:rPr>
            </w:pPr>
            <w:r w:rsidRPr="00A46FC4">
              <w:rPr>
                <w:b/>
              </w:rPr>
              <w:t>CURRENT</w:t>
            </w:r>
          </w:p>
        </w:tc>
      </w:tr>
      <w:tr w:rsidR="00A227F1" w:rsidRPr="003072C6" w:rsidTr="000D1627">
        <w:tc>
          <w:tcPr>
            <w:tcW w:w="939" w:type="dxa"/>
            <w:shd w:val="clear" w:color="auto" w:fill="auto"/>
          </w:tcPr>
          <w:p w:rsidR="00A227F1" w:rsidRPr="004957D2" w:rsidRDefault="00A227F1" w:rsidP="000D1627">
            <w:pPr>
              <w:pStyle w:val="DHHStabletext"/>
            </w:pPr>
            <w:r>
              <w:t>AoD55</w:t>
            </w:r>
          </w:p>
        </w:tc>
        <w:tc>
          <w:tcPr>
            <w:tcW w:w="3205" w:type="dxa"/>
            <w:shd w:val="clear" w:color="auto" w:fill="auto"/>
          </w:tcPr>
          <w:p w:rsidR="00A227F1" w:rsidRPr="00AF4AAB" w:rsidRDefault="00A227F1" w:rsidP="000D1627">
            <w:pPr>
              <w:pStyle w:val="DHHStabletext"/>
            </w:pPr>
            <w:r>
              <w:t>Event-</w:t>
            </w:r>
            <w:r w:rsidRPr="001003A9">
              <w:t xml:space="preserve">service delivery </w:t>
            </w:r>
            <w:proofErr w:type="gramStart"/>
            <w:r w:rsidRPr="001003A9">
              <w:t>setting</w:t>
            </w:r>
            <w:proofErr w:type="gramEnd"/>
            <w:r w:rsidRPr="001003A9">
              <w:t xml:space="preserve"> and service delivery not ended</w:t>
            </w:r>
          </w:p>
          <w:p w:rsidR="00A227F1" w:rsidRPr="004957D2" w:rsidRDefault="00A227F1" w:rsidP="000D1627">
            <w:pPr>
              <w:pStyle w:val="DHHStabletext"/>
            </w:pPr>
          </w:p>
        </w:tc>
        <w:tc>
          <w:tcPr>
            <w:tcW w:w="3420" w:type="dxa"/>
            <w:shd w:val="clear" w:color="auto" w:fill="auto"/>
          </w:tcPr>
          <w:p w:rsidR="00A227F1" w:rsidRDefault="00A227F1" w:rsidP="000D1627">
            <w:pPr>
              <w:pStyle w:val="DHHStabletext"/>
            </w:pPr>
            <w:r>
              <w:t>Event-service delivery setting</w:t>
            </w:r>
          </w:p>
          <w:p w:rsidR="00A227F1" w:rsidRPr="004957D2" w:rsidRDefault="00A227F1" w:rsidP="000D1627">
            <w:pPr>
              <w:pStyle w:val="DHHStabletext"/>
            </w:pPr>
            <w:r>
              <w:t>Event-end date</w:t>
            </w:r>
          </w:p>
        </w:tc>
        <w:tc>
          <w:tcPr>
            <w:tcW w:w="3420" w:type="dxa"/>
          </w:tcPr>
          <w:p w:rsidR="00A227F1" w:rsidRPr="005F589E" w:rsidRDefault="00A227F1" w:rsidP="000D1627">
            <w:pPr>
              <w:pStyle w:val="DHHStabletext"/>
            </w:pPr>
            <w:r w:rsidRPr="005F589E">
              <w:t xml:space="preserve">Event-service delivery </w:t>
            </w:r>
            <w:proofErr w:type="gramStart"/>
            <w:r w:rsidRPr="005F589E">
              <w:t>setting !</w:t>
            </w:r>
            <w:proofErr w:type="gramEnd"/>
            <w:r w:rsidRPr="005F589E">
              <w:t>=</w:t>
            </w:r>
            <w:r>
              <w:t xml:space="preserve"> null</w:t>
            </w:r>
            <w:r w:rsidRPr="005F589E">
              <w:t xml:space="preserve">, AND Event-end date = </w:t>
            </w:r>
            <w:r>
              <w:t>null</w:t>
            </w:r>
          </w:p>
          <w:p w:rsidR="00A227F1" w:rsidRPr="004957D2" w:rsidRDefault="00A227F1" w:rsidP="000D1627">
            <w:pPr>
              <w:pStyle w:val="DHHStabletext"/>
            </w:pPr>
          </w:p>
        </w:tc>
        <w:tc>
          <w:tcPr>
            <w:tcW w:w="1890" w:type="dxa"/>
          </w:tcPr>
          <w:p w:rsidR="00A227F1" w:rsidRPr="004957D2" w:rsidRDefault="00A227F1" w:rsidP="000D1627">
            <w:pPr>
              <w:pStyle w:val="DHHStabletext"/>
            </w:pPr>
            <w:r w:rsidRPr="004957D2">
              <w:t>DH</w:t>
            </w:r>
            <w:r>
              <w:t>HS</w:t>
            </w:r>
          </w:p>
        </w:tc>
        <w:tc>
          <w:tcPr>
            <w:tcW w:w="1421" w:type="dxa"/>
          </w:tcPr>
          <w:p w:rsidR="00A227F1" w:rsidRPr="00430F02" w:rsidRDefault="00A227F1" w:rsidP="000D1627">
            <w:pPr>
              <w:pStyle w:val="DHHStabletext"/>
            </w:pPr>
            <w:r>
              <w:t>error</w:t>
            </w:r>
          </w:p>
        </w:tc>
      </w:tr>
      <w:tr w:rsidR="00A227F1" w:rsidRPr="003072C6" w:rsidTr="000D1627">
        <w:tc>
          <w:tcPr>
            <w:tcW w:w="14295" w:type="dxa"/>
            <w:gridSpan w:val="6"/>
            <w:shd w:val="clear" w:color="auto" w:fill="auto"/>
          </w:tcPr>
          <w:p w:rsidR="00A227F1" w:rsidRPr="00A46FC4" w:rsidRDefault="00A227F1" w:rsidP="000D1627">
            <w:pPr>
              <w:pStyle w:val="DHHStabletext"/>
              <w:rPr>
                <w:b/>
              </w:rPr>
            </w:pPr>
            <w:r>
              <w:rPr>
                <w:b/>
              </w:rPr>
              <w:lastRenderedPageBreak/>
              <w:t>UPDATE</w:t>
            </w:r>
          </w:p>
        </w:tc>
      </w:tr>
      <w:tr w:rsidR="00A227F1" w:rsidRPr="003072C6" w:rsidTr="000D1627">
        <w:tc>
          <w:tcPr>
            <w:tcW w:w="939" w:type="dxa"/>
            <w:shd w:val="clear" w:color="auto" w:fill="auto"/>
          </w:tcPr>
          <w:p w:rsidR="00A227F1" w:rsidRPr="004957D2" w:rsidRDefault="00A227F1" w:rsidP="000D1627">
            <w:pPr>
              <w:pStyle w:val="DHHStabletext"/>
            </w:pPr>
            <w:r>
              <w:t>AoD55</w:t>
            </w:r>
          </w:p>
        </w:tc>
        <w:tc>
          <w:tcPr>
            <w:tcW w:w="3205" w:type="dxa"/>
            <w:shd w:val="clear" w:color="auto" w:fill="auto"/>
          </w:tcPr>
          <w:p w:rsidR="00A227F1" w:rsidRPr="00AF4AAB" w:rsidRDefault="00A227F1" w:rsidP="000D1627">
            <w:pPr>
              <w:pStyle w:val="DHHStabletext"/>
            </w:pPr>
            <w:r>
              <w:t>Event-</w:t>
            </w:r>
            <w:r w:rsidRPr="001003A9">
              <w:t xml:space="preserve">service delivery </w:t>
            </w:r>
            <w:proofErr w:type="gramStart"/>
            <w:r w:rsidRPr="001003A9">
              <w:t>setting</w:t>
            </w:r>
            <w:proofErr w:type="gramEnd"/>
            <w:r w:rsidRPr="001003A9">
              <w:t xml:space="preserve"> and service delivery not ended</w:t>
            </w:r>
          </w:p>
          <w:p w:rsidR="00A227F1" w:rsidRPr="004957D2" w:rsidRDefault="00A227F1" w:rsidP="000D1627">
            <w:pPr>
              <w:pStyle w:val="DHHStabletext"/>
            </w:pPr>
          </w:p>
        </w:tc>
        <w:tc>
          <w:tcPr>
            <w:tcW w:w="3420" w:type="dxa"/>
            <w:shd w:val="clear" w:color="auto" w:fill="auto"/>
          </w:tcPr>
          <w:p w:rsidR="00A227F1" w:rsidRDefault="00A227F1" w:rsidP="000D1627">
            <w:pPr>
              <w:pStyle w:val="DHHStabletext"/>
            </w:pPr>
            <w:r>
              <w:t>Event-service delivery setting</w:t>
            </w:r>
          </w:p>
          <w:p w:rsidR="00A227F1" w:rsidRPr="004957D2" w:rsidRDefault="00A227F1" w:rsidP="000D1627">
            <w:pPr>
              <w:pStyle w:val="DHHStabletext"/>
            </w:pPr>
            <w:r>
              <w:t>Event-end date</w:t>
            </w:r>
          </w:p>
        </w:tc>
        <w:tc>
          <w:tcPr>
            <w:tcW w:w="3420" w:type="dxa"/>
          </w:tcPr>
          <w:p w:rsidR="00A227F1" w:rsidRPr="005F589E" w:rsidRDefault="00A227F1" w:rsidP="000D1627">
            <w:pPr>
              <w:pStyle w:val="DHHStabletext"/>
            </w:pPr>
            <w:r w:rsidRPr="005F589E">
              <w:t xml:space="preserve">Event-service delivery </w:t>
            </w:r>
            <w:proofErr w:type="gramStart"/>
            <w:r w:rsidRPr="005F589E">
              <w:t>setting !</w:t>
            </w:r>
            <w:proofErr w:type="gramEnd"/>
            <w:r w:rsidRPr="005F589E">
              <w:t>=</w:t>
            </w:r>
            <w:r>
              <w:t xml:space="preserve"> null</w:t>
            </w:r>
            <w:r w:rsidRPr="005F589E">
              <w:t xml:space="preserve">, AND Event-end date = </w:t>
            </w:r>
            <w:r>
              <w:t>null</w:t>
            </w:r>
          </w:p>
          <w:p w:rsidR="00A227F1" w:rsidRPr="004957D2" w:rsidRDefault="00A227F1" w:rsidP="000D1627">
            <w:pPr>
              <w:pStyle w:val="DHHStabletext"/>
            </w:pPr>
          </w:p>
        </w:tc>
        <w:tc>
          <w:tcPr>
            <w:tcW w:w="1890" w:type="dxa"/>
          </w:tcPr>
          <w:p w:rsidR="00A227F1" w:rsidRPr="004957D2" w:rsidRDefault="00A227F1" w:rsidP="000D1627">
            <w:pPr>
              <w:pStyle w:val="DHHStabletext"/>
            </w:pPr>
            <w:r w:rsidRPr="004957D2">
              <w:t>DH</w:t>
            </w:r>
            <w:r>
              <w:t>HS</w:t>
            </w:r>
          </w:p>
        </w:tc>
        <w:tc>
          <w:tcPr>
            <w:tcW w:w="1421" w:type="dxa"/>
          </w:tcPr>
          <w:p w:rsidR="00A227F1" w:rsidRPr="00B57276" w:rsidRDefault="00A227F1" w:rsidP="000D1627">
            <w:pPr>
              <w:pStyle w:val="DHHStabletext"/>
              <w:rPr>
                <w:strike/>
              </w:rPr>
            </w:pPr>
            <w:r w:rsidRPr="00B57276">
              <w:rPr>
                <w:strike/>
                <w:highlight w:val="yellow"/>
              </w:rPr>
              <w:t>error</w:t>
            </w:r>
          </w:p>
          <w:p w:rsidR="00A227F1" w:rsidRPr="00430F02" w:rsidRDefault="00A227F1" w:rsidP="000D1627">
            <w:pPr>
              <w:pStyle w:val="DHHStabletext"/>
            </w:pPr>
            <w:r>
              <w:t>warning</w:t>
            </w:r>
          </w:p>
        </w:tc>
      </w:tr>
    </w:tbl>
    <w:p w:rsidR="00A227F1" w:rsidRDefault="00A227F1" w:rsidP="00A227F1">
      <w:pPr>
        <w:pStyle w:val="DHHSbody"/>
      </w:pPr>
    </w:p>
    <w:tbl>
      <w:tblPr>
        <w:tblW w:w="14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3205"/>
        <w:gridCol w:w="3420"/>
        <w:gridCol w:w="3420"/>
        <w:gridCol w:w="1890"/>
        <w:gridCol w:w="1421"/>
      </w:tblGrid>
      <w:tr w:rsidR="00A227F1" w:rsidRPr="003072C6" w:rsidTr="000D1627">
        <w:tc>
          <w:tcPr>
            <w:tcW w:w="14295" w:type="dxa"/>
            <w:gridSpan w:val="6"/>
            <w:shd w:val="clear" w:color="auto" w:fill="auto"/>
          </w:tcPr>
          <w:p w:rsidR="00A227F1" w:rsidRPr="0055074D" w:rsidRDefault="00A227F1" w:rsidP="000D1627">
            <w:pPr>
              <w:pStyle w:val="DHHStabletext"/>
              <w:rPr>
                <w:b/>
              </w:rPr>
            </w:pPr>
            <w:r w:rsidRPr="0055074D">
              <w:rPr>
                <w:b/>
              </w:rPr>
              <w:t>CURRENT</w:t>
            </w:r>
          </w:p>
        </w:tc>
      </w:tr>
      <w:tr w:rsidR="00A227F1" w:rsidRPr="003072C6" w:rsidTr="000D1627">
        <w:tc>
          <w:tcPr>
            <w:tcW w:w="939" w:type="dxa"/>
            <w:shd w:val="clear" w:color="auto" w:fill="auto"/>
          </w:tcPr>
          <w:p w:rsidR="00A227F1" w:rsidRDefault="00A227F1" w:rsidP="000D1627">
            <w:pPr>
              <w:pStyle w:val="DHHStabletext"/>
            </w:pPr>
            <w:r>
              <w:t>AoD111</w:t>
            </w:r>
          </w:p>
        </w:tc>
        <w:tc>
          <w:tcPr>
            <w:tcW w:w="3205" w:type="dxa"/>
            <w:shd w:val="clear" w:color="auto" w:fill="auto"/>
          </w:tcPr>
          <w:p w:rsidR="00A227F1" w:rsidRPr="0076322B" w:rsidRDefault="00A227F1" w:rsidP="000D1627">
            <w:pPr>
              <w:pStyle w:val="DHHStabletext"/>
            </w:pPr>
            <w:r w:rsidRPr="0076322B">
              <w:t>Drug Concern-</w:t>
            </w:r>
          </w:p>
          <w:p w:rsidR="00A227F1" w:rsidRPr="0076322B" w:rsidRDefault="00A227F1" w:rsidP="000D1627">
            <w:pPr>
              <w:pStyle w:val="DHHStabletext"/>
            </w:pPr>
            <w:r w:rsidRPr="0076322B">
              <w:t xml:space="preserve">method of use and volume </w:t>
            </w:r>
            <w:proofErr w:type="gramStart"/>
            <w:r w:rsidRPr="0076322B">
              <w:t>units</w:t>
            </w:r>
            <w:proofErr w:type="gramEnd"/>
            <w:r w:rsidRPr="0076322B">
              <w:t xml:space="preserve"> mismatch</w:t>
            </w:r>
          </w:p>
          <w:p w:rsidR="00A227F1" w:rsidRPr="0076322B" w:rsidRDefault="00A227F1" w:rsidP="000D1627">
            <w:pPr>
              <w:pStyle w:val="DHHStabletext"/>
            </w:pPr>
          </w:p>
        </w:tc>
        <w:tc>
          <w:tcPr>
            <w:tcW w:w="3420" w:type="dxa"/>
            <w:shd w:val="clear" w:color="auto" w:fill="auto"/>
          </w:tcPr>
          <w:p w:rsidR="00A227F1" w:rsidRDefault="00A227F1" w:rsidP="000D1627">
            <w:pPr>
              <w:pStyle w:val="DHHStabletext"/>
            </w:pPr>
            <w:r>
              <w:t>Drug Concern-method of use</w:t>
            </w:r>
          </w:p>
          <w:p w:rsidR="00A227F1" w:rsidRDefault="00A227F1" w:rsidP="000D1627">
            <w:pPr>
              <w:pStyle w:val="DHHStabletext"/>
            </w:pPr>
            <w:r>
              <w:t>Drug Concern-volume units</w:t>
            </w:r>
          </w:p>
        </w:tc>
        <w:tc>
          <w:tcPr>
            <w:tcW w:w="3420" w:type="dxa"/>
          </w:tcPr>
          <w:p w:rsidR="00A227F1" w:rsidRPr="0076322B" w:rsidRDefault="00A227F1" w:rsidP="000D1627">
            <w:pPr>
              <w:pStyle w:val="DHHStabletext"/>
            </w:pPr>
            <w:r>
              <w:t>Drug Concern-</w:t>
            </w:r>
            <w:r w:rsidRPr="0076322B">
              <w:t>method</w:t>
            </w:r>
            <w:r>
              <w:t xml:space="preserve"> of </w:t>
            </w:r>
            <w:proofErr w:type="gramStart"/>
            <w:r>
              <w:t>use</w:t>
            </w:r>
            <w:r w:rsidRPr="0076322B">
              <w:t xml:space="preserve"> </w:t>
            </w:r>
            <w:r>
              <w:t>!</w:t>
            </w:r>
            <w:proofErr w:type="gramEnd"/>
            <w:r>
              <w:t>=</w:t>
            </w:r>
            <w:r w:rsidRPr="0076322B">
              <w:t xml:space="preserve"> </w:t>
            </w:r>
            <w:r>
              <w:t>[</w:t>
            </w:r>
            <w:r w:rsidRPr="0076322B">
              <w:t>1</w:t>
            </w:r>
            <w:r>
              <w:t>]</w:t>
            </w:r>
            <w:r w:rsidRPr="0076322B">
              <w:t xml:space="preserve"> </w:t>
            </w:r>
            <w:r>
              <w:t>and</w:t>
            </w:r>
            <w:r w:rsidRPr="0076322B">
              <w:t xml:space="preserve"> volume units = </w:t>
            </w:r>
            <w:r>
              <w:t>[</w:t>
            </w:r>
            <w:r w:rsidRPr="0076322B">
              <w:t>9, 12</w:t>
            </w:r>
            <w:r>
              <w:t>]</w:t>
            </w:r>
          </w:p>
          <w:p w:rsidR="00A227F1" w:rsidRPr="0076322B" w:rsidRDefault="00A227F1" w:rsidP="000D1627">
            <w:pPr>
              <w:pStyle w:val="DHHStabletext"/>
            </w:pPr>
          </w:p>
        </w:tc>
        <w:tc>
          <w:tcPr>
            <w:tcW w:w="1890" w:type="dxa"/>
          </w:tcPr>
          <w:p w:rsidR="00A227F1" w:rsidRPr="00BB6A2C" w:rsidRDefault="00A227F1" w:rsidP="000D1627">
            <w:pPr>
              <w:pStyle w:val="DHHStabletext"/>
            </w:pPr>
            <w:r w:rsidRPr="00ED6565">
              <w:t>DHHS</w:t>
            </w:r>
          </w:p>
        </w:tc>
        <w:tc>
          <w:tcPr>
            <w:tcW w:w="1421" w:type="dxa"/>
          </w:tcPr>
          <w:p w:rsidR="00A227F1" w:rsidRDefault="00A227F1" w:rsidP="000D1627">
            <w:pPr>
              <w:pStyle w:val="DHHStabletext"/>
            </w:pPr>
            <w:r>
              <w:t>Error</w:t>
            </w:r>
          </w:p>
        </w:tc>
      </w:tr>
      <w:tr w:rsidR="00A227F1" w:rsidRPr="003072C6" w:rsidTr="000D1627">
        <w:tc>
          <w:tcPr>
            <w:tcW w:w="14295" w:type="dxa"/>
            <w:gridSpan w:val="6"/>
            <w:shd w:val="clear" w:color="auto" w:fill="auto"/>
          </w:tcPr>
          <w:p w:rsidR="00A227F1" w:rsidRPr="0055074D" w:rsidRDefault="00A227F1" w:rsidP="000D1627">
            <w:pPr>
              <w:pStyle w:val="DHHStabletext"/>
              <w:rPr>
                <w:b/>
              </w:rPr>
            </w:pPr>
            <w:r>
              <w:rPr>
                <w:b/>
              </w:rPr>
              <w:t>UPDATE</w:t>
            </w:r>
          </w:p>
        </w:tc>
      </w:tr>
      <w:tr w:rsidR="00A227F1" w:rsidRPr="003072C6" w:rsidTr="000D1627">
        <w:tc>
          <w:tcPr>
            <w:tcW w:w="939" w:type="dxa"/>
            <w:shd w:val="clear" w:color="auto" w:fill="auto"/>
          </w:tcPr>
          <w:p w:rsidR="00A227F1" w:rsidRDefault="00A227F1" w:rsidP="000D1627">
            <w:pPr>
              <w:pStyle w:val="DHHStabletext"/>
            </w:pPr>
            <w:r>
              <w:t>AoD111</w:t>
            </w:r>
          </w:p>
        </w:tc>
        <w:tc>
          <w:tcPr>
            <w:tcW w:w="3205" w:type="dxa"/>
            <w:shd w:val="clear" w:color="auto" w:fill="auto"/>
          </w:tcPr>
          <w:p w:rsidR="00A227F1" w:rsidRPr="0076322B" w:rsidRDefault="00A227F1" w:rsidP="000D1627">
            <w:pPr>
              <w:pStyle w:val="DHHStabletext"/>
            </w:pPr>
            <w:r w:rsidRPr="0076322B">
              <w:t>Drug Concern-</w:t>
            </w:r>
          </w:p>
          <w:p w:rsidR="00A227F1" w:rsidRPr="0076322B" w:rsidRDefault="00A227F1" w:rsidP="000D1627">
            <w:pPr>
              <w:pStyle w:val="DHHStabletext"/>
            </w:pPr>
            <w:r w:rsidRPr="0076322B">
              <w:t xml:space="preserve">method of use and volume </w:t>
            </w:r>
            <w:proofErr w:type="gramStart"/>
            <w:r w:rsidRPr="0076322B">
              <w:t>units</w:t>
            </w:r>
            <w:proofErr w:type="gramEnd"/>
            <w:r w:rsidRPr="0076322B">
              <w:t xml:space="preserve"> mismatch</w:t>
            </w:r>
          </w:p>
        </w:tc>
        <w:tc>
          <w:tcPr>
            <w:tcW w:w="3420" w:type="dxa"/>
            <w:shd w:val="clear" w:color="auto" w:fill="auto"/>
          </w:tcPr>
          <w:p w:rsidR="00A227F1" w:rsidRDefault="00A227F1" w:rsidP="000D1627">
            <w:pPr>
              <w:pStyle w:val="DHHStabletext"/>
            </w:pPr>
            <w:r>
              <w:t>Drug Concern-method of use</w:t>
            </w:r>
          </w:p>
          <w:p w:rsidR="00A227F1" w:rsidRDefault="00A227F1" w:rsidP="000D1627">
            <w:pPr>
              <w:pStyle w:val="DHHStabletext"/>
            </w:pPr>
            <w:r>
              <w:t>Drug Concern-volume units</w:t>
            </w:r>
          </w:p>
        </w:tc>
        <w:tc>
          <w:tcPr>
            <w:tcW w:w="3420" w:type="dxa"/>
          </w:tcPr>
          <w:p w:rsidR="00A227F1" w:rsidRPr="0076322B" w:rsidRDefault="00A227F1" w:rsidP="000D1627">
            <w:pPr>
              <w:pStyle w:val="DHHStabletext"/>
            </w:pPr>
            <w:r>
              <w:t>Drug Concern-</w:t>
            </w:r>
            <w:r w:rsidRPr="0076322B">
              <w:t>method</w:t>
            </w:r>
            <w:r>
              <w:t xml:space="preserve"> of </w:t>
            </w:r>
            <w:proofErr w:type="gramStart"/>
            <w:r>
              <w:t>use</w:t>
            </w:r>
            <w:r w:rsidRPr="0076322B">
              <w:t xml:space="preserve"> </w:t>
            </w:r>
            <w:r>
              <w:t>!</w:t>
            </w:r>
            <w:proofErr w:type="gramEnd"/>
            <w:r>
              <w:t>=</w:t>
            </w:r>
            <w:r w:rsidRPr="0076322B">
              <w:t xml:space="preserve"> </w:t>
            </w:r>
            <w:r>
              <w:t>[</w:t>
            </w:r>
            <w:r w:rsidRPr="0076322B">
              <w:t>1</w:t>
            </w:r>
            <w:r>
              <w:t>]</w:t>
            </w:r>
            <w:r w:rsidRPr="0076322B">
              <w:t xml:space="preserve"> </w:t>
            </w:r>
            <w:r>
              <w:t>and</w:t>
            </w:r>
            <w:r w:rsidRPr="0076322B">
              <w:t xml:space="preserve"> volume units = </w:t>
            </w:r>
            <w:r>
              <w:t>[</w:t>
            </w:r>
            <w:r w:rsidRPr="00A87254">
              <w:rPr>
                <w:strike/>
                <w:highlight w:val="yellow"/>
              </w:rPr>
              <w:t>9,</w:t>
            </w:r>
            <w:r w:rsidRPr="0076322B">
              <w:t xml:space="preserve"> 12</w:t>
            </w:r>
            <w:r>
              <w:t>]</w:t>
            </w:r>
          </w:p>
          <w:p w:rsidR="00A227F1" w:rsidRPr="0076322B" w:rsidRDefault="00A227F1" w:rsidP="000D1627">
            <w:pPr>
              <w:pStyle w:val="DHHStabletext"/>
            </w:pPr>
          </w:p>
        </w:tc>
        <w:tc>
          <w:tcPr>
            <w:tcW w:w="1890" w:type="dxa"/>
          </w:tcPr>
          <w:p w:rsidR="00A227F1" w:rsidRPr="00BB6A2C" w:rsidRDefault="00A227F1" w:rsidP="000D1627">
            <w:pPr>
              <w:pStyle w:val="DHHStabletext"/>
            </w:pPr>
            <w:r w:rsidRPr="00ED6565">
              <w:t>DHHS</w:t>
            </w:r>
          </w:p>
        </w:tc>
        <w:tc>
          <w:tcPr>
            <w:tcW w:w="1421" w:type="dxa"/>
          </w:tcPr>
          <w:p w:rsidR="00A227F1" w:rsidRDefault="00A227F1" w:rsidP="000D1627">
            <w:pPr>
              <w:pStyle w:val="DHHStabletext"/>
              <w:rPr>
                <w:strike/>
              </w:rPr>
            </w:pPr>
            <w:r w:rsidRPr="00A87254">
              <w:rPr>
                <w:strike/>
                <w:highlight w:val="yellow"/>
              </w:rPr>
              <w:t>Error</w:t>
            </w:r>
          </w:p>
          <w:p w:rsidR="00A227F1" w:rsidRPr="0055074D" w:rsidRDefault="00A227F1" w:rsidP="000D1627">
            <w:pPr>
              <w:pStyle w:val="DHHStabletext"/>
            </w:pPr>
            <w:r w:rsidRPr="0055074D">
              <w:t>Warning</w:t>
            </w:r>
          </w:p>
        </w:tc>
      </w:tr>
    </w:tbl>
    <w:p w:rsidR="00AF44A1" w:rsidRPr="001B3593" w:rsidRDefault="00AF44A1" w:rsidP="00AF44A1">
      <w:pPr>
        <w:pStyle w:val="DHHSbody"/>
      </w:pPr>
    </w:p>
    <w:tbl>
      <w:tblPr>
        <w:tblW w:w="4800" w:type="pct"/>
        <w:tblInd w:w="113" w:type="dxa"/>
        <w:tblCellMar>
          <w:top w:w="113" w:type="dxa"/>
          <w:bottom w:w="57" w:type="dxa"/>
        </w:tblCellMar>
        <w:tblLook w:val="00A0" w:firstRow="1" w:lastRow="0" w:firstColumn="1" w:lastColumn="0" w:noHBand="0" w:noVBand="0"/>
      </w:tblPr>
      <w:tblGrid>
        <w:gridCol w:w="14521"/>
      </w:tblGrid>
      <w:tr w:rsidR="00BF0391" w:rsidRPr="002802E3" w:rsidTr="00F17EF9">
        <w:trPr>
          <w:cantSplit/>
        </w:trPr>
        <w:tc>
          <w:tcPr>
            <w:tcW w:w="4800" w:type="pct"/>
            <w:tcBorders>
              <w:top w:val="single" w:sz="4" w:space="0" w:color="auto"/>
              <w:left w:val="single" w:sz="4" w:space="0" w:color="auto"/>
              <w:bottom w:val="single" w:sz="4" w:space="0" w:color="auto"/>
              <w:right w:val="single" w:sz="4" w:space="0" w:color="auto"/>
            </w:tcBorders>
            <w:vAlign w:val="bottom"/>
          </w:tcPr>
          <w:p w:rsidR="00B0730E" w:rsidRPr="00254F58" w:rsidRDefault="00B0730E" w:rsidP="00B0730E">
            <w:pPr>
              <w:pStyle w:val="DHHSaccessibilitypara"/>
            </w:pPr>
            <w:r w:rsidRPr="00254F58">
              <w:t xml:space="preserve">To receive this publication in </w:t>
            </w:r>
            <w:r w:rsidRPr="00770F37">
              <w:t>an</w:t>
            </w:r>
            <w:r w:rsidRPr="00254F58">
              <w:t xml:space="preserve"> accessible format </w:t>
            </w:r>
            <w:hyperlink r:id="rId10" w:history="1">
              <w:r w:rsidRPr="0087696B">
                <w:rPr>
                  <w:rStyle w:val="Hyperlink"/>
                </w:rPr>
                <w:t>email VADC Data</w:t>
              </w:r>
            </w:hyperlink>
            <w:r w:rsidRPr="00254F58">
              <w:t xml:space="preserve"> </w:t>
            </w:r>
            <w:r w:rsidRPr="0087696B">
              <w:t>&lt;vadc_data@dhhs.vic.gov.au&gt;</w:t>
            </w:r>
          </w:p>
          <w:p w:rsidR="00B0730E" w:rsidRPr="00254F58" w:rsidRDefault="00B0730E" w:rsidP="00B0730E">
            <w:pPr>
              <w:pStyle w:val="DHHSbody"/>
            </w:pPr>
            <w:r w:rsidRPr="00254F58">
              <w:t>Authorised and published by the Victorian Governmen</w:t>
            </w:r>
            <w:r>
              <w:t>t, 1 Treasury Place, Melbourne.</w:t>
            </w:r>
          </w:p>
          <w:p w:rsidR="00B0730E" w:rsidRPr="00254F58" w:rsidRDefault="00B0730E" w:rsidP="00B0730E">
            <w:pPr>
              <w:pStyle w:val="DHHSbody"/>
            </w:pPr>
            <w:r w:rsidRPr="00254F58">
              <w:t xml:space="preserve">© State of </w:t>
            </w:r>
            <w:r>
              <w:t>Victoria, Department of Health and</w:t>
            </w:r>
            <w:r w:rsidRPr="00254F58">
              <w:t xml:space="preserve"> Human Services</w:t>
            </w:r>
            <w:r w:rsidRPr="00BA3F8D">
              <w:rPr>
                <w:color w:val="008950"/>
              </w:rPr>
              <w:t xml:space="preserve"> </w:t>
            </w:r>
            <w:r>
              <w:t>February</w:t>
            </w:r>
            <w:r w:rsidRPr="00A9126C">
              <w:t xml:space="preserve"> 201</w:t>
            </w:r>
            <w:r>
              <w:t>9</w:t>
            </w:r>
            <w:bookmarkStart w:id="9" w:name="_GoBack"/>
            <w:bookmarkEnd w:id="9"/>
          </w:p>
          <w:p w:rsidR="00BF0391" w:rsidRPr="002802E3" w:rsidRDefault="00B0730E" w:rsidP="00B0730E">
            <w:pPr>
              <w:pStyle w:val="DHHSbody"/>
            </w:pPr>
            <w:r w:rsidRPr="006A6159">
              <w:t>Available f</w:t>
            </w:r>
            <w:r>
              <w:t xml:space="preserve">rom the VADC Data specification page on the </w:t>
            </w:r>
            <w:proofErr w:type="spellStart"/>
            <w:r>
              <w:t>Health.vic</w:t>
            </w:r>
            <w:proofErr w:type="spellEnd"/>
            <w:r>
              <w:t xml:space="preserve"> website &lt; </w:t>
            </w:r>
            <w:r w:rsidRPr="00A9126C">
              <w:t>https://www2.health.vic.gov.au/about/publications/policiesandguidelines/vadc-data-specification</w:t>
            </w:r>
            <w:r>
              <w:t>&gt;</w:t>
            </w:r>
          </w:p>
        </w:tc>
      </w:tr>
    </w:tbl>
    <w:p w:rsidR="00B2752E" w:rsidRPr="00906490" w:rsidRDefault="00B2752E" w:rsidP="00FF6D9D">
      <w:pPr>
        <w:pStyle w:val="DHHSbody"/>
      </w:pPr>
    </w:p>
    <w:sectPr w:rsidR="00B2752E" w:rsidRPr="00906490" w:rsidSect="00E45931">
      <w:headerReference w:type="default" r:id="rId11"/>
      <w:footerReference w:type="default" r:id="rId12"/>
      <w:type w:val="continuous"/>
      <w:pgSz w:w="16838" w:h="11906" w:orient="landscape" w:code="9"/>
      <w:pgMar w:top="1134"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4A1" w:rsidRDefault="00AF44A1">
      <w:r>
        <w:separator/>
      </w:r>
    </w:p>
  </w:endnote>
  <w:endnote w:type="continuationSeparator" w:id="0">
    <w:p w:rsidR="00AF44A1" w:rsidRDefault="00AF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AF44A1" w:rsidP="007034E7">
    <w:pPr>
      <w:pStyle w:val="DHHSfooter"/>
    </w:pPr>
    <w:r>
      <w:rPr>
        <w:noProof/>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6769100</wp:posOffset>
          </wp:positionV>
          <wp:extent cx="10691495" cy="791210"/>
          <wp:effectExtent l="0" t="0" r="0" b="0"/>
          <wp:wrapNone/>
          <wp:docPr id="13" name="Picture 13"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1495"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2A462B" w:rsidP="007034E7">
    <w:pPr>
      <w:pStyle w:val="DHHSfooter"/>
    </w:pPr>
    <w:r>
      <w:t xml:space="preserve">VADC </w:t>
    </w:r>
    <w:r w:rsidR="005C33FD">
      <w:t>2018/19</w:t>
    </w:r>
    <w:r w:rsidR="00821297">
      <w:t>: Bulletin 3</w:t>
    </w:r>
    <w:r w:rsidR="009D70A4" w:rsidRPr="00A11421">
      <w:tab/>
    </w:r>
    <w:r w:rsidR="009D70A4" w:rsidRPr="00A11421">
      <w:fldChar w:fldCharType="begin"/>
    </w:r>
    <w:r w:rsidR="009D70A4" w:rsidRPr="00A11421">
      <w:instrText xml:space="preserve"> PAGE </w:instrText>
    </w:r>
    <w:r w:rsidR="009D70A4" w:rsidRPr="00A11421">
      <w:fldChar w:fldCharType="separate"/>
    </w:r>
    <w:r w:rsidR="00AD7EDA">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4A1" w:rsidRDefault="00AF44A1" w:rsidP="002862F1">
      <w:pPr>
        <w:spacing w:before="120"/>
      </w:pPr>
      <w:r>
        <w:separator/>
      </w:r>
    </w:p>
  </w:footnote>
  <w:footnote w:type="continuationSeparator" w:id="0">
    <w:p w:rsidR="00AF44A1" w:rsidRDefault="00AF4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8D2F4B" w:rsidRDefault="009D70A4" w:rsidP="008D2F4B">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28A87821"/>
    <w:multiLevelType w:val="hybridMultilevel"/>
    <w:tmpl w:val="D2B044FC"/>
    <w:lvl w:ilvl="0" w:tplc="758621E6">
      <w:start w:val="1"/>
      <w:numFmt w:val="decimal"/>
      <w:lvlText w:val="1.%1"/>
      <w:lvlJc w:val="right"/>
      <w:pPr>
        <w:ind w:left="108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53" w:hanging="360"/>
      </w:pPr>
    </w:lvl>
    <w:lvl w:ilvl="2" w:tplc="0C09001B" w:tentative="1">
      <w:start w:val="1"/>
      <w:numFmt w:val="lowerRoman"/>
      <w:lvlText w:val="%3."/>
      <w:lvlJc w:val="right"/>
      <w:pPr>
        <w:ind w:left="1473" w:hanging="180"/>
      </w:pPr>
    </w:lvl>
    <w:lvl w:ilvl="3" w:tplc="0C09000F" w:tentative="1">
      <w:start w:val="1"/>
      <w:numFmt w:val="decimal"/>
      <w:lvlText w:val="%4."/>
      <w:lvlJc w:val="left"/>
      <w:pPr>
        <w:ind w:left="2193" w:hanging="360"/>
      </w:pPr>
    </w:lvl>
    <w:lvl w:ilvl="4" w:tplc="0C090019" w:tentative="1">
      <w:start w:val="1"/>
      <w:numFmt w:val="lowerLetter"/>
      <w:lvlText w:val="%5."/>
      <w:lvlJc w:val="left"/>
      <w:pPr>
        <w:ind w:left="2913" w:hanging="360"/>
      </w:pPr>
    </w:lvl>
    <w:lvl w:ilvl="5" w:tplc="0C09001B" w:tentative="1">
      <w:start w:val="1"/>
      <w:numFmt w:val="lowerRoman"/>
      <w:lvlText w:val="%6."/>
      <w:lvlJc w:val="right"/>
      <w:pPr>
        <w:ind w:left="3633" w:hanging="180"/>
      </w:pPr>
    </w:lvl>
    <w:lvl w:ilvl="6" w:tplc="0C09000F" w:tentative="1">
      <w:start w:val="1"/>
      <w:numFmt w:val="decimal"/>
      <w:lvlText w:val="%7."/>
      <w:lvlJc w:val="left"/>
      <w:pPr>
        <w:ind w:left="4353" w:hanging="360"/>
      </w:pPr>
    </w:lvl>
    <w:lvl w:ilvl="7" w:tplc="0C090019" w:tentative="1">
      <w:start w:val="1"/>
      <w:numFmt w:val="lowerLetter"/>
      <w:lvlText w:val="%8."/>
      <w:lvlJc w:val="left"/>
      <w:pPr>
        <w:ind w:left="5073" w:hanging="360"/>
      </w:pPr>
    </w:lvl>
    <w:lvl w:ilvl="8" w:tplc="0C09001B" w:tentative="1">
      <w:start w:val="1"/>
      <w:numFmt w:val="lowerRoman"/>
      <w:lvlText w:val="%9."/>
      <w:lvlJc w:val="right"/>
      <w:pPr>
        <w:ind w:left="5793" w:hanging="180"/>
      </w:pPr>
    </w:lvl>
  </w:abstractNum>
  <w:abstractNum w:abstractNumId="4" w15:restartNumberingAfterBreak="0">
    <w:nsid w:val="2B370F66"/>
    <w:multiLevelType w:val="multilevel"/>
    <w:tmpl w:val="4B4E7622"/>
    <w:numStyleLink w:val="ZZNumbers"/>
  </w:abstractNum>
  <w:abstractNum w:abstractNumId="5" w15:restartNumberingAfterBreak="0">
    <w:nsid w:val="39BC2EAE"/>
    <w:multiLevelType w:val="hybridMultilevel"/>
    <w:tmpl w:val="D2B044FC"/>
    <w:lvl w:ilvl="0" w:tplc="758621E6">
      <w:start w:val="1"/>
      <w:numFmt w:val="decimal"/>
      <w:lvlText w:val="1.%1"/>
      <w:lvlJc w:val="right"/>
      <w:pPr>
        <w:ind w:left="108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53" w:hanging="360"/>
      </w:pPr>
    </w:lvl>
    <w:lvl w:ilvl="2" w:tplc="0C09001B" w:tentative="1">
      <w:start w:val="1"/>
      <w:numFmt w:val="lowerRoman"/>
      <w:lvlText w:val="%3."/>
      <w:lvlJc w:val="right"/>
      <w:pPr>
        <w:ind w:left="1473" w:hanging="180"/>
      </w:pPr>
    </w:lvl>
    <w:lvl w:ilvl="3" w:tplc="0C09000F" w:tentative="1">
      <w:start w:val="1"/>
      <w:numFmt w:val="decimal"/>
      <w:lvlText w:val="%4."/>
      <w:lvlJc w:val="left"/>
      <w:pPr>
        <w:ind w:left="2193" w:hanging="360"/>
      </w:pPr>
    </w:lvl>
    <w:lvl w:ilvl="4" w:tplc="0C090019" w:tentative="1">
      <w:start w:val="1"/>
      <w:numFmt w:val="lowerLetter"/>
      <w:lvlText w:val="%5."/>
      <w:lvlJc w:val="left"/>
      <w:pPr>
        <w:ind w:left="2913" w:hanging="360"/>
      </w:pPr>
    </w:lvl>
    <w:lvl w:ilvl="5" w:tplc="0C09001B" w:tentative="1">
      <w:start w:val="1"/>
      <w:numFmt w:val="lowerRoman"/>
      <w:lvlText w:val="%6."/>
      <w:lvlJc w:val="right"/>
      <w:pPr>
        <w:ind w:left="3633" w:hanging="180"/>
      </w:pPr>
    </w:lvl>
    <w:lvl w:ilvl="6" w:tplc="0C09000F" w:tentative="1">
      <w:start w:val="1"/>
      <w:numFmt w:val="decimal"/>
      <w:lvlText w:val="%7."/>
      <w:lvlJc w:val="left"/>
      <w:pPr>
        <w:ind w:left="4353" w:hanging="360"/>
      </w:pPr>
    </w:lvl>
    <w:lvl w:ilvl="7" w:tplc="0C090019" w:tentative="1">
      <w:start w:val="1"/>
      <w:numFmt w:val="lowerLetter"/>
      <w:lvlText w:val="%8."/>
      <w:lvlJc w:val="left"/>
      <w:pPr>
        <w:ind w:left="5073" w:hanging="360"/>
      </w:pPr>
    </w:lvl>
    <w:lvl w:ilvl="8" w:tplc="0C09001B" w:tentative="1">
      <w:start w:val="1"/>
      <w:numFmt w:val="lowerRoman"/>
      <w:lvlText w:val="%9."/>
      <w:lvlJc w:val="right"/>
      <w:pPr>
        <w:ind w:left="5793" w:hanging="180"/>
      </w:p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4A1"/>
    <w:rsid w:val="00004E6A"/>
    <w:rsid w:val="000072B6"/>
    <w:rsid w:val="0001021B"/>
    <w:rsid w:val="00011D89"/>
    <w:rsid w:val="00024D89"/>
    <w:rsid w:val="00033D81"/>
    <w:rsid w:val="00041BF0"/>
    <w:rsid w:val="0004326C"/>
    <w:rsid w:val="0004536B"/>
    <w:rsid w:val="00046B68"/>
    <w:rsid w:val="000527DD"/>
    <w:rsid w:val="0005459F"/>
    <w:rsid w:val="000578B2"/>
    <w:rsid w:val="00060959"/>
    <w:rsid w:val="0006388D"/>
    <w:rsid w:val="00064864"/>
    <w:rsid w:val="000663CD"/>
    <w:rsid w:val="000669AD"/>
    <w:rsid w:val="00072D64"/>
    <w:rsid w:val="00074219"/>
    <w:rsid w:val="00074ED5"/>
    <w:rsid w:val="0008494B"/>
    <w:rsid w:val="000871B9"/>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05E4"/>
    <w:rsid w:val="0010392D"/>
    <w:rsid w:val="00104FE3"/>
    <w:rsid w:val="00120BD3"/>
    <w:rsid w:val="00122FEA"/>
    <w:rsid w:val="001232BD"/>
    <w:rsid w:val="00124ED5"/>
    <w:rsid w:val="001447B3"/>
    <w:rsid w:val="00152073"/>
    <w:rsid w:val="00161939"/>
    <w:rsid w:val="00161AA0"/>
    <w:rsid w:val="00162093"/>
    <w:rsid w:val="001645B1"/>
    <w:rsid w:val="001666C9"/>
    <w:rsid w:val="00172473"/>
    <w:rsid w:val="001771DD"/>
    <w:rsid w:val="00177995"/>
    <w:rsid w:val="00177A8C"/>
    <w:rsid w:val="00186B33"/>
    <w:rsid w:val="00187F13"/>
    <w:rsid w:val="00192F9D"/>
    <w:rsid w:val="00196EB8"/>
    <w:rsid w:val="001979FF"/>
    <w:rsid w:val="00197B17"/>
    <w:rsid w:val="001A3ACE"/>
    <w:rsid w:val="001C2A72"/>
    <w:rsid w:val="001D0B75"/>
    <w:rsid w:val="001D3C09"/>
    <w:rsid w:val="001D44E8"/>
    <w:rsid w:val="001D60EC"/>
    <w:rsid w:val="001E44DF"/>
    <w:rsid w:val="001E68A5"/>
    <w:rsid w:val="001E73EF"/>
    <w:rsid w:val="001F08D8"/>
    <w:rsid w:val="001F167A"/>
    <w:rsid w:val="001F22D3"/>
    <w:rsid w:val="001F3826"/>
    <w:rsid w:val="001F6E46"/>
    <w:rsid w:val="001F7C91"/>
    <w:rsid w:val="002033C0"/>
    <w:rsid w:val="00206463"/>
    <w:rsid w:val="00206F2F"/>
    <w:rsid w:val="0021053D"/>
    <w:rsid w:val="00210A92"/>
    <w:rsid w:val="002131E2"/>
    <w:rsid w:val="00216C03"/>
    <w:rsid w:val="00220C04"/>
    <w:rsid w:val="0022701F"/>
    <w:rsid w:val="002333F5"/>
    <w:rsid w:val="002432E1"/>
    <w:rsid w:val="00244DBA"/>
    <w:rsid w:val="00246C5E"/>
    <w:rsid w:val="00251343"/>
    <w:rsid w:val="00254F58"/>
    <w:rsid w:val="00257984"/>
    <w:rsid w:val="002620BC"/>
    <w:rsid w:val="00262802"/>
    <w:rsid w:val="00263A90"/>
    <w:rsid w:val="0026408B"/>
    <w:rsid w:val="00267C3E"/>
    <w:rsid w:val="002709BB"/>
    <w:rsid w:val="002716A9"/>
    <w:rsid w:val="002763B3"/>
    <w:rsid w:val="00276BF0"/>
    <w:rsid w:val="00277B40"/>
    <w:rsid w:val="002802E3"/>
    <w:rsid w:val="0028213D"/>
    <w:rsid w:val="002862F1"/>
    <w:rsid w:val="00291373"/>
    <w:rsid w:val="0029597D"/>
    <w:rsid w:val="002962C3"/>
    <w:rsid w:val="002A462B"/>
    <w:rsid w:val="002A483C"/>
    <w:rsid w:val="002B1729"/>
    <w:rsid w:val="002B4DD4"/>
    <w:rsid w:val="002B5277"/>
    <w:rsid w:val="002B77C1"/>
    <w:rsid w:val="002C1623"/>
    <w:rsid w:val="002C2728"/>
    <w:rsid w:val="002D5006"/>
    <w:rsid w:val="002E01D0"/>
    <w:rsid w:val="002E161D"/>
    <w:rsid w:val="002E6C95"/>
    <w:rsid w:val="002E7C36"/>
    <w:rsid w:val="002F5F31"/>
    <w:rsid w:val="002F7F61"/>
    <w:rsid w:val="00302216"/>
    <w:rsid w:val="00303860"/>
    <w:rsid w:val="00303E53"/>
    <w:rsid w:val="003041C3"/>
    <w:rsid w:val="00305D25"/>
    <w:rsid w:val="00306E5F"/>
    <w:rsid w:val="00307CFE"/>
    <w:rsid w:val="00307E14"/>
    <w:rsid w:val="00310351"/>
    <w:rsid w:val="00314054"/>
    <w:rsid w:val="00316F27"/>
    <w:rsid w:val="00327870"/>
    <w:rsid w:val="0033259D"/>
    <w:rsid w:val="003406C6"/>
    <w:rsid w:val="003418CC"/>
    <w:rsid w:val="00344EBE"/>
    <w:rsid w:val="003459BD"/>
    <w:rsid w:val="00350D38"/>
    <w:rsid w:val="0036022F"/>
    <w:rsid w:val="003613F9"/>
    <w:rsid w:val="0037290E"/>
    <w:rsid w:val="003744CF"/>
    <w:rsid w:val="00374717"/>
    <w:rsid w:val="0037676C"/>
    <w:rsid w:val="003829E5"/>
    <w:rsid w:val="003928BC"/>
    <w:rsid w:val="003956CC"/>
    <w:rsid w:val="00395C9A"/>
    <w:rsid w:val="003A3438"/>
    <w:rsid w:val="003A6B67"/>
    <w:rsid w:val="003B15E6"/>
    <w:rsid w:val="003B183A"/>
    <w:rsid w:val="003B2106"/>
    <w:rsid w:val="003C2045"/>
    <w:rsid w:val="003C2440"/>
    <w:rsid w:val="003C43A1"/>
    <w:rsid w:val="003C4FC0"/>
    <w:rsid w:val="003C55F4"/>
    <w:rsid w:val="003C7A3F"/>
    <w:rsid w:val="003D3E8F"/>
    <w:rsid w:val="003D4B4A"/>
    <w:rsid w:val="003D6475"/>
    <w:rsid w:val="003E2E5F"/>
    <w:rsid w:val="003F0445"/>
    <w:rsid w:val="003F0CF0"/>
    <w:rsid w:val="003F3289"/>
    <w:rsid w:val="00401FCF"/>
    <w:rsid w:val="00406285"/>
    <w:rsid w:val="004148F9"/>
    <w:rsid w:val="0042084E"/>
    <w:rsid w:val="0042175D"/>
    <w:rsid w:val="00421EEF"/>
    <w:rsid w:val="00424D65"/>
    <w:rsid w:val="004340DE"/>
    <w:rsid w:val="004367B3"/>
    <w:rsid w:val="00442C6C"/>
    <w:rsid w:val="00443CBE"/>
    <w:rsid w:val="00443E8A"/>
    <w:rsid w:val="004441BC"/>
    <w:rsid w:val="0045230A"/>
    <w:rsid w:val="00457337"/>
    <w:rsid w:val="00461543"/>
    <w:rsid w:val="0047372D"/>
    <w:rsid w:val="004743DD"/>
    <w:rsid w:val="00474CEA"/>
    <w:rsid w:val="00483968"/>
    <w:rsid w:val="0048442F"/>
    <w:rsid w:val="00484695"/>
    <w:rsid w:val="00484F86"/>
    <w:rsid w:val="00490746"/>
    <w:rsid w:val="00490852"/>
    <w:rsid w:val="00492D85"/>
    <w:rsid w:val="00492F30"/>
    <w:rsid w:val="004946F4"/>
    <w:rsid w:val="0049487E"/>
    <w:rsid w:val="004A160D"/>
    <w:rsid w:val="004A3E81"/>
    <w:rsid w:val="004A5C62"/>
    <w:rsid w:val="004A707D"/>
    <w:rsid w:val="004C57C4"/>
    <w:rsid w:val="004C6EEE"/>
    <w:rsid w:val="004C702B"/>
    <w:rsid w:val="004D016B"/>
    <w:rsid w:val="004D1B22"/>
    <w:rsid w:val="004D36F2"/>
    <w:rsid w:val="004E138F"/>
    <w:rsid w:val="004E4649"/>
    <w:rsid w:val="004E5C2B"/>
    <w:rsid w:val="004E7DBA"/>
    <w:rsid w:val="004F00DD"/>
    <w:rsid w:val="004F2133"/>
    <w:rsid w:val="004F55F1"/>
    <w:rsid w:val="004F6936"/>
    <w:rsid w:val="005027C0"/>
    <w:rsid w:val="00503DC6"/>
    <w:rsid w:val="00504932"/>
    <w:rsid w:val="00506F5D"/>
    <w:rsid w:val="005126D0"/>
    <w:rsid w:val="005133F9"/>
    <w:rsid w:val="00513896"/>
    <w:rsid w:val="0051568D"/>
    <w:rsid w:val="0052216A"/>
    <w:rsid w:val="00526C15"/>
    <w:rsid w:val="005273B4"/>
    <w:rsid w:val="00536499"/>
    <w:rsid w:val="00541ADB"/>
    <w:rsid w:val="00543903"/>
    <w:rsid w:val="00547A95"/>
    <w:rsid w:val="00557E03"/>
    <w:rsid w:val="00572031"/>
    <w:rsid w:val="00576E84"/>
    <w:rsid w:val="00582B8C"/>
    <w:rsid w:val="0058757E"/>
    <w:rsid w:val="00596A4B"/>
    <w:rsid w:val="00597507"/>
    <w:rsid w:val="005B21B6"/>
    <w:rsid w:val="005B3A08"/>
    <w:rsid w:val="005B7A63"/>
    <w:rsid w:val="005C0955"/>
    <w:rsid w:val="005C33FD"/>
    <w:rsid w:val="005C49DA"/>
    <w:rsid w:val="005C50F3"/>
    <w:rsid w:val="005C5D91"/>
    <w:rsid w:val="005C77D1"/>
    <w:rsid w:val="005D07B8"/>
    <w:rsid w:val="005D6597"/>
    <w:rsid w:val="005E14E7"/>
    <w:rsid w:val="005E26A3"/>
    <w:rsid w:val="005E447E"/>
    <w:rsid w:val="005E4B44"/>
    <w:rsid w:val="005F0775"/>
    <w:rsid w:val="005F0CF5"/>
    <w:rsid w:val="005F21EB"/>
    <w:rsid w:val="00605908"/>
    <w:rsid w:val="00605F1B"/>
    <w:rsid w:val="00610D7C"/>
    <w:rsid w:val="00613414"/>
    <w:rsid w:val="0061635F"/>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2B53"/>
    <w:rsid w:val="006B5E1A"/>
    <w:rsid w:val="006D2A3F"/>
    <w:rsid w:val="006E138B"/>
    <w:rsid w:val="006F1FDC"/>
    <w:rsid w:val="007013EF"/>
    <w:rsid w:val="007034E7"/>
    <w:rsid w:val="007216AA"/>
    <w:rsid w:val="00721AB5"/>
    <w:rsid w:val="00721DEF"/>
    <w:rsid w:val="00724A43"/>
    <w:rsid w:val="007346E4"/>
    <w:rsid w:val="00740F22"/>
    <w:rsid w:val="00741F1A"/>
    <w:rsid w:val="0074430F"/>
    <w:rsid w:val="007450F8"/>
    <w:rsid w:val="0074696E"/>
    <w:rsid w:val="00750135"/>
    <w:rsid w:val="00752B28"/>
    <w:rsid w:val="00754E36"/>
    <w:rsid w:val="0075750C"/>
    <w:rsid w:val="00763139"/>
    <w:rsid w:val="00770F37"/>
    <w:rsid w:val="00772D5E"/>
    <w:rsid w:val="00776928"/>
    <w:rsid w:val="00786F16"/>
    <w:rsid w:val="00796E20"/>
    <w:rsid w:val="00797C32"/>
    <w:rsid w:val="007B0914"/>
    <w:rsid w:val="007B1374"/>
    <w:rsid w:val="007B589F"/>
    <w:rsid w:val="007B6186"/>
    <w:rsid w:val="007C14D9"/>
    <w:rsid w:val="007C7301"/>
    <w:rsid w:val="007C7859"/>
    <w:rsid w:val="007D1235"/>
    <w:rsid w:val="007D2BDE"/>
    <w:rsid w:val="007D2FB6"/>
    <w:rsid w:val="007E0DE2"/>
    <w:rsid w:val="007F0632"/>
    <w:rsid w:val="007F31B6"/>
    <w:rsid w:val="007F546C"/>
    <w:rsid w:val="007F665E"/>
    <w:rsid w:val="00800412"/>
    <w:rsid w:val="00804484"/>
    <w:rsid w:val="0080587B"/>
    <w:rsid w:val="00806468"/>
    <w:rsid w:val="008155F0"/>
    <w:rsid w:val="00816735"/>
    <w:rsid w:val="00820141"/>
    <w:rsid w:val="008204A8"/>
    <w:rsid w:val="00820E0C"/>
    <w:rsid w:val="00821297"/>
    <w:rsid w:val="008338A2"/>
    <w:rsid w:val="00840DF3"/>
    <w:rsid w:val="0084417C"/>
    <w:rsid w:val="00853EE4"/>
    <w:rsid w:val="00855535"/>
    <w:rsid w:val="00856385"/>
    <w:rsid w:val="008633F0"/>
    <w:rsid w:val="00867D9D"/>
    <w:rsid w:val="00872E0A"/>
    <w:rsid w:val="00875285"/>
    <w:rsid w:val="00884B62"/>
    <w:rsid w:val="0088529C"/>
    <w:rsid w:val="008871E0"/>
    <w:rsid w:val="00887903"/>
    <w:rsid w:val="0089270A"/>
    <w:rsid w:val="00893AF6"/>
    <w:rsid w:val="00894BC4"/>
    <w:rsid w:val="008A1753"/>
    <w:rsid w:val="008B2362"/>
    <w:rsid w:val="008B2EE4"/>
    <w:rsid w:val="008B2F9E"/>
    <w:rsid w:val="008B4D3D"/>
    <w:rsid w:val="008B57C7"/>
    <w:rsid w:val="008C2F92"/>
    <w:rsid w:val="008C5F67"/>
    <w:rsid w:val="008C65EB"/>
    <w:rsid w:val="008D2F4B"/>
    <w:rsid w:val="008D4236"/>
    <w:rsid w:val="008D462F"/>
    <w:rsid w:val="008E4376"/>
    <w:rsid w:val="008E7A0A"/>
    <w:rsid w:val="008F5956"/>
    <w:rsid w:val="00900719"/>
    <w:rsid w:val="009017AC"/>
    <w:rsid w:val="00905030"/>
    <w:rsid w:val="00906490"/>
    <w:rsid w:val="009111B2"/>
    <w:rsid w:val="00924AE1"/>
    <w:rsid w:val="009269B1"/>
    <w:rsid w:val="0092724D"/>
    <w:rsid w:val="00937BD9"/>
    <w:rsid w:val="00950325"/>
    <w:rsid w:val="00950E2C"/>
    <w:rsid w:val="00951D50"/>
    <w:rsid w:val="009525EB"/>
    <w:rsid w:val="0095645E"/>
    <w:rsid w:val="00961400"/>
    <w:rsid w:val="00962747"/>
    <w:rsid w:val="00963646"/>
    <w:rsid w:val="009853E1"/>
    <w:rsid w:val="00986E6B"/>
    <w:rsid w:val="00991769"/>
    <w:rsid w:val="00994386"/>
    <w:rsid w:val="009A13D8"/>
    <w:rsid w:val="009A279E"/>
    <w:rsid w:val="009B0A6F"/>
    <w:rsid w:val="009B59E9"/>
    <w:rsid w:val="009C7A7E"/>
    <w:rsid w:val="009D02E8"/>
    <w:rsid w:val="009D345D"/>
    <w:rsid w:val="009D51D0"/>
    <w:rsid w:val="009D70A4"/>
    <w:rsid w:val="009E08D1"/>
    <w:rsid w:val="009E1B95"/>
    <w:rsid w:val="009E496F"/>
    <w:rsid w:val="009E4B0D"/>
    <w:rsid w:val="009E7F92"/>
    <w:rsid w:val="009F02A3"/>
    <w:rsid w:val="009F2F27"/>
    <w:rsid w:val="009F6BCB"/>
    <w:rsid w:val="009F7B78"/>
    <w:rsid w:val="00A0057A"/>
    <w:rsid w:val="00A0176A"/>
    <w:rsid w:val="00A11421"/>
    <w:rsid w:val="00A157B1"/>
    <w:rsid w:val="00A22229"/>
    <w:rsid w:val="00A227F1"/>
    <w:rsid w:val="00A272E1"/>
    <w:rsid w:val="00A44882"/>
    <w:rsid w:val="00A54715"/>
    <w:rsid w:val="00A6061C"/>
    <w:rsid w:val="00A62787"/>
    <w:rsid w:val="00A62D44"/>
    <w:rsid w:val="00A67263"/>
    <w:rsid w:val="00A7161C"/>
    <w:rsid w:val="00A77AA3"/>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7EDA"/>
    <w:rsid w:val="00AE126A"/>
    <w:rsid w:val="00AE3005"/>
    <w:rsid w:val="00AE59A0"/>
    <w:rsid w:val="00AF0C57"/>
    <w:rsid w:val="00AF26F3"/>
    <w:rsid w:val="00AF44A1"/>
    <w:rsid w:val="00B00672"/>
    <w:rsid w:val="00B01B4D"/>
    <w:rsid w:val="00B033C5"/>
    <w:rsid w:val="00B06571"/>
    <w:rsid w:val="00B068BA"/>
    <w:rsid w:val="00B0730E"/>
    <w:rsid w:val="00B13851"/>
    <w:rsid w:val="00B13B1C"/>
    <w:rsid w:val="00B22291"/>
    <w:rsid w:val="00B23F9A"/>
    <w:rsid w:val="00B2417B"/>
    <w:rsid w:val="00B24E6F"/>
    <w:rsid w:val="00B26CB5"/>
    <w:rsid w:val="00B2752E"/>
    <w:rsid w:val="00B307CC"/>
    <w:rsid w:val="00B4088B"/>
    <w:rsid w:val="00B431E8"/>
    <w:rsid w:val="00B45141"/>
    <w:rsid w:val="00B5273A"/>
    <w:rsid w:val="00B62B50"/>
    <w:rsid w:val="00B635B7"/>
    <w:rsid w:val="00B63AE8"/>
    <w:rsid w:val="00B65950"/>
    <w:rsid w:val="00B672C0"/>
    <w:rsid w:val="00B75646"/>
    <w:rsid w:val="00B90729"/>
    <w:rsid w:val="00B907DA"/>
    <w:rsid w:val="00B950BC"/>
    <w:rsid w:val="00B9714C"/>
    <w:rsid w:val="00BA3F8D"/>
    <w:rsid w:val="00BA4845"/>
    <w:rsid w:val="00BB7A10"/>
    <w:rsid w:val="00BC7D4F"/>
    <w:rsid w:val="00BC7ED7"/>
    <w:rsid w:val="00BD2850"/>
    <w:rsid w:val="00BE28D2"/>
    <w:rsid w:val="00BF0391"/>
    <w:rsid w:val="00BF5F6F"/>
    <w:rsid w:val="00BF7F58"/>
    <w:rsid w:val="00C01381"/>
    <w:rsid w:val="00C079B8"/>
    <w:rsid w:val="00C123EA"/>
    <w:rsid w:val="00C125E4"/>
    <w:rsid w:val="00C12A49"/>
    <w:rsid w:val="00C133EE"/>
    <w:rsid w:val="00C27DE9"/>
    <w:rsid w:val="00C33388"/>
    <w:rsid w:val="00C4173A"/>
    <w:rsid w:val="00C5292A"/>
    <w:rsid w:val="00C56492"/>
    <w:rsid w:val="00C602FF"/>
    <w:rsid w:val="00C61174"/>
    <w:rsid w:val="00C6148F"/>
    <w:rsid w:val="00C62F7A"/>
    <w:rsid w:val="00C63B9C"/>
    <w:rsid w:val="00C6682F"/>
    <w:rsid w:val="00C7275E"/>
    <w:rsid w:val="00C74C5D"/>
    <w:rsid w:val="00C863C4"/>
    <w:rsid w:val="00C93C3E"/>
    <w:rsid w:val="00CA05D1"/>
    <w:rsid w:val="00CA12E3"/>
    <w:rsid w:val="00CA6611"/>
    <w:rsid w:val="00CA6B58"/>
    <w:rsid w:val="00CC0C72"/>
    <w:rsid w:val="00CC2BFD"/>
    <w:rsid w:val="00CD11A5"/>
    <w:rsid w:val="00CD3476"/>
    <w:rsid w:val="00CD64DF"/>
    <w:rsid w:val="00CE5C12"/>
    <w:rsid w:val="00CF2F50"/>
    <w:rsid w:val="00CF41DA"/>
    <w:rsid w:val="00D02919"/>
    <w:rsid w:val="00D04C61"/>
    <w:rsid w:val="00D0539B"/>
    <w:rsid w:val="00D05B8D"/>
    <w:rsid w:val="00D065A2"/>
    <w:rsid w:val="00D07F00"/>
    <w:rsid w:val="00D1790F"/>
    <w:rsid w:val="00D206C2"/>
    <w:rsid w:val="00D245D3"/>
    <w:rsid w:val="00D33E72"/>
    <w:rsid w:val="00D35BD6"/>
    <w:rsid w:val="00D361B5"/>
    <w:rsid w:val="00D411A2"/>
    <w:rsid w:val="00D50B9C"/>
    <w:rsid w:val="00D52D73"/>
    <w:rsid w:val="00D52E58"/>
    <w:rsid w:val="00D714CC"/>
    <w:rsid w:val="00D75EA7"/>
    <w:rsid w:val="00D76A97"/>
    <w:rsid w:val="00D81F21"/>
    <w:rsid w:val="00D95470"/>
    <w:rsid w:val="00D95FB6"/>
    <w:rsid w:val="00DA2619"/>
    <w:rsid w:val="00DA4239"/>
    <w:rsid w:val="00DB0B61"/>
    <w:rsid w:val="00DC090B"/>
    <w:rsid w:val="00DC2CF1"/>
    <w:rsid w:val="00DC4FCF"/>
    <w:rsid w:val="00DC50E0"/>
    <w:rsid w:val="00DC5A51"/>
    <w:rsid w:val="00DC6386"/>
    <w:rsid w:val="00DD1130"/>
    <w:rsid w:val="00DD1951"/>
    <w:rsid w:val="00DD6628"/>
    <w:rsid w:val="00DE09D5"/>
    <w:rsid w:val="00DE3250"/>
    <w:rsid w:val="00DE6028"/>
    <w:rsid w:val="00DE78A3"/>
    <w:rsid w:val="00DF1A71"/>
    <w:rsid w:val="00DF68C7"/>
    <w:rsid w:val="00DF731A"/>
    <w:rsid w:val="00E01B9D"/>
    <w:rsid w:val="00E14388"/>
    <w:rsid w:val="00E170DC"/>
    <w:rsid w:val="00E21842"/>
    <w:rsid w:val="00E26818"/>
    <w:rsid w:val="00E27FFC"/>
    <w:rsid w:val="00E30B15"/>
    <w:rsid w:val="00E40181"/>
    <w:rsid w:val="00E43426"/>
    <w:rsid w:val="00E45931"/>
    <w:rsid w:val="00E501C9"/>
    <w:rsid w:val="00E53A79"/>
    <w:rsid w:val="00E629A1"/>
    <w:rsid w:val="00E82C55"/>
    <w:rsid w:val="00E92AC3"/>
    <w:rsid w:val="00E96AA0"/>
    <w:rsid w:val="00EB00E0"/>
    <w:rsid w:val="00EC0082"/>
    <w:rsid w:val="00EC059F"/>
    <w:rsid w:val="00EC1F24"/>
    <w:rsid w:val="00EC22F6"/>
    <w:rsid w:val="00EC36B3"/>
    <w:rsid w:val="00EC4749"/>
    <w:rsid w:val="00ED5B9B"/>
    <w:rsid w:val="00ED6BAD"/>
    <w:rsid w:val="00ED7447"/>
    <w:rsid w:val="00ED79F1"/>
    <w:rsid w:val="00EE1488"/>
    <w:rsid w:val="00EE4D5D"/>
    <w:rsid w:val="00EE5131"/>
    <w:rsid w:val="00EF109B"/>
    <w:rsid w:val="00EF36AF"/>
    <w:rsid w:val="00F00F9C"/>
    <w:rsid w:val="00F02ABA"/>
    <w:rsid w:val="00F0437A"/>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5920"/>
    <w:rsid w:val="00F76CAB"/>
    <w:rsid w:val="00F772C6"/>
    <w:rsid w:val="00F85195"/>
    <w:rsid w:val="00F92503"/>
    <w:rsid w:val="00F938BA"/>
    <w:rsid w:val="00FA2C46"/>
    <w:rsid w:val="00FA6B67"/>
    <w:rsid w:val="00FB317C"/>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27B36C38"/>
  <w15:docId w15:val="{96822CC6-7559-46DA-B515-CEF88D3A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11"/>
    <w:lsdException w:name="heading 1" w:uiPriority="0"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8C5F67"/>
    <w:rPr>
      <w:rFonts w:ascii="Cambria" w:hAnsi="Cambria"/>
      <w:lang w:eastAsia="en-US"/>
    </w:rPr>
  </w:style>
  <w:style w:type="paragraph" w:styleId="Heading1">
    <w:name w:val="heading 1"/>
    <w:next w:val="DHHSbody"/>
    <w:link w:val="Heading1Char"/>
    <w:qFormat/>
    <w:rsid w:val="00541ADB"/>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541ADB"/>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41ADB"/>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541ADB"/>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AA5797"/>
    <w:pPr>
      <w:keepLines/>
      <w:tabs>
        <w:tab w:val="right" w:leader="dot" w:pos="9072"/>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DHHSfigurecaptionChar">
    <w:name w:val="DHHS figure caption Char"/>
    <w:link w:val="DHHSfigurecaption"/>
    <w:uiPriority w:val="4"/>
    <w:rsid w:val="00D0539B"/>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541ADB"/>
    <w:pPr>
      <w:spacing w:before="0" w:after="200"/>
      <w:outlineLvl w:val="9"/>
    </w:pPr>
  </w:style>
  <w:style w:type="character" w:customStyle="1" w:styleId="DHHSTOCheadingfactsheetChar">
    <w:name w:val="DHHS TOC heading fact sheet Char"/>
    <w:link w:val="DHHSTOCheadingfactsheet"/>
    <w:uiPriority w:val="4"/>
    <w:rsid w:val="00541ADB"/>
    <w:rPr>
      <w:rFonts w:ascii="Arial" w:hAnsi="Arial"/>
      <w:b/>
      <w:color w:val="201547"/>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F575C2"/>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styleId="Strong">
    <w:name w:val="Strong"/>
    <w:uiPriority w:val="22"/>
    <w:qFormat/>
    <w:rsid w:val="0048442F"/>
    <w:rPr>
      <w:b/>
      <w:bC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541ADB"/>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627DA7"/>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4"/>
    <w:rsid w:val="00152073"/>
    <w:pPr>
      <w:numPr>
        <w:numId w:val="8"/>
      </w:numPr>
    </w:pPr>
  </w:style>
  <w:style w:type="paragraph" w:customStyle="1" w:styleId="DHHSnumberloweralphaindent">
    <w:name w:val="DHHS number lower alpha indent"/>
    <w:basedOn w:val="DHHSbody"/>
    <w:uiPriority w:val="4"/>
    <w:qFormat/>
    <w:rsid w:val="00152073"/>
    <w:pPr>
      <w:numPr>
        <w:ilvl w:val="3"/>
        <w:numId w:val="8"/>
      </w:numPr>
    </w:pPr>
  </w:style>
  <w:style w:type="paragraph" w:customStyle="1" w:styleId="DHHSnumberdigitindent">
    <w:name w:val="DHHS number digit indent"/>
    <w:basedOn w:val="DHHSnumberloweralphaindent"/>
    <w:uiPriority w:val="4"/>
    <w:qFormat/>
    <w:rsid w:val="00152073"/>
    <w:pPr>
      <w:numPr>
        <w:ilvl w:val="1"/>
      </w:numPr>
    </w:pPr>
  </w:style>
  <w:style w:type="paragraph" w:customStyle="1" w:styleId="DHHSnumberloweralpha">
    <w:name w:val="DHHS number lower alpha"/>
    <w:basedOn w:val="DHHSbody"/>
    <w:uiPriority w:val="4"/>
    <w:qFormat/>
    <w:rsid w:val="00152073"/>
    <w:pPr>
      <w:numPr>
        <w:ilvl w:val="2"/>
        <w:numId w:val="8"/>
      </w:numPr>
    </w:pPr>
  </w:style>
  <w:style w:type="paragraph" w:customStyle="1" w:styleId="DHHSnumberlowerroman">
    <w:name w:val="DHHS number lower roman"/>
    <w:basedOn w:val="DHHSbody"/>
    <w:uiPriority w:val="4"/>
    <w:qFormat/>
    <w:rsid w:val="00152073"/>
    <w:pPr>
      <w:numPr>
        <w:ilvl w:val="4"/>
        <w:numId w:val="8"/>
      </w:numPr>
    </w:pPr>
  </w:style>
  <w:style w:type="paragraph" w:customStyle="1" w:styleId="DHHSnumberlowerromanindent">
    <w:name w:val="DHHS number lower roman indent"/>
    <w:basedOn w:val="DHHSbody"/>
    <w:uiPriority w:val="4"/>
    <w:qFormat/>
    <w:rsid w:val="00152073"/>
    <w:pPr>
      <w:numPr>
        <w:ilvl w:val="5"/>
        <w:numId w:val="8"/>
      </w:numPr>
    </w:pPr>
  </w:style>
  <w:style w:type="paragraph" w:customStyle="1" w:styleId="DHHSquote">
    <w:name w:val="DHHS quote"/>
    <w:basedOn w:val="DHHSbody"/>
    <w:uiPriority w:val="3"/>
    <w:qFormat/>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7034E7"/>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8D2F4B"/>
  </w:style>
  <w:style w:type="paragraph" w:styleId="BalloonText">
    <w:name w:val="Balloon Text"/>
    <w:basedOn w:val="Normal"/>
    <w:link w:val="BalloonTextChar"/>
    <w:uiPriority w:val="99"/>
    <w:semiHidden/>
    <w:unhideWhenUsed/>
    <w:rsid w:val="00950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32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48839">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86247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adc_data@dhhs.vic.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Landscape%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520AD-3466-402C-9C34-31FEF7839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Landscape 01 Navy 2765.dot</Template>
  <TotalTime>89</TotalTime>
  <Pages>6</Pages>
  <Words>1033</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VADC 1819 Bulletin - edition 3 </vt:lpstr>
    </vt:vector>
  </TitlesOfParts>
  <Company>Department of Health and Human Services</Company>
  <LinksUpToDate>false</LinksUpToDate>
  <CharactersWithSpaces>7108</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VADC 1819 Bulletin - edition 3 </dc:title>
  <dc:subject>VADC 1819 Bulletin - edition 3 </dc:subject>
  <dc:creator>Mental Health and Drugs data </dc:creator>
  <cp:keywords>VADC, Bulletin</cp:keywords>
  <cp:lastModifiedBy>Sarah Luscombe (DHHS)</cp:lastModifiedBy>
  <cp:revision>17</cp:revision>
  <cp:lastPrinted>2019-02-11T03:08:00Z</cp:lastPrinted>
  <dcterms:created xsi:type="dcterms:W3CDTF">2019-02-07T06:15:00Z</dcterms:created>
  <dcterms:modified xsi:type="dcterms:W3CDTF">2019-08-12T03:07:00Z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