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047F" w14:textId="3AF23B10" w:rsidR="00002990" w:rsidRPr="003072C6" w:rsidRDefault="0030300E" w:rsidP="00A55989">
      <w:pPr>
        <w:pStyle w:val="DHHSbodynospace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0" allowOverlap="1" wp14:anchorId="37AF9ED1" wp14:editId="676C7849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63485" cy="10700385"/>
            <wp:effectExtent l="0" t="0" r="0" b="5715"/>
            <wp:wrapNone/>
            <wp:docPr id="95" name="Picture 95" descr="Victoria State Government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ictoria State Government Department of Health and Human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1817CD" w:rsidRPr="003072C6" w14:paraId="324496CC" w14:textId="77777777" w:rsidTr="004C5777">
        <w:trPr>
          <w:trHeight w:val="3988"/>
        </w:trPr>
        <w:tc>
          <w:tcPr>
            <w:tcW w:w="7938" w:type="dxa"/>
            <w:shd w:val="clear" w:color="auto" w:fill="auto"/>
          </w:tcPr>
          <w:p w14:paraId="64F5675B" w14:textId="1CCE4617" w:rsidR="000D24C4" w:rsidRPr="00F7213D" w:rsidRDefault="00EF455B" w:rsidP="000D24C4">
            <w:pPr>
              <w:pStyle w:val="DHHSreportmaintitlewhit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Errata </w:t>
            </w:r>
            <w:r w:rsidR="002765C9">
              <w:rPr>
                <w:color w:val="FFFFFF" w:themeColor="background1"/>
              </w:rPr>
              <w:t xml:space="preserve">to </w:t>
            </w:r>
            <w:r w:rsidR="002765C9">
              <w:rPr>
                <w:color w:val="FFFFFF" w:themeColor="background1"/>
              </w:rPr>
              <w:br/>
            </w:r>
            <w:r w:rsidR="00013581">
              <w:rPr>
                <w:color w:val="FFFFFF" w:themeColor="background1"/>
              </w:rPr>
              <w:t xml:space="preserve">Specification </w:t>
            </w:r>
            <w:r w:rsidR="000D24C4" w:rsidRPr="00F7213D">
              <w:rPr>
                <w:color w:val="FFFFFF" w:themeColor="background1"/>
              </w:rPr>
              <w:t>for revisions to the Victorian Perinatal Data Collection (VPDC) for 1 January 20</w:t>
            </w:r>
            <w:r w:rsidR="00715E78">
              <w:rPr>
                <w:color w:val="FFFFFF" w:themeColor="background1"/>
              </w:rPr>
              <w:t>20</w:t>
            </w:r>
          </w:p>
          <w:p w14:paraId="358B0B7D" w14:textId="21D953CE" w:rsidR="00444D82" w:rsidRPr="003072C6" w:rsidRDefault="002F6C58" w:rsidP="000D24C4">
            <w:pPr>
              <w:pStyle w:val="DHHSreportsubtitlewhite"/>
            </w:pPr>
            <w:r>
              <w:t xml:space="preserve">January </w:t>
            </w:r>
            <w:r w:rsidR="0043476B">
              <w:t>20</w:t>
            </w:r>
            <w:r>
              <w:t>20</w:t>
            </w:r>
          </w:p>
        </w:tc>
      </w:tr>
      <w:tr w:rsidR="001817CD" w:rsidRPr="003072C6" w14:paraId="703A4367" w14:textId="77777777" w:rsidTr="004C5777">
        <w:trPr>
          <w:trHeight w:val="4664"/>
        </w:trPr>
        <w:tc>
          <w:tcPr>
            <w:tcW w:w="10252" w:type="dxa"/>
            <w:shd w:val="clear" w:color="auto" w:fill="auto"/>
          </w:tcPr>
          <w:p w14:paraId="0C59E887" w14:textId="0F2210B9" w:rsidR="00867142" w:rsidRPr="003072C6" w:rsidRDefault="00867142" w:rsidP="00867142">
            <w:pPr>
              <w:pStyle w:val="Coverinstructions"/>
            </w:pPr>
          </w:p>
        </w:tc>
      </w:tr>
    </w:tbl>
    <w:p w14:paraId="0638C7C0" w14:textId="77777777" w:rsidR="00C51B1C" w:rsidRDefault="00C51B1C" w:rsidP="00CA6D4E">
      <w:pPr>
        <w:pStyle w:val="DHHSbodynospace"/>
        <w:sectPr w:rsidR="00C51B1C" w:rsidSect="00A55989">
          <w:type w:val="oddPage"/>
          <w:pgSz w:w="11906" w:h="16838"/>
          <w:pgMar w:top="3969" w:right="1304" w:bottom="1134" w:left="1304" w:header="454" w:footer="567" w:gutter="0"/>
          <w:cols w:space="720"/>
          <w:docGrid w:linePitch="360"/>
        </w:sectPr>
      </w:pPr>
    </w:p>
    <w:p w14:paraId="4B53B1A5" w14:textId="77777777" w:rsidR="00EB27FB" w:rsidRDefault="00EB27FB"/>
    <w:tbl>
      <w:tblPr>
        <w:tblW w:w="0" w:type="auto"/>
        <w:tblCellMar>
          <w:top w:w="113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9298"/>
      </w:tblGrid>
      <w:tr w:rsidR="00EB27FB" w:rsidRPr="003072C6" w14:paraId="3D0D62ED" w14:textId="77777777" w:rsidTr="00EB27FB">
        <w:trPr>
          <w:trHeight w:val="6336"/>
        </w:trPr>
        <w:tc>
          <w:tcPr>
            <w:tcW w:w="9401" w:type="dxa"/>
            <w:vAlign w:val="bottom"/>
          </w:tcPr>
          <w:p w14:paraId="64D2D6D0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787DB88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1FDAE73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7C1A3489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145E65E8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47842B0" w14:textId="77777777" w:rsidR="00EB27F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14A2FF68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4C2CE55D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7167FD8B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3D76B8C1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0E9A9650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5B853881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20D5849B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3A4CFCAF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36869F44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6598B770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2EC22552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691E8843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535E6B7F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684EDC53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3467394A" w14:textId="77777777" w:rsidR="00277583" w:rsidRDefault="00277583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</w:p>
          <w:p w14:paraId="770D9D40" w14:textId="77777777" w:rsidR="00EB27FB" w:rsidRPr="00605B5B" w:rsidRDefault="00EB27FB" w:rsidP="00EB27F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t>To receive this publicatio</w:t>
            </w:r>
            <w:r>
              <w:rPr>
                <w:rFonts w:ascii="Arial" w:eastAsia="Times" w:hAnsi="Arial"/>
                <w:sz w:val="24"/>
                <w:szCs w:val="19"/>
              </w:rPr>
              <w:t>n in an accessible format phone (03) 9096 8595</w:t>
            </w:r>
            <w:r w:rsidRPr="00605B5B"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r w:rsidR="00425480">
              <w:rPr>
                <w:rFonts w:ascii="Arial" w:eastAsia="Times" w:hAnsi="Arial"/>
                <w:sz w:val="24"/>
                <w:szCs w:val="19"/>
              </w:rPr>
              <w:t>HDSS.Helpdesk@dhhs</w:t>
            </w:r>
            <w:r w:rsidRPr="000D24C4">
              <w:rPr>
                <w:rFonts w:ascii="Arial" w:eastAsia="Times" w:hAnsi="Arial"/>
                <w:sz w:val="24"/>
                <w:szCs w:val="19"/>
              </w:rPr>
              <w:t>.vic.gov.au</w:t>
            </w:r>
          </w:p>
          <w:p w14:paraId="6056AA7E" w14:textId="77777777" w:rsidR="00EB27FB" w:rsidRPr="00605B5B" w:rsidRDefault="00EB27FB" w:rsidP="00EB27FB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>Authorised and published by the Victorian Governmen</w:t>
            </w:r>
            <w:r>
              <w:rPr>
                <w:rFonts w:ascii="Arial" w:eastAsia="Times" w:hAnsi="Arial"/>
              </w:rPr>
              <w:t>t, 1 Treasury Place, Melbourne.</w:t>
            </w:r>
          </w:p>
          <w:p w14:paraId="77D7828E" w14:textId="03312651" w:rsidR="00EB27FB" w:rsidRPr="00605B5B" w:rsidRDefault="00EB27FB" w:rsidP="00EB27FB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 xml:space="preserve">© State of Victoria, Department of Health </w:t>
            </w:r>
            <w:r>
              <w:rPr>
                <w:rFonts w:ascii="Arial" w:eastAsia="Times" w:hAnsi="Arial"/>
              </w:rPr>
              <w:t>and</w:t>
            </w:r>
            <w:r w:rsidRPr="00605B5B">
              <w:rPr>
                <w:rFonts w:ascii="Arial" w:eastAsia="Times" w:hAnsi="Arial"/>
              </w:rPr>
              <w:t xml:space="preserve"> Human Services</w:t>
            </w:r>
            <w:r w:rsidR="002F6C58">
              <w:rPr>
                <w:rFonts w:ascii="Arial" w:eastAsia="Times" w:hAnsi="Arial"/>
              </w:rPr>
              <w:t>,</w:t>
            </w:r>
            <w:r w:rsidR="002765C9">
              <w:rPr>
                <w:rFonts w:ascii="Arial" w:eastAsia="Times" w:hAnsi="Arial"/>
              </w:rPr>
              <w:t xml:space="preserve"> </w:t>
            </w:r>
            <w:r w:rsidR="002F6C58">
              <w:rPr>
                <w:rFonts w:ascii="Arial" w:eastAsia="Times" w:hAnsi="Arial"/>
              </w:rPr>
              <w:t>January</w:t>
            </w:r>
            <w:r>
              <w:rPr>
                <w:rFonts w:ascii="Arial" w:eastAsia="Times" w:hAnsi="Arial"/>
              </w:rPr>
              <w:t xml:space="preserve"> 20</w:t>
            </w:r>
            <w:r w:rsidR="002F6C58">
              <w:rPr>
                <w:rFonts w:ascii="Arial" w:eastAsia="Times" w:hAnsi="Arial"/>
              </w:rPr>
              <w:t>20</w:t>
            </w:r>
            <w:r w:rsidRPr="00605B5B">
              <w:rPr>
                <w:rFonts w:ascii="Arial" w:eastAsia="Times" w:hAnsi="Arial"/>
              </w:rPr>
              <w:t>.</w:t>
            </w:r>
          </w:p>
          <w:p w14:paraId="21B8792C" w14:textId="77777777" w:rsidR="00EB27FB" w:rsidRPr="003072C6" w:rsidRDefault="00EB27FB" w:rsidP="00EB27FB">
            <w:pPr>
              <w:pStyle w:val="DHHSbody"/>
            </w:pPr>
          </w:p>
        </w:tc>
      </w:tr>
    </w:tbl>
    <w:p w14:paraId="782DCB2D" w14:textId="26A2CB3C" w:rsidR="00277583" w:rsidRDefault="00EB27FB">
      <w:r>
        <w:br w:type="page"/>
      </w:r>
    </w:p>
    <w:p w14:paraId="0FD866C6" w14:textId="77777777" w:rsidR="00AC0C3B" w:rsidRPr="00AB50C1" w:rsidRDefault="00AC0C3B" w:rsidP="00AB50C1">
      <w:pPr>
        <w:pStyle w:val="DHHSTOCheadingreport"/>
      </w:pPr>
      <w:r w:rsidRPr="00D56BEF">
        <w:lastRenderedPageBreak/>
        <w:t>Contents</w:t>
      </w:r>
    </w:p>
    <w:p w14:paraId="0D930AEF" w14:textId="6E3C1FB7" w:rsidR="0000346F" w:rsidRDefault="00E15DA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072C6">
        <w:rPr>
          <w:noProof w:val="0"/>
        </w:rPr>
        <w:fldChar w:fldCharType="begin"/>
      </w:r>
      <w:r w:rsidRPr="003072C6">
        <w:rPr>
          <w:noProof w:val="0"/>
        </w:rPr>
        <w:instrText xml:space="preserve"> TOC \h \z \t "Heading 1,1,Heading 2,2" </w:instrText>
      </w:r>
      <w:r w:rsidRPr="003072C6">
        <w:rPr>
          <w:noProof w:val="0"/>
        </w:rPr>
        <w:fldChar w:fldCharType="separate"/>
      </w:r>
      <w:hyperlink w:anchor="_Toc29477969" w:history="1">
        <w:r w:rsidR="0000346F" w:rsidRPr="00BA2B52">
          <w:rPr>
            <w:rStyle w:val="Hyperlink"/>
          </w:rPr>
          <w:t>Introduction</w:t>
        </w:r>
        <w:r w:rsidR="0000346F">
          <w:rPr>
            <w:webHidden/>
          </w:rPr>
          <w:tab/>
        </w:r>
        <w:r w:rsidR="0000346F">
          <w:rPr>
            <w:webHidden/>
          </w:rPr>
          <w:fldChar w:fldCharType="begin"/>
        </w:r>
        <w:r w:rsidR="0000346F">
          <w:rPr>
            <w:webHidden/>
          </w:rPr>
          <w:instrText xml:space="preserve"> PAGEREF _Toc29477969 \h </w:instrText>
        </w:r>
        <w:r w:rsidR="0000346F">
          <w:rPr>
            <w:webHidden/>
          </w:rPr>
        </w:r>
        <w:r w:rsidR="0000346F">
          <w:rPr>
            <w:webHidden/>
          </w:rPr>
          <w:fldChar w:fldCharType="separate"/>
        </w:r>
        <w:r w:rsidR="00EE79A4">
          <w:rPr>
            <w:webHidden/>
          </w:rPr>
          <w:t>4</w:t>
        </w:r>
        <w:r w:rsidR="0000346F">
          <w:rPr>
            <w:webHidden/>
          </w:rPr>
          <w:fldChar w:fldCharType="end"/>
        </w:r>
      </w:hyperlink>
    </w:p>
    <w:p w14:paraId="5D17203B" w14:textId="181955C4" w:rsidR="0000346F" w:rsidRDefault="00EE79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477970" w:history="1">
        <w:r w:rsidR="0000346F" w:rsidRPr="00BA2B52">
          <w:rPr>
            <w:rStyle w:val="Hyperlink"/>
          </w:rPr>
          <w:t>Test submissions in 2020 format</w:t>
        </w:r>
        <w:r w:rsidR="0000346F">
          <w:rPr>
            <w:webHidden/>
          </w:rPr>
          <w:tab/>
        </w:r>
        <w:r w:rsidR="0000346F">
          <w:rPr>
            <w:webHidden/>
          </w:rPr>
          <w:fldChar w:fldCharType="begin"/>
        </w:r>
        <w:r w:rsidR="0000346F">
          <w:rPr>
            <w:webHidden/>
          </w:rPr>
          <w:instrText xml:space="preserve"> PAGEREF _Toc29477970 \h </w:instrText>
        </w:r>
        <w:r w:rsidR="0000346F">
          <w:rPr>
            <w:webHidden/>
          </w:rPr>
        </w:r>
        <w:r w:rsidR="0000346F">
          <w:rPr>
            <w:webHidden/>
          </w:rPr>
          <w:fldChar w:fldCharType="separate"/>
        </w:r>
        <w:r>
          <w:rPr>
            <w:webHidden/>
          </w:rPr>
          <w:t>4</w:t>
        </w:r>
        <w:r w:rsidR="0000346F">
          <w:rPr>
            <w:webHidden/>
          </w:rPr>
          <w:fldChar w:fldCharType="end"/>
        </w:r>
      </w:hyperlink>
    </w:p>
    <w:p w14:paraId="5B3C541E" w14:textId="454CAE87" w:rsidR="0000346F" w:rsidRDefault="00EE79A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477971" w:history="1">
        <w:r w:rsidR="0000346F" w:rsidRPr="00BA2B52">
          <w:rPr>
            <w:rStyle w:val="Hyperlink"/>
          </w:rPr>
          <w:t>Orientation to symbols and highlighting in this document</w:t>
        </w:r>
        <w:r w:rsidR="0000346F">
          <w:rPr>
            <w:webHidden/>
          </w:rPr>
          <w:tab/>
        </w:r>
        <w:r w:rsidR="0000346F">
          <w:rPr>
            <w:webHidden/>
          </w:rPr>
          <w:fldChar w:fldCharType="begin"/>
        </w:r>
        <w:r w:rsidR="0000346F">
          <w:rPr>
            <w:webHidden/>
          </w:rPr>
          <w:instrText xml:space="preserve"> PAGEREF _Toc29477971 \h </w:instrText>
        </w:r>
        <w:r w:rsidR="0000346F">
          <w:rPr>
            <w:webHidden/>
          </w:rPr>
        </w:r>
        <w:r w:rsidR="0000346F">
          <w:rPr>
            <w:webHidden/>
          </w:rPr>
          <w:fldChar w:fldCharType="separate"/>
        </w:r>
        <w:r>
          <w:rPr>
            <w:webHidden/>
          </w:rPr>
          <w:t>4</w:t>
        </w:r>
        <w:r w:rsidR="0000346F">
          <w:rPr>
            <w:webHidden/>
          </w:rPr>
          <w:fldChar w:fldCharType="end"/>
        </w:r>
      </w:hyperlink>
    </w:p>
    <w:p w14:paraId="3473F730" w14:textId="348E0C07" w:rsidR="0000346F" w:rsidRDefault="00EE79A4">
      <w:pPr>
        <w:pStyle w:val="TOC1"/>
        <w:tabs>
          <w:tab w:val="left" w:pos="120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477972" w:history="1">
        <w:r w:rsidR="0000346F" w:rsidRPr="00BA2B52">
          <w:rPr>
            <w:rStyle w:val="Hyperlink"/>
          </w:rPr>
          <w:t>Section 4</w:t>
        </w:r>
        <w:r w:rsidR="0000346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0346F" w:rsidRPr="00BA2B52">
          <w:rPr>
            <w:rStyle w:val="Hyperlink"/>
          </w:rPr>
          <w:t>Business rules</w:t>
        </w:r>
        <w:r w:rsidR="0000346F">
          <w:rPr>
            <w:webHidden/>
          </w:rPr>
          <w:tab/>
        </w:r>
        <w:r w:rsidR="0000346F">
          <w:rPr>
            <w:webHidden/>
          </w:rPr>
          <w:fldChar w:fldCharType="begin"/>
        </w:r>
        <w:r w:rsidR="0000346F">
          <w:rPr>
            <w:webHidden/>
          </w:rPr>
          <w:instrText xml:space="preserve"> PAGEREF _Toc29477972 \h </w:instrText>
        </w:r>
        <w:r w:rsidR="0000346F">
          <w:rPr>
            <w:webHidden/>
          </w:rPr>
        </w:r>
        <w:r w:rsidR="0000346F">
          <w:rPr>
            <w:webHidden/>
          </w:rPr>
          <w:fldChar w:fldCharType="separate"/>
        </w:r>
        <w:r>
          <w:rPr>
            <w:webHidden/>
          </w:rPr>
          <w:t>5</w:t>
        </w:r>
        <w:r w:rsidR="0000346F">
          <w:rPr>
            <w:webHidden/>
          </w:rPr>
          <w:fldChar w:fldCharType="end"/>
        </w:r>
      </w:hyperlink>
    </w:p>
    <w:p w14:paraId="5FDEC2AE" w14:textId="1481A8DB" w:rsidR="0000346F" w:rsidRDefault="00EE79A4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477973" w:history="1">
        <w:r w:rsidR="0000346F" w:rsidRPr="00BA2B52">
          <w:rPr>
            <w:rStyle w:val="Hyperlink"/>
            <w:highlight w:val="green"/>
          </w:rPr>
          <w:t>Blood loss (ml), Blood loss assessment – indicator and Main reason for excessive blood loss valid combinations</w:t>
        </w:r>
        <w:r w:rsidR="0000346F">
          <w:rPr>
            <w:webHidden/>
          </w:rPr>
          <w:tab/>
        </w:r>
        <w:r w:rsidR="0000346F">
          <w:rPr>
            <w:webHidden/>
          </w:rPr>
          <w:fldChar w:fldCharType="begin"/>
        </w:r>
        <w:r w:rsidR="0000346F">
          <w:rPr>
            <w:webHidden/>
          </w:rPr>
          <w:instrText xml:space="preserve"> PAGEREF _Toc29477973 \h </w:instrText>
        </w:r>
        <w:r w:rsidR="0000346F">
          <w:rPr>
            <w:webHidden/>
          </w:rPr>
        </w:r>
        <w:r w:rsidR="0000346F">
          <w:rPr>
            <w:webHidden/>
          </w:rPr>
          <w:fldChar w:fldCharType="separate"/>
        </w:r>
        <w:r>
          <w:rPr>
            <w:webHidden/>
          </w:rPr>
          <w:t>5</w:t>
        </w:r>
        <w:r w:rsidR="0000346F">
          <w:rPr>
            <w:webHidden/>
          </w:rPr>
          <w:fldChar w:fldCharType="end"/>
        </w:r>
      </w:hyperlink>
    </w:p>
    <w:p w14:paraId="634A1132" w14:textId="659B3026" w:rsidR="00AC0C3B" w:rsidRPr="003072C6" w:rsidRDefault="00E15DA9" w:rsidP="001B4706">
      <w:pPr>
        <w:pStyle w:val="TOC2"/>
        <w:sectPr w:rsidR="00AC0C3B" w:rsidRPr="003072C6" w:rsidSect="00C51B1C">
          <w:pgSz w:w="11906" w:h="16838"/>
          <w:pgMar w:top="1701" w:right="1304" w:bottom="1134" w:left="1304" w:header="454" w:footer="567" w:gutter="0"/>
          <w:cols w:space="720"/>
          <w:docGrid w:linePitch="360"/>
        </w:sectPr>
      </w:pPr>
      <w:r w:rsidRPr="003072C6">
        <w:rPr>
          <w:noProof w:val="0"/>
        </w:rPr>
        <w:fldChar w:fldCharType="end"/>
      </w:r>
      <w:r w:rsidR="003E2E12" w:rsidRPr="003072C6">
        <w:br w:type="page"/>
      </w:r>
    </w:p>
    <w:p w14:paraId="2B82A41A" w14:textId="74BF221A" w:rsidR="00715E78" w:rsidRDefault="00D257E1" w:rsidP="00DE4B1A">
      <w:pPr>
        <w:pStyle w:val="Heading1"/>
        <w:spacing w:after="240"/>
      </w:pPr>
      <w:bookmarkStart w:id="1" w:name="_Toc29477969"/>
      <w:r>
        <w:lastRenderedPageBreak/>
        <w:t>Introduction</w:t>
      </w:r>
      <w:bookmarkEnd w:id="1"/>
    </w:p>
    <w:p w14:paraId="23DFDFE2" w14:textId="133CE721" w:rsidR="002F6C58" w:rsidRDefault="002F6C58" w:rsidP="00715E78">
      <w:pPr>
        <w:pStyle w:val="DHHSbody"/>
      </w:pPr>
      <w:r>
        <w:t>T</w:t>
      </w:r>
      <w:r w:rsidR="002765C9">
        <w:t>he Specification for revisions to the Victorian Perinatal Data Collection (VPDC) for 1 January 20</w:t>
      </w:r>
      <w:r w:rsidR="004116B6">
        <w:t>2</w:t>
      </w:r>
      <w:r w:rsidR="002765C9">
        <w:t>0</w:t>
      </w:r>
      <w:r>
        <w:t xml:space="preserve"> was released in July 2019, and an Addenda/Errata document</w:t>
      </w:r>
      <w:r w:rsidR="007C2987">
        <w:t>,</w:t>
      </w:r>
      <w:r>
        <w:t xml:space="preserve"> with some changes and clarifications to that Specification</w:t>
      </w:r>
      <w:r w:rsidR="007C2987">
        <w:t>,</w:t>
      </w:r>
      <w:r>
        <w:t xml:space="preserve"> was released in October 2019.</w:t>
      </w:r>
    </w:p>
    <w:p w14:paraId="7646062A" w14:textId="0AFC8C28" w:rsidR="002F6C58" w:rsidRDefault="002F6C58" w:rsidP="00715E78">
      <w:pPr>
        <w:pStyle w:val="DHHSbody"/>
      </w:pPr>
      <w:r>
        <w:t>Final testing has revealed error</w:t>
      </w:r>
      <w:r w:rsidR="007C2987">
        <w:t>s</w:t>
      </w:r>
      <w:r>
        <w:t xml:space="preserve"> in </w:t>
      </w:r>
      <w:r w:rsidR="007C2987">
        <w:t>two</w:t>
      </w:r>
      <w:r>
        <w:t xml:space="preserve"> business rules included in the initial Specification. These have been </w:t>
      </w:r>
      <w:r w:rsidR="007C2987">
        <w:t>deleted</w:t>
      </w:r>
      <w:r>
        <w:t xml:space="preserve"> and a </w:t>
      </w:r>
      <w:r w:rsidR="007C2987">
        <w:t xml:space="preserve">new </w:t>
      </w:r>
      <w:r>
        <w:t xml:space="preserve">combined </w:t>
      </w:r>
      <w:r w:rsidR="007C2987">
        <w:t>business rule</w:t>
      </w:r>
      <w:r>
        <w:t xml:space="preserve"> </w:t>
      </w:r>
      <w:r w:rsidR="007C2987">
        <w:t xml:space="preserve">to replace them </w:t>
      </w:r>
      <w:r>
        <w:t>is included in this Errata publication.</w:t>
      </w:r>
    </w:p>
    <w:p w14:paraId="75D5F8B0" w14:textId="3E401C07" w:rsidR="002765C9" w:rsidRDefault="002765C9" w:rsidP="00715E78">
      <w:pPr>
        <w:pStyle w:val="DHHSbody"/>
      </w:pPr>
      <w:r>
        <w:t xml:space="preserve">The table of contents in this </w:t>
      </w:r>
      <w:r w:rsidR="002F6C58">
        <w:t xml:space="preserve">Errata </w:t>
      </w:r>
      <w:r>
        <w:t xml:space="preserve">document identifies the </w:t>
      </w:r>
      <w:r w:rsidR="00D257E1">
        <w:t>business rules to which these changes relate.</w:t>
      </w:r>
    </w:p>
    <w:p w14:paraId="218B33DF" w14:textId="11D724E8" w:rsidR="0095710D" w:rsidRDefault="0095710D" w:rsidP="0095710D">
      <w:pPr>
        <w:pStyle w:val="DHHSbody"/>
      </w:pPr>
      <w:r>
        <w:t>These Errata should be used with the Specifications</w:t>
      </w:r>
      <w:r w:rsidR="002F6C58">
        <w:t xml:space="preserve"> and Addenda/Errata </w:t>
      </w:r>
      <w:r>
        <w:t>document</w:t>
      </w:r>
      <w:r w:rsidR="002F6C58">
        <w:t>s</w:t>
      </w:r>
      <w:r>
        <w:t xml:space="preserve">. Only changes </w:t>
      </w:r>
      <w:r w:rsidR="007C2987">
        <w:t xml:space="preserve">made </w:t>
      </w:r>
      <w:r>
        <w:t xml:space="preserve">to the Specifications </w:t>
      </w:r>
      <w:r w:rsidR="007C2987">
        <w:t xml:space="preserve">document </w:t>
      </w:r>
      <w:r>
        <w:t>are included here.</w:t>
      </w:r>
    </w:p>
    <w:p w14:paraId="2992E207" w14:textId="31AE2BF4" w:rsidR="00D257E1" w:rsidRDefault="00D257E1" w:rsidP="00D257E1">
      <w:pPr>
        <w:pStyle w:val="Heading1"/>
        <w:spacing w:after="240"/>
      </w:pPr>
      <w:bookmarkStart w:id="2" w:name="_Toc29477970"/>
      <w:r w:rsidRPr="007C2987">
        <w:t>Test submissions in 2020 format</w:t>
      </w:r>
      <w:bookmarkEnd w:id="2"/>
    </w:p>
    <w:p w14:paraId="0459053C" w14:textId="7BDD97E7" w:rsidR="00D70E95" w:rsidRDefault="00246152" w:rsidP="0071553E">
      <w:pPr>
        <w:pStyle w:val="DHHSbody"/>
      </w:pPr>
      <w:r>
        <w:t xml:space="preserve">It is recommended that test </w:t>
      </w:r>
      <w:r w:rsidR="00105CC5">
        <w:t xml:space="preserve">files </w:t>
      </w:r>
      <w:r>
        <w:t xml:space="preserve">be submitted </w:t>
      </w:r>
      <w:r w:rsidR="00105CC5">
        <w:t xml:space="preserve">prior to </w:t>
      </w:r>
      <w:r w:rsidR="007C2987">
        <w:t xml:space="preserve">reporting data to the ‘live’ VPDC environment for births on and from </w:t>
      </w:r>
      <w:r w:rsidR="00D257E1">
        <w:t>1</w:t>
      </w:r>
      <w:r w:rsidR="00490B73">
        <w:t> </w:t>
      </w:r>
      <w:r w:rsidR="00D257E1">
        <w:t>January 2020</w:t>
      </w:r>
      <w:r w:rsidR="00105CC5">
        <w:t xml:space="preserve">. </w:t>
      </w:r>
      <w:r w:rsidR="00380345" w:rsidRPr="00C9327A">
        <w:t xml:space="preserve">Test submissions </w:t>
      </w:r>
      <w:r w:rsidR="007C2987">
        <w:t xml:space="preserve">are still being </w:t>
      </w:r>
      <w:r w:rsidR="00380345" w:rsidRPr="00C9327A">
        <w:t xml:space="preserve">accepted. </w:t>
      </w:r>
    </w:p>
    <w:p w14:paraId="04F1CA58" w14:textId="534A2662" w:rsidR="00D70E95" w:rsidRDefault="00246152" w:rsidP="0071553E">
      <w:pPr>
        <w:pStyle w:val="DHHSbody"/>
      </w:pPr>
      <w:r w:rsidRPr="00C9327A">
        <w:t>It is</w:t>
      </w:r>
      <w:r>
        <w:t xml:space="preserve"> essential to use the correct filename convention for all test files: </w:t>
      </w:r>
      <w:r w:rsidR="007C2987">
        <w:t>test filenames must end with _TEST. See also</w:t>
      </w:r>
      <w:r>
        <w:t xml:space="preserve"> Section 5 of the VPDC manual.</w:t>
      </w:r>
    </w:p>
    <w:p w14:paraId="380CF1C2" w14:textId="4AEC35EF" w:rsidR="00105CC5" w:rsidRDefault="00246152" w:rsidP="0071553E">
      <w:pPr>
        <w:pStyle w:val="DHHSbody"/>
      </w:pPr>
      <w:r>
        <w:t xml:space="preserve">Please contact the </w:t>
      </w:r>
      <w:r w:rsidR="00105CC5">
        <w:t xml:space="preserve">HDSS </w:t>
      </w:r>
      <w:proofErr w:type="spellStart"/>
      <w:r w:rsidR="00105CC5">
        <w:t>HelpDesk</w:t>
      </w:r>
      <w:proofErr w:type="spellEnd"/>
      <w:r w:rsidR="00105CC5">
        <w:t xml:space="preserve"> (</w:t>
      </w:r>
      <w:hyperlink r:id="rId9" w:history="1">
        <w:r w:rsidR="00105CC5" w:rsidRPr="00BD1FE9">
          <w:rPr>
            <w:rStyle w:val="Hyperlink"/>
          </w:rPr>
          <w:t>hdss.helpdesk@dhhs.vic.gov.au</w:t>
        </w:r>
      </w:hyperlink>
      <w:r w:rsidR="00105CC5">
        <w:t>)</w:t>
      </w:r>
      <w:r>
        <w:t xml:space="preserve"> before submitting any test file.</w:t>
      </w:r>
    </w:p>
    <w:p w14:paraId="418543CA" w14:textId="77777777" w:rsidR="00C8082B" w:rsidRPr="007C2987" w:rsidRDefault="00C8082B" w:rsidP="004741C4">
      <w:pPr>
        <w:pStyle w:val="Heading1"/>
      </w:pPr>
      <w:bookmarkStart w:id="3" w:name="_Toc29477971"/>
      <w:r w:rsidRPr="007C2987">
        <w:t>Orientation to symbols and highlighting in this document</w:t>
      </w:r>
      <w:bookmarkEnd w:id="3"/>
    </w:p>
    <w:p w14:paraId="339181F0" w14:textId="0E812024" w:rsidR="00C8082B" w:rsidRPr="007C2987" w:rsidRDefault="00C8082B" w:rsidP="00C8082B">
      <w:pPr>
        <w:pStyle w:val="DHHSbody"/>
      </w:pPr>
      <w:r w:rsidRPr="007C2987">
        <w:t>Changes</w:t>
      </w:r>
      <w:r w:rsidR="007C2987" w:rsidRPr="007C2987">
        <w:t>, including additions,</w:t>
      </w:r>
      <w:r w:rsidRPr="007C2987">
        <w:t xml:space="preserve"> to </w:t>
      </w:r>
      <w:r w:rsidR="004741C4" w:rsidRPr="007C2987">
        <w:t>entries in the Specifications to revisions to the Victorian Perinatal Data Collection (VPDC) for 1</w:t>
      </w:r>
      <w:r w:rsidR="00C24075" w:rsidRPr="007C2987">
        <w:t> </w:t>
      </w:r>
      <w:r w:rsidR="004741C4" w:rsidRPr="007C2987">
        <w:t xml:space="preserve">January 2020 </w:t>
      </w:r>
      <w:r w:rsidRPr="007C2987">
        <w:t xml:space="preserve">are highlighted in </w:t>
      </w:r>
      <w:r w:rsidR="004741C4" w:rsidRPr="007C2987">
        <w:rPr>
          <w:highlight w:val="green"/>
        </w:rPr>
        <w:t>green</w:t>
      </w:r>
      <w:r w:rsidRPr="007C2987">
        <w:t>.</w:t>
      </w:r>
    </w:p>
    <w:p w14:paraId="7032A1F6" w14:textId="181D83D8" w:rsidR="00C8082B" w:rsidRPr="007C2987" w:rsidRDefault="004741C4" w:rsidP="00C8082B">
      <w:pPr>
        <w:pStyle w:val="DHHSbody"/>
      </w:pPr>
      <w:r w:rsidRPr="007C2987">
        <w:t>Wording contained in the Specifications to revisions to the Victorian Perinatal Data Collection (VPDC) for 1</w:t>
      </w:r>
      <w:r w:rsidR="00C24075" w:rsidRPr="007C2987">
        <w:t> </w:t>
      </w:r>
      <w:r w:rsidRPr="007C2987">
        <w:t xml:space="preserve">January 2020 which should be ignored (removed) is </w:t>
      </w:r>
      <w:r w:rsidR="00C8082B" w:rsidRPr="007C2987">
        <w:rPr>
          <w:strike/>
        </w:rPr>
        <w:t>struck through</w:t>
      </w:r>
      <w:r w:rsidR="00C8082B" w:rsidRPr="007C2987">
        <w:t>.</w:t>
      </w:r>
    </w:p>
    <w:p w14:paraId="617C4909" w14:textId="631520B0" w:rsidR="00C8082B" w:rsidRPr="007C2987" w:rsidRDefault="00C8082B" w:rsidP="00C8082B">
      <w:pPr>
        <w:pStyle w:val="DHHSbody"/>
      </w:pPr>
      <w:r w:rsidRPr="007C2987">
        <w:t>Comments relating only to th</w:t>
      </w:r>
      <w:r w:rsidR="0095710D" w:rsidRPr="007C2987">
        <w:t xml:space="preserve">is Errata </w:t>
      </w:r>
      <w:r w:rsidRPr="007C2987">
        <w:t xml:space="preserve">document appear in </w:t>
      </w:r>
      <w:r w:rsidRPr="007C2987">
        <w:rPr>
          <w:i/>
        </w:rPr>
        <w:t>[square brackets and italics].</w:t>
      </w:r>
    </w:p>
    <w:p w14:paraId="4D382AE5" w14:textId="03EE2E89" w:rsidR="00C8082B" w:rsidRDefault="0095710D" w:rsidP="00C8082B">
      <w:pPr>
        <w:pStyle w:val="DHHSbody"/>
      </w:pPr>
      <w:r w:rsidRPr="007C2987">
        <w:t xml:space="preserve">Errata </w:t>
      </w:r>
      <w:r w:rsidR="004741C4" w:rsidRPr="007C2987">
        <w:t xml:space="preserve">are </w:t>
      </w:r>
      <w:r w:rsidR="00191F9A" w:rsidRPr="007C2987">
        <w:t xml:space="preserve">sequenced </w:t>
      </w:r>
      <w:r w:rsidR="0004714C" w:rsidRPr="007C2987">
        <w:t xml:space="preserve">by the Section of the VPDC manual to which they relate, not </w:t>
      </w:r>
      <w:r w:rsidR="00191F9A" w:rsidRPr="007C2987">
        <w:t xml:space="preserve">in the order </w:t>
      </w:r>
      <w:r w:rsidR="0004714C" w:rsidRPr="007C2987">
        <w:t xml:space="preserve">of </w:t>
      </w:r>
      <w:r w:rsidR="00191F9A" w:rsidRPr="007C2987">
        <w:t xml:space="preserve">the Specifications </w:t>
      </w:r>
      <w:r w:rsidR="00C8082B" w:rsidRPr="007C2987">
        <w:t>document</w:t>
      </w:r>
      <w:r w:rsidR="00191F9A" w:rsidRPr="007C2987">
        <w:t xml:space="preserve">, </w:t>
      </w:r>
      <w:r w:rsidR="007C2987">
        <w:t>and</w:t>
      </w:r>
      <w:r w:rsidR="00191F9A" w:rsidRPr="007C2987">
        <w:t xml:space="preserve"> are limited to </w:t>
      </w:r>
      <w:r w:rsidR="004741C4" w:rsidRPr="007C2987">
        <w:t>the VPDC business rule</w:t>
      </w:r>
      <w:r w:rsidR="007C2987">
        <w:t>s</w:t>
      </w:r>
      <w:r w:rsidR="004741C4" w:rsidRPr="007C2987">
        <w:t xml:space="preserve"> affected. The</w:t>
      </w:r>
      <w:r w:rsidR="00C8082B" w:rsidRPr="007C2987">
        <w:t xml:space="preserve"> total impact of all changes </w:t>
      </w:r>
      <w:r w:rsidR="004741C4" w:rsidRPr="007C2987">
        <w:t xml:space="preserve">and addenda </w:t>
      </w:r>
      <w:r w:rsidRPr="007C2987">
        <w:t xml:space="preserve">or errata </w:t>
      </w:r>
      <w:r w:rsidR="00C8082B" w:rsidRPr="007C2987">
        <w:t xml:space="preserve">will be reflected in the VPDC Manual for 1.1.2020, to be released </w:t>
      </w:r>
      <w:r w:rsidR="00736904" w:rsidRPr="007C2987">
        <w:t>shortly</w:t>
      </w:r>
      <w:r w:rsidR="00C8082B" w:rsidRPr="007C2987">
        <w:t>.</w:t>
      </w:r>
    </w:p>
    <w:p w14:paraId="57FF2AAF" w14:textId="540219CC" w:rsidR="0004714C" w:rsidRDefault="0004714C">
      <w:pPr>
        <w:rPr>
          <w:rFonts w:ascii="Arial" w:hAnsi="Arial"/>
          <w:bCs/>
          <w:color w:val="D50032"/>
          <w:sz w:val="44"/>
          <w:szCs w:val="44"/>
        </w:rPr>
      </w:pPr>
    </w:p>
    <w:p w14:paraId="36CEA583" w14:textId="77777777" w:rsidR="005D6F1E" w:rsidRDefault="0004714C">
      <w:pPr>
        <w:sectPr w:rsidR="005D6F1E" w:rsidSect="003403F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18" w:right="1133" w:bottom="851" w:left="1276" w:header="454" w:footer="510" w:gutter="0"/>
          <w:cols w:space="720"/>
          <w:docGrid w:linePitch="360"/>
        </w:sectPr>
      </w:pPr>
      <w:r>
        <w:br w:type="page"/>
      </w:r>
    </w:p>
    <w:p w14:paraId="734051BE" w14:textId="79CD39D7" w:rsidR="00132C60" w:rsidRPr="0083718E" w:rsidRDefault="00132C60" w:rsidP="00736904">
      <w:pPr>
        <w:pStyle w:val="Heading1"/>
        <w:spacing w:before="360" w:after="240"/>
      </w:pPr>
      <w:bookmarkStart w:id="4" w:name="_Toc29477972"/>
      <w:bookmarkStart w:id="5" w:name="_Toc533164504"/>
      <w:r w:rsidRPr="0083718E">
        <w:lastRenderedPageBreak/>
        <w:t>Section 4</w:t>
      </w:r>
      <w:r w:rsidRPr="0083718E">
        <w:tab/>
        <w:t>Business rules</w:t>
      </w:r>
      <w:bookmarkEnd w:id="4"/>
    </w:p>
    <w:p w14:paraId="523EBFD1" w14:textId="77777777" w:rsidR="00736904" w:rsidRPr="001D7A83" w:rsidRDefault="00736904" w:rsidP="007C2987">
      <w:pPr>
        <w:pStyle w:val="Heading2"/>
      </w:pPr>
      <w:bookmarkStart w:id="6" w:name="_Toc29477973"/>
      <w:bookmarkEnd w:id="5"/>
      <w:r w:rsidRPr="00736904">
        <w:rPr>
          <w:highlight w:val="green"/>
        </w:rPr>
        <w:t>Blood loss (ml), Blood loss assessment – indicator and Main reason for excessive blood loss valid combinations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82"/>
        <w:gridCol w:w="3605"/>
      </w:tblGrid>
      <w:tr w:rsidR="00736904" w14:paraId="0B9696FB" w14:textId="77777777" w:rsidTr="00736904">
        <w:tc>
          <w:tcPr>
            <w:tcW w:w="2155" w:type="dxa"/>
          </w:tcPr>
          <w:p w14:paraId="4C51A10C" w14:textId="77777777" w:rsidR="00736904" w:rsidRPr="00736904" w:rsidRDefault="00736904" w:rsidP="00736904">
            <w:pPr>
              <w:pStyle w:val="DHHSbody"/>
              <w:rPr>
                <w:b/>
              </w:rPr>
            </w:pPr>
            <w:r w:rsidRPr="00736904">
              <w:rPr>
                <w:b/>
              </w:rPr>
              <w:t>Where Blood loss (ml) is reported as:</w:t>
            </w:r>
          </w:p>
        </w:tc>
        <w:tc>
          <w:tcPr>
            <w:tcW w:w="3482" w:type="dxa"/>
          </w:tcPr>
          <w:p w14:paraId="729C2751" w14:textId="77777777" w:rsidR="00736904" w:rsidRPr="00736904" w:rsidRDefault="00736904" w:rsidP="00736904">
            <w:pPr>
              <w:pStyle w:val="DHHSbody"/>
              <w:rPr>
                <w:b/>
              </w:rPr>
            </w:pPr>
            <w:r w:rsidRPr="00736904">
              <w:rPr>
                <w:b/>
              </w:rPr>
              <w:t>Blood loss assessment – indicator must be:</w:t>
            </w:r>
          </w:p>
        </w:tc>
        <w:tc>
          <w:tcPr>
            <w:tcW w:w="3605" w:type="dxa"/>
          </w:tcPr>
          <w:p w14:paraId="6B9D4615" w14:textId="77777777" w:rsidR="00736904" w:rsidRPr="00736904" w:rsidRDefault="00736904" w:rsidP="00736904">
            <w:pPr>
              <w:pStyle w:val="DHHSbody"/>
              <w:rPr>
                <w:b/>
              </w:rPr>
            </w:pPr>
            <w:r w:rsidRPr="00736904">
              <w:rPr>
                <w:b/>
              </w:rPr>
              <w:t>And Main reason for excessive blood loss must be:</w:t>
            </w:r>
          </w:p>
        </w:tc>
      </w:tr>
      <w:tr w:rsidR="00736904" w14:paraId="228D584C" w14:textId="77777777" w:rsidTr="00736904">
        <w:tc>
          <w:tcPr>
            <w:tcW w:w="2155" w:type="dxa"/>
          </w:tcPr>
          <w:p w14:paraId="2B2ADEB2" w14:textId="77777777" w:rsidR="00736904" w:rsidRDefault="00736904" w:rsidP="00736904">
            <w:pPr>
              <w:pStyle w:val="DHHSbody"/>
            </w:pPr>
            <w:r>
              <w:t>0 (zero)</w:t>
            </w:r>
          </w:p>
        </w:tc>
        <w:tc>
          <w:tcPr>
            <w:tcW w:w="3482" w:type="dxa"/>
          </w:tcPr>
          <w:p w14:paraId="26AE1F64" w14:textId="77777777" w:rsidR="00736904" w:rsidRDefault="00736904" w:rsidP="00736904">
            <w:pPr>
              <w:pStyle w:val="DHHSbody"/>
            </w:pPr>
            <w:r>
              <w:t>Blank</w:t>
            </w:r>
          </w:p>
        </w:tc>
        <w:tc>
          <w:tcPr>
            <w:tcW w:w="3605" w:type="dxa"/>
          </w:tcPr>
          <w:p w14:paraId="00F7192C" w14:textId="77777777" w:rsidR="00736904" w:rsidRDefault="00736904" w:rsidP="00736904">
            <w:pPr>
              <w:pStyle w:val="DHHSbody"/>
            </w:pPr>
            <w:r>
              <w:t>Blank</w:t>
            </w:r>
          </w:p>
        </w:tc>
      </w:tr>
      <w:tr w:rsidR="00736904" w14:paraId="20EAA61D" w14:textId="77777777" w:rsidTr="00736904">
        <w:tc>
          <w:tcPr>
            <w:tcW w:w="2155" w:type="dxa"/>
          </w:tcPr>
          <w:p w14:paraId="23810EA4" w14:textId="77777777" w:rsidR="00736904" w:rsidRDefault="00736904" w:rsidP="00736904">
            <w:pPr>
              <w:pStyle w:val="DHHSbody"/>
            </w:pPr>
            <w:r>
              <w:t xml:space="preserve">Between 1 and 499 </w:t>
            </w:r>
          </w:p>
        </w:tc>
        <w:tc>
          <w:tcPr>
            <w:tcW w:w="3482" w:type="dxa"/>
          </w:tcPr>
          <w:p w14:paraId="291B5CF1" w14:textId="77777777" w:rsidR="00736904" w:rsidRPr="001D7A83" w:rsidRDefault="00736904" w:rsidP="007C2987">
            <w:pPr>
              <w:pStyle w:val="DHHSbody"/>
              <w:spacing w:line="240" w:lineRule="auto"/>
            </w:pPr>
            <w:r>
              <w:t>Code 1</w:t>
            </w:r>
            <w:r>
              <w:tab/>
              <w:t xml:space="preserve">Measured </w:t>
            </w:r>
            <w:r w:rsidRPr="00592099">
              <w:rPr>
                <w:b/>
              </w:rPr>
              <w:t>or</w:t>
            </w:r>
          </w:p>
          <w:p w14:paraId="19C963F4" w14:textId="77777777" w:rsidR="00736904" w:rsidRDefault="00736904" w:rsidP="007C2987">
            <w:pPr>
              <w:pStyle w:val="DHHSbody"/>
              <w:spacing w:line="240" w:lineRule="auto"/>
            </w:pPr>
            <w:r>
              <w:t>Code 2</w:t>
            </w:r>
            <w:r>
              <w:tab/>
              <w:t xml:space="preserve">Estimated </w:t>
            </w:r>
            <w:r w:rsidRPr="00592099">
              <w:rPr>
                <w:b/>
              </w:rPr>
              <w:t>or</w:t>
            </w:r>
          </w:p>
          <w:p w14:paraId="5E0C5407" w14:textId="245A04FD" w:rsidR="00736904" w:rsidRPr="001D7A83" w:rsidRDefault="00736904" w:rsidP="007C2987">
            <w:pPr>
              <w:pStyle w:val="DHHSbody"/>
              <w:spacing w:line="240" w:lineRule="auto"/>
            </w:pPr>
            <w:r>
              <w:t>Code 3</w:t>
            </w:r>
            <w:r>
              <w:tab/>
              <w:t xml:space="preserve">Combination of measured </w:t>
            </w:r>
            <w:r>
              <w:br/>
            </w:r>
            <w:r>
              <w:tab/>
              <w:t>and estimated</w:t>
            </w:r>
          </w:p>
        </w:tc>
        <w:tc>
          <w:tcPr>
            <w:tcW w:w="3605" w:type="dxa"/>
          </w:tcPr>
          <w:p w14:paraId="1A008492" w14:textId="77777777" w:rsidR="00736904" w:rsidRDefault="00736904" w:rsidP="00736904">
            <w:pPr>
              <w:pStyle w:val="DHHSbody"/>
            </w:pPr>
            <w:r>
              <w:t>Blank</w:t>
            </w:r>
          </w:p>
        </w:tc>
      </w:tr>
      <w:tr w:rsidR="00736904" w14:paraId="5925A202" w14:textId="77777777" w:rsidTr="00736904">
        <w:tc>
          <w:tcPr>
            <w:tcW w:w="2155" w:type="dxa"/>
          </w:tcPr>
          <w:p w14:paraId="64F36E8A" w14:textId="77777777" w:rsidR="00736904" w:rsidRDefault="00736904" w:rsidP="00736904">
            <w:pPr>
              <w:pStyle w:val="DHHSbody"/>
            </w:pPr>
            <w:r>
              <w:t>Between 500 and 40000 (both inclusive)</w:t>
            </w:r>
          </w:p>
        </w:tc>
        <w:tc>
          <w:tcPr>
            <w:tcW w:w="3482" w:type="dxa"/>
          </w:tcPr>
          <w:p w14:paraId="69E49353" w14:textId="77777777" w:rsidR="00736904" w:rsidRPr="001D7A83" w:rsidRDefault="00736904" w:rsidP="007C2987">
            <w:pPr>
              <w:pStyle w:val="DHHSbody"/>
              <w:spacing w:line="240" w:lineRule="auto"/>
            </w:pPr>
            <w:r>
              <w:t>Code 1</w:t>
            </w:r>
            <w:r>
              <w:tab/>
              <w:t xml:space="preserve">Measured </w:t>
            </w:r>
            <w:r w:rsidRPr="00592099">
              <w:rPr>
                <w:b/>
              </w:rPr>
              <w:t>or</w:t>
            </w:r>
          </w:p>
          <w:p w14:paraId="00F4C646" w14:textId="77777777" w:rsidR="00736904" w:rsidRDefault="00736904" w:rsidP="007C2987">
            <w:pPr>
              <w:pStyle w:val="DHHSbody"/>
              <w:spacing w:line="240" w:lineRule="auto"/>
            </w:pPr>
            <w:r>
              <w:t>Code 2</w:t>
            </w:r>
            <w:r>
              <w:tab/>
              <w:t xml:space="preserve">Estimated </w:t>
            </w:r>
            <w:r w:rsidRPr="00592099">
              <w:rPr>
                <w:b/>
              </w:rPr>
              <w:t>or</w:t>
            </w:r>
          </w:p>
          <w:p w14:paraId="49672D37" w14:textId="2C7E1210" w:rsidR="00736904" w:rsidRDefault="00736904" w:rsidP="007C2987">
            <w:pPr>
              <w:pStyle w:val="DHHSbody"/>
              <w:spacing w:line="240" w:lineRule="auto"/>
            </w:pPr>
            <w:r>
              <w:t>Code 3</w:t>
            </w:r>
            <w:r>
              <w:tab/>
              <w:t xml:space="preserve">Combination of measured </w:t>
            </w:r>
            <w:r>
              <w:br/>
            </w:r>
            <w:r>
              <w:tab/>
              <w:t>and estimated</w:t>
            </w:r>
          </w:p>
        </w:tc>
        <w:tc>
          <w:tcPr>
            <w:tcW w:w="3605" w:type="dxa"/>
          </w:tcPr>
          <w:p w14:paraId="163E8342" w14:textId="77777777" w:rsidR="00736904" w:rsidRDefault="00736904" w:rsidP="007C2987">
            <w:pPr>
              <w:pStyle w:val="DHHSbody"/>
              <w:spacing w:line="240" w:lineRule="auto"/>
            </w:pPr>
            <w:r>
              <w:t>Code 1</w:t>
            </w:r>
            <w:r>
              <w:tab/>
              <w:t xml:space="preserve">Uterine atony </w:t>
            </w:r>
            <w:r w:rsidRPr="00592099">
              <w:rPr>
                <w:b/>
              </w:rPr>
              <w:t>or</w:t>
            </w:r>
          </w:p>
          <w:p w14:paraId="773E259C" w14:textId="77777777" w:rsidR="00736904" w:rsidRDefault="00736904" w:rsidP="007C2987">
            <w:pPr>
              <w:pStyle w:val="DHHSbody"/>
              <w:spacing w:line="240" w:lineRule="auto"/>
            </w:pPr>
            <w:r>
              <w:t>Code 2</w:t>
            </w:r>
            <w:r>
              <w:tab/>
              <w:t xml:space="preserve">Trauma </w:t>
            </w:r>
            <w:r w:rsidRPr="00592099">
              <w:rPr>
                <w:b/>
              </w:rPr>
              <w:t>or</w:t>
            </w:r>
          </w:p>
          <w:p w14:paraId="2635B913" w14:textId="77777777" w:rsidR="00736904" w:rsidRDefault="00736904" w:rsidP="007C2987">
            <w:pPr>
              <w:pStyle w:val="DHHSbody"/>
              <w:spacing w:line="240" w:lineRule="auto"/>
            </w:pPr>
            <w:r>
              <w:t>Code 3</w:t>
            </w:r>
            <w:r>
              <w:tab/>
              <w:t xml:space="preserve">Placental insertion </w:t>
            </w:r>
            <w:r>
              <w:br/>
            </w:r>
            <w:r>
              <w:tab/>
              <w:t xml:space="preserve">abnormality </w:t>
            </w:r>
            <w:r w:rsidRPr="00592099">
              <w:rPr>
                <w:b/>
              </w:rPr>
              <w:t>or</w:t>
            </w:r>
          </w:p>
          <w:p w14:paraId="7609DADA" w14:textId="77777777" w:rsidR="00736904" w:rsidRDefault="00736904" w:rsidP="007C2987">
            <w:pPr>
              <w:pStyle w:val="DHHSbody"/>
              <w:spacing w:line="240" w:lineRule="auto"/>
            </w:pPr>
            <w:r>
              <w:t>Code 4</w:t>
            </w:r>
            <w:r>
              <w:tab/>
              <w:t xml:space="preserve">Coagulopathy </w:t>
            </w:r>
            <w:r w:rsidRPr="00592099">
              <w:rPr>
                <w:b/>
              </w:rPr>
              <w:t>or</w:t>
            </w:r>
            <w:r>
              <w:t xml:space="preserve"> </w:t>
            </w:r>
            <w:r>
              <w:br/>
            </w:r>
            <w:r>
              <w:tab/>
              <w:t xml:space="preserve">haematological disorder </w:t>
            </w:r>
            <w:r w:rsidRPr="00592099">
              <w:rPr>
                <w:b/>
              </w:rPr>
              <w:t>or</w:t>
            </w:r>
          </w:p>
          <w:p w14:paraId="731DCBF0" w14:textId="77777777" w:rsidR="00736904" w:rsidRPr="001D7A83" w:rsidRDefault="00736904" w:rsidP="007C2987">
            <w:pPr>
              <w:pStyle w:val="DHHSbody"/>
              <w:spacing w:line="240" w:lineRule="auto"/>
            </w:pPr>
            <w:r>
              <w:t>Code 5</w:t>
            </w:r>
            <w:r>
              <w:tab/>
              <w:t>Other</w:t>
            </w:r>
          </w:p>
        </w:tc>
      </w:tr>
      <w:tr w:rsidR="00736904" w14:paraId="6B67EE2C" w14:textId="77777777" w:rsidTr="00736904">
        <w:tc>
          <w:tcPr>
            <w:tcW w:w="2155" w:type="dxa"/>
          </w:tcPr>
          <w:p w14:paraId="13C50F41" w14:textId="77777777" w:rsidR="00736904" w:rsidRDefault="00736904" w:rsidP="00736904">
            <w:pPr>
              <w:pStyle w:val="DHHSbody"/>
            </w:pPr>
            <w:r>
              <w:t>99999</w:t>
            </w:r>
          </w:p>
        </w:tc>
        <w:tc>
          <w:tcPr>
            <w:tcW w:w="3482" w:type="dxa"/>
          </w:tcPr>
          <w:p w14:paraId="09E6F301" w14:textId="77777777" w:rsidR="00736904" w:rsidRDefault="00736904" w:rsidP="00736904">
            <w:pPr>
              <w:pStyle w:val="DHHSbody"/>
            </w:pPr>
            <w:r>
              <w:t>Code 9</w:t>
            </w:r>
            <w:r>
              <w:tab/>
              <w:t>Not stated / inadequately</w:t>
            </w:r>
            <w:r>
              <w:br/>
            </w:r>
            <w:r>
              <w:tab/>
              <w:t>described</w:t>
            </w:r>
          </w:p>
        </w:tc>
        <w:tc>
          <w:tcPr>
            <w:tcW w:w="3605" w:type="dxa"/>
          </w:tcPr>
          <w:p w14:paraId="7C051E4A" w14:textId="77777777" w:rsidR="00736904" w:rsidRDefault="00736904" w:rsidP="00736904">
            <w:pPr>
              <w:pStyle w:val="DHHSbody"/>
            </w:pPr>
            <w:r>
              <w:t>Code 9</w:t>
            </w:r>
            <w:r>
              <w:tab/>
              <w:t>Not stated / inadequately</w:t>
            </w:r>
            <w:r>
              <w:br/>
            </w:r>
            <w:r>
              <w:tab/>
              <w:t>described</w:t>
            </w:r>
          </w:p>
        </w:tc>
      </w:tr>
    </w:tbl>
    <w:p w14:paraId="77E58928" w14:textId="77777777" w:rsidR="00736904" w:rsidRDefault="00736904" w:rsidP="00736904">
      <w:pPr>
        <w:pStyle w:val="Heading2-VPDC"/>
        <w:rPr>
          <w:highlight w:val="green"/>
        </w:rPr>
      </w:pPr>
    </w:p>
    <w:p w14:paraId="27C859A4" w14:textId="77777777" w:rsidR="00736904" w:rsidRPr="00736904" w:rsidRDefault="00736904" w:rsidP="00736904">
      <w:pPr>
        <w:pStyle w:val="Heading2-VPDC"/>
        <w:rPr>
          <w:strike/>
        </w:rPr>
      </w:pPr>
      <w:r w:rsidRPr="00736904">
        <w:rPr>
          <w:strike/>
        </w:rPr>
        <w:t>### Blood loss (ml) and Blood loss assessment – indicator valid combinations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961"/>
      </w:tblGrid>
      <w:tr w:rsidR="00736904" w:rsidRPr="00736904" w14:paraId="41AD5D0B" w14:textId="77777777" w:rsidTr="004F092A">
        <w:tc>
          <w:tcPr>
            <w:tcW w:w="4140" w:type="dxa"/>
          </w:tcPr>
          <w:p w14:paraId="4C23A379" w14:textId="77777777" w:rsidR="00736904" w:rsidRPr="00736904" w:rsidRDefault="00736904" w:rsidP="004F092A">
            <w:pPr>
              <w:pStyle w:val="Arial10"/>
              <w:spacing w:line="240" w:lineRule="atLeast"/>
              <w:rPr>
                <w:b/>
                <w:strike/>
              </w:rPr>
            </w:pPr>
            <w:r w:rsidRPr="00736904">
              <w:rPr>
                <w:b/>
                <w:strike/>
              </w:rPr>
              <w:t xml:space="preserve">Where Blood loss (ml) is reported as </w:t>
            </w:r>
          </w:p>
        </w:tc>
        <w:tc>
          <w:tcPr>
            <w:tcW w:w="4961" w:type="dxa"/>
          </w:tcPr>
          <w:p w14:paraId="0E4329F5" w14:textId="77777777" w:rsidR="00736904" w:rsidRPr="00736904" w:rsidRDefault="00736904" w:rsidP="004F092A">
            <w:pPr>
              <w:pStyle w:val="Arial10"/>
              <w:spacing w:line="240" w:lineRule="atLeast"/>
              <w:rPr>
                <w:b/>
                <w:strike/>
              </w:rPr>
            </w:pPr>
            <w:r w:rsidRPr="00736904">
              <w:rPr>
                <w:b/>
                <w:strike/>
              </w:rPr>
              <w:t>Must report Blood loss assessment – indicator as</w:t>
            </w:r>
          </w:p>
        </w:tc>
      </w:tr>
      <w:tr w:rsidR="00736904" w:rsidRPr="00736904" w14:paraId="3AE69737" w14:textId="77777777" w:rsidTr="004F092A">
        <w:tc>
          <w:tcPr>
            <w:tcW w:w="4140" w:type="dxa"/>
          </w:tcPr>
          <w:p w14:paraId="32D73BF3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 xml:space="preserve">Greater than 0 and less than or equal to 40000 or </w:t>
            </w:r>
          </w:p>
          <w:p w14:paraId="0623A1A9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99999</w:t>
            </w:r>
          </w:p>
        </w:tc>
        <w:tc>
          <w:tcPr>
            <w:tcW w:w="4961" w:type="dxa"/>
          </w:tcPr>
          <w:p w14:paraId="1FFD95B5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1 All blood loss measured (ml) OR</w:t>
            </w:r>
          </w:p>
          <w:p w14:paraId="5E64F4E7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2 All blood loss estimated (ml) OR</w:t>
            </w:r>
          </w:p>
          <w:p w14:paraId="62142BF1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 xml:space="preserve">Code 3 Combination of measured and estimated </w:t>
            </w:r>
            <w:r w:rsidRPr="00736904">
              <w:rPr>
                <w:strike/>
              </w:rPr>
              <w:br/>
            </w:r>
            <w:r w:rsidRPr="00736904">
              <w:rPr>
                <w:strike/>
              </w:rPr>
              <w:tab/>
              <w:t>blood loss (ml)</w:t>
            </w:r>
          </w:p>
        </w:tc>
      </w:tr>
      <w:tr w:rsidR="00736904" w:rsidRPr="00736904" w14:paraId="6ADFBDC8" w14:textId="77777777" w:rsidTr="004F092A">
        <w:tc>
          <w:tcPr>
            <w:tcW w:w="4140" w:type="dxa"/>
          </w:tcPr>
          <w:p w14:paraId="3B43EA94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0 or 99999</w:t>
            </w:r>
          </w:p>
        </w:tc>
        <w:tc>
          <w:tcPr>
            <w:tcW w:w="4961" w:type="dxa"/>
          </w:tcPr>
          <w:p w14:paraId="378B0230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Blank</w:t>
            </w:r>
          </w:p>
        </w:tc>
      </w:tr>
    </w:tbl>
    <w:p w14:paraId="73A37FB3" w14:textId="77777777" w:rsidR="00736904" w:rsidRDefault="00736904" w:rsidP="00736904">
      <w:pPr>
        <w:pStyle w:val="Heading2-VPDC"/>
      </w:pPr>
    </w:p>
    <w:p w14:paraId="6266F973" w14:textId="77777777" w:rsidR="00736904" w:rsidRPr="00736904" w:rsidRDefault="00736904" w:rsidP="00736904">
      <w:pPr>
        <w:pStyle w:val="Heading2-VPDC"/>
        <w:rPr>
          <w:strike/>
        </w:rPr>
      </w:pPr>
      <w:r w:rsidRPr="00736904">
        <w:rPr>
          <w:strike/>
        </w:rPr>
        <w:t>### Blood loss (ml) and Main reason for excessive blood loss following childbirth valid combinations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961"/>
      </w:tblGrid>
      <w:tr w:rsidR="00736904" w:rsidRPr="00736904" w14:paraId="538D6F40" w14:textId="77777777" w:rsidTr="004F092A">
        <w:tc>
          <w:tcPr>
            <w:tcW w:w="4140" w:type="dxa"/>
          </w:tcPr>
          <w:p w14:paraId="237CA1B2" w14:textId="77777777" w:rsidR="00736904" w:rsidRPr="00736904" w:rsidRDefault="00736904" w:rsidP="004F092A">
            <w:pPr>
              <w:pStyle w:val="Arial10"/>
              <w:spacing w:line="240" w:lineRule="atLeast"/>
              <w:rPr>
                <w:b/>
                <w:strike/>
              </w:rPr>
            </w:pPr>
            <w:r w:rsidRPr="00736904">
              <w:rPr>
                <w:b/>
                <w:strike/>
              </w:rPr>
              <w:t>Where Blood loss (ml) is reported as</w:t>
            </w:r>
          </w:p>
        </w:tc>
        <w:tc>
          <w:tcPr>
            <w:tcW w:w="4961" w:type="dxa"/>
          </w:tcPr>
          <w:p w14:paraId="7F53F93C" w14:textId="77777777" w:rsidR="00736904" w:rsidRPr="00736904" w:rsidRDefault="00736904" w:rsidP="004F092A">
            <w:pPr>
              <w:pStyle w:val="Arial10"/>
              <w:spacing w:line="240" w:lineRule="atLeast"/>
              <w:rPr>
                <w:b/>
                <w:strike/>
              </w:rPr>
            </w:pPr>
            <w:r w:rsidRPr="00736904">
              <w:rPr>
                <w:b/>
                <w:strike/>
              </w:rPr>
              <w:t>Main reason for excessive blood loss following childbirth must report</w:t>
            </w:r>
          </w:p>
        </w:tc>
      </w:tr>
      <w:tr w:rsidR="00736904" w:rsidRPr="00736904" w14:paraId="56F2E274" w14:textId="77777777" w:rsidTr="004F092A">
        <w:tc>
          <w:tcPr>
            <w:tcW w:w="4140" w:type="dxa"/>
          </w:tcPr>
          <w:p w14:paraId="73F1DF36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 xml:space="preserve">Greater than 499 and less than or equal to 40000 or </w:t>
            </w:r>
          </w:p>
          <w:p w14:paraId="210D0937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99999</w:t>
            </w:r>
          </w:p>
        </w:tc>
        <w:tc>
          <w:tcPr>
            <w:tcW w:w="4961" w:type="dxa"/>
          </w:tcPr>
          <w:p w14:paraId="0C273A5B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1 Uterine atony OR</w:t>
            </w:r>
          </w:p>
          <w:p w14:paraId="57F67173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2 Trauma OR</w:t>
            </w:r>
          </w:p>
          <w:p w14:paraId="246B320E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3 Placental insertion abnormality OR</w:t>
            </w:r>
          </w:p>
          <w:p w14:paraId="3F6BFE6E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4 Coagulopathy or haematological disorders OR</w:t>
            </w:r>
          </w:p>
          <w:p w14:paraId="2D0C9668" w14:textId="77777777" w:rsidR="00736904" w:rsidRPr="00736904" w:rsidRDefault="00736904" w:rsidP="004F092A">
            <w:pPr>
              <w:pStyle w:val="Arial10"/>
              <w:spacing w:line="240" w:lineRule="atLeast"/>
              <w:rPr>
                <w:strike/>
              </w:rPr>
            </w:pPr>
            <w:r w:rsidRPr="00736904">
              <w:rPr>
                <w:strike/>
              </w:rPr>
              <w:t>Code 5 Other</w:t>
            </w:r>
          </w:p>
        </w:tc>
      </w:tr>
    </w:tbl>
    <w:p w14:paraId="33DC4A51" w14:textId="49FD1268" w:rsidR="000E656D" w:rsidRDefault="000E656D" w:rsidP="00736904">
      <w:pPr>
        <w:rPr>
          <w:rFonts w:ascii="Arial" w:hAnsi="Arial"/>
          <w:b/>
          <w:color w:val="D50032"/>
          <w:sz w:val="28"/>
          <w:szCs w:val="28"/>
        </w:rPr>
      </w:pPr>
    </w:p>
    <w:sectPr w:rsidR="000E656D" w:rsidSect="003403F5">
      <w:pgSz w:w="11906" w:h="16838" w:code="9"/>
      <w:pgMar w:top="1418" w:right="1133" w:bottom="851" w:left="1276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FCF0" w14:textId="77777777" w:rsidR="002F6C58" w:rsidRDefault="002F6C58">
      <w:r>
        <w:separator/>
      </w:r>
    </w:p>
  </w:endnote>
  <w:endnote w:type="continuationSeparator" w:id="0">
    <w:p w14:paraId="1539F3F3" w14:textId="77777777" w:rsidR="002F6C58" w:rsidRDefault="002F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04BB" w14:textId="1B15A4DD" w:rsidR="002F6C58" w:rsidRPr="008114D1" w:rsidRDefault="002F6C58" w:rsidP="00E969B1">
    <w:pPr>
      <w:pStyle w:val="DHHSfooter"/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>
      <w:rPr>
        <w:noProof/>
      </w:rPr>
      <w:t>18</w:t>
    </w:r>
    <w:r w:rsidRPr="005A39EC">
      <w:fldChar w:fldCharType="end"/>
    </w:r>
    <w:r>
      <w:tab/>
      <w:t>Addenda and Errata to Specifications for revisions to the VPDC for 1 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2B46" w14:textId="6C382D62" w:rsidR="002F6C58" w:rsidRPr="0031753A" w:rsidRDefault="002F6C58" w:rsidP="00E969B1">
    <w:pPr>
      <w:pStyle w:val="DHHSfooter"/>
    </w:pPr>
    <w:r>
      <w:t>Addenda and Errata to Specifications for revisions to the VPDC for 1 January 2020</w:t>
    </w:r>
    <w:r w:rsidRPr="0031753A">
      <w:tab/>
      <w:t xml:space="preserve">Page </w:t>
    </w:r>
    <w:r w:rsidRPr="0031753A">
      <w:fldChar w:fldCharType="begin"/>
    </w:r>
    <w:r w:rsidRPr="0031753A">
      <w:instrText xml:space="preserve"> PAGE </w:instrText>
    </w:r>
    <w:r w:rsidRPr="0031753A">
      <w:fldChar w:fldCharType="separate"/>
    </w:r>
    <w:r>
      <w:rPr>
        <w:noProof/>
      </w:rPr>
      <w:t>17</w:t>
    </w:r>
    <w:r w:rsidRPr="003175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1D8" w14:textId="77777777" w:rsidR="002F6C58" w:rsidRPr="001A7E04" w:rsidRDefault="002F6C58" w:rsidP="00AC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2955" w14:textId="77777777" w:rsidR="002F6C58" w:rsidRDefault="002F6C58">
      <w:r>
        <w:separator/>
      </w:r>
    </w:p>
  </w:footnote>
  <w:footnote w:type="continuationSeparator" w:id="0">
    <w:p w14:paraId="4C42B524" w14:textId="77777777" w:rsidR="002F6C58" w:rsidRDefault="002F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32F4" w14:textId="77777777" w:rsidR="002F6C58" w:rsidRPr="0069374A" w:rsidRDefault="002F6C58" w:rsidP="00E969B1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096B" w14:textId="77777777" w:rsidR="002F6C58" w:rsidRDefault="002F6C58" w:rsidP="00E969B1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C75"/>
    <w:multiLevelType w:val="hybridMultilevel"/>
    <w:tmpl w:val="2778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510"/>
    <w:multiLevelType w:val="hybridMultilevel"/>
    <w:tmpl w:val="E61426A6"/>
    <w:lvl w:ilvl="0" w:tplc="1E667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5E7"/>
    <w:multiLevelType w:val="hybridMultilevel"/>
    <w:tmpl w:val="692C14D4"/>
    <w:lvl w:ilvl="0" w:tplc="8F309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1D1"/>
    <w:multiLevelType w:val="hybridMultilevel"/>
    <w:tmpl w:val="2E0A83DC"/>
    <w:lvl w:ilvl="0" w:tplc="16DEBD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ED2"/>
    <w:multiLevelType w:val="hybridMultilevel"/>
    <w:tmpl w:val="4EE2A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75F"/>
    <w:multiLevelType w:val="hybridMultilevel"/>
    <w:tmpl w:val="30F2FC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51533"/>
    <w:multiLevelType w:val="hybridMultilevel"/>
    <w:tmpl w:val="A7D66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2F8"/>
    <w:multiLevelType w:val="hybridMultilevel"/>
    <w:tmpl w:val="EC24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B03"/>
    <w:multiLevelType w:val="hybridMultilevel"/>
    <w:tmpl w:val="EC24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D188E"/>
    <w:multiLevelType w:val="hybridMultilevel"/>
    <w:tmpl w:val="6F8EF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15EF"/>
    <w:multiLevelType w:val="hybridMultilevel"/>
    <w:tmpl w:val="2F72AA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B72"/>
    <w:multiLevelType w:val="hybridMultilevel"/>
    <w:tmpl w:val="B50AC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1D8D"/>
    <w:multiLevelType w:val="hybridMultilevel"/>
    <w:tmpl w:val="77A2E09E"/>
    <w:lvl w:ilvl="0" w:tplc="C64CF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E50"/>
    <w:multiLevelType w:val="hybridMultilevel"/>
    <w:tmpl w:val="75220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D4590"/>
    <w:multiLevelType w:val="hybridMultilevel"/>
    <w:tmpl w:val="DBC6C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0142"/>
    <w:multiLevelType w:val="hybridMultilevel"/>
    <w:tmpl w:val="9B66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3620"/>
    <w:multiLevelType w:val="hybridMultilevel"/>
    <w:tmpl w:val="449A3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71D4B"/>
    <w:multiLevelType w:val="hybridMultilevel"/>
    <w:tmpl w:val="E1226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96670"/>
    <w:multiLevelType w:val="hybridMultilevel"/>
    <w:tmpl w:val="6F3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A0C37"/>
    <w:multiLevelType w:val="hybridMultilevel"/>
    <w:tmpl w:val="DCC4D960"/>
    <w:lvl w:ilvl="0" w:tplc="D12635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8C38D1"/>
    <w:multiLevelType w:val="hybridMultilevel"/>
    <w:tmpl w:val="8764A2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C7A37"/>
    <w:multiLevelType w:val="hybridMultilevel"/>
    <w:tmpl w:val="E23A6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1DF1"/>
    <w:multiLevelType w:val="hybridMultilevel"/>
    <w:tmpl w:val="9AF4F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4650"/>
        </w:tabs>
        <w:ind w:left="4650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01F356D"/>
    <w:multiLevelType w:val="hybridMultilevel"/>
    <w:tmpl w:val="BB449C88"/>
    <w:lvl w:ilvl="0" w:tplc="96F811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72FA"/>
    <w:multiLevelType w:val="hybridMultilevel"/>
    <w:tmpl w:val="2A30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41584"/>
    <w:multiLevelType w:val="hybridMultilevel"/>
    <w:tmpl w:val="499C6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6323"/>
    <w:multiLevelType w:val="hybridMultilevel"/>
    <w:tmpl w:val="25D6E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426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6351C"/>
    <w:multiLevelType w:val="hybridMultilevel"/>
    <w:tmpl w:val="4F2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D49D5"/>
    <w:multiLevelType w:val="hybridMultilevel"/>
    <w:tmpl w:val="F60EF828"/>
    <w:lvl w:ilvl="0" w:tplc="C5FA8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A14AD"/>
    <w:multiLevelType w:val="hybridMultilevel"/>
    <w:tmpl w:val="B210BC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54392"/>
    <w:multiLevelType w:val="hybridMultilevel"/>
    <w:tmpl w:val="0F80F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5793F"/>
    <w:multiLevelType w:val="hybridMultilevel"/>
    <w:tmpl w:val="953475C8"/>
    <w:lvl w:ilvl="0" w:tplc="F6B63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900CB"/>
    <w:multiLevelType w:val="hybridMultilevel"/>
    <w:tmpl w:val="F12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5699"/>
    <w:multiLevelType w:val="hybridMultilevel"/>
    <w:tmpl w:val="EC24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60909"/>
    <w:multiLevelType w:val="hybridMultilevel"/>
    <w:tmpl w:val="E39ED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43D64"/>
    <w:multiLevelType w:val="hybridMultilevel"/>
    <w:tmpl w:val="C90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5231"/>
    <w:multiLevelType w:val="hybridMultilevel"/>
    <w:tmpl w:val="EE94433A"/>
    <w:lvl w:ilvl="0" w:tplc="68D88CEC">
      <w:numFmt w:val="bullet"/>
      <w:pStyle w:val="BulletDanielle"/>
      <w:lvlText w:val="•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A28BF"/>
    <w:multiLevelType w:val="hybridMultilevel"/>
    <w:tmpl w:val="B312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5C52E5"/>
    <w:multiLevelType w:val="hybridMultilevel"/>
    <w:tmpl w:val="A822C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2688D"/>
    <w:multiLevelType w:val="hybridMultilevel"/>
    <w:tmpl w:val="93D61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39582F"/>
    <w:multiLevelType w:val="hybridMultilevel"/>
    <w:tmpl w:val="F9E0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990CA5"/>
    <w:multiLevelType w:val="hybridMultilevel"/>
    <w:tmpl w:val="F2D0B506"/>
    <w:lvl w:ilvl="0" w:tplc="0C09000F">
      <w:start w:val="1"/>
      <w:numFmt w:val="decimal"/>
      <w:pStyle w:val="Healthbullet2lastline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E1A75"/>
    <w:multiLevelType w:val="hybridMultilevel"/>
    <w:tmpl w:val="74F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D2EEB"/>
    <w:multiLevelType w:val="hybridMultilevel"/>
    <w:tmpl w:val="09EAD3DA"/>
    <w:lvl w:ilvl="0" w:tplc="3306DD1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31A86"/>
    <w:multiLevelType w:val="hybridMultilevel"/>
    <w:tmpl w:val="EC24A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D298A"/>
    <w:multiLevelType w:val="hybridMultilevel"/>
    <w:tmpl w:val="B64276DC"/>
    <w:lvl w:ilvl="0" w:tplc="74567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33"/>
  </w:num>
  <w:num w:numId="5">
    <w:abstractNumId w:val="28"/>
  </w:num>
  <w:num w:numId="6">
    <w:abstractNumId w:val="45"/>
  </w:num>
  <w:num w:numId="7">
    <w:abstractNumId w:val="40"/>
  </w:num>
  <w:num w:numId="8">
    <w:abstractNumId w:val="18"/>
  </w:num>
  <w:num w:numId="9">
    <w:abstractNumId w:val="31"/>
  </w:num>
  <w:num w:numId="10">
    <w:abstractNumId w:val="25"/>
  </w:num>
  <w:num w:numId="11">
    <w:abstractNumId w:val="2"/>
  </w:num>
  <w:num w:numId="12">
    <w:abstractNumId w:val="39"/>
  </w:num>
  <w:num w:numId="13">
    <w:abstractNumId w:val="10"/>
  </w:num>
  <w:num w:numId="14">
    <w:abstractNumId w:val="47"/>
  </w:num>
  <w:num w:numId="15">
    <w:abstractNumId w:val="26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  <w:num w:numId="20">
    <w:abstractNumId w:val="20"/>
  </w:num>
  <w:num w:numId="21">
    <w:abstractNumId w:val="13"/>
  </w:num>
  <w:num w:numId="22">
    <w:abstractNumId w:val="15"/>
  </w:num>
  <w:num w:numId="23">
    <w:abstractNumId w:val="38"/>
  </w:num>
  <w:num w:numId="24">
    <w:abstractNumId w:val="12"/>
  </w:num>
  <w:num w:numId="25">
    <w:abstractNumId w:val="27"/>
  </w:num>
  <w:num w:numId="26">
    <w:abstractNumId w:val="36"/>
  </w:num>
  <w:num w:numId="27">
    <w:abstractNumId w:val="4"/>
  </w:num>
  <w:num w:numId="28">
    <w:abstractNumId w:val="5"/>
  </w:num>
  <w:num w:numId="29">
    <w:abstractNumId w:val="43"/>
  </w:num>
  <w:num w:numId="30">
    <w:abstractNumId w:val="49"/>
  </w:num>
  <w:num w:numId="31">
    <w:abstractNumId w:val="42"/>
  </w:num>
  <w:num w:numId="32">
    <w:abstractNumId w:val="17"/>
  </w:num>
  <w:num w:numId="33">
    <w:abstractNumId w:val="35"/>
  </w:num>
  <w:num w:numId="34">
    <w:abstractNumId w:val="41"/>
  </w:num>
  <w:num w:numId="35">
    <w:abstractNumId w:val="16"/>
  </w:num>
  <w:num w:numId="36">
    <w:abstractNumId w:val="21"/>
  </w:num>
  <w:num w:numId="37">
    <w:abstractNumId w:val="50"/>
  </w:num>
  <w:num w:numId="38">
    <w:abstractNumId w:val="24"/>
  </w:num>
  <w:num w:numId="39">
    <w:abstractNumId w:val="22"/>
  </w:num>
  <w:num w:numId="40">
    <w:abstractNumId w:val="19"/>
  </w:num>
  <w:num w:numId="41">
    <w:abstractNumId w:val="14"/>
  </w:num>
  <w:num w:numId="42">
    <w:abstractNumId w:val="0"/>
  </w:num>
  <w:num w:numId="43">
    <w:abstractNumId w:val="6"/>
  </w:num>
  <w:num w:numId="44">
    <w:abstractNumId w:val="30"/>
  </w:num>
  <w:num w:numId="45">
    <w:abstractNumId w:val="46"/>
  </w:num>
  <w:num w:numId="46">
    <w:abstractNumId w:val="34"/>
  </w:num>
  <w:num w:numId="47">
    <w:abstractNumId w:val="48"/>
  </w:num>
  <w:num w:numId="48">
    <w:abstractNumId w:val="37"/>
  </w:num>
  <w:num w:numId="49">
    <w:abstractNumId w:val="8"/>
  </w:num>
  <w:num w:numId="50">
    <w:abstractNumId w:val="7"/>
  </w:num>
  <w:num w:numId="51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C4"/>
    <w:rsid w:val="00002990"/>
    <w:rsid w:val="0000346F"/>
    <w:rsid w:val="0000392A"/>
    <w:rsid w:val="000048AC"/>
    <w:rsid w:val="00006763"/>
    <w:rsid w:val="00006A0F"/>
    <w:rsid w:val="00007D07"/>
    <w:rsid w:val="00010FC1"/>
    <w:rsid w:val="00012ED2"/>
    <w:rsid w:val="00013581"/>
    <w:rsid w:val="00014FC4"/>
    <w:rsid w:val="00020479"/>
    <w:rsid w:val="0002076C"/>
    <w:rsid w:val="00020AAB"/>
    <w:rsid w:val="000223A4"/>
    <w:rsid w:val="00022992"/>
    <w:rsid w:val="00022E60"/>
    <w:rsid w:val="00026C19"/>
    <w:rsid w:val="00030E4F"/>
    <w:rsid w:val="00030F52"/>
    <w:rsid w:val="00031263"/>
    <w:rsid w:val="00031A69"/>
    <w:rsid w:val="0003476D"/>
    <w:rsid w:val="0003647B"/>
    <w:rsid w:val="0003751A"/>
    <w:rsid w:val="0004145B"/>
    <w:rsid w:val="00044C94"/>
    <w:rsid w:val="00044D54"/>
    <w:rsid w:val="000464C9"/>
    <w:rsid w:val="0004714C"/>
    <w:rsid w:val="000521F7"/>
    <w:rsid w:val="00052812"/>
    <w:rsid w:val="00052847"/>
    <w:rsid w:val="00060288"/>
    <w:rsid w:val="00060AF7"/>
    <w:rsid w:val="00060E93"/>
    <w:rsid w:val="00062EA4"/>
    <w:rsid w:val="0006389E"/>
    <w:rsid w:val="0006479B"/>
    <w:rsid w:val="00064936"/>
    <w:rsid w:val="00064D21"/>
    <w:rsid w:val="00066C2E"/>
    <w:rsid w:val="00066E7F"/>
    <w:rsid w:val="000734F8"/>
    <w:rsid w:val="000736B8"/>
    <w:rsid w:val="00073EF0"/>
    <w:rsid w:val="00074A83"/>
    <w:rsid w:val="00076663"/>
    <w:rsid w:val="000817CB"/>
    <w:rsid w:val="0008367A"/>
    <w:rsid w:val="00087380"/>
    <w:rsid w:val="000873EF"/>
    <w:rsid w:val="00090420"/>
    <w:rsid w:val="00096288"/>
    <w:rsid w:val="00097FAA"/>
    <w:rsid w:val="000A02C8"/>
    <w:rsid w:val="000A132D"/>
    <w:rsid w:val="000A4E13"/>
    <w:rsid w:val="000A655B"/>
    <w:rsid w:val="000B04BA"/>
    <w:rsid w:val="000B1500"/>
    <w:rsid w:val="000B3792"/>
    <w:rsid w:val="000B50A5"/>
    <w:rsid w:val="000B5932"/>
    <w:rsid w:val="000B731B"/>
    <w:rsid w:val="000C2A9B"/>
    <w:rsid w:val="000C5400"/>
    <w:rsid w:val="000C6242"/>
    <w:rsid w:val="000C68DB"/>
    <w:rsid w:val="000C711E"/>
    <w:rsid w:val="000D24C4"/>
    <w:rsid w:val="000D2C32"/>
    <w:rsid w:val="000D39F3"/>
    <w:rsid w:val="000D542F"/>
    <w:rsid w:val="000D5CAD"/>
    <w:rsid w:val="000D6E8E"/>
    <w:rsid w:val="000D704C"/>
    <w:rsid w:val="000E0549"/>
    <w:rsid w:val="000E0E8A"/>
    <w:rsid w:val="000E2B3F"/>
    <w:rsid w:val="000E406B"/>
    <w:rsid w:val="000E4BD4"/>
    <w:rsid w:val="000E656D"/>
    <w:rsid w:val="000E6F72"/>
    <w:rsid w:val="000E7284"/>
    <w:rsid w:val="000F0403"/>
    <w:rsid w:val="000F0478"/>
    <w:rsid w:val="000F0A50"/>
    <w:rsid w:val="000F2279"/>
    <w:rsid w:val="000F31D6"/>
    <w:rsid w:val="000F39FC"/>
    <w:rsid w:val="000F450C"/>
    <w:rsid w:val="00100A85"/>
    <w:rsid w:val="00101F48"/>
    <w:rsid w:val="00103004"/>
    <w:rsid w:val="00103D5E"/>
    <w:rsid w:val="00104EA7"/>
    <w:rsid w:val="00105CC5"/>
    <w:rsid w:val="00105FAD"/>
    <w:rsid w:val="0010731D"/>
    <w:rsid w:val="0010741B"/>
    <w:rsid w:val="0011155B"/>
    <w:rsid w:val="00111A6A"/>
    <w:rsid w:val="0011221B"/>
    <w:rsid w:val="00116004"/>
    <w:rsid w:val="001170D2"/>
    <w:rsid w:val="00120399"/>
    <w:rsid w:val="00121BF1"/>
    <w:rsid w:val="00125296"/>
    <w:rsid w:val="00126D1B"/>
    <w:rsid w:val="00127A8B"/>
    <w:rsid w:val="0013149A"/>
    <w:rsid w:val="00131700"/>
    <w:rsid w:val="00132C60"/>
    <w:rsid w:val="001337E0"/>
    <w:rsid w:val="00133F79"/>
    <w:rsid w:val="00134BE5"/>
    <w:rsid w:val="00136297"/>
    <w:rsid w:val="001375F8"/>
    <w:rsid w:val="001412D1"/>
    <w:rsid w:val="001423E3"/>
    <w:rsid w:val="00142FA6"/>
    <w:rsid w:val="00143091"/>
    <w:rsid w:val="001450E2"/>
    <w:rsid w:val="001475EA"/>
    <w:rsid w:val="001504F5"/>
    <w:rsid w:val="001509CC"/>
    <w:rsid w:val="001517BD"/>
    <w:rsid w:val="00151880"/>
    <w:rsid w:val="00153901"/>
    <w:rsid w:val="00153E41"/>
    <w:rsid w:val="001559A2"/>
    <w:rsid w:val="0015797C"/>
    <w:rsid w:val="001604E9"/>
    <w:rsid w:val="0016148C"/>
    <w:rsid w:val="00161EE1"/>
    <w:rsid w:val="0017138A"/>
    <w:rsid w:val="0017248D"/>
    <w:rsid w:val="001729E0"/>
    <w:rsid w:val="00173626"/>
    <w:rsid w:val="00175877"/>
    <w:rsid w:val="0017614A"/>
    <w:rsid w:val="001763F0"/>
    <w:rsid w:val="00176D11"/>
    <w:rsid w:val="00180970"/>
    <w:rsid w:val="001817CD"/>
    <w:rsid w:val="0018235E"/>
    <w:rsid w:val="00182944"/>
    <w:rsid w:val="00182C9A"/>
    <w:rsid w:val="00184A8C"/>
    <w:rsid w:val="00184B5E"/>
    <w:rsid w:val="0018768C"/>
    <w:rsid w:val="00191F9A"/>
    <w:rsid w:val="00192434"/>
    <w:rsid w:val="001929EF"/>
    <w:rsid w:val="00192BA0"/>
    <w:rsid w:val="0019308A"/>
    <w:rsid w:val="001957CF"/>
    <w:rsid w:val="00197303"/>
    <w:rsid w:val="00197450"/>
    <w:rsid w:val="001A17EA"/>
    <w:rsid w:val="001A2036"/>
    <w:rsid w:val="001A22AA"/>
    <w:rsid w:val="001A43E4"/>
    <w:rsid w:val="001A494E"/>
    <w:rsid w:val="001A4BA4"/>
    <w:rsid w:val="001A4E31"/>
    <w:rsid w:val="001A6091"/>
    <w:rsid w:val="001A6508"/>
    <w:rsid w:val="001A7A18"/>
    <w:rsid w:val="001B033D"/>
    <w:rsid w:val="001B1565"/>
    <w:rsid w:val="001B166D"/>
    <w:rsid w:val="001B28B5"/>
    <w:rsid w:val="001B2975"/>
    <w:rsid w:val="001B4706"/>
    <w:rsid w:val="001B656B"/>
    <w:rsid w:val="001B7CE5"/>
    <w:rsid w:val="001C122D"/>
    <w:rsid w:val="001C7B9A"/>
    <w:rsid w:val="001D228F"/>
    <w:rsid w:val="001D2A82"/>
    <w:rsid w:val="001D569B"/>
    <w:rsid w:val="001E0EA3"/>
    <w:rsid w:val="001E1951"/>
    <w:rsid w:val="001E23D2"/>
    <w:rsid w:val="001E3B46"/>
    <w:rsid w:val="001E4995"/>
    <w:rsid w:val="001E5275"/>
    <w:rsid w:val="001E7FAA"/>
    <w:rsid w:val="001F09DC"/>
    <w:rsid w:val="001F41DB"/>
    <w:rsid w:val="001F43E6"/>
    <w:rsid w:val="001F474D"/>
    <w:rsid w:val="001F630C"/>
    <w:rsid w:val="00207B3B"/>
    <w:rsid w:val="0021102A"/>
    <w:rsid w:val="00212403"/>
    <w:rsid w:val="00212787"/>
    <w:rsid w:val="00212885"/>
    <w:rsid w:val="00213772"/>
    <w:rsid w:val="00214636"/>
    <w:rsid w:val="002146D9"/>
    <w:rsid w:val="00220641"/>
    <w:rsid w:val="00220749"/>
    <w:rsid w:val="00222897"/>
    <w:rsid w:val="0022422C"/>
    <w:rsid w:val="00224ACB"/>
    <w:rsid w:val="002271F0"/>
    <w:rsid w:val="0022724E"/>
    <w:rsid w:val="0022732C"/>
    <w:rsid w:val="00230666"/>
    <w:rsid w:val="00230999"/>
    <w:rsid w:val="00231153"/>
    <w:rsid w:val="0023252E"/>
    <w:rsid w:val="00241C31"/>
    <w:rsid w:val="00241D2A"/>
    <w:rsid w:val="00242C25"/>
    <w:rsid w:val="00245514"/>
    <w:rsid w:val="00246152"/>
    <w:rsid w:val="00247EFA"/>
    <w:rsid w:val="002532FA"/>
    <w:rsid w:val="00253D49"/>
    <w:rsid w:val="002542D5"/>
    <w:rsid w:val="0025474D"/>
    <w:rsid w:val="00255499"/>
    <w:rsid w:val="00260D66"/>
    <w:rsid w:val="002665F0"/>
    <w:rsid w:val="00266F26"/>
    <w:rsid w:val="002679D5"/>
    <w:rsid w:val="0027126D"/>
    <w:rsid w:val="002714FD"/>
    <w:rsid w:val="002747D6"/>
    <w:rsid w:val="00274BB6"/>
    <w:rsid w:val="00275F94"/>
    <w:rsid w:val="002760B4"/>
    <w:rsid w:val="00276103"/>
    <w:rsid w:val="002765C9"/>
    <w:rsid w:val="002769A8"/>
    <w:rsid w:val="00277583"/>
    <w:rsid w:val="002813C1"/>
    <w:rsid w:val="00281B9C"/>
    <w:rsid w:val="0028270D"/>
    <w:rsid w:val="00282A01"/>
    <w:rsid w:val="00284C9B"/>
    <w:rsid w:val="00287860"/>
    <w:rsid w:val="00290C1A"/>
    <w:rsid w:val="00291072"/>
    <w:rsid w:val="002921AA"/>
    <w:rsid w:val="00293647"/>
    <w:rsid w:val="00294C35"/>
    <w:rsid w:val="002A078B"/>
    <w:rsid w:val="002A141B"/>
    <w:rsid w:val="002A2146"/>
    <w:rsid w:val="002A26B6"/>
    <w:rsid w:val="002A2A8E"/>
    <w:rsid w:val="002A3135"/>
    <w:rsid w:val="002A57B5"/>
    <w:rsid w:val="002A6A4E"/>
    <w:rsid w:val="002B56EA"/>
    <w:rsid w:val="002B5A85"/>
    <w:rsid w:val="002B63A7"/>
    <w:rsid w:val="002B6E29"/>
    <w:rsid w:val="002C0E8C"/>
    <w:rsid w:val="002C3283"/>
    <w:rsid w:val="002C40A4"/>
    <w:rsid w:val="002C441A"/>
    <w:rsid w:val="002C5543"/>
    <w:rsid w:val="002D0F7F"/>
    <w:rsid w:val="002D4861"/>
    <w:rsid w:val="002D49C8"/>
    <w:rsid w:val="002D6063"/>
    <w:rsid w:val="002E0198"/>
    <w:rsid w:val="002E04BC"/>
    <w:rsid w:val="002E1D7C"/>
    <w:rsid w:val="002E48EA"/>
    <w:rsid w:val="002F0D83"/>
    <w:rsid w:val="002F2C9F"/>
    <w:rsid w:val="002F309A"/>
    <w:rsid w:val="002F449B"/>
    <w:rsid w:val="002F4D86"/>
    <w:rsid w:val="002F5C31"/>
    <w:rsid w:val="002F5D69"/>
    <w:rsid w:val="002F66D0"/>
    <w:rsid w:val="002F6C58"/>
    <w:rsid w:val="002F6C91"/>
    <w:rsid w:val="002F7C77"/>
    <w:rsid w:val="00300CB3"/>
    <w:rsid w:val="00301413"/>
    <w:rsid w:val="00301E00"/>
    <w:rsid w:val="003023CF"/>
    <w:rsid w:val="00302697"/>
    <w:rsid w:val="003029A9"/>
    <w:rsid w:val="0030300E"/>
    <w:rsid w:val="0030394B"/>
    <w:rsid w:val="00305C3F"/>
    <w:rsid w:val="0030694A"/>
    <w:rsid w:val="003072C6"/>
    <w:rsid w:val="00310D8E"/>
    <w:rsid w:val="003130FD"/>
    <w:rsid w:val="0031393A"/>
    <w:rsid w:val="00315BBD"/>
    <w:rsid w:val="0031642F"/>
    <w:rsid w:val="0031753A"/>
    <w:rsid w:val="00320293"/>
    <w:rsid w:val="00322CC2"/>
    <w:rsid w:val="00323184"/>
    <w:rsid w:val="00326519"/>
    <w:rsid w:val="00330799"/>
    <w:rsid w:val="00332F9C"/>
    <w:rsid w:val="00334699"/>
    <w:rsid w:val="0033473E"/>
    <w:rsid w:val="00334A52"/>
    <w:rsid w:val="00334B54"/>
    <w:rsid w:val="0033516B"/>
    <w:rsid w:val="0033739E"/>
    <w:rsid w:val="003403F5"/>
    <w:rsid w:val="0034262A"/>
    <w:rsid w:val="00343733"/>
    <w:rsid w:val="003447E4"/>
    <w:rsid w:val="0035380F"/>
    <w:rsid w:val="00355199"/>
    <w:rsid w:val="00355886"/>
    <w:rsid w:val="00356408"/>
    <w:rsid w:val="00356814"/>
    <w:rsid w:val="00360D8E"/>
    <w:rsid w:val="00360E5B"/>
    <w:rsid w:val="00361496"/>
    <w:rsid w:val="0036165D"/>
    <w:rsid w:val="00365078"/>
    <w:rsid w:val="0036543A"/>
    <w:rsid w:val="003713E1"/>
    <w:rsid w:val="00376BFD"/>
    <w:rsid w:val="0038019F"/>
    <w:rsid w:val="003802BD"/>
    <w:rsid w:val="003802FB"/>
    <w:rsid w:val="00380345"/>
    <w:rsid w:val="00380782"/>
    <w:rsid w:val="0038126F"/>
    <w:rsid w:val="00382071"/>
    <w:rsid w:val="00382B4F"/>
    <w:rsid w:val="0038447A"/>
    <w:rsid w:val="00385A7A"/>
    <w:rsid w:val="0039162E"/>
    <w:rsid w:val="00392DF7"/>
    <w:rsid w:val="00397355"/>
    <w:rsid w:val="0039774D"/>
    <w:rsid w:val="00397DFE"/>
    <w:rsid w:val="003A0664"/>
    <w:rsid w:val="003A08A0"/>
    <w:rsid w:val="003A1005"/>
    <w:rsid w:val="003A2F25"/>
    <w:rsid w:val="003A35B6"/>
    <w:rsid w:val="003A458B"/>
    <w:rsid w:val="003B00E5"/>
    <w:rsid w:val="003B0B71"/>
    <w:rsid w:val="003B2807"/>
    <w:rsid w:val="003B3354"/>
    <w:rsid w:val="003B3508"/>
    <w:rsid w:val="003B54CE"/>
    <w:rsid w:val="003B77E3"/>
    <w:rsid w:val="003C12CC"/>
    <w:rsid w:val="003C1ED7"/>
    <w:rsid w:val="003C1F2C"/>
    <w:rsid w:val="003C1F70"/>
    <w:rsid w:val="003C2CBC"/>
    <w:rsid w:val="003C5452"/>
    <w:rsid w:val="003C65FE"/>
    <w:rsid w:val="003C68F2"/>
    <w:rsid w:val="003C69E1"/>
    <w:rsid w:val="003D0834"/>
    <w:rsid w:val="003D0FBC"/>
    <w:rsid w:val="003D5CFB"/>
    <w:rsid w:val="003D6028"/>
    <w:rsid w:val="003E18E2"/>
    <w:rsid w:val="003E2636"/>
    <w:rsid w:val="003E26DB"/>
    <w:rsid w:val="003E2E12"/>
    <w:rsid w:val="003E70D2"/>
    <w:rsid w:val="003F07C4"/>
    <w:rsid w:val="003F1B3C"/>
    <w:rsid w:val="003F39CE"/>
    <w:rsid w:val="004001A1"/>
    <w:rsid w:val="00401108"/>
    <w:rsid w:val="00401527"/>
    <w:rsid w:val="00402340"/>
    <w:rsid w:val="00402927"/>
    <w:rsid w:val="004029DC"/>
    <w:rsid w:val="00405DAA"/>
    <w:rsid w:val="00407993"/>
    <w:rsid w:val="0041066A"/>
    <w:rsid w:val="004116B6"/>
    <w:rsid w:val="00411833"/>
    <w:rsid w:val="00411908"/>
    <w:rsid w:val="0041296E"/>
    <w:rsid w:val="00412F64"/>
    <w:rsid w:val="00413666"/>
    <w:rsid w:val="00415217"/>
    <w:rsid w:val="00417BEB"/>
    <w:rsid w:val="004200EC"/>
    <w:rsid w:val="004213A0"/>
    <w:rsid w:val="00422858"/>
    <w:rsid w:val="00423A7D"/>
    <w:rsid w:val="00425480"/>
    <w:rsid w:val="004255EA"/>
    <w:rsid w:val="00430E96"/>
    <w:rsid w:val="00431587"/>
    <w:rsid w:val="004324FF"/>
    <w:rsid w:val="00432A55"/>
    <w:rsid w:val="0043476B"/>
    <w:rsid w:val="00435565"/>
    <w:rsid w:val="00435E1C"/>
    <w:rsid w:val="00440A30"/>
    <w:rsid w:val="00441592"/>
    <w:rsid w:val="00441AF6"/>
    <w:rsid w:val="004421E5"/>
    <w:rsid w:val="0044260A"/>
    <w:rsid w:val="00442867"/>
    <w:rsid w:val="00444D82"/>
    <w:rsid w:val="004564C6"/>
    <w:rsid w:val="0046062E"/>
    <w:rsid w:val="004610CC"/>
    <w:rsid w:val="004639FA"/>
    <w:rsid w:val="00465464"/>
    <w:rsid w:val="004657A4"/>
    <w:rsid w:val="00465E87"/>
    <w:rsid w:val="0046625B"/>
    <w:rsid w:val="0047271B"/>
    <w:rsid w:val="00472A9A"/>
    <w:rsid w:val="004741C4"/>
    <w:rsid w:val="00474366"/>
    <w:rsid w:val="00476123"/>
    <w:rsid w:val="0047703E"/>
    <w:rsid w:val="0047786A"/>
    <w:rsid w:val="00477925"/>
    <w:rsid w:val="00477A65"/>
    <w:rsid w:val="00477C7A"/>
    <w:rsid w:val="00482786"/>
    <w:rsid w:val="00482DB3"/>
    <w:rsid w:val="00482F25"/>
    <w:rsid w:val="004867CB"/>
    <w:rsid w:val="0048782F"/>
    <w:rsid w:val="00487B54"/>
    <w:rsid w:val="00490B73"/>
    <w:rsid w:val="0049133A"/>
    <w:rsid w:val="00491B09"/>
    <w:rsid w:val="00495BCC"/>
    <w:rsid w:val="004970C5"/>
    <w:rsid w:val="00497C5D"/>
    <w:rsid w:val="004A0236"/>
    <w:rsid w:val="004A0803"/>
    <w:rsid w:val="004A369A"/>
    <w:rsid w:val="004A3B3E"/>
    <w:rsid w:val="004A435D"/>
    <w:rsid w:val="004A4B99"/>
    <w:rsid w:val="004A5762"/>
    <w:rsid w:val="004A753B"/>
    <w:rsid w:val="004A7646"/>
    <w:rsid w:val="004A7DBE"/>
    <w:rsid w:val="004B175C"/>
    <w:rsid w:val="004B1DB4"/>
    <w:rsid w:val="004B1E6E"/>
    <w:rsid w:val="004B686A"/>
    <w:rsid w:val="004B7F3A"/>
    <w:rsid w:val="004C1118"/>
    <w:rsid w:val="004C1A09"/>
    <w:rsid w:val="004C364E"/>
    <w:rsid w:val="004C4539"/>
    <w:rsid w:val="004C4F00"/>
    <w:rsid w:val="004C5777"/>
    <w:rsid w:val="004C5F1D"/>
    <w:rsid w:val="004D0173"/>
    <w:rsid w:val="004D1056"/>
    <w:rsid w:val="004D1956"/>
    <w:rsid w:val="004D6A5E"/>
    <w:rsid w:val="004D7701"/>
    <w:rsid w:val="004D7DB5"/>
    <w:rsid w:val="004E0271"/>
    <w:rsid w:val="004E21E2"/>
    <w:rsid w:val="004E2552"/>
    <w:rsid w:val="004E293F"/>
    <w:rsid w:val="004E380D"/>
    <w:rsid w:val="004E50B7"/>
    <w:rsid w:val="004E6897"/>
    <w:rsid w:val="004E7090"/>
    <w:rsid w:val="004E7922"/>
    <w:rsid w:val="004E7C69"/>
    <w:rsid w:val="004F0DFC"/>
    <w:rsid w:val="004F322C"/>
    <w:rsid w:val="004F3441"/>
    <w:rsid w:val="004F40D1"/>
    <w:rsid w:val="004F41B2"/>
    <w:rsid w:val="004F4AFC"/>
    <w:rsid w:val="004F52A5"/>
    <w:rsid w:val="004F7C5E"/>
    <w:rsid w:val="0050068E"/>
    <w:rsid w:val="00500C8C"/>
    <w:rsid w:val="00501375"/>
    <w:rsid w:val="00501D3B"/>
    <w:rsid w:val="005022C9"/>
    <w:rsid w:val="00502738"/>
    <w:rsid w:val="0050520A"/>
    <w:rsid w:val="00506586"/>
    <w:rsid w:val="00506FFD"/>
    <w:rsid w:val="0050779D"/>
    <w:rsid w:val="005107E4"/>
    <w:rsid w:val="00512CAD"/>
    <w:rsid w:val="00520BBB"/>
    <w:rsid w:val="005225C8"/>
    <w:rsid w:val="0052329A"/>
    <w:rsid w:val="00523DA6"/>
    <w:rsid w:val="005248AB"/>
    <w:rsid w:val="00525456"/>
    <w:rsid w:val="005254AC"/>
    <w:rsid w:val="005259AC"/>
    <w:rsid w:val="00526B97"/>
    <w:rsid w:val="005310F9"/>
    <w:rsid w:val="00532236"/>
    <w:rsid w:val="00537CF4"/>
    <w:rsid w:val="005403D2"/>
    <w:rsid w:val="00541DFE"/>
    <w:rsid w:val="00542A45"/>
    <w:rsid w:val="00543E6C"/>
    <w:rsid w:val="00544184"/>
    <w:rsid w:val="005552FD"/>
    <w:rsid w:val="00556C60"/>
    <w:rsid w:val="005600E5"/>
    <w:rsid w:val="00564E8F"/>
    <w:rsid w:val="0056669F"/>
    <w:rsid w:val="0057067E"/>
    <w:rsid w:val="00570EFE"/>
    <w:rsid w:val="0057183F"/>
    <w:rsid w:val="00572565"/>
    <w:rsid w:val="0057286F"/>
    <w:rsid w:val="005728A4"/>
    <w:rsid w:val="0057366F"/>
    <w:rsid w:val="00574219"/>
    <w:rsid w:val="00574B64"/>
    <w:rsid w:val="00575C54"/>
    <w:rsid w:val="005763FC"/>
    <w:rsid w:val="00576EB4"/>
    <w:rsid w:val="00577AB8"/>
    <w:rsid w:val="00582768"/>
    <w:rsid w:val="00582DAA"/>
    <w:rsid w:val="00583461"/>
    <w:rsid w:val="00585074"/>
    <w:rsid w:val="0058556D"/>
    <w:rsid w:val="005856A4"/>
    <w:rsid w:val="005873C0"/>
    <w:rsid w:val="00590730"/>
    <w:rsid w:val="005919F7"/>
    <w:rsid w:val="00592099"/>
    <w:rsid w:val="0059281C"/>
    <w:rsid w:val="00592E3C"/>
    <w:rsid w:val="00593C6A"/>
    <w:rsid w:val="00596D13"/>
    <w:rsid w:val="005A3051"/>
    <w:rsid w:val="005A4D51"/>
    <w:rsid w:val="005A53FE"/>
    <w:rsid w:val="005A6E6E"/>
    <w:rsid w:val="005B31A2"/>
    <w:rsid w:val="005B4959"/>
    <w:rsid w:val="005B4E35"/>
    <w:rsid w:val="005B504D"/>
    <w:rsid w:val="005B51C8"/>
    <w:rsid w:val="005B5B10"/>
    <w:rsid w:val="005B7D22"/>
    <w:rsid w:val="005C029E"/>
    <w:rsid w:val="005C2A44"/>
    <w:rsid w:val="005C5D57"/>
    <w:rsid w:val="005D0A79"/>
    <w:rsid w:val="005D239B"/>
    <w:rsid w:val="005D2C9B"/>
    <w:rsid w:val="005D4092"/>
    <w:rsid w:val="005D48BC"/>
    <w:rsid w:val="005D6F1E"/>
    <w:rsid w:val="005D7640"/>
    <w:rsid w:val="005E085D"/>
    <w:rsid w:val="005E19EB"/>
    <w:rsid w:val="005E3FA7"/>
    <w:rsid w:val="005E7963"/>
    <w:rsid w:val="005F218C"/>
    <w:rsid w:val="005F391A"/>
    <w:rsid w:val="005F4B42"/>
    <w:rsid w:val="005F4C99"/>
    <w:rsid w:val="005F5EE9"/>
    <w:rsid w:val="0060185A"/>
    <w:rsid w:val="006018CD"/>
    <w:rsid w:val="00601D4D"/>
    <w:rsid w:val="006021B4"/>
    <w:rsid w:val="006032A7"/>
    <w:rsid w:val="00605B5B"/>
    <w:rsid w:val="006062D8"/>
    <w:rsid w:val="00606827"/>
    <w:rsid w:val="00614357"/>
    <w:rsid w:val="00614956"/>
    <w:rsid w:val="00620262"/>
    <w:rsid w:val="00621B4C"/>
    <w:rsid w:val="00625844"/>
    <w:rsid w:val="00625DED"/>
    <w:rsid w:val="00626BCF"/>
    <w:rsid w:val="0062734C"/>
    <w:rsid w:val="006279B1"/>
    <w:rsid w:val="00627C52"/>
    <w:rsid w:val="00630937"/>
    <w:rsid w:val="00631265"/>
    <w:rsid w:val="00632EF4"/>
    <w:rsid w:val="0064033F"/>
    <w:rsid w:val="00640D26"/>
    <w:rsid w:val="00641F39"/>
    <w:rsid w:val="006426F8"/>
    <w:rsid w:val="00646249"/>
    <w:rsid w:val="00652F8B"/>
    <w:rsid w:val="00653B84"/>
    <w:rsid w:val="00653E0D"/>
    <w:rsid w:val="00656443"/>
    <w:rsid w:val="00663F36"/>
    <w:rsid w:val="00664A3B"/>
    <w:rsid w:val="00664B83"/>
    <w:rsid w:val="00666208"/>
    <w:rsid w:val="00674CAA"/>
    <w:rsid w:val="00680A0D"/>
    <w:rsid w:val="006813D1"/>
    <w:rsid w:val="006865C8"/>
    <w:rsid w:val="00686999"/>
    <w:rsid w:val="00686B48"/>
    <w:rsid w:val="00687038"/>
    <w:rsid w:val="0068714E"/>
    <w:rsid w:val="00687A88"/>
    <w:rsid w:val="006918CC"/>
    <w:rsid w:val="006929F7"/>
    <w:rsid w:val="0069374A"/>
    <w:rsid w:val="00694AB8"/>
    <w:rsid w:val="00695482"/>
    <w:rsid w:val="00695696"/>
    <w:rsid w:val="00695EF7"/>
    <w:rsid w:val="0069699D"/>
    <w:rsid w:val="00696DF8"/>
    <w:rsid w:val="006A145C"/>
    <w:rsid w:val="006A1FBE"/>
    <w:rsid w:val="006A40DD"/>
    <w:rsid w:val="006A529A"/>
    <w:rsid w:val="006A61C5"/>
    <w:rsid w:val="006A7836"/>
    <w:rsid w:val="006B0C28"/>
    <w:rsid w:val="006B2C51"/>
    <w:rsid w:val="006B4B6D"/>
    <w:rsid w:val="006B4DF9"/>
    <w:rsid w:val="006B6361"/>
    <w:rsid w:val="006B6499"/>
    <w:rsid w:val="006C08FD"/>
    <w:rsid w:val="006C21B6"/>
    <w:rsid w:val="006C2C99"/>
    <w:rsid w:val="006C5F61"/>
    <w:rsid w:val="006C63D4"/>
    <w:rsid w:val="006C7362"/>
    <w:rsid w:val="006D00D6"/>
    <w:rsid w:val="006D0519"/>
    <w:rsid w:val="006D1F42"/>
    <w:rsid w:val="006D24F2"/>
    <w:rsid w:val="006D27FE"/>
    <w:rsid w:val="006D2DF2"/>
    <w:rsid w:val="006D360C"/>
    <w:rsid w:val="006D5AC9"/>
    <w:rsid w:val="006D66ED"/>
    <w:rsid w:val="006D7BBD"/>
    <w:rsid w:val="006E18C6"/>
    <w:rsid w:val="006E30C1"/>
    <w:rsid w:val="006E4549"/>
    <w:rsid w:val="006E46C3"/>
    <w:rsid w:val="006E5F20"/>
    <w:rsid w:val="006E6368"/>
    <w:rsid w:val="006E786B"/>
    <w:rsid w:val="006F048C"/>
    <w:rsid w:val="006F1291"/>
    <w:rsid w:val="006F5243"/>
    <w:rsid w:val="006F584C"/>
    <w:rsid w:val="00700240"/>
    <w:rsid w:val="007002B1"/>
    <w:rsid w:val="007017C2"/>
    <w:rsid w:val="007018D4"/>
    <w:rsid w:val="007025A9"/>
    <w:rsid w:val="00704EB7"/>
    <w:rsid w:val="007055C1"/>
    <w:rsid w:val="00705742"/>
    <w:rsid w:val="007067DB"/>
    <w:rsid w:val="0070761D"/>
    <w:rsid w:val="007078DE"/>
    <w:rsid w:val="007103CE"/>
    <w:rsid w:val="007104FE"/>
    <w:rsid w:val="007121A2"/>
    <w:rsid w:val="00713981"/>
    <w:rsid w:val="00713A98"/>
    <w:rsid w:val="0071553E"/>
    <w:rsid w:val="00715E78"/>
    <w:rsid w:val="007161F6"/>
    <w:rsid w:val="007176D6"/>
    <w:rsid w:val="00721B63"/>
    <w:rsid w:val="0072327A"/>
    <w:rsid w:val="0072545B"/>
    <w:rsid w:val="007257C6"/>
    <w:rsid w:val="00727D54"/>
    <w:rsid w:val="007323D1"/>
    <w:rsid w:val="007340A3"/>
    <w:rsid w:val="007344C5"/>
    <w:rsid w:val="00734959"/>
    <w:rsid w:val="0073520D"/>
    <w:rsid w:val="00736904"/>
    <w:rsid w:val="007400BF"/>
    <w:rsid w:val="00740217"/>
    <w:rsid w:val="00743236"/>
    <w:rsid w:val="007475F5"/>
    <w:rsid w:val="00754762"/>
    <w:rsid w:val="00757E0A"/>
    <w:rsid w:val="007635CA"/>
    <w:rsid w:val="007659B3"/>
    <w:rsid w:val="00766643"/>
    <w:rsid w:val="0076738D"/>
    <w:rsid w:val="00770DE6"/>
    <w:rsid w:val="0077106D"/>
    <w:rsid w:val="007752F9"/>
    <w:rsid w:val="0077686F"/>
    <w:rsid w:val="00776B56"/>
    <w:rsid w:val="007778D3"/>
    <w:rsid w:val="00780226"/>
    <w:rsid w:val="00781AB4"/>
    <w:rsid w:val="0078706E"/>
    <w:rsid w:val="007923B7"/>
    <w:rsid w:val="00792616"/>
    <w:rsid w:val="007926BB"/>
    <w:rsid w:val="0079344C"/>
    <w:rsid w:val="00793CC2"/>
    <w:rsid w:val="007969FC"/>
    <w:rsid w:val="007A0283"/>
    <w:rsid w:val="007A1F37"/>
    <w:rsid w:val="007A3541"/>
    <w:rsid w:val="007A5A2D"/>
    <w:rsid w:val="007A761E"/>
    <w:rsid w:val="007B116A"/>
    <w:rsid w:val="007B43A1"/>
    <w:rsid w:val="007B6E3B"/>
    <w:rsid w:val="007C02C7"/>
    <w:rsid w:val="007C1BC9"/>
    <w:rsid w:val="007C21EE"/>
    <w:rsid w:val="007C2987"/>
    <w:rsid w:val="007C4FEE"/>
    <w:rsid w:val="007C69E7"/>
    <w:rsid w:val="007C73DA"/>
    <w:rsid w:val="007C7826"/>
    <w:rsid w:val="007D3A2E"/>
    <w:rsid w:val="007D4FC5"/>
    <w:rsid w:val="007D5C8E"/>
    <w:rsid w:val="007D6652"/>
    <w:rsid w:val="007E1993"/>
    <w:rsid w:val="007E343D"/>
    <w:rsid w:val="007E5940"/>
    <w:rsid w:val="007F12DF"/>
    <w:rsid w:val="007F2690"/>
    <w:rsid w:val="007F4383"/>
    <w:rsid w:val="007F6175"/>
    <w:rsid w:val="00801601"/>
    <w:rsid w:val="00801BA4"/>
    <w:rsid w:val="00802B92"/>
    <w:rsid w:val="00805EB1"/>
    <w:rsid w:val="00810863"/>
    <w:rsid w:val="00810991"/>
    <w:rsid w:val="00814A9B"/>
    <w:rsid w:val="00814ADA"/>
    <w:rsid w:val="00814F66"/>
    <w:rsid w:val="0081505D"/>
    <w:rsid w:val="00815EA4"/>
    <w:rsid w:val="008160A1"/>
    <w:rsid w:val="00817C9E"/>
    <w:rsid w:val="008205AF"/>
    <w:rsid w:val="008225E5"/>
    <w:rsid w:val="00822861"/>
    <w:rsid w:val="00822EE4"/>
    <w:rsid w:val="00823A34"/>
    <w:rsid w:val="008252E6"/>
    <w:rsid w:val="00826E70"/>
    <w:rsid w:val="00831053"/>
    <w:rsid w:val="008314D2"/>
    <w:rsid w:val="00831ABA"/>
    <w:rsid w:val="0083254D"/>
    <w:rsid w:val="0083452E"/>
    <w:rsid w:val="008345F4"/>
    <w:rsid w:val="00836249"/>
    <w:rsid w:val="00836F00"/>
    <w:rsid w:val="0083718E"/>
    <w:rsid w:val="0083773D"/>
    <w:rsid w:val="00840962"/>
    <w:rsid w:val="00842AD3"/>
    <w:rsid w:val="00842FD5"/>
    <w:rsid w:val="00846192"/>
    <w:rsid w:val="008466C3"/>
    <w:rsid w:val="00850806"/>
    <w:rsid w:val="00850D44"/>
    <w:rsid w:val="00852F95"/>
    <w:rsid w:val="00854048"/>
    <w:rsid w:val="00854614"/>
    <w:rsid w:val="00856537"/>
    <w:rsid w:val="00856A1B"/>
    <w:rsid w:val="008601B2"/>
    <w:rsid w:val="008621C3"/>
    <w:rsid w:val="008634A8"/>
    <w:rsid w:val="00865486"/>
    <w:rsid w:val="00867142"/>
    <w:rsid w:val="00870BA6"/>
    <w:rsid w:val="008722EA"/>
    <w:rsid w:val="0087256F"/>
    <w:rsid w:val="00874E1C"/>
    <w:rsid w:val="00875327"/>
    <w:rsid w:val="008754BD"/>
    <w:rsid w:val="00876275"/>
    <w:rsid w:val="00877837"/>
    <w:rsid w:val="00877DC9"/>
    <w:rsid w:val="008829CA"/>
    <w:rsid w:val="00882B99"/>
    <w:rsid w:val="00885E37"/>
    <w:rsid w:val="00886D4E"/>
    <w:rsid w:val="008878A4"/>
    <w:rsid w:val="00893D7A"/>
    <w:rsid w:val="00895297"/>
    <w:rsid w:val="00896015"/>
    <w:rsid w:val="008963C3"/>
    <w:rsid w:val="008A0E6C"/>
    <w:rsid w:val="008A1D01"/>
    <w:rsid w:val="008A295B"/>
    <w:rsid w:val="008A3979"/>
    <w:rsid w:val="008A41C6"/>
    <w:rsid w:val="008A6493"/>
    <w:rsid w:val="008A6604"/>
    <w:rsid w:val="008A6F6E"/>
    <w:rsid w:val="008A7C9D"/>
    <w:rsid w:val="008B1EB1"/>
    <w:rsid w:val="008B5482"/>
    <w:rsid w:val="008B6082"/>
    <w:rsid w:val="008B693C"/>
    <w:rsid w:val="008B7E38"/>
    <w:rsid w:val="008B7E61"/>
    <w:rsid w:val="008C11F4"/>
    <w:rsid w:val="008C2BEC"/>
    <w:rsid w:val="008C5B06"/>
    <w:rsid w:val="008C6D0E"/>
    <w:rsid w:val="008D03BB"/>
    <w:rsid w:val="008D09D2"/>
    <w:rsid w:val="008D1759"/>
    <w:rsid w:val="008D30DD"/>
    <w:rsid w:val="008D39C5"/>
    <w:rsid w:val="008E1D5E"/>
    <w:rsid w:val="008E1D89"/>
    <w:rsid w:val="008E3E3E"/>
    <w:rsid w:val="008E4C48"/>
    <w:rsid w:val="008E58AC"/>
    <w:rsid w:val="008F2717"/>
    <w:rsid w:val="008F3BF1"/>
    <w:rsid w:val="008F5561"/>
    <w:rsid w:val="008F5F87"/>
    <w:rsid w:val="008F5FE2"/>
    <w:rsid w:val="00900205"/>
    <w:rsid w:val="009005EA"/>
    <w:rsid w:val="00900A34"/>
    <w:rsid w:val="00900A3B"/>
    <w:rsid w:val="009015F2"/>
    <w:rsid w:val="009039E0"/>
    <w:rsid w:val="00907073"/>
    <w:rsid w:val="009118D5"/>
    <w:rsid w:val="00911E8A"/>
    <w:rsid w:val="00915D10"/>
    <w:rsid w:val="00916057"/>
    <w:rsid w:val="009208F5"/>
    <w:rsid w:val="009244E0"/>
    <w:rsid w:val="0092491D"/>
    <w:rsid w:val="00927D51"/>
    <w:rsid w:val="0093052C"/>
    <w:rsid w:val="00931A6E"/>
    <w:rsid w:val="00932272"/>
    <w:rsid w:val="00932862"/>
    <w:rsid w:val="00935D60"/>
    <w:rsid w:val="00937936"/>
    <w:rsid w:val="00941640"/>
    <w:rsid w:val="00942E33"/>
    <w:rsid w:val="009447BB"/>
    <w:rsid w:val="00944C48"/>
    <w:rsid w:val="009455AF"/>
    <w:rsid w:val="00946335"/>
    <w:rsid w:val="009475E3"/>
    <w:rsid w:val="00947E49"/>
    <w:rsid w:val="009513C4"/>
    <w:rsid w:val="00955E55"/>
    <w:rsid w:val="0095710D"/>
    <w:rsid w:val="00962200"/>
    <w:rsid w:val="00962DAB"/>
    <w:rsid w:val="00966EC7"/>
    <w:rsid w:val="00966F54"/>
    <w:rsid w:val="009718D8"/>
    <w:rsid w:val="009721F0"/>
    <w:rsid w:val="00972B13"/>
    <w:rsid w:val="00973E7F"/>
    <w:rsid w:val="00975E61"/>
    <w:rsid w:val="00976E31"/>
    <w:rsid w:val="00977BFA"/>
    <w:rsid w:val="00977C63"/>
    <w:rsid w:val="00980087"/>
    <w:rsid w:val="00980C0B"/>
    <w:rsid w:val="00981AFB"/>
    <w:rsid w:val="00982F93"/>
    <w:rsid w:val="009841F0"/>
    <w:rsid w:val="0098542B"/>
    <w:rsid w:val="0098599F"/>
    <w:rsid w:val="00986AB3"/>
    <w:rsid w:val="00987ABE"/>
    <w:rsid w:val="009906C7"/>
    <w:rsid w:val="00995999"/>
    <w:rsid w:val="009963CD"/>
    <w:rsid w:val="00996856"/>
    <w:rsid w:val="009A187D"/>
    <w:rsid w:val="009A36B5"/>
    <w:rsid w:val="009A5800"/>
    <w:rsid w:val="009A5C14"/>
    <w:rsid w:val="009A6864"/>
    <w:rsid w:val="009A71A8"/>
    <w:rsid w:val="009A79B5"/>
    <w:rsid w:val="009B23B9"/>
    <w:rsid w:val="009B266D"/>
    <w:rsid w:val="009B53E0"/>
    <w:rsid w:val="009B5CBF"/>
    <w:rsid w:val="009B6B39"/>
    <w:rsid w:val="009C184A"/>
    <w:rsid w:val="009C2CA5"/>
    <w:rsid w:val="009C373F"/>
    <w:rsid w:val="009C3C8A"/>
    <w:rsid w:val="009C3D92"/>
    <w:rsid w:val="009C5E33"/>
    <w:rsid w:val="009C5F36"/>
    <w:rsid w:val="009D0642"/>
    <w:rsid w:val="009D190F"/>
    <w:rsid w:val="009D2647"/>
    <w:rsid w:val="009D3092"/>
    <w:rsid w:val="009D3863"/>
    <w:rsid w:val="009E1A43"/>
    <w:rsid w:val="009E26DF"/>
    <w:rsid w:val="009E3200"/>
    <w:rsid w:val="009E3763"/>
    <w:rsid w:val="009E44E9"/>
    <w:rsid w:val="009E7E40"/>
    <w:rsid w:val="009E7FD8"/>
    <w:rsid w:val="009F0642"/>
    <w:rsid w:val="009F1528"/>
    <w:rsid w:val="009F2D95"/>
    <w:rsid w:val="009F351F"/>
    <w:rsid w:val="009F3F89"/>
    <w:rsid w:val="009F480E"/>
    <w:rsid w:val="009F4D46"/>
    <w:rsid w:val="009F5215"/>
    <w:rsid w:val="009F553F"/>
    <w:rsid w:val="009F63AA"/>
    <w:rsid w:val="009F68CA"/>
    <w:rsid w:val="009F6E17"/>
    <w:rsid w:val="00A013E1"/>
    <w:rsid w:val="00A022A2"/>
    <w:rsid w:val="00A02D15"/>
    <w:rsid w:val="00A054DC"/>
    <w:rsid w:val="00A06017"/>
    <w:rsid w:val="00A063EF"/>
    <w:rsid w:val="00A06D91"/>
    <w:rsid w:val="00A1119B"/>
    <w:rsid w:val="00A11403"/>
    <w:rsid w:val="00A13D0E"/>
    <w:rsid w:val="00A202C8"/>
    <w:rsid w:val="00A23A2C"/>
    <w:rsid w:val="00A241CF"/>
    <w:rsid w:val="00A248CA"/>
    <w:rsid w:val="00A24B86"/>
    <w:rsid w:val="00A26B0D"/>
    <w:rsid w:val="00A27FEA"/>
    <w:rsid w:val="00A31CFA"/>
    <w:rsid w:val="00A32688"/>
    <w:rsid w:val="00A33BF8"/>
    <w:rsid w:val="00A3735A"/>
    <w:rsid w:val="00A42C1D"/>
    <w:rsid w:val="00A42F1B"/>
    <w:rsid w:val="00A4456F"/>
    <w:rsid w:val="00A44985"/>
    <w:rsid w:val="00A44D82"/>
    <w:rsid w:val="00A51639"/>
    <w:rsid w:val="00A5222E"/>
    <w:rsid w:val="00A546BC"/>
    <w:rsid w:val="00A55989"/>
    <w:rsid w:val="00A5694A"/>
    <w:rsid w:val="00A56E2F"/>
    <w:rsid w:val="00A5708B"/>
    <w:rsid w:val="00A57A45"/>
    <w:rsid w:val="00A60A7E"/>
    <w:rsid w:val="00A6204D"/>
    <w:rsid w:val="00A63662"/>
    <w:rsid w:val="00A6376B"/>
    <w:rsid w:val="00A639EB"/>
    <w:rsid w:val="00A63B1D"/>
    <w:rsid w:val="00A63DA4"/>
    <w:rsid w:val="00A70E2A"/>
    <w:rsid w:val="00A749AB"/>
    <w:rsid w:val="00A75A99"/>
    <w:rsid w:val="00A75CD5"/>
    <w:rsid w:val="00A7754B"/>
    <w:rsid w:val="00A80B6C"/>
    <w:rsid w:val="00A813EC"/>
    <w:rsid w:val="00A83DA8"/>
    <w:rsid w:val="00A83DF3"/>
    <w:rsid w:val="00A8484F"/>
    <w:rsid w:val="00A85915"/>
    <w:rsid w:val="00A85EEA"/>
    <w:rsid w:val="00A952AB"/>
    <w:rsid w:val="00A96685"/>
    <w:rsid w:val="00A9783D"/>
    <w:rsid w:val="00AA3092"/>
    <w:rsid w:val="00AA3124"/>
    <w:rsid w:val="00AA45E6"/>
    <w:rsid w:val="00AA58D8"/>
    <w:rsid w:val="00AB22CD"/>
    <w:rsid w:val="00AB3431"/>
    <w:rsid w:val="00AB489C"/>
    <w:rsid w:val="00AB50C1"/>
    <w:rsid w:val="00AB6936"/>
    <w:rsid w:val="00AC0C3B"/>
    <w:rsid w:val="00AC2D63"/>
    <w:rsid w:val="00AC672F"/>
    <w:rsid w:val="00AC78FC"/>
    <w:rsid w:val="00AD037A"/>
    <w:rsid w:val="00AD03D8"/>
    <w:rsid w:val="00AD0711"/>
    <w:rsid w:val="00AD1648"/>
    <w:rsid w:val="00AD17EB"/>
    <w:rsid w:val="00AD5064"/>
    <w:rsid w:val="00AD5518"/>
    <w:rsid w:val="00AD704E"/>
    <w:rsid w:val="00AD7679"/>
    <w:rsid w:val="00AD7861"/>
    <w:rsid w:val="00AE2A33"/>
    <w:rsid w:val="00AE3856"/>
    <w:rsid w:val="00AE437B"/>
    <w:rsid w:val="00AE5FE0"/>
    <w:rsid w:val="00AE60B7"/>
    <w:rsid w:val="00AF1128"/>
    <w:rsid w:val="00AF1F09"/>
    <w:rsid w:val="00AF2AB7"/>
    <w:rsid w:val="00AF2B1C"/>
    <w:rsid w:val="00AF4D3F"/>
    <w:rsid w:val="00AF4D54"/>
    <w:rsid w:val="00AF50B3"/>
    <w:rsid w:val="00AF5A5C"/>
    <w:rsid w:val="00AF6A3A"/>
    <w:rsid w:val="00B010F2"/>
    <w:rsid w:val="00B01952"/>
    <w:rsid w:val="00B02065"/>
    <w:rsid w:val="00B0300B"/>
    <w:rsid w:val="00B03169"/>
    <w:rsid w:val="00B0516B"/>
    <w:rsid w:val="00B05457"/>
    <w:rsid w:val="00B06CC2"/>
    <w:rsid w:val="00B101E1"/>
    <w:rsid w:val="00B11D18"/>
    <w:rsid w:val="00B12442"/>
    <w:rsid w:val="00B128A0"/>
    <w:rsid w:val="00B13FE5"/>
    <w:rsid w:val="00B14426"/>
    <w:rsid w:val="00B15D50"/>
    <w:rsid w:val="00B16F34"/>
    <w:rsid w:val="00B170BA"/>
    <w:rsid w:val="00B17666"/>
    <w:rsid w:val="00B20075"/>
    <w:rsid w:val="00B20240"/>
    <w:rsid w:val="00B23281"/>
    <w:rsid w:val="00B2566E"/>
    <w:rsid w:val="00B27571"/>
    <w:rsid w:val="00B30247"/>
    <w:rsid w:val="00B30918"/>
    <w:rsid w:val="00B34FDC"/>
    <w:rsid w:val="00B40B90"/>
    <w:rsid w:val="00B41569"/>
    <w:rsid w:val="00B4164B"/>
    <w:rsid w:val="00B41AB2"/>
    <w:rsid w:val="00B437F2"/>
    <w:rsid w:val="00B44CE5"/>
    <w:rsid w:val="00B450CA"/>
    <w:rsid w:val="00B46A71"/>
    <w:rsid w:val="00B52ECC"/>
    <w:rsid w:val="00B53E63"/>
    <w:rsid w:val="00B5409A"/>
    <w:rsid w:val="00B55574"/>
    <w:rsid w:val="00B55DC5"/>
    <w:rsid w:val="00B57749"/>
    <w:rsid w:val="00B57E39"/>
    <w:rsid w:val="00B6088E"/>
    <w:rsid w:val="00B6212D"/>
    <w:rsid w:val="00B64A24"/>
    <w:rsid w:val="00B64CB6"/>
    <w:rsid w:val="00B6525D"/>
    <w:rsid w:val="00B65ABA"/>
    <w:rsid w:val="00B6709A"/>
    <w:rsid w:val="00B6790F"/>
    <w:rsid w:val="00B67A14"/>
    <w:rsid w:val="00B7041A"/>
    <w:rsid w:val="00B7188A"/>
    <w:rsid w:val="00B71B3B"/>
    <w:rsid w:val="00B740F4"/>
    <w:rsid w:val="00B74E31"/>
    <w:rsid w:val="00B75B00"/>
    <w:rsid w:val="00B77393"/>
    <w:rsid w:val="00B778F2"/>
    <w:rsid w:val="00B80BBA"/>
    <w:rsid w:val="00B80F9A"/>
    <w:rsid w:val="00B81F51"/>
    <w:rsid w:val="00B86029"/>
    <w:rsid w:val="00B87D61"/>
    <w:rsid w:val="00B93948"/>
    <w:rsid w:val="00B9670A"/>
    <w:rsid w:val="00BA07DA"/>
    <w:rsid w:val="00BA26F7"/>
    <w:rsid w:val="00BA2D7C"/>
    <w:rsid w:val="00BA3F16"/>
    <w:rsid w:val="00BA4BC7"/>
    <w:rsid w:val="00BA55B7"/>
    <w:rsid w:val="00BA5E47"/>
    <w:rsid w:val="00BA7D57"/>
    <w:rsid w:val="00BB156E"/>
    <w:rsid w:val="00BB1992"/>
    <w:rsid w:val="00BB1C75"/>
    <w:rsid w:val="00BB3330"/>
    <w:rsid w:val="00BB47D7"/>
    <w:rsid w:val="00BB4A62"/>
    <w:rsid w:val="00BC01C1"/>
    <w:rsid w:val="00BC1668"/>
    <w:rsid w:val="00BC51C3"/>
    <w:rsid w:val="00BC5A34"/>
    <w:rsid w:val="00BC623A"/>
    <w:rsid w:val="00BD17F5"/>
    <w:rsid w:val="00BD2AEC"/>
    <w:rsid w:val="00BD54DA"/>
    <w:rsid w:val="00BD6E05"/>
    <w:rsid w:val="00BD7383"/>
    <w:rsid w:val="00BE12B4"/>
    <w:rsid w:val="00BE24AC"/>
    <w:rsid w:val="00BE4B91"/>
    <w:rsid w:val="00BE54D0"/>
    <w:rsid w:val="00BE7DAE"/>
    <w:rsid w:val="00BF088B"/>
    <w:rsid w:val="00BF6072"/>
    <w:rsid w:val="00BF6B6C"/>
    <w:rsid w:val="00BF7251"/>
    <w:rsid w:val="00BF7835"/>
    <w:rsid w:val="00BF7CA3"/>
    <w:rsid w:val="00BF7F28"/>
    <w:rsid w:val="00C01909"/>
    <w:rsid w:val="00C01A89"/>
    <w:rsid w:val="00C03411"/>
    <w:rsid w:val="00C03DC7"/>
    <w:rsid w:val="00C04C45"/>
    <w:rsid w:val="00C05787"/>
    <w:rsid w:val="00C102AA"/>
    <w:rsid w:val="00C11A14"/>
    <w:rsid w:val="00C13059"/>
    <w:rsid w:val="00C152AB"/>
    <w:rsid w:val="00C156D4"/>
    <w:rsid w:val="00C16740"/>
    <w:rsid w:val="00C167A3"/>
    <w:rsid w:val="00C17E31"/>
    <w:rsid w:val="00C2181C"/>
    <w:rsid w:val="00C221B5"/>
    <w:rsid w:val="00C24075"/>
    <w:rsid w:val="00C2657D"/>
    <w:rsid w:val="00C30223"/>
    <w:rsid w:val="00C34486"/>
    <w:rsid w:val="00C35960"/>
    <w:rsid w:val="00C3684E"/>
    <w:rsid w:val="00C369E8"/>
    <w:rsid w:val="00C36A82"/>
    <w:rsid w:val="00C36EA9"/>
    <w:rsid w:val="00C37D32"/>
    <w:rsid w:val="00C406FF"/>
    <w:rsid w:val="00C40D96"/>
    <w:rsid w:val="00C412FB"/>
    <w:rsid w:val="00C416E1"/>
    <w:rsid w:val="00C42473"/>
    <w:rsid w:val="00C4410B"/>
    <w:rsid w:val="00C44441"/>
    <w:rsid w:val="00C46B7C"/>
    <w:rsid w:val="00C47BF8"/>
    <w:rsid w:val="00C51308"/>
    <w:rsid w:val="00C51B1C"/>
    <w:rsid w:val="00C521FC"/>
    <w:rsid w:val="00C53DCE"/>
    <w:rsid w:val="00C548E8"/>
    <w:rsid w:val="00C54950"/>
    <w:rsid w:val="00C55B95"/>
    <w:rsid w:val="00C60453"/>
    <w:rsid w:val="00C606B1"/>
    <w:rsid w:val="00C61602"/>
    <w:rsid w:val="00C64317"/>
    <w:rsid w:val="00C655F2"/>
    <w:rsid w:val="00C65830"/>
    <w:rsid w:val="00C65B61"/>
    <w:rsid w:val="00C65C9A"/>
    <w:rsid w:val="00C67642"/>
    <w:rsid w:val="00C70460"/>
    <w:rsid w:val="00C70E53"/>
    <w:rsid w:val="00C71A8A"/>
    <w:rsid w:val="00C72979"/>
    <w:rsid w:val="00C748CC"/>
    <w:rsid w:val="00C767F8"/>
    <w:rsid w:val="00C8082B"/>
    <w:rsid w:val="00C80D77"/>
    <w:rsid w:val="00C81529"/>
    <w:rsid w:val="00C81696"/>
    <w:rsid w:val="00C81BA6"/>
    <w:rsid w:val="00C8377C"/>
    <w:rsid w:val="00C871CB"/>
    <w:rsid w:val="00C877CD"/>
    <w:rsid w:val="00C902E9"/>
    <w:rsid w:val="00C908B7"/>
    <w:rsid w:val="00C91D81"/>
    <w:rsid w:val="00C92A42"/>
    <w:rsid w:val="00C9327A"/>
    <w:rsid w:val="00C932B0"/>
    <w:rsid w:val="00C937A0"/>
    <w:rsid w:val="00C9550F"/>
    <w:rsid w:val="00C95FB6"/>
    <w:rsid w:val="00C96ED4"/>
    <w:rsid w:val="00C975ED"/>
    <w:rsid w:val="00CA0835"/>
    <w:rsid w:val="00CA09B8"/>
    <w:rsid w:val="00CA1609"/>
    <w:rsid w:val="00CA18F2"/>
    <w:rsid w:val="00CA46AD"/>
    <w:rsid w:val="00CA4871"/>
    <w:rsid w:val="00CA4C2F"/>
    <w:rsid w:val="00CA6722"/>
    <w:rsid w:val="00CA6D4E"/>
    <w:rsid w:val="00CA70C4"/>
    <w:rsid w:val="00CA7B4B"/>
    <w:rsid w:val="00CB156E"/>
    <w:rsid w:val="00CB23BC"/>
    <w:rsid w:val="00CB2E34"/>
    <w:rsid w:val="00CB36A8"/>
    <w:rsid w:val="00CB47AF"/>
    <w:rsid w:val="00CB6802"/>
    <w:rsid w:val="00CB6ECD"/>
    <w:rsid w:val="00CC0C14"/>
    <w:rsid w:val="00CC139A"/>
    <w:rsid w:val="00CC1C18"/>
    <w:rsid w:val="00CC1E7A"/>
    <w:rsid w:val="00CC4F64"/>
    <w:rsid w:val="00CC5E88"/>
    <w:rsid w:val="00CC71B7"/>
    <w:rsid w:val="00CD058C"/>
    <w:rsid w:val="00CD3B98"/>
    <w:rsid w:val="00CD4216"/>
    <w:rsid w:val="00CD5870"/>
    <w:rsid w:val="00CD733F"/>
    <w:rsid w:val="00CE025F"/>
    <w:rsid w:val="00CE0942"/>
    <w:rsid w:val="00CE41BE"/>
    <w:rsid w:val="00CE66FB"/>
    <w:rsid w:val="00CE7CA5"/>
    <w:rsid w:val="00CF1D81"/>
    <w:rsid w:val="00CF2DC9"/>
    <w:rsid w:val="00CF3B83"/>
    <w:rsid w:val="00CF4049"/>
    <w:rsid w:val="00CF46B8"/>
    <w:rsid w:val="00CF7CB6"/>
    <w:rsid w:val="00D00973"/>
    <w:rsid w:val="00D03978"/>
    <w:rsid w:val="00D073A5"/>
    <w:rsid w:val="00D12B27"/>
    <w:rsid w:val="00D1731E"/>
    <w:rsid w:val="00D212B5"/>
    <w:rsid w:val="00D21807"/>
    <w:rsid w:val="00D22C3C"/>
    <w:rsid w:val="00D24DA1"/>
    <w:rsid w:val="00D257E1"/>
    <w:rsid w:val="00D30A8A"/>
    <w:rsid w:val="00D311AB"/>
    <w:rsid w:val="00D325A8"/>
    <w:rsid w:val="00D3358D"/>
    <w:rsid w:val="00D338FD"/>
    <w:rsid w:val="00D354E2"/>
    <w:rsid w:val="00D442AD"/>
    <w:rsid w:val="00D5000B"/>
    <w:rsid w:val="00D514EE"/>
    <w:rsid w:val="00D527E0"/>
    <w:rsid w:val="00D52F67"/>
    <w:rsid w:val="00D53E7D"/>
    <w:rsid w:val="00D545C5"/>
    <w:rsid w:val="00D548CD"/>
    <w:rsid w:val="00D54940"/>
    <w:rsid w:val="00D5597B"/>
    <w:rsid w:val="00D5618A"/>
    <w:rsid w:val="00D56BEF"/>
    <w:rsid w:val="00D5784B"/>
    <w:rsid w:val="00D6184A"/>
    <w:rsid w:val="00D62ABD"/>
    <w:rsid w:val="00D6394E"/>
    <w:rsid w:val="00D63EFB"/>
    <w:rsid w:val="00D652EF"/>
    <w:rsid w:val="00D658AF"/>
    <w:rsid w:val="00D67E83"/>
    <w:rsid w:val="00D703CE"/>
    <w:rsid w:val="00D70E95"/>
    <w:rsid w:val="00D70FC1"/>
    <w:rsid w:val="00D72B56"/>
    <w:rsid w:val="00D7432A"/>
    <w:rsid w:val="00D76345"/>
    <w:rsid w:val="00D76D66"/>
    <w:rsid w:val="00D839C9"/>
    <w:rsid w:val="00D83DE9"/>
    <w:rsid w:val="00D8450D"/>
    <w:rsid w:val="00D84E88"/>
    <w:rsid w:val="00D91BE1"/>
    <w:rsid w:val="00D925C4"/>
    <w:rsid w:val="00D92F5E"/>
    <w:rsid w:val="00D950AD"/>
    <w:rsid w:val="00D95AF9"/>
    <w:rsid w:val="00D971B8"/>
    <w:rsid w:val="00DA09C9"/>
    <w:rsid w:val="00DA1822"/>
    <w:rsid w:val="00DA3727"/>
    <w:rsid w:val="00DB3075"/>
    <w:rsid w:val="00DB5E1F"/>
    <w:rsid w:val="00DB7909"/>
    <w:rsid w:val="00DC1964"/>
    <w:rsid w:val="00DC19D8"/>
    <w:rsid w:val="00DC2022"/>
    <w:rsid w:val="00DC2461"/>
    <w:rsid w:val="00DC2613"/>
    <w:rsid w:val="00DC4512"/>
    <w:rsid w:val="00DD06F2"/>
    <w:rsid w:val="00DD17D3"/>
    <w:rsid w:val="00DD1F44"/>
    <w:rsid w:val="00DD3691"/>
    <w:rsid w:val="00DD4B55"/>
    <w:rsid w:val="00DD55A1"/>
    <w:rsid w:val="00DD7DB7"/>
    <w:rsid w:val="00DE0D44"/>
    <w:rsid w:val="00DE1E90"/>
    <w:rsid w:val="00DE24E6"/>
    <w:rsid w:val="00DE2856"/>
    <w:rsid w:val="00DE437D"/>
    <w:rsid w:val="00DE4B1A"/>
    <w:rsid w:val="00DF07AD"/>
    <w:rsid w:val="00DF10DC"/>
    <w:rsid w:val="00DF116E"/>
    <w:rsid w:val="00DF1F00"/>
    <w:rsid w:val="00DF23DF"/>
    <w:rsid w:val="00DF30A0"/>
    <w:rsid w:val="00DF3364"/>
    <w:rsid w:val="00DF5E7E"/>
    <w:rsid w:val="00DF617B"/>
    <w:rsid w:val="00E02226"/>
    <w:rsid w:val="00E05528"/>
    <w:rsid w:val="00E055BB"/>
    <w:rsid w:val="00E1130D"/>
    <w:rsid w:val="00E11988"/>
    <w:rsid w:val="00E12D3B"/>
    <w:rsid w:val="00E14379"/>
    <w:rsid w:val="00E15DA9"/>
    <w:rsid w:val="00E2095D"/>
    <w:rsid w:val="00E20E77"/>
    <w:rsid w:val="00E20FD8"/>
    <w:rsid w:val="00E2286A"/>
    <w:rsid w:val="00E2481A"/>
    <w:rsid w:val="00E266E9"/>
    <w:rsid w:val="00E30295"/>
    <w:rsid w:val="00E30414"/>
    <w:rsid w:val="00E3133D"/>
    <w:rsid w:val="00E34E58"/>
    <w:rsid w:val="00E36EE5"/>
    <w:rsid w:val="00E3702B"/>
    <w:rsid w:val="00E40179"/>
    <w:rsid w:val="00E40688"/>
    <w:rsid w:val="00E40769"/>
    <w:rsid w:val="00E43506"/>
    <w:rsid w:val="00E44282"/>
    <w:rsid w:val="00E44A7C"/>
    <w:rsid w:val="00E46FFB"/>
    <w:rsid w:val="00E472A6"/>
    <w:rsid w:val="00E51AA4"/>
    <w:rsid w:val="00E527E0"/>
    <w:rsid w:val="00E536B1"/>
    <w:rsid w:val="00E547A9"/>
    <w:rsid w:val="00E60F12"/>
    <w:rsid w:val="00E63B79"/>
    <w:rsid w:val="00E64EF2"/>
    <w:rsid w:val="00E652FB"/>
    <w:rsid w:val="00E65E20"/>
    <w:rsid w:val="00E65FA9"/>
    <w:rsid w:val="00E66C20"/>
    <w:rsid w:val="00E67E11"/>
    <w:rsid w:val="00E70330"/>
    <w:rsid w:val="00E71966"/>
    <w:rsid w:val="00E719FD"/>
    <w:rsid w:val="00E71C46"/>
    <w:rsid w:val="00E72580"/>
    <w:rsid w:val="00E72E95"/>
    <w:rsid w:val="00E75ED2"/>
    <w:rsid w:val="00E76204"/>
    <w:rsid w:val="00E82758"/>
    <w:rsid w:val="00E8280C"/>
    <w:rsid w:val="00E82ABD"/>
    <w:rsid w:val="00E82E6E"/>
    <w:rsid w:val="00E83E4C"/>
    <w:rsid w:val="00E84C2D"/>
    <w:rsid w:val="00E8595A"/>
    <w:rsid w:val="00E85D4A"/>
    <w:rsid w:val="00E87F63"/>
    <w:rsid w:val="00E91933"/>
    <w:rsid w:val="00E929F3"/>
    <w:rsid w:val="00E92A81"/>
    <w:rsid w:val="00E969B1"/>
    <w:rsid w:val="00EA19C4"/>
    <w:rsid w:val="00EA1E93"/>
    <w:rsid w:val="00EA6993"/>
    <w:rsid w:val="00EA7423"/>
    <w:rsid w:val="00EB1B81"/>
    <w:rsid w:val="00EB1C50"/>
    <w:rsid w:val="00EB201D"/>
    <w:rsid w:val="00EB2529"/>
    <w:rsid w:val="00EB27FB"/>
    <w:rsid w:val="00EB3D51"/>
    <w:rsid w:val="00EB6552"/>
    <w:rsid w:val="00EC0AAA"/>
    <w:rsid w:val="00EC18E6"/>
    <w:rsid w:val="00EC1984"/>
    <w:rsid w:val="00EC234C"/>
    <w:rsid w:val="00EC3FA6"/>
    <w:rsid w:val="00EC53EE"/>
    <w:rsid w:val="00EC6A55"/>
    <w:rsid w:val="00EC6E9B"/>
    <w:rsid w:val="00ED0A8F"/>
    <w:rsid w:val="00ED3529"/>
    <w:rsid w:val="00ED4403"/>
    <w:rsid w:val="00ED4D17"/>
    <w:rsid w:val="00ED624C"/>
    <w:rsid w:val="00EE1D2B"/>
    <w:rsid w:val="00EE697D"/>
    <w:rsid w:val="00EE6CD3"/>
    <w:rsid w:val="00EE79A4"/>
    <w:rsid w:val="00EF2052"/>
    <w:rsid w:val="00EF20D7"/>
    <w:rsid w:val="00EF3419"/>
    <w:rsid w:val="00EF38B3"/>
    <w:rsid w:val="00EF455B"/>
    <w:rsid w:val="00EF78F7"/>
    <w:rsid w:val="00EF7FE4"/>
    <w:rsid w:val="00F0119C"/>
    <w:rsid w:val="00F02BDB"/>
    <w:rsid w:val="00F032D0"/>
    <w:rsid w:val="00F04073"/>
    <w:rsid w:val="00F0441B"/>
    <w:rsid w:val="00F074C9"/>
    <w:rsid w:val="00F07623"/>
    <w:rsid w:val="00F07738"/>
    <w:rsid w:val="00F1197E"/>
    <w:rsid w:val="00F12FB7"/>
    <w:rsid w:val="00F13074"/>
    <w:rsid w:val="00F13FA5"/>
    <w:rsid w:val="00F15107"/>
    <w:rsid w:val="00F167C8"/>
    <w:rsid w:val="00F171EF"/>
    <w:rsid w:val="00F223FF"/>
    <w:rsid w:val="00F30786"/>
    <w:rsid w:val="00F3136B"/>
    <w:rsid w:val="00F314F1"/>
    <w:rsid w:val="00F327EA"/>
    <w:rsid w:val="00F35257"/>
    <w:rsid w:val="00F35A9E"/>
    <w:rsid w:val="00F42842"/>
    <w:rsid w:val="00F44D1D"/>
    <w:rsid w:val="00F46AF4"/>
    <w:rsid w:val="00F46E40"/>
    <w:rsid w:val="00F4760A"/>
    <w:rsid w:val="00F50226"/>
    <w:rsid w:val="00F5078D"/>
    <w:rsid w:val="00F52B8E"/>
    <w:rsid w:val="00F53CFD"/>
    <w:rsid w:val="00F54AF5"/>
    <w:rsid w:val="00F54FC7"/>
    <w:rsid w:val="00F557E3"/>
    <w:rsid w:val="00F57544"/>
    <w:rsid w:val="00F61E78"/>
    <w:rsid w:val="00F62772"/>
    <w:rsid w:val="00F62789"/>
    <w:rsid w:val="00F635C5"/>
    <w:rsid w:val="00F65498"/>
    <w:rsid w:val="00F7213D"/>
    <w:rsid w:val="00F72F68"/>
    <w:rsid w:val="00F736E3"/>
    <w:rsid w:val="00F75985"/>
    <w:rsid w:val="00F767E8"/>
    <w:rsid w:val="00F77F68"/>
    <w:rsid w:val="00F80C80"/>
    <w:rsid w:val="00F81B32"/>
    <w:rsid w:val="00F85232"/>
    <w:rsid w:val="00F8584C"/>
    <w:rsid w:val="00F86A3F"/>
    <w:rsid w:val="00F87FBD"/>
    <w:rsid w:val="00F91297"/>
    <w:rsid w:val="00F9133B"/>
    <w:rsid w:val="00F93322"/>
    <w:rsid w:val="00F94826"/>
    <w:rsid w:val="00F96A54"/>
    <w:rsid w:val="00F96C49"/>
    <w:rsid w:val="00F97036"/>
    <w:rsid w:val="00F97304"/>
    <w:rsid w:val="00F97730"/>
    <w:rsid w:val="00FA7706"/>
    <w:rsid w:val="00FB0E9C"/>
    <w:rsid w:val="00FB225D"/>
    <w:rsid w:val="00FB32A4"/>
    <w:rsid w:val="00FB50CC"/>
    <w:rsid w:val="00FB5141"/>
    <w:rsid w:val="00FB594D"/>
    <w:rsid w:val="00FB640E"/>
    <w:rsid w:val="00FB6D50"/>
    <w:rsid w:val="00FC00E3"/>
    <w:rsid w:val="00FC2349"/>
    <w:rsid w:val="00FC29F9"/>
    <w:rsid w:val="00FC3339"/>
    <w:rsid w:val="00FC49BB"/>
    <w:rsid w:val="00FC782A"/>
    <w:rsid w:val="00FD143E"/>
    <w:rsid w:val="00FD33C7"/>
    <w:rsid w:val="00FD43F6"/>
    <w:rsid w:val="00FD616B"/>
    <w:rsid w:val="00FD62C2"/>
    <w:rsid w:val="00FE0C57"/>
    <w:rsid w:val="00FE367F"/>
    <w:rsid w:val="00FE6AFE"/>
    <w:rsid w:val="00FF1E49"/>
    <w:rsid w:val="00FF29DC"/>
    <w:rsid w:val="00FF29F7"/>
    <w:rsid w:val="00FF3CA0"/>
    <w:rsid w:val="00FF47D3"/>
    <w:rsid w:val="00FF50B5"/>
    <w:rsid w:val="00FF5C41"/>
    <w:rsid w:val="00FF6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3CB52EA4"/>
  <w15:docId w15:val="{2C41A754-6BBA-44DD-A59F-2B42F3F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EF2052"/>
    <w:pPr>
      <w:keepNext/>
      <w:keepLines/>
      <w:spacing w:before="520" w:after="440" w:line="440" w:lineRule="atLeast"/>
      <w:outlineLvl w:val="0"/>
    </w:pPr>
    <w:rPr>
      <w:rFonts w:ascii="Arial" w:hAnsi="Arial"/>
      <w:bCs/>
      <w:color w:val="D50032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B50C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F2052"/>
    <w:rPr>
      <w:rFonts w:ascii="Arial" w:hAnsi="Arial"/>
      <w:bCs/>
      <w:color w:val="D500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AB50C1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link w:val="HeaderChar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rsid w:val="00EA6F2B"/>
    <w:rPr>
      <w:sz w:val="24"/>
      <w:szCs w:val="24"/>
    </w:rPr>
  </w:style>
  <w:style w:type="character" w:styleId="EndnoteReference">
    <w:name w:val="endnote reference"/>
    <w:aliases w:val="Endnote Text Char"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AB50C1"/>
    <w:pPr>
      <w:keepLines/>
      <w:spacing w:after="240" w:line="580" w:lineRule="atLeast"/>
    </w:pPr>
    <w:rPr>
      <w:rFonts w:ascii="Arial" w:hAnsi="Arial"/>
      <w:color w:val="D50032"/>
      <w:sz w:val="50"/>
      <w:szCs w:val="24"/>
      <w:lang w:eastAsia="en-US"/>
    </w:rPr>
  </w:style>
  <w:style w:type="paragraph" w:styleId="FootnoteText">
    <w:name w:val="footnote text"/>
    <w:basedOn w:val="Normal"/>
    <w:link w:val="FootnoteTextChar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39"/>
    <w:rsid w:val="00862D33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862D33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862D33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862D33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link w:val="DHHSbodyChar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CF7CB6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99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CF7CB6"/>
    <w:pPr>
      <w:numPr>
        <w:numId w:val="2"/>
      </w:numPr>
    </w:pPr>
  </w:style>
  <w:style w:type="paragraph" w:customStyle="1" w:styleId="DHHStablecolhead">
    <w:name w:val="DHHS table col head"/>
    <w:uiPriority w:val="3"/>
    <w:qFormat/>
    <w:rsid w:val="00AB50C1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B50C1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B50C1"/>
    <w:rPr>
      <w:rFonts w:ascii="Arial" w:hAnsi="Arial"/>
      <w:bCs/>
      <w:color w:val="D50032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CF7CB6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E3B4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F1E49"/>
    <w:rPr>
      <w:rFonts w:ascii="Arial" w:eastAsia="MS Gothic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nhideWhenUsed/>
    <w:rsid w:val="00D7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6345"/>
  </w:style>
  <w:style w:type="character" w:customStyle="1" w:styleId="CommentTextChar">
    <w:name w:val="Comment Text Char"/>
    <w:basedOn w:val="DefaultParagraphFont"/>
    <w:link w:val="CommentText"/>
    <w:rsid w:val="00D7634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45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62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lthheading2">
    <w:name w:val="Health heading 2"/>
    <w:next w:val="Normal"/>
    <w:link w:val="Healthheading2Char"/>
    <w:rsid w:val="00C54950"/>
    <w:pPr>
      <w:keepNext/>
      <w:keepLines/>
      <w:pageBreakBefore/>
      <w:spacing w:before="240" w:after="90" w:line="320" w:lineRule="atLeast"/>
    </w:pPr>
    <w:rPr>
      <w:rFonts w:ascii="Arial" w:hAnsi="Arial"/>
      <w:b/>
      <w:bCs/>
      <w:color w:val="F26B73"/>
      <w:sz w:val="32"/>
      <w:szCs w:val="32"/>
      <w:lang w:eastAsia="en-US"/>
    </w:rPr>
  </w:style>
  <w:style w:type="character" w:customStyle="1" w:styleId="Healthheading2Char">
    <w:name w:val="Health heading 2 Char"/>
    <w:link w:val="Healthheading2"/>
    <w:rsid w:val="00C54950"/>
    <w:rPr>
      <w:rFonts w:ascii="Arial" w:hAnsi="Arial"/>
      <w:b/>
      <w:bCs/>
      <w:color w:val="F26B73"/>
      <w:sz w:val="32"/>
      <w:szCs w:val="32"/>
      <w:lang w:eastAsia="en-US"/>
    </w:rPr>
  </w:style>
  <w:style w:type="paragraph" w:customStyle="1" w:styleId="AttributeSubheading">
    <w:name w:val="Attribute Subheading"/>
    <w:basedOn w:val="Normal"/>
    <w:link w:val="AttributeSubheadingChar"/>
    <w:qFormat/>
    <w:rsid w:val="00C54950"/>
    <w:pPr>
      <w:keepNext/>
      <w:keepLines/>
    </w:pPr>
    <w:rPr>
      <w:rFonts w:ascii="Times New Roman" w:hAnsi="Times New Roman"/>
      <w:i/>
      <w:szCs w:val="24"/>
      <w:lang w:eastAsia="en-AU"/>
    </w:rPr>
  </w:style>
  <w:style w:type="character" w:customStyle="1" w:styleId="AttributeSubheadingChar">
    <w:name w:val="Attribute Subheading Char"/>
    <w:link w:val="AttributeSubheading"/>
    <w:rsid w:val="00C54950"/>
    <w:rPr>
      <w:i/>
      <w:szCs w:val="24"/>
    </w:rPr>
  </w:style>
  <w:style w:type="paragraph" w:customStyle="1" w:styleId="Healthtablebullet">
    <w:name w:val="Health table bullet"/>
    <w:basedOn w:val="Normal"/>
    <w:qFormat/>
    <w:rsid w:val="00C54950"/>
    <w:pPr>
      <w:numPr>
        <w:numId w:val="4"/>
      </w:numPr>
      <w:spacing w:after="40" w:line="220" w:lineRule="atLeast"/>
    </w:pPr>
    <w:rPr>
      <w:rFonts w:ascii="Arial" w:eastAsia="MS Mincho" w:hAnsi="Arial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C54950"/>
    <w:rPr>
      <w:rFonts w:ascii="Cambria" w:hAnsi="Cambria"/>
      <w:lang w:eastAsia="en-US"/>
    </w:rPr>
  </w:style>
  <w:style w:type="paragraph" w:customStyle="1" w:styleId="Healthbullet2">
    <w:name w:val="Health bullet 2"/>
    <w:basedOn w:val="Normal"/>
    <w:qFormat/>
    <w:rsid w:val="00C54950"/>
    <w:pPr>
      <w:numPr>
        <w:numId w:val="5"/>
      </w:numPr>
      <w:spacing w:after="40" w:line="270" w:lineRule="atLeast"/>
    </w:pPr>
    <w:rPr>
      <w:rFonts w:ascii="Arial" w:eastAsia="MS Mincho" w:hAnsi="Arial"/>
      <w:szCs w:val="24"/>
    </w:rPr>
  </w:style>
  <w:style w:type="paragraph" w:customStyle="1" w:styleId="VPDC">
    <w:name w:val="VPDC"/>
    <w:basedOn w:val="Healthheading2"/>
    <w:next w:val="Healthheading2"/>
    <w:link w:val="VPDCChar"/>
    <w:qFormat/>
    <w:rsid w:val="00C54950"/>
  </w:style>
  <w:style w:type="character" w:customStyle="1" w:styleId="VPDCChar">
    <w:name w:val="VPDC Char"/>
    <w:basedOn w:val="Healthheading2Char"/>
    <w:link w:val="VPDC"/>
    <w:rsid w:val="00C54950"/>
    <w:rPr>
      <w:rFonts w:ascii="Arial" w:hAnsi="Arial"/>
      <w:b/>
      <w:bCs/>
      <w:color w:val="F26B73"/>
      <w:sz w:val="32"/>
      <w:szCs w:val="32"/>
      <w:lang w:eastAsia="en-US"/>
    </w:rPr>
  </w:style>
  <w:style w:type="paragraph" w:customStyle="1" w:styleId="Arial10">
    <w:name w:val="Arial 10"/>
    <w:basedOn w:val="AttributeSubheading"/>
    <w:link w:val="Arial10Char"/>
    <w:qFormat/>
    <w:rsid w:val="00C54950"/>
    <w:pPr>
      <w:keepNext w:val="0"/>
    </w:pPr>
    <w:rPr>
      <w:rFonts w:ascii="Arial" w:hAnsi="Arial" w:cs="Arial"/>
      <w:i w:val="0"/>
      <w:color w:val="000000" w:themeColor="text1"/>
    </w:rPr>
  </w:style>
  <w:style w:type="character" w:customStyle="1" w:styleId="Arial10Char">
    <w:name w:val="Arial 10 Char"/>
    <w:basedOn w:val="AttributeSubheadingChar"/>
    <w:link w:val="Arial10"/>
    <w:rsid w:val="00C54950"/>
    <w:rPr>
      <w:rFonts w:ascii="Arial" w:hAnsi="Arial" w:cs="Arial"/>
      <w:i w:val="0"/>
      <w:color w:val="000000" w:themeColor="text1"/>
      <w:szCs w:val="24"/>
    </w:rPr>
  </w:style>
  <w:style w:type="paragraph" w:styleId="BodyText">
    <w:name w:val="Body Text"/>
    <w:basedOn w:val="Normal"/>
    <w:link w:val="BodyTextChar"/>
    <w:rsid w:val="00C54950"/>
    <w:rPr>
      <w:rFonts w:ascii="Verdana" w:hAnsi="Verdan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C54950"/>
    <w:rPr>
      <w:rFonts w:ascii="Verdana" w:hAnsi="Verdana"/>
      <w:sz w:val="18"/>
      <w:szCs w:val="24"/>
      <w:lang w:eastAsia="en-US"/>
    </w:rPr>
  </w:style>
  <w:style w:type="paragraph" w:customStyle="1" w:styleId="Healthheading1">
    <w:name w:val="Health heading 1"/>
    <w:qFormat/>
    <w:rsid w:val="00C54950"/>
    <w:pPr>
      <w:keepNext/>
      <w:keepLines/>
      <w:pageBreakBefore/>
      <w:spacing w:after="560" w:line="440" w:lineRule="atLeast"/>
    </w:pPr>
    <w:rPr>
      <w:rFonts w:ascii="Arial" w:hAnsi="Arial"/>
      <w:color w:val="F26B73"/>
      <w:sz w:val="44"/>
      <w:szCs w:val="24"/>
      <w:lang w:eastAsia="en-US"/>
    </w:rPr>
  </w:style>
  <w:style w:type="paragraph" w:customStyle="1" w:styleId="Healthbody">
    <w:name w:val="Health body"/>
    <w:link w:val="HealthbodyChar"/>
    <w:uiPriority w:val="99"/>
    <w:rsid w:val="00C54950"/>
    <w:pPr>
      <w:spacing w:after="120" w:line="270" w:lineRule="atLeast"/>
    </w:pPr>
    <w:rPr>
      <w:rFonts w:ascii="Arial" w:eastAsia="Times" w:hAnsi="Arial"/>
      <w:sz w:val="24"/>
      <w:szCs w:val="24"/>
      <w:lang w:eastAsia="en-US"/>
    </w:rPr>
  </w:style>
  <w:style w:type="paragraph" w:customStyle="1" w:styleId="Healthbodynospace">
    <w:name w:val="Health body no space"/>
    <w:basedOn w:val="Healthbody"/>
    <w:rsid w:val="00C54950"/>
    <w:pPr>
      <w:spacing w:after="0"/>
    </w:pPr>
  </w:style>
  <w:style w:type="paragraph" w:customStyle="1" w:styleId="Healthbullet2lastline">
    <w:name w:val="Health bullet 2 last line"/>
    <w:basedOn w:val="Healthbullet2"/>
    <w:rsid w:val="00C54950"/>
    <w:pPr>
      <w:numPr>
        <w:numId w:val="6"/>
      </w:numPr>
      <w:spacing w:after="120"/>
    </w:pPr>
    <w:rPr>
      <w:sz w:val="24"/>
    </w:rPr>
  </w:style>
  <w:style w:type="paragraph" w:customStyle="1" w:styleId="Healthbullet1">
    <w:name w:val="Health bullet 1"/>
    <w:basedOn w:val="Normal"/>
    <w:qFormat/>
    <w:rsid w:val="00C54950"/>
    <w:pPr>
      <w:spacing w:after="40" w:line="270" w:lineRule="atLeast"/>
      <w:ind w:left="284" w:hanging="284"/>
    </w:pPr>
    <w:rPr>
      <w:rFonts w:ascii="Arial" w:eastAsia="MS Mincho" w:hAnsi="Arial"/>
      <w:sz w:val="24"/>
      <w:szCs w:val="24"/>
    </w:rPr>
  </w:style>
  <w:style w:type="paragraph" w:customStyle="1" w:styleId="Healthheading4">
    <w:name w:val="Health heading 4"/>
    <w:next w:val="Healthbody"/>
    <w:uiPriority w:val="99"/>
    <w:rsid w:val="00C54950"/>
    <w:pPr>
      <w:keepNext/>
      <w:keepLines/>
      <w:spacing w:before="240" w:after="120" w:line="240" w:lineRule="atLeast"/>
    </w:pPr>
    <w:rPr>
      <w:rFonts w:ascii="Arial" w:hAnsi="Arial"/>
      <w:b/>
      <w:bCs/>
      <w:sz w:val="24"/>
      <w:szCs w:val="24"/>
      <w:lang w:eastAsia="en-US"/>
    </w:rPr>
  </w:style>
  <w:style w:type="paragraph" w:customStyle="1" w:styleId="Healthheading3">
    <w:name w:val="Health heading 3"/>
    <w:rsid w:val="00C54950"/>
    <w:pPr>
      <w:keepNext/>
      <w:keepLines/>
      <w:spacing w:before="280" w:after="120" w:line="280" w:lineRule="atLeast"/>
    </w:pPr>
    <w:rPr>
      <w:rFonts w:ascii="Arial" w:hAnsi="Arial"/>
      <w:b/>
      <w:sz w:val="24"/>
      <w:szCs w:val="24"/>
      <w:lang w:eastAsia="en-US"/>
    </w:rPr>
  </w:style>
  <w:style w:type="paragraph" w:customStyle="1" w:styleId="Healthreportsubtitle">
    <w:name w:val="Health report subtitle"/>
    <w:basedOn w:val="Normal"/>
    <w:rsid w:val="00C54950"/>
    <w:pPr>
      <w:spacing w:before="240" w:after="120" w:line="320" w:lineRule="atLeast"/>
    </w:pPr>
    <w:rPr>
      <w:rFonts w:ascii="Arial" w:hAnsi="Arial"/>
      <w:b/>
      <w:bCs/>
      <w:color w:val="000000"/>
      <w:sz w:val="28"/>
      <w:szCs w:val="28"/>
    </w:rPr>
  </w:style>
  <w:style w:type="paragraph" w:customStyle="1" w:styleId="Healthreportmaintitle">
    <w:name w:val="Health report main title"/>
    <w:rsid w:val="00C54950"/>
    <w:pPr>
      <w:keepLines/>
      <w:spacing w:after="560" w:line="440" w:lineRule="atLeast"/>
    </w:pPr>
    <w:rPr>
      <w:rFonts w:ascii="Arial" w:hAnsi="Arial"/>
      <w:color w:val="F26B73"/>
      <w:sz w:val="44"/>
      <w:szCs w:val="24"/>
      <w:lang w:eastAsia="en-US"/>
    </w:rPr>
  </w:style>
  <w:style w:type="paragraph" w:customStyle="1" w:styleId="Healthfooter">
    <w:name w:val="Health footer"/>
    <w:rsid w:val="00C54950"/>
    <w:pPr>
      <w:tabs>
        <w:tab w:val="right" w:pos="9299"/>
      </w:tabs>
    </w:pPr>
    <w:rPr>
      <w:rFonts w:ascii="Arial" w:hAnsi="Arial" w:cs="Arial"/>
      <w:color w:val="808080"/>
      <w:sz w:val="24"/>
      <w:szCs w:val="24"/>
      <w:lang w:eastAsia="en-US"/>
    </w:rPr>
  </w:style>
  <w:style w:type="paragraph" w:customStyle="1" w:styleId="Healthfootnote">
    <w:name w:val="Health footnote"/>
    <w:rsid w:val="00C54950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54950"/>
    <w:pPr>
      <w:spacing w:before="240" w:after="80" w:line="24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Healthfigurecaption">
    <w:name w:val="Health figure caption"/>
    <w:rsid w:val="00C54950"/>
    <w:pPr>
      <w:spacing w:before="240" w:after="120" w:line="24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Healthtablecolumnhead">
    <w:name w:val="Health table column head"/>
    <w:rsid w:val="00C54950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54950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OC1">
    <w:name w:val="Health TOC 1"/>
    <w:rsid w:val="00C54950"/>
    <w:pPr>
      <w:keepNext/>
      <w:keepLines/>
      <w:tabs>
        <w:tab w:val="right" w:pos="9299"/>
      </w:tabs>
      <w:spacing w:before="160" w:after="60" w:line="270" w:lineRule="atLeast"/>
      <w:ind w:left="567" w:hanging="567"/>
    </w:pPr>
    <w:rPr>
      <w:rFonts w:ascii="Arial" w:hAnsi="Arial"/>
      <w:b/>
      <w:noProof/>
      <w:sz w:val="24"/>
      <w:szCs w:val="24"/>
      <w:lang w:eastAsia="en-US"/>
    </w:rPr>
  </w:style>
  <w:style w:type="paragraph" w:customStyle="1" w:styleId="HealthTOC2">
    <w:name w:val="Health TOC 2"/>
    <w:basedOn w:val="HealthTOC1"/>
    <w:rsid w:val="00C54950"/>
    <w:pPr>
      <w:spacing w:before="0"/>
    </w:pPr>
    <w:rPr>
      <w:b w:val="0"/>
    </w:rPr>
  </w:style>
  <w:style w:type="paragraph" w:customStyle="1" w:styleId="HealthTOChead">
    <w:name w:val="Health TOC head"/>
    <w:basedOn w:val="Healthheading1"/>
    <w:rsid w:val="00C54950"/>
  </w:style>
  <w:style w:type="paragraph" w:customStyle="1" w:styleId="Healthreportmaintitlewhite">
    <w:name w:val="Health report main title white"/>
    <w:rsid w:val="00C54950"/>
    <w:pPr>
      <w:keepLines/>
      <w:spacing w:after="320" w:line="440" w:lineRule="atLeast"/>
    </w:pPr>
    <w:rPr>
      <w:rFonts w:ascii="Arial" w:hAnsi="Arial"/>
      <w:bCs/>
      <w:color w:val="FFFFFF"/>
      <w:sz w:val="44"/>
      <w:szCs w:val="44"/>
      <w:lang w:eastAsia="en-US"/>
    </w:rPr>
  </w:style>
  <w:style w:type="paragraph" w:customStyle="1" w:styleId="Healthaccessibilitypara">
    <w:name w:val="Health accessibility para"/>
    <w:basedOn w:val="Healthbody"/>
    <w:qFormat/>
    <w:rsid w:val="00C54950"/>
    <w:pPr>
      <w:spacing w:after="300" w:line="300" w:lineRule="atLeast"/>
    </w:pPr>
    <w:rPr>
      <w:szCs w:val="19"/>
    </w:rPr>
  </w:style>
  <w:style w:type="paragraph" w:customStyle="1" w:styleId="Healthreportsubtitlewhite">
    <w:name w:val="Health report subtitle white"/>
    <w:rsid w:val="00C54950"/>
    <w:pPr>
      <w:spacing w:before="240" w:after="120" w:line="320" w:lineRule="atLeast"/>
    </w:pPr>
    <w:rPr>
      <w:rFonts w:ascii="Arial" w:hAnsi="Arial"/>
      <w:bCs/>
      <w:color w:val="FFFFFF"/>
      <w:sz w:val="28"/>
      <w:szCs w:val="44"/>
      <w:lang w:eastAsia="en-US"/>
    </w:rPr>
  </w:style>
  <w:style w:type="paragraph" w:customStyle="1" w:styleId="Healthfootercover">
    <w:name w:val="Health footer cover"/>
    <w:rsid w:val="00C54950"/>
    <w:pPr>
      <w:ind w:right="-476"/>
      <w:jc w:val="right"/>
    </w:pPr>
    <w:rPr>
      <w:rFonts w:ascii="Arial" w:hAnsi="Arial"/>
      <w:color w:val="808080"/>
      <w:sz w:val="22"/>
      <w:szCs w:val="24"/>
      <w:lang w:eastAsia="en-US"/>
    </w:rPr>
  </w:style>
  <w:style w:type="paragraph" w:customStyle="1" w:styleId="Healthheader">
    <w:name w:val="Health header"/>
    <w:basedOn w:val="Healthfooter"/>
    <w:rsid w:val="00C54950"/>
  </w:style>
  <w:style w:type="character" w:customStyle="1" w:styleId="HeaderChar">
    <w:name w:val="Header Char"/>
    <w:link w:val="Header"/>
    <w:rsid w:val="00C54950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C54950"/>
    <w:rPr>
      <w:rFonts w:ascii="Arial" w:hAnsi="Arial" w:cs="Arial"/>
      <w:sz w:val="18"/>
      <w:szCs w:val="18"/>
      <w:lang w:eastAsia="en-US"/>
    </w:rPr>
  </w:style>
  <w:style w:type="paragraph" w:customStyle="1" w:styleId="HealthHeading2DC">
    <w:name w:val="Health Heading 2 DC"/>
    <w:basedOn w:val="Healthheading2"/>
    <w:link w:val="HealthHeading2DCChar"/>
    <w:qFormat/>
    <w:rsid w:val="00C54950"/>
    <w:pPr>
      <w:pageBreakBefore w:val="0"/>
    </w:pPr>
    <w:rPr>
      <w:sz w:val="28"/>
      <w:szCs w:val="24"/>
    </w:rPr>
  </w:style>
  <w:style w:type="character" w:customStyle="1" w:styleId="HealthHeading2DCChar">
    <w:name w:val="Health Heading 2 DC Char"/>
    <w:link w:val="HealthHeading2DC"/>
    <w:rsid w:val="00C54950"/>
    <w:rPr>
      <w:rFonts w:ascii="Arial" w:hAnsi="Arial"/>
      <w:b/>
      <w:bCs/>
      <w:color w:val="F26B73"/>
      <w:sz w:val="28"/>
      <w:szCs w:val="24"/>
      <w:lang w:eastAsia="en-US"/>
    </w:rPr>
  </w:style>
  <w:style w:type="paragraph" w:styleId="Revision">
    <w:name w:val="Revision"/>
    <w:hidden/>
    <w:uiPriority w:val="99"/>
    <w:rsid w:val="00C54950"/>
    <w:rPr>
      <w:rFonts w:ascii="Verdana" w:hAnsi="Verdana"/>
      <w:sz w:val="24"/>
      <w:szCs w:val="24"/>
      <w:lang w:eastAsia="en-US"/>
    </w:rPr>
  </w:style>
  <w:style w:type="paragraph" w:customStyle="1" w:styleId="DHbody">
    <w:name w:val="DH body"/>
    <w:link w:val="DHbodyChar"/>
    <w:rsid w:val="00C54950"/>
    <w:pPr>
      <w:spacing w:after="120" w:line="270" w:lineRule="exact"/>
    </w:pPr>
    <w:rPr>
      <w:rFonts w:ascii="Arial" w:eastAsia="Times" w:hAnsi="Arial"/>
      <w:sz w:val="24"/>
      <w:szCs w:val="24"/>
      <w:lang w:eastAsia="en-US"/>
    </w:rPr>
  </w:style>
  <w:style w:type="character" w:customStyle="1" w:styleId="DHbodyChar">
    <w:name w:val="DH body Char"/>
    <w:link w:val="DHbody"/>
    <w:rsid w:val="00C54950"/>
    <w:rPr>
      <w:rFonts w:ascii="Arial" w:eastAsia="Times" w:hAnsi="Arial"/>
      <w:sz w:val="24"/>
      <w:szCs w:val="24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rsid w:val="00C54950"/>
    <w:rPr>
      <w:rFonts w:ascii="Arial" w:eastAsia="Times" w:hAnsi="Arial"/>
      <w:sz w:val="24"/>
      <w:szCs w:val="24"/>
      <w:lang w:eastAsia="en-US"/>
    </w:rPr>
  </w:style>
  <w:style w:type="paragraph" w:customStyle="1" w:styleId="Tempheader2">
    <w:name w:val="Temp header2"/>
    <w:basedOn w:val="Healthheading2"/>
    <w:link w:val="Tempheader2Char"/>
    <w:qFormat/>
    <w:rsid w:val="00C54950"/>
    <w:pPr>
      <w:pageBreakBefore w:val="0"/>
      <w:spacing w:after="240"/>
    </w:pPr>
    <w:rPr>
      <w:rFonts w:cs="Arial"/>
      <w:sz w:val="28"/>
      <w:szCs w:val="24"/>
    </w:rPr>
  </w:style>
  <w:style w:type="character" w:customStyle="1" w:styleId="Tempheader2Char">
    <w:name w:val="Temp header2 Char"/>
    <w:link w:val="Tempheader2"/>
    <w:rsid w:val="00C54950"/>
    <w:rPr>
      <w:rFonts w:ascii="Arial" w:hAnsi="Arial" w:cs="Arial"/>
      <w:b/>
      <w:bCs/>
      <w:color w:val="F26B73"/>
      <w:sz w:val="28"/>
      <w:szCs w:val="24"/>
      <w:lang w:eastAsia="en-US"/>
    </w:rPr>
  </w:style>
  <w:style w:type="paragraph" w:customStyle="1" w:styleId="BulletDanielle">
    <w:name w:val="Bullet Danielle"/>
    <w:basedOn w:val="ListParagraph"/>
    <w:link w:val="BulletDanielleChar"/>
    <w:qFormat/>
    <w:rsid w:val="001A6508"/>
    <w:pPr>
      <w:keepNext/>
      <w:keepLines/>
      <w:numPr>
        <w:numId w:val="7"/>
      </w:numPr>
      <w:ind w:left="459" w:hanging="284"/>
    </w:pPr>
    <w:rPr>
      <w:rFonts w:ascii="Times New Roman" w:hAnsi="Times New Roman"/>
      <w:noProof/>
      <w:szCs w:val="24"/>
    </w:rPr>
  </w:style>
  <w:style w:type="character" w:customStyle="1" w:styleId="BulletDanielleChar">
    <w:name w:val="Bullet Danielle Char"/>
    <w:link w:val="BulletDanielle"/>
    <w:rsid w:val="001A6508"/>
    <w:rPr>
      <w:noProof/>
      <w:szCs w:val="24"/>
      <w:lang w:eastAsia="en-US"/>
    </w:rPr>
  </w:style>
  <w:style w:type="character" w:customStyle="1" w:styleId="DHHSbodyChar">
    <w:name w:val="DHHS body Char"/>
    <w:basedOn w:val="DefaultParagraphFont"/>
    <w:link w:val="DHHSbody"/>
    <w:rsid w:val="00740217"/>
    <w:rPr>
      <w:rFonts w:ascii="Arial" w:eastAsia="Times" w:hAnsi="Arial"/>
      <w:lang w:eastAsia="en-US"/>
    </w:rPr>
  </w:style>
  <w:style w:type="paragraph" w:customStyle="1" w:styleId="Heading2-VPDC">
    <w:name w:val="Heading 2 - VPDC"/>
    <w:basedOn w:val="Heading2"/>
    <w:link w:val="Heading2-VPDCChar"/>
    <w:autoRedefine/>
    <w:qFormat/>
    <w:rsid w:val="00736904"/>
    <w:pPr>
      <w:spacing w:before="0" w:after="240" w:line="200" w:lineRule="atLeast"/>
    </w:pPr>
    <w:rPr>
      <w:color w:val="CD004B"/>
    </w:rPr>
  </w:style>
  <w:style w:type="character" w:customStyle="1" w:styleId="Heading2-VPDCChar">
    <w:name w:val="Heading 2 - VPDC Char"/>
    <w:basedOn w:val="Healthheading2Char"/>
    <w:link w:val="Heading2-VPDC"/>
    <w:rsid w:val="00736904"/>
    <w:rPr>
      <w:rFonts w:ascii="Arial" w:hAnsi="Arial"/>
      <w:b/>
      <w:bCs w:val="0"/>
      <w:color w:val="CD004B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BA4"/>
    <w:rPr>
      <w:color w:val="605E5C"/>
      <w:shd w:val="clear" w:color="auto" w:fill="E1DFDD"/>
    </w:rPr>
  </w:style>
  <w:style w:type="paragraph" w:customStyle="1" w:styleId="Heading3-VPDC">
    <w:name w:val="Heading 3 - VPDC"/>
    <w:basedOn w:val="AttributeSubheading"/>
    <w:link w:val="Heading3-VPDCChar"/>
    <w:qFormat/>
    <w:rsid w:val="001C7B9A"/>
    <w:pPr>
      <w:keepNext w:val="0"/>
    </w:pPr>
    <w:rPr>
      <w:rFonts w:ascii="Arial" w:hAnsi="Arial" w:cs="Arial"/>
      <w:i w:val="0"/>
      <w:color w:val="C00000"/>
    </w:rPr>
  </w:style>
  <w:style w:type="character" w:customStyle="1" w:styleId="Heading3-VPDCChar">
    <w:name w:val="Heading 3 - VPDC Char"/>
    <w:basedOn w:val="AttributeSubheadingChar"/>
    <w:link w:val="Heading3-VPDC"/>
    <w:rsid w:val="001C7B9A"/>
    <w:rPr>
      <w:rFonts w:ascii="Arial" w:hAnsi="Arial" w:cs="Arial"/>
      <w:i w:val="0"/>
      <w:color w:val="C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ss.helpdesk@dhhs.vic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9DC7-838A-4679-8F3D-07EDCA10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678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4701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_Toc442704370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_Toc442704369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_Toc442704368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_Toc442704367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_Toc442704366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_Toc442704365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_Toc442704364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Gunther</dc:creator>
  <cp:lastModifiedBy>Joanne McLachlan (DHHS)</cp:lastModifiedBy>
  <cp:revision>8</cp:revision>
  <cp:lastPrinted>2020-01-13T00:25:00Z</cp:lastPrinted>
  <dcterms:created xsi:type="dcterms:W3CDTF">2020-01-09T03:54:00Z</dcterms:created>
  <dcterms:modified xsi:type="dcterms:W3CDTF">2020-01-13T00:26:00Z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