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301" w:rsidRDefault="00F43301" w:rsidP="00581ECB">
      <w:pPr>
        <w:spacing w:before="13500"/>
      </w:pPr>
    </w:p>
    <w:p w:rsidR="00356C8D" w:rsidRPr="000147AF" w:rsidRDefault="00593AA4" w:rsidP="00581ECB">
      <w:pPr>
        <w:spacing w:before="13500"/>
        <w:sectPr w:rsidR="00356C8D" w:rsidRPr="000147AF" w:rsidSect="00581ECB">
          <w:footerReference w:type="even" r:id="rId9"/>
          <w:footerReference w:type="default" r:id="rId10"/>
          <w:footerReference w:type="first" r:id="rId11"/>
          <w:endnotePr>
            <w:numFmt w:val="decimal"/>
          </w:endnotePr>
          <w:type w:val="continuous"/>
          <w:pgSz w:w="11906" w:h="16838"/>
          <w:pgMar w:top="1134" w:right="1304" w:bottom="1134" w:left="1304" w:header="454" w:footer="567" w:gutter="0"/>
          <w:pgNumType w:fmt="lowerRoman"/>
          <w:cols w:space="720"/>
          <w:titlePg/>
          <w:docGrid w:linePitch="360"/>
        </w:sectPr>
      </w:pPr>
      <w:r>
        <w:rPr>
          <w:noProof/>
          <w:lang w:eastAsia="en-AU"/>
        </w:rPr>
        <w:drawing>
          <wp:anchor distT="0" distB="0" distL="114300" distR="114300" simplePos="0" relativeHeight="251658240" behindDoc="1" locked="1" layoutInCell="1" allowOverlap="1" wp14:anchorId="0AE09749" wp14:editId="65187687">
            <wp:simplePos x="0" y="0"/>
            <wp:positionH relativeFrom="page">
              <wp:posOffset>0</wp:posOffset>
            </wp:positionH>
            <wp:positionV relativeFrom="page">
              <wp:posOffset>0</wp:posOffset>
            </wp:positionV>
            <wp:extent cx="7559040" cy="9946005"/>
            <wp:effectExtent l="0" t="0" r="381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59040" cy="9946005"/>
                    </a:xfrm>
                    <a:prstGeom prst="rect">
                      <a:avLst/>
                    </a:prstGeom>
                    <a:noFill/>
                  </pic:spPr>
                </pic:pic>
              </a:graphicData>
            </a:graphic>
          </wp:anchor>
        </w:drawing>
      </w:r>
      <w:r w:rsidR="000735FA">
        <w:rPr>
          <w:noProof/>
          <w:lang w:eastAsia="en-AU"/>
        </w:rPr>
        <mc:AlternateContent>
          <mc:Choice Requires="wps">
            <w:drawing>
              <wp:anchor distT="0" distB="0" distL="114300" distR="114300" simplePos="0" relativeHeight="251657216" behindDoc="0" locked="1" layoutInCell="1" allowOverlap="1">
                <wp:simplePos x="0" y="0"/>
                <wp:positionH relativeFrom="page">
                  <wp:posOffset>581025</wp:posOffset>
                </wp:positionH>
                <wp:positionV relativeFrom="page">
                  <wp:posOffset>2052320</wp:posOffset>
                </wp:positionV>
                <wp:extent cx="4211320" cy="2171700"/>
                <wp:effectExtent l="0" t="0" r="1778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1320" cy="2171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3A754E" w:rsidRDefault="003A754E" w:rsidP="004C6134">
                            <w:pPr>
                              <w:pStyle w:val="Healthreportmaintitlewhite"/>
                            </w:pPr>
                            <w:r>
                              <w:t>Transfer of care from acute inpatient services</w:t>
                            </w:r>
                          </w:p>
                          <w:p w:rsidR="003A754E" w:rsidRPr="006E20BB" w:rsidRDefault="003A754E" w:rsidP="004C6134">
                            <w:pPr>
                              <w:pStyle w:val="Healthreportmaintitlewhite"/>
                              <w:rPr>
                                <w:sz w:val="24"/>
                                <w:szCs w:val="24"/>
                              </w:rPr>
                            </w:pPr>
                            <w:r>
                              <w:rPr>
                                <w:sz w:val="24"/>
                                <w:szCs w:val="24"/>
                              </w:rPr>
                              <w:t>Guidelines for managing the transfer of care of acute inpatients from Victoria’s public health services</w:t>
                            </w:r>
                          </w:p>
                          <w:p w:rsidR="003A754E" w:rsidRPr="002C5A3F" w:rsidRDefault="003A754E" w:rsidP="00581ECB">
                            <w:pPr>
                              <w:pStyle w:val="Healthreportsubtitlewhi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45.75pt;margin-top:161.6pt;width:331.6pt;height:17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" filled="f" stroked="f" strokecolor="white">
                <v:textbox inset="0,0,0,0">
                  <w:txbxContent>
                    <w:p w:rsidR="003A754E" w:rsidRDefault="003A754E" w:rsidP="004C6134">
                      <w:pPr>
                        <w:pStyle w:val="Healthreportmaintitlewhite"/>
                      </w:pPr>
                      <w:r>
                        <w:t>Transfer of care from acute inpatient services</w:t>
                      </w:r>
                    </w:p>
                    <w:p w:rsidR="003A754E" w:rsidRPr="006E20BB" w:rsidRDefault="003A754E" w:rsidP="004C6134">
                      <w:pPr>
                        <w:pStyle w:val="Healthreportmaintitlewhite"/>
                        <w:rPr>
                          <w:sz w:val="24"/>
                          <w:szCs w:val="24"/>
                        </w:rPr>
                      </w:pPr>
                      <w:r>
                        <w:rPr>
                          <w:sz w:val="24"/>
                          <w:szCs w:val="24"/>
                        </w:rPr>
                        <w:t>Guidelines for managing the transfer of care of acute inpatients from Victoria’s public health services</w:t>
                      </w:r>
                    </w:p>
                    <w:p w:rsidR="003A754E" w:rsidRPr="002C5A3F" w:rsidRDefault="003A754E" w:rsidP="00581ECB">
                      <w:pPr>
                        <w:pStyle w:val="Healthreportsubtitlewhite"/>
                      </w:pPr>
                    </w:p>
                  </w:txbxContent>
                </v:textbox>
                <w10:wrap anchorx="page" anchory="page"/>
                <w10:anchorlock/>
              </v:shape>
            </w:pict>
          </mc:Fallback>
        </mc:AlternateContent>
      </w:r>
    </w:p>
    <w:p w:rsidR="00356C8D" w:rsidRDefault="00356C8D" w:rsidP="001A57A6">
      <w:pPr>
        <w:pStyle w:val="Healthreportmaintitle"/>
        <w:jc w:val="right"/>
      </w:pPr>
    </w:p>
    <w:p w:rsidR="00356C8D" w:rsidRDefault="00356C8D" w:rsidP="001A57A6">
      <w:pPr>
        <w:pStyle w:val="Healthreportmaintitle"/>
        <w:jc w:val="right"/>
      </w:pPr>
    </w:p>
    <w:p w:rsidR="00601F4C" w:rsidRDefault="00601F4C"/>
    <w:p w:rsidR="00601F4C" w:rsidRDefault="00601F4C"/>
    <w:p w:rsidR="00601F4C" w:rsidRDefault="00601F4C"/>
    <w:p w:rsidR="00601F4C" w:rsidRDefault="00601F4C"/>
    <w:p w:rsidR="00601F4C" w:rsidRDefault="00601F4C"/>
    <w:p w:rsidR="00601F4C" w:rsidRDefault="00601F4C"/>
    <w:p w:rsidR="00601F4C" w:rsidRDefault="00601F4C"/>
    <w:p w:rsidR="00601F4C" w:rsidRDefault="00601F4C"/>
    <w:p w:rsidR="00601F4C" w:rsidRDefault="00601F4C"/>
    <w:p w:rsidR="00601F4C" w:rsidRDefault="00601F4C"/>
    <w:p w:rsidR="00601F4C" w:rsidRDefault="00601F4C" w:rsidP="00601F4C">
      <w:pPr>
        <w:pStyle w:val="Healthbody"/>
        <w:spacing w:after="0" w:line="240" w:lineRule="auto"/>
        <w:rPr>
          <w:szCs w:val="19"/>
          <w:lang w:val="en-US"/>
        </w:rPr>
      </w:pPr>
    </w:p>
    <w:p w:rsidR="00601F4C" w:rsidRDefault="00601F4C" w:rsidP="00601F4C">
      <w:pPr>
        <w:pStyle w:val="Healthbody"/>
        <w:spacing w:after="0" w:line="240" w:lineRule="auto"/>
        <w:rPr>
          <w:szCs w:val="19"/>
          <w:lang w:val="en-US"/>
        </w:rPr>
      </w:pPr>
    </w:p>
    <w:p w:rsidR="00601F4C" w:rsidRDefault="00601F4C" w:rsidP="00601F4C">
      <w:pPr>
        <w:pStyle w:val="Healthbody"/>
        <w:spacing w:after="0" w:line="240" w:lineRule="auto"/>
        <w:rPr>
          <w:szCs w:val="19"/>
          <w:lang w:val="en-US"/>
        </w:rPr>
      </w:pPr>
    </w:p>
    <w:p w:rsidR="00601F4C" w:rsidRDefault="00601F4C" w:rsidP="00601F4C">
      <w:pPr>
        <w:pStyle w:val="Healthbody"/>
        <w:spacing w:after="0" w:line="240" w:lineRule="auto"/>
        <w:rPr>
          <w:szCs w:val="19"/>
          <w:lang w:val="en-US"/>
        </w:rPr>
      </w:pPr>
    </w:p>
    <w:p w:rsidR="00601F4C" w:rsidRDefault="00601F4C" w:rsidP="00601F4C">
      <w:pPr>
        <w:pStyle w:val="Healthbody"/>
        <w:spacing w:after="0" w:line="240" w:lineRule="auto"/>
        <w:rPr>
          <w:szCs w:val="19"/>
          <w:lang w:val="en-US"/>
        </w:rPr>
      </w:pPr>
    </w:p>
    <w:p w:rsidR="00601F4C" w:rsidRDefault="00601F4C" w:rsidP="00601F4C">
      <w:pPr>
        <w:pStyle w:val="Healthbody"/>
        <w:spacing w:after="0" w:line="240" w:lineRule="auto"/>
        <w:rPr>
          <w:szCs w:val="19"/>
          <w:lang w:val="en-US"/>
        </w:rPr>
      </w:pPr>
    </w:p>
    <w:p w:rsidR="00601F4C" w:rsidRDefault="00601F4C" w:rsidP="00601F4C">
      <w:pPr>
        <w:pStyle w:val="Healthbody"/>
        <w:spacing w:after="0" w:line="240" w:lineRule="auto"/>
        <w:rPr>
          <w:szCs w:val="19"/>
          <w:lang w:val="en-US"/>
        </w:rPr>
      </w:pPr>
    </w:p>
    <w:p w:rsidR="00601F4C" w:rsidRDefault="00601F4C" w:rsidP="00601F4C">
      <w:pPr>
        <w:pStyle w:val="Healthbody"/>
        <w:spacing w:after="0" w:line="240" w:lineRule="auto"/>
        <w:rPr>
          <w:szCs w:val="19"/>
          <w:lang w:val="en-US"/>
        </w:rPr>
      </w:pPr>
    </w:p>
    <w:p w:rsidR="00601F4C" w:rsidRDefault="00601F4C" w:rsidP="00601F4C">
      <w:pPr>
        <w:pStyle w:val="Healthbody"/>
        <w:spacing w:after="0" w:line="240" w:lineRule="auto"/>
        <w:rPr>
          <w:szCs w:val="19"/>
          <w:lang w:val="en-US"/>
        </w:rPr>
      </w:pPr>
    </w:p>
    <w:p w:rsidR="00601F4C" w:rsidRDefault="00601F4C" w:rsidP="00601F4C">
      <w:pPr>
        <w:pStyle w:val="Healthbody"/>
        <w:spacing w:after="0" w:line="240" w:lineRule="auto"/>
        <w:rPr>
          <w:szCs w:val="19"/>
          <w:lang w:val="en-US"/>
        </w:rPr>
      </w:pPr>
    </w:p>
    <w:p w:rsidR="00601F4C" w:rsidRDefault="00601F4C" w:rsidP="00601F4C">
      <w:pPr>
        <w:pStyle w:val="Healthbody"/>
        <w:spacing w:after="0" w:line="240" w:lineRule="auto"/>
        <w:rPr>
          <w:szCs w:val="19"/>
          <w:lang w:val="en-US"/>
        </w:rPr>
      </w:pPr>
    </w:p>
    <w:p w:rsidR="00601F4C" w:rsidRDefault="00601F4C" w:rsidP="00601F4C">
      <w:pPr>
        <w:pStyle w:val="Healthbody"/>
        <w:spacing w:after="0" w:line="240" w:lineRule="auto"/>
        <w:rPr>
          <w:szCs w:val="19"/>
          <w:lang w:val="en-US"/>
        </w:rPr>
      </w:pPr>
    </w:p>
    <w:p w:rsidR="00601F4C" w:rsidRDefault="00601F4C" w:rsidP="00601F4C">
      <w:pPr>
        <w:pStyle w:val="Healthbody"/>
        <w:spacing w:after="0" w:line="240" w:lineRule="auto"/>
        <w:rPr>
          <w:szCs w:val="19"/>
          <w:lang w:val="en-US"/>
        </w:rPr>
      </w:pPr>
    </w:p>
    <w:p w:rsidR="00601F4C" w:rsidRDefault="00601F4C" w:rsidP="00601F4C">
      <w:pPr>
        <w:pStyle w:val="Healthbody"/>
        <w:spacing w:after="0" w:line="240" w:lineRule="auto"/>
        <w:rPr>
          <w:szCs w:val="19"/>
          <w:lang w:val="en-US"/>
        </w:rPr>
      </w:pPr>
    </w:p>
    <w:p w:rsidR="00601F4C" w:rsidRDefault="00601F4C" w:rsidP="00601F4C">
      <w:pPr>
        <w:pStyle w:val="Healthbody"/>
        <w:spacing w:after="0" w:line="240" w:lineRule="auto"/>
        <w:rPr>
          <w:szCs w:val="19"/>
          <w:lang w:val="en-US"/>
        </w:rPr>
      </w:pPr>
    </w:p>
    <w:p w:rsidR="00601F4C" w:rsidRDefault="00601F4C" w:rsidP="00601F4C">
      <w:pPr>
        <w:pStyle w:val="Healthbody"/>
        <w:spacing w:after="0" w:line="240" w:lineRule="auto"/>
        <w:rPr>
          <w:szCs w:val="19"/>
          <w:lang w:val="en-US"/>
        </w:rPr>
      </w:pPr>
    </w:p>
    <w:p w:rsidR="00601F4C" w:rsidRDefault="00601F4C" w:rsidP="00601F4C">
      <w:pPr>
        <w:pStyle w:val="Healthbody"/>
        <w:spacing w:after="0" w:line="240" w:lineRule="auto"/>
        <w:rPr>
          <w:szCs w:val="19"/>
          <w:lang w:val="en-US"/>
        </w:rPr>
      </w:pPr>
    </w:p>
    <w:p w:rsidR="00601F4C" w:rsidRDefault="00601F4C" w:rsidP="00601F4C">
      <w:pPr>
        <w:pStyle w:val="Healthbody"/>
        <w:spacing w:after="0" w:line="240" w:lineRule="auto"/>
        <w:rPr>
          <w:szCs w:val="19"/>
          <w:lang w:val="en-US"/>
        </w:rPr>
      </w:pPr>
    </w:p>
    <w:p w:rsidR="00601F4C" w:rsidRDefault="00601F4C" w:rsidP="00601F4C">
      <w:pPr>
        <w:pStyle w:val="Healthbody"/>
        <w:spacing w:after="0" w:line="240" w:lineRule="auto"/>
        <w:rPr>
          <w:szCs w:val="19"/>
          <w:lang w:val="en-US"/>
        </w:rPr>
      </w:pPr>
    </w:p>
    <w:p w:rsidR="00601F4C" w:rsidRDefault="00601F4C" w:rsidP="00601F4C">
      <w:pPr>
        <w:pStyle w:val="Healthbody"/>
        <w:spacing w:after="0" w:line="240" w:lineRule="auto"/>
        <w:rPr>
          <w:szCs w:val="19"/>
          <w:lang w:val="en-US"/>
        </w:rPr>
      </w:pPr>
    </w:p>
    <w:p w:rsidR="00601F4C" w:rsidRDefault="00601F4C" w:rsidP="00601F4C">
      <w:pPr>
        <w:pStyle w:val="Healthbody"/>
        <w:spacing w:after="0" w:line="240" w:lineRule="auto"/>
        <w:rPr>
          <w:szCs w:val="19"/>
          <w:lang w:val="en-US"/>
        </w:rPr>
      </w:pPr>
    </w:p>
    <w:p w:rsidR="00601F4C" w:rsidRDefault="00601F4C" w:rsidP="00601F4C">
      <w:pPr>
        <w:pStyle w:val="Healthbody"/>
        <w:spacing w:after="0" w:line="240" w:lineRule="auto"/>
        <w:rPr>
          <w:szCs w:val="19"/>
          <w:lang w:val="en-US"/>
        </w:rPr>
      </w:pPr>
    </w:p>
    <w:p w:rsidR="00601F4C" w:rsidRDefault="00601F4C" w:rsidP="00601F4C">
      <w:pPr>
        <w:pStyle w:val="Healthbody"/>
        <w:spacing w:after="0" w:line="240" w:lineRule="auto"/>
        <w:rPr>
          <w:szCs w:val="19"/>
          <w:lang w:val="en-US"/>
        </w:rPr>
      </w:pPr>
    </w:p>
    <w:p w:rsidR="00601F4C" w:rsidRDefault="00601F4C" w:rsidP="00601F4C">
      <w:pPr>
        <w:pStyle w:val="Healthbody"/>
        <w:spacing w:after="0" w:line="240" w:lineRule="auto"/>
        <w:rPr>
          <w:szCs w:val="19"/>
          <w:lang w:val="en-US"/>
        </w:rPr>
      </w:pPr>
    </w:p>
    <w:p w:rsidR="00601F4C" w:rsidRDefault="00601F4C" w:rsidP="00601F4C">
      <w:pPr>
        <w:pStyle w:val="Healthbody"/>
        <w:spacing w:after="0" w:line="240" w:lineRule="auto"/>
        <w:rPr>
          <w:szCs w:val="19"/>
          <w:lang w:val="en-US"/>
        </w:rPr>
      </w:pPr>
    </w:p>
    <w:p w:rsidR="00601F4C" w:rsidRDefault="00601F4C" w:rsidP="00601F4C">
      <w:pPr>
        <w:pStyle w:val="Healthbody"/>
        <w:spacing w:after="0" w:line="240" w:lineRule="auto"/>
        <w:rPr>
          <w:szCs w:val="19"/>
          <w:lang w:val="en-US"/>
        </w:rPr>
      </w:pPr>
    </w:p>
    <w:p w:rsidR="00601F4C" w:rsidRDefault="00601F4C" w:rsidP="00601F4C">
      <w:pPr>
        <w:pStyle w:val="Healthbody"/>
        <w:spacing w:after="0" w:line="240" w:lineRule="auto"/>
        <w:rPr>
          <w:szCs w:val="19"/>
          <w:lang w:val="en-US"/>
        </w:rPr>
      </w:pPr>
    </w:p>
    <w:p w:rsidR="00601F4C" w:rsidRDefault="00601F4C" w:rsidP="00601F4C">
      <w:pPr>
        <w:pStyle w:val="Healthbody"/>
        <w:spacing w:after="0" w:line="240" w:lineRule="auto"/>
        <w:rPr>
          <w:szCs w:val="19"/>
          <w:lang w:val="en-US"/>
        </w:rPr>
      </w:pPr>
    </w:p>
    <w:p w:rsidR="00601F4C" w:rsidRDefault="00601F4C" w:rsidP="00601F4C">
      <w:pPr>
        <w:pStyle w:val="Healthbody"/>
        <w:spacing w:after="0" w:line="240" w:lineRule="auto"/>
        <w:rPr>
          <w:szCs w:val="19"/>
          <w:lang w:val="en-US"/>
        </w:rPr>
      </w:pPr>
    </w:p>
    <w:p w:rsidR="00601F4C" w:rsidRDefault="00601F4C" w:rsidP="00601F4C">
      <w:pPr>
        <w:pStyle w:val="Healthbody"/>
        <w:spacing w:after="0" w:line="240" w:lineRule="auto"/>
        <w:rPr>
          <w:szCs w:val="19"/>
          <w:lang w:val="en-US"/>
        </w:rPr>
      </w:pPr>
    </w:p>
    <w:p w:rsidR="00601F4C" w:rsidRDefault="00601F4C" w:rsidP="00601F4C">
      <w:pPr>
        <w:pStyle w:val="Healthbody"/>
        <w:spacing w:after="0" w:line="240" w:lineRule="auto"/>
        <w:rPr>
          <w:szCs w:val="19"/>
          <w:lang w:val="en-US"/>
        </w:rPr>
      </w:pPr>
    </w:p>
    <w:p w:rsidR="00601F4C" w:rsidRDefault="00601F4C" w:rsidP="00601F4C">
      <w:pPr>
        <w:pStyle w:val="Healthbody"/>
        <w:spacing w:after="0" w:line="240" w:lineRule="auto"/>
        <w:rPr>
          <w:szCs w:val="19"/>
          <w:lang w:val="en-US"/>
        </w:rPr>
      </w:pPr>
    </w:p>
    <w:p w:rsidR="00601F4C" w:rsidRDefault="00601F4C" w:rsidP="00601F4C">
      <w:pPr>
        <w:pStyle w:val="Healthbody"/>
        <w:spacing w:after="0" w:line="240" w:lineRule="auto"/>
        <w:rPr>
          <w:szCs w:val="19"/>
          <w:lang w:val="en-US"/>
        </w:rPr>
      </w:pPr>
    </w:p>
    <w:p w:rsidR="00601F4C" w:rsidRDefault="00601F4C" w:rsidP="00601F4C">
      <w:pPr>
        <w:pStyle w:val="Healthbody"/>
        <w:spacing w:after="0" w:line="240" w:lineRule="auto"/>
        <w:rPr>
          <w:szCs w:val="19"/>
          <w:lang w:val="en-US"/>
        </w:rPr>
      </w:pPr>
    </w:p>
    <w:p w:rsidR="00601F4C" w:rsidRDefault="00601F4C" w:rsidP="00601F4C">
      <w:pPr>
        <w:pStyle w:val="Healthbody"/>
        <w:spacing w:after="0" w:line="240" w:lineRule="auto"/>
        <w:rPr>
          <w:szCs w:val="19"/>
          <w:lang w:val="en-US"/>
        </w:rPr>
      </w:pPr>
      <w:r>
        <w:rPr>
          <w:szCs w:val="19"/>
          <w:lang w:val="en-US"/>
        </w:rPr>
        <w:t xml:space="preserve">If you would like to receive this publication in an accessible format, please phone </w:t>
      </w:r>
      <w:r w:rsidR="00CD3CF4" w:rsidRPr="00CD3CF4">
        <w:rPr>
          <w:rFonts w:cs="Arial"/>
          <w:shd w:val="clear" w:color="auto" w:fill="FFFFFF"/>
        </w:rPr>
        <w:t>1300 253 942</w:t>
      </w:r>
      <w:r w:rsidR="00CD3CF4" w:rsidRPr="00CD3CF4">
        <w:rPr>
          <w:rStyle w:val="apple-converted-space"/>
          <w:rFonts w:cs="Arial"/>
          <w:shd w:val="clear" w:color="auto" w:fill="FFFFFF"/>
        </w:rPr>
        <w:t> </w:t>
      </w:r>
      <w:r>
        <w:rPr>
          <w:szCs w:val="19"/>
          <w:lang w:val="en-US"/>
        </w:rPr>
        <w:t xml:space="preserve">using the National Relay Service 13 36 77 if required, or email: </w:t>
      </w:r>
      <w:r w:rsidR="00CD3CF4">
        <w:rPr>
          <w:szCs w:val="19"/>
          <w:lang w:val="en-US"/>
        </w:rPr>
        <w:t>enquiries</w:t>
      </w:r>
      <w:r>
        <w:rPr>
          <w:szCs w:val="19"/>
          <w:lang w:val="en-US"/>
        </w:rPr>
        <w:t>@health.vic.gov.au.</w:t>
      </w:r>
    </w:p>
    <w:p w:rsidR="00601F4C" w:rsidRDefault="00601F4C" w:rsidP="00601F4C">
      <w:pPr>
        <w:pStyle w:val="Healthbody"/>
        <w:spacing w:after="0" w:line="240" w:lineRule="auto"/>
        <w:rPr>
          <w:szCs w:val="19"/>
          <w:lang w:val="en-US"/>
        </w:rPr>
      </w:pPr>
    </w:p>
    <w:p w:rsidR="00601F4C" w:rsidRPr="001E1360" w:rsidRDefault="00601F4C" w:rsidP="00601F4C">
      <w:pPr>
        <w:pStyle w:val="Healthbody"/>
        <w:spacing w:after="0" w:line="240" w:lineRule="auto"/>
        <w:rPr>
          <w:lang w:val="en-US"/>
        </w:rPr>
      </w:pPr>
      <w:r w:rsidRPr="001E1360">
        <w:rPr>
          <w:lang w:val="en-US"/>
        </w:rPr>
        <w:t>© Copyright, State of Victoria, Department of Health, 2014</w:t>
      </w:r>
    </w:p>
    <w:p w:rsidR="00601F4C" w:rsidRPr="001E1360" w:rsidRDefault="00601F4C" w:rsidP="00601F4C">
      <w:pPr>
        <w:pStyle w:val="Healthbody"/>
        <w:spacing w:after="0" w:line="240" w:lineRule="auto"/>
        <w:rPr>
          <w:i/>
          <w:lang w:val="en-US"/>
        </w:rPr>
      </w:pPr>
      <w:r w:rsidRPr="001E1360">
        <w:rPr>
          <w:lang w:val="en-US"/>
        </w:rPr>
        <w:br/>
        <w:t>This publication is copyright, no part may be reproduced</w:t>
      </w:r>
      <w:r w:rsidRPr="001E1360">
        <w:t xml:space="preserve"> </w:t>
      </w:r>
      <w:r w:rsidRPr="001E1360">
        <w:rPr>
          <w:lang w:val="en-US"/>
        </w:rPr>
        <w:t xml:space="preserve">by any process except in accordance with the provisions of the </w:t>
      </w:r>
      <w:r w:rsidRPr="001E1360">
        <w:rPr>
          <w:i/>
          <w:lang w:val="en-US"/>
        </w:rPr>
        <w:t>Copyright Act 1968</w:t>
      </w:r>
    </w:p>
    <w:p w:rsidR="00601F4C" w:rsidRPr="001E1360" w:rsidRDefault="00601F4C" w:rsidP="00601F4C">
      <w:pPr>
        <w:pStyle w:val="Healthbody"/>
        <w:spacing w:after="0" w:line="240" w:lineRule="auto"/>
        <w:rPr>
          <w:lang w:val="en-US"/>
        </w:rPr>
      </w:pPr>
      <w:r w:rsidRPr="001E1360">
        <w:rPr>
          <w:lang w:val="en-US"/>
        </w:rPr>
        <w:br/>
      </w:r>
      <w:proofErr w:type="spellStart"/>
      <w:r w:rsidRPr="001E1360">
        <w:rPr>
          <w:lang w:val="en-US"/>
        </w:rPr>
        <w:t>Authorised</w:t>
      </w:r>
      <w:proofErr w:type="spellEnd"/>
      <w:r w:rsidRPr="001E1360">
        <w:rPr>
          <w:lang w:val="en-US"/>
        </w:rPr>
        <w:t xml:space="preserve"> and published by Victorian Government, 50 Lonsdale Street, Melbourne.</w:t>
      </w:r>
    </w:p>
    <w:p w:rsidR="00601F4C" w:rsidRDefault="00601F4C">
      <w:pPr>
        <w:rPr>
          <w:rFonts w:ascii="Arial" w:hAnsi="Arial"/>
          <w:color w:val="009B48"/>
          <w:sz w:val="44"/>
          <w:szCs w:val="24"/>
        </w:rPr>
      </w:pPr>
    </w:p>
    <w:p w:rsidR="00601F4C" w:rsidRDefault="00601F4C">
      <w:pPr>
        <w:rPr>
          <w:rFonts w:ascii="Arial" w:hAnsi="Arial"/>
          <w:color w:val="009B48"/>
          <w:sz w:val="44"/>
          <w:szCs w:val="24"/>
        </w:rPr>
      </w:pPr>
    </w:p>
    <w:p w:rsidR="00601F4C" w:rsidRDefault="00601F4C">
      <w:pPr>
        <w:rPr>
          <w:rFonts w:ascii="Arial" w:hAnsi="Arial"/>
          <w:color w:val="009B48"/>
          <w:sz w:val="44"/>
          <w:szCs w:val="24"/>
        </w:rPr>
      </w:pPr>
    </w:p>
    <w:p w:rsidR="00601F4C" w:rsidRDefault="00601F4C">
      <w:pPr>
        <w:rPr>
          <w:rFonts w:ascii="Arial" w:hAnsi="Arial"/>
          <w:color w:val="009B48"/>
          <w:sz w:val="44"/>
          <w:szCs w:val="24"/>
        </w:rPr>
      </w:pPr>
    </w:p>
    <w:p w:rsidR="00601F4C" w:rsidRDefault="00601F4C">
      <w:pPr>
        <w:rPr>
          <w:rFonts w:ascii="Arial" w:hAnsi="Arial"/>
          <w:color w:val="009B48"/>
          <w:sz w:val="44"/>
          <w:szCs w:val="24"/>
        </w:rPr>
      </w:pPr>
    </w:p>
    <w:p w:rsidR="00356C8D" w:rsidRDefault="00427B56" w:rsidP="001A57A6">
      <w:pPr>
        <w:pStyle w:val="Healthreportmaintitle"/>
        <w:jc w:val="right"/>
      </w:pPr>
      <w:r>
        <w:t xml:space="preserve">Transfer of </w:t>
      </w:r>
      <w:r w:rsidR="00F43301">
        <w:t>c</w:t>
      </w:r>
      <w:r>
        <w:t xml:space="preserve">are from </w:t>
      </w:r>
      <w:r w:rsidR="00F43301">
        <w:t>a</w:t>
      </w:r>
      <w:r>
        <w:t xml:space="preserve">cute </w:t>
      </w:r>
      <w:r w:rsidR="00F43301">
        <w:t>i</w:t>
      </w:r>
      <w:r>
        <w:t xml:space="preserve">npatient </w:t>
      </w:r>
      <w:r w:rsidR="00F43301">
        <w:t>s</w:t>
      </w:r>
      <w:r w:rsidR="00356C8D">
        <w:t>ervices</w:t>
      </w:r>
    </w:p>
    <w:p w:rsidR="00356C8D" w:rsidRDefault="00356C8D" w:rsidP="00074206">
      <w:pPr>
        <w:pStyle w:val="Healthreportmaintitlewhite"/>
        <w:spacing w:after="0" w:line="240" w:lineRule="auto"/>
        <w:jc w:val="right"/>
        <w:rPr>
          <w:b/>
          <w:color w:val="auto"/>
          <w:sz w:val="24"/>
          <w:szCs w:val="24"/>
        </w:rPr>
      </w:pPr>
      <w:r>
        <w:rPr>
          <w:b/>
          <w:color w:val="auto"/>
          <w:sz w:val="24"/>
          <w:szCs w:val="24"/>
        </w:rPr>
        <w:t>Guidelines for managing</w:t>
      </w:r>
      <w:r w:rsidRPr="00074206">
        <w:rPr>
          <w:b/>
          <w:color w:val="auto"/>
          <w:sz w:val="24"/>
          <w:szCs w:val="24"/>
        </w:rPr>
        <w:t xml:space="preserve"> </w:t>
      </w:r>
      <w:r w:rsidR="00427B56">
        <w:rPr>
          <w:b/>
          <w:color w:val="auto"/>
          <w:sz w:val="24"/>
          <w:szCs w:val="24"/>
        </w:rPr>
        <w:t>the transfer of care</w:t>
      </w:r>
      <w:r>
        <w:rPr>
          <w:b/>
          <w:color w:val="auto"/>
          <w:sz w:val="24"/>
          <w:szCs w:val="24"/>
        </w:rPr>
        <w:t xml:space="preserve"> of acute inpatients from</w:t>
      </w:r>
    </w:p>
    <w:p w:rsidR="00356C8D" w:rsidRPr="00074206" w:rsidRDefault="00356C8D" w:rsidP="00074206">
      <w:pPr>
        <w:pStyle w:val="Healthreportmaintitlewhite"/>
        <w:spacing w:after="0" w:line="240" w:lineRule="auto"/>
        <w:jc w:val="right"/>
        <w:rPr>
          <w:b/>
          <w:color w:val="auto"/>
          <w:sz w:val="24"/>
          <w:szCs w:val="24"/>
        </w:rPr>
      </w:pPr>
      <w:smartTag w:uri="urn:schemas-microsoft-com:office:smarttags" w:element="State">
        <w:smartTag w:uri="urn:schemas-microsoft-com:office:smarttags" w:element="place">
          <w:r w:rsidRPr="00074206">
            <w:rPr>
              <w:b/>
              <w:color w:val="auto"/>
              <w:sz w:val="24"/>
              <w:szCs w:val="24"/>
            </w:rPr>
            <w:t>Victoria</w:t>
          </w:r>
        </w:smartTag>
      </w:smartTag>
      <w:r w:rsidRPr="00074206">
        <w:rPr>
          <w:b/>
          <w:color w:val="auto"/>
          <w:sz w:val="24"/>
          <w:szCs w:val="24"/>
        </w:rPr>
        <w:t>’s public health services</w:t>
      </w:r>
    </w:p>
    <w:p w:rsidR="00356C8D" w:rsidRPr="00087238" w:rsidRDefault="00356C8D" w:rsidP="001A57A6">
      <w:pPr>
        <w:pStyle w:val="Healthreportmaintitle"/>
        <w:jc w:val="right"/>
        <w:rPr>
          <w:color w:val="FF0000"/>
        </w:rPr>
      </w:pPr>
    </w:p>
    <w:p w:rsidR="00356C8D" w:rsidRDefault="000735FA" w:rsidP="005F3B26">
      <w:pPr>
        <w:sectPr w:rsidR="00356C8D" w:rsidSect="00581ECB">
          <w:headerReference w:type="even" r:id="rId13"/>
          <w:headerReference w:type="default" r:id="rId14"/>
          <w:footerReference w:type="even" r:id="rId15"/>
          <w:footerReference w:type="default" r:id="rId16"/>
          <w:headerReference w:type="first" r:id="rId17"/>
          <w:footerReference w:type="first" r:id="rId18"/>
          <w:endnotePr>
            <w:numFmt w:val="decimal"/>
          </w:endnotePr>
          <w:pgSz w:w="11906" w:h="16838"/>
          <w:pgMar w:top="1134" w:right="1304" w:bottom="1134" w:left="1304" w:header="454" w:footer="567" w:gutter="0"/>
          <w:cols w:space="720"/>
          <w:titlePg/>
          <w:docGrid w:linePitch="360"/>
        </w:sectPr>
      </w:pPr>
      <w:r>
        <w:rPr>
          <w:noProof/>
          <w:lang w:eastAsia="en-AU"/>
        </w:rPr>
        <mc:AlternateContent>
          <mc:Choice Requires="wps">
            <w:drawing>
              <wp:anchor distT="0" distB="0" distL="114300" distR="114300" simplePos="0" relativeHeight="251656192" behindDoc="0" locked="0" layoutInCell="1" allowOverlap="1">
                <wp:simplePos x="0" y="0"/>
                <wp:positionH relativeFrom="column">
                  <wp:posOffset>4572000</wp:posOffset>
                </wp:positionH>
                <wp:positionV relativeFrom="paragraph">
                  <wp:posOffset>10172700</wp:posOffset>
                </wp:positionV>
                <wp:extent cx="2514600" cy="342900"/>
                <wp:effectExtent l="0" t="0" r="0"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754E" w:rsidRDefault="003A754E" w:rsidP="00581ECB">
                            <w:pPr>
                              <w:jc w:val="right"/>
                            </w:pPr>
                            <w:r w:rsidRPr="000147AF">
                              <w:rPr>
                                <w:rFonts w:ascii="Arial" w:hAnsi="Arial" w:cs="Arial"/>
                                <w:color w:val="808080"/>
                                <w:sz w:val="22"/>
                                <w:szCs w:val="22"/>
                              </w:rPr>
                              <w:t>Department of Health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margin-left:5in;margin-top:801pt;width:198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s+twIAAME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" filled="f" stroked="f">
                <v:textbox>
                  <w:txbxContent>
                    <w:p w:rsidR="003A754E" w:rsidRDefault="003A754E" w:rsidP="00581ECB">
                      <w:pPr>
                        <w:jc w:val="right"/>
                      </w:pPr>
                      <w:r w:rsidRPr="000147AF">
                        <w:rPr>
                          <w:rFonts w:ascii="Arial" w:hAnsi="Arial" w:cs="Arial"/>
                          <w:color w:val="808080"/>
                          <w:sz w:val="22"/>
                          <w:szCs w:val="22"/>
                        </w:rPr>
                        <w:t>Department of Health</w:t>
                      </w:r>
                    </w:p>
                  </w:txbxContent>
                </v:textbox>
              </v:shape>
            </w:pict>
          </mc:Fallback>
        </mc:AlternateContent>
      </w:r>
    </w:p>
    <w:p w:rsidR="00356C8D" w:rsidRPr="001A57A6" w:rsidRDefault="00356C8D" w:rsidP="001A57A6"/>
    <w:p w:rsidR="00356C8D" w:rsidRDefault="00356C8D" w:rsidP="00D67ED8">
      <w:pPr>
        <w:pStyle w:val="Healthreportmaintitle"/>
      </w:pPr>
      <w:r w:rsidRPr="002F5DB1">
        <w:t>Contents</w:t>
      </w:r>
    </w:p>
    <w:p w:rsidR="0058377F" w:rsidRPr="000735FA" w:rsidRDefault="0058377F" w:rsidP="00CE03CD">
      <w:pPr>
        <w:pStyle w:val="TOC1"/>
      </w:pPr>
      <w:r w:rsidRPr="000735FA">
        <w:t>Purpose</w:t>
      </w:r>
    </w:p>
    <w:p w:rsidR="00356C8D" w:rsidRPr="000735FA" w:rsidRDefault="00365184" w:rsidP="00CE03CD">
      <w:pPr>
        <w:pStyle w:val="TOC1"/>
      </w:pPr>
      <w:r>
        <w:fldChar w:fldCharType="begin"/>
      </w:r>
      <w:r w:rsidR="00356C8D">
        <w:instrText xml:space="preserve"> TOC \t "Health heading 1,1,Health heading 2,2" </w:instrText>
      </w:r>
      <w:r>
        <w:fldChar w:fldCharType="separate"/>
      </w:r>
      <w:r w:rsidR="00356C8D">
        <w:t>Introduction</w:t>
      </w:r>
      <w:r w:rsidR="00356C8D">
        <w:tab/>
      </w:r>
    </w:p>
    <w:p w:rsidR="00356C8D" w:rsidRPr="000735FA" w:rsidRDefault="00356C8D" w:rsidP="00CE03CD">
      <w:pPr>
        <w:pStyle w:val="TOC1"/>
      </w:pPr>
      <w:r>
        <w:t>Principles</w:t>
      </w:r>
      <w:r w:rsidDel="00C97D6F">
        <w:t xml:space="preserve"> </w:t>
      </w:r>
      <w:r>
        <w:tab/>
      </w:r>
    </w:p>
    <w:p w:rsidR="00356C8D" w:rsidRPr="000735FA" w:rsidRDefault="00356C8D" w:rsidP="00CE03CD">
      <w:pPr>
        <w:pStyle w:val="TOC1"/>
      </w:pPr>
      <w:r>
        <w:t xml:space="preserve">Planning for </w:t>
      </w:r>
      <w:r w:rsidR="004C2D98">
        <w:t>transfer of care</w:t>
      </w:r>
      <w:r w:rsidDel="00C97D6F">
        <w:t xml:space="preserve"> </w:t>
      </w:r>
      <w:r>
        <w:tab/>
      </w:r>
    </w:p>
    <w:p w:rsidR="00356C8D" w:rsidRPr="0052198D" w:rsidRDefault="00356C8D" w:rsidP="00CE03CD">
      <w:pPr>
        <w:pStyle w:val="TOC1"/>
      </w:pPr>
      <w:r>
        <w:t xml:space="preserve">Implementing the </w:t>
      </w:r>
      <w:r w:rsidR="004C2D98">
        <w:t>transfer of care</w:t>
      </w:r>
      <w:r>
        <w:t xml:space="preserve"> plan</w:t>
      </w:r>
      <w:r w:rsidDel="00C97D6F">
        <w:t xml:space="preserve"> </w:t>
      </w:r>
      <w:r>
        <w:tab/>
      </w:r>
      <w:r>
        <w:tab/>
      </w:r>
    </w:p>
    <w:p w:rsidR="00356C8D" w:rsidRPr="000735FA" w:rsidRDefault="004B7069" w:rsidP="00C97D6F">
      <w:pPr>
        <w:pStyle w:val="TOC1"/>
      </w:pPr>
      <w:r>
        <w:t>P</w:t>
      </w:r>
      <w:r w:rsidR="00356C8D">
        <w:t xml:space="preserve">ost </w:t>
      </w:r>
      <w:r w:rsidR="004C2D98">
        <w:t>transfer of care</w:t>
      </w:r>
    </w:p>
    <w:p w:rsidR="00356C8D" w:rsidRPr="000735FA" w:rsidRDefault="00356C8D" w:rsidP="00CE03CD">
      <w:pPr>
        <w:pStyle w:val="TOC1"/>
      </w:pPr>
      <w:r>
        <w:t xml:space="preserve">Performance measures for </w:t>
      </w:r>
      <w:r w:rsidR="004C2D98">
        <w:t>transfer of care</w:t>
      </w:r>
      <w:r w:rsidDel="00C97D6F">
        <w:t xml:space="preserve"> </w:t>
      </w:r>
      <w:r>
        <w:tab/>
      </w:r>
    </w:p>
    <w:p w:rsidR="00356C8D" w:rsidRPr="000735FA" w:rsidRDefault="00356C8D" w:rsidP="000735FA">
      <w:pPr>
        <w:pStyle w:val="TOC1"/>
        <w:numPr>
          <w:ilvl w:val="0"/>
          <w:numId w:val="0"/>
        </w:numPr>
        <w:ind w:left="720"/>
      </w:pPr>
      <w:r>
        <w:t xml:space="preserve">Appendix: Suggested content for a </w:t>
      </w:r>
      <w:r w:rsidR="004C2D98">
        <w:t>transfer of care</w:t>
      </w:r>
      <w:r>
        <w:t xml:space="preserve"> summary</w:t>
      </w:r>
      <w:r>
        <w:tab/>
      </w:r>
    </w:p>
    <w:p w:rsidR="00356C8D" w:rsidRDefault="00356C8D" w:rsidP="000735FA">
      <w:pPr>
        <w:pStyle w:val="TOC1"/>
        <w:numPr>
          <w:ilvl w:val="0"/>
          <w:numId w:val="0"/>
        </w:numPr>
        <w:ind w:left="720" w:hanging="360"/>
        <w:rPr>
          <w:rFonts w:ascii="Calibri" w:hAnsi="Calibri"/>
          <w:sz w:val="22"/>
          <w:szCs w:val="22"/>
          <w:lang w:eastAsia="en-AU"/>
        </w:rPr>
      </w:pPr>
    </w:p>
    <w:p w:rsidR="00356C8D" w:rsidRPr="009B2128" w:rsidRDefault="00365184" w:rsidP="006F7A48">
      <w:pPr>
        <w:pStyle w:val="TOC2"/>
        <w:ind w:left="0" w:firstLine="0"/>
        <w:rPr>
          <w:rFonts w:cs="Arial"/>
          <w:b/>
        </w:rPr>
      </w:pPr>
      <w:r>
        <w:fldChar w:fldCharType="end"/>
      </w:r>
      <w:r w:rsidR="00356C8D" w:rsidRPr="009B2128">
        <w:rPr>
          <w:rFonts w:cs="Arial"/>
          <w:b/>
        </w:rPr>
        <w:t xml:space="preserve"> </w:t>
      </w:r>
    </w:p>
    <w:p w:rsidR="00356C8D" w:rsidRPr="009B2128" w:rsidRDefault="00356C8D" w:rsidP="009B2128">
      <w:pPr>
        <w:rPr>
          <w:rFonts w:ascii="Arial" w:hAnsi="Arial" w:cs="Arial"/>
        </w:rPr>
      </w:pPr>
    </w:p>
    <w:p w:rsidR="00356C8D" w:rsidRDefault="00356C8D" w:rsidP="00DC4669">
      <w:pPr>
        <w:pStyle w:val="Healthheading1"/>
        <w:sectPr w:rsidR="00356C8D" w:rsidSect="00581ECB">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pgMar w:top="1134" w:right="1304" w:bottom="1134" w:left="1304" w:header="454" w:footer="567" w:gutter="0"/>
          <w:pgNumType w:fmt="lowerRoman" w:start="1"/>
          <w:cols w:space="720"/>
          <w:titlePg/>
          <w:docGrid w:linePitch="360"/>
        </w:sectPr>
      </w:pPr>
    </w:p>
    <w:p w:rsidR="003E47F9" w:rsidRDefault="00046C9A" w:rsidP="00F71022">
      <w:pPr>
        <w:pStyle w:val="Healthheading1"/>
        <w:spacing w:line="270" w:lineRule="atLeast"/>
      </w:pPr>
      <w:bookmarkStart w:id="0" w:name="_Toc314644522"/>
      <w:r>
        <w:lastRenderedPageBreak/>
        <w:t>Purpose</w:t>
      </w:r>
    </w:p>
    <w:p w:rsidR="00F71022" w:rsidRDefault="00F71022" w:rsidP="00F71022">
      <w:pPr>
        <w:pStyle w:val="Healthheading1"/>
        <w:numPr>
          <w:ilvl w:val="0"/>
          <w:numId w:val="0"/>
        </w:numPr>
        <w:spacing w:line="270" w:lineRule="atLeast"/>
        <w:rPr>
          <w:color w:val="auto"/>
          <w:sz w:val="20"/>
          <w:szCs w:val="20"/>
        </w:rPr>
      </w:pPr>
    </w:p>
    <w:p w:rsidR="00046C9A" w:rsidRPr="00DC4669" w:rsidRDefault="00046C9A" w:rsidP="00F71022">
      <w:pPr>
        <w:pStyle w:val="Healthheading1"/>
        <w:numPr>
          <w:ilvl w:val="0"/>
          <w:numId w:val="0"/>
        </w:numPr>
        <w:spacing w:line="270" w:lineRule="atLeast"/>
        <w:rPr>
          <w:color w:val="auto"/>
          <w:sz w:val="20"/>
          <w:szCs w:val="20"/>
        </w:rPr>
      </w:pPr>
      <w:r w:rsidRPr="00DC4669">
        <w:rPr>
          <w:color w:val="auto"/>
          <w:sz w:val="20"/>
          <w:szCs w:val="20"/>
        </w:rPr>
        <w:t xml:space="preserve">The </w:t>
      </w:r>
      <w:proofErr w:type="gramStart"/>
      <w:r w:rsidRPr="00DC4669">
        <w:rPr>
          <w:color w:val="auto"/>
          <w:sz w:val="20"/>
          <w:szCs w:val="20"/>
        </w:rPr>
        <w:t>purpose of these guidelines are</w:t>
      </w:r>
      <w:proofErr w:type="gramEnd"/>
      <w:r w:rsidRPr="00DC4669">
        <w:rPr>
          <w:color w:val="auto"/>
          <w:sz w:val="20"/>
          <w:szCs w:val="20"/>
        </w:rPr>
        <w:t xml:space="preserve"> to:</w:t>
      </w:r>
    </w:p>
    <w:p w:rsidR="00046C9A" w:rsidRDefault="00046C9A" w:rsidP="00035C8A">
      <w:pPr>
        <w:pStyle w:val="Healthbody"/>
        <w:numPr>
          <w:ilvl w:val="0"/>
          <w:numId w:val="37"/>
        </w:numPr>
        <w:ind w:left="709" w:hanging="349"/>
      </w:pPr>
      <w:r>
        <w:t>promote consistent</w:t>
      </w:r>
      <w:r w:rsidRPr="00535ABB">
        <w:t xml:space="preserve"> </w:t>
      </w:r>
      <w:r>
        <w:t>transfer of care</w:t>
      </w:r>
      <w:r w:rsidRPr="00535ABB">
        <w:t xml:space="preserve"> practice</w:t>
      </w:r>
      <w:r>
        <w:t>s</w:t>
      </w:r>
      <w:r w:rsidRPr="00535ABB">
        <w:t xml:space="preserve"> across the Victorian public health system</w:t>
      </w:r>
    </w:p>
    <w:p w:rsidR="00046C9A" w:rsidRDefault="00046C9A" w:rsidP="00974D5C">
      <w:pPr>
        <w:pStyle w:val="Healthbody"/>
        <w:numPr>
          <w:ilvl w:val="0"/>
          <w:numId w:val="37"/>
        </w:numPr>
        <w:ind w:left="709" w:hanging="349"/>
      </w:pPr>
      <w:r w:rsidRPr="00535ABB">
        <w:t xml:space="preserve">support health services to review their existing </w:t>
      </w:r>
      <w:r>
        <w:t>discharge and transfer of care</w:t>
      </w:r>
      <w:r w:rsidRPr="00535ABB">
        <w:t xml:space="preserve"> practice</w:t>
      </w:r>
      <w:r>
        <w:t>s</w:t>
      </w:r>
      <w:r w:rsidRPr="00535ABB">
        <w:t xml:space="preserve"> and</w:t>
      </w:r>
      <w:r w:rsidR="003A3265">
        <w:t xml:space="preserve"> to</w:t>
      </w:r>
      <w:r w:rsidRPr="00535ABB">
        <w:t xml:space="preserve"> implement more effective </w:t>
      </w:r>
      <w:r>
        <w:t>transfer of care</w:t>
      </w:r>
      <w:r w:rsidRPr="00535ABB">
        <w:t xml:space="preserve"> processes</w:t>
      </w:r>
    </w:p>
    <w:p w:rsidR="00046C9A" w:rsidRDefault="00046C9A" w:rsidP="00974D5C">
      <w:pPr>
        <w:pStyle w:val="Healthbody"/>
        <w:numPr>
          <w:ilvl w:val="0"/>
          <w:numId w:val="37"/>
        </w:numPr>
        <w:ind w:left="709" w:hanging="349"/>
      </w:pPr>
      <w:proofErr w:type="gramStart"/>
      <w:r>
        <w:t>improve</w:t>
      </w:r>
      <w:proofErr w:type="gramEnd"/>
      <w:r>
        <w:t xml:space="preserve"> communication between health services and the patient, the patient’s family and/or carer, the patient’s </w:t>
      </w:r>
      <w:r w:rsidR="00AD4A67">
        <w:t>general practitioner (GP)</w:t>
      </w:r>
      <w:r>
        <w:t xml:space="preserve"> and community service providers. </w:t>
      </w:r>
    </w:p>
    <w:p w:rsidR="00991FEC" w:rsidRPr="00393A33" w:rsidRDefault="00991FEC" w:rsidP="00991FEC">
      <w:pPr>
        <w:pStyle w:val="Healthbody"/>
      </w:pPr>
      <w:r w:rsidRPr="00393A33">
        <w:t xml:space="preserve">Health services are encouraged to develop or update their own </w:t>
      </w:r>
      <w:r w:rsidR="0022182D">
        <w:t xml:space="preserve">local </w:t>
      </w:r>
      <w:r w:rsidRPr="00393A33">
        <w:t xml:space="preserve">policies, procedures and staff education programs to align with the principles and guidelines specified in this document. </w:t>
      </w:r>
    </w:p>
    <w:p w:rsidR="0022182D" w:rsidRDefault="0022182D">
      <w:pPr>
        <w:rPr>
          <w:rFonts w:ascii="Arial" w:hAnsi="Arial"/>
          <w:color w:val="009B48"/>
          <w:sz w:val="44"/>
          <w:szCs w:val="44"/>
        </w:rPr>
      </w:pPr>
      <w:r>
        <w:br w:type="page"/>
      </w:r>
    </w:p>
    <w:p w:rsidR="0070354F" w:rsidRDefault="0070354F" w:rsidP="00DC4669">
      <w:pPr>
        <w:pStyle w:val="Healthheading1"/>
      </w:pPr>
      <w:r>
        <w:lastRenderedPageBreak/>
        <w:t>Introduction</w:t>
      </w:r>
    </w:p>
    <w:bookmarkEnd w:id="0"/>
    <w:p w:rsidR="00DC4669" w:rsidRDefault="00DC4669" w:rsidP="00F71022">
      <w:pPr>
        <w:pStyle w:val="Healthbody"/>
      </w:pPr>
    </w:p>
    <w:p w:rsidR="00EE4BEB" w:rsidRDefault="00EE4BEB" w:rsidP="00EE4BEB">
      <w:pPr>
        <w:pStyle w:val="Healthbody"/>
      </w:pPr>
      <w:r>
        <w:t xml:space="preserve">The 2008 Victorian Auditor General’s Office report </w:t>
      </w:r>
      <w:proofErr w:type="gramStart"/>
      <w:r>
        <w:rPr>
          <w:i/>
        </w:rPr>
        <w:t>Managing</w:t>
      </w:r>
      <w:proofErr w:type="gramEnd"/>
      <w:r>
        <w:rPr>
          <w:i/>
        </w:rPr>
        <w:t xml:space="preserve"> </w:t>
      </w:r>
      <w:r w:rsidR="00F43301">
        <w:rPr>
          <w:i/>
        </w:rPr>
        <w:t>a</w:t>
      </w:r>
      <w:r>
        <w:rPr>
          <w:i/>
        </w:rPr>
        <w:t xml:space="preserve">cute </w:t>
      </w:r>
      <w:r w:rsidR="00F43301">
        <w:rPr>
          <w:i/>
        </w:rPr>
        <w:t>p</w:t>
      </w:r>
      <w:r>
        <w:rPr>
          <w:i/>
        </w:rPr>
        <w:t xml:space="preserve">atient </w:t>
      </w:r>
      <w:r w:rsidR="00F43301">
        <w:rPr>
          <w:i/>
        </w:rPr>
        <w:t>f</w:t>
      </w:r>
      <w:r>
        <w:rPr>
          <w:i/>
        </w:rPr>
        <w:t>lows</w:t>
      </w:r>
      <w:r>
        <w:t xml:space="preserve"> examined the effectiveness and efficiency of patient flow in Victorian public hospitals. The report recommended that public hospitals develop comprehensive policies and procedures </w:t>
      </w:r>
      <w:r w:rsidR="003A3265">
        <w:t xml:space="preserve">that </w:t>
      </w:r>
      <w:r>
        <w:t>clearly outline staff roles and responsibilities relat</w:t>
      </w:r>
      <w:r w:rsidR="003A3265">
        <w:t>ing</w:t>
      </w:r>
      <w:r>
        <w:t xml:space="preserve"> to discharge and transfer of care.</w:t>
      </w:r>
    </w:p>
    <w:p w:rsidR="002C7135" w:rsidRDefault="00E27706" w:rsidP="00EE4BEB">
      <w:pPr>
        <w:pStyle w:val="Healthbody"/>
      </w:pPr>
      <w:r>
        <w:t>Transfer of care involves transfer</w:t>
      </w:r>
      <w:r w:rsidR="003A3265">
        <w:t>ring</w:t>
      </w:r>
      <w:r>
        <w:t xml:space="preserve"> professional responsibility and accountability for the care of a patient to another person or professional or a combination of professionals</w:t>
      </w:r>
      <w:r w:rsidR="00F43301">
        <w:t>.</w:t>
      </w:r>
      <w:r w:rsidR="004D448F">
        <w:rPr>
          <w:rStyle w:val="FootnoteReference"/>
        </w:rPr>
        <w:footnoteReference w:id="1"/>
      </w:r>
      <w:r>
        <w:t xml:space="preserve"> </w:t>
      </w:r>
      <w:r w:rsidR="001A71AF">
        <w:t xml:space="preserve">When a patient is discharged from an acute setting their </w:t>
      </w:r>
      <w:r w:rsidR="005A551A">
        <w:t xml:space="preserve">ongoing </w:t>
      </w:r>
      <w:r w:rsidR="001A71AF">
        <w:t>care should be transferred to another person</w:t>
      </w:r>
      <w:r w:rsidR="00AD4A67">
        <w:t xml:space="preserve"> or team</w:t>
      </w:r>
      <w:r w:rsidR="001A71AF">
        <w:t xml:space="preserve">. </w:t>
      </w:r>
      <w:r>
        <w:t>The purpose of transfer of care is to achieve a safe, seamless journey that ensures continuity of care</w:t>
      </w:r>
      <w:r w:rsidR="004D448F">
        <w:t xml:space="preserve"> for the patient</w:t>
      </w:r>
      <w:r>
        <w:t xml:space="preserve">. </w:t>
      </w:r>
    </w:p>
    <w:p w:rsidR="002C7135" w:rsidRDefault="002C7135" w:rsidP="00EE4BEB">
      <w:pPr>
        <w:pStyle w:val="Healthbody"/>
      </w:pPr>
      <w:r>
        <w:t xml:space="preserve">Transfer of care is part of the discharge process. </w:t>
      </w:r>
      <w:r w:rsidR="00EE4BEB">
        <w:t xml:space="preserve">Transfer of care </w:t>
      </w:r>
      <w:r w:rsidR="00E27706">
        <w:t>in the context of these guidelines</w:t>
      </w:r>
      <w:r w:rsidR="004D448F">
        <w:t xml:space="preserve"> can occur when a patient is discharged home following their inpatient admission</w:t>
      </w:r>
      <w:r w:rsidR="003A3265">
        <w:t xml:space="preserve"> at which point </w:t>
      </w:r>
      <w:r w:rsidR="004D448F">
        <w:t>their care is transferre</w:t>
      </w:r>
      <w:r>
        <w:t xml:space="preserve">d to their GP, </w:t>
      </w:r>
      <w:r w:rsidR="003A3265">
        <w:t xml:space="preserve">their </w:t>
      </w:r>
      <w:r>
        <w:t xml:space="preserve">carer, </w:t>
      </w:r>
      <w:r w:rsidR="003A3265">
        <w:t xml:space="preserve">their </w:t>
      </w:r>
      <w:r>
        <w:t xml:space="preserve">family, </w:t>
      </w:r>
      <w:r w:rsidR="003A3265">
        <w:t xml:space="preserve">a </w:t>
      </w:r>
      <w:r>
        <w:t xml:space="preserve">community service or </w:t>
      </w:r>
      <w:r w:rsidR="003A3265">
        <w:t xml:space="preserve">an </w:t>
      </w:r>
      <w:r>
        <w:t xml:space="preserve">aged care facility. </w:t>
      </w:r>
      <w:r w:rsidR="004D448F">
        <w:t xml:space="preserve">Transfer of care also </w:t>
      </w:r>
      <w:r>
        <w:t xml:space="preserve">occurs when a patient is transferred from </w:t>
      </w:r>
      <w:r w:rsidR="00EE4BEB">
        <w:t>an acute inpatient setting to subacute or non-a</w:t>
      </w:r>
      <w:r w:rsidR="00BD59DA">
        <w:t xml:space="preserve">cute care </w:t>
      </w:r>
      <w:r w:rsidR="003A3265">
        <w:t xml:space="preserve">if </w:t>
      </w:r>
      <w:r w:rsidR="00BD59DA">
        <w:t>the patient can</w:t>
      </w:r>
      <w:r w:rsidR="00EE4BEB">
        <w:t>not return to their usual residence</w:t>
      </w:r>
      <w:r w:rsidR="00BD59DA">
        <w:t xml:space="preserve"> following their acute inpatient admission</w:t>
      </w:r>
      <w:r w:rsidR="00EE4BEB">
        <w:t xml:space="preserve">. </w:t>
      </w:r>
    </w:p>
    <w:p w:rsidR="00EE4BEB" w:rsidRDefault="00EE4BEB" w:rsidP="00EE4BEB">
      <w:pPr>
        <w:pStyle w:val="Healthbody"/>
      </w:pPr>
      <w:r>
        <w:t>The transfer of care process</w:t>
      </w:r>
      <w:r w:rsidRPr="00B2341A">
        <w:t xml:space="preserve"> play</w:t>
      </w:r>
      <w:r>
        <w:t>s</w:t>
      </w:r>
      <w:r w:rsidRPr="00B2341A">
        <w:t xml:space="preserve"> an important role in </w:t>
      </w:r>
      <w:r>
        <w:t xml:space="preserve">enhancing </w:t>
      </w:r>
      <w:r w:rsidRPr="00B2341A">
        <w:t>patient outcomes, redu</w:t>
      </w:r>
      <w:r>
        <w:t>cing</w:t>
      </w:r>
      <w:r w:rsidRPr="00B2341A">
        <w:t xml:space="preserve"> readmissions</w:t>
      </w:r>
      <w:r>
        <w:t xml:space="preserve">, improving hospital efficiency and improving patient flow through health services. Developing and consistently implementing effective transfer of care and discharge processes can reduce unplanned readmissions and the length of </w:t>
      </w:r>
      <w:r w:rsidR="00552B05">
        <w:t xml:space="preserve">time patients </w:t>
      </w:r>
      <w:r>
        <w:t xml:space="preserve">stay </w:t>
      </w:r>
      <w:r w:rsidR="00552B05">
        <w:t>in</w:t>
      </w:r>
      <w:r>
        <w:t xml:space="preserve"> hospital. </w:t>
      </w:r>
    </w:p>
    <w:p w:rsidR="00EE4BEB" w:rsidRPr="009949C3" w:rsidRDefault="00DE69A2" w:rsidP="00EE4BEB">
      <w:pPr>
        <w:pStyle w:val="Healthbody"/>
        <w:rPr>
          <w:rFonts w:cs="Arial"/>
          <w:i/>
        </w:rPr>
      </w:pPr>
      <w:r>
        <w:rPr>
          <w:rFonts w:cs="Arial"/>
        </w:rPr>
        <w:t>The</w:t>
      </w:r>
      <w:r w:rsidR="002C7135">
        <w:rPr>
          <w:rFonts w:cs="Arial"/>
        </w:rPr>
        <w:t>se</w:t>
      </w:r>
      <w:r>
        <w:rPr>
          <w:rFonts w:cs="Arial"/>
        </w:rPr>
        <w:t xml:space="preserve"> guidelines aim to improve patient health outcomes and experiences of discharge and transfer of care from the acute inpatient hospital environment. </w:t>
      </w:r>
      <w:r w:rsidR="00EE4BEB">
        <w:t>These guidelines provide a framework for managing the transfer of care of acute inpatients from Victoria’s public health services to subacute services, community</w:t>
      </w:r>
      <w:r w:rsidR="003A3265">
        <w:t>-</w:t>
      </w:r>
      <w:r w:rsidR="00BD59DA">
        <w:t xml:space="preserve">based </w:t>
      </w:r>
      <w:r w:rsidR="00EE4BEB">
        <w:t>services (such as aged care facilities) and home.</w:t>
      </w:r>
      <w:r w:rsidR="00EE4BEB">
        <w:rPr>
          <w:rFonts w:cs="Arial"/>
        </w:rPr>
        <w:t xml:space="preserve"> </w:t>
      </w:r>
      <w:r w:rsidR="009949C3">
        <w:rPr>
          <w:rFonts w:cs="Arial"/>
        </w:rPr>
        <w:t xml:space="preserve">A further resource is the Australian Medical Association’s position statement </w:t>
      </w:r>
      <w:r w:rsidR="009949C3" w:rsidRPr="009949C3">
        <w:rPr>
          <w:rFonts w:cs="Arial"/>
          <w:i/>
        </w:rPr>
        <w:t xml:space="preserve">General </w:t>
      </w:r>
      <w:r w:rsidR="009949C3">
        <w:rPr>
          <w:rFonts w:cs="Arial"/>
          <w:i/>
        </w:rPr>
        <w:t>practice/hospitals t</w:t>
      </w:r>
      <w:r w:rsidR="009949C3" w:rsidRPr="009949C3">
        <w:rPr>
          <w:rFonts w:cs="Arial"/>
          <w:i/>
        </w:rPr>
        <w:t>ransfer of</w:t>
      </w:r>
      <w:r w:rsidR="009949C3">
        <w:rPr>
          <w:rFonts w:cs="Arial"/>
          <w:i/>
        </w:rPr>
        <w:t xml:space="preserve"> care a</w:t>
      </w:r>
      <w:r w:rsidR="009949C3" w:rsidRPr="009949C3">
        <w:rPr>
          <w:rFonts w:cs="Arial"/>
          <w:i/>
        </w:rPr>
        <w:t>rrangement</w:t>
      </w:r>
      <w:r w:rsidR="009949C3">
        <w:rPr>
          <w:rFonts w:cs="Arial"/>
          <w:i/>
        </w:rPr>
        <w:t>s</w:t>
      </w:r>
      <w:r w:rsidR="00F43301">
        <w:rPr>
          <w:rFonts w:cs="Arial"/>
        </w:rPr>
        <w:t>.</w:t>
      </w:r>
      <w:r w:rsidR="00365184" w:rsidRPr="00D74E6E">
        <w:rPr>
          <w:rStyle w:val="FootnoteReference"/>
        </w:rPr>
        <w:footnoteReference w:id="2"/>
      </w:r>
    </w:p>
    <w:p w:rsidR="00EE4BEB" w:rsidRDefault="00EE4BEB" w:rsidP="00EE4BEB">
      <w:pPr>
        <w:pStyle w:val="Healthbody"/>
      </w:pPr>
      <w:r w:rsidRPr="00B82B3F">
        <w:t>The</w:t>
      </w:r>
      <w:r>
        <w:t>se</w:t>
      </w:r>
      <w:r w:rsidRPr="00B82B3F">
        <w:t xml:space="preserve"> guideline</w:t>
      </w:r>
      <w:r>
        <w:t>s</w:t>
      </w:r>
      <w:r w:rsidRPr="00B82B3F">
        <w:t xml:space="preserve"> </w:t>
      </w:r>
      <w:r>
        <w:t>are presented in three sections to reflect the key phases of transfer of care:</w:t>
      </w:r>
    </w:p>
    <w:p w:rsidR="00202B38" w:rsidRDefault="00F43301" w:rsidP="00593AA4">
      <w:pPr>
        <w:pStyle w:val="Healthbody"/>
        <w:numPr>
          <w:ilvl w:val="0"/>
          <w:numId w:val="37"/>
        </w:numPr>
      </w:pPr>
      <w:r>
        <w:t>p</w:t>
      </w:r>
      <w:r w:rsidR="00EE4BEB">
        <w:t>lanning for transfer of care</w:t>
      </w:r>
    </w:p>
    <w:p w:rsidR="00202B38" w:rsidRDefault="00F43301" w:rsidP="00593AA4">
      <w:pPr>
        <w:pStyle w:val="Healthbody"/>
        <w:numPr>
          <w:ilvl w:val="0"/>
          <w:numId w:val="37"/>
        </w:numPr>
      </w:pPr>
      <w:r>
        <w:t>i</w:t>
      </w:r>
      <w:r w:rsidR="00EE4BEB">
        <w:t>mplementing the transfer of care plan</w:t>
      </w:r>
    </w:p>
    <w:p w:rsidR="004D448F" w:rsidRDefault="00F43301" w:rsidP="00202B38">
      <w:pPr>
        <w:pStyle w:val="Healthbody"/>
        <w:numPr>
          <w:ilvl w:val="0"/>
          <w:numId w:val="37"/>
        </w:numPr>
      </w:pPr>
      <w:proofErr w:type="gramStart"/>
      <w:r>
        <w:t>p</w:t>
      </w:r>
      <w:r w:rsidR="00EE4BEB" w:rsidRPr="00C25661">
        <w:t>ost</w:t>
      </w:r>
      <w:proofErr w:type="gramEnd"/>
      <w:r w:rsidR="00EE4BEB" w:rsidRPr="00C25661">
        <w:t xml:space="preserve"> </w:t>
      </w:r>
      <w:r w:rsidR="00EE4BEB">
        <w:t>transfer of care</w:t>
      </w:r>
      <w:r>
        <w:t>.</w:t>
      </w:r>
    </w:p>
    <w:p w:rsidR="00202B38" w:rsidRDefault="004D448F" w:rsidP="00593AA4">
      <w:pPr>
        <w:pStyle w:val="Healthbody"/>
        <w:numPr>
          <w:ilvl w:val="0"/>
          <w:numId w:val="37"/>
        </w:numPr>
      </w:pPr>
      <w:r>
        <w:br w:type="page"/>
      </w:r>
    </w:p>
    <w:p w:rsidR="00356C8D" w:rsidRDefault="00356C8D" w:rsidP="00DC4669">
      <w:pPr>
        <w:pStyle w:val="Healthheading1"/>
      </w:pPr>
      <w:bookmarkStart w:id="1" w:name="_Toc314644524"/>
      <w:r>
        <w:lastRenderedPageBreak/>
        <w:t>Principles</w:t>
      </w:r>
      <w:bookmarkEnd w:id="1"/>
      <w:r>
        <w:t xml:space="preserve"> </w:t>
      </w:r>
    </w:p>
    <w:p w:rsidR="00DC4669" w:rsidRDefault="00DC4669" w:rsidP="00DC4669">
      <w:pPr>
        <w:pStyle w:val="Healthbody"/>
      </w:pPr>
    </w:p>
    <w:p w:rsidR="00356C8D" w:rsidRDefault="00356C8D" w:rsidP="008B4CD2">
      <w:pPr>
        <w:pStyle w:val="Healthbody"/>
      </w:pPr>
      <w:r>
        <w:t xml:space="preserve">The following principles underpin these guidelines across the three phases of </w:t>
      </w:r>
      <w:r w:rsidR="004C2D98">
        <w:t>transfer of care</w:t>
      </w:r>
      <w:r w:rsidR="00FB70BB">
        <w:t>.</w:t>
      </w:r>
    </w:p>
    <w:p w:rsidR="00BB5A4B" w:rsidRDefault="00BB5A4B" w:rsidP="00301267">
      <w:pPr>
        <w:pStyle w:val="Healthbody"/>
        <w:numPr>
          <w:ilvl w:val="0"/>
          <w:numId w:val="13"/>
        </w:numPr>
        <w:rPr>
          <w:b/>
        </w:rPr>
      </w:pPr>
      <w:r>
        <w:rPr>
          <w:b/>
        </w:rPr>
        <w:t xml:space="preserve">The </w:t>
      </w:r>
      <w:r w:rsidRPr="00D74E6E">
        <w:rPr>
          <w:b/>
          <w:i/>
        </w:rPr>
        <w:t xml:space="preserve">National </w:t>
      </w:r>
      <w:r w:rsidR="003A3265">
        <w:rPr>
          <w:b/>
          <w:i/>
        </w:rPr>
        <w:t>s</w:t>
      </w:r>
      <w:r w:rsidRPr="00D74E6E">
        <w:rPr>
          <w:b/>
          <w:i/>
        </w:rPr>
        <w:t xml:space="preserve">afety and </w:t>
      </w:r>
      <w:r w:rsidR="003A3265">
        <w:rPr>
          <w:b/>
          <w:i/>
        </w:rPr>
        <w:t>q</w:t>
      </w:r>
      <w:r w:rsidRPr="00D74E6E">
        <w:rPr>
          <w:b/>
          <w:i/>
        </w:rPr>
        <w:t xml:space="preserve">uality </w:t>
      </w:r>
      <w:r w:rsidR="003A3265">
        <w:rPr>
          <w:b/>
          <w:i/>
        </w:rPr>
        <w:t>h</w:t>
      </w:r>
      <w:r w:rsidRPr="00D74E6E">
        <w:rPr>
          <w:b/>
          <w:i/>
        </w:rPr>
        <w:t xml:space="preserve">ealth </w:t>
      </w:r>
      <w:r w:rsidR="003A3265">
        <w:rPr>
          <w:b/>
          <w:i/>
        </w:rPr>
        <w:t>s</w:t>
      </w:r>
      <w:r w:rsidRPr="00D74E6E">
        <w:rPr>
          <w:b/>
          <w:i/>
        </w:rPr>
        <w:t xml:space="preserve">ervice </w:t>
      </w:r>
      <w:r w:rsidR="003A3265">
        <w:rPr>
          <w:b/>
          <w:i/>
        </w:rPr>
        <w:t>s</w:t>
      </w:r>
      <w:r w:rsidRPr="00D74E6E">
        <w:rPr>
          <w:b/>
          <w:i/>
        </w:rPr>
        <w:t>tandards</w:t>
      </w:r>
      <w:r>
        <w:rPr>
          <w:b/>
        </w:rPr>
        <w:t xml:space="preserve"> are adhered to.</w:t>
      </w:r>
    </w:p>
    <w:p w:rsidR="004F56FC" w:rsidRDefault="00BB5A4B" w:rsidP="008B4CD2">
      <w:pPr>
        <w:pStyle w:val="Healthbody"/>
        <w:ind w:left="360"/>
      </w:pPr>
      <w:r w:rsidRPr="00BB5A4B">
        <w:t xml:space="preserve">In 2011 the Australian </w:t>
      </w:r>
      <w:r w:rsidR="003A3265">
        <w:t>h</w:t>
      </w:r>
      <w:r w:rsidRPr="00BB5A4B">
        <w:t xml:space="preserve">ealth </w:t>
      </w:r>
      <w:r w:rsidR="003A3265">
        <w:t>m</w:t>
      </w:r>
      <w:r w:rsidRPr="00BB5A4B">
        <w:t xml:space="preserve">inisters endorsed the </w:t>
      </w:r>
      <w:r w:rsidRPr="00D74E6E">
        <w:rPr>
          <w:i/>
        </w:rPr>
        <w:t xml:space="preserve">National </w:t>
      </w:r>
      <w:r w:rsidR="003A3265">
        <w:rPr>
          <w:i/>
        </w:rPr>
        <w:t>s</w:t>
      </w:r>
      <w:r w:rsidRPr="00D74E6E">
        <w:rPr>
          <w:i/>
        </w:rPr>
        <w:t xml:space="preserve">afety and </w:t>
      </w:r>
      <w:r w:rsidR="003A3265">
        <w:rPr>
          <w:i/>
        </w:rPr>
        <w:t>q</w:t>
      </w:r>
      <w:r w:rsidRPr="00D74E6E">
        <w:rPr>
          <w:i/>
        </w:rPr>
        <w:t xml:space="preserve">uality </w:t>
      </w:r>
      <w:r w:rsidR="003A3265">
        <w:rPr>
          <w:i/>
        </w:rPr>
        <w:t>h</w:t>
      </w:r>
      <w:r w:rsidRPr="00D74E6E">
        <w:rPr>
          <w:i/>
        </w:rPr>
        <w:t xml:space="preserve">ealth </w:t>
      </w:r>
      <w:r w:rsidR="003A3265">
        <w:rPr>
          <w:i/>
        </w:rPr>
        <w:t>s</w:t>
      </w:r>
      <w:r w:rsidRPr="00D74E6E">
        <w:rPr>
          <w:i/>
        </w:rPr>
        <w:t xml:space="preserve">ervice </w:t>
      </w:r>
      <w:r w:rsidR="003A3265">
        <w:rPr>
          <w:i/>
        </w:rPr>
        <w:t>s</w:t>
      </w:r>
      <w:r w:rsidRPr="00D74E6E">
        <w:rPr>
          <w:i/>
        </w:rPr>
        <w:t>tandards</w:t>
      </w:r>
      <w:r w:rsidRPr="00BB5A4B">
        <w:t xml:space="preserve">. The </w:t>
      </w:r>
      <w:r w:rsidR="00F43301">
        <w:t>s</w:t>
      </w:r>
      <w:r w:rsidRPr="00BB5A4B">
        <w:t>tandards were developed by the Australian Commission on Safety and Quality in Healthcare and are designed to assist health services to deliver safe and high</w:t>
      </w:r>
      <w:r w:rsidR="003A3265">
        <w:t>-</w:t>
      </w:r>
      <w:r w:rsidRPr="00BB5A4B">
        <w:t xml:space="preserve">quality care. </w:t>
      </w:r>
      <w:r w:rsidR="000E7962">
        <w:t>The guidelines in this document are in</w:t>
      </w:r>
      <w:r w:rsidR="00552B05">
        <w:t xml:space="preserve"> </w:t>
      </w:r>
      <w:r w:rsidR="000E7962">
        <w:t>line with the standards and t</w:t>
      </w:r>
      <w:r w:rsidR="004F56FC" w:rsidRPr="00BB5A4B">
        <w:t xml:space="preserve">his document should be read in conjunction with the </w:t>
      </w:r>
      <w:r w:rsidR="000E7962">
        <w:t>standards.</w:t>
      </w:r>
    </w:p>
    <w:p w:rsidR="00356C8D" w:rsidRPr="00F658F5" w:rsidRDefault="00997C6E" w:rsidP="00301267">
      <w:pPr>
        <w:pStyle w:val="Healthbody"/>
        <w:numPr>
          <w:ilvl w:val="0"/>
          <w:numId w:val="13"/>
        </w:numPr>
        <w:rPr>
          <w:b/>
        </w:rPr>
      </w:pPr>
      <w:r>
        <w:rPr>
          <w:b/>
        </w:rPr>
        <w:t>Patients (and</w:t>
      </w:r>
      <w:r w:rsidR="00552B05">
        <w:rPr>
          <w:b/>
        </w:rPr>
        <w:t xml:space="preserve"> their families</w:t>
      </w:r>
      <w:r w:rsidR="00356C8D" w:rsidRPr="00F658F5">
        <w:rPr>
          <w:b/>
        </w:rPr>
        <w:t xml:space="preserve"> and/or carer</w:t>
      </w:r>
      <w:r w:rsidR="00552B05">
        <w:rPr>
          <w:b/>
        </w:rPr>
        <w:t>s</w:t>
      </w:r>
      <w:r w:rsidR="00356C8D" w:rsidRPr="00F658F5">
        <w:rPr>
          <w:b/>
        </w:rPr>
        <w:t>) are involved in decision making about their care.</w:t>
      </w:r>
    </w:p>
    <w:p w:rsidR="00356C8D" w:rsidRPr="00D74E6E" w:rsidRDefault="00365184" w:rsidP="008B4CD2">
      <w:pPr>
        <w:pStyle w:val="Healthbody"/>
        <w:ind w:left="360"/>
      </w:pPr>
      <w:r w:rsidRPr="00D74E6E">
        <w:t xml:space="preserve">An effective transfer of care strategy is collaborative and focuses on communication with the patient and their family and/or carer. Transfer of care policies, protocols and practices should be sensitive to the needs of different patient groups and individuals. </w:t>
      </w:r>
    </w:p>
    <w:p w:rsidR="00356C8D" w:rsidRPr="00F658F5" w:rsidRDefault="00356C8D" w:rsidP="00301267">
      <w:pPr>
        <w:pStyle w:val="Healthbody"/>
        <w:numPr>
          <w:ilvl w:val="0"/>
          <w:numId w:val="13"/>
        </w:numPr>
        <w:rPr>
          <w:b/>
        </w:rPr>
      </w:pPr>
      <w:r w:rsidRPr="00F658F5">
        <w:rPr>
          <w:b/>
        </w:rPr>
        <w:t xml:space="preserve">Victorian public health services have a consistent approach to </w:t>
      </w:r>
      <w:r w:rsidR="004C2D98">
        <w:rPr>
          <w:b/>
        </w:rPr>
        <w:t>transfer of care</w:t>
      </w:r>
      <w:r w:rsidRPr="00F658F5">
        <w:rPr>
          <w:b/>
        </w:rPr>
        <w:t xml:space="preserve">. </w:t>
      </w:r>
    </w:p>
    <w:p w:rsidR="00356C8D" w:rsidRDefault="00356C8D" w:rsidP="008B4CD2">
      <w:pPr>
        <w:pStyle w:val="Healthbody"/>
        <w:ind w:left="360"/>
      </w:pPr>
      <w:r>
        <w:t xml:space="preserve">Standardised </w:t>
      </w:r>
      <w:r w:rsidR="004C2D98">
        <w:t>transfer of care</w:t>
      </w:r>
      <w:r>
        <w:t xml:space="preserve"> protocols and criteria </w:t>
      </w:r>
      <w:r w:rsidR="00517FF8">
        <w:t>should be</w:t>
      </w:r>
      <w:r>
        <w:t xml:space="preserve"> developed to promote consistency of practice across hospital wards and medical/surgical units</w:t>
      </w:r>
      <w:r w:rsidR="00552B05">
        <w:t>,</w:t>
      </w:r>
      <w:r w:rsidR="00FB1782">
        <w:t xml:space="preserve"> where possible.</w:t>
      </w:r>
      <w:r>
        <w:t xml:space="preserve"> Where appropriate, there </w:t>
      </w:r>
      <w:r w:rsidR="00517FF8">
        <w:t>should be</w:t>
      </w:r>
      <w:r w:rsidR="00552B05">
        <w:t xml:space="preserve"> clearly defined care pathways </w:t>
      </w:r>
      <w:r w:rsidR="003A3265">
        <w:t xml:space="preserve">that </w:t>
      </w:r>
      <w:r w:rsidR="00552B05">
        <w:t>highlight</w:t>
      </w:r>
      <w:r>
        <w:t xml:space="preserve"> critical points for timely and clinically appropriate </w:t>
      </w:r>
      <w:r w:rsidR="004C2D98">
        <w:t>transfer of care</w:t>
      </w:r>
      <w:r>
        <w:t xml:space="preserve"> </w:t>
      </w:r>
      <w:r w:rsidR="00552B05">
        <w:t>out of</w:t>
      </w:r>
      <w:r>
        <w:t xml:space="preserve"> the acute inpatient environment.</w:t>
      </w:r>
    </w:p>
    <w:p w:rsidR="00356C8D" w:rsidRPr="00F658F5" w:rsidRDefault="00356C8D" w:rsidP="00301267">
      <w:pPr>
        <w:pStyle w:val="Healthbody"/>
        <w:numPr>
          <w:ilvl w:val="0"/>
          <w:numId w:val="13"/>
        </w:numPr>
        <w:rPr>
          <w:b/>
        </w:rPr>
      </w:pPr>
      <w:r w:rsidRPr="00F658F5">
        <w:rPr>
          <w:b/>
        </w:rPr>
        <w:t xml:space="preserve">Roles and responsibilities for </w:t>
      </w:r>
      <w:r w:rsidR="004C2D98">
        <w:rPr>
          <w:b/>
        </w:rPr>
        <w:t>transfer of care</w:t>
      </w:r>
      <w:r w:rsidRPr="00F658F5">
        <w:rPr>
          <w:b/>
        </w:rPr>
        <w:t xml:space="preserve"> are clearly understood and communicated within a health service</w:t>
      </w:r>
      <w:r w:rsidR="00190E79">
        <w:rPr>
          <w:b/>
        </w:rPr>
        <w:t>.</w:t>
      </w:r>
      <w:r w:rsidRPr="00F658F5">
        <w:rPr>
          <w:b/>
        </w:rPr>
        <w:t xml:space="preserve"> </w:t>
      </w:r>
    </w:p>
    <w:p w:rsidR="00356C8D" w:rsidRPr="005954E5" w:rsidRDefault="00517FF8" w:rsidP="008B4CD2">
      <w:pPr>
        <w:pStyle w:val="Healthbody"/>
        <w:ind w:left="360"/>
      </w:pPr>
      <w:r>
        <w:t>There should be a</w:t>
      </w:r>
      <w:r w:rsidR="00356C8D">
        <w:t xml:space="preserve"> </w:t>
      </w:r>
      <w:r w:rsidR="001A71AF">
        <w:t>health</w:t>
      </w:r>
      <w:r w:rsidR="003A3265">
        <w:t>-</w:t>
      </w:r>
      <w:r w:rsidR="001A71AF">
        <w:t>service</w:t>
      </w:r>
      <w:r w:rsidR="00356C8D">
        <w:t xml:space="preserve">-wide </w:t>
      </w:r>
      <w:r w:rsidR="004C2D98">
        <w:t>transfer of care</w:t>
      </w:r>
      <w:r w:rsidR="00356C8D">
        <w:t xml:space="preserve"> policy accompanied by local protocols that define staff roles and responsibilities for </w:t>
      </w:r>
      <w:r w:rsidR="004C2D98">
        <w:t>transfer of care</w:t>
      </w:r>
      <w:r w:rsidR="00356C8D">
        <w:t>.</w:t>
      </w:r>
      <w:r w:rsidR="00190E79">
        <w:t xml:space="preserve"> </w:t>
      </w:r>
      <w:r w:rsidR="00356C8D">
        <w:t xml:space="preserve">There </w:t>
      </w:r>
      <w:r>
        <w:t xml:space="preserve">should also be </w:t>
      </w:r>
      <w:r w:rsidR="00356C8D">
        <w:t xml:space="preserve">clear, documented lines of accountability for decision making about a patient’s </w:t>
      </w:r>
      <w:r w:rsidR="004C2D98">
        <w:t>transfer of care</w:t>
      </w:r>
      <w:r w:rsidR="00356C8D">
        <w:t>.</w:t>
      </w:r>
      <w:r w:rsidR="00190E79">
        <w:t xml:space="preserve"> </w:t>
      </w:r>
      <w:r w:rsidR="00356C8D">
        <w:t>All staff</w:t>
      </w:r>
      <w:r>
        <w:t xml:space="preserve"> should</w:t>
      </w:r>
      <w:r w:rsidR="00356C8D">
        <w:t xml:space="preserve"> assume an appropriate level of responsibility for effective </w:t>
      </w:r>
      <w:r w:rsidR="004C2D98">
        <w:t>transfer of care</w:t>
      </w:r>
      <w:r w:rsidR="00356C8D">
        <w:t xml:space="preserve"> from the acute inpatient environment.</w:t>
      </w:r>
    </w:p>
    <w:p w:rsidR="00356C8D" w:rsidRPr="00F658F5" w:rsidRDefault="004C2D98" w:rsidP="00301267">
      <w:pPr>
        <w:pStyle w:val="Healthbody"/>
        <w:numPr>
          <w:ilvl w:val="0"/>
          <w:numId w:val="13"/>
        </w:numPr>
        <w:rPr>
          <w:b/>
        </w:rPr>
      </w:pPr>
      <w:r>
        <w:rPr>
          <w:b/>
        </w:rPr>
        <w:t>Transfer of care</w:t>
      </w:r>
      <w:r w:rsidR="00356C8D" w:rsidRPr="00F658F5">
        <w:rPr>
          <w:b/>
        </w:rPr>
        <w:t xml:space="preserve"> is coordinated and communicated across all relevant healthcare providers and community support services.</w:t>
      </w:r>
    </w:p>
    <w:p w:rsidR="00EF2ED1" w:rsidRDefault="004C2D98" w:rsidP="00EF2ED1">
      <w:pPr>
        <w:pStyle w:val="Healthbody"/>
        <w:ind w:left="360"/>
      </w:pPr>
      <w:r>
        <w:t>Transfer of care</w:t>
      </w:r>
      <w:r w:rsidR="00517FF8">
        <w:t xml:space="preserve"> should be</w:t>
      </w:r>
      <w:r w:rsidR="00356C8D">
        <w:t xml:space="preserve"> coordinated and communicated across relevant teams within the health service and between the acute hospital, primary care providers and community support services.</w:t>
      </w:r>
      <w:r w:rsidR="00190E79">
        <w:t xml:space="preserve"> </w:t>
      </w:r>
      <w:r w:rsidR="00AD4A67">
        <w:t xml:space="preserve">These entities and </w:t>
      </w:r>
      <w:r w:rsidR="003A3265">
        <w:t xml:space="preserve">a </w:t>
      </w:r>
      <w:r w:rsidR="00356C8D">
        <w:t xml:space="preserve">GP </w:t>
      </w:r>
      <w:r w:rsidR="00517FF8">
        <w:t xml:space="preserve">should </w:t>
      </w:r>
      <w:r w:rsidR="00356C8D">
        <w:t>work in partnership to share the care of patients with complex and chronic conditions.</w:t>
      </w:r>
      <w:r w:rsidR="00190E79">
        <w:t xml:space="preserve"> </w:t>
      </w:r>
      <w:r w:rsidR="00356C8D">
        <w:t xml:space="preserve">There </w:t>
      </w:r>
      <w:r w:rsidR="00517FF8">
        <w:t xml:space="preserve">should be </w:t>
      </w:r>
      <w:r w:rsidR="00356C8D">
        <w:t xml:space="preserve">effective </w:t>
      </w:r>
      <w:r w:rsidR="00190E79">
        <w:t>i</w:t>
      </w:r>
      <w:r w:rsidR="00356C8D">
        <w:t xml:space="preserve">nformation and </w:t>
      </w:r>
      <w:r w:rsidR="00190E79">
        <w:t>c</w:t>
      </w:r>
      <w:r w:rsidR="00356C8D">
        <w:t xml:space="preserve">ommunication </w:t>
      </w:r>
      <w:r w:rsidR="00190E79">
        <w:t>t</w:t>
      </w:r>
      <w:r w:rsidR="00356C8D">
        <w:t xml:space="preserve">echnology </w:t>
      </w:r>
      <w:r w:rsidR="003A3265">
        <w:t xml:space="preserve">(ICT) </w:t>
      </w:r>
      <w:r w:rsidR="00356C8D">
        <w:t>infrastructure and protocols in place to support timely transfer of information between the acute hospital, primary care providers and community support services.</w:t>
      </w:r>
      <w:r w:rsidR="00EF2ED1">
        <w:t xml:space="preserve"> </w:t>
      </w:r>
    </w:p>
    <w:p w:rsidR="00356C8D" w:rsidRPr="00F658F5" w:rsidRDefault="00356C8D" w:rsidP="00EF2ED1">
      <w:pPr>
        <w:pStyle w:val="Healthbody"/>
        <w:numPr>
          <w:ilvl w:val="0"/>
          <w:numId w:val="13"/>
        </w:numPr>
        <w:rPr>
          <w:b/>
        </w:rPr>
      </w:pPr>
      <w:r w:rsidRPr="00F658F5">
        <w:rPr>
          <w:b/>
        </w:rPr>
        <w:t xml:space="preserve">Health services review and monitor their </w:t>
      </w:r>
      <w:r w:rsidR="004C2D98">
        <w:rPr>
          <w:b/>
        </w:rPr>
        <w:t>transfer of care</w:t>
      </w:r>
      <w:r w:rsidRPr="00F658F5">
        <w:rPr>
          <w:b/>
        </w:rPr>
        <w:t xml:space="preserve"> performance and related aspects of service demand and capacity.</w:t>
      </w:r>
    </w:p>
    <w:p w:rsidR="00356C8D" w:rsidRDefault="00356C8D" w:rsidP="008B4CD2">
      <w:pPr>
        <w:pStyle w:val="Healthbody"/>
        <w:ind w:left="360"/>
      </w:pPr>
      <w:r>
        <w:t xml:space="preserve">Meaningful data </w:t>
      </w:r>
      <w:r w:rsidR="00584438">
        <w:t>should</w:t>
      </w:r>
      <w:r>
        <w:t xml:space="preserve"> routinely </w:t>
      </w:r>
      <w:r w:rsidR="00584438">
        <w:t xml:space="preserve">be </w:t>
      </w:r>
      <w:r>
        <w:t>collected, analysed, interpreted and reported to improve</w:t>
      </w:r>
      <w:r w:rsidR="00552B05">
        <w:t xml:space="preserve"> health service</w:t>
      </w:r>
      <w:r>
        <w:t>s</w:t>
      </w:r>
      <w:r w:rsidR="00552B05">
        <w:t>’</w:t>
      </w:r>
      <w:r>
        <w:t xml:space="preserve"> understanding of </w:t>
      </w:r>
      <w:r w:rsidR="00584438">
        <w:t xml:space="preserve">their </w:t>
      </w:r>
      <w:r w:rsidR="004C2D98">
        <w:t>transfer of care</w:t>
      </w:r>
      <w:r>
        <w:t xml:space="preserve"> performance, service demand and capacity.</w:t>
      </w:r>
      <w:r w:rsidR="00190E79">
        <w:t xml:space="preserve"> </w:t>
      </w:r>
      <w:r w:rsidR="00286BBD">
        <w:t xml:space="preserve">The performance measures outlined in </w:t>
      </w:r>
      <w:r w:rsidR="002F4A6C">
        <w:t>s</w:t>
      </w:r>
      <w:r w:rsidR="00286BBD">
        <w:t xml:space="preserve">ection </w:t>
      </w:r>
      <w:r w:rsidR="003A3265">
        <w:t>7</w:t>
      </w:r>
      <w:r w:rsidR="00286BBD">
        <w:t xml:space="preserve"> of this document can assist health services to measure their transfer of care performance. </w:t>
      </w:r>
      <w:r>
        <w:t xml:space="preserve">Tailored </w:t>
      </w:r>
      <w:r w:rsidR="00190E79">
        <w:t>i</w:t>
      </w:r>
      <w:r>
        <w:t xml:space="preserve">nformation on </w:t>
      </w:r>
      <w:r w:rsidR="004C2D98">
        <w:t>transfer of care</w:t>
      </w:r>
      <w:r>
        <w:t xml:space="preserve"> performance </w:t>
      </w:r>
      <w:r w:rsidR="00584438">
        <w:t>should be</w:t>
      </w:r>
      <w:r>
        <w:t xml:space="preserve"> disseminated and discussed with relevant staff.</w:t>
      </w:r>
      <w:r w:rsidR="00190E79">
        <w:t xml:space="preserve"> </w:t>
      </w:r>
      <w:r>
        <w:t>W</w:t>
      </w:r>
      <w:r w:rsidR="00FB1782">
        <w:t xml:space="preserve">here </w:t>
      </w:r>
      <w:r w:rsidR="004C2D98">
        <w:t>transfer of care</w:t>
      </w:r>
      <w:r w:rsidR="00FB1782">
        <w:t xml:space="preserve"> performance deviates from an </w:t>
      </w:r>
      <w:r>
        <w:t xml:space="preserve">acceptable </w:t>
      </w:r>
      <w:r w:rsidR="00552B05">
        <w:t xml:space="preserve">level, </w:t>
      </w:r>
      <w:r w:rsidR="00584438">
        <w:t>an appropriate response should be</w:t>
      </w:r>
      <w:r>
        <w:t xml:space="preserve"> enacted</w:t>
      </w:r>
      <w:r w:rsidR="00286BBD">
        <w:t>.</w:t>
      </w:r>
    </w:p>
    <w:p w:rsidR="00356C8D" w:rsidRDefault="00356C8D" w:rsidP="002C4652">
      <w:pPr>
        <w:pStyle w:val="Healthbody"/>
      </w:pPr>
    </w:p>
    <w:p w:rsidR="00EE4BEB" w:rsidRDefault="00356C8D" w:rsidP="00DC4669">
      <w:pPr>
        <w:pStyle w:val="Healthheading1"/>
      </w:pPr>
      <w:r>
        <w:br w:type="page"/>
      </w:r>
      <w:r w:rsidR="00EE4BEB">
        <w:lastRenderedPageBreak/>
        <w:t>Planning for transfer of care</w:t>
      </w:r>
    </w:p>
    <w:p w:rsidR="00EE4BEB" w:rsidRDefault="00EE4BEB" w:rsidP="00DC4669">
      <w:pPr>
        <w:pStyle w:val="Healthbody"/>
        <w:rPr>
          <w:lang w:eastAsia="en-AU"/>
        </w:rPr>
      </w:pPr>
    </w:p>
    <w:p w:rsidR="00EE4BEB" w:rsidRDefault="00EE4BEB" w:rsidP="00EE4BEB">
      <w:pPr>
        <w:pStyle w:val="Healthheading2"/>
      </w:pPr>
      <w:r>
        <w:t>Key requirements</w:t>
      </w:r>
    </w:p>
    <w:p w:rsidR="00EE4BEB" w:rsidRPr="001E2A6D" w:rsidRDefault="00EE4BEB" w:rsidP="00974D5C">
      <w:pPr>
        <w:pStyle w:val="Healthbody"/>
        <w:numPr>
          <w:ilvl w:val="0"/>
          <w:numId w:val="39"/>
        </w:numPr>
      </w:pPr>
      <w:r w:rsidRPr="00974D5C">
        <w:t xml:space="preserve">Preparation for transfer of care is to begin prior to </w:t>
      </w:r>
      <w:r w:rsidR="003A3265">
        <w:t xml:space="preserve">a </w:t>
      </w:r>
      <w:r w:rsidR="00AD4A67">
        <w:t xml:space="preserve">planned </w:t>
      </w:r>
      <w:r w:rsidRPr="00974D5C">
        <w:t>admission and as soon as possible for emergency or unplanned patients.</w:t>
      </w:r>
    </w:p>
    <w:p w:rsidR="00EE4BEB" w:rsidRDefault="0022182D" w:rsidP="00974D5C">
      <w:pPr>
        <w:pStyle w:val="Healthbody"/>
        <w:numPr>
          <w:ilvl w:val="0"/>
          <w:numId w:val="39"/>
        </w:numPr>
      </w:pPr>
      <w:r>
        <w:t>All</w:t>
      </w:r>
      <w:r w:rsidR="00E82517" w:rsidRPr="00974D5C">
        <w:t xml:space="preserve"> </w:t>
      </w:r>
      <w:r w:rsidR="00EE4BEB" w:rsidRPr="00974D5C">
        <w:t>patients are to undergo a thorough discharge risk assessment within 24 hours of admission.</w:t>
      </w:r>
    </w:p>
    <w:p w:rsidR="00EE4BEB" w:rsidRDefault="00EE4BEB" w:rsidP="00974D5C">
      <w:pPr>
        <w:pStyle w:val="Healthbody"/>
        <w:numPr>
          <w:ilvl w:val="0"/>
          <w:numId w:val="39"/>
        </w:numPr>
      </w:pPr>
      <w:r w:rsidRPr="00974D5C">
        <w:t>An estimated date of transfer of care should be established prior to</w:t>
      </w:r>
      <w:r w:rsidR="00552B05" w:rsidRPr="00974D5C">
        <w:t>,</w:t>
      </w:r>
      <w:r w:rsidRPr="00974D5C">
        <w:t xml:space="preserve"> or as soon as possible after</w:t>
      </w:r>
      <w:r w:rsidR="003A3265">
        <w:t>,</w:t>
      </w:r>
      <w:r w:rsidRPr="00974D5C">
        <w:t xml:space="preserve"> an acute patient’s admission</w:t>
      </w:r>
      <w:r w:rsidR="00E82517" w:rsidRPr="00974D5C">
        <w:t xml:space="preserve"> and reviewed and updated to ensure accuracy and predictability</w:t>
      </w:r>
      <w:r w:rsidRPr="00974D5C">
        <w:t xml:space="preserve">. </w:t>
      </w:r>
    </w:p>
    <w:p w:rsidR="00EE4BEB" w:rsidRDefault="00EE4BEB" w:rsidP="00974D5C">
      <w:pPr>
        <w:pStyle w:val="Healthbody"/>
        <w:numPr>
          <w:ilvl w:val="0"/>
          <w:numId w:val="39"/>
        </w:numPr>
      </w:pPr>
      <w:r w:rsidRPr="00974D5C">
        <w:t>All patients are to have an individualised discharge</w:t>
      </w:r>
      <w:r w:rsidR="00BD59DA" w:rsidRPr="00974D5C">
        <w:t xml:space="preserve"> plan</w:t>
      </w:r>
      <w:r w:rsidRPr="00974D5C">
        <w:t xml:space="preserve"> or transfer of care plan.</w:t>
      </w:r>
    </w:p>
    <w:p w:rsidR="00202B38" w:rsidRDefault="00EE4BEB" w:rsidP="00593AA4">
      <w:pPr>
        <w:pStyle w:val="Healthbody"/>
        <w:numPr>
          <w:ilvl w:val="0"/>
          <w:numId w:val="39"/>
        </w:numPr>
      </w:pPr>
      <w:r w:rsidRPr="00974D5C">
        <w:t xml:space="preserve">Responsibility for coordinating and implementing a patient’s discharge or transfer of care plan is to be allocated to a specific individual or team. </w:t>
      </w:r>
    </w:p>
    <w:p w:rsidR="00046A9A" w:rsidRPr="00974D5C" w:rsidRDefault="003F67C4" w:rsidP="00974D5C">
      <w:pPr>
        <w:pStyle w:val="Healthbody"/>
        <w:numPr>
          <w:ilvl w:val="0"/>
          <w:numId w:val="39"/>
        </w:numPr>
      </w:pPr>
      <w:r w:rsidRPr="00974D5C">
        <w:t>The indivi</w:t>
      </w:r>
      <w:r w:rsidR="00046A9A" w:rsidRPr="00974D5C">
        <w:t xml:space="preserve">dual or team responsible for coordinating the patient’s discharge or transfer of care should </w:t>
      </w:r>
      <w:r w:rsidR="005A551A">
        <w:t>engage</w:t>
      </w:r>
      <w:r w:rsidR="00046A9A" w:rsidRPr="00974D5C">
        <w:t xml:space="preserve"> with the patient </w:t>
      </w:r>
      <w:r w:rsidR="000F29A6">
        <w:t xml:space="preserve">and their carer </w:t>
      </w:r>
      <w:r w:rsidR="00046A9A" w:rsidRPr="00974D5C">
        <w:t xml:space="preserve">to prepare them for discharge/transfer of care. </w:t>
      </w:r>
    </w:p>
    <w:p w:rsidR="00EE4BEB" w:rsidRDefault="00EE4BEB" w:rsidP="00EE4BEB">
      <w:pPr>
        <w:pStyle w:val="Healthbody"/>
        <w:rPr>
          <w:lang w:eastAsia="en-AU"/>
        </w:rPr>
      </w:pPr>
    </w:p>
    <w:p w:rsidR="00EE4BEB" w:rsidRDefault="00EE4BEB" w:rsidP="00E329D7">
      <w:pPr>
        <w:pStyle w:val="Healthheading2"/>
      </w:pPr>
      <w:r>
        <w:t>Implementation guidelines</w:t>
      </w:r>
    </w:p>
    <w:p w:rsidR="00EE4BEB" w:rsidRPr="002A5AC0" w:rsidRDefault="00EE4BEB" w:rsidP="00E329D7">
      <w:pPr>
        <w:pStyle w:val="Healthbody"/>
        <w:spacing w:before="240"/>
        <w:rPr>
          <w:b/>
          <w:sz w:val="22"/>
          <w:szCs w:val="22"/>
        </w:rPr>
      </w:pPr>
      <w:r w:rsidRPr="002A5AC0">
        <w:rPr>
          <w:b/>
          <w:sz w:val="22"/>
          <w:szCs w:val="22"/>
        </w:rPr>
        <w:t>Conducting a</w:t>
      </w:r>
      <w:r>
        <w:rPr>
          <w:b/>
          <w:sz w:val="22"/>
          <w:szCs w:val="22"/>
        </w:rPr>
        <w:t xml:space="preserve"> discharge</w:t>
      </w:r>
      <w:r w:rsidRPr="002A5AC0">
        <w:rPr>
          <w:b/>
          <w:sz w:val="22"/>
          <w:szCs w:val="22"/>
        </w:rPr>
        <w:t xml:space="preserve"> risk assessment</w:t>
      </w:r>
    </w:p>
    <w:p w:rsidR="00EE4BEB" w:rsidRDefault="00EE4BEB" w:rsidP="00EE4BEB">
      <w:pPr>
        <w:pStyle w:val="Healthbody"/>
      </w:pPr>
      <w:r w:rsidRPr="00F544E9">
        <w:t>As part of the admission process</w:t>
      </w:r>
      <w:r>
        <w:t>,</w:t>
      </w:r>
      <w:r w:rsidRPr="00F544E9">
        <w:t xml:space="preserve"> a </w:t>
      </w:r>
      <w:r>
        <w:t>discharge</w:t>
      </w:r>
      <w:r w:rsidRPr="00F544E9">
        <w:t xml:space="preserve"> </w:t>
      </w:r>
      <w:r>
        <w:t xml:space="preserve">risk assessment should be completed. The risk assessment can begin prior to admission for planned patients or at the time of admission for unplanned patients. </w:t>
      </w:r>
      <w:r w:rsidR="00552B05">
        <w:t>T</w:t>
      </w:r>
      <w:r w:rsidR="00552B05" w:rsidRPr="00C71A60">
        <w:t xml:space="preserve">o ensure comprehensive planning can occur and appropriate services can be arranged to support </w:t>
      </w:r>
      <w:r w:rsidR="00552B05">
        <w:t>discharge, d</w:t>
      </w:r>
      <w:r>
        <w:t>ischarge</w:t>
      </w:r>
      <w:r w:rsidRPr="00C71A60">
        <w:t xml:space="preserve"> risk assessments must</w:t>
      </w:r>
      <w:r w:rsidR="004D448F">
        <w:t xml:space="preserve"> be effective in</w:t>
      </w:r>
      <w:r w:rsidRPr="00C71A60">
        <w:t xml:space="preserve"> identify</w:t>
      </w:r>
      <w:r w:rsidR="001C783C">
        <w:t>ing</w:t>
      </w:r>
      <w:r w:rsidRPr="00C71A60">
        <w:t xml:space="preserve"> patients with more complex needs </w:t>
      </w:r>
      <w:r w:rsidR="008B194E">
        <w:t xml:space="preserve">or at risk of </w:t>
      </w:r>
      <w:r w:rsidR="003A3265">
        <w:t xml:space="preserve">an </w:t>
      </w:r>
      <w:r w:rsidR="008B194E">
        <w:t>unplanned readmission</w:t>
      </w:r>
      <w:r w:rsidRPr="00C71A60">
        <w:t>.</w:t>
      </w:r>
      <w:r w:rsidR="00F945C8">
        <w:t xml:space="preserve"> The </w:t>
      </w:r>
      <w:r w:rsidR="00CF7F03">
        <w:t xml:space="preserve">discharge </w:t>
      </w:r>
      <w:r w:rsidR="00F945C8">
        <w:t xml:space="preserve">risk assessment should be reviewed and updated during the course of the admission. </w:t>
      </w:r>
    </w:p>
    <w:p w:rsidR="00EE4BEB" w:rsidRPr="00F544E9" w:rsidRDefault="00EE4BEB" w:rsidP="00EE4BEB">
      <w:pPr>
        <w:pStyle w:val="Healthbody"/>
      </w:pPr>
      <w:r>
        <w:t>A discharge risk assessment</w:t>
      </w:r>
      <w:r w:rsidRPr="00F544E9">
        <w:t xml:space="preserve"> should be comprehensive and consider the patient’s physiological, psychological, social and cultural circumstances.</w:t>
      </w:r>
      <w:r>
        <w:t xml:space="preserve"> It may address the following areas</w:t>
      </w:r>
      <w:r w:rsidRPr="00C71A60">
        <w:t>:</w:t>
      </w:r>
      <w:r>
        <w:t xml:space="preserve"> </w:t>
      </w:r>
    </w:p>
    <w:p w:rsidR="00EE4BEB" w:rsidRDefault="00EE4BEB" w:rsidP="00974D5C">
      <w:pPr>
        <w:pStyle w:val="Healthbody"/>
        <w:numPr>
          <w:ilvl w:val="0"/>
          <w:numId w:val="39"/>
        </w:numPr>
      </w:pPr>
      <w:r w:rsidRPr="00C71A60">
        <w:t>Is the patient likely to have self-care problems?</w:t>
      </w:r>
    </w:p>
    <w:p w:rsidR="00EE4BEB" w:rsidRDefault="00EE4BEB" w:rsidP="00974D5C">
      <w:pPr>
        <w:pStyle w:val="Healthbody"/>
        <w:numPr>
          <w:ilvl w:val="0"/>
          <w:numId w:val="39"/>
        </w:numPr>
      </w:pPr>
      <w:r w:rsidRPr="00C71A60">
        <w:t>Does the patient live alone?</w:t>
      </w:r>
    </w:p>
    <w:p w:rsidR="00EE4BEB" w:rsidRDefault="00EE4BEB" w:rsidP="00974D5C">
      <w:pPr>
        <w:pStyle w:val="Healthbody"/>
        <w:numPr>
          <w:ilvl w:val="0"/>
          <w:numId w:val="39"/>
        </w:numPr>
      </w:pPr>
      <w:r w:rsidRPr="00C71A60">
        <w:t>Does the patient have caring responsibilities for others?</w:t>
      </w:r>
    </w:p>
    <w:p w:rsidR="00EE4BEB" w:rsidRDefault="00EE4BEB" w:rsidP="00974D5C">
      <w:pPr>
        <w:pStyle w:val="Healthbody"/>
        <w:numPr>
          <w:ilvl w:val="0"/>
          <w:numId w:val="39"/>
        </w:numPr>
      </w:pPr>
      <w:r w:rsidRPr="00C71A60">
        <w:t>Has the patient used community services before admission?</w:t>
      </w:r>
    </w:p>
    <w:p w:rsidR="003A003F" w:rsidRDefault="003A003F" w:rsidP="00974D5C">
      <w:pPr>
        <w:pStyle w:val="Healthbody"/>
        <w:numPr>
          <w:ilvl w:val="0"/>
          <w:numId w:val="39"/>
        </w:numPr>
      </w:pPr>
      <w:r>
        <w:t>Has the patient had unplanned admissions to hospital in the previous six months?</w:t>
      </w:r>
    </w:p>
    <w:p w:rsidR="00EE4BEB" w:rsidRDefault="00EE4BEB" w:rsidP="00974D5C">
      <w:pPr>
        <w:pStyle w:val="Healthbody"/>
        <w:numPr>
          <w:ilvl w:val="0"/>
          <w:numId w:val="39"/>
        </w:numPr>
      </w:pPr>
      <w:r>
        <w:t>Is the patient at risk of falls?</w:t>
      </w:r>
    </w:p>
    <w:p w:rsidR="00EE4BEB" w:rsidRDefault="00EE4BEB" w:rsidP="00974D5C">
      <w:pPr>
        <w:pStyle w:val="Healthbody"/>
        <w:numPr>
          <w:ilvl w:val="0"/>
          <w:numId w:val="39"/>
        </w:numPr>
      </w:pPr>
      <w:r>
        <w:t>Is the patient at risk of developing a pressure injury?</w:t>
      </w:r>
    </w:p>
    <w:p w:rsidR="001C783C" w:rsidRDefault="001C783C" w:rsidP="001C783C">
      <w:pPr>
        <w:pStyle w:val="Healthbody"/>
        <w:numPr>
          <w:ilvl w:val="0"/>
          <w:numId w:val="39"/>
        </w:numPr>
      </w:pPr>
      <w:r>
        <w:t xml:space="preserve">Is the patient at risk of </w:t>
      </w:r>
      <w:r w:rsidR="003A003F">
        <w:t xml:space="preserve">continuing </w:t>
      </w:r>
      <w:r>
        <w:t>functional decline?</w:t>
      </w:r>
    </w:p>
    <w:p w:rsidR="00EE4BEB" w:rsidRDefault="00EE4BEB" w:rsidP="00974D5C">
      <w:pPr>
        <w:pStyle w:val="Healthbody"/>
        <w:numPr>
          <w:ilvl w:val="0"/>
          <w:numId w:val="39"/>
        </w:numPr>
      </w:pPr>
      <w:r w:rsidRPr="00C71A60">
        <w:t>Does the patient usually take three or more medications</w:t>
      </w:r>
      <w:r w:rsidR="00552B05">
        <w:t>,</w:t>
      </w:r>
      <w:r w:rsidRPr="00C71A60">
        <w:t xml:space="preserve"> and have their medications changed in the last two weeks?</w:t>
      </w:r>
      <w:r>
        <w:t xml:space="preserve"> </w:t>
      </w:r>
      <w:r w:rsidR="003A003F">
        <w:t>Does the patient understand how to administer the medications and do they have the ability and willingness to do so?</w:t>
      </w:r>
    </w:p>
    <w:p w:rsidR="00EE4BEB" w:rsidRDefault="00EE4BEB" w:rsidP="00974D5C">
      <w:pPr>
        <w:pStyle w:val="Healthbody"/>
        <w:numPr>
          <w:ilvl w:val="0"/>
          <w:numId w:val="39"/>
        </w:numPr>
      </w:pPr>
      <w:r>
        <w:t xml:space="preserve">Is the patient </w:t>
      </w:r>
      <w:r w:rsidR="00AD4A67">
        <w:t xml:space="preserve">taking </w:t>
      </w:r>
      <w:r>
        <w:t xml:space="preserve">large </w:t>
      </w:r>
      <w:r w:rsidRPr="00C71A60">
        <w:t xml:space="preserve">quantities of </w:t>
      </w:r>
      <w:r>
        <w:t>Schedule 8 medicines?</w:t>
      </w:r>
    </w:p>
    <w:p w:rsidR="000F29A6" w:rsidRDefault="00EE4BEB" w:rsidP="00EE4BEB">
      <w:pPr>
        <w:pStyle w:val="Healthbody"/>
      </w:pPr>
      <w:r w:rsidRPr="00F544E9">
        <w:t>Risk assessments should include assessment of the specific needs of Aboriginal and/or Torres Strait I</w:t>
      </w:r>
      <w:r w:rsidRPr="00C71A60">
        <w:t>slander Victorians</w:t>
      </w:r>
      <w:r w:rsidR="00872A56">
        <w:t xml:space="preserve"> and culturally and linguistically diverse (CALD) patients. </w:t>
      </w:r>
    </w:p>
    <w:p w:rsidR="00EE4BEB" w:rsidRPr="00F544E9" w:rsidRDefault="00EE4BEB" w:rsidP="00EE4BEB">
      <w:pPr>
        <w:pStyle w:val="Healthbody"/>
      </w:pPr>
      <w:r w:rsidRPr="00C71A60">
        <w:t xml:space="preserve">The risk assessment </w:t>
      </w:r>
      <w:r w:rsidR="00552B05">
        <w:t>should</w:t>
      </w:r>
      <w:r w:rsidRPr="00C71A60">
        <w:t xml:space="preserve"> be updated if the patient</w:t>
      </w:r>
      <w:r w:rsidRPr="0005228B">
        <w:t>’</w:t>
      </w:r>
      <w:r w:rsidRPr="00C71A60">
        <w:t xml:space="preserve">s clinical or social status changes. </w:t>
      </w:r>
    </w:p>
    <w:p w:rsidR="00EE4BEB" w:rsidRDefault="00EE4BEB" w:rsidP="00EE4BEB">
      <w:pPr>
        <w:pStyle w:val="Healthbody"/>
        <w:rPr>
          <w:b/>
          <w:sz w:val="22"/>
          <w:szCs w:val="22"/>
        </w:rPr>
      </w:pPr>
    </w:p>
    <w:p w:rsidR="00EE4BEB" w:rsidRPr="002A5AC0" w:rsidRDefault="00EE4BEB" w:rsidP="00EE4BEB">
      <w:pPr>
        <w:pStyle w:val="Healthbody"/>
        <w:rPr>
          <w:b/>
          <w:sz w:val="22"/>
          <w:szCs w:val="22"/>
        </w:rPr>
      </w:pPr>
      <w:r>
        <w:rPr>
          <w:b/>
          <w:sz w:val="22"/>
          <w:szCs w:val="22"/>
        </w:rPr>
        <w:t>Estimating a date of transfer of care</w:t>
      </w:r>
    </w:p>
    <w:p w:rsidR="00EE4BEB" w:rsidRDefault="00EE4BEB" w:rsidP="00EE4BEB">
      <w:pPr>
        <w:pStyle w:val="Healthbody"/>
      </w:pPr>
      <w:r>
        <w:rPr>
          <w:lang w:eastAsia="en-AU"/>
        </w:rPr>
        <w:t xml:space="preserve">The estimated date of transfer of care (or discharge) </w:t>
      </w:r>
      <w:r w:rsidRPr="00F544E9">
        <w:rPr>
          <w:lang w:eastAsia="en-AU"/>
        </w:rPr>
        <w:t xml:space="preserve">is a prediction of the date and time </w:t>
      </w:r>
      <w:r w:rsidRPr="00C71A60">
        <w:rPr>
          <w:lang w:eastAsia="en-AU"/>
        </w:rPr>
        <w:t>that a patient will be trans</w:t>
      </w:r>
      <w:r w:rsidR="00552B05">
        <w:rPr>
          <w:lang w:eastAsia="en-AU"/>
        </w:rPr>
        <w:t>ferred to another level of care. T</w:t>
      </w:r>
      <w:r w:rsidRPr="00C71A60">
        <w:rPr>
          <w:lang w:eastAsia="en-AU"/>
        </w:rPr>
        <w:t xml:space="preserve">his could be </w:t>
      </w:r>
      <w:r w:rsidRPr="00C71A60">
        <w:t>the transfer of a patient from acute to subacute services</w:t>
      </w:r>
      <w:r w:rsidR="002F4A6C">
        <w:t>,</w:t>
      </w:r>
      <w:r w:rsidRPr="00C71A60">
        <w:t xml:space="preserve"> from one hospital to another hospital</w:t>
      </w:r>
      <w:r w:rsidR="002F4A6C">
        <w:t>,</w:t>
      </w:r>
      <w:r w:rsidRPr="00C71A60">
        <w:t xml:space="preserve"> or from hospital to care in the community or home.</w:t>
      </w:r>
      <w:r>
        <w:t xml:space="preserve"> </w:t>
      </w:r>
    </w:p>
    <w:p w:rsidR="00DC792C" w:rsidRDefault="00AD4A67" w:rsidP="00DC792C">
      <w:pPr>
        <w:pStyle w:val="Healthbody"/>
        <w:rPr>
          <w:lang w:eastAsia="en-AU"/>
        </w:rPr>
      </w:pPr>
      <w:r>
        <w:rPr>
          <w:lang w:eastAsia="en-AU"/>
        </w:rPr>
        <w:t>Planning for t</w:t>
      </w:r>
      <w:r w:rsidR="00DC792C">
        <w:rPr>
          <w:lang w:eastAsia="en-AU"/>
        </w:rPr>
        <w:t xml:space="preserve">ransfer of care needs to be in progress early in the admission and may be supported by clinical or patient pathways. Transfer of care is confirmed and informed by the patient’s clinical status and goals of admission. </w:t>
      </w:r>
    </w:p>
    <w:p w:rsidR="00EB38E3" w:rsidRPr="00EB38E3" w:rsidRDefault="00EB38E3" w:rsidP="00EB38E3">
      <w:pPr>
        <w:pStyle w:val="Healthbody"/>
      </w:pPr>
      <w:r w:rsidRPr="00EB38E3">
        <w:t xml:space="preserve">Unnecessary transfers of care should be avoided and everyone should work together to ensure patients access their definitive care early and avoid being moved around the system. </w:t>
      </w:r>
    </w:p>
    <w:p w:rsidR="00EE4BEB" w:rsidRDefault="00EE4BEB" w:rsidP="00EE4BEB">
      <w:pPr>
        <w:pStyle w:val="Healthbody"/>
        <w:rPr>
          <w:lang w:eastAsia="en-AU"/>
        </w:rPr>
      </w:pPr>
      <w:r w:rsidRPr="00C71A60">
        <w:rPr>
          <w:lang w:eastAsia="en-AU"/>
        </w:rPr>
        <w:t xml:space="preserve">In determining the </w:t>
      </w:r>
      <w:r>
        <w:rPr>
          <w:lang w:eastAsia="en-AU"/>
        </w:rPr>
        <w:t>estimated date of transfer of care</w:t>
      </w:r>
      <w:r w:rsidRPr="00C71A60">
        <w:rPr>
          <w:lang w:eastAsia="en-AU"/>
        </w:rPr>
        <w:t xml:space="preserve">, the patient's ongoing need for care and services should be matched with the availability of these services at the next level of care. For example, if the patient is to be </w:t>
      </w:r>
      <w:r>
        <w:rPr>
          <w:lang w:eastAsia="en-AU"/>
        </w:rPr>
        <w:t xml:space="preserve">discharged </w:t>
      </w:r>
      <w:r w:rsidRPr="00C71A60">
        <w:rPr>
          <w:lang w:eastAsia="en-AU"/>
        </w:rPr>
        <w:t xml:space="preserve">home, the availability of their GP and relevant community service providers should be considered. It is important that relevant support services are organised and in place before the patient is </w:t>
      </w:r>
      <w:r w:rsidR="00BD59DA">
        <w:rPr>
          <w:lang w:eastAsia="en-AU"/>
        </w:rPr>
        <w:t>discharged</w:t>
      </w:r>
      <w:r w:rsidRPr="00C71A60">
        <w:rPr>
          <w:lang w:eastAsia="en-AU"/>
        </w:rPr>
        <w:t xml:space="preserve">. </w:t>
      </w:r>
    </w:p>
    <w:p w:rsidR="00EE4BEB" w:rsidRPr="00F544E9" w:rsidRDefault="00EE4BEB" w:rsidP="00EE4BEB">
      <w:pPr>
        <w:pStyle w:val="Healthbody"/>
        <w:rPr>
          <w:lang w:eastAsia="en-AU"/>
        </w:rPr>
      </w:pPr>
      <w:r w:rsidRPr="00C71A60">
        <w:rPr>
          <w:lang w:eastAsia="en-AU"/>
        </w:rPr>
        <w:t>If services are not in place at the next level of care or if the patient</w:t>
      </w:r>
      <w:r w:rsidRPr="0005228B">
        <w:rPr>
          <w:lang w:eastAsia="en-AU"/>
        </w:rPr>
        <w:t>’</w:t>
      </w:r>
      <w:r w:rsidRPr="00C71A60">
        <w:rPr>
          <w:lang w:eastAsia="en-AU"/>
        </w:rPr>
        <w:t xml:space="preserve">s condition deteriorates, it is appropriate to revise the </w:t>
      </w:r>
      <w:r>
        <w:rPr>
          <w:lang w:eastAsia="en-AU"/>
        </w:rPr>
        <w:t>estimated date of transfer of care</w:t>
      </w:r>
      <w:r w:rsidRPr="00C71A60">
        <w:rPr>
          <w:lang w:eastAsia="en-AU"/>
        </w:rPr>
        <w:t>.</w:t>
      </w:r>
      <w:r>
        <w:rPr>
          <w:lang w:eastAsia="en-AU"/>
        </w:rPr>
        <w:t xml:space="preserve"> </w:t>
      </w:r>
      <w:r w:rsidRPr="00C71A60">
        <w:rPr>
          <w:lang w:eastAsia="en-AU"/>
        </w:rPr>
        <w:t xml:space="preserve">Changes to the </w:t>
      </w:r>
      <w:r>
        <w:rPr>
          <w:lang w:eastAsia="en-AU"/>
        </w:rPr>
        <w:t>estimated date of transfer of care</w:t>
      </w:r>
      <w:r w:rsidRPr="00C71A60">
        <w:rPr>
          <w:lang w:eastAsia="en-AU"/>
        </w:rPr>
        <w:t xml:space="preserve"> should be recorde</w:t>
      </w:r>
      <w:r w:rsidR="00552B05">
        <w:rPr>
          <w:lang w:eastAsia="en-AU"/>
        </w:rPr>
        <w:t>d, along with the reason for this</w:t>
      </w:r>
      <w:r w:rsidRPr="00C71A60">
        <w:rPr>
          <w:lang w:eastAsia="en-AU"/>
        </w:rPr>
        <w:t xml:space="preserve"> revision.</w:t>
      </w:r>
      <w:r>
        <w:rPr>
          <w:lang w:eastAsia="en-AU"/>
        </w:rPr>
        <w:t xml:space="preserve"> </w:t>
      </w:r>
      <w:r w:rsidRPr="00C71A60">
        <w:rPr>
          <w:lang w:eastAsia="en-AU"/>
        </w:rPr>
        <w:t xml:space="preserve">Capturing and analysing data on delays to </w:t>
      </w:r>
      <w:r>
        <w:rPr>
          <w:lang w:eastAsia="en-AU"/>
        </w:rPr>
        <w:t>transfer of care</w:t>
      </w:r>
      <w:r w:rsidRPr="00C71A60">
        <w:rPr>
          <w:lang w:eastAsia="en-AU"/>
        </w:rPr>
        <w:t xml:space="preserve"> </w:t>
      </w:r>
      <w:r>
        <w:rPr>
          <w:lang w:eastAsia="en-AU"/>
        </w:rPr>
        <w:t xml:space="preserve">or discharge </w:t>
      </w:r>
      <w:r w:rsidRPr="00C71A60">
        <w:rPr>
          <w:lang w:eastAsia="en-AU"/>
        </w:rPr>
        <w:t>can identify constraints in the system.</w:t>
      </w:r>
      <w:r w:rsidR="00F43301">
        <w:rPr>
          <w:lang w:eastAsia="en-AU"/>
        </w:rPr>
        <w:t xml:space="preserve">  </w:t>
      </w:r>
      <w:r>
        <w:rPr>
          <w:lang w:eastAsia="en-AU"/>
        </w:rPr>
        <w:t xml:space="preserve"> </w:t>
      </w:r>
    </w:p>
    <w:p w:rsidR="00EE4BEB" w:rsidRDefault="00EE4BEB" w:rsidP="00EE4BEB">
      <w:pPr>
        <w:pStyle w:val="Healthbody"/>
        <w:rPr>
          <w:lang w:eastAsia="en-AU"/>
        </w:rPr>
      </w:pPr>
      <w:r w:rsidRPr="00C71A60">
        <w:rPr>
          <w:lang w:eastAsia="en-AU"/>
        </w:rPr>
        <w:t xml:space="preserve">The </w:t>
      </w:r>
      <w:r>
        <w:rPr>
          <w:lang w:eastAsia="en-AU"/>
        </w:rPr>
        <w:t>estimated date of transfer of care</w:t>
      </w:r>
      <w:r w:rsidRPr="00C71A60">
        <w:rPr>
          <w:lang w:eastAsia="en-AU"/>
        </w:rPr>
        <w:t xml:space="preserve"> should be included on patient journey boards and displayed at the bedside. This will ensure that all staff involved in the patient</w:t>
      </w:r>
      <w:r w:rsidRPr="0005228B">
        <w:rPr>
          <w:lang w:eastAsia="en-AU"/>
        </w:rPr>
        <w:t>’</w:t>
      </w:r>
      <w:r w:rsidRPr="00C71A60">
        <w:rPr>
          <w:lang w:eastAsia="en-AU"/>
        </w:rPr>
        <w:t xml:space="preserve">s care </w:t>
      </w:r>
      <w:proofErr w:type="gramStart"/>
      <w:r w:rsidRPr="00C71A60">
        <w:rPr>
          <w:lang w:eastAsia="en-AU"/>
        </w:rPr>
        <w:t>are</w:t>
      </w:r>
      <w:proofErr w:type="gramEnd"/>
      <w:r w:rsidRPr="00C71A60">
        <w:rPr>
          <w:lang w:eastAsia="en-AU"/>
        </w:rPr>
        <w:t xml:space="preserve"> working towards the </w:t>
      </w:r>
      <w:r>
        <w:rPr>
          <w:lang w:eastAsia="en-AU"/>
        </w:rPr>
        <w:t>estimated date of transfer of care</w:t>
      </w:r>
      <w:r w:rsidRPr="00C71A60">
        <w:rPr>
          <w:lang w:eastAsia="en-AU"/>
        </w:rPr>
        <w:t>.</w:t>
      </w:r>
      <w:r w:rsidR="00F74A33">
        <w:rPr>
          <w:lang w:eastAsia="en-AU"/>
        </w:rPr>
        <w:t xml:space="preserve"> The estimated date of transfer of care should also be clearly communicated to the patient and their carer. </w:t>
      </w:r>
    </w:p>
    <w:p w:rsidR="00EE4BEB" w:rsidRDefault="00EE4BEB" w:rsidP="00EE4BEB">
      <w:pPr>
        <w:pStyle w:val="Healthbody"/>
        <w:rPr>
          <w:b/>
          <w:sz w:val="22"/>
          <w:szCs w:val="22"/>
        </w:rPr>
      </w:pPr>
    </w:p>
    <w:p w:rsidR="00EE4BEB" w:rsidRPr="006C404D" w:rsidRDefault="00EE4BEB" w:rsidP="00EE4BEB">
      <w:pPr>
        <w:pStyle w:val="Healthbody"/>
        <w:rPr>
          <w:rFonts w:cs="Arial"/>
        </w:rPr>
      </w:pPr>
      <w:r>
        <w:rPr>
          <w:b/>
          <w:sz w:val="22"/>
          <w:szCs w:val="22"/>
        </w:rPr>
        <w:t>Developing an individualised transfer of care plan</w:t>
      </w:r>
    </w:p>
    <w:p w:rsidR="00EE4BEB" w:rsidRDefault="00EE4BEB" w:rsidP="00EE4BEB">
      <w:pPr>
        <w:rPr>
          <w:rFonts w:ascii="Arial" w:hAnsi="Arial" w:cs="Arial"/>
        </w:rPr>
      </w:pPr>
      <w:r>
        <w:rPr>
          <w:rFonts w:ascii="Arial" w:hAnsi="Arial" w:cs="Arial"/>
        </w:rPr>
        <w:t xml:space="preserve">All patients are to have an individualised </w:t>
      </w:r>
      <w:r w:rsidR="00BD59DA">
        <w:rPr>
          <w:rFonts w:ascii="Arial" w:hAnsi="Arial" w:cs="Arial"/>
        </w:rPr>
        <w:t xml:space="preserve">discharge plan or </w:t>
      </w:r>
      <w:r>
        <w:rPr>
          <w:rFonts w:ascii="Arial" w:hAnsi="Arial" w:cs="Arial"/>
        </w:rPr>
        <w:t xml:space="preserve">transfer of care plan. </w:t>
      </w:r>
      <w:r w:rsidR="00552B05">
        <w:rPr>
          <w:rFonts w:ascii="Arial" w:hAnsi="Arial" w:cs="Arial"/>
        </w:rPr>
        <w:t>This</w:t>
      </w:r>
      <w:r w:rsidRPr="006C404D">
        <w:rPr>
          <w:rFonts w:ascii="Arial" w:hAnsi="Arial" w:cs="Arial"/>
        </w:rPr>
        <w:t xml:space="preserve"> plan should:</w:t>
      </w:r>
    </w:p>
    <w:p w:rsidR="00EE4BEB" w:rsidRPr="006C404D" w:rsidRDefault="00EE4BEB" w:rsidP="00EE4BEB">
      <w:pPr>
        <w:rPr>
          <w:rFonts w:ascii="Arial" w:hAnsi="Arial" w:cs="Arial"/>
        </w:rPr>
      </w:pPr>
    </w:p>
    <w:p w:rsidR="00974D5C" w:rsidRDefault="00EE4BEB" w:rsidP="00974D5C">
      <w:pPr>
        <w:pStyle w:val="Healthbody"/>
        <w:numPr>
          <w:ilvl w:val="0"/>
          <w:numId w:val="39"/>
        </w:numPr>
        <w:ind w:left="357" w:hanging="357"/>
      </w:pPr>
      <w:r w:rsidRPr="00F544E9">
        <w:t>be informed by</w:t>
      </w:r>
      <w:r w:rsidR="00552B05">
        <w:t>,</w:t>
      </w:r>
      <w:r w:rsidRPr="00F544E9">
        <w:t xml:space="preserve"> and include</w:t>
      </w:r>
      <w:r w:rsidR="003A3265">
        <w:t>,</w:t>
      </w:r>
      <w:r w:rsidRPr="00F544E9">
        <w:t xml:space="preserve"> relevant information from the patient’s risk assessment, family and/or carer, GP and relevant community providers</w:t>
      </w:r>
    </w:p>
    <w:p w:rsidR="00974D5C" w:rsidRDefault="00EE4BEB" w:rsidP="00974D5C">
      <w:pPr>
        <w:pStyle w:val="Healthbody"/>
        <w:numPr>
          <w:ilvl w:val="0"/>
          <w:numId w:val="39"/>
        </w:numPr>
        <w:ind w:left="357" w:hanging="357"/>
      </w:pPr>
      <w:r w:rsidRPr="00F544E9">
        <w:t xml:space="preserve">include the </w:t>
      </w:r>
      <w:r>
        <w:t>estimated date of transfer of care</w:t>
      </w:r>
      <w:r w:rsidRPr="00F544E9">
        <w:t xml:space="preserve"> </w:t>
      </w:r>
      <w:r>
        <w:t xml:space="preserve">(or discharge) </w:t>
      </w:r>
      <w:r w:rsidRPr="00F544E9">
        <w:t xml:space="preserve">and strategies to ensure the </w:t>
      </w:r>
      <w:r>
        <w:t>estimated date of transfer of care</w:t>
      </w:r>
      <w:r w:rsidRPr="00F544E9">
        <w:t xml:space="preserve"> is </w:t>
      </w:r>
      <w:r w:rsidR="00552B05">
        <w:t>met</w:t>
      </w:r>
      <w:r w:rsidRPr="00F544E9">
        <w:t xml:space="preserve"> (</w:t>
      </w:r>
      <w:r w:rsidR="00552B05">
        <w:t>such as</w:t>
      </w:r>
      <w:r w:rsidRPr="00F544E9">
        <w:t xml:space="preserve"> communication plans with community providers, families and/or carers)</w:t>
      </w:r>
    </w:p>
    <w:p w:rsidR="00974D5C" w:rsidRDefault="00EE4BEB" w:rsidP="00974D5C">
      <w:pPr>
        <w:pStyle w:val="Healthbody"/>
        <w:numPr>
          <w:ilvl w:val="0"/>
          <w:numId w:val="39"/>
        </w:numPr>
        <w:ind w:left="357" w:hanging="357"/>
      </w:pPr>
      <w:r w:rsidRPr="00C71A60">
        <w:t>include information about referrals to hospital-based services and/or community services</w:t>
      </w:r>
    </w:p>
    <w:p w:rsidR="00EE4BEB" w:rsidRDefault="00EE4BEB" w:rsidP="00974D5C">
      <w:pPr>
        <w:pStyle w:val="Healthbody"/>
        <w:numPr>
          <w:ilvl w:val="0"/>
          <w:numId w:val="39"/>
        </w:numPr>
        <w:ind w:left="357" w:hanging="357"/>
      </w:pPr>
      <w:r w:rsidRPr="00C71A60">
        <w:t>include information about the patient</w:t>
      </w:r>
      <w:r w:rsidRPr="0005228B">
        <w:t>’</w:t>
      </w:r>
      <w:r w:rsidRPr="00C71A60">
        <w:t xml:space="preserve">s transport arrangements from hospital to their </w:t>
      </w:r>
      <w:r>
        <w:t>transfer of care</w:t>
      </w:r>
      <w:r w:rsidRPr="00C71A60">
        <w:t xml:space="preserve"> location</w:t>
      </w:r>
    </w:p>
    <w:p w:rsidR="00974D5C" w:rsidRDefault="004449A7" w:rsidP="00974D5C">
      <w:pPr>
        <w:pStyle w:val="Healthbody"/>
        <w:numPr>
          <w:ilvl w:val="0"/>
          <w:numId w:val="39"/>
        </w:numPr>
      </w:pPr>
      <w:r>
        <w:t>include information about the patient’s medications and how these will be transferred</w:t>
      </w:r>
    </w:p>
    <w:p w:rsidR="00974D5C" w:rsidRDefault="00EE4BEB" w:rsidP="00974D5C">
      <w:pPr>
        <w:pStyle w:val="Healthbody"/>
        <w:numPr>
          <w:ilvl w:val="0"/>
          <w:numId w:val="39"/>
        </w:numPr>
      </w:pPr>
      <w:r w:rsidRPr="00C71A60">
        <w:t>form an integral part of the</w:t>
      </w:r>
      <w:r w:rsidR="00552B05">
        <w:t xml:space="preserve"> patient’s</w:t>
      </w:r>
      <w:r w:rsidRPr="00C71A60">
        <w:t xml:space="preserve"> clinical </w:t>
      </w:r>
      <w:r w:rsidR="007E7DAD">
        <w:t xml:space="preserve">notes </w:t>
      </w:r>
      <w:r w:rsidRPr="00C71A60">
        <w:t>while they are admitted</w:t>
      </w:r>
    </w:p>
    <w:p w:rsidR="00974D5C" w:rsidRDefault="00EE4BEB" w:rsidP="00974D5C">
      <w:pPr>
        <w:pStyle w:val="Healthbody"/>
        <w:numPr>
          <w:ilvl w:val="0"/>
          <w:numId w:val="39"/>
        </w:numPr>
      </w:pPr>
      <w:r w:rsidRPr="00C71A60">
        <w:t>be updated as required</w:t>
      </w:r>
    </w:p>
    <w:p w:rsidR="00EE4BEB" w:rsidRDefault="00DC792C" w:rsidP="00974D5C">
      <w:pPr>
        <w:pStyle w:val="Healthbody"/>
        <w:numPr>
          <w:ilvl w:val="0"/>
          <w:numId w:val="39"/>
        </w:numPr>
      </w:pPr>
      <w:proofErr w:type="gramStart"/>
      <w:r>
        <w:t>be</w:t>
      </w:r>
      <w:proofErr w:type="gramEnd"/>
      <w:r>
        <w:t xml:space="preserve"> provided to the patient and/or carer.</w:t>
      </w:r>
    </w:p>
    <w:p w:rsidR="004449A7" w:rsidRDefault="004449A7" w:rsidP="00EE4BEB">
      <w:pPr>
        <w:pStyle w:val="Healthbody"/>
        <w:rPr>
          <w:lang w:eastAsia="en-AU"/>
        </w:rPr>
      </w:pPr>
    </w:p>
    <w:p w:rsidR="00D74E6E" w:rsidRDefault="00D74E6E">
      <w:pPr>
        <w:rPr>
          <w:rFonts w:ascii="Arial" w:hAnsi="Arial"/>
          <w:b/>
          <w:sz w:val="22"/>
          <w:szCs w:val="22"/>
        </w:rPr>
      </w:pPr>
      <w:r>
        <w:rPr>
          <w:b/>
          <w:sz w:val="22"/>
          <w:szCs w:val="22"/>
        </w:rPr>
        <w:br w:type="page"/>
      </w:r>
    </w:p>
    <w:p w:rsidR="00EE4BEB" w:rsidRPr="002A5AC0" w:rsidRDefault="00EE4BEB" w:rsidP="00EE4BEB">
      <w:pPr>
        <w:pStyle w:val="Healthbody"/>
        <w:rPr>
          <w:b/>
          <w:sz w:val="22"/>
          <w:szCs w:val="22"/>
        </w:rPr>
      </w:pPr>
      <w:r>
        <w:rPr>
          <w:b/>
          <w:sz w:val="22"/>
          <w:szCs w:val="22"/>
        </w:rPr>
        <w:lastRenderedPageBreak/>
        <w:t>Allocating transfer of care responsibility to an individual or team</w:t>
      </w:r>
    </w:p>
    <w:p w:rsidR="00EE4BEB" w:rsidRDefault="00EE4BEB" w:rsidP="00EE4BEB">
      <w:pPr>
        <w:pStyle w:val="Healthbody"/>
        <w:rPr>
          <w:lang w:eastAsia="en-AU"/>
        </w:rPr>
      </w:pPr>
      <w:r w:rsidRPr="00C71A60">
        <w:rPr>
          <w:lang w:eastAsia="en-AU"/>
        </w:rPr>
        <w:t>The person</w:t>
      </w:r>
      <w:r>
        <w:rPr>
          <w:lang w:eastAsia="en-AU"/>
        </w:rPr>
        <w:t xml:space="preserve"> or </w:t>
      </w:r>
      <w:r w:rsidRPr="00C71A60">
        <w:rPr>
          <w:lang w:eastAsia="en-AU"/>
        </w:rPr>
        <w:t xml:space="preserve">team </w:t>
      </w:r>
      <w:r>
        <w:rPr>
          <w:lang w:eastAsia="en-AU"/>
        </w:rPr>
        <w:t xml:space="preserve">responsible for coordinating and implementing a patient’s transfer of care plan </w:t>
      </w:r>
      <w:r w:rsidRPr="00C71A60">
        <w:rPr>
          <w:lang w:eastAsia="en-AU"/>
        </w:rPr>
        <w:t>will differ depending on the patient and the health service. It may be appropriate to employ a multidisciplinary team approach where medical, allied health, nursing and other relevant staff work together through coordinated ward rounds</w:t>
      </w:r>
      <w:r w:rsidR="008B194E">
        <w:rPr>
          <w:lang w:eastAsia="en-AU"/>
        </w:rPr>
        <w:t xml:space="preserve"> or meetings</w:t>
      </w:r>
      <w:r w:rsidRPr="00C71A60">
        <w:rPr>
          <w:lang w:eastAsia="en-AU"/>
        </w:rPr>
        <w:t>.</w:t>
      </w:r>
      <w:r w:rsidR="0012281B">
        <w:rPr>
          <w:lang w:eastAsia="en-AU"/>
        </w:rPr>
        <w:t xml:space="preserve"> An agreed process of communication should be established between the patient and/or carer and the transfer of care team. A key contact for the transfer of care team should also be nominated.</w:t>
      </w:r>
      <w:r w:rsidR="00F43301">
        <w:rPr>
          <w:lang w:eastAsia="en-AU"/>
        </w:rPr>
        <w:t xml:space="preserve"> </w:t>
      </w:r>
      <w:r w:rsidRPr="00C71A60">
        <w:rPr>
          <w:lang w:eastAsia="en-AU"/>
        </w:rPr>
        <w:t>Alternatively, it may be appropriate to appoint a singl</w:t>
      </w:r>
      <w:r>
        <w:rPr>
          <w:lang w:eastAsia="en-AU"/>
        </w:rPr>
        <w:t xml:space="preserve">e </w:t>
      </w:r>
      <w:r w:rsidR="002F4A6C">
        <w:rPr>
          <w:lang w:eastAsia="en-AU"/>
        </w:rPr>
        <w:t>p</w:t>
      </w:r>
      <w:r>
        <w:rPr>
          <w:lang w:eastAsia="en-AU"/>
        </w:rPr>
        <w:t xml:space="preserve">atient </w:t>
      </w:r>
      <w:r w:rsidR="002F4A6C">
        <w:rPr>
          <w:lang w:eastAsia="en-AU"/>
        </w:rPr>
        <w:t>t</w:t>
      </w:r>
      <w:r>
        <w:rPr>
          <w:lang w:eastAsia="en-AU"/>
        </w:rPr>
        <w:t xml:space="preserve">reatment </w:t>
      </w:r>
      <w:r w:rsidR="002F4A6C">
        <w:rPr>
          <w:lang w:eastAsia="en-AU"/>
        </w:rPr>
        <w:t>c</w:t>
      </w:r>
      <w:r>
        <w:rPr>
          <w:lang w:eastAsia="en-AU"/>
        </w:rPr>
        <w:t>oordinator</w:t>
      </w:r>
      <w:r w:rsidR="00095D2A">
        <w:rPr>
          <w:rStyle w:val="FootnoteReference"/>
          <w:lang w:eastAsia="en-AU"/>
        </w:rPr>
        <w:footnoteReference w:id="3"/>
      </w:r>
      <w:r>
        <w:rPr>
          <w:lang w:eastAsia="en-AU"/>
        </w:rPr>
        <w:t xml:space="preserve"> </w:t>
      </w:r>
      <w:r w:rsidRPr="00C71A60">
        <w:rPr>
          <w:lang w:eastAsia="en-AU"/>
        </w:rPr>
        <w:t xml:space="preserve">to be responsible for </w:t>
      </w:r>
      <w:r>
        <w:rPr>
          <w:lang w:eastAsia="en-AU"/>
        </w:rPr>
        <w:t xml:space="preserve">coordinating </w:t>
      </w:r>
      <w:r w:rsidRPr="00C71A60">
        <w:rPr>
          <w:lang w:eastAsia="en-AU"/>
        </w:rPr>
        <w:t>the patient</w:t>
      </w:r>
      <w:r w:rsidRPr="0005228B">
        <w:rPr>
          <w:lang w:eastAsia="en-AU"/>
        </w:rPr>
        <w:t>’</w:t>
      </w:r>
      <w:r w:rsidRPr="00C71A60">
        <w:rPr>
          <w:lang w:eastAsia="en-AU"/>
        </w:rPr>
        <w:t xml:space="preserve">s </w:t>
      </w:r>
      <w:r>
        <w:rPr>
          <w:lang w:eastAsia="en-AU"/>
        </w:rPr>
        <w:t>transfer of care</w:t>
      </w:r>
      <w:r w:rsidRPr="00C71A60">
        <w:rPr>
          <w:lang w:eastAsia="en-AU"/>
        </w:rPr>
        <w:t>.</w:t>
      </w:r>
    </w:p>
    <w:p w:rsidR="00202B38" w:rsidRDefault="00202B38" w:rsidP="00DC4669">
      <w:pPr>
        <w:pStyle w:val="Healthheading1"/>
        <w:numPr>
          <w:ilvl w:val="0"/>
          <w:numId w:val="0"/>
        </w:numPr>
        <w:ind w:left="1080"/>
      </w:pPr>
    </w:p>
    <w:p w:rsidR="00356C8D" w:rsidRDefault="00615ABE" w:rsidP="00DC4669">
      <w:pPr>
        <w:pStyle w:val="Healthheading1"/>
      </w:pPr>
      <w:r>
        <w:br w:type="page"/>
      </w:r>
      <w:r w:rsidR="00356C8D">
        <w:lastRenderedPageBreak/>
        <w:t xml:space="preserve">Implementing the </w:t>
      </w:r>
      <w:r w:rsidR="004C2D98">
        <w:t>transfer of care</w:t>
      </w:r>
      <w:r w:rsidR="00356C8D">
        <w:t xml:space="preserve"> plan</w:t>
      </w:r>
    </w:p>
    <w:p w:rsidR="00615ABE" w:rsidRPr="00EA45CF" w:rsidRDefault="00615ABE" w:rsidP="00EA45CF">
      <w:pPr>
        <w:pStyle w:val="Healthheading2"/>
        <w:spacing w:before="0" w:after="120" w:line="270" w:lineRule="atLeast"/>
        <w:rPr>
          <w:b w:val="0"/>
          <w:sz w:val="20"/>
          <w:szCs w:val="20"/>
        </w:rPr>
      </w:pPr>
    </w:p>
    <w:p w:rsidR="00FD5629" w:rsidRDefault="00FD5629" w:rsidP="00FD5629">
      <w:pPr>
        <w:pStyle w:val="Healthheading2"/>
      </w:pPr>
      <w:r>
        <w:t>Key requirements</w:t>
      </w:r>
    </w:p>
    <w:p w:rsidR="00FD5629" w:rsidRDefault="00FD5629" w:rsidP="00974D5C">
      <w:pPr>
        <w:pStyle w:val="Healthbody"/>
        <w:numPr>
          <w:ilvl w:val="0"/>
          <w:numId w:val="39"/>
        </w:numPr>
        <w:ind w:left="357" w:hanging="357"/>
      </w:pPr>
      <w:r w:rsidRPr="00974D5C">
        <w:t xml:space="preserve">The transfer of care plan is to be </w:t>
      </w:r>
      <w:r w:rsidR="00B17DD7">
        <w:t xml:space="preserve">developed and </w:t>
      </w:r>
      <w:r w:rsidRPr="00974D5C">
        <w:t>implemented in consultation with patients, their families and/or carers.</w:t>
      </w:r>
      <w:r w:rsidR="00B17DD7">
        <w:t xml:space="preserve"> </w:t>
      </w:r>
    </w:p>
    <w:p w:rsidR="00B17DD7" w:rsidRPr="00974D5C" w:rsidRDefault="00B17DD7" w:rsidP="00974D5C">
      <w:pPr>
        <w:pStyle w:val="Healthbody"/>
        <w:numPr>
          <w:ilvl w:val="0"/>
          <w:numId w:val="39"/>
        </w:numPr>
        <w:ind w:left="357" w:hanging="357"/>
      </w:pPr>
      <w:r>
        <w:t>All aspects of the transfer of care plan should be understood by the patient, their families and/or carers.</w:t>
      </w:r>
    </w:p>
    <w:p w:rsidR="00FD5629" w:rsidRDefault="00FD5629" w:rsidP="00974D5C">
      <w:pPr>
        <w:pStyle w:val="Healthbody"/>
        <w:numPr>
          <w:ilvl w:val="0"/>
          <w:numId w:val="39"/>
        </w:numPr>
        <w:ind w:left="357" w:hanging="357"/>
      </w:pPr>
      <w:r w:rsidRPr="00974D5C">
        <w:t>A transfer of care summary should be commenced as soon as possible and developed throughout the patient’s admission.</w:t>
      </w:r>
    </w:p>
    <w:p w:rsidR="00FD5629" w:rsidRDefault="00FD5629" w:rsidP="00974D5C">
      <w:pPr>
        <w:pStyle w:val="Healthbody"/>
        <w:numPr>
          <w:ilvl w:val="0"/>
          <w:numId w:val="39"/>
        </w:numPr>
        <w:ind w:left="357" w:hanging="357"/>
      </w:pPr>
      <w:r>
        <w:t>A transfer of care checklist (or equivalent) should be completed for all patients prior to</w:t>
      </w:r>
      <w:r w:rsidR="00C13398">
        <w:t xml:space="preserve"> discharge or</w:t>
      </w:r>
      <w:r>
        <w:t xml:space="preserve"> transfer of care.</w:t>
      </w:r>
    </w:p>
    <w:p w:rsidR="00FD5629" w:rsidRDefault="00FD5629" w:rsidP="00974D5C">
      <w:pPr>
        <w:pStyle w:val="Healthbody"/>
        <w:numPr>
          <w:ilvl w:val="0"/>
          <w:numId w:val="39"/>
        </w:numPr>
        <w:ind w:left="357" w:hanging="357"/>
      </w:pPr>
      <w:r>
        <w:t xml:space="preserve">The transfer of patient information must comply with the privacy principles as defined in the </w:t>
      </w:r>
      <w:r w:rsidR="00365184" w:rsidRPr="00D74E6E">
        <w:rPr>
          <w:i/>
        </w:rPr>
        <w:t>Information Privacy Act 2000</w:t>
      </w:r>
      <w:r w:rsidRPr="00974D5C">
        <w:t xml:space="preserve"> </w:t>
      </w:r>
      <w:r>
        <w:t xml:space="preserve">and the </w:t>
      </w:r>
      <w:r w:rsidR="00365184" w:rsidRPr="00D74E6E">
        <w:rPr>
          <w:i/>
        </w:rPr>
        <w:t>Health Records Act 2001</w:t>
      </w:r>
      <w:r w:rsidRPr="00974D5C">
        <w:t>.</w:t>
      </w:r>
    </w:p>
    <w:p w:rsidR="00FD5629" w:rsidRDefault="00FD5629" w:rsidP="00974D5C">
      <w:pPr>
        <w:pStyle w:val="Healthbody"/>
        <w:numPr>
          <w:ilvl w:val="0"/>
          <w:numId w:val="39"/>
        </w:numPr>
        <w:ind w:left="357" w:hanging="357"/>
      </w:pPr>
      <w:r>
        <w:t>Patients at higher risk of readmission should be identified</w:t>
      </w:r>
      <w:r w:rsidR="0012281B">
        <w:t xml:space="preserve"> and strategies to minimise the risk of readmission implemented</w:t>
      </w:r>
      <w:r>
        <w:t>.</w:t>
      </w:r>
    </w:p>
    <w:p w:rsidR="00906723" w:rsidRDefault="00906723" w:rsidP="00974D5C">
      <w:pPr>
        <w:pStyle w:val="Healthbody"/>
        <w:numPr>
          <w:ilvl w:val="0"/>
          <w:numId w:val="39"/>
        </w:numPr>
        <w:ind w:left="357" w:hanging="357"/>
      </w:pPr>
      <w:r>
        <w:t xml:space="preserve">The Victorian Quality Council’s </w:t>
      </w:r>
      <w:r w:rsidR="00365184" w:rsidRPr="00D74E6E">
        <w:rPr>
          <w:i/>
        </w:rPr>
        <w:t xml:space="preserve">Inter-hospital </w:t>
      </w:r>
      <w:r w:rsidR="002F4A6C">
        <w:rPr>
          <w:i/>
        </w:rPr>
        <w:t>t</w:t>
      </w:r>
      <w:r w:rsidR="00365184" w:rsidRPr="00D74E6E">
        <w:rPr>
          <w:i/>
        </w:rPr>
        <w:t xml:space="preserve">ransfer </w:t>
      </w:r>
      <w:r w:rsidR="002F4A6C">
        <w:rPr>
          <w:i/>
        </w:rPr>
        <w:t>p</w:t>
      </w:r>
      <w:r w:rsidR="00365184" w:rsidRPr="00D74E6E">
        <w:rPr>
          <w:i/>
        </w:rPr>
        <w:t xml:space="preserve">atient </w:t>
      </w:r>
      <w:r w:rsidR="002F4A6C">
        <w:rPr>
          <w:i/>
        </w:rPr>
        <w:t>t</w:t>
      </w:r>
      <w:r w:rsidR="00365184" w:rsidRPr="00D74E6E">
        <w:rPr>
          <w:i/>
        </w:rPr>
        <w:t xml:space="preserve">ransfer </w:t>
      </w:r>
      <w:r w:rsidR="002F4A6C">
        <w:rPr>
          <w:i/>
        </w:rPr>
        <w:t>f</w:t>
      </w:r>
      <w:r w:rsidR="00365184" w:rsidRPr="00D74E6E">
        <w:rPr>
          <w:i/>
        </w:rPr>
        <w:t>orm</w:t>
      </w:r>
      <w:r w:rsidR="00996A13" w:rsidRPr="00F26033">
        <w:rPr>
          <w:vertAlign w:val="superscript"/>
        </w:rPr>
        <w:footnoteReference w:id="4"/>
      </w:r>
      <w:r>
        <w:t xml:space="preserve"> should be used when transferring a patient from one hospital to another. </w:t>
      </w:r>
    </w:p>
    <w:p w:rsidR="00202B38" w:rsidRDefault="00FD5629" w:rsidP="00593AA4">
      <w:pPr>
        <w:pStyle w:val="Healthbody"/>
        <w:numPr>
          <w:ilvl w:val="0"/>
          <w:numId w:val="39"/>
        </w:numPr>
        <w:ind w:left="357" w:hanging="357"/>
      </w:pPr>
      <w:r>
        <w:t>Referrals to appropriate healthcare providers and/or community support services are to be made on completion of the risk assessment.</w:t>
      </w:r>
    </w:p>
    <w:p w:rsidR="00FD5629" w:rsidRDefault="00FD5629" w:rsidP="00974D5C">
      <w:pPr>
        <w:pStyle w:val="Healthbody"/>
        <w:numPr>
          <w:ilvl w:val="0"/>
          <w:numId w:val="39"/>
        </w:numPr>
        <w:ind w:left="357" w:hanging="357"/>
      </w:pPr>
      <w:r>
        <w:t xml:space="preserve">Necessary </w:t>
      </w:r>
      <w:r w:rsidR="00A66BB3">
        <w:t xml:space="preserve">community </w:t>
      </w:r>
      <w:r>
        <w:t xml:space="preserve">support services are to be </w:t>
      </w:r>
      <w:r w:rsidR="002526D2">
        <w:t xml:space="preserve">engaged </w:t>
      </w:r>
      <w:r>
        <w:t xml:space="preserve">upon a patient’s </w:t>
      </w:r>
      <w:r w:rsidR="00A66BB3">
        <w:t>discharge home</w:t>
      </w:r>
      <w:r>
        <w:t xml:space="preserve">. </w:t>
      </w:r>
    </w:p>
    <w:p w:rsidR="00FD5629" w:rsidRDefault="00FD5629" w:rsidP="00974D5C">
      <w:pPr>
        <w:pStyle w:val="Healthbody"/>
        <w:numPr>
          <w:ilvl w:val="0"/>
          <w:numId w:val="39"/>
        </w:numPr>
        <w:ind w:left="357" w:hanging="357"/>
      </w:pPr>
      <w:r>
        <w:t xml:space="preserve">Continuity of medication management should be maintained. </w:t>
      </w:r>
    </w:p>
    <w:p w:rsidR="00FD5629" w:rsidRDefault="00FD5629" w:rsidP="00974D5C">
      <w:pPr>
        <w:pStyle w:val="Healthbody"/>
        <w:numPr>
          <w:ilvl w:val="0"/>
          <w:numId w:val="39"/>
        </w:numPr>
        <w:ind w:left="357" w:hanging="357"/>
      </w:pPr>
      <w:r>
        <w:t xml:space="preserve">An appropriate </w:t>
      </w:r>
      <w:r w:rsidR="00C13398">
        <w:t xml:space="preserve">discharge or </w:t>
      </w:r>
      <w:r>
        <w:t xml:space="preserve">transfer of care destination should be confirmed. </w:t>
      </w:r>
    </w:p>
    <w:p w:rsidR="00FD5629" w:rsidRDefault="00FD5629" w:rsidP="00974D5C">
      <w:pPr>
        <w:pStyle w:val="Healthbody"/>
        <w:ind w:left="357"/>
      </w:pPr>
    </w:p>
    <w:p w:rsidR="00356C8D" w:rsidRDefault="00356C8D" w:rsidP="00BE09FE">
      <w:pPr>
        <w:pStyle w:val="Healthheading2"/>
      </w:pPr>
      <w:r>
        <w:t>Implementation guid</w:t>
      </w:r>
      <w:r w:rsidR="008B4CD2">
        <w:t>elines</w:t>
      </w:r>
    </w:p>
    <w:p w:rsidR="001423A7" w:rsidRPr="002A5AC0" w:rsidRDefault="001423A7" w:rsidP="00E329D7">
      <w:pPr>
        <w:pStyle w:val="Healthbody"/>
        <w:spacing w:before="240"/>
        <w:rPr>
          <w:b/>
          <w:sz w:val="22"/>
          <w:szCs w:val="22"/>
        </w:rPr>
      </w:pPr>
      <w:r>
        <w:rPr>
          <w:b/>
          <w:sz w:val="22"/>
          <w:szCs w:val="22"/>
        </w:rPr>
        <w:t>Communicating with the patient, their family and/or carer</w:t>
      </w:r>
    </w:p>
    <w:p w:rsidR="004D1B8C" w:rsidRDefault="004D1B8C" w:rsidP="004D1B8C">
      <w:pPr>
        <w:pStyle w:val="Healthbody"/>
        <w:rPr>
          <w:lang w:eastAsia="en-AU"/>
        </w:rPr>
      </w:pPr>
      <w:r>
        <w:rPr>
          <w:lang w:eastAsia="en-AU"/>
        </w:rPr>
        <w:t xml:space="preserve">When planning </w:t>
      </w:r>
      <w:r w:rsidR="002526D2">
        <w:rPr>
          <w:lang w:eastAsia="en-AU"/>
        </w:rPr>
        <w:t xml:space="preserve">for </w:t>
      </w:r>
      <w:r w:rsidR="00462702">
        <w:rPr>
          <w:lang w:eastAsia="en-AU"/>
        </w:rPr>
        <w:t xml:space="preserve">discharge or </w:t>
      </w:r>
      <w:r>
        <w:rPr>
          <w:lang w:eastAsia="en-AU"/>
        </w:rPr>
        <w:t xml:space="preserve">transfer of care, information should be communicated regularly </w:t>
      </w:r>
      <w:r w:rsidR="002526D2">
        <w:rPr>
          <w:lang w:eastAsia="en-AU"/>
        </w:rPr>
        <w:t>to</w:t>
      </w:r>
      <w:r>
        <w:rPr>
          <w:lang w:eastAsia="en-AU"/>
        </w:rPr>
        <w:t xml:space="preserve"> the patient, their family and/or carer. An effective communication strategy between the health service, the patient, their family and/or carer can avoid unnecessary readmissions to a health service and improve health outcomes and the patient</w:t>
      </w:r>
      <w:r w:rsidR="002526D2">
        <w:rPr>
          <w:lang w:eastAsia="en-AU"/>
        </w:rPr>
        <w:t>’s</w:t>
      </w:r>
      <w:r>
        <w:rPr>
          <w:lang w:eastAsia="en-AU"/>
        </w:rPr>
        <w:t xml:space="preserve"> experience. </w:t>
      </w:r>
    </w:p>
    <w:p w:rsidR="001423A7" w:rsidRDefault="001423A7" w:rsidP="008B4CD2">
      <w:pPr>
        <w:pStyle w:val="Healthbody"/>
        <w:rPr>
          <w:lang w:eastAsia="en-AU"/>
        </w:rPr>
      </w:pPr>
      <w:r>
        <w:t>T</w:t>
      </w:r>
      <w:r w:rsidRPr="00F544E9">
        <w:t xml:space="preserve">he </w:t>
      </w:r>
      <w:r>
        <w:t>staff</w:t>
      </w:r>
      <w:r w:rsidRPr="00F544E9">
        <w:t xml:space="preserve"> responsible for the patient’s </w:t>
      </w:r>
      <w:r>
        <w:t>transfer of care</w:t>
      </w:r>
      <w:r w:rsidRPr="00F544E9">
        <w:t xml:space="preserve"> should implement the </w:t>
      </w:r>
      <w:r>
        <w:t xml:space="preserve">transfer of care </w:t>
      </w:r>
      <w:r w:rsidRPr="00F544E9">
        <w:t>plan in consultation with the patient, their family and/or ca</w:t>
      </w:r>
      <w:r w:rsidR="008B4CD2">
        <w:t>rer.</w:t>
      </w:r>
      <w:r>
        <w:rPr>
          <w:lang w:eastAsia="en-AU"/>
        </w:rPr>
        <w:t xml:space="preserve"> The communication strategy may include coordinating family meetings at key points in the patient’s journey. </w:t>
      </w:r>
      <w:r w:rsidR="00B17DD7">
        <w:rPr>
          <w:lang w:eastAsia="en-AU"/>
        </w:rPr>
        <w:t xml:space="preserve">Hospital staff should ensure the </w:t>
      </w:r>
      <w:proofErr w:type="gramStart"/>
      <w:r w:rsidR="00B17DD7">
        <w:rPr>
          <w:lang w:eastAsia="en-AU"/>
        </w:rPr>
        <w:t>patient,</w:t>
      </w:r>
      <w:proofErr w:type="gramEnd"/>
      <w:r w:rsidR="00B17DD7">
        <w:rPr>
          <w:lang w:eastAsia="en-AU"/>
        </w:rPr>
        <w:t xml:space="preserve"> family and/or carer understand the information given to them. </w:t>
      </w:r>
    </w:p>
    <w:p w:rsidR="008B4CD2" w:rsidRDefault="008B4CD2" w:rsidP="008B4CD2">
      <w:pPr>
        <w:pStyle w:val="Healthbody"/>
        <w:rPr>
          <w:lang w:eastAsia="en-AU"/>
        </w:rPr>
      </w:pPr>
    </w:p>
    <w:p w:rsidR="001423A7" w:rsidRPr="002A5AC0" w:rsidRDefault="001423A7" w:rsidP="008B4CD2">
      <w:pPr>
        <w:pStyle w:val="Healthbody"/>
        <w:rPr>
          <w:b/>
          <w:sz w:val="22"/>
          <w:szCs w:val="22"/>
        </w:rPr>
      </w:pPr>
      <w:r>
        <w:rPr>
          <w:b/>
          <w:sz w:val="22"/>
          <w:szCs w:val="22"/>
        </w:rPr>
        <w:t>Completing a transfer of care checklist</w:t>
      </w:r>
    </w:p>
    <w:p w:rsidR="001423A7" w:rsidRDefault="001423A7" w:rsidP="008B4CD2">
      <w:pPr>
        <w:pStyle w:val="Healthbody"/>
        <w:rPr>
          <w:rFonts w:cs="Arial"/>
          <w:lang w:eastAsia="en-AU"/>
        </w:rPr>
      </w:pPr>
      <w:r w:rsidRPr="00C71A60">
        <w:t xml:space="preserve">A </w:t>
      </w:r>
      <w:r>
        <w:rPr>
          <w:rFonts w:cs="Arial"/>
          <w:lang w:eastAsia="en-AU"/>
        </w:rPr>
        <w:t>transfer of care</w:t>
      </w:r>
      <w:r w:rsidRPr="00C71A60">
        <w:rPr>
          <w:rFonts w:cs="Arial"/>
          <w:lang w:eastAsia="en-AU"/>
        </w:rPr>
        <w:t xml:space="preserve"> checklist (or equivalent) should be completed to ensure all appropriate activities have been carried out before the patient is </w:t>
      </w:r>
      <w:r w:rsidR="00462702">
        <w:rPr>
          <w:rFonts w:cs="Arial"/>
          <w:lang w:eastAsia="en-AU"/>
        </w:rPr>
        <w:t xml:space="preserve">discharged or </w:t>
      </w:r>
      <w:r w:rsidR="008B4CD2">
        <w:rPr>
          <w:rFonts w:cs="Arial"/>
          <w:lang w:eastAsia="en-AU"/>
        </w:rPr>
        <w:t>transferred</w:t>
      </w:r>
      <w:r w:rsidRPr="00C71A60">
        <w:rPr>
          <w:rFonts w:cs="Arial"/>
          <w:lang w:eastAsia="en-AU"/>
        </w:rPr>
        <w:t xml:space="preserve">. This checklist may vary between health services depending on local circumstances. </w:t>
      </w:r>
    </w:p>
    <w:p w:rsidR="00DC4669" w:rsidRDefault="00DC4669">
      <w:pPr>
        <w:rPr>
          <w:rFonts w:ascii="Arial" w:hAnsi="Arial"/>
          <w:b/>
          <w:sz w:val="22"/>
          <w:szCs w:val="22"/>
        </w:rPr>
      </w:pPr>
      <w:r>
        <w:rPr>
          <w:b/>
          <w:sz w:val="22"/>
          <w:szCs w:val="22"/>
        </w:rPr>
        <w:br w:type="page"/>
      </w:r>
    </w:p>
    <w:p w:rsidR="00356C8D" w:rsidRDefault="00356C8D" w:rsidP="008B4CD2">
      <w:pPr>
        <w:pStyle w:val="Healthbody"/>
        <w:rPr>
          <w:b/>
          <w:sz w:val="22"/>
          <w:szCs w:val="22"/>
        </w:rPr>
      </w:pPr>
      <w:r>
        <w:rPr>
          <w:b/>
          <w:sz w:val="22"/>
          <w:szCs w:val="22"/>
        </w:rPr>
        <w:lastRenderedPageBreak/>
        <w:t>Identifying patients at higher risk of readmission</w:t>
      </w:r>
    </w:p>
    <w:p w:rsidR="00356C8D" w:rsidRDefault="00356C8D" w:rsidP="008B4CD2">
      <w:pPr>
        <w:pStyle w:val="Healthbody"/>
        <w:rPr>
          <w:rFonts w:cs="Arial"/>
          <w:lang w:eastAsia="en-AU"/>
        </w:rPr>
      </w:pPr>
      <w:r>
        <w:rPr>
          <w:rFonts w:cs="Arial"/>
          <w:lang w:eastAsia="en-AU"/>
        </w:rPr>
        <w:t>Health services are encouraged to select a model for assessing readmission risk that is most appropriate for their patient population, and is</w:t>
      </w:r>
      <w:r w:rsidR="003A3265">
        <w:rPr>
          <w:rFonts w:cs="Arial"/>
          <w:lang w:eastAsia="en-AU"/>
        </w:rPr>
        <w:t xml:space="preserve"> </w:t>
      </w:r>
      <w:r>
        <w:rPr>
          <w:rFonts w:cs="Arial"/>
          <w:lang w:eastAsia="en-AU"/>
        </w:rPr>
        <w:t>informed by available data.</w:t>
      </w:r>
      <w:r w:rsidR="00190E79">
        <w:rPr>
          <w:rFonts w:cs="Arial"/>
          <w:lang w:eastAsia="en-AU"/>
        </w:rPr>
        <w:t xml:space="preserve"> </w:t>
      </w:r>
      <w:r w:rsidR="00F26033">
        <w:rPr>
          <w:rFonts w:cs="Arial"/>
          <w:lang w:eastAsia="en-AU"/>
        </w:rPr>
        <w:t>Systems and process</w:t>
      </w:r>
      <w:r w:rsidR="003A3265">
        <w:rPr>
          <w:rFonts w:cs="Arial"/>
          <w:lang w:eastAsia="en-AU"/>
        </w:rPr>
        <w:t>es</w:t>
      </w:r>
      <w:r w:rsidR="00F26033">
        <w:rPr>
          <w:rFonts w:cs="Arial"/>
          <w:lang w:eastAsia="en-AU"/>
        </w:rPr>
        <w:t xml:space="preserve"> </w:t>
      </w:r>
      <w:r>
        <w:rPr>
          <w:rFonts w:cs="Arial"/>
          <w:lang w:eastAsia="en-AU"/>
        </w:rPr>
        <w:t xml:space="preserve">should be </w:t>
      </w:r>
      <w:r w:rsidR="002526D2">
        <w:rPr>
          <w:rFonts w:cs="Arial"/>
          <w:lang w:eastAsia="en-AU"/>
        </w:rPr>
        <w:t>in place to monitor</w:t>
      </w:r>
      <w:r>
        <w:rPr>
          <w:rFonts w:cs="Arial"/>
          <w:lang w:eastAsia="en-AU"/>
        </w:rPr>
        <w:t xml:space="preserve"> the rates of preventable hospital re-presentation </w:t>
      </w:r>
      <w:r w:rsidR="002526D2">
        <w:rPr>
          <w:rFonts w:cs="Arial"/>
          <w:lang w:eastAsia="en-AU"/>
        </w:rPr>
        <w:t>and re</w:t>
      </w:r>
      <w:r w:rsidR="00F6471B">
        <w:rPr>
          <w:rFonts w:cs="Arial"/>
          <w:lang w:eastAsia="en-AU"/>
        </w:rPr>
        <w:t>admission</w:t>
      </w:r>
      <w:r>
        <w:rPr>
          <w:rFonts w:cs="Arial"/>
          <w:lang w:eastAsia="en-AU"/>
        </w:rPr>
        <w:t>.</w:t>
      </w:r>
      <w:r w:rsidR="00190E79">
        <w:rPr>
          <w:rFonts w:cs="Arial"/>
          <w:lang w:eastAsia="en-AU"/>
        </w:rPr>
        <w:t xml:space="preserve"> </w:t>
      </w:r>
      <w:r>
        <w:rPr>
          <w:rFonts w:cs="Arial"/>
          <w:lang w:eastAsia="en-AU"/>
        </w:rPr>
        <w:t>Focused improvement work may reduce the rate of preventable readmission in high-risk patient populations.</w:t>
      </w:r>
      <w:r w:rsidR="00F43301">
        <w:rPr>
          <w:rFonts w:cs="Arial"/>
          <w:lang w:eastAsia="en-AU"/>
        </w:rPr>
        <w:t xml:space="preserve"> </w:t>
      </w:r>
    </w:p>
    <w:p w:rsidR="00906723" w:rsidRDefault="00906723" w:rsidP="008B4CD2">
      <w:pPr>
        <w:pStyle w:val="Healthbody"/>
        <w:rPr>
          <w:rFonts w:cs="Arial"/>
          <w:lang w:eastAsia="en-AU"/>
        </w:rPr>
      </w:pPr>
    </w:p>
    <w:p w:rsidR="00906723" w:rsidRDefault="00996A13" w:rsidP="008B4CD2">
      <w:pPr>
        <w:pStyle w:val="Healthbody"/>
        <w:rPr>
          <w:b/>
          <w:sz w:val="22"/>
          <w:szCs w:val="22"/>
        </w:rPr>
      </w:pPr>
      <w:r>
        <w:rPr>
          <w:b/>
          <w:sz w:val="22"/>
          <w:szCs w:val="22"/>
        </w:rPr>
        <w:t xml:space="preserve">Transferring </w:t>
      </w:r>
      <w:r w:rsidR="00906723">
        <w:rPr>
          <w:b/>
          <w:sz w:val="22"/>
          <w:szCs w:val="22"/>
        </w:rPr>
        <w:t>the patient to another hospital</w:t>
      </w:r>
    </w:p>
    <w:p w:rsidR="00D237C4" w:rsidRPr="00D237C4" w:rsidRDefault="00D237C4" w:rsidP="00D237C4">
      <w:pPr>
        <w:pStyle w:val="Healthbody"/>
        <w:rPr>
          <w:rFonts w:cs="Arial"/>
          <w:lang w:eastAsia="en-AU"/>
        </w:rPr>
      </w:pPr>
      <w:r w:rsidRPr="00D237C4">
        <w:rPr>
          <w:rFonts w:cs="Arial"/>
          <w:lang w:eastAsia="en-AU"/>
        </w:rPr>
        <w:t>Inter-hospital patient transfer involves mov</w:t>
      </w:r>
      <w:r w:rsidR="003A3265">
        <w:rPr>
          <w:rFonts w:cs="Arial"/>
          <w:lang w:eastAsia="en-AU"/>
        </w:rPr>
        <w:t>ing</w:t>
      </w:r>
      <w:r w:rsidRPr="00D237C4">
        <w:rPr>
          <w:rFonts w:cs="Arial"/>
          <w:lang w:eastAsia="en-AU"/>
        </w:rPr>
        <w:t xml:space="preserve"> a patie</w:t>
      </w:r>
      <w:r w:rsidR="004B7069">
        <w:rPr>
          <w:rFonts w:cs="Arial"/>
          <w:lang w:eastAsia="en-AU"/>
        </w:rPr>
        <w:t>nt from one hospital to another. I</w:t>
      </w:r>
      <w:r w:rsidRPr="00D237C4">
        <w:rPr>
          <w:rFonts w:cs="Arial"/>
          <w:lang w:eastAsia="en-AU"/>
        </w:rPr>
        <w:t>t also involves transfer</w:t>
      </w:r>
      <w:r w:rsidR="003A3265">
        <w:rPr>
          <w:rFonts w:cs="Arial"/>
          <w:lang w:eastAsia="en-AU"/>
        </w:rPr>
        <w:t>ring</w:t>
      </w:r>
      <w:r w:rsidRPr="00D237C4">
        <w:rPr>
          <w:rFonts w:cs="Arial"/>
          <w:lang w:eastAsia="en-AU"/>
        </w:rPr>
        <w:t xml:space="preserve"> information</w:t>
      </w:r>
      <w:r w:rsidR="00F26033">
        <w:rPr>
          <w:rFonts w:cs="Arial"/>
          <w:lang w:eastAsia="en-AU"/>
        </w:rPr>
        <w:t xml:space="preserve"> and </w:t>
      </w:r>
      <w:r w:rsidRPr="00D237C4">
        <w:rPr>
          <w:rFonts w:cs="Arial"/>
          <w:lang w:eastAsia="en-AU"/>
        </w:rPr>
        <w:t>professional responsibility and accountability for patient care between individuals and teams within the overall system of care.</w:t>
      </w:r>
    </w:p>
    <w:p w:rsidR="00202B38" w:rsidRDefault="003A3265" w:rsidP="00593AA4">
      <w:pPr>
        <w:pStyle w:val="Healthbody"/>
        <w:rPr>
          <w:rFonts w:cs="Arial"/>
          <w:lang w:eastAsia="en-AU"/>
        </w:rPr>
      </w:pPr>
      <w:r>
        <w:rPr>
          <w:rFonts w:cs="Arial"/>
          <w:lang w:eastAsia="en-AU"/>
        </w:rPr>
        <w:t>T</w:t>
      </w:r>
      <w:r w:rsidR="00D237C4" w:rsidRPr="00D237C4">
        <w:rPr>
          <w:rFonts w:cs="Arial"/>
          <w:lang w:eastAsia="en-AU"/>
        </w:rPr>
        <w:t>he Victorian Quality Council</w:t>
      </w:r>
      <w:r>
        <w:rPr>
          <w:rFonts w:cs="Arial"/>
          <w:lang w:eastAsia="en-AU"/>
        </w:rPr>
        <w:t>’s</w:t>
      </w:r>
      <w:r w:rsidR="00D237C4" w:rsidRPr="00D237C4">
        <w:rPr>
          <w:rFonts w:cs="Arial"/>
          <w:lang w:eastAsia="en-AU"/>
        </w:rPr>
        <w:t xml:space="preserve"> </w:t>
      </w:r>
      <w:r w:rsidR="00D237C4" w:rsidRPr="00D237C4">
        <w:rPr>
          <w:rFonts w:cs="Arial"/>
          <w:i/>
          <w:lang w:eastAsia="en-AU"/>
        </w:rPr>
        <w:t xml:space="preserve">Inter-hospital </w:t>
      </w:r>
      <w:r w:rsidR="00824F71">
        <w:rPr>
          <w:rFonts w:cs="Arial"/>
          <w:i/>
          <w:lang w:eastAsia="en-AU"/>
        </w:rPr>
        <w:t>t</w:t>
      </w:r>
      <w:r w:rsidR="00D237C4" w:rsidRPr="00D237C4">
        <w:rPr>
          <w:rFonts w:cs="Arial"/>
          <w:i/>
          <w:lang w:eastAsia="en-AU"/>
        </w:rPr>
        <w:t xml:space="preserve">ransfer </w:t>
      </w:r>
      <w:r w:rsidR="00824F71">
        <w:rPr>
          <w:rFonts w:cs="Arial"/>
          <w:i/>
          <w:lang w:eastAsia="en-AU"/>
        </w:rPr>
        <w:t>p</w:t>
      </w:r>
      <w:r w:rsidR="00D237C4" w:rsidRPr="00D237C4">
        <w:rPr>
          <w:rFonts w:cs="Arial"/>
          <w:i/>
          <w:lang w:eastAsia="en-AU"/>
        </w:rPr>
        <w:t xml:space="preserve">atient </w:t>
      </w:r>
      <w:r w:rsidR="00824F71">
        <w:rPr>
          <w:rFonts w:cs="Arial"/>
          <w:i/>
          <w:lang w:eastAsia="en-AU"/>
        </w:rPr>
        <w:t>t</w:t>
      </w:r>
      <w:r w:rsidR="00D237C4" w:rsidRPr="00D237C4">
        <w:rPr>
          <w:rFonts w:cs="Arial"/>
          <w:i/>
          <w:lang w:eastAsia="en-AU"/>
        </w:rPr>
        <w:t>ransfer</w:t>
      </w:r>
      <w:r w:rsidR="00220CCB">
        <w:rPr>
          <w:rFonts w:cs="Arial"/>
          <w:i/>
          <w:lang w:eastAsia="en-AU"/>
        </w:rPr>
        <w:t xml:space="preserve"> </w:t>
      </w:r>
      <w:r w:rsidR="00824F71">
        <w:rPr>
          <w:rFonts w:cs="Arial"/>
          <w:i/>
          <w:lang w:eastAsia="en-AU"/>
        </w:rPr>
        <w:t>f</w:t>
      </w:r>
      <w:r w:rsidR="00D237C4" w:rsidRPr="00D237C4">
        <w:rPr>
          <w:rFonts w:cs="Arial"/>
          <w:i/>
          <w:lang w:eastAsia="en-AU"/>
        </w:rPr>
        <w:t>orm</w:t>
      </w:r>
      <w:r w:rsidR="00D237C4" w:rsidRPr="00D237C4">
        <w:rPr>
          <w:rFonts w:cs="Arial"/>
          <w:lang w:eastAsia="en-AU"/>
        </w:rPr>
        <w:t xml:space="preserve"> is designed to ensure pertinent and accurate patient information is exchanged between the referring and receiving facility and the transport provider. It is intended for use in transfers between acute health services and may be used in transfers between hospitals and other facilities such as rehabilitation centres and aged care facilities.</w:t>
      </w:r>
      <w:r w:rsidR="00F43301">
        <w:rPr>
          <w:rFonts w:cs="Arial"/>
          <w:lang w:eastAsia="en-AU"/>
        </w:rPr>
        <w:t xml:space="preserve"> </w:t>
      </w:r>
    </w:p>
    <w:p w:rsidR="003C4E82" w:rsidRDefault="003C4E82" w:rsidP="00D237C4">
      <w:pPr>
        <w:pStyle w:val="Healthbody"/>
        <w:rPr>
          <w:rFonts w:cs="Arial"/>
          <w:lang w:eastAsia="en-AU"/>
        </w:rPr>
      </w:pPr>
      <w:r>
        <w:rPr>
          <w:rFonts w:cs="Arial"/>
          <w:lang w:eastAsia="en-AU"/>
        </w:rPr>
        <w:t>A clinical handover tool such as ISBAR (</w:t>
      </w:r>
      <w:r w:rsidR="00824F71">
        <w:rPr>
          <w:rFonts w:cs="Arial"/>
          <w:lang w:eastAsia="en-AU"/>
        </w:rPr>
        <w:t>i</w:t>
      </w:r>
      <w:r>
        <w:rPr>
          <w:rFonts w:cs="Arial"/>
          <w:lang w:eastAsia="en-AU"/>
        </w:rPr>
        <w:t xml:space="preserve">dentify, </w:t>
      </w:r>
      <w:r w:rsidR="00824F71">
        <w:rPr>
          <w:rFonts w:cs="Arial"/>
          <w:lang w:eastAsia="en-AU"/>
        </w:rPr>
        <w:t>s</w:t>
      </w:r>
      <w:r>
        <w:rPr>
          <w:rFonts w:cs="Arial"/>
          <w:lang w:eastAsia="en-AU"/>
        </w:rPr>
        <w:t xml:space="preserve">ituation, </w:t>
      </w:r>
      <w:r w:rsidR="00824F71">
        <w:rPr>
          <w:rFonts w:cs="Arial"/>
          <w:lang w:eastAsia="en-AU"/>
        </w:rPr>
        <w:t>b</w:t>
      </w:r>
      <w:r>
        <w:rPr>
          <w:rFonts w:cs="Arial"/>
          <w:lang w:eastAsia="en-AU"/>
        </w:rPr>
        <w:t xml:space="preserve">ackground, </w:t>
      </w:r>
      <w:r w:rsidR="00824F71">
        <w:rPr>
          <w:rFonts w:cs="Arial"/>
          <w:lang w:eastAsia="en-AU"/>
        </w:rPr>
        <w:t>a</w:t>
      </w:r>
      <w:r>
        <w:rPr>
          <w:rFonts w:cs="Arial"/>
          <w:lang w:eastAsia="en-AU"/>
        </w:rPr>
        <w:t xml:space="preserve">ssessment and </w:t>
      </w:r>
      <w:r w:rsidR="00824F71">
        <w:rPr>
          <w:rFonts w:cs="Arial"/>
          <w:lang w:eastAsia="en-AU"/>
        </w:rPr>
        <w:t>r</w:t>
      </w:r>
      <w:r>
        <w:rPr>
          <w:rFonts w:cs="Arial"/>
          <w:lang w:eastAsia="en-AU"/>
        </w:rPr>
        <w:t xml:space="preserve">ecommendation) should be used to facilitate the handover process. </w:t>
      </w:r>
    </w:p>
    <w:p w:rsidR="002D2C36" w:rsidRPr="00D237C4" w:rsidRDefault="002D2C36" w:rsidP="00D237C4">
      <w:pPr>
        <w:pStyle w:val="Healthbody"/>
        <w:rPr>
          <w:rFonts w:cs="Arial"/>
          <w:lang w:eastAsia="en-AU"/>
        </w:rPr>
      </w:pPr>
      <w:r>
        <w:rPr>
          <w:rFonts w:cs="Arial"/>
          <w:lang w:eastAsia="en-AU"/>
        </w:rPr>
        <w:t xml:space="preserve">The receiving health service should </w:t>
      </w:r>
      <w:r w:rsidR="00AA59B5">
        <w:rPr>
          <w:rFonts w:cs="Arial"/>
          <w:lang w:eastAsia="en-AU"/>
        </w:rPr>
        <w:t>advise</w:t>
      </w:r>
      <w:r>
        <w:rPr>
          <w:rFonts w:cs="Arial"/>
          <w:lang w:eastAsia="en-AU"/>
        </w:rPr>
        <w:t xml:space="preserve"> the referring health service that the referral has been received</w:t>
      </w:r>
      <w:r w:rsidR="00F26033">
        <w:rPr>
          <w:rFonts w:cs="Arial"/>
          <w:lang w:eastAsia="en-AU"/>
        </w:rPr>
        <w:t>.</w:t>
      </w:r>
      <w:r>
        <w:rPr>
          <w:rFonts w:cs="Arial"/>
          <w:lang w:eastAsia="en-AU"/>
        </w:rPr>
        <w:t xml:space="preserve"> </w:t>
      </w:r>
    </w:p>
    <w:p w:rsidR="00906723" w:rsidRDefault="00906723" w:rsidP="008B4CD2">
      <w:pPr>
        <w:pStyle w:val="Healthbody"/>
        <w:rPr>
          <w:b/>
          <w:sz w:val="22"/>
          <w:szCs w:val="22"/>
        </w:rPr>
      </w:pPr>
    </w:p>
    <w:p w:rsidR="00356C8D" w:rsidRDefault="00356C8D" w:rsidP="008B4CD2">
      <w:pPr>
        <w:pStyle w:val="Healthbody"/>
        <w:rPr>
          <w:b/>
          <w:sz w:val="22"/>
          <w:szCs w:val="22"/>
        </w:rPr>
      </w:pPr>
      <w:r>
        <w:rPr>
          <w:b/>
          <w:sz w:val="22"/>
          <w:szCs w:val="22"/>
        </w:rPr>
        <w:t>Referring the patient to healthcare providers and community support services</w:t>
      </w:r>
    </w:p>
    <w:p w:rsidR="00356C8D" w:rsidRPr="00F544E9" w:rsidRDefault="00356C8D" w:rsidP="008B4CD2">
      <w:pPr>
        <w:pStyle w:val="Healthbody"/>
      </w:pPr>
      <w:r w:rsidRPr="00F544E9">
        <w:t>Implement</w:t>
      </w:r>
      <w:r>
        <w:t>ing</w:t>
      </w:r>
      <w:r w:rsidRPr="00F544E9">
        <w:t xml:space="preserve"> the </w:t>
      </w:r>
      <w:r w:rsidR="004C2D98">
        <w:t>transfer of care</w:t>
      </w:r>
      <w:r w:rsidRPr="00F544E9">
        <w:t xml:space="preserve"> plan may involve</w:t>
      </w:r>
      <w:r>
        <w:t xml:space="preserve"> referring the patient to</w:t>
      </w:r>
      <w:r w:rsidRPr="00F544E9">
        <w:t>:</w:t>
      </w:r>
    </w:p>
    <w:p w:rsidR="00356C8D" w:rsidRPr="00F04A7C" w:rsidRDefault="00356C8D" w:rsidP="004B7069">
      <w:pPr>
        <w:pStyle w:val="Healthbody"/>
        <w:numPr>
          <w:ilvl w:val="0"/>
          <w:numId w:val="40"/>
        </w:numPr>
        <w:ind w:left="357" w:hanging="357"/>
      </w:pPr>
      <w:r>
        <w:rPr>
          <w:rFonts w:cs="Arial"/>
          <w:lang w:eastAsia="en-AU"/>
        </w:rPr>
        <w:t>hospita</w:t>
      </w:r>
      <w:r w:rsidR="00336295">
        <w:rPr>
          <w:rFonts w:cs="Arial"/>
          <w:lang w:eastAsia="en-AU"/>
        </w:rPr>
        <w:t>l-based services</w:t>
      </w:r>
      <w:r w:rsidR="00824F71">
        <w:rPr>
          <w:rFonts w:cs="Arial"/>
          <w:lang w:eastAsia="en-AU"/>
        </w:rPr>
        <w:t xml:space="preserve"> such as</w:t>
      </w:r>
      <w:r w:rsidR="00336295">
        <w:rPr>
          <w:rFonts w:cs="Arial"/>
          <w:lang w:eastAsia="en-AU"/>
        </w:rPr>
        <w:t xml:space="preserve"> </w:t>
      </w:r>
      <w:r w:rsidRPr="00C71A60">
        <w:rPr>
          <w:rFonts w:cs="Arial"/>
          <w:lang w:eastAsia="en-AU"/>
        </w:rPr>
        <w:t xml:space="preserve">individual allied health </w:t>
      </w:r>
      <w:r w:rsidR="00884E2A">
        <w:rPr>
          <w:rFonts w:cs="Arial"/>
          <w:lang w:eastAsia="en-AU"/>
        </w:rPr>
        <w:t>services</w:t>
      </w:r>
      <w:r w:rsidRPr="00C71A60">
        <w:rPr>
          <w:rFonts w:cs="Arial"/>
          <w:lang w:eastAsia="en-AU"/>
        </w:rPr>
        <w:t>, subacute assessment</w:t>
      </w:r>
      <w:r w:rsidR="00884E2A">
        <w:rPr>
          <w:rFonts w:cs="Arial"/>
          <w:lang w:eastAsia="en-AU"/>
        </w:rPr>
        <w:t xml:space="preserve"> and treatment</w:t>
      </w:r>
      <w:r w:rsidRPr="00C71A60">
        <w:rPr>
          <w:rFonts w:cs="Arial"/>
          <w:lang w:eastAsia="en-AU"/>
        </w:rPr>
        <w:t xml:space="preserve"> service</w:t>
      </w:r>
      <w:r w:rsidR="00336295">
        <w:rPr>
          <w:rFonts w:cs="Arial"/>
          <w:lang w:eastAsia="en-AU"/>
        </w:rPr>
        <w:t>s</w:t>
      </w:r>
      <w:r w:rsidRPr="00C71A60">
        <w:rPr>
          <w:rFonts w:cs="Arial"/>
          <w:lang w:eastAsia="en-AU"/>
        </w:rPr>
        <w:t xml:space="preserve">, </w:t>
      </w:r>
      <w:r w:rsidR="00336295">
        <w:rPr>
          <w:rFonts w:cs="Arial"/>
          <w:lang w:eastAsia="en-AU"/>
        </w:rPr>
        <w:t xml:space="preserve">an </w:t>
      </w:r>
      <w:r w:rsidR="00824F71">
        <w:rPr>
          <w:rFonts w:cs="Arial"/>
          <w:lang w:eastAsia="en-AU"/>
        </w:rPr>
        <w:t>a</w:t>
      </w:r>
      <w:r w:rsidRPr="00C71A60">
        <w:rPr>
          <w:rFonts w:cs="Arial"/>
          <w:lang w:eastAsia="en-AU"/>
        </w:rPr>
        <w:t>ged</w:t>
      </w:r>
      <w:r w:rsidR="00336295">
        <w:rPr>
          <w:rFonts w:cs="Arial"/>
          <w:lang w:eastAsia="en-AU"/>
        </w:rPr>
        <w:t xml:space="preserve"> </w:t>
      </w:r>
      <w:r w:rsidR="00824F71">
        <w:rPr>
          <w:rFonts w:cs="Arial"/>
          <w:lang w:eastAsia="en-AU"/>
        </w:rPr>
        <w:t>c</w:t>
      </w:r>
      <w:r w:rsidR="00336295">
        <w:rPr>
          <w:rFonts w:cs="Arial"/>
          <w:lang w:eastAsia="en-AU"/>
        </w:rPr>
        <w:t xml:space="preserve">are </w:t>
      </w:r>
      <w:r w:rsidR="00824F71">
        <w:rPr>
          <w:rFonts w:cs="Arial"/>
          <w:lang w:eastAsia="en-AU"/>
        </w:rPr>
        <w:t>a</w:t>
      </w:r>
      <w:r w:rsidR="00336295">
        <w:rPr>
          <w:rFonts w:cs="Arial"/>
          <w:lang w:eastAsia="en-AU"/>
        </w:rPr>
        <w:t xml:space="preserve">ssessment </w:t>
      </w:r>
      <w:r w:rsidR="00824F71">
        <w:rPr>
          <w:rFonts w:cs="Arial"/>
          <w:lang w:eastAsia="en-AU"/>
        </w:rPr>
        <w:t>s</w:t>
      </w:r>
      <w:r w:rsidR="00336295">
        <w:rPr>
          <w:rFonts w:cs="Arial"/>
          <w:lang w:eastAsia="en-AU"/>
        </w:rPr>
        <w:t>ervice (ACAS)</w:t>
      </w:r>
      <w:r w:rsidR="00884E2A">
        <w:rPr>
          <w:rFonts w:cs="Arial"/>
          <w:lang w:eastAsia="en-AU"/>
        </w:rPr>
        <w:t xml:space="preserve"> </w:t>
      </w:r>
      <w:r w:rsidR="00AA59B5">
        <w:rPr>
          <w:rFonts w:cs="Arial"/>
          <w:lang w:eastAsia="en-AU"/>
        </w:rPr>
        <w:t>(</w:t>
      </w:r>
      <w:r w:rsidR="00884E2A">
        <w:rPr>
          <w:rFonts w:cs="Arial"/>
          <w:lang w:eastAsia="en-AU"/>
        </w:rPr>
        <w:t>to identify ongoing care needs</w:t>
      </w:r>
      <w:r w:rsidR="00AA59B5">
        <w:rPr>
          <w:rFonts w:cs="Arial"/>
          <w:lang w:eastAsia="en-AU"/>
        </w:rPr>
        <w:t>)</w:t>
      </w:r>
      <w:r w:rsidR="00336295">
        <w:rPr>
          <w:rFonts w:cs="Arial"/>
          <w:lang w:eastAsia="en-AU"/>
        </w:rPr>
        <w:t xml:space="preserve"> or a</w:t>
      </w:r>
      <w:r w:rsidRPr="00C71A60">
        <w:rPr>
          <w:rFonts w:cs="Arial"/>
          <w:lang w:eastAsia="en-AU"/>
        </w:rPr>
        <w:t xml:space="preserve"> </w:t>
      </w:r>
      <w:r w:rsidR="0064321A">
        <w:rPr>
          <w:rFonts w:cs="Arial"/>
          <w:lang w:eastAsia="en-AU"/>
        </w:rPr>
        <w:t>health i</w:t>
      </w:r>
      <w:r w:rsidR="00EB38E3">
        <w:rPr>
          <w:rFonts w:cs="Arial"/>
          <w:lang w:eastAsia="en-AU"/>
        </w:rPr>
        <w:t xml:space="preserve">ndependence </w:t>
      </w:r>
      <w:r w:rsidR="0064321A">
        <w:rPr>
          <w:rFonts w:cs="Arial"/>
          <w:lang w:eastAsia="en-AU"/>
        </w:rPr>
        <w:t>p</w:t>
      </w:r>
      <w:r w:rsidR="00EB38E3">
        <w:rPr>
          <w:rFonts w:cs="Arial"/>
          <w:lang w:eastAsia="en-AU"/>
        </w:rPr>
        <w:t>rogram (HIP)</w:t>
      </w:r>
      <w:r w:rsidR="00190E79">
        <w:rPr>
          <w:rFonts w:cs="Arial"/>
          <w:lang w:eastAsia="en-AU"/>
        </w:rPr>
        <w:t xml:space="preserve"> </w:t>
      </w:r>
    </w:p>
    <w:p w:rsidR="00EB38E3" w:rsidRPr="00EB38E3" w:rsidRDefault="00356C8D" w:rsidP="004B7069">
      <w:pPr>
        <w:pStyle w:val="Healthbody"/>
        <w:numPr>
          <w:ilvl w:val="0"/>
          <w:numId w:val="40"/>
        </w:numPr>
        <w:ind w:left="357" w:hanging="357"/>
      </w:pPr>
      <w:r w:rsidRPr="00EB38E3">
        <w:rPr>
          <w:rFonts w:cs="Arial"/>
          <w:lang w:eastAsia="en-AU"/>
        </w:rPr>
        <w:t>home-based services provid</w:t>
      </w:r>
      <w:r w:rsidR="00336295" w:rsidRPr="00EB38E3">
        <w:rPr>
          <w:rFonts w:cs="Arial"/>
          <w:lang w:eastAsia="en-AU"/>
        </w:rPr>
        <w:t xml:space="preserve">ed by </w:t>
      </w:r>
      <w:r w:rsidR="004B7069" w:rsidRPr="00EB38E3">
        <w:rPr>
          <w:rFonts w:cs="Arial"/>
          <w:lang w:eastAsia="en-AU"/>
        </w:rPr>
        <w:t>the hospital</w:t>
      </w:r>
      <w:r w:rsidR="00824F71" w:rsidRPr="00824F71">
        <w:rPr>
          <w:rFonts w:cs="Arial"/>
          <w:lang w:eastAsia="en-AU"/>
        </w:rPr>
        <w:t xml:space="preserve"> </w:t>
      </w:r>
      <w:r w:rsidR="00824F71">
        <w:rPr>
          <w:rFonts w:cs="Arial"/>
          <w:lang w:eastAsia="en-AU"/>
        </w:rPr>
        <w:t xml:space="preserve">such as </w:t>
      </w:r>
      <w:r w:rsidR="004B7069" w:rsidRPr="00EB38E3">
        <w:rPr>
          <w:rFonts w:cs="Arial"/>
          <w:lang w:eastAsia="en-AU"/>
        </w:rPr>
        <w:t xml:space="preserve">Hospital in </w:t>
      </w:r>
      <w:r w:rsidR="00824F71">
        <w:rPr>
          <w:rFonts w:cs="Arial"/>
          <w:lang w:eastAsia="en-AU"/>
        </w:rPr>
        <w:t>t</w:t>
      </w:r>
      <w:r w:rsidR="004B7069" w:rsidRPr="00EB38E3">
        <w:rPr>
          <w:rFonts w:cs="Arial"/>
          <w:lang w:eastAsia="en-AU"/>
        </w:rPr>
        <w:t xml:space="preserve">he Home (HITH) </w:t>
      </w:r>
    </w:p>
    <w:p w:rsidR="00356C8D" w:rsidRDefault="00356C8D" w:rsidP="004B7069">
      <w:pPr>
        <w:pStyle w:val="Healthbody"/>
        <w:numPr>
          <w:ilvl w:val="0"/>
          <w:numId w:val="40"/>
        </w:numPr>
        <w:ind w:left="357" w:hanging="357"/>
      </w:pPr>
      <w:proofErr w:type="gramStart"/>
      <w:r w:rsidRPr="00EB38E3">
        <w:rPr>
          <w:rFonts w:cs="Arial"/>
          <w:lang w:eastAsia="en-AU"/>
        </w:rPr>
        <w:t>community</w:t>
      </w:r>
      <w:proofErr w:type="gramEnd"/>
      <w:r w:rsidRPr="00EB38E3">
        <w:rPr>
          <w:rFonts w:cs="Arial"/>
          <w:lang w:eastAsia="en-AU"/>
        </w:rPr>
        <w:t xml:space="preserve"> </w:t>
      </w:r>
      <w:r w:rsidR="00884E2A" w:rsidRPr="00EB38E3">
        <w:rPr>
          <w:rFonts w:cs="Arial"/>
          <w:lang w:eastAsia="en-AU"/>
        </w:rPr>
        <w:t xml:space="preserve">health </w:t>
      </w:r>
      <w:r w:rsidRPr="00EB38E3">
        <w:rPr>
          <w:rFonts w:cs="Arial"/>
          <w:lang w:eastAsia="en-AU"/>
        </w:rPr>
        <w:t>services</w:t>
      </w:r>
      <w:r w:rsidR="00824F71" w:rsidRPr="00824F71">
        <w:rPr>
          <w:rFonts w:cs="Arial"/>
          <w:lang w:eastAsia="en-AU"/>
        </w:rPr>
        <w:t xml:space="preserve"> </w:t>
      </w:r>
      <w:r w:rsidR="00824F71">
        <w:rPr>
          <w:rFonts w:cs="Arial"/>
          <w:lang w:eastAsia="en-AU"/>
        </w:rPr>
        <w:t xml:space="preserve">such as </w:t>
      </w:r>
      <w:r w:rsidR="00AA59B5">
        <w:rPr>
          <w:rFonts w:cs="Arial"/>
          <w:lang w:eastAsia="en-AU"/>
        </w:rPr>
        <w:t xml:space="preserve">the </w:t>
      </w:r>
      <w:r w:rsidRPr="00EB38E3">
        <w:rPr>
          <w:rFonts w:cs="Arial"/>
          <w:lang w:eastAsia="en-AU"/>
        </w:rPr>
        <w:t>Royal District Nursing Service (RDNS), Home and Community Care (HACC)</w:t>
      </w:r>
      <w:r w:rsidR="00336295" w:rsidRPr="00EB38E3">
        <w:rPr>
          <w:rFonts w:cs="Arial"/>
          <w:lang w:eastAsia="en-AU"/>
        </w:rPr>
        <w:t xml:space="preserve"> or </w:t>
      </w:r>
      <w:r w:rsidRPr="00EB38E3">
        <w:rPr>
          <w:rFonts w:cs="Arial"/>
          <w:lang w:eastAsia="en-AU"/>
        </w:rPr>
        <w:t>matern</w:t>
      </w:r>
      <w:r w:rsidR="00F26033">
        <w:rPr>
          <w:rFonts w:cs="Arial"/>
          <w:lang w:eastAsia="en-AU"/>
        </w:rPr>
        <w:t>al</w:t>
      </w:r>
      <w:r w:rsidRPr="00EB38E3">
        <w:rPr>
          <w:rFonts w:cs="Arial"/>
          <w:lang w:eastAsia="en-AU"/>
        </w:rPr>
        <w:t xml:space="preserve"> and child health service</w:t>
      </w:r>
      <w:r w:rsidR="00336295" w:rsidRPr="00EB38E3">
        <w:rPr>
          <w:rFonts w:cs="Arial"/>
          <w:lang w:eastAsia="en-AU"/>
        </w:rPr>
        <w:t>s</w:t>
      </w:r>
      <w:r>
        <w:t>.</w:t>
      </w:r>
    </w:p>
    <w:p w:rsidR="00356C8D" w:rsidRDefault="00356C8D" w:rsidP="008B4CD2">
      <w:pPr>
        <w:pStyle w:val="Healthbody"/>
      </w:pPr>
      <w:r w:rsidRPr="009C1232">
        <w:t>Patients at risk of fall</w:t>
      </w:r>
      <w:r w:rsidR="00F26033">
        <w:t xml:space="preserve">s </w:t>
      </w:r>
      <w:r w:rsidRPr="009C1232">
        <w:t xml:space="preserve">should be referred to appropriate services, where available, as part of the </w:t>
      </w:r>
      <w:r w:rsidR="004C2D98">
        <w:t>transfer of care</w:t>
      </w:r>
      <w:r w:rsidRPr="009C1232">
        <w:t xml:space="preserve"> process.</w:t>
      </w:r>
    </w:p>
    <w:p w:rsidR="0084742B" w:rsidRDefault="0084742B" w:rsidP="0084742B">
      <w:pPr>
        <w:pStyle w:val="Healthbody"/>
      </w:pPr>
      <w:r>
        <w:t xml:space="preserve">Patients with a high risk of developing pressure injuries must have a comprehensive skin inspection conducted </w:t>
      </w:r>
      <w:r w:rsidR="004B7069">
        <w:t>prior to</w:t>
      </w:r>
      <w:r>
        <w:t xml:space="preserve"> transfer.</w:t>
      </w:r>
    </w:p>
    <w:p w:rsidR="00751E5C" w:rsidRDefault="00751E5C" w:rsidP="00751E5C">
      <w:pPr>
        <w:pStyle w:val="Healthbody"/>
        <w:rPr>
          <w:rFonts w:cs="Arial"/>
          <w:lang w:eastAsia="en-AU"/>
        </w:rPr>
      </w:pPr>
      <w:r>
        <w:rPr>
          <w:rFonts w:cs="Arial"/>
          <w:lang w:eastAsia="en-AU"/>
        </w:rPr>
        <w:t>There must be a process in place for communicating a patient’s infectious status whenever responsibility for care is transferred between service providers or facilities.</w:t>
      </w:r>
    </w:p>
    <w:p w:rsidR="00356C8D" w:rsidRDefault="00356C8D" w:rsidP="008B4CD2">
      <w:pPr>
        <w:pStyle w:val="Healthbody"/>
        <w:rPr>
          <w:rFonts w:cs="Arial"/>
          <w:lang w:eastAsia="en-AU"/>
        </w:rPr>
      </w:pPr>
      <w:r>
        <w:rPr>
          <w:rFonts w:cs="Arial"/>
          <w:lang w:eastAsia="en-AU"/>
        </w:rPr>
        <w:t xml:space="preserve">It is important that referrals are generated in a timely manner so that services can be </w:t>
      </w:r>
      <w:r w:rsidR="004B7069">
        <w:rPr>
          <w:rFonts w:cs="Arial"/>
          <w:lang w:eastAsia="en-AU"/>
        </w:rPr>
        <w:t>engaged</w:t>
      </w:r>
      <w:r>
        <w:rPr>
          <w:rFonts w:cs="Arial"/>
          <w:lang w:eastAsia="en-AU"/>
        </w:rPr>
        <w:t xml:space="preserve"> upon the patient’s </w:t>
      </w:r>
      <w:r w:rsidR="00E917C3">
        <w:rPr>
          <w:rFonts w:cs="Arial"/>
          <w:lang w:eastAsia="en-AU"/>
        </w:rPr>
        <w:t>discharge home</w:t>
      </w:r>
      <w:r>
        <w:rPr>
          <w:rFonts w:cs="Arial"/>
          <w:lang w:eastAsia="en-AU"/>
        </w:rPr>
        <w:t>.</w:t>
      </w:r>
      <w:r w:rsidR="00190E79">
        <w:rPr>
          <w:rFonts w:cs="Arial"/>
          <w:lang w:eastAsia="en-AU"/>
        </w:rPr>
        <w:t xml:space="preserve"> </w:t>
      </w:r>
      <w:r>
        <w:rPr>
          <w:rFonts w:cs="Arial"/>
          <w:lang w:eastAsia="en-AU"/>
        </w:rPr>
        <w:t>The referral content should be comprehensive and relevant to its recipient.</w:t>
      </w:r>
      <w:r w:rsidR="00190E79">
        <w:rPr>
          <w:rFonts w:cs="Arial"/>
          <w:lang w:eastAsia="en-AU"/>
        </w:rPr>
        <w:t xml:space="preserve"> </w:t>
      </w:r>
      <w:r>
        <w:rPr>
          <w:rFonts w:cs="Arial"/>
          <w:lang w:eastAsia="en-AU"/>
        </w:rPr>
        <w:t xml:space="preserve">It </w:t>
      </w:r>
      <w:r w:rsidR="00884E2A">
        <w:rPr>
          <w:rFonts w:cs="Arial"/>
          <w:lang w:eastAsia="en-AU"/>
        </w:rPr>
        <w:t xml:space="preserve">should </w:t>
      </w:r>
      <w:r>
        <w:rPr>
          <w:rFonts w:cs="Arial"/>
          <w:lang w:eastAsia="en-AU"/>
        </w:rPr>
        <w:t xml:space="preserve">be updated during the patient’s admission to reflect changes to their condition and care needs on </w:t>
      </w:r>
      <w:r w:rsidR="004C2D98">
        <w:rPr>
          <w:rFonts w:cs="Arial"/>
          <w:lang w:eastAsia="en-AU"/>
        </w:rPr>
        <w:t>transfer of care</w:t>
      </w:r>
      <w:r>
        <w:rPr>
          <w:rFonts w:cs="Arial"/>
          <w:lang w:eastAsia="en-AU"/>
        </w:rPr>
        <w:t>.</w:t>
      </w:r>
    </w:p>
    <w:p w:rsidR="00356C8D" w:rsidRDefault="00356C8D" w:rsidP="008B4CD2">
      <w:pPr>
        <w:pStyle w:val="Healthbody"/>
        <w:rPr>
          <w:lang w:eastAsia="en-AU"/>
        </w:rPr>
      </w:pPr>
      <w:r>
        <w:rPr>
          <w:rFonts w:cs="Arial"/>
          <w:lang w:eastAsia="en-AU"/>
        </w:rPr>
        <w:t>It is expected that there is a patient identification system in place that requires at least three approved patient identifi</w:t>
      </w:r>
      <w:r w:rsidR="004B7069">
        <w:rPr>
          <w:rFonts w:cs="Arial"/>
          <w:lang w:eastAsia="en-AU"/>
        </w:rPr>
        <w:t xml:space="preserve">ers whenever </w:t>
      </w:r>
      <w:r w:rsidR="00AA59B5">
        <w:rPr>
          <w:rFonts w:cs="Arial"/>
          <w:lang w:eastAsia="en-AU"/>
        </w:rPr>
        <w:t xml:space="preserve">a </w:t>
      </w:r>
      <w:r w:rsidR="004B7069">
        <w:rPr>
          <w:rFonts w:cs="Arial"/>
          <w:lang w:eastAsia="en-AU"/>
        </w:rPr>
        <w:t xml:space="preserve">clinical handover or </w:t>
      </w:r>
      <w:r>
        <w:rPr>
          <w:rFonts w:cs="Arial"/>
          <w:lang w:eastAsia="en-AU"/>
        </w:rPr>
        <w:t>patient transfer</w:t>
      </w:r>
      <w:r w:rsidR="004B7069">
        <w:rPr>
          <w:rFonts w:cs="Arial"/>
          <w:lang w:eastAsia="en-AU"/>
        </w:rPr>
        <w:t xml:space="preserve"> occurs, </w:t>
      </w:r>
      <w:r>
        <w:rPr>
          <w:rFonts w:cs="Arial"/>
          <w:lang w:eastAsia="en-AU"/>
        </w:rPr>
        <w:t xml:space="preserve">or </w:t>
      </w:r>
      <w:r w:rsidR="004B7069">
        <w:rPr>
          <w:rFonts w:cs="Arial"/>
          <w:lang w:eastAsia="en-AU"/>
        </w:rPr>
        <w:t xml:space="preserve">whenever </w:t>
      </w:r>
      <w:r w:rsidR="004C2D98">
        <w:rPr>
          <w:rFonts w:cs="Arial"/>
          <w:lang w:eastAsia="en-AU"/>
        </w:rPr>
        <w:t>transfer of care</w:t>
      </w:r>
      <w:r>
        <w:rPr>
          <w:rFonts w:cs="Arial"/>
          <w:lang w:eastAsia="en-AU"/>
        </w:rPr>
        <w:t xml:space="preserve"> documentation is generated.</w:t>
      </w:r>
    </w:p>
    <w:p w:rsidR="0084742B" w:rsidRDefault="00EB2821" w:rsidP="0084742B">
      <w:pPr>
        <w:pStyle w:val="Healthbody"/>
        <w:rPr>
          <w:rFonts w:cs="Arial"/>
          <w:lang w:eastAsia="en-AU"/>
        </w:rPr>
      </w:pPr>
      <w:r>
        <w:rPr>
          <w:rFonts w:cs="Arial"/>
          <w:lang w:eastAsia="en-AU"/>
        </w:rPr>
        <w:t>Note that p</w:t>
      </w:r>
      <w:r w:rsidR="004B7069">
        <w:rPr>
          <w:rFonts w:cs="Arial"/>
          <w:lang w:eastAsia="en-AU"/>
        </w:rPr>
        <w:t>rivacy legislation stipulates</w:t>
      </w:r>
      <w:r w:rsidR="0084742B" w:rsidRPr="00036DC4">
        <w:rPr>
          <w:rFonts w:cs="Arial"/>
          <w:lang w:eastAsia="en-AU"/>
        </w:rPr>
        <w:t xml:space="preserve"> that referrals cannot be directly transferred from one health service to </w:t>
      </w:r>
      <w:r w:rsidR="0084742B">
        <w:rPr>
          <w:rFonts w:cs="Arial"/>
          <w:lang w:eastAsia="en-AU"/>
        </w:rPr>
        <w:t>another</w:t>
      </w:r>
      <w:r w:rsidR="0084742B" w:rsidRPr="00036DC4">
        <w:rPr>
          <w:rFonts w:cs="Arial"/>
          <w:lang w:eastAsia="en-AU"/>
        </w:rPr>
        <w:t xml:space="preserve"> without the consent of the patient.</w:t>
      </w:r>
      <w:r w:rsidR="0084742B">
        <w:rPr>
          <w:rFonts w:cs="Arial"/>
          <w:lang w:eastAsia="en-AU"/>
        </w:rPr>
        <w:t xml:space="preserve"> </w:t>
      </w:r>
    </w:p>
    <w:p w:rsidR="00EB2821" w:rsidRDefault="00EB2821" w:rsidP="008B4CD2">
      <w:pPr>
        <w:pStyle w:val="Healthbody"/>
        <w:rPr>
          <w:rFonts w:cs="Arial"/>
          <w:lang w:eastAsia="en-AU"/>
        </w:rPr>
      </w:pPr>
    </w:p>
    <w:p w:rsidR="00451DFF" w:rsidRDefault="00451DFF">
      <w:pPr>
        <w:rPr>
          <w:rFonts w:ascii="Arial" w:hAnsi="Arial"/>
          <w:b/>
          <w:sz w:val="22"/>
          <w:szCs w:val="22"/>
        </w:rPr>
      </w:pPr>
      <w:r>
        <w:rPr>
          <w:b/>
          <w:sz w:val="22"/>
          <w:szCs w:val="22"/>
        </w:rPr>
        <w:br w:type="page"/>
      </w:r>
    </w:p>
    <w:p w:rsidR="00356C8D" w:rsidRPr="002A5AC0" w:rsidRDefault="00356C8D" w:rsidP="008B4CD2">
      <w:pPr>
        <w:pStyle w:val="Healthbody"/>
        <w:rPr>
          <w:b/>
          <w:sz w:val="22"/>
          <w:szCs w:val="22"/>
        </w:rPr>
      </w:pPr>
      <w:r>
        <w:rPr>
          <w:b/>
          <w:sz w:val="22"/>
          <w:szCs w:val="22"/>
        </w:rPr>
        <w:lastRenderedPageBreak/>
        <w:t>Maintaining continuity of medication management</w:t>
      </w:r>
    </w:p>
    <w:p w:rsidR="00356C8D" w:rsidRPr="00F544E9" w:rsidRDefault="00356C8D" w:rsidP="008B4CD2">
      <w:pPr>
        <w:pStyle w:val="Healthbody"/>
      </w:pPr>
      <w:r>
        <w:t>A current and comprehensive list of medicines must be provided to the pat</w:t>
      </w:r>
      <w:r w:rsidR="004B7069">
        <w:t>ient and/or carer</w:t>
      </w:r>
      <w:r>
        <w:t xml:space="preserve"> and the receiving clinician during clinical handover</w:t>
      </w:r>
      <w:r w:rsidR="004B7069">
        <w:t>,</w:t>
      </w:r>
      <w:r>
        <w:t xml:space="preserve"> and when concluding an episode of care.</w:t>
      </w:r>
      <w:r w:rsidR="00190E79">
        <w:t xml:space="preserve"> </w:t>
      </w:r>
      <w:r>
        <w:t>The system use</w:t>
      </w:r>
      <w:r w:rsidR="00AA59B5">
        <w:t>d</w:t>
      </w:r>
      <w:r>
        <w:t xml:space="preserve"> to generate the list of medicines must also allow the prescriber to docume</w:t>
      </w:r>
      <w:r w:rsidR="004066D8">
        <w:t>nt</w:t>
      </w:r>
      <w:r w:rsidR="00F26033">
        <w:t xml:space="preserve"> medication changes or cessa</w:t>
      </w:r>
      <w:r w:rsidR="004B7069">
        <w:t>tions during the episode of care, and the reason for these changes.</w:t>
      </w:r>
      <w:r w:rsidR="004066D8">
        <w:t xml:space="preserve"> </w:t>
      </w:r>
    </w:p>
    <w:p w:rsidR="00356C8D" w:rsidRDefault="00356C8D" w:rsidP="008B4CD2">
      <w:pPr>
        <w:pStyle w:val="Healthbody"/>
      </w:pPr>
      <w:r>
        <w:t>A</w:t>
      </w:r>
      <w:r w:rsidRPr="00C71A60">
        <w:t>n adequate supply of medication should be dispensed with consideration given to the availability of pharmaceutical resources in the patient</w:t>
      </w:r>
      <w:r w:rsidRPr="0005228B">
        <w:t>’</w:t>
      </w:r>
      <w:r w:rsidRPr="00C71A60">
        <w:t>s local area.</w:t>
      </w:r>
      <w:r w:rsidR="00190E79">
        <w:t xml:space="preserve"> </w:t>
      </w:r>
      <w:r>
        <w:t>The patient may also need other supplies (for example</w:t>
      </w:r>
      <w:r w:rsidR="00EB2821">
        <w:t>,</w:t>
      </w:r>
      <w:r>
        <w:t xml:space="preserve"> wound dressings</w:t>
      </w:r>
      <w:r w:rsidR="00AA59B5">
        <w:t xml:space="preserve"> or</w:t>
      </w:r>
      <w:r>
        <w:t xml:space="preserve"> catheter b</w:t>
      </w:r>
      <w:r w:rsidR="00EB2821">
        <w:t xml:space="preserve">ags) </w:t>
      </w:r>
      <w:r w:rsidR="00462702">
        <w:t>for the post-acute period. Advic</w:t>
      </w:r>
      <w:r w:rsidR="00EB2821">
        <w:t>e should be given to the patient about</w:t>
      </w:r>
      <w:r>
        <w:t xml:space="preserve"> how they can access the required medications and consumables after </w:t>
      </w:r>
      <w:r w:rsidR="00462702">
        <w:t xml:space="preserve">discharge or </w:t>
      </w:r>
      <w:r w:rsidR="004C2D98">
        <w:t>transfer of care</w:t>
      </w:r>
      <w:r>
        <w:t xml:space="preserve">. </w:t>
      </w:r>
    </w:p>
    <w:p w:rsidR="008B4CD2" w:rsidRDefault="008B4CD2" w:rsidP="008B4CD2">
      <w:pPr>
        <w:pStyle w:val="Healthbody"/>
      </w:pPr>
    </w:p>
    <w:p w:rsidR="00356C8D" w:rsidRDefault="00356C8D" w:rsidP="008B4CD2">
      <w:pPr>
        <w:pStyle w:val="Healthbody"/>
        <w:rPr>
          <w:b/>
          <w:sz w:val="22"/>
          <w:szCs w:val="22"/>
        </w:rPr>
      </w:pPr>
      <w:r>
        <w:rPr>
          <w:b/>
          <w:sz w:val="22"/>
          <w:szCs w:val="22"/>
        </w:rPr>
        <w:t xml:space="preserve">Approving a patient’s </w:t>
      </w:r>
      <w:r w:rsidR="004C2D98">
        <w:rPr>
          <w:b/>
          <w:sz w:val="22"/>
          <w:szCs w:val="22"/>
        </w:rPr>
        <w:t>transfer of care</w:t>
      </w:r>
    </w:p>
    <w:p w:rsidR="00356C8D" w:rsidRDefault="00356C8D" w:rsidP="008B4CD2">
      <w:pPr>
        <w:pStyle w:val="Healthbody"/>
      </w:pPr>
      <w:r>
        <w:t>It must be clear to staff and the patient and/or carer who</w:t>
      </w:r>
      <w:r w:rsidR="00567E4E">
        <w:t xml:space="preserve"> is</w:t>
      </w:r>
      <w:r w:rsidR="008054A0">
        <w:t xml:space="preserve"> responsible for approving the patient’s </w:t>
      </w:r>
      <w:r w:rsidR="00462702">
        <w:t xml:space="preserve">discharge or </w:t>
      </w:r>
      <w:r w:rsidR="008054A0">
        <w:t xml:space="preserve">transfer of care. </w:t>
      </w:r>
    </w:p>
    <w:p w:rsidR="00356C8D" w:rsidRDefault="00356C8D" w:rsidP="008B4CD2">
      <w:pPr>
        <w:pStyle w:val="Healthbody"/>
      </w:pPr>
      <w:r>
        <w:t>Staffing models for approv</w:t>
      </w:r>
      <w:r w:rsidR="00AA59B5">
        <w:t>ing</w:t>
      </w:r>
      <w:r>
        <w:t xml:space="preserve"> </w:t>
      </w:r>
      <w:r w:rsidR="00462702">
        <w:t>discharge</w:t>
      </w:r>
      <w:r w:rsidR="00AA59B5">
        <w:t xml:space="preserve">s and </w:t>
      </w:r>
      <w:r w:rsidR="004C2D98">
        <w:t>transfer</w:t>
      </w:r>
      <w:r w:rsidR="00AA59B5">
        <w:t>s</w:t>
      </w:r>
      <w:r w:rsidR="004C2D98">
        <w:t xml:space="preserve"> of care</w:t>
      </w:r>
      <w:r>
        <w:t xml:space="preserve"> should ensure that available clinical skills are used in the best possible way to support t</w:t>
      </w:r>
      <w:r w:rsidR="00F26033">
        <w:t>imely and high</w:t>
      </w:r>
      <w:r w:rsidR="00AA59B5">
        <w:t>-</w:t>
      </w:r>
      <w:r w:rsidR="00F26033">
        <w:t xml:space="preserve">quality decision </w:t>
      </w:r>
      <w:r>
        <w:t>making.</w:t>
      </w:r>
      <w:r w:rsidR="00190E79">
        <w:t xml:space="preserve"> </w:t>
      </w:r>
      <w:r>
        <w:t>The most appropriate person</w:t>
      </w:r>
      <w:r w:rsidR="00190E79">
        <w:t xml:space="preserve"> </w:t>
      </w:r>
      <w:r>
        <w:t xml:space="preserve">to authorise </w:t>
      </w:r>
      <w:r w:rsidR="00AA59B5">
        <w:t xml:space="preserve">a </w:t>
      </w:r>
      <w:r w:rsidR="00462702">
        <w:t>discharge</w:t>
      </w:r>
      <w:r w:rsidR="00AA59B5">
        <w:t xml:space="preserve"> or </w:t>
      </w:r>
      <w:r w:rsidR="004C2D98">
        <w:t>transfer of care</w:t>
      </w:r>
      <w:r>
        <w:t xml:space="preserve"> will depend on the nature of the </w:t>
      </w:r>
      <w:r w:rsidR="00E917C3">
        <w:t xml:space="preserve">inpatient </w:t>
      </w:r>
      <w:r>
        <w:t xml:space="preserve">speciality </w:t>
      </w:r>
      <w:r w:rsidR="004B7069">
        <w:t xml:space="preserve">unit </w:t>
      </w:r>
      <w:r>
        <w:t>and the complexity of the individual patient.</w:t>
      </w:r>
      <w:r w:rsidR="00190E79">
        <w:t xml:space="preserve"> </w:t>
      </w:r>
    </w:p>
    <w:p w:rsidR="00567E4E" w:rsidRDefault="00356C8D" w:rsidP="008B4CD2">
      <w:pPr>
        <w:pStyle w:val="Healthbody"/>
      </w:pPr>
      <w:r>
        <w:t xml:space="preserve">Criteria-led </w:t>
      </w:r>
      <w:r w:rsidR="00462702">
        <w:t>discharge/</w:t>
      </w:r>
      <w:r w:rsidR="004C2D98">
        <w:t>transfer of care</w:t>
      </w:r>
      <w:r>
        <w:t xml:space="preserve"> by junior medical staff, nursing/midwifery and allied health staff may reduce the demand for </w:t>
      </w:r>
      <w:r w:rsidR="00AA59B5">
        <w:t xml:space="preserve">a </w:t>
      </w:r>
      <w:r>
        <w:t xml:space="preserve">consultant review of less complex patients and improve </w:t>
      </w:r>
      <w:r w:rsidR="004C2D98">
        <w:t>transfer of care</w:t>
      </w:r>
      <w:r>
        <w:t xml:space="preserve"> rates.</w:t>
      </w:r>
      <w:r w:rsidR="00190E79">
        <w:t xml:space="preserve"> </w:t>
      </w:r>
      <w:r w:rsidR="004B7069">
        <w:t>This approach</w:t>
      </w:r>
      <w:r>
        <w:t xml:space="preserve"> should be supported by formal </w:t>
      </w:r>
      <w:r w:rsidR="004C2D98">
        <w:t>transfer of care</w:t>
      </w:r>
      <w:r>
        <w:t xml:space="preserve"> protocols for appropriate patient groups</w:t>
      </w:r>
      <w:r w:rsidR="00567E4E">
        <w:t>.</w:t>
      </w:r>
    </w:p>
    <w:p w:rsidR="00356C8D" w:rsidRDefault="00356C8D" w:rsidP="00451DFF">
      <w:pPr>
        <w:pStyle w:val="Healthbody"/>
      </w:pPr>
      <w:r>
        <w:t>Where approval for</w:t>
      </w:r>
      <w:r w:rsidR="00462702">
        <w:t xml:space="preserve"> discharge</w:t>
      </w:r>
      <w:r w:rsidR="00AA59B5">
        <w:t xml:space="preserve"> or </w:t>
      </w:r>
      <w:r w:rsidR="004C2D98">
        <w:t>transfer of care</w:t>
      </w:r>
      <w:r>
        <w:t xml:space="preserve"> is delegated to less senior staff, there should be clear processes in place for escalation to a more senior clinician in the case of difficult decisions and/or where new information becomes available that challenges the intended </w:t>
      </w:r>
      <w:r w:rsidR="004C2D98">
        <w:t>transfer of care</w:t>
      </w:r>
      <w:r>
        <w:t xml:space="preserve"> plan.</w:t>
      </w:r>
      <w:r w:rsidR="00190E79">
        <w:t xml:space="preserve"> </w:t>
      </w:r>
    </w:p>
    <w:p w:rsidR="00695687" w:rsidRDefault="00695687" w:rsidP="00451DFF">
      <w:pPr>
        <w:pStyle w:val="Healthbody"/>
      </w:pPr>
    </w:p>
    <w:p w:rsidR="001423A7" w:rsidRDefault="001423A7" w:rsidP="00451DFF">
      <w:pPr>
        <w:pStyle w:val="Healthbody"/>
        <w:rPr>
          <w:b/>
          <w:sz w:val="22"/>
          <w:szCs w:val="22"/>
        </w:rPr>
      </w:pPr>
      <w:r>
        <w:rPr>
          <w:b/>
          <w:sz w:val="22"/>
          <w:szCs w:val="22"/>
        </w:rPr>
        <w:t>Confirming an appropriate transfer of care destination</w:t>
      </w:r>
    </w:p>
    <w:p w:rsidR="001423A7" w:rsidRPr="001C29BE" w:rsidRDefault="001423A7" w:rsidP="008B4CD2">
      <w:pPr>
        <w:pStyle w:val="Healthbody"/>
        <w:rPr>
          <w:rFonts w:cs="Arial"/>
          <w:lang w:eastAsia="en-AU"/>
        </w:rPr>
      </w:pPr>
      <w:r>
        <w:rPr>
          <w:rFonts w:cs="Arial"/>
          <w:lang w:eastAsia="en-AU"/>
        </w:rPr>
        <w:t>A</w:t>
      </w:r>
      <w:r w:rsidRPr="00F544E9">
        <w:rPr>
          <w:rFonts w:cs="Arial"/>
          <w:lang w:eastAsia="en-AU"/>
        </w:rPr>
        <w:t xml:space="preserve">ssessment of the patient by subacute services, the </w:t>
      </w:r>
      <w:r w:rsidR="00AA59B5">
        <w:rPr>
          <w:rFonts w:cs="Arial"/>
          <w:lang w:eastAsia="en-AU"/>
        </w:rPr>
        <w:t>ACAS</w:t>
      </w:r>
      <w:r w:rsidRPr="00F544E9">
        <w:rPr>
          <w:rFonts w:cs="Arial"/>
          <w:lang w:eastAsia="en-AU"/>
        </w:rPr>
        <w:t xml:space="preserve"> or another health service</w:t>
      </w:r>
      <w:r>
        <w:rPr>
          <w:rFonts w:cs="Arial"/>
          <w:lang w:eastAsia="en-AU"/>
        </w:rPr>
        <w:t xml:space="preserve"> may be required to determine the most appropriate transfer of care destination. </w:t>
      </w:r>
    </w:p>
    <w:p w:rsidR="001423A7" w:rsidRDefault="001423A7" w:rsidP="008B4CD2">
      <w:pPr>
        <w:pStyle w:val="Healthbody"/>
        <w:rPr>
          <w:rFonts w:cs="Arial"/>
          <w:lang w:eastAsia="en-AU"/>
        </w:rPr>
      </w:pPr>
      <w:r>
        <w:rPr>
          <w:rFonts w:cs="Arial"/>
          <w:lang w:eastAsia="en-AU"/>
        </w:rPr>
        <w:t>It may be necessary to conduct</w:t>
      </w:r>
      <w:r w:rsidR="009C2C08">
        <w:rPr>
          <w:rFonts w:cs="Arial"/>
          <w:lang w:eastAsia="en-AU"/>
        </w:rPr>
        <w:t xml:space="preserve"> a home visit</w:t>
      </w:r>
      <w:r w:rsidRPr="00F544E9">
        <w:rPr>
          <w:rFonts w:cs="Arial"/>
          <w:lang w:eastAsia="en-AU"/>
        </w:rPr>
        <w:t xml:space="preserve"> to assess the safety and suitability of the planned </w:t>
      </w:r>
      <w:r>
        <w:rPr>
          <w:rFonts w:cs="Arial"/>
          <w:lang w:eastAsia="en-AU"/>
        </w:rPr>
        <w:t>transfer of care</w:t>
      </w:r>
      <w:r w:rsidRPr="00F544E9">
        <w:rPr>
          <w:rFonts w:cs="Arial"/>
          <w:lang w:eastAsia="en-AU"/>
        </w:rPr>
        <w:t xml:space="preserve"> environment</w:t>
      </w:r>
      <w:r w:rsidR="00AA59B5">
        <w:rPr>
          <w:rFonts w:cs="Arial"/>
          <w:lang w:eastAsia="en-AU"/>
        </w:rPr>
        <w:t xml:space="preserve"> and to</w:t>
      </w:r>
      <w:r w:rsidR="00B17DD7">
        <w:rPr>
          <w:rFonts w:cs="Arial"/>
          <w:lang w:eastAsia="en-AU"/>
        </w:rPr>
        <w:t xml:space="preserve"> ensure the patient can access their house, has food in the fridge and </w:t>
      </w:r>
      <w:r w:rsidR="00AA59B5">
        <w:rPr>
          <w:rFonts w:cs="Arial"/>
          <w:lang w:eastAsia="en-AU"/>
        </w:rPr>
        <w:t xml:space="preserve">has essential </w:t>
      </w:r>
      <w:r w:rsidR="00B17DD7">
        <w:rPr>
          <w:rFonts w:cs="Arial"/>
          <w:lang w:eastAsia="en-AU"/>
        </w:rPr>
        <w:t xml:space="preserve">services connected. </w:t>
      </w:r>
      <w:r>
        <w:rPr>
          <w:rFonts w:cs="Arial"/>
          <w:lang w:eastAsia="en-AU"/>
        </w:rPr>
        <w:t>P</w:t>
      </w:r>
      <w:r w:rsidRPr="00C71A60">
        <w:t>roviding and/or installing eq</w:t>
      </w:r>
      <w:r>
        <w:t>uipment can</w:t>
      </w:r>
      <w:r w:rsidRPr="00C71A60">
        <w:t xml:space="preserve"> support a safe </w:t>
      </w:r>
      <w:r>
        <w:t>transfer of care</w:t>
      </w:r>
      <w:r w:rsidRPr="00C71A60">
        <w:t xml:space="preserve"> home (for </w:t>
      </w:r>
      <w:r w:rsidR="009C2C08">
        <w:t>example,</w:t>
      </w:r>
      <w:r w:rsidRPr="00C71A60">
        <w:t xml:space="preserve"> gait aids, raised seating</w:t>
      </w:r>
      <w:r w:rsidR="00FA6A8D">
        <w:t xml:space="preserve"> and</w:t>
      </w:r>
      <w:r w:rsidR="00884E2A">
        <w:t xml:space="preserve"> rails</w:t>
      </w:r>
      <w:r w:rsidRPr="00C71A60">
        <w:t>)</w:t>
      </w:r>
      <w:r w:rsidR="009C2C08">
        <w:t>.</w:t>
      </w:r>
      <w:r w:rsidR="0053555B">
        <w:t xml:space="preserve"> It is also important to check that the patient’s carers are available for their return. </w:t>
      </w:r>
    </w:p>
    <w:p w:rsidR="001423A7" w:rsidRPr="001C29BE" w:rsidRDefault="001423A7" w:rsidP="008B4CD2">
      <w:pPr>
        <w:pStyle w:val="Healthbody"/>
        <w:rPr>
          <w:rFonts w:cs="Arial"/>
          <w:lang w:eastAsia="en-AU"/>
        </w:rPr>
      </w:pPr>
      <w:r>
        <w:rPr>
          <w:rFonts w:cs="Arial"/>
          <w:lang w:eastAsia="en-AU"/>
        </w:rPr>
        <w:t>A patient’s mode of transport from the acute hospital to their transfer of care destination should be arranged and confirmed</w:t>
      </w:r>
      <w:r w:rsidR="00884E2A">
        <w:rPr>
          <w:rFonts w:cs="Arial"/>
          <w:lang w:eastAsia="en-AU"/>
        </w:rPr>
        <w:t xml:space="preserve"> with the patient and/or carer as well as the transport provider</w:t>
      </w:r>
      <w:r>
        <w:rPr>
          <w:rFonts w:cs="Arial"/>
          <w:lang w:eastAsia="en-AU"/>
        </w:rPr>
        <w:t>.</w:t>
      </w:r>
      <w:r w:rsidR="00C7151A">
        <w:rPr>
          <w:rFonts w:cs="Arial"/>
          <w:lang w:eastAsia="en-AU"/>
        </w:rPr>
        <w:t xml:space="preserve"> This transport </w:t>
      </w:r>
      <w:r w:rsidR="0053555B">
        <w:rPr>
          <w:rFonts w:cs="Arial"/>
          <w:lang w:eastAsia="en-AU"/>
        </w:rPr>
        <w:t>should</w:t>
      </w:r>
      <w:r w:rsidR="00C7151A">
        <w:rPr>
          <w:rFonts w:cs="Arial"/>
          <w:lang w:eastAsia="en-AU"/>
        </w:rPr>
        <w:t xml:space="preserve"> be safe and appropriate. </w:t>
      </w:r>
    </w:p>
    <w:p w:rsidR="001423A7" w:rsidRDefault="001423A7" w:rsidP="008A4C4A">
      <w:pPr>
        <w:pStyle w:val="Healthbody"/>
      </w:pPr>
    </w:p>
    <w:p w:rsidR="00DC4669" w:rsidRDefault="00DC4669">
      <w:pPr>
        <w:rPr>
          <w:rFonts w:ascii="Arial" w:hAnsi="Arial"/>
        </w:rPr>
      </w:pPr>
      <w:r>
        <w:br w:type="page"/>
      </w:r>
    </w:p>
    <w:p w:rsidR="00356C8D" w:rsidRDefault="004B7069" w:rsidP="00DC4669">
      <w:pPr>
        <w:pStyle w:val="Healthheading1"/>
      </w:pPr>
      <w:bookmarkStart w:id="2" w:name="_Toc314644531"/>
      <w:r>
        <w:lastRenderedPageBreak/>
        <w:t>P</w:t>
      </w:r>
      <w:r w:rsidR="00356C8D">
        <w:t xml:space="preserve">ost </w:t>
      </w:r>
      <w:bookmarkEnd w:id="2"/>
      <w:r w:rsidR="004C2D98">
        <w:t>transfer of care</w:t>
      </w:r>
    </w:p>
    <w:p w:rsidR="00615ABE" w:rsidRPr="00EA45CF" w:rsidRDefault="00615ABE" w:rsidP="00DC4669">
      <w:pPr>
        <w:pStyle w:val="Healthheading2"/>
        <w:spacing w:before="0" w:after="120" w:line="270" w:lineRule="atLeast"/>
        <w:rPr>
          <w:sz w:val="22"/>
          <w:szCs w:val="22"/>
        </w:rPr>
      </w:pPr>
    </w:p>
    <w:p w:rsidR="00FD5629" w:rsidRDefault="00FD5629" w:rsidP="00451DFF">
      <w:pPr>
        <w:pStyle w:val="Healthheading2"/>
      </w:pPr>
      <w:r>
        <w:t>Key requirements</w:t>
      </w:r>
    </w:p>
    <w:p w:rsidR="00FD5629" w:rsidRPr="001E2A6D" w:rsidRDefault="00FD5629" w:rsidP="00301267">
      <w:pPr>
        <w:numPr>
          <w:ilvl w:val="0"/>
          <w:numId w:val="21"/>
        </w:numPr>
        <w:ind w:left="357"/>
      </w:pPr>
      <w:r>
        <w:rPr>
          <w:rFonts w:ascii="Arial" w:hAnsi="Arial" w:cs="Arial"/>
        </w:rPr>
        <w:t>A patient’s</w:t>
      </w:r>
      <w:r w:rsidR="00185238">
        <w:rPr>
          <w:rFonts w:ascii="Arial" w:hAnsi="Arial" w:cs="Arial"/>
        </w:rPr>
        <w:t xml:space="preserve"> discharge or </w:t>
      </w:r>
      <w:r>
        <w:rPr>
          <w:rFonts w:ascii="Arial" w:hAnsi="Arial" w:cs="Arial"/>
        </w:rPr>
        <w:t>transfer of care summary should be prepared ahead of the estimated date of transfer of care.</w:t>
      </w:r>
    </w:p>
    <w:p w:rsidR="00FD5629" w:rsidRPr="001E2A6D" w:rsidRDefault="00FD5629" w:rsidP="00FD5629">
      <w:pPr>
        <w:ind w:left="357"/>
      </w:pPr>
    </w:p>
    <w:p w:rsidR="00AC7486" w:rsidRPr="00AC7486" w:rsidRDefault="00FD5629" w:rsidP="00301267">
      <w:pPr>
        <w:numPr>
          <w:ilvl w:val="0"/>
          <w:numId w:val="21"/>
        </w:numPr>
      </w:pPr>
      <w:r w:rsidRPr="0052472A">
        <w:rPr>
          <w:rFonts w:ascii="Arial" w:hAnsi="Arial" w:cs="Arial"/>
        </w:rPr>
        <w:t xml:space="preserve">A </w:t>
      </w:r>
      <w:r w:rsidR="0052472A" w:rsidRPr="0052472A">
        <w:rPr>
          <w:rFonts w:ascii="Arial" w:hAnsi="Arial" w:cs="Arial"/>
        </w:rPr>
        <w:t>copy of the</w:t>
      </w:r>
      <w:r w:rsidRPr="0052472A">
        <w:rPr>
          <w:rFonts w:ascii="Arial" w:hAnsi="Arial" w:cs="Arial"/>
        </w:rPr>
        <w:t xml:space="preserve"> transfer of </w:t>
      </w:r>
      <w:r w:rsidR="00953F56" w:rsidRPr="0052472A">
        <w:rPr>
          <w:rFonts w:ascii="Arial" w:hAnsi="Arial" w:cs="Arial"/>
        </w:rPr>
        <w:t>care summary should be sent to the</w:t>
      </w:r>
      <w:r w:rsidR="00F26033">
        <w:rPr>
          <w:rFonts w:ascii="Arial" w:hAnsi="Arial" w:cs="Arial"/>
        </w:rPr>
        <w:t xml:space="preserve"> patient’s GP</w:t>
      </w:r>
      <w:r w:rsidR="0064321A">
        <w:rPr>
          <w:rFonts w:ascii="Arial" w:hAnsi="Arial" w:cs="Arial"/>
        </w:rPr>
        <w:t xml:space="preserve"> within</w:t>
      </w:r>
      <w:r w:rsidR="00F26033">
        <w:rPr>
          <w:rFonts w:ascii="Arial" w:hAnsi="Arial" w:cs="Arial"/>
        </w:rPr>
        <w:t xml:space="preserve"> </w:t>
      </w:r>
      <w:r w:rsidR="00AC7486">
        <w:rPr>
          <w:rFonts w:ascii="Arial" w:hAnsi="Arial" w:cs="Arial"/>
        </w:rPr>
        <w:t xml:space="preserve">48 hours after </w:t>
      </w:r>
      <w:r w:rsidR="00AA59B5">
        <w:rPr>
          <w:rFonts w:ascii="Arial" w:hAnsi="Arial" w:cs="Arial"/>
        </w:rPr>
        <w:t xml:space="preserve">the </w:t>
      </w:r>
      <w:r w:rsidR="00AC7486">
        <w:rPr>
          <w:rFonts w:ascii="Arial" w:hAnsi="Arial" w:cs="Arial"/>
        </w:rPr>
        <w:t>transfer of care (</w:t>
      </w:r>
      <w:r w:rsidRPr="0052472A">
        <w:rPr>
          <w:rFonts w:ascii="Arial" w:hAnsi="Arial" w:cs="Arial"/>
        </w:rPr>
        <w:t xml:space="preserve">except </w:t>
      </w:r>
      <w:r w:rsidR="00F26033">
        <w:rPr>
          <w:rFonts w:ascii="Arial" w:hAnsi="Arial" w:cs="Arial"/>
        </w:rPr>
        <w:t>for patient</w:t>
      </w:r>
      <w:r w:rsidR="00953F56" w:rsidRPr="0052472A">
        <w:rPr>
          <w:rFonts w:ascii="Arial" w:hAnsi="Arial" w:cs="Arial"/>
        </w:rPr>
        <w:t xml:space="preserve">s </w:t>
      </w:r>
      <w:r w:rsidR="004B7069">
        <w:rPr>
          <w:rFonts w:ascii="Arial" w:hAnsi="Arial" w:cs="Arial"/>
        </w:rPr>
        <w:t>undergoing</w:t>
      </w:r>
      <w:r w:rsidRPr="0052472A">
        <w:rPr>
          <w:rFonts w:ascii="Arial" w:hAnsi="Arial" w:cs="Arial"/>
        </w:rPr>
        <w:t xml:space="preserve"> chemotherapy or dialysis where multiple treatments are required</w:t>
      </w:r>
      <w:r w:rsidR="004B7069">
        <w:rPr>
          <w:rFonts w:ascii="Arial" w:hAnsi="Arial" w:cs="Arial"/>
        </w:rPr>
        <w:t>. I</w:t>
      </w:r>
      <w:r w:rsidR="00AC7486">
        <w:rPr>
          <w:rFonts w:ascii="Arial" w:hAnsi="Arial" w:cs="Arial"/>
        </w:rPr>
        <w:t>n these circumstances, the summary should be sent to the GP after the patient’s final treatment).</w:t>
      </w:r>
      <w:r w:rsidR="00F43301">
        <w:rPr>
          <w:rFonts w:ascii="Arial" w:hAnsi="Arial" w:cs="Arial"/>
        </w:rPr>
        <w:t xml:space="preserve"> </w:t>
      </w:r>
    </w:p>
    <w:p w:rsidR="00AC7486" w:rsidRDefault="00AC7486" w:rsidP="00AC7486">
      <w:pPr>
        <w:pStyle w:val="ListParagraph"/>
        <w:numPr>
          <w:ilvl w:val="0"/>
          <w:numId w:val="0"/>
        </w:numPr>
        <w:ind w:left="360"/>
        <w:rPr>
          <w:rFonts w:cs="Arial"/>
        </w:rPr>
      </w:pPr>
    </w:p>
    <w:p w:rsidR="00FD5629" w:rsidRPr="001E2A6D" w:rsidRDefault="00AC7486" w:rsidP="00301267">
      <w:pPr>
        <w:numPr>
          <w:ilvl w:val="0"/>
          <w:numId w:val="21"/>
        </w:numPr>
      </w:pPr>
      <w:r>
        <w:rPr>
          <w:rFonts w:ascii="Arial" w:hAnsi="Arial" w:cs="Arial"/>
        </w:rPr>
        <w:t xml:space="preserve">The transfer of care summary </w:t>
      </w:r>
      <w:r w:rsidR="0052472A" w:rsidRPr="0052472A">
        <w:rPr>
          <w:rFonts w:ascii="Arial" w:hAnsi="Arial" w:cs="Arial"/>
        </w:rPr>
        <w:t xml:space="preserve">should </w:t>
      </w:r>
      <w:r w:rsidR="00FD5629">
        <w:rPr>
          <w:rFonts w:ascii="Arial" w:hAnsi="Arial" w:cs="Arial"/>
        </w:rPr>
        <w:t>be given to the patient (or a family member and/or carer where appropriate) and sent to other relevant community providers.</w:t>
      </w:r>
    </w:p>
    <w:p w:rsidR="00FD5629" w:rsidRDefault="00FD5629" w:rsidP="00FD5629">
      <w:pPr>
        <w:pStyle w:val="ListParagraph"/>
        <w:numPr>
          <w:ilvl w:val="0"/>
          <w:numId w:val="0"/>
        </w:numPr>
        <w:spacing w:before="0" w:after="0"/>
        <w:ind w:left="357"/>
      </w:pPr>
    </w:p>
    <w:p w:rsidR="00FD5629" w:rsidRPr="001E2A6D" w:rsidRDefault="00FD5629" w:rsidP="00301267">
      <w:pPr>
        <w:numPr>
          <w:ilvl w:val="0"/>
          <w:numId w:val="21"/>
        </w:numPr>
      </w:pPr>
      <w:r w:rsidRPr="00A07C62">
        <w:rPr>
          <w:rFonts w:ascii="Arial" w:hAnsi="Arial" w:cs="Arial"/>
        </w:rPr>
        <w:t xml:space="preserve">Patients who are deemed </w:t>
      </w:r>
      <w:r w:rsidR="00AA59B5">
        <w:rPr>
          <w:rFonts w:ascii="Arial" w:hAnsi="Arial" w:cs="Arial"/>
        </w:rPr>
        <w:t xml:space="preserve">to be </w:t>
      </w:r>
      <w:r w:rsidR="0052472A">
        <w:rPr>
          <w:rFonts w:ascii="Arial" w:hAnsi="Arial" w:cs="Arial"/>
        </w:rPr>
        <w:t xml:space="preserve">at </w:t>
      </w:r>
      <w:r w:rsidRPr="00A07C62">
        <w:rPr>
          <w:rFonts w:ascii="Arial" w:hAnsi="Arial" w:cs="Arial"/>
        </w:rPr>
        <w:t xml:space="preserve">higher risk of readmission </w:t>
      </w:r>
      <w:r w:rsidR="0052472A">
        <w:rPr>
          <w:rFonts w:ascii="Arial" w:hAnsi="Arial" w:cs="Arial"/>
        </w:rPr>
        <w:t>should be</w:t>
      </w:r>
      <w:r w:rsidR="00AC7486">
        <w:rPr>
          <w:rFonts w:ascii="Arial" w:hAnsi="Arial" w:cs="Arial"/>
        </w:rPr>
        <w:t xml:space="preserve"> </w:t>
      </w:r>
      <w:r w:rsidRPr="00A07C62">
        <w:rPr>
          <w:rFonts w:ascii="Arial" w:hAnsi="Arial" w:cs="Arial"/>
        </w:rPr>
        <w:t>contacted by telephone within 48 hours of</w:t>
      </w:r>
      <w:r w:rsidR="00306C16">
        <w:rPr>
          <w:rFonts w:ascii="Arial" w:hAnsi="Arial" w:cs="Arial"/>
        </w:rPr>
        <w:t xml:space="preserve"> discharge</w:t>
      </w:r>
      <w:r w:rsidR="004B7069">
        <w:rPr>
          <w:rFonts w:ascii="Arial" w:hAnsi="Arial" w:cs="Arial"/>
        </w:rPr>
        <w:t xml:space="preserve"> or </w:t>
      </w:r>
      <w:r w:rsidRPr="00A07C62">
        <w:rPr>
          <w:rFonts w:ascii="Arial" w:hAnsi="Arial" w:cs="Arial"/>
        </w:rPr>
        <w:t>transfer of care</w:t>
      </w:r>
      <w:r w:rsidR="00D52ED7">
        <w:rPr>
          <w:rFonts w:ascii="Arial" w:hAnsi="Arial" w:cs="Arial"/>
        </w:rPr>
        <w:t xml:space="preserve"> as a process for review</w:t>
      </w:r>
      <w:r w:rsidR="00AA59B5">
        <w:rPr>
          <w:rFonts w:ascii="Arial" w:hAnsi="Arial" w:cs="Arial"/>
        </w:rPr>
        <w:t>ing</w:t>
      </w:r>
      <w:r w:rsidR="00D52ED7">
        <w:rPr>
          <w:rFonts w:ascii="Arial" w:hAnsi="Arial" w:cs="Arial"/>
        </w:rPr>
        <w:t xml:space="preserve"> and identif</w:t>
      </w:r>
      <w:r w:rsidR="00AA59B5">
        <w:rPr>
          <w:rFonts w:ascii="Arial" w:hAnsi="Arial" w:cs="Arial"/>
        </w:rPr>
        <w:t>ying</w:t>
      </w:r>
      <w:r w:rsidR="00D52ED7">
        <w:rPr>
          <w:rFonts w:ascii="Arial" w:hAnsi="Arial" w:cs="Arial"/>
        </w:rPr>
        <w:t xml:space="preserve"> and resol</w:t>
      </w:r>
      <w:r w:rsidR="00AA59B5">
        <w:rPr>
          <w:rFonts w:ascii="Arial" w:hAnsi="Arial" w:cs="Arial"/>
        </w:rPr>
        <w:t>ving</w:t>
      </w:r>
      <w:r w:rsidR="00D52ED7">
        <w:rPr>
          <w:rFonts w:ascii="Arial" w:hAnsi="Arial" w:cs="Arial"/>
        </w:rPr>
        <w:t xml:space="preserve"> potential issues</w:t>
      </w:r>
      <w:r w:rsidR="00AA59B5">
        <w:rPr>
          <w:rFonts w:ascii="Arial" w:hAnsi="Arial" w:cs="Arial"/>
        </w:rPr>
        <w:t xml:space="preserve"> early</w:t>
      </w:r>
      <w:r w:rsidRPr="00A07C62">
        <w:rPr>
          <w:rFonts w:ascii="Arial" w:hAnsi="Arial" w:cs="Arial"/>
        </w:rPr>
        <w:t>.</w:t>
      </w:r>
    </w:p>
    <w:p w:rsidR="00EA45CF" w:rsidRDefault="00EA45CF" w:rsidP="00FA4BA9">
      <w:pPr>
        <w:pStyle w:val="Healthheading2"/>
      </w:pPr>
    </w:p>
    <w:p w:rsidR="00356C8D" w:rsidRDefault="00356C8D" w:rsidP="00FA4BA9">
      <w:pPr>
        <w:pStyle w:val="Healthheading2"/>
      </w:pPr>
      <w:r>
        <w:t>Implementation guid</w:t>
      </w:r>
      <w:r w:rsidR="00D36B48">
        <w:t>elines</w:t>
      </w:r>
    </w:p>
    <w:p w:rsidR="00356C8D" w:rsidRDefault="00356C8D" w:rsidP="00FA4BA9">
      <w:pPr>
        <w:pStyle w:val="Healthbody"/>
        <w:spacing w:before="240"/>
        <w:rPr>
          <w:b/>
          <w:sz w:val="22"/>
          <w:szCs w:val="22"/>
        </w:rPr>
      </w:pPr>
      <w:r>
        <w:rPr>
          <w:b/>
          <w:sz w:val="22"/>
          <w:szCs w:val="22"/>
        </w:rPr>
        <w:t>Working with general practitioners and other primary care providers</w:t>
      </w:r>
    </w:p>
    <w:p w:rsidR="00356C8D" w:rsidRPr="00C71A60" w:rsidRDefault="00356C8D" w:rsidP="00807F85">
      <w:pPr>
        <w:pStyle w:val="Healthbody"/>
      </w:pPr>
      <w:r w:rsidRPr="00C71A60">
        <w:rPr>
          <w:lang w:eastAsia="en-AU"/>
        </w:rPr>
        <w:t xml:space="preserve">Health services are encouraged to utilise the skills and knowledge of their </w:t>
      </w:r>
      <w:r w:rsidR="00FA6A8D">
        <w:rPr>
          <w:lang w:eastAsia="en-AU"/>
        </w:rPr>
        <w:t>g</w:t>
      </w:r>
      <w:r w:rsidRPr="00C71A60">
        <w:rPr>
          <w:lang w:eastAsia="en-AU"/>
        </w:rPr>
        <w:t xml:space="preserve">eneral </w:t>
      </w:r>
      <w:r w:rsidR="00FA6A8D">
        <w:rPr>
          <w:lang w:eastAsia="en-AU"/>
        </w:rPr>
        <w:t>p</w:t>
      </w:r>
      <w:r w:rsidRPr="00C71A60">
        <w:rPr>
          <w:lang w:eastAsia="en-AU"/>
        </w:rPr>
        <w:t xml:space="preserve">ractice </w:t>
      </w:r>
      <w:r w:rsidR="00FA6A8D">
        <w:rPr>
          <w:lang w:eastAsia="en-AU"/>
        </w:rPr>
        <w:t>l</w:t>
      </w:r>
      <w:r w:rsidRPr="00C71A60">
        <w:rPr>
          <w:lang w:eastAsia="en-AU"/>
        </w:rPr>
        <w:t xml:space="preserve">iaison </w:t>
      </w:r>
      <w:r w:rsidR="00FA6A8D">
        <w:rPr>
          <w:lang w:eastAsia="en-AU"/>
        </w:rPr>
        <w:t>o</w:t>
      </w:r>
      <w:r w:rsidRPr="00C71A60">
        <w:rPr>
          <w:lang w:eastAsia="en-AU"/>
        </w:rPr>
        <w:t>fficer, where availabl</w:t>
      </w:r>
      <w:r w:rsidR="00DB2025">
        <w:rPr>
          <w:lang w:eastAsia="en-AU"/>
        </w:rPr>
        <w:t xml:space="preserve">e, and engage </w:t>
      </w:r>
      <w:r w:rsidR="00D36B48">
        <w:rPr>
          <w:lang w:eastAsia="en-AU"/>
        </w:rPr>
        <w:t xml:space="preserve">their local </w:t>
      </w:r>
      <w:r w:rsidR="00FA6A8D">
        <w:rPr>
          <w:lang w:eastAsia="en-AU"/>
        </w:rPr>
        <w:t>d</w:t>
      </w:r>
      <w:r w:rsidR="00D36B48">
        <w:rPr>
          <w:lang w:eastAsia="en-AU"/>
        </w:rPr>
        <w:t>ivision</w:t>
      </w:r>
      <w:r w:rsidR="00FA6A8D">
        <w:rPr>
          <w:lang w:eastAsia="en-AU"/>
        </w:rPr>
        <w:t>(</w:t>
      </w:r>
      <w:r w:rsidR="00D36B48">
        <w:rPr>
          <w:lang w:eastAsia="en-AU"/>
        </w:rPr>
        <w:t>s</w:t>
      </w:r>
      <w:r w:rsidR="00FA6A8D">
        <w:rPr>
          <w:lang w:eastAsia="en-AU"/>
        </w:rPr>
        <w:t>)</w:t>
      </w:r>
      <w:r w:rsidR="00D36B48">
        <w:rPr>
          <w:lang w:eastAsia="en-AU"/>
        </w:rPr>
        <w:t xml:space="preserve"> of </w:t>
      </w:r>
      <w:r w:rsidR="00FA6A8D">
        <w:rPr>
          <w:lang w:eastAsia="en-AU"/>
        </w:rPr>
        <w:t>g</w:t>
      </w:r>
      <w:r w:rsidR="00D36B48">
        <w:rPr>
          <w:lang w:eastAsia="en-AU"/>
        </w:rPr>
        <w:t xml:space="preserve">eneral </w:t>
      </w:r>
      <w:r w:rsidR="00FA6A8D">
        <w:rPr>
          <w:lang w:eastAsia="en-AU"/>
        </w:rPr>
        <w:t>p</w:t>
      </w:r>
      <w:r w:rsidR="00D36B48">
        <w:rPr>
          <w:lang w:eastAsia="en-AU"/>
        </w:rPr>
        <w:t>ractice</w:t>
      </w:r>
      <w:r w:rsidR="00FA6A8D">
        <w:rPr>
          <w:lang w:eastAsia="en-AU"/>
        </w:rPr>
        <w:t xml:space="preserve"> or </w:t>
      </w:r>
      <w:r w:rsidRPr="00C71A60">
        <w:rPr>
          <w:lang w:eastAsia="en-AU"/>
        </w:rPr>
        <w:t>Medicare Local</w:t>
      </w:r>
      <w:r w:rsidR="00FA6A8D">
        <w:rPr>
          <w:lang w:eastAsia="en-AU"/>
        </w:rPr>
        <w:t>(</w:t>
      </w:r>
      <w:r w:rsidRPr="00C71A60">
        <w:rPr>
          <w:lang w:eastAsia="en-AU"/>
        </w:rPr>
        <w:t>s</w:t>
      </w:r>
      <w:r w:rsidR="00FA6A8D">
        <w:rPr>
          <w:lang w:eastAsia="en-AU"/>
        </w:rPr>
        <w:t>)</w:t>
      </w:r>
      <w:r w:rsidRPr="00C71A60">
        <w:rPr>
          <w:lang w:eastAsia="en-AU"/>
        </w:rPr>
        <w:t xml:space="preserve"> to </w:t>
      </w:r>
      <w:r w:rsidR="004B7069">
        <w:rPr>
          <w:lang w:eastAsia="en-AU"/>
        </w:rPr>
        <w:t>optimise the continuity of patient care after</w:t>
      </w:r>
      <w:r>
        <w:rPr>
          <w:lang w:eastAsia="en-AU"/>
        </w:rPr>
        <w:t xml:space="preserve"> </w:t>
      </w:r>
      <w:r w:rsidR="004C2D98">
        <w:rPr>
          <w:lang w:eastAsia="en-AU"/>
        </w:rPr>
        <w:t>transfer of care</w:t>
      </w:r>
      <w:r>
        <w:rPr>
          <w:lang w:eastAsia="en-AU"/>
        </w:rPr>
        <w:t xml:space="preserve"> from </w:t>
      </w:r>
      <w:r w:rsidR="00AA59B5">
        <w:rPr>
          <w:lang w:eastAsia="en-AU"/>
        </w:rPr>
        <w:t xml:space="preserve">an </w:t>
      </w:r>
      <w:r>
        <w:rPr>
          <w:lang w:eastAsia="en-AU"/>
        </w:rPr>
        <w:t xml:space="preserve">acute </w:t>
      </w:r>
      <w:r w:rsidR="00D52ED7">
        <w:rPr>
          <w:lang w:eastAsia="en-AU"/>
        </w:rPr>
        <w:t>health service</w:t>
      </w:r>
      <w:r w:rsidRPr="00C71A60">
        <w:rPr>
          <w:lang w:eastAsia="en-AU"/>
        </w:rPr>
        <w:t>.</w:t>
      </w:r>
    </w:p>
    <w:p w:rsidR="00356C8D" w:rsidRDefault="00356C8D" w:rsidP="00451DFF">
      <w:pPr>
        <w:pStyle w:val="Healthbody"/>
        <w:rPr>
          <w:lang w:eastAsia="en-AU"/>
        </w:rPr>
      </w:pPr>
      <w:r w:rsidRPr="00C71A60">
        <w:rPr>
          <w:lang w:eastAsia="en-AU"/>
        </w:rPr>
        <w:t xml:space="preserve">The Department of Health has published </w:t>
      </w:r>
      <w:r w:rsidR="00D36B48">
        <w:rPr>
          <w:lang w:eastAsia="en-AU"/>
        </w:rPr>
        <w:t xml:space="preserve">a resource guide, </w:t>
      </w:r>
      <w:proofErr w:type="gramStart"/>
      <w:r w:rsidR="00D36B48" w:rsidRPr="00D36B48">
        <w:rPr>
          <w:i/>
          <w:lang w:eastAsia="en-AU"/>
        </w:rPr>
        <w:t>Working</w:t>
      </w:r>
      <w:proofErr w:type="gramEnd"/>
      <w:r w:rsidR="00D36B48" w:rsidRPr="00D36B48">
        <w:rPr>
          <w:i/>
          <w:lang w:eastAsia="en-AU"/>
        </w:rPr>
        <w:t xml:space="preserve"> with </w:t>
      </w:r>
      <w:r w:rsidR="00FA6A8D">
        <w:rPr>
          <w:i/>
          <w:lang w:eastAsia="en-AU"/>
        </w:rPr>
        <w:t>g</w:t>
      </w:r>
      <w:r w:rsidR="00D36B48" w:rsidRPr="00D36B48">
        <w:rPr>
          <w:i/>
          <w:lang w:eastAsia="en-AU"/>
        </w:rPr>
        <w:t xml:space="preserve">eneral </w:t>
      </w:r>
      <w:r w:rsidR="00FA6A8D">
        <w:rPr>
          <w:i/>
          <w:lang w:eastAsia="en-AU"/>
        </w:rPr>
        <w:t>p</w:t>
      </w:r>
      <w:r w:rsidRPr="00D36B48">
        <w:rPr>
          <w:i/>
          <w:lang w:eastAsia="en-AU"/>
        </w:rPr>
        <w:t>ractice</w:t>
      </w:r>
      <w:r w:rsidR="00FA6A8D">
        <w:rPr>
          <w:lang w:eastAsia="en-AU"/>
        </w:rPr>
        <w:t>,</w:t>
      </w:r>
      <w:r w:rsidR="00365184" w:rsidRPr="00D74E6E">
        <w:rPr>
          <w:rStyle w:val="FootnoteReference"/>
          <w:lang w:eastAsia="en-AU"/>
        </w:rPr>
        <w:footnoteReference w:id="5"/>
      </w:r>
      <w:r w:rsidR="00AD3962">
        <w:rPr>
          <w:lang w:eastAsia="en-AU"/>
        </w:rPr>
        <w:t xml:space="preserve"> </w:t>
      </w:r>
      <w:r w:rsidRPr="00C71A60">
        <w:rPr>
          <w:lang w:eastAsia="en-AU"/>
        </w:rPr>
        <w:t>that provides useful tools and examples of how to work effectively with general practice.</w:t>
      </w:r>
    </w:p>
    <w:p w:rsidR="00306C16" w:rsidRDefault="00306C16" w:rsidP="00451DFF">
      <w:pPr>
        <w:pStyle w:val="Healthbody"/>
        <w:rPr>
          <w:b/>
          <w:sz w:val="22"/>
          <w:szCs w:val="22"/>
        </w:rPr>
      </w:pPr>
    </w:p>
    <w:p w:rsidR="00356C8D" w:rsidRDefault="00356C8D" w:rsidP="00451DFF">
      <w:pPr>
        <w:pStyle w:val="Healthbody"/>
        <w:rPr>
          <w:b/>
          <w:sz w:val="22"/>
          <w:szCs w:val="22"/>
        </w:rPr>
      </w:pPr>
      <w:r>
        <w:rPr>
          <w:b/>
          <w:sz w:val="22"/>
          <w:szCs w:val="22"/>
        </w:rPr>
        <w:t xml:space="preserve">Preparing and sending a </w:t>
      </w:r>
      <w:r w:rsidR="004C2D98">
        <w:rPr>
          <w:b/>
          <w:sz w:val="22"/>
          <w:szCs w:val="22"/>
        </w:rPr>
        <w:t>transfer of care</w:t>
      </w:r>
      <w:r>
        <w:rPr>
          <w:b/>
          <w:sz w:val="22"/>
          <w:szCs w:val="22"/>
        </w:rPr>
        <w:t xml:space="preserve"> summary</w:t>
      </w:r>
    </w:p>
    <w:p w:rsidR="00807F85" w:rsidRPr="00C71A60" w:rsidRDefault="00D74E6E" w:rsidP="00807F85">
      <w:pPr>
        <w:pStyle w:val="Healthbody"/>
        <w:rPr>
          <w:lang w:eastAsia="en-AU"/>
        </w:rPr>
      </w:pPr>
      <w:r>
        <w:rPr>
          <w:lang w:eastAsia="en-AU"/>
        </w:rPr>
        <w:t xml:space="preserve">Suggested content for </w:t>
      </w:r>
      <w:r w:rsidR="00807F85">
        <w:rPr>
          <w:lang w:eastAsia="en-AU"/>
        </w:rPr>
        <w:t>a transfer of care</w:t>
      </w:r>
      <w:r w:rsidR="00807F85" w:rsidRPr="00C71A60">
        <w:rPr>
          <w:lang w:eastAsia="en-AU"/>
        </w:rPr>
        <w:t xml:space="preserve"> summary</w:t>
      </w:r>
      <w:r>
        <w:rPr>
          <w:lang w:eastAsia="en-AU"/>
        </w:rPr>
        <w:t xml:space="preserve"> can be found in the appendix</w:t>
      </w:r>
      <w:r w:rsidR="00807F85">
        <w:rPr>
          <w:lang w:eastAsia="en-AU"/>
        </w:rPr>
        <w:t>.</w:t>
      </w:r>
      <w:r w:rsidR="00807F85" w:rsidRPr="00C71A60">
        <w:rPr>
          <w:lang w:eastAsia="en-AU"/>
        </w:rPr>
        <w:t xml:space="preserve"> </w:t>
      </w:r>
    </w:p>
    <w:p w:rsidR="004410AA" w:rsidRPr="004410AA" w:rsidRDefault="005578F5" w:rsidP="004410AA">
      <w:pPr>
        <w:pStyle w:val="Healthbody"/>
        <w:rPr>
          <w:lang w:eastAsia="en-AU"/>
        </w:rPr>
      </w:pPr>
      <w:r>
        <w:rPr>
          <w:lang w:eastAsia="en-AU"/>
        </w:rPr>
        <w:t>It is best practice to send a typed</w:t>
      </w:r>
      <w:r w:rsidR="00356C8D" w:rsidRPr="00C71A60">
        <w:rPr>
          <w:lang w:eastAsia="en-AU"/>
        </w:rPr>
        <w:t xml:space="preserve"> </w:t>
      </w:r>
      <w:r w:rsidR="004C2D98">
        <w:rPr>
          <w:lang w:eastAsia="en-AU"/>
        </w:rPr>
        <w:t>transfer of care</w:t>
      </w:r>
      <w:r w:rsidR="00356C8D" w:rsidRPr="00C71A60">
        <w:rPr>
          <w:lang w:eastAsia="en-AU"/>
        </w:rPr>
        <w:t xml:space="preserve"> summary to a patient</w:t>
      </w:r>
      <w:r w:rsidR="00356C8D" w:rsidRPr="0005228B">
        <w:rPr>
          <w:lang w:eastAsia="en-AU"/>
        </w:rPr>
        <w:t>’</w:t>
      </w:r>
      <w:r w:rsidR="00F26033">
        <w:rPr>
          <w:lang w:eastAsia="en-AU"/>
        </w:rPr>
        <w:t>s GP</w:t>
      </w:r>
      <w:r w:rsidR="0064321A">
        <w:rPr>
          <w:lang w:eastAsia="en-AU"/>
        </w:rPr>
        <w:t xml:space="preserve"> within 48 hours a</w:t>
      </w:r>
      <w:r w:rsidR="00AA59B5">
        <w:rPr>
          <w:lang w:eastAsia="en-AU"/>
        </w:rPr>
        <w:t xml:space="preserve">fter the </w:t>
      </w:r>
      <w:r w:rsidR="004C2D98">
        <w:rPr>
          <w:lang w:eastAsia="en-AU"/>
        </w:rPr>
        <w:t>transfer of care</w:t>
      </w:r>
      <w:r w:rsidR="004410AA">
        <w:rPr>
          <w:lang w:eastAsia="en-AU"/>
        </w:rPr>
        <w:t xml:space="preserve"> </w:t>
      </w:r>
      <w:r w:rsidR="00F26033">
        <w:rPr>
          <w:lang w:eastAsia="en-AU"/>
        </w:rPr>
        <w:t>(except for patient</w:t>
      </w:r>
      <w:r w:rsidR="004B7069">
        <w:rPr>
          <w:lang w:eastAsia="en-AU"/>
        </w:rPr>
        <w:t>s undergoing</w:t>
      </w:r>
      <w:r w:rsidR="004410AA" w:rsidRPr="004410AA">
        <w:rPr>
          <w:lang w:eastAsia="en-AU"/>
        </w:rPr>
        <w:t xml:space="preserve"> chemotherapy or dialysis where mult</w:t>
      </w:r>
      <w:r w:rsidR="004B7069">
        <w:rPr>
          <w:lang w:eastAsia="en-AU"/>
        </w:rPr>
        <w:t>iple treatments are required. I</w:t>
      </w:r>
      <w:r w:rsidR="004410AA" w:rsidRPr="004410AA">
        <w:rPr>
          <w:lang w:eastAsia="en-AU"/>
        </w:rPr>
        <w:t>n these circumstances, the summary should be sent to the GP after the patient’s final treatment).</w:t>
      </w:r>
      <w:r w:rsidR="00F43301">
        <w:rPr>
          <w:lang w:eastAsia="en-AU"/>
        </w:rPr>
        <w:t xml:space="preserve"> </w:t>
      </w:r>
    </w:p>
    <w:p w:rsidR="00356C8D" w:rsidRPr="00807F85" w:rsidRDefault="004410AA" w:rsidP="00807F85">
      <w:pPr>
        <w:pStyle w:val="Healthbody"/>
        <w:rPr>
          <w:lang w:eastAsia="en-AU"/>
        </w:rPr>
      </w:pPr>
      <w:r w:rsidRPr="00807F85">
        <w:rPr>
          <w:lang w:eastAsia="en-AU"/>
        </w:rPr>
        <w:t>The transfer of care summary should be given to the patient (or a family member and/or carer where appropriate) and sent to other relevant community providers.</w:t>
      </w:r>
    </w:p>
    <w:p w:rsidR="00356C8D" w:rsidRPr="00C71A60" w:rsidRDefault="00356C8D" w:rsidP="00A33D93">
      <w:pPr>
        <w:pStyle w:val="Healthbody"/>
        <w:rPr>
          <w:lang w:eastAsia="en-AU"/>
        </w:rPr>
      </w:pPr>
      <w:r w:rsidRPr="00C71A60">
        <w:rPr>
          <w:lang w:eastAsia="en-AU"/>
        </w:rPr>
        <w:t xml:space="preserve">The method of </w:t>
      </w:r>
      <w:r w:rsidR="00F6471B">
        <w:rPr>
          <w:lang w:eastAsia="en-AU"/>
        </w:rPr>
        <w:t xml:space="preserve">disseminating </w:t>
      </w:r>
      <w:r w:rsidR="00AA59B5">
        <w:rPr>
          <w:lang w:eastAsia="en-AU"/>
        </w:rPr>
        <w:t xml:space="preserve">the </w:t>
      </w:r>
      <w:r w:rsidR="004C2D98">
        <w:rPr>
          <w:lang w:eastAsia="en-AU"/>
        </w:rPr>
        <w:t>transfer of care</w:t>
      </w:r>
      <w:r w:rsidRPr="00C71A60">
        <w:rPr>
          <w:lang w:eastAsia="en-AU"/>
        </w:rPr>
        <w:t xml:space="preserve"> notification may vary depending on the urgency of the patient</w:t>
      </w:r>
      <w:r w:rsidRPr="0005228B">
        <w:rPr>
          <w:lang w:eastAsia="en-AU"/>
        </w:rPr>
        <w:t>’</w:t>
      </w:r>
      <w:r w:rsidRPr="00C71A60">
        <w:rPr>
          <w:lang w:eastAsia="en-AU"/>
        </w:rPr>
        <w:t xml:space="preserve">s needs and the ICT systems in place at the health service and the general practice. </w:t>
      </w:r>
    </w:p>
    <w:p w:rsidR="00356C8D" w:rsidRDefault="00356C8D" w:rsidP="00A33D93">
      <w:pPr>
        <w:pStyle w:val="Healthbody"/>
        <w:rPr>
          <w:lang w:eastAsia="en-AU"/>
        </w:rPr>
      </w:pPr>
      <w:r w:rsidRPr="00C71A60">
        <w:rPr>
          <w:lang w:eastAsia="en-AU"/>
        </w:rPr>
        <w:t xml:space="preserve">Electronic </w:t>
      </w:r>
      <w:r w:rsidR="004C2D98">
        <w:rPr>
          <w:lang w:eastAsia="en-AU"/>
        </w:rPr>
        <w:t>transfer of care</w:t>
      </w:r>
      <w:r w:rsidRPr="00C71A60">
        <w:rPr>
          <w:lang w:eastAsia="en-AU"/>
        </w:rPr>
        <w:t xml:space="preserve"> summaries will enable accessible and comprehensive information </w:t>
      </w:r>
      <w:r w:rsidR="00AA59B5">
        <w:rPr>
          <w:lang w:eastAsia="en-AU"/>
        </w:rPr>
        <w:t xml:space="preserve">to be exchanged quickly </w:t>
      </w:r>
      <w:r w:rsidRPr="00C71A60">
        <w:rPr>
          <w:lang w:eastAsia="en-AU"/>
        </w:rPr>
        <w:t xml:space="preserve">between hospitals and primary healthcare </w:t>
      </w:r>
      <w:r w:rsidR="00437062">
        <w:rPr>
          <w:lang w:eastAsia="en-AU"/>
        </w:rPr>
        <w:t>providers</w:t>
      </w:r>
      <w:r w:rsidRPr="00C71A60">
        <w:rPr>
          <w:lang w:eastAsia="en-AU"/>
        </w:rPr>
        <w:t>.</w:t>
      </w:r>
      <w:r w:rsidR="00190E79">
        <w:rPr>
          <w:lang w:eastAsia="en-AU"/>
        </w:rPr>
        <w:t xml:space="preserve"> </w:t>
      </w:r>
      <w:r w:rsidRPr="00C71A60">
        <w:rPr>
          <w:lang w:eastAsia="en-AU"/>
        </w:rPr>
        <w:t>The potential benefits of a consistent e-</w:t>
      </w:r>
      <w:r w:rsidR="004C2D98">
        <w:rPr>
          <w:lang w:eastAsia="en-AU"/>
        </w:rPr>
        <w:t>transfer of care</w:t>
      </w:r>
      <w:r w:rsidRPr="00C71A60">
        <w:rPr>
          <w:lang w:eastAsia="en-AU"/>
        </w:rPr>
        <w:t xml:space="preserve"> summary system include improved continuity, safety and quality of patient care (enabling better patient outcomes) and alignment of technologies and processes with</w:t>
      </w:r>
      <w:r w:rsidR="00AB6A7C">
        <w:rPr>
          <w:lang w:eastAsia="en-AU"/>
        </w:rPr>
        <w:t>in</w:t>
      </w:r>
      <w:r w:rsidRPr="00C71A60">
        <w:rPr>
          <w:lang w:eastAsia="en-AU"/>
        </w:rPr>
        <w:t xml:space="preserve"> an agreed standard.</w:t>
      </w:r>
      <w:r w:rsidR="00190E79">
        <w:rPr>
          <w:lang w:eastAsia="en-AU"/>
        </w:rPr>
        <w:t xml:space="preserve"> </w:t>
      </w:r>
      <w:r w:rsidRPr="00C71A60">
        <w:rPr>
          <w:lang w:eastAsia="en-AU"/>
        </w:rPr>
        <w:t>The National e-Health Transition Authority (</w:t>
      </w:r>
      <w:proofErr w:type="spellStart"/>
      <w:r w:rsidRPr="00C71A60">
        <w:rPr>
          <w:lang w:eastAsia="en-AU"/>
        </w:rPr>
        <w:t>NeHTA</w:t>
      </w:r>
      <w:proofErr w:type="spellEnd"/>
      <w:r w:rsidRPr="00C71A60">
        <w:rPr>
          <w:lang w:eastAsia="en-AU"/>
        </w:rPr>
        <w:t>)</w:t>
      </w:r>
      <w:r w:rsidR="005578F5">
        <w:rPr>
          <w:rStyle w:val="FootnoteReference"/>
          <w:lang w:eastAsia="en-AU"/>
        </w:rPr>
        <w:footnoteReference w:id="6"/>
      </w:r>
      <w:r w:rsidRPr="00C71A60">
        <w:rPr>
          <w:lang w:eastAsia="en-AU"/>
        </w:rPr>
        <w:t xml:space="preserve"> has developed a standard for the content and specifications of an e-</w:t>
      </w:r>
      <w:r w:rsidR="004C2D98">
        <w:rPr>
          <w:lang w:eastAsia="en-AU"/>
        </w:rPr>
        <w:t>transfer of care</w:t>
      </w:r>
      <w:r w:rsidRPr="00C71A60">
        <w:rPr>
          <w:lang w:eastAsia="en-AU"/>
        </w:rPr>
        <w:t xml:space="preserve"> summary.</w:t>
      </w:r>
    </w:p>
    <w:p w:rsidR="00356C8D" w:rsidRDefault="00356C8D" w:rsidP="00A33D93">
      <w:pPr>
        <w:pStyle w:val="Healthbody"/>
        <w:rPr>
          <w:lang w:eastAsia="en-AU"/>
        </w:rPr>
      </w:pPr>
      <w:r>
        <w:rPr>
          <w:rFonts w:cs="Arial"/>
          <w:lang w:eastAsia="en-AU"/>
        </w:rPr>
        <w:lastRenderedPageBreak/>
        <w:t xml:space="preserve">There must be a patient identification system in place that requires at least three approved patient identifiers whenever clinical handover, patient transfer or </w:t>
      </w:r>
      <w:r w:rsidR="004C2D98">
        <w:rPr>
          <w:rFonts w:cs="Arial"/>
          <w:lang w:eastAsia="en-AU"/>
        </w:rPr>
        <w:t>transfer of care</w:t>
      </w:r>
      <w:r>
        <w:rPr>
          <w:rFonts w:cs="Arial"/>
          <w:lang w:eastAsia="en-AU"/>
        </w:rPr>
        <w:t xml:space="preserve"> documentation is generated.</w:t>
      </w:r>
    </w:p>
    <w:p w:rsidR="004066D8" w:rsidRDefault="004066D8" w:rsidP="00316504">
      <w:pPr>
        <w:pStyle w:val="Healthbody"/>
        <w:rPr>
          <w:b/>
          <w:sz w:val="22"/>
          <w:szCs w:val="22"/>
        </w:rPr>
      </w:pPr>
    </w:p>
    <w:p w:rsidR="00356C8D" w:rsidRPr="00C71A60" w:rsidRDefault="00356C8D" w:rsidP="00316504">
      <w:pPr>
        <w:pStyle w:val="Healthbody"/>
        <w:rPr>
          <w:lang w:eastAsia="en-AU"/>
        </w:rPr>
      </w:pPr>
      <w:r>
        <w:rPr>
          <w:b/>
          <w:sz w:val="22"/>
          <w:szCs w:val="22"/>
        </w:rPr>
        <w:t xml:space="preserve">Contacting the patient after </w:t>
      </w:r>
      <w:r w:rsidR="00306C16">
        <w:rPr>
          <w:b/>
          <w:sz w:val="22"/>
          <w:szCs w:val="22"/>
        </w:rPr>
        <w:t>discharge</w:t>
      </w:r>
    </w:p>
    <w:p w:rsidR="00356C8D" w:rsidRPr="00F544E9" w:rsidRDefault="00356C8D" w:rsidP="00DD5AA2">
      <w:pPr>
        <w:pStyle w:val="Healthbody"/>
      </w:pPr>
      <w:r>
        <w:t xml:space="preserve">Ideally, a health service </w:t>
      </w:r>
      <w:r w:rsidR="00424AD6">
        <w:t>should</w:t>
      </w:r>
      <w:r>
        <w:t xml:space="preserve"> assess a patient’s risk of readmission as part of the initial </w:t>
      </w:r>
      <w:r w:rsidR="00306C16">
        <w:t>discharge</w:t>
      </w:r>
      <w:r>
        <w:t xml:space="preserve"> risk assessment, and again on </w:t>
      </w:r>
      <w:r w:rsidR="00306C16">
        <w:t>discharge</w:t>
      </w:r>
      <w:r>
        <w:t>.</w:t>
      </w:r>
      <w:r w:rsidR="00190E79">
        <w:t xml:space="preserve"> </w:t>
      </w:r>
      <w:r w:rsidRPr="00F544E9">
        <w:t xml:space="preserve">Patients who are assessed as being at higher risk of readmission should </w:t>
      </w:r>
      <w:r w:rsidR="00424AD6">
        <w:t>receive</w:t>
      </w:r>
      <w:r w:rsidRPr="00F544E9">
        <w:t xml:space="preserve"> follow-up by telephone (and/or through contact with their GP</w:t>
      </w:r>
      <w:r w:rsidRPr="00C71A60">
        <w:t>, family</w:t>
      </w:r>
      <w:r w:rsidR="00424AD6">
        <w:t>,</w:t>
      </w:r>
      <w:r w:rsidRPr="00C71A60">
        <w:t xml:space="preserve"> </w:t>
      </w:r>
      <w:r w:rsidR="00424AD6">
        <w:t xml:space="preserve">carer </w:t>
      </w:r>
      <w:r w:rsidRPr="00C71A60">
        <w:t>or community provider) within 48 hours to ensure the best health outcomes for the patient and to avoid unnecessary re-presentation to a health service.</w:t>
      </w:r>
      <w:r w:rsidR="00F43301">
        <w:t xml:space="preserve"> </w:t>
      </w:r>
    </w:p>
    <w:p w:rsidR="00356C8D" w:rsidRPr="00F544E9" w:rsidRDefault="00356C8D" w:rsidP="00DD5AA2">
      <w:pPr>
        <w:pStyle w:val="Healthbody"/>
      </w:pPr>
      <w:r>
        <w:t>Speaking to the patient, their family and/or carer</w:t>
      </w:r>
      <w:r w:rsidRPr="00C71A60">
        <w:t xml:space="preserve"> provides the opportunity to:</w:t>
      </w:r>
    </w:p>
    <w:p w:rsidR="00356C8D" w:rsidRPr="00F544E9" w:rsidRDefault="00356C8D" w:rsidP="00301267">
      <w:pPr>
        <w:pStyle w:val="Healthbody"/>
        <w:numPr>
          <w:ilvl w:val="0"/>
          <w:numId w:val="11"/>
        </w:numPr>
      </w:pPr>
      <w:r w:rsidRPr="00C71A60">
        <w:t xml:space="preserve">evaluate the effectiveness of the </w:t>
      </w:r>
      <w:r w:rsidR="004C2D98">
        <w:t>transfer of care</w:t>
      </w:r>
      <w:r w:rsidRPr="00C71A60">
        <w:t xml:space="preserve"> process within the health service</w:t>
      </w:r>
    </w:p>
    <w:p w:rsidR="00356C8D" w:rsidRPr="00F544E9" w:rsidRDefault="00356C8D" w:rsidP="00301267">
      <w:pPr>
        <w:pStyle w:val="Healthbody"/>
        <w:numPr>
          <w:ilvl w:val="0"/>
          <w:numId w:val="11"/>
        </w:numPr>
      </w:pPr>
      <w:r w:rsidRPr="00C71A60">
        <w:t>evaluate the overall effectiveness of the hospital intervention</w:t>
      </w:r>
    </w:p>
    <w:p w:rsidR="00356C8D" w:rsidRPr="00F544E9" w:rsidRDefault="00356C8D" w:rsidP="00301267">
      <w:pPr>
        <w:pStyle w:val="Healthbody"/>
        <w:numPr>
          <w:ilvl w:val="0"/>
          <w:numId w:val="11"/>
        </w:numPr>
      </w:pPr>
      <w:r w:rsidRPr="00C71A60">
        <w:t>find out if the patient</w:t>
      </w:r>
      <w:r w:rsidRPr="0005228B">
        <w:t>’</w:t>
      </w:r>
      <w:r w:rsidRPr="00C71A60">
        <w:t xml:space="preserve">s needs (identified in the </w:t>
      </w:r>
      <w:r w:rsidR="004C2D98">
        <w:t>transfer of care</w:t>
      </w:r>
      <w:r w:rsidRPr="00C71A60">
        <w:t xml:space="preserve"> plan) have been addressed</w:t>
      </w:r>
    </w:p>
    <w:p w:rsidR="00356C8D" w:rsidRPr="00F544E9" w:rsidRDefault="00356C8D" w:rsidP="00301267">
      <w:pPr>
        <w:pStyle w:val="Healthbody"/>
        <w:numPr>
          <w:ilvl w:val="0"/>
          <w:numId w:val="11"/>
        </w:numPr>
      </w:pPr>
      <w:r w:rsidRPr="00C71A60">
        <w:t>reinforce the information given to the patient during their admission</w:t>
      </w:r>
    </w:p>
    <w:p w:rsidR="00356C8D" w:rsidRPr="00F544E9" w:rsidRDefault="00356C8D" w:rsidP="00301267">
      <w:pPr>
        <w:pStyle w:val="Healthbody"/>
        <w:numPr>
          <w:ilvl w:val="0"/>
          <w:numId w:val="11"/>
        </w:numPr>
      </w:pPr>
      <w:r w:rsidRPr="00C71A60">
        <w:t>provide reassurance to the patient, the patient</w:t>
      </w:r>
      <w:r w:rsidRPr="0005228B">
        <w:t>’</w:t>
      </w:r>
      <w:r w:rsidRPr="00C71A60">
        <w:t>s family and/or carer</w:t>
      </w:r>
    </w:p>
    <w:p w:rsidR="00D52ED7" w:rsidRDefault="00356C8D" w:rsidP="00301267">
      <w:pPr>
        <w:pStyle w:val="Healthbody"/>
        <w:numPr>
          <w:ilvl w:val="0"/>
          <w:numId w:val="11"/>
        </w:numPr>
      </w:pPr>
      <w:r w:rsidRPr="00C71A60">
        <w:t>ensure continuity of care for the patient</w:t>
      </w:r>
    </w:p>
    <w:p w:rsidR="00356C8D" w:rsidRDefault="00D52ED7" w:rsidP="00301267">
      <w:pPr>
        <w:pStyle w:val="Healthbody"/>
        <w:numPr>
          <w:ilvl w:val="0"/>
          <w:numId w:val="11"/>
        </w:numPr>
      </w:pPr>
      <w:r>
        <w:t>address any issues or areas of concern.</w:t>
      </w:r>
    </w:p>
    <w:p w:rsidR="00E1477A" w:rsidRDefault="00E1477A" w:rsidP="00E1477A">
      <w:pPr>
        <w:pStyle w:val="Healthbody"/>
        <w:ind w:left="360"/>
      </w:pPr>
    </w:p>
    <w:p w:rsidR="00356C8D" w:rsidRDefault="00615ABE" w:rsidP="00DC4669">
      <w:pPr>
        <w:pStyle w:val="Healthheading1"/>
      </w:pPr>
      <w:r>
        <w:br w:type="page"/>
      </w:r>
      <w:r w:rsidR="00356C8D">
        <w:lastRenderedPageBreak/>
        <w:t xml:space="preserve">Performance measures for </w:t>
      </w:r>
      <w:r w:rsidR="004C2D98">
        <w:t>transfer of care</w:t>
      </w:r>
    </w:p>
    <w:p w:rsidR="00615ABE" w:rsidRDefault="00615ABE" w:rsidP="0060631D">
      <w:pPr>
        <w:pStyle w:val="Healthbody"/>
        <w:rPr>
          <w:lang w:eastAsia="en-AU"/>
        </w:rPr>
      </w:pPr>
    </w:p>
    <w:p w:rsidR="00E031AA" w:rsidRDefault="00356C8D" w:rsidP="0060631D">
      <w:pPr>
        <w:pStyle w:val="Healthbody"/>
        <w:rPr>
          <w:lang w:eastAsia="en-AU"/>
        </w:rPr>
      </w:pPr>
      <w:r w:rsidRPr="00F10C74">
        <w:rPr>
          <w:lang w:eastAsia="en-AU"/>
        </w:rPr>
        <w:t xml:space="preserve">Health services are encouraged to monitor their </w:t>
      </w:r>
      <w:r w:rsidR="00306C16">
        <w:rPr>
          <w:lang w:eastAsia="en-AU"/>
        </w:rPr>
        <w:t xml:space="preserve">discharge and </w:t>
      </w:r>
      <w:r w:rsidR="004C2D98">
        <w:rPr>
          <w:lang w:eastAsia="en-AU"/>
        </w:rPr>
        <w:t>transfer of care</w:t>
      </w:r>
      <w:r w:rsidRPr="00F10C74">
        <w:rPr>
          <w:lang w:eastAsia="en-AU"/>
        </w:rPr>
        <w:t xml:space="preserve"> performance through collecti</w:t>
      </w:r>
      <w:r w:rsidR="008F0D4A">
        <w:rPr>
          <w:lang w:eastAsia="en-AU"/>
        </w:rPr>
        <w:t>ng</w:t>
      </w:r>
      <w:r w:rsidRPr="00F10C74">
        <w:rPr>
          <w:lang w:eastAsia="en-AU"/>
        </w:rPr>
        <w:t xml:space="preserve"> and analysi</w:t>
      </w:r>
      <w:r w:rsidR="008F0D4A">
        <w:rPr>
          <w:lang w:eastAsia="en-AU"/>
        </w:rPr>
        <w:t>ng</w:t>
      </w:r>
      <w:r w:rsidRPr="00F10C74">
        <w:rPr>
          <w:lang w:eastAsia="en-AU"/>
        </w:rPr>
        <w:t xml:space="preserve"> data against a range of internal performance indicators</w:t>
      </w:r>
      <w:r w:rsidR="00E031AA">
        <w:rPr>
          <w:lang w:eastAsia="en-AU"/>
        </w:rPr>
        <w:t>.</w:t>
      </w:r>
    </w:p>
    <w:p w:rsidR="00356C8D" w:rsidRPr="00F10C74" w:rsidRDefault="00356C8D" w:rsidP="0060631D">
      <w:pPr>
        <w:pStyle w:val="Healthbody"/>
        <w:rPr>
          <w:lang w:eastAsia="en-AU"/>
        </w:rPr>
      </w:pPr>
      <w:r w:rsidRPr="00F10C74">
        <w:rPr>
          <w:lang w:eastAsia="en-AU"/>
        </w:rPr>
        <w:t>Data can be used to identify opportunities for service improvement, and</w:t>
      </w:r>
      <w:r>
        <w:rPr>
          <w:lang w:eastAsia="en-AU"/>
        </w:rPr>
        <w:t xml:space="preserve"> to</w:t>
      </w:r>
      <w:r w:rsidRPr="00F10C74">
        <w:rPr>
          <w:lang w:eastAsia="en-AU"/>
        </w:rPr>
        <w:t xml:space="preserve"> set a baseline against which change can be measured.</w:t>
      </w:r>
      <w:r w:rsidR="00190E79">
        <w:rPr>
          <w:lang w:eastAsia="en-AU"/>
        </w:rPr>
        <w:t xml:space="preserve"> </w:t>
      </w:r>
      <w:r w:rsidRPr="00F10C74">
        <w:rPr>
          <w:lang w:eastAsia="en-AU"/>
        </w:rPr>
        <w:t xml:space="preserve">The </w:t>
      </w:r>
      <w:r>
        <w:rPr>
          <w:lang w:eastAsia="en-AU"/>
        </w:rPr>
        <w:t xml:space="preserve">impact of redesign and other </w:t>
      </w:r>
      <w:r w:rsidRPr="00F10C74">
        <w:rPr>
          <w:lang w:eastAsia="en-AU"/>
        </w:rPr>
        <w:t>improvement work can be measured incrementally and on completion of a project to demonstrate its results.</w:t>
      </w:r>
    </w:p>
    <w:p w:rsidR="00784363" w:rsidRDefault="00356C8D" w:rsidP="00B822D8">
      <w:pPr>
        <w:pStyle w:val="Healthbody"/>
        <w:spacing w:after="0" w:line="240" w:lineRule="auto"/>
        <w:rPr>
          <w:lang w:eastAsia="en-AU"/>
        </w:rPr>
      </w:pPr>
      <w:r w:rsidRPr="00F10C74">
        <w:rPr>
          <w:lang w:eastAsia="en-AU"/>
        </w:rPr>
        <w:t>There are a number of viewpoints from which to assess healthcare services.</w:t>
      </w:r>
      <w:r w:rsidR="00190E79">
        <w:rPr>
          <w:lang w:eastAsia="en-AU"/>
        </w:rPr>
        <w:t xml:space="preserve"> </w:t>
      </w:r>
      <w:r w:rsidR="00E031AA">
        <w:rPr>
          <w:lang w:eastAsia="en-AU"/>
        </w:rPr>
        <w:t>It is</w:t>
      </w:r>
      <w:r w:rsidRPr="00F10C74">
        <w:rPr>
          <w:lang w:eastAsia="en-AU"/>
        </w:rPr>
        <w:t xml:space="preserve"> important to obtain information </w:t>
      </w:r>
      <w:r w:rsidR="00E031AA">
        <w:rPr>
          <w:lang w:eastAsia="en-AU"/>
        </w:rPr>
        <w:t xml:space="preserve">from </w:t>
      </w:r>
      <w:r w:rsidRPr="00F10C74">
        <w:rPr>
          <w:lang w:eastAsia="en-AU"/>
        </w:rPr>
        <w:t>patient</w:t>
      </w:r>
      <w:r w:rsidR="00E031AA">
        <w:rPr>
          <w:lang w:eastAsia="en-AU"/>
        </w:rPr>
        <w:t>s</w:t>
      </w:r>
      <w:r w:rsidR="00716394">
        <w:rPr>
          <w:lang w:eastAsia="en-AU"/>
        </w:rPr>
        <w:t xml:space="preserve"> and </w:t>
      </w:r>
      <w:r w:rsidRPr="00F10C74">
        <w:rPr>
          <w:lang w:eastAsia="en-AU"/>
        </w:rPr>
        <w:t xml:space="preserve">staff to ensure multiple goals are met. </w:t>
      </w:r>
    </w:p>
    <w:p w:rsidR="00615ABE" w:rsidRPr="00B822D8" w:rsidRDefault="00615ABE" w:rsidP="00B822D8">
      <w:pPr>
        <w:pStyle w:val="Healthheading2"/>
        <w:spacing w:before="0" w:after="0" w:line="240" w:lineRule="auto"/>
        <w:rPr>
          <w:sz w:val="16"/>
          <w:szCs w:val="16"/>
        </w:rPr>
      </w:pPr>
    </w:p>
    <w:p w:rsidR="00B822D8" w:rsidRDefault="00B822D8" w:rsidP="00B822D8">
      <w:pPr>
        <w:pStyle w:val="Healthheading2"/>
        <w:spacing w:before="0" w:after="0" w:line="240" w:lineRule="auto"/>
      </w:pPr>
    </w:p>
    <w:p w:rsidR="00A370B9" w:rsidRDefault="00451DFF" w:rsidP="00B822D8">
      <w:pPr>
        <w:pStyle w:val="Healthheading2"/>
        <w:spacing w:before="0" w:after="120" w:line="240" w:lineRule="auto"/>
      </w:pPr>
      <w:r>
        <w:t>Key requirement</w:t>
      </w:r>
    </w:p>
    <w:p w:rsidR="00A370B9" w:rsidRPr="00A370B9" w:rsidRDefault="00A370B9" w:rsidP="00B822D8">
      <w:pPr>
        <w:pStyle w:val="Healthbody"/>
        <w:numPr>
          <w:ilvl w:val="0"/>
          <w:numId w:val="22"/>
        </w:numPr>
        <w:spacing w:line="240" w:lineRule="auto"/>
      </w:pPr>
      <w:r>
        <w:t xml:space="preserve">Health services actively measure transfer of care performance across the health service and at the ward/speciality level. </w:t>
      </w:r>
    </w:p>
    <w:p w:rsidR="00B822D8" w:rsidRDefault="00B822D8" w:rsidP="00B822D8">
      <w:pPr>
        <w:pStyle w:val="Healthheading2"/>
        <w:spacing w:before="0" w:after="0" w:line="240" w:lineRule="auto"/>
      </w:pPr>
    </w:p>
    <w:p w:rsidR="00356C8D" w:rsidRDefault="00356C8D" w:rsidP="00316504">
      <w:pPr>
        <w:pStyle w:val="Healthheading2"/>
        <w:spacing w:before="0" w:after="120" w:line="240" w:lineRule="auto"/>
      </w:pPr>
      <w:r>
        <w:t>Implementation guid</w:t>
      </w:r>
      <w:r w:rsidR="000B58C1">
        <w:t>e</w:t>
      </w:r>
      <w:r w:rsidR="00324027">
        <w:t>lines</w:t>
      </w:r>
    </w:p>
    <w:p w:rsidR="00356C8D" w:rsidRDefault="004066D8" w:rsidP="004D3899">
      <w:pPr>
        <w:pStyle w:val="Healthbody"/>
        <w:rPr>
          <w:lang w:eastAsia="en-AU"/>
        </w:rPr>
      </w:pPr>
      <w:r>
        <w:rPr>
          <w:lang w:eastAsia="en-AU"/>
        </w:rPr>
        <w:t>Health services are encouraged to monitor services, especially at critical points of the patient journey such as transfer of care. To assist health services a</w:t>
      </w:r>
      <w:r w:rsidR="00324027">
        <w:rPr>
          <w:lang w:eastAsia="en-AU"/>
        </w:rPr>
        <w:t xml:space="preserve"> range of different measures are</w:t>
      </w:r>
      <w:r w:rsidR="0065313E" w:rsidRPr="0065313E">
        <w:rPr>
          <w:lang w:eastAsia="en-AU"/>
        </w:rPr>
        <w:t xml:space="preserve"> proposed below for consideration.</w:t>
      </w:r>
      <w:r w:rsidR="00190E79">
        <w:rPr>
          <w:lang w:eastAsia="en-AU"/>
        </w:rPr>
        <w:t xml:space="preserve"> </w:t>
      </w:r>
      <w:r w:rsidR="005578F5">
        <w:rPr>
          <w:lang w:eastAsia="en-AU"/>
        </w:rPr>
        <w:t xml:space="preserve">These measures are not required to be reported </w:t>
      </w:r>
      <w:r w:rsidR="00356C8D">
        <w:rPr>
          <w:lang w:eastAsia="en-AU"/>
        </w:rPr>
        <w:t xml:space="preserve">to the </w:t>
      </w:r>
      <w:r w:rsidR="00424AD6">
        <w:rPr>
          <w:lang w:eastAsia="en-AU"/>
        </w:rPr>
        <w:t>d</w:t>
      </w:r>
      <w:r w:rsidR="00356C8D">
        <w:rPr>
          <w:lang w:eastAsia="en-AU"/>
        </w:rPr>
        <w:t>epartment</w:t>
      </w:r>
      <w:r w:rsidR="005578F5">
        <w:rPr>
          <w:lang w:eastAsia="en-AU"/>
        </w:rPr>
        <w:t xml:space="preserve"> at this stage</w:t>
      </w:r>
      <w:r w:rsidR="00356C8D">
        <w:rPr>
          <w:lang w:eastAsia="en-AU"/>
        </w:rPr>
        <w:t>.</w:t>
      </w:r>
      <w:r w:rsidR="00190E79">
        <w:rPr>
          <w:lang w:eastAsia="en-AU"/>
        </w:rPr>
        <w:t xml:space="preserve"> </w:t>
      </w:r>
    </w:p>
    <w:p w:rsidR="00324027" w:rsidRDefault="0065313E">
      <w:pPr>
        <w:pStyle w:val="Healthbody"/>
        <w:rPr>
          <w:lang w:eastAsia="en-AU"/>
        </w:rPr>
      </w:pPr>
      <w:r w:rsidRPr="0065313E">
        <w:rPr>
          <w:lang w:eastAsia="en-AU"/>
        </w:rPr>
        <w:t>The measures can be gr</w:t>
      </w:r>
      <w:r w:rsidR="00356C8D">
        <w:rPr>
          <w:lang w:eastAsia="en-AU"/>
        </w:rPr>
        <w:t>ouped into four main categories: key performance indicators; demand, backlog measures; process measures</w:t>
      </w:r>
      <w:r w:rsidR="008F0D4A">
        <w:rPr>
          <w:lang w:eastAsia="en-AU"/>
        </w:rPr>
        <w:t>;</w:t>
      </w:r>
      <w:r w:rsidR="00356C8D">
        <w:rPr>
          <w:lang w:eastAsia="en-AU"/>
        </w:rPr>
        <w:t xml:space="preserve"> and check measures.</w:t>
      </w:r>
      <w:r w:rsidR="00190E79">
        <w:rPr>
          <w:lang w:eastAsia="en-AU"/>
        </w:rPr>
        <w:t xml:space="preserve"> </w:t>
      </w:r>
      <w:r w:rsidR="005578F5">
        <w:rPr>
          <w:lang w:eastAsia="en-AU"/>
        </w:rPr>
        <w:t>‘</w:t>
      </w:r>
      <w:r w:rsidR="00356C8D">
        <w:rPr>
          <w:lang w:eastAsia="en-AU"/>
        </w:rPr>
        <w:t>Check measures</w:t>
      </w:r>
      <w:r w:rsidR="005578F5">
        <w:rPr>
          <w:lang w:eastAsia="en-AU"/>
        </w:rPr>
        <w:t>’</w:t>
      </w:r>
      <w:r w:rsidR="00356C8D">
        <w:rPr>
          <w:lang w:eastAsia="en-AU"/>
        </w:rPr>
        <w:t xml:space="preserve"> examine patient and staff experiences and the effects of change elsewhere in the patient journey or in other parts of the hospital/health system.</w:t>
      </w:r>
      <w:r w:rsidR="00190E79">
        <w:rPr>
          <w:lang w:eastAsia="en-AU"/>
        </w:rPr>
        <w:t xml:space="preserve"> </w:t>
      </w:r>
      <w:r w:rsidRPr="0065313E">
        <w:rPr>
          <w:lang w:eastAsia="en-AU"/>
        </w:rPr>
        <w:t xml:space="preserve">These categories are not mutually exclusive; in some cases the same measure could be used for more than one category. </w:t>
      </w:r>
    </w:p>
    <w:p w:rsidR="00784363" w:rsidRDefault="0065313E">
      <w:pPr>
        <w:pStyle w:val="Healthbody"/>
        <w:rPr>
          <w:lang w:eastAsia="en-AU"/>
        </w:rPr>
      </w:pPr>
      <w:r w:rsidRPr="0065313E">
        <w:rPr>
          <w:lang w:eastAsia="en-AU"/>
        </w:rPr>
        <w:t>It is not expected that all measures be implemented by individual health services.</w:t>
      </w:r>
      <w:r w:rsidR="00190E79">
        <w:rPr>
          <w:lang w:eastAsia="en-AU"/>
        </w:rPr>
        <w:t xml:space="preserve"> </w:t>
      </w:r>
      <w:r w:rsidRPr="0065313E">
        <w:rPr>
          <w:lang w:eastAsia="en-AU"/>
        </w:rPr>
        <w:t xml:space="preserve">The choice of measures will depend on the focus of the redesign or improvement work, and on the overall aims and priorities of the service. </w:t>
      </w:r>
    </w:p>
    <w:p w:rsidR="00356C8D" w:rsidRDefault="00356C8D" w:rsidP="00CF13FC">
      <w:pPr>
        <w:pStyle w:val="Healthbody"/>
        <w:rPr>
          <w:lang w:eastAsia="en-AU"/>
        </w:rPr>
      </w:pPr>
      <w:r>
        <w:rPr>
          <w:lang w:eastAsia="en-AU"/>
        </w:rPr>
        <w:t>The feasibility of the measures may depend on the availability of reliable data and/or the capacity of the health service or ward to collect the data.</w:t>
      </w:r>
      <w:r w:rsidR="00190E79">
        <w:rPr>
          <w:lang w:eastAsia="en-AU"/>
        </w:rPr>
        <w:t xml:space="preserve"> </w:t>
      </w:r>
      <w:r>
        <w:rPr>
          <w:lang w:eastAsia="en-AU"/>
        </w:rPr>
        <w:t xml:space="preserve">Variations </w:t>
      </w:r>
      <w:r w:rsidR="00424AD6">
        <w:rPr>
          <w:lang w:eastAsia="en-AU"/>
        </w:rPr>
        <w:t xml:space="preserve">between health services </w:t>
      </w:r>
      <w:r>
        <w:rPr>
          <w:lang w:eastAsia="en-AU"/>
        </w:rPr>
        <w:t xml:space="preserve">in resource allocation, operational policies and procedures will result in significant differences in the </w:t>
      </w:r>
      <w:r w:rsidR="00424AD6">
        <w:rPr>
          <w:lang w:eastAsia="en-AU"/>
        </w:rPr>
        <w:t>appropriateness</w:t>
      </w:r>
      <w:r>
        <w:rPr>
          <w:lang w:eastAsia="en-AU"/>
        </w:rPr>
        <w:t xml:space="preserve"> of some of the suggested measures, and in the results should these measures be chosen.</w:t>
      </w:r>
    </w:p>
    <w:p w:rsidR="00615ABE" w:rsidRDefault="00615ABE" w:rsidP="00CF13FC">
      <w:pPr>
        <w:pStyle w:val="Healthbody"/>
        <w:rPr>
          <w:lang w:eastAsia="en-AU"/>
        </w:rPr>
      </w:pPr>
    </w:p>
    <w:p w:rsidR="00356C8D" w:rsidRDefault="00356C8D" w:rsidP="00301267">
      <w:pPr>
        <w:pStyle w:val="Healthbody"/>
        <w:numPr>
          <w:ilvl w:val="0"/>
          <w:numId w:val="19"/>
        </w:numPr>
        <w:rPr>
          <w:b/>
          <w:lang w:eastAsia="en-AU"/>
        </w:rPr>
      </w:pPr>
      <w:r w:rsidRPr="006B07E4">
        <w:rPr>
          <w:b/>
          <w:lang w:eastAsia="en-AU"/>
        </w:rPr>
        <w:t>Key performance indicators</w:t>
      </w:r>
    </w:p>
    <w:p w:rsidR="00356C8D" w:rsidRDefault="00356C8D" w:rsidP="00301267">
      <w:pPr>
        <w:pStyle w:val="Healthbody"/>
        <w:numPr>
          <w:ilvl w:val="1"/>
          <w:numId w:val="19"/>
        </w:numPr>
        <w:rPr>
          <w:b/>
          <w:lang w:eastAsia="en-AU"/>
        </w:rPr>
      </w:pPr>
      <w:r>
        <w:rPr>
          <w:b/>
          <w:lang w:eastAsia="en-AU"/>
        </w:rPr>
        <w:t>Efficiency and patient flow</w:t>
      </w:r>
    </w:p>
    <w:p w:rsidR="000F29A6" w:rsidRDefault="00356C8D" w:rsidP="00301267">
      <w:pPr>
        <w:pStyle w:val="Healthbody"/>
        <w:numPr>
          <w:ilvl w:val="0"/>
          <w:numId w:val="23"/>
        </w:numPr>
      </w:pPr>
      <w:r>
        <w:t xml:space="preserve">Percentage of patients with a completed </w:t>
      </w:r>
      <w:r w:rsidR="000F29A6">
        <w:t>discharge</w:t>
      </w:r>
      <w:r>
        <w:t xml:space="preserve"> risk assessment within 24 hours of admission</w:t>
      </w:r>
      <w:r w:rsidR="00213831">
        <w:t xml:space="preserve"> </w:t>
      </w:r>
    </w:p>
    <w:p w:rsidR="00EB38E3" w:rsidRDefault="00EB38E3" w:rsidP="00301267">
      <w:pPr>
        <w:pStyle w:val="Healthbody"/>
        <w:numPr>
          <w:ilvl w:val="0"/>
          <w:numId w:val="23"/>
        </w:numPr>
      </w:pPr>
      <w:r>
        <w:t>Number of transfers of care within an episode</w:t>
      </w:r>
    </w:p>
    <w:p w:rsidR="00356C8D" w:rsidRDefault="00356C8D" w:rsidP="00301267">
      <w:pPr>
        <w:pStyle w:val="Healthbody"/>
        <w:numPr>
          <w:ilvl w:val="0"/>
          <w:numId w:val="23"/>
        </w:numPr>
      </w:pPr>
      <w:r>
        <w:t xml:space="preserve">Timeframe between admission (or the intention to admit) and </w:t>
      </w:r>
      <w:r w:rsidR="008F0D4A">
        <w:t xml:space="preserve">preparing </w:t>
      </w:r>
      <w:r>
        <w:t xml:space="preserve">the </w:t>
      </w:r>
      <w:r w:rsidR="004C2D98">
        <w:t>transfer of care</w:t>
      </w:r>
      <w:r>
        <w:t xml:space="preserve"> plan (prediction of a </w:t>
      </w:r>
      <w:r w:rsidR="004C2D98">
        <w:t>transfer of care</w:t>
      </w:r>
      <w:r>
        <w:t xml:space="preserve"> date</w:t>
      </w:r>
      <w:r w:rsidR="00CD6B38">
        <w:t xml:space="preserve"> and</w:t>
      </w:r>
      <w:r>
        <w:t xml:space="preserve"> destination)</w:t>
      </w:r>
    </w:p>
    <w:p w:rsidR="00356C8D" w:rsidRDefault="00356C8D" w:rsidP="00301267">
      <w:pPr>
        <w:pStyle w:val="Healthbody"/>
        <w:numPr>
          <w:ilvl w:val="0"/>
          <w:numId w:val="23"/>
        </w:numPr>
      </w:pPr>
      <w:r>
        <w:t xml:space="preserve">Proportion of patients assessed for transfer of care to subacute services within a </w:t>
      </w:r>
      <w:r w:rsidR="00424AD6">
        <w:t>clinically appropriate timeframe</w:t>
      </w:r>
    </w:p>
    <w:p w:rsidR="00356C8D" w:rsidRDefault="00356C8D" w:rsidP="00301267">
      <w:pPr>
        <w:pStyle w:val="Healthbody"/>
        <w:numPr>
          <w:ilvl w:val="0"/>
          <w:numId w:val="23"/>
        </w:numPr>
      </w:pPr>
      <w:r>
        <w:t>Proportion of patients assessed by ACAS within a clinically appropriate timeframe</w:t>
      </w:r>
    </w:p>
    <w:p w:rsidR="00356C8D" w:rsidRDefault="00356C8D" w:rsidP="00301267">
      <w:pPr>
        <w:pStyle w:val="Healthbody"/>
        <w:numPr>
          <w:ilvl w:val="0"/>
          <w:numId w:val="23"/>
        </w:numPr>
      </w:pPr>
      <w:r>
        <w:t>Timeliness of notification of community providers (appropriate number of days may vary depending on the service requested)</w:t>
      </w:r>
    </w:p>
    <w:p w:rsidR="00356C8D" w:rsidRDefault="00356C8D" w:rsidP="00301267">
      <w:pPr>
        <w:pStyle w:val="Healthbody"/>
        <w:numPr>
          <w:ilvl w:val="0"/>
          <w:numId w:val="23"/>
        </w:numPr>
      </w:pPr>
      <w:r>
        <w:lastRenderedPageBreak/>
        <w:t xml:space="preserve">Percentage of patients given specialist clinic review appointment details prior to </w:t>
      </w:r>
      <w:r w:rsidR="004C2D98">
        <w:t>transfer of care</w:t>
      </w:r>
    </w:p>
    <w:p w:rsidR="00356C8D" w:rsidRDefault="00356C8D" w:rsidP="00301267">
      <w:pPr>
        <w:pStyle w:val="Healthbody"/>
        <w:numPr>
          <w:ilvl w:val="0"/>
          <w:numId w:val="23"/>
        </w:numPr>
      </w:pPr>
      <w:r>
        <w:t xml:space="preserve">Percentage of </w:t>
      </w:r>
      <w:r w:rsidR="004C2D98">
        <w:t>transfer of care</w:t>
      </w:r>
      <w:r w:rsidR="00F26033">
        <w:t xml:space="preserve"> summaries dispatched within 24</w:t>
      </w:r>
      <w:r w:rsidR="00FA6A8D">
        <w:t>–</w:t>
      </w:r>
      <w:r>
        <w:t>48 hours</w:t>
      </w:r>
    </w:p>
    <w:p w:rsidR="00356C8D" w:rsidRDefault="00356C8D" w:rsidP="00301267">
      <w:pPr>
        <w:pStyle w:val="Healthbody"/>
        <w:numPr>
          <w:ilvl w:val="0"/>
          <w:numId w:val="23"/>
        </w:numPr>
      </w:pPr>
      <w:r>
        <w:t xml:space="preserve">Proportion of patients </w:t>
      </w:r>
      <w:r w:rsidR="00F26033">
        <w:t xml:space="preserve">receiving follow </w:t>
      </w:r>
      <w:r>
        <w:t xml:space="preserve">up within 48 hours of </w:t>
      </w:r>
      <w:r w:rsidR="004C2D98">
        <w:t>transfer of care</w:t>
      </w:r>
      <w:r>
        <w:t>, where appropriate</w:t>
      </w:r>
    </w:p>
    <w:p w:rsidR="00051592" w:rsidRPr="006B07E4" w:rsidRDefault="00051592" w:rsidP="00051592">
      <w:pPr>
        <w:pStyle w:val="Healthbody"/>
        <w:ind w:left="1080"/>
      </w:pPr>
    </w:p>
    <w:p w:rsidR="00356C8D" w:rsidRDefault="00356C8D" w:rsidP="00301267">
      <w:pPr>
        <w:pStyle w:val="Healthbody"/>
        <w:numPr>
          <w:ilvl w:val="1"/>
          <w:numId w:val="19"/>
        </w:numPr>
        <w:rPr>
          <w:b/>
          <w:lang w:eastAsia="en-AU"/>
        </w:rPr>
      </w:pPr>
      <w:r>
        <w:rPr>
          <w:b/>
          <w:lang w:eastAsia="en-AU"/>
        </w:rPr>
        <w:t>Clinical outcomes and effectiveness</w:t>
      </w:r>
    </w:p>
    <w:p w:rsidR="00356C8D" w:rsidRDefault="00356C8D" w:rsidP="00301267">
      <w:pPr>
        <w:pStyle w:val="Healthbody"/>
        <w:numPr>
          <w:ilvl w:val="0"/>
          <w:numId w:val="24"/>
        </w:numPr>
      </w:pPr>
      <w:r>
        <w:t>Rates of preventable re-presentation or hospital readmission</w:t>
      </w:r>
    </w:p>
    <w:p w:rsidR="00356C8D" w:rsidRDefault="00356C8D" w:rsidP="00301267">
      <w:pPr>
        <w:pStyle w:val="Healthbody"/>
        <w:numPr>
          <w:ilvl w:val="0"/>
          <w:numId w:val="24"/>
        </w:numPr>
      </w:pPr>
      <w:r>
        <w:t>Reasons for preventable re-presentation or hospital readmission</w:t>
      </w:r>
    </w:p>
    <w:p w:rsidR="00356C8D" w:rsidRDefault="00356C8D" w:rsidP="00301267">
      <w:pPr>
        <w:pStyle w:val="Healthbody"/>
        <w:numPr>
          <w:ilvl w:val="0"/>
          <w:numId w:val="24"/>
        </w:numPr>
      </w:pPr>
      <w:r>
        <w:t xml:space="preserve">Proportion of patients </w:t>
      </w:r>
      <w:r w:rsidR="00BD190D">
        <w:t xml:space="preserve">for </w:t>
      </w:r>
      <w:r>
        <w:t xml:space="preserve">whom a </w:t>
      </w:r>
      <w:r w:rsidR="004C2D98">
        <w:t>transfer of care</w:t>
      </w:r>
      <w:r>
        <w:t xml:space="preserve"> summary is completed and dispatched</w:t>
      </w:r>
    </w:p>
    <w:p w:rsidR="00356C8D" w:rsidRDefault="00356C8D" w:rsidP="00301267">
      <w:pPr>
        <w:pStyle w:val="Healthbody"/>
        <w:numPr>
          <w:ilvl w:val="0"/>
          <w:numId w:val="24"/>
        </w:numPr>
      </w:pPr>
      <w:r>
        <w:t xml:space="preserve">Proportion of patients at higher risk of readmission who are followed up within 48 hours of </w:t>
      </w:r>
      <w:r w:rsidR="004C2D98">
        <w:t>transfer of care</w:t>
      </w:r>
    </w:p>
    <w:p w:rsidR="00356C8D" w:rsidRDefault="00356C8D" w:rsidP="00301267">
      <w:pPr>
        <w:pStyle w:val="Healthbody"/>
        <w:numPr>
          <w:ilvl w:val="0"/>
          <w:numId w:val="24"/>
        </w:numPr>
      </w:pPr>
      <w:r>
        <w:t xml:space="preserve">Quality of </w:t>
      </w:r>
      <w:r w:rsidR="004C2D98">
        <w:t>transfer of care</w:t>
      </w:r>
      <w:r>
        <w:t xml:space="preserve"> communication</w:t>
      </w:r>
    </w:p>
    <w:p w:rsidR="00356C8D" w:rsidRDefault="00356C8D" w:rsidP="00301267">
      <w:pPr>
        <w:pStyle w:val="Healthbody"/>
        <w:numPr>
          <w:ilvl w:val="0"/>
          <w:numId w:val="24"/>
        </w:numPr>
      </w:pPr>
      <w:r>
        <w:t xml:space="preserve">Evaluation of whether all elements of the </w:t>
      </w:r>
      <w:r w:rsidR="004C2D98">
        <w:t>transfer of care</w:t>
      </w:r>
      <w:r>
        <w:t xml:space="preserve"> plan were implemented as intended</w:t>
      </w:r>
    </w:p>
    <w:p w:rsidR="00356C8D" w:rsidRDefault="00356C8D" w:rsidP="00301267">
      <w:pPr>
        <w:pStyle w:val="Healthbody"/>
        <w:numPr>
          <w:ilvl w:val="0"/>
          <w:numId w:val="24"/>
        </w:numPr>
      </w:pPr>
      <w:r>
        <w:t xml:space="preserve">Evaluation of the effectiveness of the </w:t>
      </w:r>
      <w:r w:rsidR="004C2D98">
        <w:t>transfer of care</w:t>
      </w:r>
      <w:r>
        <w:t xml:space="preserve"> plan (</w:t>
      </w:r>
      <w:r w:rsidR="008F0D4A" w:rsidRPr="00D74E6E">
        <w:rPr>
          <w:i/>
        </w:rPr>
        <w:t>W</w:t>
      </w:r>
      <w:r w:rsidRPr="00D74E6E">
        <w:rPr>
          <w:i/>
        </w:rPr>
        <w:t>ere post</w:t>
      </w:r>
      <w:r w:rsidR="008F0D4A" w:rsidRPr="00D74E6E">
        <w:rPr>
          <w:i/>
        </w:rPr>
        <w:t>-</w:t>
      </w:r>
      <w:r w:rsidRPr="00D74E6E">
        <w:rPr>
          <w:i/>
        </w:rPr>
        <w:t xml:space="preserve">acute services aligned with the patient’s needs on </w:t>
      </w:r>
      <w:r w:rsidR="004C2D98" w:rsidRPr="00D74E6E">
        <w:rPr>
          <w:i/>
        </w:rPr>
        <w:t>transfer of care</w:t>
      </w:r>
      <w:r w:rsidRPr="00D74E6E">
        <w:rPr>
          <w:i/>
        </w:rPr>
        <w:t>?</w:t>
      </w:r>
      <w:r>
        <w:t>)</w:t>
      </w:r>
    </w:p>
    <w:p w:rsidR="00356C8D" w:rsidRDefault="00356C8D" w:rsidP="00301267">
      <w:pPr>
        <w:pStyle w:val="Healthbody"/>
        <w:numPr>
          <w:ilvl w:val="0"/>
          <w:numId w:val="24"/>
        </w:numPr>
      </w:pPr>
      <w:r>
        <w:t>Percentage of patients offered a specialist clinic review appointment within clinically recommended times</w:t>
      </w:r>
    </w:p>
    <w:p w:rsidR="00051592" w:rsidRPr="006B07E4" w:rsidRDefault="00051592" w:rsidP="00051592">
      <w:pPr>
        <w:pStyle w:val="Healthbody"/>
        <w:ind w:left="1080"/>
      </w:pPr>
    </w:p>
    <w:p w:rsidR="00356C8D" w:rsidRDefault="00356C8D" w:rsidP="00301267">
      <w:pPr>
        <w:pStyle w:val="Healthbody"/>
        <w:numPr>
          <w:ilvl w:val="0"/>
          <w:numId w:val="19"/>
        </w:numPr>
        <w:rPr>
          <w:b/>
          <w:lang w:eastAsia="en-AU"/>
        </w:rPr>
      </w:pPr>
      <w:r w:rsidRPr="006B07E4">
        <w:rPr>
          <w:b/>
          <w:lang w:eastAsia="en-AU"/>
        </w:rPr>
        <w:t>Demand</w:t>
      </w:r>
      <w:r>
        <w:rPr>
          <w:b/>
          <w:lang w:eastAsia="en-AU"/>
        </w:rPr>
        <w:t xml:space="preserve"> and backlog</w:t>
      </w:r>
      <w:r w:rsidRPr="006B07E4">
        <w:rPr>
          <w:b/>
          <w:lang w:eastAsia="en-AU"/>
        </w:rPr>
        <w:t xml:space="preserve"> measures</w:t>
      </w:r>
    </w:p>
    <w:p w:rsidR="00356C8D" w:rsidRDefault="00356C8D" w:rsidP="00301267">
      <w:pPr>
        <w:pStyle w:val="Healthbody"/>
        <w:numPr>
          <w:ilvl w:val="1"/>
          <w:numId w:val="19"/>
        </w:numPr>
        <w:rPr>
          <w:b/>
          <w:lang w:eastAsia="en-AU"/>
        </w:rPr>
      </w:pPr>
      <w:r>
        <w:rPr>
          <w:b/>
          <w:lang w:eastAsia="en-AU"/>
        </w:rPr>
        <w:t>Demand</w:t>
      </w:r>
    </w:p>
    <w:p w:rsidR="00356C8D" w:rsidRDefault="00356C8D" w:rsidP="00301267">
      <w:pPr>
        <w:pStyle w:val="Healthbody"/>
        <w:numPr>
          <w:ilvl w:val="0"/>
          <w:numId w:val="25"/>
        </w:numPr>
      </w:pPr>
      <w:r>
        <w:t>Rate of referral to relevant services (all</w:t>
      </w:r>
      <w:r w:rsidR="00424AD6">
        <w:t xml:space="preserve">ied health, </w:t>
      </w:r>
      <w:r w:rsidR="00EB38E3">
        <w:t>HIP, ACAS</w:t>
      </w:r>
      <w:r w:rsidR="00424AD6">
        <w:t xml:space="preserve"> and so on</w:t>
      </w:r>
      <w:r>
        <w:t>)</w:t>
      </w:r>
    </w:p>
    <w:p w:rsidR="00356C8D" w:rsidRDefault="00356C8D" w:rsidP="00301267">
      <w:pPr>
        <w:pStyle w:val="Healthbody"/>
        <w:numPr>
          <w:ilvl w:val="0"/>
          <w:numId w:val="25"/>
        </w:numPr>
      </w:pPr>
      <w:r>
        <w:t xml:space="preserve">Proportion of patients </w:t>
      </w:r>
      <w:r w:rsidR="00E63948">
        <w:t xml:space="preserve">transferred to subacute services, home or </w:t>
      </w:r>
      <w:r w:rsidR="008F0D4A">
        <w:t xml:space="preserve">to </w:t>
      </w:r>
      <w:r w:rsidR="00E63948">
        <w:t>an</w:t>
      </w:r>
      <w:r>
        <w:t>other destination</w:t>
      </w:r>
    </w:p>
    <w:p w:rsidR="00051592" w:rsidRPr="00C24D47" w:rsidRDefault="00051592" w:rsidP="00051592">
      <w:pPr>
        <w:pStyle w:val="Healthbody"/>
        <w:ind w:left="1080"/>
      </w:pPr>
    </w:p>
    <w:p w:rsidR="00356C8D" w:rsidRDefault="00356C8D" w:rsidP="00301267">
      <w:pPr>
        <w:pStyle w:val="Healthbody"/>
        <w:numPr>
          <w:ilvl w:val="1"/>
          <w:numId w:val="19"/>
        </w:numPr>
        <w:rPr>
          <w:b/>
          <w:lang w:eastAsia="en-AU"/>
        </w:rPr>
      </w:pPr>
      <w:r>
        <w:rPr>
          <w:b/>
          <w:lang w:eastAsia="en-AU"/>
        </w:rPr>
        <w:t>Backlog</w:t>
      </w:r>
    </w:p>
    <w:p w:rsidR="00356C8D" w:rsidRDefault="00356C8D" w:rsidP="00E63948">
      <w:pPr>
        <w:pStyle w:val="Healthbody"/>
        <w:numPr>
          <w:ilvl w:val="0"/>
          <w:numId w:val="26"/>
        </w:numPr>
      </w:pPr>
      <w:r>
        <w:t>Number of patients</w:t>
      </w:r>
      <w:r w:rsidR="00E63948">
        <w:t xml:space="preserve"> awaiting transfer</w:t>
      </w:r>
    </w:p>
    <w:p w:rsidR="00356C8D" w:rsidRDefault="00356C8D" w:rsidP="00301267">
      <w:pPr>
        <w:pStyle w:val="Healthbody"/>
        <w:numPr>
          <w:ilvl w:val="0"/>
          <w:numId w:val="26"/>
        </w:numPr>
      </w:pPr>
      <w:r>
        <w:t>Outstanding actions for completion within, for example</w:t>
      </w:r>
      <w:r w:rsidR="00F26033">
        <w:t>,</w:t>
      </w:r>
      <w:r>
        <w:t xml:space="preserve"> 24 hours prior to planned </w:t>
      </w:r>
      <w:r w:rsidR="004C2D98">
        <w:t>transfer of care</w:t>
      </w:r>
    </w:p>
    <w:p w:rsidR="00051592" w:rsidRPr="00C24D47" w:rsidRDefault="00051592" w:rsidP="00051592">
      <w:pPr>
        <w:pStyle w:val="Healthbody"/>
        <w:ind w:left="1080"/>
      </w:pPr>
    </w:p>
    <w:p w:rsidR="00356C8D" w:rsidRDefault="00356C8D" w:rsidP="00301267">
      <w:pPr>
        <w:pStyle w:val="Healthbody"/>
        <w:numPr>
          <w:ilvl w:val="0"/>
          <w:numId w:val="19"/>
        </w:numPr>
        <w:rPr>
          <w:b/>
          <w:lang w:eastAsia="en-AU"/>
        </w:rPr>
      </w:pPr>
      <w:r w:rsidRPr="006B07E4">
        <w:rPr>
          <w:b/>
          <w:lang w:eastAsia="en-AU"/>
        </w:rPr>
        <w:t>Process measures</w:t>
      </w:r>
    </w:p>
    <w:p w:rsidR="00356C8D" w:rsidRDefault="00356C8D" w:rsidP="00301267">
      <w:pPr>
        <w:pStyle w:val="Healthbody"/>
        <w:numPr>
          <w:ilvl w:val="1"/>
          <w:numId w:val="19"/>
        </w:numPr>
        <w:rPr>
          <w:b/>
          <w:lang w:eastAsia="en-AU"/>
        </w:rPr>
      </w:pPr>
      <w:r>
        <w:rPr>
          <w:b/>
          <w:lang w:eastAsia="en-AU"/>
        </w:rPr>
        <w:t>Key process times</w:t>
      </w:r>
    </w:p>
    <w:p w:rsidR="00356C8D" w:rsidRDefault="00356C8D" w:rsidP="00301267">
      <w:pPr>
        <w:pStyle w:val="Healthbody"/>
        <w:numPr>
          <w:ilvl w:val="0"/>
          <w:numId w:val="27"/>
        </w:numPr>
      </w:pPr>
      <w:r>
        <w:t xml:space="preserve">Admission to completion of </w:t>
      </w:r>
      <w:r w:rsidR="00AD4A67">
        <w:t>discharge</w:t>
      </w:r>
      <w:r>
        <w:t xml:space="preserve"> risk assessment</w:t>
      </w:r>
    </w:p>
    <w:p w:rsidR="00356C8D" w:rsidRDefault="00356C8D" w:rsidP="00301267">
      <w:pPr>
        <w:pStyle w:val="Healthbody"/>
        <w:numPr>
          <w:ilvl w:val="0"/>
          <w:numId w:val="27"/>
        </w:numPr>
      </w:pPr>
      <w:r>
        <w:t>Completion of risk assessment t</w:t>
      </w:r>
      <w:r w:rsidR="00E63948">
        <w:t>o referral to care coordinator</w:t>
      </w:r>
      <w:r w:rsidR="00FA6A8D">
        <w:t xml:space="preserve"> </w:t>
      </w:r>
      <w:r w:rsidR="00E63948">
        <w:t>/</w:t>
      </w:r>
      <w:r w:rsidR="00FA6A8D">
        <w:t xml:space="preserve"> </w:t>
      </w:r>
      <w:r w:rsidR="00E63948">
        <w:t>allied health staff</w:t>
      </w:r>
      <w:r w:rsidR="00FA6A8D">
        <w:t xml:space="preserve"> </w:t>
      </w:r>
      <w:r w:rsidR="00E63948">
        <w:t>/</w:t>
      </w:r>
      <w:r w:rsidR="00FA6A8D">
        <w:t xml:space="preserve"> </w:t>
      </w:r>
      <w:r>
        <w:t>other services</w:t>
      </w:r>
    </w:p>
    <w:p w:rsidR="00356C8D" w:rsidRDefault="00E63948" w:rsidP="00301267">
      <w:pPr>
        <w:pStyle w:val="Healthbody"/>
        <w:numPr>
          <w:ilvl w:val="0"/>
          <w:numId w:val="27"/>
        </w:numPr>
      </w:pPr>
      <w:r>
        <w:t>Referral to care coordinator</w:t>
      </w:r>
      <w:r w:rsidR="009E2865">
        <w:t xml:space="preserve"> </w:t>
      </w:r>
      <w:r>
        <w:t>/</w:t>
      </w:r>
      <w:r w:rsidR="009E2865">
        <w:t xml:space="preserve"> </w:t>
      </w:r>
      <w:r w:rsidR="00356C8D">
        <w:t>allied health st</w:t>
      </w:r>
      <w:r w:rsidR="00424AD6">
        <w:t>aff</w:t>
      </w:r>
      <w:r w:rsidR="009E2865">
        <w:t xml:space="preserve"> </w:t>
      </w:r>
      <w:r w:rsidR="00424AD6">
        <w:t>/</w:t>
      </w:r>
      <w:r w:rsidR="009E2865">
        <w:t xml:space="preserve"> </w:t>
      </w:r>
      <w:r w:rsidR="00424AD6">
        <w:t xml:space="preserve">other services to complete </w:t>
      </w:r>
      <w:r w:rsidR="00356C8D">
        <w:t>assessment and commencement of care/services</w:t>
      </w:r>
    </w:p>
    <w:p w:rsidR="00356C8D" w:rsidRDefault="00356C8D" w:rsidP="00301267">
      <w:pPr>
        <w:pStyle w:val="Healthbody"/>
        <w:numPr>
          <w:ilvl w:val="0"/>
          <w:numId w:val="27"/>
        </w:numPr>
      </w:pPr>
      <w:r>
        <w:t>Number of days between the identification and implementation of actions to address positive risk screening questions</w:t>
      </w:r>
    </w:p>
    <w:p w:rsidR="00356C8D" w:rsidRDefault="00356C8D" w:rsidP="00301267">
      <w:pPr>
        <w:pStyle w:val="Healthbody"/>
        <w:numPr>
          <w:ilvl w:val="0"/>
          <w:numId w:val="27"/>
        </w:numPr>
      </w:pPr>
      <w:r>
        <w:t>Referra</w:t>
      </w:r>
      <w:r w:rsidR="00E63948">
        <w:t>l to review by specialist team</w:t>
      </w:r>
      <w:r w:rsidR="00FA6A8D">
        <w:t xml:space="preserve"> </w:t>
      </w:r>
      <w:r w:rsidR="00E63948">
        <w:t>/</w:t>
      </w:r>
      <w:r w:rsidR="00FA6A8D">
        <w:t xml:space="preserve"> </w:t>
      </w:r>
      <w:r w:rsidR="00E63948">
        <w:t>ACAS</w:t>
      </w:r>
      <w:r w:rsidR="00FA6A8D">
        <w:t xml:space="preserve"> </w:t>
      </w:r>
      <w:r w:rsidR="00E63948">
        <w:t>/</w:t>
      </w:r>
      <w:r w:rsidR="00FA6A8D">
        <w:t xml:space="preserve"> </w:t>
      </w:r>
      <w:r>
        <w:t xml:space="preserve">subacute services </w:t>
      </w:r>
    </w:p>
    <w:p w:rsidR="00356C8D" w:rsidRDefault="00356C8D" w:rsidP="00301267">
      <w:pPr>
        <w:pStyle w:val="Healthbody"/>
        <w:numPr>
          <w:ilvl w:val="0"/>
          <w:numId w:val="27"/>
        </w:numPr>
      </w:pPr>
      <w:r>
        <w:t xml:space="preserve">Referral accepted to </w:t>
      </w:r>
      <w:r w:rsidR="009E2865">
        <w:t xml:space="preserve">available </w:t>
      </w:r>
      <w:r>
        <w:t xml:space="preserve">bed </w:t>
      </w:r>
    </w:p>
    <w:p w:rsidR="00424AD6" w:rsidRDefault="00545392" w:rsidP="00301267">
      <w:pPr>
        <w:pStyle w:val="Healthbody"/>
        <w:numPr>
          <w:ilvl w:val="0"/>
          <w:numId w:val="27"/>
        </w:numPr>
      </w:pPr>
      <w:r>
        <w:lastRenderedPageBreak/>
        <w:t>Bed available to prepared</w:t>
      </w:r>
      <w:bookmarkStart w:id="3" w:name="_GoBack"/>
      <w:bookmarkEnd w:id="3"/>
      <w:r w:rsidR="00356C8D">
        <w:t xml:space="preserve"> for transfer</w:t>
      </w:r>
      <w:r w:rsidR="00424AD6">
        <w:t xml:space="preserve"> of care</w:t>
      </w:r>
    </w:p>
    <w:p w:rsidR="00356C8D" w:rsidRDefault="00356C8D" w:rsidP="00301267">
      <w:pPr>
        <w:pStyle w:val="Healthbody"/>
        <w:numPr>
          <w:ilvl w:val="0"/>
          <w:numId w:val="27"/>
        </w:numPr>
      </w:pPr>
      <w:r>
        <w:t>Prepared for transfer</w:t>
      </w:r>
      <w:r w:rsidR="00E63948">
        <w:t xml:space="preserve"> of care to transferred to subacute services</w:t>
      </w:r>
      <w:r w:rsidR="009E2865">
        <w:t xml:space="preserve"> </w:t>
      </w:r>
      <w:r w:rsidR="00E63948">
        <w:t>/</w:t>
      </w:r>
      <w:r w:rsidR="009E2865">
        <w:t xml:space="preserve"> </w:t>
      </w:r>
      <w:r w:rsidR="00E63948">
        <w:t>r</w:t>
      </w:r>
      <w:r>
        <w:t>esidential care</w:t>
      </w:r>
      <w:r w:rsidR="009E2865">
        <w:t xml:space="preserve"> </w:t>
      </w:r>
      <w:r w:rsidR="00E63948">
        <w:t>/</w:t>
      </w:r>
      <w:r w:rsidR="009E2865">
        <w:t xml:space="preserve"> </w:t>
      </w:r>
      <w:r w:rsidR="00E63948">
        <w:t>home</w:t>
      </w:r>
    </w:p>
    <w:p w:rsidR="00356C8D" w:rsidRDefault="00356C8D" w:rsidP="00301267">
      <w:pPr>
        <w:pStyle w:val="Healthbody"/>
        <w:numPr>
          <w:ilvl w:val="0"/>
          <w:numId w:val="27"/>
        </w:numPr>
      </w:pPr>
      <w:r>
        <w:t xml:space="preserve">Difference in days/hours between the planned and actual </w:t>
      </w:r>
      <w:r w:rsidR="004C2D98">
        <w:t>transfer of care</w:t>
      </w:r>
      <w:r>
        <w:t xml:space="preserve"> date/time</w:t>
      </w:r>
    </w:p>
    <w:p w:rsidR="00356C8D" w:rsidRDefault="00356C8D" w:rsidP="00301267">
      <w:pPr>
        <w:pStyle w:val="Healthbody"/>
        <w:numPr>
          <w:ilvl w:val="0"/>
          <w:numId w:val="27"/>
        </w:numPr>
      </w:pPr>
      <w:r>
        <w:t xml:space="preserve">Staff time </w:t>
      </w:r>
      <w:r w:rsidR="00E63948">
        <w:t>to complete other key processes</w:t>
      </w:r>
    </w:p>
    <w:p w:rsidR="00051592" w:rsidRPr="00C24D47" w:rsidRDefault="00051592" w:rsidP="00051592">
      <w:pPr>
        <w:pStyle w:val="Healthbody"/>
        <w:ind w:left="1080"/>
      </w:pPr>
    </w:p>
    <w:p w:rsidR="00356C8D" w:rsidRDefault="00356C8D" w:rsidP="00301267">
      <w:pPr>
        <w:pStyle w:val="Healthbody"/>
        <w:numPr>
          <w:ilvl w:val="1"/>
          <w:numId w:val="19"/>
        </w:numPr>
        <w:rPr>
          <w:b/>
          <w:lang w:eastAsia="en-AU"/>
        </w:rPr>
      </w:pPr>
      <w:r>
        <w:rPr>
          <w:b/>
          <w:lang w:eastAsia="en-AU"/>
        </w:rPr>
        <w:t>Process quality</w:t>
      </w:r>
    </w:p>
    <w:p w:rsidR="00356C8D" w:rsidRDefault="00356C8D" w:rsidP="00301267">
      <w:pPr>
        <w:pStyle w:val="Healthbody"/>
        <w:numPr>
          <w:ilvl w:val="0"/>
          <w:numId w:val="28"/>
        </w:numPr>
      </w:pPr>
      <w:r>
        <w:t xml:space="preserve">Reason(s) for delayed </w:t>
      </w:r>
      <w:r w:rsidR="004C2D98">
        <w:t>transfer of care</w:t>
      </w:r>
      <w:r>
        <w:t xml:space="preserve"> (availability of staff/vehicles to conduct a home visit, access to subacute services, access to</w:t>
      </w:r>
      <w:r w:rsidR="00FA6A8D">
        <w:t xml:space="preserve"> a</w:t>
      </w:r>
      <w:r>
        <w:t xml:space="preserve"> GP</w:t>
      </w:r>
      <w:r w:rsidR="00FA6A8D">
        <w:t xml:space="preserve"> or </w:t>
      </w:r>
      <w:r>
        <w:t xml:space="preserve">other primary care, access to community services </w:t>
      </w:r>
      <w:r w:rsidR="00424AD6">
        <w:t>and so on</w:t>
      </w:r>
      <w:r>
        <w:t>) and duration of delay</w:t>
      </w:r>
    </w:p>
    <w:p w:rsidR="00356C8D" w:rsidRDefault="00356C8D" w:rsidP="00301267">
      <w:pPr>
        <w:pStyle w:val="Healthbody"/>
        <w:numPr>
          <w:ilvl w:val="0"/>
          <w:numId w:val="28"/>
        </w:numPr>
      </w:pPr>
      <w:r>
        <w:t xml:space="preserve">Reason(s) for delayed </w:t>
      </w:r>
      <w:r w:rsidR="004C2D98">
        <w:t>transfer of care</w:t>
      </w:r>
      <w:r>
        <w:t xml:space="preserve"> on the day of </w:t>
      </w:r>
      <w:r w:rsidR="004C2D98">
        <w:t>transfer of care</w:t>
      </w:r>
      <w:r>
        <w:t xml:space="preserve"> (availability of senior staff to authorise </w:t>
      </w:r>
      <w:r w:rsidR="004C2D98">
        <w:t>transfer of care</w:t>
      </w:r>
      <w:r>
        <w:t>, preparation of medications, access to transport, avail</w:t>
      </w:r>
      <w:r w:rsidR="00424AD6">
        <w:t>ability of family/carer</w:t>
      </w:r>
      <w:r>
        <w:t>) and duration of delay</w:t>
      </w:r>
    </w:p>
    <w:p w:rsidR="00356C8D" w:rsidRDefault="00356C8D" w:rsidP="00301267">
      <w:pPr>
        <w:pStyle w:val="Healthbody"/>
        <w:numPr>
          <w:ilvl w:val="0"/>
          <w:numId w:val="28"/>
        </w:numPr>
      </w:pPr>
      <w:r>
        <w:t xml:space="preserve">Percentage of referrals </w:t>
      </w:r>
      <w:r w:rsidR="00FA6A8D">
        <w:t xml:space="preserve">that </w:t>
      </w:r>
      <w:r>
        <w:t>are complete and accurate</w:t>
      </w:r>
    </w:p>
    <w:p w:rsidR="00051592" w:rsidRPr="00C24D47" w:rsidRDefault="00051592" w:rsidP="00051592">
      <w:pPr>
        <w:pStyle w:val="Healthbody"/>
        <w:ind w:left="1080"/>
      </w:pPr>
    </w:p>
    <w:p w:rsidR="00356C8D" w:rsidRDefault="00356C8D" w:rsidP="00301267">
      <w:pPr>
        <w:pStyle w:val="Healthbody"/>
        <w:numPr>
          <w:ilvl w:val="0"/>
          <w:numId w:val="19"/>
        </w:numPr>
        <w:rPr>
          <w:b/>
          <w:lang w:eastAsia="en-AU"/>
        </w:rPr>
      </w:pPr>
      <w:r w:rsidRPr="006B07E4">
        <w:rPr>
          <w:b/>
          <w:lang w:eastAsia="en-AU"/>
        </w:rPr>
        <w:t>Check measures</w:t>
      </w:r>
    </w:p>
    <w:p w:rsidR="00356C8D" w:rsidRDefault="00356C8D" w:rsidP="00051592">
      <w:pPr>
        <w:pStyle w:val="Healthbody"/>
        <w:ind w:left="1080"/>
        <w:rPr>
          <w:b/>
          <w:lang w:eastAsia="en-AU"/>
        </w:rPr>
      </w:pPr>
      <w:r w:rsidRPr="00C24D47">
        <w:rPr>
          <w:b/>
        </w:rPr>
        <w:t>Patient, staff and referral recipient experiences</w:t>
      </w:r>
    </w:p>
    <w:p w:rsidR="00356C8D" w:rsidRDefault="00356C8D" w:rsidP="00301267">
      <w:pPr>
        <w:pStyle w:val="Healthbody"/>
        <w:numPr>
          <w:ilvl w:val="0"/>
          <w:numId w:val="29"/>
        </w:numPr>
      </w:pPr>
      <w:r>
        <w:t xml:space="preserve">Patient </w:t>
      </w:r>
      <w:r w:rsidR="001C783C">
        <w:t xml:space="preserve">experience </w:t>
      </w:r>
      <w:r>
        <w:t>(targeted surveys of patient views on care coordination, communication and involvement in decision making about</w:t>
      </w:r>
      <w:r w:rsidR="009E2865">
        <w:t xml:space="preserve"> the</w:t>
      </w:r>
      <w:r>
        <w:t xml:space="preserve"> </w:t>
      </w:r>
      <w:r w:rsidR="004C2D98">
        <w:t>transfer of care</w:t>
      </w:r>
      <w:r w:rsidR="009E2865">
        <w:t xml:space="preserve"> and the</w:t>
      </w:r>
      <w:r>
        <w:t xml:space="preserve"> appropriateness, timeliness and quality of post-acute support services)</w:t>
      </w:r>
    </w:p>
    <w:p w:rsidR="00356C8D" w:rsidRDefault="00356C8D" w:rsidP="00301267">
      <w:pPr>
        <w:pStyle w:val="Healthbody"/>
        <w:numPr>
          <w:ilvl w:val="0"/>
          <w:numId w:val="29"/>
        </w:numPr>
      </w:pPr>
      <w:r>
        <w:t xml:space="preserve">Staff </w:t>
      </w:r>
      <w:r w:rsidR="001C783C">
        <w:t xml:space="preserve">experience </w:t>
      </w:r>
      <w:r>
        <w:t>(targeted surveys plus proxy measures such as turnover, sick leave and agency use)</w:t>
      </w:r>
    </w:p>
    <w:p w:rsidR="00356C8D" w:rsidRDefault="00356C8D" w:rsidP="00301267">
      <w:pPr>
        <w:pStyle w:val="Healthbody"/>
        <w:numPr>
          <w:ilvl w:val="0"/>
          <w:numId w:val="29"/>
        </w:numPr>
      </w:pPr>
      <w:r>
        <w:t xml:space="preserve">Satisfaction of referral recipients (targeted surveys </w:t>
      </w:r>
      <w:r w:rsidR="00AD4A67">
        <w:t>of GPs</w:t>
      </w:r>
      <w:r w:rsidR="00FA6A8D">
        <w:t xml:space="preserve"> </w:t>
      </w:r>
      <w:r>
        <w:t>/</w:t>
      </w:r>
      <w:r w:rsidR="00FA6A8D">
        <w:t xml:space="preserve"> </w:t>
      </w:r>
      <w:r w:rsidR="009E2865">
        <w:t xml:space="preserve">the </w:t>
      </w:r>
      <w:r>
        <w:t>RDNS</w:t>
      </w:r>
      <w:r w:rsidR="00FA6A8D">
        <w:t xml:space="preserve"> </w:t>
      </w:r>
      <w:r>
        <w:t>/</w:t>
      </w:r>
      <w:r w:rsidR="00FA6A8D">
        <w:t xml:space="preserve"> </w:t>
      </w:r>
      <w:r w:rsidR="009E2865">
        <w:t xml:space="preserve">the </w:t>
      </w:r>
      <w:r>
        <w:t>local council and/or other programs or community agencies)</w:t>
      </w:r>
    </w:p>
    <w:p w:rsidR="00356C8D" w:rsidRPr="00C24D47" w:rsidRDefault="00356C8D" w:rsidP="00301267">
      <w:pPr>
        <w:pStyle w:val="Healthbody"/>
        <w:numPr>
          <w:ilvl w:val="0"/>
          <w:numId w:val="29"/>
        </w:numPr>
      </w:pPr>
      <w:r>
        <w:t>Number and nature of complaints and compliments received from patients, their famil</w:t>
      </w:r>
      <w:r w:rsidR="009E2865">
        <w:t>ies</w:t>
      </w:r>
      <w:r>
        <w:t xml:space="preserve"> and/or carer</w:t>
      </w:r>
      <w:r w:rsidR="009E2865">
        <w:t>s</w:t>
      </w:r>
      <w:r>
        <w:t>, GPs and recipients of community referrals</w:t>
      </w:r>
    </w:p>
    <w:p w:rsidR="00615ABE" w:rsidRDefault="00615ABE" w:rsidP="0022650D">
      <w:pPr>
        <w:pStyle w:val="Healthbody"/>
      </w:pPr>
    </w:p>
    <w:p w:rsidR="007833DC" w:rsidRDefault="007833DC" w:rsidP="007833DC">
      <w:pPr>
        <w:pStyle w:val="Healthbody"/>
        <w:ind w:left="1800"/>
      </w:pPr>
    </w:p>
    <w:p w:rsidR="00356C8D" w:rsidRPr="00C71A60" w:rsidRDefault="00356C8D" w:rsidP="00C71A60">
      <w:pPr>
        <w:pStyle w:val="Healthbody"/>
        <w:rPr>
          <w:b/>
        </w:rPr>
      </w:pPr>
    </w:p>
    <w:p w:rsidR="00DC5249" w:rsidRDefault="00DC5249" w:rsidP="00DC4669">
      <w:pPr>
        <w:pStyle w:val="Healthheading1"/>
        <w:sectPr w:rsidR="00DC5249" w:rsidSect="00CE03CD">
          <w:headerReference w:type="even" r:id="rId25"/>
          <w:headerReference w:type="default" r:id="rId26"/>
          <w:footerReference w:type="even" r:id="rId27"/>
          <w:footerReference w:type="default" r:id="rId28"/>
          <w:headerReference w:type="first" r:id="rId29"/>
          <w:footerReference w:type="first" r:id="rId30"/>
          <w:endnotePr>
            <w:numFmt w:val="decimal"/>
          </w:endnotePr>
          <w:pgSz w:w="11906" w:h="16838" w:code="9"/>
          <w:pgMar w:top="1134" w:right="1304" w:bottom="1134" w:left="1304" w:header="454" w:footer="567" w:gutter="0"/>
          <w:pgNumType w:start="1"/>
          <w:cols w:space="720"/>
          <w:rtlGutter/>
          <w:docGrid w:linePitch="360"/>
        </w:sectPr>
      </w:pPr>
    </w:p>
    <w:p w:rsidR="004227BB" w:rsidRPr="000B7A42" w:rsidRDefault="000B7A42" w:rsidP="004227BB">
      <w:pPr>
        <w:pStyle w:val="Healthbody"/>
        <w:spacing w:after="0" w:line="312" w:lineRule="auto"/>
        <w:rPr>
          <w:color w:val="00B050"/>
          <w:sz w:val="32"/>
          <w:szCs w:val="32"/>
          <w:lang w:eastAsia="en-AU"/>
        </w:rPr>
      </w:pPr>
      <w:r w:rsidRPr="000B7A42">
        <w:rPr>
          <w:color w:val="00B050"/>
          <w:sz w:val="32"/>
          <w:szCs w:val="32"/>
          <w:lang w:eastAsia="en-AU"/>
        </w:rPr>
        <w:lastRenderedPageBreak/>
        <w:t>Appendix: Suggested content for a transfer of care summary</w:t>
      </w:r>
    </w:p>
    <w:p w:rsidR="000B7A42" w:rsidRDefault="000B7A42" w:rsidP="004227BB">
      <w:pPr>
        <w:pStyle w:val="Healthbody"/>
        <w:spacing w:after="0" w:line="312" w:lineRule="auto"/>
        <w:rPr>
          <w:b/>
          <w:lang w:eastAsia="en-AU"/>
        </w:rPr>
      </w:pPr>
    </w:p>
    <w:p w:rsidR="00356C8D" w:rsidRPr="00DD5AA2" w:rsidRDefault="00356C8D" w:rsidP="004227BB">
      <w:pPr>
        <w:pStyle w:val="Healthbody"/>
        <w:spacing w:after="0" w:line="312" w:lineRule="auto"/>
        <w:rPr>
          <w:b/>
          <w:lang w:eastAsia="en-AU"/>
        </w:rPr>
      </w:pPr>
      <w:r w:rsidRPr="00DD5AA2">
        <w:rPr>
          <w:b/>
          <w:lang w:eastAsia="en-AU"/>
        </w:rPr>
        <w:t>Patient demographic information</w:t>
      </w:r>
    </w:p>
    <w:p w:rsidR="00356C8D" w:rsidRPr="00C71A60" w:rsidRDefault="00356C8D" w:rsidP="004227BB">
      <w:pPr>
        <w:pStyle w:val="Healthbody"/>
        <w:numPr>
          <w:ilvl w:val="0"/>
          <w:numId w:val="7"/>
        </w:numPr>
        <w:spacing w:after="0" w:line="312" w:lineRule="auto"/>
        <w:rPr>
          <w:lang w:eastAsia="en-AU"/>
        </w:rPr>
      </w:pPr>
      <w:r w:rsidRPr="00C71A60">
        <w:rPr>
          <w:lang w:eastAsia="en-AU"/>
        </w:rPr>
        <w:t>Full name</w:t>
      </w:r>
    </w:p>
    <w:p w:rsidR="00356C8D" w:rsidRPr="00C71A60" w:rsidRDefault="00356C8D" w:rsidP="004227BB">
      <w:pPr>
        <w:pStyle w:val="Healthbody"/>
        <w:numPr>
          <w:ilvl w:val="0"/>
          <w:numId w:val="7"/>
        </w:numPr>
        <w:spacing w:after="0" w:line="312" w:lineRule="auto"/>
        <w:rPr>
          <w:lang w:eastAsia="en-AU"/>
        </w:rPr>
      </w:pPr>
      <w:r w:rsidRPr="00C71A60">
        <w:rPr>
          <w:lang w:eastAsia="en-AU"/>
        </w:rPr>
        <w:t xml:space="preserve">Name </w:t>
      </w:r>
      <w:r w:rsidR="008D2EAA">
        <w:rPr>
          <w:lang w:eastAsia="en-AU"/>
        </w:rPr>
        <w:t>of a parent, guardian or carer (</w:t>
      </w:r>
      <w:r w:rsidRPr="00C71A60">
        <w:rPr>
          <w:lang w:eastAsia="en-AU"/>
        </w:rPr>
        <w:t>where applicable</w:t>
      </w:r>
      <w:r w:rsidR="008D2EAA">
        <w:rPr>
          <w:lang w:eastAsia="en-AU"/>
        </w:rPr>
        <w:t>)</w:t>
      </w:r>
    </w:p>
    <w:p w:rsidR="00356C8D" w:rsidRPr="00C71A60" w:rsidRDefault="00356C8D" w:rsidP="004227BB">
      <w:pPr>
        <w:pStyle w:val="Healthbody"/>
        <w:numPr>
          <w:ilvl w:val="0"/>
          <w:numId w:val="7"/>
        </w:numPr>
        <w:spacing w:after="0" w:line="312" w:lineRule="auto"/>
        <w:rPr>
          <w:lang w:eastAsia="en-AU"/>
        </w:rPr>
      </w:pPr>
      <w:r w:rsidRPr="00C71A60">
        <w:rPr>
          <w:lang w:eastAsia="en-AU"/>
        </w:rPr>
        <w:t>Address</w:t>
      </w:r>
    </w:p>
    <w:p w:rsidR="00356C8D" w:rsidRPr="00C71A60" w:rsidRDefault="00356C8D" w:rsidP="004227BB">
      <w:pPr>
        <w:pStyle w:val="Healthbody"/>
        <w:numPr>
          <w:ilvl w:val="0"/>
          <w:numId w:val="7"/>
        </w:numPr>
        <w:spacing w:after="0" w:line="312" w:lineRule="auto"/>
        <w:rPr>
          <w:lang w:eastAsia="en-AU"/>
        </w:rPr>
      </w:pPr>
      <w:r w:rsidRPr="00C71A60">
        <w:rPr>
          <w:lang w:eastAsia="en-AU"/>
        </w:rPr>
        <w:t>Telephone numbers</w:t>
      </w:r>
    </w:p>
    <w:p w:rsidR="00356C8D" w:rsidRPr="00C71A60" w:rsidRDefault="00356C8D" w:rsidP="004227BB">
      <w:pPr>
        <w:pStyle w:val="Healthbody"/>
        <w:numPr>
          <w:ilvl w:val="0"/>
          <w:numId w:val="7"/>
        </w:numPr>
        <w:spacing w:after="0" w:line="312" w:lineRule="auto"/>
        <w:rPr>
          <w:lang w:eastAsia="en-AU"/>
        </w:rPr>
      </w:pPr>
      <w:r w:rsidRPr="00C71A60">
        <w:rPr>
          <w:lang w:eastAsia="en-AU"/>
        </w:rPr>
        <w:t>Date of birth</w:t>
      </w:r>
    </w:p>
    <w:p w:rsidR="00356C8D" w:rsidRPr="00C71A60" w:rsidRDefault="00356C8D" w:rsidP="004227BB">
      <w:pPr>
        <w:pStyle w:val="Healthbody"/>
        <w:numPr>
          <w:ilvl w:val="0"/>
          <w:numId w:val="7"/>
        </w:numPr>
        <w:spacing w:after="0" w:line="312" w:lineRule="auto"/>
        <w:rPr>
          <w:lang w:eastAsia="en-AU"/>
        </w:rPr>
      </w:pPr>
      <w:r w:rsidRPr="00C71A60">
        <w:rPr>
          <w:lang w:eastAsia="en-AU"/>
        </w:rPr>
        <w:t>Gender</w:t>
      </w:r>
    </w:p>
    <w:p w:rsidR="00356C8D" w:rsidRPr="00C71A60" w:rsidRDefault="00356C8D" w:rsidP="004227BB">
      <w:pPr>
        <w:pStyle w:val="Healthbody"/>
        <w:numPr>
          <w:ilvl w:val="0"/>
          <w:numId w:val="7"/>
        </w:numPr>
        <w:spacing w:after="0" w:line="312" w:lineRule="auto"/>
        <w:rPr>
          <w:lang w:eastAsia="en-AU"/>
        </w:rPr>
      </w:pPr>
      <w:r w:rsidRPr="00C71A60">
        <w:rPr>
          <w:lang w:eastAsia="en-AU"/>
        </w:rPr>
        <w:t>Medicare number</w:t>
      </w:r>
    </w:p>
    <w:p w:rsidR="00356C8D" w:rsidRPr="00C71A60" w:rsidRDefault="00356C8D" w:rsidP="004227BB">
      <w:pPr>
        <w:pStyle w:val="Healthbody"/>
        <w:numPr>
          <w:ilvl w:val="0"/>
          <w:numId w:val="7"/>
        </w:numPr>
        <w:spacing w:after="0" w:line="312" w:lineRule="auto"/>
        <w:rPr>
          <w:lang w:eastAsia="en-AU"/>
        </w:rPr>
      </w:pPr>
      <w:r w:rsidRPr="00C71A60">
        <w:rPr>
          <w:lang w:eastAsia="en-AU"/>
        </w:rPr>
        <w:t>National healthcare identifier (when established)</w:t>
      </w:r>
    </w:p>
    <w:p w:rsidR="00356C8D" w:rsidRPr="00C71A60" w:rsidRDefault="00356C8D" w:rsidP="004227BB">
      <w:pPr>
        <w:pStyle w:val="Healthbody"/>
        <w:numPr>
          <w:ilvl w:val="0"/>
          <w:numId w:val="7"/>
        </w:numPr>
        <w:spacing w:after="0" w:line="312" w:lineRule="auto"/>
        <w:rPr>
          <w:lang w:eastAsia="en-AU"/>
        </w:rPr>
      </w:pPr>
      <w:r w:rsidRPr="00C71A60">
        <w:rPr>
          <w:lang w:eastAsia="en-AU"/>
        </w:rPr>
        <w:t>Indigenous status (where applicable)</w:t>
      </w:r>
    </w:p>
    <w:p w:rsidR="00356C8D" w:rsidRPr="00C71A60" w:rsidRDefault="00356C8D" w:rsidP="004227BB">
      <w:pPr>
        <w:pStyle w:val="Healthbody"/>
        <w:numPr>
          <w:ilvl w:val="0"/>
          <w:numId w:val="7"/>
        </w:numPr>
        <w:spacing w:after="0" w:line="312" w:lineRule="auto"/>
        <w:rPr>
          <w:lang w:eastAsia="en-AU"/>
        </w:rPr>
      </w:pPr>
      <w:r w:rsidRPr="00C71A60">
        <w:rPr>
          <w:lang w:eastAsia="en-AU"/>
        </w:rPr>
        <w:t xml:space="preserve">Interpreter needs, including preferred language </w:t>
      </w:r>
      <w:r w:rsidR="008D2EAA">
        <w:rPr>
          <w:lang w:eastAsia="en-AU"/>
        </w:rPr>
        <w:t>(</w:t>
      </w:r>
      <w:r w:rsidRPr="00C71A60">
        <w:rPr>
          <w:lang w:eastAsia="en-AU"/>
        </w:rPr>
        <w:t>where applicable</w:t>
      </w:r>
      <w:r w:rsidR="008D2EAA">
        <w:rPr>
          <w:lang w:eastAsia="en-AU"/>
        </w:rPr>
        <w:t>)</w:t>
      </w:r>
    </w:p>
    <w:p w:rsidR="004227BB" w:rsidRPr="004227BB" w:rsidRDefault="004227BB" w:rsidP="004227BB">
      <w:pPr>
        <w:pStyle w:val="Healthbody"/>
        <w:spacing w:after="0" w:line="312" w:lineRule="auto"/>
        <w:rPr>
          <w:b/>
          <w:sz w:val="16"/>
          <w:szCs w:val="16"/>
          <w:lang w:eastAsia="en-AU"/>
        </w:rPr>
      </w:pPr>
    </w:p>
    <w:p w:rsidR="00356C8D" w:rsidRPr="00DD5AA2" w:rsidRDefault="00356C8D" w:rsidP="004227BB">
      <w:pPr>
        <w:pStyle w:val="Healthbody"/>
        <w:spacing w:after="0" w:line="312" w:lineRule="auto"/>
        <w:rPr>
          <w:b/>
          <w:lang w:eastAsia="en-AU"/>
        </w:rPr>
      </w:pPr>
      <w:r w:rsidRPr="00DD5AA2">
        <w:rPr>
          <w:b/>
          <w:lang w:eastAsia="en-AU"/>
        </w:rPr>
        <w:t>Health service information</w:t>
      </w:r>
    </w:p>
    <w:p w:rsidR="00356C8D" w:rsidRPr="00C71A60" w:rsidRDefault="00356C8D" w:rsidP="004227BB">
      <w:pPr>
        <w:pStyle w:val="Healthbody"/>
        <w:numPr>
          <w:ilvl w:val="0"/>
          <w:numId w:val="7"/>
        </w:numPr>
        <w:spacing w:after="0" w:line="312" w:lineRule="auto"/>
        <w:rPr>
          <w:lang w:eastAsia="en-AU"/>
        </w:rPr>
      </w:pPr>
      <w:r w:rsidRPr="00C71A60">
        <w:rPr>
          <w:lang w:eastAsia="en-AU"/>
        </w:rPr>
        <w:t>Hospital name and campus</w:t>
      </w:r>
    </w:p>
    <w:p w:rsidR="00356C8D" w:rsidRPr="00C71A60" w:rsidRDefault="00356C8D" w:rsidP="004227BB">
      <w:pPr>
        <w:pStyle w:val="Healthbody"/>
        <w:numPr>
          <w:ilvl w:val="0"/>
          <w:numId w:val="7"/>
        </w:numPr>
        <w:spacing w:after="0" w:line="312" w:lineRule="auto"/>
        <w:rPr>
          <w:lang w:eastAsia="en-AU"/>
        </w:rPr>
      </w:pPr>
      <w:r w:rsidRPr="00C71A60">
        <w:rPr>
          <w:lang w:eastAsia="en-AU"/>
        </w:rPr>
        <w:t>Medical/surgical unit</w:t>
      </w:r>
    </w:p>
    <w:p w:rsidR="00356C8D" w:rsidRPr="00C71A60" w:rsidRDefault="00F43245" w:rsidP="004227BB">
      <w:pPr>
        <w:pStyle w:val="Healthbody"/>
        <w:numPr>
          <w:ilvl w:val="0"/>
          <w:numId w:val="7"/>
        </w:numPr>
        <w:spacing w:after="0" w:line="312" w:lineRule="auto"/>
        <w:rPr>
          <w:lang w:eastAsia="en-AU"/>
        </w:rPr>
      </w:pPr>
      <w:r>
        <w:rPr>
          <w:lang w:eastAsia="en-AU"/>
        </w:rPr>
        <w:t>Name of h</w:t>
      </w:r>
      <w:r w:rsidR="006B2A48">
        <w:rPr>
          <w:lang w:eastAsia="en-AU"/>
        </w:rPr>
        <w:t>ead of unit and</w:t>
      </w:r>
      <w:r w:rsidR="00356C8D" w:rsidRPr="00C71A60">
        <w:rPr>
          <w:lang w:eastAsia="en-AU"/>
        </w:rPr>
        <w:t xml:space="preserve"> </w:t>
      </w:r>
      <w:r>
        <w:rPr>
          <w:lang w:eastAsia="en-AU"/>
        </w:rPr>
        <w:t xml:space="preserve">their </w:t>
      </w:r>
      <w:r w:rsidR="00356C8D" w:rsidRPr="00C71A60">
        <w:rPr>
          <w:lang w:eastAsia="en-AU"/>
        </w:rPr>
        <w:t>contact details</w:t>
      </w:r>
    </w:p>
    <w:p w:rsidR="00356C8D" w:rsidRPr="00C71A60" w:rsidRDefault="00356C8D" w:rsidP="004227BB">
      <w:pPr>
        <w:pStyle w:val="Healthbody"/>
        <w:numPr>
          <w:ilvl w:val="0"/>
          <w:numId w:val="7"/>
        </w:numPr>
        <w:spacing w:after="0" w:line="312" w:lineRule="auto"/>
        <w:rPr>
          <w:lang w:eastAsia="en-AU"/>
        </w:rPr>
      </w:pPr>
      <w:r w:rsidRPr="00C71A60">
        <w:rPr>
          <w:lang w:eastAsia="en-AU"/>
        </w:rPr>
        <w:t xml:space="preserve">Name, designation and contact details of person(s) preparing </w:t>
      </w:r>
      <w:r w:rsidR="004C2D98">
        <w:rPr>
          <w:lang w:eastAsia="en-AU"/>
        </w:rPr>
        <w:t>transfer of care</w:t>
      </w:r>
      <w:r w:rsidRPr="00C71A60">
        <w:rPr>
          <w:lang w:eastAsia="en-AU"/>
        </w:rPr>
        <w:t xml:space="preserve"> summary</w:t>
      </w:r>
    </w:p>
    <w:p w:rsidR="004227BB" w:rsidRPr="004227BB" w:rsidRDefault="004227BB" w:rsidP="004227BB">
      <w:pPr>
        <w:pStyle w:val="Healthbody"/>
        <w:spacing w:after="0" w:line="312" w:lineRule="auto"/>
        <w:rPr>
          <w:b/>
          <w:sz w:val="16"/>
          <w:szCs w:val="16"/>
          <w:lang w:eastAsia="en-AU"/>
        </w:rPr>
      </w:pPr>
    </w:p>
    <w:p w:rsidR="00356C8D" w:rsidRPr="00DD5AA2" w:rsidRDefault="00356C8D" w:rsidP="004227BB">
      <w:pPr>
        <w:pStyle w:val="Healthbody"/>
        <w:spacing w:after="0" w:line="312" w:lineRule="auto"/>
        <w:rPr>
          <w:b/>
          <w:lang w:eastAsia="en-AU"/>
        </w:rPr>
      </w:pPr>
      <w:r w:rsidRPr="00DD5AA2">
        <w:rPr>
          <w:b/>
          <w:lang w:eastAsia="en-AU"/>
        </w:rPr>
        <w:t>Clinical information</w:t>
      </w:r>
    </w:p>
    <w:p w:rsidR="00356C8D" w:rsidRPr="00C71A60" w:rsidRDefault="006B2A48" w:rsidP="004227BB">
      <w:pPr>
        <w:pStyle w:val="Healthbody"/>
        <w:numPr>
          <w:ilvl w:val="0"/>
          <w:numId w:val="7"/>
        </w:numPr>
        <w:spacing w:after="0" w:line="312" w:lineRule="auto"/>
        <w:rPr>
          <w:lang w:eastAsia="en-AU"/>
        </w:rPr>
      </w:pPr>
      <w:r>
        <w:rPr>
          <w:lang w:eastAsia="en-AU"/>
        </w:rPr>
        <w:t>Dates of admission and</w:t>
      </w:r>
      <w:r w:rsidR="00356C8D" w:rsidRPr="00C71A60">
        <w:rPr>
          <w:lang w:eastAsia="en-AU"/>
        </w:rPr>
        <w:t xml:space="preserve"> </w:t>
      </w:r>
      <w:r w:rsidR="004C2D98">
        <w:rPr>
          <w:lang w:eastAsia="en-AU"/>
        </w:rPr>
        <w:t>transfer of care</w:t>
      </w:r>
    </w:p>
    <w:p w:rsidR="00356C8D" w:rsidRPr="00C71A60" w:rsidRDefault="00356C8D" w:rsidP="004227BB">
      <w:pPr>
        <w:pStyle w:val="Healthbody"/>
        <w:numPr>
          <w:ilvl w:val="0"/>
          <w:numId w:val="7"/>
        </w:numPr>
        <w:spacing w:after="0" w:line="312" w:lineRule="auto"/>
        <w:rPr>
          <w:lang w:eastAsia="en-AU"/>
        </w:rPr>
      </w:pPr>
      <w:r w:rsidRPr="00C71A60">
        <w:rPr>
          <w:lang w:eastAsia="en-AU"/>
        </w:rPr>
        <w:t>Reason for admission</w:t>
      </w:r>
    </w:p>
    <w:p w:rsidR="00356C8D" w:rsidRPr="00C71A60" w:rsidRDefault="00356C8D" w:rsidP="004227BB">
      <w:pPr>
        <w:pStyle w:val="Healthbody"/>
        <w:numPr>
          <w:ilvl w:val="0"/>
          <w:numId w:val="7"/>
        </w:numPr>
        <w:spacing w:after="0" w:line="312" w:lineRule="auto"/>
        <w:rPr>
          <w:lang w:eastAsia="en-AU"/>
        </w:rPr>
      </w:pPr>
      <w:r w:rsidRPr="00C71A60">
        <w:rPr>
          <w:lang w:eastAsia="en-AU"/>
        </w:rPr>
        <w:t>Physical examination results</w:t>
      </w:r>
    </w:p>
    <w:p w:rsidR="00356C8D" w:rsidRPr="00C71A60" w:rsidRDefault="00356C8D" w:rsidP="004227BB">
      <w:pPr>
        <w:pStyle w:val="Healthbody"/>
        <w:numPr>
          <w:ilvl w:val="0"/>
          <w:numId w:val="7"/>
        </w:numPr>
        <w:spacing w:after="0" w:line="312" w:lineRule="auto"/>
        <w:rPr>
          <w:lang w:eastAsia="en-AU"/>
        </w:rPr>
      </w:pPr>
      <w:r w:rsidRPr="00C71A60">
        <w:rPr>
          <w:lang w:eastAsia="en-AU"/>
        </w:rPr>
        <w:t>Management to date and response to treatment</w:t>
      </w:r>
    </w:p>
    <w:p w:rsidR="00356C8D" w:rsidRPr="00C71A60" w:rsidRDefault="00356C8D" w:rsidP="004227BB">
      <w:pPr>
        <w:pStyle w:val="Healthbody"/>
        <w:numPr>
          <w:ilvl w:val="0"/>
          <w:numId w:val="7"/>
        </w:numPr>
        <w:spacing w:after="0" w:line="312" w:lineRule="auto"/>
        <w:rPr>
          <w:lang w:eastAsia="en-AU"/>
        </w:rPr>
      </w:pPr>
      <w:r w:rsidRPr="00C71A60">
        <w:rPr>
          <w:lang w:eastAsia="en-AU"/>
        </w:rPr>
        <w:t>Investigation results</w:t>
      </w:r>
    </w:p>
    <w:p w:rsidR="00356C8D" w:rsidRPr="00C71A60" w:rsidRDefault="004C2D98" w:rsidP="004227BB">
      <w:pPr>
        <w:pStyle w:val="Healthbody"/>
        <w:numPr>
          <w:ilvl w:val="0"/>
          <w:numId w:val="7"/>
        </w:numPr>
        <w:spacing w:after="0" w:line="312" w:lineRule="auto"/>
        <w:rPr>
          <w:lang w:eastAsia="en-AU"/>
        </w:rPr>
      </w:pPr>
      <w:r>
        <w:rPr>
          <w:lang w:eastAsia="en-AU"/>
        </w:rPr>
        <w:t>Transfer of care</w:t>
      </w:r>
      <w:r w:rsidR="006B2A48">
        <w:rPr>
          <w:lang w:eastAsia="en-AU"/>
        </w:rPr>
        <w:t xml:space="preserve"> diagnosis</w:t>
      </w:r>
      <w:r w:rsidR="00F43301">
        <w:rPr>
          <w:lang w:eastAsia="en-AU"/>
        </w:rPr>
        <w:t xml:space="preserve"> </w:t>
      </w:r>
    </w:p>
    <w:p w:rsidR="00356C8D" w:rsidRPr="00C71A60" w:rsidRDefault="006B2A48" w:rsidP="004227BB">
      <w:pPr>
        <w:pStyle w:val="Healthbody"/>
        <w:numPr>
          <w:ilvl w:val="0"/>
          <w:numId w:val="7"/>
        </w:numPr>
        <w:spacing w:after="0" w:line="312" w:lineRule="auto"/>
        <w:rPr>
          <w:lang w:eastAsia="en-AU"/>
        </w:rPr>
      </w:pPr>
      <w:r>
        <w:rPr>
          <w:lang w:eastAsia="en-AU"/>
        </w:rPr>
        <w:t>Surgery/</w:t>
      </w:r>
      <w:r w:rsidR="00356C8D" w:rsidRPr="00C71A60">
        <w:rPr>
          <w:lang w:eastAsia="en-AU"/>
        </w:rPr>
        <w:t>interventions performed</w:t>
      </w:r>
    </w:p>
    <w:p w:rsidR="00356C8D" w:rsidRPr="00C71A60" w:rsidRDefault="00356C8D" w:rsidP="004227BB">
      <w:pPr>
        <w:pStyle w:val="Healthbody"/>
        <w:numPr>
          <w:ilvl w:val="0"/>
          <w:numId w:val="7"/>
        </w:numPr>
        <w:spacing w:after="0" w:line="312" w:lineRule="auto"/>
        <w:rPr>
          <w:lang w:eastAsia="en-AU"/>
        </w:rPr>
      </w:pPr>
      <w:r w:rsidRPr="00C71A60">
        <w:rPr>
          <w:lang w:eastAsia="en-AU"/>
        </w:rPr>
        <w:t>Complications/deviations from the expected care pathway</w:t>
      </w:r>
    </w:p>
    <w:p w:rsidR="00356C8D" w:rsidRPr="00C71A60" w:rsidRDefault="00356C8D" w:rsidP="004227BB">
      <w:pPr>
        <w:pStyle w:val="Healthbody"/>
        <w:numPr>
          <w:ilvl w:val="0"/>
          <w:numId w:val="7"/>
        </w:numPr>
        <w:spacing w:after="0" w:line="312" w:lineRule="auto"/>
        <w:rPr>
          <w:lang w:eastAsia="en-AU"/>
        </w:rPr>
      </w:pPr>
      <w:r w:rsidRPr="00C71A60">
        <w:rPr>
          <w:lang w:eastAsia="en-AU"/>
        </w:rPr>
        <w:t>Associated comorbidities</w:t>
      </w:r>
    </w:p>
    <w:p w:rsidR="00356C8D" w:rsidRDefault="00356C8D" w:rsidP="004227BB">
      <w:pPr>
        <w:pStyle w:val="Healthbody"/>
        <w:numPr>
          <w:ilvl w:val="0"/>
          <w:numId w:val="7"/>
        </w:numPr>
        <w:spacing w:after="0" w:line="312" w:lineRule="auto"/>
        <w:rPr>
          <w:lang w:eastAsia="en-AU"/>
        </w:rPr>
      </w:pPr>
      <w:r w:rsidRPr="00C71A60">
        <w:rPr>
          <w:lang w:eastAsia="en-AU"/>
        </w:rPr>
        <w:t>Relevant social or special needs</w:t>
      </w:r>
    </w:p>
    <w:p w:rsidR="00356C8D" w:rsidRPr="00C71A60" w:rsidRDefault="00356C8D" w:rsidP="004227BB">
      <w:pPr>
        <w:pStyle w:val="Healthbody"/>
        <w:numPr>
          <w:ilvl w:val="0"/>
          <w:numId w:val="7"/>
        </w:numPr>
        <w:spacing w:after="0" w:line="312" w:lineRule="auto"/>
        <w:rPr>
          <w:lang w:eastAsia="en-AU"/>
        </w:rPr>
      </w:pPr>
      <w:r>
        <w:rPr>
          <w:lang w:eastAsia="en-AU"/>
        </w:rPr>
        <w:t>Infectious status</w:t>
      </w:r>
    </w:p>
    <w:p w:rsidR="00356C8D" w:rsidRPr="00C71A60" w:rsidRDefault="00356C8D" w:rsidP="004227BB">
      <w:pPr>
        <w:pStyle w:val="Healthbody"/>
        <w:numPr>
          <w:ilvl w:val="0"/>
          <w:numId w:val="7"/>
        </w:numPr>
        <w:spacing w:after="0" w:line="312" w:lineRule="auto"/>
        <w:rPr>
          <w:lang w:eastAsia="en-AU"/>
        </w:rPr>
      </w:pPr>
      <w:r w:rsidRPr="00C71A60">
        <w:rPr>
          <w:lang w:eastAsia="en-AU"/>
        </w:rPr>
        <w:t>Allergies or warnings</w:t>
      </w:r>
    </w:p>
    <w:p w:rsidR="00356C8D" w:rsidRPr="00C71A60" w:rsidRDefault="00356C8D" w:rsidP="004227BB">
      <w:pPr>
        <w:pStyle w:val="Healthbody"/>
        <w:numPr>
          <w:ilvl w:val="0"/>
          <w:numId w:val="7"/>
        </w:numPr>
        <w:spacing w:after="0" w:line="312" w:lineRule="auto"/>
        <w:rPr>
          <w:lang w:eastAsia="en-AU"/>
        </w:rPr>
      </w:pPr>
      <w:r w:rsidRPr="00C71A60">
        <w:rPr>
          <w:lang w:eastAsia="en-AU"/>
        </w:rPr>
        <w:t>Complete medication list</w:t>
      </w:r>
    </w:p>
    <w:p w:rsidR="006B2A48" w:rsidRPr="00C71A60" w:rsidRDefault="00356C8D" w:rsidP="004227BB">
      <w:pPr>
        <w:pStyle w:val="Healthbody"/>
        <w:numPr>
          <w:ilvl w:val="0"/>
          <w:numId w:val="7"/>
        </w:numPr>
        <w:spacing w:after="0" w:line="312" w:lineRule="auto"/>
        <w:rPr>
          <w:lang w:eastAsia="en-AU"/>
        </w:rPr>
      </w:pPr>
      <w:r w:rsidRPr="00C71A60">
        <w:rPr>
          <w:lang w:eastAsia="en-AU"/>
        </w:rPr>
        <w:t>Details of person(s) appointed to make decisions on the patient</w:t>
      </w:r>
      <w:r w:rsidRPr="0005228B">
        <w:rPr>
          <w:lang w:eastAsia="en-AU"/>
        </w:rPr>
        <w:t>’</w:t>
      </w:r>
      <w:r w:rsidRPr="00C71A60">
        <w:rPr>
          <w:lang w:eastAsia="en-AU"/>
        </w:rPr>
        <w:t>s behalf</w:t>
      </w:r>
      <w:r w:rsidR="006B2A48">
        <w:rPr>
          <w:lang w:eastAsia="en-AU"/>
        </w:rPr>
        <w:t xml:space="preserve"> </w:t>
      </w:r>
      <w:r w:rsidR="006B2A48" w:rsidRPr="00C71A60">
        <w:rPr>
          <w:lang w:eastAsia="en-AU"/>
        </w:rPr>
        <w:t>(where relevant)</w:t>
      </w:r>
    </w:p>
    <w:p w:rsidR="00356C8D" w:rsidRPr="00C71A60" w:rsidRDefault="00356C8D" w:rsidP="004227BB">
      <w:pPr>
        <w:pStyle w:val="Healthbody"/>
        <w:numPr>
          <w:ilvl w:val="0"/>
          <w:numId w:val="7"/>
        </w:numPr>
        <w:spacing w:after="0" w:line="312" w:lineRule="auto"/>
        <w:rPr>
          <w:lang w:eastAsia="en-AU"/>
        </w:rPr>
      </w:pPr>
      <w:r w:rsidRPr="00C71A60">
        <w:rPr>
          <w:lang w:eastAsia="en-AU"/>
        </w:rPr>
        <w:t>Details of advance care planning (where relevant)</w:t>
      </w:r>
    </w:p>
    <w:p w:rsidR="004227BB" w:rsidRPr="004227BB" w:rsidRDefault="004227BB" w:rsidP="004227BB">
      <w:pPr>
        <w:pStyle w:val="Healthbody"/>
        <w:spacing w:after="0" w:line="312" w:lineRule="auto"/>
        <w:rPr>
          <w:b/>
          <w:sz w:val="16"/>
          <w:szCs w:val="16"/>
          <w:lang w:eastAsia="en-AU"/>
        </w:rPr>
      </w:pPr>
    </w:p>
    <w:p w:rsidR="00356C8D" w:rsidRPr="00DD5AA2" w:rsidRDefault="00356C8D" w:rsidP="004227BB">
      <w:pPr>
        <w:pStyle w:val="Healthbody"/>
        <w:spacing w:after="0" w:line="312" w:lineRule="auto"/>
        <w:rPr>
          <w:b/>
          <w:lang w:eastAsia="en-AU"/>
        </w:rPr>
      </w:pPr>
      <w:r w:rsidRPr="00DD5AA2">
        <w:rPr>
          <w:b/>
          <w:lang w:eastAsia="en-AU"/>
        </w:rPr>
        <w:t>Post-acute follow-up</w:t>
      </w:r>
    </w:p>
    <w:p w:rsidR="00356C8D" w:rsidRPr="00C71A60" w:rsidRDefault="004C2D98" w:rsidP="004227BB">
      <w:pPr>
        <w:pStyle w:val="Healthbody"/>
        <w:numPr>
          <w:ilvl w:val="0"/>
          <w:numId w:val="7"/>
        </w:numPr>
        <w:spacing w:after="0" w:line="312" w:lineRule="auto"/>
        <w:rPr>
          <w:lang w:eastAsia="en-AU"/>
        </w:rPr>
      </w:pPr>
      <w:r>
        <w:rPr>
          <w:lang w:eastAsia="en-AU"/>
        </w:rPr>
        <w:t>Transfer of care</w:t>
      </w:r>
      <w:r w:rsidR="00356C8D" w:rsidRPr="00C71A60">
        <w:rPr>
          <w:lang w:eastAsia="en-AU"/>
        </w:rPr>
        <w:t xml:space="preserve"> destination</w:t>
      </w:r>
    </w:p>
    <w:p w:rsidR="00356C8D" w:rsidRPr="00C71A60" w:rsidRDefault="00356C8D" w:rsidP="004227BB">
      <w:pPr>
        <w:pStyle w:val="Healthbody"/>
        <w:numPr>
          <w:ilvl w:val="0"/>
          <w:numId w:val="7"/>
        </w:numPr>
        <w:spacing w:after="0" w:line="312" w:lineRule="auto"/>
        <w:rPr>
          <w:lang w:eastAsia="en-AU"/>
        </w:rPr>
      </w:pPr>
      <w:r w:rsidRPr="00C71A60">
        <w:rPr>
          <w:lang w:eastAsia="en-AU"/>
        </w:rPr>
        <w:t xml:space="preserve">Medical management plan post </w:t>
      </w:r>
      <w:r w:rsidR="004C2D98">
        <w:rPr>
          <w:lang w:eastAsia="en-AU"/>
        </w:rPr>
        <w:t>transfer of care</w:t>
      </w:r>
    </w:p>
    <w:p w:rsidR="00356C8D" w:rsidRPr="00C71A60" w:rsidRDefault="00356C8D" w:rsidP="004227BB">
      <w:pPr>
        <w:pStyle w:val="Healthbody"/>
        <w:numPr>
          <w:ilvl w:val="0"/>
          <w:numId w:val="7"/>
        </w:numPr>
        <w:spacing w:after="0" w:line="312" w:lineRule="auto"/>
        <w:rPr>
          <w:lang w:eastAsia="en-AU"/>
        </w:rPr>
      </w:pPr>
      <w:r w:rsidRPr="00C71A60">
        <w:rPr>
          <w:lang w:eastAsia="en-AU"/>
        </w:rPr>
        <w:t xml:space="preserve">Services arranged to support </w:t>
      </w:r>
      <w:r w:rsidR="00F43245">
        <w:rPr>
          <w:lang w:eastAsia="en-AU"/>
        </w:rPr>
        <w:t xml:space="preserve">the </w:t>
      </w:r>
      <w:r w:rsidRPr="00C71A60">
        <w:rPr>
          <w:lang w:eastAsia="en-AU"/>
        </w:rPr>
        <w:t>patient in the post-acute period</w:t>
      </w:r>
    </w:p>
    <w:p w:rsidR="00356C8D" w:rsidRPr="00C71A60" w:rsidRDefault="00356C8D" w:rsidP="004227BB">
      <w:pPr>
        <w:pStyle w:val="Healthbody"/>
        <w:numPr>
          <w:ilvl w:val="1"/>
          <w:numId w:val="7"/>
        </w:numPr>
        <w:spacing w:after="0" w:line="312" w:lineRule="auto"/>
        <w:rPr>
          <w:lang w:eastAsia="en-AU"/>
        </w:rPr>
      </w:pPr>
      <w:r w:rsidRPr="00C71A60">
        <w:rPr>
          <w:lang w:eastAsia="en-AU"/>
        </w:rPr>
        <w:t xml:space="preserve">Nature of the service </w:t>
      </w:r>
    </w:p>
    <w:p w:rsidR="00356C8D" w:rsidRPr="00C71A60" w:rsidRDefault="00356C8D" w:rsidP="004227BB">
      <w:pPr>
        <w:pStyle w:val="Healthbody"/>
        <w:numPr>
          <w:ilvl w:val="1"/>
          <w:numId w:val="7"/>
        </w:numPr>
        <w:spacing w:after="0" w:line="312" w:lineRule="auto"/>
        <w:rPr>
          <w:lang w:eastAsia="en-AU"/>
        </w:rPr>
      </w:pPr>
      <w:r w:rsidRPr="00C71A60">
        <w:rPr>
          <w:lang w:eastAsia="en-AU"/>
        </w:rPr>
        <w:t>Anticipated commencement date</w:t>
      </w:r>
    </w:p>
    <w:p w:rsidR="00356C8D" w:rsidRPr="00C71A60" w:rsidRDefault="00356C8D" w:rsidP="004227BB">
      <w:pPr>
        <w:pStyle w:val="Healthbody"/>
        <w:numPr>
          <w:ilvl w:val="1"/>
          <w:numId w:val="7"/>
        </w:numPr>
        <w:spacing w:after="0" w:line="312" w:lineRule="auto"/>
        <w:rPr>
          <w:lang w:eastAsia="en-AU"/>
        </w:rPr>
      </w:pPr>
      <w:r w:rsidRPr="00C71A60">
        <w:rPr>
          <w:lang w:eastAsia="en-AU"/>
        </w:rPr>
        <w:t>Anticipated duration of service</w:t>
      </w:r>
    </w:p>
    <w:p w:rsidR="00356C8D" w:rsidRPr="00C71A60" w:rsidRDefault="00356C8D" w:rsidP="004227BB">
      <w:pPr>
        <w:pStyle w:val="Healthbody"/>
        <w:numPr>
          <w:ilvl w:val="0"/>
          <w:numId w:val="7"/>
        </w:numPr>
        <w:spacing w:after="0" w:line="312" w:lineRule="auto"/>
        <w:rPr>
          <w:lang w:eastAsia="en-AU"/>
        </w:rPr>
      </w:pPr>
      <w:r w:rsidRPr="00C71A60">
        <w:rPr>
          <w:lang w:eastAsia="en-AU"/>
        </w:rPr>
        <w:t>D</w:t>
      </w:r>
      <w:r w:rsidR="006B2A48">
        <w:rPr>
          <w:lang w:eastAsia="en-AU"/>
        </w:rPr>
        <w:t>etails of post-surgical advice</w:t>
      </w:r>
      <w:r w:rsidR="00F43245">
        <w:rPr>
          <w:lang w:eastAsia="en-AU"/>
        </w:rPr>
        <w:t xml:space="preserve"> </w:t>
      </w:r>
      <w:r w:rsidR="006B2A48">
        <w:rPr>
          <w:lang w:eastAsia="en-AU"/>
        </w:rPr>
        <w:t>/</w:t>
      </w:r>
      <w:r w:rsidR="00F43245">
        <w:rPr>
          <w:lang w:eastAsia="en-AU"/>
        </w:rPr>
        <w:t xml:space="preserve"> </w:t>
      </w:r>
      <w:r w:rsidRPr="00C71A60">
        <w:rPr>
          <w:lang w:eastAsia="en-AU"/>
        </w:rPr>
        <w:t>management plan as agreed with the patient</w:t>
      </w:r>
    </w:p>
    <w:p w:rsidR="00356C8D" w:rsidRPr="00C71A60" w:rsidRDefault="00356C8D" w:rsidP="004227BB">
      <w:pPr>
        <w:pStyle w:val="Healthbody"/>
        <w:numPr>
          <w:ilvl w:val="0"/>
          <w:numId w:val="7"/>
        </w:numPr>
        <w:spacing w:after="0" w:line="312" w:lineRule="auto"/>
        <w:rPr>
          <w:lang w:eastAsia="en-AU"/>
        </w:rPr>
      </w:pPr>
      <w:r w:rsidRPr="00C71A60">
        <w:rPr>
          <w:lang w:eastAsia="en-AU"/>
        </w:rPr>
        <w:t>Follow-up specialist clinics (outpatient) appointments</w:t>
      </w:r>
    </w:p>
    <w:p w:rsidR="00356C8D" w:rsidRDefault="00356C8D" w:rsidP="004227BB">
      <w:pPr>
        <w:pStyle w:val="Healthbody"/>
        <w:numPr>
          <w:ilvl w:val="0"/>
          <w:numId w:val="7"/>
        </w:numPr>
        <w:spacing w:after="0" w:line="312" w:lineRule="auto"/>
        <w:rPr>
          <w:lang w:eastAsia="en-AU"/>
        </w:rPr>
      </w:pPr>
      <w:r w:rsidRPr="00C71A60">
        <w:rPr>
          <w:lang w:eastAsia="en-AU"/>
        </w:rPr>
        <w:t>Follow-up investigations</w:t>
      </w:r>
    </w:p>
    <w:sectPr w:rsidR="00356C8D" w:rsidSect="00CE03CD">
      <w:footerReference w:type="default" r:id="rId31"/>
      <w:endnotePr>
        <w:numFmt w:val="decimal"/>
      </w:endnotePr>
      <w:pgSz w:w="11906" w:h="16838" w:code="9"/>
      <w:pgMar w:top="1134" w:right="1304" w:bottom="1134" w:left="1304" w:header="454" w:footer="567" w:gutter="0"/>
      <w:pgNumType w:start="1"/>
      <w:cols w:space="720"/>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54E" w:rsidRDefault="003A754E">
      <w:r>
        <w:separator/>
      </w:r>
    </w:p>
  </w:endnote>
  <w:endnote w:type="continuationSeparator" w:id="0">
    <w:p w:rsidR="003A754E" w:rsidRDefault="003A7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54E" w:rsidRPr="008114D1" w:rsidRDefault="003A754E" w:rsidP="004C6134">
    <w:pPr>
      <w:pStyle w:val="Healthfooter"/>
    </w:pPr>
    <w:r>
      <w:t xml:space="preserve">Page </w:t>
    </w:r>
    <w:r>
      <w:fldChar w:fldCharType="begin"/>
    </w:r>
    <w:r>
      <w:instrText xml:space="preserve"> PAGE </w:instrText>
    </w:r>
    <w:r>
      <w:fldChar w:fldCharType="separate"/>
    </w:r>
    <w:r w:rsidRPr="005A39EC">
      <w:rPr>
        <w:noProof/>
      </w:rPr>
      <w:t>2</w:t>
    </w:r>
    <w:r>
      <w:rPr>
        <w:noProof/>
      </w:rPr>
      <w:fldChar w:fldCharType="end"/>
    </w:r>
    <w:r w:rsidRPr="005A39EC">
      <w:tab/>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54E" w:rsidRPr="008114D1" w:rsidRDefault="003A754E" w:rsidP="004C6134">
    <w:pPr>
      <w:pStyle w:val="Healthfooter"/>
    </w:pPr>
    <w:r>
      <w:t xml:space="preserve">Page </w:t>
    </w:r>
    <w:r>
      <w:fldChar w:fldCharType="begin"/>
    </w:r>
    <w:r>
      <w:instrText xml:space="preserve"> PAGE </w:instrText>
    </w:r>
    <w:r>
      <w:fldChar w:fldCharType="separate"/>
    </w:r>
    <w:r w:rsidR="00545392">
      <w:rPr>
        <w:noProof/>
      </w:rPr>
      <w:t>14</w:t>
    </w:r>
    <w:r>
      <w:rPr>
        <w:noProof/>
      </w:rPr>
      <w:fldChar w:fldCharType="end"/>
    </w:r>
    <w:r w:rsidRPr="005A39EC">
      <w:tab/>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54E" w:rsidRPr="005A39EC" w:rsidRDefault="003A754E" w:rsidP="004C6134">
    <w:pPr>
      <w:pStyle w:val="Healthfooter"/>
    </w:pPr>
    <w:r>
      <w:tab/>
      <w:t xml:space="preserve">Page </w:t>
    </w:r>
    <w:r>
      <w:fldChar w:fldCharType="begin"/>
    </w:r>
    <w:r>
      <w:instrText xml:space="preserve"> PAGE </w:instrText>
    </w:r>
    <w:r>
      <w:fldChar w:fldCharType="separate"/>
    </w:r>
    <w:r w:rsidR="00545392">
      <w:rPr>
        <w:noProof/>
      </w:rPr>
      <w:t>13</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54E" w:rsidRPr="001A7E04" w:rsidRDefault="003A754E" w:rsidP="00581ECB">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54E" w:rsidRPr="005A39EC" w:rsidRDefault="003A754E" w:rsidP="004C6134">
    <w:pPr>
      <w:pStyle w:val="Healthfooter"/>
    </w:pPr>
    <w:r>
      <w:tab/>
      <w:t xml:space="preserve">Page </w:t>
    </w:r>
    <w:r>
      <w:fldChar w:fldCharType="begin"/>
    </w:r>
    <w:r>
      <w:instrText xml:space="preserve"> PAGE </w:instrText>
    </w:r>
    <w:r>
      <w:fldChar w:fldCharType="separate"/>
    </w:r>
    <w:r w:rsidR="00545392">
      <w:rPr>
        <w:noProof/>
      </w:rPr>
      <w:t>1</w:t>
    </w:r>
    <w:r>
      <w:rPr>
        <w:noProof/>
      </w:rPr>
      <w:fldChar w:fldCharType="end"/>
    </w:r>
    <w:r>
      <w:rPr>
        <w:noProof/>
      </w:rPr>
      <w:t>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54E" w:rsidRPr="005A39EC" w:rsidRDefault="003A754E" w:rsidP="004C6134">
    <w:pPr>
      <w:pStyle w:val="Healthfooter"/>
    </w:pPr>
    <w:r>
      <w:tab/>
      <w:t xml:space="preserve">Page </w:t>
    </w:r>
    <w:r>
      <w:fldChar w:fldCharType="begin"/>
    </w:r>
    <w:r>
      <w:instrText xml:space="preserve"> PAGE </w:instrText>
    </w:r>
    <w:r>
      <w:fldChar w:fldCharType="separate"/>
    </w:r>
    <w:r w:rsidRPr="005A39EC">
      <w:rPr>
        <w:noProof/>
      </w:rPr>
      <w:t>7</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54E" w:rsidRPr="001A7E04" w:rsidRDefault="003A754E" w:rsidP="004C6134">
    <w:pPr>
      <w:pStyle w:val="Healthfootercover"/>
      <w:rPr>
        <w:lang w:val="ru-RU"/>
      </w:rPr>
    </w:pPr>
    <w:r>
      <w:rPr>
        <w:noProof/>
        <w:lang w:eastAsia="en-AU"/>
      </w:rPr>
      <w:drawing>
        <wp:anchor distT="0" distB="0" distL="114300" distR="114300" simplePos="0" relativeHeight="251651072" behindDoc="0" locked="0" layoutInCell="1" allowOverlap="1" wp14:anchorId="1551540B" wp14:editId="6C11EE67">
          <wp:simplePos x="0" y="0"/>
          <wp:positionH relativeFrom="page">
            <wp:posOffset>791845</wp:posOffset>
          </wp:positionH>
          <wp:positionV relativeFrom="page">
            <wp:posOffset>10081260</wp:posOffset>
          </wp:positionV>
          <wp:extent cx="723900" cy="4191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419100"/>
                  </a:xfrm>
                  <a:prstGeom prst="rect">
                    <a:avLst/>
                  </a:prstGeom>
                  <a:noFill/>
                </pic:spPr>
              </pic:pic>
            </a:graphicData>
          </a:graphic>
        </wp:anchor>
      </w:drawing>
    </w:r>
    <w:r w:rsidRPr="001A7E04">
      <w:rPr>
        <w:lang w:val="ru-RU"/>
      </w:rPr>
      <w:t>Department of Health</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54E" w:rsidRPr="008114D1" w:rsidRDefault="003A754E" w:rsidP="004C6134">
    <w:pPr>
      <w:pStyle w:val="Healthfooter"/>
    </w:pPr>
    <w:r>
      <w:t xml:space="preserve">Page </w:t>
    </w:r>
    <w:r>
      <w:fldChar w:fldCharType="begin"/>
    </w:r>
    <w:r>
      <w:instrText xml:space="preserve"> PAGE </w:instrText>
    </w:r>
    <w:r>
      <w:fldChar w:fldCharType="separate"/>
    </w:r>
    <w:r w:rsidR="00601F4C">
      <w:rPr>
        <w:noProof/>
      </w:rPr>
      <w:t>4</w:t>
    </w:r>
    <w:r>
      <w:rPr>
        <w:noProof/>
      </w:rPr>
      <w:fldChar w:fldCharType="end"/>
    </w:r>
    <w:r w:rsidRPr="005A39EC">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54E" w:rsidRPr="005A39EC" w:rsidRDefault="003A754E" w:rsidP="004C6134">
    <w:pPr>
      <w:pStyle w:val="Healthfooter"/>
    </w:pPr>
    <w:r>
      <w:tab/>
      <w:t xml:space="preserve">Page </w:t>
    </w:r>
    <w:r>
      <w:fldChar w:fldCharType="begin"/>
    </w:r>
    <w:r>
      <w:instrText xml:space="preserve"> PAGE </w:instrText>
    </w:r>
    <w:r>
      <w:fldChar w:fldCharType="separate"/>
    </w:r>
    <w:r w:rsidR="00545392">
      <w:rPr>
        <w:noProof/>
      </w:rPr>
      <w:t>3</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54E" w:rsidRPr="008732BC" w:rsidRDefault="003A754E" w:rsidP="00581ECB">
    <w:pPr>
      <w:pStyle w:val="Footer"/>
      <w:tabs>
        <w:tab w:val="clear" w:pos="4153"/>
        <w:tab w:val="clear" w:pos="8306"/>
      </w:tabs>
      <w:jc w:val="right"/>
      <w:rPr>
        <w:color w:val="808080"/>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54E" w:rsidRPr="008114D1" w:rsidRDefault="003A754E" w:rsidP="004C6134">
    <w:pPr>
      <w:pStyle w:val="Health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54E" w:rsidRPr="005A39EC" w:rsidRDefault="003A754E" w:rsidP="004C6134">
    <w:pPr>
      <w:pStyle w:val="Health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54E" w:rsidRPr="001A7E04" w:rsidRDefault="003A754E" w:rsidP="00581E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54E" w:rsidRDefault="003A754E">
      <w:r>
        <w:separator/>
      </w:r>
    </w:p>
  </w:footnote>
  <w:footnote w:type="continuationSeparator" w:id="0">
    <w:p w:rsidR="003A754E" w:rsidRDefault="003A754E">
      <w:r>
        <w:continuationSeparator/>
      </w:r>
    </w:p>
  </w:footnote>
  <w:footnote w:id="1">
    <w:p w:rsidR="003A754E" w:rsidRPr="000A51AC" w:rsidRDefault="003A754E">
      <w:pPr>
        <w:pStyle w:val="FootnoteText"/>
        <w:rPr>
          <w:rFonts w:ascii="Arial" w:hAnsi="Arial" w:cs="Arial"/>
          <w:sz w:val="16"/>
          <w:szCs w:val="16"/>
        </w:rPr>
      </w:pPr>
      <w:r w:rsidRPr="000A51AC">
        <w:rPr>
          <w:rStyle w:val="FootnoteReference"/>
          <w:rFonts w:ascii="Arial" w:hAnsi="Arial" w:cs="Arial"/>
          <w:sz w:val="16"/>
          <w:szCs w:val="16"/>
        </w:rPr>
        <w:footnoteRef/>
      </w:r>
      <w:r w:rsidRPr="000A51AC">
        <w:rPr>
          <w:rFonts w:ascii="Arial" w:hAnsi="Arial" w:cs="Arial"/>
          <w:sz w:val="16"/>
          <w:szCs w:val="16"/>
        </w:rPr>
        <w:t xml:space="preserve"> NSW Health 2012</w:t>
      </w:r>
      <w:proofErr w:type="gramStart"/>
      <w:r w:rsidRPr="000A51AC">
        <w:rPr>
          <w:rFonts w:ascii="Arial" w:hAnsi="Arial" w:cs="Arial"/>
          <w:sz w:val="16"/>
          <w:szCs w:val="16"/>
        </w:rPr>
        <w:t>,</w:t>
      </w:r>
      <w:r w:rsidRPr="000A51AC">
        <w:rPr>
          <w:rFonts w:ascii="Arial" w:hAnsi="Arial" w:cs="Arial"/>
          <w:i/>
          <w:sz w:val="16"/>
          <w:szCs w:val="16"/>
        </w:rPr>
        <w:t>Transfer</w:t>
      </w:r>
      <w:proofErr w:type="gramEnd"/>
      <w:r w:rsidRPr="000A51AC">
        <w:rPr>
          <w:rFonts w:ascii="Arial" w:hAnsi="Arial" w:cs="Arial"/>
          <w:i/>
          <w:sz w:val="16"/>
          <w:szCs w:val="16"/>
        </w:rPr>
        <w:t xml:space="preserve"> of care from mental health inpatient services,</w:t>
      </w:r>
      <w:r w:rsidRPr="000A51AC">
        <w:rPr>
          <w:rFonts w:ascii="Arial" w:hAnsi="Arial" w:cs="Arial"/>
          <w:sz w:val="16"/>
          <w:szCs w:val="16"/>
        </w:rPr>
        <w:t xml:space="preserve"> NSW Government, Sydney.</w:t>
      </w:r>
    </w:p>
  </w:footnote>
  <w:footnote w:id="2">
    <w:p w:rsidR="003A754E" w:rsidRPr="00D74E6E" w:rsidRDefault="003A754E">
      <w:pPr>
        <w:pStyle w:val="FootnoteText"/>
        <w:rPr>
          <w:rFonts w:ascii="Arial" w:hAnsi="Arial" w:cs="Arial"/>
          <w:sz w:val="16"/>
          <w:szCs w:val="16"/>
        </w:rPr>
      </w:pPr>
      <w:r w:rsidRPr="000A51AC">
        <w:rPr>
          <w:rStyle w:val="FootnoteReference"/>
          <w:rFonts w:ascii="Arial" w:hAnsi="Arial" w:cs="Arial"/>
          <w:sz w:val="16"/>
          <w:szCs w:val="16"/>
        </w:rPr>
        <w:footnoteRef/>
      </w:r>
      <w:r w:rsidRPr="000A51AC">
        <w:rPr>
          <w:rStyle w:val="FootnoteReference"/>
          <w:rFonts w:ascii="Arial" w:hAnsi="Arial" w:cs="Arial"/>
          <w:sz w:val="16"/>
          <w:szCs w:val="16"/>
        </w:rPr>
        <w:t xml:space="preserve"> </w:t>
      </w:r>
      <w:r w:rsidRPr="000A51AC">
        <w:rPr>
          <w:rFonts w:ascii="Arial" w:hAnsi="Arial" w:cs="Arial"/>
          <w:sz w:val="16"/>
          <w:szCs w:val="16"/>
        </w:rPr>
        <w:t>See &lt;</w:t>
      </w:r>
      <w:hyperlink r:id="rId1" w:history="1">
        <w:r w:rsidRPr="000A51AC">
          <w:rPr>
            <w:rFonts w:ascii="Arial" w:hAnsi="Arial" w:cs="Arial"/>
            <w:sz w:val="16"/>
            <w:szCs w:val="16"/>
          </w:rPr>
          <w:t>https://ama.com.au/position-statement/general-practicehospitals-transfer-care-arrangements-2013</w:t>
        </w:r>
      </w:hyperlink>
      <w:r w:rsidRPr="000A51AC">
        <w:rPr>
          <w:rFonts w:ascii="Arial" w:hAnsi="Arial" w:cs="Arial"/>
          <w:sz w:val="16"/>
          <w:szCs w:val="16"/>
        </w:rPr>
        <w:t>&gt;.</w:t>
      </w:r>
    </w:p>
  </w:footnote>
  <w:footnote w:id="3">
    <w:p w:rsidR="003A754E" w:rsidRPr="00095D2A" w:rsidRDefault="003A754E">
      <w:pPr>
        <w:pStyle w:val="FootnoteText"/>
        <w:rPr>
          <w:rFonts w:ascii="Arial" w:hAnsi="Arial" w:cs="Arial"/>
          <w:sz w:val="16"/>
          <w:szCs w:val="16"/>
        </w:rPr>
      </w:pPr>
      <w:r w:rsidRPr="00095D2A">
        <w:rPr>
          <w:rStyle w:val="FootnoteReference"/>
          <w:rFonts w:ascii="Arial" w:hAnsi="Arial" w:cs="Arial"/>
          <w:sz w:val="16"/>
          <w:szCs w:val="16"/>
        </w:rPr>
        <w:footnoteRef/>
      </w:r>
      <w:r w:rsidRPr="00095D2A">
        <w:rPr>
          <w:rFonts w:ascii="Arial" w:hAnsi="Arial" w:cs="Arial"/>
          <w:sz w:val="16"/>
          <w:szCs w:val="16"/>
        </w:rPr>
        <w:t xml:space="preserve"> Patient </w:t>
      </w:r>
      <w:r>
        <w:rPr>
          <w:rFonts w:ascii="Arial" w:hAnsi="Arial" w:cs="Arial"/>
          <w:sz w:val="16"/>
          <w:szCs w:val="16"/>
        </w:rPr>
        <w:t>t</w:t>
      </w:r>
      <w:r w:rsidRPr="00095D2A">
        <w:rPr>
          <w:rFonts w:ascii="Arial" w:hAnsi="Arial" w:cs="Arial"/>
          <w:sz w:val="16"/>
          <w:szCs w:val="16"/>
        </w:rPr>
        <w:t xml:space="preserve">reatment </w:t>
      </w:r>
      <w:r>
        <w:rPr>
          <w:rFonts w:ascii="Arial" w:hAnsi="Arial" w:cs="Arial"/>
          <w:sz w:val="16"/>
          <w:szCs w:val="16"/>
        </w:rPr>
        <w:t>c</w:t>
      </w:r>
      <w:r w:rsidRPr="00095D2A">
        <w:rPr>
          <w:rFonts w:ascii="Arial" w:hAnsi="Arial" w:cs="Arial"/>
          <w:sz w:val="16"/>
          <w:szCs w:val="16"/>
        </w:rPr>
        <w:t>oordinators can be called many different titles and have different roles</w:t>
      </w:r>
      <w:r>
        <w:rPr>
          <w:rFonts w:ascii="Arial" w:hAnsi="Arial" w:cs="Arial"/>
          <w:sz w:val="16"/>
          <w:szCs w:val="16"/>
        </w:rPr>
        <w:t>,</w:t>
      </w:r>
      <w:r w:rsidRPr="00095D2A">
        <w:rPr>
          <w:rFonts w:ascii="Arial" w:hAnsi="Arial" w:cs="Arial"/>
          <w:sz w:val="16"/>
          <w:szCs w:val="16"/>
        </w:rPr>
        <w:t xml:space="preserve"> but essentially their role is to implement coordinated and integrated care.</w:t>
      </w:r>
    </w:p>
  </w:footnote>
  <w:footnote w:id="4">
    <w:p w:rsidR="003A754E" w:rsidRDefault="003A754E">
      <w:pPr>
        <w:pStyle w:val="FootnoteText"/>
      </w:pPr>
      <w:r w:rsidRPr="00593AA4">
        <w:rPr>
          <w:rStyle w:val="FootnoteReference"/>
          <w:sz w:val="16"/>
          <w:szCs w:val="16"/>
        </w:rPr>
        <w:footnoteRef/>
      </w:r>
      <w:r>
        <w:t xml:space="preserve"> </w:t>
      </w:r>
      <w:r>
        <w:rPr>
          <w:rFonts w:ascii="Arial" w:hAnsi="Arial" w:cs="Arial"/>
          <w:sz w:val="16"/>
          <w:szCs w:val="16"/>
        </w:rPr>
        <w:t>See &lt;</w:t>
      </w:r>
      <w:hyperlink r:id="rId2" w:history="1">
        <w:r w:rsidRPr="00E917C3">
          <w:rPr>
            <w:rStyle w:val="Hyperlink"/>
            <w:rFonts w:ascii="Arial" w:hAnsi="Arial" w:cs="Arial"/>
            <w:color w:val="auto"/>
            <w:sz w:val="16"/>
            <w:szCs w:val="16"/>
            <w:u w:val="none"/>
          </w:rPr>
          <w:t>www.health.vic.gov.au/qualitycouncil</w:t>
        </w:r>
      </w:hyperlink>
      <w:r w:rsidRPr="00D74E6E">
        <w:rPr>
          <w:rFonts w:ascii="Arial" w:hAnsi="Arial" w:cs="Arial"/>
          <w:sz w:val="16"/>
          <w:szCs w:val="16"/>
        </w:rPr>
        <w:t>&gt;.</w:t>
      </w:r>
    </w:p>
  </w:footnote>
  <w:footnote w:id="5">
    <w:p w:rsidR="003A754E" w:rsidRPr="005578F5" w:rsidRDefault="003A754E">
      <w:pPr>
        <w:pStyle w:val="FootnoteText"/>
        <w:rPr>
          <w:rFonts w:ascii="Arial" w:hAnsi="Arial" w:cs="Arial"/>
          <w:sz w:val="16"/>
          <w:szCs w:val="16"/>
        </w:rPr>
      </w:pPr>
      <w:r w:rsidRPr="005578F5">
        <w:rPr>
          <w:rStyle w:val="FootnoteReference"/>
          <w:rFonts w:ascii="Arial" w:hAnsi="Arial" w:cs="Arial"/>
          <w:sz w:val="16"/>
          <w:szCs w:val="16"/>
        </w:rPr>
        <w:footnoteRef/>
      </w:r>
      <w:r w:rsidRPr="005578F5">
        <w:rPr>
          <w:rFonts w:ascii="Arial" w:hAnsi="Arial" w:cs="Arial"/>
          <w:sz w:val="16"/>
          <w:szCs w:val="16"/>
        </w:rPr>
        <w:t xml:space="preserve"> </w:t>
      </w:r>
      <w:r>
        <w:rPr>
          <w:rFonts w:ascii="Arial" w:hAnsi="Arial" w:cs="Arial"/>
          <w:sz w:val="16"/>
          <w:szCs w:val="16"/>
        </w:rPr>
        <w:t xml:space="preserve">See </w:t>
      </w:r>
      <w:hyperlink r:id="rId3" w:history="1">
        <w:r>
          <w:rPr>
            <w:rStyle w:val="Hyperlink"/>
            <w:rFonts w:ascii="Arial" w:hAnsi="Arial" w:cs="Arial"/>
            <w:color w:val="auto"/>
            <w:sz w:val="16"/>
            <w:szCs w:val="16"/>
            <w:u w:val="none"/>
          </w:rPr>
          <w:t>&lt;</w:t>
        </w:r>
        <w:r w:rsidRPr="005578F5">
          <w:rPr>
            <w:rStyle w:val="Hyperlink"/>
            <w:rFonts w:ascii="Arial" w:hAnsi="Arial" w:cs="Arial"/>
            <w:color w:val="auto"/>
            <w:sz w:val="16"/>
            <w:szCs w:val="16"/>
            <w:u w:val="none"/>
          </w:rPr>
          <w:t>www.health.vic.gov.au/pch/gpp/working</w:t>
        </w:r>
      </w:hyperlink>
      <w:r w:rsidRPr="00D74E6E">
        <w:rPr>
          <w:rFonts w:ascii="Arial" w:hAnsi="Arial" w:cs="Arial"/>
          <w:sz w:val="16"/>
          <w:szCs w:val="16"/>
        </w:rPr>
        <w:t>&gt;.</w:t>
      </w:r>
    </w:p>
  </w:footnote>
  <w:footnote w:id="6">
    <w:p w:rsidR="003A754E" w:rsidRPr="005578F5" w:rsidRDefault="003A754E">
      <w:pPr>
        <w:pStyle w:val="FootnoteText"/>
        <w:rPr>
          <w:rFonts w:ascii="Arial" w:hAnsi="Arial" w:cs="Arial"/>
          <w:sz w:val="16"/>
          <w:szCs w:val="16"/>
        </w:rPr>
      </w:pPr>
      <w:r w:rsidRPr="005578F5">
        <w:rPr>
          <w:rStyle w:val="FootnoteReference"/>
          <w:rFonts w:ascii="Arial" w:hAnsi="Arial" w:cs="Arial"/>
          <w:sz w:val="16"/>
          <w:szCs w:val="16"/>
        </w:rPr>
        <w:footnoteRef/>
      </w:r>
      <w:r w:rsidRPr="005578F5">
        <w:rPr>
          <w:rFonts w:ascii="Arial" w:hAnsi="Arial" w:cs="Arial"/>
          <w:sz w:val="16"/>
          <w:szCs w:val="16"/>
        </w:rPr>
        <w:t xml:space="preserve"> </w:t>
      </w:r>
      <w:r>
        <w:rPr>
          <w:rFonts w:ascii="Arial" w:hAnsi="Arial" w:cs="Arial"/>
          <w:sz w:val="16"/>
          <w:szCs w:val="16"/>
        </w:rPr>
        <w:t>See &lt;</w:t>
      </w:r>
      <w:hyperlink r:id="rId4" w:history="1">
        <w:r w:rsidRPr="005578F5">
          <w:rPr>
            <w:rStyle w:val="Hyperlink"/>
            <w:rFonts w:ascii="Arial" w:hAnsi="Arial" w:cs="Arial"/>
            <w:color w:val="auto"/>
            <w:sz w:val="16"/>
            <w:szCs w:val="16"/>
            <w:u w:val="none"/>
          </w:rPr>
          <w:t>www.nehta.gov.au</w:t>
        </w:r>
      </w:hyperlink>
      <w:r w:rsidRPr="00D74E6E">
        <w:rPr>
          <w:rFonts w:ascii="Arial" w:hAnsi="Arial" w:cs="Arial"/>
          <w:sz w:val="16"/>
          <w:szCs w:val="16"/>
        </w:rPr>
        <w:t>&gt;.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54E" w:rsidRDefault="003A75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54E" w:rsidRDefault="003A754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54E" w:rsidRDefault="003A754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54E" w:rsidRDefault="003A754E" w:rsidP="00581ECB">
    <w:pPr>
      <w:pStyle w:val="Health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54E" w:rsidRDefault="003A754E" w:rsidP="00581ECB">
    <w:pPr>
      <w:pStyle w:val="Health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54E" w:rsidRDefault="003A754E">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54E" w:rsidRDefault="003A754E" w:rsidP="00581ECB">
    <w:pPr>
      <w:pStyle w:val="Healthheader"/>
    </w:pPr>
    <w:r>
      <w:t>Transfer of care from acute inpatient services</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54E" w:rsidRDefault="003A754E" w:rsidP="00581ECB">
    <w:pPr>
      <w:pStyle w:val="Health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54E" w:rsidRDefault="003A75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162C2"/>
    <w:multiLevelType w:val="hybridMultilevel"/>
    <w:tmpl w:val="DBAE2F00"/>
    <w:lvl w:ilvl="0" w:tplc="0C090005">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720"/>
        </w:tabs>
        <w:ind w:left="720" w:hanging="360"/>
      </w:pPr>
      <w:rPr>
        <w:rFonts w:ascii="Courier New" w:hAnsi="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1">
    <w:nsid w:val="069656B7"/>
    <w:multiLevelType w:val="hybridMultilevel"/>
    <w:tmpl w:val="775448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B3C1D88"/>
    <w:multiLevelType w:val="hybridMultilevel"/>
    <w:tmpl w:val="279C0FF4"/>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
    <w:nsid w:val="13415963"/>
    <w:multiLevelType w:val="hybridMultilevel"/>
    <w:tmpl w:val="F7EA58EE"/>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nsid w:val="17B7044A"/>
    <w:multiLevelType w:val="hybridMultilevel"/>
    <w:tmpl w:val="8EB64290"/>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5">
    <w:nsid w:val="180660E2"/>
    <w:multiLevelType w:val="hybridMultilevel"/>
    <w:tmpl w:val="2F9A7730"/>
    <w:lvl w:ilvl="0" w:tplc="0C090001">
      <w:start w:val="1"/>
      <w:numFmt w:val="bullet"/>
      <w:lvlText w:val=""/>
      <w:lvlJc w:val="left"/>
      <w:pPr>
        <w:tabs>
          <w:tab w:val="num" w:pos="1080"/>
        </w:tabs>
        <w:ind w:left="1080" w:hanging="360"/>
      </w:pPr>
      <w:rPr>
        <w:rFonts w:ascii="Symbol" w:hAnsi="Symbol" w:hint="default"/>
      </w:rPr>
    </w:lvl>
    <w:lvl w:ilvl="1" w:tplc="0C090019">
      <w:start w:val="1"/>
      <w:numFmt w:val="lowerLetter"/>
      <w:lvlText w:val="%2."/>
      <w:lvlJc w:val="left"/>
      <w:pPr>
        <w:tabs>
          <w:tab w:val="num" w:pos="1800"/>
        </w:tabs>
        <w:ind w:left="1800" w:hanging="360"/>
      </w:pPr>
      <w:rPr>
        <w:rFonts w:cs="Times New Roman"/>
      </w:rPr>
    </w:lvl>
    <w:lvl w:ilvl="2" w:tplc="0C09001B" w:tentative="1">
      <w:start w:val="1"/>
      <w:numFmt w:val="lowerRoman"/>
      <w:lvlText w:val="%3."/>
      <w:lvlJc w:val="right"/>
      <w:pPr>
        <w:tabs>
          <w:tab w:val="num" w:pos="2520"/>
        </w:tabs>
        <w:ind w:left="2520" w:hanging="180"/>
      </w:pPr>
      <w:rPr>
        <w:rFonts w:cs="Times New Roman"/>
      </w:rPr>
    </w:lvl>
    <w:lvl w:ilvl="3" w:tplc="0C09000F" w:tentative="1">
      <w:start w:val="1"/>
      <w:numFmt w:val="decimal"/>
      <w:lvlText w:val="%4."/>
      <w:lvlJc w:val="left"/>
      <w:pPr>
        <w:tabs>
          <w:tab w:val="num" w:pos="3240"/>
        </w:tabs>
        <w:ind w:left="3240" w:hanging="360"/>
      </w:pPr>
      <w:rPr>
        <w:rFonts w:cs="Times New Roman"/>
      </w:rPr>
    </w:lvl>
    <w:lvl w:ilvl="4" w:tplc="0C090019" w:tentative="1">
      <w:start w:val="1"/>
      <w:numFmt w:val="lowerLetter"/>
      <w:lvlText w:val="%5."/>
      <w:lvlJc w:val="left"/>
      <w:pPr>
        <w:tabs>
          <w:tab w:val="num" w:pos="3960"/>
        </w:tabs>
        <w:ind w:left="3960" w:hanging="360"/>
      </w:pPr>
      <w:rPr>
        <w:rFonts w:cs="Times New Roman"/>
      </w:rPr>
    </w:lvl>
    <w:lvl w:ilvl="5" w:tplc="0C09001B" w:tentative="1">
      <w:start w:val="1"/>
      <w:numFmt w:val="lowerRoman"/>
      <w:lvlText w:val="%6."/>
      <w:lvlJc w:val="right"/>
      <w:pPr>
        <w:tabs>
          <w:tab w:val="num" w:pos="4680"/>
        </w:tabs>
        <w:ind w:left="4680" w:hanging="180"/>
      </w:pPr>
      <w:rPr>
        <w:rFonts w:cs="Times New Roman"/>
      </w:rPr>
    </w:lvl>
    <w:lvl w:ilvl="6" w:tplc="0C09000F" w:tentative="1">
      <w:start w:val="1"/>
      <w:numFmt w:val="decimal"/>
      <w:lvlText w:val="%7."/>
      <w:lvlJc w:val="left"/>
      <w:pPr>
        <w:tabs>
          <w:tab w:val="num" w:pos="5400"/>
        </w:tabs>
        <w:ind w:left="5400" w:hanging="360"/>
      </w:pPr>
      <w:rPr>
        <w:rFonts w:cs="Times New Roman"/>
      </w:rPr>
    </w:lvl>
    <w:lvl w:ilvl="7" w:tplc="0C090019" w:tentative="1">
      <w:start w:val="1"/>
      <w:numFmt w:val="lowerLetter"/>
      <w:lvlText w:val="%8."/>
      <w:lvlJc w:val="left"/>
      <w:pPr>
        <w:tabs>
          <w:tab w:val="num" w:pos="6120"/>
        </w:tabs>
        <w:ind w:left="6120" w:hanging="360"/>
      </w:pPr>
      <w:rPr>
        <w:rFonts w:cs="Times New Roman"/>
      </w:rPr>
    </w:lvl>
    <w:lvl w:ilvl="8" w:tplc="0C09001B" w:tentative="1">
      <w:start w:val="1"/>
      <w:numFmt w:val="lowerRoman"/>
      <w:lvlText w:val="%9."/>
      <w:lvlJc w:val="right"/>
      <w:pPr>
        <w:tabs>
          <w:tab w:val="num" w:pos="6840"/>
        </w:tabs>
        <w:ind w:left="6840" w:hanging="180"/>
      </w:pPr>
      <w:rPr>
        <w:rFonts w:cs="Times New Roman"/>
      </w:rPr>
    </w:lvl>
  </w:abstractNum>
  <w:abstractNum w:abstractNumId="6">
    <w:nsid w:val="1A9D1D5C"/>
    <w:multiLevelType w:val="hybridMultilevel"/>
    <w:tmpl w:val="31B41B0C"/>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206170CD"/>
    <w:multiLevelType w:val="hybridMultilevel"/>
    <w:tmpl w:val="2B4AFA16"/>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8">
    <w:nsid w:val="25B00A39"/>
    <w:multiLevelType w:val="hybridMultilevel"/>
    <w:tmpl w:val="9EE40EE8"/>
    <w:lvl w:ilvl="0" w:tplc="0C090001">
      <w:start w:val="1"/>
      <w:numFmt w:val="bullet"/>
      <w:lvlText w:val=""/>
      <w:lvlJc w:val="left"/>
      <w:pPr>
        <w:tabs>
          <w:tab w:val="num" w:pos="1080"/>
        </w:tabs>
        <w:ind w:left="1080" w:hanging="360"/>
      </w:pPr>
      <w:rPr>
        <w:rFonts w:ascii="Symbol" w:hAnsi="Symbol" w:hint="default"/>
      </w:rPr>
    </w:lvl>
    <w:lvl w:ilvl="1" w:tplc="0C090019">
      <w:start w:val="1"/>
      <w:numFmt w:val="lowerLetter"/>
      <w:lvlText w:val="%2."/>
      <w:lvlJc w:val="left"/>
      <w:pPr>
        <w:tabs>
          <w:tab w:val="num" w:pos="1800"/>
        </w:tabs>
        <w:ind w:left="1800" w:hanging="360"/>
      </w:pPr>
      <w:rPr>
        <w:rFonts w:cs="Times New Roman"/>
      </w:rPr>
    </w:lvl>
    <w:lvl w:ilvl="2" w:tplc="0C09001B" w:tentative="1">
      <w:start w:val="1"/>
      <w:numFmt w:val="lowerRoman"/>
      <w:lvlText w:val="%3."/>
      <w:lvlJc w:val="right"/>
      <w:pPr>
        <w:tabs>
          <w:tab w:val="num" w:pos="2520"/>
        </w:tabs>
        <w:ind w:left="2520" w:hanging="180"/>
      </w:pPr>
      <w:rPr>
        <w:rFonts w:cs="Times New Roman"/>
      </w:rPr>
    </w:lvl>
    <w:lvl w:ilvl="3" w:tplc="0C09000F" w:tentative="1">
      <w:start w:val="1"/>
      <w:numFmt w:val="decimal"/>
      <w:lvlText w:val="%4."/>
      <w:lvlJc w:val="left"/>
      <w:pPr>
        <w:tabs>
          <w:tab w:val="num" w:pos="3240"/>
        </w:tabs>
        <w:ind w:left="3240" w:hanging="360"/>
      </w:pPr>
      <w:rPr>
        <w:rFonts w:cs="Times New Roman"/>
      </w:rPr>
    </w:lvl>
    <w:lvl w:ilvl="4" w:tplc="0C090019" w:tentative="1">
      <w:start w:val="1"/>
      <w:numFmt w:val="lowerLetter"/>
      <w:lvlText w:val="%5."/>
      <w:lvlJc w:val="left"/>
      <w:pPr>
        <w:tabs>
          <w:tab w:val="num" w:pos="3960"/>
        </w:tabs>
        <w:ind w:left="3960" w:hanging="360"/>
      </w:pPr>
      <w:rPr>
        <w:rFonts w:cs="Times New Roman"/>
      </w:rPr>
    </w:lvl>
    <w:lvl w:ilvl="5" w:tplc="0C09001B" w:tentative="1">
      <w:start w:val="1"/>
      <w:numFmt w:val="lowerRoman"/>
      <w:lvlText w:val="%6."/>
      <w:lvlJc w:val="right"/>
      <w:pPr>
        <w:tabs>
          <w:tab w:val="num" w:pos="4680"/>
        </w:tabs>
        <w:ind w:left="4680" w:hanging="180"/>
      </w:pPr>
      <w:rPr>
        <w:rFonts w:cs="Times New Roman"/>
      </w:rPr>
    </w:lvl>
    <w:lvl w:ilvl="6" w:tplc="0C09000F" w:tentative="1">
      <w:start w:val="1"/>
      <w:numFmt w:val="decimal"/>
      <w:lvlText w:val="%7."/>
      <w:lvlJc w:val="left"/>
      <w:pPr>
        <w:tabs>
          <w:tab w:val="num" w:pos="5400"/>
        </w:tabs>
        <w:ind w:left="5400" w:hanging="360"/>
      </w:pPr>
      <w:rPr>
        <w:rFonts w:cs="Times New Roman"/>
      </w:rPr>
    </w:lvl>
    <w:lvl w:ilvl="7" w:tplc="0C090019" w:tentative="1">
      <w:start w:val="1"/>
      <w:numFmt w:val="lowerLetter"/>
      <w:lvlText w:val="%8."/>
      <w:lvlJc w:val="left"/>
      <w:pPr>
        <w:tabs>
          <w:tab w:val="num" w:pos="6120"/>
        </w:tabs>
        <w:ind w:left="6120" w:hanging="360"/>
      </w:pPr>
      <w:rPr>
        <w:rFonts w:cs="Times New Roman"/>
      </w:rPr>
    </w:lvl>
    <w:lvl w:ilvl="8" w:tplc="0C09001B" w:tentative="1">
      <w:start w:val="1"/>
      <w:numFmt w:val="lowerRoman"/>
      <w:lvlText w:val="%9."/>
      <w:lvlJc w:val="right"/>
      <w:pPr>
        <w:tabs>
          <w:tab w:val="num" w:pos="6840"/>
        </w:tabs>
        <w:ind w:left="6840" w:hanging="180"/>
      </w:pPr>
      <w:rPr>
        <w:rFonts w:cs="Times New Roman"/>
      </w:rPr>
    </w:lvl>
  </w:abstractNum>
  <w:abstractNum w:abstractNumId="9">
    <w:nsid w:val="26D8705A"/>
    <w:multiLevelType w:val="hybridMultilevel"/>
    <w:tmpl w:val="918E8B4A"/>
    <w:lvl w:ilvl="0" w:tplc="0C09000F">
      <w:start w:val="1"/>
      <w:numFmt w:val="decimal"/>
      <w:lvlText w:val="%1."/>
      <w:lvlJc w:val="left"/>
      <w:pPr>
        <w:ind w:left="1080" w:hanging="360"/>
      </w:pPr>
      <w:rPr>
        <w:rFonts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nsid w:val="2E5D4F52"/>
    <w:multiLevelType w:val="hybridMultilevel"/>
    <w:tmpl w:val="CF3491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30BD7DDD"/>
    <w:multiLevelType w:val="hybridMultilevel"/>
    <w:tmpl w:val="3F82D106"/>
    <w:lvl w:ilvl="0" w:tplc="9B72EB3E">
      <w:start w:val="1"/>
      <w:numFmt w:val="bullet"/>
      <w:lvlText w:val=""/>
      <w:lvlJc w:val="left"/>
      <w:pPr>
        <w:tabs>
          <w:tab w:val="num" w:pos="360"/>
        </w:tabs>
        <w:ind w:left="360" w:hanging="360"/>
      </w:pPr>
      <w:rPr>
        <w:rFonts w:ascii="Symbol" w:hAnsi="Symbol" w:hint="default"/>
        <w:color w:val="auto"/>
      </w:rPr>
    </w:lvl>
    <w:lvl w:ilvl="1" w:tplc="7018CEC8">
      <w:start w:val="1"/>
      <w:numFmt w:val="bullet"/>
      <w:pStyle w:val="ListBullet2"/>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2">
    <w:nsid w:val="30C541B4"/>
    <w:multiLevelType w:val="hybridMultilevel"/>
    <w:tmpl w:val="8BC44142"/>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3">
    <w:nsid w:val="32A46838"/>
    <w:multiLevelType w:val="hybridMultilevel"/>
    <w:tmpl w:val="9C52A15C"/>
    <w:lvl w:ilvl="0" w:tplc="0C090001">
      <w:start w:val="1"/>
      <w:numFmt w:val="bullet"/>
      <w:lvlText w:val=""/>
      <w:lvlJc w:val="left"/>
      <w:pPr>
        <w:tabs>
          <w:tab w:val="num" w:pos="1080"/>
        </w:tabs>
        <w:ind w:left="1080" w:hanging="360"/>
      </w:pPr>
      <w:rPr>
        <w:rFonts w:ascii="Symbol" w:hAnsi="Symbol" w:hint="default"/>
        <w:color w:val="auto"/>
      </w:rPr>
    </w:lvl>
    <w:lvl w:ilvl="1" w:tplc="0C090019">
      <w:start w:val="1"/>
      <w:numFmt w:val="lowerLetter"/>
      <w:lvlText w:val="%2."/>
      <w:lvlJc w:val="left"/>
      <w:pPr>
        <w:tabs>
          <w:tab w:val="num" w:pos="1800"/>
        </w:tabs>
        <w:ind w:left="1800" w:hanging="360"/>
      </w:pPr>
      <w:rPr>
        <w:rFonts w:cs="Times New Roman"/>
      </w:rPr>
    </w:lvl>
    <w:lvl w:ilvl="2" w:tplc="0C09001B" w:tentative="1">
      <w:start w:val="1"/>
      <w:numFmt w:val="lowerRoman"/>
      <w:lvlText w:val="%3."/>
      <w:lvlJc w:val="right"/>
      <w:pPr>
        <w:tabs>
          <w:tab w:val="num" w:pos="2520"/>
        </w:tabs>
        <w:ind w:left="2520" w:hanging="180"/>
      </w:pPr>
      <w:rPr>
        <w:rFonts w:cs="Times New Roman"/>
      </w:rPr>
    </w:lvl>
    <w:lvl w:ilvl="3" w:tplc="0C09000F" w:tentative="1">
      <w:start w:val="1"/>
      <w:numFmt w:val="decimal"/>
      <w:lvlText w:val="%4."/>
      <w:lvlJc w:val="left"/>
      <w:pPr>
        <w:tabs>
          <w:tab w:val="num" w:pos="3240"/>
        </w:tabs>
        <w:ind w:left="3240" w:hanging="360"/>
      </w:pPr>
      <w:rPr>
        <w:rFonts w:cs="Times New Roman"/>
      </w:rPr>
    </w:lvl>
    <w:lvl w:ilvl="4" w:tplc="0C090019" w:tentative="1">
      <w:start w:val="1"/>
      <w:numFmt w:val="lowerLetter"/>
      <w:lvlText w:val="%5."/>
      <w:lvlJc w:val="left"/>
      <w:pPr>
        <w:tabs>
          <w:tab w:val="num" w:pos="3960"/>
        </w:tabs>
        <w:ind w:left="3960" w:hanging="360"/>
      </w:pPr>
      <w:rPr>
        <w:rFonts w:cs="Times New Roman"/>
      </w:rPr>
    </w:lvl>
    <w:lvl w:ilvl="5" w:tplc="0C09001B" w:tentative="1">
      <w:start w:val="1"/>
      <w:numFmt w:val="lowerRoman"/>
      <w:lvlText w:val="%6."/>
      <w:lvlJc w:val="right"/>
      <w:pPr>
        <w:tabs>
          <w:tab w:val="num" w:pos="4680"/>
        </w:tabs>
        <w:ind w:left="4680" w:hanging="180"/>
      </w:pPr>
      <w:rPr>
        <w:rFonts w:cs="Times New Roman"/>
      </w:rPr>
    </w:lvl>
    <w:lvl w:ilvl="6" w:tplc="0C09000F" w:tentative="1">
      <w:start w:val="1"/>
      <w:numFmt w:val="decimal"/>
      <w:lvlText w:val="%7."/>
      <w:lvlJc w:val="left"/>
      <w:pPr>
        <w:tabs>
          <w:tab w:val="num" w:pos="5400"/>
        </w:tabs>
        <w:ind w:left="5400" w:hanging="360"/>
      </w:pPr>
      <w:rPr>
        <w:rFonts w:cs="Times New Roman"/>
      </w:rPr>
    </w:lvl>
    <w:lvl w:ilvl="7" w:tplc="0C090019" w:tentative="1">
      <w:start w:val="1"/>
      <w:numFmt w:val="lowerLetter"/>
      <w:lvlText w:val="%8."/>
      <w:lvlJc w:val="left"/>
      <w:pPr>
        <w:tabs>
          <w:tab w:val="num" w:pos="6120"/>
        </w:tabs>
        <w:ind w:left="6120" w:hanging="360"/>
      </w:pPr>
      <w:rPr>
        <w:rFonts w:cs="Times New Roman"/>
      </w:rPr>
    </w:lvl>
    <w:lvl w:ilvl="8" w:tplc="0C09001B" w:tentative="1">
      <w:start w:val="1"/>
      <w:numFmt w:val="lowerRoman"/>
      <w:lvlText w:val="%9."/>
      <w:lvlJc w:val="right"/>
      <w:pPr>
        <w:tabs>
          <w:tab w:val="num" w:pos="6840"/>
        </w:tabs>
        <w:ind w:left="6840" w:hanging="180"/>
      </w:pPr>
      <w:rPr>
        <w:rFonts w:cs="Times New Roman"/>
      </w:rPr>
    </w:lvl>
  </w:abstractNum>
  <w:abstractNum w:abstractNumId="14">
    <w:nsid w:val="33AA415C"/>
    <w:multiLevelType w:val="hybridMultilevel"/>
    <w:tmpl w:val="5E5A0DA0"/>
    <w:lvl w:ilvl="0" w:tplc="0C09000F">
      <w:start w:val="1"/>
      <w:numFmt w:val="decimal"/>
      <w:lvlText w:val="%1."/>
      <w:lvlJc w:val="left"/>
      <w:pPr>
        <w:tabs>
          <w:tab w:val="num" w:pos="720"/>
        </w:tabs>
        <w:ind w:left="720"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34C70367"/>
    <w:multiLevelType w:val="hybridMultilevel"/>
    <w:tmpl w:val="554256CE"/>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720"/>
        </w:tabs>
        <w:ind w:left="720" w:hanging="360"/>
      </w:pPr>
      <w:rPr>
        <w:rFonts w:ascii="Courier New" w:hAnsi="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16">
    <w:nsid w:val="3A045DB6"/>
    <w:multiLevelType w:val="hybridMultilevel"/>
    <w:tmpl w:val="94C23CFC"/>
    <w:lvl w:ilvl="0" w:tplc="0C09000F">
      <w:start w:val="1"/>
      <w:numFmt w:val="decimal"/>
      <w:lvlText w:val="%1."/>
      <w:lvlJc w:val="left"/>
      <w:pPr>
        <w:tabs>
          <w:tab w:val="num" w:pos="360"/>
        </w:tabs>
        <w:ind w:left="360" w:hanging="360"/>
      </w:pPr>
      <w:rPr>
        <w:rFonts w:cs="Times New Roman" w:hint="default"/>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17">
    <w:nsid w:val="404D7D19"/>
    <w:multiLevelType w:val="hybridMultilevel"/>
    <w:tmpl w:val="F530C352"/>
    <w:lvl w:ilvl="0" w:tplc="0C090001">
      <w:start w:val="1"/>
      <w:numFmt w:val="bullet"/>
      <w:lvlText w:val=""/>
      <w:lvlJc w:val="left"/>
      <w:pPr>
        <w:tabs>
          <w:tab w:val="num" w:pos="1080"/>
        </w:tabs>
        <w:ind w:left="1080" w:hanging="360"/>
      </w:pPr>
      <w:rPr>
        <w:rFonts w:ascii="Symbol" w:hAnsi="Symbol" w:hint="default"/>
      </w:rPr>
    </w:lvl>
    <w:lvl w:ilvl="1" w:tplc="0C090019">
      <w:start w:val="1"/>
      <w:numFmt w:val="lowerLetter"/>
      <w:lvlText w:val="%2."/>
      <w:lvlJc w:val="left"/>
      <w:pPr>
        <w:tabs>
          <w:tab w:val="num" w:pos="1800"/>
        </w:tabs>
        <w:ind w:left="1800" w:hanging="360"/>
      </w:pPr>
      <w:rPr>
        <w:rFonts w:cs="Times New Roman"/>
      </w:rPr>
    </w:lvl>
    <w:lvl w:ilvl="2" w:tplc="0C09001B" w:tentative="1">
      <w:start w:val="1"/>
      <w:numFmt w:val="lowerRoman"/>
      <w:lvlText w:val="%3."/>
      <w:lvlJc w:val="right"/>
      <w:pPr>
        <w:tabs>
          <w:tab w:val="num" w:pos="2520"/>
        </w:tabs>
        <w:ind w:left="2520" w:hanging="180"/>
      </w:pPr>
      <w:rPr>
        <w:rFonts w:cs="Times New Roman"/>
      </w:rPr>
    </w:lvl>
    <w:lvl w:ilvl="3" w:tplc="0C09000F" w:tentative="1">
      <w:start w:val="1"/>
      <w:numFmt w:val="decimal"/>
      <w:lvlText w:val="%4."/>
      <w:lvlJc w:val="left"/>
      <w:pPr>
        <w:tabs>
          <w:tab w:val="num" w:pos="3240"/>
        </w:tabs>
        <w:ind w:left="3240" w:hanging="360"/>
      </w:pPr>
      <w:rPr>
        <w:rFonts w:cs="Times New Roman"/>
      </w:rPr>
    </w:lvl>
    <w:lvl w:ilvl="4" w:tplc="0C090019" w:tentative="1">
      <w:start w:val="1"/>
      <w:numFmt w:val="lowerLetter"/>
      <w:lvlText w:val="%5."/>
      <w:lvlJc w:val="left"/>
      <w:pPr>
        <w:tabs>
          <w:tab w:val="num" w:pos="3960"/>
        </w:tabs>
        <w:ind w:left="3960" w:hanging="360"/>
      </w:pPr>
      <w:rPr>
        <w:rFonts w:cs="Times New Roman"/>
      </w:rPr>
    </w:lvl>
    <w:lvl w:ilvl="5" w:tplc="0C09001B" w:tentative="1">
      <w:start w:val="1"/>
      <w:numFmt w:val="lowerRoman"/>
      <w:lvlText w:val="%6."/>
      <w:lvlJc w:val="right"/>
      <w:pPr>
        <w:tabs>
          <w:tab w:val="num" w:pos="4680"/>
        </w:tabs>
        <w:ind w:left="4680" w:hanging="180"/>
      </w:pPr>
      <w:rPr>
        <w:rFonts w:cs="Times New Roman"/>
      </w:rPr>
    </w:lvl>
    <w:lvl w:ilvl="6" w:tplc="0C09000F" w:tentative="1">
      <w:start w:val="1"/>
      <w:numFmt w:val="decimal"/>
      <w:lvlText w:val="%7."/>
      <w:lvlJc w:val="left"/>
      <w:pPr>
        <w:tabs>
          <w:tab w:val="num" w:pos="5400"/>
        </w:tabs>
        <w:ind w:left="5400" w:hanging="360"/>
      </w:pPr>
      <w:rPr>
        <w:rFonts w:cs="Times New Roman"/>
      </w:rPr>
    </w:lvl>
    <w:lvl w:ilvl="7" w:tplc="0C090019" w:tentative="1">
      <w:start w:val="1"/>
      <w:numFmt w:val="lowerLetter"/>
      <w:lvlText w:val="%8."/>
      <w:lvlJc w:val="left"/>
      <w:pPr>
        <w:tabs>
          <w:tab w:val="num" w:pos="6120"/>
        </w:tabs>
        <w:ind w:left="6120" w:hanging="360"/>
      </w:pPr>
      <w:rPr>
        <w:rFonts w:cs="Times New Roman"/>
      </w:rPr>
    </w:lvl>
    <w:lvl w:ilvl="8" w:tplc="0C09001B" w:tentative="1">
      <w:start w:val="1"/>
      <w:numFmt w:val="lowerRoman"/>
      <w:lvlText w:val="%9."/>
      <w:lvlJc w:val="right"/>
      <w:pPr>
        <w:tabs>
          <w:tab w:val="num" w:pos="6840"/>
        </w:tabs>
        <w:ind w:left="6840" w:hanging="180"/>
      </w:pPr>
      <w:rPr>
        <w:rFonts w:cs="Times New Roman"/>
      </w:rPr>
    </w:lvl>
  </w:abstractNum>
  <w:abstractNum w:abstractNumId="18">
    <w:nsid w:val="42963497"/>
    <w:multiLevelType w:val="hybridMultilevel"/>
    <w:tmpl w:val="E01ADCD8"/>
    <w:lvl w:ilvl="0" w:tplc="FF565504">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43136A8E"/>
    <w:multiLevelType w:val="hybridMultilevel"/>
    <w:tmpl w:val="E4A085AE"/>
    <w:lvl w:ilvl="0" w:tplc="0C090001">
      <w:start w:val="1"/>
      <w:numFmt w:val="bullet"/>
      <w:lvlText w:val=""/>
      <w:lvlJc w:val="left"/>
      <w:pPr>
        <w:ind w:left="1080" w:hanging="72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1">
      <w:start w:val="1"/>
      <w:numFmt w:val="bullet"/>
      <w:lvlText w:val=""/>
      <w:lvlJc w:val="left"/>
      <w:pPr>
        <w:ind w:left="2880" w:hanging="360"/>
      </w:pPr>
      <w:rPr>
        <w:rFonts w:ascii="Symbol" w:hAnsi="Symbol"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4EA846CE"/>
    <w:multiLevelType w:val="hybridMultilevel"/>
    <w:tmpl w:val="1BB8CA0E"/>
    <w:lvl w:ilvl="0" w:tplc="0C090001">
      <w:start w:val="1"/>
      <w:numFmt w:val="bullet"/>
      <w:lvlText w:val=""/>
      <w:lvlJc w:val="left"/>
      <w:pPr>
        <w:tabs>
          <w:tab w:val="num" w:pos="1080"/>
        </w:tabs>
        <w:ind w:left="1080" w:hanging="360"/>
      </w:pPr>
      <w:rPr>
        <w:rFonts w:ascii="Symbol" w:hAnsi="Symbol" w:hint="default"/>
      </w:rPr>
    </w:lvl>
    <w:lvl w:ilvl="1" w:tplc="0C090019">
      <w:start w:val="1"/>
      <w:numFmt w:val="lowerLetter"/>
      <w:lvlText w:val="%2."/>
      <w:lvlJc w:val="left"/>
      <w:pPr>
        <w:tabs>
          <w:tab w:val="num" w:pos="1800"/>
        </w:tabs>
        <w:ind w:left="1800" w:hanging="360"/>
      </w:pPr>
      <w:rPr>
        <w:rFonts w:cs="Times New Roman"/>
      </w:rPr>
    </w:lvl>
    <w:lvl w:ilvl="2" w:tplc="0C09001B" w:tentative="1">
      <w:start w:val="1"/>
      <w:numFmt w:val="lowerRoman"/>
      <w:lvlText w:val="%3."/>
      <w:lvlJc w:val="right"/>
      <w:pPr>
        <w:tabs>
          <w:tab w:val="num" w:pos="2520"/>
        </w:tabs>
        <w:ind w:left="2520" w:hanging="180"/>
      </w:pPr>
      <w:rPr>
        <w:rFonts w:cs="Times New Roman"/>
      </w:rPr>
    </w:lvl>
    <w:lvl w:ilvl="3" w:tplc="0C09000F" w:tentative="1">
      <w:start w:val="1"/>
      <w:numFmt w:val="decimal"/>
      <w:lvlText w:val="%4."/>
      <w:lvlJc w:val="left"/>
      <w:pPr>
        <w:tabs>
          <w:tab w:val="num" w:pos="3240"/>
        </w:tabs>
        <w:ind w:left="3240" w:hanging="360"/>
      </w:pPr>
      <w:rPr>
        <w:rFonts w:cs="Times New Roman"/>
      </w:rPr>
    </w:lvl>
    <w:lvl w:ilvl="4" w:tplc="0C090019" w:tentative="1">
      <w:start w:val="1"/>
      <w:numFmt w:val="lowerLetter"/>
      <w:lvlText w:val="%5."/>
      <w:lvlJc w:val="left"/>
      <w:pPr>
        <w:tabs>
          <w:tab w:val="num" w:pos="3960"/>
        </w:tabs>
        <w:ind w:left="3960" w:hanging="360"/>
      </w:pPr>
      <w:rPr>
        <w:rFonts w:cs="Times New Roman"/>
      </w:rPr>
    </w:lvl>
    <w:lvl w:ilvl="5" w:tplc="0C09001B" w:tentative="1">
      <w:start w:val="1"/>
      <w:numFmt w:val="lowerRoman"/>
      <w:lvlText w:val="%6."/>
      <w:lvlJc w:val="right"/>
      <w:pPr>
        <w:tabs>
          <w:tab w:val="num" w:pos="4680"/>
        </w:tabs>
        <w:ind w:left="4680" w:hanging="180"/>
      </w:pPr>
      <w:rPr>
        <w:rFonts w:cs="Times New Roman"/>
      </w:rPr>
    </w:lvl>
    <w:lvl w:ilvl="6" w:tplc="0C09000F" w:tentative="1">
      <w:start w:val="1"/>
      <w:numFmt w:val="decimal"/>
      <w:lvlText w:val="%7."/>
      <w:lvlJc w:val="left"/>
      <w:pPr>
        <w:tabs>
          <w:tab w:val="num" w:pos="5400"/>
        </w:tabs>
        <w:ind w:left="5400" w:hanging="360"/>
      </w:pPr>
      <w:rPr>
        <w:rFonts w:cs="Times New Roman"/>
      </w:rPr>
    </w:lvl>
    <w:lvl w:ilvl="7" w:tplc="0C090019" w:tentative="1">
      <w:start w:val="1"/>
      <w:numFmt w:val="lowerLetter"/>
      <w:lvlText w:val="%8."/>
      <w:lvlJc w:val="left"/>
      <w:pPr>
        <w:tabs>
          <w:tab w:val="num" w:pos="6120"/>
        </w:tabs>
        <w:ind w:left="6120" w:hanging="360"/>
      </w:pPr>
      <w:rPr>
        <w:rFonts w:cs="Times New Roman"/>
      </w:rPr>
    </w:lvl>
    <w:lvl w:ilvl="8" w:tplc="0C09001B" w:tentative="1">
      <w:start w:val="1"/>
      <w:numFmt w:val="lowerRoman"/>
      <w:lvlText w:val="%9."/>
      <w:lvlJc w:val="right"/>
      <w:pPr>
        <w:tabs>
          <w:tab w:val="num" w:pos="6840"/>
        </w:tabs>
        <w:ind w:left="6840" w:hanging="180"/>
      </w:pPr>
      <w:rPr>
        <w:rFonts w:cs="Times New Roman"/>
      </w:rPr>
    </w:lvl>
  </w:abstractNum>
  <w:abstractNum w:abstractNumId="21">
    <w:nsid w:val="501B6CD8"/>
    <w:multiLevelType w:val="hybridMultilevel"/>
    <w:tmpl w:val="CDA84A22"/>
    <w:lvl w:ilvl="0" w:tplc="0C090005">
      <w:start w:val="1"/>
      <w:numFmt w:val="bullet"/>
      <w:lvlText w:val=""/>
      <w:lvlJc w:val="left"/>
      <w:pPr>
        <w:tabs>
          <w:tab w:val="num" w:pos="360"/>
        </w:tabs>
        <w:ind w:left="360" w:hanging="360"/>
      </w:pPr>
      <w:rPr>
        <w:rFonts w:ascii="Wingdings" w:hAnsi="Wingdings" w:hint="default"/>
        <w:color w:val="auto"/>
      </w:rPr>
    </w:lvl>
    <w:lvl w:ilvl="1" w:tplc="0C090003">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2">
    <w:nsid w:val="50E409F9"/>
    <w:multiLevelType w:val="hybridMultilevel"/>
    <w:tmpl w:val="CF86BF1E"/>
    <w:lvl w:ilvl="0" w:tplc="835CD5B8">
      <w:start w:val="1"/>
      <w:numFmt w:val="decimal"/>
      <w:pStyle w:val="Healthheading1"/>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530707BC"/>
    <w:multiLevelType w:val="hybridMultilevel"/>
    <w:tmpl w:val="A24E0184"/>
    <w:lvl w:ilvl="0" w:tplc="602A9796">
      <w:start w:val="1"/>
      <w:numFmt w:val="bullet"/>
      <w:pStyle w:val="Healthbullet2"/>
      <w:lvlText w:val="–"/>
      <w:lvlJc w:val="left"/>
      <w:pPr>
        <w:ind w:left="283" w:hanging="283"/>
      </w:pPr>
      <w:rPr>
        <w:rFonts w:ascii="Times New Roman" w:hAnsi="Times New Roman" w:hint="default"/>
        <w:b w:val="0"/>
        <w:i w:val="0"/>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7AE7F92"/>
    <w:multiLevelType w:val="hybridMultilevel"/>
    <w:tmpl w:val="9D4259A2"/>
    <w:lvl w:ilvl="0" w:tplc="0C090001">
      <w:start w:val="1"/>
      <w:numFmt w:val="bullet"/>
      <w:lvlText w:val=""/>
      <w:lvlJc w:val="left"/>
      <w:pPr>
        <w:tabs>
          <w:tab w:val="num" w:pos="360"/>
        </w:tabs>
        <w:ind w:left="360" w:hanging="360"/>
      </w:pPr>
      <w:rPr>
        <w:rFonts w:ascii="Symbol" w:hAnsi="Symbol" w:hint="default"/>
        <w:color w:val="auto"/>
      </w:rPr>
    </w:lvl>
    <w:lvl w:ilvl="1" w:tplc="0C090003">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5">
    <w:nsid w:val="5B701D02"/>
    <w:multiLevelType w:val="hybridMultilevel"/>
    <w:tmpl w:val="0464B67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nsid w:val="5DFF3ED9"/>
    <w:multiLevelType w:val="hybridMultilevel"/>
    <w:tmpl w:val="44FAB1D4"/>
    <w:lvl w:ilvl="0" w:tplc="4F2CAD14">
      <w:start w:val="1"/>
      <w:numFmt w:val="bullet"/>
      <w:pStyle w:val="Healthtablebullet"/>
      <w:lvlText w:val=""/>
      <w:lvlJc w:val="left"/>
      <w:pPr>
        <w:ind w:left="284" w:hanging="284"/>
      </w:pPr>
      <w:rPr>
        <w:rFonts w:ascii="Symbol" w:hAnsi="Symbol" w:hint="default"/>
        <w:sz w:val="17"/>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0BD79D0"/>
    <w:multiLevelType w:val="hybridMultilevel"/>
    <w:tmpl w:val="367C8C7E"/>
    <w:lvl w:ilvl="0" w:tplc="0C090001">
      <w:start w:val="1"/>
      <w:numFmt w:val="bullet"/>
      <w:lvlText w:val=""/>
      <w:lvlJc w:val="left"/>
      <w:pPr>
        <w:tabs>
          <w:tab w:val="num" w:pos="1080"/>
        </w:tabs>
        <w:ind w:left="1080" w:hanging="360"/>
      </w:pPr>
      <w:rPr>
        <w:rFonts w:ascii="Symbol" w:hAnsi="Symbol" w:hint="default"/>
      </w:rPr>
    </w:lvl>
    <w:lvl w:ilvl="1" w:tplc="0C090019">
      <w:start w:val="1"/>
      <w:numFmt w:val="lowerLetter"/>
      <w:lvlText w:val="%2."/>
      <w:lvlJc w:val="left"/>
      <w:pPr>
        <w:tabs>
          <w:tab w:val="num" w:pos="1800"/>
        </w:tabs>
        <w:ind w:left="1800" w:hanging="360"/>
      </w:pPr>
      <w:rPr>
        <w:rFonts w:cs="Times New Roman"/>
      </w:rPr>
    </w:lvl>
    <w:lvl w:ilvl="2" w:tplc="0C09001B" w:tentative="1">
      <w:start w:val="1"/>
      <w:numFmt w:val="lowerRoman"/>
      <w:lvlText w:val="%3."/>
      <w:lvlJc w:val="right"/>
      <w:pPr>
        <w:tabs>
          <w:tab w:val="num" w:pos="2520"/>
        </w:tabs>
        <w:ind w:left="2520" w:hanging="180"/>
      </w:pPr>
      <w:rPr>
        <w:rFonts w:cs="Times New Roman"/>
      </w:rPr>
    </w:lvl>
    <w:lvl w:ilvl="3" w:tplc="0C09000F" w:tentative="1">
      <w:start w:val="1"/>
      <w:numFmt w:val="decimal"/>
      <w:lvlText w:val="%4."/>
      <w:lvlJc w:val="left"/>
      <w:pPr>
        <w:tabs>
          <w:tab w:val="num" w:pos="3240"/>
        </w:tabs>
        <w:ind w:left="3240" w:hanging="360"/>
      </w:pPr>
      <w:rPr>
        <w:rFonts w:cs="Times New Roman"/>
      </w:rPr>
    </w:lvl>
    <w:lvl w:ilvl="4" w:tplc="0C090019" w:tentative="1">
      <w:start w:val="1"/>
      <w:numFmt w:val="lowerLetter"/>
      <w:lvlText w:val="%5."/>
      <w:lvlJc w:val="left"/>
      <w:pPr>
        <w:tabs>
          <w:tab w:val="num" w:pos="3960"/>
        </w:tabs>
        <w:ind w:left="3960" w:hanging="360"/>
      </w:pPr>
      <w:rPr>
        <w:rFonts w:cs="Times New Roman"/>
      </w:rPr>
    </w:lvl>
    <w:lvl w:ilvl="5" w:tplc="0C09001B" w:tentative="1">
      <w:start w:val="1"/>
      <w:numFmt w:val="lowerRoman"/>
      <w:lvlText w:val="%6."/>
      <w:lvlJc w:val="right"/>
      <w:pPr>
        <w:tabs>
          <w:tab w:val="num" w:pos="4680"/>
        </w:tabs>
        <w:ind w:left="4680" w:hanging="180"/>
      </w:pPr>
      <w:rPr>
        <w:rFonts w:cs="Times New Roman"/>
      </w:rPr>
    </w:lvl>
    <w:lvl w:ilvl="6" w:tplc="0C09000F" w:tentative="1">
      <w:start w:val="1"/>
      <w:numFmt w:val="decimal"/>
      <w:lvlText w:val="%7."/>
      <w:lvlJc w:val="left"/>
      <w:pPr>
        <w:tabs>
          <w:tab w:val="num" w:pos="5400"/>
        </w:tabs>
        <w:ind w:left="5400" w:hanging="360"/>
      </w:pPr>
      <w:rPr>
        <w:rFonts w:cs="Times New Roman"/>
      </w:rPr>
    </w:lvl>
    <w:lvl w:ilvl="7" w:tplc="0C090019" w:tentative="1">
      <w:start w:val="1"/>
      <w:numFmt w:val="lowerLetter"/>
      <w:lvlText w:val="%8."/>
      <w:lvlJc w:val="left"/>
      <w:pPr>
        <w:tabs>
          <w:tab w:val="num" w:pos="6120"/>
        </w:tabs>
        <w:ind w:left="6120" w:hanging="360"/>
      </w:pPr>
      <w:rPr>
        <w:rFonts w:cs="Times New Roman"/>
      </w:rPr>
    </w:lvl>
    <w:lvl w:ilvl="8" w:tplc="0C09001B" w:tentative="1">
      <w:start w:val="1"/>
      <w:numFmt w:val="lowerRoman"/>
      <w:lvlText w:val="%9."/>
      <w:lvlJc w:val="right"/>
      <w:pPr>
        <w:tabs>
          <w:tab w:val="num" w:pos="6840"/>
        </w:tabs>
        <w:ind w:left="6840" w:hanging="180"/>
      </w:pPr>
      <w:rPr>
        <w:rFonts w:cs="Times New Roman"/>
      </w:rPr>
    </w:lvl>
  </w:abstractNum>
  <w:abstractNum w:abstractNumId="28">
    <w:nsid w:val="61F77EC5"/>
    <w:multiLevelType w:val="hybridMultilevel"/>
    <w:tmpl w:val="5CF0DD92"/>
    <w:lvl w:ilvl="0" w:tplc="0C090005">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9">
    <w:nsid w:val="65930690"/>
    <w:multiLevelType w:val="hybridMultilevel"/>
    <w:tmpl w:val="EA9051D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nsid w:val="69C458F8"/>
    <w:multiLevelType w:val="hybridMultilevel"/>
    <w:tmpl w:val="E8D23D86"/>
    <w:lvl w:ilvl="0" w:tplc="1B3AC414">
      <w:start w:val="1"/>
      <w:numFmt w:val="bullet"/>
      <w:pStyle w:val="ListParagraph"/>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1">
    <w:nsid w:val="6D69298C"/>
    <w:multiLevelType w:val="hybridMultilevel"/>
    <w:tmpl w:val="8A50BA20"/>
    <w:lvl w:ilvl="0" w:tplc="0C090005">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2">
    <w:nsid w:val="6E7E18E7"/>
    <w:multiLevelType w:val="hybridMultilevel"/>
    <w:tmpl w:val="19D6A7EA"/>
    <w:lvl w:ilvl="0" w:tplc="0C090001">
      <w:start w:val="1"/>
      <w:numFmt w:val="bullet"/>
      <w:lvlText w:val=""/>
      <w:lvlJc w:val="left"/>
      <w:pPr>
        <w:tabs>
          <w:tab w:val="num" w:pos="1080"/>
        </w:tabs>
        <w:ind w:left="1080" w:hanging="360"/>
      </w:pPr>
      <w:rPr>
        <w:rFonts w:ascii="Symbol" w:hAnsi="Symbol" w:hint="default"/>
      </w:rPr>
    </w:lvl>
    <w:lvl w:ilvl="1" w:tplc="0C090019">
      <w:start w:val="1"/>
      <w:numFmt w:val="lowerLetter"/>
      <w:lvlText w:val="%2."/>
      <w:lvlJc w:val="left"/>
      <w:pPr>
        <w:tabs>
          <w:tab w:val="num" w:pos="1800"/>
        </w:tabs>
        <w:ind w:left="1800" w:hanging="360"/>
      </w:pPr>
      <w:rPr>
        <w:rFonts w:cs="Times New Roman"/>
      </w:rPr>
    </w:lvl>
    <w:lvl w:ilvl="2" w:tplc="0C09001B" w:tentative="1">
      <w:start w:val="1"/>
      <w:numFmt w:val="lowerRoman"/>
      <w:lvlText w:val="%3."/>
      <w:lvlJc w:val="right"/>
      <w:pPr>
        <w:tabs>
          <w:tab w:val="num" w:pos="2520"/>
        </w:tabs>
        <w:ind w:left="2520" w:hanging="180"/>
      </w:pPr>
      <w:rPr>
        <w:rFonts w:cs="Times New Roman"/>
      </w:rPr>
    </w:lvl>
    <w:lvl w:ilvl="3" w:tplc="0C09000F" w:tentative="1">
      <w:start w:val="1"/>
      <w:numFmt w:val="decimal"/>
      <w:lvlText w:val="%4."/>
      <w:lvlJc w:val="left"/>
      <w:pPr>
        <w:tabs>
          <w:tab w:val="num" w:pos="3240"/>
        </w:tabs>
        <w:ind w:left="3240" w:hanging="360"/>
      </w:pPr>
      <w:rPr>
        <w:rFonts w:cs="Times New Roman"/>
      </w:rPr>
    </w:lvl>
    <w:lvl w:ilvl="4" w:tplc="0C090019" w:tentative="1">
      <w:start w:val="1"/>
      <w:numFmt w:val="lowerLetter"/>
      <w:lvlText w:val="%5."/>
      <w:lvlJc w:val="left"/>
      <w:pPr>
        <w:tabs>
          <w:tab w:val="num" w:pos="3960"/>
        </w:tabs>
        <w:ind w:left="3960" w:hanging="360"/>
      </w:pPr>
      <w:rPr>
        <w:rFonts w:cs="Times New Roman"/>
      </w:rPr>
    </w:lvl>
    <w:lvl w:ilvl="5" w:tplc="0C09001B" w:tentative="1">
      <w:start w:val="1"/>
      <w:numFmt w:val="lowerRoman"/>
      <w:lvlText w:val="%6."/>
      <w:lvlJc w:val="right"/>
      <w:pPr>
        <w:tabs>
          <w:tab w:val="num" w:pos="4680"/>
        </w:tabs>
        <w:ind w:left="4680" w:hanging="180"/>
      </w:pPr>
      <w:rPr>
        <w:rFonts w:cs="Times New Roman"/>
      </w:rPr>
    </w:lvl>
    <w:lvl w:ilvl="6" w:tplc="0C09000F" w:tentative="1">
      <w:start w:val="1"/>
      <w:numFmt w:val="decimal"/>
      <w:lvlText w:val="%7."/>
      <w:lvlJc w:val="left"/>
      <w:pPr>
        <w:tabs>
          <w:tab w:val="num" w:pos="5400"/>
        </w:tabs>
        <w:ind w:left="5400" w:hanging="360"/>
      </w:pPr>
      <w:rPr>
        <w:rFonts w:cs="Times New Roman"/>
      </w:rPr>
    </w:lvl>
    <w:lvl w:ilvl="7" w:tplc="0C090019" w:tentative="1">
      <w:start w:val="1"/>
      <w:numFmt w:val="lowerLetter"/>
      <w:lvlText w:val="%8."/>
      <w:lvlJc w:val="left"/>
      <w:pPr>
        <w:tabs>
          <w:tab w:val="num" w:pos="6120"/>
        </w:tabs>
        <w:ind w:left="6120" w:hanging="360"/>
      </w:pPr>
      <w:rPr>
        <w:rFonts w:cs="Times New Roman"/>
      </w:rPr>
    </w:lvl>
    <w:lvl w:ilvl="8" w:tplc="0C09001B" w:tentative="1">
      <w:start w:val="1"/>
      <w:numFmt w:val="lowerRoman"/>
      <w:lvlText w:val="%9."/>
      <w:lvlJc w:val="right"/>
      <w:pPr>
        <w:tabs>
          <w:tab w:val="num" w:pos="6840"/>
        </w:tabs>
        <w:ind w:left="6840" w:hanging="180"/>
      </w:pPr>
      <w:rPr>
        <w:rFonts w:cs="Times New Roman"/>
      </w:rPr>
    </w:lvl>
  </w:abstractNum>
  <w:abstractNum w:abstractNumId="33">
    <w:nsid w:val="73182D47"/>
    <w:multiLevelType w:val="hybridMultilevel"/>
    <w:tmpl w:val="61182926"/>
    <w:lvl w:ilvl="0" w:tplc="0C090005">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720"/>
        </w:tabs>
        <w:ind w:left="720" w:hanging="360"/>
      </w:pPr>
      <w:rPr>
        <w:rFonts w:ascii="Courier New" w:hAnsi="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34">
    <w:nsid w:val="768D6406"/>
    <w:multiLevelType w:val="hybridMultilevel"/>
    <w:tmpl w:val="25DCD95C"/>
    <w:lvl w:ilvl="0" w:tplc="0C090005">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720"/>
        </w:tabs>
        <w:ind w:left="720" w:hanging="360"/>
      </w:pPr>
      <w:rPr>
        <w:rFonts w:ascii="Courier New" w:hAnsi="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35">
    <w:nsid w:val="79B14A8E"/>
    <w:multiLevelType w:val="hybridMultilevel"/>
    <w:tmpl w:val="5666FB0C"/>
    <w:lvl w:ilvl="0" w:tplc="84C4B1E0">
      <w:start w:val="1"/>
      <w:numFmt w:val="decimal"/>
      <w:pStyle w:val="TOC1"/>
      <w:lvlText w:val="%1."/>
      <w:lvlJc w:val="left"/>
      <w:pPr>
        <w:tabs>
          <w:tab w:val="num" w:pos="720"/>
        </w:tabs>
        <w:ind w:left="720" w:hanging="360"/>
      </w:pPr>
      <w:rPr>
        <w:rFonts w:cs="Times New Roman" w:hint="default"/>
      </w:rPr>
    </w:lvl>
    <w:lvl w:ilvl="1" w:tplc="0C090019">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6">
    <w:nsid w:val="7A3D3AFC"/>
    <w:multiLevelType w:val="hybridMultilevel"/>
    <w:tmpl w:val="7F740EE6"/>
    <w:lvl w:ilvl="0" w:tplc="4B300028">
      <w:start w:val="1"/>
      <w:numFmt w:val="bullet"/>
      <w:pStyle w:val="Healthbullet1"/>
      <w:lvlText w:val="•"/>
      <w:lvlJc w:val="left"/>
      <w:pPr>
        <w:ind w:left="284" w:hanging="284"/>
      </w:pPr>
      <w:rPr>
        <w:rFonts w:ascii="Times New Roman" w:hAnsi="Times New Roman" w:hint="default"/>
        <w:b w:val="0"/>
        <w:i w:val="0"/>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D6B4378"/>
    <w:multiLevelType w:val="hybridMultilevel"/>
    <w:tmpl w:val="1AA69316"/>
    <w:lvl w:ilvl="0" w:tplc="0C090001">
      <w:start w:val="1"/>
      <w:numFmt w:val="bullet"/>
      <w:lvlText w:val=""/>
      <w:lvlJc w:val="left"/>
      <w:pPr>
        <w:tabs>
          <w:tab w:val="num" w:pos="1080"/>
        </w:tabs>
        <w:ind w:left="1080" w:hanging="360"/>
      </w:pPr>
      <w:rPr>
        <w:rFonts w:ascii="Symbol" w:hAnsi="Symbol" w:hint="default"/>
      </w:rPr>
    </w:lvl>
    <w:lvl w:ilvl="1" w:tplc="0C090019">
      <w:start w:val="1"/>
      <w:numFmt w:val="lowerLetter"/>
      <w:lvlText w:val="%2."/>
      <w:lvlJc w:val="left"/>
      <w:pPr>
        <w:tabs>
          <w:tab w:val="num" w:pos="1800"/>
        </w:tabs>
        <w:ind w:left="1800" w:hanging="360"/>
      </w:pPr>
      <w:rPr>
        <w:rFonts w:cs="Times New Roman"/>
      </w:rPr>
    </w:lvl>
    <w:lvl w:ilvl="2" w:tplc="0C09001B" w:tentative="1">
      <w:start w:val="1"/>
      <w:numFmt w:val="lowerRoman"/>
      <w:lvlText w:val="%3."/>
      <w:lvlJc w:val="right"/>
      <w:pPr>
        <w:tabs>
          <w:tab w:val="num" w:pos="2520"/>
        </w:tabs>
        <w:ind w:left="2520" w:hanging="180"/>
      </w:pPr>
      <w:rPr>
        <w:rFonts w:cs="Times New Roman"/>
      </w:rPr>
    </w:lvl>
    <w:lvl w:ilvl="3" w:tplc="0C09000F" w:tentative="1">
      <w:start w:val="1"/>
      <w:numFmt w:val="decimal"/>
      <w:lvlText w:val="%4."/>
      <w:lvlJc w:val="left"/>
      <w:pPr>
        <w:tabs>
          <w:tab w:val="num" w:pos="3240"/>
        </w:tabs>
        <w:ind w:left="3240" w:hanging="360"/>
      </w:pPr>
      <w:rPr>
        <w:rFonts w:cs="Times New Roman"/>
      </w:rPr>
    </w:lvl>
    <w:lvl w:ilvl="4" w:tplc="0C090019" w:tentative="1">
      <w:start w:val="1"/>
      <w:numFmt w:val="lowerLetter"/>
      <w:lvlText w:val="%5."/>
      <w:lvlJc w:val="left"/>
      <w:pPr>
        <w:tabs>
          <w:tab w:val="num" w:pos="3960"/>
        </w:tabs>
        <w:ind w:left="3960" w:hanging="360"/>
      </w:pPr>
      <w:rPr>
        <w:rFonts w:cs="Times New Roman"/>
      </w:rPr>
    </w:lvl>
    <w:lvl w:ilvl="5" w:tplc="0C09001B" w:tentative="1">
      <w:start w:val="1"/>
      <w:numFmt w:val="lowerRoman"/>
      <w:lvlText w:val="%6."/>
      <w:lvlJc w:val="right"/>
      <w:pPr>
        <w:tabs>
          <w:tab w:val="num" w:pos="4680"/>
        </w:tabs>
        <w:ind w:left="4680" w:hanging="180"/>
      </w:pPr>
      <w:rPr>
        <w:rFonts w:cs="Times New Roman"/>
      </w:rPr>
    </w:lvl>
    <w:lvl w:ilvl="6" w:tplc="0C09000F" w:tentative="1">
      <w:start w:val="1"/>
      <w:numFmt w:val="decimal"/>
      <w:lvlText w:val="%7."/>
      <w:lvlJc w:val="left"/>
      <w:pPr>
        <w:tabs>
          <w:tab w:val="num" w:pos="5400"/>
        </w:tabs>
        <w:ind w:left="5400" w:hanging="360"/>
      </w:pPr>
      <w:rPr>
        <w:rFonts w:cs="Times New Roman"/>
      </w:rPr>
    </w:lvl>
    <w:lvl w:ilvl="7" w:tplc="0C090019" w:tentative="1">
      <w:start w:val="1"/>
      <w:numFmt w:val="lowerLetter"/>
      <w:lvlText w:val="%8."/>
      <w:lvlJc w:val="left"/>
      <w:pPr>
        <w:tabs>
          <w:tab w:val="num" w:pos="6120"/>
        </w:tabs>
        <w:ind w:left="6120" w:hanging="360"/>
      </w:pPr>
      <w:rPr>
        <w:rFonts w:cs="Times New Roman"/>
      </w:rPr>
    </w:lvl>
    <w:lvl w:ilvl="8" w:tplc="0C09001B" w:tentative="1">
      <w:start w:val="1"/>
      <w:numFmt w:val="lowerRoman"/>
      <w:lvlText w:val="%9."/>
      <w:lvlJc w:val="right"/>
      <w:pPr>
        <w:tabs>
          <w:tab w:val="num" w:pos="6840"/>
        </w:tabs>
        <w:ind w:left="6840" w:hanging="180"/>
      </w:pPr>
      <w:rPr>
        <w:rFonts w:cs="Times New Roman"/>
      </w:rPr>
    </w:lvl>
  </w:abstractNum>
  <w:num w:numId="1">
    <w:abstractNumId w:val="36"/>
  </w:num>
  <w:num w:numId="2">
    <w:abstractNumId w:val="23"/>
  </w:num>
  <w:num w:numId="3">
    <w:abstractNumId w:val="26"/>
  </w:num>
  <w:num w:numId="4">
    <w:abstractNumId w:val="35"/>
  </w:num>
  <w:num w:numId="5">
    <w:abstractNumId w:val="14"/>
  </w:num>
  <w:num w:numId="6">
    <w:abstractNumId w:val="30"/>
  </w:num>
  <w:num w:numId="7">
    <w:abstractNumId w:val="6"/>
  </w:num>
  <w:num w:numId="8">
    <w:abstractNumId w:val="34"/>
  </w:num>
  <w:num w:numId="9">
    <w:abstractNumId w:val="7"/>
  </w:num>
  <w:num w:numId="10">
    <w:abstractNumId w:val="21"/>
  </w:num>
  <w:num w:numId="11">
    <w:abstractNumId w:val="4"/>
  </w:num>
  <w:num w:numId="12">
    <w:abstractNumId w:val="33"/>
  </w:num>
  <w:num w:numId="13">
    <w:abstractNumId w:val="0"/>
  </w:num>
  <w:num w:numId="14">
    <w:abstractNumId w:val="2"/>
  </w:num>
  <w:num w:numId="15">
    <w:abstractNumId w:val="28"/>
  </w:num>
  <w:num w:numId="16">
    <w:abstractNumId w:val="31"/>
  </w:num>
  <w:num w:numId="17">
    <w:abstractNumId w:val="12"/>
  </w:num>
  <w:num w:numId="18">
    <w:abstractNumId w:val="13"/>
  </w:num>
  <w:num w:numId="19">
    <w:abstractNumId w:val="16"/>
  </w:num>
  <w:num w:numId="20">
    <w:abstractNumId w:val="11"/>
  </w:num>
  <w:num w:numId="21">
    <w:abstractNumId w:val="10"/>
  </w:num>
  <w:num w:numId="22">
    <w:abstractNumId w:val="1"/>
  </w:num>
  <w:num w:numId="23">
    <w:abstractNumId w:val="8"/>
  </w:num>
  <w:num w:numId="24">
    <w:abstractNumId w:val="20"/>
  </w:num>
  <w:num w:numId="25">
    <w:abstractNumId w:val="37"/>
  </w:num>
  <w:num w:numId="26">
    <w:abstractNumId w:val="3"/>
  </w:num>
  <w:num w:numId="27">
    <w:abstractNumId w:val="5"/>
  </w:num>
  <w:num w:numId="28">
    <w:abstractNumId w:val="32"/>
  </w:num>
  <w:num w:numId="29">
    <w:abstractNumId w:val="17"/>
  </w:num>
  <w:num w:numId="30">
    <w:abstractNumId w:val="27"/>
  </w:num>
  <w:num w:numId="31">
    <w:abstractNumId w:val="9"/>
  </w:num>
  <w:num w:numId="32">
    <w:abstractNumId w:val="25"/>
  </w:num>
  <w:num w:numId="33">
    <w:abstractNumId w:val="18"/>
  </w:num>
  <w:num w:numId="34">
    <w:abstractNumId w:val="22"/>
  </w:num>
  <w:num w:numId="35">
    <w:abstractNumId w:val="22"/>
  </w:num>
  <w:num w:numId="36">
    <w:abstractNumId w:val="22"/>
    <w:lvlOverride w:ilvl="0">
      <w:startOverride w:val="3"/>
    </w:lvlOverride>
  </w:num>
  <w:num w:numId="37">
    <w:abstractNumId w:val="19"/>
  </w:num>
  <w:num w:numId="38">
    <w:abstractNumId w:val="29"/>
  </w:num>
  <w:num w:numId="39">
    <w:abstractNumId w:val="15"/>
  </w:num>
  <w:num w:numId="40">
    <w:abstractNumId w:val="24"/>
  </w:num>
  <w:num w:numId="41">
    <w:abstractNumId w:val="35"/>
  </w:num>
  <w:num w:numId="42">
    <w:abstractNumId w:val="35"/>
  </w:num>
  <w:num w:numId="43">
    <w:abstractNumId w:val="2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00"/>
  <w:drawingGridVerticalSpacing w:val="181"/>
  <w:displayHorizont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AE5"/>
    <w:rsid w:val="00002341"/>
    <w:rsid w:val="00002A1F"/>
    <w:rsid w:val="0000549F"/>
    <w:rsid w:val="000070CD"/>
    <w:rsid w:val="0001164E"/>
    <w:rsid w:val="00011E22"/>
    <w:rsid w:val="00012806"/>
    <w:rsid w:val="000147AF"/>
    <w:rsid w:val="000152D7"/>
    <w:rsid w:val="00021E80"/>
    <w:rsid w:val="000244F2"/>
    <w:rsid w:val="00025822"/>
    <w:rsid w:val="00031388"/>
    <w:rsid w:val="000329D9"/>
    <w:rsid w:val="00032F7D"/>
    <w:rsid w:val="00035C8A"/>
    <w:rsid w:val="00036DC4"/>
    <w:rsid w:val="00037C8F"/>
    <w:rsid w:val="00037D95"/>
    <w:rsid w:val="00041EAF"/>
    <w:rsid w:val="00043055"/>
    <w:rsid w:val="00044B46"/>
    <w:rsid w:val="00044FC3"/>
    <w:rsid w:val="00045C1F"/>
    <w:rsid w:val="000468FE"/>
    <w:rsid w:val="00046A9A"/>
    <w:rsid w:val="00046C33"/>
    <w:rsid w:val="00046C9A"/>
    <w:rsid w:val="00047FF2"/>
    <w:rsid w:val="000508FD"/>
    <w:rsid w:val="00051341"/>
    <w:rsid w:val="00051592"/>
    <w:rsid w:val="00051AB9"/>
    <w:rsid w:val="0005228B"/>
    <w:rsid w:val="00054D0B"/>
    <w:rsid w:val="00056683"/>
    <w:rsid w:val="000574B9"/>
    <w:rsid w:val="00057A79"/>
    <w:rsid w:val="00060349"/>
    <w:rsid w:val="00062228"/>
    <w:rsid w:val="00063D42"/>
    <w:rsid w:val="00063E60"/>
    <w:rsid w:val="000658D2"/>
    <w:rsid w:val="0006676F"/>
    <w:rsid w:val="000735FA"/>
    <w:rsid w:val="00074206"/>
    <w:rsid w:val="00076F68"/>
    <w:rsid w:val="000802F1"/>
    <w:rsid w:val="00084558"/>
    <w:rsid w:val="00085EF0"/>
    <w:rsid w:val="00086782"/>
    <w:rsid w:val="00086A75"/>
    <w:rsid w:val="00087238"/>
    <w:rsid w:val="00090C19"/>
    <w:rsid w:val="000925D0"/>
    <w:rsid w:val="00093FE9"/>
    <w:rsid w:val="000952D8"/>
    <w:rsid w:val="00095546"/>
    <w:rsid w:val="000957C2"/>
    <w:rsid w:val="00095D2A"/>
    <w:rsid w:val="000A0A40"/>
    <w:rsid w:val="000A1BBD"/>
    <w:rsid w:val="000A228F"/>
    <w:rsid w:val="000A3AC2"/>
    <w:rsid w:val="000A51AC"/>
    <w:rsid w:val="000A5893"/>
    <w:rsid w:val="000A6651"/>
    <w:rsid w:val="000A7F5D"/>
    <w:rsid w:val="000B2D5C"/>
    <w:rsid w:val="000B424B"/>
    <w:rsid w:val="000B58C1"/>
    <w:rsid w:val="000B7A42"/>
    <w:rsid w:val="000C0C1E"/>
    <w:rsid w:val="000C0DD7"/>
    <w:rsid w:val="000C4997"/>
    <w:rsid w:val="000C7D41"/>
    <w:rsid w:val="000D34E6"/>
    <w:rsid w:val="000D45F9"/>
    <w:rsid w:val="000D4F83"/>
    <w:rsid w:val="000D736B"/>
    <w:rsid w:val="000E11C8"/>
    <w:rsid w:val="000E206F"/>
    <w:rsid w:val="000E30E0"/>
    <w:rsid w:val="000E56BC"/>
    <w:rsid w:val="000E59E2"/>
    <w:rsid w:val="000E6BB6"/>
    <w:rsid w:val="000E6C40"/>
    <w:rsid w:val="000E71AE"/>
    <w:rsid w:val="000E7962"/>
    <w:rsid w:val="000F0A85"/>
    <w:rsid w:val="000F135F"/>
    <w:rsid w:val="000F29A6"/>
    <w:rsid w:val="000F371E"/>
    <w:rsid w:val="000F489C"/>
    <w:rsid w:val="000F736E"/>
    <w:rsid w:val="00100052"/>
    <w:rsid w:val="001020D4"/>
    <w:rsid w:val="0010704D"/>
    <w:rsid w:val="00107502"/>
    <w:rsid w:val="00110503"/>
    <w:rsid w:val="00112600"/>
    <w:rsid w:val="00112DF4"/>
    <w:rsid w:val="001179DD"/>
    <w:rsid w:val="00120C06"/>
    <w:rsid w:val="0012281B"/>
    <w:rsid w:val="0012411A"/>
    <w:rsid w:val="00126C51"/>
    <w:rsid w:val="00126F5B"/>
    <w:rsid w:val="00127BDE"/>
    <w:rsid w:val="001322C3"/>
    <w:rsid w:val="00134FEA"/>
    <w:rsid w:val="00135048"/>
    <w:rsid w:val="00135724"/>
    <w:rsid w:val="00135AC8"/>
    <w:rsid w:val="00136662"/>
    <w:rsid w:val="001407C3"/>
    <w:rsid w:val="001409DE"/>
    <w:rsid w:val="00140BE9"/>
    <w:rsid w:val="00141F41"/>
    <w:rsid w:val="001423A7"/>
    <w:rsid w:val="00146FA3"/>
    <w:rsid w:val="00147022"/>
    <w:rsid w:val="00150D91"/>
    <w:rsid w:val="00154BD1"/>
    <w:rsid w:val="001558CA"/>
    <w:rsid w:val="00160ECB"/>
    <w:rsid w:val="0016250F"/>
    <w:rsid w:val="0016309E"/>
    <w:rsid w:val="00164AEF"/>
    <w:rsid w:val="00167637"/>
    <w:rsid w:val="00171649"/>
    <w:rsid w:val="0017271B"/>
    <w:rsid w:val="00173BB3"/>
    <w:rsid w:val="00174EEC"/>
    <w:rsid w:val="00175A65"/>
    <w:rsid w:val="0017630E"/>
    <w:rsid w:val="001767D9"/>
    <w:rsid w:val="001776BC"/>
    <w:rsid w:val="001778AA"/>
    <w:rsid w:val="00180890"/>
    <w:rsid w:val="00180943"/>
    <w:rsid w:val="00183D56"/>
    <w:rsid w:val="00185238"/>
    <w:rsid w:val="001862EA"/>
    <w:rsid w:val="00187423"/>
    <w:rsid w:val="001874B6"/>
    <w:rsid w:val="00190E79"/>
    <w:rsid w:val="0019126C"/>
    <w:rsid w:val="001914C7"/>
    <w:rsid w:val="001931AC"/>
    <w:rsid w:val="00195903"/>
    <w:rsid w:val="0019675E"/>
    <w:rsid w:val="00197323"/>
    <w:rsid w:val="00197C7B"/>
    <w:rsid w:val="001A0AC8"/>
    <w:rsid w:val="001A1958"/>
    <w:rsid w:val="001A3036"/>
    <w:rsid w:val="001A3F65"/>
    <w:rsid w:val="001A52B5"/>
    <w:rsid w:val="001A5378"/>
    <w:rsid w:val="001A57A6"/>
    <w:rsid w:val="001A6D2B"/>
    <w:rsid w:val="001A71AF"/>
    <w:rsid w:val="001A7E04"/>
    <w:rsid w:val="001B13B4"/>
    <w:rsid w:val="001B1FA8"/>
    <w:rsid w:val="001B581A"/>
    <w:rsid w:val="001C29BE"/>
    <w:rsid w:val="001C460C"/>
    <w:rsid w:val="001C783C"/>
    <w:rsid w:val="001D314C"/>
    <w:rsid w:val="001D317C"/>
    <w:rsid w:val="001D5C19"/>
    <w:rsid w:val="001D5E20"/>
    <w:rsid w:val="001D7777"/>
    <w:rsid w:val="001D7CE5"/>
    <w:rsid w:val="001E1360"/>
    <w:rsid w:val="001E16A5"/>
    <w:rsid w:val="001E2A6D"/>
    <w:rsid w:val="001E5C1D"/>
    <w:rsid w:val="001E7501"/>
    <w:rsid w:val="001E7B9E"/>
    <w:rsid w:val="001F25F1"/>
    <w:rsid w:val="001F28F6"/>
    <w:rsid w:val="001F4ED1"/>
    <w:rsid w:val="001F795A"/>
    <w:rsid w:val="001F7C82"/>
    <w:rsid w:val="002000E1"/>
    <w:rsid w:val="00200ECA"/>
    <w:rsid w:val="00201484"/>
    <w:rsid w:val="00202A49"/>
    <w:rsid w:val="00202B38"/>
    <w:rsid w:val="002036D6"/>
    <w:rsid w:val="00204E05"/>
    <w:rsid w:val="002067B9"/>
    <w:rsid w:val="00212520"/>
    <w:rsid w:val="00213831"/>
    <w:rsid w:val="002151F3"/>
    <w:rsid w:val="002156FF"/>
    <w:rsid w:val="002163FF"/>
    <w:rsid w:val="00220CCB"/>
    <w:rsid w:val="0022182D"/>
    <w:rsid w:val="00222681"/>
    <w:rsid w:val="00226338"/>
    <w:rsid w:val="0022650D"/>
    <w:rsid w:val="00227C5D"/>
    <w:rsid w:val="00231DF2"/>
    <w:rsid w:val="00232195"/>
    <w:rsid w:val="002329DD"/>
    <w:rsid w:val="00232A63"/>
    <w:rsid w:val="002338F3"/>
    <w:rsid w:val="00234817"/>
    <w:rsid w:val="00235168"/>
    <w:rsid w:val="0023592A"/>
    <w:rsid w:val="0024203C"/>
    <w:rsid w:val="00242983"/>
    <w:rsid w:val="00243E55"/>
    <w:rsid w:val="00245712"/>
    <w:rsid w:val="002526D2"/>
    <w:rsid w:val="00255E42"/>
    <w:rsid w:val="00255FFC"/>
    <w:rsid w:val="0025703A"/>
    <w:rsid w:val="00257B7F"/>
    <w:rsid w:val="00257D9E"/>
    <w:rsid w:val="00264792"/>
    <w:rsid w:val="00264981"/>
    <w:rsid w:val="00267AFE"/>
    <w:rsid w:val="0027063E"/>
    <w:rsid w:val="002721C7"/>
    <w:rsid w:val="0027223C"/>
    <w:rsid w:val="00272CA7"/>
    <w:rsid w:val="002742B3"/>
    <w:rsid w:val="0027737C"/>
    <w:rsid w:val="0028016A"/>
    <w:rsid w:val="00281D12"/>
    <w:rsid w:val="00283AE2"/>
    <w:rsid w:val="00286BBD"/>
    <w:rsid w:val="002914BC"/>
    <w:rsid w:val="00294FC7"/>
    <w:rsid w:val="00295DFA"/>
    <w:rsid w:val="0029728A"/>
    <w:rsid w:val="002A2A46"/>
    <w:rsid w:val="002A3251"/>
    <w:rsid w:val="002A4983"/>
    <w:rsid w:val="002A4C3A"/>
    <w:rsid w:val="002A54AF"/>
    <w:rsid w:val="002A5AC0"/>
    <w:rsid w:val="002A6E9D"/>
    <w:rsid w:val="002B0A1A"/>
    <w:rsid w:val="002B3017"/>
    <w:rsid w:val="002B3539"/>
    <w:rsid w:val="002B6E1D"/>
    <w:rsid w:val="002C0FBA"/>
    <w:rsid w:val="002C1EEE"/>
    <w:rsid w:val="002C21AF"/>
    <w:rsid w:val="002C4652"/>
    <w:rsid w:val="002C5991"/>
    <w:rsid w:val="002C5A3F"/>
    <w:rsid w:val="002C7135"/>
    <w:rsid w:val="002D0F3F"/>
    <w:rsid w:val="002D16D9"/>
    <w:rsid w:val="002D2C36"/>
    <w:rsid w:val="002D3A0C"/>
    <w:rsid w:val="002D64C0"/>
    <w:rsid w:val="002D7569"/>
    <w:rsid w:val="002E26D4"/>
    <w:rsid w:val="002E2CA9"/>
    <w:rsid w:val="002E345A"/>
    <w:rsid w:val="002E3732"/>
    <w:rsid w:val="002F0AC2"/>
    <w:rsid w:val="002F1CB9"/>
    <w:rsid w:val="002F414D"/>
    <w:rsid w:val="002F4A6C"/>
    <w:rsid w:val="002F5DB1"/>
    <w:rsid w:val="002F69A8"/>
    <w:rsid w:val="002F6BFB"/>
    <w:rsid w:val="002F700E"/>
    <w:rsid w:val="002F7FB2"/>
    <w:rsid w:val="00301267"/>
    <w:rsid w:val="00302584"/>
    <w:rsid w:val="00303C98"/>
    <w:rsid w:val="00306C16"/>
    <w:rsid w:val="00306F3E"/>
    <w:rsid w:val="00306F8E"/>
    <w:rsid w:val="00310206"/>
    <w:rsid w:val="00313089"/>
    <w:rsid w:val="00316504"/>
    <w:rsid w:val="00316D59"/>
    <w:rsid w:val="0031748F"/>
    <w:rsid w:val="00320E90"/>
    <w:rsid w:val="003217AA"/>
    <w:rsid w:val="00324027"/>
    <w:rsid w:val="00324FA9"/>
    <w:rsid w:val="00325B5C"/>
    <w:rsid w:val="00331E4E"/>
    <w:rsid w:val="003353C4"/>
    <w:rsid w:val="00336295"/>
    <w:rsid w:val="0034021B"/>
    <w:rsid w:val="0034025B"/>
    <w:rsid w:val="00341BCD"/>
    <w:rsid w:val="00341F45"/>
    <w:rsid w:val="00342E82"/>
    <w:rsid w:val="00342FAE"/>
    <w:rsid w:val="00343484"/>
    <w:rsid w:val="00343A0F"/>
    <w:rsid w:val="0034412C"/>
    <w:rsid w:val="00344459"/>
    <w:rsid w:val="00346931"/>
    <w:rsid w:val="0035285C"/>
    <w:rsid w:val="00352ADB"/>
    <w:rsid w:val="0035353F"/>
    <w:rsid w:val="00354FEB"/>
    <w:rsid w:val="00356C8D"/>
    <w:rsid w:val="00357233"/>
    <w:rsid w:val="00357590"/>
    <w:rsid w:val="00360472"/>
    <w:rsid w:val="003605A0"/>
    <w:rsid w:val="00361B61"/>
    <w:rsid w:val="00362823"/>
    <w:rsid w:val="00365184"/>
    <w:rsid w:val="00365F9E"/>
    <w:rsid w:val="003677E8"/>
    <w:rsid w:val="00367F01"/>
    <w:rsid w:val="0037435D"/>
    <w:rsid w:val="00376D43"/>
    <w:rsid w:val="00377D73"/>
    <w:rsid w:val="003820EB"/>
    <w:rsid w:val="003878AA"/>
    <w:rsid w:val="00390025"/>
    <w:rsid w:val="00391A07"/>
    <w:rsid w:val="0039205B"/>
    <w:rsid w:val="00393A33"/>
    <w:rsid w:val="0039435F"/>
    <w:rsid w:val="00394891"/>
    <w:rsid w:val="00394B57"/>
    <w:rsid w:val="0039546C"/>
    <w:rsid w:val="0039555B"/>
    <w:rsid w:val="0039666A"/>
    <w:rsid w:val="003A003F"/>
    <w:rsid w:val="003A11E1"/>
    <w:rsid w:val="003A1222"/>
    <w:rsid w:val="003A26F6"/>
    <w:rsid w:val="003A3265"/>
    <w:rsid w:val="003A3E75"/>
    <w:rsid w:val="003A5D57"/>
    <w:rsid w:val="003A754E"/>
    <w:rsid w:val="003B13D5"/>
    <w:rsid w:val="003B1DDC"/>
    <w:rsid w:val="003B2DF3"/>
    <w:rsid w:val="003B659E"/>
    <w:rsid w:val="003B681A"/>
    <w:rsid w:val="003B78FE"/>
    <w:rsid w:val="003B7D0E"/>
    <w:rsid w:val="003C4E82"/>
    <w:rsid w:val="003C5500"/>
    <w:rsid w:val="003C7C3E"/>
    <w:rsid w:val="003D5519"/>
    <w:rsid w:val="003D5567"/>
    <w:rsid w:val="003D71F3"/>
    <w:rsid w:val="003E1691"/>
    <w:rsid w:val="003E1FCA"/>
    <w:rsid w:val="003E2327"/>
    <w:rsid w:val="003E3928"/>
    <w:rsid w:val="003E47F9"/>
    <w:rsid w:val="003E748E"/>
    <w:rsid w:val="003F0DB9"/>
    <w:rsid w:val="003F116E"/>
    <w:rsid w:val="003F3E71"/>
    <w:rsid w:val="003F67C4"/>
    <w:rsid w:val="004004FF"/>
    <w:rsid w:val="00400E41"/>
    <w:rsid w:val="0040485A"/>
    <w:rsid w:val="004063D4"/>
    <w:rsid w:val="004066D8"/>
    <w:rsid w:val="00410C28"/>
    <w:rsid w:val="00410D8E"/>
    <w:rsid w:val="004138D0"/>
    <w:rsid w:val="00414462"/>
    <w:rsid w:val="00415CC9"/>
    <w:rsid w:val="0041611D"/>
    <w:rsid w:val="00417270"/>
    <w:rsid w:val="00417521"/>
    <w:rsid w:val="00421B69"/>
    <w:rsid w:val="004227BB"/>
    <w:rsid w:val="00424AD6"/>
    <w:rsid w:val="00424D9F"/>
    <w:rsid w:val="0042556E"/>
    <w:rsid w:val="004262BD"/>
    <w:rsid w:val="00426495"/>
    <w:rsid w:val="00427B56"/>
    <w:rsid w:val="0043309B"/>
    <w:rsid w:val="00434445"/>
    <w:rsid w:val="00436AA8"/>
    <w:rsid w:val="00437062"/>
    <w:rsid w:val="004410AA"/>
    <w:rsid w:val="004425E1"/>
    <w:rsid w:val="00442C23"/>
    <w:rsid w:val="004449A7"/>
    <w:rsid w:val="00445154"/>
    <w:rsid w:val="004505E1"/>
    <w:rsid w:val="00451DFF"/>
    <w:rsid w:val="0045492E"/>
    <w:rsid w:val="00462702"/>
    <w:rsid w:val="00463A2A"/>
    <w:rsid w:val="0046522B"/>
    <w:rsid w:val="004702BF"/>
    <w:rsid w:val="00473506"/>
    <w:rsid w:val="00475181"/>
    <w:rsid w:val="004813B3"/>
    <w:rsid w:val="004815A4"/>
    <w:rsid w:val="00481B1F"/>
    <w:rsid w:val="0048246E"/>
    <w:rsid w:val="004835CC"/>
    <w:rsid w:val="004838C4"/>
    <w:rsid w:val="00483CE7"/>
    <w:rsid w:val="00486A5B"/>
    <w:rsid w:val="004923F1"/>
    <w:rsid w:val="00492DF2"/>
    <w:rsid w:val="004954F5"/>
    <w:rsid w:val="00495C0C"/>
    <w:rsid w:val="00495DF4"/>
    <w:rsid w:val="00496307"/>
    <w:rsid w:val="004968D3"/>
    <w:rsid w:val="004A3E21"/>
    <w:rsid w:val="004A4B3F"/>
    <w:rsid w:val="004A4C0C"/>
    <w:rsid w:val="004A5A09"/>
    <w:rsid w:val="004A6EE3"/>
    <w:rsid w:val="004B1FEE"/>
    <w:rsid w:val="004B291C"/>
    <w:rsid w:val="004B40CD"/>
    <w:rsid w:val="004B5F06"/>
    <w:rsid w:val="004B620B"/>
    <w:rsid w:val="004B7069"/>
    <w:rsid w:val="004C0413"/>
    <w:rsid w:val="004C1E24"/>
    <w:rsid w:val="004C2032"/>
    <w:rsid w:val="004C2D98"/>
    <w:rsid w:val="004C31D4"/>
    <w:rsid w:val="004C6134"/>
    <w:rsid w:val="004D1B8C"/>
    <w:rsid w:val="004D1C88"/>
    <w:rsid w:val="004D3614"/>
    <w:rsid w:val="004D37EC"/>
    <w:rsid w:val="004D3899"/>
    <w:rsid w:val="004D448F"/>
    <w:rsid w:val="004D487D"/>
    <w:rsid w:val="004D5061"/>
    <w:rsid w:val="004D75B2"/>
    <w:rsid w:val="004E0550"/>
    <w:rsid w:val="004E132B"/>
    <w:rsid w:val="004E47EF"/>
    <w:rsid w:val="004E59B5"/>
    <w:rsid w:val="004F56FC"/>
    <w:rsid w:val="005009BD"/>
    <w:rsid w:val="00500BCA"/>
    <w:rsid w:val="005012F4"/>
    <w:rsid w:val="0050379B"/>
    <w:rsid w:val="00503DC6"/>
    <w:rsid w:val="00504801"/>
    <w:rsid w:val="00504AAB"/>
    <w:rsid w:val="0050516D"/>
    <w:rsid w:val="00510EB1"/>
    <w:rsid w:val="0051159A"/>
    <w:rsid w:val="00511BF1"/>
    <w:rsid w:val="00515180"/>
    <w:rsid w:val="00515571"/>
    <w:rsid w:val="00517FF8"/>
    <w:rsid w:val="0052198D"/>
    <w:rsid w:val="00521E3E"/>
    <w:rsid w:val="00522599"/>
    <w:rsid w:val="00522E10"/>
    <w:rsid w:val="00524020"/>
    <w:rsid w:val="0052472A"/>
    <w:rsid w:val="00524A42"/>
    <w:rsid w:val="00525EDC"/>
    <w:rsid w:val="0053212B"/>
    <w:rsid w:val="00532B4C"/>
    <w:rsid w:val="00532CDA"/>
    <w:rsid w:val="00532EFF"/>
    <w:rsid w:val="0053555B"/>
    <w:rsid w:val="00535ABB"/>
    <w:rsid w:val="00537CD7"/>
    <w:rsid w:val="0054098E"/>
    <w:rsid w:val="00541B3D"/>
    <w:rsid w:val="005426FA"/>
    <w:rsid w:val="00543851"/>
    <w:rsid w:val="00544D61"/>
    <w:rsid w:val="005450F5"/>
    <w:rsid w:val="00545392"/>
    <w:rsid w:val="00546442"/>
    <w:rsid w:val="005466BA"/>
    <w:rsid w:val="005473CA"/>
    <w:rsid w:val="0055023B"/>
    <w:rsid w:val="005510D5"/>
    <w:rsid w:val="00552B05"/>
    <w:rsid w:val="00553885"/>
    <w:rsid w:val="00553E1A"/>
    <w:rsid w:val="00555627"/>
    <w:rsid w:val="005565E6"/>
    <w:rsid w:val="005578F5"/>
    <w:rsid w:val="005643B9"/>
    <w:rsid w:val="00567959"/>
    <w:rsid w:val="00567E4E"/>
    <w:rsid w:val="005714EA"/>
    <w:rsid w:val="00571C8B"/>
    <w:rsid w:val="00576CA9"/>
    <w:rsid w:val="00581ECB"/>
    <w:rsid w:val="0058377F"/>
    <w:rsid w:val="00584438"/>
    <w:rsid w:val="005859DB"/>
    <w:rsid w:val="005865F1"/>
    <w:rsid w:val="00587380"/>
    <w:rsid w:val="005909FA"/>
    <w:rsid w:val="00592446"/>
    <w:rsid w:val="0059267D"/>
    <w:rsid w:val="00592AD5"/>
    <w:rsid w:val="00593042"/>
    <w:rsid w:val="00593AA4"/>
    <w:rsid w:val="005954E5"/>
    <w:rsid w:val="005A09A6"/>
    <w:rsid w:val="005A39EC"/>
    <w:rsid w:val="005A46BA"/>
    <w:rsid w:val="005A551A"/>
    <w:rsid w:val="005A641C"/>
    <w:rsid w:val="005A65EB"/>
    <w:rsid w:val="005A6E5D"/>
    <w:rsid w:val="005B311D"/>
    <w:rsid w:val="005B3529"/>
    <w:rsid w:val="005B363F"/>
    <w:rsid w:val="005B42D7"/>
    <w:rsid w:val="005B4DED"/>
    <w:rsid w:val="005B5F09"/>
    <w:rsid w:val="005B6CBE"/>
    <w:rsid w:val="005B7AA9"/>
    <w:rsid w:val="005C0951"/>
    <w:rsid w:val="005C16A4"/>
    <w:rsid w:val="005C4450"/>
    <w:rsid w:val="005C4ED5"/>
    <w:rsid w:val="005D1582"/>
    <w:rsid w:val="005D3C00"/>
    <w:rsid w:val="005E0E7B"/>
    <w:rsid w:val="005E30BB"/>
    <w:rsid w:val="005E3126"/>
    <w:rsid w:val="005E3F48"/>
    <w:rsid w:val="005E52FB"/>
    <w:rsid w:val="005F080B"/>
    <w:rsid w:val="005F3B26"/>
    <w:rsid w:val="005F5A18"/>
    <w:rsid w:val="005F5BB9"/>
    <w:rsid w:val="00601F4C"/>
    <w:rsid w:val="00601F66"/>
    <w:rsid w:val="00603C95"/>
    <w:rsid w:val="0060631D"/>
    <w:rsid w:val="006074C8"/>
    <w:rsid w:val="00607BBA"/>
    <w:rsid w:val="00613917"/>
    <w:rsid w:val="00613A5E"/>
    <w:rsid w:val="00615ABE"/>
    <w:rsid w:val="00621220"/>
    <w:rsid w:val="00621596"/>
    <w:rsid w:val="00621685"/>
    <w:rsid w:val="00623D35"/>
    <w:rsid w:val="00624A7A"/>
    <w:rsid w:val="00630785"/>
    <w:rsid w:val="00633F2D"/>
    <w:rsid w:val="00634C1C"/>
    <w:rsid w:val="00634E38"/>
    <w:rsid w:val="006429B2"/>
    <w:rsid w:val="0064321A"/>
    <w:rsid w:val="0065313E"/>
    <w:rsid w:val="00653C23"/>
    <w:rsid w:val="00653E79"/>
    <w:rsid w:val="006630BB"/>
    <w:rsid w:val="0066681A"/>
    <w:rsid w:val="00670B4C"/>
    <w:rsid w:val="0067268A"/>
    <w:rsid w:val="00674AAB"/>
    <w:rsid w:val="00676456"/>
    <w:rsid w:val="00680DDF"/>
    <w:rsid w:val="00682B27"/>
    <w:rsid w:val="006831D8"/>
    <w:rsid w:val="00683E34"/>
    <w:rsid w:val="00685CCC"/>
    <w:rsid w:val="00685F86"/>
    <w:rsid w:val="006861B4"/>
    <w:rsid w:val="00687D52"/>
    <w:rsid w:val="00690550"/>
    <w:rsid w:val="00690EB5"/>
    <w:rsid w:val="00692363"/>
    <w:rsid w:val="0069267D"/>
    <w:rsid w:val="006929D1"/>
    <w:rsid w:val="00695638"/>
    <w:rsid w:val="00695687"/>
    <w:rsid w:val="00696CFA"/>
    <w:rsid w:val="006979A5"/>
    <w:rsid w:val="006A0E15"/>
    <w:rsid w:val="006A19F9"/>
    <w:rsid w:val="006A3439"/>
    <w:rsid w:val="006A6A80"/>
    <w:rsid w:val="006A6EB6"/>
    <w:rsid w:val="006A704B"/>
    <w:rsid w:val="006B07E4"/>
    <w:rsid w:val="006B092B"/>
    <w:rsid w:val="006B2A48"/>
    <w:rsid w:val="006B4146"/>
    <w:rsid w:val="006B4ADC"/>
    <w:rsid w:val="006B5E82"/>
    <w:rsid w:val="006C047C"/>
    <w:rsid w:val="006C19D5"/>
    <w:rsid w:val="006C404D"/>
    <w:rsid w:val="006C6605"/>
    <w:rsid w:val="006D2B1C"/>
    <w:rsid w:val="006D6BF4"/>
    <w:rsid w:val="006D7A72"/>
    <w:rsid w:val="006E1086"/>
    <w:rsid w:val="006E1EA0"/>
    <w:rsid w:val="006E20BB"/>
    <w:rsid w:val="006E2219"/>
    <w:rsid w:val="006E6136"/>
    <w:rsid w:val="006E68C5"/>
    <w:rsid w:val="006F17E0"/>
    <w:rsid w:val="006F3CB0"/>
    <w:rsid w:val="006F3D0C"/>
    <w:rsid w:val="006F6D0F"/>
    <w:rsid w:val="006F7A48"/>
    <w:rsid w:val="00701EA5"/>
    <w:rsid w:val="00702BD2"/>
    <w:rsid w:val="00703087"/>
    <w:rsid w:val="0070354F"/>
    <w:rsid w:val="00704FCC"/>
    <w:rsid w:val="00710837"/>
    <w:rsid w:val="00710CE7"/>
    <w:rsid w:val="00712388"/>
    <w:rsid w:val="0071239D"/>
    <w:rsid w:val="0071265E"/>
    <w:rsid w:val="00712B8E"/>
    <w:rsid w:val="0071494A"/>
    <w:rsid w:val="00714CAA"/>
    <w:rsid w:val="00715A22"/>
    <w:rsid w:val="00715E84"/>
    <w:rsid w:val="00716250"/>
    <w:rsid w:val="00716394"/>
    <w:rsid w:val="00717861"/>
    <w:rsid w:val="00717F20"/>
    <w:rsid w:val="00722514"/>
    <w:rsid w:val="007232BD"/>
    <w:rsid w:val="00723F8D"/>
    <w:rsid w:val="0072463E"/>
    <w:rsid w:val="007328E0"/>
    <w:rsid w:val="00733970"/>
    <w:rsid w:val="00734084"/>
    <w:rsid w:val="00736ED1"/>
    <w:rsid w:val="00737B3A"/>
    <w:rsid w:val="00741C9E"/>
    <w:rsid w:val="00741D1B"/>
    <w:rsid w:val="00743521"/>
    <w:rsid w:val="007478D7"/>
    <w:rsid w:val="00750B52"/>
    <w:rsid w:val="00751E5C"/>
    <w:rsid w:val="007526FB"/>
    <w:rsid w:val="00755F0A"/>
    <w:rsid w:val="00757519"/>
    <w:rsid w:val="00760323"/>
    <w:rsid w:val="0076204E"/>
    <w:rsid w:val="00763070"/>
    <w:rsid w:val="007641A3"/>
    <w:rsid w:val="00764A13"/>
    <w:rsid w:val="0076534F"/>
    <w:rsid w:val="00765350"/>
    <w:rsid w:val="00767BC3"/>
    <w:rsid w:val="0077118C"/>
    <w:rsid w:val="007711C3"/>
    <w:rsid w:val="00771B8B"/>
    <w:rsid w:val="00771F81"/>
    <w:rsid w:val="00773165"/>
    <w:rsid w:val="00773A56"/>
    <w:rsid w:val="007800A4"/>
    <w:rsid w:val="007801DB"/>
    <w:rsid w:val="007824EE"/>
    <w:rsid w:val="007833DC"/>
    <w:rsid w:val="00784363"/>
    <w:rsid w:val="007864A5"/>
    <w:rsid w:val="00787D02"/>
    <w:rsid w:val="00790065"/>
    <w:rsid w:val="00791C2F"/>
    <w:rsid w:val="00793A79"/>
    <w:rsid w:val="00794E51"/>
    <w:rsid w:val="007A1A49"/>
    <w:rsid w:val="007A22E4"/>
    <w:rsid w:val="007A2CC6"/>
    <w:rsid w:val="007A7648"/>
    <w:rsid w:val="007B382D"/>
    <w:rsid w:val="007B71E0"/>
    <w:rsid w:val="007C248F"/>
    <w:rsid w:val="007C2F8D"/>
    <w:rsid w:val="007C31A8"/>
    <w:rsid w:val="007D3B94"/>
    <w:rsid w:val="007D4C7A"/>
    <w:rsid w:val="007D74C6"/>
    <w:rsid w:val="007E47B9"/>
    <w:rsid w:val="007E79F0"/>
    <w:rsid w:val="007E7DAD"/>
    <w:rsid w:val="007E7E6A"/>
    <w:rsid w:val="007E7E9A"/>
    <w:rsid w:val="007F0341"/>
    <w:rsid w:val="007F14C7"/>
    <w:rsid w:val="007F1900"/>
    <w:rsid w:val="007F2583"/>
    <w:rsid w:val="007F4F26"/>
    <w:rsid w:val="008007EE"/>
    <w:rsid w:val="00800E81"/>
    <w:rsid w:val="0080518F"/>
    <w:rsid w:val="008054A0"/>
    <w:rsid w:val="00805E14"/>
    <w:rsid w:val="00807F85"/>
    <w:rsid w:val="00810B1C"/>
    <w:rsid w:val="00810C92"/>
    <w:rsid w:val="00811456"/>
    <w:rsid w:val="008114D1"/>
    <w:rsid w:val="00812124"/>
    <w:rsid w:val="00812EA4"/>
    <w:rsid w:val="00813FF4"/>
    <w:rsid w:val="00821DB5"/>
    <w:rsid w:val="00824F71"/>
    <w:rsid w:val="00825CFE"/>
    <w:rsid w:val="0082664E"/>
    <w:rsid w:val="00826B8B"/>
    <w:rsid w:val="00832815"/>
    <w:rsid w:val="00833D03"/>
    <w:rsid w:val="008352B3"/>
    <w:rsid w:val="00836481"/>
    <w:rsid w:val="0084197F"/>
    <w:rsid w:val="00841CBC"/>
    <w:rsid w:val="00843D70"/>
    <w:rsid w:val="0084440F"/>
    <w:rsid w:val="00844412"/>
    <w:rsid w:val="0084529F"/>
    <w:rsid w:val="008465CA"/>
    <w:rsid w:val="00847327"/>
    <w:rsid w:val="0084742B"/>
    <w:rsid w:val="0085066B"/>
    <w:rsid w:val="008519E0"/>
    <w:rsid w:val="008523DE"/>
    <w:rsid w:val="00853DD5"/>
    <w:rsid w:val="008567EF"/>
    <w:rsid w:val="00856F4D"/>
    <w:rsid w:val="00862D33"/>
    <w:rsid w:val="008642D6"/>
    <w:rsid w:val="00870B56"/>
    <w:rsid w:val="00872A56"/>
    <w:rsid w:val="008732BC"/>
    <w:rsid w:val="00874B0A"/>
    <w:rsid w:val="008755BE"/>
    <w:rsid w:val="00881764"/>
    <w:rsid w:val="00884D08"/>
    <w:rsid w:val="00884E2A"/>
    <w:rsid w:val="00887051"/>
    <w:rsid w:val="00893511"/>
    <w:rsid w:val="008A4C4A"/>
    <w:rsid w:val="008A7058"/>
    <w:rsid w:val="008A7567"/>
    <w:rsid w:val="008A78C0"/>
    <w:rsid w:val="008B0204"/>
    <w:rsid w:val="008B194E"/>
    <w:rsid w:val="008B1AE1"/>
    <w:rsid w:val="008B4CD2"/>
    <w:rsid w:val="008B7E10"/>
    <w:rsid w:val="008C3483"/>
    <w:rsid w:val="008C3F3E"/>
    <w:rsid w:val="008C54F2"/>
    <w:rsid w:val="008C5F8D"/>
    <w:rsid w:val="008C5FDB"/>
    <w:rsid w:val="008D0441"/>
    <w:rsid w:val="008D1313"/>
    <w:rsid w:val="008D2489"/>
    <w:rsid w:val="008D2EAA"/>
    <w:rsid w:val="008D5E1E"/>
    <w:rsid w:val="008D7556"/>
    <w:rsid w:val="008E08C7"/>
    <w:rsid w:val="008E5116"/>
    <w:rsid w:val="008E5149"/>
    <w:rsid w:val="008E6BE5"/>
    <w:rsid w:val="008F0D4A"/>
    <w:rsid w:val="008F137A"/>
    <w:rsid w:val="008F22A1"/>
    <w:rsid w:val="008F26C9"/>
    <w:rsid w:val="008F313E"/>
    <w:rsid w:val="008F34F4"/>
    <w:rsid w:val="008F7B23"/>
    <w:rsid w:val="009002DD"/>
    <w:rsid w:val="00902BF7"/>
    <w:rsid w:val="0090304A"/>
    <w:rsid w:val="00905F65"/>
    <w:rsid w:val="00906723"/>
    <w:rsid w:val="00911257"/>
    <w:rsid w:val="009179C1"/>
    <w:rsid w:val="00923EA1"/>
    <w:rsid w:val="00924980"/>
    <w:rsid w:val="00924B55"/>
    <w:rsid w:val="00924FF0"/>
    <w:rsid w:val="00925A99"/>
    <w:rsid w:val="00926E95"/>
    <w:rsid w:val="00927455"/>
    <w:rsid w:val="009307CD"/>
    <w:rsid w:val="00930D01"/>
    <w:rsid w:val="00932C15"/>
    <w:rsid w:val="00934FA2"/>
    <w:rsid w:val="00944867"/>
    <w:rsid w:val="00947E59"/>
    <w:rsid w:val="00951109"/>
    <w:rsid w:val="00953F56"/>
    <w:rsid w:val="00960152"/>
    <w:rsid w:val="00961F8D"/>
    <w:rsid w:val="00963CDF"/>
    <w:rsid w:val="0096412A"/>
    <w:rsid w:val="0096441B"/>
    <w:rsid w:val="00972722"/>
    <w:rsid w:val="00974D5C"/>
    <w:rsid w:val="00976733"/>
    <w:rsid w:val="009817E2"/>
    <w:rsid w:val="00984176"/>
    <w:rsid w:val="0098432F"/>
    <w:rsid w:val="009857C2"/>
    <w:rsid w:val="00986E7A"/>
    <w:rsid w:val="009902DD"/>
    <w:rsid w:val="00990303"/>
    <w:rsid w:val="00991968"/>
    <w:rsid w:val="00991FEC"/>
    <w:rsid w:val="009936B6"/>
    <w:rsid w:val="009949C3"/>
    <w:rsid w:val="00996A13"/>
    <w:rsid w:val="00997813"/>
    <w:rsid w:val="00997C6E"/>
    <w:rsid w:val="009A0A69"/>
    <w:rsid w:val="009A36A1"/>
    <w:rsid w:val="009A3E98"/>
    <w:rsid w:val="009A5144"/>
    <w:rsid w:val="009A54B9"/>
    <w:rsid w:val="009A5911"/>
    <w:rsid w:val="009A68AA"/>
    <w:rsid w:val="009B07E2"/>
    <w:rsid w:val="009B2128"/>
    <w:rsid w:val="009B2454"/>
    <w:rsid w:val="009B2EB1"/>
    <w:rsid w:val="009B35D0"/>
    <w:rsid w:val="009B37D0"/>
    <w:rsid w:val="009B4242"/>
    <w:rsid w:val="009B4FE9"/>
    <w:rsid w:val="009B6386"/>
    <w:rsid w:val="009B7345"/>
    <w:rsid w:val="009C1232"/>
    <w:rsid w:val="009C1408"/>
    <w:rsid w:val="009C1FA3"/>
    <w:rsid w:val="009C2A1C"/>
    <w:rsid w:val="009C2AB4"/>
    <w:rsid w:val="009C2C08"/>
    <w:rsid w:val="009C4AEE"/>
    <w:rsid w:val="009C7D9A"/>
    <w:rsid w:val="009D2A9D"/>
    <w:rsid w:val="009D306A"/>
    <w:rsid w:val="009E030C"/>
    <w:rsid w:val="009E1327"/>
    <w:rsid w:val="009E2865"/>
    <w:rsid w:val="009E4050"/>
    <w:rsid w:val="009E5B41"/>
    <w:rsid w:val="009E5EE1"/>
    <w:rsid w:val="009F1B4E"/>
    <w:rsid w:val="009F2E60"/>
    <w:rsid w:val="009F31E2"/>
    <w:rsid w:val="009F46B5"/>
    <w:rsid w:val="009F6AC4"/>
    <w:rsid w:val="009F7C40"/>
    <w:rsid w:val="00A017F4"/>
    <w:rsid w:val="00A02718"/>
    <w:rsid w:val="00A057D8"/>
    <w:rsid w:val="00A07C62"/>
    <w:rsid w:val="00A14A59"/>
    <w:rsid w:val="00A164EE"/>
    <w:rsid w:val="00A20406"/>
    <w:rsid w:val="00A209ED"/>
    <w:rsid w:val="00A236E2"/>
    <w:rsid w:val="00A25599"/>
    <w:rsid w:val="00A255AD"/>
    <w:rsid w:val="00A25F89"/>
    <w:rsid w:val="00A2620D"/>
    <w:rsid w:val="00A26223"/>
    <w:rsid w:val="00A264B4"/>
    <w:rsid w:val="00A26EB8"/>
    <w:rsid w:val="00A2701D"/>
    <w:rsid w:val="00A27654"/>
    <w:rsid w:val="00A27ACD"/>
    <w:rsid w:val="00A30613"/>
    <w:rsid w:val="00A3329B"/>
    <w:rsid w:val="00A335F9"/>
    <w:rsid w:val="00A33D93"/>
    <w:rsid w:val="00A34652"/>
    <w:rsid w:val="00A34767"/>
    <w:rsid w:val="00A35231"/>
    <w:rsid w:val="00A366B7"/>
    <w:rsid w:val="00A36800"/>
    <w:rsid w:val="00A3688E"/>
    <w:rsid w:val="00A370B9"/>
    <w:rsid w:val="00A40F1B"/>
    <w:rsid w:val="00A415DB"/>
    <w:rsid w:val="00A43A6B"/>
    <w:rsid w:val="00A43B76"/>
    <w:rsid w:val="00A43D5B"/>
    <w:rsid w:val="00A45654"/>
    <w:rsid w:val="00A47435"/>
    <w:rsid w:val="00A4757B"/>
    <w:rsid w:val="00A5017D"/>
    <w:rsid w:val="00A50A00"/>
    <w:rsid w:val="00A50A78"/>
    <w:rsid w:val="00A5194B"/>
    <w:rsid w:val="00A53260"/>
    <w:rsid w:val="00A55482"/>
    <w:rsid w:val="00A559F8"/>
    <w:rsid w:val="00A60FC9"/>
    <w:rsid w:val="00A6112A"/>
    <w:rsid w:val="00A63193"/>
    <w:rsid w:val="00A65D48"/>
    <w:rsid w:val="00A663BA"/>
    <w:rsid w:val="00A66BB3"/>
    <w:rsid w:val="00A70FB2"/>
    <w:rsid w:val="00A73A1C"/>
    <w:rsid w:val="00A74A5E"/>
    <w:rsid w:val="00A75444"/>
    <w:rsid w:val="00A815CF"/>
    <w:rsid w:val="00A856EC"/>
    <w:rsid w:val="00A85DA7"/>
    <w:rsid w:val="00A86CBE"/>
    <w:rsid w:val="00A86D77"/>
    <w:rsid w:val="00A95BFF"/>
    <w:rsid w:val="00AA0CD1"/>
    <w:rsid w:val="00AA19FC"/>
    <w:rsid w:val="00AA2EC6"/>
    <w:rsid w:val="00AA38F7"/>
    <w:rsid w:val="00AA591D"/>
    <w:rsid w:val="00AA59B5"/>
    <w:rsid w:val="00AB0B56"/>
    <w:rsid w:val="00AB36D6"/>
    <w:rsid w:val="00AB6A7C"/>
    <w:rsid w:val="00AB71F7"/>
    <w:rsid w:val="00AC29A8"/>
    <w:rsid w:val="00AC2CE9"/>
    <w:rsid w:val="00AC2D0C"/>
    <w:rsid w:val="00AC72A6"/>
    <w:rsid w:val="00AC7486"/>
    <w:rsid w:val="00AD1D34"/>
    <w:rsid w:val="00AD22B2"/>
    <w:rsid w:val="00AD3962"/>
    <w:rsid w:val="00AD3CC0"/>
    <w:rsid w:val="00AD4A67"/>
    <w:rsid w:val="00AD5AFD"/>
    <w:rsid w:val="00AD5F10"/>
    <w:rsid w:val="00AD6FCF"/>
    <w:rsid w:val="00AE4E3F"/>
    <w:rsid w:val="00AF0955"/>
    <w:rsid w:val="00AF0BC0"/>
    <w:rsid w:val="00AF287E"/>
    <w:rsid w:val="00AF5790"/>
    <w:rsid w:val="00B00BD4"/>
    <w:rsid w:val="00B00E62"/>
    <w:rsid w:val="00B00F6C"/>
    <w:rsid w:val="00B1056D"/>
    <w:rsid w:val="00B109C8"/>
    <w:rsid w:val="00B10EF4"/>
    <w:rsid w:val="00B12F47"/>
    <w:rsid w:val="00B14E82"/>
    <w:rsid w:val="00B17DD7"/>
    <w:rsid w:val="00B21168"/>
    <w:rsid w:val="00B2126D"/>
    <w:rsid w:val="00B21AE5"/>
    <w:rsid w:val="00B22F54"/>
    <w:rsid w:val="00B23132"/>
    <w:rsid w:val="00B2341A"/>
    <w:rsid w:val="00B23B63"/>
    <w:rsid w:val="00B26210"/>
    <w:rsid w:val="00B27532"/>
    <w:rsid w:val="00B27EF7"/>
    <w:rsid w:val="00B362E1"/>
    <w:rsid w:val="00B365BF"/>
    <w:rsid w:val="00B37516"/>
    <w:rsid w:val="00B4148F"/>
    <w:rsid w:val="00B41CE1"/>
    <w:rsid w:val="00B42D2F"/>
    <w:rsid w:val="00B437A4"/>
    <w:rsid w:val="00B452D6"/>
    <w:rsid w:val="00B4587A"/>
    <w:rsid w:val="00B46C78"/>
    <w:rsid w:val="00B511C0"/>
    <w:rsid w:val="00B5130F"/>
    <w:rsid w:val="00B513A7"/>
    <w:rsid w:val="00B52213"/>
    <w:rsid w:val="00B54AC9"/>
    <w:rsid w:val="00B5500F"/>
    <w:rsid w:val="00B56CA9"/>
    <w:rsid w:val="00B5754B"/>
    <w:rsid w:val="00B605C9"/>
    <w:rsid w:val="00B61F99"/>
    <w:rsid w:val="00B63C8E"/>
    <w:rsid w:val="00B67ACC"/>
    <w:rsid w:val="00B7031D"/>
    <w:rsid w:val="00B72721"/>
    <w:rsid w:val="00B74B2A"/>
    <w:rsid w:val="00B7619C"/>
    <w:rsid w:val="00B822D8"/>
    <w:rsid w:val="00B82B3F"/>
    <w:rsid w:val="00B83190"/>
    <w:rsid w:val="00B83B55"/>
    <w:rsid w:val="00B84421"/>
    <w:rsid w:val="00B84975"/>
    <w:rsid w:val="00B84F1D"/>
    <w:rsid w:val="00B877D6"/>
    <w:rsid w:val="00B9016B"/>
    <w:rsid w:val="00B92747"/>
    <w:rsid w:val="00B9582A"/>
    <w:rsid w:val="00B978A6"/>
    <w:rsid w:val="00BA01D5"/>
    <w:rsid w:val="00BA19C1"/>
    <w:rsid w:val="00BA24DC"/>
    <w:rsid w:val="00BA3150"/>
    <w:rsid w:val="00BA5666"/>
    <w:rsid w:val="00BA5B82"/>
    <w:rsid w:val="00BB0EF9"/>
    <w:rsid w:val="00BB13B6"/>
    <w:rsid w:val="00BB230D"/>
    <w:rsid w:val="00BB53BB"/>
    <w:rsid w:val="00BB5A4B"/>
    <w:rsid w:val="00BC5E4E"/>
    <w:rsid w:val="00BC6B1C"/>
    <w:rsid w:val="00BD0FEE"/>
    <w:rsid w:val="00BD1828"/>
    <w:rsid w:val="00BD190D"/>
    <w:rsid w:val="00BD4676"/>
    <w:rsid w:val="00BD4920"/>
    <w:rsid w:val="00BD5385"/>
    <w:rsid w:val="00BD58C3"/>
    <w:rsid w:val="00BD59DA"/>
    <w:rsid w:val="00BD7FD6"/>
    <w:rsid w:val="00BE09FE"/>
    <w:rsid w:val="00BE5589"/>
    <w:rsid w:val="00BE66D2"/>
    <w:rsid w:val="00BF1DA5"/>
    <w:rsid w:val="00BF73AD"/>
    <w:rsid w:val="00BF7FE0"/>
    <w:rsid w:val="00C017F1"/>
    <w:rsid w:val="00C040DB"/>
    <w:rsid w:val="00C055F9"/>
    <w:rsid w:val="00C07E5E"/>
    <w:rsid w:val="00C10C5D"/>
    <w:rsid w:val="00C11FFC"/>
    <w:rsid w:val="00C12EB5"/>
    <w:rsid w:val="00C13398"/>
    <w:rsid w:val="00C14EF8"/>
    <w:rsid w:val="00C152A6"/>
    <w:rsid w:val="00C16713"/>
    <w:rsid w:val="00C21A30"/>
    <w:rsid w:val="00C243CF"/>
    <w:rsid w:val="00C24B7D"/>
    <w:rsid w:val="00C24D47"/>
    <w:rsid w:val="00C25661"/>
    <w:rsid w:val="00C260AA"/>
    <w:rsid w:val="00C306EE"/>
    <w:rsid w:val="00C34252"/>
    <w:rsid w:val="00C34B0D"/>
    <w:rsid w:val="00C406BF"/>
    <w:rsid w:val="00C42098"/>
    <w:rsid w:val="00C43526"/>
    <w:rsid w:val="00C451FA"/>
    <w:rsid w:val="00C45B53"/>
    <w:rsid w:val="00C47570"/>
    <w:rsid w:val="00C47E80"/>
    <w:rsid w:val="00C50BED"/>
    <w:rsid w:val="00C50FD6"/>
    <w:rsid w:val="00C511B7"/>
    <w:rsid w:val="00C519D5"/>
    <w:rsid w:val="00C54539"/>
    <w:rsid w:val="00C54BBC"/>
    <w:rsid w:val="00C56C1E"/>
    <w:rsid w:val="00C60A19"/>
    <w:rsid w:val="00C60F28"/>
    <w:rsid w:val="00C61B0D"/>
    <w:rsid w:val="00C628D7"/>
    <w:rsid w:val="00C667A6"/>
    <w:rsid w:val="00C70A5F"/>
    <w:rsid w:val="00C710D2"/>
    <w:rsid w:val="00C71372"/>
    <w:rsid w:val="00C7151A"/>
    <w:rsid w:val="00C71A60"/>
    <w:rsid w:val="00C71CFC"/>
    <w:rsid w:val="00C730E4"/>
    <w:rsid w:val="00C7321D"/>
    <w:rsid w:val="00C81290"/>
    <w:rsid w:val="00C81805"/>
    <w:rsid w:val="00C8214E"/>
    <w:rsid w:val="00C8570D"/>
    <w:rsid w:val="00C86421"/>
    <w:rsid w:val="00C91F2D"/>
    <w:rsid w:val="00C92113"/>
    <w:rsid w:val="00C93C54"/>
    <w:rsid w:val="00C94FB6"/>
    <w:rsid w:val="00C95BBE"/>
    <w:rsid w:val="00C97705"/>
    <w:rsid w:val="00C97D6F"/>
    <w:rsid w:val="00CA0C14"/>
    <w:rsid w:val="00CA3734"/>
    <w:rsid w:val="00CA592E"/>
    <w:rsid w:val="00CA634A"/>
    <w:rsid w:val="00CA77BB"/>
    <w:rsid w:val="00CB2796"/>
    <w:rsid w:val="00CB33CB"/>
    <w:rsid w:val="00CB5273"/>
    <w:rsid w:val="00CB5393"/>
    <w:rsid w:val="00CB6CF7"/>
    <w:rsid w:val="00CC3FC3"/>
    <w:rsid w:val="00CC5BAF"/>
    <w:rsid w:val="00CC679F"/>
    <w:rsid w:val="00CC685C"/>
    <w:rsid w:val="00CC7D9F"/>
    <w:rsid w:val="00CD2294"/>
    <w:rsid w:val="00CD3CF4"/>
    <w:rsid w:val="00CD4A76"/>
    <w:rsid w:val="00CD67E5"/>
    <w:rsid w:val="00CD6B38"/>
    <w:rsid w:val="00CD7E65"/>
    <w:rsid w:val="00CE03CD"/>
    <w:rsid w:val="00CE067E"/>
    <w:rsid w:val="00CE06A0"/>
    <w:rsid w:val="00CE1154"/>
    <w:rsid w:val="00CE16F5"/>
    <w:rsid w:val="00CE3328"/>
    <w:rsid w:val="00CE4434"/>
    <w:rsid w:val="00CE5959"/>
    <w:rsid w:val="00CE691C"/>
    <w:rsid w:val="00CE778A"/>
    <w:rsid w:val="00CF13FC"/>
    <w:rsid w:val="00CF226F"/>
    <w:rsid w:val="00CF283D"/>
    <w:rsid w:val="00CF6E10"/>
    <w:rsid w:val="00CF7F03"/>
    <w:rsid w:val="00D02492"/>
    <w:rsid w:val="00D03326"/>
    <w:rsid w:val="00D03DF7"/>
    <w:rsid w:val="00D05CD3"/>
    <w:rsid w:val="00D05CF6"/>
    <w:rsid w:val="00D065FF"/>
    <w:rsid w:val="00D070B3"/>
    <w:rsid w:val="00D07FEF"/>
    <w:rsid w:val="00D10CC7"/>
    <w:rsid w:val="00D13423"/>
    <w:rsid w:val="00D13C82"/>
    <w:rsid w:val="00D15135"/>
    <w:rsid w:val="00D22AA4"/>
    <w:rsid w:val="00D22FF1"/>
    <w:rsid w:val="00D23581"/>
    <w:rsid w:val="00D237C4"/>
    <w:rsid w:val="00D254A5"/>
    <w:rsid w:val="00D2722B"/>
    <w:rsid w:val="00D304D5"/>
    <w:rsid w:val="00D306B7"/>
    <w:rsid w:val="00D32443"/>
    <w:rsid w:val="00D36B48"/>
    <w:rsid w:val="00D412A7"/>
    <w:rsid w:val="00D414A3"/>
    <w:rsid w:val="00D462EC"/>
    <w:rsid w:val="00D46E9B"/>
    <w:rsid w:val="00D500E1"/>
    <w:rsid w:val="00D51BB3"/>
    <w:rsid w:val="00D52731"/>
    <w:rsid w:val="00D52ED7"/>
    <w:rsid w:val="00D5498D"/>
    <w:rsid w:val="00D55EC2"/>
    <w:rsid w:val="00D56071"/>
    <w:rsid w:val="00D562CF"/>
    <w:rsid w:val="00D60AB7"/>
    <w:rsid w:val="00D60D42"/>
    <w:rsid w:val="00D61C08"/>
    <w:rsid w:val="00D62EF1"/>
    <w:rsid w:val="00D65A9C"/>
    <w:rsid w:val="00D66671"/>
    <w:rsid w:val="00D67ED8"/>
    <w:rsid w:val="00D70037"/>
    <w:rsid w:val="00D715A9"/>
    <w:rsid w:val="00D7302D"/>
    <w:rsid w:val="00D74E6E"/>
    <w:rsid w:val="00D77ADF"/>
    <w:rsid w:val="00D80E7C"/>
    <w:rsid w:val="00D8701E"/>
    <w:rsid w:val="00D870DC"/>
    <w:rsid w:val="00D87A3C"/>
    <w:rsid w:val="00D87FC9"/>
    <w:rsid w:val="00D963E3"/>
    <w:rsid w:val="00D97FCD"/>
    <w:rsid w:val="00DA14A8"/>
    <w:rsid w:val="00DA4014"/>
    <w:rsid w:val="00DA5C5C"/>
    <w:rsid w:val="00DA7427"/>
    <w:rsid w:val="00DB0146"/>
    <w:rsid w:val="00DB12F6"/>
    <w:rsid w:val="00DB2025"/>
    <w:rsid w:val="00DB2C38"/>
    <w:rsid w:val="00DB3259"/>
    <w:rsid w:val="00DB3C50"/>
    <w:rsid w:val="00DB5FBC"/>
    <w:rsid w:val="00DC2443"/>
    <w:rsid w:val="00DC3EE1"/>
    <w:rsid w:val="00DC4669"/>
    <w:rsid w:val="00DC5249"/>
    <w:rsid w:val="00DC792C"/>
    <w:rsid w:val="00DD02D9"/>
    <w:rsid w:val="00DD10B4"/>
    <w:rsid w:val="00DD194B"/>
    <w:rsid w:val="00DD4C09"/>
    <w:rsid w:val="00DD5876"/>
    <w:rsid w:val="00DD5AA2"/>
    <w:rsid w:val="00DD7C0B"/>
    <w:rsid w:val="00DD7C82"/>
    <w:rsid w:val="00DE18EC"/>
    <w:rsid w:val="00DE649D"/>
    <w:rsid w:val="00DE69A2"/>
    <w:rsid w:val="00DF0E93"/>
    <w:rsid w:val="00DF2B86"/>
    <w:rsid w:val="00DF600F"/>
    <w:rsid w:val="00DF615F"/>
    <w:rsid w:val="00DF7C0A"/>
    <w:rsid w:val="00E009D1"/>
    <w:rsid w:val="00E012D2"/>
    <w:rsid w:val="00E01A7C"/>
    <w:rsid w:val="00E0267A"/>
    <w:rsid w:val="00E02AA7"/>
    <w:rsid w:val="00E031AA"/>
    <w:rsid w:val="00E03925"/>
    <w:rsid w:val="00E06181"/>
    <w:rsid w:val="00E06C8E"/>
    <w:rsid w:val="00E11409"/>
    <w:rsid w:val="00E1477A"/>
    <w:rsid w:val="00E15AE8"/>
    <w:rsid w:val="00E16451"/>
    <w:rsid w:val="00E1774D"/>
    <w:rsid w:val="00E23717"/>
    <w:rsid w:val="00E23CAC"/>
    <w:rsid w:val="00E24D50"/>
    <w:rsid w:val="00E27706"/>
    <w:rsid w:val="00E31BDF"/>
    <w:rsid w:val="00E329D7"/>
    <w:rsid w:val="00E34269"/>
    <w:rsid w:val="00E3472A"/>
    <w:rsid w:val="00E37E8A"/>
    <w:rsid w:val="00E403B8"/>
    <w:rsid w:val="00E51939"/>
    <w:rsid w:val="00E523A8"/>
    <w:rsid w:val="00E53EA7"/>
    <w:rsid w:val="00E54432"/>
    <w:rsid w:val="00E54EE0"/>
    <w:rsid w:val="00E558D1"/>
    <w:rsid w:val="00E55AB0"/>
    <w:rsid w:val="00E579A6"/>
    <w:rsid w:val="00E60B7C"/>
    <w:rsid w:val="00E63948"/>
    <w:rsid w:val="00E63E16"/>
    <w:rsid w:val="00E641AC"/>
    <w:rsid w:val="00E67921"/>
    <w:rsid w:val="00E71885"/>
    <w:rsid w:val="00E73E25"/>
    <w:rsid w:val="00E81B80"/>
    <w:rsid w:val="00E82517"/>
    <w:rsid w:val="00E82EAD"/>
    <w:rsid w:val="00E8348B"/>
    <w:rsid w:val="00E83CB9"/>
    <w:rsid w:val="00E84018"/>
    <w:rsid w:val="00E907B3"/>
    <w:rsid w:val="00E917C3"/>
    <w:rsid w:val="00E92159"/>
    <w:rsid w:val="00E93530"/>
    <w:rsid w:val="00E936E3"/>
    <w:rsid w:val="00E944B5"/>
    <w:rsid w:val="00EA0701"/>
    <w:rsid w:val="00EA21BD"/>
    <w:rsid w:val="00EA232D"/>
    <w:rsid w:val="00EA3D01"/>
    <w:rsid w:val="00EA45CF"/>
    <w:rsid w:val="00EA503F"/>
    <w:rsid w:val="00EA523F"/>
    <w:rsid w:val="00EA573B"/>
    <w:rsid w:val="00EB0D91"/>
    <w:rsid w:val="00EB2821"/>
    <w:rsid w:val="00EB2AD7"/>
    <w:rsid w:val="00EB31F0"/>
    <w:rsid w:val="00EB38E3"/>
    <w:rsid w:val="00EB4314"/>
    <w:rsid w:val="00EB4D54"/>
    <w:rsid w:val="00EB4F60"/>
    <w:rsid w:val="00EC1A7B"/>
    <w:rsid w:val="00EC6813"/>
    <w:rsid w:val="00ED1273"/>
    <w:rsid w:val="00ED275D"/>
    <w:rsid w:val="00ED3F98"/>
    <w:rsid w:val="00ED4007"/>
    <w:rsid w:val="00ED493E"/>
    <w:rsid w:val="00ED6404"/>
    <w:rsid w:val="00ED756C"/>
    <w:rsid w:val="00EE0EE4"/>
    <w:rsid w:val="00EE2BC8"/>
    <w:rsid w:val="00EE4BEB"/>
    <w:rsid w:val="00EE54A8"/>
    <w:rsid w:val="00EE6CF9"/>
    <w:rsid w:val="00EF2DC9"/>
    <w:rsid w:val="00EF2ED1"/>
    <w:rsid w:val="00EF5618"/>
    <w:rsid w:val="00EF77D9"/>
    <w:rsid w:val="00F04A7C"/>
    <w:rsid w:val="00F10C74"/>
    <w:rsid w:val="00F12140"/>
    <w:rsid w:val="00F14B68"/>
    <w:rsid w:val="00F15D02"/>
    <w:rsid w:val="00F15FEB"/>
    <w:rsid w:val="00F237A8"/>
    <w:rsid w:val="00F23B8B"/>
    <w:rsid w:val="00F24EAA"/>
    <w:rsid w:val="00F25100"/>
    <w:rsid w:val="00F26033"/>
    <w:rsid w:val="00F328B9"/>
    <w:rsid w:val="00F3374B"/>
    <w:rsid w:val="00F33E3E"/>
    <w:rsid w:val="00F33F80"/>
    <w:rsid w:val="00F34081"/>
    <w:rsid w:val="00F36214"/>
    <w:rsid w:val="00F3655C"/>
    <w:rsid w:val="00F37CEB"/>
    <w:rsid w:val="00F43245"/>
    <w:rsid w:val="00F43301"/>
    <w:rsid w:val="00F46032"/>
    <w:rsid w:val="00F47322"/>
    <w:rsid w:val="00F52276"/>
    <w:rsid w:val="00F53188"/>
    <w:rsid w:val="00F534D4"/>
    <w:rsid w:val="00F544E9"/>
    <w:rsid w:val="00F55768"/>
    <w:rsid w:val="00F56E24"/>
    <w:rsid w:val="00F611D2"/>
    <w:rsid w:val="00F63CEC"/>
    <w:rsid w:val="00F6418D"/>
    <w:rsid w:val="00F64561"/>
    <w:rsid w:val="00F6471B"/>
    <w:rsid w:val="00F658F5"/>
    <w:rsid w:val="00F67FAD"/>
    <w:rsid w:val="00F71022"/>
    <w:rsid w:val="00F715B4"/>
    <w:rsid w:val="00F74A33"/>
    <w:rsid w:val="00F77B31"/>
    <w:rsid w:val="00F81ED6"/>
    <w:rsid w:val="00F82850"/>
    <w:rsid w:val="00F835F8"/>
    <w:rsid w:val="00F84B1E"/>
    <w:rsid w:val="00F84DF6"/>
    <w:rsid w:val="00F904F2"/>
    <w:rsid w:val="00F905B1"/>
    <w:rsid w:val="00F912A7"/>
    <w:rsid w:val="00F945C8"/>
    <w:rsid w:val="00F94AC1"/>
    <w:rsid w:val="00F94CFA"/>
    <w:rsid w:val="00FA12E4"/>
    <w:rsid w:val="00FA2FF3"/>
    <w:rsid w:val="00FA4BA9"/>
    <w:rsid w:val="00FA5EFB"/>
    <w:rsid w:val="00FA6A8D"/>
    <w:rsid w:val="00FA6D67"/>
    <w:rsid w:val="00FB1782"/>
    <w:rsid w:val="00FB70BB"/>
    <w:rsid w:val="00FB7BF5"/>
    <w:rsid w:val="00FC0B86"/>
    <w:rsid w:val="00FC21F7"/>
    <w:rsid w:val="00FC2735"/>
    <w:rsid w:val="00FC414B"/>
    <w:rsid w:val="00FC4FCA"/>
    <w:rsid w:val="00FC5530"/>
    <w:rsid w:val="00FC7044"/>
    <w:rsid w:val="00FC7882"/>
    <w:rsid w:val="00FD0C60"/>
    <w:rsid w:val="00FD1FCE"/>
    <w:rsid w:val="00FD2429"/>
    <w:rsid w:val="00FD548A"/>
    <w:rsid w:val="00FD5629"/>
    <w:rsid w:val="00FD6C61"/>
    <w:rsid w:val="00FD6E00"/>
    <w:rsid w:val="00FE074A"/>
    <w:rsid w:val="00FE0BDF"/>
    <w:rsid w:val="00FE3274"/>
    <w:rsid w:val="00FE567A"/>
    <w:rsid w:val="00FE6C14"/>
    <w:rsid w:val="00FF035A"/>
    <w:rsid w:val="00FF14C8"/>
    <w:rsid w:val="00FF4D8F"/>
    <w:rsid w:val="00FF505E"/>
    <w:rsid w:val="00FF61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ADF"/>
    <w:rPr>
      <w:rFonts w:ascii="Verdana" w:hAnsi="Verdana"/>
      <w:lang w:eastAsia="en-US"/>
    </w:rPr>
  </w:style>
  <w:style w:type="paragraph" w:styleId="Heading1">
    <w:name w:val="heading 1"/>
    <w:basedOn w:val="Normal"/>
    <w:next w:val="Normal"/>
    <w:link w:val="Heading1Char"/>
    <w:uiPriority w:val="99"/>
    <w:qFormat/>
    <w:rsid w:val="00CA634A"/>
    <w:pPr>
      <w:keepNext/>
      <w:spacing w:before="240" w:after="60"/>
      <w:outlineLvl w:val="0"/>
    </w:pPr>
    <w:rPr>
      <w:rFonts w:ascii="Arial" w:hAnsi="Arial"/>
      <w:b/>
      <w:kern w:val="32"/>
      <w:sz w:val="32"/>
      <w:szCs w:val="32"/>
    </w:rPr>
  </w:style>
  <w:style w:type="paragraph" w:styleId="Heading2">
    <w:name w:val="heading 2"/>
    <w:basedOn w:val="Normal"/>
    <w:next w:val="Normal"/>
    <w:link w:val="Heading2Char"/>
    <w:uiPriority w:val="99"/>
    <w:qFormat/>
    <w:rsid w:val="00CA634A"/>
    <w:pPr>
      <w:keepNext/>
      <w:spacing w:before="240" w:after="60"/>
      <w:outlineLvl w:val="1"/>
    </w:pPr>
    <w:rPr>
      <w:rFonts w:ascii="Arial" w:hAnsi="Arial"/>
      <w:b/>
      <w:i/>
      <w:sz w:val="28"/>
      <w:szCs w:val="28"/>
    </w:rPr>
  </w:style>
  <w:style w:type="paragraph" w:styleId="Heading3">
    <w:name w:val="heading 3"/>
    <w:basedOn w:val="Normal"/>
    <w:next w:val="Normal"/>
    <w:link w:val="Heading3Char"/>
    <w:uiPriority w:val="99"/>
    <w:qFormat/>
    <w:locked/>
    <w:rsid w:val="0050480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1313"/>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8D1313"/>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2D64C0"/>
    <w:rPr>
      <w:rFonts w:ascii="Cambria" w:hAnsi="Cambria" w:cs="Times New Roman"/>
      <w:b/>
      <w:bCs/>
      <w:sz w:val="26"/>
      <w:szCs w:val="26"/>
      <w:lang w:eastAsia="en-US"/>
    </w:rPr>
  </w:style>
  <w:style w:type="paragraph" w:styleId="Header">
    <w:name w:val="header"/>
    <w:basedOn w:val="Normal"/>
    <w:link w:val="HeaderChar"/>
    <w:uiPriority w:val="99"/>
    <w:rsid w:val="00D77ADF"/>
    <w:pPr>
      <w:tabs>
        <w:tab w:val="center" w:pos="4153"/>
        <w:tab w:val="right" w:pos="8306"/>
      </w:tabs>
    </w:pPr>
  </w:style>
  <w:style w:type="character" w:customStyle="1" w:styleId="HeaderChar">
    <w:name w:val="Header Char"/>
    <w:basedOn w:val="DefaultParagraphFont"/>
    <w:link w:val="Header"/>
    <w:uiPriority w:val="99"/>
    <w:locked/>
    <w:rsid w:val="006F7A48"/>
    <w:rPr>
      <w:rFonts w:ascii="Verdana" w:hAnsi="Verdana" w:cs="Times New Roman"/>
      <w:lang w:eastAsia="en-US"/>
    </w:rPr>
  </w:style>
  <w:style w:type="paragraph" w:styleId="Footer">
    <w:name w:val="footer"/>
    <w:basedOn w:val="Normal"/>
    <w:link w:val="FooterChar"/>
    <w:uiPriority w:val="99"/>
    <w:rsid w:val="00D77ADF"/>
    <w:pPr>
      <w:tabs>
        <w:tab w:val="center" w:pos="4153"/>
        <w:tab w:val="right" w:pos="8306"/>
      </w:tabs>
    </w:pPr>
  </w:style>
  <w:style w:type="character" w:customStyle="1" w:styleId="FooterChar">
    <w:name w:val="Footer Char"/>
    <w:basedOn w:val="DefaultParagraphFont"/>
    <w:link w:val="Footer"/>
    <w:uiPriority w:val="99"/>
    <w:locked/>
    <w:rsid w:val="006F7A48"/>
    <w:rPr>
      <w:rFonts w:ascii="Verdana" w:hAnsi="Verdana" w:cs="Times New Roman"/>
      <w:lang w:eastAsia="en-US"/>
    </w:rPr>
  </w:style>
  <w:style w:type="paragraph" w:styleId="BodyText">
    <w:name w:val="Body Text"/>
    <w:basedOn w:val="Normal"/>
    <w:link w:val="BodyTextChar"/>
    <w:uiPriority w:val="99"/>
    <w:rsid w:val="00D77ADF"/>
    <w:rPr>
      <w:sz w:val="18"/>
    </w:rPr>
  </w:style>
  <w:style w:type="character" w:customStyle="1" w:styleId="BodyTextChar">
    <w:name w:val="Body Text Char"/>
    <w:basedOn w:val="DefaultParagraphFont"/>
    <w:link w:val="BodyText"/>
    <w:uiPriority w:val="99"/>
    <w:semiHidden/>
    <w:locked/>
    <w:rsid w:val="008D1313"/>
    <w:rPr>
      <w:rFonts w:ascii="Verdana" w:hAnsi="Verdana" w:cs="Times New Roman"/>
      <w:sz w:val="20"/>
      <w:szCs w:val="20"/>
      <w:lang w:eastAsia="en-US"/>
    </w:rPr>
  </w:style>
  <w:style w:type="paragraph" w:styleId="EndnoteText">
    <w:name w:val="endnote text"/>
    <w:basedOn w:val="Normal"/>
    <w:link w:val="EndnoteReference"/>
    <w:uiPriority w:val="99"/>
    <w:rsid w:val="00CA634A"/>
    <w:rPr>
      <w:sz w:val="24"/>
      <w:szCs w:val="24"/>
    </w:rPr>
  </w:style>
  <w:style w:type="character" w:customStyle="1" w:styleId="EndnoteTextChar">
    <w:name w:val="Endnote Text Char"/>
    <w:basedOn w:val="DefaultParagraphFont"/>
    <w:uiPriority w:val="99"/>
    <w:semiHidden/>
    <w:locked/>
    <w:rsid w:val="008D1313"/>
    <w:rPr>
      <w:rFonts w:ascii="Verdana" w:hAnsi="Verdana" w:cs="Times New Roman"/>
      <w:sz w:val="20"/>
      <w:szCs w:val="20"/>
      <w:lang w:eastAsia="en-US"/>
    </w:rPr>
  </w:style>
  <w:style w:type="paragraph" w:customStyle="1" w:styleId="Healthheading1">
    <w:name w:val="Health heading 1"/>
    <w:autoRedefine/>
    <w:uiPriority w:val="99"/>
    <w:rsid w:val="00DC4669"/>
    <w:pPr>
      <w:keepNext/>
      <w:keepLines/>
      <w:numPr>
        <w:numId w:val="35"/>
      </w:numPr>
      <w:spacing w:after="120" w:line="440" w:lineRule="atLeast"/>
      <w:ind w:left="567" w:hanging="567"/>
    </w:pPr>
    <w:rPr>
      <w:rFonts w:ascii="Arial" w:hAnsi="Arial"/>
      <w:color w:val="009B48"/>
      <w:sz w:val="44"/>
      <w:szCs w:val="44"/>
      <w:lang w:eastAsia="en-US"/>
    </w:rPr>
  </w:style>
  <w:style w:type="character" w:styleId="EndnoteReference">
    <w:name w:val="endnote reference"/>
    <w:aliases w:val="Endnote Text Char1"/>
    <w:basedOn w:val="DefaultParagraphFont"/>
    <w:link w:val="EndnoteText"/>
    <w:uiPriority w:val="99"/>
    <w:locked/>
    <w:rsid w:val="00CA634A"/>
    <w:rPr>
      <w:rFonts w:ascii="Arial" w:hAnsi="Arial" w:cs="Times New Roman"/>
      <w:sz w:val="20"/>
      <w:vertAlign w:val="superscript"/>
    </w:rPr>
  </w:style>
  <w:style w:type="table" w:styleId="TableGrid">
    <w:name w:val="Table Grid"/>
    <w:basedOn w:val="TableNormal"/>
    <w:uiPriority w:val="99"/>
    <w:rsid w:val="00CA634A"/>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lthbody">
    <w:name w:val="Health body"/>
    <w:link w:val="HealthbodyChar"/>
    <w:uiPriority w:val="99"/>
    <w:rsid w:val="00CA634A"/>
    <w:pPr>
      <w:spacing w:after="120" w:line="270" w:lineRule="atLeast"/>
    </w:pPr>
    <w:rPr>
      <w:rFonts w:ascii="Arial" w:hAnsi="Arial"/>
      <w:lang w:eastAsia="en-US"/>
    </w:rPr>
  </w:style>
  <w:style w:type="paragraph" w:customStyle="1" w:styleId="Healthbodynospace">
    <w:name w:val="Health body no space"/>
    <w:basedOn w:val="Healthbody"/>
    <w:uiPriority w:val="99"/>
    <w:rsid w:val="00CA634A"/>
    <w:pPr>
      <w:spacing w:after="0"/>
    </w:pPr>
  </w:style>
  <w:style w:type="paragraph" w:customStyle="1" w:styleId="Healthbullet2lastline">
    <w:name w:val="Health bullet 2 last line"/>
    <w:basedOn w:val="Healthbullet2"/>
    <w:uiPriority w:val="99"/>
    <w:rsid w:val="00CA634A"/>
    <w:pPr>
      <w:spacing w:after="120"/>
    </w:pPr>
  </w:style>
  <w:style w:type="paragraph" w:customStyle="1" w:styleId="Healthbullet1">
    <w:name w:val="Health bullet 1"/>
    <w:basedOn w:val="Normal"/>
    <w:uiPriority w:val="99"/>
    <w:rsid w:val="00CA634A"/>
    <w:pPr>
      <w:numPr>
        <w:numId w:val="1"/>
      </w:numPr>
      <w:spacing w:after="40" w:line="270" w:lineRule="atLeast"/>
    </w:pPr>
    <w:rPr>
      <w:rFonts w:ascii="Arial" w:eastAsia="MS Mincho" w:hAnsi="Arial"/>
      <w:szCs w:val="24"/>
    </w:rPr>
  </w:style>
  <w:style w:type="paragraph" w:customStyle="1" w:styleId="Healthheading2">
    <w:name w:val="Health heading 2"/>
    <w:next w:val="Healthbody"/>
    <w:uiPriority w:val="99"/>
    <w:rsid w:val="00CA634A"/>
    <w:pPr>
      <w:keepNext/>
      <w:keepLines/>
      <w:spacing w:before="240" w:after="90" w:line="320" w:lineRule="atLeast"/>
    </w:pPr>
    <w:rPr>
      <w:rFonts w:ascii="Arial" w:hAnsi="Arial"/>
      <w:b/>
      <w:bCs/>
      <w:color w:val="009B48"/>
      <w:sz w:val="28"/>
      <w:szCs w:val="24"/>
      <w:lang w:eastAsia="en-US"/>
    </w:rPr>
  </w:style>
  <w:style w:type="paragraph" w:customStyle="1" w:styleId="Healthheading4">
    <w:name w:val="Health heading 4"/>
    <w:next w:val="Healthbody"/>
    <w:uiPriority w:val="99"/>
    <w:rsid w:val="00CA634A"/>
    <w:pPr>
      <w:keepNext/>
      <w:keepLines/>
      <w:spacing w:before="240" w:after="120" w:line="240" w:lineRule="atLeast"/>
    </w:pPr>
    <w:rPr>
      <w:rFonts w:ascii="Arial" w:hAnsi="Arial"/>
      <w:b/>
      <w:bCs/>
      <w:lang w:eastAsia="en-US"/>
    </w:rPr>
  </w:style>
  <w:style w:type="character" w:styleId="PageNumber">
    <w:name w:val="page number"/>
    <w:basedOn w:val="DefaultParagraphFont"/>
    <w:uiPriority w:val="99"/>
    <w:rsid w:val="00CA634A"/>
    <w:rPr>
      <w:rFonts w:cs="Times New Roman"/>
    </w:rPr>
  </w:style>
  <w:style w:type="paragraph" w:customStyle="1" w:styleId="Healthheading3">
    <w:name w:val="Health heading 3"/>
    <w:uiPriority w:val="99"/>
    <w:rsid w:val="00CA634A"/>
    <w:pPr>
      <w:keepNext/>
      <w:keepLines/>
      <w:spacing w:before="280" w:after="120" w:line="280" w:lineRule="atLeast"/>
    </w:pPr>
    <w:rPr>
      <w:rFonts w:ascii="Arial" w:hAnsi="Arial"/>
      <w:b/>
      <w:sz w:val="24"/>
      <w:szCs w:val="24"/>
      <w:lang w:eastAsia="en-US"/>
    </w:rPr>
  </w:style>
  <w:style w:type="paragraph" w:customStyle="1" w:styleId="Healthreportsubtitle">
    <w:name w:val="Health report subtitle"/>
    <w:basedOn w:val="Normal"/>
    <w:uiPriority w:val="99"/>
    <w:rsid w:val="00CA634A"/>
    <w:pPr>
      <w:spacing w:before="240" w:after="120" w:line="320" w:lineRule="atLeast"/>
    </w:pPr>
    <w:rPr>
      <w:rFonts w:ascii="Arial" w:hAnsi="Arial"/>
      <w:b/>
      <w:bCs/>
      <w:color w:val="000000"/>
      <w:sz w:val="28"/>
      <w:szCs w:val="28"/>
    </w:rPr>
  </w:style>
  <w:style w:type="character" w:styleId="FootnoteReference">
    <w:name w:val="footnote reference"/>
    <w:basedOn w:val="DefaultParagraphFont"/>
    <w:uiPriority w:val="99"/>
    <w:semiHidden/>
    <w:rsid w:val="00CA634A"/>
    <w:rPr>
      <w:rFonts w:cs="Times New Roman"/>
      <w:vertAlign w:val="superscript"/>
    </w:rPr>
  </w:style>
  <w:style w:type="paragraph" w:customStyle="1" w:styleId="Healthreportmaintitle">
    <w:name w:val="Health report main title"/>
    <w:uiPriority w:val="99"/>
    <w:rsid w:val="00CA634A"/>
    <w:pPr>
      <w:keepLines/>
      <w:spacing w:after="560" w:line="440" w:lineRule="atLeast"/>
    </w:pPr>
    <w:rPr>
      <w:rFonts w:ascii="Arial" w:hAnsi="Arial"/>
      <w:color w:val="009B48"/>
      <w:sz w:val="44"/>
      <w:szCs w:val="24"/>
      <w:lang w:eastAsia="en-US"/>
    </w:rPr>
  </w:style>
  <w:style w:type="paragraph" w:customStyle="1" w:styleId="Healthfooter">
    <w:name w:val="Health footer"/>
    <w:uiPriority w:val="99"/>
    <w:rsid w:val="00CA634A"/>
    <w:pPr>
      <w:tabs>
        <w:tab w:val="right" w:pos="9299"/>
      </w:tabs>
    </w:pPr>
    <w:rPr>
      <w:rFonts w:ascii="Arial" w:hAnsi="Arial" w:cs="Arial"/>
      <w:color w:val="808080"/>
      <w:lang w:eastAsia="en-US"/>
    </w:rPr>
  </w:style>
  <w:style w:type="paragraph" w:customStyle="1" w:styleId="Healthbullet2">
    <w:name w:val="Health bullet 2"/>
    <w:basedOn w:val="Healthbullet1"/>
    <w:uiPriority w:val="99"/>
    <w:rsid w:val="00CA634A"/>
    <w:pPr>
      <w:numPr>
        <w:numId w:val="2"/>
      </w:numPr>
      <w:ind w:left="568"/>
    </w:pPr>
  </w:style>
  <w:style w:type="paragraph" w:customStyle="1" w:styleId="Healthfootnote">
    <w:name w:val="Health footnote"/>
    <w:uiPriority w:val="99"/>
    <w:rsid w:val="00CA634A"/>
    <w:pPr>
      <w:spacing w:after="60" w:line="200" w:lineRule="atLeast"/>
      <w:ind w:left="284" w:hanging="284"/>
    </w:pPr>
    <w:rPr>
      <w:rFonts w:ascii="Arial" w:hAnsi="Arial"/>
      <w:color w:val="000000"/>
      <w:sz w:val="16"/>
      <w:szCs w:val="24"/>
      <w:lang w:eastAsia="en-US"/>
    </w:rPr>
  </w:style>
  <w:style w:type="paragraph" w:customStyle="1" w:styleId="Healthtablecaption">
    <w:name w:val="Health table caption"/>
    <w:uiPriority w:val="99"/>
    <w:rsid w:val="00CA634A"/>
    <w:pPr>
      <w:spacing w:before="240" w:after="80" w:line="240" w:lineRule="atLeast"/>
    </w:pPr>
    <w:rPr>
      <w:rFonts w:ascii="Arial" w:eastAsia="MS Mincho" w:hAnsi="Arial"/>
      <w:b/>
      <w:szCs w:val="24"/>
      <w:lang w:eastAsia="en-US"/>
    </w:rPr>
  </w:style>
  <w:style w:type="paragraph" w:customStyle="1" w:styleId="Healthfigurecaption">
    <w:name w:val="Health figure caption"/>
    <w:uiPriority w:val="99"/>
    <w:rsid w:val="00CA634A"/>
    <w:pPr>
      <w:spacing w:before="240" w:after="120" w:line="240" w:lineRule="atLeast"/>
    </w:pPr>
    <w:rPr>
      <w:rFonts w:ascii="Arial" w:eastAsia="MS Mincho" w:hAnsi="Arial"/>
      <w:b/>
      <w:szCs w:val="24"/>
      <w:lang w:eastAsia="en-US"/>
    </w:rPr>
  </w:style>
  <w:style w:type="paragraph" w:customStyle="1" w:styleId="Healthtablecolumnhead">
    <w:name w:val="Health table column head"/>
    <w:uiPriority w:val="99"/>
    <w:rsid w:val="00CA634A"/>
    <w:pPr>
      <w:spacing w:after="40" w:line="220" w:lineRule="atLeast"/>
    </w:pPr>
    <w:rPr>
      <w:rFonts w:ascii="Arial" w:eastAsia="MS Mincho" w:hAnsi="Arial"/>
      <w:b/>
      <w:color w:val="FFFFFF"/>
      <w:sz w:val="18"/>
      <w:szCs w:val="24"/>
      <w:lang w:eastAsia="en-US"/>
    </w:rPr>
  </w:style>
  <w:style w:type="paragraph" w:customStyle="1" w:styleId="Healthtablebody">
    <w:name w:val="Health table body"/>
    <w:uiPriority w:val="99"/>
    <w:rsid w:val="00CA634A"/>
    <w:pPr>
      <w:spacing w:after="40" w:line="220" w:lineRule="atLeast"/>
    </w:pPr>
    <w:rPr>
      <w:rFonts w:ascii="Arial" w:eastAsia="MS Mincho" w:hAnsi="Arial"/>
      <w:sz w:val="18"/>
      <w:szCs w:val="24"/>
      <w:lang w:eastAsia="en-US"/>
    </w:rPr>
  </w:style>
  <w:style w:type="paragraph" w:styleId="FootnoteText">
    <w:name w:val="footnote text"/>
    <w:basedOn w:val="Normal"/>
    <w:link w:val="FootnoteTextChar"/>
    <w:uiPriority w:val="99"/>
    <w:semiHidden/>
    <w:rsid w:val="00CA634A"/>
    <w:rPr>
      <w:sz w:val="24"/>
      <w:szCs w:val="24"/>
    </w:rPr>
  </w:style>
  <w:style w:type="character" w:customStyle="1" w:styleId="FootnoteTextChar">
    <w:name w:val="Footnote Text Char"/>
    <w:basedOn w:val="DefaultParagraphFont"/>
    <w:link w:val="FootnoteText"/>
    <w:uiPriority w:val="99"/>
    <w:semiHidden/>
    <w:locked/>
    <w:rsid w:val="008D1313"/>
    <w:rPr>
      <w:rFonts w:ascii="Verdana" w:hAnsi="Verdana" w:cs="Times New Roman"/>
      <w:sz w:val="20"/>
      <w:szCs w:val="20"/>
      <w:lang w:eastAsia="en-US"/>
    </w:rPr>
  </w:style>
  <w:style w:type="paragraph" w:styleId="TOC1">
    <w:name w:val="toc 1"/>
    <w:basedOn w:val="HealthTOC1"/>
    <w:next w:val="Normal"/>
    <w:autoRedefine/>
    <w:uiPriority w:val="99"/>
    <w:rsid w:val="00CE03CD"/>
    <w:pPr>
      <w:numPr>
        <w:numId w:val="4"/>
      </w:numPr>
    </w:pPr>
  </w:style>
  <w:style w:type="paragraph" w:customStyle="1" w:styleId="HealthTOC1">
    <w:name w:val="Health TOC 1"/>
    <w:uiPriority w:val="99"/>
    <w:rsid w:val="00CA634A"/>
    <w:pPr>
      <w:keepNext/>
      <w:keepLines/>
      <w:tabs>
        <w:tab w:val="right" w:pos="9299"/>
      </w:tabs>
      <w:spacing w:before="160" w:after="60" w:line="270" w:lineRule="atLeast"/>
      <w:ind w:left="567" w:hanging="567"/>
    </w:pPr>
    <w:rPr>
      <w:rFonts w:ascii="Arial" w:hAnsi="Arial"/>
      <w:b/>
      <w:noProof/>
      <w:lang w:eastAsia="en-US"/>
    </w:rPr>
  </w:style>
  <w:style w:type="paragraph" w:styleId="TOC2">
    <w:name w:val="toc 2"/>
    <w:basedOn w:val="HealthTOC2"/>
    <w:next w:val="Normal"/>
    <w:autoRedefine/>
    <w:uiPriority w:val="99"/>
    <w:rsid w:val="00CA634A"/>
  </w:style>
  <w:style w:type="paragraph" w:customStyle="1" w:styleId="HealthTOC2">
    <w:name w:val="Health TOC 2"/>
    <w:basedOn w:val="HealthTOC1"/>
    <w:uiPriority w:val="99"/>
    <w:rsid w:val="00CA634A"/>
    <w:pPr>
      <w:spacing w:before="0"/>
    </w:pPr>
    <w:rPr>
      <w:b w:val="0"/>
    </w:rPr>
  </w:style>
  <w:style w:type="paragraph" w:styleId="TOC3">
    <w:name w:val="toc 3"/>
    <w:basedOn w:val="Normal"/>
    <w:next w:val="Normal"/>
    <w:autoRedefine/>
    <w:uiPriority w:val="99"/>
    <w:semiHidden/>
    <w:rsid w:val="00CA634A"/>
    <w:pPr>
      <w:ind w:left="400"/>
    </w:pPr>
  </w:style>
  <w:style w:type="paragraph" w:styleId="TOC4">
    <w:name w:val="toc 4"/>
    <w:basedOn w:val="Normal"/>
    <w:next w:val="Normal"/>
    <w:autoRedefine/>
    <w:uiPriority w:val="99"/>
    <w:semiHidden/>
    <w:rsid w:val="00CA634A"/>
    <w:pPr>
      <w:ind w:left="600"/>
    </w:pPr>
  </w:style>
  <w:style w:type="paragraph" w:styleId="TOC5">
    <w:name w:val="toc 5"/>
    <w:basedOn w:val="Normal"/>
    <w:next w:val="Normal"/>
    <w:autoRedefine/>
    <w:uiPriority w:val="99"/>
    <w:semiHidden/>
    <w:rsid w:val="00CA634A"/>
    <w:pPr>
      <w:ind w:left="800"/>
    </w:pPr>
  </w:style>
  <w:style w:type="paragraph" w:styleId="TOC6">
    <w:name w:val="toc 6"/>
    <w:basedOn w:val="Normal"/>
    <w:next w:val="Normal"/>
    <w:autoRedefine/>
    <w:uiPriority w:val="99"/>
    <w:semiHidden/>
    <w:rsid w:val="00CA634A"/>
    <w:pPr>
      <w:ind w:left="1000"/>
    </w:pPr>
  </w:style>
  <w:style w:type="paragraph" w:styleId="TOC7">
    <w:name w:val="toc 7"/>
    <w:basedOn w:val="Normal"/>
    <w:next w:val="Normal"/>
    <w:autoRedefine/>
    <w:uiPriority w:val="99"/>
    <w:semiHidden/>
    <w:rsid w:val="00CA634A"/>
    <w:pPr>
      <w:ind w:left="1200"/>
    </w:pPr>
  </w:style>
  <w:style w:type="paragraph" w:styleId="TOC8">
    <w:name w:val="toc 8"/>
    <w:basedOn w:val="Normal"/>
    <w:next w:val="Normal"/>
    <w:autoRedefine/>
    <w:uiPriority w:val="99"/>
    <w:semiHidden/>
    <w:rsid w:val="00CA634A"/>
    <w:pPr>
      <w:ind w:left="1400"/>
    </w:pPr>
  </w:style>
  <w:style w:type="paragraph" w:styleId="TOC9">
    <w:name w:val="toc 9"/>
    <w:basedOn w:val="Normal"/>
    <w:next w:val="Normal"/>
    <w:autoRedefine/>
    <w:uiPriority w:val="99"/>
    <w:semiHidden/>
    <w:rsid w:val="00CA634A"/>
    <w:pPr>
      <w:ind w:left="1600"/>
    </w:pPr>
  </w:style>
  <w:style w:type="paragraph" w:customStyle="1" w:styleId="HealthTOChead">
    <w:name w:val="Health TOC head"/>
    <w:basedOn w:val="Healthheading1"/>
    <w:uiPriority w:val="99"/>
    <w:rsid w:val="00CA634A"/>
  </w:style>
  <w:style w:type="paragraph" w:customStyle="1" w:styleId="Healthreportmaintitlewhite">
    <w:name w:val="Health report main title white"/>
    <w:uiPriority w:val="99"/>
    <w:rsid w:val="00CA634A"/>
    <w:pPr>
      <w:keepLines/>
      <w:spacing w:after="320" w:line="440" w:lineRule="atLeast"/>
    </w:pPr>
    <w:rPr>
      <w:rFonts w:ascii="Arial" w:hAnsi="Arial"/>
      <w:bCs/>
      <w:color w:val="FFFFFF"/>
      <w:sz w:val="44"/>
      <w:szCs w:val="44"/>
      <w:lang w:eastAsia="en-US"/>
    </w:rPr>
  </w:style>
  <w:style w:type="paragraph" w:customStyle="1" w:styleId="Healthtablebullet">
    <w:name w:val="Health table bullet"/>
    <w:basedOn w:val="Healthtablebody"/>
    <w:uiPriority w:val="99"/>
    <w:rsid w:val="00CA634A"/>
    <w:pPr>
      <w:numPr>
        <w:numId w:val="3"/>
      </w:numPr>
    </w:pPr>
  </w:style>
  <w:style w:type="paragraph" w:customStyle="1" w:styleId="Healthaccessibilitypara">
    <w:name w:val="Health accessibility para"/>
    <w:basedOn w:val="Healthbody"/>
    <w:uiPriority w:val="99"/>
    <w:rsid w:val="00CA634A"/>
    <w:pPr>
      <w:spacing w:after="300" w:line="300" w:lineRule="atLeast"/>
    </w:pPr>
    <w:rPr>
      <w:sz w:val="24"/>
      <w:szCs w:val="19"/>
    </w:rPr>
  </w:style>
  <w:style w:type="paragraph" w:customStyle="1" w:styleId="Healthreportsubtitlewhite">
    <w:name w:val="Health report subtitle white"/>
    <w:uiPriority w:val="99"/>
    <w:rsid w:val="00CA634A"/>
    <w:pPr>
      <w:spacing w:before="240" w:after="120" w:line="320" w:lineRule="atLeast"/>
    </w:pPr>
    <w:rPr>
      <w:rFonts w:ascii="Arial" w:hAnsi="Arial"/>
      <w:bCs/>
      <w:color w:val="FFFFFF"/>
      <w:sz w:val="28"/>
      <w:szCs w:val="44"/>
      <w:lang w:eastAsia="en-US"/>
    </w:rPr>
  </w:style>
  <w:style w:type="paragraph" w:customStyle="1" w:styleId="Coverinstructions">
    <w:name w:val="Cover instructions"/>
    <w:uiPriority w:val="99"/>
    <w:rsid w:val="00CA634A"/>
    <w:pPr>
      <w:spacing w:after="200" w:line="320" w:lineRule="atLeast"/>
    </w:pPr>
    <w:rPr>
      <w:rFonts w:ascii="Arial" w:hAnsi="Arial"/>
      <w:color w:val="FFFFFF"/>
      <w:sz w:val="24"/>
      <w:lang w:eastAsia="en-US"/>
    </w:rPr>
  </w:style>
  <w:style w:type="paragraph" w:customStyle="1" w:styleId="Healthfootercover">
    <w:name w:val="Health footer cover"/>
    <w:uiPriority w:val="99"/>
    <w:rsid w:val="00CA634A"/>
    <w:pPr>
      <w:ind w:right="-476"/>
      <w:jc w:val="right"/>
    </w:pPr>
    <w:rPr>
      <w:rFonts w:ascii="Arial" w:hAnsi="Arial"/>
      <w:color w:val="808080"/>
      <w:sz w:val="22"/>
      <w:lang w:eastAsia="en-US"/>
    </w:rPr>
  </w:style>
  <w:style w:type="paragraph" w:customStyle="1" w:styleId="Healthheader">
    <w:name w:val="Health header"/>
    <w:basedOn w:val="Healthfooter"/>
    <w:uiPriority w:val="99"/>
    <w:rsid w:val="00CA634A"/>
  </w:style>
  <w:style w:type="character" w:styleId="Hyperlink">
    <w:name w:val="Hyperlink"/>
    <w:basedOn w:val="DefaultParagraphFont"/>
    <w:uiPriority w:val="99"/>
    <w:rsid w:val="00755F0A"/>
    <w:rPr>
      <w:rFonts w:cs="Times New Roman"/>
      <w:color w:val="0000FF"/>
      <w:u w:val="single"/>
    </w:rPr>
  </w:style>
  <w:style w:type="paragraph" w:styleId="NormalWeb">
    <w:name w:val="Normal (Web)"/>
    <w:basedOn w:val="Normal"/>
    <w:uiPriority w:val="99"/>
    <w:semiHidden/>
    <w:rsid w:val="003A11E1"/>
    <w:pPr>
      <w:spacing w:before="100" w:beforeAutospacing="1" w:after="100" w:afterAutospacing="1"/>
    </w:pPr>
    <w:rPr>
      <w:sz w:val="24"/>
      <w:szCs w:val="24"/>
      <w:lang w:eastAsia="en-AU"/>
    </w:rPr>
  </w:style>
  <w:style w:type="paragraph" w:styleId="BalloonText">
    <w:name w:val="Balloon Text"/>
    <w:basedOn w:val="Normal"/>
    <w:link w:val="BalloonTextChar"/>
    <w:uiPriority w:val="99"/>
    <w:semiHidden/>
    <w:rsid w:val="00C93C5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D1313"/>
    <w:rPr>
      <w:rFonts w:cs="Times New Roman"/>
      <w:sz w:val="2"/>
      <w:lang w:eastAsia="en-US"/>
    </w:rPr>
  </w:style>
  <w:style w:type="character" w:styleId="CommentReference">
    <w:name w:val="annotation reference"/>
    <w:basedOn w:val="DefaultParagraphFont"/>
    <w:uiPriority w:val="99"/>
    <w:semiHidden/>
    <w:rsid w:val="00A50A00"/>
    <w:rPr>
      <w:rFonts w:cs="Times New Roman"/>
      <w:sz w:val="16"/>
      <w:szCs w:val="16"/>
    </w:rPr>
  </w:style>
  <w:style w:type="paragraph" w:styleId="CommentText">
    <w:name w:val="annotation text"/>
    <w:basedOn w:val="Normal"/>
    <w:link w:val="CommentTextChar"/>
    <w:uiPriority w:val="99"/>
    <w:semiHidden/>
    <w:rsid w:val="00A50A00"/>
  </w:style>
  <w:style w:type="character" w:customStyle="1" w:styleId="CommentTextChar">
    <w:name w:val="Comment Text Char"/>
    <w:basedOn w:val="DefaultParagraphFont"/>
    <w:link w:val="CommentText"/>
    <w:uiPriority w:val="99"/>
    <w:semiHidden/>
    <w:locked/>
    <w:rsid w:val="008D1313"/>
    <w:rPr>
      <w:rFonts w:ascii="Verdana" w:hAnsi="Verdana" w:cs="Times New Roman"/>
      <w:sz w:val="20"/>
      <w:szCs w:val="20"/>
      <w:lang w:eastAsia="en-US"/>
    </w:rPr>
  </w:style>
  <w:style w:type="paragraph" w:styleId="CommentSubject">
    <w:name w:val="annotation subject"/>
    <w:basedOn w:val="CommentText"/>
    <w:next w:val="CommentText"/>
    <w:link w:val="CommentSubjectChar"/>
    <w:uiPriority w:val="99"/>
    <w:semiHidden/>
    <w:rsid w:val="00A50A00"/>
    <w:rPr>
      <w:b/>
      <w:bCs/>
    </w:rPr>
  </w:style>
  <w:style w:type="character" w:customStyle="1" w:styleId="CommentSubjectChar">
    <w:name w:val="Comment Subject Char"/>
    <w:basedOn w:val="CommentTextChar"/>
    <w:link w:val="CommentSubject"/>
    <w:uiPriority w:val="99"/>
    <w:semiHidden/>
    <w:locked/>
    <w:rsid w:val="008D1313"/>
    <w:rPr>
      <w:rFonts w:ascii="Verdana" w:hAnsi="Verdana" w:cs="Times New Roman"/>
      <w:b/>
      <w:bCs/>
      <w:sz w:val="20"/>
      <w:szCs w:val="20"/>
      <w:lang w:eastAsia="en-US"/>
    </w:rPr>
  </w:style>
  <w:style w:type="character" w:styleId="FollowedHyperlink">
    <w:name w:val="FollowedHyperlink"/>
    <w:basedOn w:val="DefaultParagraphFont"/>
    <w:uiPriority w:val="99"/>
    <w:rsid w:val="00E944B5"/>
    <w:rPr>
      <w:rFonts w:cs="Times New Roman"/>
      <w:color w:val="800080"/>
      <w:u w:val="single"/>
    </w:rPr>
  </w:style>
  <w:style w:type="character" w:customStyle="1" w:styleId="HealthbodyChar">
    <w:name w:val="Health body Char"/>
    <w:basedOn w:val="DefaultParagraphFont"/>
    <w:link w:val="Healthbody"/>
    <w:uiPriority w:val="99"/>
    <w:locked/>
    <w:rsid w:val="00A25599"/>
    <w:rPr>
      <w:rFonts w:ascii="Arial" w:hAnsi="Arial"/>
      <w:lang w:val="en-AU" w:eastAsia="en-US" w:bidi="ar-SA"/>
    </w:rPr>
  </w:style>
  <w:style w:type="paragraph" w:customStyle="1" w:styleId="Default">
    <w:name w:val="Default"/>
    <w:uiPriority w:val="99"/>
    <w:rsid w:val="00C34252"/>
    <w:pPr>
      <w:autoSpaceDE w:val="0"/>
      <w:autoSpaceDN w:val="0"/>
      <w:adjustRightInd w:val="0"/>
    </w:pPr>
    <w:rPr>
      <w:rFonts w:ascii="Arial" w:hAnsi="Arial" w:cs="Arial"/>
      <w:color w:val="000000"/>
      <w:sz w:val="24"/>
      <w:szCs w:val="24"/>
    </w:rPr>
  </w:style>
  <w:style w:type="character" w:customStyle="1" w:styleId="CharChar1">
    <w:name w:val="Char Char1"/>
    <w:uiPriority w:val="99"/>
    <w:semiHidden/>
    <w:locked/>
    <w:rsid w:val="00504801"/>
    <w:rPr>
      <w:rFonts w:ascii="Verdana" w:hAnsi="Verdana"/>
      <w:sz w:val="20"/>
      <w:lang w:eastAsia="en-US"/>
    </w:rPr>
  </w:style>
  <w:style w:type="paragraph" w:customStyle="1" w:styleId="bodytext1">
    <w:name w:val="body text 1"/>
    <w:basedOn w:val="BodyText"/>
    <w:link w:val="bodytext1Char"/>
    <w:uiPriority w:val="99"/>
    <w:rsid w:val="00504801"/>
    <w:pPr>
      <w:spacing w:before="120" w:after="120"/>
    </w:pPr>
    <w:rPr>
      <w:rFonts w:ascii="Arial" w:hAnsi="Arial"/>
      <w:sz w:val="22"/>
      <w:lang w:eastAsia="en-AU"/>
    </w:rPr>
  </w:style>
  <w:style w:type="character" w:customStyle="1" w:styleId="bodytext1Char">
    <w:name w:val="body text 1 Char"/>
    <w:link w:val="bodytext1"/>
    <w:uiPriority w:val="99"/>
    <w:locked/>
    <w:rsid w:val="00504801"/>
    <w:rPr>
      <w:rFonts w:ascii="Arial" w:hAnsi="Arial"/>
      <w:sz w:val="22"/>
      <w:lang w:val="en-AU" w:eastAsia="en-AU"/>
    </w:rPr>
  </w:style>
  <w:style w:type="character" w:customStyle="1" w:styleId="CharChar11">
    <w:name w:val="Char Char11"/>
    <w:uiPriority w:val="99"/>
    <w:semiHidden/>
    <w:locked/>
    <w:rsid w:val="000A228F"/>
    <w:rPr>
      <w:rFonts w:ascii="Verdana" w:hAnsi="Verdana"/>
      <w:sz w:val="20"/>
      <w:lang w:eastAsia="en-US"/>
    </w:rPr>
  </w:style>
  <w:style w:type="character" w:customStyle="1" w:styleId="CharChar12">
    <w:name w:val="Char Char12"/>
    <w:uiPriority w:val="99"/>
    <w:semiHidden/>
    <w:locked/>
    <w:rsid w:val="00303C98"/>
    <w:rPr>
      <w:rFonts w:ascii="Verdana" w:hAnsi="Verdana"/>
      <w:sz w:val="20"/>
      <w:lang w:eastAsia="en-US"/>
    </w:rPr>
  </w:style>
  <w:style w:type="paragraph" w:styleId="ListParagraph">
    <w:name w:val="List Paragraph"/>
    <w:basedOn w:val="Normal"/>
    <w:link w:val="ListParagraphChar"/>
    <w:uiPriority w:val="99"/>
    <w:qFormat/>
    <w:rsid w:val="00303C98"/>
    <w:pPr>
      <w:numPr>
        <w:numId w:val="6"/>
      </w:numPr>
      <w:spacing w:before="60" w:after="60"/>
    </w:pPr>
    <w:rPr>
      <w:rFonts w:ascii="Arial" w:hAnsi="Arial"/>
    </w:rPr>
  </w:style>
  <w:style w:type="character" w:customStyle="1" w:styleId="ListParagraphChar">
    <w:name w:val="List Paragraph Char"/>
    <w:link w:val="ListParagraph"/>
    <w:uiPriority w:val="99"/>
    <w:locked/>
    <w:rsid w:val="00303C98"/>
    <w:rPr>
      <w:rFonts w:ascii="Arial" w:hAnsi="Arial"/>
      <w:lang w:eastAsia="en-US"/>
    </w:rPr>
  </w:style>
  <w:style w:type="paragraph" w:customStyle="1" w:styleId="BodyText3">
    <w:name w:val="Body Text3"/>
    <w:basedOn w:val="Normal"/>
    <w:link w:val="bodytextChar1"/>
    <w:uiPriority w:val="99"/>
    <w:rsid w:val="00303C98"/>
    <w:pPr>
      <w:spacing w:before="120" w:after="120"/>
    </w:pPr>
    <w:rPr>
      <w:rFonts w:ascii="Arial" w:hAnsi="Arial"/>
      <w:sz w:val="22"/>
    </w:rPr>
  </w:style>
  <w:style w:type="character" w:customStyle="1" w:styleId="bodytextChar1">
    <w:name w:val="body text Char1"/>
    <w:basedOn w:val="BodyTextChar"/>
    <w:link w:val="BodyText3"/>
    <w:uiPriority w:val="99"/>
    <w:locked/>
    <w:rsid w:val="00303C98"/>
    <w:rPr>
      <w:rFonts w:ascii="Arial" w:hAnsi="Arial" w:cs="Times New Roman"/>
      <w:sz w:val="20"/>
      <w:szCs w:val="20"/>
      <w:lang w:val="en-AU" w:eastAsia="en-US" w:bidi="ar-SA"/>
    </w:rPr>
  </w:style>
  <w:style w:type="paragraph" w:customStyle="1" w:styleId="Headinglevel4">
    <w:name w:val="Heading level 4"/>
    <w:basedOn w:val="Heading3"/>
    <w:link w:val="Headinglevel4Char"/>
    <w:uiPriority w:val="99"/>
    <w:rsid w:val="00303C98"/>
    <w:pPr>
      <w:keepLines/>
      <w:spacing w:after="120"/>
    </w:pPr>
    <w:rPr>
      <w:rFonts w:cs="Times New Roman"/>
      <w:bCs w:val="0"/>
      <w:color w:val="7F7F7F"/>
      <w:sz w:val="22"/>
      <w:szCs w:val="20"/>
    </w:rPr>
  </w:style>
  <w:style w:type="character" w:customStyle="1" w:styleId="Headinglevel4Char">
    <w:name w:val="Heading level 4 Char"/>
    <w:link w:val="Headinglevel4"/>
    <w:uiPriority w:val="99"/>
    <w:locked/>
    <w:rsid w:val="00303C98"/>
    <w:rPr>
      <w:rFonts w:ascii="Arial" w:hAnsi="Arial"/>
      <w:b/>
      <w:color w:val="7F7F7F"/>
      <w:sz w:val="22"/>
      <w:lang w:val="en-AU" w:eastAsia="en-US"/>
    </w:rPr>
  </w:style>
  <w:style w:type="character" w:styleId="Emphasis">
    <w:name w:val="Emphasis"/>
    <w:basedOn w:val="DefaultParagraphFont"/>
    <w:uiPriority w:val="99"/>
    <w:qFormat/>
    <w:locked/>
    <w:rsid w:val="00E60B7C"/>
    <w:rPr>
      <w:rFonts w:cs="Times New Roman"/>
      <w:i/>
      <w:iCs/>
    </w:rPr>
  </w:style>
  <w:style w:type="character" w:styleId="Strong">
    <w:name w:val="Strong"/>
    <w:basedOn w:val="DefaultParagraphFont"/>
    <w:uiPriority w:val="99"/>
    <w:qFormat/>
    <w:locked/>
    <w:rsid w:val="0027063E"/>
    <w:rPr>
      <w:rFonts w:cs="Times New Roman"/>
      <w:b/>
      <w:bCs/>
    </w:rPr>
  </w:style>
  <w:style w:type="paragraph" w:customStyle="1" w:styleId="BodyText10">
    <w:name w:val="Body Text1"/>
    <w:basedOn w:val="BodyText3"/>
    <w:link w:val="bodytextChar2"/>
    <w:uiPriority w:val="99"/>
    <w:rsid w:val="00354FEB"/>
    <w:rPr>
      <w:sz w:val="20"/>
    </w:rPr>
  </w:style>
  <w:style w:type="character" w:customStyle="1" w:styleId="bodytextChar2">
    <w:name w:val="body text Char2"/>
    <w:basedOn w:val="bodytextChar1"/>
    <w:link w:val="BodyText10"/>
    <w:uiPriority w:val="99"/>
    <w:locked/>
    <w:rsid w:val="00354FEB"/>
    <w:rPr>
      <w:rFonts w:ascii="Arial" w:hAnsi="Arial" w:cs="Times New Roman"/>
      <w:sz w:val="20"/>
      <w:szCs w:val="20"/>
      <w:lang w:val="en-AU" w:eastAsia="en-US" w:bidi="ar-SA"/>
    </w:rPr>
  </w:style>
  <w:style w:type="paragraph" w:styleId="ListBullet2">
    <w:name w:val="List Bullet 2"/>
    <w:basedOn w:val="Normal"/>
    <w:uiPriority w:val="99"/>
    <w:rsid w:val="00C10C5D"/>
    <w:pPr>
      <w:numPr>
        <w:ilvl w:val="1"/>
        <w:numId w:val="20"/>
      </w:numPr>
      <w:spacing w:before="60" w:after="60"/>
      <w:ind w:left="1077" w:hanging="357"/>
      <w:jc w:val="both"/>
    </w:pPr>
  </w:style>
  <w:style w:type="character" w:customStyle="1" w:styleId="CharChar4">
    <w:name w:val="Char Char4"/>
    <w:uiPriority w:val="99"/>
    <w:rsid w:val="00C10C5D"/>
    <w:rPr>
      <w:lang w:val="en-AU" w:eastAsia="en-AU"/>
    </w:rPr>
  </w:style>
  <w:style w:type="paragraph" w:customStyle="1" w:styleId="body">
    <w:name w:val="body"/>
    <w:basedOn w:val="BodyText10"/>
    <w:link w:val="bodyChar"/>
    <w:uiPriority w:val="99"/>
    <w:rsid w:val="007F0341"/>
    <w:pPr>
      <w:keepLines/>
      <w:jc w:val="both"/>
    </w:pPr>
    <w:rPr>
      <w:rFonts w:eastAsia="MS Mincho"/>
      <w:sz w:val="22"/>
    </w:rPr>
  </w:style>
  <w:style w:type="character" w:customStyle="1" w:styleId="bodyChar">
    <w:name w:val="body Char"/>
    <w:link w:val="body"/>
    <w:uiPriority w:val="99"/>
    <w:locked/>
    <w:rsid w:val="007F0341"/>
    <w:rPr>
      <w:rFonts w:ascii="Arial" w:eastAsia="MS Mincho" w:hAnsi="Arial"/>
      <w:sz w:val="22"/>
      <w:lang w:val="en-AU" w:eastAsia="en-US"/>
    </w:rPr>
  </w:style>
  <w:style w:type="paragraph" w:styleId="Revision">
    <w:name w:val="Revision"/>
    <w:hidden/>
    <w:uiPriority w:val="99"/>
    <w:semiHidden/>
    <w:rsid w:val="003A3265"/>
    <w:rPr>
      <w:rFonts w:ascii="Verdana" w:hAnsi="Verdana"/>
      <w:lang w:eastAsia="en-US"/>
    </w:rPr>
  </w:style>
  <w:style w:type="character" w:customStyle="1" w:styleId="apple-converted-space">
    <w:name w:val="apple-converted-space"/>
    <w:basedOn w:val="DefaultParagraphFont"/>
    <w:rsid w:val="00CD3C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ADF"/>
    <w:rPr>
      <w:rFonts w:ascii="Verdana" w:hAnsi="Verdana"/>
      <w:lang w:eastAsia="en-US"/>
    </w:rPr>
  </w:style>
  <w:style w:type="paragraph" w:styleId="Heading1">
    <w:name w:val="heading 1"/>
    <w:basedOn w:val="Normal"/>
    <w:next w:val="Normal"/>
    <w:link w:val="Heading1Char"/>
    <w:uiPriority w:val="99"/>
    <w:qFormat/>
    <w:rsid w:val="00CA634A"/>
    <w:pPr>
      <w:keepNext/>
      <w:spacing w:before="240" w:after="60"/>
      <w:outlineLvl w:val="0"/>
    </w:pPr>
    <w:rPr>
      <w:rFonts w:ascii="Arial" w:hAnsi="Arial"/>
      <w:b/>
      <w:kern w:val="32"/>
      <w:sz w:val="32"/>
      <w:szCs w:val="32"/>
    </w:rPr>
  </w:style>
  <w:style w:type="paragraph" w:styleId="Heading2">
    <w:name w:val="heading 2"/>
    <w:basedOn w:val="Normal"/>
    <w:next w:val="Normal"/>
    <w:link w:val="Heading2Char"/>
    <w:uiPriority w:val="99"/>
    <w:qFormat/>
    <w:rsid w:val="00CA634A"/>
    <w:pPr>
      <w:keepNext/>
      <w:spacing w:before="240" w:after="60"/>
      <w:outlineLvl w:val="1"/>
    </w:pPr>
    <w:rPr>
      <w:rFonts w:ascii="Arial" w:hAnsi="Arial"/>
      <w:b/>
      <w:i/>
      <w:sz w:val="28"/>
      <w:szCs w:val="28"/>
    </w:rPr>
  </w:style>
  <w:style w:type="paragraph" w:styleId="Heading3">
    <w:name w:val="heading 3"/>
    <w:basedOn w:val="Normal"/>
    <w:next w:val="Normal"/>
    <w:link w:val="Heading3Char"/>
    <w:uiPriority w:val="99"/>
    <w:qFormat/>
    <w:locked/>
    <w:rsid w:val="0050480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1313"/>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8D1313"/>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2D64C0"/>
    <w:rPr>
      <w:rFonts w:ascii="Cambria" w:hAnsi="Cambria" w:cs="Times New Roman"/>
      <w:b/>
      <w:bCs/>
      <w:sz w:val="26"/>
      <w:szCs w:val="26"/>
      <w:lang w:eastAsia="en-US"/>
    </w:rPr>
  </w:style>
  <w:style w:type="paragraph" w:styleId="Header">
    <w:name w:val="header"/>
    <w:basedOn w:val="Normal"/>
    <w:link w:val="HeaderChar"/>
    <w:uiPriority w:val="99"/>
    <w:rsid w:val="00D77ADF"/>
    <w:pPr>
      <w:tabs>
        <w:tab w:val="center" w:pos="4153"/>
        <w:tab w:val="right" w:pos="8306"/>
      </w:tabs>
    </w:pPr>
  </w:style>
  <w:style w:type="character" w:customStyle="1" w:styleId="HeaderChar">
    <w:name w:val="Header Char"/>
    <w:basedOn w:val="DefaultParagraphFont"/>
    <w:link w:val="Header"/>
    <w:uiPriority w:val="99"/>
    <w:locked/>
    <w:rsid w:val="006F7A48"/>
    <w:rPr>
      <w:rFonts w:ascii="Verdana" w:hAnsi="Verdana" w:cs="Times New Roman"/>
      <w:lang w:eastAsia="en-US"/>
    </w:rPr>
  </w:style>
  <w:style w:type="paragraph" w:styleId="Footer">
    <w:name w:val="footer"/>
    <w:basedOn w:val="Normal"/>
    <w:link w:val="FooterChar"/>
    <w:uiPriority w:val="99"/>
    <w:rsid w:val="00D77ADF"/>
    <w:pPr>
      <w:tabs>
        <w:tab w:val="center" w:pos="4153"/>
        <w:tab w:val="right" w:pos="8306"/>
      </w:tabs>
    </w:pPr>
  </w:style>
  <w:style w:type="character" w:customStyle="1" w:styleId="FooterChar">
    <w:name w:val="Footer Char"/>
    <w:basedOn w:val="DefaultParagraphFont"/>
    <w:link w:val="Footer"/>
    <w:uiPriority w:val="99"/>
    <w:locked/>
    <w:rsid w:val="006F7A48"/>
    <w:rPr>
      <w:rFonts w:ascii="Verdana" w:hAnsi="Verdana" w:cs="Times New Roman"/>
      <w:lang w:eastAsia="en-US"/>
    </w:rPr>
  </w:style>
  <w:style w:type="paragraph" w:styleId="BodyText">
    <w:name w:val="Body Text"/>
    <w:basedOn w:val="Normal"/>
    <w:link w:val="BodyTextChar"/>
    <w:uiPriority w:val="99"/>
    <w:rsid w:val="00D77ADF"/>
    <w:rPr>
      <w:sz w:val="18"/>
    </w:rPr>
  </w:style>
  <w:style w:type="character" w:customStyle="1" w:styleId="BodyTextChar">
    <w:name w:val="Body Text Char"/>
    <w:basedOn w:val="DefaultParagraphFont"/>
    <w:link w:val="BodyText"/>
    <w:uiPriority w:val="99"/>
    <w:semiHidden/>
    <w:locked/>
    <w:rsid w:val="008D1313"/>
    <w:rPr>
      <w:rFonts w:ascii="Verdana" w:hAnsi="Verdana" w:cs="Times New Roman"/>
      <w:sz w:val="20"/>
      <w:szCs w:val="20"/>
      <w:lang w:eastAsia="en-US"/>
    </w:rPr>
  </w:style>
  <w:style w:type="paragraph" w:styleId="EndnoteText">
    <w:name w:val="endnote text"/>
    <w:basedOn w:val="Normal"/>
    <w:link w:val="EndnoteReference"/>
    <w:uiPriority w:val="99"/>
    <w:rsid w:val="00CA634A"/>
    <w:rPr>
      <w:sz w:val="24"/>
      <w:szCs w:val="24"/>
    </w:rPr>
  </w:style>
  <w:style w:type="character" w:customStyle="1" w:styleId="EndnoteTextChar">
    <w:name w:val="Endnote Text Char"/>
    <w:basedOn w:val="DefaultParagraphFont"/>
    <w:uiPriority w:val="99"/>
    <w:semiHidden/>
    <w:locked/>
    <w:rsid w:val="008D1313"/>
    <w:rPr>
      <w:rFonts w:ascii="Verdana" w:hAnsi="Verdana" w:cs="Times New Roman"/>
      <w:sz w:val="20"/>
      <w:szCs w:val="20"/>
      <w:lang w:eastAsia="en-US"/>
    </w:rPr>
  </w:style>
  <w:style w:type="paragraph" w:customStyle="1" w:styleId="Healthheading1">
    <w:name w:val="Health heading 1"/>
    <w:autoRedefine/>
    <w:uiPriority w:val="99"/>
    <w:rsid w:val="00DC4669"/>
    <w:pPr>
      <w:keepNext/>
      <w:keepLines/>
      <w:numPr>
        <w:numId w:val="35"/>
      </w:numPr>
      <w:spacing w:after="120" w:line="440" w:lineRule="atLeast"/>
      <w:ind w:left="567" w:hanging="567"/>
    </w:pPr>
    <w:rPr>
      <w:rFonts w:ascii="Arial" w:hAnsi="Arial"/>
      <w:color w:val="009B48"/>
      <w:sz w:val="44"/>
      <w:szCs w:val="44"/>
      <w:lang w:eastAsia="en-US"/>
    </w:rPr>
  </w:style>
  <w:style w:type="character" w:styleId="EndnoteReference">
    <w:name w:val="endnote reference"/>
    <w:aliases w:val="Endnote Text Char1"/>
    <w:basedOn w:val="DefaultParagraphFont"/>
    <w:link w:val="EndnoteText"/>
    <w:uiPriority w:val="99"/>
    <w:locked/>
    <w:rsid w:val="00CA634A"/>
    <w:rPr>
      <w:rFonts w:ascii="Arial" w:hAnsi="Arial" w:cs="Times New Roman"/>
      <w:sz w:val="20"/>
      <w:vertAlign w:val="superscript"/>
    </w:rPr>
  </w:style>
  <w:style w:type="table" w:styleId="TableGrid">
    <w:name w:val="Table Grid"/>
    <w:basedOn w:val="TableNormal"/>
    <w:uiPriority w:val="99"/>
    <w:rsid w:val="00CA634A"/>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lthbody">
    <w:name w:val="Health body"/>
    <w:link w:val="HealthbodyChar"/>
    <w:uiPriority w:val="99"/>
    <w:rsid w:val="00CA634A"/>
    <w:pPr>
      <w:spacing w:after="120" w:line="270" w:lineRule="atLeast"/>
    </w:pPr>
    <w:rPr>
      <w:rFonts w:ascii="Arial" w:hAnsi="Arial"/>
      <w:lang w:eastAsia="en-US"/>
    </w:rPr>
  </w:style>
  <w:style w:type="paragraph" w:customStyle="1" w:styleId="Healthbodynospace">
    <w:name w:val="Health body no space"/>
    <w:basedOn w:val="Healthbody"/>
    <w:uiPriority w:val="99"/>
    <w:rsid w:val="00CA634A"/>
    <w:pPr>
      <w:spacing w:after="0"/>
    </w:pPr>
  </w:style>
  <w:style w:type="paragraph" w:customStyle="1" w:styleId="Healthbullet2lastline">
    <w:name w:val="Health bullet 2 last line"/>
    <w:basedOn w:val="Healthbullet2"/>
    <w:uiPriority w:val="99"/>
    <w:rsid w:val="00CA634A"/>
    <w:pPr>
      <w:spacing w:after="120"/>
    </w:pPr>
  </w:style>
  <w:style w:type="paragraph" w:customStyle="1" w:styleId="Healthbullet1">
    <w:name w:val="Health bullet 1"/>
    <w:basedOn w:val="Normal"/>
    <w:uiPriority w:val="99"/>
    <w:rsid w:val="00CA634A"/>
    <w:pPr>
      <w:numPr>
        <w:numId w:val="1"/>
      </w:numPr>
      <w:spacing w:after="40" w:line="270" w:lineRule="atLeast"/>
    </w:pPr>
    <w:rPr>
      <w:rFonts w:ascii="Arial" w:eastAsia="MS Mincho" w:hAnsi="Arial"/>
      <w:szCs w:val="24"/>
    </w:rPr>
  </w:style>
  <w:style w:type="paragraph" w:customStyle="1" w:styleId="Healthheading2">
    <w:name w:val="Health heading 2"/>
    <w:next w:val="Healthbody"/>
    <w:uiPriority w:val="99"/>
    <w:rsid w:val="00CA634A"/>
    <w:pPr>
      <w:keepNext/>
      <w:keepLines/>
      <w:spacing w:before="240" w:after="90" w:line="320" w:lineRule="atLeast"/>
    </w:pPr>
    <w:rPr>
      <w:rFonts w:ascii="Arial" w:hAnsi="Arial"/>
      <w:b/>
      <w:bCs/>
      <w:color w:val="009B48"/>
      <w:sz w:val="28"/>
      <w:szCs w:val="24"/>
      <w:lang w:eastAsia="en-US"/>
    </w:rPr>
  </w:style>
  <w:style w:type="paragraph" w:customStyle="1" w:styleId="Healthheading4">
    <w:name w:val="Health heading 4"/>
    <w:next w:val="Healthbody"/>
    <w:uiPriority w:val="99"/>
    <w:rsid w:val="00CA634A"/>
    <w:pPr>
      <w:keepNext/>
      <w:keepLines/>
      <w:spacing w:before="240" w:after="120" w:line="240" w:lineRule="atLeast"/>
    </w:pPr>
    <w:rPr>
      <w:rFonts w:ascii="Arial" w:hAnsi="Arial"/>
      <w:b/>
      <w:bCs/>
      <w:lang w:eastAsia="en-US"/>
    </w:rPr>
  </w:style>
  <w:style w:type="character" w:styleId="PageNumber">
    <w:name w:val="page number"/>
    <w:basedOn w:val="DefaultParagraphFont"/>
    <w:uiPriority w:val="99"/>
    <w:rsid w:val="00CA634A"/>
    <w:rPr>
      <w:rFonts w:cs="Times New Roman"/>
    </w:rPr>
  </w:style>
  <w:style w:type="paragraph" w:customStyle="1" w:styleId="Healthheading3">
    <w:name w:val="Health heading 3"/>
    <w:uiPriority w:val="99"/>
    <w:rsid w:val="00CA634A"/>
    <w:pPr>
      <w:keepNext/>
      <w:keepLines/>
      <w:spacing w:before="280" w:after="120" w:line="280" w:lineRule="atLeast"/>
    </w:pPr>
    <w:rPr>
      <w:rFonts w:ascii="Arial" w:hAnsi="Arial"/>
      <w:b/>
      <w:sz w:val="24"/>
      <w:szCs w:val="24"/>
      <w:lang w:eastAsia="en-US"/>
    </w:rPr>
  </w:style>
  <w:style w:type="paragraph" w:customStyle="1" w:styleId="Healthreportsubtitle">
    <w:name w:val="Health report subtitle"/>
    <w:basedOn w:val="Normal"/>
    <w:uiPriority w:val="99"/>
    <w:rsid w:val="00CA634A"/>
    <w:pPr>
      <w:spacing w:before="240" w:after="120" w:line="320" w:lineRule="atLeast"/>
    </w:pPr>
    <w:rPr>
      <w:rFonts w:ascii="Arial" w:hAnsi="Arial"/>
      <w:b/>
      <w:bCs/>
      <w:color w:val="000000"/>
      <w:sz w:val="28"/>
      <w:szCs w:val="28"/>
    </w:rPr>
  </w:style>
  <w:style w:type="character" w:styleId="FootnoteReference">
    <w:name w:val="footnote reference"/>
    <w:basedOn w:val="DefaultParagraphFont"/>
    <w:uiPriority w:val="99"/>
    <w:semiHidden/>
    <w:rsid w:val="00CA634A"/>
    <w:rPr>
      <w:rFonts w:cs="Times New Roman"/>
      <w:vertAlign w:val="superscript"/>
    </w:rPr>
  </w:style>
  <w:style w:type="paragraph" w:customStyle="1" w:styleId="Healthreportmaintitle">
    <w:name w:val="Health report main title"/>
    <w:uiPriority w:val="99"/>
    <w:rsid w:val="00CA634A"/>
    <w:pPr>
      <w:keepLines/>
      <w:spacing w:after="560" w:line="440" w:lineRule="atLeast"/>
    </w:pPr>
    <w:rPr>
      <w:rFonts w:ascii="Arial" w:hAnsi="Arial"/>
      <w:color w:val="009B48"/>
      <w:sz w:val="44"/>
      <w:szCs w:val="24"/>
      <w:lang w:eastAsia="en-US"/>
    </w:rPr>
  </w:style>
  <w:style w:type="paragraph" w:customStyle="1" w:styleId="Healthfooter">
    <w:name w:val="Health footer"/>
    <w:uiPriority w:val="99"/>
    <w:rsid w:val="00CA634A"/>
    <w:pPr>
      <w:tabs>
        <w:tab w:val="right" w:pos="9299"/>
      </w:tabs>
    </w:pPr>
    <w:rPr>
      <w:rFonts w:ascii="Arial" w:hAnsi="Arial" w:cs="Arial"/>
      <w:color w:val="808080"/>
      <w:lang w:eastAsia="en-US"/>
    </w:rPr>
  </w:style>
  <w:style w:type="paragraph" w:customStyle="1" w:styleId="Healthbullet2">
    <w:name w:val="Health bullet 2"/>
    <w:basedOn w:val="Healthbullet1"/>
    <w:uiPriority w:val="99"/>
    <w:rsid w:val="00CA634A"/>
    <w:pPr>
      <w:numPr>
        <w:numId w:val="2"/>
      </w:numPr>
      <w:ind w:left="568"/>
    </w:pPr>
  </w:style>
  <w:style w:type="paragraph" w:customStyle="1" w:styleId="Healthfootnote">
    <w:name w:val="Health footnote"/>
    <w:uiPriority w:val="99"/>
    <w:rsid w:val="00CA634A"/>
    <w:pPr>
      <w:spacing w:after="60" w:line="200" w:lineRule="atLeast"/>
      <w:ind w:left="284" w:hanging="284"/>
    </w:pPr>
    <w:rPr>
      <w:rFonts w:ascii="Arial" w:hAnsi="Arial"/>
      <w:color w:val="000000"/>
      <w:sz w:val="16"/>
      <w:szCs w:val="24"/>
      <w:lang w:eastAsia="en-US"/>
    </w:rPr>
  </w:style>
  <w:style w:type="paragraph" w:customStyle="1" w:styleId="Healthtablecaption">
    <w:name w:val="Health table caption"/>
    <w:uiPriority w:val="99"/>
    <w:rsid w:val="00CA634A"/>
    <w:pPr>
      <w:spacing w:before="240" w:after="80" w:line="240" w:lineRule="atLeast"/>
    </w:pPr>
    <w:rPr>
      <w:rFonts w:ascii="Arial" w:eastAsia="MS Mincho" w:hAnsi="Arial"/>
      <w:b/>
      <w:szCs w:val="24"/>
      <w:lang w:eastAsia="en-US"/>
    </w:rPr>
  </w:style>
  <w:style w:type="paragraph" w:customStyle="1" w:styleId="Healthfigurecaption">
    <w:name w:val="Health figure caption"/>
    <w:uiPriority w:val="99"/>
    <w:rsid w:val="00CA634A"/>
    <w:pPr>
      <w:spacing w:before="240" w:after="120" w:line="240" w:lineRule="atLeast"/>
    </w:pPr>
    <w:rPr>
      <w:rFonts w:ascii="Arial" w:eastAsia="MS Mincho" w:hAnsi="Arial"/>
      <w:b/>
      <w:szCs w:val="24"/>
      <w:lang w:eastAsia="en-US"/>
    </w:rPr>
  </w:style>
  <w:style w:type="paragraph" w:customStyle="1" w:styleId="Healthtablecolumnhead">
    <w:name w:val="Health table column head"/>
    <w:uiPriority w:val="99"/>
    <w:rsid w:val="00CA634A"/>
    <w:pPr>
      <w:spacing w:after="40" w:line="220" w:lineRule="atLeast"/>
    </w:pPr>
    <w:rPr>
      <w:rFonts w:ascii="Arial" w:eastAsia="MS Mincho" w:hAnsi="Arial"/>
      <w:b/>
      <w:color w:val="FFFFFF"/>
      <w:sz w:val="18"/>
      <w:szCs w:val="24"/>
      <w:lang w:eastAsia="en-US"/>
    </w:rPr>
  </w:style>
  <w:style w:type="paragraph" w:customStyle="1" w:styleId="Healthtablebody">
    <w:name w:val="Health table body"/>
    <w:uiPriority w:val="99"/>
    <w:rsid w:val="00CA634A"/>
    <w:pPr>
      <w:spacing w:after="40" w:line="220" w:lineRule="atLeast"/>
    </w:pPr>
    <w:rPr>
      <w:rFonts w:ascii="Arial" w:eastAsia="MS Mincho" w:hAnsi="Arial"/>
      <w:sz w:val="18"/>
      <w:szCs w:val="24"/>
      <w:lang w:eastAsia="en-US"/>
    </w:rPr>
  </w:style>
  <w:style w:type="paragraph" w:styleId="FootnoteText">
    <w:name w:val="footnote text"/>
    <w:basedOn w:val="Normal"/>
    <w:link w:val="FootnoteTextChar"/>
    <w:uiPriority w:val="99"/>
    <w:semiHidden/>
    <w:rsid w:val="00CA634A"/>
    <w:rPr>
      <w:sz w:val="24"/>
      <w:szCs w:val="24"/>
    </w:rPr>
  </w:style>
  <w:style w:type="character" w:customStyle="1" w:styleId="FootnoteTextChar">
    <w:name w:val="Footnote Text Char"/>
    <w:basedOn w:val="DefaultParagraphFont"/>
    <w:link w:val="FootnoteText"/>
    <w:uiPriority w:val="99"/>
    <w:semiHidden/>
    <w:locked/>
    <w:rsid w:val="008D1313"/>
    <w:rPr>
      <w:rFonts w:ascii="Verdana" w:hAnsi="Verdana" w:cs="Times New Roman"/>
      <w:sz w:val="20"/>
      <w:szCs w:val="20"/>
      <w:lang w:eastAsia="en-US"/>
    </w:rPr>
  </w:style>
  <w:style w:type="paragraph" w:styleId="TOC1">
    <w:name w:val="toc 1"/>
    <w:basedOn w:val="HealthTOC1"/>
    <w:next w:val="Normal"/>
    <w:autoRedefine/>
    <w:uiPriority w:val="99"/>
    <w:rsid w:val="00CE03CD"/>
    <w:pPr>
      <w:numPr>
        <w:numId w:val="4"/>
      </w:numPr>
    </w:pPr>
  </w:style>
  <w:style w:type="paragraph" w:customStyle="1" w:styleId="HealthTOC1">
    <w:name w:val="Health TOC 1"/>
    <w:uiPriority w:val="99"/>
    <w:rsid w:val="00CA634A"/>
    <w:pPr>
      <w:keepNext/>
      <w:keepLines/>
      <w:tabs>
        <w:tab w:val="right" w:pos="9299"/>
      </w:tabs>
      <w:spacing w:before="160" w:after="60" w:line="270" w:lineRule="atLeast"/>
      <w:ind w:left="567" w:hanging="567"/>
    </w:pPr>
    <w:rPr>
      <w:rFonts w:ascii="Arial" w:hAnsi="Arial"/>
      <w:b/>
      <w:noProof/>
      <w:lang w:eastAsia="en-US"/>
    </w:rPr>
  </w:style>
  <w:style w:type="paragraph" w:styleId="TOC2">
    <w:name w:val="toc 2"/>
    <w:basedOn w:val="HealthTOC2"/>
    <w:next w:val="Normal"/>
    <w:autoRedefine/>
    <w:uiPriority w:val="99"/>
    <w:rsid w:val="00CA634A"/>
  </w:style>
  <w:style w:type="paragraph" w:customStyle="1" w:styleId="HealthTOC2">
    <w:name w:val="Health TOC 2"/>
    <w:basedOn w:val="HealthTOC1"/>
    <w:uiPriority w:val="99"/>
    <w:rsid w:val="00CA634A"/>
    <w:pPr>
      <w:spacing w:before="0"/>
    </w:pPr>
    <w:rPr>
      <w:b w:val="0"/>
    </w:rPr>
  </w:style>
  <w:style w:type="paragraph" w:styleId="TOC3">
    <w:name w:val="toc 3"/>
    <w:basedOn w:val="Normal"/>
    <w:next w:val="Normal"/>
    <w:autoRedefine/>
    <w:uiPriority w:val="99"/>
    <w:semiHidden/>
    <w:rsid w:val="00CA634A"/>
    <w:pPr>
      <w:ind w:left="400"/>
    </w:pPr>
  </w:style>
  <w:style w:type="paragraph" w:styleId="TOC4">
    <w:name w:val="toc 4"/>
    <w:basedOn w:val="Normal"/>
    <w:next w:val="Normal"/>
    <w:autoRedefine/>
    <w:uiPriority w:val="99"/>
    <w:semiHidden/>
    <w:rsid w:val="00CA634A"/>
    <w:pPr>
      <w:ind w:left="600"/>
    </w:pPr>
  </w:style>
  <w:style w:type="paragraph" w:styleId="TOC5">
    <w:name w:val="toc 5"/>
    <w:basedOn w:val="Normal"/>
    <w:next w:val="Normal"/>
    <w:autoRedefine/>
    <w:uiPriority w:val="99"/>
    <w:semiHidden/>
    <w:rsid w:val="00CA634A"/>
    <w:pPr>
      <w:ind w:left="800"/>
    </w:pPr>
  </w:style>
  <w:style w:type="paragraph" w:styleId="TOC6">
    <w:name w:val="toc 6"/>
    <w:basedOn w:val="Normal"/>
    <w:next w:val="Normal"/>
    <w:autoRedefine/>
    <w:uiPriority w:val="99"/>
    <w:semiHidden/>
    <w:rsid w:val="00CA634A"/>
    <w:pPr>
      <w:ind w:left="1000"/>
    </w:pPr>
  </w:style>
  <w:style w:type="paragraph" w:styleId="TOC7">
    <w:name w:val="toc 7"/>
    <w:basedOn w:val="Normal"/>
    <w:next w:val="Normal"/>
    <w:autoRedefine/>
    <w:uiPriority w:val="99"/>
    <w:semiHidden/>
    <w:rsid w:val="00CA634A"/>
    <w:pPr>
      <w:ind w:left="1200"/>
    </w:pPr>
  </w:style>
  <w:style w:type="paragraph" w:styleId="TOC8">
    <w:name w:val="toc 8"/>
    <w:basedOn w:val="Normal"/>
    <w:next w:val="Normal"/>
    <w:autoRedefine/>
    <w:uiPriority w:val="99"/>
    <w:semiHidden/>
    <w:rsid w:val="00CA634A"/>
    <w:pPr>
      <w:ind w:left="1400"/>
    </w:pPr>
  </w:style>
  <w:style w:type="paragraph" w:styleId="TOC9">
    <w:name w:val="toc 9"/>
    <w:basedOn w:val="Normal"/>
    <w:next w:val="Normal"/>
    <w:autoRedefine/>
    <w:uiPriority w:val="99"/>
    <w:semiHidden/>
    <w:rsid w:val="00CA634A"/>
    <w:pPr>
      <w:ind w:left="1600"/>
    </w:pPr>
  </w:style>
  <w:style w:type="paragraph" w:customStyle="1" w:styleId="HealthTOChead">
    <w:name w:val="Health TOC head"/>
    <w:basedOn w:val="Healthheading1"/>
    <w:uiPriority w:val="99"/>
    <w:rsid w:val="00CA634A"/>
  </w:style>
  <w:style w:type="paragraph" w:customStyle="1" w:styleId="Healthreportmaintitlewhite">
    <w:name w:val="Health report main title white"/>
    <w:uiPriority w:val="99"/>
    <w:rsid w:val="00CA634A"/>
    <w:pPr>
      <w:keepLines/>
      <w:spacing w:after="320" w:line="440" w:lineRule="atLeast"/>
    </w:pPr>
    <w:rPr>
      <w:rFonts w:ascii="Arial" w:hAnsi="Arial"/>
      <w:bCs/>
      <w:color w:val="FFFFFF"/>
      <w:sz w:val="44"/>
      <w:szCs w:val="44"/>
      <w:lang w:eastAsia="en-US"/>
    </w:rPr>
  </w:style>
  <w:style w:type="paragraph" w:customStyle="1" w:styleId="Healthtablebullet">
    <w:name w:val="Health table bullet"/>
    <w:basedOn w:val="Healthtablebody"/>
    <w:uiPriority w:val="99"/>
    <w:rsid w:val="00CA634A"/>
    <w:pPr>
      <w:numPr>
        <w:numId w:val="3"/>
      </w:numPr>
    </w:pPr>
  </w:style>
  <w:style w:type="paragraph" w:customStyle="1" w:styleId="Healthaccessibilitypara">
    <w:name w:val="Health accessibility para"/>
    <w:basedOn w:val="Healthbody"/>
    <w:uiPriority w:val="99"/>
    <w:rsid w:val="00CA634A"/>
    <w:pPr>
      <w:spacing w:after="300" w:line="300" w:lineRule="atLeast"/>
    </w:pPr>
    <w:rPr>
      <w:sz w:val="24"/>
      <w:szCs w:val="19"/>
    </w:rPr>
  </w:style>
  <w:style w:type="paragraph" w:customStyle="1" w:styleId="Healthreportsubtitlewhite">
    <w:name w:val="Health report subtitle white"/>
    <w:uiPriority w:val="99"/>
    <w:rsid w:val="00CA634A"/>
    <w:pPr>
      <w:spacing w:before="240" w:after="120" w:line="320" w:lineRule="atLeast"/>
    </w:pPr>
    <w:rPr>
      <w:rFonts w:ascii="Arial" w:hAnsi="Arial"/>
      <w:bCs/>
      <w:color w:val="FFFFFF"/>
      <w:sz w:val="28"/>
      <w:szCs w:val="44"/>
      <w:lang w:eastAsia="en-US"/>
    </w:rPr>
  </w:style>
  <w:style w:type="paragraph" w:customStyle="1" w:styleId="Coverinstructions">
    <w:name w:val="Cover instructions"/>
    <w:uiPriority w:val="99"/>
    <w:rsid w:val="00CA634A"/>
    <w:pPr>
      <w:spacing w:after="200" w:line="320" w:lineRule="atLeast"/>
    </w:pPr>
    <w:rPr>
      <w:rFonts w:ascii="Arial" w:hAnsi="Arial"/>
      <w:color w:val="FFFFFF"/>
      <w:sz w:val="24"/>
      <w:lang w:eastAsia="en-US"/>
    </w:rPr>
  </w:style>
  <w:style w:type="paragraph" w:customStyle="1" w:styleId="Healthfootercover">
    <w:name w:val="Health footer cover"/>
    <w:uiPriority w:val="99"/>
    <w:rsid w:val="00CA634A"/>
    <w:pPr>
      <w:ind w:right="-476"/>
      <w:jc w:val="right"/>
    </w:pPr>
    <w:rPr>
      <w:rFonts w:ascii="Arial" w:hAnsi="Arial"/>
      <w:color w:val="808080"/>
      <w:sz w:val="22"/>
      <w:lang w:eastAsia="en-US"/>
    </w:rPr>
  </w:style>
  <w:style w:type="paragraph" w:customStyle="1" w:styleId="Healthheader">
    <w:name w:val="Health header"/>
    <w:basedOn w:val="Healthfooter"/>
    <w:uiPriority w:val="99"/>
    <w:rsid w:val="00CA634A"/>
  </w:style>
  <w:style w:type="character" w:styleId="Hyperlink">
    <w:name w:val="Hyperlink"/>
    <w:basedOn w:val="DefaultParagraphFont"/>
    <w:uiPriority w:val="99"/>
    <w:rsid w:val="00755F0A"/>
    <w:rPr>
      <w:rFonts w:cs="Times New Roman"/>
      <w:color w:val="0000FF"/>
      <w:u w:val="single"/>
    </w:rPr>
  </w:style>
  <w:style w:type="paragraph" w:styleId="NormalWeb">
    <w:name w:val="Normal (Web)"/>
    <w:basedOn w:val="Normal"/>
    <w:uiPriority w:val="99"/>
    <w:semiHidden/>
    <w:rsid w:val="003A11E1"/>
    <w:pPr>
      <w:spacing w:before="100" w:beforeAutospacing="1" w:after="100" w:afterAutospacing="1"/>
    </w:pPr>
    <w:rPr>
      <w:sz w:val="24"/>
      <w:szCs w:val="24"/>
      <w:lang w:eastAsia="en-AU"/>
    </w:rPr>
  </w:style>
  <w:style w:type="paragraph" w:styleId="BalloonText">
    <w:name w:val="Balloon Text"/>
    <w:basedOn w:val="Normal"/>
    <w:link w:val="BalloonTextChar"/>
    <w:uiPriority w:val="99"/>
    <w:semiHidden/>
    <w:rsid w:val="00C93C5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D1313"/>
    <w:rPr>
      <w:rFonts w:cs="Times New Roman"/>
      <w:sz w:val="2"/>
      <w:lang w:eastAsia="en-US"/>
    </w:rPr>
  </w:style>
  <w:style w:type="character" w:styleId="CommentReference">
    <w:name w:val="annotation reference"/>
    <w:basedOn w:val="DefaultParagraphFont"/>
    <w:uiPriority w:val="99"/>
    <w:semiHidden/>
    <w:rsid w:val="00A50A00"/>
    <w:rPr>
      <w:rFonts w:cs="Times New Roman"/>
      <w:sz w:val="16"/>
      <w:szCs w:val="16"/>
    </w:rPr>
  </w:style>
  <w:style w:type="paragraph" w:styleId="CommentText">
    <w:name w:val="annotation text"/>
    <w:basedOn w:val="Normal"/>
    <w:link w:val="CommentTextChar"/>
    <w:uiPriority w:val="99"/>
    <w:semiHidden/>
    <w:rsid w:val="00A50A00"/>
  </w:style>
  <w:style w:type="character" w:customStyle="1" w:styleId="CommentTextChar">
    <w:name w:val="Comment Text Char"/>
    <w:basedOn w:val="DefaultParagraphFont"/>
    <w:link w:val="CommentText"/>
    <w:uiPriority w:val="99"/>
    <w:semiHidden/>
    <w:locked/>
    <w:rsid w:val="008D1313"/>
    <w:rPr>
      <w:rFonts w:ascii="Verdana" w:hAnsi="Verdana" w:cs="Times New Roman"/>
      <w:sz w:val="20"/>
      <w:szCs w:val="20"/>
      <w:lang w:eastAsia="en-US"/>
    </w:rPr>
  </w:style>
  <w:style w:type="paragraph" w:styleId="CommentSubject">
    <w:name w:val="annotation subject"/>
    <w:basedOn w:val="CommentText"/>
    <w:next w:val="CommentText"/>
    <w:link w:val="CommentSubjectChar"/>
    <w:uiPriority w:val="99"/>
    <w:semiHidden/>
    <w:rsid w:val="00A50A00"/>
    <w:rPr>
      <w:b/>
      <w:bCs/>
    </w:rPr>
  </w:style>
  <w:style w:type="character" w:customStyle="1" w:styleId="CommentSubjectChar">
    <w:name w:val="Comment Subject Char"/>
    <w:basedOn w:val="CommentTextChar"/>
    <w:link w:val="CommentSubject"/>
    <w:uiPriority w:val="99"/>
    <w:semiHidden/>
    <w:locked/>
    <w:rsid w:val="008D1313"/>
    <w:rPr>
      <w:rFonts w:ascii="Verdana" w:hAnsi="Verdana" w:cs="Times New Roman"/>
      <w:b/>
      <w:bCs/>
      <w:sz w:val="20"/>
      <w:szCs w:val="20"/>
      <w:lang w:eastAsia="en-US"/>
    </w:rPr>
  </w:style>
  <w:style w:type="character" w:styleId="FollowedHyperlink">
    <w:name w:val="FollowedHyperlink"/>
    <w:basedOn w:val="DefaultParagraphFont"/>
    <w:uiPriority w:val="99"/>
    <w:rsid w:val="00E944B5"/>
    <w:rPr>
      <w:rFonts w:cs="Times New Roman"/>
      <w:color w:val="800080"/>
      <w:u w:val="single"/>
    </w:rPr>
  </w:style>
  <w:style w:type="character" w:customStyle="1" w:styleId="HealthbodyChar">
    <w:name w:val="Health body Char"/>
    <w:basedOn w:val="DefaultParagraphFont"/>
    <w:link w:val="Healthbody"/>
    <w:uiPriority w:val="99"/>
    <w:locked/>
    <w:rsid w:val="00A25599"/>
    <w:rPr>
      <w:rFonts w:ascii="Arial" w:hAnsi="Arial"/>
      <w:lang w:val="en-AU" w:eastAsia="en-US" w:bidi="ar-SA"/>
    </w:rPr>
  </w:style>
  <w:style w:type="paragraph" w:customStyle="1" w:styleId="Default">
    <w:name w:val="Default"/>
    <w:uiPriority w:val="99"/>
    <w:rsid w:val="00C34252"/>
    <w:pPr>
      <w:autoSpaceDE w:val="0"/>
      <w:autoSpaceDN w:val="0"/>
      <w:adjustRightInd w:val="0"/>
    </w:pPr>
    <w:rPr>
      <w:rFonts w:ascii="Arial" w:hAnsi="Arial" w:cs="Arial"/>
      <w:color w:val="000000"/>
      <w:sz w:val="24"/>
      <w:szCs w:val="24"/>
    </w:rPr>
  </w:style>
  <w:style w:type="character" w:customStyle="1" w:styleId="CharChar1">
    <w:name w:val="Char Char1"/>
    <w:uiPriority w:val="99"/>
    <w:semiHidden/>
    <w:locked/>
    <w:rsid w:val="00504801"/>
    <w:rPr>
      <w:rFonts w:ascii="Verdana" w:hAnsi="Verdana"/>
      <w:sz w:val="20"/>
      <w:lang w:eastAsia="en-US"/>
    </w:rPr>
  </w:style>
  <w:style w:type="paragraph" w:customStyle="1" w:styleId="bodytext1">
    <w:name w:val="body text 1"/>
    <w:basedOn w:val="BodyText"/>
    <w:link w:val="bodytext1Char"/>
    <w:uiPriority w:val="99"/>
    <w:rsid w:val="00504801"/>
    <w:pPr>
      <w:spacing w:before="120" w:after="120"/>
    </w:pPr>
    <w:rPr>
      <w:rFonts w:ascii="Arial" w:hAnsi="Arial"/>
      <w:sz w:val="22"/>
      <w:lang w:eastAsia="en-AU"/>
    </w:rPr>
  </w:style>
  <w:style w:type="character" w:customStyle="1" w:styleId="bodytext1Char">
    <w:name w:val="body text 1 Char"/>
    <w:link w:val="bodytext1"/>
    <w:uiPriority w:val="99"/>
    <w:locked/>
    <w:rsid w:val="00504801"/>
    <w:rPr>
      <w:rFonts w:ascii="Arial" w:hAnsi="Arial"/>
      <w:sz w:val="22"/>
      <w:lang w:val="en-AU" w:eastAsia="en-AU"/>
    </w:rPr>
  </w:style>
  <w:style w:type="character" w:customStyle="1" w:styleId="CharChar11">
    <w:name w:val="Char Char11"/>
    <w:uiPriority w:val="99"/>
    <w:semiHidden/>
    <w:locked/>
    <w:rsid w:val="000A228F"/>
    <w:rPr>
      <w:rFonts w:ascii="Verdana" w:hAnsi="Verdana"/>
      <w:sz w:val="20"/>
      <w:lang w:eastAsia="en-US"/>
    </w:rPr>
  </w:style>
  <w:style w:type="character" w:customStyle="1" w:styleId="CharChar12">
    <w:name w:val="Char Char12"/>
    <w:uiPriority w:val="99"/>
    <w:semiHidden/>
    <w:locked/>
    <w:rsid w:val="00303C98"/>
    <w:rPr>
      <w:rFonts w:ascii="Verdana" w:hAnsi="Verdana"/>
      <w:sz w:val="20"/>
      <w:lang w:eastAsia="en-US"/>
    </w:rPr>
  </w:style>
  <w:style w:type="paragraph" w:styleId="ListParagraph">
    <w:name w:val="List Paragraph"/>
    <w:basedOn w:val="Normal"/>
    <w:link w:val="ListParagraphChar"/>
    <w:uiPriority w:val="99"/>
    <w:qFormat/>
    <w:rsid w:val="00303C98"/>
    <w:pPr>
      <w:numPr>
        <w:numId w:val="6"/>
      </w:numPr>
      <w:spacing w:before="60" w:after="60"/>
    </w:pPr>
    <w:rPr>
      <w:rFonts w:ascii="Arial" w:hAnsi="Arial"/>
    </w:rPr>
  </w:style>
  <w:style w:type="character" w:customStyle="1" w:styleId="ListParagraphChar">
    <w:name w:val="List Paragraph Char"/>
    <w:link w:val="ListParagraph"/>
    <w:uiPriority w:val="99"/>
    <w:locked/>
    <w:rsid w:val="00303C98"/>
    <w:rPr>
      <w:rFonts w:ascii="Arial" w:hAnsi="Arial"/>
      <w:lang w:eastAsia="en-US"/>
    </w:rPr>
  </w:style>
  <w:style w:type="paragraph" w:customStyle="1" w:styleId="BodyText3">
    <w:name w:val="Body Text3"/>
    <w:basedOn w:val="Normal"/>
    <w:link w:val="bodytextChar1"/>
    <w:uiPriority w:val="99"/>
    <w:rsid w:val="00303C98"/>
    <w:pPr>
      <w:spacing w:before="120" w:after="120"/>
    </w:pPr>
    <w:rPr>
      <w:rFonts w:ascii="Arial" w:hAnsi="Arial"/>
      <w:sz w:val="22"/>
    </w:rPr>
  </w:style>
  <w:style w:type="character" w:customStyle="1" w:styleId="bodytextChar1">
    <w:name w:val="body text Char1"/>
    <w:basedOn w:val="BodyTextChar"/>
    <w:link w:val="BodyText3"/>
    <w:uiPriority w:val="99"/>
    <w:locked/>
    <w:rsid w:val="00303C98"/>
    <w:rPr>
      <w:rFonts w:ascii="Arial" w:hAnsi="Arial" w:cs="Times New Roman"/>
      <w:sz w:val="20"/>
      <w:szCs w:val="20"/>
      <w:lang w:val="en-AU" w:eastAsia="en-US" w:bidi="ar-SA"/>
    </w:rPr>
  </w:style>
  <w:style w:type="paragraph" w:customStyle="1" w:styleId="Headinglevel4">
    <w:name w:val="Heading level 4"/>
    <w:basedOn w:val="Heading3"/>
    <w:link w:val="Headinglevel4Char"/>
    <w:uiPriority w:val="99"/>
    <w:rsid w:val="00303C98"/>
    <w:pPr>
      <w:keepLines/>
      <w:spacing w:after="120"/>
    </w:pPr>
    <w:rPr>
      <w:rFonts w:cs="Times New Roman"/>
      <w:bCs w:val="0"/>
      <w:color w:val="7F7F7F"/>
      <w:sz w:val="22"/>
      <w:szCs w:val="20"/>
    </w:rPr>
  </w:style>
  <w:style w:type="character" w:customStyle="1" w:styleId="Headinglevel4Char">
    <w:name w:val="Heading level 4 Char"/>
    <w:link w:val="Headinglevel4"/>
    <w:uiPriority w:val="99"/>
    <w:locked/>
    <w:rsid w:val="00303C98"/>
    <w:rPr>
      <w:rFonts w:ascii="Arial" w:hAnsi="Arial"/>
      <w:b/>
      <w:color w:val="7F7F7F"/>
      <w:sz w:val="22"/>
      <w:lang w:val="en-AU" w:eastAsia="en-US"/>
    </w:rPr>
  </w:style>
  <w:style w:type="character" w:styleId="Emphasis">
    <w:name w:val="Emphasis"/>
    <w:basedOn w:val="DefaultParagraphFont"/>
    <w:uiPriority w:val="99"/>
    <w:qFormat/>
    <w:locked/>
    <w:rsid w:val="00E60B7C"/>
    <w:rPr>
      <w:rFonts w:cs="Times New Roman"/>
      <w:i/>
      <w:iCs/>
    </w:rPr>
  </w:style>
  <w:style w:type="character" w:styleId="Strong">
    <w:name w:val="Strong"/>
    <w:basedOn w:val="DefaultParagraphFont"/>
    <w:uiPriority w:val="99"/>
    <w:qFormat/>
    <w:locked/>
    <w:rsid w:val="0027063E"/>
    <w:rPr>
      <w:rFonts w:cs="Times New Roman"/>
      <w:b/>
      <w:bCs/>
    </w:rPr>
  </w:style>
  <w:style w:type="paragraph" w:customStyle="1" w:styleId="BodyText10">
    <w:name w:val="Body Text1"/>
    <w:basedOn w:val="BodyText3"/>
    <w:link w:val="bodytextChar2"/>
    <w:uiPriority w:val="99"/>
    <w:rsid w:val="00354FEB"/>
    <w:rPr>
      <w:sz w:val="20"/>
    </w:rPr>
  </w:style>
  <w:style w:type="character" w:customStyle="1" w:styleId="bodytextChar2">
    <w:name w:val="body text Char2"/>
    <w:basedOn w:val="bodytextChar1"/>
    <w:link w:val="BodyText10"/>
    <w:uiPriority w:val="99"/>
    <w:locked/>
    <w:rsid w:val="00354FEB"/>
    <w:rPr>
      <w:rFonts w:ascii="Arial" w:hAnsi="Arial" w:cs="Times New Roman"/>
      <w:sz w:val="20"/>
      <w:szCs w:val="20"/>
      <w:lang w:val="en-AU" w:eastAsia="en-US" w:bidi="ar-SA"/>
    </w:rPr>
  </w:style>
  <w:style w:type="paragraph" w:styleId="ListBullet2">
    <w:name w:val="List Bullet 2"/>
    <w:basedOn w:val="Normal"/>
    <w:uiPriority w:val="99"/>
    <w:rsid w:val="00C10C5D"/>
    <w:pPr>
      <w:numPr>
        <w:ilvl w:val="1"/>
        <w:numId w:val="20"/>
      </w:numPr>
      <w:spacing w:before="60" w:after="60"/>
      <w:ind w:left="1077" w:hanging="357"/>
      <w:jc w:val="both"/>
    </w:pPr>
  </w:style>
  <w:style w:type="character" w:customStyle="1" w:styleId="CharChar4">
    <w:name w:val="Char Char4"/>
    <w:uiPriority w:val="99"/>
    <w:rsid w:val="00C10C5D"/>
    <w:rPr>
      <w:lang w:val="en-AU" w:eastAsia="en-AU"/>
    </w:rPr>
  </w:style>
  <w:style w:type="paragraph" w:customStyle="1" w:styleId="body">
    <w:name w:val="body"/>
    <w:basedOn w:val="BodyText10"/>
    <w:link w:val="bodyChar"/>
    <w:uiPriority w:val="99"/>
    <w:rsid w:val="007F0341"/>
    <w:pPr>
      <w:keepLines/>
      <w:jc w:val="both"/>
    </w:pPr>
    <w:rPr>
      <w:rFonts w:eastAsia="MS Mincho"/>
      <w:sz w:val="22"/>
    </w:rPr>
  </w:style>
  <w:style w:type="character" w:customStyle="1" w:styleId="bodyChar">
    <w:name w:val="body Char"/>
    <w:link w:val="body"/>
    <w:uiPriority w:val="99"/>
    <w:locked/>
    <w:rsid w:val="007F0341"/>
    <w:rPr>
      <w:rFonts w:ascii="Arial" w:eastAsia="MS Mincho" w:hAnsi="Arial"/>
      <w:sz w:val="22"/>
      <w:lang w:val="en-AU" w:eastAsia="en-US"/>
    </w:rPr>
  </w:style>
  <w:style w:type="paragraph" w:styleId="Revision">
    <w:name w:val="Revision"/>
    <w:hidden/>
    <w:uiPriority w:val="99"/>
    <w:semiHidden/>
    <w:rsid w:val="003A3265"/>
    <w:rPr>
      <w:rFonts w:ascii="Verdana" w:hAnsi="Verdana"/>
      <w:lang w:eastAsia="en-US"/>
    </w:rPr>
  </w:style>
  <w:style w:type="character" w:customStyle="1" w:styleId="apple-converted-space">
    <w:name w:val="apple-converted-space"/>
    <w:basedOn w:val="DefaultParagraphFont"/>
    <w:rsid w:val="00CD3C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934177">
      <w:marLeft w:val="0"/>
      <w:marRight w:val="0"/>
      <w:marTop w:val="0"/>
      <w:marBottom w:val="0"/>
      <w:divBdr>
        <w:top w:val="none" w:sz="0" w:space="0" w:color="auto"/>
        <w:left w:val="none" w:sz="0" w:space="0" w:color="auto"/>
        <w:bottom w:val="none" w:sz="0" w:space="0" w:color="auto"/>
        <w:right w:val="none" w:sz="0" w:space="0" w:color="auto"/>
      </w:divBdr>
      <w:divsChild>
        <w:div w:id="159934174">
          <w:marLeft w:val="0"/>
          <w:marRight w:val="0"/>
          <w:marTop w:val="0"/>
          <w:marBottom w:val="0"/>
          <w:divBdr>
            <w:top w:val="none" w:sz="0" w:space="0" w:color="auto"/>
            <w:left w:val="none" w:sz="0" w:space="0" w:color="auto"/>
            <w:bottom w:val="none" w:sz="0" w:space="0" w:color="auto"/>
            <w:right w:val="none" w:sz="0" w:space="0" w:color="auto"/>
          </w:divBdr>
          <w:divsChild>
            <w:div w:id="159934175">
              <w:marLeft w:val="0"/>
              <w:marRight w:val="0"/>
              <w:marTop w:val="0"/>
              <w:marBottom w:val="0"/>
              <w:divBdr>
                <w:top w:val="none" w:sz="0" w:space="0" w:color="auto"/>
                <w:left w:val="none" w:sz="0" w:space="0" w:color="auto"/>
                <w:bottom w:val="none" w:sz="0" w:space="0" w:color="auto"/>
                <w:right w:val="none" w:sz="0" w:space="0" w:color="auto"/>
              </w:divBdr>
            </w:div>
            <w:div w:id="159934176">
              <w:marLeft w:val="0"/>
              <w:marRight w:val="0"/>
              <w:marTop w:val="0"/>
              <w:marBottom w:val="0"/>
              <w:divBdr>
                <w:top w:val="none" w:sz="0" w:space="0" w:color="auto"/>
                <w:left w:val="none" w:sz="0" w:space="0" w:color="auto"/>
                <w:bottom w:val="none" w:sz="0" w:space="0" w:color="auto"/>
                <w:right w:val="none" w:sz="0" w:space="0" w:color="auto"/>
              </w:divBdr>
            </w:div>
            <w:div w:id="159934178">
              <w:marLeft w:val="0"/>
              <w:marRight w:val="0"/>
              <w:marTop w:val="0"/>
              <w:marBottom w:val="0"/>
              <w:divBdr>
                <w:top w:val="none" w:sz="0" w:space="0" w:color="auto"/>
                <w:left w:val="none" w:sz="0" w:space="0" w:color="auto"/>
                <w:bottom w:val="none" w:sz="0" w:space="0" w:color="auto"/>
                <w:right w:val="none" w:sz="0" w:space="0" w:color="auto"/>
              </w:divBdr>
            </w:div>
            <w:div w:id="159934179">
              <w:marLeft w:val="0"/>
              <w:marRight w:val="0"/>
              <w:marTop w:val="0"/>
              <w:marBottom w:val="0"/>
              <w:divBdr>
                <w:top w:val="none" w:sz="0" w:space="0" w:color="auto"/>
                <w:left w:val="none" w:sz="0" w:space="0" w:color="auto"/>
                <w:bottom w:val="none" w:sz="0" w:space="0" w:color="auto"/>
                <w:right w:val="none" w:sz="0" w:space="0" w:color="auto"/>
              </w:divBdr>
            </w:div>
            <w:div w:id="159934180">
              <w:marLeft w:val="0"/>
              <w:marRight w:val="0"/>
              <w:marTop w:val="0"/>
              <w:marBottom w:val="0"/>
              <w:divBdr>
                <w:top w:val="none" w:sz="0" w:space="0" w:color="auto"/>
                <w:left w:val="none" w:sz="0" w:space="0" w:color="auto"/>
                <w:bottom w:val="none" w:sz="0" w:space="0" w:color="auto"/>
                <w:right w:val="none" w:sz="0" w:space="0" w:color="auto"/>
              </w:divBdr>
            </w:div>
            <w:div w:id="159934181">
              <w:marLeft w:val="0"/>
              <w:marRight w:val="0"/>
              <w:marTop w:val="0"/>
              <w:marBottom w:val="0"/>
              <w:divBdr>
                <w:top w:val="none" w:sz="0" w:space="0" w:color="auto"/>
                <w:left w:val="none" w:sz="0" w:space="0" w:color="auto"/>
                <w:bottom w:val="none" w:sz="0" w:space="0" w:color="auto"/>
                <w:right w:val="none" w:sz="0" w:space="0" w:color="auto"/>
              </w:divBdr>
            </w:div>
            <w:div w:id="159934182">
              <w:marLeft w:val="0"/>
              <w:marRight w:val="0"/>
              <w:marTop w:val="0"/>
              <w:marBottom w:val="0"/>
              <w:divBdr>
                <w:top w:val="none" w:sz="0" w:space="0" w:color="auto"/>
                <w:left w:val="none" w:sz="0" w:space="0" w:color="auto"/>
                <w:bottom w:val="none" w:sz="0" w:space="0" w:color="auto"/>
                <w:right w:val="none" w:sz="0" w:space="0" w:color="auto"/>
              </w:divBdr>
            </w:div>
            <w:div w:id="159934183">
              <w:marLeft w:val="0"/>
              <w:marRight w:val="0"/>
              <w:marTop w:val="0"/>
              <w:marBottom w:val="0"/>
              <w:divBdr>
                <w:top w:val="none" w:sz="0" w:space="0" w:color="auto"/>
                <w:left w:val="none" w:sz="0" w:space="0" w:color="auto"/>
                <w:bottom w:val="none" w:sz="0" w:space="0" w:color="auto"/>
                <w:right w:val="none" w:sz="0" w:space="0" w:color="auto"/>
              </w:divBdr>
            </w:div>
            <w:div w:id="159934184">
              <w:marLeft w:val="0"/>
              <w:marRight w:val="0"/>
              <w:marTop w:val="0"/>
              <w:marBottom w:val="0"/>
              <w:divBdr>
                <w:top w:val="none" w:sz="0" w:space="0" w:color="auto"/>
                <w:left w:val="none" w:sz="0" w:space="0" w:color="auto"/>
                <w:bottom w:val="none" w:sz="0" w:space="0" w:color="auto"/>
                <w:right w:val="none" w:sz="0" w:space="0" w:color="auto"/>
              </w:divBdr>
            </w:div>
            <w:div w:id="159934185">
              <w:marLeft w:val="0"/>
              <w:marRight w:val="0"/>
              <w:marTop w:val="0"/>
              <w:marBottom w:val="0"/>
              <w:divBdr>
                <w:top w:val="none" w:sz="0" w:space="0" w:color="auto"/>
                <w:left w:val="none" w:sz="0" w:space="0" w:color="auto"/>
                <w:bottom w:val="none" w:sz="0" w:space="0" w:color="auto"/>
                <w:right w:val="none" w:sz="0" w:space="0" w:color="auto"/>
              </w:divBdr>
            </w:div>
            <w:div w:id="159934186">
              <w:marLeft w:val="0"/>
              <w:marRight w:val="0"/>
              <w:marTop w:val="0"/>
              <w:marBottom w:val="0"/>
              <w:divBdr>
                <w:top w:val="none" w:sz="0" w:space="0" w:color="auto"/>
                <w:left w:val="none" w:sz="0" w:space="0" w:color="auto"/>
                <w:bottom w:val="none" w:sz="0" w:space="0" w:color="auto"/>
                <w:right w:val="none" w:sz="0" w:space="0" w:color="auto"/>
              </w:divBdr>
            </w:div>
            <w:div w:id="159934187">
              <w:marLeft w:val="0"/>
              <w:marRight w:val="0"/>
              <w:marTop w:val="0"/>
              <w:marBottom w:val="0"/>
              <w:divBdr>
                <w:top w:val="none" w:sz="0" w:space="0" w:color="auto"/>
                <w:left w:val="none" w:sz="0" w:space="0" w:color="auto"/>
                <w:bottom w:val="none" w:sz="0" w:space="0" w:color="auto"/>
                <w:right w:val="none" w:sz="0" w:space="0" w:color="auto"/>
              </w:divBdr>
            </w:div>
            <w:div w:id="15993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34191">
      <w:marLeft w:val="0"/>
      <w:marRight w:val="0"/>
      <w:marTop w:val="0"/>
      <w:marBottom w:val="0"/>
      <w:divBdr>
        <w:top w:val="none" w:sz="0" w:space="0" w:color="auto"/>
        <w:left w:val="none" w:sz="0" w:space="0" w:color="auto"/>
        <w:bottom w:val="none" w:sz="0" w:space="0" w:color="auto"/>
        <w:right w:val="none" w:sz="0" w:space="0" w:color="auto"/>
      </w:divBdr>
      <w:divsChild>
        <w:div w:id="159934197">
          <w:marLeft w:val="0"/>
          <w:marRight w:val="0"/>
          <w:marTop w:val="0"/>
          <w:marBottom w:val="0"/>
          <w:divBdr>
            <w:top w:val="none" w:sz="0" w:space="0" w:color="auto"/>
            <w:left w:val="none" w:sz="0" w:space="0" w:color="auto"/>
            <w:bottom w:val="none" w:sz="0" w:space="0" w:color="auto"/>
            <w:right w:val="none" w:sz="0" w:space="0" w:color="auto"/>
          </w:divBdr>
          <w:divsChild>
            <w:div w:id="159934201">
              <w:marLeft w:val="0"/>
              <w:marRight w:val="0"/>
              <w:marTop w:val="0"/>
              <w:marBottom w:val="0"/>
              <w:divBdr>
                <w:top w:val="none" w:sz="0" w:space="0" w:color="auto"/>
                <w:left w:val="none" w:sz="0" w:space="0" w:color="auto"/>
                <w:bottom w:val="none" w:sz="0" w:space="0" w:color="auto"/>
                <w:right w:val="none" w:sz="0" w:space="0" w:color="auto"/>
              </w:divBdr>
              <w:divsChild>
                <w:div w:id="159934204">
                  <w:marLeft w:val="0"/>
                  <w:marRight w:val="0"/>
                  <w:marTop w:val="0"/>
                  <w:marBottom w:val="0"/>
                  <w:divBdr>
                    <w:top w:val="none" w:sz="0" w:space="0" w:color="auto"/>
                    <w:left w:val="none" w:sz="0" w:space="0" w:color="auto"/>
                    <w:bottom w:val="none" w:sz="0" w:space="0" w:color="auto"/>
                    <w:right w:val="none" w:sz="0" w:space="0" w:color="auto"/>
                  </w:divBdr>
                  <w:divsChild>
                    <w:div w:id="159934208">
                      <w:marLeft w:val="0"/>
                      <w:marRight w:val="0"/>
                      <w:marTop w:val="0"/>
                      <w:marBottom w:val="0"/>
                      <w:divBdr>
                        <w:top w:val="none" w:sz="0" w:space="0" w:color="auto"/>
                        <w:left w:val="none" w:sz="0" w:space="0" w:color="auto"/>
                        <w:bottom w:val="none" w:sz="0" w:space="0" w:color="auto"/>
                        <w:right w:val="none" w:sz="0" w:space="0" w:color="auto"/>
                      </w:divBdr>
                      <w:divsChild>
                        <w:div w:id="15993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934195">
      <w:marLeft w:val="0"/>
      <w:marRight w:val="0"/>
      <w:marTop w:val="0"/>
      <w:marBottom w:val="0"/>
      <w:divBdr>
        <w:top w:val="none" w:sz="0" w:space="0" w:color="auto"/>
        <w:left w:val="none" w:sz="0" w:space="0" w:color="auto"/>
        <w:bottom w:val="none" w:sz="0" w:space="0" w:color="auto"/>
        <w:right w:val="none" w:sz="0" w:space="0" w:color="auto"/>
      </w:divBdr>
      <w:divsChild>
        <w:div w:id="159934192">
          <w:marLeft w:val="0"/>
          <w:marRight w:val="0"/>
          <w:marTop w:val="0"/>
          <w:marBottom w:val="0"/>
          <w:divBdr>
            <w:top w:val="none" w:sz="0" w:space="0" w:color="auto"/>
            <w:left w:val="none" w:sz="0" w:space="0" w:color="auto"/>
            <w:bottom w:val="none" w:sz="0" w:space="0" w:color="auto"/>
            <w:right w:val="none" w:sz="0" w:space="0" w:color="auto"/>
          </w:divBdr>
          <w:divsChild>
            <w:div w:id="159934205">
              <w:marLeft w:val="0"/>
              <w:marRight w:val="0"/>
              <w:marTop w:val="0"/>
              <w:marBottom w:val="0"/>
              <w:divBdr>
                <w:top w:val="none" w:sz="0" w:space="0" w:color="auto"/>
                <w:left w:val="none" w:sz="0" w:space="0" w:color="auto"/>
                <w:bottom w:val="none" w:sz="0" w:space="0" w:color="auto"/>
                <w:right w:val="none" w:sz="0" w:space="0" w:color="auto"/>
              </w:divBdr>
              <w:divsChild>
                <w:div w:id="159934207">
                  <w:marLeft w:val="0"/>
                  <w:marRight w:val="0"/>
                  <w:marTop w:val="0"/>
                  <w:marBottom w:val="0"/>
                  <w:divBdr>
                    <w:top w:val="none" w:sz="0" w:space="0" w:color="auto"/>
                    <w:left w:val="none" w:sz="0" w:space="0" w:color="auto"/>
                    <w:bottom w:val="none" w:sz="0" w:space="0" w:color="auto"/>
                    <w:right w:val="none" w:sz="0" w:space="0" w:color="auto"/>
                  </w:divBdr>
                  <w:divsChild>
                    <w:div w:id="159934200">
                      <w:marLeft w:val="0"/>
                      <w:marRight w:val="0"/>
                      <w:marTop w:val="0"/>
                      <w:marBottom w:val="0"/>
                      <w:divBdr>
                        <w:top w:val="none" w:sz="0" w:space="0" w:color="auto"/>
                        <w:left w:val="none" w:sz="0" w:space="0" w:color="auto"/>
                        <w:bottom w:val="none" w:sz="0" w:space="0" w:color="auto"/>
                        <w:right w:val="none" w:sz="0" w:space="0" w:color="auto"/>
                      </w:divBdr>
                      <w:divsChild>
                        <w:div w:id="159934189">
                          <w:marLeft w:val="0"/>
                          <w:marRight w:val="0"/>
                          <w:marTop w:val="0"/>
                          <w:marBottom w:val="0"/>
                          <w:divBdr>
                            <w:top w:val="none" w:sz="0" w:space="0" w:color="auto"/>
                            <w:left w:val="none" w:sz="0" w:space="0" w:color="auto"/>
                            <w:bottom w:val="none" w:sz="0" w:space="0" w:color="auto"/>
                            <w:right w:val="none" w:sz="0" w:space="0" w:color="auto"/>
                          </w:divBdr>
                          <w:divsChild>
                            <w:div w:id="159934203">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934199">
      <w:marLeft w:val="0"/>
      <w:marRight w:val="0"/>
      <w:marTop w:val="0"/>
      <w:marBottom w:val="0"/>
      <w:divBdr>
        <w:top w:val="none" w:sz="0" w:space="0" w:color="auto"/>
        <w:left w:val="none" w:sz="0" w:space="0" w:color="auto"/>
        <w:bottom w:val="none" w:sz="0" w:space="0" w:color="auto"/>
        <w:right w:val="none" w:sz="0" w:space="0" w:color="auto"/>
      </w:divBdr>
      <w:divsChild>
        <w:div w:id="159934193">
          <w:marLeft w:val="0"/>
          <w:marRight w:val="0"/>
          <w:marTop w:val="0"/>
          <w:marBottom w:val="0"/>
          <w:divBdr>
            <w:top w:val="none" w:sz="0" w:space="0" w:color="auto"/>
            <w:left w:val="none" w:sz="0" w:space="0" w:color="auto"/>
            <w:bottom w:val="none" w:sz="0" w:space="0" w:color="auto"/>
            <w:right w:val="none" w:sz="0" w:space="0" w:color="auto"/>
          </w:divBdr>
          <w:divsChild>
            <w:div w:id="159934206">
              <w:marLeft w:val="0"/>
              <w:marRight w:val="0"/>
              <w:marTop w:val="0"/>
              <w:marBottom w:val="0"/>
              <w:divBdr>
                <w:top w:val="none" w:sz="0" w:space="0" w:color="auto"/>
                <w:left w:val="none" w:sz="0" w:space="0" w:color="auto"/>
                <w:bottom w:val="none" w:sz="0" w:space="0" w:color="auto"/>
                <w:right w:val="none" w:sz="0" w:space="0" w:color="auto"/>
              </w:divBdr>
              <w:divsChild>
                <w:div w:id="159934198">
                  <w:marLeft w:val="0"/>
                  <w:marRight w:val="0"/>
                  <w:marTop w:val="0"/>
                  <w:marBottom w:val="0"/>
                  <w:divBdr>
                    <w:top w:val="none" w:sz="0" w:space="0" w:color="auto"/>
                    <w:left w:val="none" w:sz="0" w:space="0" w:color="auto"/>
                    <w:bottom w:val="none" w:sz="0" w:space="0" w:color="auto"/>
                    <w:right w:val="none" w:sz="0" w:space="0" w:color="auto"/>
                  </w:divBdr>
                  <w:divsChild>
                    <w:div w:id="159934202">
                      <w:marLeft w:val="30"/>
                      <w:marRight w:val="0"/>
                      <w:marTop w:val="0"/>
                      <w:marBottom w:val="0"/>
                      <w:divBdr>
                        <w:top w:val="none" w:sz="0" w:space="0" w:color="auto"/>
                        <w:left w:val="none" w:sz="0" w:space="0" w:color="auto"/>
                        <w:bottom w:val="none" w:sz="0" w:space="0" w:color="auto"/>
                        <w:right w:val="none" w:sz="0" w:space="0" w:color="auto"/>
                      </w:divBdr>
                      <w:divsChild>
                        <w:div w:id="159934196">
                          <w:marLeft w:val="0"/>
                          <w:marRight w:val="0"/>
                          <w:marTop w:val="0"/>
                          <w:marBottom w:val="0"/>
                          <w:divBdr>
                            <w:top w:val="none" w:sz="0" w:space="0" w:color="auto"/>
                            <w:left w:val="none" w:sz="0" w:space="0" w:color="auto"/>
                            <w:bottom w:val="none" w:sz="0" w:space="0" w:color="auto"/>
                            <w:right w:val="none" w:sz="0" w:space="0" w:color="auto"/>
                          </w:divBdr>
                          <w:divsChild>
                            <w:div w:id="15993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934210">
      <w:marLeft w:val="0"/>
      <w:marRight w:val="0"/>
      <w:marTop w:val="0"/>
      <w:marBottom w:val="0"/>
      <w:divBdr>
        <w:top w:val="none" w:sz="0" w:space="0" w:color="auto"/>
        <w:left w:val="none" w:sz="0" w:space="0" w:color="auto"/>
        <w:bottom w:val="none" w:sz="0" w:space="0" w:color="auto"/>
        <w:right w:val="none" w:sz="0" w:space="0" w:color="auto"/>
      </w:divBdr>
      <w:divsChild>
        <w:div w:id="159934212">
          <w:marLeft w:val="0"/>
          <w:marRight w:val="0"/>
          <w:marTop w:val="0"/>
          <w:marBottom w:val="0"/>
          <w:divBdr>
            <w:top w:val="none" w:sz="0" w:space="0" w:color="auto"/>
            <w:left w:val="none" w:sz="0" w:space="0" w:color="auto"/>
            <w:bottom w:val="none" w:sz="0" w:space="0" w:color="auto"/>
            <w:right w:val="none" w:sz="0" w:space="0" w:color="auto"/>
          </w:divBdr>
          <w:divsChild>
            <w:div w:id="159934209">
              <w:marLeft w:val="0"/>
              <w:marRight w:val="0"/>
              <w:marTop w:val="0"/>
              <w:marBottom w:val="0"/>
              <w:divBdr>
                <w:top w:val="none" w:sz="0" w:space="0" w:color="auto"/>
                <w:left w:val="none" w:sz="0" w:space="0" w:color="auto"/>
                <w:bottom w:val="none" w:sz="0" w:space="0" w:color="auto"/>
                <w:right w:val="none" w:sz="0" w:space="0" w:color="auto"/>
              </w:divBdr>
              <w:divsChild>
                <w:div w:id="15993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6.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eader" Target="header3.xml"/><Relationship Id="rId25" Type="http://schemas.openxmlformats.org/officeDocument/2006/relationships/header" Target="header7.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eader" Target="header5.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header" Target="header6.xml"/><Relationship Id="rId28" Type="http://schemas.openxmlformats.org/officeDocument/2006/relationships/footer" Target="footer11.xml"/><Relationship Id="rId10" Type="http://schemas.openxmlformats.org/officeDocument/2006/relationships/footer" Target="footer2.xml"/><Relationship Id="rId19" Type="http://schemas.openxmlformats.org/officeDocument/2006/relationships/header" Target="header4.xml"/><Relationship Id="rId31" Type="http://schemas.openxmlformats.org/officeDocument/2006/relationships/footer" Target="footer13.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footer" Target="footer8.xml"/><Relationship Id="rId27" Type="http://schemas.openxmlformats.org/officeDocument/2006/relationships/footer" Target="footer10.xml"/><Relationship Id="rId30" Type="http://schemas.openxmlformats.org/officeDocument/2006/relationships/footer" Target="footer12.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3" Type="http://schemas.openxmlformats.org/officeDocument/2006/relationships/hyperlink" Target="http://www.health.vic.gov.au/pch/gpp/working/" TargetMode="External"/><Relationship Id="rId2" Type="http://schemas.openxmlformats.org/officeDocument/2006/relationships/hyperlink" Target="http://www.health.vic.gov.au/qualitycouncil/" TargetMode="External"/><Relationship Id="rId1" Type="http://schemas.openxmlformats.org/officeDocument/2006/relationships/hyperlink" Target="https://ama.com.au/position-statement/general-practicehospitals-transfer-care-arrangements-2013" TargetMode="External"/><Relationship Id="rId4" Type="http://schemas.openxmlformats.org/officeDocument/2006/relationships/hyperlink" Target="http://www.nehta.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sta0904\Local%20Settings\Temporary%20Internet%20Files\Content.MSO\3F03C00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B6E393-88BB-4648-B5D5-DF4E4756E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3F03C006.dot</Template>
  <TotalTime>11</TotalTime>
  <Pages>21</Pages>
  <Words>5087</Words>
  <Characters>28906</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lpstr>
    </vt:vector>
  </TitlesOfParts>
  <Company>Deparment of Health, Victoria</Company>
  <LinksUpToDate>false</LinksUpToDate>
  <CharactersWithSpaces>33926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msmi0601</dc:creator>
  <cp:keywords/>
  <dc:description/>
  <cp:lastModifiedBy>athi1201</cp:lastModifiedBy>
  <cp:revision>5</cp:revision>
  <cp:lastPrinted>2014-02-04T05:03:00Z</cp:lastPrinted>
  <dcterms:created xsi:type="dcterms:W3CDTF">2014-02-03T23:09:00Z</dcterms:created>
  <dcterms:modified xsi:type="dcterms:W3CDTF">2014-02-04T05:04:00Z</dcterms:modified>
</cp:coreProperties>
</file>