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E8C1"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63DFC4F3" wp14:editId="1A939D5C">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9E4BF"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10632" w:type="dxa"/>
        <w:tblCellMar>
          <w:left w:w="0" w:type="dxa"/>
          <w:right w:w="0" w:type="dxa"/>
        </w:tblCellMar>
        <w:tblLook w:val="0600" w:firstRow="0" w:lastRow="0" w:firstColumn="0" w:lastColumn="0" w:noHBand="1" w:noVBand="1"/>
      </w:tblPr>
      <w:tblGrid>
        <w:gridCol w:w="10632"/>
      </w:tblGrid>
      <w:tr w:rsidR="00AD784C" w14:paraId="3B1B2596" w14:textId="77777777" w:rsidTr="00CD0EF9">
        <w:trPr>
          <w:trHeight w:val="1247"/>
        </w:trPr>
        <w:tc>
          <w:tcPr>
            <w:tcW w:w="10632" w:type="dxa"/>
            <w:shd w:val="clear" w:color="auto" w:fill="auto"/>
            <w:vAlign w:val="bottom"/>
          </w:tcPr>
          <w:p w14:paraId="4CCD5606" w14:textId="77777777" w:rsidR="00CD0EF9" w:rsidRDefault="00817F3D" w:rsidP="00A91406">
            <w:pPr>
              <w:pStyle w:val="DHHSmainheading"/>
            </w:pPr>
            <w:r>
              <w:t xml:space="preserve">Review of the Health Complaints </w:t>
            </w:r>
          </w:p>
          <w:p w14:paraId="6E292270" w14:textId="65C189B8" w:rsidR="00AD784C" w:rsidRPr="00161AA0" w:rsidRDefault="00817F3D" w:rsidP="00A91406">
            <w:pPr>
              <w:pStyle w:val="DHHSmainheading"/>
            </w:pPr>
            <w:r>
              <w:t>Act 2016</w:t>
            </w:r>
          </w:p>
        </w:tc>
      </w:tr>
      <w:tr w:rsidR="00AD784C" w14:paraId="44EB09D3" w14:textId="77777777" w:rsidTr="00CD0EF9">
        <w:trPr>
          <w:trHeight w:hRule="exact" w:val="1162"/>
        </w:trPr>
        <w:tc>
          <w:tcPr>
            <w:tcW w:w="10632" w:type="dxa"/>
            <w:shd w:val="clear" w:color="auto" w:fill="auto"/>
            <w:tcMar>
              <w:top w:w="170" w:type="dxa"/>
              <w:bottom w:w="510" w:type="dxa"/>
            </w:tcMar>
          </w:tcPr>
          <w:p w14:paraId="74BCDCDD" w14:textId="77777777" w:rsidR="00357B4E" w:rsidRDefault="00817F3D" w:rsidP="00357B4E">
            <w:pPr>
              <w:pStyle w:val="DHHSmainsubheading"/>
              <w:rPr>
                <w:szCs w:val="28"/>
              </w:rPr>
            </w:pPr>
            <w:r>
              <w:rPr>
                <w:szCs w:val="28"/>
              </w:rPr>
              <w:t>Terms of Reference</w:t>
            </w:r>
          </w:p>
          <w:p w14:paraId="1B7DD1EC" w14:textId="30F9F88E" w:rsidR="00CD0EF9" w:rsidRPr="00CD0EF9" w:rsidRDefault="00CD0EF9" w:rsidP="00CD0EF9">
            <w:pPr>
              <w:pStyle w:val="DHHSmainsubheading"/>
              <w:jc w:val="right"/>
              <w:rPr>
                <w:sz w:val="20"/>
                <w:szCs w:val="20"/>
              </w:rPr>
            </w:pPr>
            <w:r w:rsidRPr="00CD0EF9">
              <w:rPr>
                <w:sz w:val="20"/>
                <w:szCs w:val="20"/>
              </w:rPr>
              <w:t>TRIM HHSD/20/211265</w:t>
            </w:r>
          </w:p>
        </w:tc>
      </w:tr>
    </w:tbl>
    <w:p w14:paraId="46D33598" w14:textId="77777777" w:rsidR="00817F3D" w:rsidRPr="00B57329" w:rsidRDefault="00817F3D" w:rsidP="00817F3D">
      <w:pPr>
        <w:pStyle w:val="Heading1"/>
        <w:spacing w:before="0"/>
      </w:pPr>
      <w:bookmarkStart w:id="1" w:name="_Toc13581751"/>
      <w:r>
        <w:t>Background</w:t>
      </w:r>
      <w:bookmarkEnd w:id="1"/>
    </w:p>
    <w:p w14:paraId="32FB30D9" w14:textId="77777777" w:rsidR="000A1636" w:rsidRDefault="00817F3D" w:rsidP="00817F3D">
      <w:pPr>
        <w:pStyle w:val="DHHSbody"/>
      </w:pPr>
      <w:r>
        <w:t xml:space="preserve">The </w:t>
      </w:r>
      <w:r w:rsidRPr="0066280B">
        <w:rPr>
          <w:i/>
          <w:iCs/>
        </w:rPr>
        <w:t>Health Complaints Act 2016</w:t>
      </w:r>
      <w:r>
        <w:t xml:space="preserve"> (the Act) came into operation on 1 February 2017 and repealed the </w:t>
      </w:r>
      <w:r w:rsidRPr="0066280B">
        <w:rPr>
          <w:i/>
          <w:iCs/>
        </w:rPr>
        <w:t>Health</w:t>
      </w:r>
      <w:r>
        <w:t xml:space="preserve"> </w:t>
      </w:r>
      <w:r w:rsidRPr="0066280B">
        <w:rPr>
          <w:i/>
          <w:iCs/>
        </w:rPr>
        <w:t>Services (Conciliation and Review) Act 1987</w:t>
      </w:r>
      <w:r>
        <w:t xml:space="preserve">. </w:t>
      </w:r>
    </w:p>
    <w:p w14:paraId="4D1C25CB" w14:textId="629EBFE4" w:rsidR="00817F3D" w:rsidRDefault="00817F3D">
      <w:pPr>
        <w:pStyle w:val="DHHSbody"/>
      </w:pPr>
      <w:r>
        <w:t xml:space="preserve">The Act was developed following a review of the </w:t>
      </w:r>
      <w:r w:rsidR="000A1636">
        <w:t xml:space="preserve">previous </w:t>
      </w:r>
      <w:r w:rsidR="008347E4">
        <w:t xml:space="preserve">legislation </w:t>
      </w:r>
      <w:r>
        <w:t>by an Expert Review Panel</w:t>
      </w:r>
      <w:r w:rsidR="008347E4">
        <w:t xml:space="preserve"> which </w:t>
      </w:r>
      <w:r>
        <w:t>made recommendations for legislative and/or practice change against these eight themes:</w:t>
      </w:r>
    </w:p>
    <w:p w14:paraId="4BE2B157" w14:textId="77777777" w:rsidR="00817F3D" w:rsidRDefault="00817F3D" w:rsidP="00817F3D">
      <w:pPr>
        <w:pStyle w:val="DHHSbullet1"/>
        <w:numPr>
          <w:ilvl w:val="1"/>
          <w:numId w:val="23"/>
        </w:numPr>
        <w:spacing w:after="120"/>
      </w:pPr>
      <w:r w:rsidRPr="0B572C21">
        <w:rPr>
          <w:rFonts w:eastAsia="Arial" w:cs="Arial"/>
        </w:rPr>
        <w:t>promote local resolution</w:t>
      </w:r>
    </w:p>
    <w:p w14:paraId="52BA3337" w14:textId="77777777" w:rsidR="00817F3D" w:rsidRDefault="00817F3D" w:rsidP="00817F3D">
      <w:pPr>
        <w:pStyle w:val="DHHSbullet1"/>
        <w:numPr>
          <w:ilvl w:val="1"/>
          <w:numId w:val="23"/>
        </w:numPr>
        <w:spacing w:after="120"/>
      </w:pPr>
      <w:r w:rsidRPr="0B572C21">
        <w:rPr>
          <w:rFonts w:eastAsia="Arial" w:cs="Arial"/>
        </w:rPr>
        <w:t>expand and clarify the scope of the Act</w:t>
      </w:r>
    </w:p>
    <w:p w14:paraId="4C4BB24D" w14:textId="77777777" w:rsidR="00817F3D" w:rsidRDefault="00817F3D" w:rsidP="00817F3D">
      <w:pPr>
        <w:pStyle w:val="DHHSbullet1"/>
        <w:numPr>
          <w:ilvl w:val="1"/>
          <w:numId w:val="23"/>
        </w:numPr>
        <w:spacing w:after="120"/>
      </w:pPr>
      <w:r w:rsidRPr="0B572C21">
        <w:rPr>
          <w:rFonts w:eastAsia="Arial" w:cs="Arial"/>
        </w:rPr>
        <w:t>provide effective and responsive complaints resolution</w:t>
      </w:r>
    </w:p>
    <w:p w14:paraId="0F040E57" w14:textId="77777777" w:rsidR="00817F3D" w:rsidRDefault="00817F3D" w:rsidP="00817F3D">
      <w:pPr>
        <w:pStyle w:val="DHHSbullet1"/>
        <w:numPr>
          <w:ilvl w:val="1"/>
          <w:numId w:val="23"/>
        </w:numPr>
        <w:spacing w:after="120"/>
      </w:pPr>
      <w:r w:rsidRPr="0B572C21">
        <w:rPr>
          <w:rFonts w:eastAsia="Arial" w:cs="Arial"/>
        </w:rPr>
        <w:t>improve support for complainants</w:t>
      </w:r>
    </w:p>
    <w:p w14:paraId="29A6D555" w14:textId="77777777" w:rsidR="00817F3D" w:rsidRDefault="00817F3D" w:rsidP="00817F3D">
      <w:pPr>
        <w:pStyle w:val="DHHSbullet1"/>
        <w:numPr>
          <w:ilvl w:val="1"/>
          <w:numId w:val="23"/>
        </w:numPr>
        <w:spacing w:after="120"/>
      </w:pPr>
      <w:r w:rsidRPr="0B572C21">
        <w:rPr>
          <w:rFonts w:eastAsia="Arial" w:cs="Arial"/>
        </w:rPr>
        <w:t>streamline the interface with other agencies</w:t>
      </w:r>
    </w:p>
    <w:p w14:paraId="0052DA6D" w14:textId="77777777" w:rsidR="00817F3D" w:rsidRPr="0066280B" w:rsidRDefault="00817F3D" w:rsidP="00817F3D">
      <w:pPr>
        <w:pStyle w:val="DHHSbullet1"/>
        <w:numPr>
          <w:ilvl w:val="1"/>
          <w:numId w:val="23"/>
        </w:numPr>
        <w:spacing w:after="120"/>
        <w:rPr>
          <w:rFonts w:eastAsia="Arial" w:cs="Arial"/>
        </w:rPr>
      </w:pPr>
      <w:r w:rsidRPr="0B572C21">
        <w:rPr>
          <w:rFonts w:eastAsia="Arial" w:cs="Arial"/>
        </w:rPr>
        <w:t>safeguard the public through regulating and prohibiting the provision of health service providers</w:t>
      </w:r>
    </w:p>
    <w:p w14:paraId="05923216" w14:textId="77777777" w:rsidR="00817F3D" w:rsidRPr="0066280B" w:rsidRDefault="00817F3D" w:rsidP="00817F3D">
      <w:pPr>
        <w:pStyle w:val="DHHSbullet1"/>
        <w:numPr>
          <w:ilvl w:val="1"/>
          <w:numId w:val="23"/>
        </w:numPr>
        <w:spacing w:after="120"/>
        <w:rPr>
          <w:rFonts w:eastAsia="Arial" w:cs="Arial"/>
        </w:rPr>
      </w:pPr>
      <w:r w:rsidRPr="0B572C21">
        <w:rPr>
          <w:rFonts w:eastAsia="Arial" w:cs="Arial"/>
        </w:rPr>
        <w:t>contribute to learning and quality improvement through continuous improvement of the health services system</w:t>
      </w:r>
    </w:p>
    <w:p w14:paraId="54982918" w14:textId="71FA3FAB" w:rsidR="00817F3D" w:rsidRPr="0066280B" w:rsidRDefault="00817F3D" w:rsidP="00817F3D">
      <w:pPr>
        <w:pStyle w:val="DHHSbullet1"/>
        <w:numPr>
          <w:ilvl w:val="1"/>
          <w:numId w:val="23"/>
        </w:numPr>
        <w:spacing w:after="120"/>
        <w:rPr>
          <w:rFonts w:eastAsia="Arial" w:cs="Arial"/>
        </w:rPr>
      </w:pPr>
      <w:r w:rsidRPr="0B572C21">
        <w:rPr>
          <w:rFonts w:eastAsia="Arial" w:cs="Arial"/>
        </w:rPr>
        <w:t>enhance accountability and transparency</w:t>
      </w:r>
      <w:r w:rsidR="00CA2E16">
        <w:rPr>
          <w:rStyle w:val="FootnoteReference"/>
          <w:rFonts w:cs="Arial"/>
        </w:rPr>
        <w:footnoteReference w:id="2"/>
      </w:r>
      <w:r>
        <w:rPr>
          <w:rFonts w:eastAsia="Arial" w:cs="Arial"/>
        </w:rPr>
        <w:t>.</w:t>
      </w:r>
    </w:p>
    <w:p w14:paraId="3E4DAA63" w14:textId="77777777" w:rsidR="008935D2" w:rsidRDefault="00817F3D" w:rsidP="00AA4E3F">
      <w:pPr>
        <w:pStyle w:val="DHHSbody"/>
      </w:pPr>
      <w:r w:rsidRPr="0066280B">
        <w:t xml:space="preserve">The intent of the Act was to </w:t>
      </w:r>
      <w:r w:rsidR="00245E93">
        <w:t xml:space="preserve">address the recommendations of the Expert Review Panel, to </w:t>
      </w:r>
      <w:r w:rsidRPr="0066280B">
        <w:t>streamline and modernise Victoria’s health complaints scheme to allow for more effective resolution of health complaints and improve the quality and safety of health services.</w:t>
      </w:r>
    </w:p>
    <w:p w14:paraId="2484852B" w14:textId="2540C0CA" w:rsidR="00B97568" w:rsidRPr="0066280B" w:rsidRDefault="008935D2">
      <w:pPr>
        <w:pStyle w:val="DHHSbody"/>
      </w:pPr>
      <w:r>
        <w:t xml:space="preserve">The Act </w:t>
      </w:r>
      <w:r w:rsidR="009373DF">
        <w:t xml:space="preserve">introduced a new regulatory regime that requires </w:t>
      </w:r>
      <w:r w:rsidR="00345DC4">
        <w:t>general health services providers</w:t>
      </w:r>
      <w:r w:rsidR="001E4A86">
        <w:t>—</w:t>
      </w:r>
      <w:r w:rsidR="00345DC4" w:rsidRPr="00C17698">
        <w:t>those not regulated by </w:t>
      </w:r>
      <w:r w:rsidR="00AF0DC5">
        <w:t xml:space="preserve">the </w:t>
      </w:r>
      <w:r w:rsidR="00AF0DC5" w:rsidRPr="00C17698">
        <w:t>Australian Health Practitioner Regulation Agency</w:t>
      </w:r>
      <w:r w:rsidR="00345DC4" w:rsidRPr="00C17698">
        <w:t xml:space="preserve"> or registered providers operating outside their area of registration</w:t>
      </w:r>
      <w:r w:rsidR="001E4A86">
        <w:t>—</w:t>
      </w:r>
      <w:r w:rsidR="00AA4E3F" w:rsidRPr="00C17698">
        <w:t xml:space="preserve">to comply with a mandatory code of conduct and </w:t>
      </w:r>
      <w:r w:rsidR="00A90A76">
        <w:t xml:space="preserve">gives the Health Complaints Commissioner powers to investigate </w:t>
      </w:r>
      <w:r w:rsidR="005D0C38">
        <w:t xml:space="preserve">breaches of the code </w:t>
      </w:r>
      <w:r w:rsidR="006E152E">
        <w:t>and prohibit</w:t>
      </w:r>
      <w:r>
        <w:t xml:space="preserve"> providers from providing services. </w:t>
      </w:r>
    </w:p>
    <w:p w14:paraId="3B39FFDE" w14:textId="22E3C038" w:rsidR="00817F3D" w:rsidRDefault="00817F3D" w:rsidP="00817F3D">
      <w:pPr>
        <w:pStyle w:val="DHHSbody"/>
      </w:pPr>
      <w:r w:rsidRPr="0066280B">
        <w:t xml:space="preserve">The Act includes a requirement for the Minister to review the first three years of </w:t>
      </w:r>
      <w:r w:rsidR="00245E93">
        <w:t xml:space="preserve">the </w:t>
      </w:r>
      <w:r w:rsidRPr="0066280B">
        <w:t>operation of the Act.</w:t>
      </w:r>
    </w:p>
    <w:p w14:paraId="47B1B8F2" w14:textId="77777777" w:rsidR="00C37E7B" w:rsidRPr="0066280B" w:rsidRDefault="00C37E7B" w:rsidP="00817F3D">
      <w:pPr>
        <w:pStyle w:val="DHHSbody"/>
      </w:pPr>
    </w:p>
    <w:p w14:paraId="3B19B31A" w14:textId="77777777" w:rsidR="00817F3D" w:rsidRDefault="00817F3D" w:rsidP="00817F3D">
      <w:pPr>
        <w:pStyle w:val="Heading1"/>
        <w:spacing w:before="0"/>
      </w:pPr>
      <w:r>
        <w:t>Purpose</w:t>
      </w:r>
    </w:p>
    <w:p w14:paraId="63F8C2E9" w14:textId="0D6F6BF1" w:rsidR="00817F3D" w:rsidRPr="0066280B" w:rsidRDefault="00817F3D" w:rsidP="00817F3D">
      <w:pPr>
        <w:pStyle w:val="DHHSbody"/>
      </w:pPr>
      <w:bookmarkStart w:id="2" w:name="_Toc13581752"/>
      <w:r w:rsidRPr="0066280B">
        <w:t>The review will examine the operation of the Act since it came into effect in February 2017.</w:t>
      </w:r>
    </w:p>
    <w:p w14:paraId="595A5603" w14:textId="7265D9FA" w:rsidR="00817F3D" w:rsidRDefault="00817F3D" w:rsidP="00817F3D">
      <w:pPr>
        <w:pStyle w:val="DHHSbody"/>
      </w:pPr>
      <w:r w:rsidRPr="0066280B">
        <w:t xml:space="preserve">The review will examine the significant new powers to understand if the Act is working as intended so that complaints </w:t>
      </w:r>
      <w:r w:rsidR="00DA1453">
        <w:t xml:space="preserve">can be </w:t>
      </w:r>
      <w:r w:rsidRPr="0066280B">
        <w:t>handled and resolved locally where possible and the Health Complaints Commissioner can monitor and enforce health service provider compliance with standards and regulations, as well as identify and act on systemic issues.</w:t>
      </w:r>
    </w:p>
    <w:p w14:paraId="79A2841B" w14:textId="77777777" w:rsidR="00817F3D" w:rsidRDefault="00817F3D" w:rsidP="00817F3D">
      <w:pPr>
        <w:pStyle w:val="Heading1"/>
        <w:spacing w:before="0"/>
      </w:pPr>
      <w:r>
        <w:lastRenderedPageBreak/>
        <w:t>Guiding principles</w:t>
      </w:r>
    </w:p>
    <w:p w14:paraId="6AB309E6" w14:textId="707E52CA" w:rsidR="00817F3D" w:rsidRDefault="00817F3D" w:rsidP="00817F3D">
      <w:pPr>
        <w:pStyle w:val="DHHSbody"/>
        <w:rPr>
          <w:rFonts w:cs="Arial"/>
        </w:rPr>
      </w:pPr>
      <w:r>
        <w:rPr>
          <w:rFonts w:cs="Arial"/>
        </w:rPr>
        <w:t xml:space="preserve">The </w:t>
      </w:r>
      <w:r w:rsidRPr="0066280B">
        <w:t>review</w:t>
      </w:r>
      <w:r>
        <w:rPr>
          <w:rFonts w:cs="Arial"/>
        </w:rPr>
        <w:t xml:space="preserve"> will identify whether the Act </w:t>
      </w:r>
      <w:r w:rsidR="009A03E2">
        <w:rPr>
          <w:rFonts w:cs="Arial"/>
        </w:rPr>
        <w:t xml:space="preserve">is meeting </w:t>
      </w:r>
      <w:r>
        <w:rPr>
          <w:rFonts w:cs="Arial"/>
        </w:rPr>
        <w:t>the objectives</w:t>
      </w:r>
      <w:r w:rsidR="00F6078F">
        <w:rPr>
          <w:rFonts w:cs="Arial"/>
        </w:rPr>
        <w:t xml:space="preserve"> </w:t>
      </w:r>
      <w:r w:rsidR="00CA2E16">
        <w:rPr>
          <w:rFonts w:cs="Arial"/>
        </w:rPr>
        <w:t xml:space="preserve">identified by the Expert Review Panel </w:t>
      </w:r>
      <w:r>
        <w:rPr>
          <w:rFonts w:cs="Arial"/>
        </w:rPr>
        <w:t>to:</w:t>
      </w:r>
    </w:p>
    <w:p w14:paraId="718FB3C3" w14:textId="537FA35B" w:rsidR="00817F3D" w:rsidRPr="0066280B" w:rsidRDefault="00245E93" w:rsidP="00817F3D">
      <w:pPr>
        <w:pStyle w:val="DHHSbullet1"/>
        <w:numPr>
          <w:ilvl w:val="1"/>
          <w:numId w:val="23"/>
        </w:numPr>
        <w:spacing w:after="120"/>
        <w:rPr>
          <w:rFonts w:eastAsia="Arial" w:cs="Arial"/>
        </w:rPr>
      </w:pPr>
      <w:r>
        <w:rPr>
          <w:rFonts w:eastAsia="Arial" w:cs="Arial"/>
        </w:rPr>
        <w:t>pr</w:t>
      </w:r>
      <w:r w:rsidR="00817F3D" w:rsidRPr="0066280B">
        <w:rPr>
          <w:rFonts w:eastAsia="Arial" w:cs="Arial"/>
        </w:rPr>
        <w:t>ovide effective and responsive complaints resolution that promotes primacy of local resolution</w:t>
      </w:r>
    </w:p>
    <w:p w14:paraId="30F03FAB" w14:textId="4AF50285" w:rsidR="00817F3D" w:rsidRPr="0066280B" w:rsidRDefault="00245E93" w:rsidP="00817F3D">
      <w:pPr>
        <w:pStyle w:val="DHHSbullet1"/>
        <w:numPr>
          <w:ilvl w:val="1"/>
          <w:numId w:val="23"/>
        </w:numPr>
        <w:spacing w:after="120"/>
        <w:rPr>
          <w:rFonts w:eastAsia="Arial" w:cs="Arial"/>
        </w:rPr>
      </w:pPr>
      <w:r>
        <w:rPr>
          <w:rFonts w:eastAsia="Arial" w:cs="Arial"/>
        </w:rPr>
        <w:t>i</w:t>
      </w:r>
      <w:r w:rsidR="00817F3D" w:rsidRPr="0066280B">
        <w:rPr>
          <w:rFonts w:eastAsia="Arial" w:cs="Arial"/>
        </w:rPr>
        <w:t>mprove support for complainants</w:t>
      </w:r>
    </w:p>
    <w:p w14:paraId="0BC75878" w14:textId="0C39A497" w:rsidR="00817F3D" w:rsidRPr="0066280B" w:rsidRDefault="00245E93" w:rsidP="00817F3D">
      <w:pPr>
        <w:pStyle w:val="DHHSbullet1"/>
        <w:numPr>
          <w:ilvl w:val="1"/>
          <w:numId w:val="23"/>
        </w:numPr>
        <w:spacing w:after="120"/>
        <w:rPr>
          <w:rFonts w:eastAsia="Arial" w:cs="Arial"/>
        </w:rPr>
      </w:pPr>
      <w:r>
        <w:rPr>
          <w:rFonts w:eastAsia="Arial" w:cs="Arial"/>
        </w:rPr>
        <w:t>s</w:t>
      </w:r>
      <w:r w:rsidR="00817F3D" w:rsidRPr="0066280B">
        <w:rPr>
          <w:rFonts w:eastAsia="Arial" w:cs="Arial"/>
        </w:rPr>
        <w:t>treamline the interface with other agencies and legislation</w:t>
      </w:r>
    </w:p>
    <w:p w14:paraId="7999A2CC" w14:textId="382D1D05" w:rsidR="00817F3D" w:rsidRPr="0066280B" w:rsidRDefault="00245E93" w:rsidP="00817F3D">
      <w:pPr>
        <w:pStyle w:val="DHHSbullet1"/>
        <w:numPr>
          <w:ilvl w:val="1"/>
          <w:numId w:val="23"/>
        </w:numPr>
        <w:spacing w:after="120"/>
        <w:rPr>
          <w:rFonts w:eastAsia="Arial" w:cs="Arial"/>
        </w:rPr>
      </w:pPr>
      <w:r>
        <w:rPr>
          <w:rFonts w:eastAsia="Arial" w:cs="Arial"/>
        </w:rPr>
        <w:t>s</w:t>
      </w:r>
      <w:r w:rsidR="00817F3D" w:rsidRPr="0066280B">
        <w:rPr>
          <w:rFonts w:eastAsia="Arial" w:cs="Arial"/>
        </w:rPr>
        <w:t>afeguard the public through regulation of health service providers</w:t>
      </w:r>
    </w:p>
    <w:p w14:paraId="16075696" w14:textId="7CF2831E" w:rsidR="00817F3D" w:rsidRPr="0066280B" w:rsidRDefault="00245E93" w:rsidP="00817F3D">
      <w:pPr>
        <w:pStyle w:val="DHHSbullet1"/>
        <w:numPr>
          <w:ilvl w:val="1"/>
          <w:numId w:val="23"/>
        </w:numPr>
        <w:spacing w:after="120"/>
        <w:rPr>
          <w:rFonts w:eastAsia="Arial" w:cs="Arial"/>
        </w:rPr>
      </w:pPr>
      <w:r>
        <w:rPr>
          <w:rFonts w:eastAsia="Arial" w:cs="Arial"/>
        </w:rPr>
        <w:t>c</w:t>
      </w:r>
      <w:r w:rsidR="00817F3D" w:rsidRPr="0066280B">
        <w:rPr>
          <w:rFonts w:eastAsia="Arial" w:cs="Arial"/>
        </w:rPr>
        <w:t>ontribute to learning and quality improvement through continuous improvement of the health services system</w:t>
      </w:r>
    </w:p>
    <w:p w14:paraId="32917051" w14:textId="6CAD6672" w:rsidR="00817F3D" w:rsidRPr="0066280B" w:rsidRDefault="00245E93" w:rsidP="00817F3D">
      <w:pPr>
        <w:pStyle w:val="DHHSbullet1"/>
        <w:numPr>
          <w:ilvl w:val="1"/>
          <w:numId w:val="23"/>
        </w:numPr>
        <w:spacing w:after="120"/>
        <w:rPr>
          <w:rFonts w:eastAsia="Arial" w:cs="Arial"/>
        </w:rPr>
      </w:pPr>
      <w:r>
        <w:rPr>
          <w:rFonts w:eastAsia="Arial" w:cs="Arial"/>
        </w:rPr>
        <w:t>e</w:t>
      </w:r>
      <w:r w:rsidR="00817F3D" w:rsidRPr="0066280B">
        <w:rPr>
          <w:rFonts w:eastAsia="Arial" w:cs="Arial"/>
        </w:rPr>
        <w:t>nhance accountability and transparency.</w:t>
      </w:r>
    </w:p>
    <w:p w14:paraId="108E9345" w14:textId="77777777" w:rsidR="00817F3D" w:rsidRDefault="00817F3D" w:rsidP="00817F3D">
      <w:pPr>
        <w:pStyle w:val="DHHSbody"/>
        <w:rPr>
          <w:rFonts w:cs="Arial"/>
        </w:rPr>
      </w:pPr>
      <w:r w:rsidRPr="0066280B">
        <w:rPr>
          <w:rFonts w:cs="Arial"/>
        </w:rPr>
        <w:t>The review will have contextual regard for the broader system in which the Health Complaints Commissioner operates, as appropriate.</w:t>
      </w:r>
    </w:p>
    <w:p w14:paraId="76B87422" w14:textId="77777777" w:rsidR="00C37E7B" w:rsidRPr="0066280B" w:rsidRDefault="00C37E7B" w:rsidP="00817F3D">
      <w:pPr>
        <w:pStyle w:val="DHHSbody"/>
        <w:rPr>
          <w:rFonts w:cs="Arial"/>
        </w:rPr>
      </w:pPr>
    </w:p>
    <w:p w14:paraId="48B46840" w14:textId="49A5D197" w:rsidR="00817F3D" w:rsidRDefault="00817F3D" w:rsidP="00817F3D">
      <w:pPr>
        <w:pStyle w:val="Heading1"/>
        <w:spacing w:before="0"/>
      </w:pPr>
      <w:r>
        <w:t>Scope</w:t>
      </w:r>
    </w:p>
    <w:p w14:paraId="4C104334" w14:textId="75957F37" w:rsidR="00817F3D" w:rsidRPr="00210C3A" w:rsidRDefault="00817F3D" w:rsidP="00817F3D">
      <w:pPr>
        <w:pStyle w:val="DHHSbody"/>
        <w:rPr>
          <w:rFonts w:cs="Arial"/>
        </w:rPr>
      </w:pPr>
      <w:r w:rsidRPr="1415C015">
        <w:rPr>
          <w:rFonts w:cs="Arial"/>
        </w:rPr>
        <w:t>The review will consider</w:t>
      </w:r>
      <w:r w:rsidR="0073097F" w:rsidRPr="1415C015">
        <w:rPr>
          <w:rFonts w:cs="Arial"/>
        </w:rPr>
        <w:t xml:space="preserve"> </w:t>
      </w:r>
      <w:r w:rsidR="007931D6" w:rsidRPr="1415C015">
        <w:rPr>
          <w:rFonts w:cs="Arial"/>
        </w:rPr>
        <w:t xml:space="preserve">relevant </w:t>
      </w:r>
      <w:r w:rsidR="0073097F" w:rsidRPr="1415C015">
        <w:rPr>
          <w:rFonts w:cs="Arial"/>
        </w:rPr>
        <w:t xml:space="preserve">data sources and undertake consultations </w:t>
      </w:r>
      <w:r w:rsidR="1CF401ED" w:rsidRPr="1415C015">
        <w:rPr>
          <w:rFonts w:cs="Arial"/>
        </w:rPr>
        <w:t xml:space="preserve">with the Health </w:t>
      </w:r>
      <w:r w:rsidR="00092F68">
        <w:rPr>
          <w:rFonts w:cs="Arial"/>
        </w:rPr>
        <w:t xml:space="preserve">Complaints </w:t>
      </w:r>
      <w:r w:rsidR="1CF401ED" w:rsidRPr="1415C015">
        <w:rPr>
          <w:rFonts w:cs="Arial"/>
        </w:rPr>
        <w:t>Commissioner and other</w:t>
      </w:r>
      <w:r w:rsidR="0073097F" w:rsidRPr="1415C015">
        <w:rPr>
          <w:rFonts w:cs="Arial"/>
        </w:rPr>
        <w:t xml:space="preserve"> key stakeholders</w:t>
      </w:r>
      <w:r w:rsidR="00F4475D">
        <w:rPr>
          <w:rFonts w:cs="Arial"/>
        </w:rPr>
        <w:t xml:space="preserve"> </w:t>
      </w:r>
      <w:r w:rsidR="00D03C50" w:rsidRPr="00F4475D">
        <w:rPr>
          <w:rFonts w:cs="Arial"/>
        </w:rPr>
        <w:t>including</w:t>
      </w:r>
      <w:r w:rsidR="00F4475D">
        <w:rPr>
          <w:rFonts w:cs="Arial"/>
        </w:rPr>
        <w:t>,</w:t>
      </w:r>
      <w:r w:rsidR="0073097F" w:rsidRPr="00F4475D">
        <w:rPr>
          <w:rFonts w:cs="Arial"/>
        </w:rPr>
        <w:t xml:space="preserve"> </w:t>
      </w:r>
      <w:r w:rsidR="004B4E28" w:rsidRPr="00F4475D">
        <w:rPr>
          <w:rFonts w:cs="Arial"/>
        </w:rPr>
        <w:t>consumer</w:t>
      </w:r>
      <w:r w:rsidR="00C7405B" w:rsidRPr="00F4475D">
        <w:rPr>
          <w:rFonts w:cs="Arial"/>
        </w:rPr>
        <w:t>s</w:t>
      </w:r>
      <w:r w:rsidR="004B4E28" w:rsidRPr="00F4475D">
        <w:rPr>
          <w:rFonts w:cs="Arial"/>
        </w:rPr>
        <w:t>, health service providers, general health service providers and peak bod</w:t>
      </w:r>
      <w:r w:rsidR="0086581E" w:rsidRPr="00F4475D">
        <w:rPr>
          <w:rFonts w:cs="Arial"/>
        </w:rPr>
        <w:t>ies</w:t>
      </w:r>
      <w:r w:rsidR="00E46838" w:rsidRPr="1415C015">
        <w:rPr>
          <w:rFonts w:cs="Arial"/>
        </w:rPr>
        <w:t>,</w:t>
      </w:r>
      <w:r w:rsidR="004B4E28" w:rsidRPr="1415C015">
        <w:rPr>
          <w:rFonts w:cs="Arial"/>
        </w:rPr>
        <w:t xml:space="preserve"> </w:t>
      </w:r>
      <w:r w:rsidR="0073097F" w:rsidRPr="1415C015">
        <w:rPr>
          <w:rFonts w:cs="Arial"/>
        </w:rPr>
        <w:t>to consider</w:t>
      </w:r>
      <w:r w:rsidRPr="1415C015">
        <w:rPr>
          <w:rFonts w:cs="Arial"/>
        </w:rPr>
        <w:t xml:space="preserve"> th</w:t>
      </w:r>
      <w:r w:rsidR="0073097F" w:rsidRPr="1415C015">
        <w:rPr>
          <w:rFonts w:cs="Arial"/>
        </w:rPr>
        <w:t>e</w:t>
      </w:r>
      <w:r w:rsidRPr="1415C015">
        <w:rPr>
          <w:rFonts w:cs="Arial"/>
        </w:rPr>
        <w:t xml:space="preserve"> elements that the Act created or amended to achieve the above objectives</w:t>
      </w:r>
      <w:r w:rsidR="0073097F" w:rsidRPr="1415C015">
        <w:rPr>
          <w:rFonts w:cs="Arial"/>
        </w:rPr>
        <w:t xml:space="preserve"> including</w:t>
      </w:r>
      <w:r w:rsidRPr="1415C015">
        <w:rPr>
          <w:rFonts w:cs="Arial"/>
        </w:rPr>
        <w:t>:</w:t>
      </w:r>
    </w:p>
    <w:p w14:paraId="26EF0792" w14:textId="6FB69B02" w:rsidR="00817F3D" w:rsidRPr="0066280B" w:rsidRDefault="00245E93" w:rsidP="00817F3D">
      <w:pPr>
        <w:pStyle w:val="DHHSbullet1"/>
        <w:numPr>
          <w:ilvl w:val="1"/>
          <w:numId w:val="23"/>
        </w:numPr>
        <w:spacing w:after="120"/>
        <w:rPr>
          <w:rFonts w:eastAsia="Arial" w:cs="Arial"/>
        </w:rPr>
      </w:pPr>
      <w:r>
        <w:rPr>
          <w:rFonts w:eastAsia="Arial" w:cs="Arial"/>
        </w:rPr>
        <w:t>t</w:t>
      </w:r>
      <w:r w:rsidR="00817F3D" w:rsidRPr="0066280B">
        <w:rPr>
          <w:rFonts w:eastAsia="Arial" w:cs="Arial"/>
        </w:rPr>
        <w:t>he current and evolving health services landscape and profile in Victoria and other jurisdictions, as relevant</w:t>
      </w:r>
    </w:p>
    <w:p w14:paraId="3B02322C" w14:textId="5DE09CF2" w:rsidR="00817F3D" w:rsidRPr="0066280B" w:rsidRDefault="00245E93" w:rsidP="00817F3D">
      <w:pPr>
        <w:pStyle w:val="DHHSbullet1"/>
        <w:numPr>
          <w:ilvl w:val="1"/>
          <w:numId w:val="23"/>
        </w:numPr>
        <w:spacing w:after="120"/>
        <w:rPr>
          <w:rFonts w:eastAsia="Arial" w:cs="Arial"/>
        </w:rPr>
      </w:pPr>
      <w:r>
        <w:rPr>
          <w:rFonts w:eastAsia="Arial" w:cs="Arial"/>
        </w:rPr>
        <w:t>r</w:t>
      </w:r>
      <w:r w:rsidR="00817F3D" w:rsidRPr="0066280B">
        <w:rPr>
          <w:rFonts w:eastAsia="Arial" w:cs="Arial"/>
        </w:rPr>
        <w:t xml:space="preserve">egulatory and complaints handling, investigations and resolution best practice </w:t>
      </w:r>
    </w:p>
    <w:p w14:paraId="5E4B9C6C" w14:textId="17ABAEB7" w:rsidR="00817F3D" w:rsidRPr="0066280B" w:rsidRDefault="00245E93" w:rsidP="00817F3D">
      <w:pPr>
        <w:pStyle w:val="DHHSbullet1"/>
        <w:numPr>
          <w:ilvl w:val="1"/>
          <w:numId w:val="23"/>
        </w:numPr>
        <w:spacing w:after="120"/>
        <w:rPr>
          <w:rFonts w:eastAsia="Arial" w:cs="Arial"/>
        </w:rPr>
      </w:pPr>
      <w:r>
        <w:rPr>
          <w:rFonts w:eastAsia="Arial" w:cs="Arial"/>
        </w:rPr>
        <w:t>t</w:t>
      </w:r>
      <w:r w:rsidR="00817F3D" w:rsidRPr="0066280B">
        <w:rPr>
          <w:rFonts w:eastAsia="Arial" w:cs="Arial"/>
        </w:rPr>
        <w:t>he operation of the complaint handling and resolution provisions</w:t>
      </w:r>
      <w:r w:rsidR="000E3DC1">
        <w:rPr>
          <w:rFonts w:eastAsia="Arial" w:cs="Arial"/>
        </w:rPr>
        <w:t xml:space="preserve"> </w:t>
      </w:r>
      <w:r w:rsidR="001B49AC">
        <w:rPr>
          <w:rFonts w:eastAsia="Arial" w:cs="Arial"/>
        </w:rPr>
        <w:t>(</w:t>
      </w:r>
      <w:r w:rsidR="000E3DC1">
        <w:rPr>
          <w:rFonts w:eastAsia="Arial" w:cs="Arial"/>
        </w:rPr>
        <w:t xml:space="preserve">and consider any need </w:t>
      </w:r>
      <w:r w:rsidR="001B49AC">
        <w:rPr>
          <w:rFonts w:eastAsia="Arial" w:cs="Arial"/>
        </w:rPr>
        <w:t>to propose legislative amendments to the Act)</w:t>
      </w:r>
    </w:p>
    <w:p w14:paraId="05713A0B" w14:textId="50870C97" w:rsidR="00DE4F1A" w:rsidRDefault="00245E93" w:rsidP="00817F3D">
      <w:pPr>
        <w:pStyle w:val="DHHSbullet1"/>
        <w:numPr>
          <w:ilvl w:val="1"/>
          <w:numId w:val="23"/>
        </w:numPr>
        <w:spacing w:after="120"/>
        <w:rPr>
          <w:rFonts w:eastAsia="Arial" w:cs="Arial"/>
        </w:rPr>
      </w:pPr>
      <w:r>
        <w:rPr>
          <w:rFonts w:eastAsia="Arial" w:cs="Arial"/>
        </w:rPr>
        <w:t>t</w:t>
      </w:r>
      <w:r w:rsidR="00817F3D" w:rsidRPr="0066280B">
        <w:rPr>
          <w:rFonts w:eastAsia="Arial" w:cs="Arial"/>
        </w:rPr>
        <w:t>he operation of the regulatory and oversight provisions</w:t>
      </w:r>
      <w:r w:rsidR="001B49AC">
        <w:rPr>
          <w:rFonts w:eastAsia="Arial" w:cs="Arial"/>
        </w:rPr>
        <w:t xml:space="preserve"> (and consider any need to propose legislative amendments to the Act)</w:t>
      </w:r>
    </w:p>
    <w:p w14:paraId="15BCBE4B" w14:textId="2A86D72B" w:rsidR="00817F3D" w:rsidRDefault="00DE4F1A" w:rsidP="00C17698">
      <w:pPr>
        <w:pStyle w:val="DHHSbody"/>
        <w:numPr>
          <w:ilvl w:val="1"/>
          <w:numId w:val="23"/>
        </w:numPr>
        <w:rPr>
          <w:rFonts w:cs="Arial"/>
        </w:rPr>
      </w:pPr>
      <w:r>
        <w:rPr>
          <w:rFonts w:cs="Arial"/>
        </w:rPr>
        <w:t xml:space="preserve">the concurrent operation of the complaint handling and resolution functions with </w:t>
      </w:r>
      <w:r w:rsidR="000341F5">
        <w:rPr>
          <w:rFonts w:cs="Arial"/>
        </w:rPr>
        <w:t xml:space="preserve">the </w:t>
      </w:r>
      <w:r>
        <w:rPr>
          <w:rFonts w:cs="Arial"/>
        </w:rPr>
        <w:t>regulatory and oversight functions.</w:t>
      </w:r>
    </w:p>
    <w:p w14:paraId="64D09C32" w14:textId="77777777" w:rsidR="00537686" w:rsidRPr="00C17698" w:rsidRDefault="00537686" w:rsidP="004858F4">
      <w:pPr>
        <w:pStyle w:val="DHHSbody"/>
        <w:rPr>
          <w:rFonts w:cs="Arial"/>
        </w:rPr>
      </w:pPr>
    </w:p>
    <w:p w14:paraId="2CAFA058" w14:textId="77777777" w:rsidR="00817F3D" w:rsidRDefault="00817F3D" w:rsidP="00817F3D">
      <w:pPr>
        <w:pStyle w:val="Heading1"/>
        <w:spacing w:before="0"/>
      </w:pPr>
      <w:r>
        <w:t>Reporting</w:t>
      </w:r>
    </w:p>
    <w:p w14:paraId="68A725E9" w14:textId="247F2C8D" w:rsidR="00817F3D" w:rsidRDefault="00817F3D" w:rsidP="00817F3D">
      <w:pPr>
        <w:pStyle w:val="DHHSbody"/>
        <w:rPr>
          <w:rFonts w:cs="Arial"/>
        </w:rPr>
      </w:pPr>
      <w:r w:rsidRPr="519BF347">
        <w:rPr>
          <w:rFonts w:cs="Arial"/>
        </w:rPr>
        <w:t>The review project team will prepare and deliver to the Minister for Health a final report documenting its methodology, research and data sources, analysis and any recommendations</w:t>
      </w:r>
      <w:r w:rsidR="007F64D6" w:rsidRPr="519BF347">
        <w:rPr>
          <w:rFonts w:cs="Arial"/>
        </w:rPr>
        <w:t>,</w:t>
      </w:r>
      <w:r w:rsidR="00250BF0" w:rsidRPr="519BF347">
        <w:rPr>
          <w:rFonts w:cs="Arial"/>
        </w:rPr>
        <w:t xml:space="preserve"> including</w:t>
      </w:r>
      <w:r w:rsidR="00A3455B" w:rsidRPr="519BF347">
        <w:rPr>
          <w:rFonts w:cs="Arial"/>
        </w:rPr>
        <w:t xml:space="preserve"> </w:t>
      </w:r>
      <w:r w:rsidR="005863CF" w:rsidRPr="519BF347">
        <w:rPr>
          <w:rFonts w:cs="Arial"/>
        </w:rPr>
        <w:t xml:space="preserve">any recommendations for </w:t>
      </w:r>
      <w:r w:rsidR="00A3455B" w:rsidRPr="519BF347">
        <w:rPr>
          <w:rFonts w:cs="Arial"/>
        </w:rPr>
        <w:t>legislative amendment</w:t>
      </w:r>
      <w:r w:rsidR="0058132F" w:rsidRPr="519BF347">
        <w:rPr>
          <w:rFonts w:cs="Arial"/>
        </w:rPr>
        <w:t>s</w:t>
      </w:r>
      <w:r w:rsidR="007F64D6" w:rsidRPr="519BF347">
        <w:rPr>
          <w:rFonts w:cs="Arial"/>
        </w:rPr>
        <w:t>,</w:t>
      </w:r>
      <w:r w:rsidR="00091AAD" w:rsidRPr="519BF347">
        <w:rPr>
          <w:rFonts w:cs="Arial"/>
        </w:rPr>
        <w:t xml:space="preserve"> </w:t>
      </w:r>
      <w:r w:rsidR="000147AE" w:rsidRPr="519BF347">
        <w:rPr>
          <w:rFonts w:cs="Arial"/>
        </w:rPr>
        <w:t xml:space="preserve">no later than </w:t>
      </w:r>
      <w:r w:rsidR="3A492304" w:rsidRPr="519BF347">
        <w:rPr>
          <w:rFonts w:cs="Arial"/>
        </w:rPr>
        <w:t xml:space="preserve">1 </w:t>
      </w:r>
      <w:r w:rsidR="000147AE" w:rsidRPr="519BF347">
        <w:rPr>
          <w:rFonts w:cs="Arial"/>
        </w:rPr>
        <w:t>February 2021</w:t>
      </w:r>
      <w:r w:rsidRPr="519BF347">
        <w:rPr>
          <w:rFonts w:cs="Arial"/>
        </w:rPr>
        <w:t>.</w:t>
      </w:r>
    </w:p>
    <w:p w14:paraId="6F664298" w14:textId="77777777" w:rsidR="00817F3D" w:rsidRPr="0066280B" w:rsidRDefault="00817F3D" w:rsidP="00817F3D">
      <w:pPr>
        <w:pStyle w:val="DHHSbody"/>
        <w:rPr>
          <w:rFonts w:cs="Arial"/>
        </w:rPr>
      </w:pPr>
      <w:r>
        <w:rPr>
          <w:rFonts w:cs="Arial"/>
        </w:rPr>
        <w:t>The Minister will table the review’s final report in both houses of Parliament.</w:t>
      </w:r>
      <w:bookmarkEnd w:id="2"/>
    </w:p>
    <w:sectPr w:rsidR="00817F3D" w:rsidRPr="0066280B" w:rsidSect="004013C7">
      <w:headerReference w:type="even" r:id="rId18"/>
      <w:headerReference w:type="default" r:id="rId19"/>
      <w:footerReference w:type="default" r:id="rId20"/>
      <w:headerReference w:type="first" r:id="rId21"/>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1318" w14:textId="77777777" w:rsidR="00DF24F9" w:rsidRDefault="00DF24F9">
      <w:r>
        <w:separator/>
      </w:r>
    </w:p>
  </w:endnote>
  <w:endnote w:type="continuationSeparator" w:id="0">
    <w:p w14:paraId="0B477164" w14:textId="77777777" w:rsidR="00DF24F9" w:rsidRDefault="00DF24F9">
      <w:r>
        <w:continuationSeparator/>
      </w:r>
    </w:p>
  </w:endnote>
  <w:endnote w:type="continuationNotice" w:id="1">
    <w:p w14:paraId="7A768876" w14:textId="77777777" w:rsidR="00DF24F9" w:rsidRDefault="00DF2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DF34" w14:textId="77777777" w:rsidR="00245E93" w:rsidRDefault="00245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A85E"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376CB48F" wp14:editId="6057AEE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7FB7" w14:textId="77777777" w:rsidR="00245E93" w:rsidRDefault="00245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0562" w14:textId="77777777" w:rsidR="00817F3D" w:rsidRPr="00A11421" w:rsidRDefault="00817F3D" w:rsidP="00817F3D">
    <w:pPr>
      <w:pStyle w:val="DHHSfooter"/>
    </w:pPr>
    <w:r>
      <w:rPr>
        <w:i/>
        <w:iCs/>
      </w:rPr>
      <w:t xml:space="preserve">Review of the </w:t>
    </w:r>
    <w:r w:rsidRPr="009B544C">
      <w:rPr>
        <w:i/>
        <w:iCs/>
      </w:rPr>
      <w:t>Health Complaints Act 2016</w:t>
    </w:r>
    <w:r>
      <w:rPr>
        <w:i/>
        <w:iCs/>
      </w:rPr>
      <w:t>:</w:t>
    </w:r>
    <w:r>
      <w:t xml:space="preserve"> Terms of Reference</w:t>
    </w:r>
    <w:r>
      <w:ptab w:relativeTo="margin" w:alignment="right" w:leader="none"/>
    </w:r>
    <w:r w:rsidRPr="00A11421">
      <w:fldChar w:fldCharType="begin"/>
    </w:r>
    <w:r w:rsidRPr="00A11421">
      <w:instrText xml:space="preserve"> PAGE </w:instrText>
    </w:r>
    <w:r w:rsidRPr="00A11421">
      <w:fldChar w:fldCharType="separate"/>
    </w:r>
    <w:r>
      <w:t>2</w:t>
    </w:r>
    <w:r w:rsidRPr="00A11421">
      <w:fldChar w:fldCharType="end"/>
    </w:r>
  </w:p>
  <w:p w14:paraId="5E95FB98" w14:textId="57A0F530" w:rsidR="009D70A4" w:rsidRPr="00817F3D" w:rsidRDefault="009D70A4" w:rsidP="0081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FD9C" w14:textId="77777777" w:rsidR="00DF24F9" w:rsidRDefault="00DF24F9" w:rsidP="002862F1">
      <w:pPr>
        <w:spacing w:before="120"/>
      </w:pPr>
      <w:r>
        <w:separator/>
      </w:r>
    </w:p>
  </w:footnote>
  <w:footnote w:type="continuationSeparator" w:id="0">
    <w:p w14:paraId="38E1C7C0" w14:textId="77777777" w:rsidR="00DF24F9" w:rsidRDefault="00DF24F9">
      <w:r>
        <w:continuationSeparator/>
      </w:r>
    </w:p>
  </w:footnote>
  <w:footnote w:type="continuationNotice" w:id="1">
    <w:p w14:paraId="761596AB" w14:textId="77777777" w:rsidR="00DF24F9" w:rsidRDefault="00DF24F9"/>
  </w:footnote>
  <w:footnote w:id="2">
    <w:p w14:paraId="7394F0D3" w14:textId="39178E4E" w:rsidR="00CA2E16" w:rsidRPr="00091730" w:rsidRDefault="00CA2E16" w:rsidP="00C17698">
      <w:pPr>
        <w:pStyle w:val="FootnoteText"/>
      </w:pPr>
      <w:r>
        <w:rPr>
          <w:rStyle w:val="FootnoteReference"/>
        </w:rPr>
        <w:footnoteRef/>
      </w:r>
      <w:r>
        <w:t xml:space="preserve"> </w:t>
      </w:r>
      <w:r w:rsidRPr="00091730">
        <w:t xml:space="preserve">Expert Review Panel (January 2013), </w:t>
      </w:r>
      <w:r w:rsidRPr="00091730">
        <w:rPr>
          <w:i/>
          <w:iCs/>
        </w:rPr>
        <w:t>Final report on the review of the Health Services (Conciliation and Review) Act 1987</w:t>
      </w:r>
      <w:r w:rsidRPr="00091730">
        <w:t>, pp. 8-9.</w:t>
      </w:r>
    </w:p>
    <w:p w14:paraId="33E7BEE5" w14:textId="77777777" w:rsidR="00CA2E16" w:rsidRDefault="00CA2E16" w:rsidP="00CA2E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FB0F" w14:textId="6671910E" w:rsidR="00245E93" w:rsidRDefault="00245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DFDF" w14:textId="2DD6BA14" w:rsidR="00245E93" w:rsidRDefault="00245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ED4" w14:textId="5EEDDE2F" w:rsidR="00245E93" w:rsidRDefault="00245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EA72" w14:textId="103B72CD" w:rsidR="00E478FC" w:rsidRDefault="00E478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B7EF" w14:textId="53AFD9FE" w:rsidR="009D70A4" w:rsidRPr="0051568D" w:rsidRDefault="009D70A4"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8923" w14:textId="21AD4BA3" w:rsidR="00E478FC" w:rsidRDefault="00E47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5120478"/>
    <w:multiLevelType w:val="multilevel"/>
    <w:tmpl w:val="1088B508"/>
    <w:lvl w:ilvl="0">
      <w:start w:val="1"/>
      <w:numFmt w:val="decimal"/>
      <w:lvlText w:val="%1."/>
      <w:lvlJc w:val="left"/>
      <w:pPr>
        <w:ind w:left="720" w:hanging="360"/>
      </w:pPr>
      <w:rPr>
        <w:b w:val="0"/>
        <w:i w:val="0"/>
        <w:color w:val="auto"/>
        <w:sz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C0F4403"/>
    <w:multiLevelType w:val="multilevel"/>
    <w:tmpl w:val="E3DA9CB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Text w:val=""/>
      <w:lvlJc w:val="left"/>
      <w:pPr>
        <w:ind w:left="567" w:hanging="283"/>
      </w:pPr>
      <w:rPr>
        <w:rFonts w:ascii="Symbol" w:hAnsi="Symbo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3D"/>
    <w:rsid w:val="000072B6"/>
    <w:rsid w:val="0001021B"/>
    <w:rsid w:val="00011D89"/>
    <w:rsid w:val="000147AE"/>
    <w:rsid w:val="000154FD"/>
    <w:rsid w:val="00024D89"/>
    <w:rsid w:val="000250B6"/>
    <w:rsid w:val="00030423"/>
    <w:rsid w:val="00033D81"/>
    <w:rsid w:val="000341F5"/>
    <w:rsid w:val="00041BF0"/>
    <w:rsid w:val="0004536B"/>
    <w:rsid w:val="00046B68"/>
    <w:rsid w:val="000527DD"/>
    <w:rsid w:val="000578B2"/>
    <w:rsid w:val="00060959"/>
    <w:rsid w:val="000663CD"/>
    <w:rsid w:val="000733FE"/>
    <w:rsid w:val="00074219"/>
    <w:rsid w:val="00074ED5"/>
    <w:rsid w:val="0008297A"/>
    <w:rsid w:val="0008508E"/>
    <w:rsid w:val="0009113B"/>
    <w:rsid w:val="00091AAD"/>
    <w:rsid w:val="00092F68"/>
    <w:rsid w:val="00093402"/>
    <w:rsid w:val="0009360F"/>
    <w:rsid w:val="00094DA3"/>
    <w:rsid w:val="00096CD1"/>
    <w:rsid w:val="000A012C"/>
    <w:rsid w:val="000A0EB9"/>
    <w:rsid w:val="000A1636"/>
    <w:rsid w:val="000A186C"/>
    <w:rsid w:val="000A1EA4"/>
    <w:rsid w:val="000B3EDB"/>
    <w:rsid w:val="000B543D"/>
    <w:rsid w:val="000B5BF7"/>
    <w:rsid w:val="000B6BC8"/>
    <w:rsid w:val="000C0303"/>
    <w:rsid w:val="000C42EA"/>
    <w:rsid w:val="000C4546"/>
    <w:rsid w:val="000D1242"/>
    <w:rsid w:val="000E0970"/>
    <w:rsid w:val="000E3CC7"/>
    <w:rsid w:val="000E3DC1"/>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566B5"/>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3BA3"/>
    <w:rsid w:val="001B49AC"/>
    <w:rsid w:val="001C13A9"/>
    <w:rsid w:val="001C277E"/>
    <w:rsid w:val="001C2A72"/>
    <w:rsid w:val="001D0B75"/>
    <w:rsid w:val="001D3C09"/>
    <w:rsid w:val="001D44E8"/>
    <w:rsid w:val="001D60EC"/>
    <w:rsid w:val="001E44DF"/>
    <w:rsid w:val="001E4A86"/>
    <w:rsid w:val="001E68A5"/>
    <w:rsid w:val="001E6BB0"/>
    <w:rsid w:val="001F2C38"/>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5E93"/>
    <w:rsid w:val="00246207"/>
    <w:rsid w:val="00246C5E"/>
    <w:rsid w:val="00250BF0"/>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7A9D"/>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029C"/>
    <w:rsid w:val="002F5F31"/>
    <w:rsid w:val="002F5F46"/>
    <w:rsid w:val="00302216"/>
    <w:rsid w:val="0030295B"/>
    <w:rsid w:val="00303E53"/>
    <w:rsid w:val="0030454D"/>
    <w:rsid w:val="00306E5F"/>
    <w:rsid w:val="00307E14"/>
    <w:rsid w:val="00314054"/>
    <w:rsid w:val="00316F27"/>
    <w:rsid w:val="00322E4B"/>
    <w:rsid w:val="00327870"/>
    <w:rsid w:val="0033259D"/>
    <w:rsid w:val="003333D2"/>
    <w:rsid w:val="003406C6"/>
    <w:rsid w:val="003418CC"/>
    <w:rsid w:val="003459BD"/>
    <w:rsid w:val="00345DC4"/>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545B"/>
    <w:rsid w:val="003D6475"/>
    <w:rsid w:val="003E375C"/>
    <w:rsid w:val="003E4086"/>
    <w:rsid w:val="003F0445"/>
    <w:rsid w:val="003F0CF0"/>
    <w:rsid w:val="003F14B1"/>
    <w:rsid w:val="003F3289"/>
    <w:rsid w:val="004013C7"/>
    <w:rsid w:val="00401FCF"/>
    <w:rsid w:val="00406285"/>
    <w:rsid w:val="004148F9"/>
    <w:rsid w:val="0041693A"/>
    <w:rsid w:val="0042084E"/>
    <w:rsid w:val="00421EEF"/>
    <w:rsid w:val="004227FA"/>
    <w:rsid w:val="00424D65"/>
    <w:rsid w:val="00442C6C"/>
    <w:rsid w:val="00443CBE"/>
    <w:rsid w:val="00443E8A"/>
    <w:rsid w:val="004441BC"/>
    <w:rsid w:val="004468B4"/>
    <w:rsid w:val="0045230A"/>
    <w:rsid w:val="00457337"/>
    <w:rsid w:val="00470C73"/>
    <w:rsid w:val="0047372D"/>
    <w:rsid w:val="00473BA3"/>
    <w:rsid w:val="004743DD"/>
    <w:rsid w:val="00474CEA"/>
    <w:rsid w:val="00483968"/>
    <w:rsid w:val="00484F86"/>
    <w:rsid w:val="004858F4"/>
    <w:rsid w:val="00490746"/>
    <w:rsid w:val="00490852"/>
    <w:rsid w:val="00492F30"/>
    <w:rsid w:val="0049411B"/>
    <w:rsid w:val="004946F4"/>
    <w:rsid w:val="0049487E"/>
    <w:rsid w:val="004A160D"/>
    <w:rsid w:val="004A3E81"/>
    <w:rsid w:val="004A5C62"/>
    <w:rsid w:val="004A707D"/>
    <w:rsid w:val="004B4E28"/>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79D"/>
    <w:rsid w:val="00510C37"/>
    <w:rsid w:val="005126D0"/>
    <w:rsid w:val="0051568D"/>
    <w:rsid w:val="00526C15"/>
    <w:rsid w:val="00536499"/>
    <w:rsid w:val="00537686"/>
    <w:rsid w:val="00543903"/>
    <w:rsid w:val="00543F11"/>
    <w:rsid w:val="00546305"/>
    <w:rsid w:val="00547A95"/>
    <w:rsid w:val="00564F5A"/>
    <w:rsid w:val="00572031"/>
    <w:rsid w:val="00572282"/>
    <w:rsid w:val="00576E84"/>
    <w:rsid w:val="0058132F"/>
    <w:rsid w:val="00582B8C"/>
    <w:rsid w:val="005863CF"/>
    <w:rsid w:val="0058757E"/>
    <w:rsid w:val="00596A4B"/>
    <w:rsid w:val="00597507"/>
    <w:rsid w:val="005A4558"/>
    <w:rsid w:val="005B1C6D"/>
    <w:rsid w:val="005B21B6"/>
    <w:rsid w:val="005B3A08"/>
    <w:rsid w:val="005B7A63"/>
    <w:rsid w:val="005C0955"/>
    <w:rsid w:val="005C49DA"/>
    <w:rsid w:val="005C50F3"/>
    <w:rsid w:val="005C54B5"/>
    <w:rsid w:val="005C5D80"/>
    <w:rsid w:val="005C5D91"/>
    <w:rsid w:val="005D07B8"/>
    <w:rsid w:val="005D0C3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48F2"/>
    <w:rsid w:val="006557A7"/>
    <w:rsid w:val="00656290"/>
    <w:rsid w:val="006621D7"/>
    <w:rsid w:val="0066302A"/>
    <w:rsid w:val="00667770"/>
    <w:rsid w:val="00670597"/>
    <w:rsid w:val="006706D0"/>
    <w:rsid w:val="00677574"/>
    <w:rsid w:val="0068454C"/>
    <w:rsid w:val="00691B62"/>
    <w:rsid w:val="006933B5"/>
    <w:rsid w:val="00693D14"/>
    <w:rsid w:val="006A18C2"/>
    <w:rsid w:val="006A406D"/>
    <w:rsid w:val="006B077C"/>
    <w:rsid w:val="006B6803"/>
    <w:rsid w:val="006D0F16"/>
    <w:rsid w:val="006D2A3F"/>
    <w:rsid w:val="006D2FBC"/>
    <w:rsid w:val="006E138B"/>
    <w:rsid w:val="006E152E"/>
    <w:rsid w:val="006F1FDC"/>
    <w:rsid w:val="006F6B8C"/>
    <w:rsid w:val="007013EF"/>
    <w:rsid w:val="007077FF"/>
    <w:rsid w:val="007173CA"/>
    <w:rsid w:val="007216AA"/>
    <w:rsid w:val="00721AB5"/>
    <w:rsid w:val="00721CFB"/>
    <w:rsid w:val="00721DEF"/>
    <w:rsid w:val="00724A43"/>
    <w:rsid w:val="0073097F"/>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1D6"/>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4D6"/>
    <w:rsid w:val="007F665E"/>
    <w:rsid w:val="00800412"/>
    <w:rsid w:val="0080587B"/>
    <w:rsid w:val="00806468"/>
    <w:rsid w:val="008155F0"/>
    <w:rsid w:val="00816735"/>
    <w:rsid w:val="00817F3D"/>
    <w:rsid w:val="00820141"/>
    <w:rsid w:val="00820E0C"/>
    <w:rsid w:val="0082366F"/>
    <w:rsid w:val="008300FB"/>
    <w:rsid w:val="008338A2"/>
    <w:rsid w:val="008347E4"/>
    <w:rsid w:val="00841AA9"/>
    <w:rsid w:val="00847495"/>
    <w:rsid w:val="00853EE4"/>
    <w:rsid w:val="00855535"/>
    <w:rsid w:val="00857C5A"/>
    <w:rsid w:val="0086255E"/>
    <w:rsid w:val="008633F0"/>
    <w:rsid w:val="0086581E"/>
    <w:rsid w:val="00867D9D"/>
    <w:rsid w:val="00872E0A"/>
    <w:rsid w:val="00875285"/>
    <w:rsid w:val="00884B62"/>
    <w:rsid w:val="0088529C"/>
    <w:rsid w:val="00887903"/>
    <w:rsid w:val="0089270A"/>
    <w:rsid w:val="008935D2"/>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3DF"/>
    <w:rsid w:val="00937BD9"/>
    <w:rsid w:val="00950E2C"/>
    <w:rsid w:val="00951D50"/>
    <w:rsid w:val="009525EB"/>
    <w:rsid w:val="00954874"/>
    <w:rsid w:val="00961400"/>
    <w:rsid w:val="00963646"/>
    <w:rsid w:val="0096632D"/>
    <w:rsid w:val="0097559F"/>
    <w:rsid w:val="0098493A"/>
    <w:rsid w:val="009853E1"/>
    <w:rsid w:val="00986E6B"/>
    <w:rsid w:val="00991769"/>
    <w:rsid w:val="00994386"/>
    <w:rsid w:val="009A03E2"/>
    <w:rsid w:val="009A13D8"/>
    <w:rsid w:val="009A279E"/>
    <w:rsid w:val="009B0A6F"/>
    <w:rsid w:val="009B0A94"/>
    <w:rsid w:val="009B59E9"/>
    <w:rsid w:val="009B70AA"/>
    <w:rsid w:val="009C5E77"/>
    <w:rsid w:val="009C7A7E"/>
    <w:rsid w:val="009D02E8"/>
    <w:rsid w:val="009D51D0"/>
    <w:rsid w:val="009D70A4"/>
    <w:rsid w:val="009E08D1"/>
    <w:rsid w:val="009E0E63"/>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22F73"/>
    <w:rsid w:val="00A330BB"/>
    <w:rsid w:val="00A3455B"/>
    <w:rsid w:val="00A44882"/>
    <w:rsid w:val="00A54715"/>
    <w:rsid w:val="00A6061C"/>
    <w:rsid w:val="00A62D44"/>
    <w:rsid w:val="00A67263"/>
    <w:rsid w:val="00A7161C"/>
    <w:rsid w:val="00A77AA3"/>
    <w:rsid w:val="00A814A3"/>
    <w:rsid w:val="00A854EB"/>
    <w:rsid w:val="00A872E5"/>
    <w:rsid w:val="00A90A76"/>
    <w:rsid w:val="00A91406"/>
    <w:rsid w:val="00A96E65"/>
    <w:rsid w:val="00A97C72"/>
    <w:rsid w:val="00AA4E3F"/>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0DC5"/>
    <w:rsid w:val="00AF26F3"/>
    <w:rsid w:val="00AF5F04"/>
    <w:rsid w:val="00B00672"/>
    <w:rsid w:val="00B01B4D"/>
    <w:rsid w:val="00B06571"/>
    <w:rsid w:val="00B068BA"/>
    <w:rsid w:val="00B13851"/>
    <w:rsid w:val="00B13B1C"/>
    <w:rsid w:val="00B22291"/>
    <w:rsid w:val="00B23F9A"/>
    <w:rsid w:val="00B2417B"/>
    <w:rsid w:val="00B24E6F"/>
    <w:rsid w:val="00B2590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97568"/>
    <w:rsid w:val="00BA29AD"/>
    <w:rsid w:val="00BA3F8D"/>
    <w:rsid w:val="00BB7A10"/>
    <w:rsid w:val="00BC7468"/>
    <w:rsid w:val="00BC7D4F"/>
    <w:rsid w:val="00BC7ED7"/>
    <w:rsid w:val="00BD2850"/>
    <w:rsid w:val="00BE28D2"/>
    <w:rsid w:val="00BE4A64"/>
    <w:rsid w:val="00BF557D"/>
    <w:rsid w:val="00BF7F58"/>
    <w:rsid w:val="00C01381"/>
    <w:rsid w:val="00C01AB1"/>
    <w:rsid w:val="00C03946"/>
    <w:rsid w:val="00C079B8"/>
    <w:rsid w:val="00C10037"/>
    <w:rsid w:val="00C123EA"/>
    <w:rsid w:val="00C12A49"/>
    <w:rsid w:val="00C133EE"/>
    <w:rsid w:val="00C149D0"/>
    <w:rsid w:val="00C16786"/>
    <w:rsid w:val="00C17698"/>
    <w:rsid w:val="00C26588"/>
    <w:rsid w:val="00C27DE9"/>
    <w:rsid w:val="00C33388"/>
    <w:rsid w:val="00C35484"/>
    <w:rsid w:val="00C37E7B"/>
    <w:rsid w:val="00C4173A"/>
    <w:rsid w:val="00C602FF"/>
    <w:rsid w:val="00C61174"/>
    <w:rsid w:val="00C6148F"/>
    <w:rsid w:val="00C621B1"/>
    <w:rsid w:val="00C62F7A"/>
    <w:rsid w:val="00C63B9C"/>
    <w:rsid w:val="00C6682F"/>
    <w:rsid w:val="00C7275E"/>
    <w:rsid w:val="00C7405B"/>
    <w:rsid w:val="00C74C5D"/>
    <w:rsid w:val="00C863C4"/>
    <w:rsid w:val="00C920EA"/>
    <w:rsid w:val="00C93C3E"/>
    <w:rsid w:val="00C94CC3"/>
    <w:rsid w:val="00CA12E3"/>
    <w:rsid w:val="00CA2E16"/>
    <w:rsid w:val="00CA6611"/>
    <w:rsid w:val="00CA6AE6"/>
    <w:rsid w:val="00CA782F"/>
    <w:rsid w:val="00CB31D8"/>
    <w:rsid w:val="00CB3285"/>
    <w:rsid w:val="00CC0C72"/>
    <w:rsid w:val="00CC2BFD"/>
    <w:rsid w:val="00CD0EF9"/>
    <w:rsid w:val="00CD3476"/>
    <w:rsid w:val="00CD4BBB"/>
    <w:rsid w:val="00CD64DF"/>
    <w:rsid w:val="00CE4947"/>
    <w:rsid w:val="00CF2F50"/>
    <w:rsid w:val="00CF6198"/>
    <w:rsid w:val="00D02919"/>
    <w:rsid w:val="00D03C50"/>
    <w:rsid w:val="00D04C61"/>
    <w:rsid w:val="00D05B8D"/>
    <w:rsid w:val="00D065A2"/>
    <w:rsid w:val="00D07F00"/>
    <w:rsid w:val="00D17B72"/>
    <w:rsid w:val="00D3185C"/>
    <w:rsid w:val="00D3318E"/>
    <w:rsid w:val="00D33E72"/>
    <w:rsid w:val="00D35BD6"/>
    <w:rsid w:val="00D361B5"/>
    <w:rsid w:val="00D411A2"/>
    <w:rsid w:val="00D44666"/>
    <w:rsid w:val="00D4606D"/>
    <w:rsid w:val="00D50B9C"/>
    <w:rsid w:val="00D52D73"/>
    <w:rsid w:val="00D52E58"/>
    <w:rsid w:val="00D56B20"/>
    <w:rsid w:val="00D714CC"/>
    <w:rsid w:val="00D75EA7"/>
    <w:rsid w:val="00D81F21"/>
    <w:rsid w:val="00D95470"/>
    <w:rsid w:val="00DA1453"/>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D69DC"/>
    <w:rsid w:val="00DE3250"/>
    <w:rsid w:val="00DE4F1A"/>
    <w:rsid w:val="00DE6028"/>
    <w:rsid w:val="00DE78A3"/>
    <w:rsid w:val="00DF1A71"/>
    <w:rsid w:val="00DF24F9"/>
    <w:rsid w:val="00DF68C7"/>
    <w:rsid w:val="00DF731A"/>
    <w:rsid w:val="00E11332"/>
    <w:rsid w:val="00E11352"/>
    <w:rsid w:val="00E170DC"/>
    <w:rsid w:val="00E26818"/>
    <w:rsid w:val="00E27FFC"/>
    <w:rsid w:val="00E30B15"/>
    <w:rsid w:val="00E40181"/>
    <w:rsid w:val="00E46838"/>
    <w:rsid w:val="00E478FC"/>
    <w:rsid w:val="00E56A01"/>
    <w:rsid w:val="00E629A1"/>
    <w:rsid w:val="00E6794C"/>
    <w:rsid w:val="00E71591"/>
    <w:rsid w:val="00E80DE3"/>
    <w:rsid w:val="00E82C55"/>
    <w:rsid w:val="00E92AC3"/>
    <w:rsid w:val="00E9719A"/>
    <w:rsid w:val="00EB00E0"/>
    <w:rsid w:val="00EB470F"/>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055A"/>
    <w:rsid w:val="00F250A9"/>
    <w:rsid w:val="00F30FF4"/>
    <w:rsid w:val="00F3122E"/>
    <w:rsid w:val="00F331AD"/>
    <w:rsid w:val="00F35287"/>
    <w:rsid w:val="00F43A37"/>
    <w:rsid w:val="00F4475D"/>
    <w:rsid w:val="00F4641B"/>
    <w:rsid w:val="00F46EB8"/>
    <w:rsid w:val="00F50CD1"/>
    <w:rsid w:val="00F511E4"/>
    <w:rsid w:val="00F52D09"/>
    <w:rsid w:val="00F52E08"/>
    <w:rsid w:val="00F55B21"/>
    <w:rsid w:val="00F56EF6"/>
    <w:rsid w:val="00F6078F"/>
    <w:rsid w:val="00F61A9F"/>
    <w:rsid w:val="00F64696"/>
    <w:rsid w:val="00F65AA9"/>
    <w:rsid w:val="00F66A28"/>
    <w:rsid w:val="00F6768F"/>
    <w:rsid w:val="00F72C2C"/>
    <w:rsid w:val="00F76CAB"/>
    <w:rsid w:val="00F772C6"/>
    <w:rsid w:val="00F81298"/>
    <w:rsid w:val="00F815B5"/>
    <w:rsid w:val="00F85195"/>
    <w:rsid w:val="00F938BA"/>
    <w:rsid w:val="00FA2C46"/>
    <w:rsid w:val="00FA3525"/>
    <w:rsid w:val="00FA5A53"/>
    <w:rsid w:val="00FB4769"/>
    <w:rsid w:val="00FB4CDA"/>
    <w:rsid w:val="00FC0F81"/>
    <w:rsid w:val="00FC395C"/>
    <w:rsid w:val="00FD3766"/>
    <w:rsid w:val="00FD47C4"/>
    <w:rsid w:val="00FE229B"/>
    <w:rsid w:val="00FE2DCF"/>
    <w:rsid w:val="00FE3A70"/>
    <w:rsid w:val="00FE3FA7"/>
    <w:rsid w:val="00FF2A4E"/>
    <w:rsid w:val="00FF2FCE"/>
    <w:rsid w:val="00FF4F7D"/>
    <w:rsid w:val="00FF6D9D"/>
    <w:rsid w:val="1415C015"/>
    <w:rsid w:val="1CF401ED"/>
    <w:rsid w:val="3A492304"/>
    <w:rsid w:val="519BF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A92A1B"/>
  <w15:docId w15:val="{F37E17D1-9ED7-4F8E-8238-E2A615FF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7905D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DHHSbullet1lastline">
    <w:name w:val="DHHS bullet 1 last line"/>
    <w:basedOn w:val="DHHSbullet1"/>
    <w:qFormat/>
    <w:rsid w:val="00817F3D"/>
    <w:pPr>
      <w:numPr>
        <w:numId w:val="0"/>
      </w:numPr>
      <w:spacing w:after="120"/>
      <w:ind w:left="284" w:hanging="284"/>
    </w:pPr>
  </w:style>
  <w:style w:type="paragraph" w:styleId="BalloonText">
    <w:name w:val="Balloon Text"/>
    <w:basedOn w:val="Normal"/>
    <w:link w:val="BalloonTextChar"/>
    <w:unhideWhenUsed/>
    <w:rsid w:val="00817F3D"/>
    <w:rPr>
      <w:rFonts w:ascii="Segoe UI" w:hAnsi="Segoe UI" w:cs="Segoe UI"/>
      <w:sz w:val="18"/>
      <w:szCs w:val="18"/>
    </w:rPr>
  </w:style>
  <w:style w:type="character" w:customStyle="1" w:styleId="BalloonTextChar">
    <w:name w:val="Balloon Text Char"/>
    <w:basedOn w:val="DefaultParagraphFont"/>
    <w:link w:val="BalloonText"/>
    <w:rsid w:val="00817F3D"/>
    <w:rPr>
      <w:rFonts w:ascii="Segoe UI" w:hAnsi="Segoe UI" w:cs="Segoe UI"/>
      <w:sz w:val="18"/>
      <w:szCs w:val="18"/>
      <w:lang w:eastAsia="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lang w:eastAsia="en-US"/>
    </w:rPr>
  </w:style>
  <w:style w:type="character" w:styleId="CommentReference">
    <w:name w:val="annotation reference"/>
    <w:basedOn w:val="DefaultParagraphFont"/>
    <w:uiPriority w:val="99"/>
    <w:semiHidden/>
    <w:unhideWhenUsed/>
    <w:rPr>
      <w:sz w:val="16"/>
      <w:szCs w:val="16"/>
    </w:rPr>
  </w:style>
  <w:style w:type="character" w:customStyle="1" w:styleId="DHHSbodyChar">
    <w:name w:val="DHHS body Char"/>
    <w:link w:val="DHHSbody"/>
    <w:locked/>
    <w:rsid w:val="00DE4F1A"/>
    <w:rPr>
      <w:rFonts w:ascii="Arial" w:eastAsia="Times" w:hAnsi="Arial"/>
      <w:lang w:eastAsia="en-US"/>
    </w:rPr>
  </w:style>
  <w:style w:type="character" w:customStyle="1" w:styleId="normaltextrun">
    <w:name w:val="normaltextrun"/>
    <w:basedOn w:val="DefaultParagraphFont"/>
    <w:rsid w:val="00537686"/>
  </w:style>
  <w:style w:type="character" w:customStyle="1" w:styleId="eop">
    <w:name w:val="eop"/>
    <w:basedOn w:val="DefaultParagraphFont"/>
    <w:rsid w:val="00537686"/>
  </w:style>
  <w:style w:type="paragraph" w:styleId="CommentSubject">
    <w:name w:val="annotation subject"/>
    <w:basedOn w:val="CommentText"/>
    <w:next w:val="CommentText"/>
    <w:link w:val="CommentSubjectChar"/>
    <w:uiPriority w:val="99"/>
    <w:semiHidden/>
    <w:unhideWhenUsed/>
    <w:rsid w:val="006A406D"/>
    <w:rPr>
      <w:b/>
      <w:bCs/>
    </w:rPr>
  </w:style>
  <w:style w:type="character" w:customStyle="1" w:styleId="CommentSubjectChar">
    <w:name w:val="Comment Subject Char"/>
    <w:basedOn w:val="CommentTextChar"/>
    <w:link w:val="CommentSubject"/>
    <w:uiPriority w:val="99"/>
    <w:semiHidden/>
    <w:rsid w:val="006A406D"/>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6984060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1" ma:contentTypeDescription="Create a new document." ma:contentTypeScope="" ma:versionID="ac75a1fd0fb15da23cc653072869f00c">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f3043ae8fb5e8cdcf3b7d401e0fbac32"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481C-F1ED-4EA8-8C9B-890CB7BF51C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31b2e4f9-c376-4e2f-bd2e-796d1bcd5746"/>
    <ds:schemaRef ds:uri="http://purl.org/dc/dcmitype/"/>
    <ds:schemaRef ds:uri="http://schemas.openxmlformats.org/package/2006/metadata/core-properties"/>
    <ds:schemaRef ds:uri="7ee2ad8a-2b33-419f-875c-ac0e4cfc6b7f"/>
    <ds:schemaRef ds:uri="http://www.w3.org/XML/1998/namespace"/>
  </ds:schemaRefs>
</ds:datastoreItem>
</file>

<file path=customXml/itemProps2.xml><?xml version="1.0" encoding="utf-8"?>
<ds:datastoreItem xmlns:ds="http://schemas.openxmlformats.org/officeDocument/2006/customXml" ds:itemID="{F131D00B-3F0F-414B-852B-E22D7E81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E69B8-AE04-421A-A167-70C86E62043F}">
  <ds:schemaRefs>
    <ds:schemaRef ds:uri="http://schemas.microsoft.com/sharepoint/v3/contenttype/forms"/>
  </ds:schemaRefs>
</ds:datastoreItem>
</file>

<file path=customXml/itemProps4.xml><?xml version="1.0" encoding="utf-8"?>
<ds:datastoreItem xmlns:ds="http://schemas.openxmlformats.org/officeDocument/2006/customXml" ds:itemID="{227E1955-8D81-4DA8-87C6-799B2493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2945.dotx</Template>
  <TotalTime>1</TotalTime>
  <Pages>2</Pages>
  <Words>587</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Shaw (DHHS)</dc:creator>
  <cp:keywords/>
  <cp:lastModifiedBy>Virginia Thompson (DHHS)</cp:lastModifiedBy>
  <cp:revision>2</cp:revision>
  <cp:lastPrinted>2017-07-07T17:32:00Z</cp:lastPrinted>
  <dcterms:created xsi:type="dcterms:W3CDTF">2020-06-02T07:05:00Z</dcterms:created>
  <dcterms:modified xsi:type="dcterms:W3CDTF">2020-06-02T07:05:00Z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ies>
</file>