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38" w:type="dxa"/>
        <w:tblInd w:w="-2835" w:type="dxa"/>
        <w:tblLayout w:type="fixed"/>
        <w:tblCellMar>
          <w:left w:w="0" w:type="dxa"/>
          <w:right w:w="0" w:type="dxa"/>
        </w:tblCellMar>
        <w:tblLook w:val="00A0" w:firstRow="1" w:lastRow="0" w:firstColumn="1" w:lastColumn="0" w:noHBand="0" w:noVBand="0"/>
      </w:tblPr>
      <w:tblGrid>
        <w:gridCol w:w="14238"/>
      </w:tblGrid>
      <w:tr w:rsidR="00BB15E1" w:rsidRPr="001C1231" w:rsidTr="007C27B7">
        <w:trPr>
          <w:trHeight w:val="2670"/>
        </w:trPr>
        <w:tc>
          <w:tcPr>
            <w:tcW w:w="14238" w:type="dxa"/>
            <w:shd w:val="clear" w:color="auto" w:fill="auto"/>
          </w:tcPr>
          <w:p w:rsidR="00BB15E1" w:rsidRPr="001C1231" w:rsidRDefault="00BB15E1" w:rsidP="007C27B7">
            <w:pPr>
              <w:tabs>
                <w:tab w:val="left" w:pos="13876"/>
              </w:tabs>
              <w:ind w:right="362"/>
              <w:jc w:val="right"/>
            </w:pPr>
            <w:r>
              <w:rPr>
                <w:noProof/>
                <w:lang w:eastAsia="en-AU"/>
              </w:rPr>
              <mc:AlternateContent>
                <mc:Choice Requires="wps">
                  <w:drawing>
                    <wp:anchor distT="0" distB="0" distL="114300" distR="114300" simplePos="0" relativeHeight="251659264" behindDoc="0" locked="0" layoutInCell="1" allowOverlap="0">
                      <wp:simplePos x="0" y="0"/>
                      <wp:positionH relativeFrom="margin">
                        <wp:posOffset>2030095</wp:posOffset>
                      </wp:positionH>
                      <wp:positionV relativeFrom="page">
                        <wp:posOffset>1610995</wp:posOffset>
                      </wp:positionV>
                      <wp:extent cx="6399530" cy="459740"/>
                      <wp:effectExtent l="127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B15E1" w:rsidRPr="003936DB" w:rsidRDefault="00BB15E1" w:rsidP="00BB15E1">
                                  <w:pPr>
                                    <w:pStyle w:val="DHSubheading"/>
                                  </w:pPr>
                                  <w:r>
                                    <w:t xml:space="preserve"> </w:t>
                                  </w:r>
                                  <w:r w:rsidR="00797C97">
                                    <w:t xml:space="preserve">Information for pharmacists                   </w:t>
                                  </w:r>
                                  <w:r>
                                    <w:t xml:space="preserve">                                         </w:t>
                                  </w:r>
                                  <w:r w:rsidRPr="00731AAF">
                                    <w:rPr>
                                      <w:sz w:val="22"/>
                                      <w:szCs w:val="22"/>
                                    </w:rPr>
                                    <w:t>201</w:t>
                                  </w:r>
                                  <w:r w:rsidR="00407EAB">
                                    <w:rPr>
                                      <w:sz w:val="22"/>
                                      <w:szCs w:val="22"/>
                                    </w:rPr>
                                    <w:t>4</w:t>
                                  </w:r>
                                  <w:r>
                                    <w:rPr>
                                      <w:sz w:val="22"/>
                                      <w:szCs w:val="22"/>
                                    </w:rPr>
                                    <w:t>.1</w:t>
                                  </w:r>
                                </w:p>
                                <w:p w:rsidR="00BB15E1" w:rsidRPr="00956179" w:rsidRDefault="00BB15E1" w:rsidP="00BB15E1">
                                  <w:pPr>
                                    <w:rPr>
                                      <w:szCs w:val="28"/>
                                    </w:rPr>
                                  </w:pPr>
                                </w:p>
                                <w:p w:rsidR="00BB15E1" w:rsidRPr="00563188" w:rsidRDefault="00BB15E1" w:rsidP="00BB15E1">
                                  <w:pPr>
                                    <w:rPr>
                                      <w:szCs w:val="28"/>
                                    </w:rPr>
                                  </w:pPr>
                                </w:p>
                                <w:p w:rsidR="00BB15E1" w:rsidRPr="00ED1D1A" w:rsidRDefault="00BB15E1" w:rsidP="00BB15E1">
                                  <w:pPr>
                                    <w:rPr>
                                      <w:szCs w:val="28"/>
                                    </w:rPr>
                                  </w:pPr>
                                </w:p>
                              </w:txbxContent>
                            </wps:txbx>
                            <wps:bodyPr rot="0" vert="horz" wrap="square" lIns="0" tIns="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9.85pt;margin-top:126.85pt;width:503.9pt;height:3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" o:allowoverlap="f" filled="f" stroked="f" strokecolor="white">
                      <v:textbox inset="0,0,0,2mm">
                        <w:txbxContent>
                          <w:p w:rsidR="00BB15E1" w:rsidRPr="003936DB" w:rsidRDefault="00BB15E1" w:rsidP="00BB15E1">
                            <w:pPr>
                              <w:pStyle w:val="DHSubheading"/>
                            </w:pPr>
                            <w:r>
                              <w:t xml:space="preserve"> </w:t>
                            </w:r>
                            <w:r w:rsidR="00797C97">
                              <w:t xml:space="preserve">Information for pharmacists                   </w:t>
                            </w:r>
                            <w:r>
                              <w:t xml:space="preserve">                                         </w:t>
                            </w:r>
                            <w:r w:rsidRPr="00731AAF">
                              <w:rPr>
                                <w:sz w:val="22"/>
                                <w:szCs w:val="22"/>
                              </w:rPr>
                              <w:t>201</w:t>
                            </w:r>
                            <w:r w:rsidR="00407EAB">
                              <w:rPr>
                                <w:sz w:val="22"/>
                                <w:szCs w:val="22"/>
                              </w:rPr>
                              <w:t>4</w:t>
                            </w:r>
                            <w:r>
                              <w:rPr>
                                <w:sz w:val="22"/>
                                <w:szCs w:val="22"/>
                              </w:rPr>
                              <w:t>.1</w:t>
                            </w:r>
                          </w:p>
                          <w:p w:rsidR="00BB15E1" w:rsidRPr="00956179" w:rsidRDefault="00BB15E1" w:rsidP="00BB15E1">
                            <w:pPr>
                              <w:rPr>
                                <w:szCs w:val="28"/>
                              </w:rPr>
                            </w:pPr>
                          </w:p>
                          <w:p w:rsidR="00BB15E1" w:rsidRPr="00563188" w:rsidRDefault="00BB15E1" w:rsidP="00BB15E1">
                            <w:pPr>
                              <w:rPr>
                                <w:szCs w:val="28"/>
                              </w:rPr>
                            </w:pPr>
                          </w:p>
                          <w:p w:rsidR="00BB15E1" w:rsidRPr="00ED1D1A" w:rsidRDefault="00BB15E1" w:rsidP="00BB15E1">
                            <w:pPr>
                              <w:rPr>
                                <w:szCs w:val="28"/>
                              </w:rPr>
                            </w:pPr>
                          </w:p>
                        </w:txbxContent>
                      </v:textbox>
                      <w10:wrap anchorx="margin" anchory="page"/>
                    </v:shape>
                  </w:pict>
                </mc:Fallback>
              </mc:AlternateContent>
            </w:r>
            <w:r>
              <w:rPr>
                <w:noProof/>
                <w:lang w:eastAsia="en-AU"/>
              </w:rPr>
              <w:drawing>
                <wp:inline distT="0" distB="0" distL="0" distR="0">
                  <wp:extent cx="7562850" cy="2047875"/>
                  <wp:effectExtent l="0" t="0" r="0" b="9525"/>
                  <wp:docPr id="1" name="Picture 1" descr="Red%20Word_Newsletter%20Factsheet%20cover%20header%2017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20Word_Newsletter%20Factsheet%20cover%20header%20170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2047875"/>
                          </a:xfrm>
                          <a:prstGeom prst="rect">
                            <a:avLst/>
                          </a:prstGeom>
                          <a:noFill/>
                          <a:ln>
                            <a:noFill/>
                          </a:ln>
                        </pic:spPr>
                      </pic:pic>
                    </a:graphicData>
                  </a:graphic>
                </wp:inline>
              </w:drawing>
            </w:r>
          </w:p>
        </w:tc>
      </w:tr>
      <w:tr w:rsidR="00BB15E1" w:rsidRPr="001C1231" w:rsidTr="007C27B7">
        <w:trPr>
          <w:trHeight w:val="693"/>
        </w:trPr>
        <w:tc>
          <w:tcPr>
            <w:tcW w:w="14238" w:type="dxa"/>
            <w:shd w:val="clear" w:color="auto" w:fill="auto"/>
          </w:tcPr>
          <w:p w:rsidR="00BB15E1" w:rsidRDefault="00BB15E1" w:rsidP="007C27B7">
            <w:r w:rsidRPr="001C1231">
              <w:t xml:space="preserve"> </w:t>
            </w:r>
          </w:p>
          <w:p w:rsidR="00BB15E1" w:rsidRPr="00D92801" w:rsidRDefault="00BB15E1" w:rsidP="007C27B7">
            <w:pPr>
              <w:tabs>
                <w:tab w:val="left" w:pos="3120"/>
              </w:tabs>
            </w:pPr>
            <w:r>
              <w:tab/>
            </w:r>
          </w:p>
        </w:tc>
      </w:tr>
    </w:tbl>
    <w:p w:rsidR="00BB15E1" w:rsidRPr="001C1231" w:rsidRDefault="00BB15E1" w:rsidP="00BB15E1">
      <w:pPr>
        <w:sectPr w:rsidR="00BB15E1" w:rsidRPr="001C1231" w:rsidSect="00FC154F">
          <w:footerReference w:type="default" r:id="rId9"/>
          <w:footerReference w:type="first" r:id="rId10"/>
          <w:pgSz w:w="11906" w:h="16838" w:code="9"/>
          <w:pgMar w:top="0" w:right="851" w:bottom="1418" w:left="851" w:header="0" w:footer="478" w:gutter="0"/>
          <w:cols w:space="708"/>
          <w:titlePg/>
          <w:docGrid w:linePitch="360"/>
        </w:sectPr>
      </w:pPr>
    </w:p>
    <w:p w:rsidR="006569A6" w:rsidRDefault="0076037E" w:rsidP="00407EAB">
      <w:pPr>
        <w:pStyle w:val="DHbody"/>
        <w:rPr>
          <w:rStyle w:val="DHbodyChar"/>
          <w:sz w:val="18"/>
          <w:szCs w:val="18"/>
        </w:rPr>
      </w:pPr>
      <w:r>
        <w:rPr>
          <w:rFonts w:cs="Arial"/>
          <w:sz w:val="18"/>
          <w:szCs w:val="18"/>
        </w:rPr>
        <w:lastRenderedPageBreak/>
        <w:t xml:space="preserve">This </w:t>
      </w:r>
      <w:r w:rsidR="0034348F">
        <w:rPr>
          <w:rFonts w:cs="Arial"/>
          <w:sz w:val="18"/>
          <w:szCs w:val="18"/>
        </w:rPr>
        <w:t>document</w:t>
      </w:r>
      <w:r>
        <w:rPr>
          <w:rFonts w:cs="Arial"/>
          <w:sz w:val="18"/>
          <w:szCs w:val="18"/>
        </w:rPr>
        <w:t xml:space="preserve"> has been prepared by Drugs and Poisons Regulation (DPR) to </w:t>
      </w:r>
      <w:r>
        <w:rPr>
          <w:iCs/>
          <w:sz w:val="18"/>
          <w:szCs w:val="18"/>
        </w:rPr>
        <w:t xml:space="preserve">highlight concerns and issues associated with </w:t>
      </w:r>
      <w:r w:rsidR="0034348F">
        <w:rPr>
          <w:iCs/>
          <w:sz w:val="18"/>
          <w:szCs w:val="18"/>
        </w:rPr>
        <w:t>health</w:t>
      </w:r>
      <w:r>
        <w:rPr>
          <w:iCs/>
          <w:sz w:val="18"/>
          <w:szCs w:val="18"/>
        </w:rPr>
        <w:t xml:space="preserve"> practitioners who self-administer Schedule 4 and Schedule 8 poisons</w:t>
      </w:r>
      <w:r>
        <w:rPr>
          <w:rFonts w:cs="Arial"/>
          <w:sz w:val="18"/>
          <w:szCs w:val="18"/>
        </w:rPr>
        <w:t xml:space="preserve">. Please refer to the DPR </w:t>
      </w:r>
      <w:r>
        <w:rPr>
          <w:sz w:val="18"/>
          <w:szCs w:val="18"/>
        </w:rPr>
        <w:t xml:space="preserve">website </w:t>
      </w:r>
      <w:r>
        <w:rPr>
          <w:rFonts w:cs="Arial"/>
          <w:sz w:val="18"/>
          <w:szCs w:val="18"/>
        </w:rPr>
        <w:t>(</w:t>
      </w:r>
      <w:r>
        <w:rPr>
          <w:rFonts w:cs="Arial"/>
          <w:iCs/>
          <w:color w:val="0000FF"/>
          <w:sz w:val="18"/>
          <w:szCs w:val="18"/>
          <w:u w:val="single"/>
        </w:rPr>
        <w:t>www.health.vic.gov.au/dpcs/reqhealth</w:t>
      </w:r>
      <w:r>
        <w:rPr>
          <w:rFonts w:cs="Arial"/>
          <w:iCs/>
          <w:sz w:val="18"/>
          <w:szCs w:val="18"/>
        </w:rPr>
        <w:t>)</w:t>
      </w:r>
      <w:r>
        <w:rPr>
          <w:rFonts w:cs="Arial"/>
          <w:sz w:val="18"/>
          <w:szCs w:val="18"/>
        </w:rPr>
        <w:t xml:space="preserve"> </w:t>
      </w:r>
      <w:r>
        <w:rPr>
          <w:sz w:val="18"/>
          <w:szCs w:val="18"/>
        </w:rPr>
        <w:t xml:space="preserve">for </w:t>
      </w:r>
      <w:r w:rsidR="0034348F">
        <w:rPr>
          <w:sz w:val="18"/>
          <w:szCs w:val="18"/>
        </w:rPr>
        <w:t>documents</w:t>
      </w:r>
      <w:r>
        <w:rPr>
          <w:sz w:val="18"/>
          <w:szCs w:val="18"/>
        </w:rPr>
        <w:t xml:space="preserve"> relating to other </w:t>
      </w:r>
      <w:r w:rsidR="0034348F">
        <w:rPr>
          <w:sz w:val="18"/>
          <w:szCs w:val="18"/>
        </w:rPr>
        <w:t xml:space="preserve">topical and regulatory </w:t>
      </w:r>
      <w:r>
        <w:rPr>
          <w:sz w:val="18"/>
          <w:szCs w:val="18"/>
        </w:rPr>
        <w:t>issues</w:t>
      </w:r>
      <w:r w:rsidR="0034348F">
        <w:rPr>
          <w:sz w:val="18"/>
          <w:szCs w:val="18"/>
        </w:rPr>
        <w:t>.</w:t>
      </w:r>
      <w:r w:rsidR="00BB15E1" w:rsidRPr="006569A6">
        <w:rPr>
          <w:noProof/>
          <w:sz w:val="18"/>
          <w:szCs w:val="18"/>
          <w:highlight w:val="yellow"/>
          <w:lang w:eastAsia="en-AU"/>
        </w:rPr>
        <mc:AlternateContent>
          <mc:Choice Requires="wps">
            <w:drawing>
              <wp:anchor distT="0" distB="0" distL="114300" distR="114300" simplePos="0" relativeHeight="251660288" behindDoc="0" locked="1" layoutInCell="1" allowOverlap="0" wp14:anchorId="2B1B1D1C" wp14:editId="4A389084">
                <wp:simplePos x="0" y="0"/>
                <wp:positionH relativeFrom="margin">
                  <wp:posOffset>50165</wp:posOffset>
                </wp:positionH>
                <wp:positionV relativeFrom="page">
                  <wp:posOffset>574675</wp:posOffset>
                </wp:positionV>
                <wp:extent cx="4252595" cy="967105"/>
                <wp:effectExtent l="2540" t="3175"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6037E" w:rsidRDefault="0076037E" w:rsidP="0076037E">
                            <w:pPr>
                              <w:pStyle w:val="DHMainheading"/>
                            </w:pPr>
                            <w:r>
                              <w:t xml:space="preserve">Self-administration &amp; </w:t>
                            </w:r>
                            <w:r w:rsidR="000571AC">
                              <w:t xml:space="preserve">questionable </w:t>
                            </w:r>
                            <w:r>
                              <w:t>prescribing by health practitioners</w:t>
                            </w:r>
                          </w:p>
                          <w:p w:rsidR="00BB15E1" w:rsidRPr="00BC5E74" w:rsidRDefault="00BB15E1" w:rsidP="00BB15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5pt;margin-top:45.25pt;width:334.85pt;height:7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" o:allowoverlap="f" filled="f" stroked="f" strokecolor="white">
                <v:textbox inset="0,0,0,0">
                  <w:txbxContent>
                    <w:p w:rsidR="0076037E" w:rsidRDefault="0076037E" w:rsidP="0076037E">
                      <w:pPr>
                        <w:pStyle w:val="DHMainheading"/>
                      </w:pPr>
                      <w:r>
                        <w:t xml:space="preserve">Self-administration &amp; </w:t>
                      </w:r>
                      <w:r w:rsidR="000571AC">
                        <w:t xml:space="preserve">questionable </w:t>
                      </w:r>
                      <w:r>
                        <w:t>prescribing by health practitioners</w:t>
                      </w:r>
                    </w:p>
                    <w:p w:rsidR="00BB15E1" w:rsidRPr="00BC5E74" w:rsidRDefault="00BB15E1" w:rsidP="00BB15E1"/>
                  </w:txbxContent>
                </v:textbox>
                <w10:wrap anchorx="margin" anchory="page"/>
                <w10:anchorlock/>
              </v:shape>
            </w:pict>
          </mc:Fallback>
        </mc:AlternateContent>
      </w:r>
    </w:p>
    <w:p w:rsidR="0076037E" w:rsidRPr="00E11128" w:rsidRDefault="0034348F" w:rsidP="0076037E">
      <w:pPr>
        <w:pStyle w:val="DHheading2"/>
        <w:rPr>
          <w:b w:val="0"/>
          <w:color w:val="FF0000"/>
          <w:sz w:val="44"/>
          <w:szCs w:val="44"/>
        </w:rPr>
      </w:pPr>
      <w:r w:rsidRPr="00E11128">
        <w:rPr>
          <w:b w:val="0"/>
          <w:color w:val="FF0000"/>
          <w:sz w:val="44"/>
          <w:szCs w:val="44"/>
        </w:rPr>
        <w:t>Possibly suspicious behaviour</w:t>
      </w:r>
    </w:p>
    <w:p w:rsidR="00E11128" w:rsidRDefault="00E11128" w:rsidP="00E11128">
      <w:pPr>
        <w:pStyle w:val="BodyText"/>
        <w:rPr>
          <w:rFonts w:ascii="Arial" w:hAnsi="Arial" w:cs="Arial"/>
          <w:b/>
          <w:bCs/>
          <w:sz w:val="20"/>
          <w:u w:val="single"/>
        </w:rPr>
      </w:pPr>
    </w:p>
    <w:p w:rsidR="0076037E" w:rsidRDefault="0076037E" w:rsidP="0076037E">
      <w:pPr>
        <w:pStyle w:val="DHbody"/>
      </w:pPr>
      <w:r>
        <w:t xml:space="preserve">A number of </w:t>
      </w:r>
      <w:r w:rsidR="0034348F">
        <w:t>registered health</w:t>
      </w:r>
      <w:r>
        <w:t xml:space="preserve"> practitioners have become drug-dependent due to self-administration of Schedule 4 and Schedule 8 poisons</w:t>
      </w:r>
      <w:r w:rsidR="0034348F">
        <w:t xml:space="preserve">. Historically, </w:t>
      </w:r>
      <w:r>
        <w:t>pethidine ampoules</w:t>
      </w:r>
      <w:r w:rsidR="0034348F">
        <w:t xml:space="preserve"> </w:t>
      </w:r>
      <w:r w:rsidR="0052232A">
        <w:t>were</w:t>
      </w:r>
      <w:r w:rsidR="0034348F">
        <w:t xml:space="preserve"> most commonly involved</w:t>
      </w:r>
      <w:r>
        <w:t>, although morphine (ampoules an</w:t>
      </w:r>
      <w:r w:rsidR="009E514B">
        <w:t xml:space="preserve">d tablets), </w:t>
      </w:r>
      <w:r w:rsidR="009E514B">
        <w:t>dexamphetamine</w:t>
      </w:r>
      <w:r w:rsidR="009E514B">
        <w:t>, ketamine injections, midazolam</w:t>
      </w:r>
      <w:r>
        <w:t xml:space="preserve">, </w:t>
      </w:r>
      <w:r w:rsidR="009E514B">
        <w:t xml:space="preserve">other </w:t>
      </w:r>
      <w:r w:rsidR="0034348F">
        <w:t xml:space="preserve">benzodiazepines, </w:t>
      </w:r>
      <w:r w:rsidR="009E514B">
        <w:t>tramadol injections,</w:t>
      </w:r>
      <w:r w:rsidR="0034348F">
        <w:t xml:space="preserve"> nitrous oxide,</w:t>
      </w:r>
      <w:r w:rsidR="0052232A">
        <w:t xml:space="preserve"> zolpidem,</w:t>
      </w:r>
      <w:r w:rsidR="0034348F">
        <w:t xml:space="preserve"> </w:t>
      </w:r>
      <w:r>
        <w:t>Panadeine Forte</w:t>
      </w:r>
      <w:r>
        <w:rPr>
          <w:vertAlign w:val="superscript"/>
        </w:rPr>
        <w:t>®</w:t>
      </w:r>
      <w:r>
        <w:t xml:space="preserve"> </w:t>
      </w:r>
      <w:r w:rsidR="0034348F">
        <w:t xml:space="preserve">and many other drugs </w:t>
      </w:r>
      <w:r>
        <w:t>have been noted. The following methods have been used to obtain drugs unlawfully from pharmacies:</w:t>
      </w:r>
    </w:p>
    <w:p w:rsidR="0076037E" w:rsidRDefault="0076037E" w:rsidP="0076037E">
      <w:pPr>
        <w:pStyle w:val="DHbullet"/>
        <w:numPr>
          <w:ilvl w:val="0"/>
          <w:numId w:val="7"/>
        </w:numPr>
        <w:tabs>
          <w:tab w:val="num" w:pos="287"/>
        </w:tabs>
        <w:ind w:left="289" w:hanging="289"/>
      </w:pPr>
      <w:r>
        <w:t>Medical practitioners presenting prescriptions, written in patients’ names, purportedly to deliver the medication whilst making a house call or to replenish their doctor’s bag stock</w:t>
      </w:r>
    </w:p>
    <w:p w:rsidR="0076037E" w:rsidRDefault="0076037E" w:rsidP="0076037E">
      <w:pPr>
        <w:pStyle w:val="DHbullet"/>
        <w:numPr>
          <w:ilvl w:val="0"/>
          <w:numId w:val="7"/>
        </w:numPr>
        <w:tabs>
          <w:tab w:val="num" w:pos="287"/>
        </w:tabs>
        <w:ind w:left="289" w:hanging="289"/>
      </w:pPr>
      <w:r>
        <w:t>Medical practitioners presenting prescriptions written for a partner</w:t>
      </w:r>
      <w:r w:rsidR="0034348F">
        <w:t>,</w:t>
      </w:r>
      <w:r>
        <w:t xml:space="preserve"> another family member</w:t>
      </w:r>
      <w:r w:rsidR="0034348F">
        <w:t xml:space="preserve"> or in a maiden name</w:t>
      </w:r>
    </w:p>
    <w:p w:rsidR="0076037E" w:rsidRDefault="0076037E" w:rsidP="0076037E">
      <w:pPr>
        <w:pStyle w:val="DHbullet"/>
        <w:numPr>
          <w:ilvl w:val="0"/>
          <w:numId w:val="7"/>
        </w:numPr>
        <w:tabs>
          <w:tab w:val="num" w:pos="287"/>
        </w:tabs>
        <w:ind w:left="289" w:hanging="289"/>
      </w:pPr>
      <w:r>
        <w:t>Patients or clinic staff regularly collecting five pethidine ampoules, on prescriptions written in a patient’s name, for “clinic use</w:t>
      </w:r>
      <w:r>
        <w:rPr>
          <w:lang w:val="en-US"/>
        </w:rPr>
        <w:t>”</w:t>
      </w:r>
      <w:r w:rsidR="0052232A">
        <w:rPr>
          <w:lang w:val="en-US"/>
        </w:rPr>
        <w:t xml:space="preserve"> with the prescriber retaining all or most of the ampoules</w:t>
      </w:r>
    </w:p>
    <w:p w:rsidR="0076037E" w:rsidRDefault="0076037E" w:rsidP="0076037E">
      <w:pPr>
        <w:pStyle w:val="DHbullet"/>
        <w:numPr>
          <w:ilvl w:val="0"/>
          <w:numId w:val="7"/>
        </w:numPr>
        <w:tabs>
          <w:tab w:val="num" w:pos="287"/>
        </w:tabs>
        <w:ind w:left="289" w:hanging="289"/>
      </w:pPr>
      <w:r>
        <w:t xml:space="preserve">Medical practitioners presenting prescriptions on </w:t>
      </w:r>
      <w:r w:rsidR="0052232A">
        <w:t>which they have forged the signatures</w:t>
      </w:r>
      <w:r>
        <w:t xml:space="preserve"> of other medical practitioners; sometimes after phoning the pharmacy in advance</w:t>
      </w:r>
      <w:r w:rsidR="0034348F">
        <w:t xml:space="preserve"> of their attendance</w:t>
      </w:r>
    </w:p>
    <w:p w:rsidR="0076037E" w:rsidRDefault="0076037E" w:rsidP="0076037E">
      <w:pPr>
        <w:pStyle w:val="DHbullet"/>
        <w:numPr>
          <w:ilvl w:val="0"/>
          <w:numId w:val="7"/>
        </w:numPr>
        <w:tabs>
          <w:tab w:val="num" w:pos="287"/>
        </w:tabs>
        <w:ind w:left="289" w:hanging="289"/>
      </w:pPr>
      <w:r>
        <w:t>Medical practitioners presenting prescriptions, with a mobile phone number on the form, then leaving the pharmacy (to answer the phone and verify the prescription</w:t>
      </w:r>
      <w:r w:rsidR="0052232A">
        <w:t xml:space="preserve"> as the prescriber</w:t>
      </w:r>
      <w:r>
        <w:t>) before returning (as the pat</w:t>
      </w:r>
      <w:r w:rsidR="0052232A">
        <w:t>ient) to collect the medication</w:t>
      </w:r>
    </w:p>
    <w:p w:rsidR="0076037E" w:rsidRDefault="0076037E" w:rsidP="0076037E">
      <w:pPr>
        <w:pStyle w:val="DHheading2"/>
      </w:pPr>
      <w:r>
        <w:t>Reluctance to Report</w:t>
      </w:r>
    </w:p>
    <w:p w:rsidR="0076037E" w:rsidRDefault="0076037E" w:rsidP="0076037E">
      <w:pPr>
        <w:pStyle w:val="DHbody"/>
      </w:pPr>
      <w:r>
        <w:t xml:space="preserve">Many pharmacists have failed to recognise the possible significance of such behaviour. Others have been suspicious but were reluctant to report the matter because they did not wish to get involved, were concerned about possible repercussions or did not wish to believe that a health practitioner was involved in drug-seeking activities.  </w:t>
      </w:r>
    </w:p>
    <w:p w:rsidR="0076037E" w:rsidRDefault="0076037E" w:rsidP="0076037E">
      <w:pPr>
        <w:pStyle w:val="DHbody"/>
      </w:pPr>
      <w:r>
        <w:t>DPR Officers have considerable experience in discreetly investigating such matters and treat all reports of concern confidentially.</w:t>
      </w:r>
    </w:p>
    <w:p w:rsidR="0076037E" w:rsidRDefault="0076037E" w:rsidP="0076037E">
      <w:pPr>
        <w:pStyle w:val="DHheading2"/>
      </w:pPr>
      <w:r>
        <w:t>Urgency</w:t>
      </w:r>
    </w:p>
    <w:p w:rsidR="0076037E" w:rsidRDefault="0076037E" w:rsidP="0076037E">
      <w:pPr>
        <w:pStyle w:val="DHbody"/>
      </w:pPr>
      <w:r>
        <w:t xml:space="preserve">Pharmacists should note that the described behaviour might only occur after a health practitioner has been self-administering a drug for some months (possibly for a medical problem initially) and is just beginning to become dependent on the drug. However, the use of pethidine ampoules can escalate very rapidly – often from 5 ampoules per month to </w:t>
      </w:r>
      <w:r>
        <w:rPr>
          <w:b/>
          <w:bCs/>
        </w:rPr>
        <w:t>more than 10 ampoules per day</w:t>
      </w:r>
      <w:r>
        <w:t xml:space="preserve"> in less than 2 months.</w:t>
      </w:r>
    </w:p>
    <w:p w:rsidR="0076037E" w:rsidRDefault="0076037E" w:rsidP="0076037E">
      <w:pPr>
        <w:pStyle w:val="DHbody"/>
      </w:pPr>
      <w:r>
        <w:t xml:space="preserve">Therefore, if a pharmacist observes behaviour of the type described, it is essential that the matter is </w:t>
      </w:r>
      <w:r w:rsidR="0034348F">
        <w:t>promptly</w:t>
      </w:r>
      <w:r>
        <w:t xml:space="preserve"> reported to DPR to facilitate </w:t>
      </w:r>
      <w:r w:rsidR="0034348F">
        <w:t>an</w:t>
      </w:r>
      <w:r>
        <w:t xml:space="preserve"> intervention</w:t>
      </w:r>
      <w:r w:rsidR="0034348F">
        <w:t>, if one is required</w:t>
      </w:r>
      <w:r>
        <w:t>.</w:t>
      </w:r>
    </w:p>
    <w:p w:rsidR="00DD6CC2" w:rsidRDefault="00DD6CC2" w:rsidP="00407EAB">
      <w:pPr>
        <w:pStyle w:val="DHheading2"/>
      </w:pPr>
    </w:p>
    <w:p w:rsidR="0076037E" w:rsidRDefault="0076037E" w:rsidP="0076037E">
      <w:pPr>
        <w:pStyle w:val="DHheading2"/>
      </w:pPr>
      <w:r>
        <w:t>Preferred Outcome</w:t>
      </w:r>
    </w:p>
    <w:p w:rsidR="00E11128" w:rsidRDefault="0076037E" w:rsidP="0076037E">
      <w:pPr>
        <w:pStyle w:val="DHbody"/>
      </w:pPr>
      <w:r>
        <w:t xml:space="preserve">When confronted by DPR Officers, some </w:t>
      </w:r>
      <w:r w:rsidR="0034348F">
        <w:t>health</w:t>
      </w:r>
      <w:r>
        <w:t xml:space="preserve"> practitioners express relief that their activities have been detected; promptly admit to their activities; and </w:t>
      </w:r>
      <w:r w:rsidR="0034348F">
        <w:t xml:space="preserve">seek appropriate treatment. </w:t>
      </w:r>
    </w:p>
    <w:p w:rsidR="0076037E" w:rsidRDefault="0034348F" w:rsidP="0076037E">
      <w:pPr>
        <w:pStyle w:val="DHbody"/>
      </w:pPr>
      <w:r>
        <w:t xml:space="preserve">In the case of medical practitioners, </w:t>
      </w:r>
      <w:r w:rsidR="00E11128">
        <w:t xml:space="preserve">such treatment might be provided by </w:t>
      </w:r>
      <w:r w:rsidR="0076037E">
        <w:t>the Victorian Doctors Health Program (VDHP)</w:t>
      </w:r>
      <w:r w:rsidR="00E11128">
        <w:t xml:space="preserve"> and the practitioners might </w:t>
      </w:r>
      <w:r w:rsidR="0076037E">
        <w:t>be able to continue to practise, albeit with a number of restrictions</w:t>
      </w:r>
      <w:r w:rsidR="009E514B">
        <w:t xml:space="preserve"> or conditions on the registration</w:t>
      </w:r>
      <w:r w:rsidR="0076037E">
        <w:t xml:space="preserve"> and</w:t>
      </w:r>
      <w:r w:rsidR="009E514B">
        <w:t xml:space="preserve"> subject to</w:t>
      </w:r>
      <w:r w:rsidR="0076037E">
        <w:t xml:space="preserve"> ongoing health monitoring by the VDHP.</w:t>
      </w:r>
    </w:p>
    <w:p w:rsidR="0076037E" w:rsidRPr="00E11128" w:rsidRDefault="0076037E" w:rsidP="0076037E">
      <w:pPr>
        <w:pStyle w:val="DHheading2"/>
        <w:rPr>
          <w:b w:val="0"/>
          <w:color w:val="FF0000"/>
          <w:sz w:val="44"/>
          <w:szCs w:val="44"/>
        </w:rPr>
      </w:pPr>
      <w:r w:rsidRPr="00E11128">
        <w:rPr>
          <w:b w:val="0"/>
          <w:color w:val="FF0000"/>
          <w:sz w:val="44"/>
          <w:szCs w:val="44"/>
        </w:rPr>
        <w:t>Examples of previous cases</w:t>
      </w:r>
    </w:p>
    <w:p w:rsidR="00E11128" w:rsidRDefault="00E11128" w:rsidP="00E11128">
      <w:pPr>
        <w:pStyle w:val="BodyText"/>
        <w:ind w:left="360"/>
        <w:rPr>
          <w:rFonts w:ascii="Arial" w:hAnsi="Arial" w:cs="Arial"/>
          <w:b/>
          <w:bCs/>
          <w:sz w:val="20"/>
          <w:u w:val="single"/>
        </w:rPr>
      </w:pPr>
    </w:p>
    <w:p w:rsidR="0076037E" w:rsidRDefault="0076037E" w:rsidP="0076037E">
      <w:pPr>
        <w:pStyle w:val="DHbullet"/>
        <w:numPr>
          <w:ilvl w:val="0"/>
          <w:numId w:val="7"/>
        </w:numPr>
        <w:tabs>
          <w:tab w:val="num" w:pos="287"/>
        </w:tabs>
        <w:ind w:left="289" w:hanging="289"/>
      </w:pPr>
      <w:r>
        <w:t xml:space="preserve">A medical practitioner presented </w:t>
      </w:r>
      <w:r w:rsidR="009E514B">
        <w:t>prescriptions</w:t>
      </w:r>
      <w:r>
        <w:t xml:space="preserve"> for five pethidine ampoules on 16 occasions at 15 pharmacies in 13 days. Several pharmacists later confirmed that they had been suspicious but only one </w:t>
      </w:r>
      <w:r w:rsidR="009E514B">
        <w:t>reported the matter to DPR</w:t>
      </w:r>
      <w:r>
        <w:t xml:space="preserve">. Others indicated that they had not thought (or had been reluctant) to contact DPR in relation to a single prescription. Some indicated that they had been suspicious and had declined to dispense the </w:t>
      </w:r>
      <w:r w:rsidR="009E514B">
        <w:t>prescription</w:t>
      </w:r>
      <w:r>
        <w:t xml:space="preserve"> (saying it was “out of stock”) but did not notify DPR.</w:t>
      </w:r>
    </w:p>
    <w:p w:rsidR="0076037E" w:rsidRDefault="0076037E" w:rsidP="0076037E">
      <w:pPr>
        <w:pStyle w:val="DHbullet"/>
        <w:numPr>
          <w:ilvl w:val="0"/>
          <w:numId w:val="7"/>
        </w:numPr>
        <w:tabs>
          <w:tab w:val="num" w:pos="287"/>
        </w:tabs>
        <w:ind w:left="289" w:hanging="289"/>
      </w:pPr>
      <w:r>
        <w:t>A medical practitioner (who rarely prescribed pethidine) returned to work following surgery and lengthy rehabilitation. He subsequently began to prescribe pethidine ampoules with progressively greater frequency.  The prescriptions were commonly presented at the same pharmacy (often by patients) but DPR was not alerted until months later when the rate of prescribing had already reached ten ampoules per day.</w:t>
      </w:r>
    </w:p>
    <w:p w:rsidR="0076037E" w:rsidRDefault="0076037E" w:rsidP="0076037E">
      <w:pPr>
        <w:pStyle w:val="DHbullet"/>
        <w:numPr>
          <w:ilvl w:val="0"/>
          <w:numId w:val="7"/>
        </w:numPr>
        <w:tabs>
          <w:tab w:val="num" w:pos="287"/>
        </w:tabs>
        <w:ind w:left="289" w:hanging="289"/>
      </w:pPr>
      <w:r>
        <w:t>A medical practitioner (already prohibited from using Schedule 8 poisons due to a previous episode of self-administration) presented more than 120 forged prescriptions for pethidine ampoules at 16 pharmacies.  More than 90 of the forgeries were successfully presented at three pharmacies where the forgeries were not detected. Six of the other pharmacies detected the forgeries (by phoning to verify the prescription) on the first or second occasion that a forgery was presented. The offender was eventually identified due to the actions of an alert pharmacist, who noted the licence plate number of the medical practitioner’s car.</w:t>
      </w:r>
    </w:p>
    <w:p w:rsidR="0076037E" w:rsidRDefault="0076037E" w:rsidP="0076037E">
      <w:pPr>
        <w:pStyle w:val="DHbullet"/>
        <w:numPr>
          <w:ilvl w:val="0"/>
          <w:numId w:val="7"/>
        </w:numPr>
        <w:tabs>
          <w:tab w:val="num" w:pos="287"/>
        </w:tabs>
        <w:ind w:left="289" w:hanging="289"/>
      </w:pPr>
      <w:r>
        <w:t>An anaesthetist (already prohibited from using Schedule 8 poisons due to a previous episode of self-administration) obtained midazolam (S</w:t>
      </w:r>
      <w:r w:rsidR="009E514B">
        <w:t xml:space="preserve">chedule </w:t>
      </w:r>
      <w:r>
        <w:t>4) from various sources, including pharmacies attached to various major hospitals. The anaesthetist died from an overdose of drugs, including midazolam.</w:t>
      </w:r>
    </w:p>
    <w:p w:rsidR="0076037E" w:rsidRDefault="0076037E" w:rsidP="0076037E">
      <w:pPr>
        <w:pStyle w:val="DHbullet"/>
        <w:numPr>
          <w:ilvl w:val="0"/>
          <w:numId w:val="7"/>
        </w:numPr>
        <w:tabs>
          <w:tab w:val="num" w:pos="287"/>
        </w:tabs>
        <w:ind w:left="289" w:hanging="289"/>
      </w:pPr>
      <w:r>
        <w:t>A medical practitioner (already prohibited from using Schedule 8 poisons due to several previous episodes of self-administration) was found to have written prescriptions for a staff member at the clinic in order to obtain Panadeine Forte</w:t>
      </w:r>
      <w:r>
        <w:rPr>
          <w:vertAlign w:val="superscript"/>
        </w:rPr>
        <w:t>®</w:t>
      </w:r>
      <w:r>
        <w:t xml:space="preserve"> tablets. A perceptive pharmacist uncovered the ruse when counselling the </w:t>
      </w:r>
      <w:r>
        <w:rPr>
          <w:lang w:val="en-US"/>
        </w:rPr>
        <w:t>“</w:t>
      </w:r>
      <w:r>
        <w:t>patient</w:t>
      </w:r>
      <w:r>
        <w:rPr>
          <w:lang w:val="en-US"/>
        </w:rPr>
        <w:t>”</w:t>
      </w:r>
      <w:r>
        <w:t>.</w:t>
      </w:r>
    </w:p>
    <w:p w:rsidR="0076037E" w:rsidRDefault="0076037E" w:rsidP="0076037E">
      <w:pPr>
        <w:pStyle w:val="DHbullet"/>
        <w:numPr>
          <w:ilvl w:val="0"/>
          <w:numId w:val="7"/>
        </w:numPr>
        <w:tabs>
          <w:tab w:val="num" w:pos="287"/>
        </w:tabs>
        <w:ind w:left="289" w:hanging="289"/>
      </w:pPr>
      <w:r>
        <w:t>A medical practitioner, during one of a number of episodes of self-administration, wrote prescriptions using her married name as the patient</w:t>
      </w:r>
      <w:r>
        <w:rPr>
          <w:lang w:val="en-US"/>
        </w:rPr>
        <w:t>’</w:t>
      </w:r>
      <w:r>
        <w:t xml:space="preserve">s name and portrayed herself as both the patient (when presenting prescriptions) and the prescriber (when pharmacists phoned to confirm she had written the prescriptions). </w:t>
      </w:r>
    </w:p>
    <w:p w:rsidR="00E11128" w:rsidRDefault="0076037E" w:rsidP="0076037E">
      <w:pPr>
        <w:pStyle w:val="DHbullet"/>
        <w:numPr>
          <w:ilvl w:val="0"/>
          <w:numId w:val="7"/>
        </w:numPr>
        <w:tabs>
          <w:tab w:val="num" w:pos="287"/>
        </w:tabs>
        <w:ind w:left="289" w:hanging="289"/>
      </w:pPr>
      <w:r>
        <w:t xml:space="preserve">A medical practitioner’s </w:t>
      </w:r>
      <w:r w:rsidR="009E514B">
        <w:t>spouse</w:t>
      </w:r>
      <w:r>
        <w:t xml:space="preserve"> (who was well known at local pharmacies) was found to be self-administering pethidine ampoules that she obtained by presenting forgeries of her </w:t>
      </w:r>
      <w:r w:rsidR="009E514B">
        <w:t>spouse’s</w:t>
      </w:r>
      <w:r>
        <w:t xml:space="preserve"> prescriptions and collecting the pethidine supposedly to deliver it to the patient or to the surgery. Pharmacists assumed that </w:t>
      </w:r>
      <w:r w:rsidR="009E514B">
        <w:t>she</w:t>
      </w:r>
      <w:r>
        <w:t xml:space="preserve"> was working or helping out at the clinic. </w:t>
      </w:r>
    </w:p>
    <w:p w:rsidR="00E11128" w:rsidRDefault="00E11128" w:rsidP="0076037E">
      <w:pPr>
        <w:pStyle w:val="DHbullet"/>
        <w:numPr>
          <w:ilvl w:val="0"/>
          <w:numId w:val="7"/>
        </w:numPr>
        <w:tabs>
          <w:tab w:val="num" w:pos="287"/>
        </w:tabs>
        <w:ind w:left="289" w:hanging="289"/>
      </w:pPr>
      <w:r>
        <w:t>A dentist became extensively involved in self-administration of diazepam tablets, which she obtained by presenting prescriptions in her maiden name at numerous pharmacies.</w:t>
      </w:r>
    </w:p>
    <w:p w:rsidR="00E11128" w:rsidRDefault="00E11128" w:rsidP="0076037E">
      <w:pPr>
        <w:pStyle w:val="DHbullet"/>
        <w:numPr>
          <w:ilvl w:val="0"/>
          <w:numId w:val="7"/>
        </w:numPr>
        <w:tabs>
          <w:tab w:val="num" w:pos="287"/>
        </w:tabs>
        <w:ind w:left="289" w:hanging="289"/>
      </w:pPr>
      <w:r>
        <w:t>A veterinary practitioner obtained alprazolam by presenting prescriptions, in the name of a client’s dog, without the knowledge of the client. Insightful questions by a pharmacy intern uncovered the deception.</w:t>
      </w:r>
    </w:p>
    <w:p w:rsidR="00485177" w:rsidRDefault="00485177" w:rsidP="0076037E">
      <w:pPr>
        <w:pStyle w:val="DHbullet"/>
        <w:numPr>
          <w:ilvl w:val="0"/>
          <w:numId w:val="7"/>
        </w:numPr>
        <w:tabs>
          <w:tab w:val="num" w:pos="287"/>
        </w:tabs>
        <w:ind w:left="289" w:hanging="289"/>
      </w:pPr>
      <w:r>
        <w:t xml:space="preserve">Pharmacists have also been implicated in cases of self-administration; examples are shown in </w:t>
      </w:r>
      <w:r w:rsidR="009E514B">
        <w:t>s</w:t>
      </w:r>
      <w:r>
        <w:t>ection</w:t>
      </w:r>
      <w:r w:rsidR="009E514B">
        <w:t xml:space="preserve"> “</w:t>
      </w:r>
      <w:r w:rsidR="009E514B" w:rsidRPr="009E514B">
        <w:rPr>
          <w:b/>
        </w:rPr>
        <w:t xml:space="preserve">Misappropriation of drugs </w:t>
      </w:r>
      <w:r w:rsidR="00BF521C">
        <w:rPr>
          <w:b/>
        </w:rPr>
        <w:t>within a pharmacy</w:t>
      </w:r>
      <w:r w:rsidR="009E514B">
        <w:t>”.</w:t>
      </w:r>
      <w:r>
        <w:t xml:space="preserve"> </w:t>
      </w:r>
    </w:p>
    <w:p w:rsidR="000D6825" w:rsidRDefault="000D6825" w:rsidP="000D6825">
      <w:pPr>
        <w:pStyle w:val="DHbullet"/>
        <w:tabs>
          <w:tab w:val="clear" w:pos="287"/>
          <w:tab w:val="clear" w:pos="360"/>
          <w:tab w:val="num" w:pos="720"/>
        </w:tabs>
        <w:ind w:left="360" w:firstLine="0"/>
      </w:pPr>
    </w:p>
    <w:p w:rsidR="0052232A" w:rsidRDefault="0052232A" w:rsidP="000D6825">
      <w:pPr>
        <w:pStyle w:val="DHbullet"/>
        <w:tabs>
          <w:tab w:val="clear" w:pos="287"/>
          <w:tab w:val="clear" w:pos="360"/>
          <w:tab w:val="num" w:pos="720"/>
        </w:tabs>
        <w:ind w:left="360" w:firstLine="0"/>
      </w:pPr>
    </w:p>
    <w:p w:rsidR="0076037E" w:rsidRPr="000D6825" w:rsidRDefault="0076037E" w:rsidP="0076037E">
      <w:pPr>
        <w:pStyle w:val="DHheading2"/>
        <w:rPr>
          <w:b w:val="0"/>
          <w:color w:val="FF0000"/>
          <w:sz w:val="44"/>
          <w:szCs w:val="44"/>
        </w:rPr>
      </w:pPr>
      <w:r w:rsidRPr="000D6825">
        <w:rPr>
          <w:b w:val="0"/>
          <w:color w:val="FF0000"/>
          <w:sz w:val="44"/>
          <w:szCs w:val="44"/>
        </w:rPr>
        <w:t>Other self-prescribing</w:t>
      </w:r>
    </w:p>
    <w:p w:rsidR="000D6825" w:rsidRDefault="000D6825" w:rsidP="000D6825">
      <w:pPr>
        <w:pStyle w:val="BodyText"/>
        <w:rPr>
          <w:rFonts w:ascii="Arial" w:hAnsi="Arial" w:cs="Arial"/>
          <w:b/>
          <w:bCs/>
          <w:sz w:val="20"/>
          <w:u w:val="single"/>
        </w:rPr>
      </w:pPr>
    </w:p>
    <w:p w:rsidR="0076037E" w:rsidRDefault="0076037E" w:rsidP="0076037E">
      <w:pPr>
        <w:pStyle w:val="DHbody"/>
      </w:pPr>
      <w:r w:rsidRPr="000D6825">
        <w:t>DPR has noted that many medical practitioners have prescribed Schedule 4 poisons (e.g. antibiotics, antidepressants) for their own treatment, without realising that they were contravening regulation 48 of the Drugs Poisons and Controlled Substances Regulations 2006.  Not</w:t>
      </w:r>
      <w:r w:rsidR="000D6825" w:rsidRPr="000D6825">
        <w:t>e: It is not unlawful for medical practitioners to prescribe Schedule 4 poisons in all states but it is not lawful in Victoria.</w:t>
      </w:r>
    </w:p>
    <w:p w:rsidR="0076037E" w:rsidRDefault="0076037E" w:rsidP="0076037E">
      <w:pPr>
        <w:pStyle w:val="DHbody"/>
      </w:pPr>
      <w:r>
        <w:t xml:space="preserve">Pharmacists are asked to be mindful of this </w:t>
      </w:r>
      <w:r w:rsidR="009E514B">
        <w:t>regulation</w:t>
      </w:r>
      <w:r>
        <w:t xml:space="preserve"> and not allow medical practitioners to contravene the legislation inadvertently.</w:t>
      </w:r>
    </w:p>
    <w:p w:rsidR="000D6825" w:rsidRPr="000D6825" w:rsidRDefault="0076037E" w:rsidP="0076037E">
      <w:pPr>
        <w:pStyle w:val="DHheading2"/>
        <w:rPr>
          <w:b w:val="0"/>
          <w:color w:val="FF0000"/>
          <w:sz w:val="44"/>
          <w:szCs w:val="44"/>
        </w:rPr>
      </w:pPr>
      <w:r w:rsidRPr="000D6825">
        <w:rPr>
          <w:b w:val="0"/>
          <w:color w:val="FF0000"/>
          <w:sz w:val="44"/>
          <w:szCs w:val="44"/>
        </w:rPr>
        <w:t xml:space="preserve">Prescribing for family members </w:t>
      </w:r>
    </w:p>
    <w:p w:rsidR="00BA6508" w:rsidRDefault="00BA6508" w:rsidP="00BA6508">
      <w:pPr>
        <w:pStyle w:val="BodyText"/>
        <w:rPr>
          <w:rFonts w:ascii="Arial" w:hAnsi="Arial" w:cs="Arial"/>
          <w:b/>
          <w:bCs/>
          <w:sz w:val="20"/>
          <w:u w:val="single"/>
        </w:rPr>
      </w:pPr>
    </w:p>
    <w:p w:rsidR="00BA6508" w:rsidRDefault="0076037E" w:rsidP="0076037E">
      <w:pPr>
        <w:pStyle w:val="DHbody"/>
      </w:pPr>
      <w:r>
        <w:t xml:space="preserve">Whilst the legislation does not prohibit medical practitioners prescribing for family members, </w:t>
      </w:r>
      <w:r w:rsidR="00BA6508">
        <w:t xml:space="preserve">such prescribing may constitute unprofessional conduct, especially </w:t>
      </w:r>
      <w:r>
        <w:t>where drugs of dependence are involved</w:t>
      </w:r>
      <w:r w:rsidR="00BA6508">
        <w:t>.</w:t>
      </w:r>
    </w:p>
    <w:p w:rsidR="00BA6508" w:rsidRDefault="00BA6508" w:rsidP="0076037E">
      <w:pPr>
        <w:pStyle w:val="DHbody"/>
      </w:pPr>
      <w:r>
        <w:t xml:space="preserve">The practice has been used by medical practitioners attempting to conceal self-administration. It has also been associated with excessive prescribing for family members, who </w:t>
      </w:r>
      <w:r w:rsidR="009E514B">
        <w:t>may be</w:t>
      </w:r>
      <w:r>
        <w:t xml:space="preserve"> drug-dependen</w:t>
      </w:r>
      <w:r w:rsidR="009E514B">
        <w:t>t</w:t>
      </w:r>
      <w:r>
        <w:t xml:space="preserve"> or who have an emotional influence over the medical practitioner.</w:t>
      </w:r>
    </w:p>
    <w:p w:rsidR="0076037E" w:rsidRDefault="00BA6508" w:rsidP="0076037E">
      <w:pPr>
        <w:pStyle w:val="DHbody"/>
      </w:pPr>
      <w:r>
        <w:t>Health</w:t>
      </w:r>
      <w:r w:rsidR="0076037E">
        <w:t xml:space="preserve"> practitioners </w:t>
      </w:r>
      <w:r>
        <w:t xml:space="preserve">who </w:t>
      </w:r>
      <w:r w:rsidR="0076037E">
        <w:t xml:space="preserve">are </w:t>
      </w:r>
      <w:r>
        <w:t xml:space="preserve">noted to be prescribing drugs of dependence or other psychotropic drugs for family members (except in an emergency) should be advised </w:t>
      </w:r>
      <w:r w:rsidR="0076037E">
        <w:t>to consult the Australian Health Practitioners Regulation Agency (AHPRA)</w:t>
      </w:r>
      <w:r>
        <w:t xml:space="preserve"> to ensure they are not engaging in </w:t>
      </w:r>
      <w:r w:rsidRPr="00BA6508">
        <w:t>unprofessional conduct</w:t>
      </w:r>
      <w:r w:rsidR="00815EC4">
        <w:t>. Pharmacists should also inform DPR if prescribing of this type represents cause for concern.</w:t>
      </w:r>
    </w:p>
    <w:p w:rsidR="0076037E" w:rsidRPr="00815EC4" w:rsidRDefault="0076037E" w:rsidP="0076037E">
      <w:pPr>
        <w:pStyle w:val="DHheading2"/>
        <w:rPr>
          <w:b w:val="0"/>
          <w:color w:val="FF0000"/>
          <w:sz w:val="44"/>
          <w:szCs w:val="44"/>
        </w:rPr>
      </w:pPr>
      <w:r w:rsidRPr="00815EC4">
        <w:rPr>
          <w:b w:val="0"/>
          <w:color w:val="FF0000"/>
          <w:sz w:val="44"/>
          <w:szCs w:val="44"/>
        </w:rPr>
        <w:t>Replenishing doctor’s bag or clinic stock</w:t>
      </w:r>
    </w:p>
    <w:p w:rsidR="00815EC4" w:rsidRDefault="00815EC4" w:rsidP="00815EC4">
      <w:pPr>
        <w:pStyle w:val="BodyText"/>
        <w:rPr>
          <w:rFonts w:ascii="Arial" w:hAnsi="Arial" w:cs="Arial"/>
          <w:b/>
          <w:bCs/>
          <w:sz w:val="20"/>
          <w:u w:val="single"/>
        </w:rPr>
      </w:pPr>
    </w:p>
    <w:p w:rsidR="00815EC4" w:rsidRDefault="00815EC4" w:rsidP="00815EC4">
      <w:pPr>
        <w:pStyle w:val="DHbody"/>
      </w:pPr>
      <w:r>
        <w:t xml:space="preserve">A </w:t>
      </w:r>
      <w:r w:rsidRPr="0076037E">
        <w:t xml:space="preserve">medical practitioner must not write a prescription </w:t>
      </w:r>
      <w:r>
        <w:t xml:space="preserve">other than for the treatment of the patient named on the prescription; this would preclude a medical practitioner from writing a prescription to replenish </w:t>
      </w:r>
      <w:r w:rsidRPr="0076037E">
        <w:t>doctor’s bag</w:t>
      </w:r>
      <w:r>
        <w:t xml:space="preserve"> stock that had been administered to one or more patients – even if one of the patients was named on the prescription.</w:t>
      </w:r>
    </w:p>
    <w:p w:rsidR="00815EC4" w:rsidRDefault="00815EC4" w:rsidP="00815EC4">
      <w:pPr>
        <w:pStyle w:val="DHbody"/>
      </w:pPr>
      <w:r w:rsidRPr="0076037E">
        <w:t xml:space="preserve">If </w:t>
      </w:r>
      <w:r>
        <w:t xml:space="preserve">a medical practitioner requires </w:t>
      </w:r>
      <w:r w:rsidRPr="0076037E">
        <w:t>additional drugs (i.e. more than the monthly PBS allocation)</w:t>
      </w:r>
      <w:r>
        <w:t>, the</w:t>
      </w:r>
      <w:r w:rsidRPr="0076037E">
        <w:t xml:space="preserve"> practitioner may provide a handwritten order (specifying that the drugs are for surgery use), which the pharmacist should treat as a </w:t>
      </w:r>
      <w:r>
        <w:t>“</w:t>
      </w:r>
      <w:r w:rsidRPr="00815EC4">
        <w:rPr>
          <w:bCs/>
        </w:rPr>
        <w:t>private</w:t>
      </w:r>
      <w:r>
        <w:rPr>
          <w:bCs/>
        </w:rPr>
        <w:t>”</w:t>
      </w:r>
      <w:r w:rsidRPr="0076037E">
        <w:t xml:space="preserve"> doctor’s bag order and record the supply in the name of the specific medical</w:t>
      </w:r>
      <w:r>
        <w:t xml:space="preserve"> practitioner.</w:t>
      </w:r>
    </w:p>
    <w:p w:rsidR="0076037E" w:rsidRDefault="00815EC4" w:rsidP="0076037E">
      <w:pPr>
        <w:spacing w:after="200" w:line="276" w:lineRule="auto"/>
        <w:rPr>
          <w:rFonts w:ascii="Arial" w:hAnsi="Arial"/>
        </w:rPr>
      </w:pPr>
      <w:r w:rsidRPr="00815EC4">
        <w:rPr>
          <w:rFonts w:ascii="Arial" w:hAnsi="Arial"/>
        </w:rPr>
        <w:t xml:space="preserve">A limited number of </w:t>
      </w:r>
      <w:r>
        <w:rPr>
          <w:rFonts w:ascii="Arial" w:hAnsi="Arial"/>
        </w:rPr>
        <w:t>establishments</w:t>
      </w:r>
      <w:r w:rsidRPr="00815EC4">
        <w:rPr>
          <w:rFonts w:ascii="Arial" w:hAnsi="Arial"/>
        </w:rPr>
        <w:t xml:space="preserve"> hold Health Services Permits, which enable </w:t>
      </w:r>
      <w:r>
        <w:rPr>
          <w:rFonts w:ascii="Arial" w:hAnsi="Arial"/>
        </w:rPr>
        <w:t>a</w:t>
      </w:r>
      <w:r w:rsidRPr="00815EC4">
        <w:rPr>
          <w:rFonts w:ascii="Arial" w:hAnsi="Arial"/>
        </w:rPr>
        <w:t xml:space="preserve"> permit holder to obtain drugs in the name of the </w:t>
      </w:r>
      <w:r>
        <w:rPr>
          <w:rFonts w:ascii="Arial" w:hAnsi="Arial"/>
        </w:rPr>
        <w:t xml:space="preserve">permit holder (e.g. </w:t>
      </w:r>
      <w:r w:rsidRPr="00815EC4">
        <w:rPr>
          <w:rFonts w:ascii="Arial" w:hAnsi="Arial"/>
        </w:rPr>
        <w:t>clinic</w:t>
      </w:r>
      <w:r>
        <w:rPr>
          <w:rFonts w:ascii="Arial" w:hAnsi="Arial"/>
        </w:rPr>
        <w:t>, day surgery)</w:t>
      </w:r>
      <w:r w:rsidRPr="00815EC4">
        <w:rPr>
          <w:rFonts w:ascii="Arial" w:hAnsi="Arial"/>
        </w:rPr>
        <w:t xml:space="preserve">. </w:t>
      </w:r>
      <w:r w:rsidR="00485177">
        <w:rPr>
          <w:rFonts w:ascii="Arial" w:hAnsi="Arial"/>
        </w:rPr>
        <w:t xml:space="preserve">As permits must be renewed annually, </w:t>
      </w:r>
      <w:r w:rsidRPr="00815EC4">
        <w:rPr>
          <w:rFonts w:ascii="Arial" w:hAnsi="Arial"/>
        </w:rPr>
        <w:t xml:space="preserve">pharmacists </w:t>
      </w:r>
      <w:r w:rsidR="00485177">
        <w:rPr>
          <w:rFonts w:ascii="Arial" w:hAnsi="Arial"/>
        </w:rPr>
        <w:t xml:space="preserve">are advised to </w:t>
      </w:r>
      <w:r w:rsidRPr="00815EC4">
        <w:rPr>
          <w:rFonts w:ascii="Arial" w:hAnsi="Arial"/>
        </w:rPr>
        <w:t xml:space="preserve">ensure </w:t>
      </w:r>
      <w:r w:rsidR="00485177">
        <w:rPr>
          <w:rFonts w:ascii="Arial" w:hAnsi="Arial"/>
        </w:rPr>
        <w:t xml:space="preserve">a </w:t>
      </w:r>
      <w:r w:rsidR="009E514B">
        <w:rPr>
          <w:rFonts w:ascii="Arial" w:hAnsi="Arial"/>
        </w:rPr>
        <w:t>clinic</w:t>
      </w:r>
      <w:r w:rsidR="00BF521C">
        <w:rPr>
          <w:rFonts w:ascii="Arial" w:hAnsi="Arial"/>
        </w:rPr>
        <w:t xml:space="preserve"> or day surgery holds a c</w:t>
      </w:r>
      <w:r w:rsidR="00485177">
        <w:rPr>
          <w:rFonts w:ascii="Arial" w:hAnsi="Arial"/>
        </w:rPr>
        <w:t xml:space="preserve">urrent HSP before supplying Schedule 4 or Schedule 8 poisons to </w:t>
      </w:r>
      <w:r w:rsidR="00BF521C">
        <w:rPr>
          <w:rFonts w:ascii="Arial" w:hAnsi="Arial"/>
        </w:rPr>
        <w:t>the establishment</w:t>
      </w:r>
      <w:r w:rsidR="00485177">
        <w:rPr>
          <w:rFonts w:ascii="Arial" w:hAnsi="Arial"/>
        </w:rPr>
        <w:t xml:space="preserve"> – unless supply is being made to a specific medical practitioner, in which case </w:t>
      </w:r>
      <w:r w:rsidRPr="00815EC4">
        <w:rPr>
          <w:rFonts w:ascii="Arial" w:hAnsi="Arial"/>
        </w:rPr>
        <w:t xml:space="preserve">pharmacists must record the supply </w:t>
      </w:r>
      <w:r w:rsidR="00485177">
        <w:rPr>
          <w:rFonts w:ascii="Arial" w:hAnsi="Arial"/>
        </w:rPr>
        <w:t>in</w:t>
      </w:r>
      <w:r w:rsidRPr="00815EC4">
        <w:rPr>
          <w:rFonts w:ascii="Arial" w:hAnsi="Arial"/>
        </w:rPr>
        <w:t xml:space="preserve"> the</w:t>
      </w:r>
      <w:r w:rsidR="00485177">
        <w:rPr>
          <w:rFonts w:ascii="Arial" w:hAnsi="Arial"/>
        </w:rPr>
        <w:t xml:space="preserve"> name of the</w:t>
      </w:r>
      <w:r w:rsidRPr="00815EC4">
        <w:rPr>
          <w:rFonts w:ascii="Arial" w:hAnsi="Arial"/>
        </w:rPr>
        <w:t xml:space="preserve"> medical practitioner </w:t>
      </w:r>
      <w:r w:rsidR="00485177">
        <w:rPr>
          <w:rFonts w:ascii="Arial" w:hAnsi="Arial"/>
        </w:rPr>
        <w:t>to whom the drugs were supplied</w:t>
      </w:r>
      <w:r w:rsidRPr="00815EC4">
        <w:rPr>
          <w:rFonts w:ascii="Arial" w:hAnsi="Arial"/>
        </w:rPr>
        <w:t>.</w:t>
      </w:r>
    </w:p>
    <w:p w:rsidR="000D6825" w:rsidRPr="00321F02" w:rsidRDefault="000D6825" w:rsidP="000D6825">
      <w:pPr>
        <w:pStyle w:val="DHheading2"/>
        <w:rPr>
          <w:b w:val="0"/>
          <w:bCs w:val="0"/>
          <w:color w:val="FF0000"/>
          <w:sz w:val="44"/>
        </w:rPr>
      </w:pPr>
      <w:r w:rsidRPr="00321F02">
        <w:rPr>
          <w:b w:val="0"/>
          <w:bCs w:val="0"/>
          <w:color w:val="FF0000"/>
          <w:sz w:val="44"/>
        </w:rPr>
        <w:t xml:space="preserve">Misappropriation of drugs </w:t>
      </w:r>
      <w:r w:rsidR="00BF521C">
        <w:rPr>
          <w:b w:val="0"/>
          <w:bCs w:val="0"/>
          <w:color w:val="FF0000"/>
          <w:sz w:val="44"/>
        </w:rPr>
        <w:t>within a pharmacy</w:t>
      </w:r>
    </w:p>
    <w:p w:rsidR="000D6825" w:rsidRPr="00321F02" w:rsidRDefault="000D6825" w:rsidP="000D6825">
      <w:pPr>
        <w:pStyle w:val="BodyText"/>
        <w:rPr>
          <w:rFonts w:ascii="Arial" w:hAnsi="Arial" w:cs="Arial"/>
          <w:b/>
          <w:bCs/>
          <w:sz w:val="20"/>
          <w:u w:val="single"/>
        </w:rPr>
      </w:pPr>
    </w:p>
    <w:p w:rsidR="000D6825" w:rsidRPr="00321F02" w:rsidRDefault="000D6825" w:rsidP="000D6825">
      <w:pPr>
        <w:pStyle w:val="DHbody"/>
      </w:pPr>
      <w:r w:rsidRPr="00321F02">
        <w:t>In recent years, DPR has investigated pharmacies in relation to misappropriation</w:t>
      </w:r>
      <w:r w:rsidR="00485177">
        <w:t>, self-administration</w:t>
      </w:r>
      <w:r w:rsidRPr="00321F02">
        <w:t xml:space="preserve"> and/or unlawful diversion of significant quantities of Schedule 8 poisons</w:t>
      </w:r>
      <w:r w:rsidR="00485177">
        <w:t>,</w:t>
      </w:r>
      <w:r w:rsidRPr="00321F02">
        <w:t xml:space="preserve"> including cocaine, dexamphetamine, methylphenidate, morphine, methadone, pethidine, oxycodone and alprazolam plus other drugs of dependence, diazepam, anabolic steroids and analgesics containing codeine (e.g. Panadeine Forte</w:t>
      </w:r>
      <w:r w:rsidRPr="00321F02">
        <w:rPr>
          <w:vertAlign w:val="superscript"/>
        </w:rPr>
        <w:t>®</w:t>
      </w:r>
      <w:r w:rsidRPr="00321F02">
        <w:t xml:space="preserve">). Offenders have been identified as pharmacists as well as dispensary technicians and other (previously) trusted staff members. </w:t>
      </w:r>
    </w:p>
    <w:p w:rsidR="000D6825" w:rsidRPr="00321F02" w:rsidRDefault="000D6825" w:rsidP="000D6825">
      <w:pPr>
        <w:pStyle w:val="DHbody"/>
      </w:pPr>
      <w:r w:rsidRPr="00321F02">
        <w:t xml:space="preserve">Lack of adequate supervision or inventory control by pharmacists and, where Schedule 8 poisons were involved, non-compliance with regulation 41 (maintaining accurate records) and regulation 43 (investigating discrepancies) were often contributing factors in enabling offenders to operate for many months (or years) without detection. </w:t>
      </w:r>
    </w:p>
    <w:p w:rsidR="000D6825" w:rsidRPr="00321F02" w:rsidRDefault="000D6825" w:rsidP="000D6825">
      <w:pPr>
        <w:pStyle w:val="DHbody"/>
      </w:pPr>
      <w:r w:rsidRPr="00321F02">
        <w:lastRenderedPageBreak/>
        <w:t xml:space="preserve">Offending pharmacists have </w:t>
      </w:r>
      <w:r w:rsidR="00BF521C">
        <w:t>endeavoured</w:t>
      </w:r>
      <w:r w:rsidRPr="00321F02">
        <w:t xml:space="preserve"> to conceal their activities by:</w:t>
      </w:r>
    </w:p>
    <w:p w:rsidR="000D6825" w:rsidRPr="00321F02" w:rsidRDefault="000D6825" w:rsidP="000D6825">
      <w:pPr>
        <w:pStyle w:val="DHbullet"/>
        <w:numPr>
          <w:ilvl w:val="0"/>
          <w:numId w:val="1"/>
        </w:numPr>
        <w:tabs>
          <w:tab w:val="clear" w:pos="360"/>
          <w:tab w:val="clear" w:pos="720"/>
          <w:tab w:val="num" w:pos="287"/>
        </w:tabs>
        <w:ind w:left="289" w:hanging="289"/>
      </w:pPr>
      <w:r w:rsidRPr="00321F02">
        <w:t>creating false records of prescriptions or of drugs purportedly supplied to other pharmacies</w:t>
      </w:r>
    </w:p>
    <w:p w:rsidR="000D6825" w:rsidRPr="00321F02" w:rsidRDefault="000D6825" w:rsidP="000D6825">
      <w:pPr>
        <w:pStyle w:val="DHbullet"/>
        <w:numPr>
          <w:ilvl w:val="0"/>
          <w:numId w:val="1"/>
        </w:numPr>
        <w:tabs>
          <w:tab w:val="clear" w:pos="360"/>
          <w:tab w:val="clear" w:pos="720"/>
          <w:tab w:val="num" w:pos="287"/>
        </w:tabs>
        <w:ind w:left="289" w:hanging="289"/>
      </w:pPr>
      <w:r w:rsidRPr="00321F02">
        <w:t>ordering Schedule 8 poisons but not recording the receipt of the drugs in the drug register</w:t>
      </w:r>
    </w:p>
    <w:p w:rsidR="000D6825" w:rsidRPr="00321F02" w:rsidRDefault="000D6825" w:rsidP="000D6825">
      <w:pPr>
        <w:pStyle w:val="DHbullet"/>
        <w:numPr>
          <w:ilvl w:val="0"/>
          <w:numId w:val="1"/>
        </w:numPr>
        <w:tabs>
          <w:tab w:val="clear" w:pos="360"/>
          <w:tab w:val="clear" w:pos="720"/>
          <w:tab w:val="num" w:pos="287"/>
        </w:tabs>
        <w:ind w:left="289" w:hanging="289"/>
      </w:pPr>
      <w:r w:rsidRPr="00321F02">
        <w:t>falsely recording the destruction or spillage of Schedule 8 poisons</w:t>
      </w:r>
    </w:p>
    <w:p w:rsidR="000D6825" w:rsidRPr="00321F02" w:rsidRDefault="000D6825" w:rsidP="000D6825">
      <w:pPr>
        <w:pStyle w:val="DHbullet"/>
        <w:numPr>
          <w:ilvl w:val="0"/>
          <w:numId w:val="1"/>
        </w:numPr>
        <w:tabs>
          <w:tab w:val="clear" w:pos="360"/>
          <w:tab w:val="clear" w:pos="720"/>
          <w:tab w:val="num" w:pos="287"/>
        </w:tabs>
        <w:ind w:left="289" w:hanging="289"/>
      </w:pPr>
      <w:r w:rsidRPr="00321F02">
        <w:t>creating forged prescriptions or fraudulent repeat authorisations</w:t>
      </w:r>
    </w:p>
    <w:p w:rsidR="000D6825" w:rsidRPr="00321F02" w:rsidRDefault="000D6825" w:rsidP="000D6825">
      <w:pPr>
        <w:pStyle w:val="DHbullet"/>
        <w:numPr>
          <w:ilvl w:val="0"/>
          <w:numId w:val="1"/>
        </w:numPr>
        <w:tabs>
          <w:tab w:val="clear" w:pos="360"/>
          <w:tab w:val="clear" w:pos="720"/>
          <w:tab w:val="num" w:pos="287"/>
        </w:tabs>
        <w:ind w:left="289" w:hanging="289"/>
      </w:pPr>
      <w:r w:rsidRPr="00321F02">
        <w:t>failing to record Schedule 8 poisons that were returned to the pharmacy for destruction.</w:t>
      </w:r>
    </w:p>
    <w:p w:rsidR="000D6825" w:rsidRPr="00321F02" w:rsidRDefault="000D6825" w:rsidP="000D6825">
      <w:pPr>
        <w:pStyle w:val="BodyText"/>
        <w:ind w:left="360"/>
        <w:rPr>
          <w:rFonts w:ascii="Arial" w:hAnsi="Arial" w:cs="Arial"/>
          <w:b/>
          <w:bCs/>
          <w:sz w:val="20"/>
          <w:u w:val="single"/>
        </w:rPr>
      </w:pPr>
    </w:p>
    <w:p w:rsidR="00485177" w:rsidRPr="002C54C8" w:rsidRDefault="00485177" w:rsidP="000D6825">
      <w:pPr>
        <w:pStyle w:val="DHbody"/>
        <w:rPr>
          <w:b/>
          <w:sz w:val="28"/>
          <w:szCs w:val="28"/>
        </w:rPr>
      </w:pPr>
      <w:r w:rsidRPr="002C54C8">
        <w:rPr>
          <w:b/>
          <w:sz w:val="28"/>
          <w:szCs w:val="28"/>
        </w:rPr>
        <w:t xml:space="preserve">Misappropriation by </w:t>
      </w:r>
      <w:r w:rsidR="00BF521C">
        <w:rPr>
          <w:b/>
          <w:sz w:val="28"/>
          <w:szCs w:val="28"/>
        </w:rPr>
        <w:t xml:space="preserve">pharmacy </w:t>
      </w:r>
      <w:r w:rsidRPr="002C54C8">
        <w:rPr>
          <w:b/>
          <w:sz w:val="28"/>
          <w:szCs w:val="28"/>
        </w:rPr>
        <w:t>staff</w:t>
      </w:r>
    </w:p>
    <w:p w:rsidR="000D6825" w:rsidRDefault="000D6825" w:rsidP="000D6825">
      <w:pPr>
        <w:pStyle w:val="DHbody"/>
      </w:pPr>
      <w:r w:rsidRPr="00321F02">
        <w:t>Misappropriation by other staff has sometimes involved ordering drugs of dependence and removing corresponding invoices; or deleting, amending and manipulating inventory records. Delegation of duties does not relieve pharmacists of their responsibilities to prevent unauthorised access to Schedule 4 and Schedule 8 poisons; pharmacies should have procedures in place to deter misappropriation and to detect it promptly, should it occur.</w:t>
      </w:r>
    </w:p>
    <w:p w:rsidR="0057690C" w:rsidRDefault="00485177" w:rsidP="000D6825">
      <w:pPr>
        <w:pStyle w:val="DHbody"/>
      </w:pPr>
      <w:r>
        <w:t xml:space="preserve">Division 4 of the Drugs Poisons and Controlled Substances Regulations 2006 requires pharmacists to take all reasonable steps to prevent unauthorised persons having access to Schedule 4 and Schedule 8 poisons. </w:t>
      </w:r>
      <w:r w:rsidR="0057690C">
        <w:t>The fact that a person is a long-term, well-trusted employee is not justification for a pharmacist to fail to provide the level of supervision and security required by the legislation.</w:t>
      </w:r>
    </w:p>
    <w:p w:rsidR="002C54C8" w:rsidRDefault="002C54C8" w:rsidP="000D6825">
      <w:pPr>
        <w:pStyle w:val="DHbody"/>
      </w:pPr>
    </w:p>
    <w:p w:rsidR="00407EAB" w:rsidRPr="00020F57" w:rsidRDefault="00407EAB" w:rsidP="00407EAB">
      <w:pPr>
        <w:pStyle w:val="DHheading2"/>
      </w:pPr>
      <w:r w:rsidRPr="00020F57">
        <w:t>For further information</w:t>
      </w:r>
    </w:p>
    <w:p w:rsidR="00407EAB" w:rsidRPr="00020F57" w:rsidRDefault="00407EAB" w:rsidP="00407EAB">
      <w:pPr>
        <w:pStyle w:val="DHHeading3"/>
      </w:pPr>
      <w:r w:rsidRPr="00020F57">
        <w:t xml:space="preserve">Department of Health (DH)  </w:t>
      </w:r>
    </w:p>
    <w:p w:rsidR="00407EAB" w:rsidRPr="00020F57" w:rsidRDefault="00407EAB" w:rsidP="00407EAB">
      <w:pPr>
        <w:pStyle w:val="DHbodynospace"/>
      </w:pPr>
      <w:r w:rsidRPr="00020F57">
        <w:t xml:space="preserve">Drugs and Poisons Regulation, </w:t>
      </w:r>
    </w:p>
    <w:p w:rsidR="00407EAB" w:rsidRPr="00020F57" w:rsidRDefault="00407EAB" w:rsidP="00407EAB">
      <w:pPr>
        <w:pStyle w:val="DHbodynospace"/>
      </w:pPr>
      <w:r w:rsidRPr="00020F57">
        <w:t xml:space="preserve">GPO Box </w:t>
      </w:r>
      <w:r>
        <w:t>4541</w:t>
      </w:r>
    </w:p>
    <w:p w:rsidR="00407EAB" w:rsidRPr="00020F57" w:rsidRDefault="00407EAB" w:rsidP="00407EAB">
      <w:pPr>
        <w:pStyle w:val="DHbodynospace"/>
      </w:pPr>
      <w:r w:rsidRPr="00020F57">
        <w:t>Melbourne 3001</w:t>
      </w:r>
    </w:p>
    <w:p w:rsidR="00407EAB" w:rsidRPr="00020F57" w:rsidRDefault="00407EAB" w:rsidP="00407EAB">
      <w:pPr>
        <w:pStyle w:val="DHbodynospace"/>
      </w:pPr>
    </w:p>
    <w:p w:rsidR="00407EAB" w:rsidRPr="00020F57" w:rsidRDefault="00407EAB" w:rsidP="00407EAB">
      <w:pPr>
        <w:pStyle w:val="DHbodynospace"/>
      </w:pPr>
      <w:r w:rsidRPr="00020F57">
        <w:t>Tel: 1300 364 545</w:t>
      </w:r>
      <w:r w:rsidRPr="00020F57">
        <w:tab/>
        <w:t xml:space="preserve"> </w:t>
      </w:r>
    </w:p>
    <w:p w:rsidR="00407EAB" w:rsidRDefault="00407EAB" w:rsidP="00407EAB">
      <w:pPr>
        <w:pStyle w:val="DHbodynospace"/>
      </w:pPr>
      <w:r w:rsidRPr="00020F57">
        <w:t>Fax: 1300 360 830</w:t>
      </w:r>
    </w:p>
    <w:p w:rsidR="00407EAB" w:rsidRPr="00020F57" w:rsidRDefault="00407EAB" w:rsidP="00407EAB">
      <w:pPr>
        <w:pStyle w:val="DHbodynospace"/>
      </w:pPr>
    </w:p>
    <w:p w:rsidR="00407EAB" w:rsidRDefault="00407EAB" w:rsidP="00407EAB">
      <w:pPr>
        <w:pStyle w:val="DHbodynospace"/>
      </w:pPr>
      <w:r w:rsidRPr="005458FF">
        <w:t xml:space="preserve">Email: </w:t>
      </w:r>
      <w:r>
        <w:tab/>
      </w:r>
      <w:hyperlink r:id="rId11" w:history="1">
        <w:r w:rsidRPr="005458FF">
          <w:rPr>
            <w:rStyle w:val="Hyperlink"/>
            <w:rFonts w:ascii="Arial" w:hAnsi="Arial"/>
            <w:b/>
          </w:rPr>
          <w:t>dpcs@health.vic.gov.au</w:t>
        </w:r>
      </w:hyperlink>
    </w:p>
    <w:p w:rsidR="00407EAB" w:rsidRPr="00090A38" w:rsidRDefault="00407EAB" w:rsidP="00407EAB">
      <w:pPr>
        <w:pStyle w:val="DHbody"/>
      </w:pPr>
      <w:r w:rsidRPr="005458FF">
        <w:t xml:space="preserve">Web: </w:t>
      </w:r>
      <w:r>
        <w:tab/>
      </w:r>
      <w:hyperlink r:id="rId12" w:history="1">
        <w:r w:rsidRPr="005458FF">
          <w:rPr>
            <w:rStyle w:val="Hyperlink"/>
            <w:rFonts w:ascii="Arial" w:hAnsi="Arial"/>
            <w:b/>
            <w:szCs w:val="19"/>
          </w:rPr>
          <w:t>www.health.vic.gov.au/dpcs</w:t>
        </w:r>
      </w:hyperlink>
    </w:p>
    <w:p w:rsidR="00407EAB" w:rsidRDefault="00407EAB" w:rsidP="00407EAB">
      <w:pPr>
        <w:pStyle w:val="DHbodynospace"/>
        <w:jc w:val="right"/>
      </w:pPr>
    </w:p>
    <w:tbl>
      <w:tblPr>
        <w:tblStyle w:val="TableGrid"/>
        <w:tblW w:w="0" w:type="auto"/>
        <w:tblLook w:val="04A0" w:firstRow="1" w:lastRow="0" w:firstColumn="1" w:lastColumn="0" w:noHBand="0" w:noVBand="1"/>
      </w:tblPr>
      <w:tblGrid>
        <w:gridCol w:w="10137"/>
      </w:tblGrid>
      <w:tr w:rsidR="00F10D45" w:rsidTr="0057690C">
        <w:tc>
          <w:tcPr>
            <w:tcW w:w="10137" w:type="dxa"/>
            <w:shd w:val="clear" w:color="auto" w:fill="auto"/>
          </w:tcPr>
          <w:p w:rsidR="00F10D45" w:rsidRPr="0057690C" w:rsidRDefault="00F10D45" w:rsidP="00F10D45">
            <w:pPr>
              <w:autoSpaceDE w:val="0"/>
              <w:autoSpaceDN w:val="0"/>
              <w:adjustRightInd w:val="0"/>
              <w:rPr>
                <w:rFonts w:ascii="Arial" w:hAnsi="Arial" w:cs="Arial"/>
              </w:rPr>
            </w:pPr>
            <w:r w:rsidRPr="0057690C">
              <w:rPr>
                <w:rFonts w:ascii="Arial" w:hAnsi="Arial" w:cs="Arial"/>
              </w:rPr>
              <w:t>Authorised and published by the Victorian Government, 50 Lonsdale St, Melbourne.</w:t>
            </w:r>
          </w:p>
          <w:p w:rsidR="00F10D45" w:rsidRPr="0057690C" w:rsidRDefault="00F10D45" w:rsidP="00F10D45">
            <w:pPr>
              <w:pStyle w:val="DHbodynospace"/>
              <w:rPr>
                <w:rFonts w:cs="Arial"/>
              </w:rPr>
            </w:pPr>
            <w:r w:rsidRPr="0057690C">
              <w:rPr>
                <w:rFonts w:cs="Arial"/>
              </w:rPr>
              <w:t xml:space="preserve">To receive this publication in an accessible format phone Drugs and Poisons Regulation on 1300 364 545 or forward an Email to </w:t>
            </w:r>
            <w:hyperlink r:id="rId13" w:history="1">
              <w:r w:rsidR="00317D1B" w:rsidRPr="0057690C">
                <w:rPr>
                  <w:rStyle w:val="Hyperlink"/>
                  <w:rFonts w:ascii="Arial" w:hAnsi="Arial" w:cs="Arial"/>
                </w:rPr>
                <w:t>dpcs@health.vic.gov.au</w:t>
              </w:r>
            </w:hyperlink>
          </w:p>
          <w:p w:rsidR="00317D1B" w:rsidRDefault="00BF521C" w:rsidP="00317D1B">
            <w:pPr>
              <w:pStyle w:val="DHbodynospace"/>
              <w:jc w:val="right"/>
            </w:pPr>
            <w:r>
              <w:t>April</w:t>
            </w:r>
            <w:bookmarkStart w:id="0" w:name="_GoBack"/>
            <w:bookmarkEnd w:id="0"/>
            <w:r w:rsidR="00317D1B" w:rsidRPr="0057690C">
              <w:t xml:space="preserve"> 2014</w:t>
            </w:r>
          </w:p>
        </w:tc>
      </w:tr>
    </w:tbl>
    <w:p w:rsidR="00407EAB" w:rsidRDefault="00407EAB" w:rsidP="00407EAB">
      <w:pPr>
        <w:pStyle w:val="DHbodynospace"/>
        <w:jc w:val="right"/>
      </w:pPr>
    </w:p>
    <w:p w:rsidR="003C7EBB" w:rsidRDefault="003C7EBB" w:rsidP="003C7EBB">
      <w:pPr>
        <w:pStyle w:val="DHbodynospace"/>
      </w:pPr>
    </w:p>
    <w:sectPr w:rsidR="003C7EBB" w:rsidSect="00FC154F">
      <w:type w:val="continuous"/>
      <w:pgSz w:w="11906" w:h="16838"/>
      <w:pgMar w:top="-1264" w:right="851" w:bottom="1418" w:left="1134"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E7" w:rsidRDefault="004507E7">
      <w:r>
        <w:separator/>
      </w:r>
    </w:p>
  </w:endnote>
  <w:endnote w:type="continuationSeparator" w:id="0">
    <w:p w:rsidR="004507E7" w:rsidRDefault="0045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4F" w:rsidRPr="005A39EC" w:rsidRDefault="00BB15E1" w:rsidP="00FC154F">
    <w:pPr>
      <w:pStyle w:val="Footer"/>
      <w:tabs>
        <w:tab w:val="clear" w:pos="4153"/>
        <w:tab w:val="clear" w:pos="8306"/>
        <w:tab w:val="right" w:pos="9955"/>
      </w:tabs>
      <w:rPr>
        <w:color w:val="808080"/>
      </w:rPr>
    </w:pPr>
    <w:r>
      <w:rPr>
        <w:rFonts w:ascii="Arial" w:hAnsi="Arial" w:cs="Arial"/>
        <w:color w:val="808080"/>
      </w:rPr>
      <w:t xml:space="preserve">Page </w:t>
    </w:r>
    <w:r w:rsidRPr="005A39EC">
      <w:rPr>
        <w:rFonts w:ascii="Arial" w:hAnsi="Arial" w:cs="Arial"/>
        <w:color w:val="808080"/>
      </w:rPr>
      <w:fldChar w:fldCharType="begin"/>
    </w:r>
    <w:r w:rsidRPr="005A39EC">
      <w:rPr>
        <w:rFonts w:ascii="Arial" w:hAnsi="Arial" w:cs="Arial"/>
        <w:color w:val="808080"/>
      </w:rPr>
      <w:instrText xml:space="preserve"> PAGE </w:instrText>
    </w:r>
    <w:r w:rsidRPr="005A39EC">
      <w:rPr>
        <w:rFonts w:ascii="Arial" w:hAnsi="Arial" w:cs="Arial"/>
        <w:color w:val="808080"/>
      </w:rPr>
      <w:fldChar w:fldCharType="separate"/>
    </w:r>
    <w:r w:rsidR="00BF521C">
      <w:rPr>
        <w:rFonts w:ascii="Arial" w:hAnsi="Arial" w:cs="Arial"/>
        <w:noProof/>
        <w:color w:val="808080"/>
      </w:rPr>
      <w:t>4</w:t>
    </w:r>
    <w:r w:rsidRPr="005A39EC">
      <w:rPr>
        <w:rFonts w:ascii="Arial" w:hAnsi="Arial" w:cs="Arial"/>
        <w:color w:val="808080"/>
      </w:rPr>
      <w:fldChar w:fldCharType="end"/>
    </w:r>
    <w:r>
      <w:rPr>
        <w:rFonts w:ascii="Arial" w:hAnsi="Arial" w:cs="Arial"/>
        <w:color w:val="808080"/>
      </w:rPr>
      <w:tab/>
    </w:r>
    <w:r w:rsidRPr="008732BC">
      <w:rPr>
        <w:rFonts w:ascii="Arial" w:hAnsi="Arial" w:cs="Arial"/>
        <w:color w:val="808080"/>
      </w:rPr>
      <w:t>Department of Health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4F" w:rsidRPr="008732BC" w:rsidRDefault="00BB15E1" w:rsidP="00FC154F">
    <w:pPr>
      <w:pStyle w:val="Footer"/>
      <w:tabs>
        <w:tab w:val="clear" w:pos="4153"/>
        <w:tab w:val="clear" w:pos="8306"/>
      </w:tabs>
      <w:rPr>
        <w:color w:val="808080"/>
      </w:rPr>
    </w:pPr>
    <w:r>
      <w:rPr>
        <w:noProof/>
        <w:lang w:eastAsia="en-AU"/>
      </w:rPr>
      <w:drawing>
        <wp:inline distT="0" distB="0" distL="0" distR="0">
          <wp:extent cx="695325" cy="400050"/>
          <wp:effectExtent l="0" t="0" r="9525" b="0"/>
          <wp:docPr id="4" name="Picture 4" descr="Stand%20Alone%20Insignia%20PMS%2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20Alone%20Insignia%20PMS%20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inline>
      </w:drawing>
    </w:r>
    <w:r>
      <w:t xml:space="preserve">                                                                                              </w:t>
    </w:r>
    <w:r w:rsidRPr="00395A60">
      <w:rPr>
        <w:rFonts w:ascii="Arial" w:hAnsi="Arial" w:cs="Arial"/>
        <w:b/>
        <w:color w:val="808080"/>
      </w:rPr>
      <w:t>.</w:t>
    </w:r>
    <w:r>
      <w:rPr>
        <w:rFonts w:ascii="Arial" w:hAnsi="Arial" w:cs="Arial"/>
        <w:color w:val="808080"/>
      </w:rPr>
      <w:tab/>
    </w:r>
    <w:r w:rsidRPr="008732BC">
      <w:rPr>
        <w:rFonts w:ascii="Arial" w:hAnsi="Arial" w:cs="Arial"/>
        <w:color w:val="808080"/>
      </w:rPr>
      <w:t>Department of 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E7" w:rsidRDefault="004507E7">
      <w:r>
        <w:separator/>
      </w:r>
    </w:p>
  </w:footnote>
  <w:footnote w:type="continuationSeparator" w:id="0">
    <w:p w:rsidR="004507E7" w:rsidRDefault="00450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A261E"/>
    <w:multiLevelType w:val="hybridMultilevel"/>
    <w:tmpl w:val="18745D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9B83E5B"/>
    <w:multiLevelType w:val="hybridMultilevel"/>
    <w:tmpl w:val="1F62786C"/>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
    <w:nsid w:val="6A1F632D"/>
    <w:multiLevelType w:val="hybridMultilevel"/>
    <w:tmpl w:val="05F60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FFC68FD"/>
    <w:multiLevelType w:val="hybridMultilevel"/>
    <w:tmpl w:val="F850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317798B"/>
    <w:multiLevelType w:val="hybridMultilevel"/>
    <w:tmpl w:val="ACE414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E1"/>
    <w:rsid w:val="00020ADB"/>
    <w:rsid w:val="00030FED"/>
    <w:rsid w:val="00052CB3"/>
    <w:rsid w:val="000571AC"/>
    <w:rsid w:val="00095634"/>
    <w:rsid w:val="000B4600"/>
    <w:rsid w:val="000C1183"/>
    <w:rsid w:val="000C22E5"/>
    <w:rsid w:val="000C5B2A"/>
    <w:rsid w:val="000D6825"/>
    <w:rsid w:val="000E2453"/>
    <w:rsid w:val="0011575C"/>
    <w:rsid w:val="001940E4"/>
    <w:rsid w:val="00235F03"/>
    <w:rsid w:val="002B76B1"/>
    <w:rsid w:val="002C54C8"/>
    <w:rsid w:val="002D0958"/>
    <w:rsid w:val="002E62CA"/>
    <w:rsid w:val="002F52DE"/>
    <w:rsid w:val="00317D1B"/>
    <w:rsid w:val="00322E93"/>
    <w:rsid w:val="0034348F"/>
    <w:rsid w:val="003671B9"/>
    <w:rsid w:val="00382699"/>
    <w:rsid w:val="00383958"/>
    <w:rsid w:val="003C7EBB"/>
    <w:rsid w:val="003D0946"/>
    <w:rsid w:val="00407EAB"/>
    <w:rsid w:val="0043310D"/>
    <w:rsid w:val="0044118F"/>
    <w:rsid w:val="004507E7"/>
    <w:rsid w:val="00485177"/>
    <w:rsid w:val="0052232A"/>
    <w:rsid w:val="0057690C"/>
    <w:rsid w:val="006270B7"/>
    <w:rsid w:val="006569A6"/>
    <w:rsid w:val="00691437"/>
    <w:rsid w:val="0069283F"/>
    <w:rsid w:val="006A6DED"/>
    <w:rsid w:val="0076037E"/>
    <w:rsid w:val="00761D20"/>
    <w:rsid w:val="00797C97"/>
    <w:rsid w:val="00815EC4"/>
    <w:rsid w:val="00832DB7"/>
    <w:rsid w:val="008A3261"/>
    <w:rsid w:val="008C13E8"/>
    <w:rsid w:val="008C53CE"/>
    <w:rsid w:val="008C5A2E"/>
    <w:rsid w:val="0090748B"/>
    <w:rsid w:val="009E514B"/>
    <w:rsid w:val="00A211DB"/>
    <w:rsid w:val="00A24BD7"/>
    <w:rsid w:val="00A4176A"/>
    <w:rsid w:val="00AD0F5C"/>
    <w:rsid w:val="00BA6508"/>
    <w:rsid w:val="00BA7321"/>
    <w:rsid w:val="00BB15E1"/>
    <w:rsid w:val="00BF521C"/>
    <w:rsid w:val="00C44D7A"/>
    <w:rsid w:val="00C6511E"/>
    <w:rsid w:val="00CA008B"/>
    <w:rsid w:val="00D809F9"/>
    <w:rsid w:val="00DA45DA"/>
    <w:rsid w:val="00DD6CC2"/>
    <w:rsid w:val="00DF7FEB"/>
    <w:rsid w:val="00E04E90"/>
    <w:rsid w:val="00E11128"/>
    <w:rsid w:val="00E927A3"/>
    <w:rsid w:val="00F10D45"/>
    <w:rsid w:val="00F96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90"/>
    <w:pPr>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15E1"/>
    <w:pPr>
      <w:tabs>
        <w:tab w:val="center" w:pos="4153"/>
        <w:tab w:val="right" w:pos="8306"/>
      </w:tabs>
    </w:pPr>
  </w:style>
  <w:style w:type="character" w:customStyle="1" w:styleId="FooterChar">
    <w:name w:val="Footer Char"/>
    <w:basedOn w:val="DefaultParagraphFont"/>
    <w:link w:val="Footer"/>
    <w:rsid w:val="00BB15E1"/>
    <w:rPr>
      <w:rFonts w:ascii="Verdana" w:eastAsia="Times New Roman" w:hAnsi="Verdana" w:cs="Times New Roman"/>
      <w:sz w:val="20"/>
      <w:szCs w:val="20"/>
    </w:rPr>
  </w:style>
  <w:style w:type="character" w:styleId="Hyperlink">
    <w:name w:val="Hyperlink"/>
    <w:rsid w:val="00BB15E1"/>
    <w:rPr>
      <w:rFonts w:ascii="Verdana" w:hAnsi="Verdana"/>
      <w:color w:val="0000FF"/>
      <w:u w:val="single"/>
    </w:rPr>
  </w:style>
  <w:style w:type="paragraph" w:customStyle="1" w:styleId="DHbody">
    <w:name w:val="DH body"/>
    <w:link w:val="DHbodyChar"/>
    <w:rsid w:val="00BB15E1"/>
    <w:pPr>
      <w:spacing w:after="120" w:line="270" w:lineRule="exact"/>
    </w:pPr>
    <w:rPr>
      <w:rFonts w:ascii="Arial" w:eastAsia="Times" w:hAnsi="Arial" w:cs="Times New Roman"/>
      <w:sz w:val="20"/>
      <w:szCs w:val="20"/>
    </w:rPr>
  </w:style>
  <w:style w:type="paragraph" w:customStyle="1" w:styleId="DHbodynospace">
    <w:name w:val="DH body no space"/>
    <w:basedOn w:val="DHbody"/>
    <w:rsid w:val="00BB15E1"/>
    <w:pPr>
      <w:spacing w:after="0"/>
    </w:pPr>
  </w:style>
  <w:style w:type="paragraph" w:customStyle="1" w:styleId="DHbullet">
    <w:name w:val="DH bullet"/>
    <w:basedOn w:val="DHbody"/>
    <w:rsid w:val="00BB15E1"/>
    <w:pPr>
      <w:tabs>
        <w:tab w:val="num" w:pos="287"/>
        <w:tab w:val="num" w:pos="360"/>
      </w:tabs>
      <w:ind w:left="289" w:hanging="289"/>
    </w:pPr>
  </w:style>
  <w:style w:type="paragraph" w:customStyle="1" w:styleId="DHheading2">
    <w:name w:val="DH heading 2"/>
    <w:next w:val="DHbody"/>
    <w:link w:val="DHheading2Char"/>
    <w:rsid w:val="00BB15E1"/>
    <w:pPr>
      <w:spacing w:before="240" w:after="90" w:line="320" w:lineRule="exact"/>
    </w:pPr>
    <w:rPr>
      <w:rFonts w:ascii="Arial" w:eastAsia="Times New Roman" w:hAnsi="Arial" w:cs="Times New Roman"/>
      <w:b/>
      <w:bCs/>
      <w:sz w:val="28"/>
      <w:szCs w:val="24"/>
    </w:rPr>
  </w:style>
  <w:style w:type="paragraph" w:customStyle="1" w:styleId="DHHeading3">
    <w:name w:val="DH Heading 3"/>
    <w:basedOn w:val="Normal"/>
    <w:link w:val="DHHeading3Char"/>
    <w:rsid w:val="00BB15E1"/>
    <w:pPr>
      <w:spacing w:before="280" w:after="120" w:line="270" w:lineRule="exact"/>
    </w:pPr>
    <w:rPr>
      <w:rFonts w:ascii="Arial" w:hAnsi="Arial"/>
      <w:b/>
      <w:bCs/>
      <w:sz w:val="24"/>
      <w:szCs w:val="24"/>
      <w:lang w:val="it-IT"/>
    </w:rPr>
  </w:style>
  <w:style w:type="paragraph" w:customStyle="1" w:styleId="DHSubheading">
    <w:name w:val="DH Subheading"/>
    <w:basedOn w:val="Normal"/>
    <w:rsid w:val="00BB15E1"/>
    <w:pPr>
      <w:spacing w:before="240" w:after="120"/>
    </w:pPr>
    <w:rPr>
      <w:rFonts w:ascii="Arial" w:hAnsi="Arial"/>
      <w:bCs/>
      <w:color w:val="FFFFFF"/>
      <w:sz w:val="28"/>
      <w:szCs w:val="28"/>
    </w:rPr>
  </w:style>
  <w:style w:type="paragraph" w:customStyle="1" w:styleId="DHMainheading">
    <w:name w:val="DH Main heading"/>
    <w:basedOn w:val="Normal"/>
    <w:rsid w:val="00BB15E1"/>
    <w:pPr>
      <w:spacing w:before="360"/>
    </w:pPr>
    <w:rPr>
      <w:rFonts w:ascii="Arial" w:hAnsi="Arial"/>
      <w:bCs/>
      <w:color w:val="FFFFFF"/>
      <w:sz w:val="44"/>
      <w:szCs w:val="44"/>
    </w:rPr>
  </w:style>
  <w:style w:type="character" w:customStyle="1" w:styleId="DHheading2Char">
    <w:name w:val="DH heading 2 Char"/>
    <w:link w:val="DHheading2"/>
    <w:rsid w:val="00BB15E1"/>
    <w:rPr>
      <w:rFonts w:ascii="Arial" w:eastAsia="Times New Roman" w:hAnsi="Arial" w:cs="Times New Roman"/>
      <w:b/>
      <w:bCs/>
      <w:sz w:val="28"/>
      <w:szCs w:val="24"/>
    </w:rPr>
  </w:style>
  <w:style w:type="character" w:customStyle="1" w:styleId="DHHeading3Char">
    <w:name w:val="DH Heading 3 Char"/>
    <w:link w:val="DHHeading3"/>
    <w:rsid w:val="00BB15E1"/>
    <w:rPr>
      <w:rFonts w:ascii="Arial" w:eastAsia="Times New Roman" w:hAnsi="Arial" w:cs="Times New Roman"/>
      <w:b/>
      <w:bCs/>
      <w:sz w:val="24"/>
      <w:szCs w:val="24"/>
      <w:lang w:val="it-IT"/>
    </w:rPr>
  </w:style>
  <w:style w:type="character" w:customStyle="1" w:styleId="DHbodyChar">
    <w:name w:val="DH body Char"/>
    <w:link w:val="DHbody"/>
    <w:rsid w:val="00BB15E1"/>
    <w:rPr>
      <w:rFonts w:ascii="Arial" w:eastAsia="Times" w:hAnsi="Arial" w:cs="Times New Roman"/>
      <w:sz w:val="20"/>
      <w:szCs w:val="20"/>
    </w:rPr>
  </w:style>
  <w:style w:type="paragraph" w:styleId="BalloonText">
    <w:name w:val="Balloon Text"/>
    <w:basedOn w:val="Normal"/>
    <w:link w:val="BalloonTextChar"/>
    <w:uiPriority w:val="99"/>
    <w:semiHidden/>
    <w:unhideWhenUsed/>
    <w:rsid w:val="00BB15E1"/>
    <w:rPr>
      <w:rFonts w:ascii="Tahoma" w:hAnsi="Tahoma" w:cs="Tahoma"/>
      <w:sz w:val="16"/>
      <w:szCs w:val="16"/>
    </w:rPr>
  </w:style>
  <w:style w:type="character" w:customStyle="1" w:styleId="BalloonTextChar">
    <w:name w:val="Balloon Text Char"/>
    <w:basedOn w:val="DefaultParagraphFont"/>
    <w:link w:val="BalloonText"/>
    <w:uiPriority w:val="99"/>
    <w:semiHidden/>
    <w:rsid w:val="00BB15E1"/>
    <w:rPr>
      <w:rFonts w:ascii="Tahoma" w:eastAsia="Times New Roman" w:hAnsi="Tahoma" w:cs="Tahoma"/>
      <w:sz w:val="16"/>
      <w:szCs w:val="16"/>
    </w:rPr>
  </w:style>
  <w:style w:type="paragraph" w:customStyle="1" w:styleId="DHheading4">
    <w:name w:val="DH heading 4"/>
    <w:next w:val="DHbody"/>
    <w:link w:val="DHheading4Char"/>
    <w:rsid w:val="00407EAB"/>
    <w:pPr>
      <w:spacing w:before="120" w:after="120" w:line="240" w:lineRule="exact"/>
    </w:pPr>
    <w:rPr>
      <w:rFonts w:ascii="Arial" w:eastAsia="Times New Roman" w:hAnsi="Arial" w:cs="Times New Roman"/>
      <w:b/>
      <w:bCs/>
      <w:sz w:val="20"/>
      <w:szCs w:val="20"/>
    </w:rPr>
  </w:style>
  <w:style w:type="character" w:customStyle="1" w:styleId="DHheading4Char">
    <w:name w:val="DH heading 4 Char"/>
    <w:basedOn w:val="DefaultParagraphFont"/>
    <w:link w:val="DHheading4"/>
    <w:rsid w:val="00407EAB"/>
    <w:rPr>
      <w:rFonts w:ascii="Arial" w:eastAsia="Times New Roman" w:hAnsi="Arial" w:cs="Times New Roman"/>
      <w:b/>
      <w:bCs/>
      <w:sz w:val="20"/>
      <w:szCs w:val="20"/>
    </w:rPr>
  </w:style>
  <w:style w:type="paragraph" w:styleId="BodyText">
    <w:name w:val="Body Text"/>
    <w:basedOn w:val="Normal"/>
    <w:link w:val="BodyTextChar"/>
    <w:rsid w:val="00691437"/>
    <w:rPr>
      <w:sz w:val="18"/>
    </w:rPr>
  </w:style>
  <w:style w:type="character" w:customStyle="1" w:styleId="BodyTextChar">
    <w:name w:val="Body Text Char"/>
    <w:basedOn w:val="DefaultParagraphFont"/>
    <w:link w:val="BodyText"/>
    <w:rsid w:val="00691437"/>
    <w:rPr>
      <w:rFonts w:ascii="Verdana" w:eastAsia="Times New Roman" w:hAnsi="Verdana" w:cs="Times New Roman"/>
      <w:sz w:val="18"/>
      <w:szCs w:val="20"/>
    </w:rPr>
  </w:style>
  <w:style w:type="table" w:styleId="TableGrid">
    <w:name w:val="Table Grid"/>
    <w:basedOn w:val="TableNormal"/>
    <w:uiPriority w:val="59"/>
    <w:rsid w:val="00F10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90"/>
    <w:pPr>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15E1"/>
    <w:pPr>
      <w:tabs>
        <w:tab w:val="center" w:pos="4153"/>
        <w:tab w:val="right" w:pos="8306"/>
      </w:tabs>
    </w:pPr>
  </w:style>
  <w:style w:type="character" w:customStyle="1" w:styleId="FooterChar">
    <w:name w:val="Footer Char"/>
    <w:basedOn w:val="DefaultParagraphFont"/>
    <w:link w:val="Footer"/>
    <w:rsid w:val="00BB15E1"/>
    <w:rPr>
      <w:rFonts w:ascii="Verdana" w:eastAsia="Times New Roman" w:hAnsi="Verdana" w:cs="Times New Roman"/>
      <w:sz w:val="20"/>
      <w:szCs w:val="20"/>
    </w:rPr>
  </w:style>
  <w:style w:type="character" w:styleId="Hyperlink">
    <w:name w:val="Hyperlink"/>
    <w:rsid w:val="00BB15E1"/>
    <w:rPr>
      <w:rFonts w:ascii="Verdana" w:hAnsi="Verdana"/>
      <w:color w:val="0000FF"/>
      <w:u w:val="single"/>
    </w:rPr>
  </w:style>
  <w:style w:type="paragraph" w:customStyle="1" w:styleId="DHbody">
    <w:name w:val="DH body"/>
    <w:link w:val="DHbodyChar"/>
    <w:rsid w:val="00BB15E1"/>
    <w:pPr>
      <w:spacing w:after="120" w:line="270" w:lineRule="exact"/>
    </w:pPr>
    <w:rPr>
      <w:rFonts w:ascii="Arial" w:eastAsia="Times" w:hAnsi="Arial" w:cs="Times New Roman"/>
      <w:sz w:val="20"/>
      <w:szCs w:val="20"/>
    </w:rPr>
  </w:style>
  <w:style w:type="paragraph" w:customStyle="1" w:styleId="DHbodynospace">
    <w:name w:val="DH body no space"/>
    <w:basedOn w:val="DHbody"/>
    <w:rsid w:val="00BB15E1"/>
    <w:pPr>
      <w:spacing w:after="0"/>
    </w:pPr>
  </w:style>
  <w:style w:type="paragraph" w:customStyle="1" w:styleId="DHbullet">
    <w:name w:val="DH bullet"/>
    <w:basedOn w:val="DHbody"/>
    <w:rsid w:val="00BB15E1"/>
    <w:pPr>
      <w:tabs>
        <w:tab w:val="num" w:pos="287"/>
        <w:tab w:val="num" w:pos="360"/>
      </w:tabs>
      <w:ind w:left="289" w:hanging="289"/>
    </w:pPr>
  </w:style>
  <w:style w:type="paragraph" w:customStyle="1" w:styleId="DHheading2">
    <w:name w:val="DH heading 2"/>
    <w:next w:val="DHbody"/>
    <w:link w:val="DHheading2Char"/>
    <w:rsid w:val="00BB15E1"/>
    <w:pPr>
      <w:spacing w:before="240" w:after="90" w:line="320" w:lineRule="exact"/>
    </w:pPr>
    <w:rPr>
      <w:rFonts w:ascii="Arial" w:eastAsia="Times New Roman" w:hAnsi="Arial" w:cs="Times New Roman"/>
      <w:b/>
      <w:bCs/>
      <w:sz w:val="28"/>
      <w:szCs w:val="24"/>
    </w:rPr>
  </w:style>
  <w:style w:type="paragraph" w:customStyle="1" w:styleId="DHHeading3">
    <w:name w:val="DH Heading 3"/>
    <w:basedOn w:val="Normal"/>
    <w:link w:val="DHHeading3Char"/>
    <w:rsid w:val="00BB15E1"/>
    <w:pPr>
      <w:spacing w:before="280" w:after="120" w:line="270" w:lineRule="exact"/>
    </w:pPr>
    <w:rPr>
      <w:rFonts w:ascii="Arial" w:hAnsi="Arial"/>
      <w:b/>
      <w:bCs/>
      <w:sz w:val="24"/>
      <w:szCs w:val="24"/>
      <w:lang w:val="it-IT"/>
    </w:rPr>
  </w:style>
  <w:style w:type="paragraph" w:customStyle="1" w:styleId="DHSubheading">
    <w:name w:val="DH Subheading"/>
    <w:basedOn w:val="Normal"/>
    <w:rsid w:val="00BB15E1"/>
    <w:pPr>
      <w:spacing w:before="240" w:after="120"/>
    </w:pPr>
    <w:rPr>
      <w:rFonts w:ascii="Arial" w:hAnsi="Arial"/>
      <w:bCs/>
      <w:color w:val="FFFFFF"/>
      <w:sz w:val="28"/>
      <w:szCs w:val="28"/>
    </w:rPr>
  </w:style>
  <w:style w:type="paragraph" w:customStyle="1" w:styleId="DHMainheading">
    <w:name w:val="DH Main heading"/>
    <w:basedOn w:val="Normal"/>
    <w:rsid w:val="00BB15E1"/>
    <w:pPr>
      <w:spacing w:before="360"/>
    </w:pPr>
    <w:rPr>
      <w:rFonts w:ascii="Arial" w:hAnsi="Arial"/>
      <w:bCs/>
      <w:color w:val="FFFFFF"/>
      <w:sz w:val="44"/>
      <w:szCs w:val="44"/>
    </w:rPr>
  </w:style>
  <w:style w:type="character" w:customStyle="1" w:styleId="DHheading2Char">
    <w:name w:val="DH heading 2 Char"/>
    <w:link w:val="DHheading2"/>
    <w:rsid w:val="00BB15E1"/>
    <w:rPr>
      <w:rFonts w:ascii="Arial" w:eastAsia="Times New Roman" w:hAnsi="Arial" w:cs="Times New Roman"/>
      <w:b/>
      <w:bCs/>
      <w:sz w:val="28"/>
      <w:szCs w:val="24"/>
    </w:rPr>
  </w:style>
  <w:style w:type="character" w:customStyle="1" w:styleId="DHHeading3Char">
    <w:name w:val="DH Heading 3 Char"/>
    <w:link w:val="DHHeading3"/>
    <w:rsid w:val="00BB15E1"/>
    <w:rPr>
      <w:rFonts w:ascii="Arial" w:eastAsia="Times New Roman" w:hAnsi="Arial" w:cs="Times New Roman"/>
      <w:b/>
      <w:bCs/>
      <w:sz w:val="24"/>
      <w:szCs w:val="24"/>
      <w:lang w:val="it-IT"/>
    </w:rPr>
  </w:style>
  <w:style w:type="character" w:customStyle="1" w:styleId="DHbodyChar">
    <w:name w:val="DH body Char"/>
    <w:link w:val="DHbody"/>
    <w:rsid w:val="00BB15E1"/>
    <w:rPr>
      <w:rFonts w:ascii="Arial" w:eastAsia="Times" w:hAnsi="Arial" w:cs="Times New Roman"/>
      <w:sz w:val="20"/>
      <w:szCs w:val="20"/>
    </w:rPr>
  </w:style>
  <w:style w:type="paragraph" w:styleId="BalloonText">
    <w:name w:val="Balloon Text"/>
    <w:basedOn w:val="Normal"/>
    <w:link w:val="BalloonTextChar"/>
    <w:uiPriority w:val="99"/>
    <w:semiHidden/>
    <w:unhideWhenUsed/>
    <w:rsid w:val="00BB15E1"/>
    <w:rPr>
      <w:rFonts w:ascii="Tahoma" w:hAnsi="Tahoma" w:cs="Tahoma"/>
      <w:sz w:val="16"/>
      <w:szCs w:val="16"/>
    </w:rPr>
  </w:style>
  <w:style w:type="character" w:customStyle="1" w:styleId="BalloonTextChar">
    <w:name w:val="Balloon Text Char"/>
    <w:basedOn w:val="DefaultParagraphFont"/>
    <w:link w:val="BalloonText"/>
    <w:uiPriority w:val="99"/>
    <w:semiHidden/>
    <w:rsid w:val="00BB15E1"/>
    <w:rPr>
      <w:rFonts w:ascii="Tahoma" w:eastAsia="Times New Roman" w:hAnsi="Tahoma" w:cs="Tahoma"/>
      <w:sz w:val="16"/>
      <w:szCs w:val="16"/>
    </w:rPr>
  </w:style>
  <w:style w:type="paragraph" w:customStyle="1" w:styleId="DHheading4">
    <w:name w:val="DH heading 4"/>
    <w:next w:val="DHbody"/>
    <w:link w:val="DHheading4Char"/>
    <w:rsid w:val="00407EAB"/>
    <w:pPr>
      <w:spacing w:before="120" w:after="120" w:line="240" w:lineRule="exact"/>
    </w:pPr>
    <w:rPr>
      <w:rFonts w:ascii="Arial" w:eastAsia="Times New Roman" w:hAnsi="Arial" w:cs="Times New Roman"/>
      <w:b/>
      <w:bCs/>
      <w:sz w:val="20"/>
      <w:szCs w:val="20"/>
    </w:rPr>
  </w:style>
  <w:style w:type="character" w:customStyle="1" w:styleId="DHheading4Char">
    <w:name w:val="DH heading 4 Char"/>
    <w:basedOn w:val="DefaultParagraphFont"/>
    <w:link w:val="DHheading4"/>
    <w:rsid w:val="00407EAB"/>
    <w:rPr>
      <w:rFonts w:ascii="Arial" w:eastAsia="Times New Roman" w:hAnsi="Arial" w:cs="Times New Roman"/>
      <w:b/>
      <w:bCs/>
      <w:sz w:val="20"/>
      <w:szCs w:val="20"/>
    </w:rPr>
  </w:style>
  <w:style w:type="paragraph" w:styleId="BodyText">
    <w:name w:val="Body Text"/>
    <w:basedOn w:val="Normal"/>
    <w:link w:val="BodyTextChar"/>
    <w:rsid w:val="00691437"/>
    <w:rPr>
      <w:sz w:val="18"/>
    </w:rPr>
  </w:style>
  <w:style w:type="character" w:customStyle="1" w:styleId="BodyTextChar">
    <w:name w:val="Body Text Char"/>
    <w:basedOn w:val="DefaultParagraphFont"/>
    <w:link w:val="BodyText"/>
    <w:rsid w:val="00691437"/>
    <w:rPr>
      <w:rFonts w:ascii="Verdana" w:eastAsia="Times New Roman" w:hAnsi="Verdana" w:cs="Times New Roman"/>
      <w:sz w:val="18"/>
      <w:szCs w:val="20"/>
    </w:rPr>
  </w:style>
  <w:style w:type="table" w:styleId="TableGrid">
    <w:name w:val="Table Grid"/>
    <w:basedOn w:val="TableNormal"/>
    <w:uiPriority w:val="59"/>
    <w:rsid w:val="00F10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7003">
      <w:bodyDiv w:val="1"/>
      <w:marLeft w:val="0"/>
      <w:marRight w:val="0"/>
      <w:marTop w:val="0"/>
      <w:marBottom w:val="0"/>
      <w:divBdr>
        <w:top w:val="none" w:sz="0" w:space="0" w:color="auto"/>
        <w:left w:val="none" w:sz="0" w:space="0" w:color="auto"/>
        <w:bottom w:val="none" w:sz="0" w:space="0" w:color="auto"/>
        <w:right w:val="none" w:sz="0" w:space="0" w:color="auto"/>
      </w:divBdr>
    </w:div>
    <w:div w:id="1113204350">
      <w:bodyDiv w:val="1"/>
      <w:marLeft w:val="0"/>
      <w:marRight w:val="0"/>
      <w:marTop w:val="0"/>
      <w:marBottom w:val="0"/>
      <w:divBdr>
        <w:top w:val="none" w:sz="0" w:space="0" w:color="auto"/>
        <w:left w:val="none" w:sz="0" w:space="0" w:color="auto"/>
        <w:bottom w:val="none" w:sz="0" w:space="0" w:color="auto"/>
        <w:right w:val="none" w:sz="0" w:space="0" w:color="auto"/>
      </w:divBdr>
    </w:div>
    <w:div w:id="1272930549">
      <w:bodyDiv w:val="1"/>
      <w:marLeft w:val="0"/>
      <w:marRight w:val="0"/>
      <w:marTop w:val="0"/>
      <w:marBottom w:val="0"/>
      <w:divBdr>
        <w:top w:val="none" w:sz="0" w:space="0" w:color="auto"/>
        <w:left w:val="none" w:sz="0" w:space="0" w:color="auto"/>
        <w:bottom w:val="none" w:sz="0" w:space="0" w:color="auto"/>
        <w:right w:val="none" w:sz="0" w:space="0" w:color="auto"/>
      </w:divBdr>
    </w:div>
    <w:div w:id="1548487433">
      <w:bodyDiv w:val="1"/>
      <w:marLeft w:val="0"/>
      <w:marRight w:val="0"/>
      <w:marTop w:val="0"/>
      <w:marBottom w:val="0"/>
      <w:divBdr>
        <w:top w:val="none" w:sz="0" w:space="0" w:color="auto"/>
        <w:left w:val="none" w:sz="0" w:space="0" w:color="auto"/>
        <w:bottom w:val="none" w:sz="0" w:space="0" w:color="auto"/>
        <w:right w:val="none" w:sz="0" w:space="0" w:color="auto"/>
      </w:divBdr>
    </w:div>
    <w:div w:id="1691490926">
      <w:bodyDiv w:val="1"/>
      <w:marLeft w:val="0"/>
      <w:marRight w:val="0"/>
      <w:marTop w:val="0"/>
      <w:marBottom w:val="0"/>
      <w:divBdr>
        <w:top w:val="none" w:sz="0" w:space="0" w:color="auto"/>
        <w:left w:val="none" w:sz="0" w:space="0" w:color="auto"/>
        <w:bottom w:val="none" w:sz="0" w:space="0" w:color="auto"/>
        <w:right w:val="none" w:sz="0" w:space="0" w:color="auto"/>
      </w:divBdr>
    </w:div>
    <w:div w:id="1792817893">
      <w:bodyDiv w:val="1"/>
      <w:marLeft w:val="0"/>
      <w:marRight w:val="0"/>
      <w:marTop w:val="0"/>
      <w:marBottom w:val="0"/>
      <w:divBdr>
        <w:top w:val="none" w:sz="0" w:space="0" w:color="auto"/>
        <w:left w:val="none" w:sz="0" w:space="0" w:color="auto"/>
        <w:bottom w:val="none" w:sz="0" w:space="0" w:color="auto"/>
        <w:right w:val="none" w:sz="0" w:space="0" w:color="auto"/>
      </w:divBdr>
    </w:div>
    <w:div w:id="1965960601">
      <w:bodyDiv w:val="1"/>
      <w:marLeft w:val="0"/>
      <w:marRight w:val="0"/>
      <w:marTop w:val="0"/>
      <w:marBottom w:val="0"/>
      <w:divBdr>
        <w:top w:val="none" w:sz="0" w:space="0" w:color="auto"/>
        <w:left w:val="none" w:sz="0" w:space="0" w:color="auto"/>
        <w:bottom w:val="none" w:sz="0" w:space="0" w:color="auto"/>
        <w:right w:val="none" w:sz="0" w:space="0" w:color="auto"/>
      </w:divBdr>
    </w:div>
    <w:div w:id="20376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cs@health.vic.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ealth.vic.gov.au/dp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pcs@health.vic.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Falcke</dc:creator>
  <cp:keywords/>
  <dc:description/>
  <cp:lastModifiedBy>Chris Falcke</cp:lastModifiedBy>
  <cp:revision>6</cp:revision>
  <dcterms:created xsi:type="dcterms:W3CDTF">2014-03-14T05:32:00Z</dcterms:created>
  <dcterms:modified xsi:type="dcterms:W3CDTF">2014-04-04T00:10:00Z</dcterms:modified>
</cp:coreProperties>
</file>