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6B5564" w:rsidRPr="006B5564" w:rsidRDefault="006B5564" w:rsidP="006B5564">
            <w:pPr>
              <w:autoSpaceDE w:val="0"/>
              <w:autoSpaceDN w:val="0"/>
              <w:adjustRightInd w:val="0"/>
              <w:rPr>
                <w:rFonts w:ascii="Arial" w:hAnsi="Arial" w:cs="Arial"/>
                <w:sz w:val="50"/>
                <w:szCs w:val="50"/>
              </w:rPr>
            </w:pPr>
            <w:r w:rsidRPr="006B5564">
              <w:rPr>
                <w:rFonts w:ascii="Arial" w:hAnsi="Arial" w:cs="Arial"/>
                <w:color w:val="FFFFFF"/>
                <w:sz w:val="50"/>
                <w:szCs w:val="50"/>
                <w:lang w:eastAsia="en-AU"/>
              </w:rPr>
              <w:t xml:space="preserve">Recording </w:t>
            </w:r>
            <w:r>
              <w:rPr>
                <w:rFonts w:ascii="Arial" w:hAnsi="Arial" w:cs="Arial"/>
                <w:color w:val="FFFFFF" w:themeColor="background1"/>
                <w:sz w:val="50"/>
                <w:szCs w:val="50"/>
                <w:lang w:eastAsia="en-AU"/>
              </w:rPr>
              <w:t>C</w:t>
            </w:r>
            <w:r w:rsidRPr="006B5564">
              <w:rPr>
                <w:rFonts w:ascii="Arial" w:hAnsi="Arial" w:cs="Arial"/>
                <w:color w:val="FFFFFF" w:themeColor="background1"/>
                <w:sz w:val="50"/>
                <w:szCs w:val="50"/>
                <w:lang w:eastAsia="en-AU"/>
              </w:rPr>
              <w:t>ontacts in CMI/ODS</w:t>
            </w:r>
          </w:p>
          <w:p w:rsidR="004946F4" w:rsidRPr="00161AA0" w:rsidRDefault="004946F4" w:rsidP="00070B61">
            <w:pPr>
              <w:pStyle w:val="DHHSmainheading"/>
            </w:pPr>
          </w:p>
        </w:tc>
      </w:tr>
      <w:tr w:rsidR="005D6597" w:rsidTr="00DE6028">
        <w:trPr>
          <w:trHeight w:val="494"/>
        </w:trPr>
        <w:tc>
          <w:tcPr>
            <w:tcW w:w="10137" w:type="dxa"/>
            <w:shd w:val="clear" w:color="auto" w:fill="auto"/>
            <w:tcMar>
              <w:top w:w="510" w:type="dxa"/>
            </w:tcMar>
          </w:tcPr>
          <w:p w:rsidR="005D6597" w:rsidRDefault="00183657" w:rsidP="004F6936">
            <w:pPr>
              <w:pStyle w:val="DHHSmainsubheading"/>
            </w:pPr>
            <w:r>
              <w:rPr>
                <w:sz w:val="30"/>
                <w:szCs w:val="30"/>
              </w:rPr>
              <w:t>Program management circular</w:t>
            </w:r>
          </w:p>
        </w:tc>
      </w:tr>
    </w:tbl>
    <w:p w:rsidR="00FA6DEF" w:rsidRPr="00B23EA5" w:rsidRDefault="006B5564" w:rsidP="006B5564">
      <w:pPr>
        <w:tabs>
          <w:tab w:val="left" w:pos="6804"/>
        </w:tabs>
        <w:rPr>
          <w:rFonts w:ascii="Arial" w:hAnsi="Arial" w:cs="Arial"/>
          <w:color w:val="3366FF"/>
          <w:sz w:val="32"/>
          <w:szCs w:val="32"/>
        </w:rPr>
      </w:pPr>
      <w:r>
        <w:rPr>
          <w:rFonts w:ascii="Arial" w:hAnsi="Arial" w:cs="Arial"/>
          <w:color w:val="3366FF"/>
          <w:sz w:val="32"/>
          <w:szCs w:val="32"/>
        </w:rPr>
        <w:t>Revised: July 2015</w:t>
      </w:r>
      <w:r w:rsidR="00FA6DEF" w:rsidRPr="00B23EA5">
        <w:rPr>
          <w:rFonts w:ascii="Arial" w:hAnsi="Arial" w:cs="Arial"/>
          <w:color w:val="3366FF"/>
          <w:sz w:val="32"/>
          <w:szCs w:val="32"/>
        </w:rPr>
        <w:tab/>
      </w:r>
      <w:r>
        <w:rPr>
          <w:rFonts w:ascii="Arial" w:hAnsi="Arial" w:cs="Arial"/>
          <w:color w:val="3366FF"/>
          <w:sz w:val="32"/>
          <w:szCs w:val="32"/>
        </w:rPr>
        <w:t>Review Date: July 2016</w:t>
      </w:r>
    </w:p>
    <w:p w:rsidR="00576E84" w:rsidRPr="00F320C1" w:rsidRDefault="009F02A3">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sidR="008F1E8D">
          <w:rPr>
            <w:rStyle w:val="Hyperlink"/>
          </w:rPr>
          <w:t>Key Message</w:t>
        </w:r>
        <w:r w:rsidR="00576E84">
          <w:rPr>
            <w:webHidden/>
          </w:rPr>
          <w:tab/>
        </w:r>
        <w:r w:rsidR="00576E84">
          <w:rPr>
            <w:webHidden/>
          </w:rPr>
          <w:fldChar w:fldCharType="begin"/>
        </w:r>
        <w:r w:rsidR="00576E84">
          <w:rPr>
            <w:webHidden/>
          </w:rPr>
          <w:instrText xml:space="preserve"> PAGEREF _Toc410976287 \h </w:instrText>
        </w:r>
        <w:r w:rsidR="00576E84">
          <w:rPr>
            <w:webHidden/>
          </w:rPr>
        </w:r>
        <w:r w:rsidR="00576E84">
          <w:rPr>
            <w:webHidden/>
          </w:rPr>
          <w:fldChar w:fldCharType="separate"/>
        </w:r>
        <w:r w:rsidR="00D23BCF">
          <w:rPr>
            <w:webHidden/>
          </w:rPr>
          <w:t>1</w:t>
        </w:r>
        <w:r w:rsidR="00576E84">
          <w:rPr>
            <w:webHidden/>
          </w:rPr>
          <w:fldChar w:fldCharType="end"/>
        </w:r>
      </w:hyperlink>
    </w:p>
    <w:p w:rsidR="00576E84" w:rsidRDefault="006D10C8">
      <w:pPr>
        <w:pStyle w:val="TOC1"/>
      </w:pPr>
      <w:hyperlink w:anchor="_Toc410976289" w:history="1">
        <w:r w:rsidR="008F1E8D">
          <w:rPr>
            <w:rStyle w:val="Hyperlink"/>
          </w:rPr>
          <w:t>Purpose</w:t>
        </w:r>
        <w:r w:rsidR="00576E84">
          <w:rPr>
            <w:webHidden/>
          </w:rPr>
          <w:tab/>
        </w:r>
        <w:r w:rsidR="008F1E8D">
          <w:rPr>
            <w:webHidden/>
          </w:rPr>
          <w:t>1</w:t>
        </w:r>
      </w:hyperlink>
    </w:p>
    <w:p w:rsidR="008F1E8D" w:rsidRPr="00F320C1" w:rsidRDefault="008F1E8D" w:rsidP="008F1E8D">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Pr>
            <w:rStyle w:val="Hyperlink"/>
          </w:rPr>
          <w:t>Background</w:t>
        </w:r>
        <w:r>
          <w:rPr>
            <w:webHidden/>
          </w:rPr>
          <w:tab/>
        </w:r>
        <w:r>
          <w:rPr>
            <w:webHidden/>
          </w:rPr>
          <w:fldChar w:fldCharType="begin"/>
        </w:r>
        <w:r>
          <w:rPr>
            <w:webHidden/>
          </w:rPr>
          <w:instrText xml:space="preserve"> PAGEREF _Toc410976287 \h </w:instrText>
        </w:r>
        <w:r>
          <w:rPr>
            <w:webHidden/>
          </w:rPr>
        </w:r>
        <w:r>
          <w:rPr>
            <w:webHidden/>
          </w:rPr>
          <w:fldChar w:fldCharType="separate"/>
        </w:r>
        <w:r>
          <w:rPr>
            <w:webHidden/>
          </w:rPr>
          <w:t>1</w:t>
        </w:r>
        <w:r>
          <w:rPr>
            <w:webHidden/>
          </w:rPr>
          <w:fldChar w:fldCharType="end"/>
        </w:r>
      </w:hyperlink>
    </w:p>
    <w:p w:rsidR="008F1E8D" w:rsidRPr="00F320C1" w:rsidRDefault="006D10C8" w:rsidP="008F1E8D">
      <w:pPr>
        <w:pStyle w:val="TOC1"/>
        <w:rPr>
          <w:rFonts w:ascii="Calibri" w:hAnsi="Calibri"/>
          <w:b w:val="0"/>
          <w:sz w:val="22"/>
          <w:szCs w:val="22"/>
          <w:lang w:eastAsia="en-AU"/>
        </w:rPr>
      </w:pPr>
      <w:hyperlink w:anchor="_Toc410976289" w:history="1">
        <w:r w:rsidR="008F1E8D">
          <w:rPr>
            <w:rStyle w:val="Hyperlink"/>
          </w:rPr>
          <w:t>Contract Definition</w:t>
        </w:r>
        <w:r w:rsidR="008F1E8D">
          <w:rPr>
            <w:webHidden/>
          </w:rPr>
          <w:tab/>
        </w:r>
        <w:r w:rsidR="00313392">
          <w:rPr>
            <w:webHidden/>
          </w:rPr>
          <w:t>2</w:t>
        </w:r>
      </w:hyperlink>
    </w:p>
    <w:p w:rsidR="008F1E8D" w:rsidRPr="00F320C1" w:rsidRDefault="008F1E8D" w:rsidP="008F1E8D">
      <w:pPr>
        <w:pStyle w:val="TOC1"/>
        <w:rPr>
          <w:rFonts w:ascii="Calibri" w:hAnsi="Calibri"/>
          <w:b w:val="0"/>
          <w:sz w:val="22"/>
          <w:szCs w:val="22"/>
          <w:lang w:eastAsia="en-AU"/>
        </w:rPr>
      </w:pPr>
      <w:r>
        <w:fldChar w:fldCharType="end"/>
      </w:r>
      <w:r>
        <w:fldChar w:fldCharType="begin"/>
      </w:r>
      <w:r>
        <w:instrText xml:space="preserve"> TOC \h \z \t "Heading 1,1,Heading 2,2" </w:instrText>
      </w:r>
      <w:r>
        <w:fldChar w:fldCharType="separate"/>
      </w:r>
      <w:hyperlink w:anchor="_Toc410976287" w:history="1">
        <w:r>
          <w:rPr>
            <w:rStyle w:val="Hyperlink"/>
          </w:rPr>
          <w:t>Service Contract for One Person</w:t>
        </w:r>
        <w:r>
          <w:rPr>
            <w:webHidden/>
          </w:rPr>
          <w:tab/>
        </w:r>
        <w:r w:rsidR="00313392">
          <w:rPr>
            <w:webHidden/>
          </w:rPr>
          <w:t>2</w:t>
        </w:r>
      </w:hyperlink>
    </w:p>
    <w:p w:rsidR="008F1E8D" w:rsidRPr="00F320C1" w:rsidRDefault="006D10C8" w:rsidP="008F1E8D">
      <w:pPr>
        <w:pStyle w:val="TOC1"/>
        <w:rPr>
          <w:rFonts w:ascii="Calibri" w:hAnsi="Calibri"/>
          <w:b w:val="0"/>
          <w:sz w:val="22"/>
          <w:szCs w:val="22"/>
          <w:lang w:eastAsia="en-AU"/>
        </w:rPr>
      </w:pPr>
      <w:hyperlink w:anchor="_Toc410976289" w:history="1">
        <w:r w:rsidR="008F1E8D">
          <w:rPr>
            <w:rStyle w:val="Hyperlink"/>
          </w:rPr>
          <w:t>Group Contracts</w:t>
        </w:r>
        <w:r w:rsidR="008F1E8D">
          <w:rPr>
            <w:webHidden/>
          </w:rPr>
          <w:tab/>
        </w:r>
        <w:r w:rsidR="00313392">
          <w:rPr>
            <w:webHidden/>
          </w:rPr>
          <w:t>2</w:t>
        </w:r>
      </w:hyperlink>
    </w:p>
    <w:p w:rsidR="008F1E8D" w:rsidRPr="00F320C1" w:rsidRDefault="008F1E8D" w:rsidP="008F1E8D">
      <w:pPr>
        <w:pStyle w:val="TOC1"/>
        <w:rPr>
          <w:rFonts w:ascii="Calibri" w:hAnsi="Calibri"/>
          <w:b w:val="0"/>
          <w:sz w:val="22"/>
          <w:szCs w:val="22"/>
          <w:lang w:eastAsia="en-AU"/>
        </w:rPr>
      </w:pPr>
      <w:r>
        <w:fldChar w:fldCharType="end"/>
      </w:r>
      <w:r>
        <w:fldChar w:fldCharType="begin"/>
      </w:r>
      <w:r>
        <w:instrText xml:space="preserve"> TOC \h \z \t "Heading 1,1,Heading 2,2" </w:instrText>
      </w:r>
      <w:r>
        <w:fldChar w:fldCharType="separate"/>
      </w:r>
      <w:hyperlink w:anchor="_Toc410976287" w:history="1">
        <w:r>
          <w:rPr>
            <w:rStyle w:val="Hyperlink"/>
          </w:rPr>
          <w:t>Community Contract Definition</w:t>
        </w:r>
        <w:r>
          <w:rPr>
            <w:webHidden/>
          </w:rPr>
          <w:tab/>
        </w:r>
        <w:r w:rsidR="00313392">
          <w:rPr>
            <w:webHidden/>
          </w:rPr>
          <w:t>2</w:t>
        </w:r>
      </w:hyperlink>
    </w:p>
    <w:p w:rsidR="008F1E8D" w:rsidRDefault="006D10C8" w:rsidP="008F1E8D">
      <w:pPr>
        <w:pStyle w:val="TOC1"/>
      </w:pPr>
      <w:hyperlink w:anchor="_Toc410976289" w:history="1">
        <w:r w:rsidR="008F1E8D">
          <w:rPr>
            <w:rStyle w:val="Hyperlink"/>
          </w:rPr>
          <w:t>Timeliness of Data Entry</w:t>
        </w:r>
        <w:r w:rsidR="008F1E8D">
          <w:rPr>
            <w:webHidden/>
          </w:rPr>
          <w:tab/>
        </w:r>
        <w:r w:rsidR="00313392">
          <w:rPr>
            <w:webHidden/>
          </w:rPr>
          <w:t>3</w:t>
        </w:r>
      </w:hyperlink>
    </w:p>
    <w:p w:rsidR="008F1E8D" w:rsidRDefault="008F1E8D" w:rsidP="008F1E8D">
      <w:pPr>
        <w:pStyle w:val="TOC1"/>
      </w:pPr>
      <w:r>
        <w:fldChar w:fldCharType="end"/>
      </w:r>
      <w:r>
        <w:fldChar w:fldCharType="begin"/>
      </w:r>
      <w:r>
        <w:instrText xml:space="preserve"> TOC \h \z \t "Heading 1,1,Heading 2,2" </w:instrText>
      </w:r>
      <w:r>
        <w:fldChar w:fldCharType="separate"/>
      </w:r>
      <w:hyperlink w:anchor="_Toc410976287" w:history="1">
        <w:r>
          <w:rPr>
            <w:rStyle w:val="Hyperlink"/>
          </w:rPr>
          <w:t>About Management Circulars</w:t>
        </w:r>
        <w:r>
          <w:rPr>
            <w:webHidden/>
          </w:rPr>
          <w:tab/>
        </w:r>
        <w:r w:rsidR="006F5882">
          <w:rPr>
            <w:webHidden/>
          </w:rPr>
          <w:t>3</w:t>
        </w:r>
      </w:hyperlink>
    </w:p>
    <w:p w:rsidR="006D10C8" w:rsidRPr="00F320C1" w:rsidRDefault="006D10C8" w:rsidP="006D10C8">
      <w:pPr>
        <w:pStyle w:val="TOC1"/>
        <w:rPr>
          <w:rFonts w:ascii="Calibri" w:hAnsi="Calibri"/>
          <w:b w:val="0"/>
          <w:sz w:val="22"/>
          <w:szCs w:val="22"/>
          <w:lang w:eastAsia="en-AU"/>
        </w:rPr>
      </w:pPr>
      <w:hyperlink w:anchor="_Toc410976289" w:history="1">
        <w:r>
          <w:rPr>
            <w:rStyle w:val="Hyperlink"/>
          </w:rPr>
          <w:t>When Should I Record a Contract in CMI Flowchart</w:t>
        </w:r>
        <w:r>
          <w:rPr>
            <w:webHidden/>
          </w:rPr>
          <w:tab/>
        </w:r>
        <w:r>
          <w:rPr>
            <w:webHidden/>
          </w:rPr>
          <w:t>4</w:t>
        </w:r>
      </w:hyperlink>
    </w:p>
    <w:p w:rsidR="0074696E" w:rsidRPr="004C6EEE" w:rsidRDefault="008F1E8D" w:rsidP="008F1E8D">
      <w:pPr>
        <w:pStyle w:val="TOC1"/>
      </w:pPr>
      <w:r>
        <w:fldChar w:fldCharType="end"/>
      </w:r>
      <w:r w:rsidR="009F02A3">
        <w:fldChar w:fldCharType="end"/>
      </w:r>
    </w:p>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893AF6" w:rsidRPr="00B63AE8" w:rsidRDefault="006B5564" w:rsidP="00B63AE8">
      <w:pPr>
        <w:pStyle w:val="Heading1"/>
      </w:pPr>
      <w:r>
        <w:lastRenderedPageBreak/>
        <w:t>Key Message</w:t>
      </w:r>
    </w:p>
    <w:p w:rsidR="006B5564" w:rsidRPr="006B5564" w:rsidRDefault="006B5564" w:rsidP="006B5564">
      <w:pPr>
        <w:autoSpaceDE w:val="0"/>
        <w:autoSpaceDN w:val="0"/>
        <w:adjustRightInd w:val="0"/>
        <w:spacing w:after="240" w:line="288" w:lineRule="auto"/>
        <w:rPr>
          <w:rFonts w:ascii="Arial" w:hAnsi="Arial" w:cs="Arial"/>
          <w:lang w:eastAsia="en-AU"/>
        </w:rPr>
      </w:pPr>
      <w:bookmarkStart w:id="0" w:name="_Toc256778633"/>
      <w:r w:rsidRPr="006B5564">
        <w:rPr>
          <w:rFonts w:ascii="Arial" w:hAnsi="Arial" w:cs="Arial"/>
          <w:lang w:eastAsia="en-AU"/>
        </w:rPr>
        <w:t>Mental health service contact type and duration is defined from a client perspective and is not intended to account for clinician time.</w:t>
      </w:r>
      <w:bookmarkStart w:id="1" w:name="_GoBack"/>
      <w:bookmarkEnd w:id="1"/>
    </w:p>
    <w:p w:rsidR="006B5564" w:rsidRPr="006B5564" w:rsidRDefault="006B5564" w:rsidP="006B5564">
      <w:pPr>
        <w:autoSpaceDE w:val="0"/>
        <w:autoSpaceDN w:val="0"/>
        <w:adjustRightInd w:val="0"/>
        <w:spacing w:line="288" w:lineRule="auto"/>
        <w:rPr>
          <w:rFonts w:ascii="Arial" w:hAnsi="Arial" w:cs="Arial"/>
          <w:lang w:eastAsia="en-AU"/>
        </w:rPr>
      </w:pPr>
      <w:r w:rsidRPr="006B5564">
        <w:rPr>
          <w:rFonts w:ascii="Arial" w:hAnsi="Arial" w:cs="Arial"/>
          <w:lang w:eastAsia="en-AU"/>
        </w:rPr>
        <w:t>A mental health community contact is also defined from the perspective of the recipient that is the external service provider or community group.</w:t>
      </w:r>
    </w:p>
    <w:bookmarkEnd w:id="0"/>
    <w:p w:rsidR="006B5564" w:rsidRPr="00B63AE8" w:rsidRDefault="006B5564" w:rsidP="006B5564">
      <w:pPr>
        <w:pStyle w:val="Heading1"/>
      </w:pPr>
      <w:r>
        <w:t>Purpose</w:t>
      </w:r>
    </w:p>
    <w:p w:rsidR="006B5564" w:rsidRDefault="006B5564" w:rsidP="006B5564">
      <w:pPr>
        <w:autoSpaceDE w:val="0"/>
        <w:autoSpaceDN w:val="0"/>
        <w:adjustRightInd w:val="0"/>
        <w:spacing w:line="288" w:lineRule="auto"/>
        <w:rPr>
          <w:rFonts w:ascii="Arial" w:hAnsi="Arial" w:cs="Arial"/>
          <w:lang w:eastAsia="en-AU"/>
        </w:rPr>
      </w:pPr>
      <w:r>
        <w:rPr>
          <w:rFonts w:ascii="Arial" w:hAnsi="Arial" w:cs="Arial"/>
          <w:lang w:eastAsia="en-AU"/>
        </w:rPr>
        <w:t>To clarify the reporting requirements and improve the consistency and quality of data submitted to the Client Management Interface/Operational Data Store (CMI/ODS) in relation to contacts.</w:t>
      </w:r>
    </w:p>
    <w:p w:rsidR="006B5564" w:rsidRPr="00B63AE8" w:rsidRDefault="006B5564" w:rsidP="006B5564">
      <w:pPr>
        <w:pStyle w:val="Heading1"/>
      </w:pPr>
      <w:r>
        <w:t>Background</w:t>
      </w:r>
    </w:p>
    <w:p w:rsidR="006B5564" w:rsidRPr="00F70236" w:rsidRDefault="006B5564" w:rsidP="006B5564">
      <w:pPr>
        <w:autoSpaceDE w:val="0"/>
        <w:autoSpaceDN w:val="0"/>
        <w:adjustRightInd w:val="0"/>
        <w:spacing w:line="312" w:lineRule="auto"/>
        <w:rPr>
          <w:rFonts w:ascii="Arial" w:hAnsi="Arial" w:cs="Arial"/>
          <w:lang w:eastAsia="en-AU"/>
        </w:rPr>
      </w:pPr>
      <w:r w:rsidRPr="00F70236">
        <w:rPr>
          <w:rFonts w:ascii="Arial" w:hAnsi="Arial" w:cs="Arial"/>
          <w:lang w:eastAsia="en-AU"/>
        </w:rPr>
        <w:t>CMI/ODS is the Victorian public mental health client information management system and comprises:</w:t>
      </w:r>
    </w:p>
    <w:p w:rsidR="006B5564" w:rsidRPr="006B5564" w:rsidRDefault="006B5564" w:rsidP="006B5564">
      <w:pPr>
        <w:pStyle w:val="ListParagraph"/>
        <w:numPr>
          <w:ilvl w:val="0"/>
          <w:numId w:val="5"/>
        </w:numPr>
        <w:tabs>
          <w:tab w:val="left" w:pos="567"/>
        </w:tabs>
        <w:autoSpaceDE w:val="0"/>
        <w:autoSpaceDN w:val="0"/>
        <w:adjustRightInd w:val="0"/>
        <w:spacing w:line="312" w:lineRule="auto"/>
        <w:ind w:left="426"/>
        <w:rPr>
          <w:rFonts w:ascii="Arial" w:hAnsi="Arial" w:cs="Arial"/>
          <w:lang w:eastAsia="en-AU"/>
        </w:rPr>
      </w:pPr>
      <w:r w:rsidRPr="006B5564">
        <w:rPr>
          <w:rFonts w:ascii="Arial" w:hAnsi="Arial" w:cs="Arial"/>
          <w:lang w:eastAsia="en-AU"/>
        </w:rPr>
        <w:t>Client Management Interface (CMI).  The CMI is the local client information system used by each public mental health service</w:t>
      </w:r>
    </w:p>
    <w:p w:rsidR="006B5564" w:rsidRPr="006B5564" w:rsidRDefault="006B5564" w:rsidP="006B5564">
      <w:pPr>
        <w:pStyle w:val="ListParagraph"/>
        <w:numPr>
          <w:ilvl w:val="0"/>
          <w:numId w:val="5"/>
        </w:numPr>
        <w:tabs>
          <w:tab w:val="left" w:pos="567"/>
        </w:tabs>
        <w:autoSpaceDE w:val="0"/>
        <w:autoSpaceDN w:val="0"/>
        <w:adjustRightInd w:val="0"/>
        <w:spacing w:line="312" w:lineRule="auto"/>
        <w:ind w:left="426"/>
        <w:rPr>
          <w:rFonts w:ascii="Arial" w:hAnsi="Arial" w:cs="Arial"/>
          <w:lang w:eastAsia="en-AU"/>
        </w:rPr>
      </w:pPr>
      <w:r w:rsidRPr="006B5564">
        <w:rPr>
          <w:rFonts w:ascii="Arial" w:hAnsi="Arial" w:cs="Arial"/>
          <w:lang w:eastAsia="en-AU"/>
        </w:rPr>
        <w:t>Operational Data Store (ODS).  The ODS manages a set of select data items from each CMI and is used to:</w:t>
      </w:r>
    </w:p>
    <w:p w:rsidR="006B5564" w:rsidRPr="006B5564" w:rsidRDefault="006B5564" w:rsidP="006B5564">
      <w:pPr>
        <w:pStyle w:val="ListParagraph"/>
        <w:numPr>
          <w:ilvl w:val="1"/>
          <w:numId w:val="6"/>
        </w:numPr>
        <w:tabs>
          <w:tab w:val="left" w:pos="567"/>
        </w:tabs>
        <w:autoSpaceDE w:val="0"/>
        <w:autoSpaceDN w:val="0"/>
        <w:adjustRightInd w:val="0"/>
        <w:spacing w:line="312" w:lineRule="auto"/>
        <w:ind w:left="851"/>
        <w:rPr>
          <w:rFonts w:ascii="Arial" w:hAnsi="Arial" w:cs="Arial"/>
          <w:lang w:eastAsia="en-AU"/>
        </w:rPr>
      </w:pPr>
      <w:r w:rsidRPr="006B5564">
        <w:rPr>
          <w:rFonts w:ascii="Arial" w:hAnsi="Arial" w:cs="Arial"/>
          <w:lang w:eastAsia="en-AU"/>
        </w:rPr>
        <w:t xml:space="preserve">allocate a unique (mental health) registration number for each client, known as the </w:t>
      </w:r>
      <w:proofErr w:type="spellStart"/>
      <w:r w:rsidRPr="006B5564">
        <w:rPr>
          <w:rFonts w:ascii="Arial" w:hAnsi="Arial" w:cs="Arial"/>
          <w:lang w:eastAsia="en-AU"/>
        </w:rPr>
        <w:t>statewide</w:t>
      </w:r>
      <w:proofErr w:type="spellEnd"/>
      <w:r w:rsidRPr="006B5564">
        <w:rPr>
          <w:rFonts w:ascii="Arial" w:hAnsi="Arial" w:cs="Arial"/>
          <w:lang w:eastAsia="en-AU"/>
        </w:rPr>
        <w:t xml:space="preserve"> unit record (UR) number</w:t>
      </w:r>
    </w:p>
    <w:p w:rsidR="006B5564" w:rsidRPr="006B5564" w:rsidRDefault="006B5564" w:rsidP="006B5564">
      <w:pPr>
        <w:pStyle w:val="ListParagraph"/>
        <w:numPr>
          <w:ilvl w:val="1"/>
          <w:numId w:val="6"/>
        </w:numPr>
        <w:tabs>
          <w:tab w:val="left" w:pos="567"/>
        </w:tabs>
        <w:autoSpaceDE w:val="0"/>
        <w:autoSpaceDN w:val="0"/>
        <w:adjustRightInd w:val="0"/>
        <w:spacing w:line="312" w:lineRule="auto"/>
        <w:ind w:left="851"/>
        <w:rPr>
          <w:rFonts w:ascii="Arial" w:hAnsi="Arial" w:cs="Arial"/>
          <w:lang w:eastAsia="en-AU"/>
        </w:rPr>
      </w:pPr>
      <w:r w:rsidRPr="006B5564">
        <w:rPr>
          <w:rFonts w:ascii="Arial" w:hAnsi="Arial" w:cs="Arial"/>
          <w:lang w:eastAsia="en-AU"/>
        </w:rPr>
        <w:t>share select client-level data between Victorian public area mental health services (AMHS) to support continuity of treatment and care</w:t>
      </w:r>
    </w:p>
    <w:p w:rsidR="006B5564" w:rsidRPr="006B5564" w:rsidRDefault="006B5564" w:rsidP="006B5564">
      <w:pPr>
        <w:pStyle w:val="ListParagraph"/>
        <w:numPr>
          <w:ilvl w:val="1"/>
          <w:numId w:val="6"/>
        </w:numPr>
        <w:tabs>
          <w:tab w:val="left" w:pos="567"/>
        </w:tabs>
        <w:autoSpaceDE w:val="0"/>
        <w:autoSpaceDN w:val="0"/>
        <w:adjustRightInd w:val="0"/>
        <w:spacing w:line="312" w:lineRule="auto"/>
        <w:ind w:left="851"/>
        <w:rPr>
          <w:rFonts w:ascii="Arial" w:hAnsi="Arial" w:cs="Arial"/>
          <w:lang w:eastAsia="en-AU"/>
        </w:rPr>
      </w:pPr>
      <w:r w:rsidRPr="006B5564">
        <w:rPr>
          <w:rFonts w:ascii="Arial" w:hAnsi="Arial" w:cs="Arial"/>
          <w:lang w:eastAsia="en-AU"/>
        </w:rPr>
        <w:lastRenderedPageBreak/>
        <w:t>ensure the legal basis for providing treatment is evident to all public mental health service providers where a client may be unable or unwilling to consent to treatment</w:t>
      </w:r>
    </w:p>
    <w:p w:rsidR="006B5564" w:rsidRPr="006B5564" w:rsidRDefault="006B5564" w:rsidP="006B5564">
      <w:pPr>
        <w:pStyle w:val="ListParagraph"/>
        <w:numPr>
          <w:ilvl w:val="1"/>
          <w:numId w:val="6"/>
        </w:numPr>
        <w:tabs>
          <w:tab w:val="left" w:pos="567"/>
        </w:tabs>
        <w:autoSpaceDE w:val="0"/>
        <w:autoSpaceDN w:val="0"/>
        <w:adjustRightInd w:val="0"/>
        <w:spacing w:line="312" w:lineRule="auto"/>
        <w:ind w:left="851"/>
        <w:rPr>
          <w:rFonts w:ascii="Arial" w:hAnsi="Arial" w:cs="Arial"/>
          <w:lang w:eastAsia="en-AU"/>
        </w:rPr>
      </w:pPr>
      <w:r w:rsidRPr="006B5564">
        <w:rPr>
          <w:rFonts w:ascii="Arial" w:hAnsi="Arial" w:cs="Arial"/>
          <w:lang w:eastAsia="en-AU"/>
        </w:rPr>
        <w:t>meet the various reporting requirements of the Department of Health</w:t>
      </w:r>
    </w:p>
    <w:p w:rsidR="006B5564" w:rsidRDefault="006B5564" w:rsidP="006B5564">
      <w:pPr>
        <w:pStyle w:val="ListParagraph"/>
        <w:numPr>
          <w:ilvl w:val="1"/>
          <w:numId w:val="6"/>
        </w:numPr>
        <w:tabs>
          <w:tab w:val="left" w:pos="567"/>
        </w:tabs>
        <w:autoSpaceDE w:val="0"/>
        <w:autoSpaceDN w:val="0"/>
        <w:adjustRightInd w:val="0"/>
        <w:spacing w:line="312" w:lineRule="auto"/>
        <w:ind w:left="851"/>
        <w:rPr>
          <w:rFonts w:ascii="Arial" w:hAnsi="Arial" w:cs="Arial"/>
          <w:lang w:eastAsia="en-AU"/>
        </w:rPr>
      </w:pPr>
      <w:proofErr w:type="gramStart"/>
      <w:r w:rsidRPr="006B5564">
        <w:rPr>
          <w:rFonts w:ascii="Arial" w:hAnsi="Arial" w:cs="Arial"/>
          <w:lang w:eastAsia="en-AU"/>
        </w:rPr>
        <w:t>support</w:t>
      </w:r>
      <w:proofErr w:type="gramEnd"/>
      <w:r w:rsidRPr="006B5564">
        <w:rPr>
          <w:rFonts w:ascii="Arial" w:hAnsi="Arial" w:cs="Arial"/>
          <w:lang w:eastAsia="en-AU"/>
        </w:rPr>
        <w:t xml:space="preserve"> the statutory functions of the Chief Psychiatrist and the Mental Health Review Board.</w:t>
      </w:r>
    </w:p>
    <w:p w:rsidR="006B5564" w:rsidRPr="00B63AE8" w:rsidRDefault="006B5564" w:rsidP="006B5564">
      <w:pPr>
        <w:pStyle w:val="Heading1"/>
      </w:pPr>
      <w:r>
        <w:t>Contract Definition</w:t>
      </w:r>
    </w:p>
    <w:p w:rsidR="006B5564" w:rsidRPr="00CC20A1" w:rsidRDefault="006B5564" w:rsidP="006B5564">
      <w:pPr>
        <w:autoSpaceDE w:val="0"/>
        <w:autoSpaceDN w:val="0"/>
        <w:adjustRightInd w:val="0"/>
        <w:spacing w:line="312" w:lineRule="auto"/>
        <w:rPr>
          <w:rFonts w:ascii="Arial" w:hAnsi="Arial" w:cs="Arial"/>
          <w:i/>
          <w:iCs/>
          <w:color w:val="231F20"/>
          <w:lang w:eastAsia="en-AU"/>
        </w:rPr>
      </w:pPr>
      <w:r w:rsidRPr="00CC20A1">
        <w:rPr>
          <w:rFonts w:ascii="Arial" w:hAnsi="Arial" w:cs="Arial"/>
          <w:color w:val="231F20"/>
          <w:lang w:eastAsia="en-AU"/>
        </w:rPr>
        <w:t>A Service contact is ‘</w:t>
      </w:r>
      <w:r w:rsidRPr="00CC20A1">
        <w:rPr>
          <w:rFonts w:ascii="Arial" w:hAnsi="Arial" w:cs="Arial"/>
          <w:i/>
          <w:iCs/>
          <w:color w:val="231F20"/>
          <w:lang w:eastAsia="en-AU"/>
        </w:rPr>
        <w:t>a contact between a patient/client and an ambulatory care health unit (including outpatient and community mental health units) that results in a dated entry being made in the patient/client record (or would have required a dated entry in the clinical record of the patient/client had that patient/client already been registered)</w:t>
      </w:r>
      <w:r w:rsidRPr="00CC20A1">
        <w:rPr>
          <w:rFonts w:ascii="Arial" w:hAnsi="Arial" w:cs="Arial"/>
          <w:color w:val="231F20"/>
          <w:lang w:eastAsia="en-AU"/>
        </w:rPr>
        <w:t>’.</w:t>
      </w:r>
    </w:p>
    <w:p w:rsidR="006B5564" w:rsidRDefault="006B5564" w:rsidP="006B5564">
      <w:pPr>
        <w:autoSpaceDE w:val="0"/>
        <w:autoSpaceDN w:val="0"/>
        <w:adjustRightInd w:val="0"/>
        <w:spacing w:line="312" w:lineRule="auto"/>
        <w:rPr>
          <w:rFonts w:ascii="CorporateSBQ-Light" w:hAnsi="CorporateSBQ-Light" w:cs="CorporateSBQ-Light"/>
          <w:color w:val="231F20"/>
          <w:lang w:eastAsia="en-AU"/>
        </w:rPr>
      </w:pPr>
    </w:p>
    <w:p w:rsidR="006B5564" w:rsidRPr="00CC20A1" w:rsidRDefault="006B5564" w:rsidP="006B5564">
      <w:pPr>
        <w:autoSpaceDE w:val="0"/>
        <w:autoSpaceDN w:val="0"/>
        <w:adjustRightInd w:val="0"/>
        <w:spacing w:line="312" w:lineRule="auto"/>
        <w:rPr>
          <w:rFonts w:ascii="Arial" w:hAnsi="Arial" w:cs="Arial"/>
          <w:color w:val="231F20"/>
          <w:lang w:eastAsia="en-AU"/>
        </w:rPr>
      </w:pPr>
      <w:r w:rsidRPr="00CC20A1">
        <w:rPr>
          <w:rFonts w:ascii="Arial" w:hAnsi="Arial" w:cs="Arial"/>
          <w:color w:val="231F20"/>
          <w:lang w:eastAsia="en-AU"/>
        </w:rPr>
        <w:t>Service contacts may be differentiated from administrative and other types of contacts by the need to record data in the client record. However, there may be instances where notes are made in the client record that has not been prompted by a service contact with a patient/client (for example, noting receipt of test results that require no further action). These instances would not be regarded as a service contact.</w:t>
      </w:r>
    </w:p>
    <w:p w:rsidR="006B5564" w:rsidRPr="00CC20A1" w:rsidRDefault="006B5564" w:rsidP="006B5564">
      <w:pPr>
        <w:autoSpaceDE w:val="0"/>
        <w:autoSpaceDN w:val="0"/>
        <w:adjustRightInd w:val="0"/>
        <w:spacing w:line="312" w:lineRule="auto"/>
        <w:rPr>
          <w:rFonts w:ascii="Arial" w:hAnsi="Arial" w:cs="Arial"/>
          <w:color w:val="231F20"/>
          <w:lang w:eastAsia="en-AU"/>
        </w:rPr>
      </w:pPr>
    </w:p>
    <w:p w:rsidR="006B5564" w:rsidRDefault="006B5564" w:rsidP="006B5564">
      <w:pPr>
        <w:tabs>
          <w:tab w:val="left" w:pos="567"/>
        </w:tabs>
        <w:autoSpaceDE w:val="0"/>
        <w:autoSpaceDN w:val="0"/>
        <w:adjustRightInd w:val="0"/>
        <w:spacing w:line="312" w:lineRule="auto"/>
        <w:rPr>
          <w:rFonts w:ascii="Arial" w:hAnsi="Arial" w:cs="Arial"/>
          <w:color w:val="231F20"/>
          <w:lang w:eastAsia="en-AU"/>
        </w:rPr>
      </w:pPr>
      <w:r w:rsidRPr="00CC20A1">
        <w:rPr>
          <w:rFonts w:ascii="Arial" w:hAnsi="Arial" w:cs="Arial"/>
          <w:color w:val="231F20"/>
          <w:lang w:eastAsia="en-AU"/>
        </w:rPr>
        <w:t>It is acknowledged that the definition is not able to measure case complexity or level of resource usage with each service contact alone.</w:t>
      </w:r>
    </w:p>
    <w:p w:rsidR="006B5564" w:rsidRPr="00B63AE8" w:rsidRDefault="006B5564" w:rsidP="006B5564">
      <w:pPr>
        <w:pStyle w:val="Heading1"/>
      </w:pPr>
      <w:r>
        <w:t>Service Contract for One Person</w:t>
      </w:r>
    </w:p>
    <w:p w:rsidR="006B5564" w:rsidRPr="00792690" w:rsidRDefault="006B5564" w:rsidP="006B5564">
      <w:pPr>
        <w:autoSpaceDE w:val="0"/>
        <w:autoSpaceDN w:val="0"/>
        <w:adjustRightInd w:val="0"/>
        <w:spacing w:after="180" w:line="312" w:lineRule="auto"/>
        <w:rPr>
          <w:rFonts w:ascii="Arial" w:hAnsi="Arial" w:cs="Arial"/>
          <w:i/>
          <w:iCs/>
          <w:color w:val="231F20"/>
          <w:lang w:eastAsia="en-AU"/>
        </w:rPr>
      </w:pPr>
      <w:r w:rsidRPr="00792690">
        <w:rPr>
          <w:rFonts w:ascii="Arial" w:hAnsi="Arial" w:cs="Arial"/>
          <w:i/>
          <w:iCs/>
          <w:color w:val="231F20"/>
          <w:lang w:eastAsia="en-AU"/>
        </w:rPr>
        <w:t>‘A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w:t>
      </w:r>
      <w:r>
        <w:rPr>
          <w:rFonts w:ascii="Arial" w:hAnsi="Arial" w:cs="Arial"/>
          <w:i/>
          <w:iCs/>
          <w:color w:val="231F20"/>
          <w:lang w:eastAsia="en-AU"/>
        </w:rPr>
        <w:t xml:space="preserve"> nature (for example, telephone c</w:t>
      </w:r>
      <w:r w:rsidRPr="00792690">
        <w:rPr>
          <w:rFonts w:ascii="Arial" w:hAnsi="Arial" w:cs="Arial"/>
          <w:i/>
          <w:lang w:eastAsia="en-AU"/>
        </w:rPr>
        <w:t>ontact to schedule an appointment) except where a matter would need to be noted on a patient’s record.’</w:t>
      </w:r>
    </w:p>
    <w:p w:rsidR="006B5564" w:rsidRPr="00B63AE8" w:rsidRDefault="006B5564" w:rsidP="006B5564">
      <w:pPr>
        <w:pStyle w:val="Heading1"/>
      </w:pPr>
      <w:r>
        <w:t xml:space="preserve">Group Contracts </w:t>
      </w:r>
    </w:p>
    <w:p w:rsidR="006B5564" w:rsidRPr="00792690" w:rsidRDefault="006B5564" w:rsidP="006B5564">
      <w:pPr>
        <w:pStyle w:val="normal-p"/>
        <w:spacing w:after="180" w:line="312" w:lineRule="auto"/>
        <w:rPr>
          <w:rFonts w:ascii="Arial" w:eastAsia="Times New Roman" w:hAnsi="Arial" w:cs="Arial"/>
          <w:i/>
          <w:iCs/>
        </w:rPr>
      </w:pPr>
      <w:r w:rsidRPr="00792690">
        <w:rPr>
          <w:rFonts w:ascii="Arial" w:eastAsia="Times New Roman" w:hAnsi="Arial" w:cs="Arial"/>
          <w:i/>
          <w:iCs/>
        </w:rPr>
        <w:t xml:space="preserve">‘A service contact is regarded to be provided as a group session where two or more patients/clients are present at the service contact with or without their carer(s)/relative(s) and the service contact is noted in their medical records. </w:t>
      </w:r>
    </w:p>
    <w:p w:rsidR="006B5564" w:rsidRPr="00792690" w:rsidRDefault="006B5564" w:rsidP="006B5564">
      <w:pPr>
        <w:spacing w:line="312" w:lineRule="auto"/>
        <w:rPr>
          <w:rFonts w:ascii="Arial" w:hAnsi="Arial" w:cs="Arial"/>
        </w:rPr>
      </w:pPr>
      <w:r w:rsidRPr="00792690">
        <w:rPr>
          <w:rFonts w:ascii="Arial" w:hAnsi="Arial" w:cs="Arial"/>
          <w:i/>
          <w:iCs/>
        </w:rPr>
        <w:t>A service contact is also regarded to be a group session where the carer(s)/relative(s) of two or more patients/clients are present at the service contact without the respective patients/clients and service contact is noted in the patient’s/client’s individual record’.</w:t>
      </w:r>
    </w:p>
    <w:p w:rsidR="006B5564" w:rsidRDefault="006B5564" w:rsidP="006B5564">
      <w:pPr>
        <w:pStyle w:val="DHSText10pt"/>
        <w:widowControl/>
        <w:overflowPunct/>
        <w:autoSpaceDE/>
        <w:autoSpaceDN/>
        <w:adjustRightInd/>
        <w:spacing w:line="312" w:lineRule="auto"/>
        <w:textAlignment w:val="auto"/>
        <w:rPr>
          <w:rFonts w:ascii="Arial" w:hAnsi="Arial" w:cs="Arial"/>
        </w:rPr>
      </w:pPr>
    </w:p>
    <w:p w:rsidR="006B5564" w:rsidRDefault="006B5564" w:rsidP="006B5564">
      <w:pPr>
        <w:pStyle w:val="DHSText10pt"/>
        <w:widowControl/>
        <w:overflowPunct/>
        <w:autoSpaceDE/>
        <w:autoSpaceDN/>
        <w:adjustRightInd/>
        <w:spacing w:line="312" w:lineRule="auto"/>
        <w:textAlignment w:val="auto"/>
        <w:rPr>
          <w:rFonts w:ascii="Arial" w:hAnsi="Arial" w:cs="Arial"/>
        </w:rPr>
      </w:pPr>
      <w:r w:rsidRPr="00792690">
        <w:rPr>
          <w:rFonts w:ascii="Arial" w:hAnsi="Arial" w:cs="Arial"/>
        </w:rPr>
        <w:t>Where more than one staff member participates in a group activity, the service contact is recorded by only one nominated staff member. The other staff participation is noted in the number of service providers.</w:t>
      </w:r>
    </w:p>
    <w:p w:rsidR="006B5564" w:rsidRPr="00B63AE8" w:rsidRDefault="006B5564" w:rsidP="006B5564">
      <w:pPr>
        <w:pStyle w:val="Heading1"/>
      </w:pPr>
      <w:r>
        <w:t>Community Contract Definition</w:t>
      </w:r>
    </w:p>
    <w:p w:rsidR="006B5564" w:rsidRPr="00CC20A1" w:rsidRDefault="006B5564" w:rsidP="006B5564">
      <w:pPr>
        <w:spacing w:after="180" w:line="312" w:lineRule="auto"/>
        <w:rPr>
          <w:rFonts w:ascii="Arial" w:hAnsi="Arial" w:cs="Arial"/>
        </w:rPr>
      </w:pPr>
      <w:r w:rsidRPr="00CC20A1">
        <w:rPr>
          <w:rFonts w:ascii="Arial" w:hAnsi="Arial" w:cs="Arial"/>
        </w:rPr>
        <w:t>Community contacts are provided by mental health services to community organisations or external service providers. The focus of the service is the external service provider, group or organisation rather than the individual client or client group.</w:t>
      </w:r>
    </w:p>
    <w:p w:rsidR="006B5564" w:rsidRPr="00B63AE8" w:rsidRDefault="006B5564" w:rsidP="006B5564">
      <w:pPr>
        <w:pStyle w:val="Heading1"/>
      </w:pPr>
      <w:r>
        <w:lastRenderedPageBreak/>
        <w:t>Timeliness of Data Entry</w:t>
      </w:r>
    </w:p>
    <w:p w:rsidR="006B5564" w:rsidRDefault="006B5564" w:rsidP="006B5564">
      <w:pPr>
        <w:spacing w:after="180"/>
        <w:rPr>
          <w:rFonts w:ascii="Arial" w:hAnsi="Arial" w:cs="Arial"/>
        </w:rPr>
      </w:pPr>
      <w:r w:rsidRPr="00CC20A1">
        <w:rPr>
          <w:rFonts w:ascii="Arial" w:hAnsi="Arial" w:cs="Arial"/>
        </w:rPr>
        <w:t>All contacts are due by the 10</w:t>
      </w:r>
      <w:r w:rsidRPr="00CC20A1">
        <w:rPr>
          <w:rFonts w:ascii="Arial" w:hAnsi="Arial" w:cs="Arial"/>
          <w:vertAlign w:val="superscript"/>
        </w:rPr>
        <w:t>th</w:t>
      </w:r>
      <w:r w:rsidRPr="00CC20A1">
        <w:rPr>
          <w:rFonts w:ascii="Arial" w:hAnsi="Arial" w:cs="Arial"/>
        </w:rPr>
        <w:t xml:space="preserve"> day of the following month.</w:t>
      </w:r>
    </w:p>
    <w:p w:rsidR="00DC0C9F" w:rsidRPr="00B63AE8" w:rsidRDefault="00DC0C9F" w:rsidP="00DC0C9F">
      <w:pPr>
        <w:pStyle w:val="Heading1"/>
      </w:pPr>
      <w:r>
        <w:t>About Management Circulars</w:t>
      </w:r>
    </w:p>
    <w:p w:rsidR="00DC0C9F" w:rsidRPr="006B5564" w:rsidRDefault="00DC0C9F" w:rsidP="00DC0C9F">
      <w:pPr>
        <w:pStyle w:val="DHHeading1"/>
      </w:pPr>
      <w:r w:rsidRPr="006B5564">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rsidR="00DC0C9F" w:rsidRPr="006B5564" w:rsidRDefault="00DC0C9F" w:rsidP="00DC0C9F">
      <w:pPr>
        <w:spacing w:after="120" w:line="270" w:lineRule="atLeast"/>
        <w:rPr>
          <w:rFonts w:ascii="Arial" w:eastAsia="Times" w:hAnsi="Arial"/>
          <w:color w:val="CC0066"/>
        </w:rPr>
      </w:pPr>
    </w:p>
    <w:tbl>
      <w:tblPr>
        <w:tblW w:w="4800" w:type="pct"/>
        <w:tblInd w:w="113" w:type="dxa"/>
        <w:tblCellMar>
          <w:top w:w="113" w:type="dxa"/>
          <w:bottom w:w="57" w:type="dxa"/>
        </w:tblCellMar>
        <w:tblLook w:val="00A0" w:firstRow="1" w:lastRow="0" w:firstColumn="1" w:lastColumn="0" w:noHBand="0" w:noVBand="0"/>
      </w:tblPr>
      <w:tblGrid>
        <w:gridCol w:w="10003"/>
      </w:tblGrid>
      <w:tr w:rsidR="00DC0C9F" w:rsidRPr="002802E3" w:rsidTr="00FB0D1E">
        <w:trPr>
          <w:cantSplit/>
        </w:trPr>
        <w:tc>
          <w:tcPr>
            <w:tcW w:w="4942" w:type="dxa"/>
            <w:tcBorders>
              <w:top w:val="single" w:sz="4" w:space="0" w:color="auto"/>
              <w:left w:val="single" w:sz="4" w:space="0" w:color="auto"/>
              <w:bottom w:val="single" w:sz="4" w:space="0" w:color="auto"/>
              <w:right w:val="single" w:sz="4" w:space="0" w:color="auto"/>
            </w:tcBorders>
            <w:vAlign w:val="bottom"/>
          </w:tcPr>
          <w:p w:rsidR="00DC0C9F" w:rsidRPr="002802E3" w:rsidRDefault="00DC0C9F" w:rsidP="00FB0D1E">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DC0C9F" w:rsidRPr="002802E3" w:rsidRDefault="00DC0C9F" w:rsidP="00FB0D1E">
            <w:pPr>
              <w:spacing w:after="120" w:line="270" w:lineRule="atLeast"/>
              <w:rPr>
                <w:rFonts w:ascii="Arial" w:eastAsia="Times" w:hAnsi="Arial"/>
              </w:rPr>
            </w:pPr>
            <w:r w:rsidRPr="002802E3">
              <w:rPr>
                <w:rFonts w:ascii="Arial" w:eastAsia="Times" w:hAnsi="Arial"/>
              </w:rPr>
              <w:t xml:space="preserve">© State of Victoria, </w:t>
            </w:r>
            <w:r>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DC0C9F" w:rsidRPr="002802E3" w:rsidRDefault="00DC0C9F" w:rsidP="00FB0D1E">
            <w:pPr>
              <w:spacing w:after="120" w:line="270" w:lineRule="atLeast"/>
              <w:rPr>
                <w:rFonts w:ascii="Arial" w:eastAsia="Times" w:hAnsi="Arial"/>
              </w:rPr>
            </w:pPr>
            <w:r w:rsidRPr="002802E3">
              <w:rPr>
                <w:rFonts w:ascii="Arial" w:eastAsia="Times" w:hAnsi="Arial"/>
                <w:szCs w:val="19"/>
                <w:lang w:val="en-US"/>
              </w:rPr>
              <w:t xml:space="preserve">Available at </w:t>
            </w:r>
            <w:r w:rsidRPr="004543C1">
              <w:rPr>
                <w:rFonts w:ascii="Arial" w:eastAsia="Times" w:hAnsi="Arial"/>
                <w:szCs w:val="19"/>
                <w:lang w:val="en-US"/>
              </w:rPr>
              <w:t>http://www.health.vic.gov.au/mhdr-info/rules.htm</w:t>
            </w:r>
          </w:p>
        </w:tc>
      </w:tr>
    </w:tbl>
    <w:p w:rsidR="00DC0C9F" w:rsidRDefault="00DC0C9F" w:rsidP="006B5564">
      <w:pPr>
        <w:spacing w:after="180"/>
        <w:rPr>
          <w:rFonts w:ascii="Arial" w:hAnsi="Arial" w:cs="Arial"/>
        </w:rPr>
      </w:pPr>
    </w:p>
    <w:p w:rsidR="00DC0C9F" w:rsidRDefault="00DC0C9F" w:rsidP="006B5564">
      <w:pPr>
        <w:spacing w:after="180"/>
        <w:rPr>
          <w:rFonts w:ascii="Arial" w:hAnsi="Arial" w:cs="Arial"/>
        </w:rPr>
      </w:pPr>
    </w:p>
    <w:p w:rsidR="00DC0C9F" w:rsidRDefault="00DC0C9F" w:rsidP="006B5564">
      <w:pPr>
        <w:spacing w:after="180"/>
        <w:rPr>
          <w:rFonts w:ascii="Arial" w:hAnsi="Arial" w:cs="Arial"/>
        </w:rPr>
        <w:sectPr w:rsidR="00DC0C9F" w:rsidSect="00D23BCF">
          <w:headerReference w:type="default" r:id="rId11"/>
          <w:footerReference w:type="default" r:id="rId12"/>
          <w:type w:val="continuous"/>
          <w:pgSz w:w="11906" w:h="16838"/>
          <w:pgMar w:top="1418" w:right="851" w:bottom="1134" w:left="851" w:header="567" w:footer="510" w:gutter="0"/>
          <w:cols w:space="340"/>
          <w:docGrid w:linePitch="360"/>
        </w:sectPr>
      </w:pPr>
    </w:p>
    <w:p w:rsidR="006659C3" w:rsidRPr="00B63AE8" w:rsidRDefault="006659C3" w:rsidP="006659C3">
      <w:pPr>
        <w:pStyle w:val="Heading1"/>
      </w:pPr>
      <w:r>
        <w:lastRenderedPageBreak/>
        <w:t>When Should I Record a Contract in CMI Flowchart</w:t>
      </w:r>
    </w:p>
    <w:p w:rsidR="00B2752E" w:rsidRPr="00906490" w:rsidRDefault="006659C3" w:rsidP="00DC0C9F">
      <w:r>
        <w:rPr>
          <w:noProof/>
          <w:lang w:eastAsia="en-AU"/>
        </w:rPr>
        <w:drawing>
          <wp:inline distT="0" distB="0" distL="0" distR="0" wp14:anchorId="3D9ADC31" wp14:editId="78FE1F23">
            <wp:extent cx="8210939" cy="57634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210939" cy="5763449"/>
                    </a:xfrm>
                    <a:prstGeom prst="rect">
                      <a:avLst/>
                    </a:prstGeom>
                  </pic:spPr>
                </pic:pic>
              </a:graphicData>
            </a:graphic>
          </wp:inline>
        </w:drawing>
      </w:r>
    </w:p>
    <w:sectPr w:rsidR="00B2752E" w:rsidRPr="00906490" w:rsidSect="00DC0C9F">
      <w:pgSz w:w="16838" w:h="11906" w:orient="landscape"/>
      <w:pgMar w:top="851" w:right="1418" w:bottom="851" w:left="1134"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
        <w:separator/>
      </w:r>
    </w:p>
  </w:endnote>
  <w:endnote w:type="continuationSeparator" w:id="0">
    <w:p w:rsidR="008A4C50" w:rsidRDefault="008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rporateSBQ-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D807C4" w:rsidP="00A11421">
    <w:pPr>
      <w:pStyle w:val="Footer"/>
    </w:pPr>
    <w:r w:rsidRPr="00D807C4">
      <w:t>Recording Contacts in CMI/ODS</w:t>
    </w:r>
    <w:r w:rsidR="009D70A4" w:rsidRPr="00A11421">
      <w:tab/>
    </w:r>
    <w:r w:rsidR="009D70A4" w:rsidRPr="00A11421">
      <w:fldChar w:fldCharType="begin"/>
    </w:r>
    <w:r w:rsidR="009D70A4" w:rsidRPr="00A11421">
      <w:instrText xml:space="preserve"> PAGE </w:instrText>
    </w:r>
    <w:r w:rsidR="009D70A4" w:rsidRPr="00A11421">
      <w:fldChar w:fldCharType="separate"/>
    </w:r>
    <w:r w:rsidR="006D10C8">
      <w:rPr>
        <w:noProof/>
      </w:rPr>
      <w:t>4</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2862F1">
      <w:pPr>
        <w:spacing w:before="120"/>
      </w:pPr>
      <w:r>
        <w:separator/>
      </w:r>
    </w:p>
  </w:footnote>
  <w:footnote w:type="continuationSeparator" w:id="0">
    <w:p w:rsidR="008A4C50" w:rsidRDefault="008A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76CC"/>
    <w:multiLevelType w:val="hybridMultilevel"/>
    <w:tmpl w:val="62442C68"/>
    <w:lvl w:ilvl="0" w:tplc="0C090001">
      <w:start w:val="1"/>
      <w:numFmt w:val="bullet"/>
      <w:lvlText w:val=""/>
      <w:lvlJc w:val="left"/>
      <w:pPr>
        <w:ind w:left="720" w:hanging="360"/>
      </w:pPr>
      <w:rPr>
        <w:rFonts w:ascii="Symbol" w:hAnsi="Symbol" w:hint="default"/>
      </w:rPr>
    </w:lvl>
    <w:lvl w:ilvl="1" w:tplc="040A67C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76DA5D7C"/>
    <w:multiLevelType w:val="hybridMultilevel"/>
    <w:tmpl w:val="7190F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24D89"/>
    <w:rsid w:val="00033D81"/>
    <w:rsid w:val="00034229"/>
    <w:rsid w:val="00041BF0"/>
    <w:rsid w:val="0004536B"/>
    <w:rsid w:val="00046B68"/>
    <w:rsid w:val="000527DD"/>
    <w:rsid w:val="000578B2"/>
    <w:rsid w:val="00060959"/>
    <w:rsid w:val="00070B61"/>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3657"/>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3392"/>
    <w:rsid w:val="00314054"/>
    <w:rsid w:val="00316F27"/>
    <w:rsid w:val="00327870"/>
    <w:rsid w:val="0033259D"/>
    <w:rsid w:val="00335D42"/>
    <w:rsid w:val="003406C6"/>
    <w:rsid w:val="003418CC"/>
    <w:rsid w:val="003459BD"/>
    <w:rsid w:val="00350D38"/>
    <w:rsid w:val="00352BB9"/>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659C3"/>
    <w:rsid w:val="00670597"/>
    <w:rsid w:val="00677574"/>
    <w:rsid w:val="0068454C"/>
    <w:rsid w:val="00691B62"/>
    <w:rsid w:val="006A18C2"/>
    <w:rsid w:val="006B077C"/>
    <w:rsid w:val="006B5564"/>
    <w:rsid w:val="006D10C8"/>
    <w:rsid w:val="006D2A3F"/>
    <w:rsid w:val="006E138B"/>
    <w:rsid w:val="006F1FDC"/>
    <w:rsid w:val="006F5882"/>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A4C50"/>
    <w:rsid w:val="008B2EE4"/>
    <w:rsid w:val="008B4D3D"/>
    <w:rsid w:val="008B57C7"/>
    <w:rsid w:val="008C2F92"/>
    <w:rsid w:val="008D4236"/>
    <w:rsid w:val="008D462F"/>
    <w:rsid w:val="008E4376"/>
    <w:rsid w:val="008F1E8D"/>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B629A"/>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F2F5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807C4"/>
    <w:rsid w:val="00D81F21"/>
    <w:rsid w:val="00D95470"/>
    <w:rsid w:val="00DA2619"/>
    <w:rsid w:val="00DA4239"/>
    <w:rsid w:val="00DB0B61"/>
    <w:rsid w:val="00DC090B"/>
    <w:rsid w:val="00DC0C9F"/>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C77B9"/>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A6DEF"/>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6B5564"/>
    <w:pPr>
      <w:spacing w:before="360"/>
    </w:pPr>
    <w:rPr>
      <w:rFonts w:ascii="Arial" w:hAnsi="Arial"/>
      <w:bCs/>
      <w:color w:val="FFFFFF"/>
      <w:sz w:val="44"/>
      <w:szCs w:val="44"/>
    </w:rPr>
  </w:style>
  <w:style w:type="paragraph" w:styleId="ListParagraph">
    <w:name w:val="List Paragraph"/>
    <w:basedOn w:val="Normal"/>
    <w:uiPriority w:val="72"/>
    <w:semiHidden/>
    <w:qFormat/>
    <w:rsid w:val="006B5564"/>
    <w:pPr>
      <w:ind w:left="720"/>
      <w:contextualSpacing/>
    </w:pPr>
  </w:style>
  <w:style w:type="paragraph" w:customStyle="1" w:styleId="normal-p">
    <w:name w:val="normal-p"/>
    <w:basedOn w:val="Normal"/>
    <w:rsid w:val="006B5564"/>
    <w:rPr>
      <w:rFonts w:ascii="Times New Roman" w:eastAsia="Arial Unicode MS" w:hAnsi="Times New Roman"/>
    </w:rPr>
  </w:style>
  <w:style w:type="paragraph" w:customStyle="1" w:styleId="DHSText10pt">
    <w:name w:val="DHS Text 10pt"/>
    <w:basedOn w:val="Normal"/>
    <w:rsid w:val="006B5564"/>
    <w:pPr>
      <w:widowControl w:val="0"/>
      <w:overflowPunct w:val="0"/>
      <w:autoSpaceDE w:val="0"/>
      <w:autoSpaceDN w:val="0"/>
      <w:adjustRightInd w:val="0"/>
      <w:textAlignment w:val="baseline"/>
    </w:pPr>
    <w:rPr>
      <w:rFonts w:ascii="Verdana" w:hAnsi="Verdana"/>
    </w:rPr>
  </w:style>
  <w:style w:type="paragraph" w:customStyle="1" w:styleId="DHHeading1">
    <w:name w:val="DH Heading 1"/>
    <w:autoRedefine/>
    <w:qFormat/>
    <w:rsid w:val="006B5564"/>
    <w:pPr>
      <w:spacing w:after="240" w:line="288" w:lineRule="auto"/>
    </w:pPr>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6B5564"/>
    <w:pPr>
      <w:spacing w:before="360"/>
    </w:pPr>
    <w:rPr>
      <w:rFonts w:ascii="Arial" w:hAnsi="Arial"/>
      <w:bCs/>
      <w:color w:val="FFFFFF"/>
      <w:sz w:val="44"/>
      <w:szCs w:val="44"/>
    </w:rPr>
  </w:style>
  <w:style w:type="paragraph" w:styleId="ListParagraph">
    <w:name w:val="List Paragraph"/>
    <w:basedOn w:val="Normal"/>
    <w:uiPriority w:val="72"/>
    <w:semiHidden/>
    <w:qFormat/>
    <w:rsid w:val="006B5564"/>
    <w:pPr>
      <w:ind w:left="720"/>
      <w:contextualSpacing/>
    </w:pPr>
  </w:style>
  <w:style w:type="paragraph" w:customStyle="1" w:styleId="normal-p">
    <w:name w:val="normal-p"/>
    <w:basedOn w:val="Normal"/>
    <w:rsid w:val="006B5564"/>
    <w:rPr>
      <w:rFonts w:ascii="Times New Roman" w:eastAsia="Arial Unicode MS" w:hAnsi="Times New Roman"/>
    </w:rPr>
  </w:style>
  <w:style w:type="paragraph" w:customStyle="1" w:styleId="DHSText10pt">
    <w:name w:val="DHS Text 10pt"/>
    <w:basedOn w:val="Normal"/>
    <w:rsid w:val="006B5564"/>
    <w:pPr>
      <w:widowControl w:val="0"/>
      <w:overflowPunct w:val="0"/>
      <w:autoSpaceDE w:val="0"/>
      <w:autoSpaceDN w:val="0"/>
      <w:adjustRightInd w:val="0"/>
      <w:textAlignment w:val="baseline"/>
    </w:pPr>
    <w:rPr>
      <w:rFonts w:ascii="Verdana" w:hAnsi="Verdana"/>
    </w:rPr>
  </w:style>
  <w:style w:type="paragraph" w:customStyle="1" w:styleId="DHHeading1">
    <w:name w:val="DH Heading 1"/>
    <w:autoRedefine/>
    <w:qFormat/>
    <w:rsid w:val="006B5564"/>
    <w:pPr>
      <w:spacing w:after="240" w:line="288" w:lineRule="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Template>
  <TotalTime>24</TotalTime>
  <Pages>4</Pages>
  <Words>776</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5714</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10</cp:revision>
  <cp:lastPrinted>2015-01-28T04:08:00Z</cp:lastPrinted>
  <dcterms:created xsi:type="dcterms:W3CDTF">2015-07-30T01:06:00Z</dcterms:created>
  <dcterms:modified xsi:type="dcterms:W3CDTF">2015-07-30T02:33:00Z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