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1D4" w:rsidRPr="00882505" w:rsidRDefault="00882505" w:rsidP="006A3C5B">
      <w:pPr>
        <w:spacing w:after="240" w:line="240" w:lineRule="auto"/>
        <w:ind w:left="-284"/>
        <w:rPr>
          <w:rFonts w:ascii="Arial" w:eastAsia="Calibri" w:hAnsi="Arial" w:cs="Arial"/>
          <w:color w:val="FFFFFF" w:themeColor="background1"/>
          <w:sz w:val="48"/>
          <w:szCs w:val="48"/>
        </w:rPr>
      </w:pPr>
      <w:bookmarkStart w:id="0" w:name="_Toc440566508"/>
      <w:bookmarkStart w:id="1" w:name="_GoBack"/>
      <w:bookmarkEnd w:id="1"/>
      <w:r>
        <w:rPr>
          <w:noProof/>
          <w:lang w:eastAsia="en-AU"/>
        </w:rPr>
        <w:drawing>
          <wp:anchor distT="0" distB="0" distL="114300" distR="114300" simplePos="0" relativeHeight="251650560" behindDoc="1" locked="0" layoutInCell="0" allowOverlap="1" wp14:anchorId="11C76DEB" wp14:editId="2AD09528">
            <wp:simplePos x="0" y="0"/>
            <wp:positionH relativeFrom="margin">
              <wp:align>center</wp:align>
            </wp:positionH>
            <wp:positionV relativeFrom="page">
              <wp:align>top</wp:align>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r w:rsidR="00DE01D4" w:rsidRPr="00DE01D4">
        <w:rPr>
          <w:rFonts w:ascii="Arial" w:eastAsia="Calibri" w:hAnsi="Arial" w:cs="Arial"/>
          <w:color w:val="FFFFFF" w:themeColor="background1"/>
          <w:sz w:val="48"/>
          <w:szCs w:val="48"/>
        </w:rPr>
        <w:t>National Safety and Quality Health S</w:t>
      </w:r>
      <w:r w:rsidR="00DE01D4">
        <w:rPr>
          <w:rFonts w:ascii="Arial" w:eastAsia="Calibri" w:hAnsi="Arial" w:cs="Arial"/>
          <w:color w:val="FFFFFF" w:themeColor="background1"/>
          <w:sz w:val="48"/>
          <w:szCs w:val="48"/>
        </w:rPr>
        <w:t xml:space="preserve">ervice Standards accreditation </w:t>
      </w:r>
      <w:r w:rsidR="00DE01D4" w:rsidRPr="00DE01D4">
        <w:rPr>
          <w:rFonts w:ascii="Arial" w:eastAsia="Calibri" w:hAnsi="Arial" w:cs="Arial"/>
          <w:color w:val="FFFFFF" w:themeColor="background1"/>
          <w:sz w:val="48"/>
          <w:szCs w:val="48"/>
        </w:rPr>
        <w:t>(second edition)</w:t>
      </w:r>
      <w:r w:rsidR="00DE01D4" w:rsidRPr="00DE01D4">
        <w:rPr>
          <w:rFonts w:ascii="Arial" w:eastAsia="Times New Roman" w:hAnsi="Arial" w:cs="Times New Roman"/>
          <w:color w:val="FFFFFF" w:themeColor="background1"/>
          <w:sz w:val="50"/>
          <w:szCs w:val="50"/>
        </w:rPr>
        <w:t xml:space="preserve"> </w:t>
      </w:r>
    </w:p>
    <w:p w:rsidR="00DE01D4" w:rsidRDefault="00DE01D4" w:rsidP="00DE01D4">
      <w:pPr>
        <w:spacing w:after="0" w:line="240" w:lineRule="auto"/>
        <w:ind w:left="-284"/>
        <w:rPr>
          <w:rFonts w:ascii="Arial" w:eastAsia="Times New Roman" w:hAnsi="Arial" w:cs="Times New Roman"/>
          <w:color w:val="FFFFFF"/>
          <w:sz w:val="50"/>
          <w:szCs w:val="50"/>
        </w:rPr>
      </w:pPr>
      <w:r w:rsidRPr="00DE01D4">
        <w:rPr>
          <w:rFonts w:ascii="Arial" w:eastAsia="Times New Roman" w:hAnsi="Arial" w:cs="Arial"/>
          <w:color w:val="FFFFFF" w:themeColor="background1"/>
          <w:sz w:val="28"/>
          <w:szCs w:val="28"/>
        </w:rPr>
        <w:t xml:space="preserve">Application process and scheduling of short notice accreditation </w:t>
      </w:r>
    </w:p>
    <w:p w:rsidR="00DE01D4" w:rsidRPr="00DE01D4" w:rsidRDefault="008518D1" w:rsidP="00DE01D4">
      <w:pPr>
        <w:spacing w:after="0" w:line="240" w:lineRule="auto"/>
        <w:ind w:left="-284"/>
        <w:rPr>
          <w:rFonts w:ascii="Arial" w:eastAsia="Times New Roman" w:hAnsi="Arial" w:cs="Times New Roman"/>
          <w:color w:val="FFFFFF"/>
          <w:sz w:val="50"/>
          <w:szCs w:val="50"/>
        </w:rPr>
      </w:pPr>
      <w:r>
        <w:rPr>
          <w:rFonts w:ascii="Arial" w:eastAsia="Times New Roman" w:hAnsi="Arial" w:cs="Arial"/>
          <w:color w:val="FFFFFF" w:themeColor="background1"/>
          <w:sz w:val="28"/>
          <w:szCs w:val="28"/>
        </w:rPr>
        <w:t>Assessment pathway</w:t>
      </w:r>
    </w:p>
    <w:p w:rsidR="00DE01D4" w:rsidRPr="00DE01D4" w:rsidRDefault="00DE01D4" w:rsidP="00DE01D4">
      <w:pPr>
        <w:spacing w:before="120" w:after="120" w:line="270" w:lineRule="atLeast"/>
        <w:rPr>
          <w:rFonts w:ascii="Arial" w:eastAsia="Times" w:hAnsi="Arial" w:cs="Times New Roman"/>
          <w:sz w:val="20"/>
          <w:szCs w:val="20"/>
        </w:rPr>
        <w:sectPr w:rsidR="00DE01D4" w:rsidRPr="00DE01D4" w:rsidSect="00882505">
          <w:headerReference w:type="even" r:id="rId9"/>
          <w:headerReference w:type="default" r:id="rId10"/>
          <w:footerReference w:type="even" r:id="rId11"/>
          <w:footerReference w:type="default" r:id="rId12"/>
          <w:headerReference w:type="first" r:id="rId13"/>
          <w:footerReference w:type="first" r:id="rId14"/>
          <w:pgSz w:w="11906" w:h="16838" w:code="9"/>
          <w:pgMar w:top="709" w:right="851" w:bottom="1134" w:left="851" w:header="567" w:footer="510" w:gutter="0"/>
          <w:cols w:space="340"/>
          <w:titlePg/>
          <w:docGrid w:linePitch="360"/>
        </w:sectPr>
      </w:pPr>
    </w:p>
    <w:p w:rsidR="00DE01D4" w:rsidRDefault="00DE01D4" w:rsidP="00DE01D4">
      <w:pPr>
        <w:spacing w:after="120" w:line="240" w:lineRule="auto"/>
        <w:rPr>
          <w:rFonts w:ascii="Arial" w:eastAsia="Times New Roman" w:hAnsi="Arial" w:cs="Arial"/>
          <w:i/>
          <w:sz w:val="20"/>
          <w:szCs w:val="20"/>
        </w:rPr>
      </w:pPr>
      <w:bookmarkStart w:id="2" w:name="_Toc440566509"/>
      <w:bookmarkEnd w:id="0"/>
    </w:p>
    <w:p w:rsidR="00DE01D4" w:rsidRDefault="00DE01D4" w:rsidP="00DE01D4">
      <w:pPr>
        <w:spacing w:after="120" w:line="240" w:lineRule="auto"/>
        <w:rPr>
          <w:rFonts w:ascii="Arial" w:eastAsia="Times New Roman" w:hAnsi="Arial" w:cs="Arial"/>
          <w:i/>
          <w:sz w:val="20"/>
          <w:szCs w:val="20"/>
        </w:rPr>
      </w:pPr>
    </w:p>
    <w:p w:rsidR="00DE01D4" w:rsidRPr="00DE01D4" w:rsidRDefault="00DE01D4" w:rsidP="006A3C5B">
      <w:pPr>
        <w:spacing w:before="360" w:after="120" w:line="240" w:lineRule="auto"/>
        <w:rPr>
          <w:rFonts w:ascii="Arial" w:eastAsia="Times New Roman" w:hAnsi="Arial" w:cs="Arial"/>
          <w:i/>
          <w:sz w:val="20"/>
          <w:szCs w:val="20"/>
        </w:rPr>
      </w:pPr>
      <w:r w:rsidRPr="00DE01D4">
        <w:rPr>
          <w:rFonts w:ascii="Arial" w:eastAsia="Times New Roman" w:hAnsi="Arial" w:cs="Arial"/>
          <w:i/>
          <w:sz w:val="20"/>
          <w:szCs w:val="20"/>
        </w:rPr>
        <w:t xml:space="preserve">The </w:t>
      </w:r>
      <w:r w:rsidRPr="00DE01D4">
        <w:rPr>
          <w:rFonts w:ascii="Arial" w:eastAsia="Times New Roman" w:hAnsi="Arial" w:cs="Arial"/>
          <w:i/>
          <w:color w:val="000000" w:themeColor="text1"/>
          <w:sz w:val="20"/>
          <w:szCs w:val="20"/>
        </w:rPr>
        <w:t xml:space="preserve">application process and scheduling of short notice accreditation assessments applies </w:t>
      </w:r>
      <w:r w:rsidRPr="00DE01D4">
        <w:rPr>
          <w:rFonts w:ascii="Arial" w:eastAsia="Times New Roman" w:hAnsi="Arial" w:cs="Arial"/>
          <w:i/>
          <w:sz w:val="20"/>
          <w:szCs w:val="20"/>
        </w:rPr>
        <w:t>to all public health service organisations within scope of the Accreditation Policy for Victorian public health service organisations – National Safety and Quality Health Service Standards (the policy) and aligns with the Department of Health and Human Services’ (the department) regu</w:t>
      </w:r>
      <w:r w:rsidR="00F26C32">
        <w:rPr>
          <w:rFonts w:ascii="Arial" w:eastAsia="Times New Roman" w:hAnsi="Arial" w:cs="Arial"/>
          <w:i/>
          <w:sz w:val="20"/>
          <w:szCs w:val="20"/>
        </w:rPr>
        <w:t>latory policy for accreditation</w:t>
      </w:r>
      <w:r w:rsidRPr="00DE01D4">
        <w:rPr>
          <w:rFonts w:ascii="Arial" w:eastAsia="Times New Roman" w:hAnsi="Arial" w:cs="Arial"/>
          <w:i/>
          <w:sz w:val="20"/>
          <w:szCs w:val="20"/>
        </w:rPr>
        <w:t xml:space="preserve">. </w:t>
      </w:r>
    </w:p>
    <w:p w:rsidR="00DE01D4" w:rsidRPr="00DE01D4" w:rsidRDefault="00DE01D4" w:rsidP="002D560C">
      <w:pPr>
        <w:spacing w:after="240" w:line="240" w:lineRule="auto"/>
        <w:rPr>
          <w:rFonts w:ascii="Arial" w:eastAsia="Times New Roman" w:hAnsi="Arial" w:cs="Arial"/>
          <w:i/>
          <w:sz w:val="20"/>
          <w:szCs w:val="20"/>
        </w:rPr>
      </w:pPr>
      <w:r w:rsidRPr="00DE01D4">
        <w:rPr>
          <w:rFonts w:ascii="Arial" w:eastAsia="Times New Roman" w:hAnsi="Arial" w:cs="Arial"/>
          <w:i/>
          <w:sz w:val="20"/>
          <w:szCs w:val="20"/>
        </w:rPr>
        <w:t xml:space="preserve">The short notice assessment </w:t>
      </w:r>
      <w:r w:rsidR="00F26C32">
        <w:rPr>
          <w:rFonts w:ascii="Arial" w:eastAsia="Times New Roman" w:hAnsi="Arial" w:cs="Arial"/>
          <w:i/>
          <w:sz w:val="20"/>
          <w:szCs w:val="20"/>
        </w:rPr>
        <w:t xml:space="preserve">pathway </w:t>
      </w:r>
      <w:r w:rsidRPr="00DE01D4">
        <w:rPr>
          <w:rFonts w:ascii="Arial" w:eastAsia="Times New Roman" w:hAnsi="Arial" w:cs="Arial"/>
          <w:i/>
          <w:sz w:val="20"/>
          <w:szCs w:val="20"/>
        </w:rPr>
        <w:t xml:space="preserve">requires health service organisations to comply with the requirements of the NSQHS Standards </w:t>
      </w:r>
      <w:r w:rsidR="00882505">
        <w:rPr>
          <w:rFonts w:ascii="Arial" w:eastAsia="Times New Roman" w:hAnsi="Arial" w:cs="Arial"/>
          <w:i/>
          <w:sz w:val="20"/>
          <w:szCs w:val="20"/>
        </w:rPr>
        <w:t xml:space="preserve">(second edition) </w:t>
      </w:r>
      <w:r w:rsidRPr="00DE01D4">
        <w:rPr>
          <w:rFonts w:ascii="Arial" w:eastAsia="Times New Roman" w:hAnsi="Arial" w:cs="Arial"/>
          <w:i/>
          <w:sz w:val="20"/>
          <w:szCs w:val="20"/>
        </w:rPr>
        <w:t xml:space="preserve">and have in place processes to demonstrate compliance at any time. </w:t>
      </w:r>
    </w:p>
    <w:p w:rsidR="00DE01D4" w:rsidRPr="00DE01D4" w:rsidRDefault="00DE01D4" w:rsidP="00DE01D4">
      <w:pPr>
        <w:numPr>
          <w:ilvl w:val="0"/>
          <w:numId w:val="1"/>
        </w:numPr>
        <w:spacing w:after="120" w:line="240" w:lineRule="auto"/>
        <w:rPr>
          <w:rFonts w:ascii="Arial" w:eastAsia="Calibri" w:hAnsi="Arial" w:cs="Arial"/>
          <w:b/>
          <w:color w:val="7030A0"/>
          <w:sz w:val="28"/>
          <w:szCs w:val="28"/>
        </w:rPr>
      </w:pPr>
      <w:r w:rsidRPr="00DE01D4">
        <w:rPr>
          <w:rFonts w:ascii="Arial" w:eastAsia="Calibri" w:hAnsi="Arial" w:cs="Arial"/>
          <w:b/>
          <w:color w:val="7030A0"/>
          <w:sz w:val="28"/>
          <w:szCs w:val="28"/>
        </w:rPr>
        <w:t>Application process and scheduling of short notice accreditation assessments</w:t>
      </w:r>
    </w:p>
    <w:p w:rsidR="00DE01D4" w:rsidRPr="00DE01D4" w:rsidRDefault="00DE01D4" w:rsidP="00DE01D4">
      <w:pPr>
        <w:numPr>
          <w:ilvl w:val="1"/>
          <w:numId w:val="1"/>
        </w:numPr>
        <w:spacing w:after="120" w:line="240" w:lineRule="auto"/>
        <w:ind w:left="788" w:hanging="431"/>
        <w:rPr>
          <w:rFonts w:ascii="Arial" w:eastAsia="Calibri" w:hAnsi="Arial" w:cs="Arial"/>
          <w:sz w:val="20"/>
          <w:szCs w:val="20"/>
        </w:rPr>
      </w:pPr>
      <w:r w:rsidRPr="00DE01D4">
        <w:rPr>
          <w:rFonts w:ascii="Arial" w:eastAsia="Calibri" w:hAnsi="Arial" w:cs="Arial"/>
          <w:sz w:val="20"/>
          <w:szCs w:val="20"/>
        </w:rPr>
        <w:t>Participation in the short notice assessment pathway is voluntary f</w:t>
      </w:r>
      <w:r w:rsidR="002D560C">
        <w:rPr>
          <w:rFonts w:ascii="Arial" w:eastAsia="Calibri" w:hAnsi="Arial" w:cs="Arial"/>
          <w:sz w:val="20"/>
          <w:szCs w:val="20"/>
        </w:rPr>
        <w:t>or health service organisations</w:t>
      </w:r>
    </w:p>
    <w:p w:rsidR="00DE01D4" w:rsidRPr="00DE01D4" w:rsidRDefault="00DE01D4" w:rsidP="00DE01D4">
      <w:pPr>
        <w:numPr>
          <w:ilvl w:val="1"/>
          <w:numId w:val="1"/>
        </w:numPr>
        <w:spacing w:after="120" w:line="240" w:lineRule="auto"/>
        <w:ind w:left="788" w:hanging="431"/>
        <w:jc w:val="both"/>
        <w:rPr>
          <w:rFonts w:ascii="Arial" w:eastAsia="Calibri" w:hAnsi="Arial" w:cs="Arial"/>
        </w:rPr>
      </w:pPr>
      <w:r w:rsidRPr="00DE01D4">
        <w:rPr>
          <w:rFonts w:ascii="Arial" w:eastAsia="Calibri" w:hAnsi="Arial" w:cs="Arial"/>
          <w:sz w:val="20"/>
          <w:szCs w:val="20"/>
        </w:rPr>
        <w:t xml:space="preserve">Health service organisations wishing to commence short notice assessments should seek approval from the department at least </w:t>
      </w:r>
      <w:r w:rsidRPr="00DE01D4">
        <w:rPr>
          <w:rFonts w:ascii="Arial" w:eastAsia="Calibri" w:hAnsi="Arial" w:cs="Arial"/>
          <w:b/>
          <w:sz w:val="20"/>
          <w:szCs w:val="20"/>
        </w:rPr>
        <w:t>6 months</w:t>
      </w:r>
      <w:r w:rsidRPr="00DE01D4">
        <w:rPr>
          <w:rFonts w:ascii="Arial" w:eastAsia="Calibri" w:hAnsi="Arial" w:cs="Arial"/>
          <w:b/>
          <w:sz w:val="20"/>
          <w:szCs w:val="20"/>
          <w:vertAlign w:val="superscript"/>
        </w:rPr>
        <w:t xml:space="preserve"> </w:t>
      </w:r>
      <w:r w:rsidRPr="00DE01D4">
        <w:rPr>
          <w:rFonts w:ascii="Arial" w:eastAsia="Calibri" w:hAnsi="Arial" w:cs="Arial"/>
          <w:sz w:val="20"/>
          <w:szCs w:val="20"/>
        </w:rPr>
        <w:t>before their current accreditation award expires. This is to allow sufficient time for the department to consider and consult with the Commission as to the standards sele</w:t>
      </w:r>
      <w:r w:rsidR="002D560C">
        <w:rPr>
          <w:rFonts w:ascii="Arial" w:eastAsia="Calibri" w:hAnsi="Arial" w:cs="Arial"/>
          <w:sz w:val="20"/>
          <w:szCs w:val="20"/>
        </w:rPr>
        <w:t>cted for the initial assessment</w:t>
      </w:r>
      <w:r w:rsidRPr="00DE01D4">
        <w:rPr>
          <w:rFonts w:ascii="Arial" w:eastAsia="Calibri" w:hAnsi="Arial" w:cs="Arial"/>
          <w:sz w:val="20"/>
          <w:szCs w:val="20"/>
        </w:rPr>
        <w:t xml:space="preserve"> </w:t>
      </w:r>
    </w:p>
    <w:p w:rsidR="00DE01D4" w:rsidRPr="00DE01D4" w:rsidRDefault="00DE01D4" w:rsidP="00DE01D4">
      <w:pPr>
        <w:numPr>
          <w:ilvl w:val="1"/>
          <w:numId w:val="1"/>
        </w:numPr>
        <w:spacing w:after="120" w:line="240" w:lineRule="auto"/>
        <w:ind w:left="788" w:hanging="431"/>
        <w:jc w:val="both"/>
        <w:rPr>
          <w:rFonts w:ascii="Arial" w:eastAsia="Calibri" w:hAnsi="Arial" w:cs="Arial"/>
          <w:color w:val="000000"/>
          <w:lang w:eastAsia="en-AU"/>
        </w:rPr>
      </w:pPr>
      <w:r w:rsidRPr="00DE01D4">
        <w:rPr>
          <w:rFonts w:ascii="Arial" w:eastAsia="Calibri" w:hAnsi="Arial" w:cs="Arial"/>
          <w:sz w:val="20"/>
          <w:szCs w:val="20"/>
        </w:rPr>
        <w:t>Requests to participate in the short notice pathway are to be made in w</w:t>
      </w:r>
      <w:r w:rsidR="00F26C32">
        <w:rPr>
          <w:rFonts w:ascii="Arial" w:eastAsia="Calibri" w:hAnsi="Arial" w:cs="Arial"/>
          <w:sz w:val="20"/>
          <w:szCs w:val="20"/>
        </w:rPr>
        <w:t xml:space="preserve">riting by the Chief Executive </w:t>
      </w:r>
      <w:proofErr w:type="gramStart"/>
      <w:r w:rsidR="00F26C32">
        <w:rPr>
          <w:rFonts w:ascii="Arial" w:eastAsia="Calibri" w:hAnsi="Arial" w:cs="Arial"/>
          <w:sz w:val="20"/>
          <w:szCs w:val="20"/>
        </w:rPr>
        <w:t xml:space="preserve">Officer </w:t>
      </w:r>
      <w:r w:rsidRPr="00DE01D4">
        <w:rPr>
          <w:rFonts w:ascii="Arial" w:eastAsia="Calibri" w:hAnsi="Arial" w:cs="Arial"/>
          <w:sz w:val="20"/>
          <w:szCs w:val="20"/>
        </w:rPr>
        <w:t xml:space="preserve"> </w:t>
      </w:r>
      <w:r w:rsidR="00F26C32">
        <w:rPr>
          <w:rFonts w:ascii="Arial" w:eastAsia="Calibri" w:hAnsi="Arial" w:cs="Arial"/>
          <w:sz w:val="20"/>
          <w:szCs w:val="20"/>
        </w:rPr>
        <w:t>of</w:t>
      </w:r>
      <w:proofErr w:type="gramEnd"/>
      <w:r w:rsidR="00F26C32">
        <w:rPr>
          <w:rFonts w:ascii="Arial" w:eastAsia="Calibri" w:hAnsi="Arial" w:cs="Arial"/>
          <w:sz w:val="20"/>
          <w:szCs w:val="20"/>
        </w:rPr>
        <w:t xml:space="preserve"> the health service, directly </w:t>
      </w:r>
      <w:r w:rsidRPr="00DE01D4">
        <w:rPr>
          <w:rFonts w:ascii="Arial" w:eastAsia="Calibri" w:hAnsi="Arial" w:cs="Arial"/>
          <w:sz w:val="20"/>
          <w:szCs w:val="20"/>
        </w:rPr>
        <w:t>to the department. Please refer to Appendix 3: Accreditation notification contacts and timelines, via &lt;</w:t>
      </w:r>
      <w:hyperlink r:id="rId15" w:history="1">
        <w:r w:rsidRPr="00DE01D4">
          <w:rPr>
            <w:rFonts w:ascii="Arial" w:eastAsia="Calibri" w:hAnsi="Arial" w:cs="Arial"/>
            <w:color w:val="3366FF"/>
            <w:sz w:val="20"/>
            <w:szCs w:val="20"/>
            <w:u w:val="dotted"/>
            <w:lang w:eastAsia="en-AU"/>
          </w:rPr>
          <w:t>https://www2.health.vic.gov.au/hospitals-and-health-services/quality-safety-service/hospital-accreditation/policy-on-accreditation</w:t>
        </w:r>
      </w:hyperlink>
      <w:r w:rsidRPr="00DE01D4">
        <w:rPr>
          <w:rFonts w:ascii="Arial" w:eastAsia="Calibri" w:hAnsi="Arial" w:cs="Arial"/>
          <w:color w:val="000000"/>
          <w:sz w:val="20"/>
          <w:szCs w:val="20"/>
          <w:lang w:eastAsia="en-AU"/>
        </w:rPr>
        <w:t>&gt;</w:t>
      </w:r>
      <w:r w:rsidR="002D560C">
        <w:rPr>
          <w:rFonts w:ascii="Arial" w:eastAsia="Calibri" w:hAnsi="Arial" w:cs="Arial"/>
          <w:color w:val="000000"/>
          <w:sz w:val="20"/>
          <w:szCs w:val="20"/>
          <w:lang w:eastAsia="en-AU"/>
        </w:rPr>
        <w:t xml:space="preserve"> for applicable contact details</w:t>
      </w:r>
    </w:p>
    <w:p w:rsidR="00DE01D4" w:rsidRPr="00DE01D4" w:rsidRDefault="00DE01D4" w:rsidP="00DE01D4">
      <w:pPr>
        <w:numPr>
          <w:ilvl w:val="1"/>
          <w:numId w:val="1"/>
        </w:numPr>
        <w:spacing w:after="120" w:line="240" w:lineRule="auto"/>
        <w:ind w:left="788" w:hanging="431"/>
        <w:jc w:val="both"/>
        <w:rPr>
          <w:rFonts w:ascii="Arial" w:eastAsia="Calibri" w:hAnsi="Arial" w:cs="Arial"/>
          <w:color w:val="000000"/>
          <w:sz w:val="20"/>
          <w:szCs w:val="20"/>
          <w:lang w:eastAsia="en-AU"/>
        </w:rPr>
      </w:pPr>
      <w:r w:rsidRPr="00DE01D4">
        <w:rPr>
          <w:rFonts w:ascii="Arial" w:eastAsia="Calibri" w:hAnsi="Arial" w:cs="Arial"/>
          <w:sz w:val="20"/>
          <w:szCs w:val="20"/>
        </w:rPr>
        <w:t>Health service organisations contemplating short notice assessments should ensure their safety and quality systems are well embedded, and routine processes are in place to monitor safety and quality performance against the NSQHS Standards</w:t>
      </w:r>
      <w:r w:rsidR="0009351B">
        <w:rPr>
          <w:rFonts w:ascii="Arial" w:eastAsia="Calibri" w:hAnsi="Arial" w:cs="Arial"/>
          <w:sz w:val="20"/>
          <w:szCs w:val="20"/>
        </w:rPr>
        <w:t xml:space="preserve"> (second edition)</w:t>
      </w:r>
    </w:p>
    <w:p w:rsidR="00DE01D4" w:rsidRPr="00DE01D4" w:rsidRDefault="00DE01D4" w:rsidP="00DE01D4">
      <w:pPr>
        <w:numPr>
          <w:ilvl w:val="1"/>
          <w:numId w:val="1"/>
        </w:numPr>
        <w:spacing w:after="60" w:line="240" w:lineRule="auto"/>
        <w:ind w:left="788" w:hanging="431"/>
        <w:rPr>
          <w:rFonts w:ascii="Arial" w:eastAsia="Calibri" w:hAnsi="Arial" w:cs="Arial"/>
          <w:sz w:val="20"/>
          <w:szCs w:val="20"/>
        </w:rPr>
      </w:pPr>
      <w:r w:rsidRPr="00DE01D4">
        <w:rPr>
          <w:rFonts w:ascii="Arial" w:eastAsia="Calibri" w:hAnsi="Arial" w:cs="Arial"/>
          <w:sz w:val="20"/>
          <w:szCs w:val="20"/>
        </w:rPr>
        <w:t>The request should demonstrate that they have considered;</w:t>
      </w:r>
    </w:p>
    <w:p w:rsidR="00DE01D4" w:rsidRPr="00DE01D4" w:rsidRDefault="00DE01D4" w:rsidP="00DE01D4">
      <w:pPr>
        <w:numPr>
          <w:ilvl w:val="2"/>
          <w:numId w:val="1"/>
        </w:numPr>
        <w:spacing w:after="60" w:line="240" w:lineRule="auto"/>
        <w:rPr>
          <w:rFonts w:ascii="Arial" w:eastAsia="Calibri" w:hAnsi="Arial" w:cs="Arial"/>
          <w:sz w:val="20"/>
          <w:szCs w:val="20"/>
        </w:rPr>
      </w:pPr>
      <w:r w:rsidRPr="00DE01D4">
        <w:rPr>
          <w:rFonts w:ascii="Arial" w:eastAsia="Calibri" w:hAnsi="Arial" w:cs="Arial"/>
          <w:sz w:val="20"/>
          <w:szCs w:val="20"/>
        </w:rPr>
        <w:t xml:space="preserve"> Potential risks and appropriation of the mitigation strategies for the </w:t>
      </w:r>
      <w:r w:rsidR="002D560C">
        <w:rPr>
          <w:rFonts w:ascii="Arial" w:eastAsia="Calibri" w:hAnsi="Arial" w:cs="Arial"/>
          <w:sz w:val="20"/>
          <w:szCs w:val="20"/>
        </w:rPr>
        <w:t>short notice assessment pathway</w:t>
      </w:r>
    </w:p>
    <w:p w:rsidR="00DE01D4" w:rsidRPr="00DE01D4" w:rsidRDefault="00DE01D4" w:rsidP="00DE01D4">
      <w:pPr>
        <w:numPr>
          <w:ilvl w:val="2"/>
          <w:numId w:val="1"/>
        </w:numPr>
        <w:spacing w:after="120" w:line="240" w:lineRule="auto"/>
        <w:ind w:left="1225" w:hanging="505"/>
        <w:rPr>
          <w:rFonts w:ascii="Arial" w:eastAsia="Calibri" w:hAnsi="Arial" w:cs="Arial"/>
          <w:sz w:val="20"/>
          <w:szCs w:val="20"/>
        </w:rPr>
      </w:pPr>
      <w:r w:rsidRPr="00DE01D4">
        <w:rPr>
          <w:rFonts w:ascii="Arial" w:eastAsia="Calibri" w:hAnsi="Arial" w:cs="Arial"/>
          <w:sz w:val="20"/>
          <w:szCs w:val="20"/>
        </w:rPr>
        <w:t xml:space="preserve"> Advice obtained from the Commission, the accrediting agency, and/or </w:t>
      </w:r>
      <w:r w:rsidR="0009351B">
        <w:rPr>
          <w:rFonts w:ascii="Arial" w:eastAsia="Calibri" w:hAnsi="Arial" w:cs="Arial"/>
          <w:sz w:val="20"/>
          <w:szCs w:val="20"/>
        </w:rPr>
        <w:t>any other external organisation’</w:t>
      </w:r>
      <w:r w:rsidRPr="00DE01D4">
        <w:rPr>
          <w:rFonts w:ascii="Arial" w:eastAsia="Calibri" w:hAnsi="Arial" w:cs="Arial"/>
          <w:sz w:val="20"/>
          <w:szCs w:val="20"/>
        </w:rPr>
        <w:t>s recommendations regarding the intention to transit</w:t>
      </w:r>
      <w:r w:rsidR="002D560C">
        <w:rPr>
          <w:rFonts w:ascii="Arial" w:eastAsia="Calibri" w:hAnsi="Arial" w:cs="Arial"/>
          <w:sz w:val="20"/>
          <w:szCs w:val="20"/>
        </w:rPr>
        <w:t>ion to the short notice pathway</w:t>
      </w:r>
    </w:p>
    <w:p w:rsidR="00DE01D4" w:rsidRPr="00DE01D4" w:rsidRDefault="00DE01D4" w:rsidP="00DE01D4">
      <w:pPr>
        <w:numPr>
          <w:ilvl w:val="1"/>
          <w:numId w:val="1"/>
        </w:numPr>
        <w:spacing w:after="60" w:line="240" w:lineRule="auto"/>
        <w:ind w:left="788" w:hanging="431"/>
        <w:rPr>
          <w:rFonts w:ascii="Arial" w:eastAsia="Calibri" w:hAnsi="Arial" w:cs="Arial"/>
          <w:sz w:val="20"/>
          <w:szCs w:val="20"/>
        </w:rPr>
      </w:pPr>
      <w:r w:rsidRPr="00DE01D4">
        <w:rPr>
          <w:rFonts w:ascii="Arial" w:eastAsia="Calibri" w:hAnsi="Arial" w:cs="Arial"/>
          <w:color w:val="000000"/>
          <w:sz w:val="20"/>
          <w:szCs w:val="20"/>
          <w:lang w:eastAsia="en-AU"/>
        </w:rPr>
        <w:t xml:space="preserve">In </w:t>
      </w:r>
      <w:proofErr w:type="gramStart"/>
      <w:r w:rsidRPr="00DE01D4">
        <w:rPr>
          <w:rFonts w:ascii="Arial" w:eastAsia="Calibri" w:hAnsi="Arial" w:cs="Arial"/>
          <w:color w:val="000000"/>
          <w:sz w:val="20"/>
          <w:szCs w:val="20"/>
          <w:lang w:eastAsia="en-AU"/>
        </w:rPr>
        <w:t>making a determination</w:t>
      </w:r>
      <w:proofErr w:type="gramEnd"/>
      <w:r w:rsidRPr="00DE01D4">
        <w:rPr>
          <w:rFonts w:ascii="Arial" w:eastAsia="Calibri" w:hAnsi="Arial" w:cs="Arial"/>
          <w:color w:val="000000"/>
          <w:sz w:val="20"/>
          <w:szCs w:val="20"/>
          <w:lang w:eastAsia="en-AU"/>
        </w:rPr>
        <w:t>, the department will consider the following;</w:t>
      </w:r>
    </w:p>
    <w:p w:rsidR="00DE01D4" w:rsidRPr="00DE01D4" w:rsidRDefault="00DE01D4" w:rsidP="00DE01D4">
      <w:pPr>
        <w:numPr>
          <w:ilvl w:val="2"/>
          <w:numId w:val="1"/>
        </w:numPr>
        <w:spacing w:after="60" w:line="240" w:lineRule="auto"/>
        <w:ind w:left="1225" w:hanging="505"/>
        <w:rPr>
          <w:rFonts w:ascii="Arial" w:eastAsia="Calibri" w:hAnsi="Arial" w:cs="Arial"/>
          <w:sz w:val="20"/>
          <w:szCs w:val="20"/>
        </w:rPr>
      </w:pPr>
      <w:r w:rsidRPr="00DE01D4">
        <w:rPr>
          <w:rFonts w:ascii="Arial" w:eastAsia="Calibri" w:hAnsi="Arial" w:cs="Arial"/>
          <w:sz w:val="20"/>
          <w:szCs w:val="20"/>
        </w:rPr>
        <w:t xml:space="preserve"> The level of risks and mitigation strategies outlined in the request</w:t>
      </w:r>
    </w:p>
    <w:p w:rsidR="00DE01D4" w:rsidRPr="00DE01D4" w:rsidRDefault="00DE01D4" w:rsidP="002D560C">
      <w:pPr>
        <w:numPr>
          <w:ilvl w:val="2"/>
          <w:numId w:val="1"/>
        </w:numPr>
        <w:spacing w:after="60" w:line="240" w:lineRule="auto"/>
        <w:ind w:left="1276" w:hanging="556"/>
        <w:rPr>
          <w:rFonts w:ascii="Arial" w:eastAsia="Calibri" w:hAnsi="Arial" w:cs="Arial"/>
          <w:sz w:val="20"/>
          <w:szCs w:val="20"/>
        </w:rPr>
      </w:pPr>
      <w:r w:rsidRPr="00DE01D4">
        <w:rPr>
          <w:rFonts w:ascii="Arial" w:eastAsia="Calibri" w:hAnsi="Arial" w:cs="Arial"/>
          <w:sz w:val="20"/>
          <w:szCs w:val="20"/>
        </w:rPr>
        <w:t>The previous accreditation achievements of the health service organisation, their performance track record, and any on</w:t>
      </w:r>
      <w:r w:rsidR="002D560C">
        <w:rPr>
          <w:rFonts w:ascii="Arial" w:eastAsia="Calibri" w:hAnsi="Arial" w:cs="Arial"/>
          <w:sz w:val="20"/>
          <w:szCs w:val="20"/>
        </w:rPr>
        <w:t>going quality and safety issues</w:t>
      </w:r>
      <w:r w:rsidRPr="00DE01D4">
        <w:rPr>
          <w:rFonts w:ascii="Arial" w:eastAsia="Calibri" w:hAnsi="Arial" w:cs="Arial"/>
          <w:sz w:val="20"/>
          <w:szCs w:val="20"/>
        </w:rPr>
        <w:t xml:space="preserve"> </w:t>
      </w:r>
    </w:p>
    <w:p w:rsidR="00DE01D4" w:rsidRPr="00DE01D4" w:rsidRDefault="00DE01D4" w:rsidP="002D560C">
      <w:pPr>
        <w:numPr>
          <w:ilvl w:val="2"/>
          <w:numId w:val="1"/>
        </w:numPr>
        <w:spacing w:after="120" w:line="240" w:lineRule="auto"/>
        <w:ind w:left="1276" w:hanging="556"/>
        <w:rPr>
          <w:rFonts w:ascii="Arial" w:eastAsia="Calibri" w:hAnsi="Arial" w:cs="Arial"/>
          <w:sz w:val="20"/>
          <w:szCs w:val="20"/>
        </w:rPr>
      </w:pPr>
      <w:r w:rsidRPr="00DE01D4">
        <w:rPr>
          <w:rFonts w:ascii="Arial" w:eastAsia="Calibri" w:hAnsi="Arial" w:cs="Arial"/>
          <w:sz w:val="20"/>
          <w:szCs w:val="20"/>
        </w:rPr>
        <w:t>Advice from Safer Care Victoria, the Office of the Chief Psychiatrist, and other relevant ag</w:t>
      </w:r>
      <w:r w:rsidR="002D560C">
        <w:rPr>
          <w:rFonts w:ascii="Arial" w:eastAsia="Calibri" w:hAnsi="Arial" w:cs="Arial"/>
          <w:sz w:val="20"/>
          <w:szCs w:val="20"/>
        </w:rPr>
        <w:t>encies and organisations including the Commission</w:t>
      </w:r>
    </w:p>
    <w:p w:rsidR="00DE01D4" w:rsidRPr="00DE01D4" w:rsidRDefault="00DE01D4" w:rsidP="002D560C">
      <w:pPr>
        <w:numPr>
          <w:ilvl w:val="1"/>
          <w:numId w:val="1"/>
        </w:numPr>
        <w:spacing w:after="240" w:line="240" w:lineRule="auto"/>
        <w:ind w:left="788" w:hanging="431"/>
        <w:rPr>
          <w:rFonts w:ascii="Arial" w:eastAsia="Calibri" w:hAnsi="Arial" w:cs="Arial"/>
          <w:sz w:val="20"/>
          <w:szCs w:val="20"/>
        </w:rPr>
      </w:pPr>
      <w:r w:rsidRPr="00DE01D4">
        <w:rPr>
          <w:rFonts w:ascii="Arial" w:eastAsia="Calibri" w:hAnsi="Arial" w:cs="Arial"/>
          <w:sz w:val="20"/>
          <w:szCs w:val="20"/>
        </w:rPr>
        <w:t xml:space="preserve">The department will provide a response in writing to the </w:t>
      </w:r>
      <w:r w:rsidR="002D560C">
        <w:rPr>
          <w:rFonts w:ascii="Arial" w:eastAsia="Calibri" w:hAnsi="Arial" w:cs="Arial"/>
          <w:sz w:val="20"/>
          <w:szCs w:val="20"/>
        </w:rPr>
        <w:t>Chief Executive officer of the health service</w:t>
      </w:r>
      <w:r w:rsidRPr="00DE01D4">
        <w:rPr>
          <w:rFonts w:ascii="Arial" w:eastAsia="Calibri" w:hAnsi="Arial" w:cs="Arial"/>
          <w:sz w:val="20"/>
          <w:szCs w:val="20"/>
        </w:rPr>
        <w:t xml:space="preserve"> within </w:t>
      </w:r>
      <w:r w:rsidRPr="00DE01D4">
        <w:rPr>
          <w:rFonts w:ascii="Arial" w:eastAsia="Calibri" w:hAnsi="Arial" w:cs="Arial"/>
          <w:b/>
          <w:sz w:val="20"/>
          <w:szCs w:val="20"/>
        </w:rPr>
        <w:t>28 days</w:t>
      </w:r>
      <w:r w:rsidRPr="00DE01D4">
        <w:rPr>
          <w:rFonts w:ascii="Arial" w:eastAsia="Calibri" w:hAnsi="Arial" w:cs="Arial"/>
          <w:sz w:val="20"/>
          <w:szCs w:val="20"/>
        </w:rPr>
        <w:t xml:space="preserve"> of receipt of the request to transition to the short notice assessment</w:t>
      </w:r>
      <w:r w:rsidR="002D560C">
        <w:rPr>
          <w:rFonts w:ascii="Arial" w:eastAsia="Calibri" w:hAnsi="Arial" w:cs="Arial"/>
          <w:sz w:val="20"/>
          <w:szCs w:val="20"/>
        </w:rPr>
        <w:t xml:space="preserve"> pathway</w:t>
      </w:r>
    </w:p>
    <w:bookmarkEnd w:id="2"/>
    <w:p w:rsidR="00DE01D4" w:rsidRPr="00DE01D4" w:rsidRDefault="00DE01D4" w:rsidP="00882505">
      <w:pPr>
        <w:keepNext/>
        <w:keepLines/>
        <w:numPr>
          <w:ilvl w:val="0"/>
          <w:numId w:val="1"/>
        </w:numPr>
        <w:spacing w:before="120" w:after="90" w:line="320" w:lineRule="atLeast"/>
        <w:ind w:left="357" w:hanging="357"/>
        <w:outlineLvl w:val="1"/>
        <w:rPr>
          <w:rFonts w:ascii="Arial" w:eastAsia="Times New Roman" w:hAnsi="Arial" w:cs="Times New Roman"/>
          <w:b/>
          <w:color w:val="87189D"/>
          <w:sz w:val="28"/>
          <w:szCs w:val="28"/>
        </w:rPr>
      </w:pPr>
      <w:r w:rsidRPr="00DE01D4">
        <w:rPr>
          <w:rFonts w:ascii="Arial" w:eastAsia="Times New Roman" w:hAnsi="Arial" w:cs="Times New Roman"/>
          <w:b/>
          <w:color w:val="87189D"/>
          <w:sz w:val="28"/>
          <w:szCs w:val="28"/>
        </w:rPr>
        <w:t>Questions and further information</w:t>
      </w:r>
    </w:p>
    <w:p w:rsidR="00DE01D4" w:rsidRPr="00DE01D4" w:rsidRDefault="00DE01D4" w:rsidP="00DE01D4">
      <w:pPr>
        <w:spacing w:after="120" w:line="270" w:lineRule="atLeast"/>
        <w:rPr>
          <w:rFonts w:ascii="Arial" w:eastAsia="Times" w:hAnsi="Arial" w:cs="Times New Roman"/>
          <w:sz w:val="20"/>
          <w:szCs w:val="20"/>
        </w:rPr>
      </w:pPr>
      <w:r w:rsidRPr="00DE01D4">
        <w:rPr>
          <w:rFonts w:ascii="Arial" w:eastAsia="Times" w:hAnsi="Arial" w:cs="Arial"/>
          <w:sz w:val="20"/>
          <w:szCs w:val="20"/>
        </w:rPr>
        <w:t xml:space="preserve">For all questions or further information about the </w:t>
      </w:r>
      <w:r w:rsidRPr="00DE01D4">
        <w:rPr>
          <w:rFonts w:ascii="Arial" w:eastAsia="Times" w:hAnsi="Arial" w:cs="Times New Roman"/>
          <w:i/>
          <w:sz w:val="20"/>
          <w:szCs w:val="20"/>
        </w:rPr>
        <w:t>Extension process for public health service organisations in Victoria</w:t>
      </w:r>
      <w:r w:rsidRPr="00DE01D4">
        <w:rPr>
          <w:rFonts w:ascii="Arial" w:eastAsia="Times" w:hAnsi="Arial" w:cs="Times New Roman"/>
          <w:sz w:val="20"/>
          <w:szCs w:val="20"/>
        </w:rPr>
        <w:t xml:space="preserve"> or the </w:t>
      </w:r>
      <w:r w:rsidRPr="00DE01D4">
        <w:rPr>
          <w:rFonts w:ascii="Arial" w:eastAsia="Times" w:hAnsi="Arial" w:cs="Times New Roman"/>
          <w:i/>
          <w:sz w:val="20"/>
          <w:szCs w:val="20"/>
        </w:rPr>
        <w:t>Accreditation policy for Victorian public health service organisations – National Safety and Quality Health Service Standards</w:t>
      </w:r>
      <w:r w:rsidR="00882505">
        <w:rPr>
          <w:rFonts w:ascii="Arial" w:eastAsia="Times" w:hAnsi="Arial" w:cs="Times New Roman"/>
          <w:i/>
          <w:sz w:val="20"/>
          <w:szCs w:val="20"/>
        </w:rPr>
        <w:t xml:space="preserve"> (second edition) </w:t>
      </w:r>
      <w:r w:rsidRPr="00DE01D4">
        <w:rPr>
          <w:rFonts w:ascii="Arial" w:eastAsia="Times" w:hAnsi="Arial" w:cs="Times New Roman"/>
          <w:i/>
          <w:sz w:val="20"/>
          <w:szCs w:val="20"/>
        </w:rPr>
        <w:t>,</w:t>
      </w:r>
      <w:r w:rsidRPr="00DE01D4">
        <w:rPr>
          <w:rFonts w:ascii="Arial" w:eastAsia="Times" w:hAnsi="Arial" w:cs="Times New Roman"/>
          <w:sz w:val="20"/>
          <w:szCs w:val="20"/>
        </w:rPr>
        <w:t xml:space="preserve"> visit </w:t>
      </w:r>
      <w:hyperlink r:id="rId16" w:history="1">
        <w:r w:rsidRPr="00DE01D4">
          <w:rPr>
            <w:rFonts w:ascii="Arial" w:eastAsia="Times" w:hAnsi="Arial" w:cs="Times New Roman"/>
            <w:color w:val="3366FF"/>
            <w:sz w:val="20"/>
            <w:szCs w:val="20"/>
            <w:u w:val="dotted"/>
          </w:rPr>
          <w:t>https://www2.health.vic.gov.au/hospitals-and-health-services/quality-safety-service/hospital-accreditation/policy-on-accreditation</w:t>
        </w:r>
      </w:hyperlink>
      <w:r w:rsidRPr="00DE01D4">
        <w:rPr>
          <w:rFonts w:ascii="Arial" w:eastAsia="Times" w:hAnsi="Arial" w:cs="Times New Roman"/>
          <w:sz w:val="20"/>
          <w:szCs w:val="20"/>
        </w:rPr>
        <w:t xml:space="preserve"> or contact </w:t>
      </w:r>
      <w:hyperlink r:id="rId17" w:history="1">
        <w:r w:rsidRPr="00DE01D4">
          <w:rPr>
            <w:rFonts w:ascii="Arial" w:eastAsia="Times" w:hAnsi="Arial" w:cs="Times New Roman"/>
            <w:color w:val="3366FF"/>
            <w:sz w:val="20"/>
            <w:szCs w:val="20"/>
            <w:u w:val="dotted"/>
          </w:rPr>
          <w:t>accreditation@dhhs.vic.gov.au</w:t>
        </w:r>
      </w:hyperlink>
      <w:r w:rsidRPr="00DE01D4">
        <w:rPr>
          <w:rFonts w:ascii="Arial" w:eastAsia="Times" w:hAnsi="Arial" w:cs="Times New Roman"/>
          <w:sz w:val="20"/>
          <w:szCs w:val="20"/>
        </w:rPr>
        <w:t xml:space="preserve"> </w:t>
      </w:r>
    </w:p>
    <w:p w:rsidR="00DE01D4" w:rsidRPr="00DE01D4" w:rsidRDefault="00DE01D4" w:rsidP="00DE01D4">
      <w:pPr>
        <w:spacing w:after="120" w:line="270" w:lineRule="atLeast"/>
        <w:rPr>
          <w:rFonts w:ascii="Arial" w:eastAsia="Times" w:hAnsi="Arial" w:cs="Times New Roman"/>
          <w:sz w:val="20"/>
          <w:szCs w:val="20"/>
        </w:rPr>
      </w:pPr>
    </w:p>
    <w:p w:rsidR="00DE01D4" w:rsidRPr="00DE01D4" w:rsidRDefault="002D560C" w:rsidP="00DE01D4">
      <w:pPr>
        <w:spacing w:after="120" w:line="270" w:lineRule="atLeast"/>
        <w:rPr>
          <w:rFonts w:ascii="Arial" w:eastAsia="Times" w:hAnsi="Arial" w:cs="Times New Roman"/>
          <w:sz w:val="20"/>
          <w:szCs w:val="20"/>
        </w:rPr>
      </w:pPr>
      <w:r>
        <w:rPr>
          <w:noProof/>
          <w:lang w:eastAsia="en-AU"/>
        </w:rPr>
        <w:drawing>
          <wp:anchor distT="0" distB="0" distL="114300" distR="114300" simplePos="0" relativeHeight="251664896" behindDoc="0" locked="0" layoutInCell="0" allowOverlap="1" wp14:anchorId="627D92EE" wp14:editId="067AA90E">
            <wp:simplePos x="0" y="0"/>
            <wp:positionH relativeFrom="page">
              <wp:align>left</wp:align>
            </wp:positionH>
            <wp:positionV relativeFrom="bottomMargin">
              <wp:align>top</wp:align>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sectPr w:rsidR="00DE01D4" w:rsidRPr="00DE01D4" w:rsidSect="00081557">
      <w:type w:val="continuous"/>
      <w:pgSz w:w="11906" w:h="16838" w:code="9"/>
      <w:pgMar w:top="1418" w:right="851" w:bottom="709"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1D4" w:rsidRDefault="00DE01D4" w:rsidP="00DE01D4">
      <w:pPr>
        <w:spacing w:after="0" w:line="240" w:lineRule="auto"/>
      </w:pPr>
      <w:r>
        <w:separator/>
      </w:r>
    </w:p>
  </w:endnote>
  <w:endnote w:type="continuationSeparator" w:id="0">
    <w:p w:rsidR="00DE01D4" w:rsidRDefault="00DE01D4" w:rsidP="00DE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4C" w:rsidRDefault="0070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4C" w:rsidRDefault="00705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4554176"/>
      <w:docPartObj>
        <w:docPartGallery w:val="Page Numbers (Bottom of Page)"/>
        <w:docPartUnique/>
      </w:docPartObj>
    </w:sdtPr>
    <w:sdtEndPr>
      <w:rPr>
        <w:noProof/>
      </w:rPr>
    </w:sdtEndPr>
    <w:sdtContent>
      <w:p w:rsidR="002D560C" w:rsidRDefault="002D56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82505" w:rsidRPr="00882505" w:rsidRDefault="00882505" w:rsidP="0088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1D4" w:rsidRDefault="00DE01D4" w:rsidP="00DE01D4">
      <w:pPr>
        <w:spacing w:after="0" w:line="240" w:lineRule="auto"/>
      </w:pPr>
      <w:r>
        <w:separator/>
      </w:r>
    </w:p>
  </w:footnote>
  <w:footnote w:type="continuationSeparator" w:id="0">
    <w:p w:rsidR="00DE01D4" w:rsidRDefault="00DE01D4" w:rsidP="00DE0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4C" w:rsidRDefault="0070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4C" w:rsidRDefault="00705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4C" w:rsidRDefault="0070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0C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D4"/>
    <w:rsid w:val="0009351B"/>
    <w:rsid w:val="002D560C"/>
    <w:rsid w:val="00521D52"/>
    <w:rsid w:val="006A3C5B"/>
    <w:rsid w:val="0070584C"/>
    <w:rsid w:val="007A4896"/>
    <w:rsid w:val="008518D1"/>
    <w:rsid w:val="00882505"/>
    <w:rsid w:val="0089047C"/>
    <w:rsid w:val="00A370D9"/>
    <w:rsid w:val="00DE01D4"/>
    <w:rsid w:val="00F26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FEF2C7D-2A1D-4E1C-88DA-A6CEBB93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footer">
    <w:name w:val="DHHS footer"/>
    <w:uiPriority w:val="11"/>
    <w:rsid w:val="00DE01D4"/>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DE01D4"/>
  </w:style>
  <w:style w:type="paragraph" w:styleId="Header">
    <w:name w:val="header"/>
    <w:basedOn w:val="Normal"/>
    <w:link w:val="HeaderChar"/>
    <w:uiPriority w:val="99"/>
    <w:unhideWhenUsed/>
    <w:rsid w:val="00DE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1D4"/>
  </w:style>
  <w:style w:type="paragraph" w:styleId="Footer">
    <w:name w:val="footer"/>
    <w:basedOn w:val="Normal"/>
    <w:link w:val="FooterChar"/>
    <w:uiPriority w:val="99"/>
    <w:unhideWhenUsed/>
    <w:rsid w:val="00DE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1D4"/>
  </w:style>
  <w:style w:type="paragraph" w:styleId="BalloonText">
    <w:name w:val="Balloon Text"/>
    <w:basedOn w:val="Normal"/>
    <w:link w:val="BalloonTextChar"/>
    <w:uiPriority w:val="99"/>
    <w:semiHidden/>
    <w:unhideWhenUsed/>
    <w:rsid w:val="006A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ccreditation@dhhs.vic.gov.au" TargetMode="External"/><Relationship Id="rId2" Type="http://schemas.openxmlformats.org/officeDocument/2006/relationships/numbering" Target="numbering.xml"/><Relationship Id="rId16" Type="http://schemas.openxmlformats.org/officeDocument/2006/relationships/hyperlink" Target="https://www2.health.vic.gov.au/hospitals-and-health-services/quality-safety-service/hospital-accreditation/policy-on-accredi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health.vic.gov.au/hospitals-and-health-services/quality-safety-service/hospital-accreditation/policy-on-accreditation"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9D414-F893-4975-905F-DFCA0763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Jenkins (DHHS)</dc:creator>
  <cp:keywords/>
  <dc:description/>
  <cp:lastModifiedBy>Sophie Jenkins (DHHS)</cp:lastModifiedBy>
  <cp:revision>3</cp:revision>
  <cp:lastPrinted>2019-01-31T02:53:00Z</cp:lastPrinted>
  <dcterms:created xsi:type="dcterms:W3CDTF">2019-02-17T22:47:00Z</dcterms:created>
  <dcterms:modified xsi:type="dcterms:W3CDTF">2019-02-18T00:01:00Z</dcterms:modified>
</cp:coreProperties>
</file>