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people.xml" ContentType="application/vnd.openxmlformats-officedocument.wordprocessingml.people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CD7A0" w14:textId="77777777" w:rsidR="0074696E" w:rsidRPr="004C6EEE" w:rsidRDefault="00FE219C" w:rsidP="00AD784C">
      <w:pPr>
        <w:pStyle w:val="Spacerparatopoffirstpage"/>
      </w:pPr>
      <w:bookmarkStart w:id="0" w:name="_GoBack"/>
      <w:bookmarkEnd w:id="0"/>
      <w:r>
        <w:rPr>
          <w:lang w:eastAsia="en-AU"/>
        </w:rPr>
        <w:drawing>
          <wp:anchor distT="0" distB="0" distL="114300" distR="114300" simplePos="0" relativeHeight="251657728" behindDoc="1" locked="1" layoutInCell="0" allowOverlap="1" wp14:anchorId="3BF90B3D" wp14:editId="5C30E53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1270"/>
            <wp:wrapNone/>
            <wp:docPr id="32" name="Picture 32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ecorativ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D8EE23" w14:textId="77777777"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20D6FB03" w14:textId="77777777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1534ACD4" w14:textId="77777777" w:rsidR="00AD784C" w:rsidRPr="00161AA0" w:rsidRDefault="00A9793C" w:rsidP="00A9793C">
            <w:pPr>
              <w:pStyle w:val="DHHSmainheading"/>
            </w:pPr>
            <w:r>
              <w:lastRenderedPageBreak/>
              <w:t xml:space="preserve">Occupational violence and aggression </w:t>
            </w:r>
            <w:r w:rsidR="006B4CBA">
              <w:t>case study</w:t>
            </w:r>
          </w:p>
        </w:tc>
      </w:tr>
      <w:tr w:rsidR="00AD784C" w14:paraId="2B0B864B" w14:textId="77777777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72686C31" w14:textId="5C018D3D" w:rsidR="00357B4E" w:rsidRPr="00AD784C" w:rsidRDefault="00A9793C" w:rsidP="00A9793C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>Security</w:t>
            </w:r>
            <w:r w:rsidR="004F1FF8">
              <w:rPr>
                <w:szCs w:val="28"/>
              </w:rPr>
              <w:t>-</w:t>
            </w:r>
            <w:r>
              <w:rPr>
                <w:szCs w:val="28"/>
              </w:rPr>
              <w:t>trained personnel as an effective control</w:t>
            </w:r>
          </w:p>
        </w:tc>
      </w:tr>
    </w:tbl>
    <w:p w14:paraId="742BB3B3" w14:textId="77777777" w:rsidR="007173CA" w:rsidRDefault="007173CA" w:rsidP="007173CA">
      <w:pPr>
        <w:pStyle w:val="DHHSbody"/>
        <w:sectPr w:rsidR="007173CA" w:rsidSect="00F01E5F">
          <w:headerReference w:type="even" r:id="rId14"/>
          <w:headerReference w:type="default" r:id="rId15"/>
          <w:footerReference w:type="default" r:id="rId16"/>
          <w:headerReference w:type="first" r:id="rId17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  <w:bookmarkStart w:id="1" w:name="_Toc440566508"/>
    </w:p>
    <w:p w14:paraId="4B99CCAB" w14:textId="77777777" w:rsidR="00893AF6" w:rsidRPr="00B57329" w:rsidRDefault="00606EF4" w:rsidP="00134114">
      <w:pPr>
        <w:pStyle w:val="Heading1"/>
        <w:spacing w:before="0"/>
      </w:pPr>
      <w:r>
        <w:lastRenderedPageBreak/>
        <w:t>Context</w:t>
      </w:r>
      <w:bookmarkEnd w:id="1"/>
    </w:p>
    <w:p w14:paraId="664D92A9" w14:textId="3D0DF844" w:rsidR="00FA3525" w:rsidRDefault="00606EF4" w:rsidP="00606EF4">
      <w:pPr>
        <w:pStyle w:val="DHHSbody"/>
      </w:pPr>
      <w:bookmarkStart w:id="2" w:name="_Toc440566509"/>
      <w:r>
        <w:t xml:space="preserve">As part of the introduction of their framework for preventing and managing occupational violence and aggression (OVA), this metropolitan health service </w:t>
      </w:r>
      <w:r w:rsidR="006B4CBA">
        <w:t>review</w:t>
      </w:r>
      <w:r>
        <w:t>ed</w:t>
      </w:r>
      <w:r w:rsidR="006B4CBA">
        <w:t xml:space="preserve"> its security arrangements to prevent and manage</w:t>
      </w:r>
      <w:r>
        <w:t xml:space="preserve"> OVA.</w:t>
      </w:r>
      <w:r w:rsidR="00E2580E">
        <w:t xml:space="preserve"> </w:t>
      </w:r>
      <w:r w:rsidR="004F1FF8">
        <w:t xml:space="preserve">The health service considered </w:t>
      </w:r>
      <w:r w:rsidR="00E2580E">
        <w:t>physical security controls, workplace design improvements, electronic security mechanisms and security</w:t>
      </w:r>
      <w:r w:rsidR="00D24AC2">
        <w:t>-</w:t>
      </w:r>
      <w:r w:rsidR="00E83A2C">
        <w:t xml:space="preserve">trained </w:t>
      </w:r>
      <w:r w:rsidR="00E2580E">
        <w:t xml:space="preserve">staffing </w:t>
      </w:r>
      <w:r w:rsidR="00E83A2C">
        <w:t>requirements</w:t>
      </w:r>
      <w:r w:rsidR="00E2580E">
        <w:t>.</w:t>
      </w:r>
    </w:p>
    <w:p w14:paraId="490055BB" w14:textId="77777777" w:rsidR="00606EF4" w:rsidRPr="00B57329" w:rsidRDefault="00606EF4" w:rsidP="007D7BF3">
      <w:pPr>
        <w:pStyle w:val="Heading1"/>
      </w:pPr>
      <w:r>
        <w:t xml:space="preserve">What they </w:t>
      </w:r>
      <w:r w:rsidRPr="004F1FF8">
        <w:t>did</w:t>
      </w:r>
    </w:p>
    <w:p w14:paraId="2CE5B5D6" w14:textId="77777777" w:rsidR="00606EF4" w:rsidRPr="00DF3A5C" w:rsidRDefault="00606EF4" w:rsidP="00606EF4">
      <w:pPr>
        <w:pStyle w:val="Heading2"/>
      </w:pPr>
      <w:r>
        <w:t>Risk assessment</w:t>
      </w:r>
      <w:r w:rsidR="00A25E0B">
        <w:t>s</w:t>
      </w:r>
    </w:p>
    <w:p w14:paraId="037D907D" w14:textId="77777777" w:rsidR="008D4D35" w:rsidRDefault="00606EF4" w:rsidP="00606EF4">
      <w:pPr>
        <w:pStyle w:val="DHHSbody"/>
      </w:pPr>
      <w:r>
        <w:t xml:space="preserve">The health service </w:t>
      </w:r>
      <w:r w:rsidR="008D4D35">
        <w:t xml:space="preserve">conducted risk assessments </w:t>
      </w:r>
      <w:r w:rsidR="00C85C77">
        <w:t>at each</w:t>
      </w:r>
      <w:r w:rsidR="00A25E0B">
        <w:t xml:space="preserve"> site</w:t>
      </w:r>
      <w:r w:rsidR="008D4D35">
        <w:t xml:space="preserve">. This included assessment of </w:t>
      </w:r>
      <w:r w:rsidR="00036169">
        <w:t xml:space="preserve">the </w:t>
      </w:r>
      <w:r w:rsidR="008D4D35">
        <w:t>practices</w:t>
      </w:r>
      <w:r w:rsidR="00D81424">
        <w:t xml:space="preserve"> of staff working in community and home</w:t>
      </w:r>
      <w:r w:rsidR="00A25E0B">
        <w:t>-based</w:t>
      </w:r>
      <w:r w:rsidR="00D81424">
        <w:t xml:space="preserve"> settings</w:t>
      </w:r>
      <w:r w:rsidR="008D4D35">
        <w:t>.</w:t>
      </w:r>
    </w:p>
    <w:p w14:paraId="031CB24D" w14:textId="22ECE41F" w:rsidR="008D4D35" w:rsidRDefault="00A25E0B" w:rsidP="00606EF4">
      <w:pPr>
        <w:pStyle w:val="DHHSbody"/>
      </w:pPr>
      <w:r>
        <w:t xml:space="preserve">Factors considered </w:t>
      </w:r>
      <w:r w:rsidR="008D4D35">
        <w:t>included</w:t>
      </w:r>
      <w:r w:rsidR="00E83A2C">
        <w:t xml:space="preserve"> the local context in which the health service resides, organisational factors particular to each site, seasonal factors </w:t>
      </w:r>
      <w:r w:rsidR="004F1FF8">
        <w:t xml:space="preserve">that </w:t>
      </w:r>
      <w:r w:rsidR="00E83A2C">
        <w:t>may impact on risk</w:t>
      </w:r>
      <w:r w:rsidR="00FE3FFE">
        <w:t xml:space="preserve"> at certain</w:t>
      </w:r>
      <w:r w:rsidR="00F74226">
        <w:t xml:space="preserve"> times during the year</w:t>
      </w:r>
      <w:r w:rsidR="00E83A2C">
        <w:t xml:space="preserve">, current physical and electronic security mechanisms in place, and </w:t>
      </w:r>
      <w:r w:rsidR="00036169">
        <w:t xml:space="preserve">a review of </w:t>
      </w:r>
      <w:r w:rsidR="00E83A2C">
        <w:t>OVA data</w:t>
      </w:r>
      <w:r w:rsidR="00586005">
        <w:t xml:space="preserve"> at each site</w:t>
      </w:r>
      <w:r w:rsidR="004F1FF8">
        <w:t>.</w:t>
      </w:r>
      <w:r w:rsidR="00E83A2C">
        <w:rPr>
          <w:rStyle w:val="FootnoteReference"/>
        </w:rPr>
        <w:footnoteReference w:id="1"/>
      </w:r>
      <w:r w:rsidR="00E83A2C">
        <w:t xml:space="preserve"> </w:t>
      </w:r>
    </w:p>
    <w:p w14:paraId="7EF0F1DC" w14:textId="74F84D67" w:rsidR="00036169" w:rsidRPr="00DF3A5C" w:rsidRDefault="00036169" w:rsidP="00036169">
      <w:pPr>
        <w:pStyle w:val="Heading2"/>
      </w:pPr>
      <w:r>
        <w:t>Security</w:t>
      </w:r>
      <w:r w:rsidR="004F1FF8">
        <w:t>-</w:t>
      </w:r>
      <w:r>
        <w:t>trained personnel as an effective control</w:t>
      </w:r>
    </w:p>
    <w:p w14:paraId="7C7B8679" w14:textId="74BE67F1" w:rsidR="00036169" w:rsidRDefault="00036169" w:rsidP="00606EF4">
      <w:pPr>
        <w:pStyle w:val="DHHSbody"/>
      </w:pPr>
      <w:r>
        <w:t>The results of the risk assessments</w:t>
      </w:r>
      <w:r w:rsidR="000A4226">
        <w:t xml:space="preserve"> </w:t>
      </w:r>
      <w:r>
        <w:t>were used to design appropriate security arrangements.</w:t>
      </w:r>
      <w:r w:rsidR="00FE2638">
        <w:t xml:space="preserve"> </w:t>
      </w:r>
      <w:r>
        <w:t>In relation to security</w:t>
      </w:r>
      <w:r w:rsidR="004F1FF8">
        <w:t>-</w:t>
      </w:r>
      <w:r>
        <w:t>trained staffing requirements</w:t>
      </w:r>
      <w:r w:rsidR="00C44B77">
        <w:t xml:space="preserve"> at the acute site</w:t>
      </w:r>
      <w:r>
        <w:t xml:space="preserve">, the following </w:t>
      </w:r>
      <w:r w:rsidR="00FE3FFE">
        <w:t xml:space="preserve">specific </w:t>
      </w:r>
      <w:r w:rsidR="00F74226">
        <w:t>considerations were taken into account</w:t>
      </w:r>
      <w:r>
        <w:t>:</w:t>
      </w:r>
    </w:p>
    <w:p w14:paraId="29E2C2F9" w14:textId="77777777" w:rsidR="00AB2A15" w:rsidRDefault="00AD5583" w:rsidP="00AB2A15">
      <w:pPr>
        <w:pStyle w:val="Heading3"/>
      </w:pPr>
      <w:r>
        <w:t>Local factors</w:t>
      </w:r>
    </w:p>
    <w:p w14:paraId="7B5E9D66" w14:textId="77777777" w:rsidR="00AB2A15" w:rsidRDefault="00AB2A15" w:rsidP="00AB2A15">
      <w:pPr>
        <w:pStyle w:val="DHHSbullet1"/>
        <w:numPr>
          <w:ilvl w:val="0"/>
          <w:numId w:val="1"/>
        </w:numPr>
      </w:pPr>
      <w:r>
        <w:t xml:space="preserve">The memorandum of understanding with a neighbouring health service was reviewed to make sure </w:t>
      </w:r>
      <w:r w:rsidR="00AD5583">
        <w:t xml:space="preserve">it </w:t>
      </w:r>
      <w:r>
        <w:t>was still current and appropriate to access additional security resources in emergency situations.</w:t>
      </w:r>
    </w:p>
    <w:p w14:paraId="77C9552D" w14:textId="77777777" w:rsidR="00AB2A15" w:rsidRDefault="00AB2A15" w:rsidP="00AB2A15">
      <w:pPr>
        <w:pStyle w:val="DHHSbullet1"/>
        <w:numPr>
          <w:ilvl w:val="0"/>
          <w:numId w:val="1"/>
        </w:numPr>
      </w:pPr>
      <w:r>
        <w:t xml:space="preserve">Local crime statistics </w:t>
      </w:r>
      <w:r w:rsidR="00AD5583">
        <w:t xml:space="preserve">were reviewed and showed an increase </w:t>
      </w:r>
      <w:r>
        <w:t>over the last two years</w:t>
      </w:r>
      <w:r w:rsidR="00AD5583">
        <w:t>.</w:t>
      </w:r>
    </w:p>
    <w:p w14:paraId="01D59AC2" w14:textId="47A68E99" w:rsidR="00AB2A15" w:rsidRDefault="00AD5583" w:rsidP="00AB2A15">
      <w:pPr>
        <w:pStyle w:val="DHHSbullet1"/>
        <w:numPr>
          <w:ilvl w:val="0"/>
          <w:numId w:val="1"/>
        </w:numPr>
      </w:pPr>
      <w:r>
        <w:t>The d</w:t>
      </w:r>
      <w:r w:rsidR="00AB2A15">
        <w:t>istance between higher</w:t>
      </w:r>
      <w:r w:rsidR="004F1FF8">
        <w:t>-</w:t>
      </w:r>
      <w:r w:rsidR="00AB2A15">
        <w:t xml:space="preserve">risk departments, including the emergency department and </w:t>
      </w:r>
      <w:r>
        <w:t xml:space="preserve">the </w:t>
      </w:r>
      <w:r w:rsidR="00AB2A15">
        <w:t>mental health unit</w:t>
      </w:r>
      <w:r>
        <w:t>, was factored into determining security staffing requirements and where to base security staff during their shifts.</w:t>
      </w:r>
    </w:p>
    <w:p w14:paraId="7A9EBE3E" w14:textId="09776BF1" w:rsidR="005A22F0" w:rsidRDefault="005A22F0" w:rsidP="005A22F0">
      <w:pPr>
        <w:pStyle w:val="DHHSbullet1"/>
        <w:numPr>
          <w:ilvl w:val="0"/>
          <w:numId w:val="1"/>
        </w:numPr>
      </w:pPr>
      <w:r>
        <w:t>It was also noted that security staff sometimes undertak</w:t>
      </w:r>
      <w:r w:rsidR="004F1FF8">
        <w:t>e</w:t>
      </w:r>
      <w:r>
        <w:t xml:space="preserve"> other tasks when codes are called</w:t>
      </w:r>
      <w:r w:rsidR="00484708">
        <w:t>,</w:t>
      </w:r>
      <w:r>
        <w:t xml:space="preserve"> such as escorting staff to vehicles. This is more likely to occur after 8 pm.</w:t>
      </w:r>
    </w:p>
    <w:p w14:paraId="36F55274" w14:textId="77777777" w:rsidR="00AB2A15" w:rsidRPr="0047372D" w:rsidRDefault="00AD5583" w:rsidP="00AB2A15">
      <w:pPr>
        <w:pStyle w:val="Heading3"/>
      </w:pPr>
      <w:r>
        <w:t>Data</w:t>
      </w:r>
    </w:p>
    <w:p w14:paraId="7C68F558" w14:textId="77777777" w:rsidR="00AD5583" w:rsidRDefault="00AD5583" w:rsidP="00586005">
      <w:pPr>
        <w:pStyle w:val="DHHSbullet1"/>
        <w:numPr>
          <w:ilvl w:val="0"/>
          <w:numId w:val="1"/>
        </w:numPr>
      </w:pPr>
      <w:r>
        <w:t>A full review of the past three years of data was undertaken.</w:t>
      </w:r>
    </w:p>
    <w:p w14:paraId="61991C90" w14:textId="29412654" w:rsidR="00AD5583" w:rsidRDefault="00AD5583" w:rsidP="00586005">
      <w:pPr>
        <w:pStyle w:val="DHHSbullet1"/>
        <w:numPr>
          <w:ilvl w:val="0"/>
          <w:numId w:val="1"/>
        </w:numPr>
      </w:pPr>
      <w:r>
        <w:t>Some key statistics reviewed included duress alarm activation (on</w:t>
      </w:r>
      <w:r w:rsidR="004F1FF8">
        <w:t xml:space="preserve"> </w:t>
      </w:r>
      <w:r>
        <w:t>site and off</w:t>
      </w:r>
      <w:r w:rsidR="004F1FF8">
        <w:t xml:space="preserve"> </w:t>
      </w:r>
      <w:r>
        <w:t>site), incidents by clinical stream, incidents by location and incidents</w:t>
      </w:r>
      <w:r w:rsidR="005A22F0">
        <w:t xml:space="preserve"> by severity</w:t>
      </w:r>
      <w:r w:rsidR="000A3767">
        <w:t xml:space="preserve"> and what action was required</w:t>
      </w:r>
      <w:r>
        <w:t>.</w:t>
      </w:r>
    </w:p>
    <w:p w14:paraId="49E9BA38" w14:textId="436828B3" w:rsidR="00C44B77" w:rsidRDefault="00AD5583" w:rsidP="00586005">
      <w:pPr>
        <w:pStyle w:val="DHHSbullet1"/>
        <w:numPr>
          <w:ilvl w:val="0"/>
          <w:numId w:val="1"/>
        </w:numPr>
      </w:pPr>
      <w:r>
        <w:lastRenderedPageBreak/>
        <w:t xml:space="preserve">Some key findings included that </w:t>
      </w:r>
      <w:r w:rsidR="00C44B77">
        <w:t>most incidents occurred between 7 am and 3 pm</w:t>
      </w:r>
      <w:r w:rsidR="00FE2638">
        <w:t xml:space="preserve"> each day </w:t>
      </w:r>
      <w:r>
        <w:t>when most staff are rostered on</w:t>
      </w:r>
      <w:r w:rsidR="004F1FF8">
        <w:t>,</w:t>
      </w:r>
      <w:r>
        <w:t xml:space="preserve"> and that most incidents occurred in the emergency department, the mental health unit</w:t>
      </w:r>
      <w:r w:rsidR="00E71A85">
        <w:t xml:space="preserve"> and</w:t>
      </w:r>
      <w:r>
        <w:t xml:space="preserve"> the maternity unit.</w:t>
      </w:r>
    </w:p>
    <w:p w14:paraId="2699E47D" w14:textId="0DEE401C" w:rsidR="00FE2638" w:rsidRDefault="00AD5583" w:rsidP="00586005">
      <w:pPr>
        <w:pStyle w:val="DHHSbullet1"/>
        <w:numPr>
          <w:ilvl w:val="0"/>
          <w:numId w:val="1"/>
        </w:numPr>
      </w:pPr>
      <w:r>
        <w:t>A review of the circumstances where restraint was required revealed that for physical restraint to be undertaken safely, four security</w:t>
      </w:r>
      <w:r w:rsidR="00D24AC2">
        <w:t>-</w:t>
      </w:r>
      <w:r>
        <w:t>trained personnel were required to routinely attend</w:t>
      </w:r>
      <w:r w:rsidR="000A3767">
        <w:t>, however this was infrequent and there had never been two at the same time.</w:t>
      </w:r>
    </w:p>
    <w:p w14:paraId="78DF69B2" w14:textId="78E7B05C" w:rsidR="005A22F0" w:rsidRDefault="005A22F0" w:rsidP="00586005">
      <w:pPr>
        <w:pStyle w:val="DHHSbullet1"/>
        <w:numPr>
          <w:ilvl w:val="0"/>
          <w:numId w:val="1"/>
        </w:numPr>
      </w:pPr>
      <w:r>
        <w:t>The data revealed that concurrent codes occurred in multiple locations regularly</w:t>
      </w:r>
      <w:r w:rsidR="004F1FF8">
        <w:t>,</w:t>
      </w:r>
      <w:r>
        <w:t xml:space="preserve"> so this needed to be factored into the staffing requirements.</w:t>
      </w:r>
    </w:p>
    <w:p w14:paraId="2DE6CD26" w14:textId="6B65B7E6" w:rsidR="005A22F0" w:rsidRDefault="005A22F0" w:rsidP="005A22F0">
      <w:pPr>
        <w:pStyle w:val="DHHSbullet1"/>
        <w:numPr>
          <w:ilvl w:val="0"/>
          <w:numId w:val="1"/>
        </w:numPr>
      </w:pPr>
      <w:r>
        <w:t>A review of Code Grey and Code Black revealed that Planned Code Grey</w:t>
      </w:r>
      <w:r w:rsidR="006A069F">
        <w:t xml:space="preserve"> accounted for </w:t>
      </w:r>
      <w:r>
        <w:t>60 per cent and Code Grey 40 per cent</w:t>
      </w:r>
      <w:r w:rsidR="004F1FF8">
        <w:t>,</w:t>
      </w:r>
      <w:r>
        <w:t xml:space="preserve"> </w:t>
      </w:r>
      <w:r w:rsidR="006A069F">
        <w:t xml:space="preserve">and that the time spent on </w:t>
      </w:r>
      <w:r>
        <w:t>code</w:t>
      </w:r>
      <w:r w:rsidR="006A069F">
        <w:t>s</w:t>
      </w:r>
      <w:r>
        <w:t xml:space="preserve"> had increased over the last year.</w:t>
      </w:r>
    </w:p>
    <w:p w14:paraId="0A58EB79" w14:textId="081E26ED" w:rsidR="005A22F0" w:rsidRDefault="005A22F0" w:rsidP="005A22F0">
      <w:pPr>
        <w:pStyle w:val="DHHSbullet1"/>
        <w:numPr>
          <w:ilvl w:val="0"/>
          <w:numId w:val="1"/>
        </w:numPr>
      </w:pPr>
      <w:r>
        <w:t xml:space="preserve">Calls to police so far this year </w:t>
      </w:r>
      <w:r w:rsidR="004F1FF8">
        <w:t xml:space="preserve">were </w:t>
      </w:r>
      <w:r>
        <w:t xml:space="preserve">tracking at the same rate as the </w:t>
      </w:r>
      <w:r w:rsidR="006A069F">
        <w:t xml:space="preserve">previous </w:t>
      </w:r>
      <w:r>
        <w:t>year.</w:t>
      </w:r>
    </w:p>
    <w:p w14:paraId="104E2B12" w14:textId="77777777" w:rsidR="00843C54" w:rsidRPr="00B57329" w:rsidRDefault="00843C54" w:rsidP="00574B49">
      <w:pPr>
        <w:pStyle w:val="Heading1"/>
        <w:spacing w:before="240"/>
      </w:pPr>
      <w:r>
        <w:t>Outcome</w:t>
      </w:r>
    </w:p>
    <w:p w14:paraId="21D7082A" w14:textId="07C800C8" w:rsidR="00843C54" w:rsidRPr="00DF3A5C" w:rsidRDefault="0096680C" w:rsidP="00843C54">
      <w:pPr>
        <w:pStyle w:val="Heading2"/>
      </w:pPr>
      <w:r>
        <w:t xml:space="preserve">Determining </w:t>
      </w:r>
      <w:r w:rsidR="009F57A9">
        <w:t xml:space="preserve">a minimum </w:t>
      </w:r>
      <w:r>
        <w:t>number of security</w:t>
      </w:r>
      <w:r w:rsidR="00D24AC2">
        <w:t>-</w:t>
      </w:r>
      <w:r>
        <w:t>trained personnel</w:t>
      </w:r>
    </w:p>
    <w:p w14:paraId="5160F6B1" w14:textId="1ED2B25A" w:rsidR="00AB4AC8" w:rsidRDefault="00440184" w:rsidP="00437224">
      <w:pPr>
        <w:pStyle w:val="DHHSbody"/>
      </w:pPr>
      <w:r>
        <w:t>T</w:t>
      </w:r>
      <w:r w:rsidR="0096680C">
        <w:t>aking into account the results of the site-specific</w:t>
      </w:r>
      <w:r w:rsidR="009F57A9">
        <w:t xml:space="preserve"> risk assessment</w:t>
      </w:r>
      <w:r w:rsidR="00C44B77">
        <w:t xml:space="preserve"> </w:t>
      </w:r>
      <w:r w:rsidR="009F57A9">
        <w:t xml:space="preserve">and </w:t>
      </w:r>
      <w:r w:rsidR="0096680C">
        <w:t>consider</w:t>
      </w:r>
      <w:r w:rsidR="009F57A9">
        <w:t xml:space="preserve">ing </w:t>
      </w:r>
      <w:r w:rsidR="0002010C">
        <w:t xml:space="preserve">the </w:t>
      </w:r>
      <w:r w:rsidR="0096680C">
        <w:t>appropriate controls</w:t>
      </w:r>
      <w:r w:rsidR="0002010C">
        <w:t xml:space="preserve"> required</w:t>
      </w:r>
      <w:r w:rsidR="0096680C">
        <w:t xml:space="preserve">, the health service </w:t>
      </w:r>
      <w:r w:rsidR="009F57A9">
        <w:t xml:space="preserve">determined </w:t>
      </w:r>
      <w:r w:rsidR="004F1FF8">
        <w:t xml:space="preserve">it </w:t>
      </w:r>
      <w:r w:rsidR="009F57A9">
        <w:t xml:space="preserve">needed to roster on a minimum of four </w:t>
      </w:r>
      <w:r w:rsidR="00AB4AC8">
        <w:t xml:space="preserve">security guards per shift </w:t>
      </w:r>
      <w:r w:rsidR="00C44B77">
        <w:t xml:space="preserve">at </w:t>
      </w:r>
      <w:r w:rsidR="000A4226">
        <w:t xml:space="preserve">the </w:t>
      </w:r>
      <w:r w:rsidR="00C44B77">
        <w:t xml:space="preserve">acute </w:t>
      </w:r>
      <w:r w:rsidR="00734F05">
        <w:t xml:space="preserve">site to </w:t>
      </w:r>
      <w:r w:rsidR="009F57A9">
        <w:t xml:space="preserve">effectively </w:t>
      </w:r>
      <w:r w:rsidR="00734F05">
        <w:t xml:space="preserve">control </w:t>
      </w:r>
      <w:r w:rsidR="00AB4AC8">
        <w:t xml:space="preserve">risk and </w:t>
      </w:r>
      <w:r w:rsidR="003D2DAA">
        <w:t xml:space="preserve">undertake </w:t>
      </w:r>
      <w:r w:rsidR="00AB4AC8">
        <w:t>safe restraint practices</w:t>
      </w:r>
      <w:r w:rsidR="003D2DAA">
        <w:t xml:space="preserve"> in conjunction with the senior clinician attending each code</w:t>
      </w:r>
      <w:r w:rsidR="00AB4AC8">
        <w:t>.</w:t>
      </w:r>
    </w:p>
    <w:p w14:paraId="0FE4D06D" w14:textId="77777777" w:rsidR="00437224" w:rsidRPr="00DF3A5C" w:rsidRDefault="00734F05" w:rsidP="00437224">
      <w:pPr>
        <w:pStyle w:val="Heading2"/>
      </w:pPr>
      <w:r>
        <w:t>Flexing up</w:t>
      </w:r>
      <w:r w:rsidR="00843C54">
        <w:t xml:space="preserve"> to effectively control risk</w:t>
      </w:r>
    </w:p>
    <w:p w14:paraId="581C9D31" w14:textId="1410FB4B" w:rsidR="00843C54" w:rsidRDefault="00437224" w:rsidP="00437224">
      <w:pPr>
        <w:pStyle w:val="DHHSbody"/>
      </w:pPr>
      <w:r>
        <w:t xml:space="preserve">The health service </w:t>
      </w:r>
      <w:r w:rsidR="009F57A9">
        <w:t xml:space="preserve">recognised that it needed to have the ability to </w:t>
      </w:r>
      <w:r w:rsidR="00D55E45">
        <w:t>increase its security</w:t>
      </w:r>
      <w:r w:rsidR="004F1FF8">
        <w:t>-</w:t>
      </w:r>
      <w:r w:rsidR="00843C54">
        <w:t>trained</w:t>
      </w:r>
      <w:r w:rsidR="00D55E45">
        <w:t xml:space="preserve"> </w:t>
      </w:r>
      <w:r w:rsidR="00734F05">
        <w:t>personnel on particular shifts to reduce risk. Pa</w:t>
      </w:r>
      <w:r w:rsidR="0025612D">
        <w:t>rticul</w:t>
      </w:r>
      <w:r w:rsidR="00843C54">
        <w:t>ar circumstances known to lead to this requirement include</w:t>
      </w:r>
      <w:r w:rsidR="0002010C">
        <w:t>d</w:t>
      </w:r>
      <w:r w:rsidR="009F57A9">
        <w:t xml:space="preserve"> treating a patient</w:t>
      </w:r>
      <w:r w:rsidR="00843C54">
        <w:t>:</w:t>
      </w:r>
    </w:p>
    <w:p w14:paraId="5CC75876" w14:textId="77777777" w:rsidR="00843C54" w:rsidRDefault="00D55E45" w:rsidP="00843C54">
      <w:pPr>
        <w:pStyle w:val="DHHSbullet1"/>
        <w:numPr>
          <w:ilvl w:val="0"/>
          <w:numId w:val="1"/>
        </w:numPr>
      </w:pPr>
      <w:r>
        <w:t xml:space="preserve">with family members who </w:t>
      </w:r>
      <w:r w:rsidR="00FF7418">
        <w:t xml:space="preserve">visit who </w:t>
      </w:r>
      <w:r>
        <w:t>are known to be violent or aggressive</w:t>
      </w:r>
    </w:p>
    <w:p w14:paraId="669983C7" w14:textId="6A85227E" w:rsidR="00437224" w:rsidRDefault="00D55E45" w:rsidP="00843C54">
      <w:pPr>
        <w:pStyle w:val="DHHSbullet1"/>
        <w:numPr>
          <w:ilvl w:val="0"/>
          <w:numId w:val="1"/>
        </w:numPr>
      </w:pPr>
      <w:r>
        <w:t>for a period of time who may be</w:t>
      </w:r>
      <w:r w:rsidR="00C44B77">
        <w:t>come</w:t>
      </w:r>
      <w:r>
        <w:t xml:space="preserve"> </w:t>
      </w:r>
      <w:r w:rsidR="00C44B77">
        <w:t xml:space="preserve">violent or aggressive while </w:t>
      </w:r>
      <w:r>
        <w:t>waiting for transfer to a more appropriate clinica</w:t>
      </w:r>
      <w:r w:rsidR="00C44B77">
        <w:t xml:space="preserve">l </w:t>
      </w:r>
      <w:r>
        <w:t>setting.</w:t>
      </w:r>
    </w:p>
    <w:p w14:paraId="2A614C20" w14:textId="77777777" w:rsidR="009F57A9" w:rsidRPr="00DF3A5C" w:rsidRDefault="009F57A9" w:rsidP="009F57A9">
      <w:pPr>
        <w:pStyle w:val="Heading2"/>
      </w:pPr>
      <w:r>
        <w:t>Reviewing for effectiveness</w:t>
      </w:r>
    </w:p>
    <w:p w14:paraId="71B23180" w14:textId="10892919" w:rsidR="00826EFA" w:rsidRDefault="009F57A9" w:rsidP="009F57A9">
      <w:pPr>
        <w:pStyle w:val="DHHSbody"/>
      </w:pPr>
      <w:r>
        <w:t xml:space="preserve">The health service </w:t>
      </w:r>
      <w:r w:rsidR="00826EFA">
        <w:t xml:space="preserve">also put in place </w:t>
      </w:r>
      <w:r w:rsidR="0002010C">
        <w:t>processes</w:t>
      </w:r>
      <w:r w:rsidR="00826EFA">
        <w:t xml:space="preserve"> to regularly review its </w:t>
      </w:r>
      <w:r w:rsidR="003D2DAA">
        <w:t>security</w:t>
      </w:r>
      <w:r w:rsidR="004F1FF8">
        <w:t>-</w:t>
      </w:r>
      <w:r w:rsidR="003D2DAA">
        <w:t xml:space="preserve">trained staffing requirements to determine if changes need to be </w:t>
      </w:r>
      <w:r w:rsidR="00826EFA">
        <w:t>made:</w:t>
      </w:r>
    </w:p>
    <w:p w14:paraId="5C21FF73" w14:textId="77777777" w:rsidR="00826EFA" w:rsidRDefault="00826EFA" w:rsidP="00826EFA">
      <w:pPr>
        <w:pStyle w:val="DHHSbullet1"/>
        <w:numPr>
          <w:ilvl w:val="0"/>
          <w:numId w:val="1"/>
        </w:numPr>
      </w:pPr>
      <w:r>
        <w:t>in response to changes in risk</w:t>
      </w:r>
    </w:p>
    <w:p w14:paraId="1F51B3AC" w14:textId="77777777" w:rsidR="00826EFA" w:rsidRDefault="006B78D7" w:rsidP="00826EFA">
      <w:pPr>
        <w:pStyle w:val="DHHSbullet1"/>
        <w:numPr>
          <w:ilvl w:val="0"/>
          <w:numId w:val="1"/>
        </w:numPr>
      </w:pPr>
      <w:r>
        <w:t>if the</w:t>
      </w:r>
      <w:r w:rsidR="003D2DAA">
        <w:t xml:space="preserve"> </w:t>
      </w:r>
      <w:r w:rsidR="000E7CAB">
        <w:t xml:space="preserve">four </w:t>
      </w:r>
      <w:r w:rsidR="003D2DAA">
        <w:t>staff rostered on each shift are not a</w:t>
      </w:r>
      <w:r>
        <w:t xml:space="preserve">dequately </w:t>
      </w:r>
      <w:r w:rsidR="00826EFA">
        <w:t>controlling risks as intended.</w:t>
      </w:r>
    </w:p>
    <w:p w14:paraId="2805DA26" w14:textId="77777777" w:rsidR="00437224" w:rsidRDefault="00437224" w:rsidP="00437224">
      <w:pPr>
        <w:pStyle w:val="DHHSbody"/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10003"/>
      </w:tblGrid>
      <w:tr w:rsidR="002802E3" w:rsidRPr="002802E3" w14:paraId="1D2FF123" w14:textId="77777777" w:rsidTr="00EE08AB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bookmarkEnd w:id="2"/>
          <w:p w14:paraId="038E994F" w14:textId="77777777" w:rsidR="007F31E0" w:rsidRPr="00254F58" w:rsidRDefault="007F31E0" w:rsidP="007F31E0">
            <w:pPr>
              <w:pStyle w:val="DHHSaccessibilitypara"/>
            </w:pPr>
            <w:r w:rsidRPr="00254F58">
              <w:t xml:space="preserve">To receive this publication in </w:t>
            </w:r>
            <w:r w:rsidRPr="00770F37">
              <w:t>an</w:t>
            </w:r>
            <w:r w:rsidRPr="00254F58">
              <w:t xml:space="preserve"> accessible format email </w:t>
            </w:r>
            <w:r w:rsidRPr="00736DB2">
              <w:t>&lt;whwb@dhhs.vic.gov.au&gt;</w:t>
            </w:r>
          </w:p>
          <w:p w14:paraId="109C1357" w14:textId="77777777" w:rsidR="007F31E0" w:rsidRPr="00254F58" w:rsidRDefault="007F31E0" w:rsidP="007F31E0">
            <w:pPr>
              <w:pStyle w:val="DHHSbody"/>
            </w:pPr>
            <w:r w:rsidRPr="00254F58">
              <w:t>Authorised and published by the Victorian Governmen</w:t>
            </w:r>
            <w:r>
              <w:t>t, 1 Treasury Place, Melbourne.</w:t>
            </w:r>
          </w:p>
          <w:p w14:paraId="4E9EA774" w14:textId="77777777" w:rsidR="007F31E0" w:rsidRPr="00254F58" w:rsidRDefault="007F31E0" w:rsidP="007F31E0">
            <w:pPr>
              <w:pStyle w:val="DHHSbody"/>
            </w:pPr>
            <w:r w:rsidRPr="00254F58">
              <w:t xml:space="preserve">© State of </w:t>
            </w:r>
            <w:r>
              <w:t>Victoria, Department of Health and</w:t>
            </w:r>
            <w:r w:rsidRPr="00254F58">
              <w:t xml:space="preserve"> Human Services</w:t>
            </w:r>
            <w:r w:rsidRPr="00BA3F8D">
              <w:rPr>
                <w:color w:val="008950"/>
              </w:rPr>
              <w:t xml:space="preserve"> </w:t>
            </w:r>
            <w:r w:rsidR="00D647AF">
              <w:t>September</w:t>
            </w:r>
            <w:r>
              <w:t>, 2018.</w:t>
            </w:r>
          </w:p>
          <w:p w14:paraId="378AE57B" w14:textId="6DED0BC3" w:rsidR="007F31E0" w:rsidRPr="00254F58" w:rsidRDefault="007F31E0" w:rsidP="007F31E0">
            <w:pPr>
              <w:pStyle w:val="DHHSbody"/>
            </w:pPr>
            <w:r w:rsidRPr="00254F58">
              <w:t>ISBN</w:t>
            </w:r>
            <w:r w:rsidR="007D7BF3">
              <w:t xml:space="preserve"> 978-1-76069-589-7 (pdf/online/MS word)</w:t>
            </w:r>
          </w:p>
          <w:p w14:paraId="66927F71" w14:textId="59DE93E9" w:rsidR="002802E3" w:rsidRPr="002802E3" w:rsidRDefault="007F31E0" w:rsidP="007F31E0">
            <w:pPr>
              <w:pStyle w:val="DHHSbody"/>
            </w:pPr>
            <w:r w:rsidRPr="00254F58">
              <w:rPr>
                <w:szCs w:val="19"/>
              </w:rPr>
              <w:t xml:space="preserve">Available at </w:t>
            </w:r>
            <w:r>
              <w:rPr>
                <w:szCs w:val="19"/>
              </w:rPr>
              <w:t>&lt;</w:t>
            </w:r>
            <w:r w:rsidRPr="00736DB2">
              <w:rPr>
                <w:szCs w:val="19"/>
              </w:rPr>
              <w:t>https://www2.health.vic.gov.au/health-workforce/worker-health-wellbeing/occupational-violence-aggression/security</w:t>
            </w:r>
            <w:r>
              <w:rPr>
                <w:szCs w:val="19"/>
              </w:rPr>
              <w:t>&gt;</w:t>
            </w:r>
          </w:p>
        </w:tc>
      </w:tr>
    </w:tbl>
    <w:p w14:paraId="53429272" w14:textId="77777777" w:rsidR="00B2752E" w:rsidRPr="00906490" w:rsidRDefault="00B2752E" w:rsidP="00FF6D9D">
      <w:pPr>
        <w:pStyle w:val="DHHSbody"/>
      </w:pPr>
    </w:p>
    <w:sectPr w:rsidR="00B2752E" w:rsidRPr="00906490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5223A" w14:textId="77777777" w:rsidR="000914EE" w:rsidRDefault="000914EE">
      <w:r>
        <w:separator/>
      </w:r>
    </w:p>
  </w:endnote>
  <w:endnote w:type="continuationSeparator" w:id="0">
    <w:p w14:paraId="11F965D8" w14:textId="77777777" w:rsidR="000914EE" w:rsidRDefault="0009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58350" w14:textId="77777777" w:rsidR="009D70A4" w:rsidRPr="00F65AA9" w:rsidRDefault="00FE219C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 wp14:anchorId="30D6459C" wp14:editId="2739515C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051BE" w14:textId="77777777" w:rsidR="009D70A4" w:rsidRPr="00A11421" w:rsidRDefault="00AB365A" w:rsidP="0051568D">
    <w:pPr>
      <w:pStyle w:val="DHHSfooter"/>
    </w:pPr>
    <w:r>
      <w:t xml:space="preserve">Occupational violence and aggression </w:t>
    </w:r>
    <w:r w:rsidR="00EE08AB">
      <w:t xml:space="preserve">case study: </w:t>
    </w:r>
    <w:r>
      <w:t>security trained personnel as an effective control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2077FA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1ED06" w14:textId="77777777" w:rsidR="000914EE" w:rsidRDefault="000914EE" w:rsidP="002862F1">
      <w:pPr>
        <w:spacing w:before="120"/>
      </w:pPr>
      <w:r>
        <w:separator/>
      </w:r>
    </w:p>
  </w:footnote>
  <w:footnote w:type="continuationSeparator" w:id="0">
    <w:p w14:paraId="1CFFF88A" w14:textId="77777777" w:rsidR="000914EE" w:rsidRDefault="000914EE">
      <w:r>
        <w:continuationSeparator/>
      </w:r>
    </w:p>
  </w:footnote>
  <w:footnote w:id="1">
    <w:p w14:paraId="5CF2FF2D" w14:textId="47A5C476" w:rsidR="00E83A2C" w:rsidRDefault="00E83A2C">
      <w:pPr>
        <w:pStyle w:val="FootnoteText"/>
      </w:pPr>
      <w:r>
        <w:rPr>
          <w:rStyle w:val="FootnoteReference"/>
        </w:rPr>
        <w:footnoteRef/>
      </w:r>
      <w:r>
        <w:t xml:space="preserve"> Refer to</w:t>
      </w:r>
      <w:r w:rsidR="008B34E7">
        <w:t xml:space="preserve"> the</w:t>
      </w:r>
      <w:r>
        <w:t xml:space="preserve"> </w:t>
      </w:r>
      <w:hyperlink r:id="rId1" w:history="1">
        <w:r w:rsidR="008B34E7" w:rsidRPr="00E30FA0">
          <w:rPr>
            <w:rStyle w:val="Hyperlink"/>
            <w:i/>
          </w:rPr>
          <w:t>Security risk assessment too</w:t>
        </w:r>
        <w:r w:rsidR="00E30FA0" w:rsidRPr="00E30FA0">
          <w:rPr>
            <w:rStyle w:val="Hyperlink"/>
            <w:i/>
          </w:rPr>
          <w:t>l: preventing and managing occupational violence and aggression</w:t>
        </w:r>
      </w:hyperlink>
      <w:r w:rsidR="008B34E7" w:rsidRPr="008B34E7">
        <w:rPr>
          <w:i/>
        </w:rPr>
        <w:t xml:space="preserve"> </w:t>
      </w:r>
      <w:r w:rsidR="004F1FF8">
        <w:t>&lt;</w:t>
      </w:r>
      <w:r w:rsidR="004F1FF8" w:rsidRPr="00E30FA0">
        <w:t>https://www2.health.vic.gov.au/health-workforce/worker-health-wellbeing/occupational-violence-aggression/security</w:t>
      </w:r>
      <w:r w:rsidR="004F1FF8">
        <w:t xml:space="preserve">&gt; </w:t>
      </w:r>
      <w:r w:rsidR="008B34E7">
        <w:t>for more guidance on how to conduct a security risk assessment</w:t>
      </w:r>
      <w:r w:rsidR="004F1FF8">
        <w:t>.</w:t>
      </w:r>
      <w:r w:rsidR="008B34E7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5C1FA" w14:textId="77777777" w:rsidR="008B34E7" w:rsidRDefault="008B34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A6F37" w14:textId="77777777" w:rsidR="008B34E7" w:rsidRDefault="008B34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04AEC" w14:textId="77777777" w:rsidR="008B34E7" w:rsidRDefault="008B34E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A3577" w14:textId="77777777" w:rsidR="008B34E7" w:rsidRDefault="008B34E7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7A38B" w14:textId="77777777" w:rsidR="009D70A4" w:rsidRPr="0051568D" w:rsidRDefault="009D70A4" w:rsidP="0051568D">
    <w:pPr>
      <w:pStyle w:val="DHHS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CC5E8" w14:textId="77777777" w:rsidR="008B34E7" w:rsidRDefault="008B34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>
    <w:nsid w:val="0B8D43DB"/>
    <w:multiLevelType w:val="multilevel"/>
    <w:tmpl w:val="4B4E7622"/>
    <w:numStyleLink w:val="ZZNumbers"/>
  </w:abstractNum>
  <w:abstractNum w:abstractNumId="3">
    <w:nsid w:val="1EC8070F"/>
    <w:multiLevelType w:val="hybridMultilevel"/>
    <w:tmpl w:val="14882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>
    <w:nsid w:val="4D051090"/>
    <w:multiLevelType w:val="hybridMultilevel"/>
    <w:tmpl w:val="367EEC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59DC2075"/>
    <w:multiLevelType w:val="hybridMultilevel"/>
    <w:tmpl w:val="AC42F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341556"/>
    <w:multiLevelType w:val="hybridMultilevel"/>
    <w:tmpl w:val="9620D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1378D9"/>
    <w:multiLevelType w:val="hybridMultilevel"/>
    <w:tmpl w:val="E910B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133365"/>
    <w:multiLevelType w:val="hybridMultilevel"/>
    <w:tmpl w:val="B2FE59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5"/>
  </w:num>
  <w:num w:numId="10">
    <w:abstractNumId w:val="10"/>
  </w:num>
  <w:num w:numId="11">
    <w:abstractNumId w:val="3"/>
  </w:num>
  <w:num w:numId="12">
    <w:abstractNumId w:val="9"/>
  </w:num>
  <w:num w:numId="13">
    <w:abstractNumId w:val="6"/>
  </w:num>
  <w:num w:numId="14">
    <w:abstractNumId w:val="7"/>
  </w:num>
  <w:num w:numId="15">
    <w:abstractNumId w:val="6"/>
  </w:num>
  <w:num w:numId="16">
    <w:abstractNumId w:val="8"/>
  </w:num>
  <w:num w:numId="17">
    <w:abstractNumId w:val="6"/>
  </w:num>
  <w:num w:numId="18">
    <w:abstractNumId w:val="6"/>
  </w:num>
  <w:num w:numId="19">
    <w:abstractNumId w:val="6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ew Macrae">
    <w15:presenceInfo w15:providerId="Windows Live" w15:userId="74c03d8842a1fa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9C"/>
    <w:rsid w:val="000072B6"/>
    <w:rsid w:val="0001021B"/>
    <w:rsid w:val="00011D89"/>
    <w:rsid w:val="0002010C"/>
    <w:rsid w:val="00024D89"/>
    <w:rsid w:val="000250B6"/>
    <w:rsid w:val="0003206C"/>
    <w:rsid w:val="00033D81"/>
    <w:rsid w:val="00036169"/>
    <w:rsid w:val="00041BF0"/>
    <w:rsid w:val="0004536B"/>
    <w:rsid w:val="00046B68"/>
    <w:rsid w:val="000527DD"/>
    <w:rsid w:val="000578B2"/>
    <w:rsid w:val="00060959"/>
    <w:rsid w:val="00063255"/>
    <w:rsid w:val="000663CD"/>
    <w:rsid w:val="000733FE"/>
    <w:rsid w:val="00074219"/>
    <w:rsid w:val="00074ED5"/>
    <w:rsid w:val="0009113B"/>
    <w:rsid w:val="000914EE"/>
    <w:rsid w:val="00094DA3"/>
    <w:rsid w:val="00096CD1"/>
    <w:rsid w:val="000A012C"/>
    <w:rsid w:val="000A0EB9"/>
    <w:rsid w:val="000A186C"/>
    <w:rsid w:val="000A3767"/>
    <w:rsid w:val="000A4226"/>
    <w:rsid w:val="000A4969"/>
    <w:rsid w:val="000A6666"/>
    <w:rsid w:val="000B543D"/>
    <w:rsid w:val="000B5BF7"/>
    <w:rsid w:val="000B6BC8"/>
    <w:rsid w:val="000C42EA"/>
    <w:rsid w:val="000C4546"/>
    <w:rsid w:val="000D1242"/>
    <w:rsid w:val="000E3CC7"/>
    <w:rsid w:val="000E6BD4"/>
    <w:rsid w:val="000E7CAB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314BE"/>
    <w:rsid w:val="00134114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077FA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5612D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1759B"/>
    <w:rsid w:val="00327870"/>
    <w:rsid w:val="0033259D"/>
    <w:rsid w:val="003406C6"/>
    <w:rsid w:val="0034111F"/>
    <w:rsid w:val="003418CC"/>
    <w:rsid w:val="003459BD"/>
    <w:rsid w:val="00345E05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09AD"/>
    <w:rsid w:val="003A6B67"/>
    <w:rsid w:val="003B15E6"/>
    <w:rsid w:val="003C2045"/>
    <w:rsid w:val="003C3036"/>
    <w:rsid w:val="003C43A1"/>
    <w:rsid w:val="003C4FC0"/>
    <w:rsid w:val="003C55F4"/>
    <w:rsid w:val="003C7A3F"/>
    <w:rsid w:val="003D2766"/>
    <w:rsid w:val="003D2DAA"/>
    <w:rsid w:val="003D3E8F"/>
    <w:rsid w:val="003D6475"/>
    <w:rsid w:val="003E2066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37224"/>
    <w:rsid w:val="00440184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70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1FF8"/>
    <w:rsid w:val="004F2133"/>
    <w:rsid w:val="004F55F1"/>
    <w:rsid w:val="004F6936"/>
    <w:rsid w:val="00503DC6"/>
    <w:rsid w:val="00506F5D"/>
    <w:rsid w:val="005126D0"/>
    <w:rsid w:val="0051568D"/>
    <w:rsid w:val="00526C15"/>
    <w:rsid w:val="00536499"/>
    <w:rsid w:val="00543903"/>
    <w:rsid w:val="00543F11"/>
    <w:rsid w:val="00547A95"/>
    <w:rsid w:val="00572031"/>
    <w:rsid w:val="005724C8"/>
    <w:rsid w:val="00574B49"/>
    <w:rsid w:val="00576E84"/>
    <w:rsid w:val="00582B8C"/>
    <w:rsid w:val="00586005"/>
    <w:rsid w:val="0058757E"/>
    <w:rsid w:val="00596A4B"/>
    <w:rsid w:val="00597507"/>
    <w:rsid w:val="005A22F0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06EF4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287C"/>
    <w:rsid w:val="0066302A"/>
    <w:rsid w:val="00670597"/>
    <w:rsid w:val="006706D0"/>
    <w:rsid w:val="00677574"/>
    <w:rsid w:val="0068454C"/>
    <w:rsid w:val="00691B62"/>
    <w:rsid w:val="006933B5"/>
    <w:rsid w:val="00693D14"/>
    <w:rsid w:val="006A069F"/>
    <w:rsid w:val="006A18C2"/>
    <w:rsid w:val="006B077C"/>
    <w:rsid w:val="006B4CBA"/>
    <w:rsid w:val="006B6803"/>
    <w:rsid w:val="006B78D7"/>
    <w:rsid w:val="006C5901"/>
    <w:rsid w:val="006D2A3F"/>
    <w:rsid w:val="006D2FBC"/>
    <w:rsid w:val="006E138B"/>
    <w:rsid w:val="006E3B41"/>
    <w:rsid w:val="006F1FDC"/>
    <w:rsid w:val="007013EF"/>
    <w:rsid w:val="007173CA"/>
    <w:rsid w:val="007216AA"/>
    <w:rsid w:val="00721AB5"/>
    <w:rsid w:val="00721DEF"/>
    <w:rsid w:val="00724A43"/>
    <w:rsid w:val="007346E4"/>
    <w:rsid w:val="00734F05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6B5C"/>
    <w:rsid w:val="007D6E2D"/>
    <w:rsid w:val="007D7BF3"/>
    <w:rsid w:val="007E0DE2"/>
    <w:rsid w:val="007E3B98"/>
    <w:rsid w:val="007F31B6"/>
    <w:rsid w:val="007F31E0"/>
    <w:rsid w:val="007F546C"/>
    <w:rsid w:val="007F625F"/>
    <w:rsid w:val="007F665E"/>
    <w:rsid w:val="00800412"/>
    <w:rsid w:val="0080587B"/>
    <w:rsid w:val="00806468"/>
    <w:rsid w:val="0080757E"/>
    <w:rsid w:val="00815054"/>
    <w:rsid w:val="008155F0"/>
    <w:rsid w:val="00816735"/>
    <w:rsid w:val="00820141"/>
    <w:rsid w:val="00820E0C"/>
    <w:rsid w:val="00826EFA"/>
    <w:rsid w:val="008338A2"/>
    <w:rsid w:val="00841AA9"/>
    <w:rsid w:val="00843C54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34E7"/>
    <w:rsid w:val="008B4D3D"/>
    <w:rsid w:val="008B57C7"/>
    <w:rsid w:val="008C2F92"/>
    <w:rsid w:val="008D0956"/>
    <w:rsid w:val="008D2846"/>
    <w:rsid w:val="008D4236"/>
    <w:rsid w:val="008D462F"/>
    <w:rsid w:val="008D4D35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6680C"/>
    <w:rsid w:val="009853E1"/>
    <w:rsid w:val="00985E9E"/>
    <w:rsid w:val="00986E6B"/>
    <w:rsid w:val="00991769"/>
    <w:rsid w:val="00994386"/>
    <w:rsid w:val="00995777"/>
    <w:rsid w:val="009A13D8"/>
    <w:rsid w:val="009A279E"/>
    <w:rsid w:val="009B0A6F"/>
    <w:rsid w:val="009B0A94"/>
    <w:rsid w:val="009B28D5"/>
    <w:rsid w:val="009B59E9"/>
    <w:rsid w:val="009B70AA"/>
    <w:rsid w:val="009C7A7E"/>
    <w:rsid w:val="009D02E8"/>
    <w:rsid w:val="009D4C4A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57A9"/>
    <w:rsid w:val="009F6BCB"/>
    <w:rsid w:val="009F7B78"/>
    <w:rsid w:val="00A0057A"/>
    <w:rsid w:val="00A11421"/>
    <w:rsid w:val="00A157B1"/>
    <w:rsid w:val="00A22229"/>
    <w:rsid w:val="00A25E0B"/>
    <w:rsid w:val="00A32DEB"/>
    <w:rsid w:val="00A44882"/>
    <w:rsid w:val="00A54715"/>
    <w:rsid w:val="00A6061C"/>
    <w:rsid w:val="00A62D44"/>
    <w:rsid w:val="00A632AB"/>
    <w:rsid w:val="00A67263"/>
    <w:rsid w:val="00A7161C"/>
    <w:rsid w:val="00A77AA3"/>
    <w:rsid w:val="00A854EB"/>
    <w:rsid w:val="00A872E5"/>
    <w:rsid w:val="00A91406"/>
    <w:rsid w:val="00A96E65"/>
    <w:rsid w:val="00A9793C"/>
    <w:rsid w:val="00A97C72"/>
    <w:rsid w:val="00AA63D4"/>
    <w:rsid w:val="00AB06E8"/>
    <w:rsid w:val="00AB1CD3"/>
    <w:rsid w:val="00AB2A15"/>
    <w:rsid w:val="00AB352F"/>
    <w:rsid w:val="00AB365A"/>
    <w:rsid w:val="00AB4AC8"/>
    <w:rsid w:val="00AC274B"/>
    <w:rsid w:val="00AC4764"/>
    <w:rsid w:val="00AC6D36"/>
    <w:rsid w:val="00AD0CBA"/>
    <w:rsid w:val="00AD26E2"/>
    <w:rsid w:val="00AD5583"/>
    <w:rsid w:val="00AD784C"/>
    <w:rsid w:val="00AE126A"/>
    <w:rsid w:val="00AE3005"/>
    <w:rsid w:val="00AE3BD5"/>
    <w:rsid w:val="00AE59A0"/>
    <w:rsid w:val="00AF06B6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57571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D3A51"/>
    <w:rsid w:val="00BE28D2"/>
    <w:rsid w:val="00BE4A64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44B77"/>
    <w:rsid w:val="00C602FF"/>
    <w:rsid w:val="00C61174"/>
    <w:rsid w:val="00C6148F"/>
    <w:rsid w:val="00C62F7A"/>
    <w:rsid w:val="00C63B9C"/>
    <w:rsid w:val="00C6682F"/>
    <w:rsid w:val="00C7275E"/>
    <w:rsid w:val="00C74C5D"/>
    <w:rsid w:val="00C85C77"/>
    <w:rsid w:val="00C863C4"/>
    <w:rsid w:val="00C93C3E"/>
    <w:rsid w:val="00CA12E3"/>
    <w:rsid w:val="00CA6611"/>
    <w:rsid w:val="00CA6AE6"/>
    <w:rsid w:val="00CA782F"/>
    <w:rsid w:val="00CB3285"/>
    <w:rsid w:val="00CC0C72"/>
    <w:rsid w:val="00CC14F6"/>
    <w:rsid w:val="00CC2BFD"/>
    <w:rsid w:val="00CD3476"/>
    <w:rsid w:val="00CD64DF"/>
    <w:rsid w:val="00CE2078"/>
    <w:rsid w:val="00CF2F50"/>
    <w:rsid w:val="00D02919"/>
    <w:rsid w:val="00D04C61"/>
    <w:rsid w:val="00D05B8D"/>
    <w:rsid w:val="00D065A2"/>
    <w:rsid w:val="00D07F00"/>
    <w:rsid w:val="00D13AE4"/>
    <w:rsid w:val="00D17B72"/>
    <w:rsid w:val="00D22551"/>
    <w:rsid w:val="00D24AC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55E45"/>
    <w:rsid w:val="00D647AF"/>
    <w:rsid w:val="00D714CC"/>
    <w:rsid w:val="00D75EA7"/>
    <w:rsid w:val="00D81424"/>
    <w:rsid w:val="00D81F21"/>
    <w:rsid w:val="00D95470"/>
    <w:rsid w:val="00DA0AEC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3A5C"/>
    <w:rsid w:val="00DF68C7"/>
    <w:rsid w:val="00DF731A"/>
    <w:rsid w:val="00E170DC"/>
    <w:rsid w:val="00E2580E"/>
    <w:rsid w:val="00E26818"/>
    <w:rsid w:val="00E27FFC"/>
    <w:rsid w:val="00E30B15"/>
    <w:rsid w:val="00E30FA0"/>
    <w:rsid w:val="00E40181"/>
    <w:rsid w:val="00E56A01"/>
    <w:rsid w:val="00E629A1"/>
    <w:rsid w:val="00E6794C"/>
    <w:rsid w:val="00E71591"/>
    <w:rsid w:val="00E71A85"/>
    <w:rsid w:val="00E82C55"/>
    <w:rsid w:val="00E83A2C"/>
    <w:rsid w:val="00E92AC3"/>
    <w:rsid w:val="00EB00E0"/>
    <w:rsid w:val="00EC059F"/>
    <w:rsid w:val="00EC1F24"/>
    <w:rsid w:val="00EC22F6"/>
    <w:rsid w:val="00ED5B9B"/>
    <w:rsid w:val="00ED6BAD"/>
    <w:rsid w:val="00ED7447"/>
    <w:rsid w:val="00EE08AB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2479"/>
    <w:rsid w:val="00F64696"/>
    <w:rsid w:val="00F65AA9"/>
    <w:rsid w:val="00F6768F"/>
    <w:rsid w:val="00F72C2C"/>
    <w:rsid w:val="00F74226"/>
    <w:rsid w:val="00F76CAB"/>
    <w:rsid w:val="00F772C6"/>
    <w:rsid w:val="00F815B5"/>
    <w:rsid w:val="00F85195"/>
    <w:rsid w:val="00F938BA"/>
    <w:rsid w:val="00FA2C46"/>
    <w:rsid w:val="00FA3525"/>
    <w:rsid w:val="00FB4769"/>
    <w:rsid w:val="00FB4CDA"/>
    <w:rsid w:val="00FC0F81"/>
    <w:rsid w:val="00FC395C"/>
    <w:rsid w:val="00FD3766"/>
    <w:rsid w:val="00FD47C4"/>
    <w:rsid w:val="00FE219C"/>
    <w:rsid w:val="00FE2638"/>
    <w:rsid w:val="00FE2DCF"/>
    <w:rsid w:val="00FE3FFE"/>
    <w:rsid w:val="00FF2FCE"/>
    <w:rsid w:val="00FF4F7D"/>
    <w:rsid w:val="00FF6D9D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6E2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qFormat/>
    <w:rsid w:val="006B4CB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13411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DF3A5C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7B4B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134114"/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DF3A5C"/>
    <w:rPr>
      <w:rFonts w:ascii="Arial" w:hAnsi="Arial"/>
      <w:b/>
      <w:color w:val="007B4B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link w:val="HeaderChar"/>
    <w:uiPriority w:val="99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DF3A5C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DF3A5C"/>
    <w:rPr>
      <w:rFonts w:ascii="Arial" w:hAnsi="Arial"/>
      <w:b/>
      <w:color w:val="007B4B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ListParagraph">
    <w:name w:val="List Paragraph"/>
    <w:basedOn w:val="Normal"/>
    <w:uiPriority w:val="34"/>
    <w:qFormat/>
    <w:rsid w:val="006B4C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4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C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D4C4A"/>
    <w:rPr>
      <w:rFonts w:ascii="Arial" w:hAnsi="Arial" w:cs="Arial"/>
      <w:sz w:val="18"/>
      <w:szCs w:val="18"/>
      <w:lang w:eastAsia="en-US"/>
    </w:rPr>
  </w:style>
  <w:style w:type="paragraph" w:customStyle="1" w:styleId="DHHStablecolhead">
    <w:name w:val="DHHS table col head"/>
    <w:uiPriority w:val="3"/>
    <w:qFormat/>
    <w:rsid w:val="00DF3A5C"/>
    <w:pPr>
      <w:spacing w:before="80" w:after="60"/>
    </w:pPr>
    <w:rPr>
      <w:rFonts w:ascii="Arial" w:hAnsi="Arial"/>
      <w:b/>
      <w:color w:val="007B4B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34F05"/>
    <w:rPr>
      <w:sz w:val="16"/>
      <w:szCs w:val="16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CommentText">
    <w:name w:val="annotation text"/>
    <w:basedOn w:val="Normal"/>
    <w:link w:val="CommentTextChar"/>
    <w:uiPriority w:val="99"/>
    <w:semiHidden/>
    <w:unhideWhenUsed/>
    <w:rsid w:val="00734F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F05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F05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1FF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qFormat/>
    <w:rsid w:val="006B4CB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13411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DF3A5C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7B4B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134114"/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DF3A5C"/>
    <w:rPr>
      <w:rFonts w:ascii="Arial" w:hAnsi="Arial"/>
      <w:b/>
      <w:color w:val="007B4B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link w:val="HeaderChar"/>
    <w:uiPriority w:val="99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DF3A5C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DF3A5C"/>
    <w:rPr>
      <w:rFonts w:ascii="Arial" w:hAnsi="Arial"/>
      <w:b/>
      <w:color w:val="007B4B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ListParagraph">
    <w:name w:val="List Paragraph"/>
    <w:basedOn w:val="Normal"/>
    <w:uiPriority w:val="34"/>
    <w:qFormat/>
    <w:rsid w:val="006B4C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4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C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D4C4A"/>
    <w:rPr>
      <w:rFonts w:ascii="Arial" w:hAnsi="Arial" w:cs="Arial"/>
      <w:sz w:val="18"/>
      <w:szCs w:val="18"/>
      <w:lang w:eastAsia="en-US"/>
    </w:rPr>
  </w:style>
  <w:style w:type="paragraph" w:customStyle="1" w:styleId="DHHStablecolhead">
    <w:name w:val="DHHS table col head"/>
    <w:uiPriority w:val="3"/>
    <w:qFormat/>
    <w:rsid w:val="00DF3A5C"/>
    <w:pPr>
      <w:spacing w:before="80" w:after="60"/>
    </w:pPr>
    <w:rPr>
      <w:rFonts w:ascii="Arial" w:hAnsi="Arial"/>
      <w:b/>
      <w:color w:val="007B4B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34F05"/>
    <w:rPr>
      <w:sz w:val="16"/>
      <w:szCs w:val="16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CommentText">
    <w:name w:val="annotation text"/>
    <w:basedOn w:val="Normal"/>
    <w:link w:val="CommentTextChar"/>
    <w:uiPriority w:val="99"/>
    <w:semiHidden/>
    <w:unhideWhenUsed/>
    <w:rsid w:val="00734F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F05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F05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1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2.health.vic.gov.au/health-workforce/worker-health-wellbeing/occupational-violence-aggression/securit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287\Apps\Online\TEMPLATES\Visual%20style\DHHS%20Factsheet%2004%20Green%20772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1EB23A0-0AF2-414D-9B37-73D5EE171508}">
  <we:reference id="wa104380773" version="1.0.0.2" store="en-US" storeType="OMEX"/>
  <we:alternateReferences>
    <we:reference id="wa104380773" version="1.0.0.2" store="WA10438077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FAFC6-E7D8-4B1A-B884-CADF4C6CE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DHHS Factsheet 04 Green 7726.dot</Template>
  <TotalTime>7</TotalTime>
  <Pages>2</Pages>
  <Words>697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Occupational violence and aggression case study</vt:lpstr>
    </vt:vector>
  </TitlesOfParts>
  <Company>Department of Health and Human Services</Company>
  <LinksUpToDate>false</LinksUpToDate>
  <CharactersWithSpaces>4737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violence and aggression case study</dc:title>
  <dc:subject>occupational violence and aggression</dc:subject>
  <dc:creator>Health and Wellbeing</dc:creator>
  <cp:keywords>security-trained personnel as an effective control, risk assessments, case study</cp:keywords>
  <cp:lastModifiedBy>Jackie Rouvray</cp:lastModifiedBy>
  <cp:revision>5</cp:revision>
  <cp:lastPrinted>2018-06-08T05:35:00Z</cp:lastPrinted>
  <dcterms:created xsi:type="dcterms:W3CDTF">2018-09-11T05:49:00Z</dcterms:created>
  <dcterms:modified xsi:type="dcterms:W3CDTF">2018-09-16T23:50:00Z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