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990" w:rsidRPr="003072C6" w:rsidRDefault="00733CD0" w:rsidP="00A55989">
      <w:pPr>
        <w:pStyle w:val="DHHSbodynospace"/>
      </w:pPr>
      <w:bookmarkStart w:id="0" w:name="_GoBack"/>
      <w:bookmarkEnd w:id="0"/>
      <w:r>
        <w:rPr>
          <w:noProof/>
          <w:lang w:eastAsia="en-AU"/>
        </w:rPr>
        <w:drawing>
          <wp:anchor distT="0" distB="0" distL="114300" distR="114300" simplePos="0" relativeHeight="251658240" behindDoc="1" locked="1" layoutInCell="0" allowOverlap="1" wp14:anchorId="4380553F" wp14:editId="2D532A14">
            <wp:simplePos x="0" y="0"/>
            <wp:positionH relativeFrom="page">
              <wp:posOffset>0</wp:posOffset>
            </wp:positionH>
            <wp:positionV relativeFrom="page">
              <wp:posOffset>0</wp:posOffset>
            </wp:positionV>
            <wp:extent cx="7563485" cy="10700385"/>
            <wp:effectExtent l="0" t="0" r="0" b="5715"/>
            <wp:wrapNone/>
            <wp:docPr id="101" name="Picture 10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rsidTr="004C5777">
        <w:trPr>
          <w:trHeight w:val="3988"/>
        </w:trPr>
        <w:tc>
          <w:tcPr>
            <w:tcW w:w="7938" w:type="dxa"/>
            <w:shd w:val="clear" w:color="auto" w:fill="auto"/>
          </w:tcPr>
          <w:p w:rsidR="00C416E1" w:rsidRPr="003072C6" w:rsidRDefault="00A57F4A" w:rsidP="00E91933">
            <w:pPr>
              <w:pStyle w:val="DHHSreportmaintitlewhite"/>
            </w:pPr>
            <w:r>
              <w:t>Nursing and Midwifery Transition to Practice Programs</w:t>
            </w:r>
          </w:p>
          <w:p w:rsidR="00444D82" w:rsidRDefault="00A57F4A" w:rsidP="00E91933">
            <w:pPr>
              <w:pStyle w:val="DHHSreportsubtitlewhite"/>
            </w:pPr>
            <w:r w:rsidRPr="00424A9A">
              <w:rPr>
                <w:sz w:val="40"/>
              </w:rPr>
              <w:t>Guidelines</w:t>
            </w:r>
            <w:r w:rsidR="00A107DC" w:rsidRPr="00424A9A">
              <w:rPr>
                <w:sz w:val="40"/>
              </w:rPr>
              <w:t xml:space="preserve"> 2018</w:t>
            </w:r>
          </w:p>
          <w:p w:rsidR="00444224" w:rsidRPr="00444224" w:rsidRDefault="00444224" w:rsidP="00E91933">
            <w:pPr>
              <w:pStyle w:val="DHHSreportsubtitlewhite"/>
              <w:rPr>
                <w:sz w:val="52"/>
                <w:szCs w:val="52"/>
              </w:rPr>
            </w:pPr>
          </w:p>
        </w:tc>
      </w:tr>
      <w:tr w:rsidR="001817CD" w:rsidRPr="003072C6" w:rsidTr="004C5777">
        <w:trPr>
          <w:trHeight w:val="4664"/>
        </w:trPr>
        <w:tc>
          <w:tcPr>
            <w:tcW w:w="10252" w:type="dxa"/>
            <w:shd w:val="clear" w:color="auto" w:fill="auto"/>
          </w:tcPr>
          <w:p w:rsidR="00BC01C1" w:rsidRPr="003072C6" w:rsidRDefault="00BC01C1" w:rsidP="004F3441">
            <w:pPr>
              <w:pStyle w:val="Coverinstructions"/>
            </w:pPr>
          </w:p>
        </w:tc>
      </w:tr>
    </w:tbl>
    <w:p w:rsidR="0069374A" w:rsidRPr="003072C6" w:rsidRDefault="0069374A" w:rsidP="00C2657D">
      <w:pPr>
        <w:pStyle w:val="DHHSbodynospace"/>
        <w:ind w:left="-454"/>
      </w:pPr>
    </w:p>
    <w:p w:rsidR="00C51B1C" w:rsidRDefault="00C51B1C" w:rsidP="00CA6D4E">
      <w:pPr>
        <w:pStyle w:val="DHHSbodynospace"/>
        <w:sectPr w:rsidR="00C51B1C" w:rsidSect="00A55989">
          <w:type w:val="oddPage"/>
          <w:pgSz w:w="11906" w:h="16838"/>
          <w:pgMar w:top="3969" w:right="1304" w:bottom="1134" w:left="1304" w:header="454" w:footer="567" w:gutter="0"/>
          <w:cols w:space="720"/>
          <w:docGrid w:linePitch="360"/>
        </w:sectPr>
      </w:pPr>
    </w:p>
    <w:p w:rsidR="00C2632F" w:rsidRPr="004B1CFA" w:rsidRDefault="00C2632F">
      <w:pPr>
        <w:pStyle w:val="TOC2"/>
        <w:rPr>
          <w:rFonts w:eastAsia="Times"/>
          <w:b/>
          <w:noProof w:val="0"/>
          <w:color w:val="007B4B"/>
          <w:sz w:val="28"/>
          <w:szCs w:val="28"/>
        </w:rPr>
      </w:pPr>
      <w:r w:rsidRPr="004B1CFA">
        <w:rPr>
          <w:rFonts w:eastAsia="Times"/>
          <w:b/>
          <w:noProof w:val="0"/>
          <w:color w:val="007B4B"/>
          <w:sz w:val="28"/>
          <w:szCs w:val="28"/>
        </w:rPr>
        <w:lastRenderedPageBreak/>
        <w:t>Contents</w:t>
      </w:r>
    </w:p>
    <w:p w:rsidR="004B1CFA" w:rsidRPr="004B1CFA" w:rsidRDefault="004B1CFA">
      <w:pPr>
        <w:pStyle w:val="TOC2"/>
        <w:rPr>
          <w:rStyle w:val="Hyperlink"/>
          <w:rFonts w:eastAsia="Times"/>
          <w:b/>
          <w:color w:val="007B4B"/>
        </w:rPr>
      </w:pPr>
      <w:r>
        <w:fldChar w:fldCharType="begin"/>
      </w:r>
      <w:r>
        <w:instrText xml:space="preserve"> TOC \o "1-4" \h \z \u </w:instrText>
      </w:r>
      <w:r>
        <w:fldChar w:fldCharType="separate"/>
      </w:r>
      <w:hyperlink w:anchor="_Toc519165372" w:history="1">
        <w:r w:rsidRPr="004B1CFA">
          <w:rPr>
            <w:rStyle w:val="Hyperlink"/>
            <w:rFonts w:eastAsia="Times"/>
            <w:b/>
            <w:color w:val="007B4B"/>
          </w:rPr>
          <w:t>Introduction</w:t>
        </w:r>
        <w:r w:rsidRPr="004B1CFA">
          <w:rPr>
            <w:rStyle w:val="Hyperlink"/>
            <w:rFonts w:eastAsia="Times"/>
            <w:b/>
            <w:webHidden/>
            <w:color w:val="007B4B"/>
          </w:rPr>
          <w:tab/>
        </w:r>
        <w:r w:rsidRPr="004B1CFA">
          <w:rPr>
            <w:rStyle w:val="Hyperlink"/>
            <w:rFonts w:eastAsia="Times"/>
            <w:b/>
            <w:webHidden/>
            <w:color w:val="007B4B"/>
          </w:rPr>
          <w:fldChar w:fldCharType="begin"/>
        </w:r>
        <w:r w:rsidRPr="004B1CFA">
          <w:rPr>
            <w:rStyle w:val="Hyperlink"/>
            <w:rFonts w:eastAsia="Times"/>
            <w:b/>
            <w:webHidden/>
            <w:color w:val="007B4B"/>
          </w:rPr>
          <w:instrText xml:space="preserve"> PAGEREF _Toc519165372 \h </w:instrText>
        </w:r>
        <w:r w:rsidRPr="004B1CFA">
          <w:rPr>
            <w:rStyle w:val="Hyperlink"/>
            <w:rFonts w:eastAsia="Times"/>
            <w:b/>
            <w:webHidden/>
            <w:color w:val="007B4B"/>
          </w:rPr>
        </w:r>
        <w:r w:rsidRPr="004B1CFA">
          <w:rPr>
            <w:rStyle w:val="Hyperlink"/>
            <w:rFonts w:eastAsia="Times"/>
            <w:b/>
            <w:webHidden/>
            <w:color w:val="007B4B"/>
          </w:rPr>
          <w:fldChar w:fldCharType="separate"/>
        </w:r>
        <w:r w:rsidR="004D60A8">
          <w:rPr>
            <w:rStyle w:val="Hyperlink"/>
            <w:rFonts w:eastAsia="Times"/>
            <w:b/>
            <w:webHidden/>
            <w:color w:val="007B4B"/>
          </w:rPr>
          <w:t>3</w:t>
        </w:r>
        <w:r w:rsidRPr="004B1CFA">
          <w:rPr>
            <w:rStyle w:val="Hyperlink"/>
            <w:rFonts w:eastAsia="Times"/>
            <w:b/>
            <w:webHidden/>
            <w:color w:val="007B4B"/>
          </w:rPr>
          <w:fldChar w:fldCharType="end"/>
        </w:r>
      </w:hyperlink>
    </w:p>
    <w:p w:rsidR="004B1CFA" w:rsidRPr="004B1CFA" w:rsidRDefault="001F0A6C">
      <w:pPr>
        <w:pStyle w:val="TOC3"/>
        <w:rPr>
          <w:rFonts w:asciiTheme="minorHAnsi" w:eastAsiaTheme="minorEastAsia" w:hAnsiTheme="minorHAnsi" w:cstheme="minorBidi"/>
          <w:b/>
          <w:noProof/>
          <w:sz w:val="22"/>
          <w:szCs w:val="22"/>
          <w:lang w:eastAsia="en-AU"/>
        </w:rPr>
      </w:pPr>
      <w:hyperlink w:anchor="_Toc519165373" w:history="1">
        <w:r w:rsidR="004B1CFA" w:rsidRPr="004B1CFA">
          <w:rPr>
            <w:rStyle w:val="Hyperlink"/>
            <w:b/>
            <w:noProof/>
          </w:rPr>
          <w:t>Background</w:t>
        </w:r>
        <w:r w:rsidR="004B1CFA" w:rsidRPr="004B1CFA">
          <w:rPr>
            <w:b/>
            <w:noProof/>
            <w:webHidden/>
          </w:rPr>
          <w:tab/>
        </w:r>
        <w:r w:rsidR="004B1CFA" w:rsidRPr="004B1CFA">
          <w:rPr>
            <w:b/>
            <w:noProof/>
            <w:webHidden/>
          </w:rPr>
          <w:fldChar w:fldCharType="begin"/>
        </w:r>
        <w:r w:rsidR="004B1CFA" w:rsidRPr="004B1CFA">
          <w:rPr>
            <w:b/>
            <w:noProof/>
            <w:webHidden/>
          </w:rPr>
          <w:instrText xml:space="preserve"> PAGEREF _Toc519165373 \h </w:instrText>
        </w:r>
        <w:r w:rsidR="004B1CFA" w:rsidRPr="004B1CFA">
          <w:rPr>
            <w:b/>
            <w:noProof/>
            <w:webHidden/>
          </w:rPr>
        </w:r>
        <w:r w:rsidR="004B1CFA" w:rsidRPr="004B1CFA">
          <w:rPr>
            <w:b/>
            <w:noProof/>
            <w:webHidden/>
          </w:rPr>
          <w:fldChar w:fldCharType="separate"/>
        </w:r>
        <w:r w:rsidR="004D60A8">
          <w:rPr>
            <w:b/>
            <w:noProof/>
            <w:webHidden/>
          </w:rPr>
          <w:t>3</w:t>
        </w:r>
        <w:r w:rsidR="004B1CFA" w:rsidRPr="004B1CFA">
          <w:rPr>
            <w:b/>
            <w:noProof/>
            <w:webHidden/>
          </w:rPr>
          <w:fldChar w:fldCharType="end"/>
        </w:r>
      </w:hyperlink>
    </w:p>
    <w:p w:rsidR="004B1CFA" w:rsidRPr="004B1CFA" w:rsidRDefault="001F0A6C">
      <w:pPr>
        <w:pStyle w:val="TOC3"/>
        <w:rPr>
          <w:rFonts w:asciiTheme="minorHAnsi" w:eastAsiaTheme="minorEastAsia" w:hAnsiTheme="minorHAnsi" w:cstheme="minorBidi"/>
          <w:b/>
          <w:noProof/>
          <w:sz w:val="22"/>
          <w:szCs w:val="22"/>
          <w:lang w:eastAsia="en-AU"/>
        </w:rPr>
      </w:pPr>
      <w:hyperlink w:anchor="_Toc519165374" w:history="1">
        <w:r w:rsidR="004B1CFA" w:rsidRPr="004B1CFA">
          <w:rPr>
            <w:rStyle w:val="Hyperlink"/>
            <w:b/>
            <w:noProof/>
          </w:rPr>
          <w:t>Implementation</w:t>
        </w:r>
        <w:r w:rsidR="004B1CFA" w:rsidRPr="004B1CFA">
          <w:rPr>
            <w:b/>
            <w:noProof/>
            <w:webHidden/>
          </w:rPr>
          <w:tab/>
        </w:r>
        <w:r w:rsidR="004B1CFA" w:rsidRPr="004B1CFA">
          <w:rPr>
            <w:b/>
            <w:noProof/>
            <w:webHidden/>
          </w:rPr>
          <w:fldChar w:fldCharType="begin"/>
        </w:r>
        <w:r w:rsidR="004B1CFA" w:rsidRPr="004B1CFA">
          <w:rPr>
            <w:b/>
            <w:noProof/>
            <w:webHidden/>
          </w:rPr>
          <w:instrText xml:space="preserve"> PAGEREF _Toc519165374 \h </w:instrText>
        </w:r>
        <w:r w:rsidR="004B1CFA" w:rsidRPr="004B1CFA">
          <w:rPr>
            <w:b/>
            <w:noProof/>
            <w:webHidden/>
          </w:rPr>
        </w:r>
        <w:r w:rsidR="004B1CFA" w:rsidRPr="004B1CFA">
          <w:rPr>
            <w:b/>
            <w:noProof/>
            <w:webHidden/>
          </w:rPr>
          <w:fldChar w:fldCharType="separate"/>
        </w:r>
        <w:r w:rsidR="004D60A8">
          <w:rPr>
            <w:b/>
            <w:noProof/>
            <w:webHidden/>
          </w:rPr>
          <w:t>4</w:t>
        </w:r>
        <w:r w:rsidR="004B1CFA" w:rsidRPr="004B1CFA">
          <w:rPr>
            <w:b/>
            <w:noProof/>
            <w:webHidden/>
          </w:rPr>
          <w:fldChar w:fldCharType="end"/>
        </w:r>
      </w:hyperlink>
    </w:p>
    <w:p w:rsidR="004B1CFA" w:rsidRPr="004B1CFA" w:rsidRDefault="001F0A6C">
      <w:pPr>
        <w:pStyle w:val="TOC2"/>
        <w:rPr>
          <w:rStyle w:val="Hyperlink"/>
          <w:rFonts w:eastAsia="Times"/>
          <w:b/>
          <w:color w:val="007B4B"/>
        </w:rPr>
      </w:pPr>
      <w:hyperlink w:anchor="_Toc519165375" w:history="1">
        <w:r w:rsidR="004B1CFA" w:rsidRPr="004B1CFA">
          <w:rPr>
            <w:rStyle w:val="Hyperlink"/>
            <w:rFonts w:eastAsia="Times"/>
            <w:b/>
            <w:color w:val="007B4B"/>
          </w:rPr>
          <w:t>Elements that underpin transition to practice programs</w:t>
        </w:r>
        <w:r w:rsidR="004B1CFA" w:rsidRPr="004B1CFA">
          <w:rPr>
            <w:rStyle w:val="Hyperlink"/>
            <w:rFonts w:eastAsia="Times"/>
            <w:b/>
            <w:webHidden/>
            <w:color w:val="007B4B"/>
          </w:rPr>
          <w:tab/>
        </w:r>
        <w:r w:rsidR="004B1CFA" w:rsidRPr="004B1CFA">
          <w:rPr>
            <w:rStyle w:val="Hyperlink"/>
            <w:rFonts w:eastAsia="Times"/>
            <w:b/>
            <w:webHidden/>
            <w:color w:val="007B4B"/>
          </w:rPr>
          <w:fldChar w:fldCharType="begin"/>
        </w:r>
        <w:r w:rsidR="004B1CFA" w:rsidRPr="004B1CFA">
          <w:rPr>
            <w:rStyle w:val="Hyperlink"/>
            <w:rFonts w:eastAsia="Times"/>
            <w:b/>
            <w:webHidden/>
            <w:color w:val="007B4B"/>
          </w:rPr>
          <w:instrText xml:space="preserve"> PAGEREF _Toc519165375 \h </w:instrText>
        </w:r>
        <w:r w:rsidR="004B1CFA" w:rsidRPr="004B1CFA">
          <w:rPr>
            <w:rStyle w:val="Hyperlink"/>
            <w:rFonts w:eastAsia="Times"/>
            <w:b/>
            <w:webHidden/>
            <w:color w:val="007B4B"/>
          </w:rPr>
        </w:r>
        <w:r w:rsidR="004B1CFA" w:rsidRPr="004B1CFA">
          <w:rPr>
            <w:rStyle w:val="Hyperlink"/>
            <w:rFonts w:eastAsia="Times"/>
            <w:b/>
            <w:webHidden/>
            <w:color w:val="007B4B"/>
          </w:rPr>
          <w:fldChar w:fldCharType="separate"/>
        </w:r>
        <w:r w:rsidR="004D60A8">
          <w:rPr>
            <w:rStyle w:val="Hyperlink"/>
            <w:rFonts w:eastAsia="Times"/>
            <w:b/>
            <w:webHidden/>
            <w:color w:val="007B4B"/>
          </w:rPr>
          <w:t>5</w:t>
        </w:r>
        <w:r w:rsidR="004B1CFA" w:rsidRPr="004B1CFA">
          <w:rPr>
            <w:rStyle w:val="Hyperlink"/>
            <w:rFonts w:eastAsia="Times"/>
            <w:b/>
            <w:webHidden/>
            <w:color w:val="007B4B"/>
          </w:rPr>
          <w:fldChar w:fldCharType="end"/>
        </w:r>
      </w:hyperlink>
    </w:p>
    <w:p w:rsidR="004B1CFA" w:rsidRPr="004B1CFA" w:rsidRDefault="001F0A6C">
      <w:pPr>
        <w:pStyle w:val="TOC3"/>
        <w:rPr>
          <w:rStyle w:val="Hyperlink"/>
          <w:b/>
        </w:rPr>
      </w:pPr>
      <w:hyperlink w:anchor="_Toc519165376" w:history="1">
        <w:r w:rsidR="004B1CFA" w:rsidRPr="004B1CFA">
          <w:rPr>
            <w:rStyle w:val="Hyperlink"/>
            <w:b/>
            <w:noProof/>
          </w:rPr>
          <w:t>BPCLE element 1: An organisational culture that values learning</w:t>
        </w:r>
        <w:r w:rsidR="004B1CFA" w:rsidRPr="004B1CFA">
          <w:rPr>
            <w:rStyle w:val="Hyperlink"/>
            <w:b/>
            <w:webHidden/>
          </w:rPr>
          <w:tab/>
        </w:r>
        <w:r w:rsidR="004B1CFA" w:rsidRPr="004B1CFA">
          <w:rPr>
            <w:rStyle w:val="Hyperlink"/>
            <w:b/>
            <w:webHidden/>
          </w:rPr>
          <w:fldChar w:fldCharType="begin"/>
        </w:r>
        <w:r w:rsidR="004B1CFA" w:rsidRPr="004B1CFA">
          <w:rPr>
            <w:rStyle w:val="Hyperlink"/>
            <w:b/>
            <w:webHidden/>
          </w:rPr>
          <w:instrText xml:space="preserve"> PAGEREF _Toc519165376 \h </w:instrText>
        </w:r>
        <w:r w:rsidR="004B1CFA" w:rsidRPr="004B1CFA">
          <w:rPr>
            <w:rStyle w:val="Hyperlink"/>
            <w:b/>
            <w:webHidden/>
          </w:rPr>
        </w:r>
        <w:r w:rsidR="004B1CFA" w:rsidRPr="004B1CFA">
          <w:rPr>
            <w:rStyle w:val="Hyperlink"/>
            <w:b/>
            <w:webHidden/>
          </w:rPr>
          <w:fldChar w:fldCharType="separate"/>
        </w:r>
        <w:r w:rsidR="004D60A8">
          <w:rPr>
            <w:rStyle w:val="Hyperlink"/>
            <w:b/>
            <w:noProof/>
            <w:webHidden/>
          </w:rPr>
          <w:t>5</w:t>
        </w:r>
        <w:r w:rsidR="004B1CFA" w:rsidRPr="004B1CFA">
          <w:rPr>
            <w:rStyle w:val="Hyperlink"/>
            <w:b/>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77" w:history="1">
        <w:r w:rsidR="004B1CFA" w:rsidRPr="00652BF1">
          <w:rPr>
            <w:rStyle w:val="Hyperlink"/>
            <w:noProof/>
          </w:rPr>
          <w:t>Leadership</w:t>
        </w:r>
        <w:r w:rsidR="004B1CFA">
          <w:rPr>
            <w:noProof/>
            <w:webHidden/>
          </w:rPr>
          <w:tab/>
        </w:r>
        <w:r w:rsidR="004B1CFA">
          <w:rPr>
            <w:noProof/>
            <w:webHidden/>
          </w:rPr>
          <w:fldChar w:fldCharType="begin"/>
        </w:r>
        <w:r w:rsidR="004B1CFA">
          <w:rPr>
            <w:noProof/>
            <w:webHidden/>
          </w:rPr>
          <w:instrText xml:space="preserve"> PAGEREF _Toc519165377 \h </w:instrText>
        </w:r>
        <w:r w:rsidR="004B1CFA">
          <w:rPr>
            <w:noProof/>
            <w:webHidden/>
          </w:rPr>
        </w:r>
        <w:r w:rsidR="004B1CFA">
          <w:rPr>
            <w:noProof/>
            <w:webHidden/>
          </w:rPr>
          <w:fldChar w:fldCharType="separate"/>
        </w:r>
        <w:r w:rsidR="004D60A8">
          <w:rPr>
            <w:noProof/>
            <w:webHidden/>
          </w:rPr>
          <w:t>5</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78" w:history="1">
        <w:r w:rsidR="004B1CFA" w:rsidRPr="00652BF1">
          <w:rPr>
            <w:rStyle w:val="Hyperlink"/>
            <w:noProof/>
          </w:rPr>
          <w:t>Preceptorship and mentoring</w:t>
        </w:r>
        <w:r w:rsidR="004B1CFA">
          <w:rPr>
            <w:noProof/>
            <w:webHidden/>
          </w:rPr>
          <w:tab/>
        </w:r>
        <w:r w:rsidR="004B1CFA">
          <w:rPr>
            <w:noProof/>
            <w:webHidden/>
          </w:rPr>
          <w:fldChar w:fldCharType="begin"/>
        </w:r>
        <w:r w:rsidR="004B1CFA">
          <w:rPr>
            <w:noProof/>
            <w:webHidden/>
          </w:rPr>
          <w:instrText xml:space="preserve"> PAGEREF _Toc519165378 \h </w:instrText>
        </w:r>
        <w:r w:rsidR="004B1CFA">
          <w:rPr>
            <w:noProof/>
            <w:webHidden/>
          </w:rPr>
        </w:r>
        <w:r w:rsidR="004B1CFA">
          <w:rPr>
            <w:noProof/>
            <w:webHidden/>
          </w:rPr>
          <w:fldChar w:fldCharType="separate"/>
        </w:r>
        <w:r w:rsidR="004D60A8">
          <w:rPr>
            <w:noProof/>
            <w:webHidden/>
          </w:rPr>
          <w:t>5</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79" w:history="1">
        <w:r w:rsidR="004B1CFA" w:rsidRPr="00652BF1">
          <w:rPr>
            <w:rStyle w:val="Hyperlink"/>
            <w:noProof/>
          </w:rPr>
          <w:t>Peer Support</w:t>
        </w:r>
        <w:r w:rsidR="004B1CFA">
          <w:rPr>
            <w:noProof/>
            <w:webHidden/>
          </w:rPr>
          <w:tab/>
        </w:r>
        <w:r w:rsidR="004B1CFA">
          <w:rPr>
            <w:noProof/>
            <w:webHidden/>
          </w:rPr>
          <w:fldChar w:fldCharType="begin"/>
        </w:r>
        <w:r w:rsidR="004B1CFA">
          <w:rPr>
            <w:noProof/>
            <w:webHidden/>
          </w:rPr>
          <w:instrText xml:space="preserve"> PAGEREF _Toc519165379 \h </w:instrText>
        </w:r>
        <w:r w:rsidR="004B1CFA">
          <w:rPr>
            <w:noProof/>
            <w:webHidden/>
          </w:rPr>
        </w:r>
        <w:r w:rsidR="004B1CFA">
          <w:rPr>
            <w:noProof/>
            <w:webHidden/>
          </w:rPr>
          <w:fldChar w:fldCharType="separate"/>
        </w:r>
        <w:r w:rsidR="004D60A8">
          <w:rPr>
            <w:noProof/>
            <w:webHidden/>
          </w:rPr>
          <w:t>5</w:t>
        </w:r>
        <w:r w:rsidR="004B1CFA">
          <w:rPr>
            <w:noProof/>
            <w:webHidden/>
          </w:rPr>
          <w:fldChar w:fldCharType="end"/>
        </w:r>
      </w:hyperlink>
    </w:p>
    <w:p w:rsidR="004B1CFA" w:rsidRPr="004B1CFA" w:rsidRDefault="001F0A6C">
      <w:pPr>
        <w:pStyle w:val="TOC3"/>
        <w:rPr>
          <w:rStyle w:val="Hyperlink"/>
          <w:b/>
        </w:rPr>
      </w:pPr>
      <w:hyperlink w:anchor="_Toc519165380" w:history="1">
        <w:r w:rsidR="004B1CFA" w:rsidRPr="004B1CFA">
          <w:rPr>
            <w:rStyle w:val="Hyperlink"/>
            <w:b/>
            <w:noProof/>
          </w:rPr>
          <w:t>BPCLE Element 2: Best practice clinical practice</w:t>
        </w:r>
        <w:r w:rsidR="004B1CFA" w:rsidRPr="004B1CFA">
          <w:rPr>
            <w:rStyle w:val="Hyperlink"/>
            <w:b/>
            <w:webHidden/>
          </w:rPr>
          <w:tab/>
        </w:r>
        <w:r w:rsidR="004B1CFA" w:rsidRPr="004B1CFA">
          <w:rPr>
            <w:rStyle w:val="Hyperlink"/>
            <w:b/>
            <w:webHidden/>
          </w:rPr>
          <w:fldChar w:fldCharType="begin"/>
        </w:r>
        <w:r w:rsidR="004B1CFA" w:rsidRPr="004B1CFA">
          <w:rPr>
            <w:rStyle w:val="Hyperlink"/>
            <w:b/>
            <w:webHidden/>
          </w:rPr>
          <w:instrText xml:space="preserve"> PAGEREF _Toc519165380 \h </w:instrText>
        </w:r>
        <w:r w:rsidR="004B1CFA" w:rsidRPr="004B1CFA">
          <w:rPr>
            <w:rStyle w:val="Hyperlink"/>
            <w:b/>
            <w:webHidden/>
          </w:rPr>
        </w:r>
        <w:r w:rsidR="004B1CFA" w:rsidRPr="004B1CFA">
          <w:rPr>
            <w:rStyle w:val="Hyperlink"/>
            <w:b/>
            <w:webHidden/>
          </w:rPr>
          <w:fldChar w:fldCharType="separate"/>
        </w:r>
        <w:r w:rsidR="004D60A8">
          <w:rPr>
            <w:rStyle w:val="Hyperlink"/>
            <w:b/>
            <w:noProof/>
            <w:webHidden/>
          </w:rPr>
          <w:t>6</w:t>
        </w:r>
        <w:r w:rsidR="004B1CFA" w:rsidRPr="004B1CFA">
          <w:rPr>
            <w:rStyle w:val="Hyperlink"/>
            <w:b/>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1" w:history="1">
        <w:r w:rsidR="004B1CFA" w:rsidRPr="00652BF1">
          <w:rPr>
            <w:rStyle w:val="Hyperlink"/>
            <w:noProof/>
          </w:rPr>
          <w:t>Professional, Legal and Ethical Framework</w:t>
        </w:r>
        <w:r w:rsidR="004B1CFA">
          <w:rPr>
            <w:noProof/>
            <w:webHidden/>
          </w:rPr>
          <w:tab/>
        </w:r>
        <w:r w:rsidR="004B1CFA">
          <w:rPr>
            <w:noProof/>
            <w:webHidden/>
          </w:rPr>
          <w:fldChar w:fldCharType="begin"/>
        </w:r>
        <w:r w:rsidR="004B1CFA">
          <w:rPr>
            <w:noProof/>
            <w:webHidden/>
          </w:rPr>
          <w:instrText xml:space="preserve"> PAGEREF _Toc519165381 \h </w:instrText>
        </w:r>
        <w:r w:rsidR="004B1CFA">
          <w:rPr>
            <w:noProof/>
            <w:webHidden/>
          </w:rPr>
        </w:r>
        <w:r w:rsidR="004B1CFA">
          <w:rPr>
            <w:noProof/>
            <w:webHidden/>
          </w:rPr>
          <w:fldChar w:fldCharType="separate"/>
        </w:r>
        <w:r w:rsidR="004D60A8">
          <w:rPr>
            <w:noProof/>
            <w:webHidden/>
          </w:rPr>
          <w:t>6</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2" w:history="1">
        <w:r w:rsidR="004B1CFA" w:rsidRPr="00652BF1">
          <w:rPr>
            <w:rStyle w:val="Hyperlink"/>
            <w:noProof/>
          </w:rPr>
          <w:t>Cultural safety and inclusion</w:t>
        </w:r>
        <w:r w:rsidR="004B1CFA">
          <w:rPr>
            <w:noProof/>
            <w:webHidden/>
          </w:rPr>
          <w:tab/>
        </w:r>
        <w:r w:rsidR="004B1CFA">
          <w:rPr>
            <w:noProof/>
            <w:webHidden/>
          </w:rPr>
          <w:fldChar w:fldCharType="begin"/>
        </w:r>
        <w:r w:rsidR="004B1CFA">
          <w:rPr>
            <w:noProof/>
            <w:webHidden/>
          </w:rPr>
          <w:instrText xml:space="preserve"> PAGEREF _Toc519165382 \h </w:instrText>
        </w:r>
        <w:r w:rsidR="004B1CFA">
          <w:rPr>
            <w:noProof/>
            <w:webHidden/>
          </w:rPr>
        </w:r>
        <w:r w:rsidR="004B1CFA">
          <w:rPr>
            <w:noProof/>
            <w:webHidden/>
          </w:rPr>
          <w:fldChar w:fldCharType="separate"/>
        </w:r>
        <w:r w:rsidR="004D60A8">
          <w:rPr>
            <w:noProof/>
            <w:webHidden/>
          </w:rPr>
          <w:t>6</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3" w:history="1">
        <w:r w:rsidR="004B1CFA" w:rsidRPr="00652BF1">
          <w:rPr>
            <w:rStyle w:val="Hyperlink"/>
            <w:noProof/>
          </w:rPr>
          <w:t>Scope of practice</w:t>
        </w:r>
        <w:r w:rsidR="004B1CFA">
          <w:rPr>
            <w:noProof/>
            <w:webHidden/>
          </w:rPr>
          <w:tab/>
        </w:r>
        <w:r w:rsidR="004B1CFA">
          <w:rPr>
            <w:noProof/>
            <w:webHidden/>
          </w:rPr>
          <w:fldChar w:fldCharType="begin"/>
        </w:r>
        <w:r w:rsidR="004B1CFA">
          <w:rPr>
            <w:noProof/>
            <w:webHidden/>
          </w:rPr>
          <w:instrText xml:space="preserve"> PAGEREF _Toc519165383 \h </w:instrText>
        </w:r>
        <w:r w:rsidR="004B1CFA">
          <w:rPr>
            <w:noProof/>
            <w:webHidden/>
          </w:rPr>
        </w:r>
        <w:r w:rsidR="004B1CFA">
          <w:rPr>
            <w:noProof/>
            <w:webHidden/>
          </w:rPr>
          <w:fldChar w:fldCharType="separate"/>
        </w:r>
        <w:r w:rsidR="004D60A8">
          <w:rPr>
            <w:noProof/>
            <w:webHidden/>
          </w:rPr>
          <w:t>7</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4" w:history="1">
        <w:r w:rsidR="004B1CFA" w:rsidRPr="00652BF1">
          <w:rPr>
            <w:rStyle w:val="Hyperlink"/>
            <w:noProof/>
          </w:rPr>
          <w:t>Program evaluation and improvements</w:t>
        </w:r>
        <w:r w:rsidR="004B1CFA">
          <w:rPr>
            <w:noProof/>
            <w:webHidden/>
          </w:rPr>
          <w:tab/>
        </w:r>
        <w:r w:rsidR="004B1CFA">
          <w:rPr>
            <w:noProof/>
            <w:webHidden/>
          </w:rPr>
          <w:fldChar w:fldCharType="begin"/>
        </w:r>
        <w:r w:rsidR="004B1CFA">
          <w:rPr>
            <w:noProof/>
            <w:webHidden/>
          </w:rPr>
          <w:instrText xml:space="preserve"> PAGEREF _Toc519165384 \h </w:instrText>
        </w:r>
        <w:r w:rsidR="004B1CFA">
          <w:rPr>
            <w:noProof/>
            <w:webHidden/>
          </w:rPr>
        </w:r>
        <w:r w:rsidR="004B1CFA">
          <w:rPr>
            <w:noProof/>
            <w:webHidden/>
          </w:rPr>
          <w:fldChar w:fldCharType="separate"/>
        </w:r>
        <w:r w:rsidR="004D60A8">
          <w:rPr>
            <w:noProof/>
            <w:webHidden/>
          </w:rPr>
          <w:t>7</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5" w:history="1">
        <w:r w:rsidR="004B1CFA" w:rsidRPr="00652BF1">
          <w:rPr>
            <w:rStyle w:val="Hyperlink"/>
            <w:noProof/>
          </w:rPr>
          <w:t>Accountability</w:t>
        </w:r>
        <w:r w:rsidR="004B1CFA">
          <w:rPr>
            <w:noProof/>
            <w:webHidden/>
          </w:rPr>
          <w:tab/>
        </w:r>
        <w:r w:rsidR="004B1CFA">
          <w:rPr>
            <w:noProof/>
            <w:webHidden/>
          </w:rPr>
          <w:fldChar w:fldCharType="begin"/>
        </w:r>
        <w:r w:rsidR="004B1CFA">
          <w:rPr>
            <w:noProof/>
            <w:webHidden/>
          </w:rPr>
          <w:instrText xml:space="preserve"> PAGEREF _Toc519165385 \h </w:instrText>
        </w:r>
        <w:r w:rsidR="004B1CFA">
          <w:rPr>
            <w:noProof/>
            <w:webHidden/>
          </w:rPr>
        </w:r>
        <w:r w:rsidR="004B1CFA">
          <w:rPr>
            <w:noProof/>
            <w:webHidden/>
          </w:rPr>
          <w:fldChar w:fldCharType="separate"/>
        </w:r>
        <w:r w:rsidR="004D60A8">
          <w:rPr>
            <w:noProof/>
            <w:webHidden/>
          </w:rPr>
          <w:t>8</w:t>
        </w:r>
        <w:r w:rsidR="004B1CFA">
          <w:rPr>
            <w:noProof/>
            <w:webHidden/>
          </w:rPr>
          <w:fldChar w:fldCharType="end"/>
        </w:r>
      </w:hyperlink>
    </w:p>
    <w:p w:rsidR="004B1CFA" w:rsidRPr="004B1CFA" w:rsidRDefault="001F0A6C">
      <w:pPr>
        <w:pStyle w:val="TOC3"/>
        <w:rPr>
          <w:rStyle w:val="Hyperlink"/>
          <w:b/>
        </w:rPr>
      </w:pPr>
      <w:hyperlink w:anchor="_Toc519165386" w:history="1">
        <w:r w:rsidR="004B1CFA" w:rsidRPr="004B1CFA">
          <w:rPr>
            <w:rStyle w:val="Hyperlink"/>
            <w:b/>
            <w:noProof/>
          </w:rPr>
          <w:t>BPCLE Element 3: A positive learning environment</w:t>
        </w:r>
        <w:r w:rsidR="004B1CFA" w:rsidRPr="004B1CFA">
          <w:rPr>
            <w:rStyle w:val="Hyperlink"/>
            <w:b/>
            <w:webHidden/>
          </w:rPr>
          <w:tab/>
        </w:r>
        <w:r w:rsidR="004B1CFA" w:rsidRPr="004B1CFA">
          <w:rPr>
            <w:rStyle w:val="Hyperlink"/>
            <w:b/>
            <w:webHidden/>
          </w:rPr>
          <w:fldChar w:fldCharType="begin"/>
        </w:r>
        <w:r w:rsidR="004B1CFA" w:rsidRPr="004B1CFA">
          <w:rPr>
            <w:rStyle w:val="Hyperlink"/>
            <w:b/>
            <w:webHidden/>
          </w:rPr>
          <w:instrText xml:space="preserve"> PAGEREF _Toc519165386 \h </w:instrText>
        </w:r>
        <w:r w:rsidR="004B1CFA" w:rsidRPr="004B1CFA">
          <w:rPr>
            <w:rStyle w:val="Hyperlink"/>
            <w:b/>
            <w:webHidden/>
          </w:rPr>
        </w:r>
        <w:r w:rsidR="004B1CFA" w:rsidRPr="004B1CFA">
          <w:rPr>
            <w:rStyle w:val="Hyperlink"/>
            <w:b/>
            <w:webHidden/>
          </w:rPr>
          <w:fldChar w:fldCharType="separate"/>
        </w:r>
        <w:r w:rsidR="004D60A8">
          <w:rPr>
            <w:rStyle w:val="Hyperlink"/>
            <w:b/>
            <w:noProof/>
            <w:webHidden/>
          </w:rPr>
          <w:t>8</w:t>
        </w:r>
        <w:r w:rsidR="004B1CFA" w:rsidRPr="004B1CFA">
          <w:rPr>
            <w:rStyle w:val="Hyperlink"/>
            <w:b/>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7" w:history="1">
        <w:r w:rsidR="004B1CFA" w:rsidRPr="00652BF1">
          <w:rPr>
            <w:rStyle w:val="Hyperlink"/>
            <w:noProof/>
          </w:rPr>
          <w:t>Orientation and Induction</w:t>
        </w:r>
        <w:r w:rsidR="004B1CFA">
          <w:rPr>
            <w:noProof/>
            <w:webHidden/>
          </w:rPr>
          <w:tab/>
        </w:r>
        <w:r w:rsidR="004B1CFA">
          <w:rPr>
            <w:noProof/>
            <w:webHidden/>
          </w:rPr>
          <w:fldChar w:fldCharType="begin"/>
        </w:r>
        <w:r w:rsidR="004B1CFA">
          <w:rPr>
            <w:noProof/>
            <w:webHidden/>
          </w:rPr>
          <w:instrText xml:space="preserve"> PAGEREF _Toc519165387 \h </w:instrText>
        </w:r>
        <w:r w:rsidR="004B1CFA">
          <w:rPr>
            <w:noProof/>
            <w:webHidden/>
          </w:rPr>
        </w:r>
        <w:r w:rsidR="004B1CFA">
          <w:rPr>
            <w:noProof/>
            <w:webHidden/>
          </w:rPr>
          <w:fldChar w:fldCharType="separate"/>
        </w:r>
        <w:r w:rsidR="004D60A8">
          <w:rPr>
            <w:noProof/>
            <w:webHidden/>
          </w:rPr>
          <w:t>8</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8" w:history="1">
        <w:r w:rsidR="004B1CFA" w:rsidRPr="00652BF1">
          <w:rPr>
            <w:rStyle w:val="Hyperlink"/>
            <w:noProof/>
          </w:rPr>
          <w:t>Educational objectives</w:t>
        </w:r>
        <w:r w:rsidR="004B1CFA">
          <w:rPr>
            <w:noProof/>
            <w:webHidden/>
          </w:rPr>
          <w:tab/>
        </w:r>
        <w:r w:rsidR="004B1CFA">
          <w:rPr>
            <w:noProof/>
            <w:webHidden/>
          </w:rPr>
          <w:fldChar w:fldCharType="begin"/>
        </w:r>
        <w:r w:rsidR="004B1CFA">
          <w:rPr>
            <w:noProof/>
            <w:webHidden/>
          </w:rPr>
          <w:instrText xml:space="preserve"> PAGEREF _Toc519165388 \h </w:instrText>
        </w:r>
        <w:r w:rsidR="004B1CFA">
          <w:rPr>
            <w:noProof/>
            <w:webHidden/>
          </w:rPr>
        </w:r>
        <w:r w:rsidR="004B1CFA">
          <w:rPr>
            <w:noProof/>
            <w:webHidden/>
          </w:rPr>
          <w:fldChar w:fldCharType="separate"/>
        </w:r>
        <w:r w:rsidR="004D60A8">
          <w:rPr>
            <w:noProof/>
            <w:webHidden/>
          </w:rPr>
          <w:t>9</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89" w:history="1">
        <w:r w:rsidR="004B1CFA" w:rsidRPr="00652BF1">
          <w:rPr>
            <w:rStyle w:val="Hyperlink"/>
            <w:noProof/>
          </w:rPr>
          <w:t>All staff training</w:t>
        </w:r>
        <w:r w:rsidR="004B1CFA">
          <w:rPr>
            <w:noProof/>
            <w:webHidden/>
          </w:rPr>
          <w:tab/>
        </w:r>
        <w:r w:rsidR="004B1CFA">
          <w:rPr>
            <w:noProof/>
            <w:webHidden/>
          </w:rPr>
          <w:fldChar w:fldCharType="begin"/>
        </w:r>
        <w:r w:rsidR="004B1CFA">
          <w:rPr>
            <w:noProof/>
            <w:webHidden/>
          </w:rPr>
          <w:instrText xml:space="preserve"> PAGEREF _Toc519165389 \h </w:instrText>
        </w:r>
        <w:r w:rsidR="004B1CFA">
          <w:rPr>
            <w:noProof/>
            <w:webHidden/>
          </w:rPr>
        </w:r>
        <w:r w:rsidR="004B1CFA">
          <w:rPr>
            <w:noProof/>
            <w:webHidden/>
          </w:rPr>
          <w:fldChar w:fldCharType="separate"/>
        </w:r>
        <w:r w:rsidR="004D60A8">
          <w:rPr>
            <w:noProof/>
            <w:webHidden/>
          </w:rPr>
          <w:t>9</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0" w:history="1">
        <w:r w:rsidR="004B1CFA" w:rsidRPr="00652BF1">
          <w:rPr>
            <w:rStyle w:val="Hyperlink"/>
            <w:noProof/>
          </w:rPr>
          <w:t>Access to recreational leave</w:t>
        </w:r>
        <w:r w:rsidR="004B1CFA">
          <w:rPr>
            <w:noProof/>
            <w:webHidden/>
          </w:rPr>
          <w:tab/>
        </w:r>
        <w:r w:rsidR="004B1CFA">
          <w:rPr>
            <w:noProof/>
            <w:webHidden/>
          </w:rPr>
          <w:fldChar w:fldCharType="begin"/>
        </w:r>
        <w:r w:rsidR="004B1CFA">
          <w:rPr>
            <w:noProof/>
            <w:webHidden/>
          </w:rPr>
          <w:instrText xml:space="preserve"> PAGEREF _Toc519165390 \h </w:instrText>
        </w:r>
        <w:r w:rsidR="004B1CFA">
          <w:rPr>
            <w:noProof/>
            <w:webHidden/>
          </w:rPr>
        </w:r>
        <w:r w:rsidR="004B1CFA">
          <w:rPr>
            <w:noProof/>
            <w:webHidden/>
          </w:rPr>
          <w:fldChar w:fldCharType="separate"/>
        </w:r>
        <w:r w:rsidR="004D60A8">
          <w:rPr>
            <w:noProof/>
            <w:webHidden/>
          </w:rPr>
          <w:t>9</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1" w:history="1">
        <w:r w:rsidR="004B1CFA" w:rsidRPr="00652BF1">
          <w:rPr>
            <w:rStyle w:val="Hyperlink"/>
            <w:noProof/>
          </w:rPr>
          <w:t>Rostering and work/life balance</w:t>
        </w:r>
        <w:r w:rsidR="004B1CFA">
          <w:rPr>
            <w:noProof/>
            <w:webHidden/>
          </w:rPr>
          <w:tab/>
        </w:r>
        <w:r w:rsidR="004B1CFA">
          <w:rPr>
            <w:noProof/>
            <w:webHidden/>
          </w:rPr>
          <w:fldChar w:fldCharType="begin"/>
        </w:r>
        <w:r w:rsidR="004B1CFA">
          <w:rPr>
            <w:noProof/>
            <w:webHidden/>
          </w:rPr>
          <w:instrText xml:space="preserve"> PAGEREF _Toc519165391 \h </w:instrText>
        </w:r>
        <w:r w:rsidR="004B1CFA">
          <w:rPr>
            <w:noProof/>
            <w:webHidden/>
          </w:rPr>
        </w:r>
        <w:r w:rsidR="004B1CFA">
          <w:rPr>
            <w:noProof/>
            <w:webHidden/>
          </w:rPr>
          <w:fldChar w:fldCharType="separate"/>
        </w:r>
        <w:r w:rsidR="004D60A8">
          <w:rPr>
            <w:noProof/>
            <w:webHidden/>
          </w:rPr>
          <w:t>9</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2" w:history="1">
        <w:r w:rsidR="004B1CFA" w:rsidRPr="00652BF1">
          <w:rPr>
            <w:rStyle w:val="Hyperlink"/>
            <w:noProof/>
          </w:rPr>
          <w:t>Rotations</w:t>
        </w:r>
        <w:r w:rsidR="004B1CFA">
          <w:rPr>
            <w:noProof/>
            <w:webHidden/>
          </w:rPr>
          <w:tab/>
        </w:r>
        <w:r w:rsidR="004B1CFA">
          <w:rPr>
            <w:noProof/>
            <w:webHidden/>
          </w:rPr>
          <w:fldChar w:fldCharType="begin"/>
        </w:r>
        <w:r w:rsidR="004B1CFA">
          <w:rPr>
            <w:noProof/>
            <w:webHidden/>
          </w:rPr>
          <w:instrText xml:space="preserve"> PAGEREF _Toc519165392 \h </w:instrText>
        </w:r>
        <w:r w:rsidR="004B1CFA">
          <w:rPr>
            <w:noProof/>
            <w:webHidden/>
          </w:rPr>
        </w:r>
        <w:r w:rsidR="004B1CFA">
          <w:rPr>
            <w:noProof/>
            <w:webHidden/>
          </w:rPr>
          <w:fldChar w:fldCharType="separate"/>
        </w:r>
        <w:r w:rsidR="004D60A8">
          <w:rPr>
            <w:noProof/>
            <w:webHidden/>
          </w:rPr>
          <w:t>10</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3" w:history="1">
        <w:r w:rsidR="004B1CFA" w:rsidRPr="00652BF1">
          <w:rPr>
            <w:rStyle w:val="Hyperlink"/>
            <w:noProof/>
          </w:rPr>
          <w:t>Occupational violence training</w:t>
        </w:r>
        <w:r w:rsidR="004B1CFA">
          <w:rPr>
            <w:noProof/>
            <w:webHidden/>
          </w:rPr>
          <w:tab/>
        </w:r>
        <w:r w:rsidR="004B1CFA">
          <w:rPr>
            <w:noProof/>
            <w:webHidden/>
          </w:rPr>
          <w:fldChar w:fldCharType="begin"/>
        </w:r>
        <w:r w:rsidR="004B1CFA">
          <w:rPr>
            <w:noProof/>
            <w:webHidden/>
          </w:rPr>
          <w:instrText xml:space="preserve"> PAGEREF _Toc519165393 \h </w:instrText>
        </w:r>
        <w:r w:rsidR="004B1CFA">
          <w:rPr>
            <w:noProof/>
            <w:webHidden/>
          </w:rPr>
        </w:r>
        <w:r w:rsidR="004B1CFA">
          <w:rPr>
            <w:noProof/>
            <w:webHidden/>
          </w:rPr>
          <w:fldChar w:fldCharType="separate"/>
        </w:r>
        <w:r w:rsidR="004D60A8">
          <w:rPr>
            <w:noProof/>
            <w:webHidden/>
          </w:rPr>
          <w:t>10</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4" w:history="1">
        <w:r w:rsidR="004B1CFA" w:rsidRPr="00652BF1">
          <w:rPr>
            <w:rStyle w:val="Hyperlink"/>
            <w:noProof/>
          </w:rPr>
          <w:t>Resilience training</w:t>
        </w:r>
        <w:r w:rsidR="004B1CFA">
          <w:rPr>
            <w:noProof/>
            <w:webHidden/>
          </w:rPr>
          <w:tab/>
        </w:r>
        <w:r w:rsidR="004B1CFA">
          <w:rPr>
            <w:noProof/>
            <w:webHidden/>
          </w:rPr>
          <w:fldChar w:fldCharType="begin"/>
        </w:r>
        <w:r w:rsidR="004B1CFA">
          <w:rPr>
            <w:noProof/>
            <w:webHidden/>
          </w:rPr>
          <w:instrText xml:space="preserve"> PAGEREF _Toc519165394 \h </w:instrText>
        </w:r>
        <w:r w:rsidR="004B1CFA">
          <w:rPr>
            <w:noProof/>
            <w:webHidden/>
          </w:rPr>
        </w:r>
        <w:r w:rsidR="004B1CFA">
          <w:rPr>
            <w:noProof/>
            <w:webHidden/>
          </w:rPr>
          <w:fldChar w:fldCharType="separate"/>
        </w:r>
        <w:r w:rsidR="004D60A8">
          <w:rPr>
            <w:noProof/>
            <w:webHidden/>
          </w:rPr>
          <w:t>10</w:t>
        </w:r>
        <w:r w:rsidR="004B1CFA">
          <w:rPr>
            <w:noProof/>
            <w:webHidden/>
          </w:rPr>
          <w:fldChar w:fldCharType="end"/>
        </w:r>
      </w:hyperlink>
    </w:p>
    <w:p w:rsidR="004B1CFA" w:rsidRPr="004B1CFA" w:rsidRDefault="001F0A6C">
      <w:pPr>
        <w:pStyle w:val="TOC3"/>
        <w:rPr>
          <w:rStyle w:val="Hyperlink"/>
          <w:b/>
        </w:rPr>
      </w:pPr>
      <w:hyperlink w:anchor="_Toc519165395" w:history="1">
        <w:r w:rsidR="004B1CFA" w:rsidRPr="004B1CFA">
          <w:rPr>
            <w:rStyle w:val="Hyperlink"/>
            <w:b/>
            <w:noProof/>
          </w:rPr>
          <w:t>BPCLE Element 4: An effective health service-education provider relationship</w:t>
        </w:r>
        <w:r w:rsidR="004B1CFA" w:rsidRPr="004B1CFA">
          <w:rPr>
            <w:rStyle w:val="Hyperlink"/>
            <w:b/>
            <w:webHidden/>
          </w:rPr>
          <w:tab/>
        </w:r>
        <w:r w:rsidR="004B1CFA" w:rsidRPr="004B1CFA">
          <w:rPr>
            <w:rStyle w:val="Hyperlink"/>
            <w:b/>
            <w:webHidden/>
          </w:rPr>
          <w:fldChar w:fldCharType="begin"/>
        </w:r>
        <w:r w:rsidR="004B1CFA" w:rsidRPr="004B1CFA">
          <w:rPr>
            <w:rStyle w:val="Hyperlink"/>
            <w:b/>
            <w:webHidden/>
          </w:rPr>
          <w:instrText xml:space="preserve"> PAGEREF _Toc519165395 \h </w:instrText>
        </w:r>
        <w:r w:rsidR="004B1CFA" w:rsidRPr="004B1CFA">
          <w:rPr>
            <w:rStyle w:val="Hyperlink"/>
            <w:b/>
            <w:webHidden/>
          </w:rPr>
        </w:r>
        <w:r w:rsidR="004B1CFA" w:rsidRPr="004B1CFA">
          <w:rPr>
            <w:rStyle w:val="Hyperlink"/>
            <w:b/>
            <w:webHidden/>
          </w:rPr>
          <w:fldChar w:fldCharType="separate"/>
        </w:r>
        <w:r w:rsidR="004D60A8">
          <w:rPr>
            <w:rStyle w:val="Hyperlink"/>
            <w:b/>
            <w:noProof/>
            <w:webHidden/>
          </w:rPr>
          <w:t>11</w:t>
        </w:r>
        <w:r w:rsidR="004B1CFA" w:rsidRPr="004B1CFA">
          <w:rPr>
            <w:rStyle w:val="Hyperlink"/>
            <w:b/>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6" w:history="1">
        <w:r w:rsidR="004B1CFA" w:rsidRPr="00652BF1">
          <w:rPr>
            <w:rStyle w:val="Hyperlink"/>
            <w:noProof/>
          </w:rPr>
          <w:t>Career development and preparing for future employment opportunities</w:t>
        </w:r>
        <w:r w:rsidR="004B1CFA">
          <w:rPr>
            <w:noProof/>
            <w:webHidden/>
          </w:rPr>
          <w:tab/>
        </w:r>
        <w:r w:rsidR="004B1CFA">
          <w:rPr>
            <w:noProof/>
            <w:webHidden/>
          </w:rPr>
          <w:fldChar w:fldCharType="begin"/>
        </w:r>
        <w:r w:rsidR="004B1CFA">
          <w:rPr>
            <w:noProof/>
            <w:webHidden/>
          </w:rPr>
          <w:instrText xml:space="preserve"> PAGEREF _Toc519165396 \h </w:instrText>
        </w:r>
        <w:r w:rsidR="004B1CFA">
          <w:rPr>
            <w:noProof/>
            <w:webHidden/>
          </w:rPr>
        </w:r>
        <w:r w:rsidR="004B1CFA">
          <w:rPr>
            <w:noProof/>
            <w:webHidden/>
          </w:rPr>
          <w:fldChar w:fldCharType="separate"/>
        </w:r>
        <w:r w:rsidR="004D60A8">
          <w:rPr>
            <w:noProof/>
            <w:webHidden/>
          </w:rPr>
          <w:t>11</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7" w:history="1">
        <w:r w:rsidR="004B1CFA" w:rsidRPr="00652BF1">
          <w:rPr>
            <w:rStyle w:val="Hyperlink"/>
            <w:noProof/>
          </w:rPr>
          <w:t>Workforce planning</w:t>
        </w:r>
        <w:r w:rsidR="004B1CFA">
          <w:rPr>
            <w:noProof/>
            <w:webHidden/>
          </w:rPr>
          <w:tab/>
        </w:r>
        <w:r w:rsidR="004B1CFA">
          <w:rPr>
            <w:noProof/>
            <w:webHidden/>
          </w:rPr>
          <w:fldChar w:fldCharType="begin"/>
        </w:r>
        <w:r w:rsidR="004B1CFA">
          <w:rPr>
            <w:noProof/>
            <w:webHidden/>
          </w:rPr>
          <w:instrText xml:space="preserve"> PAGEREF _Toc519165397 \h </w:instrText>
        </w:r>
        <w:r w:rsidR="004B1CFA">
          <w:rPr>
            <w:noProof/>
            <w:webHidden/>
          </w:rPr>
        </w:r>
        <w:r w:rsidR="004B1CFA">
          <w:rPr>
            <w:noProof/>
            <w:webHidden/>
          </w:rPr>
          <w:fldChar w:fldCharType="separate"/>
        </w:r>
        <w:r w:rsidR="004D60A8">
          <w:rPr>
            <w:noProof/>
            <w:webHidden/>
          </w:rPr>
          <w:t>11</w:t>
        </w:r>
        <w:r w:rsidR="004B1CFA">
          <w:rPr>
            <w:noProof/>
            <w:webHidden/>
          </w:rPr>
          <w:fldChar w:fldCharType="end"/>
        </w:r>
      </w:hyperlink>
    </w:p>
    <w:p w:rsidR="004B1CFA" w:rsidRPr="004B1CFA" w:rsidRDefault="001F0A6C">
      <w:pPr>
        <w:pStyle w:val="TOC3"/>
        <w:rPr>
          <w:rStyle w:val="Hyperlink"/>
          <w:b/>
        </w:rPr>
      </w:pPr>
      <w:hyperlink w:anchor="_Toc519165398" w:history="1">
        <w:r w:rsidR="004B1CFA" w:rsidRPr="004B1CFA">
          <w:rPr>
            <w:rStyle w:val="Hyperlink"/>
            <w:b/>
            <w:noProof/>
          </w:rPr>
          <w:t>BPCLE Element 5: Effective communication processes</w:t>
        </w:r>
        <w:r w:rsidR="004B1CFA" w:rsidRPr="004B1CFA">
          <w:rPr>
            <w:rStyle w:val="Hyperlink"/>
            <w:b/>
            <w:webHidden/>
          </w:rPr>
          <w:tab/>
        </w:r>
        <w:r w:rsidR="004B1CFA" w:rsidRPr="004B1CFA">
          <w:rPr>
            <w:rStyle w:val="Hyperlink"/>
            <w:b/>
            <w:webHidden/>
          </w:rPr>
          <w:fldChar w:fldCharType="begin"/>
        </w:r>
        <w:r w:rsidR="004B1CFA" w:rsidRPr="004B1CFA">
          <w:rPr>
            <w:rStyle w:val="Hyperlink"/>
            <w:b/>
            <w:webHidden/>
          </w:rPr>
          <w:instrText xml:space="preserve"> PAGEREF _Toc519165398 \h </w:instrText>
        </w:r>
        <w:r w:rsidR="004B1CFA" w:rsidRPr="004B1CFA">
          <w:rPr>
            <w:rStyle w:val="Hyperlink"/>
            <w:b/>
            <w:webHidden/>
          </w:rPr>
        </w:r>
        <w:r w:rsidR="004B1CFA" w:rsidRPr="004B1CFA">
          <w:rPr>
            <w:rStyle w:val="Hyperlink"/>
            <w:b/>
            <w:webHidden/>
          </w:rPr>
          <w:fldChar w:fldCharType="separate"/>
        </w:r>
        <w:r w:rsidR="004D60A8">
          <w:rPr>
            <w:rStyle w:val="Hyperlink"/>
            <w:b/>
            <w:noProof/>
            <w:webHidden/>
          </w:rPr>
          <w:t>13</w:t>
        </w:r>
        <w:r w:rsidR="004B1CFA" w:rsidRPr="004B1CFA">
          <w:rPr>
            <w:rStyle w:val="Hyperlink"/>
            <w:b/>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399" w:history="1">
        <w:r w:rsidR="004B1CFA" w:rsidRPr="00652BF1">
          <w:rPr>
            <w:rStyle w:val="Hyperlink"/>
            <w:noProof/>
          </w:rPr>
          <w:t>Performance reviews and feedback</w:t>
        </w:r>
        <w:r w:rsidR="004B1CFA">
          <w:rPr>
            <w:noProof/>
            <w:webHidden/>
          </w:rPr>
          <w:tab/>
        </w:r>
        <w:r w:rsidR="004B1CFA">
          <w:rPr>
            <w:noProof/>
            <w:webHidden/>
          </w:rPr>
          <w:fldChar w:fldCharType="begin"/>
        </w:r>
        <w:r w:rsidR="004B1CFA">
          <w:rPr>
            <w:noProof/>
            <w:webHidden/>
          </w:rPr>
          <w:instrText xml:space="preserve"> PAGEREF _Toc519165399 \h </w:instrText>
        </w:r>
        <w:r w:rsidR="004B1CFA">
          <w:rPr>
            <w:noProof/>
            <w:webHidden/>
          </w:rPr>
        </w:r>
        <w:r w:rsidR="004B1CFA">
          <w:rPr>
            <w:noProof/>
            <w:webHidden/>
          </w:rPr>
          <w:fldChar w:fldCharType="separate"/>
        </w:r>
        <w:r w:rsidR="004D60A8">
          <w:rPr>
            <w:noProof/>
            <w:webHidden/>
          </w:rPr>
          <w:t>13</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400" w:history="1">
        <w:r w:rsidR="004B1CFA" w:rsidRPr="00652BF1">
          <w:rPr>
            <w:rStyle w:val="Hyperlink"/>
            <w:noProof/>
          </w:rPr>
          <w:t>Interprofessional education</w:t>
        </w:r>
        <w:r w:rsidR="004B1CFA">
          <w:rPr>
            <w:noProof/>
            <w:webHidden/>
          </w:rPr>
          <w:tab/>
        </w:r>
        <w:r w:rsidR="004B1CFA">
          <w:rPr>
            <w:noProof/>
            <w:webHidden/>
          </w:rPr>
          <w:fldChar w:fldCharType="begin"/>
        </w:r>
        <w:r w:rsidR="004B1CFA">
          <w:rPr>
            <w:noProof/>
            <w:webHidden/>
          </w:rPr>
          <w:instrText xml:space="preserve"> PAGEREF _Toc519165400 \h </w:instrText>
        </w:r>
        <w:r w:rsidR="004B1CFA">
          <w:rPr>
            <w:noProof/>
            <w:webHidden/>
          </w:rPr>
        </w:r>
        <w:r w:rsidR="004B1CFA">
          <w:rPr>
            <w:noProof/>
            <w:webHidden/>
          </w:rPr>
          <w:fldChar w:fldCharType="separate"/>
        </w:r>
        <w:r w:rsidR="004D60A8">
          <w:rPr>
            <w:noProof/>
            <w:webHidden/>
          </w:rPr>
          <w:t>13</w:t>
        </w:r>
        <w:r w:rsidR="004B1CFA">
          <w:rPr>
            <w:noProof/>
            <w:webHidden/>
          </w:rPr>
          <w:fldChar w:fldCharType="end"/>
        </w:r>
      </w:hyperlink>
    </w:p>
    <w:p w:rsidR="004B1CFA" w:rsidRPr="004B1CFA" w:rsidRDefault="001F0A6C">
      <w:pPr>
        <w:pStyle w:val="TOC3"/>
        <w:rPr>
          <w:rStyle w:val="Hyperlink"/>
          <w:b/>
        </w:rPr>
      </w:pPr>
      <w:hyperlink w:anchor="_Toc519165401" w:history="1">
        <w:r w:rsidR="004B1CFA" w:rsidRPr="004B1CFA">
          <w:rPr>
            <w:rStyle w:val="Hyperlink"/>
            <w:b/>
            <w:noProof/>
          </w:rPr>
          <w:t>BPCLE Element 6: Appropriate resources and facilities</w:t>
        </w:r>
        <w:r w:rsidR="004B1CFA" w:rsidRPr="004B1CFA">
          <w:rPr>
            <w:rStyle w:val="Hyperlink"/>
            <w:b/>
            <w:webHidden/>
          </w:rPr>
          <w:tab/>
        </w:r>
        <w:r w:rsidR="004B1CFA" w:rsidRPr="004B1CFA">
          <w:rPr>
            <w:rStyle w:val="Hyperlink"/>
            <w:b/>
            <w:webHidden/>
          </w:rPr>
          <w:fldChar w:fldCharType="begin"/>
        </w:r>
        <w:r w:rsidR="004B1CFA" w:rsidRPr="004B1CFA">
          <w:rPr>
            <w:rStyle w:val="Hyperlink"/>
            <w:b/>
            <w:webHidden/>
          </w:rPr>
          <w:instrText xml:space="preserve"> PAGEREF _Toc519165401 \h </w:instrText>
        </w:r>
        <w:r w:rsidR="004B1CFA" w:rsidRPr="004B1CFA">
          <w:rPr>
            <w:rStyle w:val="Hyperlink"/>
            <w:b/>
            <w:webHidden/>
          </w:rPr>
        </w:r>
        <w:r w:rsidR="004B1CFA" w:rsidRPr="004B1CFA">
          <w:rPr>
            <w:rStyle w:val="Hyperlink"/>
            <w:b/>
            <w:webHidden/>
          </w:rPr>
          <w:fldChar w:fldCharType="separate"/>
        </w:r>
        <w:r w:rsidR="004D60A8">
          <w:rPr>
            <w:rStyle w:val="Hyperlink"/>
            <w:b/>
            <w:noProof/>
            <w:webHidden/>
          </w:rPr>
          <w:t>14</w:t>
        </w:r>
        <w:r w:rsidR="004B1CFA" w:rsidRPr="004B1CFA">
          <w:rPr>
            <w:rStyle w:val="Hyperlink"/>
            <w:b/>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402" w:history="1">
        <w:r w:rsidR="004B1CFA" w:rsidRPr="00652BF1">
          <w:rPr>
            <w:rStyle w:val="Hyperlink"/>
            <w:noProof/>
          </w:rPr>
          <w:t>Availability and accessibility of clinical educators, preceptors and Graduate Coordinators (or equivalent)</w:t>
        </w:r>
        <w:r w:rsidR="004B1CFA">
          <w:rPr>
            <w:noProof/>
            <w:webHidden/>
          </w:rPr>
          <w:tab/>
        </w:r>
        <w:r w:rsidR="004B1CFA">
          <w:rPr>
            <w:noProof/>
            <w:webHidden/>
          </w:rPr>
          <w:fldChar w:fldCharType="begin"/>
        </w:r>
        <w:r w:rsidR="004B1CFA">
          <w:rPr>
            <w:noProof/>
            <w:webHidden/>
          </w:rPr>
          <w:instrText xml:space="preserve"> PAGEREF _Toc519165402 \h </w:instrText>
        </w:r>
        <w:r w:rsidR="004B1CFA">
          <w:rPr>
            <w:noProof/>
            <w:webHidden/>
          </w:rPr>
        </w:r>
        <w:r w:rsidR="004B1CFA">
          <w:rPr>
            <w:noProof/>
            <w:webHidden/>
          </w:rPr>
          <w:fldChar w:fldCharType="separate"/>
        </w:r>
        <w:r w:rsidR="004D60A8">
          <w:rPr>
            <w:noProof/>
            <w:webHidden/>
          </w:rPr>
          <w:t>14</w:t>
        </w:r>
        <w:r w:rsidR="004B1CFA">
          <w:rPr>
            <w:noProof/>
            <w:webHidden/>
          </w:rPr>
          <w:fldChar w:fldCharType="end"/>
        </w:r>
      </w:hyperlink>
    </w:p>
    <w:p w:rsidR="004B1CFA" w:rsidRDefault="001F0A6C">
      <w:pPr>
        <w:pStyle w:val="TOC4"/>
        <w:rPr>
          <w:rFonts w:asciiTheme="minorHAnsi" w:eastAsiaTheme="minorEastAsia" w:hAnsiTheme="minorHAnsi" w:cstheme="minorBidi"/>
          <w:noProof/>
          <w:sz w:val="22"/>
          <w:szCs w:val="22"/>
          <w:lang w:eastAsia="en-AU"/>
        </w:rPr>
      </w:pPr>
      <w:hyperlink w:anchor="_Toc519165403" w:history="1">
        <w:r w:rsidR="004B1CFA" w:rsidRPr="00652BF1">
          <w:rPr>
            <w:rStyle w:val="Hyperlink"/>
            <w:noProof/>
          </w:rPr>
          <w:t>Employee assistance</w:t>
        </w:r>
        <w:r w:rsidR="004B1CFA">
          <w:rPr>
            <w:noProof/>
            <w:webHidden/>
          </w:rPr>
          <w:tab/>
        </w:r>
        <w:r w:rsidR="004B1CFA">
          <w:rPr>
            <w:noProof/>
            <w:webHidden/>
          </w:rPr>
          <w:fldChar w:fldCharType="begin"/>
        </w:r>
        <w:r w:rsidR="004B1CFA">
          <w:rPr>
            <w:noProof/>
            <w:webHidden/>
          </w:rPr>
          <w:instrText xml:space="preserve"> PAGEREF _Toc519165403 \h </w:instrText>
        </w:r>
        <w:r w:rsidR="004B1CFA">
          <w:rPr>
            <w:noProof/>
            <w:webHidden/>
          </w:rPr>
        </w:r>
        <w:r w:rsidR="004B1CFA">
          <w:rPr>
            <w:noProof/>
            <w:webHidden/>
          </w:rPr>
          <w:fldChar w:fldCharType="separate"/>
        </w:r>
        <w:r w:rsidR="004D60A8">
          <w:rPr>
            <w:noProof/>
            <w:webHidden/>
          </w:rPr>
          <w:t>15</w:t>
        </w:r>
        <w:r w:rsidR="004B1CFA">
          <w:rPr>
            <w:noProof/>
            <w:webHidden/>
          </w:rPr>
          <w:fldChar w:fldCharType="end"/>
        </w:r>
      </w:hyperlink>
    </w:p>
    <w:p w:rsidR="004B1CFA" w:rsidRPr="004B1CFA" w:rsidRDefault="001F0A6C">
      <w:pPr>
        <w:pStyle w:val="TOC2"/>
        <w:rPr>
          <w:rStyle w:val="Hyperlink"/>
          <w:rFonts w:eastAsia="Times"/>
          <w:b/>
          <w:color w:val="007B4B"/>
        </w:rPr>
      </w:pPr>
      <w:hyperlink w:anchor="_Toc519165404" w:history="1">
        <w:r w:rsidR="004B1CFA" w:rsidRPr="004B1CFA">
          <w:rPr>
            <w:rStyle w:val="Hyperlink"/>
            <w:rFonts w:eastAsia="Times"/>
            <w:b/>
            <w:color w:val="007B4B"/>
          </w:rPr>
          <w:t>References</w:t>
        </w:r>
        <w:r w:rsidR="004B1CFA" w:rsidRPr="004B1CFA">
          <w:rPr>
            <w:rStyle w:val="Hyperlink"/>
            <w:rFonts w:eastAsia="Times"/>
            <w:b/>
            <w:webHidden/>
            <w:color w:val="007B4B"/>
          </w:rPr>
          <w:tab/>
        </w:r>
        <w:r w:rsidR="004B1CFA" w:rsidRPr="004B1CFA">
          <w:rPr>
            <w:rStyle w:val="Hyperlink"/>
            <w:rFonts w:eastAsia="Times"/>
            <w:b/>
            <w:webHidden/>
            <w:color w:val="007B4B"/>
          </w:rPr>
          <w:fldChar w:fldCharType="begin"/>
        </w:r>
        <w:r w:rsidR="004B1CFA" w:rsidRPr="004B1CFA">
          <w:rPr>
            <w:rStyle w:val="Hyperlink"/>
            <w:rFonts w:eastAsia="Times"/>
            <w:b/>
            <w:webHidden/>
            <w:color w:val="007B4B"/>
          </w:rPr>
          <w:instrText xml:space="preserve"> PAGEREF _Toc519165404 \h </w:instrText>
        </w:r>
        <w:r w:rsidR="004B1CFA" w:rsidRPr="004B1CFA">
          <w:rPr>
            <w:rStyle w:val="Hyperlink"/>
            <w:rFonts w:eastAsia="Times"/>
            <w:b/>
            <w:webHidden/>
            <w:color w:val="007B4B"/>
          </w:rPr>
        </w:r>
        <w:r w:rsidR="004B1CFA" w:rsidRPr="004B1CFA">
          <w:rPr>
            <w:rStyle w:val="Hyperlink"/>
            <w:rFonts w:eastAsia="Times"/>
            <w:b/>
            <w:webHidden/>
            <w:color w:val="007B4B"/>
          </w:rPr>
          <w:fldChar w:fldCharType="separate"/>
        </w:r>
        <w:r w:rsidR="004D60A8">
          <w:rPr>
            <w:rStyle w:val="Hyperlink"/>
            <w:rFonts w:eastAsia="Times"/>
            <w:b/>
            <w:webHidden/>
            <w:color w:val="007B4B"/>
          </w:rPr>
          <w:t>16</w:t>
        </w:r>
        <w:r w:rsidR="004B1CFA" w:rsidRPr="004B1CFA">
          <w:rPr>
            <w:rStyle w:val="Hyperlink"/>
            <w:rFonts w:eastAsia="Times"/>
            <w:b/>
            <w:webHidden/>
            <w:color w:val="007B4B"/>
          </w:rPr>
          <w:fldChar w:fldCharType="end"/>
        </w:r>
      </w:hyperlink>
    </w:p>
    <w:p w:rsidR="00AC0C3B" w:rsidRPr="003072C6" w:rsidRDefault="004B1CFA" w:rsidP="00CA62D0">
      <w:pPr>
        <w:pStyle w:val="DHHSbodynospace"/>
        <w:sectPr w:rsidR="00AC0C3B" w:rsidRPr="003072C6" w:rsidSect="00C51B1C">
          <w:pgSz w:w="11906" w:h="16838"/>
          <w:pgMar w:top="1701" w:right="1304" w:bottom="1134" w:left="1304" w:header="454" w:footer="567" w:gutter="0"/>
          <w:cols w:space="720"/>
          <w:docGrid w:linePitch="360"/>
        </w:sectPr>
      </w:pPr>
      <w:r>
        <w:rPr>
          <w:rFonts w:eastAsia="Times New Roman"/>
          <w:noProof/>
        </w:rPr>
        <w:fldChar w:fldCharType="end"/>
      </w:r>
      <w:r w:rsidR="00733CD0">
        <w:rPr>
          <w:noProof/>
          <w:lang w:eastAsia="en-AU"/>
        </w:rPr>
        <mc:AlternateContent>
          <mc:Choice Requires="wps">
            <w:drawing>
              <wp:anchor distT="0" distB="0" distL="114300" distR="114300" simplePos="0" relativeHeight="251657216" behindDoc="0" locked="0" layoutInCell="1" allowOverlap="1" wp14:anchorId="4EBFE523" wp14:editId="32C642F6">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D68" w:rsidRDefault="004B0D68"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FetAIAALo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" filled="f" stroked="f">
                <v:textbox>
                  <w:txbxContent>
                    <w:p w:rsidR="004B0D68" w:rsidRDefault="004B0D68" w:rsidP="00AC0C3B">
                      <w:pPr>
                        <w:jc w:val="right"/>
                      </w:pPr>
                      <w:r w:rsidRPr="000147AF">
                        <w:rPr>
                          <w:rFonts w:ascii="Arial" w:hAnsi="Arial" w:cs="Arial"/>
                          <w:color w:val="808080"/>
                          <w:sz w:val="22"/>
                          <w:szCs w:val="22"/>
                        </w:rPr>
                        <w:t>Department of Health</w:t>
                      </w:r>
                    </w:p>
                  </w:txbxContent>
                </v:textbox>
              </v:shape>
            </w:pict>
          </mc:Fallback>
        </mc:AlternateContent>
      </w:r>
    </w:p>
    <w:p w:rsidR="00733CD0" w:rsidRPr="00733CD0" w:rsidRDefault="00733CD0" w:rsidP="00733CD0">
      <w:pPr>
        <w:pStyle w:val="Heading2"/>
        <w:rPr>
          <w:rFonts w:eastAsia="Times"/>
        </w:rPr>
      </w:pPr>
      <w:bookmarkStart w:id="1" w:name="_Toc515309642"/>
      <w:bookmarkStart w:id="2" w:name="_Toc519164873"/>
      <w:bookmarkStart w:id="3" w:name="_Toc519164918"/>
      <w:bookmarkStart w:id="4" w:name="_Toc519165372"/>
      <w:r w:rsidRPr="00733CD0">
        <w:rPr>
          <w:rFonts w:eastAsia="Times"/>
        </w:rPr>
        <w:lastRenderedPageBreak/>
        <w:t>Introduction</w:t>
      </w:r>
      <w:bookmarkEnd w:id="1"/>
      <w:bookmarkEnd w:id="2"/>
      <w:bookmarkEnd w:id="3"/>
      <w:bookmarkEnd w:id="4"/>
    </w:p>
    <w:p w:rsidR="006E2F78" w:rsidRDefault="00733CD0" w:rsidP="00733CD0">
      <w:pPr>
        <w:pStyle w:val="DHHSbody"/>
      </w:pPr>
      <w:r w:rsidRPr="00733CD0">
        <w:t>Nursing and midwifery transition to practice programs (also known as graduate programs) play an important role in supporting newly registered nurses and midwives to transition from undergraduate students to registered practitioners. These health service-based programs provide a supportive environment in which nursing and midwifery graduates can consolidate and further develop their knowledge, skills and competence, and offer a platform for developing safe, confident and accountable professionals</w:t>
      </w:r>
      <w:r w:rsidRPr="00733CD0">
        <w:rPr>
          <w:vertAlign w:val="superscript"/>
        </w:rPr>
        <w:endnoteReference w:id="1"/>
      </w:r>
      <w:r w:rsidRPr="00733CD0">
        <w:t>.</w:t>
      </w:r>
    </w:p>
    <w:p w:rsidR="00DD2183" w:rsidRDefault="00733CD0" w:rsidP="006E2F78">
      <w:pPr>
        <w:pStyle w:val="DHHSbody"/>
      </w:pPr>
      <w:r w:rsidRPr="00733CD0">
        <w:t>The</w:t>
      </w:r>
      <w:r w:rsidR="000A4A7F">
        <w:t xml:space="preserve"> </w:t>
      </w:r>
      <w:r w:rsidR="000A4A7F" w:rsidRPr="000A4A7F">
        <w:rPr>
          <w:i/>
        </w:rPr>
        <w:t>Nursing and Midwifery Transition to Practice Programs Guidelines 2018</w:t>
      </w:r>
      <w:r w:rsidRPr="00733CD0">
        <w:t xml:space="preserve"> replace the </w:t>
      </w:r>
      <w:r w:rsidRPr="00733CD0">
        <w:rPr>
          <w:i/>
        </w:rPr>
        <w:t>Early Graduate Nurse Program Guidelines 2009</w:t>
      </w:r>
      <w:bookmarkStart w:id="5" w:name="_Ref515446107"/>
      <w:r w:rsidR="009F4B71" w:rsidRPr="000D3628">
        <w:rPr>
          <w:rStyle w:val="EndnoteReference"/>
        </w:rPr>
        <w:endnoteReference w:id="2"/>
      </w:r>
      <w:bookmarkEnd w:id="5"/>
      <w:r w:rsidRPr="00733CD0">
        <w:t xml:space="preserve"> and</w:t>
      </w:r>
      <w:r w:rsidRPr="00733CD0">
        <w:rPr>
          <w:i/>
        </w:rPr>
        <w:t xml:space="preserve"> </w:t>
      </w:r>
      <w:r w:rsidRPr="00733CD0">
        <w:t xml:space="preserve">have been developed to align with the </w:t>
      </w:r>
      <w:r w:rsidRPr="006E2F78">
        <w:rPr>
          <w:i/>
        </w:rPr>
        <w:t xml:space="preserve">Best Practice Clinical Learning Environment </w:t>
      </w:r>
      <w:r w:rsidRPr="00733CD0">
        <w:t xml:space="preserve">(BPCLE) </w:t>
      </w:r>
      <w:r w:rsidRPr="006E2F78">
        <w:rPr>
          <w:i/>
        </w:rPr>
        <w:t>Framework</w:t>
      </w:r>
      <w:bookmarkStart w:id="6" w:name="_Ref514683726"/>
      <w:r w:rsidR="006E2F78" w:rsidRPr="006E2F78">
        <w:rPr>
          <w:vertAlign w:val="superscript"/>
        </w:rPr>
        <w:endnoteReference w:id="3"/>
      </w:r>
      <w:bookmarkEnd w:id="6"/>
      <w:r w:rsidRPr="00733CD0">
        <w:t xml:space="preserve">. They aim to provide guidance in the delivery of consistent and high-quality </w:t>
      </w:r>
      <w:r w:rsidR="008646A1">
        <w:t>transition to practice programs</w:t>
      </w:r>
      <w:r w:rsidRPr="00733CD0">
        <w:t xml:space="preserve"> for a sustainable health system that values the quality and competence of its workforce. </w:t>
      </w:r>
      <w:r w:rsidR="00450829" w:rsidRPr="008F50B7">
        <w:t xml:space="preserve">These guidelines </w:t>
      </w:r>
      <w:r w:rsidR="007359D5">
        <w:t>are consistent</w:t>
      </w:r>
      <w:r w:rsidR="00450829" w:rsidRPr="008F50B7">
        <w:t xml:space="preserve"> with the</w:t>
      </w:r>
      <w:r w:rsidR="00DD2183" w:rsidRPr="008F50B7">
        <w:t xml:space="preserve"> </w:t>
      </w:r>
      <w:r w:rsidR="00DD2183" w:rsidRPr="008F50B7">
        <w:rPr>
          <w:i/>
        </w:rPr>
        <w:t>Victorian Clinical Governance Framework</w:t>
      </w:r>
      <w:bookmarkStart w:id="7" w:name="_Ref517855570"/>
      <w:r w:rsidR="00C86796" w:rsidRPr="008F50B7">
        <w:rPr>
          <w:rStyle w:val="EndnoteReference"/>
          <w:i/>
        </w:rPr>
        <w:endnoteReference w:id="4"/>
      </w:r>
      <w:bookmarkEnd w:id="7"/>
      <w:r w:rsidR="00DD2183" w:rsidRPr="008F50B7">
        <w:t xml:space="preserve"> </w:t>
      </w:r>
      <w:r w:rsidR="00450829" w:rsidRPr="008F50B7">
        <w:t xml:space="preserve">which </w:t>
      </w:r>
      <w:r w:rsidR="007A5BA5" w:rsidRPr="008F50B7">
        <w:t xml:space="preserve">outlines </w:t>
      </w:r>
      <w:r w:rsidR="00860A3F" w:rsidRPr="008F50B7">
        <w:t xml:space="preserve">the </w:t>
      </w:r>
      <w:r w:rsidR="007A5BA5" w:rsidRPr="008F50B7">
        <w:t>system domains that are common to high-performing health services</w:t>
      </w:r>
      <w:r w:rsidR="00A97A2A" w:rsidRPr="008F50B7">
        <w:t xml:space="preserve">. </w:t>
      </w:r>
    </w:p>
    <w:p w:rsidR="00450829" w:rsidRDefault="00450829" w:rsidP="00450829">
      <w:pPr>
        <w:pStyle w:val="Heading3"/>
      </w:pPr>
      <w:bookmarkStart w:id="8" w:name="_Toc519164874"/>
      <w:bookmarkStart w:id="9" w:name="_Toc519164919"/>
      <w:bookmarkStart w:id="10" w:name="_Toc519165373"/>
      <w:r w:rsidRPr="00733CD0">
        <w:t>Background</w:t>
      </w:r>
      <w:bookmarkEnd w:id="8"/>
      <w:bookmarkEnd w:id="9"/>
      <w:bookmarkEnd w:id="10"/>
    </w:p>
    <w:p w:rsidR="006E2F78" w:rsidRDefault="005A6221" w:rsidP="006E2F78">
      <w:pPr>
        <w:pStyle w:val="DHHSbody"/>
      </w:pPr>
      <w:r>
        <w:t xml:space="preserve">The aim of transition to practice </w:t>
      </w:r>
      <w:r w:rsidR="006E2F78">
        <w:t xml:space="preserve">programs for registered nurses and midwives is to provide </w:t>
      </w:r>
      <w:r w:rsidR="001C2FF2">
        <w:t>a safe and positive environment</w:t>
      </w:r>
      <w:r w:rsidR="006E2F78">
        <w:t xml:space="preserve"> with a range of supporting resources that assist</w:t>
      </w:r>
      <w:r w:rsidR="001C2FF2">
        <w:t>s</w:t>
      </w:r>
      <w:r w:rsidR="006E2F78">
        <w:t xml:space="preserve"> graduates to develop skills and confidence in their profe</w:t>
      </w:r>
      <w:r w:rsidR="001C2FF2">
        <w:t>ssional roles as part of a high-</w:t>
      </w:r>
      <w:r w:rsidR="006E2F78">
        <w:t>quality and sustainable workforce.</w:t>
      </w:r>
      <w:r>
        <w:t xml:space="preserve"> </w:t>
      </w:r>
    </w:p>
    <w:p w:rsidR="00733CD0" w:rsidRPr="00733CD0" w:rsidRDefault="00733CD0" w:rsidP="00733CD0">
      <w:pPr>
        <w:pStyle w:val="DHHSbody"/>
      </w:pPr>
      <w:r w:rsidRPr="00733CD0">
        <w:t xml:space="preserve">The </w:t>
      </w:r>
      <w:r w:rsidRPr="00733CD0">
        <w:rPr>
          <w:i/>
        </w:rPr>
        <w:t>Review of Nursing and Midwifery Graduate Transition to Practice Programs in Victoria</w:t>
      </w:r>
      <w:bookmarkStart w:id="11" w:name="_Ref508113280"/>
      <w:r w:rsidRPr="00D367B8">
        <w:rPr>
          <w:vertAlign w:val="superscript"/>
        </w:rPr>
        <w:endnoteReference w:id="5"/>
      </w:r>
      <w:bookmarkEnd w:id="11"/>
      <w:r w:rsidRPr="00733CD0">
        <w:t xml:space="preserve"> (the Review)</w:t>
      </w:r>
      <w:r w:rsidR="001C2FF2">
        <w:t>,</w:t>
      </w:r>
      <w:r w:rsidRPr="00733CD0">
        <w:t xml:space="preserve"> completed by Aspex Consulting in 2017, identified a number of strat</w:t>
      </w:r>
      <w:r w:rsidR="001C2FF2">
        <w:t>egic objectives and actions</w:t>
      </w:r>
      <w:r w:rsidRPr="00733CD0">
        <w:t xml:space="preserve"> to improve </w:t>
      </w:r>
      <w:r w:rsidR="00A707EA">
        <w:t>transition to practice</w:t>
      </w:r>
      <w:r w:rsidRPr="00733CD0">
        <w:t xml:space="preserve"> programs across Victoria. </w:t>
      </w:r>
      <w:r w:rsidR="005A1DA9">
        <w:t>In response, and t</w:t>
      </w:r>
      <w:r w:rsidRPr="00733CD0">
        <w:t xml:space="preserve">o improve </w:t>
      </w:r>
      <w:r w:rsidR="001C2FF2">
        <w:t xml:space="preserve">the quality of program design, </w:t>
      </w:r>
      <w:r w:rsidRPr="00733CD0">
        <w:t>t</w:t>
      </w:r>
      <w:r w:rsidR="001C2FF2">
        <w:t>he Review recommended that the Department of Health and Human Services (the department)</w:t>
      </w:r>
      <w:r w:rsidRPr="00733CD0">
        <w:t xml:space="preserve"> promote the inclusion of best practice elements into all transition to practice programs</w:t>
      </w:r>
      <w:r w:rsidR="00BD1B39" w:rsidRPr="00BD1B39">
        <w:rPr>
          <w:rStyle w:val="EndnoteReference"/>
        </w:rPr>
        <w:fldChar w:fldCharType="begin"/>
      </w:r>
      <w:r w:rsidR="00BD1B39" w:rsidRPr="00BD1B39">
        <w:rPr>
          <w:vertAlign w:val="superscript"/>
        </w:rPr>
        <w:instrText xml:space="preserve"> NOTEREF _Ref508113280 \h </w:instrText>
      </w:r>
      <w:r w:rsidR="00BD1B39" w:rsidRPr="00BD1B39">
        <w:rPr>
          <w:rStyle w:val="EndnoteReference"/>
        </w:rPr>
        <w:instrText xml:space="preserve"> \* MERGEFORMAT </w:instrText>
      </w:r>
      <w:r w:rsidR="00BD1B39" w:rsidRPr="00BD1B39">
        <w:rPr>
          <w:rStyle w:val="EndnoteReference"/>
        </w:rPr>
      </w:r>
      <w:r w:rsidR="00BD1B39" w:rsidRPr="00BD1B39">
        <w:rPr>
          <w:rStyle w:val="EndnoteReference"/>
        </w:rPr>
        <w:fldChar w:fldCharType="separate"/>
      </w:r>
      <w:r w:rsidR="004D60A8">
        <w:rPr>
          <w:vertAlign w:val="superscript"/>
        </w:rPr>
        <w:t>5</w:t>
      </w:r>
      <w:r w:rsidR="00BD1B39" w:rsidRPr="00BD1B39">
        <w:rPr>
          <w:rStyle w:val="EndnoteReference"/>
        </w:rPr>
        <w:fldChar w:fldCharType="end"/>
      </w:r>
      <w:r w:rsidRPr="00733CD0">
        <w:t>.</w:t>
      </w:r>
    </w:p>
    <w:p w:rsidR="00733CD0" w:rsidRPr="00733CD0" w:rsidRDefault="00733CD0" w:rsidP="00733CD0">
      <w:pPr>
        <w:pStyle w:val="DHHSbody"/>
      </w:pPr>
      <w:r w:rsidRPr="00733CD0">
        <w:t xml:space="preserve">In consultation with stakeholders, it was determined that this could be achieved by revising and redesigning the </w:t>
      </w:r>
      <w:r w:rsidRPr="00733CD0">
        <w:rPr>
          <w:i/>
        </w:rPr>
        <w:t>Early Graduate Nurse Program Guidelines 2009</w:t>
      </w:r>
      <w:r w:rsidRPr="00733CD0">
        <w:t xml:space="preserve"> to reflect contemporary practice and </w:t>
      </w:r>
      <w:r w:rsidR="003318E0">
        <w:t xml:space="preserve">the </w:t>
      </w:r>
      <w:r w:rsidRPr="00733CD0">
        <w:t>current needs of organisations</w:t>
      </w:r>
      <w:r w:rsidR="00B352F7">
        <w:t xml:space="preserve"> and graduates</w:t>
      </w:r>
      <w:r w:rsidRPr="00733CD0">
        <w:t xml:space="preserve">. A review of current literature (within </w:t>
      </w:r>
      <w:r w:rsidR="001C2FF2">
        <w:t xml:space="preserve">the past </w:t>
      </w:r>
      <w:r w:rsidRPr="00733CD0">
        <w:t>five years) was also undertaken to identify academic research and evidence associated with delivering</w:t>
      </w:r>
      <w:r w:rsidR="001C2FF2">
        <w:t xml:space="preserve"> effective</w:t>
      </w:r>
      <w:r w:rsidRPr="00733CD0">
        <w:t xml:space="preserve"> </w:t>
      </w:r>
      <w:r w:rsidR="00A707EA">
        <w:t>transition to practice</w:t>
      </w:r>
      <w:r w:rsidRPr="00733CD0">
        <w:t xml:space="preserve"> programs. </w:t>
      </w:r>
    </w:p>
    <w:p w:rsidR="00733CD0" w:rsidRPr="00733CD0" w:rsidRDefault="00733CD0" w:rsidP="00733CD0">
      <w:pPr>
        <w:pStyle w:val="DHHSbody"/>
      </w:pPr>
      <w:r w:rsidRPr="00733CD0">
        <w:t xml:space="preserve">The BPCLE Framework outlines six key elements that are the essential underpinnings for a quality clinical learning environment </w:t>
      </w:r>
      <w:r w:rsidR="003318E0">
        <w:t xml:space="preserve">and </w:t>
      </w:r>
      <w:r w:rsidRPr="00733CD0">
        <w:t>provide learners with an opportunity to experience the reality of practice in their chosen profession in a safe and supportive environment</w:t>
      </w:r>
      <w:r w:rsidR="006E2F78" w:rsidRPr="006E2F78">
        <w:rPr>
          <w:rStyle w:val="EndnoteReference"/>
        </w:rPr>
        <w:fldChar w:fldCharType="begin"/>
      </w:r>
      <w:r w:rsidR="006E2F78" w:rsidRPr="006E2F78">
        <w:rPr>
          <w:vertAlign w:val="superscript"/>
        </w:rPr>
        <w:instrText xml:space="preserve"> NOTEREF _Ref514683726 \h </w:instrText>
      </w:r>
      <w:r w:rsidR="006E2F78" w:rsidRPr="006E2F78">
        <w:rPr>
          <w:rStyle w:val="EndnoteReference"/>
        </w:rPr>
        <w:instrText xml:space="preserve"> \* MERGEFORMAT </w:instrText>
      </w:r>
      <w:r w:rsidR="006E2F78" w:rsidRPr="006E2F78">
        <w:rPr>
          <w:rStyle w:val="EndnoteReference"/>
        </w:rPr>
      </w:r>
      <w:r w:rsidR="006E2F78" w:rsidRPr="006E2F78">
        <w:rPr>
          <w:rStyle w:val="EndnoteReference"/>
        </w:rPr>
        <w:fldChar w:fldCharType="separate"/>
      </w:r>
      <w:r w:rsidR="004D60A8">
        <w:rPr>
          <w:vertAlign w:val="superscript"/>
        </w:rPr>
        <w:t>3</w:t>
      </w:r>
      <w:r w:rsidR="006E2F78" w:rsidRPr="006E2F78">
        <w:rPr>
          <w:rStyle w:val="EndnoteReference"/>
        </w:rPr>
        <w:fldChar w:fldCharType="end"/>
      </w:r>
      <w:r w:rsidRPr="00733CD0">
        <w:t>.</w:t>
      </w:r>
    </w:p>
    <w:p w:rsidR="00733CD0" w:rsidRDefault="00733CD0" w:rsidP="00733CD0">
      <w:pPr>
        <w:pStyle w:val="DHHSbody"/>
      </w:pPr>
      <w:r w:rsidRPr="00733CD0">
        <w:t xml:space="preserve">The BPCLE Framework has been developed, refined and improved over the last 10 years based upon data and feedback from hospitals and health services, learners and university educators. The framework guides the improvement of clinical training experiences by informing policies, practices and behaviours. It is broadly applicable to learning environments across the career continuum </w:t>
      </w:r>
      <w:r w:rsidR="00FE2A9C">
        <w:t>including professional-entry, graduate</w:t>
      </w:r>
      <w:r w:rsidRPr="00733CD0">
        <w:t>, postgraduate and advanced practice</w:t>
      </w:r>
      <w:r w:rsidR="003318E0">
        <w:t>,</w:t>
      </w:r>
      <w:r w:rsidRPr="00733CD0">
        <w:t xml:space="preserve"> and to a range of contexts, from primary care to acute health settings, as well as mental health, aged care and other social care settings</w:t>
      </w:r>
      <w:r w:rsidR="001A28DF" w:rsidRPr="001A28DF">
        <w:rPr>
          <w:rStyle w:val="EndnoteReference"/>
        </w:rPr>
        <w:fldChar w:fldCharType="begin"/>
      </w:r>
      <w:r w:rsidR="001A28DF" w:rsidRPr="001A28DF">
        <w:rPr>
          <w:vertAlign w:val="superscript"/>
        </w:rPr>
        <w:instrText xml:space="preserve"> NOTEREF _Ref514683726 \h </w:instrText>
      </w:r>
      <w:r w:rsidR="001A28DF" w:rsidRPr="001A28DF">
        <w:rPr>
          <w:rStyle w:val="EndnoteReference"/>
        </w:rPr>
        <w:instrText xml:space="preserve"> \* MERGEFORMAT </w:instrText>
      </w:r>
      <w:r w:rsidR="001A28DF" w:rsidRPr="001A28DF">
        <w:rPr>
          <w:rStyle w:val="EndnoteReference"/>
        </w:rPr>
      </w:r>
      <w:r w:rsidR="001A28DF" w:rsidRPr="001A28DF">
        <w:rPr>
          <w:rStyle w:val="EndnoteReference"/>
        </w:rPr>
        <w:fldChar w:fldCharType="separate"/>
      </w:r>
      <w:r w:rsidR="004D60A8">
        <w:rPr>
          <w:vertAlign w:val="superscript"/>
        </w:rPr>
        <w:t>3</w:t>
      </w:r>
      <w:r w:rsidR="001A28DF" w:rsidRPr="001A28DF">
        <w:rPr>
          <w:rStyle w:val="EndnoteReference"/>
        </w:rPr>
        <w:fldChar w:fldCharType="end"/>
      </w:r>
      <w:r w:rsidRPr="00733CD0">
        <w:t>.</w:t>
      </w:r>
    </w:p>
    <w:p w:rsidR="00280A41" w:rsidRPr="009D17EA" w:rsidRDefault="00F620A9" w:rsidP="009D17EA">
      <w:pPr>
        <w:spacing w:before="120" w:after="120" w:line="270" w:lineRule="atLeast"/>
        <w:rPr>
          <w:rFonts w:ascii="Arial" w:eastAsia="Times" w:hAnsi="Arial"/>
        </w:rPr>
      </w:pPr>
      <w:r>
        <w:rPr>
          <w:rFonts w:ascii="Arial" w:eastAsia="Times" w:hAnsi="Arial"/>
        </w:rPr>
        <w:t>These guidelines, in l</w:t>
      </w:r>
      <w:r w:rsidR="000E285E">
        <w:rPr>
          <w:rFonts w:ascii="Arial" w:eastAsia="Times" w:hAnsi="Arial"/>
        </w:rPr>
        <w:t>ine with the BPCLE Framework, are</w:t>
      </w:r>
      <w:r>
        <w:rPr>
          <w:rFonts w:ascii="Arial" w:eastAsia="Times" w:hAnsi="Arial"/>
        </w:rPr>
        <w:t xml:space="preserve"> not intended to replace, compete (or interfere) with the existing </w:t>
      </w:r>
      <w:r w:rsidR="00B32310">
        <w:rPr>
          <w:rFonts w:ascii="Arial" w:eastAsia="Times" w:hAnsi="Arial"/>
        </w:rPr>
        <w:t xml:space="preserve">professional, legal and ethical framework set out by the </w:t>
      </w:r>
      <w:r w:rsidR="008646A1">
        <w:rPr>
          <w:rFonts w:ascii="Arial" w:eastAsia="Times" w:hAnsi="Arial"/>
        </w:rPr>
        <w:t>Nursing an</w:t>
      </w:r>
      <w:r w:rsidR="00FE2A9C">
        <w:rPr>
          <w:rFonts w:ascii="Arial" w:eastAsia="Times" w:hAnsi="Arial"/>
        </w:rPr>
        <w:t>d Midwifery Board of Australia</w:t>
      </w:r>
      <w:r w:rsidR="00B32310">
        <w:rPr>
          <w:rFonts w:ascii="Arial" w:eastAsia="Times" w:hAnsi="Arial"/>
        </w:rPr>
        <w:t xml:space="preserve"> which supports the safe and competent practice of registered nurses and midwives. </w:t>
      </w:r>
      <w:r>
        <w:rPr>
          <w:rFonts w:ascii="Arial" w:eastAsia="Times" w:hAnsi="Arial"/>
        </w:rPr>
        <w:t xml:space="preserve">Any conflict between the elements of this framework and </w:t>
      </w:r>
      <w:r w:rsidR="00B32310">
        <w:rPr>
          <w:rFonts w:ascii="Arial" w:eastAsia="Times" w:hAnsi="Arial"/>
        </w:rPr>
        <w:t xml:space="preserve">the </w:t>
      </w:r>
      <w:r>
        <w:rPr>
          <w:rFonts w:ascii="Arial" w:eastAsia="Times" w:hAnsi="Arial"/>
        </w:rPr>
        <w:t>professional standards</w:t>
      </w:r>
      <w:bookmarkStart w:id="12" w:name="_Ref517341958"/>
      <w:r w:rsidR="008646A1">
        <w:rPr>
          <w:rStyle w:val="EndnoteReference"/>
          <w:rFonts w:eastAsia="Times"/>
        </w:rPr>
        <w:endnoteReference w:id="6"/>
      </w:r>
      <w:bookmarkEnd w:id="12"/>
      <w:r>
        <w:rPr>
          <w:rFonts w:ascii="Arial" w:eastAsia="Times" w:hAnsi="Arial"/>
        </w:rPr>
        <w:t xml:space="preserve"> must alwa</w:t>
      </w:r>
      <w:r w:rsidR="003574F7">
        <w:rPr>
          <w:rFonts w:ascii="Arial" w:eastAsia="Times" w:hAnsi="Arial"/>
        </w:rPr>
        <w:t>ys be resolved in favour of the</w:t>
      </w:r>
      <w:r>
        <w:rPr>
          <w:rFonts w:ascii="Arial" w:eastAsia="Times" w:hAnsi="Arial"/>
        </w:rPr>
        <w:t xml:space="preserve"> professional standards.</w:t>
      </w:r>
    </w:p>
    <w:p w:rsidR="003075B5" w:rsidRDefault="003075B5">
      <w:pPr>
        <w:rPr>
          <w:rFonts w:ascii="Arial" w:eastAsia="MS Gothic" w:hAnsi="Arial"/>
          <w:b/>
          <w:bCs/>
          <w:sz w:val="24"/>
          <w:szCs w:val="26"/>
        </w:rPr>
      </w:pPr>
      <w:r>
        <w:br w:type="page"/>
      </w:r>
    </w:p>
    <w:p w:rsidR="00733CD0" w:rsidRPr="00733CD0" w:rsidRDefault="00733CD0" w:rsidP="00733CD0">
      <w:pPr>
        <w:pStyle w:val="Heading3"/>
      </w:pPr>
      <w:bookmarkStart w:id="13" w:name="_Toc519164875"/>
      <w:bookmarkStart w:id="14" w:name="_Toc519164920"/>
      <w:bookmarkStart w:id="15" w:name="_Toc519165374"/>
      <w:r w:rsidRPr="00733CD0">
        <w:lastRenderedPageBreak/>
        <w:t>Implementation</w:t>
      </w:r>
      <w:bookmarkEnd w:id="13"/>
      <w:bookmarkEnd w:id="14"/>
      <w:bookmarkEnd w:id="15"/>
    </w:p>
    <w:p w:rsidR="00733CD0" w:rsidRPr="00733CD0" w:rsidRDefault="008646A1" w:rsidP="00733CD0">
      <w:pPr>
        <w:pStyle w:val="DHHSbody"/>
      </w:pPr>
      <w:r>
        <w:t>F</w:t>
      </w:r>
      <w:r w:rsidR="00733CD0" w:rsidRPr="00733CD0">
        <w:t>lexibility in program structure and delivery enables health services to design and create programs tailored to their organisation</w:t>
      </w:r>
      <w:r w:rsidR="00AE507E">
        <w:t>,</w:t>
      </w:r>
      <w:r w:rsidR="00733CD0" w:rsidRPr="00733CD0">
        <w:t xml:space="preserve"> location</w:t>
      </w:r>
      <w:r w:rsidR="00AE507E">
        <w:t xml:space="preserve"> and service needs</w:t>
      </w:r>
      <w:r w:rsidR="00733CD0" w:rsidRPr="00733CD0">
        <w:t xml:space="preserve"> across metropolitan, regional and rural health services. These guidelines </w:t>
      </w:r>
      <w:r>
        <w:t>are</w:t>
      </w:r>
      <w:r w:rsidRPr="00733CD0">
        <w:t xml:space="preserve"> </w:t>
      </w:r>
      <w:r w:rsidR="00733CD0" w:rsidRPr="00733CD0">
        <w:t xml:space="preserve">designed </w:t>
      </w:r>
      <w:r w:rsidR="00B32310">
        <w:t xml:space="preserve">to </w:t>
      </w:r>
      <w:r w:rsidR="00B32310" w:rsidRPr="007621A1">
        <w:t>outline best practice to sup</w:t>
      </w:r>
      <w:r w:rsidR="00AE507E">
        <w:t>port high-</w:t>
      </w:r>
      <w:r w:rsidR="00B32310">
        <w:t>quality transition to practice</w:t>
      </w:r>
      <w:r w:rsidR="00B32310" w:rsidRPr="007621A1">
        <w:t xml:space="preserve"> programs</w:t>
      </w:r>
      <w:r w:rsidR="00B32310">
        <w:t xml:space="preserve">, whilst also </w:t>
      </w:r>
      <w:r w:rsidR="00733CD0" w:rsidRPr="00733CD0">
        <w:t>recognising that one program model will not necessarily meet the needs of all organisations</w:t>
      </w:r>
      <w:bookmarkStart w:id="16" w:name="_Ref515458135"/>
      <w:r w:rsidR="004053D8">
        <w:rPr>
          <w:rStyle w:val="EndnoteReference"/>
        </w:rPr>
        <w:endnoteReference w:id="7"/>
      </w:r>
      <w:bookmarkEnd w:id="16"/>
      <w:r w:rsidR="00733CD0" w:rsidRPr="00733CD0">
        <w:t>. This is also acknowledged as a key principle in the BPCLE Framework</w:t>
      </w:r>
      <w:r w:rsidR="00AE507E">
        <w:t>,</w:t>
      </w:r>
      <w:r w:rsidR="00733CD0" w:rsidRPr="00733CD0">
        <w:t xml:space="preserve"> which states that ‘many different models of clinical education and training exist and successfully produce health professionals of required competency and standard’</w:t>
      </w:r>
      <w:r w:rsidR="00323651" w:rsidRPr="00323651">
        <w:rPr>
          <w:rStyle w:val="EndnoteReference"/>
        </w:rPr>
        <w:fldChar w:fldCharType="begin"/>
      </w:r>
      <w:r w:rsidR="00323651" w:rsidRPr="00323651">
        <w:rPr>
          <w:vertAlign w:val="superscript"/>
        </w:rPr>
        <w:instrText xml:space="preserve"> NOTEREF _Ref514683726 \h </w:instrText>
      </w:r>
      <w:r w:rsidR="00323651" w:rsidRPr="00323651">
        <w:rPr>
          <w:rStyle w:val="EndnoteReference"/>
        </w:rPr>
        <w:instrText xml:space="preserve"> \* MERGEFORMAT </w:instrText>
      </w:r>
      <w:r w:rsidR="00323651" w:rsidRPr="00323651">
        <w:rPr>
          <w:rStyle w:val="EndnoteReference"/>
        </w:rPr>
      </w:r>
      <w:r w:rsidR="00323651" w:rsidRPr="00323651">
        <w:rPr>
          <w:rStyle w:val="EndnoteReference"/>
        </w:rPr>
        <w:fldChar w:fldCharType="separate"/>
      </w:r>
      <w:r w:rsidR="004D60A8">
        <w:rPr>
          <w:vertAlign w:val="superscript"/>
        </w:rPr>
        <w:t>3</w:t>
      </w:r>
      <w:r w:rsidR="00323651" w:rsidRPr="00323651">
        <w:rPr>
          <w:rStyle w:val="EndnoteReference"/>
        </w:rPr>
        <w:fldChar w:fldCharType="end"/>
      </w:r>
      <w:r w:rsidR="00733CD0" w:rsidRPr="00733CD0">
        <w:t>.</w:t>
      </w:r>
    </w:p>
    <w:p w:rsidR="00733CD0" w:rsidRDefault="00733CD0" w:rsidP="00733CD0">
      <w:pPr>
        <w:pStyle w:val="DHHSbody"/>
      </w:pPr>
      <w:r w:rsidRPr="00733CD0">
        <w:t>While these guidelines follow the six key elements of the BPCLE Framework, they are not intended to repli</w:t>
      </w:r>
      <w:r w:rsidR="00A91154">
        <w:t xml:space="preserve">cate or duplicate the Framework. </w:t>
      </w:r>
      <w:r w:rsidR="008646A1">
        <w:t>A</w:t>
      </w:r>
      <w:r w:rsidRPr="00733CD0">
        <w:t>dditional information</w:t>
      </w:r>
      <w:r w:rsidR="008646A1">
        <w:t xml:space="preserve"> under each element</w:t>
      </w:r>
      <w:r w:rsidRPr="00733CD0">
        <w:t xml:space="preserve"> provides suggested inclusions and considerations for nursing and midwifery </w:t>
      </w:r>
      <w:r w:rsidR="00A707EA">
        <w:t>transition to practice</w:t>
      </w:r>
      <w:r w:rsidRPr="00733CD0">
        <w:t xml:space="preserve"> programs. However, it is not an exhaustive list and it is recognised</w:t>
      </w:r>
      <w:r w:rsidR="008E1203">
        <w:t xml:space="preserve"> that</w:t>
      </w:r>
      <w:r w:rsidRPr="00733CD0">
        <w:t xml:space="preserve"> </w:t>
      </w:r>
      <w:r w:rsidR="0071206E">
        <w:t>there</w:t>
      </w:r>
      <w:r w:rsidR="0071206E" w:rsidRPr="00733CD0">
        <w:t xml:space="preserve"> </w:t>
      </w:r>
      <w:r w:rsidRPr="00733CD0">
        <w:t xml:space="preserve">may be other options </w:t>
      </w:r>
      <w:r w:rsidR="003318E0">
        <w:t xml:space="preserve">and ideas </w:t>
      </w:r>
      <w:r w:rsidR="0071206E">
        <w:t xml:space="preserve">that </w:t>
      </w:r>
      <w:r w:rsidR="003318E0">
        <w:t xml:space="preserve">will </w:t>
      </w:r>
      <w:r w:rsidR="00A91154">
        <w:t>meet the BPCLE e</w:t>
      </w:r>
      <w:r w:rsidRPr="00733CD0">
        <w:t xml:space="preserve">lements. It is also acknowledged that many of the elements overlap or are </w:t>
      </w:r>
      <w:r w:rsidR="003318E0">
        <w:t xml:space="preserve">closely </w:t>
      </w:r>
      <w:r w:rsidRPr="00733CD0">
        <w:t>inter</w:t>
      </w:r>
      <w:r w:rsidR="00AE507E">
        <w:t>-</w:t>
      </w:r>
      <w:r w:rsidRPr="00733CD0">
        <w:t>related</w:t>
      </w:r>
      <w:r w:rsidR="00AE507E">
        <w:t>,</w:t>
      </w:r>
      <w:r w:rsidRPr="00733CD0">
        <w:t xml:space="preserve"> as quality clinical learning environments take a holistic </w:t>
      </w:r>
      <w:r w:rsidR="003318E0">
        <w:t xml:space="preserve">and all-encompassing </w:t>
      </w:r>
      <w:r w:rsidRPr="00733CD0">
        <w:t>approach to the support and professional development of practitioners throughout their career journey.</w:t>
      </w:r>
    </w:p>
    <w:p w:rsidR="00733CD0" w:rsidRDefault="00733CD0" w:rsidP="00733CD0">
      <w:pPr>
        <w:pStyle w:val="DHHSbody"/>
      </w:pPr>
      <w:r w:rsidRPr="00733CD0">
        <w:t>All health service empl</w:t>
      </w:r>
      <w:r w:rsidR="00AE507E">
        <w:t>oyees, from the executive staff</w:t>
      </w:r>
      <w:r w:rsidRPr="00733CD0">
        <w:t xml:space="preserve"> to individual educators and supervisors and the learners themselves, have a responsibility to contribute to the delivery of best practice, safe and supportive learning environments. Enhancement of an organisational learning culture underpins improved patient care and health outcomes.</w:t>
      </w:r>
    </w:p>
    <w:p w:rsidR="00B032E5" w:rsidRPr="00733CD0" w:rsidRDefault="008646A1" w:rsidP="00733CD0">
      <w:pPr>
        <w:pStyle w:val="DHHSbody"/>
      </w:pPr>
      <w:r>
        <w:t xml:space="preserve">Led </w:t>
      </w:r>
      <w:r w:rsidR="00B032E5">
        <w:t>by strong</w:t>
      </w:r>
      <w:r w:rsidR="00B032E5" w:rsidRPr="00733CD0">
        <w:t xml:space="preserve"> </w:t>
      </w:r>
      <w:r w:rsidR="00B032E5">
        <w:t>clinical and executive n</w:t>
      </w:r>
      <w:r w:rsidR="00373F08">
        <w:t>ursing and midwifery leadership</w:t>
      </w:r>
      <w:r w:rsidR="00B032E5" w:rsidRPr="00733CD0">
        <w:t xml:space="preserve">, </w:t>
      </w:r>
      <w:r w:rsidR="00373F08">
        <w:t>all health service employees (</w:t>
      </w:r>
      <w:r w:rsidR="00BF21C2">
        <w:t xml:space="preserve">including all </w:t>
      </w:r>
      <w:r w:rsidR="00B032E5">
        <w:t>re</w:t>
      </w:r>
      <w:r w:rsidR="00373F08">
        <w:t xml:space="preserve">gistered nurses and midwives, </w:t>
      </w:r>
      <w:r w:rsidR="00BF21C2">
        <w:t xml:space="preserve">nurse and midwife </w:t>
      </w:r>
      <w:r w:rsidR="00B032E5" w:rsidRPr="00733CD0">
        <w:t>educators</w:t>
      </w:r>
      <w:r w:rsidR="00BF21C2">
        <w:t>, preceptors and</w:t>
      </w:r>
      <w:r w:rsidR="00B032E5" w:rsidRPr="00733CD0">
        <w:t xml:space="preserve"> the </w:t>
      </w:r>
      <w:r w:rsidR="00633B8E">
        <w:t>graduates</w:t>
      </w:r>
      <w:r w:rsidR="00B032E5" w:rsidRPr="00733CD0">
        <w:t xml:space="preserve"> themselves</w:t>
      </w:r>
      <w:r w:rsidR="00B032E5">
        <w:t>)</w:t>
      </w:r>
      <w:r w:rsidR="00B032E5" w:rsidRPr="00733CD0">
        <w:t xml:space="preserve">, have a responsibility to contribute to the delivery of best practice, safe and supportive learning environments. </w:t>
      </w:r>
    </w:p>
    <w:p w:rsidR="00E4743A" w:rsidRDefault="00E4743A" w:rsidP="00E4743A">
      <w:pPr>
        <w:pStyle w:val="DHHSbody"/>
      </w:pPr>
      <w:r>
        <w:t>T</w:t>
      </w:r>
      <w:r w:rsidRPr="00733CD0">
        <w:t>o ensure consistency and quality of programs across Victoria</w:t>
      </w:r>
      <w:r>
        <w:t xml:space="preserve">, it is recommended </w:t>
      </w:r>
      <w:r w:rsidRPr="00733CD0">
        <w:t xml:space="preserve">that all organisations offering nursing and midwifery </w:t>
      </w:r>
      <w:r>
        <w:t>transition to practice</w:t>
      </w:r>
      <w:r w:rsidRPr="00733CD0">
        <w:t xml:space="preserve"> programs </w:t>
      </w:r>
      <w:r>
        <w:t xml:space="preserve">incorporate </w:t>
      </w:r>
      <w:r w:rsidR="008646A1">
        <w:t xml:space="preserve">the elements of </w:t>
      </w:r>
      <w:r w:rsidRPr="00733CD0">
        <w:t xml:space="preserve">these guidelines </w:t>
      </w:r>
      <w:r>
        <w:t xml:space="preserve">into </w:t>
      </w:r>
      <w:r w:rsidRPr="00733CD0">
        <w:t>t</w:t>
      </w:r>
      <w:r>
        <w:t>heir programs.</w:t>
      </w:r>
      <w:r w:rsidRPr="00733CD0">
        <w:t xml:space="preserve"> Health services can monitor the quality and performance of their learning environments </w:t>
      </w:r>
      <w:r w:rsidR="00B032E5">
        <w:t>using</w:t>
      </w:r>
      <w:r w:rsidRPr="00733CD0">
        <w:t xml:space="preserve"> the BPCLEtool and selected indicators from the BPCLE Framework</w:t>
      </w:r>
      <w:r>
        <w:t>.</w:t>
      </w:r>
    </w:p>
    <w:p w:rsidR="0095577A" w:rsidRDefault="0095577A" w:rsidP="0095577A">
      <w:pPr>
        <w:pStyle w:val="Heading3"/>
      </w:pPr>
      <w:r>
        <w:t>Review and contact</w:t>
      </w:r>
    </w:p>
    <w:p w:rsidR="0095577A" w:rsidRDefault="0095577A" w:rsidP="0095577A">
      <w:pPr>
        <w:spacing w:after="120"/>
        <w:rPr>
          <w:rFonts w:ascii="Arial" w:hAnsi="Arial" w:cs="Arial"/>
        </w:rPr>
      </w:pPr>
      <w:r>
        <w:rPr>
          <w:rFonts w:ascii="Arial" w:hAnsi="Arial" w:cs="Arial"/>
        </w:rPr>
        <w:t xml:space="preserve">These guidelines are scheduled to be reviewed by the department in 2021. </w:t>
      </w:r>
    </w:p>
    <w:p w:rsidR="004F7E05" w:rsidRPr="0095577A" w:rsidRDefault="0095577A" w:rsidP="0095577A">
      <w:pPr>
        <w:spacing w:after="120"/>
        <w:rPr>
          <w:rFonts w:ascii="Arial" w:eastAsia="Times" w:hAnsi="Arial"/>
          <w:b/>
          <w:color w:val="007B4B"/>
          <w:sz w:val="28"/>
          <w:szCs w:val="28"/>
        </w:rPr>
      </w:pPr>
      <w:r>
        <w:rPr>
          <w:rFonts w:ascii="Arial" w:hAnsi="Arial" w:cs="Arial"/>
        </w:rPr>
        <w:t>For further information regarding these guidelines, please contact the Nursing, Midwifery and Paramedicine Workforce team at nmw@dhhs.vic.gov.au.</w:t>
      </w:r>
      <w:r w:rsidR="004F7E05" w:rsidRPr="0095577A">
        <w:rPr>
          <w:rFonts w:ascii="Arial" w:eastAsia="Times" w:hAnsi="Arial"/>
          <w:b/>
          <w:color w:val="007B4B"/>
          <w:sz w:val="28"/>
          <w:szCs w:val="28"/>
        </w:rPr>
        <w:br w:type="page"/>
      </w:r>
    </w:p>
    <w:p w:rsidR="00733CD0" w:rsidRPr="00733CD0" w:rsidRDefault="00A107DC" w:rsidP="00733CD0">
      <w:pPr>
        <w:pStyle w:val="Heading2"/>
        <w:rPr>
          <w:rFonts w:eastAsia="Times"/>
        </w:rPr>
      </w:pPr>
      <w:bookmarkStart w:id="17" w:name="_Toc515309643"/>
      <w:bookmarkStart w:id="18" w:name="_Toc519164876"/>
      <w:bookmarkStart w:id="19" w:name="_Toc519164921"/>
      <w:bookmarkStart w:id="20" w:name="_Toc519165375"/>
      <w:r>
        <w:rPr>
          <w:rFonts w:eastAsia="Times"/>
        </w:rPr>
        <w:lastRenderedPageBreak/>
        <w:t>Elements that underpin t</w:t>
      </w:r>
      <w:r w:rsidR="00472A90">
        <w:rPr>
          <w:rFonts w:eastAsia="Times"/>
        </w:rPr>
        <w:t>ransition</w:t>
      </w:r>
      <w:r w:rsidR="00370C9D">
        <w:rPr>
          <w:rFonts w:eastAsia="Times"/>
        </w:rPr>
        <w:t xml:space="preserve"> </w:t>
      </w:r>
      <w:r w:rsidR="00472A90">
        <w:rPr>
          <w:rFonts w:eastAsia="Times"/>
        </w:rPr>
        <w:t>to</w:t>
      </w:r>
      <w:r w:rsidR="00370C9D">
        <w:rPr>
          <w:rFonts w:eastAsia="Times"/>
        </w:rPr>
        <w:t xml:space="preserve"> </w:t>
      </w:r>
      <w:r w:rsidR="00472A90">
        <w:rPr>
          <w:rFonts w:eastAsia="Times"/>
        </w:rPr>
        <w:t>practice programs</w:t>
      </w:r>
      <w:bookmarkEnd w:id="17"/>
      <w:bookmarkEnd w:id="18"/>
      <w:bookmarkEnd w:id="19"/>
      <w:bookmarkEnd w:id="20"/>
    </w:p>
    <w:p w:rsidR="00733CD0" w:rsidRPr="00733CD0" w:rsidRDefault="005A6221" w:rsidP="00FD753D">
      <w:pPr>
        <w:pStyle w:val="DHHSbullet1"/>
        <w:numPr>
          <w:ilvl w:val="0"/>
          <w:numId w:val="0"/>
        </w:numPr>
        <w:spacing w:before="120"/>
      </w:pPr>
      <w:r>
        <w:t>T</w:t>
      </w:r>
      <w:r w:rsidR="00472A90">
        <w:t xml:space="preserve">he following elements </w:t>
      </w:r>
      <w:r w:rsidR="00FD753D">
        <w:t xml:space="preserve">provide direction and guidance </w:t>
      </w:r>
      <w:r w:rsidR="00472A90">
        <w:t xml:space="preserve">for all organisations in designing and delivering nurse and midwifery </w:t>
      </w:r>
      <w:r w:rsidR="00A707EA">
        <w:t>transition to practice</w:t>
      </w:r>
      <w:r w:rsidR="00472A90">
        <w:t xml:space="preserve"> programs.</w:t>
      </w:r>
    </w:p>
    <w:p w:rsidR="00733CD0" w:rsidRPr="00733CD0" w:rsidRDefault="00733CD0" w:rsidP="00733CD0">
      <w:pPr>
        <w:pStyle w:val="Heading3"/>
      </w:pPr>
      <w:bookmarkStart w:id="21" w:name="_Toc519164877"/>
      <w:bookmarkStart w:id="22" w:name="_Toc519164922"/>
      <w:bookmarkStart w:id="23" w:name="_Toc519165376"/>
      <w:r w:rsidRPr="00733CD0">
        <w:t xml:space="preserve">BPCLE </w:t>
      </w:r>
      <w:r w:rsidR="00472A90">
        <w:t>e</w:t>
      </w:r>
      <w:r w:rsidR="00230D16">
        <w:t xml:space="preserve">lement 1: </w:t>
      </w:r>
      <w:r w:rsidRPr="00733CD0">
        <w:t>An organisational culture that values learning</w:t>
      </w:r>
      <w:bookmarkEnd w:id="21"/>
      <w:bookmarkEnd w:id="22"/>
      <w:bookmarkEnd w:id="23"/>
    </w:p>
    <w:p w:rsidR="00511880" w:rsidRDefault="00733CD0" w:rsidP="00733CD0">
      <w:pPr>
        <w:pStyle w:val="DHHSbody"/>
      </w:pPr>
      <w:r w:rsidRPr="00733CD0">
        <w:t>An organisational culture that values learning is demonstrated through a commitment to e</w:t>
      </w:r>
      <w:r w:rsidR="00942AA4">
        <w:t>ducation, educators and providing</w:t>
      </w:r>
      <w:r w:rsidRPr="00733CD0">
        <w:t xml:space="preserve"> opportunities for learners to develop</w:t>
      </w:r>
      <w:r w:rsidR="005A3DF1">
        <w:t xml:space="preserve"> and enhance their</w:t>
      </w:r>
      <w:r w:rsidRPr="00733CD0">
        <w:t xml:space="preserve"> professional attributes</w:t>
      </w:r>
      <w:r w:rsidR="005A3DF1">
        <w:t xml:space="preserve">, </w:t>
      </w:r>
      <w:r w:rsidRPr="00733CD0">
        <w:t xml:space="preserve">clinical skills and knowledge. </w:t>
      </w:r>
      <w:r w:rsidR="00511880">
        <w:t>T</w:t>
      </w:r>
      <w:r w:rsidR="00511880" w:rsidRPr="00733CD0">
        <w:t>he value an organisation places on learning and education will</w:t>
      </w:r>
      <w:r w:rsidR="00511880">
        <w:t xml:space="preserve"> be reflected in policies and procedures and strong leadership which promotes a culture of learning and prioritises learning as a high priority.</w:t>
      </w:r>
    </w:p>
    <w:p w:rsidR="00733CD0" w:rsidRDefault="00733CD0" w:rsidP="00DA7EA6">
      <w:pPr>
        <w:pStyle w:val="DHHSbody"/>
        <w:spacing w:after="240"/>
        <w:rPr>
          <w:i/>
        </w:rPr>
      </w:pPr>
      <w:r w:rsidRPr="00733CD0">
        <w:t xml:space="preserve">A learning culture represents the philosophy of the whole organisation, ensuring that educators and </w:t>
      </w:r>
      <w:r w:rsidR="005A3DF1">
        <w:t xml:space="preserve">other </w:t>
      </w:r>
      <w:r w:rsidRPr="00733CD0">
        <w:t>staff are appropriately recognised</w:t>
      </w:r>
      <w:r w:rsidR="00B15A7F">
        <w:t>, resourced</w:t>
      </w:r>
      <w:r w:rsidRPr="00733CD0">
        <w:t xml:space="preserve"> and supported to work with and mentor graduates. These staff members should demonstrate and maintain a positiv</w:t>
      </w:r>
      <w:r w:rsidR="00D44591">
        <w:t>e work and learning environment that</w:t>
      </w:r>
      <w:r w:rsidRPr="00733CD0">
        <w:t xml:space="preserve"> support</w:t>
      </w:r>
      <w:r w:rsidR="00D44591">
        <w:t>s</w:t>
      </w:r>
      <w:r w:rsidRPr="00733CD0">
        <w:t xml:space="preserve"> an effective transition to practice journey</w:t>
      </w:r>
      <w:bookmarkStart w:id="24" w:name="_Ref515456249"/>
      <w:r w:rsidR="00D57938">
        <w:rPr>
          <w:rStyle w:val="EndnoteReference"/>
        </w:rPr>
        <w:endnoteReference w:id="8"/>
      </w:r>
      <w:bookmarkEnd w:id="24"/>
      <w:r w:rsidR="006357D7">
        <w:t>.</w:t>
      </w:r>
      <w:r w:rsidR="001837A9">
        <w:t xml:space="preserve"> </w:t>
      </w:r>
    </w:p>
    <w:tbl>
      <w:tblPr>
        <w:tblStyle w:val="TableGrid"/>
        <w:tblW w:w="0" w:type="auto"/>
        <w:tblCellMar>
          <w:top w:w="57" w:type="dxa"/>
          <w:bottom w:w="57" w:type="dxa"/>
        </w:tblCellMar>
        <w:tblLook w:val="04A0" w:firstRow="1" w:lastRow="0" w:firstColumn="1" w:lastColumn="0" w:noHBand="0" w:noVBand="1"/>
      </w:tblPr>
      <w:tblGrid>
        <w:gridCol w:w="1985"/>
        <w:gridCol w:w="7229"/>
      </w:tblGrid>
      <w:tr w:rsidR="007960CE" w:rsidTr="00005BAB">
        <w:trPr>
          <w:tblHeader/>
        </w:trPr>
        <w:tc>
          <w:tcPr>
            <w:tcW w:w="9214" w:type="dxa"/>
            <w:gridSpan w:val="2"/>
          </w:tcPr>
          <w:p w:rsidR="007960CE" w:rsidRDefault="00D966F6" w:rsidP="00C2632F">
            <w:pPr>
              <w:pStyle w:val="DHHStablecolhead"/>
            </w:pPr>
            <w:r w:rsidRPr="00DD4EDC">
              <w:rPr>
                <w:i/>
              </w:rPr>
              <w:t xml:space="preserve">Key considerations for nursing and midwifery </w:t>
            </w:r>
            <w:r w:rsidR="00A707EA">
              <w:rPr>
                <w:i/>
              </w:rPr>
              <w:t>transition to practice</w:t>
            </w:r>
            <w:r w:rsidRPr="00DD4EDC">
              <w:rPr>
                <w:i/>
              </w:rPr>
              <w:t xml:space="preserve"> programs</w:t>
            </w:r>
          </w:p>
        </w:tc>
      </w:tr>
      <w:tr w:rsidR="006357D7" w:rsidTr="00472A90">
        <w:tc>
          <w:tcPr>
            <w:tcW w:w="1985" w:type="dxa"/>
          </w:tcPr>
          <w:p w:rsidR="006357D7" w:rsidRDefault="006F7828" w:rsidP="00C2632F">
            <w:pPr>
              <w:pStyle w:val="Heading4"/>
              <w:keepNext w:val="0"/>
              <w:keepLines w:val="0"/>
              <w:outlineLvl w:val="3"/>
            </w:pPr>
            <w:bookmarkStart w:id="25" w:name="_Toc519165377"/>
            <w:r>
              <w:t>Leadership</w:t>
            </w:r>
            <w:bookmarkEnd w:id="25"/>
          </w:p>
        </w:tc>
        <w:tc>
          <w:tcPr>
            <w:tcW w:w="7229" w:type="dxa"/>
          </w:tcPr>
          <w:p w:rsidR="00017A76" w:rsidRDefault="006357D7" w:rsidP="00C2632F">
            <w:pPr>
              <w:pStyle w:val="DHHSbody"/>
            </w:pPr>
            <w:r w:rsidRPr="00733CD0">
              <w:t xml:space="preserve">Strong leadership is important in </w:t>
            </w:r>
            <w:r w:rsidR="00F76300">
              <w:t>managing</w:t>
            </w:r>
            <w:r w:rsidR="00BE48E6">
              <w:t xml:space="preserve"> and d</w:t>
            </w:r>
            <w:r w:rsidR="00F76300">
              <w:t>riving</w:t>
            </w:r>
            <w:r w:rsidRPr="00733CD0">
              <w:t xml:space="preserve"> a successful </w:t>
            </w:r>
            <w:r w:rsidR="00A707EA">
              <w:t>transition to practice</w:t>
            </w:r>
            <w:r w:rsidRPr="00733CD0">
              <w:t xml:space="preserve"> program</w:t>
            </w:r>
            <w:r w:rsidR="00555661">
              <w:t>.</w:t>
            </w:r>
            <w:r w:rsidR="00BE48E6">
              <w:t xml:space="preserve"> </w:t>
            </w:r>
            <w:r w:rsidR="00017A76">
              <w:t>Transition to practice program l</w:t>
            </w:r>
            <w:r w:rsidR="00F76300">
              <w:t>eaders</w:t>
            </w:r>
            <w:r w:rsidR="007C48A0">
              <w:t xml:space="preserve"> can </w:t>
            </w:r>
            <w:r w:rsidR="0018124C">
              <w:t>include g</w:t>
            </w:r>
            <w:r w:rsidR="007C48A0">
              <w:t xml:space="preserve">raduate </w:t>
            </w:r>
            <w:r w:rsidR="0018124C">
              <w:t>c</w:t>
            </w:r>
            <w:r w:rsidR="007C48A0">
              <w:t xml:space="preserve">oordinators (or equivalent), clinical educators, preceptors and other staff who take on a </w:t>
            </w:r>
            <w:r w:rsidR="003465F1">
              <w:t>supportive</w:t>
            </w:r>
            <w:r w:rsidR="007C48A0">
              <w:t xml:space="preserve"> role for</w:t>
            </w:r>
            <w:r w:rsidR="003465F1">
              <w:t xml:space="preserve"> graduate</w:t>
            </w:r>
            <w:r w:rsidR="007C48A0">
              <w:t xml:space="preserve"> nurses and midwives. </w:t>
            </w:r>
          </w:p>
          <w:p w:rsidR="00605D46" w:rsidRDefault="003574F7" w:rsidP="00C2632F">
            <w:pPr>
              <w:pStyle w:val="DHHSbody"/>
              <w:rPr>
                <w:rFonts w:cs="Arial"/>
              </w:rPr>
            </w:pPr>
            <w:r>
              <w:t>Leaders</w:t>
            </w:r>
            <w:r w:rsidR="00F76300">
              <w:t xml:space="preserve"> motivate</w:t>
            </w:r>
            <w:r w:rsidR="005A3DF1">
              <w:t xml:space="preserve"> and collaborate with</w:t>
            </w:r>
            <w:r w:rsidR="00F76300">
              <w:t xml:space="preserve"> staff</w:t>
            </w:r>
            <w:r w:rsidR="005A3DF1">
              <w:t>,</w:t>
            </w:r>
            <w:r w:rsidR="00F76300">
              <w:t xml:space="preserve"> and identify opportunities for innovation</w:t>
            </w:r>
            <w:r w:rsidR="005A3DF1">
              <w:t xml:space="preserve"> and delivery of service excellence</w:t>
            </w:r>
            <w:r w:rsidR="00605D46">
              <w:t xml:space="preserve">. </w:t>
            </w:r>
            <w:r w:rsidR="00A707EA">
              <w:rPr>
                <w:rFonts w:cs="Arial"/>
              </w:rPr>
              <w:t>Transition to practice</w:t>
            </w:r>
            <w:r w:rsidR="00605D46" w:rsidRPr="0074603F">
              <w:rPr>
                <w:rFonts w:cs="Arial"/>
              </w:rPr>
              <w:t xml:space="preserve"> program leaders undertak</w:t>
            </w:r>
            <w:r w:rsidR="00605D46">
              <w:rPr>
                <w:rFonts w:cs="Arial"/>
              </w:rPr>
              <w:t>e</w:t>
            </w:r>
            <w:r w:rsidR="00605D46" w:rsidRPr="0074603F">
              <w:rPr>
                <w:rFonts w:cs="Arial"/>
              </w:rPr>
              <w:t xml:space="preserve"> the role of assisting nurses and midwives to develop professionally</w:t>
            </w:r>
            <w:bookmarkStart w:id="26" w:name="_Ref515440761"/>
            <w:r w:rsidR="00605D46" w:rsidRPr="0074603F">
              <w:rPr>
                <w:rStyle w:val="EndnoteReference"/>
                <w:rFonts w:cs="Arial"/>
              </w:rPr>
              <w:endnoteReference w:id="9"/>
            </w:r>
            <w:bookmarkEnd w:id="26"/>
            <w:r w:rsidR="00B94CE3">
              <w:rPr>
                <w:rFonts w:cs="Arial"/>
              </w:rPr>
              <w:t xml:space="preserve">, with effective </w:t>
            </w:r>
            <w:r w:rsidR="00B94CE3" w:rsidRPr="003319F3">
              <w:rPr>
                <w:rFonts w:cs="Arial"/>
              </w:rPr>
              <w:t>leadership</w:t>
            </w:r>
            <w:r w:rsidR="0071206E">
              <w:rPr>
                <w:rFonts w:cs="Arial"/>
              </w:rPr>
              <w:t>,</w:t>
            </w:r>
            <w:r w:rsidR="00B94CE3" w:rsidRPr="003319F3">
              <w:rPr>
                <w:rFonts w:cs="Arial"/>
              </w:rPr>
              <w:t xml:space="preserve"> ensuring that </w:t>
            </w:r>
            <w:r w:rsidR="00A707EA">
              <w:rPr>
                <w:rFonts w:cs="Arial"/>
              </w:rPr>
              <w:t>transition to practice</w:t>
            </w:r>
            <w:r w:rsidR="00B94CE3" w:rsidRPr="003319F3">
              <w:rPr>
                <w:rFonts w:cs="Arial"/>
              </w:rPr>
              <w:t xml:space="preserve"> programs are able to meet the needs and </w:t>
            </w:r>
            <w:r w:rsidR="00A707EA">
              <w:rPr>
                <w:rFonts w:cs="Arial"/>
              </w:rPr>
              <w:t>established</w:t>
            </w:r>
            <w:r w:rsidR="0071206E" w:rsidRPr="003319F3">
              <w:rPr>
                <w:rFonts w:cs="Arial"/>
              </w:rPr>
              <w:t xml:space="preserve"> </w:t>
            </w:r>
            <w:r w:rsidR="00B94CE3" w:rsidRPr="003319F3">
              <w:rPr>
                <w:rFonts w:cs="Arial"/>
              </w:rPr>
              <w:t>goals of their organisation</w:t>
            </w:r>
            <w:r w:rsidR="00B94CE3" w:rsidRPr="003319F3">
              <w:rPr>
                <w:rStyle w:val="EndnoteReference"/>
                <w:rFonts w:cs="Arial"/>
              </w:rPr>
              <w:fldChar w:fldCharType="begin"/>
            </w:r>
            <w:r w:rsidR="00B94CE3" w:rsidRPr="003319F3">
              <w:rPr>
                <w:rFonts w:cs="Arial"/>
                <w:vertAlign w:val="superscript"/>
              </w:rPr>
              <w:instrText xml:space="preserve"> NOTEREF _Ref515440761 \h </w:instrText>
            </w:r>
            <w:r w:rsidR="00B94CE3" w:rsidRPr="003319F3">
              <w:rPr>
                <w:rStyle w:val="EndnoteReference"/>
                <w:rFonts w:cs="Arial"/>
              </w:rPr>
              <w:instrText xml:space="preserve"> \* MERGEFORMAT </w:instrText>
            </w:r>
            <w:r w:rsidR="00B94CE3" w:rsidRPr="003319F3">
              <w:rPr>
                <w:rStyle w:val="EndnoteReference"/>
                <w:rFonts w:cs="Arial"/>
              </w:rPr>
            </w:r>
            <w:r w:rsidR="00B94CE3" w:rsidRPr="003319F3">
              <w:rPr>
                <w:rStyle w:val="EndnoteReference"/>
                <w:rFonts w:cs="Arial"/>
              </w:rPr>
              <w:fldChar w:fldCharType="separate"/>
            </w:r>
            <w:r w:rsidR="004D60A8">
              <w:rPr>
                <w:rFonts w:cs="Arial"/>
                <w:vertAlign w:val="superscript"/>
              </w:rPr>
              <w:t>9</w:t>
            </w:r>
            <w:r w:rsidR="00B94CE3" w:rsidRPr="003319F3">
              <w:rPr>
                <w:rStyle w:val="EndnoteReference"/>
                <w:rFonts w:cs="Arial"/>
              </w:rPr>
              <w:fldChar w:fldCharType="end"/>
            </w:r>
            <w:r w:rsidR="0018124C">
              <w:rPr>
                <w:rFonts w:cs="Arial"/>
              </w:rPr>
              <w:t>, and the needs of graduates</w:t>
            </w:r>
            <w:r w:rsidR="00B94CE3" w:rsidRPr="003319F3">
              <w:rPr>
                <w:rFonts w:cs="Arial"/>
              </w:rPr>
              <w:t>.</w:t>
            </w:r>
          </w:p>
          <w:p w:rsidR="0018124C" w:rsidRPr="0018124C" w:rsidRDefault="0018124C" w:rsidP="00C2632F">
            <w:pPr>
              <w:pStyle w:val="DHHSbody"/>
              <w:rPr>
                <w:rFonts w:eastAsia="Times New Roman"/>
                <w:b/>
                <w:color w:val="007B4B"/>
              </w:rPr>
            </w:pPr>
            <w:r w:rsidRPr="0018124C">
              <w:rPr>
                <w:rFonts w:eastAsia="Times New Roman"/>
                <w:b/>
                <w:color w:val="007B4B"/>
              </w:rPr>
              <w:t>Recommendation:</w:t>
            </w:r>
          </w:p>
          <w:p w:rsidR="007B46C2" w:rsidRDefault="00B94CE3" w:rsidP="00C2632F">
            <w:pPr>
              <w:pStyle w:val="DHHSbody"/>
            </w:pPr>
            <w:r>
              <w:rPr>
                <w:rFonts w:cs="Arial"/>
              </w:rPr>
              <w:t xml:space="preserve">To assist in strong leadership contributing to effective operation of </w:t>
            </w:r>
            <w:r w:rsidR="00A707EA">
              <w:rPr>
                <w:rFonts w:cs="Arial"/>
              </w:rPr>
              <w:t>transition to practice</w:t>
            </w:r>
            <w:r>
              <w:rPr>
                <w:rFonts w:cs="Arial"/>
              </w:rPr>
              <w:t xml:space="preserve"> programs, i</w:t>
            </w:r>
            <w:r w:rsidR="007B46C2">
              <w:rPr>
                <w:rFonts w:cs="Arial"/>
              </w:rPr>
              <w:t xml:space="preserve">t is </w:t>
            </w:r>
            <w:r w:rsidR="007B46C2" w:rsidRPr="00B94CE3">
              <w:rPr>
                <w:rFonts w:cs="Arial"/>
              </w:rPr>
              <w:t xml:space="preserve">recommended that organisations </w:t>
            </w:r>
            <w:r w:rsidRPr="00B94CE3">
              <w:rPr>
                <w:rFonts w:cs="Arial"/>
              </w:rPr>
              <w:t>support leaders to undertake educational opportunities to effectiv</w:t>
            </w:r>
            <w:r w:rsidR="006F5FEA">
              <w:rPr>
                <w:rFonts w:cs="Arial"/>
              </w:rPr>
              <w:t xml:space="preserve">ely facilitate </w:t>
            </w:r>
            <w:r w:rsidR="00A707EA">
              <w:rPr>
                <w:rFonts w:cs="Arial"/>
              </w:rPr>
              <w:t>transition to practice</w:t>
            </w:r>
            <w:r w:rsidR="006F5FEA">
              <w:rPr>
                <w:rFonts w:cs="Arial"/>
              </w:rPr>
              <w:t xml:space="preserve"> program operation</w:t>
            </w:r>
            <w:r w:rsidRPr="00B94CE3">
              <w:rPr>
                <w:rFonts w:cs="Arial"/>
              </w:rPr>
              <w:t>.</w:t>
            </w:r>
            <w:r>
              <w:rPr>
                <w:rFonts w:cs="Arial"/>
              </w:rPr>
              <w:t xml:space="preserve"> </w:t>
            </w:r>
          </w:p>
        </w:tc>
      </w:tr>
      <w:tr w:rsidR="00605D46" w:rsidTr="00472A90">
        <w:tc>
          <w:tcPr>
            <w:tcW w:w="1985" w:type="dxa"/>
          </w:tcPr>
          <w:p w:rsidR="00605D46" w:rsidRDefault="00605D46" w:rsidP="00C2632F">
            <w:pPr>
              <w:pStyle w:val="Heading4"/>
              <w:keepNext w:val="0"/>
              <w:keepLines w:val="0"/>
              <w:outlineLvl w:val="3"/>
            </w:pPr>
            <w:bookmarkStart w:id="27" w:name="_Toc519165378"/>
            <w:r>
              <w:t>P</w:t>
            </w:r>
            <w:r w:rsidRPr="00733CD0">
              <w:t>receptorship and mentor</w:t>
            </w:r>
            <w:r>
              <w:t>ing</w:t>
            </w:r>
            <w:bookmarkEnd w:id="27"/>
          </w:p>
        </w:tc>
        <w:tc>
          <w:tcPr>
            <w:tcW w:w="7229" w:type="dxa"/>
          </w:tcPr>
          <w:p w:rsidR="004D39A7" w:rsidRDefault="00605D46" w:rsidP="00C2632F">
            <w:pPr>
              <w:pStyle w:val="DHHSbody"/>
            </w:pPr>
            <w:r w:rsidRPr="00F76300">
              <w:t>Effective and supportive preceptors increase graduate confidence</w:t>
            </w:r>
            <w:r w:rsidR="004D39A7" w:rsidRPr="004D39A7">
              <w:rPr>
                <w:rStyle w:val="EndnoteReference"/>
              </w:rPr>
              <w:fldChar w:fldCharType="begin"/>
            </w:r>
            <w:r w:rsidR="004D39A7" w:rsidRPr="004D39A7">
              <w:rPr>
                <w:vertAlign w:val="superscript"/>
              </w:rPr>
              <w:instrText xml:space="preserve"> NOTEREF _Ref508113280 \h </w:instrText>
            </w:r>
            <w:r w:rsidR="004D39A7" w:rsidRPr="004D39A7">
              <w:rPr>
                <w:rStyle w:val="EndnoteReference"/>
              </w:rPr>
              <w:instrText xml:space="preserve"> \* MERGEFORMAT </w:instrText>
            </w:r>
            <w:r w:rsidR="004D39A7" w:rsidRPr="004D39A7">
              <w:rPr>
                <w:rStyle w:val="EndnoteReference"/>
              </w:rPr>
            </w:r>
            <w:r w:rsidR="004D39A7" w:rsidRPr="004D39A7">
              <w:rPr>
                <w:rStyle w:val="EndnoteReference"/>
              </w:rPr>
              <w:fldChar w:fldCharType="separate"/>
            </w:r>
            <w:r w:rsidR="004D60A8">
              <w:rPr>
                <w:vertAlign w:val="superscript"/>
              </w:rPr>
              <w:t>5</w:t>
            </w:r>
            <w:r w:rsidR="004D39A7" w:rsidRPr="004D39A7">
              <w:rPr>
                <w:rStyle w:val="EndnoteReference"/>
              </w:rPr>
              <w:fldChar w:fldCharType="end"/>
            </w:r>
            <w:r w:rsidR="00A707EA" w:rsidRPr="00A707EA">
              <w:rPr>
                <w:vertAlign w:val="superscript"/>
              </w:rPr>
              <w:t>,</w:t>
            </w:r>
            <w:r w:rsidR="004D39A7">
              <w:rPr>
                <w:rStyle w:val="EndnoteReference"/>
              </w:rPr>
              <w:endnoteReference w:id="10"/>
            </w:r>
            <w:r w:rsidRPr="00F76300">
              <w:t xml:space="preserve"> </w:t>
            </w:r>
            <w:r>
              <w:t xml:space="preserve">through coaching, providing direction and imparting knowledge and </w:t>
            </w:r>
            <w:r w:rsidRPr="00F76300">
              <w:t>skills.</w:t>
            </w:r>
            <w:r>
              <w:t xml:space="preserve"> </w:t>
            </w:r>
            <w:r w:rsidR="0071206E">
              <w:t>W</w:t>
            </w:r>
            <w:r w:rsidRPr="003319F3">
              <w:t>orking with and mentoring graduates</w:t>
            </w:r>
            <w:r w:rsidR="002A1318">
              <w:t xml:space="preserve"> through</w:t>
            </w:r>
            <w:r w:rsidR="004D39A7" w:rsidRPr="003319F3">
              <w:t xml:space="preserve"> effective preceptorship </w:t>
            </w:r>
            <w:r w:rsidR="009231B7" w:rsidRPr="003319F3">
              <w:rPr>
                <w:rFonts w:cs="Arial"/>
              </w:rPr>
              <w:t>enab</w:t>
            </w:r>
            <w:r w:rsidR="009231B7">
              <w:rPr>
                <w:rFonts w:cs="Arial"/>
              </w:rPr>
              <w:t>les</w:t>
            </w:r>
            <w:r w:rsidR="004D39A7" w:rsidRPr="003319F3">
              <w:rPr>
                <w:rFonts w:cs="Arial"/>
              </w:rPr>
              <w:t xml:space="preserve"> graduates to feel supported while consolidating their skills</w:t>
            </w:r>
            <w:r w:rsidR="004D39A7" w:rsidRPr="003319F3">
              <w:rPr>
                <w:rStyle w:val="EndnoteReference"/>
                <w:rFonts w:cs="Arial"/>
              </w:rPr>
              <w:fldChar w:fldCharType="begin"/>
            </w:r>
            <w:r w:rsidR="004D39A7" w:rsidRPr="003319F3">
              <w:rPr>
                <w:rFonts w:cs="Arial"/>
                <w:vertAlign w:val="superscript"/>
              </w:rPr>
              <w:instrText xml:space="preserve"> NOTEREF _Ref508113280 \h </w:instrText>
            </w:r>
            <w:r w:rsidR="004D39A7" w:rsidRPr="003319F3">
              <w:rPr>
                <w:rStyle w:val="EndnoteReference"/>
                <w:rFonts w:cs="Arial"/>
              </w:rPr>
              <w:instrText xml:space="preserve"> \* MERGEFORMAT </w:instrText>
            </w:r>
            <w:r w:rsidR="004D39A7" w:rsidRPr="003319F3">
              <w:rPr>
                <w:rStyle w:val="EndnoteReference"/>
                <w:rFonts w:cs="Arial"/>
              </w:rPr>
            </w:r>
            <w:r w:rsidR="004D39A7" w:rsidRPr="003319F3">
              <w:rPr>
                <w:rStyle w:val="EndnoteReference"/>
                <w:rFonts w:cs="Arial"/>
              </w:rPr>
              <w:fldChar w:fldCharType="separate"/>
            </w:r>
            <w:r w:rsidR="004D60A8">
              <w:rPr>
                <w:rFonts w:cs="Arial"/>
                <w:vertAlign w:val="superscript"/>
              </w:rPr>
              <w:t>5</w:t>
            </w:r>
            <w:r w:rsidR="004D39A7" w:rsidRPr="003319F3">
              <w:rPr>
                <w:rStyle w:val="EndnoteReference"/>
                <w:rFonts w:cs="Arial"/>
              </w:rPr>
              <w:fldChar w:fldCharType="end"/>
            </w:r>
            <w:r w:rsidRPr="003319F3">
              <w:t>.</w:t>
            </w:r>
            <w:r>
              <w:t xml:space="preserve"> </w:t>
            </w:r>
          </w:p>
          <w:p w:rsidR="00605D46" w:rsidRDefault="00FB5A55" w:rsidP="00C2632F">
            <w:pPr>
              <w:pStyle w:val="DHHSbody"/>
            </w:pPr>
            <w:r>
              <w:t>D</w:t>
            </w:r>
            <w:r w:rsidR="00605D46">
              <w:t xml:space="preserve">evelopment programs </w:t>
            </w:r>
            <w:r w:rsidR="003465F1">
              <w:t xml:space="preserve">in preceptorship </w:t>
            </w:r>
            <w:r w:rsidR="00605D46">
              <w:t xml:space="preserve">can enhance </w:t>
            </w:r>
            <w:r>
              <w:t>clinical leadership</w:t>
            </w:r>
            <w:r w:rsidR="00605D46">
              <w:t xml:space="preserve"> skills </w:t>
            </w:r>
            <w:r>
              <w:t xml:space="preserve">for staff members working with graduates </w:t>
            </w:r>
            <w:r w:rsidR="00605D46">
              <w:t xml:space="preserve">and maintain a positive working and learning culture. </w:t>
            </w:r>
          </w:p>
          <w:p w:rsidR="0018124C" w:rsidRPr="0018124C" w:rsidRDefault="0018124C" w:rsidP="00C2632F">
            <w:pPr>
              <w:pStyle w:val="DHHSbody"/>
              <w:rPr>
                <w:rFonts w:eastAsia="Times New Roman"/>
                <w:b/>
                <w:color w:val="007B4B"/>
              </w:rPr>
            </w:pPr>
            <w:r w:rsidRPr="0018124C">
              <w:rPr>
                <w:rFonts w:eastAsia="Times New Roman"/>
                <w:b/>
                <w:color w:val="007B4B"/>
              </w:rPr>
              <w:t>Recommendation:</w:t>
            </w:r>
          </w:p>
          <w:p w:rsidR="00605D46" w:rsidRPr="00733CD0" w:rsidRDefault="00605D46" w:rsidP="0018124C">
            <w:pPr>
              <w:pStyle w:val="DHHSbody"/>
            </w:pPr>
            <w:r w:rsidRPr="00733CD0">
              <w:t xml:space="preserve">It is recommended that organisations </w:t>
            </w:r>
            <w:r>
              <w:t>proactively support</w:t>
            </w:r>
            <w:r w:rsidRPr="00733CD0">
              <w:t xml:space="preserve"> the opportunity for staff to attend pr</w:t>
            </w:r>
            <w:r>
              <w:t>eceptorship training.</w:t>
            </w:r>
          </w:p>
        </w:tc>
      </w:tr>
      <w:tr w:rsidR="006357D7" w:rsidTr="00472A90">
        <w:tc>
          <w:tcPr>
            <w:tcW w:w="1985" w:type="dxa"/>
          </w:tcPr>
          <w:p w:rsidR="006357D7" w:rsidRPr="00733CD0" w:rsidRDefault="0018124C" w:rsidP="00C2632F">
            <w:pPr>
              <w:pStyle w:val="Heading4"/>
              <w:keepNext w:val="0"/>
              <w:keepLines w:val="0"/>
              <w:outlineLvl w:val="3"/>
            </w:pPr>
            <w:bookmarkStart w:id="28" w:name="_Toc519165379"/>
            <w:r>
              <w:t>Peer s</w:t>
            </w:r>
            <w:r w:rsidR="007960CE">
              <w:t>upport</w:t>
            </w:r>
            <w:bookmarkEnd w:id="28"/>
          </w:p>
        </w:tc>
        <w:tc>
          <w:tcPr>
            <w:tcW w:w="7229" w:type="dxa"/>
          </w:tcPr>
          <w:p w:rsidR="00490B6F" w:rsidRDefault="007960CE" w:rsidP="00C2632F">
            <w:pPr>
              <w:pStyle w:val="DHHSbody"/>
            </w:pPr>
            <w:r w:rsidRPr="007960CE">
              <w:t xml:space="preserve">A positive culture can be achieved when graduates are treated as part of the team, are valued for the positive aspects they bring to </w:t>
            </w:r>
            <w:r w:rsidR="00490B6F">
              <w:t>an</w:t>
            </w:r>
            <w:r w:rsidRPr="007960CE">
              <w:t xml:space="preserve"> organisation’s workforce and are provided with opportunities to learn from the staff they work </w:t>
            </w:r>
            <w:r w:rsidRPr="007960CE">
              <w:lastRenderedPageBreak/>
              <w:t>alongside. Graduates benefit greatly from peer support</w:t>
            </w:r>
            <w:bookmarkStart w:id="29" w:name="_Ref514748907"/>
            <w:r w:rsidRPr="00B166D9">
              <w:rPr>
                <w:vertAlign w:val="superscript"/>
              </w:rPr>
              <w:endnoteReference w:id="11"/>
            </w:r>
            <w:bookmarkEnd w:id="29"/>
            <w:r w:rsidRPr="007960CE">
              <w:t xml:space="preserve"> as </w:t>
            </w:r>
            <w:r w:rsidR="00490B6F">
              <w:t xml:space="preserve">it </w:t>
            </w:r>
            <w:r w:rsidRPr="007960CE">
              <w:t>provides an opportunity to debrief</w:t>
            </w:r>
            <w:r w:rsidR="00490B6F">
              <w:t>,</w:t>
            </w:r>
            <w:r w:rsidRPr="007960CE">
              <w:t xml:space="preserve"> voice concerns and </w:t>
            </w:r>
            <w:r w:rsidR="00490B6F">
              <w:t xml:space="preserve">identify </w:t>
            </w:r>
            <w:r w:rsidRPr="007960CE">
              <w:t>stressors</w:t>
            </w:r>
            <w:r w:rsidRPr="00B166D9">
              <w:rPr>
                <w:vertAlign w:val="superscript"/>
              </w:rPr>
              <w:endnoteReference w:id="12"/>
            </w:r>
            <w:r w:rsidRPr="007960CE">
              <w:t xml:space="preserve">. </w:t>
            </w:r>
          </w:p>
          <w:p w:rsidR="008326F3" w:rsidRPr="008326F3" w:rsidRDefault="008326F3" w:rsidP="00C2632F">
            <w:pPr>
              <w:pStyle w:val="DHHSbody"/>
              <w:rPr>
                <w:rFonts w:eastAsia="Times New Roman"/>
                <w:b/>
                <w:color w:val="007B4B"/>
              </w:rPr>
            </w:pPr>
            <w:r w:rsidRPr="008326F3">
              <w:rPr>
                <w:rFonts w:eastAsia="Times New Roman"/>
                <w:b/>
                <w:color w:val="007B4B"/>
              </w:rPr>
              <w:t>Recommendation:</w:t>
            </w:r>
          </w:p>
          <w:p w:rsidR="006357D7" w:rsidRPr="007960CE" w:rsidRDefault="007960CE" w:rsidP="00C2632F">
            <w:pPr>
              <w:pStyle w:val="DHHSbody"/>
            </w:pPr>
            <w:r w:rsidRPr="007960CE">
              <w:t xml:space="preserve">It is recommended that while participating in a </w:t>
            </w:r>
            <w:r w:rsidR="00A707EA">
              <w:t>transition to practice</w:t>
            </w:r>
            <w:r w:rsidRPr="007960CE">
              <w:t xml:space="preserve"> program, nurses and midwives have the opportunity to access</w:t>
            </w:r>
            <w:r w:rsidR="00017A76">
              <w:t xml:space="preserve"> regular</w:t>
            </w:r>
            <w:r w:rsidRPr="007960CE">
              <w:t xml:space="preserve"> group debriefing sessions and individual debriefing sessions</w:t>
            </w:r>
            <w:r w:rsidR="008326F3">
              <w:t xml:space="preserve"> with preceptors</w:t>
            </w:r>
            <w:r w:rsidR="00AC2361">
              <w:t>, as agreed between graduates and organisations</w:t>
            </w:r>
            <w:r w:rsidRPr="007960CE">
              <w:t>.</w:t>
            </w:r>
          </w:p>
        </w:tc>
      </w:tr>
    </w:tbl>
    <w:p w:rsidR="006357D7" w:rsidRPr="00733CD0" w:rsidRDefault="006357D7" w:rsidP="00733CD0">
      <w:pPr>
        <w:pStyle w:val="DHHSbody"/>
      </w:pPr>
    </w:p>
    <w:p w:rsidR="00733CD0" w:rsidRPr="00733CD0" w:rsidRDefault="004F5540" w:rsidP="00733CD0">
      <w:pPr>
        <w:pStyle w:val="Heading3"/>
      </w:pPr>
      <w:bookmarkStart w:id="30" w:name="_Toc519164878"/>
      <w:bookmarkStart w:id="31" w:name="_Toc519164923"/>
      <w:bookmarkStart w:id="32" w:name="_Toc519165380"/>
      <w:r>
        <w:t>BPCLE Element 2:</w:t>
      </w:r>
      <w:r w:rsidR="00733CD0" w:rsidRPr="00733CD0">
        <w:t xml:space="preserve"> Best practice clinical practice</w:t>
      </w:r>
      <w:bookmarkEnd w:id="30"/>
      <w:bookmarkEnd w:id="31"/>
      <w:bookmarkEnd w:id="32"/>
    </w:p>
    <w:p w:rsidR="00DD2183" w:rsidRPr="00733CD0" w:rsidRDefault="00733CD0" w:rsidP="00401EA0">
      <w:pPr>
        <w:pStyle w:val="DHHSbody"/>
      </w:pPr>
      <w:r w:rsidRPr="00733CD0">
        <w:t>Patients have a right to receive safe and high-quality care. Best practice clinical practice is the goal of every health service.</w:t>
      </w:r>
    </w:p>
    <w:p w:rsidR="00733CD0" w:rsidRPr="00733CD0" w:rsidRDefault="00733CD0" w:rsidP="00733CD0">
      <w:pPr>
        <w:pStyle w:val="DHHSbody"/>
      </w:pPr>
      <w:r w:rsidRPr="00733CD0">
        <w:t xml:space="preserve">An organisation demonstrates a commitment to providing high-quality care for patients through continuous quality improvement, </w:t>
      </w:r>
      <w:r w:rsidR="00024733">
        <w:t>facilitating a culture of quality</w:t>
      </w:r>
      <w:r w:rsidR="003574F7">
        <w:t xml:space="preserve"> and safety through supporting </w:t>
      </w:r>
      <w:r w:rsidR="00366443">
        <w:t>practitioners</w:t>
      </w:r>
      <w:r w:rsidR="00024733">
        <w:t xml:space="preserve"> to</w:t>
      </w:r>
      <w:r w:rsidR="00366443">
        <w:t xml:space="preserve"> have </w:t>
      </w:r>
      <w:r w:rsidRPr="00733CD0">
        <w:t xml:space="preserve">appropriate skills, knowledge and attributes to practice </w:t>
      </w:r>
      <w:r w:rsidR="00024733">
        <w:t>safely and competently,</w:t>
      </w:r>
      <w:r w:rsidR="00024733" w:rsidRPr="00733CD0">
        <w:t xml:space="preserve"> </w:t>
      </w:r>
      <w:r w:rsidRPr="00733CD0">
        <w:t xml:space="preserve">and </w:t>
      </w:r>
      <w:r w:rsidR="004C7877">
        <w:t xml:space="preserve">ensuring </w:t>
      </w:r>
      <w:r w:rsidRPr="00733CD0">
        <w:t xml:space="preserve">that best evidence is adopted into practice. </w:t>
      </w:r>
    </w:p>
    <w:p w:rsidR="00733CD0" w:rsidRDefault="00A707EA" w:rsidP="00733CD0">
      <w:pPr>
        <w:pStyle w:val="DHHSbody"/>
      </w:pPr>
      <w:r>
        <w:t>Transition to practice</w:t>
      </w:r>
      <w:r w:rsidR="00733CD0" w:rsidRPr="00733CD0">
        <w:t xml:space="preserve"> programs provide the opportunity for new nurses and midwives to consolidate their skills and knowledge and to facilitate the transition to safe and competent health professionals.</w:t>
      </w:r>
      <w:r w:rsidR="00117F8A">
        <w:t xml:space="preserve"> This includes the </w:t>
      </w:r>
      <w:r w:rsidR="002A1318">
        <w:t xml:space="preserve">further </w:t>
      </w:r>
      <w:r w:rsidR="00117F8A">
        <w:t xml:space="preserve">development of critical thinking and problem-solving </w:t>
      </w:r>
      <w:r w:rsidR="002A1318">
        <w:t>ensuring</w:t>
      </w:r>
      <w:r w:rsidR="00733CD0" w:rsidRPr="00733CD0">
        <w:t xml:space="preserve"> safe and high quality care for patients</w:t>
      </w:r>
      <w:r w:rsidR="00733CD0" w:rsidRPr="00733CD0">
        <w:rPr>
          <w:vertAlign w:val="superscript"/>
        </w:rPr>
        <w:endnoteReference w:id="13"/>
      </w:r>
      <w:r w:rsidR="00733CD0" w:rsidRPr="00733CD0">
        <w:t>.</w:t>
      </w:r>
      <w:r w:rsidR="00BE32AA">
        <w:t xml:space="preserve"> </w:t>
      </w:r>
    </w:p>
    <w:p w:rsidR="00912973" w:rsidRPr="00733CD0" w:rsidRDefault="00733CD0" w:rsidP="00DA7EA6">
      <w:pPr>
        <w:pStyle w:val="DHHSbody"/>
        <w:spacing w:after="240"/>
      </w:pPr>
      <w:r w:rsidRPr="00733CD0">
        <w:t xml:space="preserve">An organisation delivering </w:t>
      </w:r>
      <w:r w:rsidR="00A707EA">
        <w:t>a transition to practice program</w:t>
      </w:r>
      <w:r w:rsidRPr="00733CD0">
        <w:t xml:space="preserve"> needs to model </w:t>
      </w:r>
      <w:r w:rsidR="004C7877">
        <w:t xml:space="preserve">best practice </w:t>
      </w:r>
      <w:r w:rsidRPr="00733CD0">
        <w:t>behaviours, processes and practices to learners. This includes ensuring that systems, policies and protoc</w:t>
      </w:r>
      <w:r w:rsidR="00490B6F">
        <w:t>ols are in place and that p</w:t>
      </w:r>
      <w:r w:rsidRPr="00733CD0">
        <w:t xml:space="preserve">rograms </w:t>
      </w:r>
      <w:r w:rsidR="00490B6F">
        <w:t>are</w:t>
      </w:r>
      <w:r w:rsidRPr="00733CD0">
        <w:t xml:space="preserve"> regularly evaluated and reviewed to ensure they are meeting the n</w:t>
      </w:r>
      <w:r w:rsidR="00490B6F">
        <w:t>eeds of graduates, the organisation</w:t>
      </w:r>
      <w:r w:rsidRPr="00733CD0">
        <w:t xml:space="preserve"> and patients. </w:t>
      </w:r>
    </w:p>
    <w:tbl>
      <w:tblPr>
        <w:tblStyle w:val="TableGrid"/>
        <w:tblW w:w="0" w:type="auto"/>
        <w:tblCellMar>
          <w:top w:w="57" w:type="dxa"/>
          <w:bottom w:w="57" w:type="dxa"/>
        </w:tblCellMar>
        <w:tblLook w:val="04A0" w:firstRow="1" w:lastRow="0" w:firstColumn="1" w:lastColumn="0" w:noHBand="0" w:noVBand="1"/>
      </w:tblPr>
      <w:tblGrid>
        <w:gridCol w:w="1985"/>
        <w:gridCol w:w="7229"/>
      </w:tblGrid>
      <w:tr w:rsidR="00DD4EDC" w:rsidRPr="00DD4EDC" w:rsidTr="00DD4EDC">
        <w:trPr>
          <w:tblHeader/>
        </w:trPr>
        <w:tc>
          <w:tcPr>
            <w:tcW w:w="9214" w:type="dxa"/>
            <w:gridSpan w:val="2"/>
          </w:tcPr>
          <w:p w:rsidR="00DD4EDC" w:rsidRPr="00DD4EDC" w:rsidRDefault="00D966F6" w:rsidP="00C2632F">
            <w:pPr>
              <w:spacing w:before="80" w:after="60"/>
              <w:rPr>
                <w:rFonts w:ascii="Arial" w:hAnsi="Arial"/>
                <w:b/>
                <w:color w:val="007B4B"/>
              </w:rPr>
            </w:pPr>
            <w:r w:rsidRPr="00DD4EDC">
              <w:rPr>
                <w:rFonts w:ascii="Arial" w:hAnsi="Arial"/>
                <w:b/>
                <w:i/>
                <w:color w:val="007B4B"/>
              </w:rPr>
              <w:t xml:space="preserve">Key considerations for nursing and midwifery </w:t>
            </w:r>
            <w:r w:rsidR="00A707EA">
              <w:rPr>
                <w:rFonts w:ascii="Arial" w:hAnsi="Arial"/>
                <w:b/>
                <w:i/>
                <w:color w:val="007B4B"/>
              </w:rPr>
              <w:t>transition to practice</w:t>
            </w:r>
            <w:r w:rsidRPr="00DD4EDC">
              <w:rPr>
                <w:rFonts w:ascii="Arial" w:hAnsi="Arial"/>
                <w:b/>
                <w:i/>
                <w:color w:val="007B4B"/>
              </w:rPr>
              <w:t xml:space="preserve"> programs</w:t>
            </w:r>
          </w:p>
        </w:tc>
      </w:tr>
      <w:tr w:rsidR="00DD4EDC" w:rsidRPr="00DD4EDC" w:rsidTr="002E68C6">
        <w:tc>
          <w:tcPr>
            <w:tcW w:w="1985" w:type="dxa"/>
          </w:tcPr>
          <w:p w:rsidR="00DD4EDC" w:rsidRPr="00DD4EDC" w:rsidRDefault="00A177AF" w:rsidP="00C2632F">
            <w:pPr>
              <w:pStyle w:val="Heading4"/>
              <w:keepNext w:val="0"/>
              <w:keepLines w:val="0"/>
              <w:outlineLvl w:val="3"/>
            </w:pPr>
            <w:bookmarkStart w:id="33" w:name="_Toc519165381"/>
            <w:r>
              <w:t>Professional, legal and ethical f</w:t>
            </w:r>
            <w:r w:rsidR="00767552">
              <w:t>ramework</w:t>
            </w:r>
            <w:bookmarkEnd w:id="33"/>
          </w:p>
        </w:tc>
        <w:tc>
          <w:tcPr>
            <w:tcW w:w="7229" w:type="dxa"/>
          </w:tcPr>
          <w:p w:rsidR="00DD4EDC" w:rsidRDefault="00DD4EDC" w:rsidP="00C2632F">
            <w:pPr>
              <w:pStyle w:val="DHHSbody"/>
            </w:pPr>
            <w:r w:rsidRPr="00733CD0">
              <w:t>As regulated health professionals, graduates are bound by the Professional Codes and Guidelines and Professional Standards established by the Nursing and Midwifery</w:t>
            </w:r>
            <w:r w:rsidR="00490B6F">
              <w:t xml:space="preserve"> Board of Australia,</w:t>
            </w:r>
            <w:r w:rsidRPr="00733CD0">
              <w:t xml:space="preserve"> as a requirement to practise in Australia</w:t>
            </w:r>
            <w:r w:rsidR="00280A41" w:rsidRPr="00280A41">
              <w:rPr>
                <w:vertAlign w:val="superscript"/>
              </w:rPr>
              <w:fldChar w:fldCharType="begin"/>
            </w:r>
            <w:r w:rsidR="00280A41" w:rsidRPr="00280A41">
              <w:rPr>
                <w:vertAlign w:val="superscript"/>
              </w:rPr>
              <w:instrText xml:space="preserve"> NOTEREF _Ref517341958 \h  \* MERGEFORMAT </w:instrText>
            </w:r>
            <w:r w:rsidR="00280A41" w:rsidRPr="00280A41">
              <w:rPr>
                <w:vertAlign w:val="superscript"/>
              </w:rPr>
            </w:r>
            <w:r w:rsidR="00280A41" w:rsidRPr="00280A41">
              <w:rPr>
                <w:vertAlign w:val="superscript"/>
              </w:rPr>
              <w:fldChar w:fldCharType="separate"/>
            </w:r>
            <w:r w:rsidR="004D60A8">
              <w:rPr>
                <w:vertAlign w:val="superscript"/>
              </w:rPr>
              <w:t>6</w:t>
            </w:r>
            <w:r w:rsidR="00280A41" w:rsidRPr="00280A41">
              <w:rPr>
                <w:vertAlign w:val="superscript"/>
              </w:rPr>
              <w:fldChar w:fldCharType="end"/>
            </w:r>
            <w:r w:rsidRPr="00733CD0">
              <w:t xml:space="preserve">. </w:t>
            </w:r>
          </w:p>
          <w:p w:rsidR="004C7877" w:rsidRPr="004C7877" w:rsidRDefault="004C7877" w:rsidP="00C2632F">
            <w:pPr>
              <w:pStyle w:val="DHHSbody"/>
              <w:rPr>
                <w:rFonts w:eastAsia="Times New Roman"/>
                <w:b/>
                <w:color w:val="007B4B"/>
              </w:rPr>
            </w:pPr>
            <w:r w:rsidRPr="004C7877">
              <w:rPr>
                <w:rFonts w:eastAsia="Times New Roman"/>
                <w:b/>
                <w:color w:val="007B4B"/>
              </w:rPr>
              <w:t>Recommendation:</w:t>
            </w:r>
          </w:p>
          <w:p w:rsidR="00DD4EDC" w:rsidRPr="00A107DC" w:rsidRDefault="00767552" w:rsidP="004C7877">
            <w:pPr>
              <w:pStyle w:val="DHHSbody"/>
            </w:pPr>
            <w:r>
              <w:t xml:space="preserve">It is </w:t>
            </w:r>
            <w:r w:rsidR="003574F7">
              <w:t xml:space="preserve">recommended that all </w:t>
            </w:r>
            <w:r w:rsidR="004C7877">
              <w:t>organisations support graduates</w:t>
            </w:r>
            <w:r w:rsidR="003574F7">
              <w:t xml:space="preserve"> to </w:t>
            </w:r>
            <w:r>
              <w:t xml:space="preserve">have an understanding of, and to </w:t>
            </w:r>
            <w:r w:rsidR="005B26B5">
              <w:t xml:space="preserve">practice within, the standards </w:t>
            </w:r>
            <w:r>
              <w:t>of the profession and within the legal, prof</w:t>
            </w:r>
            <w:r w:rsidR="009957F3">
              <w:t xml:space="preserve">essional and ethical framework applying to nurses </w:t>
            </w:r>
            <w:r>
              <w:t xml:space="preserve">and midwives as part of their registration with </w:t>
            </w:r>
            <w:r w:rsidR="004C7877">
              <w:t xml:space="preserve">the </w:t>
            </w:r>
            <w:r>
              <w:t>A</w:t>
            </w:r>
            <w:r w:rsidR="004C7877">
              <w:t xml:space="preserve">ustralian </w:t>
            </w:r>
            <w:r>
              <w:t>H</w:t>
            </w:r>
            <w:r w:rsidR="004C7877">
              <w:t xml:space="preserve">ealth </w:t>
            </w:r>
            <w:r>
              <w:t>P</w:t>
            </w:r>
            <w:r w:rsidR="004C7877">
              <w:t xml:space="preserve">ractitioner </w:t>
            </w:r>
            <w:r>
              <w:t>R</w:t>
            </w:r>
            <w:r w:rsidR="004C7877">
              <w:t xml:space="preserve">egulation </w:t>
            </w:r>
            <w:r>
              <w:t>A</w:t>
            </w:r>
            <w:r w:rsidR="004C7877">
              <w:t>gency</w:t>
            </w:r>
            <w:r>
              <w:t>. This includes ensuring organisational policy and procedure is evidence based, clear and easily accessible to all graduates.</w:t>
            </w:r>
          </w:p>
        </w:tc>
      </w:tr>
      <w:tr w:rsidR="00C553CC" w:rsidRPr="00DD4EDC" w:rsidTr="002E68C6">
        <w:tc>
          <w:tcPr>
            <w:tcW w:w="1985" w:type="dxa"/>
          </w:tcPr>
          <w:p w:rsidR="00C553CC" w:rsidRDefault="00C553CC" w:rsidP="00C2632F">
            <w:pPr>
              <w:pStyle w:val="Heading4"/>
              <w:keepNext w:val="0"/>
              <w:keepLines w:val="0"/>
              <w:outlineLvl w:val="3"/>
            </w:pPr>
            <w:bookmarkStart w:id="34" w:name="_Toc519165382"/>
            <w:r>
              <w:t>Cultural safety and inclusion</w:t>
            </w:r>
            <w:bookmarkEnd w:id="34"/>
          </w:p>
        </w:tc>
        <w:tc>
          <w:tcPr>
            <w:tcW w:w="7229" w:type="dxa"/>
          </w:tcPr>
          <w:p w:rsidR="00C553CC" w:rsidRDefault="00C553CC" w:rsidP="00C2632F">
            <w:pPr>
              <w:pStyle w:val="DHHSbody"/>
            </w:pPr>
            <w:r w:rsidRPr="00733CD0">
              <w:t>As outlined in the Nursing and Midwifery Board of Australia Codes of Conduct</w:t>
            </w:r>
            <w:r w:rsidR="00B32310">
              <w:rPr>
                <w:rStyle w:val="EndnoteReference"/>
              </w:rPr>
              <w:endnoteReference w:id="14"/>
            </w:r>
            <w:r w:rsidR="00B32310" w:rsidRPr="00B32310">
              <w:rPr>
                <w:vertAlign w:val="superscript"/>
              </w:rPr>
              <w:t>,</w:t>
            </w:r>
            <w:r w:rsidR="00B32310">
              <w:rPr>
                <w:rStyle w:val="EndnoteReference"/>
              </w:rPr>
              <w:endnoteReference w:id="15"/>
            </w:r>
            <w:r w:rsidRPr="00733CD0">
              <w:t xml:space="preserve">, nurses and midwives are required to provide care that is free of bias and racism. The Codes </w:t>
            </w:r>
            <w:r w:rsidR="00366443" w:rsidRPr="00733CD0">
              <w:t xml:space="preserve">support holistic care </w:t>
            </w:r>
            <w:r w:rsidR="00366443">
              <w:t xml:space="preserve">and </w:t>
            </w:r>
            <w:r w:rsidRPr="00733CD0">
              <w:t>require culturally safe and respectful practice towards both patients an</w:t>
            </w:r>
            <w:r w:rsidR="00D8541D">
              <w:t>d</w:t>
            </w:r>
            <w:r w:rsidRPr="00733CD0">
              <w:t xml:space="preserve"> staff. A culturally safe environment</w:t>
            </w:r>
            <w:r w:rsidR="00FA75DB">
              <w:t xml:space="preserve"> </w:t>
            </w:r>
            <w:r w:rsidRPr="00733CD0">
              <w:t xml:space="preserve">is critical to safe practice and a positive </w:t>
            </w:r>
            <w:r>
              <w:t xml:space="preserve">work </w:t>
            </w:r>
            <w:r w:rsidRPr="00733CD0">
              <w:t>environment</w:t>
            </w:r>
            <w:r w:rsidR="00FA75DB" w:rsidRPr="00FA75DB">
              <w:rPr>
                <w:rStyle w:val="EndnoteReference"/>
              </w:rPr>
              <w:fldChar w:fldCharType="begin"/>
            </w:r>
            <w:r w:rsidR="00FA75DB" w:rsidRPr="00FA75DB">
              <w:rPr>
                <w:vertAlign w:val="superscript"/>
              </w:rPr>
              <w:instrText xml:space="preserve"> NOTEREF _Ref514683726 \h </w:instrText>
            </w:r>
            <w:r w:rsidR="00FA75DB" w:rsidRPr="00FA75DB">
              <w:rPr>
                <w:rStyle w:val="EndnoteReference"/>
              </w:rPr>
              <w:instrText xml:space="preserve"> \* MERGEFORMAT </w:instrText>
            </w:r>
            <w:r w:rsidR="00FA75DB" w:rsidRPr="00FA75DB">
              <w:rPr>
                <w:rStyle w:val="EndnoteReference"/>
              </w:rPr>
            </w:r>
            <w:r w:rsidR="00FA75DB" w:rsidRPr="00FA75DB">
              <w:rPr>
                <w:rStyle w:val="EndnoteReference"/>
              </w:rPr>
              <w:fldChar w:fldCharType="separate"/>
            </w:r>
            <w:r w:rsidR="004D60A8">
              <w:rPr>
                <w:vertAlign w:val="superscript"/>
              </w:rPr>
              <w:t>3</w:t>
            </w:r>
            <w:r w:rsidR="00FA75DB" w:rsidRPr="00FA75DB">
              <w:rPr>
                <w:rStyle w:val="EndnoteReference"/>
              </w:rPr>
              <w:fldChar w:fldCharType="end"/>
            </w:r>
            <w:r w:rsidRPr="00733CD0">
              <w:t xml:space="preserve"> by ensuring all staff are treated equally and with respect. </w:t>
            </w:r>
          </w:p>
          <w:p w:rsidR="00885799" w:rsidRPr="00885799" w:rsidRDefault="00885799" w:rsidP="00C2632F">
            <w:pPr>
              <w:pStyle w:val="DHHSbody"/>
              <w:rPr>
                <w:rFonts w:eastAsia="Times New Roman"/>
                <w:b/>
                <w:color w:val="007B4B"/>
              </w:rPr>
            </w:pPr>
            <w:r>
              <w:rPr>
                <w:rFonts w:eastAsia="Times New Roman"/>
                <w:b/>
                <w:color w:val="007B4B"/>
              </w:rPr>
              <w:lastRenderedPageBreak/>
              <w:t>Recommendation</w:t>
            </w:r>
            <w:r w:rsidRPr="00885799">
              <w:rPr>
                <w:rFonts w:eastAsia="Times New Roman"/>
                <w:b/>
                <w:color w:val="007B4B"/>
              </w:rPr>
              <w:t>:</w:t>
            </w:r>
          </w:p>
          <w:p w:rsidR="00C553CC" w:rsidRPr="00733CD0" w:rsidRDefault="00FA75DB" w:rsidP="00C2632F">
            <w:pPr>
              <w:pStyle w:val="DHHSbody"/>
            </w:pPr>
            <w:r>
              <w:t xml:space="preserve">It is recommended that </w:t>
            </w:r>
            <w:r w:rsidR="00A707EA">
              <w:t>transition to practice</w:t>
            </w:r>
            <w:r w:rsidR="00C553CC">
              <w:t xml:space="preserve"> programs</w:t>
            </w:r>
            <w:r w:rsidR="00C553CC" w:rsidRPr="00733CD0">
              <w:t xml:space="preserve"> include consideration of cultural safety</w:t>
            </w:r>
            <w:r w:rsidR="00366443">
              <w:t xml:space="preserve">, inclusion </w:t>
            </w:r>
            <w:r w:rsidR="00C553CC" w:rsidRPr="00733CD0">
              <w:t>and equal employment opportunities.</w:t>
            </w:r>
          </w:p>
        </w:tc>
      </w:tr>
      <w:tr w:rsidR="00C553CC" w:rsidRPr="00DD4EDC" w:rsidTr="002E68C6">
        <w:tc>
          <w:tcPr>
            <w:tcW w:w="1985" w:type="dxa"/>
          </w:tcPr>
          <w:p w:rsidR="00C553CC" w:rsidRPr="00DD4EDC" w:rsidRDefault="00C553CC" w:rsidP="00C2632F">
            <w:pPr>
              <w:pStyle w:val="Heading4"/>
              <w:keepNext w:val="0"/>
              <w:keepLines w:val="0"/>
              <w:outlineLvl w:val="3"/>
            </w:pPr>
            <w:bookmarkStart w:id="35" w:name="_Toc519165383"/>
            <w:r>
              <w:lastRenderedPageBreak/>
              <w:t>Scope of practice</w:t>
            </w:r>
            <w:bookmarkEnd w:id="35"/>
          </w:p>
        </w:tc>
        <w:tc>
          <w:tcPr>
            <w:tcW w:w="7229" w:type="dxa"/>
          </w:tcPr>
          <w:p w:rsidR="00154614" w:rsidRDefault="00154614" w:rsidP="00C2632F">
            <w:pPr>
              <w:pStyle w:val="DHHSbody"/>
            </w:pPr>
            <w:r>
              <w:t xml:space="preserve">All staff are encouraged to have an understanding of the scope of practice of the individual nurse and midwife as defined in the </w:t>
            </w:r>
            <w:r w:rsidRPr="00DB1D33">
              <w:rPr>
                <w:i/>
              </w:rPr>
              <w:t xml:space="preserve">Nursing and Midwifery Board of Australia, </w:t>
            </w:r>
            <w:r w:rsidRPr="00931DC3">
              <w:rPr>
                <w:i/>
              </w:rPr>
              <w:t>National framework for the development of decision-making tools for nursing and midwifery practice</w:t>
            </w:r>
            <w:r>
              <w:rPr>
                <w:rStyle w:val="EndnoteReference"/>
                <w:i/>
              </w:rPr>
              <w:endnoteReference w:id="16"/>
            </w:r>
            <w:r>
              <w:t xml:space="preserve">. </w:t>
            </w:r>
          </w:p>
          <w:p w:rsidR="00154614" w:rsidRDefault="002566D5" w:rsidP="00C2632F">
            <w:pPr>
              <w:pStyle w:val="DHHSbody"/>
            </w:pPr>
            <w:r>
              <w:t>Transition to practice</w:t>
            </w:r>
            <w:r w:rsidRPr="00733CD0">
              <w:t xml:space="preserve"> programs provide a mechanism </w:t>
            </w:r>
            <w:r>
              <w:t>for nurses and midwives to transition to independent practitioner in a safe and supportive environment</w:t>
            </w:r>
            <w:r w:rsidRPr="00733CD0">
              <w:t>.</w:t>
            </w:r>
            <w:r>
              <w:t xml:space="preserve"> </w:t>
            </w:r>
            <w:r w:rsidR="00873A5B">
              <w:t xml:space="preserve">While graduates have a responsibility to understand their </w:t>
            </w:r>
            <w:r w:rsidR="00B02B94">
              <w:t xml:space="preserve">own </w:t>
            </w:r>
            <w:r w:rsidR="00873A5B">
              <w:t xml:space="preserve">scope of practice, staff working with graduates </w:t>
            </w:r>
            <w:r w:rsidR="00824B1C">
              <w:t xml:space="preserve">must </w:t>
            </w:r>
            <w:r w:rsidR="00873A5B">
              <w:t xml:space="preserve">also have an understanding of </w:t>
            </w:r>
            <w:r w:rsidR="00B02B94">
              <w:t xml:space="preserve">the scope of practice of </w:t>
            </w:r>
            <w:r w:rsidR="00873A5B">
              <w:t xml:space="preserve">each individual graduate. </w:t>
            </w:r>
          </w:p>
          <w:p w:rsidR="00873A5B" w:rsidRDefault="00873A5B" w:rsidP="00C2632F">
            <w:pPr>
              <w:pStyle w:val="DHHSbody"/>
            </w:pPr>
            <w:r>
              <w:t xml:space="preserve">Understanding scope of practice in relation to clinical </w:t>
            </w:r>
            <w:r w:rsidR="00024733">
              <w:t xml:space="preserve">activities </w:t>
            </w:r>
            <w:r>
              <w:t xml:space="preserve">not only </w:t>
            </w:r>
            <w:r w:rsidR="00315063">
              <w:t>entails understanding</w:t>
            </w:r>
            <w:r>
              <w:t xml:space="preserve"> what graduates are authorised to do, but also requires staff members</w:t>
            </w:r>
            <w:r w:rsidR="00272B30">
              <w:t xml:space="preserve"> working with graduates</w:t>
            </w:r>
            <w:r>
              <w:t xml:space="preserve"> to </w:t>
            </w:r>
            <w:r w:rsidR="00024733">
              <w:t xml:space="preserve">have realistic expectations and to </w:t>
            </w:r>
            <w:r>
              <w:t xml:space="preserve">consider </w:t>
            </w:r>
            <w:r w:rsidR="0036419A">
              <w:t xml:space="preserve">graduates’ </w:t>
            </w:r>
            <w:r w:rsidR="007D3BAB">
              <w:t xml:space="preserve">individual </w:t>
            </w:r>
            <w:r>
              <w:t>competency level</w:t>
            </w:r>
            <w:r w:rsidR="00315063">
              <w:t>s</w:t>
            </w:r>
            <w:r w:rsidR="00024733">
              <w:t>,</w:t>
            </w:r>
            <w:r w:rsidR="00C6511C">
              <w:t xml:space="preserve"> </w:t>
            </w:r>
            <w:r>
              <w:t xml:space="preserve">ongoing education </w:t>
            </w:r>
            <w:r w:rsidR="00B02B94">
              <w:t>requirements and opportunities</w:t>
            </w:r>
            <w:r>
              <w:t xml:space="preserve">. </w:t>
            </w:r>
          </w:p>
          <w:p w:rsidR="00C553CC" w:rsidRDefault="00C553CC" w:rsidP="00C2632F">
            <w:pPr>
              <w:pStyle w:val="DHHSbody"/>
            </w:pPr>
            <w:r w:rsidRPr="00733CD0">
              <w:t>Organisations are required to ensure that all nurses and midwives operate within their scope of practice in line with the Nursing and Midwifery Board of Australia standards for practice</w:t>
            </w:r>
            <w:bookmarkStart w:id="36" w:name="_Ref515455115"/>
            <w:r w:rsidR="000716F1">
              <w:rPr>
                <w:rStyle w:val="EndnoteReference"/>
              </w:rPr>
              <w:endnoteReference w:id="17"/>
            </w:r>
            <w:bookmarkStart w:id="37" w:name="_Ref515455136"/>
            <w:bookmarkEnd w:id="36"/>
            <w:r w:rsidR="00A707EA" w:rsidRPr="00A707EA">
              <w:rPr>
                <w:vertAlign w:val="superscript"/>
              </w:rPr>
              <w:t>,</w:t>
            </w:r>
            <w:r w:rsidR="000716F1">
              <w:rPr>
                <w:rStyle w:val="EndnoteReference"/>
              </w:rPr>
              <w:endnoteReference w:id="18"/>
            </w:r>
            <w:bookmarkEnd w:id="37"/>
            <w:r w:rsidRPr="00733CD0">
              <w:t xml:space="preserve">. </w:t>
            </w:r>
          </w:p>
          <w:p w:rsidR="00A1036B" w:rsidRPr="00A1036B" w:rsidRDefault="00A1036B" w:rsidP="00C2632F">
            <w:pPr>
              <w:pStyle w:val="DHHSbody"/>
              <w:rPr>
                <w:rFonts w:eastAsia="Times New Roman"/>
                <w:b/>
                <w:color w:val="007B4B"/>
              </w:rPr>
            </w:pPr>
            <w:r w:rsidRPr="00A1036B">
              <w:rPr>
                <w:rFonts w:eastAsia="Times New Roman"/>
                <w:b/>
                <w:color w:val="007B4B"/>
              </w:rPr>
              <w:t>Recommendation</w:t>
            </w:r>
            <w:r>
              <w:rPr>
                <w:rFonts w:eastAsia="Times New Roman"/>
                <w:b/>
                <w:color w:val="007B4B"/>
              </w:rPr>
              <w:t>s</w:t>
            </w:r>
            <w:r w:rsidRPr="00A1036B">
              <w:rPr>
                <w:rFonts w:eastAsia="Times New Roman"/>
                <w:b/>
                <w:color w:val="007B4B"/>
              </w:rPr>
              <w:t>:</w:t>
            </w:r>
          </w:p>
          <w:p w:rsidR="00A1036B" w:rsidRDefault="00C6511C" w:rsidP="00A1036B">
            <w:pPr>
              <w:pStyle w:val="DHHSbody"/>
            </w:pPr>
            <w:r>
              <w:t xml:space="preserve">It is recommended that </w:t>
            </w:r>
            <w:r w:rsidR="00AF4833">
              <w:t>transition to practice</w:t>
            </w:r>
            <w:r>
              <w:t xml:space="preserve"> programs include mechanisms to ensure all </w:t>
            </w:r>
            <w:r w:rsidR="00A1036B">
              <w:t>staff</w:t>
            </w:r>
            <w:r>
              <w:t xml:space="preserve"> involved in supporting graduates have a good understanding of what informs the scope of practice of the individu</w:t>
            </w:r>
            <w:r w:rsidR="003574F7">
              <w:t>al graduate</w:t>
            </w:r>
            <w:r w:rsidR="00A1036B">
              <w:t>.</w:t>
            </w:r>
          </w:p>
          <w:p w:rsidR="00C553CC" w:rsidRPr="00DD4EDC" w:rsidRDefault="00A1036B" w:rsidP="00151C67">
            <w:pPr>
              <w:pStyle w:val="DHHSbody"/>
            </w:pPr>
            <w:r>
              <w:t xml:space="preserve">It is also recommended </w:t>
            </w:r>
            <w:r w:rsidR="00C6511C">
              <w:t xml:space="preserve">that </w:t>
            </w:r>
            <w:r w:rsidR="00151C67">
              <w:t>transition to practice</w:t>
            </w:r>
            <w:r w:rsidR="00C6511C">
              <w:t xml:space="preserve"> programs support graduates to consolidate skills and knowl</w:t>
            </w:r>
            <w:r w:rsidR="00C23148">
              <w:t>edge to ensure graduates practis</w:t>
            </w:r>
            <w:r w:rsidR="00C6511C">
              <w:t>e safely within their individual scope of practice.</w:t>
            </w:r>
          </w:p>
        </w:tc>
      </w:tr>
      <w:tr w:rsidR="00C553CC" w:rsidRPr="00DD4EDC" w:rsidTr="002E68C6">
        <w:tc>
          <w:tcPr>
            <w:tcW w:w="1985" w:type="dxa"/>
          </w:tcPr>
          <w:p w:rsidR="00C553CC" w:rsidRPr="00DD4EDC" w:rsidRDefault="00C553CC" w:rsidP="00C2632F">
            <w:pPr>
              <w:pStyle w:val="Heading4"/>
              <w:keepNext w:val="0"/>
              <w:keepLines w:val="0"/>
              <w:outlineLvl w:val="3"/>
            </w:pPr>
            <w:bookmarkStart w:id="38" w:name="_Toc519165384"/>
            <w:r>
              <w:t>Program evaluation and improvements</w:t>
            </w:r>
            <w:bookmarkEnd w:id="38"/>
          </w:p>
        </w:tc>
        <w:tc>
          <w:tcPr>
            <w:tcW w:w="7229" w:type="dxa"/>
          </w:tcPr>
          <w:p w:rsidR="00C553CC" w:rsidRPr="00733CD0" w:rsidRDefault="00C553CC" w:rsidP="00C2632F">
            <w:pPr>
              <w:pStyle w:val="DHHSbody"/>
            </w:pPr>
            <w:r w:rsidRPr="00733CD0">
              <w:t>Program evaluation provides the opportunity for organisations to continuously improve the quality of their programs and in</w:t>
            </w:r>
            <w:r w:rsidR="00366443">
              <w:t>tegrate</w:t>
            </w:r>
            <w:r w:rsidRPr="00733CD0">
              <w:t xml:space="preserve"> new evidence into practice. This includes reviewing and evaluating </w:t>
            </w:r>
            <w:r w:rsidR="00A707EA">
              <w:t>transition to practice</w:t>
            </w:r>
            <w:r w:rsidRPr="00733CD0">
              <w:t xml:space="preserve"> programs on a regular basis to incorporate local, national and international findings</w:t>
            </w:r>
            <w:r w:rsidR="003739B0">
              <w:t xml:space="preserve"> related to the success of these programs</w:t>
            </w:r>
            <w:r w:rsidRPr="00733CD0">
              <w:t>.</w:t>
            </w:r>
          </w:p>
          <w:p w:rsidR="00C553CC" w:rsidRPr="00733CD0" w:rsidRDefault="00C553CC" w:rsidP="00C2632F">
            <w:pPr>
              <w:pStyle w:val="DHHSbody"/>
            </w:pPr>
            <w:r w:rsidRPr="00733CD0">
              <w:t xml:space="preserve">The </w:t>
            </w:r>
            <w:r w:rsidRPr="00733CD0">
              <w:rPr>
                <w:i/>
              </w:rPr>
              <w:t>BPCLE Performance Monitoring Framework</w:t>
            </w:r>
            <w:r w:rsidRPr="00733CD0">
              <w:rPr>
                <w:vertAlign w:val="superscript"/>
              </w:rPr>
              <w:endnoteReference w:id="19"/>
            </w:r>
            <w:r w:rsidRPr="00733CD0">
              <w:t xml:space="preserve"> can be used to monitor and evaluate clinical education activities. Evaluation techniques may include, but are not limited to:</w:t>
            </w:r>
          </w:p>
          <w:p w:rsidR="00C553CC" w:rsidRPr="00733CD0" w:rsidRDefault="003739B0" w:rsidP="00C2632F">
            <w:pPr>
              <w:pStyle w:val="DHHSbody"/>
              <w:numPr>
                <w:ilvl w:val="0"/>
                <w:numId w:val="5"/>
              </w:numPr>
            </w:pPr>
            <w:r>
              <w:t>a</w:t>
            </w:r>
            <w:r w:rsidR="00C553CC" w:rsidRPr="00733CD0">
              <w:t>ll staff surveys</w:t>
            </w:r>
          </w:p>
          <w:p w:rsidR="00C553CC" w:rsidRDefault="003739B0" w:rsidP="00C2632F">
            <w:pPr>
              <w:pStyle w:val="DHHSbody"/>
              <w:numPr>
                <w:ilvl w:val="0"/>
                <w:numId w:val="5"/>
              </w:numPr>
            </w:pPr>
            <w:r>
              <w:t>a</w:t>
            </w:r>
            <w:r w:rsidR="00BF666D">
              <w:t xml:space="preserve">nonymous </w:t>
            </w:r>
            <w:r w:rsidR="00C6511C">
              <w:t>g</w:t>
            </w:r>
            <w:r>
              <w:t>raduate-</w:t>
            </w:r>
            <w:r w:rsidR="00C553CC" w:rsidRPr="00733CD0">
              <w:t>specific surveys</w:t>
            </w:r>
          </w:p>
          <w:p w:rsidR="00366443" w:rsidRPr="00733CD0" w:rsidRDefault="00366443" w:rsidP="00C2632F">
            <w:pPr>
              <w:pStyle w:val="DHHSbody"/>
              <w:numPr>
                <w:ilvl w:val="0"/>
                <w:numId w:val="5"/>
              </w:numPr>
            </w:pPr>
            <w:r>
              <w:t>BPCLEtool</w:t>
            </w:r>
          </w:p>
          <w:p w:rsidR="00C553CC" w:rsidRDefault="003739B0" w:rsidP="00C2632F">
            <w:pPr>
              <w:pStyle w:val="DHHSbody"/>
              <w:numPr>
                <w:ilvl w:val="0"/>
                <w:numId w:val="5"/>
              </w:numPr>
            </w:pPr>
            <w:r>
              <w:t>a</w:t>
            </w:r>
            <w:r w:rsidR="00C553CC">
              <w:t>ssessment of data to assess funding and</w:t>
            </w:r>
            <w:r w:rsidR="00C553CC" w:rsidRPr="00733CD0">
              <w:t xml:space="preserve"> outcomes</w:t>
            </w:r>
          </w:p>
          <w:p w:rsidR="00246AD5" w:rsidRPr="00246AD5" w:rsidRDefault="00246AD5" w:rsidP="00C2632F">
            <w:pPr>
              <w:pStyle w:val="DHHSbody"/>
              <w:rPr>
                <w:rFonts w:eastAsia="Times New Roman"/>
                <w:b/>
                <w:color w:val="007B4B"/>
              </w:rPr>
            </w:pPr>
            <w:r w:rsidRPr="00246AD5">
              <w:rPr>
                <w:rFonts w:eastAsia="Times New Roman"/>
                <w:b/>
                <w:color w:val="007B4B"/>
              </w:rPr>
              <w:t>Recommendation:</w:t>
            </w:r>
          </w:p>
          <w:p w:rsidR="003574F7" w:rsidRPr="00A107DC" w:rsidRDefault="003574F7" w:rsidP="00C2632F">
            <w:pPr>
              <w:pStyle w:val="DHHSbody"/>
            </w:pPr>
            <w:r>
              <w:t xml:space="preserve">It is recommended that organisations regularly evaluate their transition to </w:t>
            </w:r>
            <w:r>
              <w:lastRenderedPageBreak/>
              <w:t xml:space="preserve">practice programs. </w:t>
            </w:r>
          </w:p>
        </w:tc>
      </w:tr>
      <w:tr w:rsidR="005C3A92" w:rsidRPr="00DD4EDC" w:rsidTr="002E68C6">
        <w:tc>
          <w:tcPr>
            <w:tcW w:w="1985" w:type="dxa"/>
          </w:tcPr>
          <w:p w:rsidR="005C3A92" w:rsidRDefault="005C3A92" w:rsidP="00C2632F">
            <w:pPr>
              <w:pStyle w:val="Heading4"/>
              <w:keepNext w:val="0"/>
              <w:keepLines w:val="0"/>
              <w:outlineLvl w:val="3"/>
            </w:pPr>
            <w:bookmarkStart w:id="39" w:name="_Toc519165385"/>
            <w:r>
              <w:lastRenderedPageBreak/>
              <w:t>Accountability</w:t>
            </w:r>
            <w:bookmarkEnd w:id="39"/>
          </w:p>
        </w:tc>
        <w:tc>
          <w:tcPr>
            <w:tcW w:w="7229" w:type="dxa"/>
          </w:tcPr>
          <w:p w:rsidR="00246AD5" w:rsidRDefault="005C3A92" w:rsidP="00C2632F">
            <w:pPr>
              <w:pStyle w:val="DHHSbody"/>
            </w:pPr>
            <w:r w:rsidRPr="00733CD0">
              <w:t xml:space="preserve">As </w:t>
            </w:r>
            <w:r w:rsidR="00A27242" w:rsidRPr="00733CD0">
              <w:t>registered health professionals</w:t>
            </w:r>
            <w:r w:rsidR="00A27242">
              <w:t>,</w:t>
            </w:r>
            <w:r w:rsidR="00A27242" w:rsidRPr="00733CD0">
              <w:t xml:space="preserve"> </w:t>
            </w:r>
            <w:r w:rsidRPr="00733CD0">
              <w:t xml:space="preserve">nursing and midwifery graduates are accountable for the care they provide </w:t>
            </w:r>
            <w:r w:rsidR="00366443">
              <w:t xml:space="preserve">in line with </w:t>
            </w:r>
            <w:r w:rsidR="00246AD5">
              <w:t xml:space="preserve">the </w:t>
            </w:r>
            <w:r w:rsidR="00366443">
              <w:t>N</w:t>
            </w:r>
            <w:r w:rsidRPr="00733CD0">
              <w:t xml:space="preserve">ursing and Midwifery Board of Australia </w:t>
            </w:r>
            <w:r w:rsidRPr="000716F1">
              <w:t>standards for practice</w:t>
            </w:r>
            <w:r w:rsidR="000716F1" w:rsidRPr="000716F1">
              <w:rPr>
                <w:rStyle w:val="EndnoteReference"/>
              </w:rPr>
              <w:fldChar w:fldCharType="begin"/>
            </w:r>
            <w:r w:rsidR="000716F1" w:rsidRPr="000716F1">
              <w:rPr>
                <w:vertAlign w:val="superscript"/>
              </w:rPr>
              <w:instrText xml:space="preserve"> NOTEREF _Ref515455115 \h </w:instrText>
            </w:r>
            <w:r w:rsidR="000716F1" w:rsidRPr="000716F1">
              <w:rPr>
                <w:rStyle w:val="EndnoteReference"/>
              </w:rPr>
              <w:instrText xml:space="preserve"> \* MERGEFORMAT </w:instrText>
            </w:r>
            <w:r w:rsidR="000716F1" w:rsidRPr="000716F1">
              <w:rPr>
                <w:rStyle w:val="EndnoteReference"/>
              </w:rPr>
            </w:r>
            <w:r w:rsidR="000716F1" w:rsidRPr="000716F1">
              <w:rPr>
                <w:rStyle w:val="EndnoteReference"/>
              </w:rPr>
              <w:fldChar w:fldCharType="separate"/>
            </w:r>
            <w:r w:rsidR="004D60A8">
              <w:rPr>
                <w:vertAlign w:val="superscript"/>
              </w:rPr>
              <w:t>17</w:t>
            </w:r>
            <w:r w:rsidR="000716F1" w:rsidRPr="000716F1">
              <w:rPr>
                <w:rStyle w:val="EndnoteReference"/>
              </w:rPr>
              <w:fldChar w:fldCharType="end"/>
            </w:r>
            <w:r w:rsidR="002613AA" w:rsidRPr="002613AA">
              <w:rPr>
                <w:vertAlign w:val="superscript"/>
              </w:rPr>
              <w:t>,</w:t>
            </w:r>
            <w:r w:rsidR="000716F1" w:rsidRPr="000716F1">
              <w:rPr>
                <w:rStyle w:val="EndnoteReference"/>
              </w:rPr>
              <w:fldChar w:fldCharType="begin"/>
            </w:r>
            <w:r w:rsidR="000716F1" w:rsidRPr="000716F1">
              <w:rPr>
                <w:rStyle w:val="EndnoteReference"/>
              </w:rPr>
              <w:instrText xml:space="preserve"> NOTEREF _Ref515455136 \h </w:instrText>
            </w:r>
            <w:r w:rsidR="000716F1">
              <w:rPr>
                <w:rStyle w:val="EndnoteReference"/>
              </w:rPr>
              <w:instrText xml:space="preserve"> \* MERGEFORMAT </w:instrText>
            </w:r>
            <w:r w:rsidR="000716F1" w:rsidRPr="000716F1">
              <w:rPr>
                <w:rStyle w:val="EndnoteReference"/>
              </w:rPr>
            </w:r>
            <w:r w:rsidR="000716F1" w:rsidRPr="000716F1">
              <w:rPr>
                <w:rStyle w:val="EndnoteReference"/>
              </w:rPr>
              <w:fldChar w:fldCharType="separate"/>
            </w:r>
            <w:r w:rsidR="004D60A8">
              <w:rPr>
                <w:rStyle w:val="EndnoteReference"/>
              </w:rPr>
              <w:t>18</w:t>
            </w:r>
            <w:r w:rsidR="000716F1" w:rsidRPr="000716F1">
              <w:rPr>
                <w:rStyle w:val="EndnoteReference"/>
              </w:rPr>
              <w:fldChar w:fldCharType="end"/>
            </w:r>
            <w:r w:rsidR="00366443">
              <w:t>.</w:t>
            </w:r>
            <w:r w:rsidR="000716F1">
              <w:t xml:space="preserve"> </w:t>
            </w:r>
            <w:r w:rsidRPr="00733CD0">
              <w:t xml:space="preserve">This </w:t>
            </w:r>
            <w:r w:rsidR="00BF666D">
              <w:t>requires registere</w:t>
            </w:r>
            <w:r w:rsidR="00246AD5">
              <w:t>d nurses and midwives to practis</w:t>
            </w:r>
            <w:r w:rsidR="00BF666D">
              <w:t xml:space="preserve">e </w:t>
            </w:r>
            <w:r w:rsidR="00246AD5">
              <w:t xml:space="preserve">safely and competently </w:t>
            </w:r>
            <w:r w:rsidR="00BF666D">
              <w:t>in accordance with the professional, Codes, Standards and Guidelines which govern their practice.</w:t>
            </w:r>
          </w:p>
          <w:p w:rsidR="00A27242" w:rsidRPr="00246AD5" w:rsidRDefault="00246AD5" w:rsidP="00C2632F">
            <w:pPr>
              <w:pStyle w:val="DHHSbody"/>
              <w:rPr>
                <w:rFonts w:eastAsia="Times New Roman"/>
                <w:b/>
                <w:color w:val="007B4B"/>
              </w:rPr>
            </w:pPr>
            <w:r w:rsidRPr="00246AD5">
              <w:rPr>
                <w:rFonts w:eastAsia="Times New Roman"/>
                <w:b/>
                <w:color w:val="007B4B"/>
              </w:rPr>
              <w:t>Recommendation:</w:t>
            </w:r>
            <w:r w:rsidR="00BF666D" w:rsidRPr="00246AD5">
              <w:rPr>
                <w:rFonts w:eastAsia="Times New Roman"/>
                <w:b/>
                <w:color w:val="007B4B"/>
              </w:rPr>
              <w:t xml:space="preserve"> </w:t>
            </w:r>
          </w:p>
          <w:p w:rsidR="005C3A92" w:rsidRPr="00733CD0" w:rsidRDefault="001E2C1E" w:rsidP="00C2632F">
            <w:pPr>
              <w:pStyle w:val="DHHSbody"/>
            </w:pPr>
            <w:r>
              <w:t>In addition</w:t>
            </w:r>
            <w:r w:rsidR="00BE32AA">
              <w:t>,</w:t>
            </w:r>
            <w:r>
              <w:t xml:space="preserve"> i</w:t>
            </w:r>
            <w:r w:rsidRPr="00733CD0">
              <w:t>t i</w:t>
            </w:r>
            <w:r>
              <w:t>s essential that organisational policy and procedure is evidence based, clear and easily accessible to all graduates.</w:t>
            </w:r>
          </w:p>
        </w:tc>
      </w:tr>
    </w:tbl>
    <w:p w:rsidR="00733CD0" w:rsidRPr="004F5540" w:rsidRDefault="004F5540" w:rsidP="00733CD0">
      <w:pPr>
        <w:pStyle w:val="Heading3"/>
      </w:pPr>
      <w:bookmarkStart w:id="40" w:name="_Toc519164879"/>
      <w:bookmarkStart w:id="41" w:name="_Toc519164924"/>
      <w:bookmarkStart w:id="42" w:name="_Toc519165386"/>
      <w:r>
        <w:t xml:space="preserve">BPCLE Element 3: </w:t>
      </w:r>
      <w:r w:rsidR="00733CD0" w:rsidRPr="004F5540">
        <w:t>A positive learning environment</w:t>
      </w:r>
      <w:bookmarkEnd w:id="40"/>
      <w:bookmarkEnd w:id="41"/>
      <w:bookmarkEnd w:id="42"/>
    </w:p>
    <w:p w:rsidR="00733CD0" w:rsidRPr="00733CD0" w:rsidRDefault="00733CD0" w:rsidP="00733CD0">
      <w:pPr>
        <w:pStyle w:val="DHHSbody"/>
      </w:pPr>
      <w:r w:rsidRPr="00733CD0">
        <w:t xml:space="preserve">There are many </w:t>
      </w:r>
      <w:r w:rsidR="002A1318">
        <w:t xml:space="preserve">elements </w:t>
      </w:r>
      <w:r w:rsidRPr="00733CD0">
        <w:t xml:space="preserve">that comprise a positive learning environment. From a nursing and midwifery graduate </w:t>
      </w:r>
      <w:r w:rsidR="0072371A">
        <w:t xml:space="preserve">perspective, the Review’s </w:t>
      </w:r>
      <w:r w:rsidR="0072371A" w:rsidRPr="0072371A">
        <w:rPr>
          <w:i/>
        </w:rPr>
        <w:t>R</w:t>
      </w:r>
      <w:r w:rsidRPr="0072371A">
        <w:rPr>
          <w:i/>
        </w:rPr>
        <w:t>eport of Graduate Program Experiences</w:t>
      </w:r>
      <w:r w:rsidRPr="00733CD0">
        <w:t xml:space="preserve"> identified a number of key dimensions including orientation policies and procedures, incremental responsibility, self-reflection</w:t>
      </w:r>
      <w:r w:rsidR="002A1318">
        <w:t>,</w:t>
      </w:r>
      <w:r w:rsidR="003574F7">
        <w:t xml:space="preserve"> </w:t>
      </w:r>
      <w:r w:rsidRPr="00733CD0">
        <w:t>p</w:t>
      </w:r>
      <w:r w:rsidR="003C5598">
        <w:t>roblem-</w:t>
      </w:r>
      <w:r w:rsidRPr="00733CD0">
        <w:t>solving, professio</w:t>
      </w:r>
      <w:r w:rsidR="003C5598">
        <w:t>nal support, availability of de</w:t>
      </w:r>
      <w:r w:rsidRPr="00733CD0">
        <w:t>briefing opportunities and the development of resilience</w:t>
      </w:r>
      <w:bookmarkStart w:id="43" w:name="_Ref515455443"/>
      <w:r w:rsidR="00E335E5">
        <w:rPr>
          <w:rStyle w:val="EndnoteReference"/>
        </w:rPr>
        <w:endnoteReference w:id="20"/>
      </w:r>
      <w:bookmarkEnd w:id="43"/>
      <w:r w:rsidRPr="00733CD0">
        <w:t>.</w:t>
      </w:r>
    </w:p>
    <w:p w:rsidR="00511880" w:rsidRPr="00733CD0" w:rsidRDefault="00733CD0" w:rsidP="00733CD0">
      <w:pPr>
        <w:pStyle w:val="DHHSbody"/>
      </w:pPr>
      <w:r w:rsidRPr="00733CD0">
        <w:t>Research shows that graduates can experience difficulty and anxiety when transitioning from student to independent practitioner</w:t>
      </w:r>
      <w:bookmarkStart w:id="44" w:name="_Ref515458568"/>
      <w:r w:rsidRPr="00733CD0">
        <w:rPr>
          <w:vertAlign w:val="superscript"/>
        </w:rPr>
        <w:endnoteReference w:id="21"/>
      </w:r>
      <w:bookmarkEnd w:id="44"/>
      <w:r w:rsidRPr="00733CD0">
        <w:t>, particularly within their first six months</w:t>
      </w:r>
      <w:r w:rsidRPr="00733CD0">
        <w:rPr>
          <w:vertAlign w:val="superscript"/>
        </w:rPr>
        <w:endnoteReference w:id="22"/>
      </w:r>
      <w:r w:rsidRPr="00733CD0">
        <w:t xml:space="preserve">. </w:t>
      </w:r>
      <w:r w:rsidR="00202D26">
        <w:t>Graduates are likely to encounter p</w:t>
      </w:r>
      <w:r w:rsidR="0014231C" w:rsidRPr="0014231C">
        <w:t xml:space="preserve">ositive experiences during their programs </w:t>
      </w:r>
      <w:r w:rsidR="00202D26">
        <w:t>when</w:t>
      </w:r>
      <w:r w:rsidR="0014231C" w:rsidRPr="0014231C">
        <w:t xml:space="preserve"> they feel welcomed and are included as part of the team</w:t>
      </w:r>
      <w:r w:rsidR="005543F6" w:rsidRPr="005543F6">
        <w:rPr>
          <w:rStyle w:val="EndnoteReference"/>
        </w:rPr>
        <w:fldChar w:fldCharType="begin"/>
      </w:r>
      <w:r w:rsidR="005543F6" w:rsidRPr="005543F6">
        <w:rPr>
          <w:vertAlign w:val="superscript"/>
        </w:rPr>
        <w:instrText xml:space="preserve"> NOTEREF _Ref515455443 \h </w:instrText>
      </w:r>
      <w:r w:rsidR="005543F6" w:rsidRPr="005543F6">
        <w:rPr>
          <w:rStyle w:val="EndnoteReference"/>
        </w:rPr>
        <w:instrText xml:space="preserve"> \* MERGEFORMAT </w:instrText>
      </w:r>
      <w:r w:rsidR="005543F6" w:rsidRPr="005543F6">
        <w:rPr>
          <w:rStyle w:val="EndnoteReference"/>
        </w:rPr>
      </w:r>
      <w:r w:rsidR="005543F6" w:rsidRPr="005543F6">
        <w:rPr>
          <w:rStyle w:val="EndnoteReference"/>
        </w:rPr>
        <w:fldChar w:fldCharType="separate"/>
      </w:r>
      <w:r w:rsidR="004D60A8">
        <w:rPr>
          <w:vertAlign w:val="superscript"/>
        </w:rPr>
        <w:t>20</w:t>
      </w:r>
      <w:r w:rsidR="005543F6" w:rsidRPr="005543F6">
        <w:rPr>
          <w:rStyle w:val="EndnoteReference"/>
        </w:rPr>
        <w:fldChar w:fldCharType="end"/>
      </w:r>
      <w:r w:rsidR="0014231C" w:rsidRPr="0014231C">
        <w:t xml:space="preserve">. </w:t>
      </w:r>
      <w:r w:rsidR="004F5540" w:rsidRPr="0014231C">
        <w:t>Graduates should be valued</w:t>
      </w:r>
      <w:r w:rsidR="004F5540">
        <w:t xml:space="preserve">, provided opportunities to learn and </w:t>
      </w:r>
      <w:r w:rsidR="0014231C" w:rsidRPr="0014231C">
        <w:t>should be actively encouraged to provide and seek feedback to improve their knowledge, skills and practice.</w:t>
      </w:r>
    </w:p>
    <w:p w:rsidR="00733CD0" w:rsidRDefault="00733CD0" w:rsidP="00733CD0">
      <w:pPr>
        <w:pStyle w:val="DHHSbody"/>
      </w:pPr>
      <w:r w:rsidRPr="00733CD0">
        <w:t>Structured learning opportunities that recognise indivi</w:t>
      </w:r>
      <w:r w:rsidR="0014231C">
        <w:t>dual learning needs and define</w:t>
      </w:r>
      <w:r w:rsidRPr="00733CD0">
        <w:t xml:space="preserve"> program outcomes are an essential component of any </w:t>
      </w:r>
      <w:r w:rsidR="00A707EA">
        <w:t>transition to practice</w:t>
      </w:r>
      <w:r w:rsidRPr="00733CD0">
        <w:t xml:space="preserve"> program</w:t>
      </w:r>
      <w:r w:rsidR="003B2B45" w:rsidRPr="003B2B45">
        <w:rPr>
          <w:rStyle w:val="EndnoteReference"/>
        </w:rPr>
        <w:fldChar w:fldCharType="begin"/>
      </w:r>
      <w:r w:rsidR="003B2B45" w:rsidRPr="003B2B45">
        <w:rPr>
          <w:vertAlign w:val="superscript"/>
        </w:rPr>
        <w:instrText xml:space="preserve"> NOTEREF _Ref514683726 \h </w:instrText>
      </w:r>
      <w:r w:rsidR="003B2B45" w:rsidRPr="003B2B45">
        <w:rPr>
          <w:rStyle w:val="EndnoteReference"/>
        </w:rPr>
        <w:instrText xml:space="preserve"> \* MERGEFORMAT </w:instrText>
      </w:r>
      <w:r w:rsidR="003B2B45" w:rsidRPr="003B2B45">
        <w:rPr>
          <w:rStyle w:val="EndnoteReference"/>
        </w:rPr>
      </w:r>
      <w:r w:rsidR="003B2B45" w:rsidRPr="003B2B45">
        <w:rPr>
          <w:rStyle w:val="EndnoteReference"/>
        </w:rPr>
        <w:fldChar w:fldCharType="separate"/>
      </w:r>
      <w:r w:rsidR="004D60A8">
        <w:rPr>
          <w:vertAlign w:val="superscript"/>
        </w:rPr>
        <w:t>3</w:t>
      </w:r>
      <w:r w:rsidR="003B2B45" w:rsidRPr="003B2B45">
        <w:rPr>
          <w:rStyle w:val="EndnoteReference"/>
        </w:rPr>
        <w:fldChar w:fldCharType="end"/>
      </w:r>
      <w:r w:rsidRPr="00733CD0">
        <w:t>. These features provide clarity of expectations including the achievement of clinical skills</w:t>
      </w:r>
      <w:r w:rsidR="004F5540">
        <w:t xml:space="preserve"> and competencies on completion.</w:t>
      </w:r>
    </w:p>
    <w:p w:rsidR="00A107DC" w:rsidRDefault="00A707EA" w:rsidP="00DA7EA6">
      <w:pPr>
        <w:pStyle w:val="DHHSbody"/>
        <w:spacing w:after="240"/>
      </w:pPr>
      <w:r>
        <w:t>Transition to practice</w:t>
      </w:r>
      <w:r w:rsidR="00C553CC" w:rsidRPr="00C553CC">
        <w:t xml:space="preserve"> programs provide an opportunity for nurses and midwives to experience and develop skills acro</w:t>
      </w:r>
      <w:r w:rsidR="00C553CC">
        <w:t xml:space="preserve">ss a range of clinical settings. This </w:t>
      </w:r>
      <w:r w:rsidR="00C553CC" w:rsidRPr="00C553CC">
        <w:t xml:space="preserve">broadens knowledge </w:t>
      </w:r>
      <w:r w:rsidR="00C553CC">
        <w:t xml:space="preserve">and capabilities, while also contributing to improved retention and </w:t>
      </w:r>
      <w:r w:rsidR="00C553CC" w:rsidRPr="00C553CC">
        <w:t xml:space="preserve">future career </w:t>
      </w:r>
      <w:r w:rsidR="00C553CC">
        <w:t>decisions.</w:t>
      </w:r>
    </w:p>
    <w:tbl>
      <w:tblPr>
        <w:tblStyle w:val="TableGrid"/>
        <w:tblW w:w="0" w:type="auto"/>
        <w:tblCellMar>
          <w:top w:w="57" w:type="dxa"/>
          <w:bottom w:w="57" w:type="dxa"/>
        </w:tblCellMar>
        <w:tblLook w:val="04A0" w:firstRow="1" w:lastRow="0" w:firstColumn="1" w:lastColumn="0" w:noHBand="0" w:noVBand="1"/>
      </w:tblPr>
      <w:tblGrid>
        <w:gridCol w:w="1985"/>
        <w:gridCol w:w="7229"/>
      </w:tblGrid>
      <w:tr w:rsidR="00A107DC" w:rsidRPr="00DD4EDC" w:rsidTr="002E68C6">
        <w:trPr>
          <w:tblHeader/>
        </w:trPr>
        <w:tc>
          <w:tcPr>
            <w:tcW w:w="9214" w:type="dxa"/>
            <w:gridSpan w:val="2"/>
          </w:tcPr>
          <w:p w:rsidR="00A107DC" w:rsidRPr="00DD4EDC" w:rsidRDefault="00A107DC" w:rsidP="00F97D30">
            <w:pPr>
              <w:spacing w:before="80" w:after="60"/>
              <w:rPr>
                <w:rFonts w:ascii="Arial" w:hAnsi="Arial"/>
                <w:b/>
                <w:color w:val="007B4B"/>
              </w:rPr>
            </w:pPr>
            <w:r w:rsidRPr="00DD4EDC">
              <w:rPr>
                <w:rFonts w:ascii="Arial" w:hAnsi="Arial"/>
                <w:b/>
                <w:i/>
                <w:color w:val="007B4B"/>
              </w:rPr>
              <w:t xml:space="preserve">Key considerations for nursing and midwifery </w:t>
            </w:r>
            <w:r w:rsidR="00A707EA">
              <w:rPr>
                <w:rFonts w:ascii="Arial" w:hAnsi="Arial"/>
                <w:b/>
                <w:i/>
                <w:color w:val="007B4B"/>
              </w:rPr>
              <w:t>transition to practice</w:t>
            </w:r>
            <w:r w:rsidRPr="00DD4EDC">
              <w:rPr>
                <w:rFonts w:ascii="Arial" w:hAnsi="Arial"/>
                <w:b/>
                <w:i/>
                <w:color w:val="007B4B"/>
              </w:rPr>
              <w:t xml:space="preserve"> programs</w:t>
            </w:r>
          </w:p>
        </w:tc>
      </w:tr>
      <w:tr w:rsidR="00A107DC" w:rsidRPr="00DD4EDC" w:rsidTr="002E68C6">
        <w:tc>
          <w:tcPr>
            <w:tcW w:w="1985" w:type="dxa"/>
          </w:tcPr>
          <w:p w:rsidR="00A107DC" w:rsidRPr="00A107DC" w:rsidRDefault="00C553CC" w:rsidP="00F97D30">
            <w:pPr>
              <w:pStyle w:val="Heading4"/>
              <w:keepNext w:val="0"/>
              <w:keepLines w:val="0"/>
              <w:outlineLvl w:val="3"/>
              <w:rPr>
                <w:u w:val="single"/>
              </w:rPr>
            </w:pPr>
            <w:bookmarkStart w:id="45" w:name="_Toc519165387"/>
            <w:r>
              <w:t>Orientation and</w:t>
            </w:r>
            <w:r w:rsidR="00A107DC">
              <w:t xml:space="preserve"> </w:t>
            </w:r>
            <w:r w:rsidR="00A107DC" w:rsidRPr="00733CD0">
              <w:t>Induction</w:t>
            </w:r>
            <w:bookmarkEnd w:id="45"/>
          </w:p>
        </w:tc>
        <w:tc>
          <w:tcPr>
            <w:tcW w:w="7229" w:type="dxa"/>
          </w:tcPr>
          <w:p w:rsidR="00A107DC" w:rsidRDefault="00A107DC" w:rsidP="00F97D30">
            <w:pPr>
              <w:pStyle w:val="DHHSbody"/>
            </w:pPr>
            <w:r w:rsidRPr="00733CD0">
              <w:t xml:space="preserve">A welcoming environment, with appropriate induction and orientation, is essential for providing a positive learning environment and contributes to long-term employee retention. Nursing and </w:t>
            </w:r>
            <w:r w:rsidRPr="003319F3">
              <w:t>midwifery</w:t>
            </w:r>
            <w:r w:rsidRPr="003319F3">
              <w:rPr>
                <w:vertAlign w:val="superscript"/>
              </w:rPr>
              <w:t xml:space="preserve"> </w:t>
            </w:r>
            <w:r w:rsidRPr="003319F3">
              <w:t xml:space="preserve">graduates </w:t>
            </w:r>
            <w:r w:rsidR="00D43531" w:rsidRPr="003319F3">
              <w:t>who</w:t>
            </w:r>
            <w:r w:rsidR="004F5540" w:rsidRPr="003319F3">
              <w:t xml:space="preserve"> </w:t>
            </w:r>
            <w:r w:rsidR="00D43531" w:rsidRPr="003319F3">
              <w:t>receive</w:t>
            </w:r>
            <w:r w:rsidR="004F5540" w:rsidRPr="003319F3">
              <w:t xml:space="preserve"> comprehensive information during their orientation </w:t>
            </w:r>
            <w:r w:rsidR="00D43531" w:rsidRPr="003319F3">
              <w:t>encounter more positive experiences</w:t>
            </w:r>
            <w:r w:rsidRPr="003319F3">
              <w:t xml:space="preserve"> </w:t>
            </w:r>
            <w:r w:rsidR="00D43531" w:rsidRPr="003319F3">
              <w:t>during</w:t>
            </w:r>
            <w:r w:rsidR="004F5540" w:rsidRPr="003319F3">
              <w:t xml:space="preserve"> </w:t>
            </w:r>
            <w:r w:rsidRPr="003319F3">
              <w:t xml:space="preserve">their </w:t>
            </w:r>
            <w:r w:rsidR="00A707EA">
              <w:t>transition to practice</w:t>
            </w:r>
            <w:r w:rsidRPr="003319F3">
              <w:t xml:space="preserve"> programs</w:t>
            </w:r>
            <w:r w:rsidR="00D46805" w:rsidRPr="003319F3">
              <w:rPr>
                <w:vertAlign w:val="superscript"/>
              </w:rPr>
              <w:fldChar w:fldCharType="begin"/>
            </w:r>
            <w:r w:rsidR="00D46805" w:rsidRPr="003319F3">
              <w:rPr>
                <w:vertAlign w:val="superscript"/>
              </w:rPr>
              <w:instrText xml:space="preserve"> NOTEREF _Ref515455443 \h  \* MERGEFORMAT </w:instrText>
            </w:r>
            <w:r w:rsidR="00D46805" w:rsidRPr="003319F3">
              <w:rPr>
                <w:vertAlign w:val="superscript"/>
              </w:rPr>
            </w:r>
            <w:r w:rsidR="00D46805" w:rsidRPr="003319F3">
              <w:rPr>
                <w:vertAlign w:val="superscript"/>
              </w:rPr>
              <w:fldChar w:fldCharType="separate"/>
            </w:r>
            <w:r w:rsidR="004D60A8">
              <w:rPr>
                <w:vertAlign w:val="superscript"/>
              </w:rPr>
              <w:t>20</w:t>
            </w:r>
            <w:r w:rsidR="00D46805" w:rsidRPr="003319F3">
              <w:rPr>
                <w:vertAlign w:val="superscript"/>
              </w:rPr>
              <w:fldChar w:fldCharType="end"/>
            </w:r>
            <w:r w:rsidR="00C553CC" w:rsidRPr="003319F3">
              <w:t>. N</w:t>
            </w:r>
            <w:r w:rsidRPr="003319F3">
              <w:t xml:space="preserve">ew graduates who </w:t>
            </w:r>
            <w:r w:rsidR="009B75C3">
              <w:t>are</w:t>
            </w:r>
            <w:r w:rsidRPr="003319F3">
              <w:t xml:space="preserve"> able to understand their immediate clinical environment </w:t>
            </w:r>
            <w:r w:rsidR="00D43531" w:rsidRPr="003319F3">
              <w:t>also experience</w:t>
            </w:r>
            <w:r w:rsidRPr="003319F3">
              <w:t xml:space="preserve"> lower</w:t>
            </w:r>
            <w:r w:rsidRPr="00733CD0">
              <w:t xml:space="preserve"> levels of workplace stress</w:t>
            </w:r>
            <w:r w:rsidR="00D43531" w:rsidRPr="00D43531">
              <w:rPr>
                <w:rStyle w:val="EndnoteReference"/>
              </w:rPr>
              <w:fldChar w:fldCharType="begin"/>
            </w:r>
            <w:r w:rsidR="00D43531" w:rsidRPr="00D43531">
              <w:rPr>
                <w:vertAlign w:val="superscript"/>
              </w:rPr>
              <w:instrText xml:space="preserve"> NOTEREF _Ref515455443 \h </w:instrText>
            </w:r>
            <w:r w:rsidR="00D43531" w:rsidRPr="00D43531">
              <w:rPr>
                <w:rStyle w:val="EndnoteReference"/>
              </w:rPr>
              <w:instrText xml:space="preserve"> \* MERGEFORMAT </w:instrText>
            </w:r>
            <w:r w:rsidR="00D43531" w:rsidRPr="00D43531">
              <w:rPr>
                <w:rStyle w:val="EndnoteReference"/>
              </w:rPr>
            </w:r>
            <w:r w:rsidR="00D43531" w:rsidRPr="00D43531">
              <w:rPr>
                <w:rStyle w:val="EndnoteReference"/>
              </w:rPr>
              <w:fldChar w:fldCharType="separate"/>
            </w:r>
            <w:r w:rsidR="004D60A8">
              <w:rPr>
                <w:vertAlign w:val="superscript"/>
              </w:rPr>
              <w:t>20</w:t>
            </w:r>
            <w:r w:rsidR="00D43531" w:rsidRPr="00D43531">
              <w:rPr>
                <w:rStyle w:val="EndnoteReference"/>
              </w:rPr>
              <w:fldChar w:fldCharType="end"/>
            </w:r>
            <w:r w:rsidRPr="00733CD0">
              <w:t xml:space="preserve">. </w:t>
            </w:r>
          </w:p>
          <w:p w:rsidR="003C5598" w:rsidRPr="003C5598" w:rsidRDefault="003C5598" w:rsidP="00F97D30">
            <w:pPr>
              <w:pStyle w:val="DHHSbody"/>
              <w:rPr>
                <w:rFonts w:eastAsia="Times New Roman"/>
                <w:b/>
                <w:color w:val="007B4B"/>
              </w:rPr>
            </w:pPr>
            <w:r w:rsidRPr="003C5598">
              <w:rPr>
                <w:rFonts w:eastAsia="Times New Roman"/>
                <w:b/>
                <w:color w:val="007B4B"/>
              </w:rPr>
              <w:t>Recommendation:</w:t>
            </w:r>
          </w:p>
          <w:p w:rsidR="00A107DC" w:rsidRPr="00733CD0" w:rsidRDefault="00C553CC" w:rsidP="00F97D30">
            <w:pPr>
              <w:pStyle w:val="DHHSbody"/>
              <w:rPr>
                <w:b/>
                <w:u w:val="single"/>
              </w:rPr>
            </w:pPr>
            <w:r>
              <w:t>It is recommended that g</w:t>
            </w:r>
            <w:r w:rsidR="00A107DC" w:rsidRPr="00733CD0">
              <w:t>raduate orientation include</w:t>
            </w:r>
            <w:r w:rsidR="00A27242">
              <w:t xml:space="preserve"> information about</w:t>
            </w:r>
            <w:r w:rsidR="00A107DC" w:rsidRPr="00733CD0">
              <w:t xml:space="preserve">: </w:t>
            </w:r>
          </w:p>
          <w:p w:rsidR="00A107DC" w:rsidRPr="00733CD0" w:rsidRDefault="00BF28AC" w:rsidP="00F97D30">
            <w:pPr>
              <w:pStyle w:val="DHHSbody"/>
              <w:numPr>
                <w:ilvl w:val="2"/>
                <w:numId w:val="3"/>
              </w:numPr>
              <w:ind w:left="459" w:hanging="284"/>
            </w:pPr>
            <w:r>
              <w:t>k</w:t>
            </w:r>
            <w:r w:rsidR="00F3387C">
              <w:t>ey o</w:t>
            </w:r>
            <w:r w:rsidR="00A107DC" w:rsidRPr="00733CD0">
              <w:t>rganisational policies and</w:t>
            </w:r>
            <w:r w:rsidR="00F3387C">
              <w:t xml:space="preserve"> </w:t>
            </w:r>
            <w:r w:rsidR="00A107DC" w:rsidRPr="00733CD0">
              <w:t>procedures</w:t>
            </w:r>
          </w:p>
          <w:p w:rsidR="00A107DC" w:rsidRPr="00733CD0" w:rsidRDefault="00BF28AC" w:rsidP="00F97D30">
            <w:pPr>
              <w:pStyle w:val="DHHSbody"/>
              <w:numPr>
                <w:ilvl w:val="2"/>
                <w:numId w:val="3"/>
              </w:numPr>
              <w:ind w:left="459" w:hanging="284"/>
            </w:pPr>
            <w:r>
              <w:t>o</w:t>
            </w:r>
            <w:r w:rsidR="00A107DC" w:rsidRPr="00733CD0">
              <w:t>rganisational codes of conduct and values</w:t>
            </w:r>
          </w:p>
          <w:p w:rsidR="00A107DC" w:rsidRPr="00733CD0" w:rsidRDefault="00BF28AC" w:rsidP="00F97D30">
            <w:pPr>
              <w:pStyle w:val="DHHSbody"/>
              <w:numPr>
                <w:ilvl w:val="2"/>
                <w:numId w:val="3"/>
              </w:numPr>
              <w:ind w:left="459" w:hanging="284"/>
            </w:pPr>
            <w:r>
              <w:t>t</w:t>
            </w:r>
            <w:r w:rsidR="00A107DC" w:rsidRPr="00733CD0">
              <w:t>our of wards</w:t>
            </w:r>
            <w:r w:rsidR="002A1318">
              <w:t xml:space="preserve"> and facilities</w:t>
            </w:r>
          </w:p>
          <w:p w:rsidR="00A107DC" w:rsidRDefault="00BF28AC" w:rsidP="00F97D30">
            <w:pPr>
              <w:pStyle w:val="DHHSbody"/>
              <w:numPr>
                <w:ilvl w:val="2"/>
                <w:numId w:val="3"/>
              </w:numPr>
              <w:ind w:left="459" w:hanging="284"/>
            </w:pPr>
            <w:r>
              <w:lastRenderedPageBreak/>
              <w:t>c</w:t>
            </w:r>
            <w:r w:rsidR="00A107DC" w:rsidRPr="00733CD0">
              <w:t>ontact details of Graduate Coordinator (or equivalent)</w:t>
            </w:r>
          </w:p>
          <w:p w:rsidR="00767552" w:rsidRPr="00733CD0" w:rsidRDefault="00BF28AC" w:rsidP="00F97D30">
            <w:pPr>
              <w:pStyle w:val="DHHSbody"/>
              <w:numPr>
                <w:ilvl w:val="2"/>
                <w:numId w:val="3"/>
              </w:numPr>
              <w:ind w:left="459" w:hanging="284"/>
            </w:pPr>
            <w:r>
              <w:t>a</w:t>
            </w:r>
            <w:r w:rsidR="009836B7">
              <w:t>llocated p</w:t>
            </w:r>
            <w:r w:rsidR="00767552">
              <w:t>receptors</w:t>
            </w:r>
            <w:r w:rsidR="00975B01">
              <w:t xml:space="preserve"> and clinical educators</w:t>
            </w:r>
          </w:p>
          <w:p w:rsidR="00A107DC" w:rsidRPr="00733CD0" w:rsidRDefault="00BF28AC" w:rsidP="00F97D30">
            <w:pPr>
              <w:pStyle w:val="DHHSbody"/>
              <w:numPr>
                <w:ilvl w:val="2"/>
                <w:numId w:val="3"/>
              </w:numPr>
              <w:ind w:left="459" w:hanging="284"/>
            </w:pPr>
            <w:r>
              <w:t>s</w:t>
            </w:r>
            <w:r w:rsidR="00A107DC" w:rsidRPr="00733CD0">
              <w:t>upernumerary time</w:t>
            </w:r>
          </w:p>
          <w:p w:rsidR="00A107DC" w:rsidRDefault="00BF28AC" w:rsidP="00F97D30">
            <w:pPr>
              <w:pStyle w:val="DHHSbody"/>
              <w:numPr>
                <w:ilvl w:val="2"/>
                <w:numId w:val="3"/>
              </w:numPr>
              <w:ind w:left="459" w:hanging="284"/>
            </w:pPr>
            <w:r>
              <w:t>s</w:t>
            </w:r>
            <w:r w:rsidR="00A107DC" w:rsidRPr="00733CD0">
              <w:t>tudy days</w:t>
            </w:r>
          </w:p>
          <w:p w:rsidR="00D6095C" w:rsidRDefault="00BF28AC" w:rsidP="00F97D30">
            <w:pPr>
              <w:pStyle w:val="DHHSbody"/>
              <w:numPr>
                <w:ilvl w:val="2"/>
                <w:numId w:val="3"/>
              </w:numPr>
              <w:ind w:left="459" w:hanging="284"/>
            </w:pPr>
            <w:r>
              <w:t>r</w:t>
            </w:r>
            <w:r w:rsidR="00D6095C">
              <w:t>ostering procedures</w:t>
            </w:r>
          </w:p>
          <w:p w:rsidR="00D6095C" w:rsidRDefault="00BF28AC" w:rsidP="00F97D30">
            <w:pPr>
              <w:pStyle w:val="DHHSbody"/>
              <w:numPr>
                <w:ilvl w:val="2"/>
                <w:numId w:val="3"/>
              </w:numPr>
              <w:ind w:left="459" w:hanging="284"/>
            </w:pPr>
            <w:r>
              <w:t>p</w:t>
            </w:r>
            <w:r w:rsidR="00D6095C">
              <w:t>atient handover process</w:t>
            </w:r>
          </w:p>
          <w:p w:rsidR="00975B01" w:rsidRPr="00733CD0" w:rsidRDefault="00BF28AC" w:rsidP="00F97D30">
            <w:pPr>
              <w:pStyle w:val="DHHSbody"/>
              <w:numPr>
                <w:ilvl w:val="2"/>
                <w:numId w:val="3"/>
              </w:numPr>
              <w:ind w:left="459" w:hanging="284"/>
            </w:pPr>
            <w:r>
              <w:t>d</w:t>
            </w:r>
            <w:r w:rsidR="00975B01">
              <w:t>ocumentation systems</w:t>
            </w:r>
          </w:p>
          <w:p w:rsidR="00A107DC" w:rsidRDefault="00BF28AC" w:rsidP="00F97D30">
            <w:pPr>
              <w:pStyle w:val="DHHSbody"/>
              <w:numPr>
                <w:ilvl w:val="2"/>
                <w:numId w:val="3"/>
              </w:numPr>
              <w:ind w:left="459" w:hanging="284"/>
            </w:pPr>
            <w:r>
              <w:t>m</w:t>
            </w:r>
            <w:r w:rsidR="00D6095C">
              <w:t xml:space="preserve">andatory education and training requirements (e.g. </w:t>
            </w:r>
            <w:r w:rsidR="00503498">
              <w:t>Occupational health and safety</w:t>
            </w:r>
            <w:r w:rsidR="00D6095C">
              <w:t>)</w:t>
            </w:r>
          </w:p>
          <w:p w:rsidR="00D6095C" w:rsidRPr="00A107DC" w:rsidRDefault="00BF28AC" w:rsidP="00F97D30">
            <w:pPr>
              <w:pStyle w:val="DHHSbody"/>
              <w:numPr>
                <w:ilvl w:val="2"/>
                <w:numId w:val="3"/>
              </w:numPr>
              <w:ind w:left="459" w:hanging="284"/>
            </w:pPr>
            <w:r>
              <w:t>i</w:t>
            </w:r>
            <w:r w:rsidR="00D6095C">
              <w:t>ncident reporting</w:t>
            </w:r>
          </w:p>
        </w:tc>
      </w:tr>
      <w:tr w:rsidR="00C553CC" w:rsidRPr="00DD4EDC" w:rsidTr="002E68C6">
        <w:tc>
          <w:tcPr>
            <w:tcW w:w="1985" w:type="dxa"/>
          </w:tcPr>
          <w:p w:rsidR="00C553CC" w:rsidRPr="00F97D30" w:rsidRDefault="00C553CC" w:rsidP="00F97D30">
            <w:pPr>
              <w:pStyle w:val="Heading4"/>
              <w:outlineLvl w:val="3"/>
            </w:pPr>
            <w:bookmarkStart w:id="46" w:name="_Toc519165388"/>
            <w:r w:rsidRPr="00F97D30">
              <w:rPr>
                <w:rStyle w:val="Heading4Char"/>
                <w:b/>
                <w:bCs/>
              </w:rPr>
              <w:lastRenderedPageBreak/>
              <w:t xml:space="preserve">Educational </w:t>
            </w:r>
            <w:r w:rsidRPr="00F97D30">
              <w:t>objectives</w:t>
            </w:r>
            <w:bookmarkEnd w:id="46"/>
          </w:p>
        </w:tc>
        <w:tc>
          <w:tcPr>
            <w:tcW w:w="7229" w:type="dxa"/>
          </w:tcPr>
          <w:p w:rsidR="00AE75D4" w:rsidRDefault="00AE75D4" w:rsidP="00F97D30">
            <w:pPr>
              <w:pStyle w:val="DHHSbody"/>
            </w:pPr>
            <w:r>
              <w:t>To support the transition to independent practitioner, graduates require appropriate learning opportunities and exposure to various clinical experiences.</w:t>
            </w:r>
            <w:r w:rsidR="00C75C14">
              <w:t xml:space="preserve"> Organisations can further support graduates by ensuring these learning opportunities are available through</w:t>
            </w:r>
            <w:r w:rsidR="00AB748D">
              <w:t xml:space="preserve"> structured and</w:t>
            </w:r>
            <w:r w:rsidR="00C75C14">
              <w:t xml:space="preserve"> manageable workloads.</w:t>
            </w:r>
            <w:r>
              <w:t xml:space="preserve"> Graduates and organisational s</w:t>
            </w:r>
            <w:r w:rsidR="00615317">
              <w:t>taff have indicated the value of</w:t>
            </w:r>
            <w:r>
              <w:t xml:space="preserve"> having clearly defined learning objectives upon commencing rotations </w:t>
            </w:r>
            <w:r w:rsidR="00C553CC">
              <w:t xml:space="preserve">to understand expected educational outcomes as part of their </w:t>
            </w:r>
            <w:r w:rsidR="00C553CC" w:rsidRPr="00511291">
              <w:t>program</w:t>
            </w:r>
            <w:r w:rsidR="00511291" w:rsidRPr="00511291">
              <w:rPr>
                <w:rStyle w:val="EndnoteReference"/>
              </w:rPr>
              <w:fldChar w:fldCharType="begin"/>
            </w:r>
            <w:r w:rsidR="00511291" w:rsidRPr="00511291">
              <w:rPr>
                <w:vertAlign w:val="superscript"/>
              </w:rPr>
              <w:instrText xml:space="preserve"> NOTEREF _Ref508113280 \h </w:instrText>
            </w:r>
            <w:r w:rsidR="00511291" w:rsidRPr="00511291">
              <w:rPr>
                <w:rStyle w:val="EndnoteReference"/>
              </w:rPr>
              <w:instrText xml:space="preserve"> \* MERGEFORMAT </w:instrText>
            </w:r>
            <w:r w:rsidR="00511291" w:rsidRPr="00511291">
              <w:rPr>
                <w:rStyle w:val="EndnoteReference"/>
              </w:rPr>
            </w:r>
            <w:r w:rsidR="00511291" w:rsidRPr="00511291">
              <w:rPr>
                <w:rStyle w:val="EndnoteReference"/>
              </w:rPr>
              <w:fldChar w:fldCharType="separate"/>
            </w:r>
            <w:r w:rsidR="004D60A8">
              <w:rPr>
                <w:vertAlign w:val="superscript"/>
              </w:rPr>
              <w:t>5</w:t>
            </w:r>
            <w:r w:rsidR="00511291" w:rsidRPr="00511291">
              <w:rPr>
                <w:rStyle w:val="EndnoteReference"/>
              </w:rPr>
              <w:fldChar w:fldCharType="end"/>
            </w:r>
            <w:r w:rsidR="00A707EA" w:rsidRPr="00A707EA">
              <w:rPr>
                <w:vertAlign w:val="superscript"/>
              </w:rPr>
              <w:t>,</w:t>
            </w:r>
            <w:r w:rsidR="00511291" w:rsidRPr="00511291">
              <w:rPr>
                <w:rStyle w:val="EndnoteReference"/>
              </w:rPr>
              <w:fldChar w:fldCharType="begin"/>
            </w:r>
            <w:r w:rsidR="00511291" w:rsidRPr="00511291">
              <w:rPr>
                <w:rStyle w:val="EndnoteReference"/>
              </w:rPr>
              <w:instrText xml:space="preserve"> NOTEREF _Ref515455443 \h </w:instrText>
            </w:r>
            <w:r w:rsidR="00511291">
              <w:rPr>
                <w:rStyle w:val="EndnoteReference"/>
              </w:rPr>
              <w:instrText xml:space="preserve"> \* MERGEFORMAT </w:instrText>
            </w:r>
            <w:r w:rsidR="00511291" w:rsidRPr="00511291">
              <w:rPr>
                <w:rStyle w:val="EndnoteReference"/>
              </w:rPr>
            </w:r>
            <w:r w:rsidR="00511291" w:rsidRPr="00511291">
              <w:rPr>
                <w:rStyle w:val="EndnoteReference"/>
              </w:rPr>
              <w:fldChar w:fldCharType="separate"/>
            </w:r>
            <w:r w:rsidR="004D60A8">
              <w:rPr>
                <w:rStyle w:val="EndnoteReference"/>
              </w:rPr>
              <w:t>20</w:t>
            </w:r>
            <w:r w:rsidR="00511291" w:rsidRPr="00511291">
              <w:rPr>
                <w:rStyle w:val="EndnoteReference"/>
              </w:rPr>
              <w:fldChar w:fldCharType="end"/>
            </w:r>
            <w:r w:rsidR="00C553CC">
              <w:t xml:space="preserve">. </w:t>
            </w:r>
          </w:p>
          <w:p w:rsidR="00615317" w:rsidRPr="00615317" w:rsidRDefault="00615317" w:rsidP="00F97D30">
            <w:pPr>
              <w:pStyle w:val="DHHSbody"/>
              <w:rPr>
                <w:rFonts w:eastAsia="Times New Roman"/>
                <w:b/>
                <w:color w:val="007B4B"/>
              </w:rPr>
            </w:pPr>
            <w:r w:rsidRPr="00615317">
              <w:rPr>
                <w:rFonts w:eastAsia="Times New Roman"/>
                <w:b/>
                <w:color w:val="007B4B"/>
              </w:rPr>
              <w:t>Recommendation:</w:t>
            </w:r>
          </w:p>
          <w:p w:rsidR="00C553CC" w:rsidRPr="00DD4EDC" w:rsidRDefault="00C553CC" w:rsidP="00F97D30">
            <w:pPr>
              <w:pStyle w:val="DHHSbody"/>
            </w:pPr>
            <w:r>
              <w:t>It is recommended that the education componen</w:t>
            </w:r>
            <w:r w:rsidR="00AE75D4">
              <w:t xml:space="preserve">t of </w:t>
            </w:r>
            <w:r w:rsidR="00A707EA">
              <w:t>transition to practice</w:t>
            </w:r>
            <w:r w:rsidR="00AE75D4">
              <w:t xml:space="preserve"> programs contain c</w:t>
            </w:r>
            <w:r>
              <w:t>learly outlined objectives</w:t>
            </w:r>
            <w:r w:rsidR="00AE75D4">
              <w:t xml:space="preserve"> and a</w:t>
            </w:r>
            <w:r w:rsidR="00306D2D">
              <w:t xml:space="preserve"> personal</w:t>
            </w:r>
            <w:r w:rsidR="00AE75D4">
              <w:t xml:space="preserve"> learning portfolio is developed </w:t>
            </w:r>
            <w:r>
              <w:t>in consultation with graduates</w:t>
            </w:r>
            <w:r w:rsidR="00AE75D4">
              <w:t>.</w:t>
            </w:r>
          </w:p>
        </w:tc>
      </w:tr>
      <w:tr w:rsidR="00C553CC" w:rsidRPr="00DD4EDC" w:rsidTr="002E68C6">
        <w:tc>
          <w:tcPr>
            <w:tcW w:w="1985" w:type="dxa"/>
          </w:tcPr>
          <w:p w:rsidR="00C553CC" w:rsidRDefault="00C553CC" w:rsidP="00F97D30">
            <w:pPr>
              <w:pStyle w:val="Heading4"/>
              <w:keepNext w:val="0"/>
              <w:keepLines w:val="0"/>
              <w:outlineLvl w:val="3"/>
            </w:pPr>
            <w:bookmarkStart w:id="47" w:name="_Toc519165389"/>
            <w:r>
              <w:t>All staff training</w:t>
            </w:r>
            <w:bookmarkEnd w:id="47"/>
          </w:p>
        </w:tc>
        <w:tc>
          <w:tcPr>
            <w:tcW w:w="7229" w:type="dxa"/>
          </w:tcPr>
          <w:p w:rsidR="00A867F4" w:rsidRDefault="00E8673D" w:rsidP="00F97D30">
            <w:pPr>
              <w:pStyle w:val="DHHSbody"/>
            </w:pPr>
            <w:r w:rsidRPr="00FC75EB">
              <w:rPr>
                <w:rFonts w:cs="Arial"/>
              </w:rPr>
              <w:t xml:space="preserve">Ward staff </w:t>
            </w:r>
            <w:r w:rsidRPr="00327884">
              <w:rPr>
                <w:rFonts w:cs="Arial"/>
              </w:rPr>
              <w:t xml:space="preserve">working with graduates may </w:t>
            </w:r>
            <w:r>
              <w:rPr>
                <w:rFonts w:cs="Arial"/>
              </w:rPr>
              <w:t>not have an accurate understanding of</w:t>
            </w:r>
            <w:r w:rsidRPr="00327884">
              <w:rPr>
                <w:rFonts w:cs="Arial"/>
              </w:rPr>
              <w:t xml:space="preserve"> </w:t>
            </w:r>
            <w:r>
              <w:rPr>
                <w:rFonts w:cs="Arial"/>
              </w:rPr>
              <w:t>graduates’</w:t>
            </w:r>
            <w:r w:rsidRPr="00327884">
              <w:rPr>
                <w:rFonts w:cs="Arial"/>
              </w:rPr>
              <w:t xml:space="preserve"> clinical capabilities</w:t>
            </w:r>
            <w:r>
              <w:rPr>
                <w:rFonts w:cs="Arial"/>
              </w:rPr>
              <w:t>, skills or knowledge</w:t>
            </w:r>
            <w:r w:rsidRPr="00A21071">
              <w:rPr>
                <w:rStyle w:val="EndnoteReference"/>
                <w:rFonts w:cs="Arial"/>
              </w:rPr>
              <w:endnoteReference w:id="23"/>
            </w:r>
            <w:r w:rsidR="000F3CFE" w:rsidRPr="000F3CFE">
              <w:rPr>
                <w:rFonts w:cs="Arial"/>
                <w:vertAlign w:val="superscript"/>
              </w:rPr>
              <w:t>,</w:t>
            </w:r>
            <w:r w:rsidR="007367F7" w:rsidRPr="007367F7">
              <w:rPr>
                <w:rStyle w:val="EndnoteReference"/>
                <w:rFonts w:cs="Arial"/>
              </w:rPr>
              <w:fldChar w:fldCharType="begin"/>
            </w:r>
            <w:r w:rsidR="007367F7" w:rsidRPr="007367F7">
              <w:rPr>
                <w:rFonts w:cs="Arial"/>
                <w:vertAlign w:val="superscript"/>
              </w:rPr>
              <w:instrText xml:space="preserve"> NOTEREF _Ref515456249 \h </w:instrText>
            </w:r>
            <w:r w:rsidR="007367F7" w:rsidRPr="007367F7">
              <w:rPr>
                <w:rStyle w:val="EndnoteReference"/>
                <w:rFonts w:cs="Arial"/>
              </w:rPr>
              <w:instrText xml:space="preserve"> \* MERGEFORMAT </w:instrText>
            </w:r>
            <w:r w:rsidR="007367F7" w:rsidRPr="007367F7">
              <w:rPr>
                <w:rStyle w:val="EndnoteReference"/>
                <w:rFonts w:cs="Arial"/>
              </w:rPr>
            </w:r>
            <w:r w:rsidR="007367F7" w:rsidRPr="007367F7">
              <w:rPr>
                <w:rStyle w:val="EndnoteReference"/>
                <w:rFonts w:cs="Arial"/>
              </w:rPr>
              <w:fldChar w:fldCharType="separate"/>
            </w:r>
            <w:r w:rsidR="004D60A8">
              <w:rPr>
                <w:rFonts w:cs="Arial"/>
                <w:vertAlign w:val="superscript"/>
              </w:rPr>
              <w:t>8</w:t>
            </w:r>
            <w:r w:rsidR="007367F7" w:rsidRPr="007367F7">
              <w:rPr>
                <w:rStyle w:val="EndnoteReference"/>
                <w:rFonts w:cs="Arial"/>
              </w:rPr>
              <w:fldChar w:fldCharType="end"/>
            </w:r>
            <w:r w:rsidR="000F3CFE">
              <w:rPr>
                <w:rStyle w:val="EndnoteReference"/>
                <w:rFonts w:cs="Arial"/>
              </w:rPr>
              <w:t>,</w:t>
            </w:r>
            <w:r w:rsidR="007367F7">
              <w:rPr>
                <w:rStyle w:val="EndnoteReference"/>
                <w:rFonts w:cs="Arial"/>
              </w:rPr>
              <w:endnoteReference w:id="24"/>
            </w:r>
            <w:r w:rsidRPr="00E8673D">
              <w:t>. S</w:t>
            </w:r>
            <w:r w:rsidR="00C553CC" w:rsidRPr="00E8673D">
              <w:t>taff</w:t>
            </w:r>
            <w:r w:rsidR="00C553CC">
              <w:t xml:space="preserve"> working </w:t>
            </w:r>
            <w:r w:rsidR="00471B47">
              <w:t xml:space="preserve">and engaging directly </w:t>
            </w:r>
            <w:r w:rsidR="00C553CC">
              <w:t xml:space="preserve">with graduates </w:t>
            </w:r>
            <w:r w:rsidR="00306D2D">
              <w:t>require a common</w:t>
            </w:r>
            <w:r w:rsidR="00A867F4">
              <w:t xml:space="preserve"> </w:t>
            </w:r>
            <w:r w:rsidR="00471B47">
              <w:t xml:space="preserve">understanding of </w:t>
            </w:r>
            <w:r w:rsidR="00A867F4">
              <w:t>graduate</w:t>
            </w:r>
            <w:r w:rsidR="00C553CC">
              <w:t xml:space="preserve"> clinical capabilitie</w:t>
            </w:r>
            <w:r w:rsidR="00471B47">
              <w:t>s, skills or knowledge</w:t>
            </w:r>
            <w:r w:rsidR="00A867F4">
              <w:t xml:space="preserve"> to ensure</w:t>
            </w:r>
            <w:r w:rsidR="00306D2D">
              <w:t xml:space="preserve"> </w:t>
            </w:r>
            <w:r w:rsidR="00082BCC">
              <w:t xml:space="preserve">a </w:t>
            </w:r>
            <w:r w:rsidR="00A867F4">
              <w:t xml:space="preserve">safe </w:t>
            </w:r>
            <w:r w:rsidR="00306D2D">
              <w:t>working environment</w:t>
            </w:r>
            <w:r w:rsidR="00A867F4">
              <w:t xml:space="preserve">. </w:t>
            </w:r>
            <w:r w:rsidR="00306D2D">
              <w:t xml:space="preserve">This </w:t>
            </w:r>
            <w:r w:rsidR="00A867F4">
              <w:t>is also u</w:t>
            </w:r>
            <w:r w:rsidR="00C553CC">
              <w:t>seful for building a positive learning culture</w:t>
            </w:r>
            <w:r w:rsidR="00AA1C57" w:rsidRPr="00AA1C57">
              <w:rPr>
                <w:rStyle w:val="EndnoteReference"/>
              </w:rPr>
              <w:fldChar w:fldCharType="begin"/>
            </w:r>
            <w:r w:rsidR="00AA1C57" w:rsidRPr="00AA1C57">
              <w:rPr>
                <w:vertAlign w:val="superscript"/>
              </w:rPr>
              <w:instrText xml:space="preserve"> NOTEREF _Ref514683726 \h </w:instrText>
            </w:r>
            <w:r w:rsidR="00AA1C57" w:rsidRPr="00AA1C57">
              <w:rPr>
                <w:rStyle w:val="EndnoteReference"/>
              </w:rPr>
              <w:instrText xml:space="preserve"> \* MERGEFORMAT </w:instrText>
            </w:r>
            <w:r w:rsidR="00AA1C57" w:rsidRPr="00AA1C57">
              <w:rPr>
                <w:rStyle w:val="EndnoteReference"/>
              </w:rPr>
            </w:r>
            <w:r w:rsidR="00AA1C57" w:rsidRPr="00AA1C57">
              <w:rPr>
                <w:rStyle w:val="EndnoteReference"/>
              </w:rPr>
              <w:fldChar w:fldCharType="separate"/>
            </w:r>
            <w:r w:rsidR="004D60A8">
              <w:rPr>
                <w:vertAlign w:val="superscript"/>
              </w:rPr>
              <w:t>3</w:t>
            </w:r>
            <w:r w:rsidR="00AA1C57" w:rsidRPr="00AA1C57">
              <w:rPr>
                <w:rStyle w:val="EndnoteReference"/>
              </w:rPr>
              <w:fldChar w:fldCharType="end"/>
            </w:r>
            <w:r w:rsidR="00C553CC">
              <w:t xml:space="preserve">. </w:t>
            </w:r>
          </w:p>
          <w:p w:rsidR="00EB0349" w:rsidRPr="00EB0349" w:rsidRDefault="00EB0349" w:rsidP="00F97D30">
            <w:pPr>
              <w:pStyle w:val="DHHSbody"/>
              <w:rPr>
                <w:rFonts w:eastAsia="Times New Roman"/>
                <w:b/>
                <w:color w:val="007B4B"/>
              </w:rPr>
            </w:pPr>
            <w:r w:rsidRPr="00EB0349">
              <w:rPr>
                <w:rFonts w:eastAsia="Times New Roman"/>
                <w:b/>
                <w:color w:val="007B4B"/>
              </w:rPr>
              <w:t>Recommendation:</w:t>
            </w:r>
          </w:p>
          <w:p w:rsidR="00C553CC" w:rsidRPr="00A107DC" w:rsidRDefault="00C553CC" w:rsidP="00F97D30">
            <w:pPr>
              <w:pStyle w:val="DHHSbody"/>
            </w:pPr>
            <w:r>
              <w:t>It i</w:t>
            </w:r>
            <w:r w:rsidR="00A867F4">
              <w:t xml:space="preserve">s recommended </w:t>
            </w:r>
            <w:r w:rsidR="00306D2D">
              <w:t xml:space="preserve">all </w:t>
            </w:r>
            <w:r w:rsidR="00A867F4">
              <w:t xml:space="preserve">staff </w:t>
            </w:r>
            <w:r w:rsidR="005C0388">
              <w:t xml:space="preserve">understand </w:t>
            </w:r>
            <w:r w:rsidR="00A867F4">
              <w:t xml:space="preserve">their </w:t>
            </w:r>
            <w:r>
              <w:t>role in</w:t>
            </w:r>
            <w:r w:rsidR="005C0388">
              <w:t xml:space="preserve"> </w:t>
            </w:r>
            <w:r w:rsidR="00306D2D">
              <w:t>supporting a</w:t>
            </w:r>
            <w:r w:rsidR="005C0388">
              <w:t xml:space="preserve"> </w:t>
            </w:r>
            <w:r w:rsidR="00EB0349">
              <w:t>high-</w:t>
            </w:r>
            <w:r>
              <w:t xml:space="preserve">quality education </w:t>
            </w:r>
            <w:r w:rsidR="00306D2D">
              <w:t xml:space="preserve">environment </w:t>
            </w:r>
            <w:r>
              <w:t xml:space="preserve">for graduates. </w:t>
            </w:r>
            <w:r w:rsidR="005C0388">
              <w:t>This could include e</w:t>
            </w:r>
            <w:r>
              <w:t>ducation sessions for all staff on graduate capabilities</w:t>
            </w:r>
            <w:r w:rsidR="005C0388">
              <w:t>, education principles</w:t>
            </w:r>
            <w:r>
              <w:t xml:space="preserve"> and </w:t>
            </w:r>
            <w:r w:rsidR="005C0388">
              <w:t>mechanisms</w:t>
            </w:r>
            <w:r>
              <w:t xml:space="preserve"> to support graduate learning</w:t>
            </w:r>
            <w:r w:rsidR="005C0388">
              <w:t>.</w:t>
            </w:r>
          </w:p>
        </w:tc>
      </w:tr>
      <w:tr w:rsidR="00C553CC" w:rsidRPr="00DD4EDC" w:rsidTr="002E68C6">
        <w:tc>
          <w:tcPr>
            <w:tcW w:w="1985" w:type="dxa"/>
          </w:tcPr>
          <w:p w:rsidR="00C553CC" w:rsidRPr="00DD4EDC" w:rsidRDefault="00C553CC" w:rsidP="00F97D30">
            <w:pPr>
              <w:pStyle w:val="Heading4"/>
              <w:keepNext w:val="0"/>
              <w:keepLines w:val="0"/>
              <w:outlineLvl w:val="3"/>
            </w:pPr>
            <w:bookmarkStart w:id="48" w:name="_Toc519165390"/>
            <w:r>
              <w:t xml:space="preserve">Access to </w:t>
            </w:r>
            <w:r w:rsidR="00112A8A">
              <w:t xml:space="preserve">recreational </w:t>
            </w:r>
            <w:r>
              <w:t>leave</w:t>
            </w:r>
            <w:bookmarkEnd w:id="48"/>
          </w:p>
        </w:tc>
        <w:tc>
          <w:tcPr>
            <w:tcW w:w="7229" w:type="dxa"/>
          </w:tcPr>
          <w:p w:rsidR="00B6109F" w:rsidRDefault="00306D2D" w:rsidP="00F97D30">
            <w:pPr>
              <w:pStyle w:val="DHHSbody"/>
            </w:pPr>
            <w:r>
              <w:t>Transition to practice</w:t>
            </w:r>
            <w:r w:rsidR="00C553CC" w:rsidRPr="00A107DC">
              <w:t xml:space="preserve"> programs </w:t>
            </w:r>
            <w:r>
              <w:t>should provide</w:t>
            </w:r>
            <w:r w:rsidR="00C553CC" w:rsidRPr="00A107DC">
              <w:t xml:space="preserve"> a safe learning environment</w:t>
            </w:r>
            <w:r w:rsidR="00B6109F">
              <w:t xml:space="preserve"> </w:t>
            </w:r>
            <w:r>
              <w:t xml:space="preserve">for graduates </w:t>
            </w:r>
            <w:r w:rsidR="00B6109F">
              <w:t xml:space="preserve">that considers </w:t>
            </w:r>
            <w:r w:rsidR="00C553CC" w:rsidRPr="00A107DC">
              <w:t>the</w:t>
            </w:r>
            <w:r w:rsidR="004025A7">
              <w:t>ir</w:t>
            </w:r>
            <w:r w:rsidR="00C553CC" w:rsidRPr="00A107DC">
              <w:t xml:space="preserve"> emotional safety </w:t>
            </w:r>
            <w:r w:rsidR="00B6109F">
              <w:t>and wellbeing</w:t>
            </w:r>
            <w:r w:rsidR="00C553CC" w:rsidRPr="00A107DC">
              <w:t>. Annual leave is important to reduce the likelihood of burnout, with uptake of annual leave entitlements linking to higher levels of job satisfaction</w:t>
            </w:r>
            <w:r w:rsidR="00667E07">
              <w:rPr>
                <w:rStyle w:val="EndnoteReference"/>
              </w:rPr>
              <w:endnoteReference w:id="25"/>
            </w:r>
            <w:r w:rsidR="00C553CC" w:rsidRPr="00A107DC">
              <w:t xml:space="preserve">. </w:t>
            </w:r>
          </w:p>
          <w:p w:rsidR="004025A7" w:rsidRPr="004025A7" w:rsidRDefault="004025A7" w:rsidP="00F97D30">
            <w:pPr>
              <w:pStyle w:val="DHHSbody"/>
              <w:rPr>
                <w:rFonts w:eastAsia="Times New Roman"/>
                <w:b/>
                <w:color w:val="007B4B"/>
              </w:rPr>
            </w:pPr>
            <w:r w:rsidRPr="004025A7">
              <w:rPr>
                <w:rFonts w:eastAsia="Times New Roman"/>
                <w:b/>
                <w:color w:val="007B4B"/>
              </w:rPr>
              <w:t>Recommendation:</w:t>
            </w:r>
          </w:p>
          <w:p w:rsidR="00C553CC" w:rsidRPr="00A107DC" w:rsidRDefault="00883ADE" w:rsidP="00F97D30">
            <w:pPr>
              <w:pStyle w:val="DHHSbody"/>
            </w:pPr>
            <w:r>
              <w:t>Transition to practice</w:t>
            </w:r>
            <w:r w:rsidR="00C553CC" w:rsidRPr="00A107DC">
              <w:t xml:space="preserve"> programs should </w:t>
            </w:r>
            <w:r w:rsidR="00306D2D" w:rsidRPr="00A107DC">
              <w:t xml:space="preserve">plan </w:t>
            </w:r>
            <w:r w:rsidR="00306D2D">
              <w:t>and promote</w:t>
            </w:r>
            <w:r w:rsidR="00C553CC" w:rsidRPr="00A107DC">
              <w:t xml:space="preserve"> annual leave throughout the durati</w:t>
            </w:r>
            <w:r w:rsidR="00B6109F">
              <w:t xml:space="preserve">on of the program </w:t>
            </w:r>
            <w:r w:rsidR="00306D2D">
              <w:t xml:space="preserve">as </w:t>
            </w:r>
            <w:r w:rsidR="00C553CC" w:rsidRPr="00A107DC">
              <w:t xml:space="preserve">consistent with the </w:t>
            </w:r>
            <w:bookmarkStart w:id="49" w:name="_Ref515462159"/>
            <w:r w:rsidR="00813F1C">
              <w:t>current Enterprise Bargaining Agreement for nurses and midwives</w:t>
            </w:r>
            <w:bookmarkEnd w:id="49"/>
            <w:r w:rsidR="00C553CC" w:rsidRPr="00A107DC">
              <w:t>.</w:t>
            </w:r>
          </w:p>
        </w:tc>
      </w:tr>
      <w:tr w:rsidR="00C553CC" w:rsidRPr="00DD4EDC" w:rsidTr="002E68C6">
        <w:tc>
          <w:tcPr>
            <w:tcW w:w="1985" w:type="dxa"/>
          </w:tcPr>
          <w:p w:rsidR="00C553CC" w:rsidRDefault="00C553CC" w:rsidP="00F97D30">
            <w:pPr>
              <w:pStyle w:val="Heading4"/>
              <w:keepNext w:val="0"/>
              <w:keepLines w:val="0"/>
              <w:outlineLvl w:val="3"/>
            </w:pPr>
            <w:bookmarkStart w:id="50" w:name="_Toc519165391"/>
            <w:r>
              <w:lastRenderedPageBreak/>
              <w:t>Rostering and work/life balance</w:t>
            </w:r>
            <w:bookmarkEnd w:id="50"/>
          </w:p>
        </w:tc>
        <w:tc>
          <w:tcPr>
            <w:tcW w:w="7229" w:type="dxa"/>
          </w:tcPr>
          <w:p w:rsidR="00740867" w:rsidRDefault="00C553CC" w:rsidP="00F97D30">
            <w:pPr>
              <w:pStyle w:val="DHHSbody"/>
            </w:pPr>
            <w:r>
              <w:t>The nature of nursing and midwifery pr</w:t>
            </w:r>
            <w:r w:rsidR="00112A8A">
              <w:t>actice</w:t>
            </w:r>
            <w:r>
              <w:t xml:space="preserve"> require</w:t>
            </w:r>
            <w:r w:rsidR="00112A8A">
              <w:t>s</w:t>
            </w:r>
            <w:r>
              <w:t xml:space="preserve"> graduates to work a rotating roster. While this is we</w:t>
            </w:r>
            <w:r w:rsidR="00521EAE">
              <w:t>ll known to all graduates, the</w:t>
            </w:r>
            <w:r>
              <w:t xml:space="preserve"> first few months in </w:t>
            </w:r>
            <w:r w:rsidRPr="003319F3">
              <w:t xml:space="preserve">clinical practice </w:t>
            </w:r>
            <w:r w:rsidR="00112A8A" w:rsidRPr="003319F3">
              <w:t>may be the</w:t>
            </w:r>
            <w:r w:rsidRPr="003319F3">
              <w:t xml:space="preserve"> first time they experi</w:t>
            </w:r>
            <w:r w:rsidR="00E61F44" w:rsidRPr="003319F3">
              <w:t>ence the reality of shift work, which can affect graduates physically and emotionally</w:t>
            </w:r>
            <w:r w:rsidR="00E61F44" w:rsidRPr="003319F3">
              <w:rPr>
                <w:rStyle w:val="EndnoteReference"/>
              </w:rPr>
              <w:endnoteReference w:id="26"/>
            </w:r>
            <w:r w:rsidR="00E61F44" w:rsidRPr="003319F3">
              <w:t>.</w:t>
            </w:r>
          </w:p>
          <w:p w:rsidR="00EE2CD5" w:rsidRPr="00EE2CD5" w:rsidRDefault="00EE2CD5" w:rsidP="00F97D30">
            <w:pPr>
              <w:pStyle w:val="DHHSbody"/>
              <w:rPr>
                <w:rFonts w:eastAsia="Times New Roman"/>
                <w:b/>
                <w:color w:val="007B4B"/>
              </w:rPr>
            </w:pPr>
            <w:r w:rsidRPr="00EE2CD5">
              <w:rPr>
                <w:rFonts w:eastAsia="Times New Roman"/>
                <w:b/>
                <w:color w:val="007B4B"/>
              </w:rPr>
              <w:t>Recommendation:</w:t>
            </w:r>
          </w:p>
          <w:p w:rsidR="00C553CC" w:rsidRPr="00A107DC" w:rsidRDefault="00521EAE" w:rsidP="00EE2CD5">
            <w:pPr>
              <w:pStyle w:val="DHHSbody"/>
            </w:pPr>
            <w:r>
              <w:t>O</w:t>
            </w:r>
            <w:r w:rsidR="00112A8A">
              <w:t xml:space="preserve">rganisations </w:t>
            </w:r>
            <w:r>
              <w:t xml:space="preserve">should </w:t>
            </w:r>
            <w:r w:rsidR="00082BCC">
              <w:t xml:space="preserve">ensure </w:t>
            </w:r>
            <w:r w:rsidR="00C553CC">
              <w:t>rostering</w:t>
            </w:r>
            <w:r w:rsidR="00112A8A">
              <w:t xml:space="preserve"> processes </w:t>
            </w:r>
            <w:r w:rsidR="00113BE9">
              <w:t xml:space="preserve">enable work/life balance </w:t>
            </w:r>
            <w:r w:rsidR="00C553CC">
              <w:t>for graduates during their transition period</w:t>
            </w:r>
            <w:r>
              <w:t xml:space="preserve"> </w:t>
            </w:r>
            <w:r w:rsidR="00740867">
              <w:t>and</w:t>
            </w:r>
            <w:r w:rsidR="00112A8A">
              <w:t xml:space="preserve"> adhere to</w:t>
            </w:r>
            <w:r w:rsidR="00C553CC">
              <w:t xml:space="preserve"> the </w:t>
            </w:r>
            <w:r w:rsidR="00813F1C">
              <w:t>current Enterprise Bargaining Agreement for nurses and midwives</w:t>
            </w:r>
            <w:r w:rsidR="00001A6B">
              <w:t>.</w:t>
            </w:r>
          </w:p>
        </w:tc>
      </w:tr>
      <w:tr w:rsidR="00C553CC" w:rsidRPr="00DD4EDC" w:rsidTr="002E68C6">
        <w:tc>
          <w:tcPr>
            <w:tcW w:w="1985" w:type="dxa"/>
          </w:tcPr>
          <w:p w:rsidR="00C553CC" w:rsidRDefault="00C553CC" w:rsidP="00F97D30">
            <w:pPr>
              <w:pStyle w:val="Heading4"/>
              <w:keepNext w:val="0"/>
              <w:keepLines w:val="0"/>
              <w:outlineLvl w:val="3"/>
            </w:pPr>
            <w:bookmarkStart w:id="51" w:name="_Toc519165392"/>
            <w:r>
              <w:t>Rotations</w:t>
            </w:r>
            <w:bookmarkEnd w:id="51"/>
          </w:p>
        </w:tc>
        <w:tc>
          <w:tcPr>
            <w:tcW w:w="7229" w:type="dxa"/>
          </w:tcPr>
          <w:p w:rsidR="00C553CC" w:rsidRDefault="00C553CC" w:rsidP="00F97D30">
            <w:pPr>
              <w:pStyle w:val="DHHSbody"/>
            </w:pPr>
            <w:r>
              <w:t>Rotati</w:t>
            </w:r>
            <w:r w:rsidR="002E68C6">
              <w:t>ons provide the opportunity to grow well-</w:t>
            </w:r>
            <w:r w:rsidR="000B1667">
              <w:t xml:space="preserve">rounded </w:t>
            </w:r>
            <w:r>
              <w:t xml:space="preserve">graduates </w:t>
            </w:r>
            <w:r w:rsidR="002E68C6">
              <w:t xml:space="preserve">through the development of </w:t>
            </w:r>
            <w:r w:rsidR="00CF22B4">
              <w:t xml:space="preserve">varied </w:t>
            </w:r>
            <w:r>
              <w:t xml:space="preserve">skills and </w:t>
            </w:r>
            <w:r w:rsidR="002E68C6">
              <w:t>exposure</w:t>
            </w:r>
            <w:r>
              <w:t xml:space="preserve"> across different clinical environment</w:t>
            </w:r>
            <w:r w:rsidR="002E68C6">
              <w:t xml:space="preserve">s. It is recognised that </w:t>
            </w:r>
            <w:r w:rsidR="000B1667">
              <w:t xml:space="preserve">the </w:t>
            </w:r>
            <w:r w:rsidR="00CF22B4">
              <w:t xml:space="preserve">number of </w:t>
            </w:r>
            <w:r w:rsidR="002E68C6">
              <w:t xml:space="preserve">rotations </w:t>
            </w:r>
            <w:r w:rsidR="00CF22B4">
              <w:t>to assist with consolidation of knowledge and skills</w:t>
            </w:r>
            <w:r w:rsidR="00CF22B4" w:rsidDel="00CF22B4">
              <w:t xml:space="preserve"> </w:t>
            </w:r>
            <w:r w:rsidR="00E713BA">
              <w:t>varies</w:t>
            </w:r>
            <w:r w:rsidR="002E68C6">
              <w:t xml:space="preserve"> across health services</w:t>
            </w:r>
            <w:r>
              <w:t>, with some providing one or two rotations</w:t>
            </w:r>
            <w:r w:rsidR="000B3223" w:rsidRPr="000B3223">
              <w:rPr>
                <w:rStyle w:val="EndnoteReference"/>
              </w:rPr>
              <w:fldChar w:fldCharType="begin"/>
            </w:r>
            <w:r w:rsidR="000B3223" w:rsidRPr="000B3223">
              <w:rPr>
                <w:vertAlign w:val="superscript"/>
              </w:rPr>
              <w:instrText xml:space="preserve"> NOTEREF _Ref515458135 \h </w:instrText>
            </w:r>
            <w:r w:rsidR="000B3223" w:rsidRPr="000B3223">
              <w:rPr>
                <w:rStyle w:val="EndnoteReference"/>
              </w:rPr>
              <w:instrText xml:space="preserve"> \* MERGEFORMAT </w:instrText>
            </w:r>
            <w:r w:rsidR="000B3223" w:rsidRPr="000B3223">
              <w:rPr>
                <w:rStyle w:val="EndnoteReference"/>
              </w:rPr>
            </w:r>
            <w:r w:rsidR="000B3223" w:rsidRPr="000B3223">
              <w:rPr>
                <w:rStyle w:val="EndnoteReference"/>
              </w:rPr>
              <w:fldChar w:fldCharType="separate"/>
            </w:r>
            <w:r w:rsidR="004D60A8">
              <w:rPr>
                <w:vertAlign w:val="superscript"/>
              </w:rPr>
              <w:t>7</w:t>
            </w:r>
            <w:r w:rsidR="000B3223" w:rsidRPr="000B3223">
              <w:rPr>
                <w:rStyle w:val="EndnoteReference"/>
              </w:rPr>
              <w:fldChar w:fldCharType="end"/>
            </w:r>
            <w:r>
              <w:t xml:space="preserve"> and others offering add</w:t>
            </w:r>
            <w:r w:rsidR="002153DE">
              <w:t>itional opportunities</w:t>
            </w:r>
            <w:r w:rsidR="000B3223" w:rsidRPr="000B3223">
              <w:rPr>
                <w:rStyle w:val="EndnoteReference"/>
              </w:rPr>
              <w:fldChar w:fldCharType="begin"/>
            </w:r>
            <w:r w:rsidR="000B3223" w:rsidRPr="000B3223">
              <w:rPr>
                <w:vertAlign w:val="superscript"/>
              </w:rPr>
              <w:instrText xml:space="preserve"> NOTEREF _Ref508113280 \h </w:instrText>
            </w:r>
            <w:r w:rsidR="000B3223" w:rsidRPr="000B3223">
              <w:rPr>
                <w:rStyle w:val="EndnoteReference"/>
              </w:rPr>
              <w:instrText xml:space="preserve"> \* MERGEFORMAT </w:instrText>
            </w:r>
            <w:r w:rsidR="000B3223" w:rsidRPr="000B3223">
              <w:rPr>
                <w:rStyle w:val="EndnoteReference"/>
              </w:rPr>
            </w:r>
            <w:r w:rsidR="000B3223" w:rsidRPr="000B3223">
              <w:rPr>
                <w:rStyle w:val="EndnoteReference"/>
              </w:rPr>
              <w:fldChar w:fldCharType="separate"/>
            </w:r>
            <w:r w:rsidR="004D60A8">
              <w:rPr>
                <w:vertAlign w:val="superscript"/>
              </w:rPr>
              <w:t>5</w:t>
            </w:r>
            <w:r w:rsidR="000B3223" w:rsidRPr="000B3223">
              <w:rPr>
                <w:rStyle w:val="EndnoteReference"/>
              </w:rPr>
              <w:fldChar w:fldCharType="end"/>
            </w:r>
            <w:r>
              <w:t xml:space="preserve">. </w:t>
            </w:r>
          </w:p>
          <w:p w:rsidR="00C553CC" w:rsidRDefault="00C553CC" w:rsidP="00F97D30">
            <w:pPr>
              <w:pStyle w:val="DHHSbody"/>
            </w:pPr>
            <w:r>
              <w:t>While t</w:t>
            </w:r>
            <w:r w:rsidR="002153DE">
              <w:t xml:space="preserve">he number of rotations is </w:t>
            </w:r>
            <w:r>
              <w:t xml:space="preserve">determined by individual health services according to </w:t>
            </w:r>
            <w:r w:rsidR="00E713BA">
              <w:t xml:space="preserve">the </w:t>
            </w:r>
            <w:r>
              <w:t xml:space="preserve">needs and interests of the organisation and graduate, it has been </w:t>
            </w:r>
            <w:r w:rsidRPr="005B5B00">
              <w:t xml:space="preserve">identified that reducing the number of rotations across settings can </w:t>
            </w:r>
            <w:r w:rsidR="001D6C54">
              <w:t xml:space="preserve">provide greater </w:t>
            </w:r>
            <w:r w:rsidRPr="005B5B00">
              <w:t>developm</w:t>
            </w:r>
            <w:r w:rsidR="002153DE" w:rsidRPr="005B5B00">
              <w:t>ent opportunities for graduates</w:t>
            </w:r>
            <w:r w:rsidR="00CC009D">
              <w:t>, and further</w:t>
            </w:r>
            <w:r w:rsidR="008C6201">
              <w:t xml:space="preserve"> consolidation of skills</w:t>
            </w:r>
            <w:r w:rsidR="000B3223" w:rsidRPr="000B3223">
              <w:rPr>
                <w:rStyle w:val="EndnoteReference"/>
              </w:rPr>
              <w:fldChar w:fldCharType="begin"/>
            </w:r>
            <w:r w:rsidR="000B3223" w:rsidRPr="000B3223">
              <w:rPr>
                <w:vertAlign w:val="superscript"/>
              </w:rPr>
              <w:instrText xml:space="preserve"> NOTEREF _Ref508113280 \h </w:instrText>
            </w:r>
            <w:r w:rsidR="000B3223" w:rsidRPr="000B3223">
              <w:rPr>
                <w:rStyle w:val="EndnoteReference"/>
              </w:rPr>
              <w:instrText xml:space="preserve"> \* MERGEFORMAT </w:instrText>
            </w:r>
            <w:r w:rsidR="000B3223" w:rsidRPr="000B3223">
              <w:rPr>
                <w:rStyle w:val="EndnoteReference"/>
              </w:rPr>
            </w:r>
            <w:r w:rsidR="000B3223" w:rsidRPr="000B3223">
              <w:rPr>
                <w:rStyle w:val="EndnoteReference"/>
              </w:rPr>
              <w:fldChar w:fldCharType="separate"/>
            </w:r>
            <w:r w:rsidR="004D60A8">
              <w:rPr>
                <w:vertAlign w:val="superscript"/>
              </w:rPr>
              <w:t>5</w:t>
            </w:r>
            <w:r w:rsidR="000B3223" w:rsidRPr="000B3223">
              <w:rPr>
                <w:rStyle w:val="EndnoteReference"/>
              </w:rPr>
              <w:fldChar w:fldCharType="end"/>
            </w:r>
            <w:r w:rsidRPr="005B5B00">
              <w:t>.</w:t>
            </w:r>
            <w:r>
              <w:t xml:space="preserve"> </w:t>
            </w:r>
          </w:p>
          <w:p w:rsidR="00074204" w:rsidRDefault="00C553CC" w:rsidP="00F97D30">
            <w:pPr>
              <w:pStyle w:val="DHHSbody"/>
            </w:pPr>
            <w:r>
              <w:t xml:space="preserve">In order to improve the consistency of </w:t>
            </w:r>
            <w:r w:rsidR="00883ADE">
              <w:t>transition to practice</w:t>
            </w:r>
            <w:r>
              <w:t xml:space="preserve"> program implementation, </w:t>
            </w:r>
            <w:r w:rsidR="00E713BA">
              <w:t>the Review</w:t>
            </w:r>
            <w:r>
              <w:t xml:space="preserve"> recommended </w:t>
            </w:r>
            <w:r w:rsidR="00E713BA">
              <w:t xml:space="preserve">that </w:t>
            </w:r>
            <w:r>
              <w:t>rotational agreements be implemented for grad</w:t>
            </w:r>
            <w:r w:rsidR="002153DE">
              <w:t>uates in each clinical area</w:t>
            </w:r>
            <w:r w:rsidR="00DE6762" w:rsidRPr="00DE6762">
              <w:rPr>
                <w:rStyle w:val="EndnoteReference"/>
              </w:rPr>
              <w:fldChar w:fldCharType="begin"/>
            </w:r>
            <w:r w:rsidR="00DE6762" w:rsidRPr="00DE6762">
              <w:rPr>
                <w:vertAlign w:val="superscript"/>
              </w:rPr>
              <w:instrText xml:space="preserve"> NOTEREF _Ref508113280 \h </w:instrText>
            </w:r>
            <w:r w:rsidR="00DE6762" w:rsidRPr="00DE6762">
              <w:rPr>
                <w:rStyle w:val="EndnoteReference"/>
              </w:rPr>
              <w:instrText xml:space="preserve"> \* MERGEFORMAT </w:instrText>
            </w:r>
            <w:r w:rsidR="00DE6762" w:rsidRPr="00DE6762">
              <w:rPr>
                <w:rStyle w:val="EndnoteReference"/>
              </w:rPr>
            </w:r>
            <w:r w:rsidR="00DE6762" w:rsidRPr="00DE6762">
              <w:rPr>
                <w:rStyle w:val="EndnoteReference"/>
              </w:rPr>
              <w:fldChar w:fldCharType="separate"/>
            </w:r>
            <w:r w:rsidR="004D60A8">
              <w:rPr>
                <w:vertAlign w:val="superscript"/>
              </w:rPr>
              <w:t>5</w:t>
            </w:r>
            <w:r w:rsidR="00DE6762" w:rsidRPr="00DE6762">
              <w:rPr>
                <w:rStyle w:val="EndnoteReference"/>
              </w:rPr>
              <w:fldChar w:fldCharType="end"/>
            </w:r>
            <w:r>
              <w:t>. The department has developed a standardised rotational agreement template that health services may use for staff rotations</w:t>
            </w:r>
            <w:r w:rsidR="00001A6B">
              <w:t>, which includes information on, but not limited to, orientation and competencies for wards/clinical areas, rostering, education and training, and policies and procedures</w:t>
            </w:r>
            <w:r>
              <w:t>.</w:t>
            </w:r>
            <w:r w:rsidR="003574F7">
              <w:t xml:space="preserve"> </w:t>
            </w:r>
          </w:p>
          <w:p w:rsidR="00074204" w:rsidRPr="00074204" w:rsidRDefault="00074204" w:rsidP="00F97D30">
            <w:pPr>
              <w:pStyle w:val="DHHSbody"/>
              <w:rPr>
                <w:rFonts w:eastAsia="Times New Roman"/>
                <w:b/>
                <w:color w:val="007B4B"/>
              </w:rPr>
            </w:pPr>
            <w:r w:rsidRPr="00074204">
              <w:rPr>
                <w:rFonts w:eastAsia="Times New Roman"/>
                <w:b/>
                <w:color w:val="007B4B"/>
              </w:rPr>
              <w:t>Recommendation:</w:t>
            </w:r>
          </w:p>
          <w:p w:rsidR="00C553CC" w:rsidRDefault="003574F7" w:rsidP="00F97D30">
            <w:pPr>
              <w:pStyle w:val="DHHSbody"/>
            </w:pPr>
            <w:r>
              <w:t>It is recommended that</w:t>
            </w:r>
            <w:r w:rsidR="00C553CC">
              <w:t xml:space="preserve"> </w:t>
            </w:r>
            <w:r w:rsidR="005B5B00">
              <w:t xml:space="preserve">health services </w:t>
            </w:r>
            <w:r w:rsidR="00CF22B4">
              <w:t>use</w:t>
            </w:r>
            <w:r w:rsidR="00C553CC">
              <w:t>:</w:t>
            </w:r>
          </w:p>
          <w:p w:rsidR="001772B9" w:rsidRDefault="001772B9" w:rsidP="00F97D30">
            <w:pPr>
              <w:pStyle w:val="DHHSbody"/>
              <w:numPr>
                <w:ilvl w:val="0"/>
                <w:numId w:val="4"/>
              </w:numPr>
            </w:pPr>
            <w:r>
              <w:t>r</w:t>
            </w:r>
            <w:r w:rsidR="00C553CC">
              <w:t xml:space="preserve">otational </w:t>
            </w:r>
            <w:r w:rsidR="002D3EBE">
              <w:t>agreement (department template)</w:t>
            </w:r>
            <w:r w:rsidR="00C553CC">
              <w:t xml:space="preserve"> </w:t>
            </w:r>
          </w:p>
          <w:p w:rsidR="00C553CC" w:rsidRDefault="002D3EBE" w:rsidP="001772B9">
            <w:pPr>
              <w:pStyle w:val="DHHSbody"/>
              <w:ind w:left="720"/>
            </w:pPr>
            <w:r>
              <w:t>or</w:t>
            </w:r>
          </w:p>
          <w:p w:rsidR="001772B9" w:rsidRDefault="001772B9" w:rsidP="00F97D30">
            <w:pPr>
              <w:pStyle w:val="DHHSbody"/>
              <w:numPr>
                <w:ilvl w:val="0"/>
                <w:numId w:val="4"/>
              </w:numPr>
            </w:pPr>
            <w:r>
              <w:t>r</w:t>
            </w:r>
            <w:r w:rsidR="00C553CC">
              <w:t>otational agreement (health service template)</w:t>
            </w:r>
            <w:r w:rsidR="002D3EBE">
              <w:t>;</w:t>
            </w:r>
          </w:p>
          <w:p w:rsidR="00C553CC" w:rsidRDefault="000B1667" w:rsidP="001772B9">
            <w:pPr>
              <w:pStyle w:val="DHHSbody"/>
              <w:ind w:left="720"/>
            </w:pPr>
            <w:r>
              <w:t xml:space="preserve">and </w:t>
            </w:r>
          </w:p>
          <w:p w:rsidR="00C553CC" w:rsidRDefault="001772B9" w:rsidP="00F97D30">
            <w:pPr>
              <w:pStyle w:val="DHHSbody"/>
              <w:numPr>
                <w:ilvl w:val="0"/>
                <w:numId w:val="4"/>
              </w:numPr>
            </w:pPr>
            <w:r>
              <w:t>m</w:t>
            </w:r>
            <w:r w:rsidR="00C553CC">
              <w:t>utually agreed elements of rotational arrangements (i.e. graduates can discuss and/or preference)</w:t>
            </w:r>
          </w:p>
        </w:tc>
      </w:tr>
      <w:tr w:rsidR="002C2B2C" w:rsidRPr="00DD4EDC" w:rsidTr="002E68C6">
        <w:tc>
          <w:tcPr>
            <w:tcW w:w="1985" w:type="dxa"/>
          </w:tcPr>
          <w:p w:rsidR="002C2B2C" w:rsidRPr="00DD4EDC" w:rsidRDefault="002C2B2C" w:rsidP="004B0D68">
            <w:pPr>
              <w:pStyle w:val="Heading4"/>
              <w:keepNext w:val="0"/>
              <w:keepLines w:val="0"/>
              <w:outlineLvl w:val="3"/>
            </w:pPr>
            <w:bookmarkStart w:id="52" w:name="_Toc519165394"/>
            <w:r>
              <w:t>Resilience training</w:t>
            </w:r>
            <w:bookmarkEnd w:id="52"/>
          </w:p>
        </w:tc>
        <w:tc>
          <w:tcPr>
            <w:tcW w:w="7229" w:type="dxa"/>
          </w:tcPr>
          <w:p w:rsidR="002C2B2C" w:rsidRDefault="002C2B2C" w:rsidP="004B0D68">
            <w:pPr>
              <w:pStyle w:val="DHHSbody"/>
              <w:rPr>
                <w:rFonts w:ascii="Helv" w:hAnsi="Helv" w:cs="Helv"/>
                <w:color w:val="000000"/>
              </w:rPr>
            </w:pPr>
            <w:r>
              <w:rPr>
                <w:rFonts w:ascii="Helv" w:hAnsi="Helv" w:cs="Helv"/>
                <w:color w:val="000000"/>
              </w:rPr>
              <w:t>Studies have shown that resilience can be developed and enhanced, and is linked to staff satisfaction and turnover</w:t>
            </w:r>
            <w:r w:rsidRPr="00535E9A">
              <w:rPr>
                <w:rStyle w:val="EndnoteReference"/>
              </w:rPr>
              <w:fldChar w:fldCharType="begin"/>
            </w:r>
            <w:r w:rsidRPr="00535E9A">
              <w:rPr>
                <w:vertAlign w:val="superscript"/>
              </w:rPr>
              <w:instrText xml:space="preserve"> NOTEREF _Ref515458568 \h </w:instrText>
            </w:r>
            <w:r w:rsidRPr="00535E9A">
              <w:rPr>
                <w:rStyle w:val="EndnoteReference"/>
              </w:rPr>
              <w:instrText xml:space="preserve"> \* MERGEFORMAT </w:instrText>
            </w:r>
            <w:r w:rsidRPr="00535E9A">
              <w:rPr>
                <w:rStyle w:val="EndnoteReference"/>
              </w:rPr>
            </w:r>
            <w:r w:rsidRPr="00535E9A">
              <w:rPr>
                <w:rStyle w:val="EndnoteReference"/>
              </w:rPr>
              <w:fldChar w:fldCharType="separate"/>
            </w:r>
            <w:r w:rsidR="004D60A8">
              <w:rPr>
                <w:vertAlign w:val="superscript"/>
              </w:rPr>
              <w:t>21</w:t>
            </w:r>
            <w:r w:rsidRPr="00535E9A">
              <w:rPr>
                <w:rStyle w:val="EndnoteReference"/>
              </w:rPr>
              <w:fldChar w:fldCharType="end"/>
            </w:r>
            <w:r w:rsidRPr="00733CD0">
              <w:t xml:space="preserve">. </w:t>
            </w:r>
            <w:r w:rsidR="006F2D16">
              <w:rPr>
                <w:rFonts w:ascii="Helv" w:hAnsi="Helv" w:cs="Helv"/>
                <w:color w:val="000000"/>
              </w:rPr>
              <w:t>Higher levels of resilience have</w:t>
            </w:r>
            <w:r>
              <w:rPr>
                <w:rFonts w:ascii="Helv" w:hAnsi="Helv" w:cs="Helv"/>
                <w:color w:val="000000"/>
              </w:rPr>
              <w:t xml:space="preserve"> been found to lead to more motivated, organised, confident graduates who are more likely to seek assistance if required</w:t>
            </w:r>
            <w:r w:rsidRPr="00562FF5">
              <w:rPr>
                <w:rStyle w:val="EndnoteReference"/>
              </w:rPr>
              <w:fldChar w:fldCharType="begin"/>
            </w:r>
            <w:r w:rsidRPr="00562FF5">
              <w:rPr>
                <w:vertAlign w:val="superscript"/>
              </w:rPr>
              <w:instrText xml:space="preserve"> NOTEREF _Ref515455443 \h </w:instrText>
            </w:r>
            <w:r w:rsidRPr="00562FF5">
              <w:rPr>
                <w:rStyle w:val="EndnoteReference"/>
              </w:rPr>
              <w:instrText xml:space="preserve"> \* MERGEFORMAT </w:instrText>
            </w:r>
            <w:r w:rsidRPr="00562FF5">
              <w:rPr>
                <w:rStyle w:val="EndnoteReference"/>
              </w:rPr>
            </w:r>
            <w:r w:rsidRPr="00562FF5">
              <w:rPr>
                <w:rStyle w:val="EndnoteReference"/>
              </w:rPr>
              <w:fldChar w:fldCharType="separate"/>
            </w:r>
            <w:r w:rsidR="004D60A8">
              <w:rPr>
                <w:vertAlign w:val="superscript"/>
              </w:rPr>
              <w:t>20</w:t>
            </w:r>
            <w:r w:rsidRPr="00562FF5">
              <w:rPr>
                <w:rStyle w:val="EndnoteReference"/>
              </w:rPr>
              <w:fldChar w:fldCharType="end"/>
            </w:r>
            <w:r>
              <w:t xml:space="preserve">. </w:t>
            </w:r>
            <w:r w:rsidR="00F92464">
              <w:rPr>
                <w:rFonts w:ascii="Helv" w:hAnsi="Helv" w:cs="Helv"/>
                <w:color w:val="000000"/>
              </w:rPr>
              <w:t xml:space="preserve">Graduates with higher levels of resilience have </w:t>
            </w:r>
            <w:r w:rsidR="00420F1C">
              <w:rPr>
                <w:rFonts w:ascii="Helv" w:hAnsi="Helv" w:cs="Helv"/>
                <w:color w:val="000000"/>
              </w:rPr>
              <w:t xml:space="preserve">also </w:t>
            </w:r>
            <w:r w:rsidR="00F92464">
              <w:rPr>
                <w:rFonts w:ascii="Helv" w:hAnsi="Helv" w:cs="Helv"/>
                <w:color w:val="000000"/>
              </w:rPr>
              <w:t>been shown to use feedback from other staff as an opportunity for professional development, use peer and professional networking opportunities</w:t>
            </w:r>
            <w:r w:rsidR="00794E07">
              <w:rPr>
                <w:rFonts w:ascii="Helv" w:hAnsi="Helv" w:cs="Helv"/>
                <w:color w:val="000000"/>
              </w:rPr>
              <w:t xml:space="preserve"> to assist with tasks </w:t>
            </w:r>
            <w:r w:rsidR="00F92464">
              <w:rPr>
                <w:rFonts w:ascii="Helv" w:hAnsi="Helv" w:cs="Helv"/>
                <w:color w:val="000000"/>
              </w:rPr>
              <w:t xml:space="preserve">and have been found to </w:t>
            </w:r>
            <w:r w:rsidR="000847BF">
              <w:rPr>
                <w:rFonts w:ascii="Helv" w:hAnsi="Helv" w:cs="Helv"/>
                <w:color w:val="000000"/>
              </w:rPr>
              <w:t>develop</w:t>
            </w:r>
            <w:r w:rsidR="00F92464">
              <w:rPr>
                <w:rFonts w:ascii="Helv" w:hAnsi="Helv" w:cs="Helv"/>
                <w:color w:val="000000"/>
              </w:rPr>
              <w:t xml:space="preserve"> </w:t>
            </w:r>
            <w:r w:rsidR="00A733D4">
              <w:rPr>
                <w:rFonts w:ascii="Helv" w:hAnsi="Helv" w:cs="Helv"/>
                <w:color w:val="000000"/>
              </w:rPr>
              <w:t>enhanced</w:t>
            </w:r>
            <w:r w:rsidR="00F92464">
              <w:rPr>
                <w:rFonts w:ascii="Helv" w:hAnsi="Helv" w:cs="Helv"/>
                <w:color w:val="000000"/>
              </w:rPr>
              <w:t xml:space="preserve"> work/life balance</w:t>
            </w:r>
            <w:r w:rsidRPr="00DE32B7">
              <w:rPr>
                <w:rStyle w:val="EndnoteReference"/>
                <w:rFonts w:cs="Helv"/>
                <w:color w:val="000000"/>
              </w:rPr>
              <w:fldChar w:fldCharType="begin"/>
            </w:r>
            <w:r w:rsidRPr="00DE32B7">
              <w:rPr>
                <w:rFonts w:ascii="Helv" w:hAnsi="Helv" w:cs="Helv"/>
                <w:color w:val="000000"/>
                <w:vertAlign w:val="superscript"/>
              </w:rPr>
              <w:instrText xml:space="preserve"> NOTEREF _Ref515455443 \h </w:instrText>
            </w:r>
            <w:r w:rsidRPr="00DE32B7">
              <w:rPr>
                <w:rStyle w:val="EndnoteReference"/>
                <w:rFonts w:cs="Helv"/>
                <w:color w:val="000000"/>
              </w:rPr>
              <w:instrText xml:space="preserve"> \* MERGEFORMAT </w:instrText>
            </w:r>
            <w:r w:rsidRPr="00DE32B7">
              <w:rPr>
                <w:rStyle w:val="EndnoteReference"/>
                <w:rFonts w:cs="Helv"/>
                <w:color w:val="000000"/>
              </w:rPr>
            </w:r>
            <w:r w:rsidRPr="00DE32B7">
              <w:rPr>
                <w:rStyle w:val="EndnoteReference"/>
                <w:rFonts w:cs="Helv"/>
                <w:color w:val="000000"/>
              </w:rPr>
              <w:fldChar w:fldCharType="separate"/>
            </w:r>
            <w:r w:rsidR="004D60A8">
              <w:rPr>
                <w:rFonts w:ascii="Helv" w:hAnsi="Helv" w:cs="Helv"/>
                <w:color w:val="000000"/>
                <w:vertAlign w:val="superscript"/>
              </w:rPr>
              <w:t>20</w:t>
            </w:r>
            <w:r w:rsidRPr="00DE32B7">
              <w:rPr>
                <w:rStyle w:val="EndnoteReference"/>
                <w:rFonts w:cs="Helv"/>
                <w:color w:val="000000"/>
              </w:rPr>
              <w:fldChar w:fldCharType="end"/>
            </w:r>
            <w:r>
              <w:rPr>
                <w:rFonts w:ascii="Helv" w:hAnsi="Helv" w:cs="Helv"/>
                <w:color w:val="000000"/>
              </w:rPr>
              <w:t xml:space="preserve">. Providing graduates with the necessary tools to build their resilience will enhance their transition to practice experience and contribute to their </w:t>
            </w:r>
            <w:r>
              <w:rPr>
                <w:rFonts w:ascii="Helv" w:hAnsi="Helv" w:cs="Helv"/>
                <w:color w:val="000000"/>
              </w:rPr>
              <w:lastRenderedPageBreak/>
              <w:t>wellbeing.</w:t>
            </w:r>
          </w:p>
          <w:p w:rsidR="0031767B" w:rsidRPr="0031767B" w:rsidRDefault="0031767B" w:rsidP="004B0D68">
            <w:pPr>
              <w:pStyle w:val="DHHSbody"/>
              <w:rPr>
                <w:rFonts w:eastAsia="Times New Roman"/>
                <w:b/>
                <w:color w:val="007B4B"/>
              </w:rPr>
            </w:pPr>
            <w:r w:rsidRPr="0031767B">
              <w:rPr>
                <w:rFonts w:eastAsia="Times New Roman"/>
                <w:b/>
                <w:color w:val="007B4B"/>
              </w:rPr>
              <w:t>Recommendation:</w:t>
            </w:r>
          </w:p>
          <w:p w:rsidR="002C2B2C" w:rsidRPr="00A107DC" w:rsidRDefault="002C2B2C" w:rsidP="0031767B">
            <w:pPr>
              <w:pStyle w:val="DHHSbody"/>
            </w:pPr>
            <w:r w:rsidRPr="00733CD0">
              <w:t xml:space="preserve">It is recommended </w:t>
            </w:r>
            <w:r>
              <w:t xml:space="preserve">organisations </w:t>
            </w:r>
            <w:r w:rsidR="0031767B">
              <w:t>consider</w:t>
            </w:r>
            <w:r>
              <w:t xml:space="preserve"> </w:t>
            </w:r>
            <w:r w:rsidRPr="00733CD0">
              <w:t xml:space="preserve">resilience training </w:t>
            </w:r>
            <w:r w:rsidR="0031767B">
              <w:t>for graduates as part of</w:t>
            </w:r>
            <w:r w:rsidRPr="00733CD0">
              <w:t xml:space="preserve"> the</w:t>
            </w:r>
            <w:r>
              <w:t>ir</w:t>
            </w:r>
            <w:r w:rsidRPr="00733CD0">
              <w:t xml:space="preserve"> </w:t>
            </w:r>
            <w:r>
              <w:t>transition to practice</w:t>
            </w:r>
            <w:r w:rsidRPr="00733CD0">
              <w:t xml:space="preserve"> program.</w:t>
            </w:r>
          </w:p>
        </w:tc>
      </w:tr>
      <w:tr w:rsidR="002C2B2C" w:rsidRPr="00DD4EDC" w:rsidTr="002E68C6">
        <w:tc>
          <w:tcPr>
            <w:tcW w:w="1985" w:type="dxa"/>
          </w:tcPr>
          <w:p w:rsidR="002C2B2C" w:rsidRPr="00DD4EDC" w:rsidRDefault="002C2B2C" w:rsidP="00F97D30">
            <w:pPr>
              <w:pStyle w:val="Heading4"/>
              <w:keepNext w:val="0"/>
              <w:keepLines w:val="0"/>
              <w:outlineLvl w:val="3"/>
            </w:pPr>
            <w:bookmarkStart w:id="53" w:name="_Toc519165393"/>
            <w:r>
              <w:lastRenderedPageBreak/>
              <w:t>Occupational violence training</w:t>
            </w:r>
            <w:bookmarkEnd w:id="53"/>
          </w:p>
        </w:tc>
        <w:tc>
          <w:tcPr>
            <w:tcW w:w="7229" w:type="dxa"/>
          </w:tcPr>
          <w:p w:rsidR="002C2B2C" w:rsidRDefault="002C2B2C" w:rsidP="00F97D30">
            <w:pPr>
              <w:pStyle w:val="DHHSbody"/>
            </w:pPr>
            <w:r>
              <w:t xml:space="preserve">Everyone has the right to feel safe at work. The department is committed to ensuring the safety of all staff and patients and has created a suite of programs to support health services in achieving this goal. </w:t>
            </w:r>
          </w:p>
          <w:p w:rsidR="002C2B2C" w:rsidRDefault="002C2B2C" w:rsidP="00F97D30">
            <w:pPr>
              <w:pStyle w:val="DHHSbody"/>
            </w:pPr>
            <w:r>
              <w:t xml:space="preserve">Training is integral in building the knowledge and skills </w:t>
            </w:r>
            <w:r w:rsidRPr="00A107DC">
              <w:t xml:space="preserve">to prevent and respond to the risk of occupational violence and aggression. </w:t>
            </w:r>
            <w:r>
              <w:t xml:space="preserve">The </w:t>
            </w:r>
            <w:r w:rsidRPr="00D05C91">
              <w:rPr>
                <w:i/>
              </w:rPr>
              <w:t>Guide for violence and aggression training in Victorian health services</w:t>
            </w:r>
            <w:r w:rsidRPr="00A107DC">
              <w:t xml:space="preserve"> </w:t>
            </w:r>
            <w:r>
              <w:t>aims to provide consistency in the delivery</w:t>
            </w:r>
            <w:r w:rsidRPr="00A107DC">
              <w:t xml:space="preserve"> </w:t>
            </w:r>
            <w:r>
              <w:t xml:space="preserve">of staff </w:t>
            </w:r>
            <w:r w:rsidRPr="00A107DC">
              <w:t xml:space="preserve">training </w:t>
            </w:r>
            <w:r>
              <w:t>for</w:t>
            </w:r>
            <w:r w:rsidRPr="00A107DC">
              <w:t xml:space="preserve"> </w:t>
            </w:r>
            <w:r>
              <w:t xml:space="preserve">managing </w:t>
            </w:r>
            <w:r w:rsidRPr="00A107DC">
              <w:t>vi</w:t>
            </w:r>
            <w:r>
              <w:t xml:space="preserve">olence and aggression </w:t>
            </w:r>
            <w:r w:rsidRPr="00A107DC">
              <w:t>from an organisation-wide perspective</w:t>
            </w:r>
            <w:r>
              <w:rPr>
                <w:rStyle w:val="EndnoteReference"/>
              </w:rPr>
              <w:endnoteReference w:id="27"/>
            </w:r>
            <w:r>
              <w:t>.</w:t>
            </w:r>
          </w:p>
          <w:p w:rsidR="0031767B" w:rsidRPr="0031767B" w:rsidRDefault="0031767B" w:rsidP="00F97D30">
            <w:pPr>
              <w:pStyle w:val="DHHSbody"/>
              <w:rPr>
                <w:rFonts w:eastAsia="Times New Roman"/>
                <w:b/>
                <w:color w:val="007B4B"/>
              </w:rPr>
            </w:pPr>
            <w:r w:rsidRPr="0031767B">
              <w:rPr>
                <w:rFonts w:eastAsia="Times New Roman"/>
                <w:b/>
                <w:color w:val="007B4B"/>
              </w:rPr>
              <w:t>Recommendation:</w:t>
            </w:r>
          </w:p>
          <w:p w:rsidR="002C2B2C" w:rsidRPr="00A107DC" w:rsidRDefault="002C2B2C" w:rsidP="00F97D30">
            <w:pPr>
              <w:pStyle w:val="DHHSbody"/>
            </w:pPr>
            <w:r>
              <w:t xml:space="preserve">It is recommended that </w:t>
            </w:r>
            <w:r w:rsidRPr="00A107DC">
              <w:t xml:space="preserve">organisations ensure graduates receive adequate information </w:t>
            </w:r>
            <w:r>
              <w:t>and training relating to</w:t>
            </w:r>
            <w:r w:rsidRPr="00A107DC">
              <w:t xml:space="preserve"> </w:t>
            </w:r>
            <w:r>
              <w:t xml:space="preserve">preventing </w:t>
            </w:r>
            <w:r w:rsidRPr="00A107DC">
              <w:t>occupational violence.</w:t>
            </w:r>
          </w:p>
        </w:tc>
      </w:tr>
    </w:tbl>
    <w:p w:rsidR="00733CD0" w:rsidRPr="00733CD0" w:rsidRDefault="006D42B4" w:rsidP="00733CD0">
      <w:pPr>
        <w:pStyle w:val="Heading3"/>
      </w:pPr>
      <w:bookmarkStart w:id="54" w:name="_Toc519164880"/>
      <w:bookmarkStart w:id="55" w:name="_Toc519164925"/>
      <w:bookmarkStart w:id="56" w:name="_Toc519165395"/>
      <w:r>
        <w:t xml:space="preserve">BPCLE Element 4: </w:t>
      </w:r>
      <w:r w:rsidR="00733CD0" w:rsidRPr="00733CD0">
        <w:t>An effective health service-education provider relationship</w:t>
      </w:r>
      <w:bookmarkEnd w:id="54"/>
      <w:bookmarkEnd w:id="55"/>
      <w:bookmarkEnd w:id="56"/>
    </w:p>
    <w:p w:rsidR="00FD7F66" w:rsidRDefault="00290E7E" w:rsidP="00FD7F66">
      <w:pPr>
        <w:pStyle w:val="DHHSbody"/>
      </w:pPr>
      <w:r w:rsidRPr="00733CD0">
        <w:t>Clinical education and training is a collaborative arrangement between education providers and health services that draws on the complementary skills, experience, resources and expertise of the two sectors</w:t>
      </w:r>
      <w:r w:rsidR="00D509AA" w:rsidRPr="00D509AA">
        <w:rPr>
          <w:rStyle w:val="EndnoteReference"/>
        </w:rPr>
        <w:fldChar w:fldCharType="begin"/>
      </w:r>
      <w:r w:rsidR="00D509AA" w:rsidRPr="00D509AA">
        <w:rPr>
          <w:vertAlign w:val="superscript"/>
        </w:rPr>
        <w:instrText xml:space="preserve"> NOTEREF _Ref514683726 \h </w:instrText>
      </w:r>
      <w:r w:rsidR="00D509AA" w:rsidRPr="00D509AA">
        <w:rPr>
          <w:rStyle w:val="EndnoteReference"/>
        </w:rPr>
        <w:instrText xml:space="preserve"> \* MERGEFORMAT </w:instrText>
      </w:r>
      <w:r w:rsidR="00D509AA" w:rsidRPr="00D509AA">
        <w:rPr>
          <w:rStyle w:val="EndnoteReference"/>
        </w:rPr>
      </w:r>
      <w:r w:rsidR="00D509AA" w:rsidRPr="00D509AA">
        <w:rPr>
          <w:rStyle w:val="EndnoteReference"/>
        </w:rPr>
        <w:fldChar w:fldCharType="separate"/>
      </w:r>
      <w:r w:rsidR="004D60A8">
        <w:rPr>
          <w:vertAlign w:val="superscript"/>
        </w:rPr>
        <w:t>3</w:t>
      </w:r>
      <w:r w:rsidR="00D509AA" w:rsidRPr="00D509AA">
        <w:rPr>
          <w:rStyle w:val="EndnoteReference"/>
        </w:rPr>
        <w:fldChar w:fldCharType="end"/>
      </w:r>
      <w:r w:rsidRPr="00733CD0">
        <w:t>.</w:t>
      </w:r>
      <w:r>
        <w:t xml:space="preserve"> While it is recognised that </w:t>
      </w:r>
      <w:r w:rsidR="00883ADE">
        <w:t>transition to practice</w:t>
      </w:r>
      <w:r>
        <w:t xml:space="preserve"> programs are not a formal </w:t>
      </w:r>
      <w:r w:rsidR="00077467">
        <w:t>academic</w:t>
      </w:r>
      <w:r>
        <w:t xml:space="preserve"> program delivered by an education provider, o</w:t>
      </w:r>
      <w:r w:rsidR="00733CD0" w:rsidRPr="00733CD0">
        <w:t xml:space="preserve">rganisations </w:t>
      </w:r>
      <w:r w:rsidR="00F440F0">
        <w:t xml:space="preserve">should </w:t>
      </w:r>
      <w:r w:rsidR="00733CD0" w:rsidRPr="00733CD0">
        <w:t>continue to maintain and</w:t>
      </w:r>
      <w:r w:rsidR="00F440F0">
        <w:t>/or</w:t>
      </w:r>
      <w:r w:rsidR="00733CD0" w:rsidRPr="00733CD0">
        <w:t xml:space="preserve"> create strong links with education providers </w:t>
      </w:r>
      <w:r w:rsidR="00F440F0">
        <w:t>to inform</w:t>
      </w:r>
      <w:r w:rsidR="00F440F0" w:rsidRPr="00733CD0">
        <w:t xml:space="preserve"> </w:t>
      </w:r>
      <w:r w:rsidR="00883ADE">
        <w:t>transition to practice</w:t>
      </w:r>
      <w:r w:rsidR="00733CD0" w:rsidRPr="00733CD0">
        <w:t xml:space="preserve"> programs. </w:t>
      </w:r>
      <w:r w:rsidR="00FD7F66">
        <w:t>This will ensure h</w:t>
      </w:r>
      <w:r w:rsidR="001C0992">
        <w:t xml:space="preserve">ealth services have the opportunity to </w:t>
      </w:r>
      <w:r w:rsidR="000E0227">
        <w:t>strategically plan and prepare for future workforce models</w:t>
      </w:r>
      <w:r w:rsidR="00CA1E8F">
        <w:t>/needs</w:t>
      </w:r>
      <w:r w:rsidR="000E0227">
        <w:t xml:space="preserve"> that </w:t>
      </w:r>
      <w:r w:rsidR="00F440F0">
        <w:t>will potentially</w:t>
      </w:r>
      <w:r w:rsidR="000E0227">
        <w:t xml:space="preserve"> require new and emerging skills and capabilities. </w:t>
      </w:r>
    </w:p>
    <w:p w:rsidR="00290E7E" w:rsidRDefault="00077467" w:rsidP="00FD7F66">
      <w:pPr>
        <w:pStyle w:val="DHHSbody"/>
      </w:pPr>
      <w:r>
        <w:t>R</w:t>
      </w:r>
      <w:r w:rsidRPr="00733CD0">
        <w:t xml:space="preserve">elationships </w:t>
      </w:r>
      <w:r>
        <w:t xml:space="preserve">should </w:t>
      </w:r>
      <w:r w:rsidRPr="00733CD0">
        <w:t>equitably serve the needs and interests of</w:t>
      </w:r>
      <w:r>
        <w:t xml:space="preserve"> both partners. Partnerships provide the opportunity to</w:t>
      </w:r>
      <w:r w:rsidR="006D42B4">
        <w:t xml:space="preserve"> share knowledge and resources and encourage</w:t>
      </w:r>
      <w:r>
        <w:t xml:space="preserve"> the </w:t>
      </w:r>
      <w:r w:rsidR="00290E7E">
        <w:t>most contemporary</w:t>
      </w:r>
      <w:r w:rsidR="00F440F0">
        <w:t>,</w:t>
      </w:r>
      <w:r w:rsidR="00290E7E">
        <w:t xml:space="preserve"> evidence-based clinical practice </w:t>
      </w:r>
      <w:r w:rsidR="00F440F0">
        <w:t xml:space="preserve">based on sound </w:t>
      </w:r>
      <w:r w:rsidR="00290E7E">
        <w:t xml:space="preserve">educational principles. </w:t>
      </w:r>
    </w:p>
    <w:tbl>
      <w:tblPr>
        <w:tblStyle w:val="TableGrid"/>
        <w:tblW w:w="0" w:type="auto"/>
        <w:tblCellMar>
          <w:top w:w="57" w:type="dxa"/>
          <w:bottom w:w="57" w:type="dxa"/>
        </w:tblCellMar>
        <w:tblLook w:val="04A0" w:firstRow="1" w:lastRow="0" w:firstColumn="1" w:lastColumn="0" w:noHBand="0" w:noVBand="1"/>
      </w:tblPr>
      <w:tblGrid>
        <w:gridCol w:w="1985"/>
        <w:gridCol w:w="7229"/>
      </w:tblGrid>
      <w:tr w:rsidR="00283817" w:rsidTr="002628C6">
        <w:trPr>
          <w:tblHeader/>
        </w:trPr>
        <w:tc>
          <w:tcPr>
            <w:tcW w:w="9214" w:type="dxa"/>
            <w:gridSpan w:val="2"/>
          </w:tcPr>
          <w:p w:rsidR="00283817" w:rsidRDefault="00283817" w:rsidP="004B1CFA">
            <w:pPr>
              <w:pStyle w:val="DHHStablecolhead"/>
            </w:pPr>
            <w:r w:rsidRPr="00DD4EDC">
              <w:rPr>
                <w:i/>
              </w:rPr>
              <w:t xml:space="preserve">Key considerations for nursing and midwifery </w:t>
            </w:r>
            <w:r w:rsidR="00883ADE">
              <w:rPr>
                <w:i/>
              </w:rPr>
              <w:t>transition to practice</w:t>
            </w:r>
            <w:r w:rsidRPr="00DD4EDC">
              <w:rPr>
                <w:i/>
              </w:rPr>
              <w:t xml:space="preserve"> programs</w:t>
            </w:r>
          </w:p>
        </w:tc>
      </w:tr>
      <w:tr w:rsidR="00283817" w:rsidTr="002628C6">
        <w:tc>
          <w:tcPr>
            <w:tcW w:w="1985" w:type="dxa"/>
          </w:tcPr>
          <w:p w:rsidR="00283817" w:rsidRDefault="00283817" w:rsidP="004B1CFA">
            <w:pPr>
              <w:pStyle w:val="Heading4"/>
              <w:keepNext w:val="0"/>
              <w:keepLines w:val="0"/>
              <w:outlineLvl w:val="3"/>
            </w:pPr>
            <w:bookmarkStart w:id="57" w:name="_Toc519165396"/>
            <w:r w:rsidRPr="00283817">
              <w:t>Career development and preparing for future employment</w:t>
            </w:r>
            <w:r w:rsidR="00C26459">
              <w:t xml:space="preserve"> opportunities</w:t>
            </w:r>
            <w:bookmarkEnd w:id="57"/>
          </w:p>
        </w:tc>
        <w:tc>
          <w:tcPr>
            <w:tcW w:w="7229" w:type="dxa"/>
          </w:tcPr>
          <w:p w:rsidR="00C26459" w:rsidRDefault="00912973" w:rsidP="004B1CFA">
            <w:pPr>
              <w:pStyle w:val="DHHSbody"/>
            </w:pPr>
            <w:r>
              <w:t xml:space="preserve">The </w:t>
            </w:r>
            <w:r w:rsidRPr="0055518D">
              <w:rPr>
                <w:i/>
              </w:rPr>
              <w:t>N</w:t>
            </w:r>
            <w:r w:rsidR="00D93FBA" w:rsidRPr="0055518D">
              <w:rPr>
                <w:i/>
              </w:rPr>
              <w:t xml:space="preserve">ursing and </w:t>
            </w:r>
            <w:r w:rsidRPr="0055518D">
              <w:rPr>
                <w:i/>
              </w:rPr>
              <w:t>M</w:t>
            </w:r>
            <w:r w:rsidR="00D93FBA" w:rsidRPr="0055518D">
              <w:rPr>
                <w:i/>
              </w:rPr>
              <w:t xml:space="preserve">idwifery </w:t>
            </w:r>
            <w:r w:rsidRPr="0055518D">
              <w:rPr>
                <w:i/>
              </w:rPr>
              <w:t>B</w:t>
            </w:r>
            <w:r w:rsidR="00D93FBA" w:rsidRPr="0055518D">
              <w:rPr>
                <w:i/>
              </w:rPr>
              <w:t xml:space="preserve">oard of </w:t>
            </w:r>
            <w:r w:rsidRPr="0055518D">
              <w:rPr>
                <w:i/>
              </w:rPr>
              <w:t>A</w:t>
            </w:r>
            <w:r w:rsidR="00D93FBA" w:rsidRPr="0055518D">
              <w:rPr>
                <w:i/>
              </w:rPr>
              <w:t>ustralia</w:t>
            </w:r>
            <w:r w:rsidR="0055518D" w:rsidRPr="0055518D">
              <w:rPr>
                <w:i/>
              </w:rPr>
              <w:t xml:space="preserve"> Registration Standard: Continuing</w:t>
            </w:r>
            <w:r w:rsidRPr="0055518D">
              <w:rPr>
                <w:i/>
              </w:rPr>
              <w:t xml:space="preserve"> Professional Development</w:t>
            </w:r>
            <w:r w:rsidR="0055518D">
              <w:rPr>
                <w:rStyle w:val="EndnoteReference"/>
                <w:i/>
              </w:rPr>
              <w:endnoteReference w:id="28"/>
            </w:r>
            <w:r>
              <w:t xml:space="preserve"> supports ongoing </w:t>
            </w:r>
            <w:r w:rsidR="00C26459">
              <w:t>professional development</w:t>
            </w:r>
            <w:r>
              <w:t xml:space="preserve"> for all registered nurses and midwives. Complementing this,</w:t>
            </w:r>
            <w:r w:rsidR="00C26459">
              <w:t xml:space="preserve"> all staff should be encouraged to commit to</w:t>
            </w:r>
            <w:r w:rsidR="0029311C">
              <w:t xml:space="preserve"> a</w:t>
            </w:r>
            <w:r w:rsidR="00C26459">
              <w:t xml:space="preserve"> lifelong learning </w:t>
            </w:r>
            <w:r w:rsidR="0029311C">
              <w:t xml:space="preserve">philosophy </w:t>
            </w:r>
            <w:r w:rsidR="00C26459">
              <w:t xml:space="preserve">to ensure maintenance of contemporary knowledge, skills and attributes that lead to safe and high-quality patient care. </w:t>
            </w:r>
          </w:p>
          <w:p w:rsidR="00EE3CA0" w:rsidRDefault="00883ADE" w:rsidP="004B1CFA">
            <w:pPr>
              <w:pStyle w:val="DHHSbody"/>
            </w:pPr>
            <w:r>
              <w:t>Transition to practice</w:t>
            </w:r>
            <w:r w:rsidR="00C26459">
              <w:t xml:space="preserve"> programs need to balance the consolidation of individual skills and knowledge while also providing a range of clinical environments that offer a breadth of clinical experience. </w:t>
            </w:r>
          </w:p>
          <w:p w:rsidR="004E5FBE" w:rsidRDefault="0029311C" w:rsidP="004B1CFA">
            <w:pPr>
              <w:pStyle w:val="DHHSbody"/>
            </w:pPr>
            <w:r>
              <w:t>As part of ongoing professional development and skills creation, it</w:t>
            </w:r>
            <w:r w:rsidR="00EE3CA0">
              <w:t xml:space="preserve"> is recognised that some health services provide programs th</w:t>
            </w:r>
            <w:r w:rsidR="000E0227">
              <w:t>at deliver credits towards post</w:t>
            </w:r>
            <w:r w:rsidR="00EE3CA0">
              <w:t>graduate</w:t>
            </w:r>
            <w:r w:rsidR="00B952DC">
              <w:t xml:space="preserve"> education. </w:t>
            </w:r>
          </w:p>
          <w:p w:rsidR="00916BA6" w:rsidRPr="00916BA6" w:rsidRDefault="00916BA6" w:rsidP="004B1CFA">
            <w:pPr>
              <w:pStyle w:val="DHHSbody"/>
              <w:rPr>
                <w:rFonts w:eastAsia="Times New Roman"/>
                <w:b/>
                <w:color w:val="007B4B"/>
              </w:rPr>
            </w:pPr>
            <w:r w:rsidRPr="00916BA6">
              <w:rPr>
                <w:rFonts w:eastAsia="Times New Roman"/>
                <w:b/>
                <w:color w:val="007B4B"/>
              </w:rPr>
              <w:t>Recommendation:</w:t>
            </w:r>
          </w:p>
          <w:p w:rsidR="00283817" w:rsidRDefault="004E5FBE" w:rsidP="004B1CFA">
            <w:pPr>
              <w:pStyle w:val="DHHSbody"/>
            </w:pPr>
            <w:r>
              <w:lastRenderedPageBreak/>
              <w:t xml:space="preserve">It is recommended that </w:t>
            </w:r>
            <w:r w:rsidR="00114AA9">
              <w:t xml:space="preserve">health services have a strong </w:t>
            </w:r>
            <w:r w:rsidR="00EE3CA0">
              <w:t xml:space="preserve">education provider relationship </w:t>
            </w:r>
            <w:r w:rsidR="00114AA9">
              <w:t>to</w:t>
            </w:r>
            <w:r w:rsidR="00EE3CA0">
              <w:t xml:space="preserve"> support the delivery</w:t>
            </w:r>
            <w:r w:rsidR="0029311C">
              <w:t xml:space="preserve"> and evaluation</w:t>
            </w:r>
            <w:r w:rsidR="00EE3CA0">
              <w:t xml:space="preserve"> of </w:t>
            </w:r>
            <w:r w:rsidR="000E0227">
              <w:t>postgraduate programs to meet organisational objectives.</w:t>
            </w:r>
          </w:p>
        </w:tc>
      </w:tr>
      <w:tr w:rsidR="001D6C54" w:rsidTr="002628C6">
        <w:tc>
          <w:tcPr>
            <w:tcW w:w="1985" w:type="dxa"/>
          </w:tcPr>
          <w:p w:rsidR="001D6C54" w:rsidRPr="00283817" w:rsidRDefault="001D6C54" w:rsidP="004B1CFA">
            <w:pPr>
              <w:pStyle w:val="Heading4"/>
              <w:keepNext w:val="0"/>
              <w:keepLines w:val="0"/>
              <w:outlineLvl w:val="3"/>
            </w:pPr>
            <w:bookmarkStart w:id="58" w:name="_Toc519165397"/>
            <w:r>
              <w:lastRenderedPageBreak/>
              <w:t>Workforce planning</w:t>
            </w:r>
            <w:bookmarkEnd w:id="58"/>
          </w:p>
        </w:tc>
        <w:tc>
          <w:tcPr>
            <w:tcW w:w="7229" w:type="dxa"/>
          </w:tcPr>
          <w:p w:rsidR="009D6BB7" w:rsidRDefault="001D6C54" w:rsidP="004B1CFA">
            <w:pPr>
              <w:pStyle w:val="DHHSbody"/>
            </w:pPr>
            <w:r>
              <w:t xml:space="preserve">Organisations have an opportunity to respond to future </w:t>
            </w:r>
            <w:r w:rsidR="009D6BB7">
              <w:t xml:space="preserve">community </w:t>
            </w:r>
            <w:r w:rsidR="009E6E07">
              <w:t>expectations</w:t>
            </w:r>
            <w:r w:rsidR="009D6BB7">
              <w:t xml:space="preserve"> </w:t>
            </w:r>
            <w:r>
              <w:t xml:space="preserve">and </w:t>
            </w:r>
            <w:r w:rsidR="009D6BB7">
              <w:t xml:space="preserve">evolving </w:t>
            </w:r>
            <w:r>
              <w:t xml:space="preserve">service models through innovative workforce planning and utilising a ‘grow your own workforce’ </w:t>
            </w:r>
            <w:r w:rsidR="00570E27">
              <w:t xml:space="preserve">retention </w:t>
            </w:r>
            <w:r>
              <w:t>strategy.</w:t>
            </w:r>
            <w:r w:rsidR="00C26459">
              <w:t xml:space="preserve"> This may involve identifying and supporting particular </w:t>
            </w:r>
            <w:r w:rsidR="009D6BB7">
              <w:t xml:space="preserve">skill and capability development </w:t>
            </w:r>
            <w:r w:rsidR="00C26459">
              <w:t xml:space="preserve">opportunities </w:t>
            </w:r>
            <w:r w:rsidR="009D6BB7">
              <w:t xml:space="preserve">that </w:t>
            </w:r>
            <w:r w:rsidR="00C26459">
              <w:t xml:space="preserve">create a </w:t>
            </w:r>
            <w:r w:rsidR="009D6BB7">
              <w:t>competent and sustainable workforce over the longer term.</w:t>
            </w:r>
            <w:r w:rsidR="00570E27">
              <w:t xml:space="preserve"> </w:t>
            </w:r>
          </w:p>
          <w:p w:rsidR="00D06A01" w:rsidRPr="00D06A01" w:rsidRDefault="00D06A01" w:rsidP="004B1CFA">
            <w:pPr>
              <w:pStyle w:val="DHHSbody"/>
              <w:rPr>
                <w:rFonts w:eastAsia="Times New Roman"/>
                <w:b/>
                <w:color w:val="007B4B"/>
              </w:rPr>
            </w:pPr>
            <w:r w:rsidRPr="00D06A01">
              <w:rPr>
                <w:rFonts w:eastAsia="Times New Roman"/>
                <w:b/>
                <w:color w:val="007B4B"/>
              </w:rPr>
              <w:t>Recommendation:</w:t>
            </w:r>
          </w:p>
          <w:p w:rsidR="001D6C54" w:rsidRDefault="00C26459" w:rsidP="004B1CFA">
            <w:pPr>
              <w:pStyle w:val="DHHSbody"/>
            </w:pPr>
            <w:r>
              <w:t xml:space="preserve">It is recommended that health services work with their partner education providers to </w:t>
            </w:r>
            <w:r w:rsidR="009E6E07">
              <w:t xml:space="preserve">strategically </w:t>
            </w:r>
            <w:r>
              <w:t>identify</w:t>
            </w:r>
            <w:r w:rsidR="009E6E07">
              <w:t>, plan</w:t>
            </w:r>
            <w:r>
              <w:t xml:space="preserve"> </w:t>
            </w:r>
            <w:r w:rsidR="009D6BB7">
              <w:t xml:space="preserve">and deliver </w:t>
            </w:r>
            <w:r>
              <w:t>education and training requirements of graduates</w:t>
            </w:r>
            <w:r w:rsidR="009D6BB7">
              <w:t xml:space="preserve"> </w:t>
            </w:r>
            <w:r w:rsidR="009E6E07">
              <w:t>in response</w:t>
            </w:r>
            <w:r w:rsidR="009D6BB7">
              <w:t xml:space="preserve"> to future need</w:t>
            </w:r>
            <w:r w:rsidR="00D06A01">
              <w:t>s</w:t>
            </w:r>
            <w:r w:rsidR="009D6BB7">
              <w:t>.</w:t>
            </w:r>
          </w:p>
        </w:tc>
      </w:tr>
    </w:tbl>
    <w:p w:rsidR="00733CD0" w:rsidRPr="00733CD0" w:rsidRDefault="00AA532A" w:rsidP="00733CD0">
      <w:pPr>
        <w:pStyle w:val="Heading3"/>
      </w:pPr>
      <w:bookmarkStart w:id="59" w:name="_Toc519164881"/>
      <w:bookmarkStart w:id="60" w:name="_Toc519164926"/>
      <w:bookmarkStart w:id="61" w:name="_Toc519165398"/>
      <w:r>
        <w:t xml:space="preserve">BPCLE Element 5: </w:t>
      </w:r>
      <w:r w:rsidR="00733CD0" w:rsidRPr="00733CD0">
        <w:t>Effective communication processes</w:t>
      </w:r>
      <w:bookmarkEnd w:id="59"/>
      <w:bookmarkEnd w:id="60"/>
      <w:bookmarkEnd w:id="61"/>
    </w:p>
    <w:p w:rsidR="00733CD0" w:rsidRPr="00733CD0" w:rsidRDefault="00733CD0" w:rsidP="00733CD0">
      <w:pPr>
        <w:pStyle w:val="DHHSbody"/>
      </w:pPr>
      <w:r w:rsidRPr="00733CD0">
        <w:t>Effective communication is a key com</w:t>
      </w:r>
      <w:r w:rsidR="0004658F">
        <w:t xml:space="preserve">ponent across any organisation in the delivery of </w:t>
      </w:r>
      <w:r w:rsidRPr="00733CD0">
        <w:t>e</w:t>
      </w:r>
      <w:r w:rsidR="0004658F">
        <w:t>ffective and success</w:t>
      </w:r>
      <w:r w:rsidR="00D2727D">
        <w:t>ful</w:t>
      </w:r>
      <w:r w:rsidR="0004658F">
        <w:t xml:space="preserve"> outcomes. I</w:t>
      </w:r>
      <w:r w:rsidRPr="00733CD0">
        <w:t>t is the responsibility of all empl</w:t>
      </w:r>
      <w:r w:rsidR="0004658F">
        <w:t xml:space="preserve">oyees as a whole to maintain </w:t>
      </w:r>
      <w:r w:rsidRPr="00733CD0">
        <w:t>open and active dialogue</w:t>
      </w:r>
      <w:r w:rsidR="00AA532A">
        <w:t xml:space="preserve"> with graduates</w:t>
      </w:r>
      <w:r w:rsidRPr="00733CD0">
        <w:t xml:space="preserve">, and </w:t>
      </w:r>
      <w:r w:rsidR="00AA532A">
        <w:t xml:space="preserve">is </w:t>
      </w:r>
      <w:r w:rsidRPr="00733CD0">
        <w:t>not solely the responsibility of educators and preceptors engaging directly with learners</w:t>
      </w:r>
      <w:r w:rsidR="0055271D" w:rsidRPr="0055271D">
        <w:rPr>
          <w:rStyle w:val="EndnoteReference"/>
        </w:rPr>
        <w:fldChar w:fldCharType="begin"/>
      </w:r>
      <w:r w:rsidR="0055271D" w:rsidRPr="0055271D">
        <w:rPr>
          <w:vertAlign w:val="superscript"/>
        </w:rPr>
        <w:instrText xml:space="preserve"> NOTEREF _Ref514683726 \h </w:instrText>
      </w:r>
      <w:r w:rsidR="0055271D" w:rsidRPr="0055271D">
        <w:rPr>
          <w:rStyle w:val="EndnoteReference"/>
        </w:rPr>
        <w:instrText xml:space="preserve"> \* MERGEFORMAT </w:instrText>
      </w:r>
      <w:r w:rsidR="0055271D" w:rsidRPr="0055271D">
        <w:rPr>
          <w:rStyle w:val="EndnoteReference"/>
        </w:rPr>
      </w:r>
      <w:r w:rsidR="0055271D" w:rsidRPr="0055271D">
        <w:rPr>
          <w:rStyle w:val="EndnoteReference"/>
        </w:rPr>
        <w:fldChar w:fldCharType="separate"/>
      </w:r>
      <w:r w:rsidR="004D60A8">
        <w:rPr>
          <w:vertAlign w:val="superscript"/>
        </w:rPr>
        <w:t>3</w:t>
      </w:r>
      <w:r w:rsidR="0055271D" w:rsidRPr="0055271D">
        <w:rPr>
          <w:rStyle w:val="EndnoteReference"/>
        </w:rPr>
        <w:fldChar w:fldCharType="end"/>
      </w:r>
      <w:r w:rsidRPr="00733CD0">
        <w:t xml:space="preserve">. </w:t>
      </w:r>
    </w:p>
    <w:p w:rsidR="00DA7EA6" w:rsidRDefault="0004658F" w:rsidP="00DA7EA6">
      <w:pPr>
        <w:pStyle w:val="DHHSbody"/>
        <w:spacing w:after="240"/>
      </w:pPr>
      <w:r>
        <w:t>E</w:t>
      </w:r>
      <w:r w:rsidR="00733CD0" w:rsidRPr="00733CD0">
        <w:t xml:space="preserve">ffective communication </w:t>
      </w:r>
      <w:r>
        <w:t xml:space="preserve">plays a key role in teamwork, collaboration and improving </w:t>
      </w:r>
      <w:r w:rsidRPr="00733CD0">
        <w:t xml:space="preserve">education and </w:t>
      </w:r>
      <w:r w:rsidR="008F1064">
        <w:t xml:space="preserve">clinical environments by </w:t>
      </w:r>
      <w:r>
        <w:t>informing</w:t>
      </w:r>
      <w:r w:rsidR="00733CD0" w:rsidRPr="00733CD0">
        <w:t xml:space="preserve"> actions, behaviours and decision-making</w:t>
      </w:r>
      <w:r w:rsidR="00B70054" w:rsidRPr="00B70054">
        <w:rPr>
          <w:rStyle w:val="EndnoteReference"/>
        </w:rPr>
        <w:fldChar w:fldCharType="begin"/>
      </w:r>
      <w:r w:rsidR="00B70054" w:rsidRPr="00B70054">
        <w:rPr>
          <w:vertAlign w:val="superscript"/>
        </w:rPr>
        <w:instrText xml:space="preserve"> NOTEREF _Ref514683726 \h </w:instrText>
      </w:r>
      <w:r w:rsidR="00B70054" w:rsidRPr="00B70054">
        <w:rPr>
          <w:rStyle w:val="EndnoteReference"/>
        </w:rPr>
        <w:instrText xml:space="preserve"> \* MERGEFORMAT </w:instrText>
      </w:r>
      <w:r w:rsidR="00B70054" w:rsidRPr="00B70054">
        <w:rPr>
          <w:rStyle w:val="EndnoteReference"/>
        </w:rPr>
      </w:r>
      <w:r w:rsidR="00B70054" w:rsidRPr="00B70054">
        <w:rPr>
          <w:rStyle w:val="EndnoteReference"/>
        </w:rPr>
        <w:fldChar w:fldCharType="separate"/>
      </w:r>
      <w:r w:rsidR="004D60A8">
        <w:rPr>
          <w:vertAlign w:val="superscript"/>
        </w:rPr>
        <w:t>3</w:t>
      </w:r>
      <w:r w:rsidR="00B70054" w:rsidRPr="00B70054">
        <w:rPr>
          <w:rStyle w:val="EndnoteReference"/>
        </w:rPr>
        <w:fldChar w:fldCharType="end"/>
      </w:r>
      <w:r>
        <w:t>.</w:t>
      </w:r>
      <w:r w:rsidR="008E14EE">
        <w:t xml:space="preserve"> Communication</w:t>
      </w:r>
      <w:r>
        <w:t xml:space="preserve"> is also essential for debriefing, </w:t>
      </w:r>
      <w:r w:rsidR="008E14EE">
        <w:t xml:space="preserve">performance improvement </w:t>
      </w:r>
      <w:r w:rsidR="00733CD0" w:rsidRPr="00733CD0">
        <w:t>and engagement ac</w:t>
      </w:r>
      <w:r>
        <w:t xml:space="preserve">ross all levels which </w:t>
      </w:r>
      <w:r w:rsidR="00733CD0" w:rsidRPr="00733CD0">
        <w:t>ultimately leads to better outcomes for the organisation</w:t>
      </w:r>
      <w:r w:rsidR="008E14EE">
        <w:t>,</w:t>
      </w:r>
      <w:r w:rsidR="00733CD0" w:rsidRPr="00733CD0">
        <w:t xml:space="preserve"> staff</w:t>
      </w:r>
      <w:r w:rsidR="008E14EE">
        <w:t xml:space="preserve"> and patients</w:t>
      </w:r>
      <w:r w:rsidR="00B70054" w:rsidRPr="00B70054">
        <w:rPr>
          <w:rStyle w:val="EndnoteReference"/>
        </w:rPr>
        <w:fldChar w:fldCharType="begin"/>
      </w:r>
      <w:r w:rsidR="00B70054" w:rsidRPr="00B70054">
        <w:rPr>
          <w:vertAlign w:val="superscript"/>
        </w:rPr>
        <w:instrText xml:space="preserve"> NOTEREF _Ref514683726 \h </w:instrText>
      </w:r>
      <w:r w:rsidR="00B70054" w:rsidRPr="00B70054">
        <w:rPr>
          <w:rStyle w:val="EndnoteReference"/>
        </w:rPr>
        <w:instrText xml:space="preserve"> \* MERGEFORMAT </w:instrText>
      </w:r>
      <w:r w:rsidR="00B70054" w:rsidRPr="00B70054">
        <w:rPr>
          <w:rStyle w:val="EndnoteReference"/>
        </w:rPr>
      </w:r>
      <w:r w:rsidR="00B70054" w:rsidRPr="00B70054">
        <w:rPr>
          <w:rStyle w:val="EndnoteReference"/>
        </w:rPr>
        <w:fldChar w:fldCharType="separate"/>
      </w:r>
      <w:r w:rsidR="004D60A8">
        <w:rPr>
          <w:vertAlign w:val="superscript"/>
        </w:rPr>
        <w:t>3</w:t>
      </w:r>
      <w:r w:rsidR="00B70054" w:rsidRPr="00B70054">
        <w:rPr>
          <w:rStyle w:val="EndnoteReference"/>
        </w:rPr>
        <w:fldChar w:fldCharType="end"/>
      </w:r>
      <w:r w:rsidR="00733CD0" w:rsidRPr="00733CD0">
        <w:t xml:space="preserve">. </w:t>
      </w:r>
    </w:p>
    <w:tbl>
      <w:tblPr>
        <w:tblStyle w:val="TableGrid"/>
        <w:tblW w:w="0" w:type="auto"/>
        <w:tblCellMar>
          <w:top w:w="57" w:type="dxa"/>
          <w:bottom w:w="57" w:type="dxa"/>
        </w:tblCellMar>
        <w:tblLook w:val="04A0" w:firstRow="1" w:lastRow="0" w:firstColumn="1" w:lastColumn="0" w:noHBand="0" w:noVBand="1"/>
      </w:tblPr>
      <w:tblGrid>
        <w:gridCol w:w="1985"/>
        <w:gridCol w:w="7229"/>
      </w:tblGrid>
      <w:tr w:rsidR="00ED7A41" w:rsidRPr="00ED7A41" w:rsidTr="00005BAB">
        <w:trPr>
          <w:tblHeader/>
        </w:trPr>
        <w:tc>
          <w:tcPr>
            <w:tcW w:w="9214" w:type="dxa"/>
            <w:gridSpan w:val="2"/>
          </w:tcPr>
          <w:p w:rsidR="00ED7A41" w:rsidRPr="00ED7A41" w:rsidRDefault="00ED7A41" w:rsidP="004B1CFA">
            <w:pPr>
              <w:spacing w:before="80" w:after="60"/>
              <w:rPr>
                <w:rFonts w:ascii="Arial" w:hAnsi="Arial"/>
                <w:b/>
                <w:color w:val="007B4B"/>
              </w:rPr>
            </w:pPr>
            <w:r w:rsidRPr="00ED7A41">
              <w:rPr>
                <w:rFonts w:ascii="Arial" w:hAnsi="Arial"/>
                <w:b/>
                <w:i/>
                <w:color w:val="007B4B"/>
              </w:rPr>
              <w:t xml:space="preserve">Key considerations for nursing and midwifery </w:t>
            </w:r>
            <w:r w:rsidR="00883ADE">
              <w:rPr>
                <w:rFonts w:ascii="Arial" w:hAnsi="Arial"/>
                <w:b/>
                <w:i/>
                <w:color w:val="007B4B"/>
              </w:rPr>
              <w:t>transition to practice</w:t>
            </w:r>
            <w:r w:rsidRPr="00ED7A41">
              <w:rPr>
                <w:rFonts w:ascii="Arial" w:hAnsi="Arial"/>
                <w:b/>
                <w:i/>
                <w:color w:val="007B4B"/>
              </w:rPr>
              <w:t xml:space="preserve"> programs</w:t>
            </w:r>
          </w:p>
        </w:tc>
      </w:tr>
      <w:tr w:rsidR="00706188" w:rsidRPr="00ED7A41" w:rsidTr="002E68C6">
        <w:tc>
          <w:tcPr>
            <w:tcW w:w="1985" w:type="dxa"/>
          </w:tcPr>
          <w:p w:rsidR="00706188" w:rsidRPr="00ED7A41" w:rsidRDefault="00706188" w:rsidP="004B1CFA">
            <w:pPr>
              <w:pStyle w:val="Heading4"/>
              <w:keepNext w:val="0"/>
              <w:keepLines w:val="0"/>
              <w:outlineLvl w:val="3"/>
            </w:pPr>
            <w:bookmarkStart w:id="62" w:name="_Toc519165399"/>
            <w:r>
              <w:t>Performance reviews and feedback</w:t>
            </w:r>
            <w:bookmarkEnd w:id="62"/>
          </w:p>
        </w:tc>
        <w:tc>
          <w:tcPr>
            <w:tcW w:w="7229" w:type="dxa"/>
          </w:tcPr>
          <w:p w:rsidR="00AF154F" w:rsidRDefault="00706188" w:rsidP="004B1CFA">
            <w:pPr>
              <w:pStyle w:val="DHHSbody"/>
            </w:pPr>
            <w:r w:rsidRPr="00ED7A41">
              <w:t>Performance appraisals are an important part of</w:t>
            </w:r>
            <w:r>
              <w:t xml:space="preserve"> developing </w:t>
            </w:r>
            <w:r w:rsidRPr="00ED7A41">
              <w:t>graduates to improve their skills</w:t>
            </w:r>
            <w:r>
              <w:t xml:space="preserve">, knowledge and </w:t>
            </w:r>
            <w:r w:rsidR="009051F7">
              <w:t>ability to</w:t>
            </w:r>
            <w:r>
              <w:t xml:space="preserve"> s</w:t>
            </w:r>
            <w:r w:rsidR="009051F7">
              <w:t>elf-reflect</w:t>
            </w:r>
            <w:r w:rsidR="00B4404A" w:rsidRPr="00B4404A">
              <w:rPr>
                <w:rStyle w:val="EndnoteReference"/>
              </w:rPr>
              <w:fldChar w:fldCharType="begin"/>
            </w:r>
            <w:r w:rsidR="00B4404A" w:rsidRPr="00B4404A">
              <w:rPr>
                <w:vertAlign w:val="superscript"/>
              </w:rPr>
              <w:instrText xml:space="preserve"> NOTEREF _Ref515455443 \h </w:instrText>
            </w:r>
            <w:r w:rsidR="00B4404A" w:rsidRPr="00B4404A">
              <w:rPr>
                <w:rStyle w:val="EndnoteReference"/>
              </w:rPr>
              <w:instrText xml:space="preserve"> \* MERGEFORMAT </w:instrText>
            </w:r>
            <w:r w:rsidR="00B4404A" w:rsidRPr="00B4404A">
              <w:rPr>
                <w:rStyle w:val="EndnoteReference"/>
              </w:rPr>
            </w:r>
            <w:r w:rsidR="00B4404A" w:rsidRPr="00B4404A">
              <w:rPr>
                <w:rStyle w:val="EndnoteReference"/>
              </w:rPr>
              <w:fldChar w:fldCharType="separate"/>
            </w:r>
            <w:r w:rsidR="004D60A8">
              <w:rPr>
                <w:vertAlign w:val="superscript"/>
              </w:rPr>
              <w:t>20</w:t>
            </w:r>
            <w:r w:rsidR="00B4404A" w:rsidRPr="00B4404A">
              <w:rPr>
                <w:rStyle w:val="EndnoteReference"/>
              </w:rPr>
              <w:fldChar w:fldCharType="end"/>
            </w:r>
            <w:r w:rsidRPr="00ED7A41">
              <w:t xml:space="preserve">. Nursing and midwifery graduates value regular feedback </w:t>
            </w:r>
            <w:r>
              <w:t>on performance as it allows them to identify</w:t>
            </w:r>
            <w:r w:rsidRPr="00ED7A41">
              <w:t xml:space="preserve"> </w:t>
            </w:r>
            <w:r>
              <w:t xml:space="preserve">their </w:t>
            </w:r>
            <w:r w:rsidRPr="00ED7A41">
              <w:t>strength</w:t>
            </w:r>
            <w:r>
              <w:t>s, areas for improvement</w:t>
            </w:r>
            <w:r w:rsidR="00B4404A" w:rsidRPr="00B4404A">
              <w:rPr>
                <w:rStyle w:val="EndnoteReference"/>
              </w:rPr>
              <w:fldChar w:fldCharType="begin"/>
            </w:r>
            <w:r w:rsidR="00B4404A" w:rsidRPr="00B4404A">
              <w:rPr>
                <w:vertAlign w:val="superscript"/>
              </w:rPr>
              <w:instrText xml:space="preserve"> NOTEREF _Ref515455443 \h </w:instrText>
            </w:r>
            <w:r w:rsidR="00B4404A" w:rsidRPr="00B4404A">
              <w:rPr>
                <w:rStyle w:val="EndnoteReference"/>
              </w:rPr>
              <w:instrText xml:space="preserve"> \* MERGEFORMAT </w:instrText>
            </w:r>
            <w:r w:rsidR="00B4404A" w:rsidRPr="00B4404A">
              <w:rPr>
                <w:rStyle w:val="EndnoteReference"/>
              </w:rPr>
            </w:r>
            <w:r w:rsidR="00B4404A" w:rsidRPr="00B4404A">
              <w:rPr>
                <w:rStyle w:val="EndnoteReference"/>
              </w:rPr>
              <w:fldChar w:fldCharType="separate"/>
            </w:r>
            <w:r w:rsidR="004D60A8">
              <w:rPr>
                <w:vertAlign w:val="superscript"/>
              </w:rPr>
              <w:t>20</w:t>
            </w:r>
            <w:r w:rsidR="00B4404A" w:rsidRPr="00B4404A">
              <w:rPr>
                <w:rStyle w:val="EndnoteReference"/>
              </w:rPr>
              <w:fldChar w:fldCharType="end"/>
            </w:r>
            <w:r>
              <w:t xml:space="preserve"> </w:t>
            </w:r>
            <w:r w:rsidRPr="00ED7A41">
              <w:t xml:space="preserve">and </w:t>
            </w:r>
            <w:r w:rsidR="00AF154F">
              <w:t xml:space="preserve">also </w:t>
            </w:r>
            <w:r w:rsidRPr="00ED7A41">
              <w:t>assist</w:t>
            </w:r>
            <w:r>
              <w:t>s</w:t>
            </w:r>
            <w:r w:rsidRPr="00ED7A41">
              <w:t xml:space="preserve"> in career</w:t>
            </w:r>
            <w:r w:rsidR="00AF154F">
              <w:t xml:space="preserve"> development</w:t>
            </w:r>
            <w:r w:rsidRPr="00ED7A41">
              <w:t xml:space="preserve">. </w:t>
            </w:r>
          </w:p>
          <w:p w:rsidR="005C346A" w:rsidRDefault="00AF154F" w:rsidP="004B1CFA">
            <w:pPr>
              <w:pStyle w:val="DHHSbody"/>
            </w:pPr>
            <w:r>
              <w:t>In order for feedback t</w:t>
            </w:r>
            <w:r w:rsidR="00706188" w:rsidRPr="00ED7A41">
              <w:t>o be effective, it should be</w:t>
            </w:r>
            <w:r w:rsidR="00007C72">
              <w:t xml:space="preserve"> objective,</w:t>
            </w:r>
            <w:r w:rsidR="00706188" w:rsidRPr="00ED7A41">
              <w:t xml:space="preserve"> “specific, timely, constructive, balanced and two-way”</w:t>
            </w:r>
            <w:r w:rsidR="005C346A" w:rsidRPr="005C346A">
              <w:rPr>
                <w:rStyle w:val="EndnoteReference"/>
              </w:rPr>
              <w:fldChar w:fldCharType="begin"/>
            </w:r>
            <w:r w:rsidR="005C346A" w:rsidRPr="005C346A">
              <w:rPr>
                <w:vertAlign w:val="superscript"/>
              </w:rPr>
              <w:instrText xml:space="preserve"> NOTEREF _Ref514683726 \h </w:instrText>
            </w:r>
            <w:r w:rsidR="005C346A" w:rsidRPr="005C346A">
              <w:rPr>
                <w:rStyle w:val="EndnoteReference"/>
              </w:rPr>
              <w:instrText xml:space="preserve"> \* MERGEFORMAT </w:instrText>
            </w:r>
            <w:r w:rsidR="005C346A" w:rsidRPr="005C346A">
              <w:rPr>
                <w:rStyle w:val="EndnoteReference"/>
              </w:rPr>
            </w:r>
            <w:r w:rsidR="005C346A" w:rsidRPr="005C346A">
              <w:rPr>
                <w:rStyle w:val="EndnoteReference"/>
              </w:rPr>
              <w:fldChar w:fldCharType="separate"/>
            </w:r>
            <w:r w:rsidR="004D60A8">
              <w:rPr>
                <w:vertAlign w:val="superscript"/>
              </w:rPr>
              <w:t>3</w:t>
            </w:r>
            <w:r w:rsidR="005C346A" w:rsidRPr="005C346A">
              <w:rPr>
                <w:rStyle w:val="EndnoteReference"/>
              </w:rPr>
              <w:fldChar w:fldCharType="end"/>
            </w:r>
            <w:r w:rsidR="00706188" w:rsidRPr="00ED7A41">
              <w:t>.</w:t>
            </w:r>
            <w:r>
              <w:t xml:space="preserve"> </w:t>
            </w:r>
          </w:p>
          <w:p w:rsidR="008F1064" w:rsidRPr="008F1064" w:rsidRDefault="008F1064" w:rsidP="004B1CFA">
            <w:pPr>
              <w:pStyle w:val="DHHSbody"/>
              <w:rPr>
                <w:rFonts w:eastAsia="Times New Roman"/>
                <w:b/>
                <w:color w:val="007B4B"/>
              </w:rPr>
            </w:pPr>
            <w:r w:rsidRPr="008F1064">
              <w:rPr>
                <w:rFonts w:eastAsia="Times New Roman"/>
                <w:b/>
                <w:color w:val="007B4B"/>
              </w:rPr>
              <w:t>Recommendation:</w:t>
            </w:r>
          </w:p>
          <w:p w:rsidR="00706188" w:rsidRPr="00ED7A41" w:rsidRDefault="002A0DE4" w:rsidP="004B1CFA">
            <w:pPr>
              <w:pStyle w:val="DHHSbody"/>
            </w:pPr>
            <w:r>
              <w:t>It</w:t>
            </w:r>
            <w:r w:rsidR="00706188" w:rsidRPr="00ED7A41">
              <w:t xml:space="preserve"> is recommended that organisations e</w:t>
            </w:r>
            <w:r w:rsidR="00AF154F">
              <w:t>nsure opportunities for r</w:t>
            </w:r>
            <w:r w:rsidR="00706188" w:rsidRPr="00ED7A41">
              <w:t xml:space="preserve">egular </w:t>
            </w:r>
            <w:r w:rsidR="00AF154F">
              <w:t xml:space="preserve">reviews and </w:t>
            </w:r>
            <w:r w:rsidR="00706188" w:rsidRPr="00ED7A41">
              <w:t xml:space="preserve">feedback meetings </w:t>
            </w:r>
            <w:r w:rsidR="00AF154F">
              <w:t>between graduates and their</w:t>
            </w:r>
            <w:r w:rsidR="00706188" w:rsidRPr="00ED7A41">
              <w:t xml:space="preserve"> preceptor</w:t>
            </w:r>
            <w:r w:rsidR="00AF154F">
              <w:t>s</w:t>
            </w:r>
            <w:r w:rsidR="00E71822">
              <w:t xml:space="preserve"> to address learning needs and ongoing skill development</w:t>
            </w:r>
            <w:r w:rsidR="00AF154F">
              <w:t>.</w:t>
            </w:r>
          </w:p>
        </w:tc>
      </w:tr>
      <w:tr w:rsidR="00706188" w:rsidRPr="00ED7A41" w:rsidTr="002E68C6">
        <w:tc>
          <w:tcPr>
            <w:tcW w:w="1985" w:type="dxa"/>
          </w:tcPr>
          <w:p w:rsidR="00706188" w:rsidRPr="00ED7A41" w:rsidRDefault="00706188" w:rsidP="004B1CFA">
            <w:pPr>
              <w:pStyle w:val="Heading4"/>
              <w:keepNext w:val="0"/>
              <w:keepLines w:val="0"/>
              <w:outlineLvl w:val="3"/>
            </w:pPr>
            <w:bookmarkStart w:id="63" w:name="_Toc519165400"/>
            <w:r>
              <w:t>Interprofessional education</w:t>
            </w:r>
            <w:bookmarkEnd w:id="63"/>
          </w:p>
        </w:tc>
        <w:tc>
          <w:tcPr>
            <w:tcW w:w="7229" w:type="dxa"/>
          </w:tcPr>
          <w:p w:rsidR="008E14EE" w:rsidRDefault="00E14F56" w:rsidP="004B1CFA">
            <w:pPr>
              <w:pStyle w:val="DHHSbody"/>
            </w:pPr>
            <w:r w:rsidRPr="003319F3">
              <w:rPr>
                <w:rFonts w:cs="Arial"/>
              </w:rPr>
              <w:t>In providing high-quality care for patients, organisations</w:t>
            </w:r>
            <w:r>
              <w:rPr>
                <w:rFonts w:cs="Arial"/>
              </w:rPr>
              <w:t xml:space="preserve"> should ensure that high-quality care is underpinned by </w:t>
            </w:r>
            <w:r w:rsidR="00234FEC">
              <w:rPr>
                <w:rFonts w:cs="Arial"/>
              </w:rPr>
              <w:t xml:space="preserve">the </w:t>
            </w:r>
            <w:r>
              <w:rPr>
                <w:rFonts w:cs="Arial"/>
              </w:rPr>
              <w:t>promotion and support of multidisciplinary teamwork</w:t>
            </w:r>
            <w:r w:rsidR="00C86796" w:rsidRPr="00C86796">
              <w:rPr>
                <w:rStyle w:val="EndnoteReference"/>
                <w:rFonts w:cs="Arial"/>
              </w:rPr>
              <w:fldChar w:fldCharType="begin"/>
            </w:r>
            <w:r w:rsidR="00C86796" w:rsidRPr="00C86796">
              <w:rPr>
                <w:rFonts w:cs="Arial"/>
                <w:vertAlign w:val="superscript"/>
              </w:rPr>
              <w:instrText xml:space="preserve"> NOTEREF _Ref517855570 \h </w:instrText>
            </w:r>
            <w:r w:rsidR="00C86796" w:rsidRPr="00C86796">
              <w:rPr>
                <w:rStyle w:val="EndnoteReference"/>
                <w:rFonts w:cs="Arial"/>
              </w:rPr>
              <w:instrText xml:space="preserve"> \* MERGEFORMAT </w:instrText>
            </w:r>
            <w:r w:rsidR="00C86796" w:rsidRPr="00C86796">
              <w:rPr>
                <w:rStyle w:val="EndnoteReference"/>
                <w:rFonts w:cs="Arial"/>
              </w:rPr>
            </w:r>
            <w:r w:rsidR="00C86796" w:rsidRPr="00C86796">
              <w:rPr>
                <w:rStyle w:val="EndnoteReference"/>
                <w:rFonts w:cs="Arial"/>
              </w:rPr>
              <w:fldChar w:fldCharType="separate"/>
            </w:r>
            <w:r w:rsidR="004D60A8">
              <w:rPr>
                <w:rFonts w:cs="Arial"/>
                <w:vertAlign w:val="superscript"/>
              </w:rPr>
              <w:t>4</w:t>
            </w:r>
            <w:r w:rsidR="00C86796" w:rsidRPr="00C86796">
              <w:rPr>
                <w:rStyle w:val="EndnoteReference"/>
                <w:rFonts w:cs="Arial"/>
              </w:rPr>
              <w:fldChar w:fldCharType="end"/>
            </w:r>
            <w:r>
              <w:rPr>
                <w:rFonts w:cs="Arial"/>
              </w:rPr>
              <w:t>.</w:t>
            </w:r>
            <w:r w:rsidR="004F214A">
              <w:rPr>
                <w:rFonts w:cs="Arial"/>
              </w:rPr>
              <w:t xml:space="preserve"> </w:t>
            </w:r>
            <w:r w:rsidR="002B6E9D">
              <w:t>I</w:t>
            </w:r>
            <w:r w:rsidR="008E14EE">
              <w:t xml:space="preserve">nterprofessional practice requires a supportive environment and effective communication across </w:t>
            </w:r>
            <w:r w:rsidR="004B0F60">
              <w:t xml:space="preserve">the </w:t>
            </w:r>
            <w:r w:rsidR="008E14EE">
              <w:t>health care team</w:t>
            </w:r>
            <w:r w:rsidR="002B6E9D">
              <w:t xml:space="preserve"> in order to work successfully</w:t>
            </w:r>
            <w:bookmarkStart w:id="64" w:name="_Ref517357556"/>
            <w:r w:rsidR="004F214A">
              <w:rPr>
                <w:rStyle w:val="EndnoteReference"/>
              </w:rPr>
              <w:endnoteReference w:id="29"/>
            </w:r>
            <w:bookmarkEnd w:id="64"/>
            <w:r w:rsidR="008E14EE">
              <w:t>.</w:t>
            </w:r>
          </w:p>
          <w:p w:rsidR="00706188" w:rsidRDefault="007C4709" w:rsidP="004B1CFA">
            <w:pPr>
              <w:pStyle w:val="DHHSbody"/>
            </w:pPr>
            <w:r>
              <w:t>Research indicates</w:t>
            </w:r>
            <w:r w:rsidR="00F532B6">
              <w:t xml:space="preserve"> that</w:t>
            </w:r>
            <w:r>
              <w:t xml:space="preserve"> there is a staff perception</w:t>
            </w:r>
            <w:r w:rsidR="00706188" w:rsidRPr="00733CD0">
              <w:t xml:space="preserve"> that graduates </w:t>
            </w:r>
            <w:r w:rsidR="002B6E9D">
              <w:t xml:space="preserve">who </w:t>
            </w:r>
            <w:r w:rsidR="002B6E9D">
              <w:lastRenderedPageBreak/>
              <w:t xml:space="preserve">participate in interprofessional practice </w:t>
            </w:r>
            <w:r w:rsidR="00706188" w:rsidRPr="00733CD0">
              <w:t xml:space="preserve">have opportunities to improve their communication skills, particularly when interacting with managers and professionals </w:t>
            </w:r>
            <w:r w:rsidR="008E14EE">
              <w:t>in</w:t>
            </w:r>
            <w:r w:rsidR="00706188" w:rsidRPr="00733CD0">
              <w:t xml:space="preserve"> other disciplines</w:t>
            </w:r>
            <w:r w:rsidR="008E14EE" w:rsidRPr="00733CD0">
              <w:rPr>
                <w:vertAlign w:val="superscript"/>
              </w:rPr>
              <w:endnoteReference w:id="30"/>
            </w:r>
            <w:r w:rsidR="00706188" w:rsidRPr="00733CD0">
              <w:t>. Interprofessional education</w:t>
            </w:r>
            <w:r w:rsidR="008E14EE">
              <w:t xml:space="preserve"> also</w:t>
            </w:r>
            <w:r w:rsidR="00706188" w:rsidRPr="00733CD0">
              <w:t xml:space="preserve"> increas</w:t>
            </w:r>
            <w:r w:rsidR="00AF154F">
              <w:t xml:space="preserve">es graduate </w:t>
            </w:r>
            <w:r w:rsidR="00706188" w:rsidRPr="00733CD0">
              <w:t xml:space="preserve">confidence </w:t>
            </w:r>
            <w:r w:rsidR="00AF154F">
              <w:t>and builds</w:t>
            </w:r>
            <w:r w:rsidR="00706188" w:rsidRPr="00733CD0">
              <w:t xml:space="preserve"> their skills in collaborative practice</w:t>
            </w:r>
            <w:r w:rsidR="00C86796" w:rsidRPr="00C86796">
              <w:rPr>
                <w:rStyle w:val="EndnoteReference"/>
              </w:rPr>
              <w:fldChar w:fldCharType="begin"/>
            </w:r>
            <w:r w:rsidR="00C86796" w:rsidRPr="00C86796">
              <w:rPr>
                <w:vertAlign w:val="superscript"/>
              </w:rPr>
              <w:instrText xml:space="preserve"> NOTEREF _Ref517855570 \h </w:instrText>
            </w:r>
            <w:r w:rsidR="00C86796" w:rsidRPr="00C86796">
              <w:rPr>
                <w:rStyle w:val="EndnoteReference"/>
              </w:rPr>
              <w:instrText xml:space="preserve"> \* MERGEFORMAT </w:instrText>
            </w:r>
            <w:r w:rsidR="00C86796" w:rsidRPr="00C86796">
              <w:rPr>
                <w:rStyle w:val="EndnoteReference"/>
              </w:rPr>
            </w:r>
            <w:r w:rsidR="00C86796" w:rsidRPr="00C86796">
              <w:rPr>
                <w:rStyle w:val="EndnoteReference"/>
              </w:rPr>
              <w:fldChar w:fldCharType="separate"/>
            </w:r>
            <w:r w:rsidR="004D60A8">
              <w:rPr>
                <w:vertAlign w:val="superscript"/>
              </w:rPr>
              <w:t>4</w:t>
            </w:r>
            <w:r w:rsidR="00C86796" w:rsidRPr="00C86796">
              <w:rPr>
                <w:rStyle w:val="EndnoteReference"/>
              </w:rPr>
              <w:fldChar w:fldCharType="end"/>
            </w:r>
            <w:r w:rsidR="00801902">
              <w:rPr>
                <w:vertAlign w:val="superscript"/>
              </w:rPr>
              <w:t>,</w:t>
            </w:r>
            <w:r w:rsidR="00706188" w:rsidRPr="00733CD0">
              <w:rPr>
                <w:vertAlign w:val="superscript"/>
              </w:rPr>
              <w:endnoteReference w:id="31"/>
            </w:r>
            <w:r w:rsidR="003574F7">
              <w:t>.</w:t>
            </w:r>
          </w:p>
          <w:p w:rsidR="008F1064" w:rsidRPr="008F1064" w:rsidRDefault="008F1064" w:rsidP="004B1CFA">
            <w:pPr>
              <w:pStyle w:val="DHHSbody"/>
              <w:rPr>
                <w:rFonts w:eastAsia="Times New Roman"/>
                <w:b/>
                <w:color w:val="007B4B"/>
              </w:rPr>
            </w:pPr>
            <w:r w:rsidRPr="008F1064">
              <w:rPr>
                <w:rFonts w:eastAsia="Times New Roman"/>
                <w:b/>
                <w:color w:val="007B4B"/>
              </w:rPr>
              <w:t>Recommendation:</w:t>
            </w:r>
          </w:p>
          <w:p w:rsidR="00706188" w:rsidRPr="00ED7A41" w:rsidRDefault="00706188" w:rsidP="004B1CFA">
            <w:pPr>
              <w:pStyle w:val="DHHSbody"/>
            </w:pPr>
            <w:r>
              <w:t>I</w:t>
            </w:r>
            <w:r w:rsidRPr="00733CD0">
              <w:t xml:space="preserve">t is recommended that organisations </w:t>
            </w:r>
            <w:r>
              <w:t>pro</w:t>
            </w:r>
            <w:r w:rsidR="00E415D5">
              <w:t xml:space="preserve">mote </w:t>
            </w:r>
            <w:r>
              <w:t>opportunities for</w:t>
            </w:r>
            <w:r w:rsidRPr="00733CD0">
              <w:t xml:space="preserve"> graduates </w:t>
            </w:r>
            <w:r>
              <w:t xml:space="preserve">to engage in interprofessional </w:t>
            </w:r>
            <w:r w:rsidR="00005BAB">
              <w:t xml:space="preserve">education and </w:t>
            </w:r>
            <w:r>
              <w:t>practice</w:t>
            </w:r>
            <w:r w:rsidRPr="00733CD0">
              <w:t>.</w:t>
            </w:r>
          </w:p>
        </w:tc>
      </w:tr>
    </w:tbl>
    <w:p w:rsidR="00733CD0" w:rsidRPr="00733CD0" w:rsidRDefault="00005BAB" w:rsidP="00733CD0">
      <w:pPr>
        <w:pStyle w:val="Heading3"/>
      </w:pPr>
      <w:bookmarkStart w:id="65" w:name="_Toc519164882"/>
      <w:bookmarkStart w:id="66" w:name="_Toc519164927"/>
      <w:bookmarkStart w:id="67" w:name="_Toc519165401"/>
      <w:r>
        <w:lastRenderedPageBreak/>
        <w:t xml:space="preserve">BPCLE Element 6: </w:t>
      </w:r>
      <w:r w:rsidR="00733CD0" w:rsidRPr="00733CD0">
        <w:t>Appropriate resources and facilities</w:t>
      </w:r>
      <w:bookmarkEnd w:id="65"/>
      <w:bookmarkEnd w:id="66"/>
      <w:bookmarkEnd w:id="67"/>
    </w:p>
    <w:p w:rsidR="00CA6381" w:rsidRDefault="00820884" w:rsidP="00733CD0">
      <w:pPr>
        <w:pStyle w:val="DHHSbody"/>
      </w:pPr>
      <w:r>
        <w:t xml:space="preserve">The resources and facilities that are appropriate for a nursing and midwifery </w:t>
      </w:r>
      <w:r w:rsidR="00883ADE">
        <w:t>transition to practice</w:t>
      </w:r>
      <w:r>
        <w:t xml:space="preserve"> program will vary across different health organisations. </w:t>
      </w:r>
      <w:r w:rsidR="00CA6381">
        <w:t xml:space="preserve">However, all learners should have equitable access to the necessary resources to </w:t>
      </w:r>
      <w:r w:rsidR="00CA6381" w:rsidRPr="00733CD0">
        <w:t xml:space="preserve">optimise their learning </w:t>
      </w:r>
      <w:r w:rsidR="00CA6381">
        <w:t xml:space="preserve">and </w:t>
      </w:r>
      <w:r w:rsidR="00005BAB">
        <w:t xml:space="preserve">ensure </w:t>
      </w:r>
      <w:r w:rsidR="00CA6381">
        <w:t>program outcomes</w:t>
      </w:r>
      <w:r w:rsidR="00005BAB" w:rsidRPr="00005BAB">
        <w:t xml:space="preserve"> </w:t>
      </w:r>
      <w:r w:rsidR="00005BAB">
        <w:t>can be achieved</w:t>
      </w:r>
      <w:r w:rsidR="005F1D48" w:rsidRPr="005F1D48">
        <w:rPr>
          <w:rStyle w:val="EndnoteReference"/>
        </w:rPr>
        <w:fldChar w:fldCharType="begin"/>
      </w:r>
      <w:r w:rsidR="005F1D48" w:rsidRPr="005F1D48">
        <w:rPr>
          <w:vertAlign w:val="superscript"/>
        </w:rPr>
        <w:instrText xml:space="preserve"> NOTEREF _Ref514683726 \h </w:instrText>
      </w:r>
      <w:r w:rsidR="005F1D48" w:rsidRPr="005F1D48">
        <w:rPr>
          <w:rStyle w:val="EndnoteReference"/>
        </w:rPr>
        <w:instrText xml:space="preserve"> \* MERGEFORMAT </w:instrText>
      </w:r>
      <w:r w:rsidR="005F1D48" w:rsidRPr="005F1D48">
        <w:rPr>
          <w:rStyle w:val="EndnoteReference"/>
        </w:rPr>
      </w:r>
      <w:r w:rsidR="005F1D48" w:rsidRPr="005F1D48">
        <w:rPr>
          <w:rStyle w:val="EndnoteReference"/>
        </w:rPr>
        <w:fldChar w:fldCharType="separate"/>
      </w:r>
      <w:r w:rsidR="004D60A8">
        <w:rPr>
          <w:vertAlign w:val="superscript"/>
        </w:rPr>
        <w:t>3</w:t>
      </w:r>
      <w:r w:rsidR="005F1D48" w:rsidRPr="005F1D48">
        <w:rPr>
          <w:rStyle w:val="EndnoteReference"/>
        </w:rPr>
        <w:fldChar w:fldCharType="end"/>
      </w:r>
      <w:r w:rsidR="00CA6381">
        <w:t>.</w:t>
      </w:r>
    </w:p>
    <w:p w:rsidR="00CA6381" w:rsidRDefault="00CA6381" w:rsidP="00733CD0">
      <w:pPr>
        <w:pStyle w:val="DHHSbody"/>
      </w:pPr>
      <w:r>
        <w:t>Appropriate r</w:t>
      </w:r>
      <w:r w:rsidRPr="00733CD0">
        <w:t>esourc</w:t>
      </w:r>
      <w:r w:rsidR="00005BAB">
        <w:t>ing</w:t>
      </w:r>
      <w:r>
        <w:t xml:space="preserve"> may</w:t>
      </w:r>
      <w:r w:rsidRPr="00733CD0">
        <w:t xml:space="preserve"> </w:t>
      </w:r>
      <w:r>
        <w:t xml:space="preserve">include capital infrastructure, teaching and learning resources, IT and communication resources, amenities and the availability of </w:t>
      </w:r>
      <w:r w:rsidRPr="00733CD0">
        <w:t>personnel</w:t>
      </w:r>
      <w:r w:rsidR="00005BAB">
        <w:t xml:space="preserve"> to </w:t>
      </w:r>
      <w:r>
        <w:t>provide</w:t>
      </w:r>
      <w:r w:rsidRPr="00733CD0">
        <w:t xml:space="preserve"> support for graduates during their transition period</w:t>
      </w:r>
      <w:r>
        <w:t xml:space="preserve">. </w:t>
      </w:r>
    </w:p>
    <w:p w:rsidR="004B0D68" w:rsidRDefault="00733CD0" w:rsidP="00DA7EA6">
      <w:pPr>
        <w:pStyle w:val="DHHSbody"/>
        <w:spacing w:after="240"/>
      </w:pPr>
      <w:r w:rsidRPr="00733CD0">
        <w:t xml:space="preserve">To assist in building a </w:t>
      </w:r>
      <w:r w:rsidR="00CA6381">
        <w:t xml:space="preserve">positive </w:t>
      </w:r>
      <w:r w:rsidRPr="00733CD0">
        <w:t xml:space="preserve">learning environment, organisations should </w:t>
      </w:r>
      <w:r w:rsidR="00CA6381">
        <w:t xml:space="preserve">also </w:t>
      </w:r>
      <w:r w:rsidRPr="00733CD0">
        <w:t>ensure that graduates have access to resources that ensure their wellbeing</w:t>
      </w:r>
      <w:r w:rsidRPr="00733CD0">
        <w:rPr>
          <w:vertAlign w:val="superscript"/>
        </w:rPr>
        <w:fldChar w:fldCharType="begin"/>
      </w:r>
      <w:r w:rsidRPr="00733CD0">
        <w:rPr>
          <w:vertAlign w:val="superscript"/>
        </w:rPr>
        <w:instrText xml:space="preserve"> NOTEREF _Ref514683726 \h  \* MERGEFORMAT </w:instrText>
      </w:r>
      <w:r w:rsidRPr="00733CD0">
        <w:rPr>
          <w:vertAlign w:val="superscript"/>
        </w:rPr>
      </w:r>
      <w:r w:rsidRPr="00733CD0">
        <w:rPr>
          <w:vertAlign w:val="superscript"/>
        </w:rPr>
        <w:fldChar w:fldCharType="separate"/>
      </w:r>
      <w:r w:rsidR="004D60A8">
        <w:rPr>
          <w:vertAlign w:val="superscript"/>
        </w:rPr>
        <w:t>3</w:t>
      </w:r>
      <w:r w:rsidRPr="00733CD0">
        <w:fldChar w:fldCharType="end"/>
      </w:r>
      <w:r w:rsidR="00CA6381">
        <w:t xml:space="preserve"> such as employee assistance</w:t>
      </w:r>
      <w:r w:rsidR="00027C60">
        <w:t xml:space="preserve"> programs</w:t>
      </w:r>
      <w:r w:rsidR="00CA6381">
        <w:t>.</w:t>
      </w:r>
    </w:p>
    <w:tbl>
      <w:tblPr>
        <w:tblStyle w:val="TableGrid"/>
        <w:tblW w:w="0" w:type="auto"/>
        <w:tblLook w:val="04A0" w:firstRow="1" w:lastRow="0" w:firstColumn="1" w:lastColumn="0" w:noHBand="0" w:noVBand="1"/>
      </w:tblPr>
      <w:tblGrid>
        <w:gridCol w:w="1985"/>
        <w:gridCol w:w="7421"/>
      </w:tblGrid>
      <w:tr w:rsidR="00987585" w:rsidTr="00987585">
        <w:tc>
          <w:tcPr>
            <w:tcW w:w="9406" w:type="dxa"/>
            <w:gridSpan w:val="2"/>
          </w:tcPr>
          <w:p w:rsidR="00987585" w:rsidRPr="00987585" w:rsidRDefault="00987585" w:rsidP="00645C48">
            <w:pPr>
              <w:pStyle w:val="DHHSbody"/>
              <w:spacing w:before="80" w:after="60"/>
              <w:rPr>
                <w:b/>
                <w:i/>
                <w:color w:val="007B4B"/>
              </w:rPr>
            </w:pPr>
            <w:r w:rsidRPr="00987585">
              <w:rPr>
                <w:b/>
                <w:i/>
                <w:color w:val="007B4B"/>
              </w:rPr>
              <w:t>Key considerations for nursing and midwifery transition to practice programs</w:t>
            </w:r>
          </w:p>
        </w:tc>
      </w:tr>
      <w:tr w:rsidR="00987585" w:rsidTr="00987585">
        <w:tc>
          <w:tcPr>
            <w:tcW w:w="1985" w:type="dxa"/>
          </w:tcPr>
          <w:p w:rsidR="00987585" w:rsidRPr="00987585" w:rsidRDefault="00987585" w:rsidP="00645C48">
            <w:pPr>
              <w:pStyle w:val="Heading4"/>
              <w:keepNext w:val="0"/>
              <w:keepLines w:val="0"/>
              <w:outlineLvl w:val="3"/>
            </w:pPr>
            <w:r>
              <w:t>Availability and accessibility of clinical educators, preceptors, clinical support nurses and graduate coordinators (or equivalent)</w:t>
            </w:r>
          </w:p>
        </w:tc>
        <w:tc>
          <w:tcPr>
            <w:tcW w:w="7421" w:type="dxa"/>
          </w:tcPr>
          <w:p w:rsidR="00987585" w:rsidRPr="00645C48" w:rsidRDefault="00987585" w:rsidP="00645C48">
            <w:pPr>
              <w:pStyle w:val="DHHSbody"/>
              <w:spacing w:before="80"/>
              <w:rPr>
                <w:rFonts w:cs="Arial"/>
              </w:rPr>
            </w:pPr>
            <w:r w:rsidRPr="00645C48">
              <w:rPr>
                <w:rFonts w:cs="Arial"/>
              </w:rPr>
              <w:t>Appropriate clinical support  and supervision for graduates is essential as they build confidence in their knowledge and capabilities to provide best practice care for patients</w:t>
            </w:r>
            <w:r w:rsidRPr="00645C48">
              <w:rPr>
                <w:rFonts w:cs="Arial"/>
              </w:rPr>
              <w:endnoteReference w:id="32"/>
            </w:r>
            <w:r w:rsidRPr="00645C48">
              <w:rPr>
                <w:rFonts w:cs="Arial"/>
              </w:rPr>
              <w:t>. This assists to identify the learning needs of individual graduates and tailor the level of support they may require.</w:t>
            </w:r>
          </w:p>
          <w:p w:rsidR="00987585" w:rsidRPr="00645C48" w:rsidRDefault="00987585" w:rsidP="00645C48">
            <w:pPr>
              <w:pStyle w:val="DHHSbody"/>
              <w:rPr>
                <w:rFonts w:cs="Arial"/>
              </w:rPr>
            </w:pPr>
            <w:r w:rsidRPr="00645C48">
              <w:rPr>
                <w:rFonts w:cs="Arial"/>
              </w:rPr>
              <w:t>Availability of clinical staff is essential to support nurses and midwives to smoothly transition into their registered nurse and/or midwife role. Staff working with graduate should be committed</w:t>
            </w:r>
            <w:r w:rsidRPr="00645C48">
              <w:rPr>
                <w:rFonts w:cs="Arial"/>
              </w:rPr>
              <w:fldChar w:fldCharType="begin"/>
            </w:r>
            <w:r w:rsidRPr="00645C48">
              <w:rPr>
                <w:rFonts w:cs="Arial"/>
              </w:rPr>
              <w:instrText xml:space="preserve"> NOTEREF _Ref508113280 \h  \* MERGEFORMAT </w:instrText>
            </w:r>
            <w:r w:rsidRPr="00645C48">
              <w:rPr>
                <w:rFonts w:cs="Arial"/>
              </w:rPr>
            </w:r>
            <w:r w:rsidRPr="00645C48">
              <w:rPr>
                <w:rFonts w:cs="Arial"/>
              </w:rPr>
              <w:fldChar w:fldCharType="separate"/>
            </w:r>
            <w:r w:rsidRPr="00645C48">
              <w:rPr>
                <w:rFonts w:cs="Arial"/>
              </w:rPr>
              <w:t>5</w:t>
            </w:r>
            <w:r w:rsidRPr="00645C48">
              <w:rPr>
                <w:rFonts w:cs="Arial"/>
              </w:rPr>
              <w:fldChar w:fldCharType="end"/>
            </w:r>
            <w:r w:rsidRPr="00645C48">
              <w:rPr>
                <w:rFonts w:cs="Arial"/>
              </w:rPr>
              <w:t xml:space="preserve"> and have a professional responsibility to support these graduates as they undertake their program.</w:t>
            </w:r>
          </w:p>
          <w:p w:rsidR="00987585" w:rsidRPr="00645C48" w:rsidRDefault="00987585" w:rsidP="00645C48">
            <w:pPr>
              <w:pStyle w:val="DHHSbody"/>
              <w:rPr>
                <w:rFonts w:cs="Arial"/>
              </w:rPr>
            </w:pPr>
            <w:r w:rsidRPr="00645C48">
              <w:rPr>
                <w:rFonts w:cs="Arial"/>
              </w:rPr>
              <w:t>Nursing and midwifery graduates find having access to support staff during their employment valuable, particularly during the orientation and induction period</w:t>
            </w:r>
            <w:r w:rsidRPr="00645C48">
              <w:rPr>
                <w:rFonts w:cs="Arial"/>
              </w:rPr>
              <w:fldChar w:fldCharType="begin"/>
            </w:r>
            <w:r w:rsidRPr="00645C48">
              <w:rPr>
                <w:rFonts w:cs="Arial"/>
              </w:rPr>
              <w:instrText xml:space="preserve"> NOTEREF _Ref508113280 \h  \* MERGEFORMAT </w:instrText>
            </w:r>
            <w:r w:rsidRPr="00645C48">
              <w:rPr>
                <w:rFonts w:cs="Arial"/>
              </w:rPr>
            </w:r>
            <w:r w:rsidRPr="00645C48">
              <w:rPr>
                <w:rFonts w:cs="Arial"/>
              </w:rPr>
              <w:fldChar w:fldCharType="separate"/>
            </w:r>
            <w:r w:rsidRPr="00645C48">
              <w:rPr>
                <w:rFonts w:cs="Arial"/>
              </w:rPr>
              <w:t>5</w:t>
            </w:r>
            <w:r w:rsidRPr="00645C48">
              <w:rPr>
                <w:rFonts w:cs="Arial"/>
              </w:rPr>
              <w:fldChar w:fldCharType="end"/>
            </w:r>
            <w:r w:rsidRPr="00645C48">
              <w:rPr>
                <w:rFonts w:cs="Arial"/>
              </w:rPr>
              <w:t>.</w:t>
            </w:r>
            <w:r w:rsidR="00645C48" w:rsidRPr="00645C48">
              <w:rPr>
                <w:rFonts w:cs="Arial"/>
              </w:rPr>
              <w:t xml:space="preserve"> Graduates have identified that access to key support staff gives them the opportunity to ask questions about managing patient care and regarding policies and procedures that are unit-specific</w:t>
            </w:r>
            <w:r w:rsidR="00645C48" w:rsidRPr="00645C48">
              <w:rPr>
                <w:rFonts w:cs="Arial"/>
              </w:rPr>
              <w:fldChar w:fldCharType="begin"/>
            </w:r>
            <w:r w:rsidR="00645C48" w:rsidRPr="00645C48">
              <w:rPr>
                <w:rFonts w:cs="Arial"/>
              </w:rPr>
              <w:instrText xml:space="preserve"> NOTEREF _Ref515455443 \h  \* MERGEFORMAT </w:instrText>
            </w:r>
            <w:r w:rsidR="00645C48" w:rsidRPr="00645C48">
              <w:rPr>
                <w:rFonts w:cs="Arial"/>
              </w:rPr>
            </w:r>
            <w:r w:rsidR="00645C48" w:rsidRPr="00645C48">
              <w:rPr>
                <w:rFonts w:cs="Arial"/>
              </w:rPr>
              <w:fldChar w:fldCharType="separate"/>
            </w:r>
            <w:r w:rsidR="00645C48" w:rsidRPr="00645C48">
              <w:rPr>
                <w:rFonts w:cs="Arial"/>
              </w:rPr>
              <w:t>20</w:t>
            </w:r>
            <w:r w:rsidR="00645C48" w:rsidRPr="00645C48">
              <w:rPr>
                <w:rFonts w:cs="Arial"/>
              </w:rPr>
              <w:fldChar w:fldCharType="end"/>
            </w:r>
            <w:r w:rsidR="00645C48" w:rsidRPr="00645C48">
              <w:rPr>
                <w:rFonts w:cs="Arial"/>
              </w:rPr>
              <w:t>.</w:t>
            </w:r>
          </w:p>
          <w:p w:rsidR="00645C48" w:rsidRPr="00645C48" w:rsidRDefault="00645C48" w:rsidP="00645C48">
            <w:pPr>
              <w:pStyle w:val="DHHSbody"/>
              <w:rPr>
                <w:rFonts w:cs="Arial"/>
              </w:rPr>
            </w:pPr>
            <w:r w:rsidRPr="00645C48">
              <w:rPr>
                <w:rFonts w:cs="Arial"/>
              </w:rPr>
              <w:t xml:space="preserve">As part of their transition to practice program, organisations should manage and coordinate an appropriate number of clinical educators and preceptors to ensure graduates have access to experienced staff for a safe and supportive experience. Appropriate ratios of learners to educators also assists to minimise a graduate load that may be overwhelming to staff or inappropriate for providing adequate individual support for graduates. </w:t>
            </w:r>
          </w:p>
          <w:p w:rsidR="00645C48" w:rsidRPr="00645C48" w:rsidRDefault="00645C48" w:rsidP="00645C48">
            <w:pPr>
              <w:pStyle w:val="DHHSbody"/>
              <w:rPr>
                <w:rFonts w:cs="Arial"/>
              </w:rPr>
            </w:pPr>
            <w:r w:rsidRPr="00645C48">
              <w:rPr>
                <w:rFonts w:cs="Arial"/>
              </w:rPr>
              <w:t>Recommendations:</w:t>
            </w:r>
          </w:p>
          <w:p w:rsidR="00645C48" w:rsidRPr="00645C48" w:rsidRDefault="00645C48" w:rsidP="00645C48">
            <w:pPr>
              <w:pStyle w:val="DHHSbody"/>
              <w:rPr>
                <w:rFonts w:cs="Arial"/>
              </w:rPr>
            </w:pPr>
            <w:r w:rsidRPr="00645C48">
              <w:rPr>
                <w:rFonts w:cs="Arial"/>
              </w:rPr>
              <w:t xml:space="preserve">It is recommended that organisations consider mirror rostering of preceptors and graduates, and that preceptors and graduates are clearly identified to each other. </w:t>
            </w:r>
          </w:p>
          <w:p w:rsidR="00645C48" w:rsidRPr="00645C48" w:rsidRDefault="00645C48" w:rsidP="00645C48">
            <w:pPr>
              <w:pStyle w:val="DHHSbody"/>
            </w:pPr>
            <w:r w:rsidRPr="00645C48">
              <w:rPr>
                <w:rFonts w:cs="Arial"/>
              </w:rPr>
              <w:t xml:space="preserve">It is also recommended that organisations consider and provide adequate </w:t>
            </w:r>
            <w:r w:rsidRPr="00645C48">
              <w:rPr>
                <w:rFonts w:cs="Arial"/>
              </w:rPr>
              <w:lastRenderedPageBreak/>
              <w:t>resources for graduates throughout their programs, included personalised access to a mentor/preceptor and contact with a secondary preceptor as necessary.</w:t>
            </w:r>
          </w:p>
        </w:tc>
      </w:tr>
      <w:tr w:rsidR="00645C48" w:rsidTr="00987585">
        <w:tc>
          <w:tcPr>
            <w:tcW w:w="1985" w:type="dxa"/>
          </w:tcPr>
          <w:p w:rsidR="00645C48" w:rsidRDefault="00645C48" w:rsidP="00645C48">
            <w:pPr>
              <w:pStyle w:val="Heading4"/>
              <w:keepNext w:val="0"/>
              <w:keepLines w:val="0"/>
              <w:outlineLvl w:val="3"/>
            </w:pPr>
            <w:r>
              <w:lastRenderedPageBreak/>
              <w:t>Employee assistance</w:t>
            </w:r>
          </w:p>
        </w:tc>
        <w:tc>
          <w:tcPr>
            <w:tcW w:w="7421" w:type="dxa"/>
          </w:tcPr>
          <w:p w:rsidR="00645C48" w:rsidRDefault="00645C48" w:rsidP="00765F70">
            <w:pPr>
              <w:pStyle w:val="DHHSbody"/>
              <w:spacing w:before="80"/>
            </w:pPr>
            <w:r>
              <w:rPr>
                <w:rFonts w:cs="Arial"/>
              </w:rPr>
              <w:t>When undertaking a transition to practice program, graduates are adjusting to a potentially demanding role that encompasses professional accountability and responsibility. Studies have shown that graduate may experience anxiety</w:t>
            </w:r>
            <w:r w:rsidR="00765F70" w:rsidRPr="0083066B">
              <w:rPr>
                <w:vertAlign w:val="superscript"/>
              </w:rPr>
              <w:fldChar w:fldCharType="begin"/>
            </w:r>
            <w:r w:rsidR="00765F70" w:rsidRPr="0083066B">
              <w:rPr>
                <w:vertAlign w:val="superscript"/>
              </w:rPr>
              <w:instrText xml:space="preserve"> NOTEREF _Ref514748907 \h  \* MERGEFORMAT </w:instrText>
            </w:r>
            <w:r w:rsidR="00765F70" w:rsidRPr="0083066B">
              <w:rPr>
                <w:vertAlign w:val="superscript"/>
              </w:rPr>
            </w:r>
            <w:r w:rsidR="00765F70" w:rsidRPr="0083066B">
              <w:rPr>
                <w:vertAlign w:val="superscript"/>
              </w:rPr>
              <w:fldChar w:fldCharType="separate"/>
            </w:r>
            <w:r w:rsidR="00765F70">
              <w:rPr>
                <w:vertAlign w:val="superscript"/>
              </w:rPr>
              <w:t>11</w:t>
            </w:r>
            <w:r w:rsidR="00765F70" w:rsidRPr="0083066B">
              <w:rPr>
                <w:vertAlign w:val="superscript"/>
              </w:rPr>
              <w:fldChar w:fldCharType="end"/>
            </w:r>
            <w:r w:rsidR="00765F70" w:rsidRPr="00765F70">
              <w:t>,</w:t>
            </w:r>
            <w:r w:rsidR="00765F70">
              <w:t xml:space="preserve"> fatigue</w:t>
            </w:r>
            <w:r w:rsidR="00765F70" w:rsidRPr="0083066B">
              <w:rPr>
                <w:rStyle w:val="EndnoteReference"/>
              </w:rPr>
              <w:fldChar w:fldCharType="begin"/>
            </w:r>
            <w:r w:rsidR="00765F70" w:rsidRPr="0083066B">
              <w:rPr>
                <w:vertAlign w:val="superscript"/>
              </w:rPr>
              <w:instrText xml:space="preserve"> NOTEREF _Ref515455443 \h </w:instrText>
            </w:r>
            <w:r w:rsidR="00765F70" w:rsidRPr="0083066B">
              <w:rPr>
                <w:rStyle w:val="EndnoteReference"/>
              </w:rPr>
              <w:instrText xml:space="preserve"> \* MERGEFORMAT </w:instrText>
            </w:r>
            <w:r w:rsidR="00765F70" w:rsidRPr="0083066B">
              <w:rPr>
                <w:rStyle w:val="EndnoteReference"/>
              </w:rPr>
            </w:r>
            <w:r w:rsidR="00765F70" w:rsidRPr="0083066B">
              <w:rPr>
                <w:rStyle w:val="EndnoteReference"/>
              </w:rPr>
              <w:fldChar w:fldCharType="separate"/>
            </w:r>
            <w:r w:rsidR="00765F70">
              <w:rPr>
                <w:vertAlign w:val="superscript"/>
              </w:rPr>
              <w:t>20</w:t>
            </w:r>
            <w:r w:rsidR="00765F70" w:rsidRPr="0083066B">
              <w:rPr>
                <w:rStyle w:val="EndnoteReference"/>
              </w:rPr>
              <w:fldChar w:fldCharType="end"/>
            </w:r>
            <w:r w:rsidR="00765F70">
              <w:t xml:space="preserve"> and other factors of ill health that can potentially impact their performance</w:t>
            </w:r>
            <w:r w:rsidR="00765F70" w:rsidRPr="0083066B">
              <w:rPr>
                <w:rStyle w:val="EndnoteReference"/>
              </w:rPr>
              <w:fldChar w:fldCharType="begin"/>
            </w:r>
            <w:r w:rsidR="00765F70" w:rsidRPr="0083066B">
              <w:rPr>
                <w:vertAlign w:val="superscript"/>
              </w:rPr>
              <w:instrText xml:space="preserve"> NOTEREF _Ref514748907 \h </w:instrText>
            </w:r>
            <w:r w:rsidR="00765F70" w:rsidRPr="0083066B">
              <w:rPr>
                <w:rStyle w:val="EndnoteReference"/>
              </w:rPr>
              <w:instrText xml:space="preserve"> \* MERGEFORMAT </w:instrText>
            </w:r>
            <w:r w:rsidR="00765F70" w:rsidRPr="0083066B">
              <w:rPr>
                <w:rStyle w:val="EndnoteReference"/>
              </w:rPr>
            </w:r>
            <w:r w:rsidR="00765F70" w:rsidRPr="0083066B">
              <w:rPr>
                <w:rStyle w:val="EndnoteReference"/>
              </w:rPr>
              <w:fldChar w:fldCharType="separate"/>
            </w:r>
            <w:r w:rsidR="00765F70">
              <w:rPr>
                <w:vertAlign w:val="superscript"/>
              </w:rPr>
              <w:t>11</w:t>
            </w:r>
            <w:r w:rsidR="00765F70" w:rsidRPr="0083066B">
              <w:rPr>
                <w:rStyle w:val="EndnoteReference"/>
              </w:rPr>
              <w:fldChar w:fldCharType="end"/>
            </w:r>
            <w:r w:rsidR="00765F70">
              <w:t xml:space="preserve">. Resources should be available to support graduates’ wellbeing during their program. </w:t>
            </w:r>
          </w:p>
          <w:p w:rsidR="00765F70" w:rsidRDefault="00765F70" w:rsidP="00765F70">
            <w:pPr>
              <w:pStyle w:val="DHHSbody"/>
              <w:spacing w:before="80"/>
            </w:pPr>
            <w:r>
              <w:t xml:space="preserve">Access to counselling for nurses and midwives participating in a transition to practice program offers support and assists them during their period of learning and transition. </w:t>
            </w:r>
          </w:p>
          <w:p w:rsidR="00765F70" w:rsidRDefault="00765F70" w:rsidP="00765F70">
            <w:pPr>
              <w:pStyle w:val="DHHSbody"/>
              <w:spacing w:before="80"/>
              <w:rPr>
                <w:rFonts w:eastAsia="Times New Roman"/>
                <w:b/>
                <w:color w:val="007B4B"/>
              </w:rPr>
            </w:pPr>
            <w:r>
              <w:rPr>
                <w:rFonts w:eastAsia="Times New Roman"/>
                <w:b/>
                <w:color w:val="007B4B"/>
              </w:rPr>
              <w:t>R</w:t>
            </w:r>
            <w:r w:rsidRPr="00665043">
              <w:rPr>
                <w:rFonts w:eastAsia="Times New Roman"/>
                <w:b/>
                <w:color w:val="007B4B"/>
              </w:rPr>
              <w:t>ecommendation</w:t>
            </w:r>
            <w:r>
              <w:rPr>
                <w:rFonts w:eastAsia="Times New Roman"/>
                <w:b/>
                <w:color w:val="007B4B"/>
              </w:rPr>
              <w:t>:</w:t>
            </w:r>
          </w:p>
          <w:p w:rsidR="00765F70" w:rsidRPr="00733CD0" w:rsidRDefault="00765F70" w:rsidP="00765F70">
            <w:pPr>
              <w:pStyle w:val="DHHSbody"/>
              <w:widowControl w:val="0"/>
            </w:pPr>
            <w:r>
              <w:rPr>
                <w:rFonts w:eastAsia="Times New Roman"/>
              </w:rPr>
              <w:t xml:space="preserve">It is recommended that support resources are readily available for graduates during their program, </w:t>
            </w:r>
            <w:r w:rsidRPr="00733CD0">
              <w:t>and graduates are informed</w:t>
            </w:r>
            <w:r>
              <w:t xml:space="preserve"> of the following resources</w:t>
            </w:r>
            <w:r w:rsidRPr="00733CD0">
              <w:t xml:space="preserve"> </w:t>
            </w:r>
            <w:r>
              <w:t>during the orientation period, and throughout their program</w:t>
            </w:r>
            <w:r w:rsidRPr="00733CD0">
              <w:t>:</w:t>
            </w:r>
          </w:p>
          <w:p w:rsidR="00765F70" w:rsidRPr="00733CD0" w:rsidRDefault="00765F70" w:rsidP="00765F70">
            <w:pPr>
              <w:pStyle w:val="DHHSbody"/>
              <w:widowControl w:val="0"/>
              <w:numPr>
                <w:ilvl w:val="0"/>
                <w:numId w:val="4"/>
              </w:numPr>
            </w:pPr>
            <w:r>
              <w:t>e</w:t>
            </w:r>
            <w:r w:rsidRPr="00733CD0">
              <w:t>mployee assistance program</w:t>
            </w:r>
          </w:p>
          <w:p w:rsidR="00765F70" w:rsidRDefault="00765F70" w:rsidP="00765F70">
            <w:pPr>
              <w:pStyle w:val="DHHSbody"/>
              <w:widowControl w:val="0"/>
              <w:numPr>
                <w:ilvl w:val="0"/>
                <w:numId w:val="4"/>
              </w:numPr>
            </w:pPr>
            <w:r w:rsidRPr="00733CD0">
              <w:t>Nursing and Midwifery Health Program Victoria</w:t>
            </w:r>
          </w:p>
          <w:p w:rsidR="00765F70" w:rsidRPr="00765F70" w:rsidRDefault="00765F70" w:rsidP="00765F70">
            <w:pPr>
              <w:pStyle w:val="DHHSbody"/>
              <w:numPr>
                <w:ilvl w:val="0"/>
                <w:numId w:val="4"/>
              </w:numPr>
              <w:spacing w:before="80"/>
              <w:rPr>
                <w:rFonts w:cs="Arial"/>
              </w:rPr>
            </w:pPr>
            <w:r w:rsidRPr="00733CD0">
              <w:t>Nurse and Midwife Support (Turning Point)</w:t>
            </w:r>
            <w:r>
              <w:t>.</w:t>
            </w:r>
          </w:p>
        </w:tc>
      </w:tr>
    </w:tbl>
    <w:p w:rsidR="003C4227" w:rsidRDefault="003C4227" w:rsidP="004B0D68">
      <w:pPr>
        <w:pStyle w:val="DHHSbody"/>
      </w:pPr>
    </w:p>
    <w:p w:rsidR="00733CD0" w:rsidRPr="003072C6" w:rsidRDefault="00733CD0" w:rsidP="00A667C7">
      <w:pPr>
        <w:pStyle w:val="Heading2"/>
      </w:pPr>
      <w:r>
        <w:br w:type="page"/>
      </w:r>
      <w:bookmarkStart w:id="68" w:name="_Toc515309644"/>
      <w:bookmarkStart w:id="69" w:name="_Toc519164883"/>
      <w:bookmarkStart w:id="70" w:name="_Toc519164928"/>
      <w:bookmarkStart w:id="71" w:name="_Toc519165404"/>
      <w:r>
        <w:lastRenderedPageBreak/>
        <w:t>References</w:t>
      </w:r>
      <w:bookmarkEnd w:id="68"/>
      <w:bookmarkEnd w:id="69"/>
      <w:bookmarkEnd w:id="70"/>
      <w:bookmarkEnd w:id="71"/>
    </w:p>
    <w:sectPr w:rsidR="00733CD0" w:rsidRPr="003072C6" w:rsidSect="00444224">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304" w:bottom="1134" w:left="1304" w:header="454" w:footer="51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508034" w15:done="0"/>
  <w15:commentEx w15:paraId="237898AE" w15:done="0"/>
  <w15:commentEx w15:paraId="4B250137" w15:done="0"/>
  <w15:commentEx w15:paraId="35A7D3C4" w15:done="0"/>
  <w15:commentEx w15:paraId="272E781E" w15:done="0"/>
  <w15:commentEx w15:paraId="7A22FAD4" w15:done="0"/>
  <w15:commentEx w15:paraId="6126E989" w15:done="0"/>
  <w15:commentEx w15:paraId="5BED8192" w15:done="0"/>
  <w15:commentEx w15:paraId="43E076D3" w15:done="0"/>
  <w15:commentEx w15:paraId="1638270D" w15:done="0"/>
  <w15:commentEx w15:paraId="3499646D" w15:done="0"/>
  <w15:commentEx w15:paraId="7ADE6641" w15:done="0"/>
  <w15:commentEx w15:paraId="1D6F7352" w15:done="0"/>
  <w15:commentEx w15:paraId="36829582" w15:done="0"/>
  <w15:commentEx w15:paraId="1C9E60C9" w15:done="0"/>
  <w15:commentEx w15:paraId="7F162851" w15:done="0"/>
  <w15:commentEx w15:paraId="44869092" w15:done="0"/>
  <w15:commentEx w15:paraId="007A8C6A" w15:done="0"/>
  <w15:commentEx w15:paraId="70C1EEDF" w15:done="0"/>
  <w15:commentEx w15:paraId="70043CFE" w15:done="0"/>
  <w15:commentEx w15:paraId="5F9E93C7" w15:done="0"/>
  <w15:commentEx w15:paraId="1D9D508F" w15:done="0"/>
  <w15:commentEx w15:paraId="74E1EA7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D68" w:rsidRDefault="004B0D68">
      <w:r>
        <w:separator/>
      </w:r>
    </w:p>
  </w:endnote>
  <w:endnote w:type="continuationSeparator" w:id="0">
    <w:p w:rsidR="004B0D68" w:rsidRDefault="004B0D68">
      <w:r>
        <w:continuationSeparator/>
      </w:r>
    </w:p>
  </w:endnote>
  <w:endnote w:id="1">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Department of Health</w:t>
      </w:r>
      <w:r>
        <w:rPr>
          <w:rFonts w:ascii="Arial" w:hAnsi="Arial" w:cs="Arial"/>
          <w:sz w:val="18"/>
          <w:szCs w:val="18"/>
        </w:rPr>
        <w:t xml:space="preserve"> and Human Services 2017, State Government of Victoria, Melbourne, viewed 12 July 2018,</w:t>
      </w:r>
      <w:r w:rsidRPr="00B933E7">
        <w:rPr>
          <w:rFonts w:ascii="Arial" w:hAnsi="Arial" w:cs="Arial"/>
          <w:sz w:val="18"/>
          <w:szCs w:val="18"/>
        </w:rPr>
        <w:t xml:space="preserve"> </w:t>
      </w:r>
      <w:r w:rsidRPr="00F40AED">
        <w:rPr>
          <w:rStyle w:val="Hyperlink"/>
          <w:rFonts w:ascii="Arial" w:hAnsi="Arial" w:cs="Arial"/>
          <w:sz w:val="18"/>
          <w:szCs w:val="18"/>
        </w:rPr>
        <w:t>&lt;</w:t>
      </w:r>
      <w:hyperlink r:id="rId1" w:history="1">
        <w:r w:rsidRPr="00B933E7">
          <w:rPr>
            <w:rStyle w:val="Hyperlink"/>
            <w:rFonts w:ascii="Arial" w:hAnsi="Arial" w:cs="Arial"/>
            <w:sz w:val="18"/>
            <w:szCs w:val="18"/>
          </w:rPr>
          <w:t>https://www2.health.vic.gov.au/health-workforce/nursing-and-midwifery/nursing-and-midwifery-graduates</w:t>
        </w:r>
      </w:hyperlink>
      <w:r>
        <w:rPr>
          <w:rStyle w:val="Hyperlink"/>
          <w:rFonts w:ascii="Arial" w:hAnsi="Arial" w:cs="Arial"/>
          <w:sz w:val="18"/>
          <w:szCs w:val="18"/>
        </w:rPr>
        <w:t>&gt;</w:t>
      </w:r>
    </w:p>
  </w:endnote>
  <w:endnote w:id="2">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Pr>
          <w:rFonts w:ascii="Arial" w:hAnsi="Arial" w:cs="Arial"/>
          <w:sz w:val="18"/>
          <w:szCs w:val="18"/>
        </w:rPr>
        <w:t>Department of Health 2009,</w:t>
      </w:r>
      <w:r w:rsidRPr="00B933E7">
        <w:rPr>
          <w:rFonts w:ascii="Arial" w:hAnsi="Arial" w:cs="Arial"/>
          <w:sz w:val="18"/>
          <w:szCs w:val="18"/>
        </w:rPr>
        <w:t xml:space="preserve"> </w:t>
      </w:r>
      <w:r w:rsidRPr="00B933E7">
        <w:rPr>
          <w:rFonts w:ascii="Arial" w:hAnsi="Arial" w:cs="Arial"/>
          <w:i/>
          <w:sz w:val="18"/>
          <w:szCs w:val="18"/>
        </w:rPr>
        <w:t>Early Graduate Nurse Program guidelines 2009</w:t>
      </w:r>
      <w:r>
        <w:rPr>
          <w:rFonts w:ascii="Arial" w:hAnsi="Arial" w:cs="Arial"/>
          <w:sz w:val="18"/>
          <w:szCs w:val="18"/>
        </w:rPr>
        <w:t>,</w:t>
      </w:r>
      <w:r w:rsidRPr="00B933E7">
        <w:rPr>
          <w:rFonts w:ascii="Arial" w:hAnsi="Arial" w:cs="Arial"/>
          <w:sz w:val="18"/>
          <w:szCs w:val="18"/>
        </w:rPr>
        <w:t xml:space="preserve"> </w:t>
      </w:r>
      <w:r>
        <w:rPr>
          <w:rFonts w:ascii="Arial" w:hAnsi="Arial" w:cs="Arial"/>
          <w:sz w:val="18"/>
          <w:szCs w:val="18"/>
        </w:rPr>
        <w:t>State Government of Victoria, Melbourne</w:t>
      </w:r>
      <w:r w:rsidRPr="00B933E7">
        <w:rPr>
          <w:rFonts w:ascii="Arial" w:hAnsi="Arial" w:cs="Arial"/>
          <w:sz w:val="18"/>
          <w:szCs w:val="18"/>
        </w:rPr>
        <w:t xml:space="preserve"> </w:t>
      </w:r>
      <w:r w:rsidR="00FD534C" w:rsidRPr="00F40AED">
        <w:rPr>
          <w:rStyle w:val="Hyperlink"/>
          <w:rFonts w:ascii="Arial" w:hAnsi="Arial" w:cs="Arial"/>
          <w:sz w:val="18"/>
          <w:szCs w:val="18"/>
        </w:rPr>
        <w:t>&lt;</w:t>
      </w:r>
      <w:hyperlink r:id="rId2" w:history="1">
        <w:r w:rsidRPr="00B933E7">
          <w:rPr>
            <w:rStyle w:val="Hyperlink"/>
            <w:rFonts w:ascii="Arial" w:hAnsi="Arial" w:cs="Arial"/>
            <w:sz w:val="18"/>
            <w:szCs w:val="18"/>
          </w:rPr>
          <w:t>https://www2.health.vic.gov.au/health-workforce/nursing-and-midwifery/nursing-and-midwifery-graduates</w:t>
        </w:r>
      </w:hyperlink>
      <w:r w:rsidR="00FD534C">
        <w:rPr>
          <w:rStyle w:val="Hyperlink"/>
          <w:rFonts w:ascii="Arial" w:hAnsi="Arial" w:cs="Arial"/>
          <w:sz w:val="18"/>
          <w:szCs w:val="18"/>
        </w:rPr>
        <w:t>&gt;</w:t>
      </w:r>
    </w:p>
  </w:endnote>
  <w:endnote w:id="3">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Department of Health and Human Servi</w:t>
      </w:r>
      <w:r>
        <w:rPr>
          <w:rFonts w:ascii="Arial" w:hAnsi="Arial" w:cs="Arial"/>
          <w:sz w:val="18"/>
          <w:szCs w:val="18"/>
        </w:rPr>
        <w:t>ces 2016,</w:t>
      </w:r>
      <w:r w:rsidRPr="00B933E7">
        <w:rPr>
          <w:rFonts w:ascii="Arial" w:hAnsi="Arial" w:cs="Arial"/>
          <w:sz w:val="18"/>
          <w:szCs w:val="18"/>
        </w:rPr>
        <w:t xml:space="preserve"> </w:t>
      </w:r>
      <w:r w:rsidRPr="00B933E7">
        <w:rPr>
          <w:rFonts w:ascii="Arial" w:hAnsi="Arial" w:cs="Arial"/>
          <w:i/>
          <w:sz w:val="18"/>
          <w:szCs w:val="18"/>
        </w:rPr>
        <w:t>The Best Practice Clinical Learning Environments Framework: Delivering quality clinical education for learners</w:t>
      </w:r>
      <w:r>
        <w:rPr>
          <w:rFonts w:ascii="Arial" w:hAnsi="Arial" w:cs="Arial"/>
          <w:sz w:val="18"/>
          <w:szCs w:val="18"/>
        </w:rPr>
        <w:t>, State Go</w:t>
      </w:r>
      <w:r w:rsidR="00FD534C">
        <w:rPr>
          <w:rFonts w:ascii="Arial" w:hAnsi="Arial" w:cs="Arial"/>
          <w:sz w:val="18"/>
          <w:szCs w:val="18"/>
        </w:rPr>
        <w:t>vernment of Victoria, Melbourne</w:t>
      </w:r>
      <w:r w:rsidRPr="00B933E7">
        <w:rPr>
          <w:rFonts w:ascii="Arial" w:hAnsi="Arial" w:cs="Arial"/>
          <w:sz w:val="18"/>
          <w:szCs w:val="18"/>
        </w:rPr>
        <w:t xml:space="preserve"> </w:t>
      </w:r>
      <w:r w:rsidR="00FD534C" w:rsidRPr="00F40AED">
        <w:rPr>
          <w:rStyle w:val="Hyperlink"/>
          <w:rFonts w:ascii="Arial" w:hAnsi="Arial" w:cs="Arial"/>
          <w:sz w:val="18"/>
          <w:szCs w:val="18"/>
        </w:rPr>
        <w:t>&lt;</w:t>
      </w:r>
      <w:hyperlink r:id="rId3" w:history="1">
        <w:r w:rsidRPr="00B933E7">
          <w:rPr>
            <w:rStyle w:val="Hyperlink"/>
            <w:rFonts w:ascii="Arial" w:hAnsi="Arial" w:cs="Arial"/>
            <w:sz w:val="18"/>
            <w:szCs w:val="18"/>
          </w:rPr>
          <w:t>https://www2.health.vic.gov.au/health-workforce/education-and-training/building-a-quality-health-workforce/bpcle-framework</w:t>
        </w:r>
      </w:hyperlink>
      <w:r w:rsidR="00FD534C" w:rsidRPr="00FD534C">
        <w:rPr>
          <w:rStyle w:val="Hyperlink"/>
          <w:rFonts w:ascii="Arial" w:hAnsi="Arial" w:cs="Arial"/>
          <w:sz w:val="18"/>
        </w:rPr>
        <w:t>&gt;</w:t>
      </w:r>
    </w:p>
  </w:endnote>
  <w:endnote w:id="4">
    <w:p w:rsidR="004B0D68" w:rsidRDefault="004B0D68">
      <w:pPr>
        <w:pStyle w:val="EndnoteText"/>
      </w:pPr>
      <w:r>
        <w:rPr>
          <w:rStyle w:val="EndnoteReference"/>
        </w:rPr>
        <w:endnoteRef/>
      </w:r>
      <w:r>
        <w:t xml:space="preserve"> </w:t>
      </w:r>
      <w:r w:rsidRPr="00B933E7">
        <w:rPr>
          <w:rFonts w:ascii="Arial" w:hAnsi="Arial" w:cs="Arial"/>
          <w:sz w:val="18"/>
          <w:szCs w:val="18"/>
        </w:rPr>
        <w:t>Safer Care Victoria</w:t>
      </w:r>
      <w:r>
        <w:rPr>
          <w:rFonts w:ascii="Arial" w:hAnsi="Arial" w:cs="Arial"/>
          <w:sz w:val="18"/>
          <w:szCs w:val="18"/>
        </w:rPr>
        <w:t xml:space="preserve"> 2017,</w:t>
      </w:r>
      <w:r w:rsidRPr="00B933E7">
        <w:rPr>
          <w:rFonts w:ascii="Arial" w:hAnsi="Arial" w:cs="Arial"/>
          <w:i/>
          <w:sz w:val="18"/>
          <w:szCs w:val="18"/>
        </w:rPr>
        <w:t xml:space="preserve"> Delivering high-quality healthcare: Victorian clinical governance framework</w:t>
      </w:r>
      <w:r>
        <w:rPr>
          <w:rFonts w:ascii="Arial" w:hAnsi="Arial" w:cs="Arial"/>
          <w:sz w:val="18"/>
          <w:szCs w:val="18"/>
        </w:rPr>
        <w:t>, State Go</w:t>
      </w:r>
      <w:r w:rsidR="00FD534C">
        <w:rPr>
          <w:rFonts w:ascii="Arial" w:hAnsi="Arial" w:cs="Arial"/>
          <w:sz w:val="18"/>
          <w:szCs w:val="18"/>
        </w:rPr>
        <w:t>vernment of Victoria, Melbourne</w:t>
      </w:r>
      <w:r w:rsidRPr="00B933E7">
        <w:rPr>
          <w:rFonts w:ascii="Arial" w:hAnsi="Arial" w:cs="Arial"/>
          <w:sz w:val="18"/>
          <w:szCs w:val="18"/>
        </w:rPr>
        <w:t xml:space="preserve"> </w:t>
      </w:r>
      <w:r w:rsidR="00FD534C" w:rsidRPr="00F40AED">
        <w:rPr>
          <w:rStyle w:val="Hyperlink"/>
          <w:rFonts w:ascii="Arial" w:hAnsi="Arial" w:cs="Arial"/>
          <w:sz w:val="18"/>
          <w:szCs w:val="18"/>
        </w:rPr>
        <w:t>&lt;</w:t>
      </w:r>
      <w:hyperlink r:id="rId4" w:history="1">
        <w:r w:rsidRPr="00B933E7">
          <w:rPr>
            <w:rStyle w:val="Hyperlink"/>
            <w:rFonts w:ascii="Arial" w:hAnsi="Arial" w:cs="Arial"/>
            <w:sz w:val="18"/>
            <w:szCs w:val="18"/>
          </w:rPr>
          <w:t>https://www2.health.vic.gov.au/hospitals-and-health-services/quality-safety-service/clinical-risk-management/clinical-governance-policy</w:t>
        </w:r>
      </w:hyperlink>
      <w:r w:rsidR="00FD534C">
        <w:rPr>
          <w:rStyle w:val="Hyperlink"/>
          <w:rFonts w:ascii="Arial" w:hAnsi="Arial" w:cs="Arial"/>
          <w:sz w:val="18"/>
          <w:szCs w:val="18"/>
        </w:rPr>
        <w:t>&gt;</w:t>
      </w:r>
    </w:p>
  </w:endnote>
  <w:endnote w:id="5">
    <w:p w:rsidR="004B0D68" w:rsidRPr="00B933E7" w:rsidRDefault="004B0D68" w:rsidP="008646A1">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Aspex Consulting Pty Ltd</w:t>
      </w:r>
      <w:r>
        <w:rPr>
          <w:rFonts w:ascii="Arial" w:hAnsi="Arial" w:cs="Arial"/>
          <w:sz w:val="18"/>
          <w:szCs w:val="18"/>
        </w:rPr>
        <w:t xml:space="preserve"> 2017,</w:t>
      </w:r>
      <w:r w:rsidRPr="00B933E7">
        <w:rPr>
          <w:rFonts w:ascii="Arial" w:hAnsi="Arial" w:cs="Arial"/>
          <w:i/>
          <w:sz w:val="18"/>
          <w:szCs w:val="18"/>
        </w:rPr>
        <w:t xml:space="preserve"> Review of Nursing and Midwifery Graduate Transition to Practice Programs in Victoria</w:t>
      </w:r>
      <w:r>
        <w:rPr>
          <w:rFonts w:ascii="Arial" w:hAnsi="Arial" w:cs="Arial"/>
          <w:i/>
          <w:sz w:val="18"/>
          <w:szCs w:val="18"/>
        </w:rPr>
        <w:t>; Final Report; January 2017</w:t>
      </w:r>
      <w:r w:rsidR="004C332D">
        <w:rPr>
          <w:rFonts w:ascii="Arial" w:hAnsi="Arial" w:cs="Arial"/>
          <w:sz w:val="18"/>
          <w:szCs w:val="18"/>
        </w:rPr>
        <w:t xml:space="preserve"> </w:t>
      </w:r>
      <w:r w:rsidR="004C332D" w:rsidRPr="00F40AED">
        <w:rPr>
          <w:rStyle w:val="Hyperlink"/>
          <w:rFonts w:ascii="Arial" w:hAnsi="Arial" w:cs="Arial"/>
          <w:sz w:val="18"/>
          <w:szCs w:val="18"/>
        </w:rPr>
        <w:t>&lt;</w:t>
      </w:r>
      <w:hyperlink r:id="rId5" w:history="1">
        <w:r w:rsidRPr="00B933E7">
          <w:rPr>
            <w:rStyle w:val="Hyperlink"/>
            <w:rFonts w:ascii="Arial" w:hAnsi="Arial" w:cs="Arial"/>
            <w:sz w:val="18"/>
            <w:szCs w:val="18"/>
          </w:rPr>
          <w:t>https://www2.health.vic.gov.au/health-workforce/nursing-and-midwifery/whats-new</w:t>
        </w:r>
      </w:hyperlink>
      <w:r w:rsidR="004C332D">
        <w:rPr>
          <w:rStyle w:val="Hyperlink"/>
          <w:rFonts w:ascii="Arial" w:hAnsi="Arial" w:cs="Arial"/>
          <w:sz w:val="18"/>
          <w:szCs w:val="18"/>
        </w:rPr>
        <w:t>&gt;</w:t>
      </w:r>
    </w:p>
  </w:endnote>
  <w:endnote w:id="6">
    <w:p w:rsidR="004B0D68" w:rsidRDefault="004B0D68" w:rsidP="008646A1">
      <w:pPr>
        <w:pStyle w:val="EndnoteText"/>
        <w:spacing w:before="60" w:after="60"/>
      </w:pPr>
      <w:r>
        <w:rPr>
          <w:rStyle w:val="EndnoteReference"/>
        </w:rPr>
        <w:endnoteRef/>
      </w:r>
      <w:r>
        <w:t xml:space="preserve"> </w:t>
      </w:r>
      <w:r w:rsidRPr="00B933E7">
        <w:rPr>
          <w:rFonts w:ascii="Arial" w:hAnsi="Arial" w:cs="Arial"/>
          <w:sz w:val="18"/>
          <w:szCs w:val="18"/>
        </w:rPr>
        <w:t>Nursing and Midwifery Board of Australia</w:t>
      </w:r>
      <w:r>
        <w:rPr>
          <w:rFonts w:ascii="Arial" w:hAnsi="Arial" w:cs="Arial"/>
          <w:sz w:val="18"/>
          <w:szCs w:val="18"/>
        </w:rPr>
        <w:t xml:space="preserve"> 2018,</w:t>
      </w:r>
      <w:r w:rsidRPr="00B933E7">
        <w:rPr>
          <w:rFonts w:ascii="Arial" w:hAnsi="Arial" w:cs="Arial"/>
          <w:sz w:val="18"/>
          <w:szCs w:val="18"/>
        </w:rPr>
        <w:t xml:space="preserve"> Professional Standards,</w:t>
      </w:r>
      <w:r>
        <w:rPr>
          <w:rFonts w:ascii="Arial" w:hAnsi="Arial" w:cs="Arial"/>
          <w:sz w:val="18"/>
          <w:szCs w:val="18"/>
        </w:rPr>
        <w:t xml:space="preserve"> viewed 12 July 2018,</w:t>
      </w:r>
      <w:r w:rsidRPr="00B933E7">
        <w:rPr>
          <w:rFonts w:ascii="Arial" w:hAnsi="Arial" w:cs="Arial"/>
          <w:sz w:val="18"/>
          <w:szCs w:val="18"/>
        </w:rPr>
        <w:t xml:space="preserve"> </w:t>
      </w:r>
      <w:r w:rsidR="004C332D" w:rsidRPr="00F40AED">
        <w:rPr>
          <w:rStyle w:val="Hyperlink"/>
          <w:rFonts w:ascii="Arial" w:hAnsi="Arial" w:cs="Arial"/>
          <w:sz w:val="18"/>
          <w:szCs w:val="18"/>
        </w:rPr>
        <w:t>&lt;</w:t>
      </w:r>
      <w:hyperlink r:id="rId6" w:history="1">
        <w:r w:rsidRPr="00B933E7">
          <w:rPr>
            <w:rStyle w:val="Hyperlink"/>
            <w:rFonts w:ascii="Arial" w:hAnsi="Arial" w:cs="Arial"/>
            <w:sz w:val="18"/>
            <w:szCs w:val="18"/>
          </w:rPr>
          <w:t>http://www.nursingmidwiferyboard.gov.au/Codes-Guidelines-Statements/Professional-standards.aspx</w:t>
        </w:r>
      </w:hyperlink>
      <w:r w:rsidR="004C332D">
        <w:rPr>
          <w:rStyle w:val="Hyperlink"/>
          <w:rFonts w:ascii="Arial" w:hAnsi="Arial" w:cs="Arial"/>
          <w:sz w:val="18"/>
          <w:szCs w:val="18"/>
        </w:rPr>
        <w:t>&gt;</w:t>
      </w:r>
    </w:p>
  </w:endnote>
  <w:endnote w:id="7">
    <w:p w:rsidR="004B0D68" w:rsidRPr="00B933E7" w:rsidRDefault="004B0D68" w:rsidP="008646A1">
      <w:pPr>
        <w:pStyle w:val="DHHSbody"/>
        <w:spacing w:before="60" w:after="60" w:line="240" w:lineRule="auto"/>
        <w:rPr>
          <w:rFonts w:cs="Arial"/>
        </w:rPr>
      </w:pPr>
      <w:r w:rsidRPr="00B933E7">
        <w:rPr>
          <w:rStyle w:val="EndnoteReference"/>
          <w:rFonts w:cs="Arial"/>
        </w:rPr>
        <w:endnoteRef/>
      </w:r>
      <w:r w:rsidRPr="00B933E7">
        <w:rPr>
          <w:rFonts w:cs="Arial"/>
        </w:rPr>
        <w:t xml:space="preserve"> </w:t>
      </w:r>
      <w:r>
        <w:rPr>
          <w:rFonts w:cs="Arial"/>
          <w:sz w:val="18"/>
          <w:szCs w:val="18"/>
        </w:rPr>
        <w:t>Missen, K., et al. 2015,</w:t>
      </w:r>
      <w:r w:rsidRPr="00B933E7">
        <w:rPr>
          <w:rFonts w:cs="Arial"/>
          <w:sz w:val="18"/>
          <w:szCs w:val="18"/>
        </w:rPr>
        <w:t xml:space="preserve"> </w:t>
      </w:r>
      <w:r>
        <w:rPr>
          <w:rFonts w:cs="Arial"/>
          <w:sz w:val="18"/>
          <w:szCs w:val="18"/>
        </w:rPr>
        <w:t>‘</w:t>
      </w:r>
      <w:r w:rsidRPr="00236CA6">
        <w:rPr>
          <w:rFonts w:cs="Arial"/>
          <w:sz w:val="18"/>
          <w:szCs w:val="18"/>
        </w:rPr>
        <w:t>Graduate Nurse Program Coordinators’ perspectives on graduate nurse programs in Victoria, Australia: A descriptive qualitative approach</w:t>
      </w:r>
      <w:r>
        <w:rPr>
          <w:rFonts w:cs="Arial"/>
          <w:sz w:val="18"/>
          <w:szCs w:val="18"/>
        </w:rPr>
        <w:t>’</w:t>
      </w:r>
      <w:r w:rsidRPr="00B933E7">
        <w:rPr>
          <w:rFonts w:cs="Arial"/>
          <w:sz w:val="18"/>
          <w:szCs w:val="18"/>
        </w:rPr>
        <w:t xml:space="preserve">. </w:t>
      </w:r>
      <w:r w:rsidRPr="00236CA6">
        <w:rPr>
          <w:rFonts w:cs="Arial"/>
          <w:i/>
          <w:sz w:val="18"/>
          <w:szCs w:val="18"/>
        </w:rPr>
        <w:t>Collegian</w:t>
      </w:r>
      <w:r>
        <w:rPr>
          <w:rFonts w:cs="Arial"/>
          <w:sz w:val="18"/>
          <w:szCs w:val="18"/>
        </w:rPr>
        <w:t>,</w:t>
      </w:r>
      <w:r w:rsidRPr="00236CA6">
        <w:t xml:space="preserve"> </w:t>
      </w:r>
      <w:r>
        <w:rPr>
          <w:rFonts w:cs="Arial"/>
          <w:sz w:val="18"/>
          <w:szCs w:val="18"/>
        </w:rPr>
        <w:t>Volume 23, Issue 2</w:t>
      </w:r>
      <w:r w:rsidRPr="00236CA6">
        <w:rPr>
          <w:rFonts w:cs="Arial"/>
          <w:sz w:val="18"/>
          <w:szCs w:val="18"/>
        </w:rPr>
        <w:t>, Pages 201-208</w:t>
      </w:r>
      <w:r>
        <w:rPr>
          <w:rFonts w:cs="Arial"/>
          <w:sz w:val="18"/>
          <w:szCs w:val="18"/>
        </w:rPr>
        <w:t xml:space="preserve">, </w:t>
      </w:r>
      <w:hyperlink r:id="rId7" w:history="1">
        <w:r w:rsidRPr="00E40D9C">
          <w:rPr>
            <w:rStyle w:val="Hyperlink"/>
            <w:sz w:val="18"/>
            <w:szCs w:val="18"/>
          </w:rPr>
          <w:t>http://dx.doi.org/10.1016/j.colegn.2015.03.004</w:t>
        </w:r>
      </w:hyperlink>
      <w:r>
        <w:rPr>
          <w:sz w:val="18"/>
          <w:szCs w:val="18"/>
        </w:rPr>
        <w:t xml:space="preserve"> </w:t>
      </w:r>
    </w:p>
  </w:endnote>
  <w:endnote w:id="8">
    <w:p w:rsidR="004B0D68" w:rsidRPr="00E24565" w:rsidRDefault="004B0D68" w:rsidP="008646A1">
      <w:pPr>
        <w:pStyle w:val="EndnoteText"/>
        <w:spacing w:before="60" w:after="60"/>
        <w:rPr>
          <w:rStyle w:val="Hyperlink"/>
          <w:rFonts w:eastAsia="Times"/>
          <w:sz w:val="18"/>
          <w:szCs w:val="18"/>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Missen</w:t>
      </w:r>
      <w:r w:rsidR="004C332D">
        <w:rPr>
          <w:rFonts w:ascii="Arial" w:hAnsi="Arial" w:cs="Arial"/>
          <w:sz w:val="18"/>
          <w:szCs w:val="18"/>
        </w:rPr>
        <w:t xml:space="preserve"> K., </w:t>
      </w:r>
      <w:r w:rsidRPr="00B933E7">
        <w:rPr>
          <w:rFonts w:ascii="Arial" w:hAnsi="Arial" w:cs="Arial"/>
          <w:sz w:val="18"/>
          <w:szCs w:val="18"/>
        </w:rPr>
        <w:t>McKenna</w:t>
      </w:r>
      <w:r w:rsidR="004C332D">
        <w:rPr>
          <w:rFonts w:ascii="Arial" w:hAnsi="Arial" w:cs="Arial"/>
          <w:sz w:val="18"/>
          <w:szCs w:val="18"/>
        </w:rPr>
        <w:t xml:space="preserve"> L., </w:t>
      </w:r>
      <w:r>
        <w:rPr>
          <w:rFonts w:ascii="Arial" w:hAnsi="Arial" w:cs="Arial"/>
          <w:sz w:val="18"/>
          <w:szCs w:val="18"/>
        </w:rPr>
        <w:t>Beauchamp</w:t>
      </w:r>
      <w:r w:rsidR="004C332D">
        <w:rPr>
          <w:rFonts w:ascii="Arial" w:hAnsi="Arial" w:cs="Arial"/>
          <w:sz w:val="18"/>
          <w:szCs w:val="18"/>
        </w:rPr>
        <w:t xml:space="preserve"> A.</w:t>
      </w:r>
      <w:r w:rsidR="0054136F">
        <w:rPr>
          <w:rFonts w:ascii="Arial" w:hAnsi="Arial" w:cs="Arial"/>
          <w:sz w:val="18"/>
          <w:szCs w:val="18"/>
        </w:rPr>
        <w:t xml:space="preserve"> &amp; </w:t>
      </w:r>
      <w:r>
        <w:rPr>
          <w:rFonts w:ascii="Arial" w:hAnsi="Arial" w:cs="Arial"/>
          <w:sz w:val="18"/>
          <w:szCs w:val="18"/>
        </w:rPr>
        <w:t>Larkins</w:t>
      </w:r>
      <w:r w:rsidR="00B0793D">
        <w:rPr>
          <w:rFonts w:ascii="Arial" w:hAnsi="Arial" w:cs="Arial"/>
          <w:sz w:val="18"/>
          <w:szCs w:val="18"/>
        </w:rPr>
        <w:t xml:space="preserve"> J</w:t>
      </w:r>
      <w:r w:rsidR="004C332D">
        <w:rPr>
          <w:rFonts w:ascii="Arial" w:hAnsi="Arial" w:cs="Arial"/>
          <w:sz w:val="18"/>
          <w:szCs w:val="18"/>
        </w:rPr>
        <w:t>-A.</w:t>
      </w:r>
      <w:r>
        <w:rPr>
          <w:rFonts w:ascii="Arial" w:hAnsi="Arial" w:cs="Arial"/>
          <w:sz w:val="18"/>
          <w:szCs w:val="18"/>
        </w:rPr>
        <w:t xml:space="preserve"> 2016,</w:t>
      </w:r>
      <w:r w:rsidRPr="00B933E7">
        <w:rPr>
          <w:rFonts w:ascii="Arial" w:hAnsi="Arial" w:cs="Arial"/>
          <w:sz w:val="18"/>
          <w:szCs w:val="18"/>
        </w:rPr>
        <w:t xml:space="preserve"> </w:t>
      </w:r>
      <w:r>
        <w:rPr>
          <w:rFonts w:ascii="Arial" w:hAnsi="Arial" w:cs="Arial"/>
          <w:sz w:val="18"/>
          <w:szCs w:val="18"/>
        </w:rPr>
        <w:t>‘</w:t>
      </w:r>
      <w:r w:rsidRPr="00E24565">
        <w:rPr>
          <w:rFonts w:ascii="Arial" w:hAnsi="Arial" w:cs="Arial"/>
          <w:sz w:val="18"/>
          <w:szCs w:val="18"/>
        </w:rPr>
        <w:t>Qualified nurses' perceptions of nursing graduates' abilities vary according to specific demographic and clinical characteristics. A descriptive quantitative study</w:t>
      </w:r>
      <w:r>
        <w:rPr>
          <w:rFonts w:ascii="Arial" w:hAnsi="Arial" w:cs="Arial"/>
          <w:sz w:val="18"/>
          <w:szCs w:val="18"/>
        </w:rPr>
        <w:t>’</w:t>
      </w:r>
      <w:r w:rsidRPr="00B933E7">
        <w:rPr>
          <w:rFonts w:ascii="Arial" w:hAnsi="Arial" w:cs="Arial"/>
          <w:sz w:val="18"/>
          <w:szCs w:val="18"/>
        </w:rPr>
        <w:t xml:space="preserve">, </w:t>
      </w:r>
      <w:r w:rsidRPr="00E24565">
        <w:rPr>
          <w:rFonts w:ascii="Arial" w:hAnsi="Arial" w:cs="Arial"/>
          <w:i/>
          <w:sz w:val="18"/>
          <w:szCs w:val="18"/>
        </w:rPr>
        <w:t>Nurse Education Today</w:t>
      </w:r>
      <w:r>
        <w:rPr>
          <w:rFonts w:ascii="Arial" w:hAnsi="Arial" w:cs="Arial"/>
          <w:sz w:val="18"/>
          <w:szCs w:val="18"/>
        </w:rPr>
        <w:t xml:space="preserve">, Volume 45, Pages </w:t>
      </w:r>
      <w:r w:rsidRPr="00E24565">
        <w:rPr>
          <w:rFonts w:ascii="Arial" w:hAnsi="Arial" w:cs="Arial"/>
          <w:sz w:val="18"/>
          <w:szCs w:val="18"/>
        </w:rPr>
        <w:t>108–113</w:t>
      </w:r>
      <w:r>
        <w:rPr>
          <w:rFonts w:ascii="Arial" w:hAnsi="Arial" w:cs="Arial"/>
          <w:sz w:val="18"/>
          <w:szCs w:val="18"/>
        </w:rPr>
        <w:t xml:space="preserve">, </w:t>
      </w:r>
      <w:r w:rsidRPr="00E24565">
        <w:rPr>
          <w:rStyle w:val="Hyperlink"/>
          <w:rFonts w:ascii="Arial" w:eastAsia="Times" w:hAnsi="Arial"/>
          <w:sz w:val="18"/>
          <w:szCs w:val="18"/>
        </w:rPr>
        <w:t>http://dx.doi.org/10.1016/j.nedt.2016.07.001</w:t>
      </w:r>
    </w:p>
  </w:endnote>
  <w:endnote w:id="9">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Pr>
          <w:rFonts w:ascii="Arial" w:hAnsi="Arial" w:cs="Arial"/>
          <w:sz w:val="18"/>
          <w:szCs w:val="18"/>
        </w:rPr>
        <w:t>Mallory</w:t>
      </w:r>
      <w:r w:rsidR="00A51D41">
        <w:rPr>
          <w:rFonts w:ascii="Arial" w:hAnsi="Arial" w:cs="Arial"/>
          <w:sz w:val="18"/>
          <w:szCs w:val="18"/>
        </w:rPr>
        <w:t xml:space="preserve"> C. &amp;</w:t>
      </w:r>
      <w:r>
        <w:rPr>
          <w:rFonts w:ascii="Arial" w:hAnsi="Arial" w:cs="Arial"/>
          <w:sz w:val="18"/>
          <w:szCs w:val="18"/>
        </w:rPr>
        <w:t xml:space="preserve"> </w:t>
      </w:r>
      <w:proofErr w:type="spellStart"/>
      <w:r>
        <w:rPr>
          <w:rFonts w:ascii="Arial" w:hAnsi="Arial" w:cs="Arial"/>
          <w:sz w:val="18"/>
          <w:szCs w:val="18"/>
        </w:rPr>
        <w:t>Franqueiro</w:t>
      </w:r>
      <w:proofErr w:type="spellEnd"/>
      <w:r w:rsidR="0054136F">
        <w:rPr>
          <w:rFonts w:ascii="Arial" w:hAnsi="Arial" w:cs="Arial"/>
          <w:sz w:val="18"/>
          <w:szCs w:val="18"/>
        </w:rPr>
        <w:t xml:space="preserve"> T.</w:t>
      </w:r>
      <w:r>
        <w:rPr>
          <w:rFonts w:ascii="Arial" w:hAnsi="Arial" w:cs="Arial"/>
          <w:sz w:val="18"/>
          <w:szCs w:val="18"/>
        </w:rPr>
        <w:t xml:space="preserve"> 2017,</w:t>
      </w:r>
      <w:r w:rsidRPr="00B933E7">
        <w:rPr>
          <w:rFonts w:ascii="Arial" w:hAnsi="Arial" w:cs="Arial"/>
          <w:sz w:val="18"/>
          <w:szCs w:val="18"/>
        </w:rPr>
        <w:t xml:space="preserve"> </w:t>
      </w:r>
      <w:r>
        <w:rPr>
          <w:rFonts w:ascii="Arial" w:hAnsi="Arial" w:cs="Arial"/>
          <w:sz w:val="18"/>
          <w:szCs w:val="18"/>
        </w:rPr>
        <w:t>‘</w:t>
      </w:r>
      <w:r w:rsidRPr="00120C67">
        <w:rPr>
          <w:rFonts w:ascii="Arial" w:hAnsi="Arial" w:cs="Arial"/>
          <w:sz w:val="18"/>
          <w:szCs w:val="18"/>
        </w:rPr>
        <w:t>Attributes of Effective Transition to Practice Program Leaders</w:t>
      </w:r>
      <w:r>
        <w:rPr>
          <w:rFonts w:ascii="Arial" w:hAnsi="Arial" w:cs="Arial"/>
          <w:sz w:val="18"/>
          <w:szCs w:val="18"/>
        </w:rPr>
        <w:t>’</w:t>
      </w:r>
      <w:r w:rsidRPr="00120C67">
        <w:rPr>
          <w:rFonts w:ascii="Arial" w:hAnsi="Arial" w:cs="Arial"/>
          <w:sz w:val="18"/>
          <w:szCs w:val="18"/>
        </w:rPr>
        <w:t xml:space="preserve">, </w:t>
      </w:r>
      <w:r w:rsidRPr="00120C67">
        <w:rPr>
          <w:rFonts w:ascii="Arial" w:hAnsi="Arial" w:cs="Arial"/>
          <w:i/>
          <w:sz w:val="18"/>
          <w:szCs w:val="18"/>
        </w:rPr>
        <w:t>The Journal of Continuing Education in Nursing</w:t>
      </w:r>
      <w:r>
        <w:rPr>
          <w:rFonts w:ascii="Arial" w:hAnsi="Arial" w:cs="Arial"/>
          <w:sz w:val="18"/>
          <w:szCs w:val="18"/>
        </w:rPr>
        <w:t xml:space="preserve">, </w:t>
      </w:r>
      <w:r w:rsidRPr="00B933E7">
        <w:rPr>
          <w:rFonts w:ascii="Arial" w:hAnsi="Arial" w:cs="Arial"/>
          <w:sz w:val="18"/>
          <w:szCs w:val="18"/>
        </w:rPr>
        <w:t>Vol</w:t>
      </w:r>
      <w:r>
        <w:rPr>
          <w:rFonts w:ascii="Arial" w:hAnsi="Arial" w:cs="Arial"/>
          <w:sz w:val="18"/>
          <w:szCs w:val="18"/>
        </w:rPr>
        <w:t>ume</w:t>
      </w:r>
      <w:r w:rsidRPr="00B933E7">
        <w:rPr>
          <w:rFonts w:ascii="Arial" w:hAnsi="Arial" w:cs="Arial"/>
          <w:sz w:val="18"/>
          <w:szCs w:val="18"/>
        </w:rPr>
        <w:t xml:space="preserve"> 48, No 2,</w:t>
      </w:r>
      <w:r>
        <w:rPr>
          <w:rFonts w:ascii="Arial" w:hAnsi="Arial" w:cs="Arial"/>
          <w:sz w:val="18"/>
          <w:szCs w:val="18"/>
        </w:rPr>
        <w:t xml:space="preserve"> Pages 57-59,</w:t>
      </w:r>
      <w:r w:rsidRPr="00B933E7">
        <w:rPr>
          <w:rFonts w:ascii="Arial" w:hAnsi="Arial" w:cs="Arial"/>
          <w:sz w:val="18"/>
          <w:szCs w:val="18"/>
        </w:rPr>
        <w:t xml:space="preserve"> </w:t>
      </w:r>
      <w:hyperlink r:id="rId8" w:history="1">
        <w:r w:rsidRPr="00E40D9C">
          <w:rPr>
            <w:rStyle w:val="Hyperlink"/>
            <w:rFonts w:ascii="Arial" w:hAnsi="Arial" w:cs="Arial"/>
            <w:sz w:val="18"/>
            <w:szCs w:val="18"/>
          </w:rPr>
          <w:t>https://doi.org/10.3928/00220124-20170119-03</w:t>
        </w:r>
      </w:hyperlink>
      <w:r>
        <w:rPr>
          <w:rFonts w:ascii="Arial" w:hAnsi="Arial" w:cs="Arial"/>
          <w:sz w:val="18"/>
          <w:szCs w:val="18"/>
        </w:rPr>
        <w:t xml:space="preserve"> </w:t>
      </w:r>
    </w:p>
  </w:endnote>
  <w:endnote w:id="10">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Irwi</w:t>
      </w:r>
      <w:r>
        <w:rPr>
          <w:rFonts w:ascii="Arial" w:hAnsi="Arial" w:cs="Arial"/>
          <w:sz w:val="18"/>
          <w:szCs w:val="18"/>
        </w:rPr>
        <w:t>na</w:t>
      </w:r>
      <w:r w:rsidR="00EE0311">
        <w:rPr>
          <w:rFonts w:ascii="Arial" w:hAnsi="Arial" w:cs="Arial"/>
          <w:sz w:val="18"/>
          <w:szCs w:val="18"/>
        </w:rPr>
        <w:t xml:space="preserve"> C., </w:t>
      </w:r>
      <w:proofErr w:type="spellStart"/>
      <w:r>
        <w:rPr>
          <w:rFonts w:ascii="Arial" w:hAnsi="Arial" w:cs="Arial"/>
          <w:sz w:val="18"/>
          <w:szCs w:val="18"/>
        </w:rPr>
        <w:t>Blissb</w:t>
      </w:r>
      <w:proofErr w:type="spellEnd"/>
      <w:r w:rsidR="00EE0311">
        <w:rPr>
          <w:rFonts w:ascii="Arial" w:hAnsi="Arial" w:cs="Arial"/>
          <w:sz w:val="18"/>
          <w:szCs w:val="18"/>
        </w:rPr>
        <w:t xml:space="preserve"> J.</w:t>
      </w:r>
      <w:r w:rsidR="00A51D41">
        <w:rPr>
          <w:rFonts w:ascii="Arial" w:hAnsi="Arial" w:cs="Arial"/>
          <w:sz w:val="18"/>
          <w:szCs w:val="18"/>
        </w:rPr>
        <w:t xml:space="preserve"> &amp;</w:t>
      </w:r>
      <w:r w:rsidR="00EE0311">
        <w:rPr>
          <w:rFonts w:ascii="Arial" w:hAnsi="Arial" w:cs="Arial"/>
          <w:sz w:val="18"/>
          <w:szCs w:val="18"/>
        </w:rPr>
        <w:t xml:space="preserve"> </w:t>
      </w:r>
      <w:proofErr w:type="spellStart"/>
      <w:r>
        <w:rPr>
          <w:rFonts w:ascii="Arial" w:hAnsi="Arial" w:cs="Arial"/>
          <w:sz w:val="18"/>
          <w:szCs w:val="18"/>
        </w:rPr>
        <w:t>Poolec</w:t>
      </w:r>
      <w:proofErr w:type="spellEnd"/>
      <w:r w:rsidR="00EE0311">
        <w:rPr>
          <w:rFonts w:ascii="Arial" w:hAnsi="Arial" w:cs="Arial"/>
          <w:sz w:val="18"/>
          <w:szCs w:val="18"/>
        </w:rPr>
        <w:t xml:space="preserve"> K.</w:t>
      </w:r>
      <w:r>
        <w:rPr>
          <w:rFonts w:ascii="Arial" w:hAnsi="Arial" w:cs="Arial"/>
          <w:sz w:val="18"/>
          <w:szCs w:val="18"/>
        </w:rPr>
        <w:t xml:space="preserve"> 2018,</w:t>
      </w:r>
      <w:r w:rsidRPr="00B933E7">
        <w:rPr>
          <w:rFonts w:ascii="Arial" w:hAnsi="Arial" w:cs="Arial"/>
          <w:sz w:val="18"/>
          <w:szCs w:val="18"/>
        </w:rPr>
        <w:t xml:space="preserve"> </w:t>
      </w:r>
      <w:r>
        <w:rPr>
          <w:rFonts w:ascii="Arial" w:hAnsi="Arial" w:cs="Arial"/>
          <w:sz w:val="18"/>
          <w:szCs w:val="18"/>
        </w:rPr>
        <w:t>‘</w:t>
      </w:r>
      <w:r w:rsidRPr="009E0276">
        <w:rPr>
          <w:rFonts w:ascii="Arial" w:hAnsi="Arial" w:cs="Arial"/>
          <w:sz w:val="18"/>
          <w:szCs w:val="18"/>
        </w:rPr>
        <w:t>Does Preceptorship improve confidence and competence in Newly Qualified Nurses: A systematic literature review</w:t>
      </w:r>
      <w:r>
        <w:rPr>
          <w:rFonts w:ascii="Arial" w:hAnsi="Arial" w:cs="Arial"/>
          <w:sz w:val="18"/>
          <w:szCs w:val="18"/>
        </w:rPr>
        <w:t>’</w:t>
      </w:r>
      <w:r w:rsidRPr="009E0276">
        <w:rPr>
          <w:rFonts w:ascii="Arial" w:hAnsi="Arial" w:cs="Arial"/>
          <w:sz w:val="18"/>
          <w:szCs w:val="18"/>
        </w:rPr>
        <w:t xml:space="preserve">, </w:t>
      </w:r>
      <w:r w:rsidRPr="009E0276">
        <w:rPr>
          <w:rFonts w:ascii="Arial" w:hAnsi="Arial" w:cs="Arial"/>
          <w:i/>
          <w:sz w:val="18"/>
          <w:szCs w:val="18"/>
        </w:rPr>
        <w:t>Nurse Education Today</w:t>
      </w:r>
      <w:r w:rsidRPr="00B933E7">
        <w:rPr>
          <w:rFonts w:ascii="Arial" w:hAnsi="Arial" w:cs="Arial"/>
          <w:sz w:val="18"/>
          <w:szCs w:val="18"/>
        </w:rPr>
        <w:t xml:space="preserve">, </w:t>
      </w:r>
      <w:r>
        <w:rPr>
          <w:rFonts w:ascii="Arial" w:hAnsi="Arial" w:cs="Arial"/>
          <w:sz w:val="18"/>
          <w:szCs w:val="18"/>
        </w:rPr>
        <w:t xml:space="preserve">Volume 60, Pages 35-46, </w:t>
      </w:r>
      <w:hyperlink r:id="rId9" w:history="1">
        <w:r w:rsidRPr="00B933E7">
          <w:rPr>
            <w:rStyle w:val="Hyperlink"/>
            <w:rFonts w:ascii="Arial" w:hAnsi="Arial" w:cs="Arial"/>
            <w:sz w:val="18"/>
            <w:szCs w:val="18"/>
          </w:rPr>
          <w:t>http://dx.doi.org/10.1016/j.nedt.2017.09.011</w:t>
        </w:r>
      </w:hyperlink>
    </w:p>
  </w:endnote>
  <w:endnote w:id="11">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proofErr w:type="spellStart"/>
      <w:r w:rsidRPr="00B933E7">
        <w:rPr>
          <w:rFonts w:ascii="Arial" w:hAnsi="Arial" w:cs="Arial"/>
          <w:sz w:val="18"/>
          <w:szCs w:val="18"/>
        </w:rPr>
        <w:t>Ketelaar</w:t>
      </w:r>
      <w:proofErr w:type="spellEnd"/>
      <w:r w:rsidR="00EE0311">
        <w:rPr>
          <w:rFonts w:ascii="Arial" w:hAnsi="Arial" w:cs="Arial"/>
          <w:sz w:val="18"/>
          <w:szCs w:val="18"/>
        </w:rPr>
        <w:t xml:space="preserve"> S. M.</w:t>
      </w:r>
      <w:r w:rsidR="00A51D41">
        <w:rPr>
          <w:rFonts w:ascii="Arial" w:hAnsi="Arial" w:cs="Arial"/>
          <w:sz w:val="18"/>
          <w:szCs w:val="18"/>
        </w:rPr>
        <w:t xml:space="preserve"> &amp;</w:t>
      </w:r>
      <w:r w:rsidR="00EE0311">
        <w:rPr>
          <w:rFonts w:ascii="Arial" w:hAnsi="Arial" w:cs="Arial"/>
          <w:sz w:val="18"/>
          <w:szCs w:val="18"/>
        </w:rPr>
        <w:t xml:space="preserve"> </w:t>
      </w:r>
      <w:proofErr w:type="spellStart"/>
      <w:r w:rsidRPr="00B933E7">
        <w:rPr>
          <w:rFonts w:ascii="Arial" w:hAnsi="Arial" w:cs="Arial"/>
          <w:sz w:val="18"/>
          <w:szCs w:val="18"/>
        </w:rPr>
        <w:t>Nieuwenhuijsen</w:t>
      </w:r>
      <w:proofErr w:type="spellEnd"/>
      <w:r w:rsidR="00EE0311">
        <w:rPr>
          <w:rFonts w:ascii="Arial" w:hAnsi="Arial" w:cs="Arial"/>
          <w:sz w:val="18"/>
          <w:szCs w:val="18"/>
        </w:rPr>
        <w:t xml:space="preserve"> K.</w:t>
      </w:r>
      <w:r w:rsidRPr="00B933E7">
        <w:rPr>
          <w:rFonts w:ascii="Arial" w:hAnsi="Arial" w:cs="Arial"/>
          <w:sz w:val="18"/>
          <w:szCs w:val="18"/>
        </w:rPr>
        <w:t>, Monique H. W. Frings</w:t>
      </w:r>
      <w:r w:rsidRPr="00B933E7">
        <w:rPr>
          <w:rFonts w:ascii="Cambria Math" w:hAnsi="Cambria Math" w:cs="Cambria Math"/>
          <w:sz w:val="18"/>
          <w:szCs w:val="18"/>
        </w:rPr>
        <w:t>‑</w:t>
      </w:r>
      <w:proofErr w:type="spellStart"/>
      <w:r>
        <w:rPr>
          <w:rFonts w:ascii="Arial" w:hAnsi="Arial" w:cs="Arial"/>
          <w:sz w:val="18"/>
          <w:szCs w:val="18"/>
        </w:rPr>
        <w:t>Dresen</w:t>
      </w:r>
      <w:proofErr w:type="spellEnd"/>
      <w:r>
        <w:rPr>
          <w:rFonts w:ascii="Arial" w:hAnsi="Arial" w:cs="Arial"/>
          <w:sz w:val="18"/>
          <w:szCs w:val="18"/>
        </w:rPr>
        <w:t xml:space="preserve">, Judith K. </w:t>
      </w:r>
      <w:proofErr w:type="spellStart"/>
      <w:r>
        <w:rPr>
          <w:rFonts w:ascii="Arial" w:hAnsi="Arial" w:cs="Arial"/>
          <w:sz w:val="18"/>
          <w:szCs w:val="18"/>
        </w:rPr>
        <w:t>Sluiter</w:t>
      </w:r>
      <w:proofErr w:type="spellEnd"/>
      <w:r>
        <w:rPr>
          <w:rFonts w:ascii="Arial" w:hAnsi="Arial" w:cs="Arial"/>
          <w:sz w:val="18"/>
          <w:szCs w:val="18"/>
        </w:rPr>
        <w:t xml:space="preserve"> 2015,</w:t>
      </w:r>
      <w:r w:rsidRPr="00B933E7">
        <w:rPr>
          <w:rFonts w:ascii="Arial" w:hAnsi="Arial" w:cs="Arial"/>
          <w:sz w:val="18"/>
          <w:szCs w:val="18"/>
        </w:rPr>
        <w:t xml:space="preserve"> </w:t>
      </w:r>
      <w:r>
        <w:rPr>
          <w:rFonts w:ascii="Arial" w:hAnsi="Arial" w:cs="Arial"/>
          <w:sz w:val="18"/>
          <w:szCs w:val="18"/>
        </w:rPr>
        <w:t>‘</w:t>
      </w:r>
      <w:r w:rsidRPr="003169E4">
        <w:rPr>
          <w:rFonts w:ascii="Arial" w:hAnsi="Arial" w:cs="Arial"/>
          <w:sz w:val="18"/>
          <w:szCs w:val="18"/>
        </w:rPr>
        <w:t>Exploring novice nurses’ needs regarding their work</w:t>
      </w:r>
      <w:r w:rsidRPr="003169E4">
        <w:rPr>
          <w:rFonts w:ascii="Cambria Math" w:hAnsi="Cambria Math" w:cs="Cambria Math"/>
          <w:sz w:val="18"/>
          <w:szCs w:val="18"/>
        </w:rPr>
        <w:t>‑</w:t>
      </w:r>
      <w:r w:rsidRPr="003169E4">
        <w:rPr>
          <w:rFonts w:ascii="Arial" w:hAnsi="Arial" w:cs="Arial"/>
          <w:sz w:val="18"/>
          <w:szCs w:val="18"/>
        </w:rPr>
        <w:t>related health: a qualitative study</w:t>
      </w:r>
      <w:r>
        <w:rPr>
          <w:rFonts w:ascii="Arial" w:hAnsi="Arial" w:cs="Arial"/>
          <w:sz w:val="18"/>
          <w:szCs w:val="18"/>
        </w:rPr>
        <w:t>’</w:t>
      </w:r>
      <w:r w:rsidRPr="00B933E7">
        <w:rPr>
          <w:rFonts w:ascii="Arial" w:hAnsi="Arial" w:cs="Arial"/>
          <w:sz w:val="18"/>
          <w:szCs w:val="18"/>
        </w:rPr>
        <w:t xml:space="preserve">, </w:t>
      </w:r>
      <w:r w:rsidRPr="003169E4">
        <w:rPr>
          <w:rFonts w:ascii="Arial" w:hAnsi="Arial" w:cs="Arial"/>
          <w:i/>
          <w:sz w:val="18"/>
          <w:szCs w:val="18"/>
        </w:rPr>
        <w:t>International Archives of Occupational and Environmental Health</w:t>
      </w:r>
      <w:r>
        <w:rPr>
          <w:rFonts w:ascii="Arial" w:hAnsi="Arial" w:cs="Arial"/>
          <w:sz w:val="18"/>
          <w:szCs w:val="18"/>
        </w:rPr>
        <w:t xml:space="preserve">, Volume 88, Issue 7, Pages </w:t>
      </w:r>
      <w:r w:rsidRPr="00B933E7">
        <w:rPr>
          <w:rFonts w:ascii="Arial" w:hAnsi="Arial" w:cs="Arial"/>
          <w:sz w:val="18"/>
          <w:szCs w:val="18"/>
        </w:rPr>
        <w:t xml:space="preserve">953–962, </w:t>
      </w:r>
      <w:r w:rsidR="008B7BE0" w:rsidRPr="008B7BE0">
        <w:rPr>
          <w:rStyle w:val="Hyperlink"/>
          <w:rFonts w:ascii="Arial" w:hAnsi="Arial" w:cs="Arial"/>
          <w:sz w:val="18"/>
          <w:szCs w:val="18"/>
        </w:rPr>
        <w:t>https://doi.org/10.1007/s00420-015-1022-5</w:t>
      </w:r>
    </w:p>
  </w:endnote>
  <w:endnote w:id="12">
    <w:p w:rsidR="004B0D68" w:rsidRPr="00B933E7" w:rsidRDefault="004B0D68" w:rsidP="00B57CF3">
      <w:pPr>
        <w:pStyle w:val="EndnoteText"/>
        <w:spacing w:before="60"/>
        <w:rPr>
          <w:rFonts w:ascii="Arial" w:hAnsi="Arial" w:cs="Arial"/>
          <w:sz w:val="18"/>
          <w:szCs w:val="18"/>
        </w:rPr>
      </w:pPr>
      <w:r w:rsidRPr="00B933E7">
        <w:rPr>
          <w:rStyle w:val="EndnoteReference"/>
          <w:rFonts w:cs="Arial"/>
          <w:sz w:val="18"/>
          <w:szCs w:val="18"/>
        </w:rPr>
        <w:endnoteRef/>
      </w:r>
      <w:r w:rsidRPr="00B933E7">
        <w:rPr>
          <w:rFonts w:ascii="Arial" w:hAnsi="Arial" w:cs="Arial"/>
          <w:sz w:val="18"/>
          <w:szCs w:val="18"/>
        </w:rPr>
        <w:t xml:space="preserve"> </w:t>
      </w:r>
      <w:proofErr w:type="spellStart"/>
      <w:r w:rsidRPr="00B933E7">
        <w:rPr>
          <w:rFonts w:ascii="Arial" w:hAnsi="Arial" w:cs="Arial"/>
          <w:sz w:val="18"/>
          <w:szCs w:val="18"/>
        </w:rPr>
        <w:t>Ankers</w:t>
      </w:r>
      <w:proofErr w:type="spellEnd"/>
      <w:r w:rsidRPr="00B933E7">
        <w:rPr>
          <w:rFonts w:ascii="Arial" w:hAnsi="Arial" w:cs="Arial"/>
          <w:sz w:val="18"/>
          <w:szCs w:val="18"/>
        </w:rPr>
        <w:t>, M. D., et al.</w:t>
      </w:r>
      <w:r>
        <w:rPr>
          <w:rFonts w:ascii="Arial" w:hAnsi="Arial" w:cs="Arial"/>
          <w:sz w:val="18"/>
          <w:szCs w:val="18"/>
        </w:rPr>
        <w:t xml:space="preserve"> 2017, ‘</w:t>
      </w:r>
      <w:r w:rsidRPr="00B933E7">
        <w:rPr>
          <w:rFonts w:ascii="Arial" w:hAnsi="Arial" w:cs="Arial"/>
          <w:sz w:val="18"/>
          <w:szCs w:val="18"/>
        </w:rPr>
        <w:t>A phenomenological exploration of graduate nurse transition to professional</w:t>
      </w:r>
    </w:p>
    <w:p w:rsidR="004B0D68" w:rsidRPr="00B933E7" w:rsidRDefault="004B0D68" w:rsidP="00B57CF3">
      <w:pPr>
        <w:pStyle w:val="EndnoteText"/>
        <w:spacing w:after="60"/>
        <w:rPr>
          <w:rFonts w:ascii="Arial" w:hAnsi="Arial" w:cs="Arial"/>
          <w:sz w:val="18"/>
          <w:szCs w:val="18"/>
        </w:rPr>
      </w:pPr>
      <w:r w:rsidRPr="00B933E7">
        <w:rPr>
          <w:rFonts w:ascii="Arial" w:hAnsi="Arial" w:cs="Arial"/>
          <w:sz w:val="18"/>
          <w:szCs w:val="18"/>
        </w:rPr>
        <w:t>practice within a</w:t>
      </w:r>
      <w:r>
        <w:rPr>
          <w:rFonts w:ascii="Arial" w:hAnsi="Arial" w:cs="Arial"/>
          <w:sz w:val="18"/>
          <w:szCs w:val="18"/>
        </w:rPr>
        <w:t xml:space="preserve"> transition to practice program’,</w:t>
      </w:r>
      <w:r w:rsidRPr="00B933E7">
        <w:rPr>
          <w:rFonts w:ascii="Arial" w:hAnsi="Arial" w:cs="Arial"/>
          <w:sz w:val="18"/>
          <w:szCs w:val="18"/>
        </w:rPr>
        <w:t xml:space="preserve"> </w:t>
      </w:r>
      <w:r w:rsidRPr="002A65E6">
        <w:rPr>
          <w:rFonts w:ascii="Arial" w:hAnsi="Arial" w:cs="Arial"/>
          <w:i/>
          <w:sz w:val="18"/>
          <w:szCs w:val="18"/>
        </w:rPr>
        <w:t>Collegian</w:t>
      </w:r>
      <w:r w:rsidRPr="00B933E7">
        <w:rPr>
          <w:rFonts w:ascii="Arial" w:hAnsi="Arial" w:cs="Arial"/>
          <w:sz w:val="18"/>
          <w:szCs w:val="18"/>
        </w:rPr>
        <w:t>,</w:t>
      </w:r>
      <w:r w:rsidRPr="002A65E6">
        <w:t xml:space="preserve"> </w:t>
      </w:r>
      <w:r w:rsidRPr="002A65E6">
        <w:rPr>
          <w:rFonts w:ascii="Arial" w:hAnsi="Arial" w:cs="Arial"/>
          <w:sz w:val="18"/>
          <w:szCs w:val="18"/>
        </w:rPr>
        <w:t>Volume 25, Issue 3, Pages 319–325</w:t>
      </w:r>
      <w:r>
        <w:rPr>
          <w:rFonts w:ascii="Arial" w:hAnsi="Arial" w:cs="Arial"/>
          <w:sz w:val="18"/>
          <w:szCs w:val="18"/>
        </w:rPr>
        <w:t>,</w:t>
      </w:r>
      <w:r w:rsidRPr="00B933E7">
        <w:rPr>
          <w:rFonts w:ascii="Arial" w:hAnsi="Arial" w:cs="Arial"/>
          <w:sz w:val="18"/>
          <w:szCs w:val="18"/>
        </w:rPr>
        <w:t xml:space="preserve"> </w:t>
      </w:r>
      <w:hyperlink r:id="rId10" w:history="1">
        <w:r w:rsidRPr="00B933E7">
          <w:rPr>
            <w:rStyle w:val="Hyperlink"/>
            <w:rFonts w:ascii="Arial" w:hAnsi="Arial" w:cs="Arial"/>
            <w:sz w:val="18"/>
            <w:szCs w:val="18"/>
          </w:rPr>
          <w:t>http://dx.doi.org/10.1016/j.colegn.2017.09.002</w:t>
        </w:r>
      </w:hyperlink>
      <w:r w:rsidRPr="00B933E7">
        <w:rPr>
          <w:rFonts w:ascii="Arial" w:hAnsi="Arial" w:cs="Arial"/>
          <w:sz w:val="18"/>
          <w:szCs w:val="18"/>
        </w:rPr>
        <w:t xml:space="preserve"> </w:t>
      </w:r>
    </w:p>
  </w:endnote>
  <w:endnote w:id="13">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008B7BE0">
        <w:rPr>
          <w:rFonts w:ascii="Arial" w:hAnsi="Arial" w:cs="Arial"/>
          <w:sz w:val="18"/>
          <w:szCs w:val="18"/>
        </w:rPr>
        <w:t>Hussein et al. 2017,</w:t>
      </w:r>
      <w:r w:rsidRPr="00B933E7">
        <w:rPr>
          <w:rFonts w:ascii="Arial" w:hAnsi="Arial" w:cs="Arial"/>
          <w:sz w:val="18"/>
          <w:szCs w:val="18"/>
        </w:rPr>
        <w:t xml:space="preserve"> </w:t>
      </w:r>
      <w:r w:rsidR="008B7BE0">
        <w:rPr>
          <w:rFonts w:ascii="Arial" w:hAnsi="Arial" w:cs="Arial"/>
          <w:sz w:val="18"/>
          <w:szCs w:val="18"/>
        </w:rPr>
        <w:t>‘</w:t>
      </w:r>
      <w:r w:rsidRPr="008B7BE0">
        <w:rPr>
          <w:rFonts w:ascii="Arial" w:hAnsi="Arial" w:cs="Arial"/>
          <w:sz w:val="18"/>
          <w:szCs w:val="18"/>
        </w:rPr>
        <w:t>New graduate nurses’ experiences in a clinical specialty: a follow up study of newcomer perceptions of transitional support</w:t>
      </w:r>
      <w:r w:rsidR="008B7BE0">
        <w:rPr>
          <w:rFonts w:ascii="Arial" w:hAnsi="Arial" w:cs="Arial"/>
          <w:sz w:val="18"/>
          <w:szCs w:val="18"/>
        </w:rPr>
        <w:t>’</w:t>
      </w:r>
      <w:r>
        <w:rPr>
          <w:rFonts w:ascii="Arial" w:hAnsi="Arial" w:cs="Arial"/>
          <w:sz w:val="18"/>
          <w:szCs w:val="18"/>
        </w:rPr>
        <w:t>,</w:t>
      </w:r>
      <w:r w:rsidRPr="00B933E7">
        <w:rPr>
          <w:rFonts w:ascii="Arial" w:hAnsi="Arial" w:cs="Arial"/>
          <w:sz w:val="18"/>
          <w:szCs w:val="18"/>
        </w:rPr>
        <w:t xml:space="preserve"> </w:t>
      </w:r>
      <w:r w:rsidRPr="008B7BE0">
        <w:rPr>
          <w:rFonts w:ascii="Arial" w:hAnsi="Arial" w:cs="Arial"/>
          <w:i/>
          <w:sz w:val="18"/>
          <w:szCs w:val="18"/>
        </w:rPr>
        <w:t>BMC Nursing</w:t>
      </w:r>
      <w:r w:rsidRPr="00B933E7">
        <w:rPr>
          <w:rFonts w:ascii="Arial" w:hAnsi="Arial" w:cs="Arial"/>
          <w:sz w:val="18"/>
          <w:szCs w:val="18"/>
        </w:rPr>
        <w:t>,</w:t>
      </w:r>
      <w:r w:rsidR="008B7BE0" w:rsidRPr="008B7BE0">
        <w:t xml:space="preserve"> </w:t>
      </w:r>
      <w:r w:rsidR="008B7BE0" w:rsidRPr="008B7BE0">
        <w:rPr>
          <w:rFonts w:ascii="Arial" w:hAnsi="Arial" w:cs="Arial"/>
          <w:sz w:val="18"/>
          <w:szCs w:val="18"/>
        </w:rPr>
        <w:t>Volume 16, Number 1, Page</w:t>
      </w:r>
      <w:r w:rsidR="008B7BE0">
        <w:rPr>
          <w:rFonts w:ascii="Arial" w:hAnsi="Arial" w:cs="Arial"/>
          <w:sz w:val="18"/>
          <w:szCs w:val="18"/>
        </w:rPr>
        <w:t>s</w:t>
      </w:r>
      <w:r w:rsidR="008B7BE0" w:rsidRPr="008B7BE0">
        <w:rPr>
          <w:rFonts w:ascii="Arial" w:hAnsi="Arial" w:cs="Arial"/>
          <w:sz w:val="18"/>
          <w:szCs w:val="18"/>
        </w:rPr>
        <w:t xml:space="preserve"> 1</w:t>
      </w:r>
      <w:r w:rsidR="008B7BE0">
        <w:rPr>
          <w:rFonts w:ascii="Arial" w:hAnsi="Arial" w:cs="Arial"/>
          <w:sz w:val="18"/>
          <w:szCs w:val="18"/>
        </w:rPr>
        <w:t>-9,</w:t>
      </w:r>
      <w:r w:rsidRPr="00B933E7">
        <w:rPr>
          <w:rFonts w:ascii="Arial" w:hAnsi="Arial" w:cs="Arial"/>
          <w:sz w:val="18"/>
          <w:szCs w:val="18"/>
        </w:rPr>
        <w:t xml:space="preserve"> </w:t>
      </w:r>
      <w:hyperlink r:id="rId11" w:tgtFrame="_blank" w:history="1">
        <w:r w:rsidR="008B7BE0" w:rsidRPr="008B7BE0">
          <w:rPr>
            <w:rStyle w:val="Hyperlink"/>
            <w:rFonts w:ascii="Arial" w:hAnsi="Arial" w:cs="Arial"/>
            <w:sz w:val="18"/>
            <w:szCs w:val="18"/>
          </w:rPr>
          <w:t>https://doi.org/10.1186/s12912-017-0236-0</w:t>
        </w:r>
      </w:hyperlink>
    </w:p>
  </w:endnote>
  <w:endnote w:id="14">
    <w:p w:rsidR="004B0D68" w:rsidRPr="00923FA3" w:rsidRDefault="004B0D68" w:rsidP="00923FA3">
      <w:pPr>
        <w:pStyle w:val="EndnoteText"/>
        <w:spacing w:before="60" w:after="60"/>
        <w:rPr>
          <w:rFonts w:ascii="Arial" w:hAnsi="Arial" w:cs="Arial"/>
        </w:rPr>
      </w:pPr>
      <w:r>
        <w:rPr>
          <w:rStyle w:val="EndnoteReference"/>
        </w:rPr>
        <w:endnoteRef/>
      </w:r>
      <w:r>
        <w:t xml:space="preserve"> </w:t>
      </w:r>
      <w:r w:rsidR="001E572C" w:rsidRPr="00B933E7">
        <w:rPr>
          <w:rFonts w:ascii="Arial" w:hAnsi="Arial" w:cs="Arial"/>
          <w:sz w:val="18"/>
          <w:szCs w:val="18"/>
        </w:rPr>
        <w:t>Nursing and Midwifery Board of Australia</w:t>
      </w:r>
      <w:r w:rsidR="001E572C">
        <w:rPr>
          <w:rFonts w:ascii="Arial" w:hAnsi="Arial" w:cs="Arial"/>
          <w:sz w:val="18"/>
          <w:szCs w:val="18"/>
        </w:rPr>
        <w:t xml:space="preserve"> 2018,</w:t>
      </w:r>
      <w:r w:rsidR="001E572C" w:rsidRPr="00B933E7">
        <w:rPr>
          <w:rFonts w:ascii="Arial" w:hAnsi="Arial" w:cs="Arial"/>
          <w:i/>
          <w:sz w:val="18"/>
          <w:szCs w:val="18"/>
        </w:rPr>
        <w:t xml:space="preserve"> </w:t>
      </w:r>
      <w:r w:rsidRPr="00B933E7">
        <w:rPr>
          <w:rFonts w:ascii="Arial" w:hAnsi="Arial" w:cs="Arial"/>
          <w:i/>
          <w:sz w:val="18"/>
          <w:szCs w:val="18"/>
        </w:rPr>
        <w:t>Code of conduct for nurses</w:t>
      </w:r>
      <w:r w:rsidR="001E572C">
        <w:rPr>
          <w:rFonts w:ascii="Arial" w:hAnsi="Arial" w:cs="Arial"/>
          <w:sz w:val="18"/>
          <w:szCs w:val="18"/>
        </w:rPr>
        <w:t>, viewed 12 July 2018,</w:t>
      </w:r>
      <w:r w:rsidRPr="00B933E7">
        <w:rPr>
          <w:rFonts w:ascii="Arial" w:hAnsi="Arial" w:cs="Arial"/>
          <w:sz w:val="18"/>
          <w:szCs w:val="18"/>
        </w:rPr>
        <w:t xml:space="preserve"> </w:t>
      </w:r>
      <w:r w:rsidR="001E572C" w:rsidRPr="00F40AED">
        <w:rPr>
          <w:rStyle w:val="Hyperlink"/>
          <w:rFonts w:ascii="Arial" w:hAnsi="Arial" w:cs="Arial"/>
          <w:sz w:val="18"/>
          <w:szCs w:val="18"/>
        </w:rPr>
        <w:t>&lt;</w:t>
      </w:r>
      <w:hyperlink r:id="rId12" w:history="1">
        <w:r w:rsidRPr="00B933E7">
          <w:rPr>
            <w:rStyle w:val="Hyperlink"/>
            <w:rFonts w:ascii="Arial" w:hAnsi="Arial" w:cs="Arial"/>
            <w:sz w:val="18"/>
            <w:szCs w:val="18"/>
          </w:rPr>
          <w:t>http://www.nursingmidwiferyboard.gov.au/Codes-Guidelines-Statements/Professional-standards.aspx</w:t>
        </w:r>
      </w:hyperlink>
      <w:r w:rsidR="001E572C">
        <w:rPr>
          <w:rStyle w:val="Hyperlink"/>
          <w:rFonts w:ascii="Arial" w:hAnsi="Arial" w:cs="Arial"/>
          <w:sz w:val="18"/>
          <w:szCs w:val="18"/>
        </w:rPr>
        <w:t>&gt;</w:t>
      </w:r>
    </w:p>
  </w:endnote>
  <w:endnote w:id="15">
    <w:p w:rsidR="004B0D68" w:rsidRDefault="004B0D68">
      <w:pPr>
        <w:pStyle w:val="EndnoteText"/>
      </w:pPr>
      <w:r>
        <w:rPr>
          <w:rStyle w:val="EndnoteReference"/>
        </w:rPr>
        <w:endnoteRef/>
      </w:r>
      <w:r>
        <w:t xml:space="preserve"> </w:t>
      </w:r>
      <w:r w:rsidR="001E572C" w:rsidRPr="00B933E7">
        <w:rPr>
          <w:rFonts w:ascii="Arial" w:hAnsi="Arial" w:cs="Arial"/>
          <w:sz w:val="18"/>
          <w:szCs w:val="18"/>
        </w:rPr>
        <w:t>Nursing and Midwifery Board of Australia</w:t>
      </w:r>
      <w:r w:rsidR="001E572C">
        <w:rPr>
          <w:rFonts w:ascii="Arial" w:hAnsi="Arial" w:cs="Arial"/>
          <w:sz w:val="18"/>
          <w:szCs w:val="18"/>
        </w:rPr>
        <w:t xml:space="preserve"> 2018,</w:t>
      </w:r>
      <w:r w:rsidR="001E572C" w:rsidRPr="00B933E7">
        <w:rPr>
          <w:rFonts w:ascii="Arial" w:hAnsi="Arial" w:cs="Arial"/>
          <w:i/>
          <w:sz w:val="18"/>
          <w:szCs w:val="18"/>
        </w:rPr>
        <w:t xml:space="preserve"> </w:t>
      </w:r>
      <w:r w:rsidRPr="00B933E7">
        <w:rPr>
          <w:rFonts w:ascii="Arial" w:hAnsi="Arial" w:cs="Arial"/>
          <w:i/>
          <w:sz w:val="18"/>
          <w:szCs w:val="18"/>
        </w:rPr>
        <w:t>Code of conduct for midwives</w:t>
      </w:r>
      <w:r w:rsidR="001E572C">
        <w:rPr>
          <w:rFonts w:ascii="Arial" w:hAnsi="Arial" w:cs="Arial"/>
          <w:sz w:val="18"/>
          <w:szCs w:val="18"/>
        </w:rPr>
        <w:t>, viewed 12 July 2018,</w:t>
      </w:r>
      <w:r w:rsidRPr="00B933E7">
        <w:rPr>
          <w:rFonts w:ascii="Arial" w:hAnsi="Arial" w:cs="Arial"/>
          <w:sz w:val="18"/>
          <w:szCs w:val="18"/>
        </w:rPr>
        <w:t xml:space="preserve"> </w:t>
      </w:r>
      <w:r w:rsidR="001E572C" w:rsidRPr="00F40AED">
        <w:rPr>
          <w:rStyle w:val="Hyperlink"/>
          <w:rFonts w:ascii="Arial" w:hAnsi="Arial" w:cs="Arial"/>
          <w:sz w:val="18"/>
          <w:szCs w:val="18"/>
        </w:rPr>
        <w:t>&lt;</w:t>
      </w:r>
      <w:hyperlink r:id="rId13" w:history="1">
        <w:r w:rsidRPr="00B933E7">
          <w:rPr>
            <w:rStyle w:val="Hyperlink"/>
            <w:rFonts w:ascii="Arial" w:hAnsi="Arial" w:cs="Arial"/>
            <w:sz w:val="18"/>
            <w:szCs w:val="18"/>
          </w:rPr>
          <w:t>http://www.nursingmidwiferyboard.gov.au/Codes-Guidelines-Statements/Professional-standards.aspx</w:t>
        </w:r>
      </w:hyperlink>
      <w:r w:rsidR="001E572C">
        <w:rPr>
          <w:rStyle w:val="Hyperlink"/>
          <w:rFonts w:ascii="Arial" w:hAnsi="Arial" w:cs="Arial"/>
          <w:sz w:val="18"/>
          <w:szCs w:val="18"/>
        </w:rPr>
        <w:t>&gt;</w:t>
      </w:r>
    </w:p>
  </w:endnote>
  <w:endnote w:id="16">
    <w:p w:rsidR="004B0D68" w:rsidRPr="00923FA3" w:rsidRDefault="004B0D68" w:rsidP="00154614">
      <w:pPr>
        <w:pStyle w:val="EndnoteText"/>
        <w:spacing w:before="60" w:after="60"/>
        <w:rPr>
          <w:rStyle w:val="Hyperlink"/>
          <w:rFonts w:ascii="Arial" w:hAnsi="Arial" w:cs="Arial"/>
          <w:sz w:val="18"/>
          <w:szCs w:val="18"/>
        </w:rPr>
      </w:pPr>
      <w:r>
        <w:rPr>
          <w:rStyle w:val="EndnoteReference"/>
        </w:rPr>
        <w:endnoteRef/>
      </w:r>
      <w:r>
        <w:t xml:space="preserve"> </w:t>
      </w:r>
      <w:r w:rsidR="00152E59">
        <w:rPr>
          <w:rFonts w:ascii="Arial" w:hAnsi="Arial" w:cs="Arial"/>
          <w:sz w:val="18"/>
          <w:szCs w:val="18"/>
        </w:rPr>
        <w:t>Nursing and Midwifery Board of Australia 2013,</w:t>
      </w:r>
      <w:r w:rsidR="00152E59" w:rsidRPr="00923FA3">
        <w:rPr>
          <w:rFonts w:ascii="Arial" w:hAnsi="Arial" w:cs="Arial"/>
          <w:i/>
          <w:sz w:val="18"/>
          <w:szCs w:val="18"/>
        </w:rPr>
        <w:t xml:space="preserve"> </w:t>
      </w:r>
      <w:r w:rsidRPr="00923FA3">
        <w:rPr>
          <w:rFonts w:ascii="Arial" w:hAnsi="Arial" w:cs="Arial"/>
          <w:i/>
          <w:sz w:val="18"/>
          <w:szCs w:val="18"/>
        </w:rPr>
        <w:t>National framework for the development of decision-making tools for nursing and midwifery practice</w:t>
      </w:r>
      <w:r w:rsidR="00152E59">
        <w:rPr>
          <w:rFonts w:ascii="Arial" w:hAnsi="Arial" w:cs="Arial"/>
          <w:i/>
          <w:sz w:val="18"/>
          <w:szCs w:val="18"/>
        </w:rPr>
        <w:t>, 2007 – rebranded</w:t>
      </w:r>
      <w:r w:rsidR="00152E59">
        <w:rPr>
          <w:rFonts w:ascii="Arial" w:hAnsi="Arial" w:cs="Arial"/>
          <w:sz w:val="18"/>
          <w:szCs w:val="18"/>
        </w:rPr>
        <w:t xml:space="preserve"> </w:t>
      </w:r>
      <w:r w:rsidR="00152E59" w:rsidRPr="00F40AED">
        <w:rPr>
          <w:rStyle w:val="Hyperlink"/>
          <w:rFonts w:ascii="Arial" w:hAnsi="Arial" w:cs="Arial"/>
          <w:sz w:val="18"/>
          <w:szCs w:val="18"/>
        </w:rPr>
        <w:t>&lt;</w:t>
      </w:r>
      <w:hyperlink r:id="rId14" w:history="1">
        <w:r w:rsidRPr="00923FA3">
          <w:rPr>
            <w:rStyle w:val="Hyperlink"/>
            <w:rFonts w:ascii="Arial" w:hAnsi="Arial" w:cs="Arial"/>
            <w:sz w:val="18"/>
            <w:szCs w:val="18"/>
          </w:rPr>
          <w:t>http://www.nursingmidwiferyboard.gov.au/Codes-Guidelines-Statements/Frameworks.aspx</w:t>
        </w:r>
      </w:hyperlink>
      <w:r w:rsidR="00152E59">
        <w:rPr>
          <w:rStyle w:val="Hyperlink"/>
          <w:rFonts w:ascii="Arial" w:hAnsi="Arial" w:cs="Arial"/>
          <w:sz w:val="18"/>
          <w:szCs w:val="18"/>
        </w:rPr>
        <w:t>&gt;</w:t>
      </w:r>
      <w:r w:rsidRPr="00923FA3">
        <w:rPr>
          <w:rStyle w:val="Hyperlink"/>
          <w:rFonts w:ascii="Arial" w:hAnsi="Arial" w:cs="Arial"/>
          <w:sz w:val="18"/>
          <w:szCs w:val="18"/>
        </w:rPr>
        <w:t xml:space="preserve"> </w:t>
      </w:r>
    </w:p>
  </w:endnote>
  <w:endnote w:id="17">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00152E59" w:rsidRPr="00B933E7">
        <w:rPr>
          <w:rFonts w:ascii="Arial" w:hAnsi="Arial" w:cs="Arial"/>
          <w:sz w:val="18"/>
          <w:szCs w:val="18"/>
        </w:rPr>
        <w:t>Nursing and Midwifery Board of Australia</w:t>
      </w:r>
      <w:r w:rsidR="00152E59">
        <w:rPr>
          <w:rFonts w:ascii="Arial" w:hAnsi="Arial" w:cs="Arial"/>
          <w:sz w:val="18"/>
          <w:szCs w:val="18"/>
        </w:rPr>
        <w:t xml:space="preserve"> 2016,</w:t>
      </w:r>
      <w:r w:rsidR="00152E59" w:rsidRPr="00B933E7">
        <w:rPr>
          <w:rFonts w:ascii="Arial" w:hAnsi="Arial" w:cs="Arial"/>
          <w:i/>
          <w:sz w:val="18"/>
          <w:szCs w:val="18"/>
        </w:rPr>
        <w:t xml:space="preserve"> </w:t>
      </w:r>
      <w:r w:rsidRPr="00B933E7">
        <w:rPr>
          <w:rFonts w:ascii="Arial" w:hAnsi="Arial" w:cs="Arial"/>
          <w:i/>
          <w:sz w:val="18"/>
          <w:szCs w:val="18"/>
        </w:rPr>
        <w:t>Registered nurse standards for practice</w:t>
      </w:r>
      <w:r w:rsidRPr="00B933E7">
        <w:rPr>
          <w:rFonts w:ascii="Arial" w:hAnsi="Arial" w:cs="Arial"/>
          <w:sz w:val="18"/>
          <w:szCs w:val="18"/>
        </w:rPr>
        <w:t xml:space="preserve"> </w:t>
      </w:r>
      <w:r w:rsidR="00152E59" w:rsidRPr="00F40AED">
        <w:rPr>
          <w:rStyle w:val="Hyperlink"/>
          <w:rFonts w:ascii="Arial" w:hAnsi="Arial" w:cs="Arial"/>
          <w:sz w:val="18"/>
          <w:szCs w:val="18"/>
        </w:rPr>
        <w:t>&lt;</w:t>
      </w:r>
      <w:hyperlink r:id="rId15" w:history="1">
        <w:r w:rsidRPr="00B933E7">
          <w:rPr>
            <w:rStyle w:val="Hyperlink"/>
            <w:rFonts w:ascii="Arial" w:hAnsi="Arial" w:cs="Arial"/>
            <w:sz w:val="18"/>
            <w:szCs w:val="18"/>
          </w:rPr>
          <w:t>http://www.nursingmidwiferyboard.gov.au/Codes-Guidelines-Statements/Professional-standards/registered-nurse-standards-for-practice.aspx</w:t>
        </w:r>
      </w:hyperlink>
      <w:r w:rsidR="00152E59">
        <w:rPr>
          <w:rStyle w:val="Hyperlink"/>
          <w:rFonts w:ascii="Arial" w:hAnsi="Arial" w:cs="Arial"/>
          <w:sz w:val="18"/>
          <w:szCs w:val="18"/>
        </w:rPr>
        <w:t>&gt;</w:t>
      </w:r>
    </w:p>
  </w:endnote>
  <w:endnote w:id="18">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00152E59" w:rsidRPr="00B933E7">
        <w:rPr>
          <w:rFonts w:ascii="Arial" w:hAnsi="Arial" w:cs="Arial"/>
          <w:sz w:val="18"/>
          <w:szCs w:val="18"/>
        </w:rPr>
        <w:t>Nursing and Midwifery Board of Australia</w:t>
      </w:r>
      <w:r w:rsidR="00152E59">
        <w:rPr>
          <w:rFonts w:ascii="Arial" w:hAnsi="Arial" w:cs="Arial"/>
          <w:sz w:val="18"/>
          <w:szCs w:val="18"/>
        </w:rPr>
        <w:t xml:space="preserve"> 2006,</w:t>
      </w:r>
      <w:r w:rsidR="00152E59" w:rsidRPr="00B933E7">
        <w:rPr>
          <w:rFonts w:ascii="Arial" w:hAnsi="Arial" w:cs="Arial"/>
          <w:i/>
          <w:sz w:val="18"/>
          <w:szCs w:val="18"/>
        </w:rPr>
        <w:t xml:space="preserve"> </w:t>
      </w:r>
      <w:r w:rsidRPr="00B933E7">
        <w:rPr>
          <w:rFonts w:ascii="Arial" w:hAnsi="Arial" w:cs="Arial"/>
          <w:i/>
          <w:sz w:val="18"/>
          <w:szCs w:val="18"/>
        </w:rPr>
        <w:t>National competency standards for the midwife</w:t>
      </w:r>
      <w:r w:rsidR="00152E59">
        <w:rPr>
          <w:rFonts w:ascii="Arial" w:hAnsi="Arial" w:cs="Arial"/>
          <w:sz w:val="18"/>
          <w:szCs w:val="18"/>
        </w:rPr>
        <w:t xml:space="preserve"> </w:t>
      </w:r>
      <w:r w:rsidR="00152E59" w:rsidRPr="00F40AED">
        <w:rPr>
          <w:rStyle w:val="Hyperlink"/>
          <w:rFonts w:ascii="Arial" w:hAnsi="Arial" w:cs="Arial"/>
          <w:sz w:val="18"/>
          <w:szCs w:val="18"/>
        </w:rPr>
        <w:t>&lt;</w:t>
      </w:r>
      <w:hyperlink r:id="rId16" w:history="1">
        <w:r w:rsidRPr="00B933E7">
          <w:rPr>
            <w:rStyle w:val="Hyperlink"/>
            <w:rFonts w:ascii="Arial" w:hAnsi="Arial" w:cs="Arial"/>
            <w:sz w:val="18"/>
            <w:szCs w:val="18"/>
          </w:rPr>
          <w:t>http://www.nursingmidwiferyboard.gov.au/Codes-Guidelines-Statements/Professional-standards.aspx</w:t>
        </w:r>
      </w:hyperlink>
      <w:r w:rsidR="00152E59">
        <w:rPr>
          <w:rStyle w:val="Hyperlink"/>
          <w:rFonts w:ascii="Arial" w:hAnsi="Arial" w:cs="Arial"/>
          <w:sz w:val="18"/>
          <w:szCs w:val="18"/>
        </w:rPr>
        <w:t>&gt;</w:t>
      </w:r>
      <w:r w:rsidRPr="00B933E7">
        <w:rPr>
          <w:rFonts w:ascii="Arial" w:hAnsi="Arial" w:cs="Arial"/>
          <w:sz w:val="18"/>
          <w:szCs w:val="18"/>
        </w:rPr>
        <w:t xml:space="preserve"> </w:t>
      </w:r>
    </w:p>
  </w:endnote>
  <w:endnote w:id="19">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00A51D41">
        <w:rPr>
          <w:rFonts w:ascii="Arial" w:hAnsi="Arial" w:cs="Arial"/>
          <w:sz w:val="18"/>
          <w:szCs w:val="18"/>
        </w:rPr>
        <w:t xml:space="preserve"> </w:t>
      </w:r>
      <w:r w:rsidR="00152E59" w:rsidRPr="00B933E7">
        <w:rPr>
          <w:rFonts w:ascii="Arial" w:hAnsi="Arial" w:cs="Arial"/>
          <w:sz w:val="18"/>
          <w:szCs w:val="18"/>
        </w:rPr>
        <w:t>Department of Health and Human Services</w:t>
      </w:r>
      <w:r w:rsidR="00152E59">
        <w:rPr>
          <w:rFonts w:ascii="Arial" w:hAnsi="Arial" w:cs="Arial"/>
          <w:sz w:val="18"/>
          <w:szCs w:val="18"/>
        </w:rPr>
        <w:t xml:space="preserve"> 2016,</w:t>
      </w:r>
      <w:r w:rsidR="00152E59" w:rsidRPr="00B933E7">
        <w:rPr>
          <w:rFonts w:ascii="Arial" w:hAnsi="Arial" w:cs="Arial"/>
          <w:i/>
          <w:sz w:val="18"/>
          <w:szCs w:val="18"/>
        </w:rPr>
        <w:t xml:space="preserve"> </w:t>
      </w:r>
      <w:r w:rsidRPr="00B933E7">
        <w:rPr>
          <w:rFonts w:ascii="Arial" w:hAnsi="Arial" w:cs="Arial"/>
          <w:i/>
          <w:sz w:val="18"/>
          <w:szCs w:val="18"/>
        </w:rPr>
        <w:t>BPCLE P</w:t>
      </w:r>
      <w:r w:rsidR="00152E59">
        <w:rPr>
          <w:rFonts w:ascii="Arial" w:hAnsi="Arial" w:cs="Arial"/>
          <w:i/>
          <w:sz w:val="18"/>
          <w:szCs w:val="18"/>
        </w:rPr>
        <w:t>erformance Monitoring Framework</w:t>
      </w:r>
      <w:r w:rsidRPr="00B933E7">
        <w:rPr>
          <w:rFonts w:ascii="Arial" w:hAnsi="Arial" w:cs="Arial"/>
          <w:sz w:val="18"/>
          <w:szCs w:val="18"/>
        </w:rPr>
        <w:t xml:space="preserve">, </w:t>
      </w:r>
      <w:r w:rsidR="00152E59">
        <w:rPr>
          <w:rFonts w:ascii="Arial" w:hAnsi="Arial" w:cs="Arial"/>
          <w:sz w:val="18"/>
          <w:szCs w:val="18"/>
        </w:rPr>
        <w:t>State Government of Victoria, Melbourne</w:t>
      </w:r>
      <w:r w:rsidR="00152E59" w:rsidRPr="00B933E7">
        <w:rPr>
          <w:rFonts w:ascii="Arial" w:hAnsi="Arial" w:cs="Arial"/>
          <w:sz w:val="18"/>
          <w:szCs w:val="18"/>
        </w:rPr>
        <w:t xml:space="preserve"> </w:t>
      </w:r>
      <w:r w:rsidR="00152E59" w:rsidRPr="00F40AED">
        <w:rPr>
          <w:rStyle w:val="Hyperlink"/>
          <w:rFonts w:ascii="Arial" w:hAnsi="Arial" w:cs="Arial"/>
          <w:sz w:val="18"/>
          <w:szCs w:val="18"/>
        </w:rPr>
        <w:t>&lt;</w:t>
      </w:r>
      <w:hyperlink r:id="rId17" w:history="1">
        <w:r w:rsidRPr="00B933E7">
          <w:rPr>
            <w:rStyle w:val="Hyperlink"/>
            <w:rFonts w:ascii="Arial" w:hAnsi="Arial" w:cs="Arial"/>
            <w:sz w:val="18"/>
            <w:szCs w:val="18"/>
          </w:rPr>
          <w:t>https://www2.health.vic.gov.au/health-workforce/education-and-training/building-a-quality-health-workforce/bpcle-framework</w:t>
        </w:r>
      </w:hyperlink>
      <w:r w:rsidR="00152E59">
        <w:rPr>
          <w:rStyle w:val="Hyperlink"/>
          <w:rFonts w:ascii="Arial" w:hAnsi="Arial" w:cs="Arial"/>
          <w:sz w:val="18"/>
          <w:szCs w:val="18"/>
        </w:rPr>
        <w:t>&gt;</w:t>
      </w:r>
      <w:hyperlink w:history="1"/>
    </w:p>
  </w:endnote>
  <w:endnote w:id="20">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00152E59" w:rsidRPr="00B933E7">
        <w:rPr>
          <w:rFonts w:ascii="Arial" w:hAnsi="Arial" w:cs="Arial"/>
          <w:sz w:val="18"/>
          <w:szCs w:val="18"/>
        </w:rPr>
        <w:t>Aspex Consulting Pty Ltd</w:t>
      </w:r>
      <w:r w:rsidR="00152E59">
        <w:rPr>
          <w:rFonts w:ascii="Arial" w:hAnsi="Arial" w:cs="Arial"/>
          <w:sz w:val="18"/>
          <w:szCs w:val="18"/>
        </w:rPr>
        <w:t xml:space="preserve"> 2017,</w:t>
      </w:r>
      <w:r w:rsidR="00152E59" w:rsidRPr="00B933E7">
        <w:rPr>
          <w:rFonts w:ascii="Arial" w:hAnsi="Arial" w:cs="Arial"/>
          <w:i/>
          <w:sz w:val="18"/>
          <w:szCs w:val="18"/>
        </w:rPr>
        <w:t xml:space="preserve"> </w:t>
      </w:r>
      <w:r w:rsidRPr="00B933E7">
        <w:rPr>
          <w:rFonts w:ascii="Arial" w:hAnsi="Arial" w:cs="Arial"/>
          <w:i/>
          <w:sz w:val="18"/>
          <w:szCs w:val="18"/>
        </w:rPr>
        <w:t>Report of Graduate Program Experiences</w:t>
      </w:r>
      <w:r w:rsidR="00152E59">
        <w:rPr>
          <w:rFonts w:ascii="Arial" w:hAnsi="Arial" w:cs="Arial"/>
          <w:i/>
          <w:sz w:val="18"/>
          <w:szCs w:val="18"/>
        </w:rPr>
        <w:t>; Final Report; January 2017</w:t>
      </w:r>
      <w:r w:rsidR="00152E59">
        <w:rPr>
          <w:rFonts w:ascii="Arial" w:hAnsi="Arial" w:cs="Arial"/>
          <w:sz w:val="18"/>
          <w:szCs w:val="18"/>
        </w:rPr>
        <w:t xml:space="preserve"> </w:t>
      </w:r>
      <w:r w:rsidR="00152E59" w:rsidRPr="00F40AED">
        <w:rPr>
          <w:rStyle w:val="Hyperlink"/>
          <w:rFonts w:ascii="Arial" w:hAnsi="Arial" w:cs="Arial"/>
          <w:sz w:val="18"/>
          <w:szCs w:val="18"/>
        </w:rPr>
        <w:t>&lt;</w:t>
      </w:r>
      <w:hyperlink r:id="rId18" w:history="1">
        <w:r w:rsidRPr="00B933E7">
          <w:rPr>
            <w:rStyle w:val="Hyperlink"/>
            <w:rFonts w:ascii="Arial" w:hAnsi="Arial" w:cs="Arial"/>
            <w:sz w:val="18"/>
            <w:szCs w:val="18"/>
          </w:rPr>
          <w:t>https://www2.health.vic.gov.au/health-workforce/nursing-and-midwifery/whats-new</w:t>
        </w:r>
      </w:hyperlink>
      <w:r w:rsidR="00152E59">
        <w:rPr>
          <w:rStyle w:val="Hyperlink"/>
          <w:rFonts w:ascii="Arial" w:hAnsi="Arial" w:cs="Arial"/>
          <w:sz w:val="18"/>
          <w:szCs w:val="18"/>
        </w:rPr>
        <w:t>&gt;</w:t>
      </w:r>
    </w:p>
  </w:endnote>
  <w:endnote w:id="21">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Meyera</w:t>
      </w:r>
      <w:r w:rsidR="001915EB">
        <w:rPr>
          <w:rFonts w:ascii="Arial" w:hAnsi="Arial" w:cs="Arial"/>
          <w:sz w:val="18"/>
          <w:szCs w:val="18"/>
        </w:rPr>
        <w:t xml:space="preserve"> G. &amp;</w:t>
      </w:r>
      <w:r w:rsidRPr="00B933E7">
        <w:rPr>
          <w:rFonts w:ascii="Arial" w:hAnsi="Arial" w:cs="Arial"/>
          <w:sz w:val="18"/>
          <w:szCs w:val="18"/>
        </w:rPr>
        <w:t xml:space="preserve"> </w:t>
      </w:r>
      <w:proofErr w:type="spellStart"/>
      <w:r w:rsidRPr="00B933E7">
        <w:rPr>
          <w:rFonts w:ascii="Arial" w:hAnsi="Arial" w:cs="Arial"/>
          <w:sz w:val="18"/>
          <w:szCs w:val="18"/>
        </w:rPr>
        <w:t>Shattob</w:t>
      </w:r>
      <w:proofErr w:type="spellEnd"/>
      <w:r w:rsidR="001915EB">
        <w:rPr>
          <w:rFonts w:ascii="Arial" w:hAnsi="Arial" w:cs="Arial"/>
          <w:sz w:val="18"/>
          <w:szCs w:val="18"/>
        </w:rPr>
        <w:t xml:space="preserve"> B. 2018,</w:t>
      </w:r>
      <w:r w:rsidRPr="00B933E7">
        <w:rPr>
          <w:rFonts w:ascii="Arial" w:hAnsi="Arial" w:cs="Arial"/>
          <w:sz w:val="18"/>
          <w:szCs w:val="18"/>
        </w:rPr>
        <w:t xml:space="preserve"> </w:t>
      </w:r>
      <w:r w:rsidR="001915EB">
        <w:rPr>
          <w:rFonts w:ascii="Arial" w:hAnsi="Arial" w:cs="Arial"/>
          <w:sz w:val="18"/>
          <w:szCs w:val="18"/>
        </w:rPr>
        <w:t>‘</w:t>
      </w:r>
      <w:r w:rsidRPr="001915EB">
        <w:rPr>
          <w:rFonts w:ascii="Arial" w:hAnsi="Arial" w:cs="Arial"/>
          <w:sz w:val="18"/>
          <w:szCs w:val="18"/>
        </w:rPr>
        <w:t>Resilience and transition to practice in Direct Entry nursing graduates</w:t>
      </w:r>
      <w:r w:rsidR="001915EB">
        <w:rPr>
          <w:rFonts w:ascii="Arial" w:hAnsi="Arial" w:cs="Arial"/>
          <w:sz w:val="18"/>
          <w:szCs w:val="18"/>
        </w:rPr>
        <w:t>’</w:t>
      </w:r>
      <w:r w:rsidRPr="00B933E7">
        <w:rPr>
          <w:rFonts w:ascii="Arial" w:hAnsi="Arial" w:cs="Arial"/>
          <w:sz w:val="18"/>
          <w:szCs w:val="18"/>
        </w:rPr>
        <w:t xml:space="preserve">, </w:t>
      </w:r>
      <w:r w:rsidRPr="001915EB">
        <w:rPr>
          <w:rFonts w:ascii="Arial" w:hAnsi="Arial" w:cs="Arial"/>
          <w:i/>
          <w:sz w:val="18"/>
          <w:szCs w:val="18"/>
        </w:rPr>
        <w:t>Nurse Education in Practice</w:t>
      </w:r>
      <w:r w:rsidRPr="00B933E7">
        <w:rPr>
          <w:rFonts w:ascii="Arial" w:hAnsi="Arial" w:cs="Arial"/>
          <w:sz w:val="18"/>
          <w:szCs w:val="18"/>
        </w:rPr>
        <w:t>,</w:t>
      </w:r>
      <w:r w:rsidR="001915EB">
        <w:rPr>
          <w:rFonts w:ascii="Arial" w:hAnsi="Arial" w:cs="Arial"/>
          <w:sz w:val="18"/>
          <w:szCs w:val="18"/>
        </w:rPr>
        <w:t xml:space="preserve"> </w:t>
      </w:r>
      <w:r w:rsidR="001915EB" w:rsidRPr="001915EB">
        <w:rPr>
          <w:rFonts w:ascii="Arial" w:hAnsi="Arial" w:cs="Arial"/>
          <w:sz w:val="18"/>
          <w:szCs w:val="18"/>
        </w:rPr>
        <w:t>Volume 28, January 2018, Pages 276-279</w:t>
      </w:r>
      <w:r w:rsidR="001915EB">
        <w:rPr>
          <w:rFonts w:ascii="Arial" w:hAnsi="Arial" w:cs="Arial"/>
          <w:sz w:val="18"/>
          <w:szCs w:val="18"/>
        </w:rPr>
        <w:t>,</w:t>
      </w:r>
      <w:r w:rsidRPr="00B933E7">
        <w:rPr>
          <w:rFonts w:ascii="Arial" w:hAnsi="Arial" w:cs="Arial"/>
          <w:sz w:val="18"/>
          <w:szCs w:val="18"/>
        </w:rPr>
        <w:t xml:space="preserve"> </w:t>
      </w:r>
      <w:hyperlink r:id="rId19" w:history="1">
        <w:r w:rsidRPr="00B933E7">
          <w:rPr>
            <w:rStyle w:val="Hyperlink"/>
            <w:rFonts w:ascii="Arial" w:hAnsi="Arial" w:cs="Arial"/>
            <w:sz w:val="18"/>
            <w:szCs w:val="18"/>
          </w:rPr>
          <w:t>http://dx.doi.org/10.1016/j.nepr.2017.10.008</w:t>
        </w:r>
      </w:hyperlink>
      <w:r w:rsidRPr="00B933E7">
        <w:rPr>
          <w:rFonts w:ascii="Arial" w:hAnsi="Arial" w:cs="Arial"/>
          <w:sz w:val="18"/>
          <w:szCs w:val="18"/>
        </w:rPr>
        <w:t xml:space="preserve"> </w:t>
      </w:r>
    </w:p>
  </w:endnote>
  <w:endnote w:id="22">
    <w:p w:rsidR="004B0D68" w:rsidRPr="00B933E7" w:rsidRDefault="004B0D68" w:rsidP="00065054">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Missen</w:t>
      </w:r>
      <w:r w:rsidR="00065054">
        <w:rPr>
          <w:rFonts w:ascii="Arial" w:hAnsi="Arial" w:cs="Arial"/>
          <w:sz w:val="18"/>
          <w:szCs w:val="18"/>
        </w:rPr>
        <w:t xml:space="preserve"> K., McKenna L. &amp; Beauchamp A. 2014,</w:t>
      </w:r>
      <w:r w:rsidRPr="00B933E7">
        <w:rPr>
          <w:rFonts w:ascii="Arial" w:hAnsi="Arial" w:cs="Arial"/>
          <w:sz w:val="18"/>
          <w:szCs w:val="18"/>
        </w:rPr>
        <w:t xml:space="preserve"> </w:t>
      </w:r>
      <w:r w:rsidR="00065054">
        <w:rPr>
          <w:rFonts w:ascii="Arial" w:hAnsi="Arial" w:cs="Arial"/>
          <w:sz w:val="18"/>
          <w:szCs w:val="18"/>
        </w:rPr>
        <w:t>‘</w:t>
      </w:r>
      <w:r w:rsidRPr="00065054">
        <w:rPr>
          <w:rFonts w:ascii="Arial" w:hAnsi="Arial" w:cs="Arial"/>
          <w:sz w:val="18"/>
          <w:szCs w:val="18"/>
        </w:rPr>
        <w:t>Satisfaction of newly graduated nurses enrolled in transition-to-practice programmes in their first year of employment: a systematic review</w:t>
      </w:r>
      <w:r w:rsidR="00065054">
        <w:rPr>
          <w:rFonts w:ascii="Arial" w:hAnsi="Arial" w:cs="Arial"/>
          <w:sz w:val="18"/>
          <w:szCs w:val="18"/>
        </w:rPr>
        <w:t>’,</w:t>
      </w:r>
      <w:r w:rsidRPr="00B933E7">
        <w:rPr>
          <w:rFonts w:ascii="Arial" w:hAnsi="Arial" w:cs="Arial"/>
          <w:sz w:val="18"/>
          <w:szCs w:val="18"/>
        </w:rPr>
        <w:t xml:space="preserve"> </w:t>
      </w:r>
      <w:r w:rsidRPr="00065054">
        <w:rPr>
          <w:rFonts w:ascii="Arial" w:hAnsi="Arial" w:cs="Arial"/>
          <w:i/>
          <w:sz w:val="18"/>
          <w:szCs w:val="18"/>
        </w:rPr>
        <w:t>Journal of Advanced Nursing</w:t>
      </w:r>
      <w:r w:rsidR="00065054">
        <w:rPr>
          <w:rFonts w:ascii="Arial" w:hAnsi="Arial" w:cs="Arial"/>
          <w:sz w:val="18"/>
          <w:szCs w:val="18"/>
        </w:rPr>
        <w:t>,</w:t>
      </w:r>
      <w:r w:rsidRPr="00B933E7">
        <w:rPr>
          <w:rFonts w:ascii="Arial" w:hAnsi="Arial" w:cs="Arial"/>
          <w:sz w:val="18"/>
          <w:szCs w:val="18"/>
        </w:rPr>
        <w:t xml:space="preserve"> </w:t>
      </w:r>
      <w:r w:rsidR="00065054">
        <w:rPr>
          <w:rFonts w:ascii="Arial" w:hAnsi="Arial" w:cs="Arial"/>
          <w:sz w:val="18"/>
          <w:szCs w:val="18"/>
        </w:rPr>
        <w:t>V</w:t>
      </w:r>
      <w:r w:rsidR="00065054" w:rsidRPr="00065054">
        <w:rPr>
          <w:rFonts w:ascii="Arial" w:hAnsi="Arial" w:cs="Arial"/>
          <w:sz w:val="18"/>
          <w:szCs w:val="18"/>
        </w:rPr>
        <w:t>olume70, Issue</w:t>
      </w:r>
      <w:r w:rsidR="00065054">
        <w:rPr>
          <w:rFonts w:ascii="Arial" w:hAnsi="Arial" w:cs="Arial"/>
          <w:sz w:val="18"/>
          <w:szCs w:val="18"/>
        </w:rPr>
        <w:t xml:space="preserve"> </w:t>
      </w:r>
      <w:r w:rsidR="00065054" w:rsidRPr="00065054">
        <w:rPr>
          <w:rFonts w:ascii="Arial" w:hAnsi="Arial" w:cs="Arial"/>
          <w:sz w:val="18"/>
          <w:szCs w:val="18"/>
        </w:rPr>
        <w:t>11</w:t>
      </w:r>
      <w:r w:rsidR="00065054">
        <w:rPr>
          <w:rFonts w:ascii="Arial" w:hAnsi="Arial" w:cs="Arial"/>
          <w:sz w:val="18"/>
          <w:szCs w:val="18"/>
        </w:rPr>
        <w:t xml:space="preserve">, </w:t>
      </w:r>
      <w:r w:rsidR="00065054" w:rsidRPr="00065054">
        <w:rPr>
          <w:rFonts w:ascii="Arial" w:hAnsi="Arial" w:cs="Arial"/>
          <w:sz w:val="18"/>
          <w:szCs w:val="18"/>
        </w:rPr>
        <w:t>Pages 2419-2433</w:t>
      </w:r>
      <w:r w:rsidR="00065054">
        <w:rPr>
          <w:rFonts w:ascii="Arial" w:hAnsi="Arial" w:cs="Arial"/>
          <w:sz w:val="18"/>
          <w:szCs w:val="18"/>
        </w:rPr>
        <w:t>,</w:t>
      </w:r>
      <w:r w:rsidRPr="00B933E7">
        <w:rPr>
          <w:rFonts w:ascii="Arial" w:hAnsi="Arial" w:cs="Arial"/>
          <w:sz w:val="18"/>
          <w:szCs w:val="18"/>
        </w:rPr>
        <w:t xml:space="preserve"> </w:t>
      </w:r>
      <w:hyperlink r:id="rId20" w:history="1">
        <w:r w:rsidR="00065054" w:rsidRPr="00065054">
          <w:rPr>
            <w:rStyle w:val="Hyperlink"/>
            <w:rFonts w:ascii="Arial" w:hAnsi="Arial" w:cs="Arial"/>
            <w:sz w:val="18"/>
            <w:szCs w:val="18"/>
          </w:rPr>
          <w:t>https://doi.org/10.1111/jan.12464</w:t>
        </w:r>
      </w:hyperlink>
    </w:p>
  </w:endnote>
  <w:endnote w:id="23">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Missen</w:t>
      </w:r>
      <w:r w:rsidR="00467D21">
        <w:rPr>
          <w:rFonts w:ascii="Arial" w:hAnsi="Arial" w:cs="Arial"/>
          <w:sz w:val="18"/>
          <w:szCs w:val="18"/>
        </w:rPr>
        <w:t xml:space="preserve"> K.</w:t>
      </w:r>
      <w:r w:rsidRPr="00B933E7">
        <w:rPr>
          <w:rFonts w:ascii="Arial" w:hAnsi="Arial" w:cs="Arial"/>
          <w:sz w:val="18"/>
          <w:szCs w:val="18"/>
        </w:rPr>
        <w:t>, McKenna</w:t>
      </w:r>
      <w:r w:rsidR="00467D21">
        <w:rPr>
          <w:rFonts w:ascii="Arial" w:hAnsi="Arial" w:cs="Arial"/>
          <w:sz w:val="18"/>
          <w:szCs w:val="18"/>
        </w:rPr>
        <w:t xml:space="preserve"> L. &amp;</w:t>
      </w:r>
      <w:r w:rsidRPr="00B933E7">
        <w:rPr>
          <w:rFonts w:ascii="Arial" w:hAnsi="Arial" w:cs="Arial"/>
          <w:sz w:val="18"/>
          <w:szCs w:val="18"/>
        </w:rPr>
        <w:t xml:space="preserve"> </w:t>
      </w:r>
      <w:r w:rsidR="00467D21">
        <w:rPr>
          <w:rFonts w:ascii="Arial" w:hAnsi="Arial" w:cs="Arial"/>
          <w:sz w:val="18"/>
          <w:szCs w:val="18"/>
        </w:rPr>
        <w:t>Beauchamp A. 2017,</w:t>
      </w:r>
      <w:r>
        <w:rPr>
          <w:rFonts w:ascii="Arial" w:hAnsi="Arial" w:cs="Arial"/>
          <w:sz w:val="18"/>
          <w:szCs w:val="18"/>
        </w:rPr>
        <w:t xml:space="preserve"> </w:t>
      </w:r>
      <w:r w:rsidR="00467D21">
        <w:rPr>
          <w:rFonts w:ascii="Arial" w:hAnsi="Arial" w:cs="Arial"/>
          <w:sz w:val="18"/>
          <w:szCs w:val="18"/>
        </w:rPr>
        <w:t>‘</w:t>
      </w:r>
      <w:r w:rsidRPr="00467D21">
        <w:rPr>
          <w:rFonts w:ascii="Arial" w:hAnsi="Arial" w:cs="Arial"/>
          <w:sz w:val="18"/>
          <w:szCs w:val="18"/>
        </w:rPr>
        <w:t>Are we there yet? Graduate readiness for practice, assessment and final examinations</w:t>
      </w:r>
      <w:r w:rsidR="00467D21">
        <w:rPr>
          <w:rFonts w:ascii="Arial" w:hAnsi="Arial" w:cs="Arial"/>
          <w:sz w:val="18"/>
          <w:szCs w:val="18"/>
        </w:rPr>
        <w:t>’</w:t>
      </w:r>
      <w:r w:rsidRPr="00B933E7">
        <w:rPr>
          <w:rFonts w:ascii="Arial" w:hAnsi="Arial" w:cs="Arial"/>
          <w:sz w:val="18"/>
          <w:szCs w:val="18"/>
        </w:rPr>
        <w:t xml:space="preserve">, </w:t>
      </w:r>
      <w:r w:rsidRPr="00467D21">
        <w:rPr>
          <w:rFonts w:ascii="Arial" w:hAnsi="Arial" w:cs="Arial"/>
          <w:i/>
          <w:sz w:val="18"/>
          <w:szCs w:val="18"/>
        </w:rPr>
        <w:t>Collegian</w:t>
      </w:r>
      <w:r w:rsidR="00467D21">
        <w:rPr>
          <w:rFonts w:ascii="Arial" w:hAnsi="Arial" w:cs="Arial"/>
          <w:sz w:val="18"/>
          <w:szCs w:val="18"/>
        </w:rPr>
        <w:t xml:space="preserve">, </w:t>
      </w:r>
      <w:r w:rsidR="00467D21" w:rsidRPr="00467D21">
        <w:rPr>
          <w:rFonts w:ascii="Arial" w:hAnsi="Arial" w:cs="Arial"/>
          <w:sz w:val="18"/>
          <w:szCs w:val="18"/>
        </w:rPr>
        <w:t>Volume 25, Issue 2, Pages 227–230</w:t>
      </w:r>
      <w:r w:rsidR="00467D21">
        <w:rPr>
          <w:rFonts w:ascii="Arial" w:hAnsi="Arial" w:cs="Arial"/>
          <w:sz w:val="18"/>
          <w:szCs w:val="18"/>
        </w:rPr>
        <w:t xml:space="preserve">, </w:t>
      </w:r>
      <w:hyperlink r:id="rId21" w:history="1">
        <w:r w:rsidR="00467D21" w:rsidRPr="00467D21">
          <w:rPr>
            <w:rStyle w:val="Hyperlink"/>
            <w:rFonts w:ascii="Arial" w:hAnsi="Arial" w:cs="Arial"/>
            <w:sz w:val="18"/>
            <w:szCs w:val="18"/>
          </w:rPr>
          <w:t>https://doi.org/10.1016/j.colegn.2017.06.006</w:t>
        </w:r>
      </w:hyperlink>
    </w:p>
  </w:endnote>
  <w:endnote w:id="24">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Missen</w:t>
      </w:r>
      <w:r w:rsidR="00B0793D">
        <w:rPr>
          <w:rFonts w:ascii="Arial" w:hAnsi="Arial" w:cs="Arial"/>
          <w:sz w:val="18"/>
          <w:szCs w:val="18"/>
        </w:rPr>
        <w:t xml:space="preserve"> K.</w:t>
      </w:r>
      <w:r w:rsidRPr="00B933E7">
        <w:rPr>
          <w:rFonts w:ascii="Arial" w:hAnsi="Arial" w:cs="Arial"/>
          <w:sz w:val="18"/>
          <w:szCs w:val="18"/>
        </w:rPr>
        <w:t>, McKenna</w:t>
      </w:r>
      <w:r w:rsidR="00B0793D">
        <w:rPr>
          <w:rFonts w:ascii="Arial" w:hAnsi="Arial" w:cs="Arial"/>
          <w:sz w:val="18"/>
          <w:szCs w:val="18"/>
        </w:rPr>
        <w:t xml:space="preserve"> L.</w:t>
      </w:r>
      <w:r w:rsidR="00A51D41">
        <w:rPr>
          <w:rFonts w:ascii="Arial" w:hAnsi="Arial" w:cs="Arial"/>
          <w:sz w:val="18"/>
          <w:szCs w:val="18"/>
        </w:rPr>
        <w:t>,</w:t>
      </w:r>
      <w:r w:rsidRPr="00B933E7">
        <w:rPr>
          <w:rFonts w:ascii="Arial" w:hAnsi="Arial" w:cs="Arial"/>
          <w:sz w:val="18"/>
          <w:szCs w:val="18"/>
        </w:rPr>
        <w:t xml:space="preserve"> Beauchamp </w:t>
      </w:r>
      <w:r w:rsidR="00B0793D">
        <w:rPr>
          <w:rFonts w:ascii="Arial" w:hAnsi="Arial" w:cs="Arial"/>
          <w:sz w:val="18"/>
          <w:szCs w:val="18"/>
        </w:rPr>
        <w:t>A. &amp;</w:t>
      </w:r>
      <w:r w:rsidRPr="00B933E7">
        <w:rPr>
          <w:rFonts w:ascii="Arial" w:hAnsi="Arial" w:cs="Arial"/>
          <w:sz w:val="18"/>
          <w:szCs w:val="18"/>
        </w:rPr>
        <w:t xml:space="preserve"> Larkins</w:t>
      </w:r>
      <w:r w:rsidR="00B0793D">
        <w:rPr>
          <w:rFonts w:ascii="Arial" w:hAnsi="Arial" w:cs="Arial"/>
          <w:sz w:val="18"/>
          <w:szCs w:val="18"/>
        </w:rPr>
        <w:t xml:space="preserve"> J-A. </w:t>
      </w:r>
      <w:r w:rsidRPr="00B933E7">
        <w:rPr>
          <w:rFonts w:ascii="Arial" w:hAnsi="Arial" w:cs="Arial"/>
          <w:sz w:val="18"/>
          <w:szCs w:val="18"/>
        </w:rPr>
        <w:t>2016</w:t>
      </w:r>
      <w:r w:rsidR="00B0793D">
        <w:rPr>
          <w:rFonts w:ascii="Arial" w:hAnsi="Arial" w:cs="Arial"/>
          <w:sz w:val="18"/>
          <w:szCs w:val="18"/>
        </w:rPr>
        <w:t>,</w:t>
      </w:r>
      <w:r w:rsidRPr="00B933E7">
        <w:rPr>
          <w:rFonts w:ascii="Arial" w:hAnsi="Arial" w:cs="Arial"/>
          <w:sz w:val="18"/>
          <w:szCs w:val="18"/>
        </w:rPr>
        <w:t xml:space="preserve"> </w:t>
      </w:r>
      <w:r w:rsidR="00B0793D">
        <w:rPr>
          <w:rFonts w:ascii="Arial" w:hAnsi="Arial" w:cs="Arial"/>
          <w:sz w:val="18"/>
          <w:szCs w:val="18"/>
        </w:rPr>
        <w:t>‘</w:t>
      </w:r>
      <w:r w:rsidRPr="00B0793D">
        <w:rPr>
          <w:rFonts w:ascii="Arial" w:hAnsi="Arial" w:cs="Arial"/>
          <w:sz w:val="18"/>
          <w:szCs w:val="18"/>
        </w:rPr>
        <w:t>Qualified nurses’ rate new nursing graduates as lacking skills in key clinical areas</w:t>
      </w:r>
      <w:r w:rsidR="00B0793D">
        <w:rPr>
          <w:rFonts w:ascii="Arial" w:hAnsi="Arial" w:cs="Arial"/>
          <w:sz w:val="18"/>
          <w:szCs w:val="18"/>
        </w:rPr>
        <w:t>’</w:t>
      </w:r>
      <w:r w:rsidRPr="00B933E7">
        <w:rPr>
          <w:rFonts w:ascii="Arial" w:hAnsi="Arial" w:cs="Arial"/>
          <w:i/>
          <w:sz w:val="18"/>
          <w:szCs w:val="18"/>
        </w:rPr>
        <w:t xml:space="preserve">, </w:t>
      </w:r>
      <w:r w:rsidRPr="00B0793D">
        <w:rPr>
          <w:rFonts w:ascii="Arial" w:hAnsi="Arial" w:cs="Arial"/>
          <w:i/>
          <w:sz w:val="18"/>
          <w:szCs w:val="18"/>
        </w:rPr>
        <w:t>Journal of Clinical Nursing</w:t>
      </w:r>
      <w:r w:rsidR="00B0793D">
        <w:rPr>
          <w:rFonts w:ascii="Arial" w:hAnsi="Arial" w:cs="Arial"/>
          <w:sz w:val="18"/>
          <w:szCs w:val="18"/>
        </w:rPr>
        <w:t xml:space="preserve">, </w:t>
      </w:r>
      <w:r w:rsidR="00B0793D" w:rsidRPr="00B0793D">
        <w:rPr>
          <w:rFonts w:ascii="Arial" w:hAnsi="Arial" w:cs="Arial"/>
          <w:sz w:val="18"/>
          <w:szCs w:val="18"/>
        </w:rPr>
        <w:t>Volume 45, Pages 108–113</w:t>
      </w:r>
      <w:r w:rsidR="00B0793D">
        <w:rPr>
          <w:rFonts w:ascii="Arial" w:hAnsi="Arial" w:cs="Arial"/>
          <w:sz w:val="18"/>
          <w:szCs w:val="18"/>
        </w:rPr>
        <w:t xml:space="preserve">, </w:t>
      </w:r>
      <w:hyperlink r:id="rId22" w:history="1">
        <w:r w:rsidR="00B0793D" w:rsidRPr="00B0793D">
          <w:rPr>
            <w:rStyle w:val="Hyperlink"/>
            <w:rFonts w:ascii="Arial" w:hAnsi="Arial" w:cs="Arial"/>
            <w:sz w:val="18"/>
            <w:szCs w:val="18"/>
          </w:rPr>
          <w:t>https://doi.org/10.1016/j.nedt.2016.07.001</w:t>
        </w:r>
      </w:hyperlink>
    </w:p>
  </w:endnote>
  <w:endnote w:id="25">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Skinner</w:t>
      </w:r>
      <w:r w:rsidR="00DC7C3A">
        <w:rPr>
          <w:rFonts w:ascii="Arial" w:hAnsi="Arial" w:cs="Arial"/>
          <w:sz w:val="18"/>
          <w:szCs w:val="18"/>
        </w:rPr>
        <w:t xml:space="preserve"> N. &amp;</w:t>
      </w:r>
      <w:r w:rsidRPr="00B933E7">
        <w:rPr>
          <w:rFonts w:ascii="Arial" w:hAnsi="Arial" w:cs="Arial"/>
          <w:sz w:val="18"/>
          <w:szCs w:val="18"/>
        </w:rPr>
        <w:t xml:space="preserve"> Chapman </w:t>
      </w:r>
      <w:r w:rsidR="00DC7C3A">
        <w:rPr>
          <w:rFonts w:ascii="Arial" w:hAnsi="Arial" w:cs="Arial"/>
          <w:sz w:val="18"/>
          <w:szCs w:val="18"/>
        </w:rPr>
        <w:t>J. 2013,</w:t>
      </w:r>
      <w:r w:rsidRPr="00B933E7">
        <w:rPr>
          <w:rFonts w:ascii="Arial" w:hAnsi="Arial" w:cs="Arial"/>
          <w:sz w:val="18"/>
          <w:szCs w:val="18"/>
        </w:rPr>
        <w:t xml:space="preserve"> </w:t>
      </w:r>
      <w:r w:rsidR="00DC7C3A">
        <w:rPr>
          <w:rFonts w:ascii="Arial" w:hAnsi="Arial" w:cs="Arial"/>
          <w:sz w:val="18"/>
          <w:szCs w:val="18"/>
        </w:rPr>
        <w:t>‘</w:t>
      </w:r>
      <w:r w:rsidRPr="00DC7C3A">
        <w:rPr>
          <w:rFonts w:ascii="Arial" w:hAnsi="Arial" w:cs="Arial"/>
          <w:sz w:val="18"/>
          <w:szCs w:val="18"/>
        </w:rPr>
        <w:t>Work-life balance and family friendly policies</w:t>
      </w:r>
      <w:r w:rsidR="00DC7C3A">
        <w:rPr>
          <w:rFonts w:ascii="Arial" w:hAnsi="Arial" w:cs="Arial"/>
          <w:sz w:val="18"/>
          <w:szCs w:val="18"/>
        </w:rPr>
        <w:t>’</w:t>
      </w:r>
      <w:r w:rsidRPr="00B933E7">
        <w:rPr>
          <w:rFonts w:ascii="Arial" w:hAnsi="Arial" w:cs="Arial"/>
          <w:sz w:val="18"/>
          <w:szCs w:val="18"/>
        </w:rPr>
        <w:t xml:space="preserve">, </w:t>
      </w:r>
      <w:r w:rsidR="00DC7C3A">
        <w:rPr>
          <w:rFonts w:ascii="Arial" w:hAnsi="Arial" w:cs="Arial"/>
          <w:i/>
          <w:sz w:val="18"/>
          <w:szCs w:val="18"/>
        </w:rPr>
        <w:t>Evidence Base</w:t>
      </w:r>
      <w:r w:rsidRPr="00B933E7">
        <w:rPr>
          <w:rFonts w:ascii="Arial" w:hAnsi="Arial" w:cs="Arial"/>
          <w:sz w:val="18"/>
          <w:szCs w:val="18"/>
        </w:rPr>
        <w:t>,</w:t>
      </w:r>
      <w:r w:rsidR="00DC7C3A">
        <w:rPr>
          <w:rFonts w:ascii="Arial" w:hAnsi="Arial" w:cs="Arial"/>
          <w:sz w:val="18"/>
          <w:szCs w:val="18"/>
        </w:rPr>
        <w:t xml:space="preserve"> Volume 2013, Issue 4, Pages 1-17,</w:t>
      </w:r>
      <w:r w:rsidRPr="00B933E7">
        <w:rPr>
          <w:rFonts w:ascii="Arial" w:hAnsi="Arial" w:cs="Arial"/>
          <w:sz w:val="18"/>
          <w:szCs w:val="18"/>
        </w:rPr>
        <w:t xml:space="preserve"> </w:t>
      </w:r>
      <w:hyperlink r:id="rId23" w:history="1">
        <w:r w:rsidR="00E403A4" w:rsidRPr="002330CA">
          <w:rPr>
            <w:rStyle w:val="Hyperlink"/>
            <w:rFonts w:ascii="Arial" w:hAnsi="Arial" w:cs="Arial"/>
            <w:sz w:val="18"/>
            <w:szCs w:val="18"/>
          </w:rPr>
          <w:t>https://doi.org/10.21307/eb-2013-002</w:t>
        </w:r>
      </w:hyperlink>
      <w:r w:rsidR="00E403A4">
        <w:rPr>
          <w:rFonts w:ascii="Arial" w:hAnsi="Arial" w:cs="Arial"/>
          <w:sz w:val="18"/>
          <w:szCs w:val="18"/>
        </w:rPr>
        <w:t xml:space="preserve"> </w:t>
      </w:r>
    </w:p>
  </w:endnote>
  <w:endnote w:id="26">
    <w:p w:rsidR="004B0D68" w:rsidRPr="00B933E7" w:rsidRDefault="004B0D68" w:rsidP="00B933E7">
      <w:pPr>
        <w:pStyle w:val="EndnoteText"/>
        <w:spacing w:before="60" w:after="60"/>
        <w:rPr>
          <w:rFonts w:ascii="Arial" w:hAnsi="Arial" w:cs="Arial"/>
          <w:color w:val="3366FF"/>
          <w:sz w:val="18"/>
          <w:szCs w:val="18"/>
          <w:u w:val="dotted"/>
        </w:rPr>
      </w:pPr>
      <w:r w:rsidRPr="00B933E7">
        <w:rPr>
          <w:rStyle w:val="EndnoteReference"/>
          <w:rFonts w:cs="Arial"/>
        </w:rPr>
        <w:endnoteRef/>
      </w:r>
      <w:r w:rsidRPr="00B933E7">
        <w:rPr>
          <w:rFonts w:ascii="Arial" w:hAnsi="Arial" w:cs="Arial"/>
        </w:rPr>
        <w:t xml:space="preserve"> </w:t>
      </w:r>
      <w:proofErr w:type="spellStart"/>
      <w:r w:rsidRPr="00B933E7">
        <w:rPr>
          <w:rFonts w:ascii="Arial" w:hAnsi="Arial" w:cs="Arial"/>
          <w:sz w:val="18"/>
          <w:szCs w:val="18"/>
        </w:rPr>
        <w:t>Poulose</w:t>
      </w:r>
      <w:proofErr w:type="spellEnd"/>
      <w:r w:rsidR="00DB5FDD">
        <w:rPr>
          <w:rFonts w:ascii="Arial" w:hAnsi="Arial" w:cs="Arial"/>
          <w:sz w:val="18"/>
          <w:szCs w:val="18"/>
        </w:rPr>
        <w:t xml:space="preserve"> S. &amp; </w:t>
      </w:r>
      <w:proofErr w:type="spellStart"/>
      <w:r w:rsidR="00DB5FDD">
        <w:rPr>
          <w:rFonts w:ascii="Arial" w:hAnsi="Arial" w:cs="Arial"/>
          <w:sz w:val="18"/>
          <w:szCs w:val="18"/>
        </w:rPr>
        <w:t>Sudarsan</w:t>
      </w:r>
      <w:proofErr w:type="spellEnd"/>
      <w:r w:rsidR="00DB5FDD">
        <w:rPr>
          <w:rFonts w:ascii="Arial" w:hAnsi="Arial" w:cs="Arial"/>
          <w:sz w:val="18"/>
          <w:szCs w:val="18"/>
        </w:rPr>
        <w:t xml:space="preserve"> N. 2017,</w:t>
      </w:r>
      <w:r w:rsidRPr="00B933E7">
        <w:rPr>
          <w:rFonts w:ascii="Arial" w:hAnsi="Arial" w:cs="Arial"/>
          <w:sz w:val="18"/>
          <w:szCs w:val="18"/>
        </w:rPr>
        <w:t xml:space="preserve"> </w:t>
      </w:r>
      <w:r w:rsidR="00DB5FDD">
        <w:rPr>
          <w:rFonts w:ascii="Arial" w:hAnsi="Arial" w:cs="Arial"/>
          <w:sz w:val="18"/>
          <w:szCs w:val="18"/>
        </w:rPr>
        <w:t>‘</w:t>
      </w:r>
      <w:r w:rsidRPr="00DB5FDD">
        <w:rPr>
          <w:rFonts w:ascii="Arial" w:hAnsi="Arial" w:cs="Arial"/>
          <w:sz w:val="18"/>
          <w:szCs w:val="18"/>
        </w:rPr>
        <w:t>Assessing the influence of work-life balance dimensions among nurses in the healthcare sector</w:t>
      </w:r>
      <w:r w:rsidR="00DB5FDD">
        <w:rPr>
          <w:rFonts w:ascii="Arial" w:hAnsi="Arial" w:cs="Arial"/>
          <w:sz w:val="18"/>
          <w:szCs w:val="18"/>
        </w:rPr>
        <w:t>’</w:t>
      </w:r>
      <w:r w:rsidRPr="00B933E7">
        <w:rPr>
          <w:rFonts w:ascii="Arial" w:hAnsi="Arial" w:cs="Arial"/>
          <w:sz w:val="18"/>
          <w:szCs w:val="18"/>
        </w:rPr>
        <w:t xml:space="preserve">, </w:t>
      </w:r>
      <w:r w:rsidRPr="00DB5FDD">
        <w:rPr>
          <w:rFonts w:ascii="Arial" w:hAnsi="Arial" w:cs="Arial"/>
          <w:i/>
          <w:sz w:val="18"/>
          <w:szCs w:val="18"/>
        </w:rPr>
        <w:t>Journal of Management Development</w:t>
      </w:r>
      <w:r w:rsidRPr="00B933E7">
        <w:rPr>
          <w:rFonts w:ascii="Arial" w:hAnsi="Arial" w:cs="Arial"/>
          <w:sz w:val="18"/>
          <w:szCs w:val="18"/>
        </w:rPr>
        <w:t>, Vol</w:t>
      </w:r>
      <w:r w:rsidR="00DB5FDD">
        <w:rPr>
          <w:rFonts w:ascii="Arial" w:hAnsi="Arial" w:cs="Arial"/>
          <w:sz w:val="18"/>
          <w:szCs w:val="18"/>
        </w:rPr>
        <w:t>ume</w:t>
      </w:r>
      <w:r w:rsidRPr="00B933E7">
        <w:rPr>
          <w:rFonts w:ascii="Arial" w:hAnsi="Arial" w:cs="Arial"/>
          <w:sz w:val="18"/>
          <w:szCs w:val="18"/>
        </w:rPr>
        <w:t xml:space="preserve"> 36</w:t>
      </w:r>
      <w:r w:rsidR="00DB5FDD">
        <w:rPr>
          <w:rFonts w:ascii="Arial" w:hAnsi="Arial" w:cs="Arial"/>
          <w:sz w:val="18"/>
          <w:szCs w:val="18"/>
        </w:rPr>
        <w:t xml:space="preserve">, Issue 3, Pages </w:t>
      </w:r>
      <w:r w:rsidRPr="00B933E7">
        <w:rPr>
          <w:rFonts w:ascii="Arial" w:hAnsi="Arial" w:cs="Arial"/>
          <w:sz w:val="18"/>
          <w:szCs w:val="18"/>
        </w:rPr>
        <w:t xml:space="preserve">427-437, </w:t>
      </w:r>
      <w:hyperlink r:id="rId24" w:history="1">
        <w:r w:rsidRPr="00B933E7">
          <w:rPr>
            <w:rStyle w:val="Hyperlink"/>
            <w:rFonts w:ascii="Arial" w:hAnsi="Arial" w:cs="Arial"/>
            <w:sz w:val="18"/>
            <w:szCs w:val="18"/>
          </w:rPr>
          <w:t>https://doi.org/10.1108/JMD-12-2015-0188</w:t>
        </w:r>
      </w:hyperlink>
      <w:r w:rsidRPr="00B933E7">
        <w:rPr>
          <w:rStyle w:val="Hyperlink"/>
          <w:rFonts w:ascii="Arial" w:hAnsi="Arial" w:cs="Arial"/>
          <w:sz w:val="18"/>
          <w:szCs w:val="18"/>
        </w:rPr>
        <w:t xml:space="preserve"> </w:t>
      </w:r>
    </w:p>
  </w:endnote>
  <w:endnote w:id="27">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000966DF" w:rsidRPr="00B933E7">
        <w:rPr>
          <w:rFonts w:ascii="Arial" w:hAnsi="Arial" w:cs="Arial"/>
          <w:sz w:val="18"/>
          <w:szCs w:val="18"/>
        </w:rPr>
        <w:t>Department of Health and Human Services</w:t>
      </w:r>
      <w:r w:rsidR="000966DF">
        <w:rPr>
          <w:rFonts w:ascii="Arial" w:hAnsi="Arial" w:cs="Arial"/>
          <w:sz w:val="18"/>
          <w:szCs w:val="18"/>
        </w:rPr>
        <w:t xml:space="preserve"> 2017,</w:t>
      </w:r>
      <w:r w:rsidR="000966DF" w:rsidRPr="00B933E7">
        <w:rPr>
          <w:rFonts w:ascii="Arial" w:hAnsi="Arial" w:cs="Arial"/>
          <w:i/>
          <w:sz w:val="18"/>
          <w:szCs w:val="18"/>
        </w:rPr>
        <w:t xml:space="preserve"> </w:t>
      </w:r>
      <w:r w:rsidRPr="00B933E7">
        <w:rPr>
          <w:rFonts w:ascii="Arial" w:hAnsi="Arial" w:cs="Arial"/>
          <w:i/>
          <w:sz w:val="18"/>
          <w:szCs w:val="18"/>
        </w:rPr>
        <w:t>Guide for violence and aggression training in Victorian health services</w:t>
      </w:r>
      <w:r w:rsidR="000966DF">
        <w:rPr>
          <w:rFonts w:ascii="Arial" w:hAnsi="Arial" w:cs="Arial"/>
          <w:sz w:val="18"/>
          <w:szCs w:val="18"/>
        </w:rPr>
        <w:t xml:space="preserve"> </w:t>
      </w:r>
      <w:r w:rsidR="000966DF" w:rsidRPr="00F40AED">
        <w:rPr>
          <w:rStyle w:val="Hyperlink"/>
          <w:rFonts w:ascii="Arial" w:hAnsi="Arial" w:cs="Arial"/>
          <w:sz w:val="18"/>
          <w:szCs w:val="18"/>
        </w:rPr>
        <w:t>&lt;</w:t>
      </w:r>
      <w:hyperlink r:id="rId25" w:history="1">
        <w:r w:rsidRPr="00B933E7">
          <w:rPr>
            <w:rStyle w:val="Hyperlink"/>
            <w:rFonts w:ascii="Arial" w:hAnsi="Arial" w:cs="Arial"/>
            <w:sz w:val="18"/>
            <w:szCs w:val="18"/>
          </w:rPr>
          <w:t>https://www2.health.vic.gov.au/health-workforce/worker-health-wellbeing/occupational-violence-aggression/training</w:t>
        </w:r>
      </w:hyperlink>
      <w:r w:rsidR="000966DF">
        <w:rPr>
          <w:rStyle w:val="Hyperlink"/>
          <w:rFonts w:ascii="Arial" w:hAnsi="Arial" w:cs="Arial"/>
          <w:sz w:val="18"/>
          <w:szCs w:val="18"/>
        </w:rPr>
        <w:t>&gt;</w:t>
      </w:r>
    </w:p>
  </w:endnote>
  <w:endnote w:id="28">
    <w:p w:rsidR="004B0D68" w:rsidRPr="0055518D" w:rsidRDefault="004B0D68" w:rsidP="0055518D">
      <w:pPr>
        <w:pStyle w:val="EndnoteText"/>
        <w:spacing w:before="60" w:after="60"/>
        <w:rPr>
          <w:rFonts w:ascii="Arial" w:hAnsi="Arial" w:cs="Arial"/>
          <w:sz w:val="18"/>
          <w:szCs w:val="18"/>
        </w:rPr>
      </w:pPr>
      <w:r>
        <w:rPr>
          <w:rStyle w:val="EndnoteReference"/>
        </w:rPr>
        <w:endnoteRef/>
      </w:r>
      <w:r>
        <w:t xml:space="preserve"> </w:t>
      </w:r>
      <w:r w:rsidR="00716677" w:rsidRPr="00B933E7">
        <w:rPr>
          <w:rFonts w:ascii="Arial" w:hAnsi="Arial" w:cs="Arial"/>
          <w:sz w:val="18"/>
          <w:szCs w:val="18"/>
        </w:rPr>
        <w:t>Nursing and Midwifery Board of Australia</w:t>
      </w:r>
      <w:r w:rsidR="00716677">
        <w:rPr>
          <w:rFonts w:ascii="Arial" w:hAnsi="Arial" w:cs="Arial"/>
          <w:sz w:val="18"/>
          <w:szCs w:val="18"/>
        </w:rPr>
        <w:t xml:space="preserve"> 2016,</w:t>
      </w:r>
      <w:r w:rsidR="00716677" w:rsidRPr="0055518D">
        <w:rPr>
          <w:rFonts w:ascii="Arial" w:hAnsi="Arial" w:cs="Arial"/>
          <w:i/>
          <w:sz w:val="18"/>
          <w:szCs w:val="18"/>
        </w:rPr>
        <w:t xml:space="preserve"> </w:t>
      </w:r>
      <w:r w:rsidRPr="0055518D">
        <w:rPr>
          <w:rFonts w:ascii="Arial" w:hAnsi="Arial" w:cs="Arial"/>
          <w:i/>
          <w:sz w:val="18"/>
          <w:szCs w:val="18"/>
        </w:rPr>
        <w:t>Nursing and Midwifery Board of Australia Registration Standard: Continuing Professional Development</w:t>
      </w:r>
      <w:r w:rsidR="00716677" w:rsidRPr="00716677">
        <w:rPr>
          <w:rFonts w:ascii="Arial" w:hAnsi="Arial" w:cs="Arial"/>
          <w:sz w:val="18"/>
          <w:szCs w:val="18"/>
        </w:rPr>
        <w:t xml:space="preserve"> </w:t>
      </w:r>
      <w:r w:rsidR="00716677" w:rsidRPr="00F40AED">
        <w:rPr>
          <w:rStyle w:val="Hyperlink"/>
          <w:rFonts w:ascii="Arial" w:hAnsi="Arial" w:cs="Arial"/>
          <w:sz w:val="18"/>
          <w:szCs w:val="18"/>
        </w:rPr>
        <w:t>&lt;</w:t>
      </w:r>
      <w:hyperlink r:id="rId26" w:history="1">
        <w:r w:rsidRPr="00FC13A0">
          <w:rPr>
            <w:rStyle w:val="Hyperlink"/>
            <w:rFonts w:ascii="Arial" w:hAnsi="Arial" w:cs="Arial"/>
            <w:sz w:val="18"/>
            <w:szCs w:val="18"/>
          </w:rPr>
          <w:t>http://www.nursingmidwiferyboard.gov.au/Registration-Standards/Continuing-professional-development.aspx</w:t>
        </w:r>
      </w:hyperlink>
      <w:r w:rsidR="00716677">
        <w:rPr>
          <w:rStyle w:val="Hyperlink"/>
          <w:rFonts w:ascii="Arial" w:hAnsi="Arial" w:cs="Arial"/>
          <w:sz w:val="18"/>
          <w:szCs w:val="18"/>
        </w:rPr>
        <w:t>&gt;</w:t>
      </w:r>
    </w:p>
  </w:endnote>
  <w:endnote w:id="29">
    <w:p w:rsidR="004B0D68" w:rsidRPr="004F214A" w:rsidRDefault="004B0D68" w:rsidP="0055518D">
      <w:pPr>
        <w:pStyle w:val="EndnoteText"/>
        <w:spacing w:before="60" w:after="60"/>
        <w:rPr>
          <w:rFonts w:ascii="Arial" w:hAnsi="Arial" w:cs="Arial"/>
          <w:sz w:val="18"/>
          <w:szCs w:val="18"/>
        </w:rPr>
      </w:pPr>
      <w:r>
        <w:rPr>
          <w:rStyle w:val="EndnoteReference"/>
        </w:rPr>
        <w:endnoteRef/>
      </w:r>
      <w:r>
        <w:t xml:space="preserve"> </w:t>
      </w:r>
      <w:r w:rsidR="00716677">
        <w:rPr>
          <w:rFonts w:ascii="Arial" w:hAnsi="Arial" w:cs="Arial"/>
          <w:sz w:val="18"/>
          <w:szCs w:val="18"/>
        </w:rPr>
        <w:t>Pfaff, K.A., et al.</w:t>
      </w:r>
      <w:r w:rsidRPr="004F214A">
        <w:rPr>
          <w:rFonts w:ascii="Arial" w:hAnsi="Arial" w:cs="Arial"/>
          <w:sz w:val="18"/>
          <w:szCs w:val="18"/>
        </w:rPr>
        <w:t xml:space="preserve"> </w:t>
      </w:r>
      <w:r w:rsidR="00716677">
        <w:rPr>
          <w:rFonts w:ascii="Arial" w:hAnsi="Arial" w:cs="Arial"/>
          <w:sz w:val="18"/>
          <w:szCs w:val="18"/>
        </w:rPr>
        <w:t>2014,</w:t>
      </w:r>
      <w:r>
        <w:rPr>
          <w:rFonts w:ascii="Arial" w:hAnsi="Arial" w:cs="Arial"/>
          <w:sz w:val="18"/>
          <w:szCs w:val="18"/>
        </w:rPr>
        <w:t xml:space="preserve"> </w:t>
      </w:r>
      <w:r w:rsidR="00716677">
        <w:rPr>
          <w:rFonts w:ascii="Arial" w:hAnsi="Arial" w:cs="Arial"/>
          <w:sz w:val="18"/>
          <w:szCs w:val="18"/>
        </w:rPr>
        <w:t>‘</w:t>
      </w:r>
      <w:r w:rsidRPr="00716677">
        <w:rPr>
          <w:rFonts w:ascii="Arial" w:hAnsi="Arial" w:cs="Arial"/>
          <w:sz w:val="18"/>
          <w:szCs w:val="18"/>
        </w:rPr>
        <w:t>Exploring new graduate nurse confidence in interprofessional collaboration: A mixed methods study</w:t>
      </w:r>
      <w:r w:rsidR="00716677">
        <w:rPr>
          <w:rFonts w:ascii="Arial" w:hAnsi="Arial" w:cs="Arial"/>
          <w:sz w:val="18"/>
          <w:szCs w:val="18"/>
        </w:rPr>
        <w:t>’,</w:t>
      </w:r>
      <w:r w:rsidRPr="004F214A">
        <w:rPr>
          <w:rFonts w:ascii="Arial" w:hAnsi="Arial" w:cs="Arial"/>
          <w:sz w:val="18"/>
          <w:szCs w:val="18"/>
        </w:rPr>
        <w:t xml:space="preserve"> </w:t>
      </w:r>
      <w:r w:rsidRPr="00716677">
        <w:rPr>
          <w:rFonts w:ascii="Arial" w:hAnsi="Arial" w:cs="Arial"/>
          <w:i/>
          <w:sz w:val="18"/>
          <w:szCs w:val="18"/>
        </w:rPr>
        <w:t>International Journal of Nursing Studies</w:t>
      </w:r>
      <w:r w:rsidRPr="004F214A">
        <w:rPr>
          <w:rFonts w:ascii="Arial" w:hAnsi="Arial" w:cs="Arial"/>
          <w:sz w:val="18"/>
          <w:szCs w:val="18"/>
        </w:rPr>
        <w:t>,</w:t>
      </w:r>
      <w:r w:rsidR="00716677">
        <w:rPr>
          <w:rFonts w:ascii="Arial" w:hAnsi="Arial" w:cs="Arial"/>
          <w:sz w:val="18"/>
          <w:szCs w:val="18"/>
        </w:rPr>
        <w:t xml:space="preserve"> Volume 51, Issue 8</w:t>
      </w:r>
      <w:r w:rsidR="00716677" w:rsidRPr="00716677">
        <w:rPr>
          <w:rFonts w:ascii="Arial" w:hAnsi="Arial" w:cs="Arial"/>
          <w:sz w:val="18"/>
          <w:szCs w:val="18"/>
        </w:rPr>
        <w:t>, Pages 1142-1152</w:t>
      </w:r>
      <w:r w:rsidR="00716677">
        <w:rPr>
          <w:rFonts w:ascii="Arial" w:hAnsi="Arial" w:cs="Arial"/>
          <w:sz w:val="18"/>
          <w:szCs w:val="18"/>
        </w:rPr>
        <w:t>,</w:t>
      </w:r>
      <w:r w:rsidRPr="004F214A">
        <w:rPr>
          <w:rFonts w:ascii="Arial" w:hAnsi="Arial" w:cs="Arial"/>
          <w:sz w:val="18"/>
          <w:szCs w:val="18"/>
        </w:rPr>
        <w:t xml:space="preserve"> </w:t>
      </w:r>
      <w:hyperlink r:id="rId27" w:history="1">
        <w:r w:rsidRPr="007921ED">
          <w:rPr>
            <w:rStyle w:val="Hyperlink"/>
            <w:rFonts w:ascii="Arial" w:hAnsi="Arial" w:cs="Arial"/>
            <w:sz w:val="18"/>
            <w:szCs w:val="18"/>
          </w:rPr>
          <w:t>http://dx.doi.org/10.1016/j.ijnurstu.2014.01.001</w:t>
        </w:r>
      </w:hyperlink>
      <w:r>
        <w:rPr>
          <w:rFonts w:ascii="Arial" w:hAnsi="Arial" w:cs="Arial"/>
          <w:sz w:val="18"/>
          <w:szCs w:val="18"/>
        </w:rPr>
        <w:t xml:space="preserve"> </w:t>
      </w:r>
    </w:p>
  </w:endnote>
  <w:endnote w:id="30">
    <w:p w:rsidR="004B0D68" w:rsidRPr="00B933E7" w:rsidRDefault="004B0D68" w:rsidP="00B933E7">
      <w:pPr>
        <w:pStyle w:val="EndnoteText"/>
        <w:spacing w:before="60" w:after="60"/>
        <w:rPr>
          <w:rFonts w:ascii="Arial" w:hAnsi="Arial" w:cs="Arial"/>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 xml:space="preserve">Niemeyer </w:t>
      </w:r>
      <w:r w:rsidR="00177619">
        <w:rPr>
          <w:rFonts w:ascii="Arial" w:hAnsi="Arial" w:cs="Arial"/>
          <w:sz w:val="18"/>
          <w:szCs w:val="18"/>
        </w:rPr>
        <w:t>MA. 2017,</w:t>
      </w:r>
      <w:r w:rsidRPr="00B933E7">
        <w:rPr>
          <w:rFonts w:ascii="Arial" w:hAnsi="Arial" w:cs="Arial"/>
          <w:sz w:val="18"/>
          <w:szCs w:val="18"/>
        </w:rPr>
        <w:t xml:space="preserve"> </w:t>
      </w:r>
      <w:r w:rsidR="00177619">
        <w:rPr>
          <w:rFonts w:ascii="Arial" w:hAnsi="Arial" w:cs="Arial"/>
          <w:sz w:val="18"/>
          <w:szCs w:val="18"/>
        </w:rPr>
        <w:t>‘</w:t>
      </w:r>
      <w:r w:rsidRPr="00177619">
        <w:rPr>
          <w:rFonts w:ascii="Arial" w:hAnsi="Arial" w:cs="Arial"/>
          <w:sz w:val="18"/>
          <w:szCs w:val="18"/>
        </w:rPr>
        <w:t>Effective patient safety education for novice RNs: A systematic review</w:t>
      </w:r>
      <w:r w:rsidR="00177619">
        <w:rPr>
          <w:rFonts w:ascii="Arial" w:hAnsi="Arial" w:cs="Arial"/>
          <w:sz w:val="18"/>
          <w:szCs w:val="18"/>
        </w:rPr>
        <w:t>’</w:t>
      </w:r>
      <w:r w:rsidRPr="00B933E7">
        <w:rPr>
          <w:rFonts w:ascii="Arial" w:hAnsi="Arial" w:cs="Arial"/>
          <w:sz w:val="18"/>
          <w:szCs w:val="18"/>
        </w:rPr>
        <w:t xml:space="preserve">, </w:t>
      </w:r>
      <w:r w:rsidRPr="00177619">
        <w:rPr>
          <w:rFonts w:ascii="Arial" w:hAnsi="Arial" w:cs="Arial"/>
          <w:i/>
          <w:sz w:val="18"/>
          <w:szCs w:val="18"/>
        </w:rPr>
        <w:t>Journal of Nursing Edu</w:t>
      </w:r>
      <w:r w:rsidR="00177619" w:rsidRPr="00177619">
        <w:rPr>
          <w:rFonts w:ascii="Arial" w:hAnsi="Arial" w:cs="Arial"/>
          <w:i/>
          <w:sz w:val="18"/>
          <w:szCs w:val="18"/>
        </w:rPr>
        <w:t>cation and Practice</w:t>
      </w:r>
      <w:r w:rsidR="00177619">
        <w:rPr>
          <w:rFonts w:ascii="Arial" w:hAnsi="Arial" w:cs="Arial"/>
          <w:sz w:val="18"/>
          <w:szCs w:val="18"/>
        </w:rPr>
        <w:t xml:space="preserve">, Volume 8, Issue 3, Pages 103-115, </w:t>
      </w:r>
      <w:hyperlink r:id="rId28" w:history="1">
        <w:r w:rsidR="00177619" w:rsidRPr="00177619">
          <w:rPr>
            <w:rStyle w:val="Hyperlink"/>
            <w:rFonts w:ascii="Arial" w:hAnsi="Arial" w:cs="Arial"/>
            <w:sz w:val="18"/>
            <w:szCs w:val="18"/>
          </w:rPr>
          <w:t>https://doi.org/10.5430/jnep.v8n3p103</w:t>
        </w:r>
      </w:hyperlink>
    </w:p>
  </w:endnote>
  <w:endnote w:id="31">
    <w:p w:rsidR="004B0D68" w:rsidRPr="00B933E7" w:rsidRDefault="004B0D68" w:rsidP="00B933E7">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proofErr w:type="spellStart"/>
      <w:r w:rsidRPr="00B933E7">
        <w:rPr>
          <w:rFonts w:ascii="Arial" w:hAnsi="Arial" w:cs="Arial"/>
          <w:sz w:val="18"/>
          <w:szCs w:val="18"/>
        </w:rPr>
        <w:t>Pullon</w:t>
      </w:r>
      <w:proofErr w:type="spellEnd"/>
      <w:r w:rsidRPr="00B933E7">
        <w:rPr>
          <w:rFonts w:ascii="Arial" w:hAnsi="Arial" w:cs="Arial"/>
          <w:sz w:val="18"/>
          <w:szCs w:val="18"/>
        </w:rPr>
        <w:t xml:space="preserve"> et al</w:t>
      </w:r>
      <w:r w:rsidR="00F027CE">
        <w:rPr>
          <w:rFonts w:ascii="Arial" w:hAnsi="Arial" w:cs="Arial"/>
          <w:sz w:val="18"/>
          <w:szCs w:val="18"/>
        </w:rPr>
        <w:t>. 2016,</w:t>
      </w:r>
      <w:r w:rsidRPr="00B933E7">
        <w:rPr>
          <w:rFonts w:ascii="Arial" w:hAnsi="Arial" w:cs="Arial"/>
          <w:sz w:val="18"/>
          <w:szCs w:val="18"/>
        </w:rPr>
        <w:t xml:space="preserve"> </w:t>
      </w:r>
      <w:r w:rsidR="00F027CE">
        <w:rPr>
          <w:rFonts w:ascii="Arial" w:hAnsi="Arial" w:cs="Arial"/>
          <w:sz w:val="18"/>
          <w:szCs w:val="18"/>
        </w:rPr>
        <w:t>‘</w:t>
      </w:r>
      <w:r w:rsidRPr="00F027CE">
        <w:rPr>
          <w:rFonts w:ascii="Arial" w:hAnsi="Arial" w:cs="Arial"/>
          <w:sz w:val="18"/>
          <w:szCs w:val="18"/>
        </w:rPr>
        <w:t>Transition to practice: can rural interprofessional education make a difference? A cohort study</w:t>
      </w:r>
      <w:r w:rsidR="00F027CE">
        <w:rPr>
          <w:rFonts w:ascii="Arial" w:hAnsi="Arial" w:cs="Arial"/>
          <w:sz w:val="18"/>
          <w:szCs w:val="18"/>
        </w:rPr>
        <w:t>’</w:t>
      </w:r>
      <w:r w:rsidRPr="00B933E7">
        <w:rPr>
          <w:rFonts w:ascii="Arial" w:hAnsi="Arial" w:cs="Arial"/>
          <w:sz w:val="18"/>
          <w:szCs w:val="18"/>
        </w:rPr>
        <w:t xml:space="preserve">, </w:t>
      </w:r>
      <w:r w:rsidRPr="00F027CE">
        <w:rPr>
          <w:rFonts w:ascii="Arial" w:hAnsi="Arial" w:cs="Arial"/>
          <w:i/>
          <w:sz w:val="18"/>
          <w:szCs w:val="18"/>
        </w:rPr>
        <w:t>BMC Medical Education</w:t>
      </w:r>
      <w:r w:rsidRPr="00B933E7">
        <w:rPr>
          <w:rFonts w:ascii="Arial" w:hAnsi="Arial" w:cs="Arial"/>
          <w:sz w:val="18"/>
          <w:szCs w:val="18"/>
        </w:rPr>
        <w:t>,</w:t>
      </w:r>
      <w:r w:rsidR="00F027CE">
        <w:rPr>
          <w:rFonts w:ascii="Arial" w:hAnsi="Arial" w:cs="Arial"/>
          <w:sz w:val="18"/>
          <w:szCs w:val="18"/>
        </w:rPr>
        <w:t xml:space="preserve"> </w:t>
      </w:r>
      <w:r w:rsidR="00F027CE" w:rsidRPr="00F027CE">
        <w:rPr>
          <w:rFonts w:ascii="Arial" w:hAnsi="Arial" w:cs="Arial"/>
          <w:sz w:val="18"/>
          <w:szCs w:val="18"/>
        </w:rPr>
        <w:t>Volume 16, Number 1, Page</w:t>
      </w:r>
      <w:r w:rsidR="00F027CE">
        <w:rPr>
          <w:rFonts w:ascii="Arial" w:hAnsi="Arial" w:cs="Arial"/>
          <w:sz w:val="18"/>
          <w:szCs w:val="18"/>
        </w:rPr>
        <w:t>s</w:t>
      </w:r>
      <w:r w:rsidR="00F027CE" w:rsidRPr="00F027CE">
        <w:rPr>
          <w:rFonts w:ascii="Arial" w:hAnsi="Arial" w:cs="Arial"/>
          <w:sz w:val="18"/>
          <w:szCs w:val="18"/>
        </w:rPr>
        <w:t xml:space="preserve"> 1</w:t>
      </w:r>
      <w:r w:rsidR="00F027CE">
        <w:rPr>
          <w:rFonts w:ascii="Arial" w:hAnsi="Arial" w:cs="Arial"/>
          <w:sz w:val="18"/>
          <w:szCs w:val="18"/>
        </w:rPr>
        <w:t>-11,</w:t>
      </w:r>
      <w:r w:rsidRPr="00B933E7">
        <w:rPr>
          <w:rFonts w:ascii="Arial" w:hAnsi="Arial" w:cs="Arial"/>
          <w:sz w:val="18"/>
          <w:szCs w:val="18"/>
        </w:rPr>
        <w:t xml:space="preserve"> </w:t>
      </w:r>
      <w:hyperlink r:id="rId29" w:tgtFrame="_blank" w:history="1">
        <w:r w:rsidR="00F027CE" w:rsidRPr="00F027CE">
          <w:rPr>
            <w:rStyle w:val="Hyperlink"/>
            <w:rFonts w:ascii="Arial" w:hAnsi="Arial" w:cs="Arial"/>
            <w:sz w:val="18"/>
            <w:szCs w:val="18"/>
          </w:rPr>
          <w:t>https://doi.org/10.1186/s12909-016-0674-5</w:t>
        </w:r>
      </w:hyperlink>
    </w:p>
  </w:endnote>
  <w:endnote w:id="32">
    <w:p w:rsidR="00987585" w:rsidRPr="00B933E7" w:rsidRDefault="00987585" w:rsidP="00987585">
      <w:pPr>
        <w:pStyle w:val="EndnoteText"/>
        <w:spacing w:before="60" w:after="60"/>
        <w:rPr>
          <w:rFonts w:ascii="Arial" w:hAnsi="Arial" w:cs="Arial"/>
          <w:sz w:val="18"/>
          <w:szCs w:val="18"/>
        </w:rPr>
      </w:pPr>
      <w:r w:rsidRPr="00B933E7">
        <w:rPr>
          <w:rStyle w:val="EndnoteReference"/>
          <w:rFonts w:cs="Arial"/>
        </w:rPr>
        <w:endnoteRef/>
      </w:r>
      <w:r w:rsidRPr="00B933E7">
        <w:rPr>
          <w:rFonts w:ascii="Arial" w:hAnsi="Arial" w:cs="Arial"/>
        </w:rPr>
        <w:t xml:space="preserve"> </w:t>
      </w:r>
      <w:r w:rsidRPr="00B933E7">
        <w:rPr>
          <w:rFonts w:ascii="Arial" w:hAnsi="Arial" w:cs="Arial"/>
          <w:sz w:val="18"/>
          <w:szCs w:val="18"/>
        </w:rPr>
        <w:t xml:space="preserve">Mellor </w:t>
      </w:r>
      <w:r w:rsidR="000A1645">
        <w:rPr>
          <w:rFonts w:ascii="Arial" w:hAnsi="Arial" w:cs="Arial"/>
          <w:sz w:val="18"/>
          <w:szCs w:val="18"/>
        </w:rPr>
        <w:t>P. &amp;</w:t>
      </w:r>
      <w:r w:rsidRPr="00B933E7">
        <w:rPr>
          <w:rFonts w:ascii="Arial" w:hAnsi="Arial" w:cs="Arial"/>
          <w:sz w:val="18"/>
          <w:szCs w:val="18"/>
        </w:rPr>
        <w:t xml:space="preserve"> Greenhill </w:t>
      </w:r>
      <w:r w:rsidR="000A1645">
        <w:rPr>
          <w:rFonts w:ascii="Arial" w:hAnsi="Arial" w:cs="Arial"/>
          <w:sz w:val="18"/>
          <w:szCs w:val="18"/>
        </w:rPr>
        <w:t>J. 2014</w:t>
      </w:r>
      <w:r w:rsidR="000A1645" w:rsidRPr="000A1645">
        <w:rPr>
          <w:rFonts w:ascii="Arial" w:hAnsi="Arial" w:cs="Arial"/>
          <w:sz w:val="18"/>
          <w:szCs w:val="18"/>
        </w:rPr>
        <w:t>,</w:t>
      </w:r>
      <w:r w:rsidRPr="000A1645">
        <w:rPr>
          <w:rFonts w:ascii="Arial" w:hAnsi="Arial" w:cs="Arial"/>
          <w:sz w:val="18"/>
          <w:szCs w:val="18"/>
        </w:rPr>
        <w:t xml:space="preserve"> </w:t>
      </w:r>
      <w:r w:rsidR="000A1645">
        <w:rPr>
          <w:rFonts w:ascii="Arial" w:hAnsi="Arial" w:cs="Arial"/>
          <w:sz w:val="18"/>
          <w:szCs w:val="18"/>
        </w:rPr>
        <w:t>‘</w:t>
      </w:r>
      <w:r w:rsidRPr="000A1645">
        <w:rPr>
          <w:rFonts w:ascii="Arial" w:hAnsi="Arial" w:cs="Arial"/>
          <w:sz w:val="18"/>
          <w:szCs w:val="18"/>
        </w:rPr>
        <w:t>A patient safety focused registered nurse transition to practice program</w:t>
      </w:r>
      <w:r w:rsidR="000A1645">
        <w:rPr>
          <w:rFonts w:ascii="Arial" w:hAnsi="Arial" w:cs="Arial"/>
          <w:sz w:val="18"/>
          <w:szCs w:val="18"/>
        </w:rPr>
        <w:t>’</w:t>
      </w:r>
      <w:r w:rsidRPr="00B933E7">
        <w:rPr>
          <w:rFonts w:ascii="Arial" w:hAnsi="Arial" w:cs="Arial"/>
          <w:sz w:val="18"/>
          <w:szCs w:val="18"/>
        </w:rPr>
        <w:t xml:space="preserve">, </w:t>
      </w:r>
      <w:r w:rsidRPr="000A1645">
        <w:rPr>
          <w:rFonts w:ascii="Arial" w:hAnsi="Arial" w:cs="Arial"/>
          <w:i/>
          <w:sz w:val="18"/>
          <w:szCs w:val="18"/>
        </w:rPr>
        <w:t>Contemporary Nurse</w:t>
      </w:r>
      <w:r w:rsidR="00B94E46">
        <w:rPr>
          <w:rFonts w:ascii="Arial" w:hAnsi="Arial" w:cs="Arial"/>
          <w:sz w:val="18"/>
          <w:szCs w:val="18"/>
        </w:rPr>
        <w:t>, Volume 47, Issue 1–2, P</w:t>
      </w:r>
      <w:r w:rsidRPr="00B933E7">
        <w:rPr>
          <w:rFonts w:ascii="Arial" w:hAnsi="Arial" w:cs="Arial"/>
          <w:sz w:val="18"/>
          <w:szCs w:val="18"/>
        </w:rPr>
        <w:t xml:space="preserve">ages 51–60, </w:t>
      </w:r>
      <w:hyperlink r:id="rId30" w:history="1">
        <w:r w:rsidR="000A1645" w:rsidRPr="002330CA">
          <w:rPr>
            <w:rStyle w:val="Hyperlink"/>
            <w:rFonts w:ascii="Arial" w:hAnsi="Arial" w:cs="Arial"/>
            <w:sz w:val="18"/>
            <w:szCs w:val="18"/>
          </w:rPr>
          <w:t>https://doi.org/10.1080/10376178.2014.11081906</w:t>
        </w:r>
      </w:hyperlink>
      <w:r w:rsidR="000A1645">
        <w:rPr>
          <w:rFonts w:ascii="Arial" w:hAnsi="Arial" w:cs="Arial"/>
          <w:sz w:val="18"/>
          <w:szCs w:val="18"/>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Raleway"/>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68" w:rsidRPr="008114D1" w:rsidRDefault="004B0D68" w:rsidP="00E969B1">
    <w:pPr>
      <w:pStyle w:val="DHHSfooter"/>
    </w:pPr>
    <w:r>
      <w:t xml:space="preserve">Page </w:t>
    </w:r>
    <w:r w:rsidRPr="005A39EC">
      <w:fldChar w:fldCharType="begin"/>
    </w:r>
    <w:r w:rsidRPr="005A39EC">
      <w:instrText xml:space="preserve"> PAGE </w:instrText>
    </w:r>
    <w:r w:rsidRPr="005A39EC">
      <w:fldChar w:fldCharType="separate"/>
    </w:r>
    <w:r>
      <w:rPr>
        <w:noProof/>
      </w:rPr>
      <w:t>4</w:t>
    </w:r>
    <w:r w:rsidRPr="005A39EC">
      <w:fldChar w:fldCharType="end"/>
    </w:r>
    <w:r>
      <w:tab/>
      <w:t>Nursing and Midwifery Transition to Practice Guidelines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68" w:rsidRPr="0031753A" w:rsidRDefault="004B0D68" w:rsidP="00E969B1">
    <w:pPr>
      <w:pStyle w:val="DHHSfooter"/>
    </w:pPr>
    <w:r>
      <w:t>Nursing and Midwifery Transition to Practice Guidelines 2018</w:t>
    </w:r>
    <w:r w:rsidRPr="0031753A">
      <w:tab/>
      <w:t xml:space="preserve">Page </w:t>
    </w:r>
    <w:r w:rsidRPr="0031753A">
      <w:fldChar w:fldCharType="begin"/>
    </w:r>
    <w:r w:rsidRPr="0031753A">
      <w:instrText xml:space="preserve"> PAGE </w:instrText>
    </w:r>
    <w:r w:rsidRPr="0031753A">
      <w:fldChar w:fldCharType="separate"/>
    </w:r>
    <w:r w:rsidR="001F0A6C">
      <w:rPr>
        <w:noProof/>
      </w:rPr>
      <w:t>16</w:t>
    </w:r>
    <w:r w:rsidRPr="0031753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68" w:rsidRPr="001A7E04" w:rsidRDefault="004B0D68" w:rsidP="00AC0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D68" w:rsidRDefault="004B0D68">
      <w:r>
        <w:separator/>
      </w:r>
    </w:p>
  </w:footnote>
  <w:footnote w:type="continuationSeparator" w:id="0">
    <w:p w:rsidR="004B0D68" w:rsidRDefault="004B0D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68" w:rsidRPr="0069374A" w:rsidRDefault="004B0D68" w:rsidP="00E969B1">
    <w:pPr>
      <w:pStyle w:val="DHHS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D68" w:rsidRDefault="004B0D68" w:rsidP="00E969B1">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AC0"/>
    <w:multiLevelType w:val="hybridMultilevel"/>
    <w:tmpl w:val="9828AB3A"/>
    <w:lvl w:ilvl="0" w:tplc="5622CDC4">
      <w:start w:val="2"/>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475D0C6B"/>
    <w:multiLevelType w:val="multilevel"/>
    <w:tmpl w:val="2E86559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nsid w:val="6C803151"/>
    <w:multiLevelType w:val="hybridMultilevel"/>
    <w:tmpl w:val="4754CF1A"/>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5">
    <w:nsid w:val="72D072FB"/>
    <w:multiLevelType w:val="hybridMultilevel"/>
    <w:tmpl w:val="E51E6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662E44"/>
    <w:multiLevelType w:val="hybridMultilevel"/>
    <w:tmpl w:val="41002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 w:numId="7">
    <w:abstractNumId w:val="6"/>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kki Phillips">
    <w15:presenceInfo w15:providerId="AD" w15:userId="S-1-5-21-248963057-614103661-3067232799-1023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CD0"/>
    <w:rsid w:val="00001A6B"/>
    <w:rsid w:val="00002990"/>
    <w:rsid w:val="000048AC"/>
    <w:rsid w:val="00005BAB"/>
    <w:rsid w:val="00007C72"/>
    <w:rsid w:val="00014FC4"/>
    <w:rsid w:val="00017A76"/>
    <w:rsid w:val="00020AAB"/>
    <w:rsid w:val="000223A4"/>
    <w:rsid w:val="00022E60"/>
    <w:rsid w:val="00024733"/>
    <w:rsid w:val="00026C19"/>
    <w:rsid w:val="00027C60"/>
    <w:rsid w:val="00031263"/>
    <w:rsid w:val="000373C5"/>
    <w:rsid w:val="00040D45"/>
    <w:rsid w:val="0004658F"/>
    <w:rsid w:val="00046808"/>
    <w:rsid w:val="00060E93"/>
    <w:rsid w:val="00064936"/>
    <w:rsid w:val="00065054"/>
    <w:rsid w:val="000716F1"/>
    <w:rsid w:val="000734F8"/>
    <w:rsid w:val="000736B8"/>
    <w:rsid w:val="00074204"/>
    <w:rsid w:val="00077467"/>
    <w:rsid w:val="000817CB"/>
    <w:rsid w:val="00082BCC"/>
    <w:rsid w:val="00082DA5"/>
    <w:rsid w:val="000847BF"/>
    <w:rsid w:val="000873EF"/>
    <w:rsid w:val="00092A8F"/>
    <w:rsid w:val="000966DF"/>
    <w:rsid w:val="000A1645"/>
    <w:rsid w:val="000A4A7F"/>
    <w:rsid w:val="000A7D44"/>
    <w:rsid w:val="000B1667"/>
    <w:rsid w:val="000B3223"/>
    <w:rsid w:val="000B3792"/>
    <w:rsid w:val="000C0812"/>
    <w:rsid w:val="000C6242"/>
    <w:rsid w:val="000C68DB"/>
    <w:rsid w:val="000D0B46"/>
    <w:rsid w:val="000D2C32"/>
    <w:rsid w:val="000D3628"/>
    <w:rsid w:val="000E0227"/>
    <w:rsid w:val="000E285E"/>
    <w:rsid w:val="000E6F72"/>
    <w:rsid w:val="000F0478"/>
    <w:rsid w:val="000F0A50"/>
    <w:rsid w:val="000F3CFE"/>
    <w:rsid w:val="000F4347"/>
    <w:rsid w:val="001017BA"/>
    <w:rsid w:val="00103D5E"/>
    <w:rsid w:val="00104EA7"/>
    <w:rsid w:val="00105FAD"/>
    <w:rsid w:val="0011155B"/>
    <w:rsid w:val="00111A6A"/>
    <w:rsid w:val="00112A8A"/>
    <w:rsid w:val="00113BE9"/>
    <w:rsid w:val="00114AA9"/>
    <w:rsid w:val="00117F8A"/>
    <w:rsid w:val="00120C67"/>
    <w:rsid w:val="00121BF1"/>
    <w:rsid w:val="00127A8B"/>
    <w:rsid w:val="00134BE5"/>
    <w:rsid w:val="001412D1"/>
    <w:rsid w:val="0014231C"/>
    <w:rsid w:val="001423E3"/>
    <w:rsid w:val="001475EA"/>
    <w:rsid w:val="001504F5"/>
    <w:rsid w:val="001517BD"/>
    <w:rsid w:val="00151C67"/>
    <w:rsid w:val="00152E59"/>
    <w:rsid w:val="00154614"/>
    <w:rsid w:val="0017248D"/>
    <w:rsid w:val="00173626"/>
    <w:rsid w:val="0017614A"/>
    <w:rsid w:val="00176735"/>
    <w:rsid w:val="001772B9"/>
    <w:rsid w:val="00177619"/>
    <w:rsid w:val="0018124C"/>
    <w:rsid w:val="001817CD"/>
    <w:rsid w:val="0018235E"/>
    <w:rsid w:val="001837A9"/>
    <w:rsid w:val="0018768C"/>
    <w:rsid w:val="001915EB"/>
    <w:rsid w:val="00192BA0"/>
    <w:rsid w:val="00194CB8"/>
    <w:rsid w:val="00197303"/>
    <w:rsid w:val="001A17EA"/>
    <w:rsid w:val="001A1D17"/>
    <w:rsid w:val="001A22AA"/>
    <w:rsid w:val="001A28DF"/>
    <w:rsid w:val="001A6D58"/>
    <w:rsid w:val="001A7A18"/>
    <w:rsid w:val="001B1565"/>
    <w:rsid w:val="001B166D"/>
    <w:rsid w:val="001B28B5"/>
    <w:rsid w:val="001B2975"/>
    <w:rsid w:val="001C0992"/>
    <w:rsid w:val="001C122D"/>
    <w:rsid w:val="001C2FF2"/>
    <w:rsid w:val="001D2A82"/>
    <w:rsid w:val="001D569B"/>
    <w:rsid w:val="001D6C54"/>
    <w:rsid w:val="001E0EA3"/>
    <w:rsid w:val="001E0FF1"/>
    <w:rsid w:val="001E2C1E"/>
    <w:rsid w:val="001E4995"/>
    <w:rsid w:val="001E572C"/>
    <w:rsid w:val="001E7A42"/>
    <w:rsid w:val="001F09DC"/>
    <w:rsid w:val="001F0A6C"/>
    <w:rsid w:val="001F43E6"/>
    <w:rsid w:val="00201D47"/>
    <w:rsid w:val="00202D26"/>
    <w:rsid w:val="00211569"/>
    <w:rsid w:val="00213772"/>
    <w:rsid w:val="002153DE"/>
    <w:rsid w:val="00220749"/>
    <w:rsid w:val="0022387A"/>
    <w:rsid w:val="0022422C"/>
    <w:rsid w:val="0022724E"/>
    <w:rsid w:val="00230666"/>
    <w:rsid w:val="00230D16"/>
    <w:rsid w:val="00231153"/>
    <w:rsid w:val="0023252E"/>
    <w:rsid w:val="00233999"/>
    <w:rsid w:val="00234FEC"/>
    <w:rsid w:val="00236CA6"/>
    <w:rsid w:val="00241C31"/>
    <w:rsid w:val="00246AD5"/>
    <w:rsid w:val="002566D5"/>
    <w:rsid w:val="00260314"/>
    <w:rsid w:val="002613AA"/>
    <w:rsid w:val="002628C6"/>
    <w:rsid w:val="002650C2"/>
    <w:rsid w:val="002679D5"/>
    <w:rsid w:val="002714FD"/>
    <w:rsid w:val="00272B30"/>
    <w:rsid w:val="00275F94"/>
    <w:rsid w:val="00280A41"/>
    <w:rsid w:val="00281B9C"/>
    <w:rsid w:val="00283817"/>
    <w:rsid w:val="00284C9B"/>
    <w:rsid w:val="00290E7E"/>
    <w:rsid w:val="0029311C"/>
    <w:rsid w:val="00294A25"/>
    <w:rsid w:val="00295415"/>
    <w:rsid w:val="002955A6"/>
    <w:rsid w:val="002A0DE4"/>
    <w:rsid w:val="002A1318"/>
    <w:rsid w:val="002A141B"/>
    <w:rsid w:val="002A26B6"/>
    <w:rsid w:val="002A65E6"/>
    <w:rsid w:val="002A6A4E"/>
    <w:rsid w:val="002B5A85"/>
    <w:rsid w:val="002B63A7"/>
    <w:rsid w:val="002B6E9D"/>
    <w:rsid w:val="002C2B2C"/>
    <w:rsid w:val="002C5543"/>
    <w:rsid w:val="002D0F7F"/>
    <w:rsid w:val="002D3EBE"/>
    <w:rsid w:val="002E0198"/>
    <w:rsid w:val="002E1D7C"/>
    <w:rsid w:val="002E210C"/>
    <w:rsid w:val="002E68C6"/>
    <w:rsid w:val="002F2F8E"/>
    <w:rsid w:val="002F449B"/>
    <w:rsid w:val="002F4D86"/>
    <w:rsid w:val="002F5D69"/>
    <w:rsid w:val="002F7C77"/>
    <w:rsid w:val="00300CB3"/>
    <w:rsid w:val="0030394B"/>
    <w:rsid w:val="00306D2D"/>
    <w:rsid w:val="003072C6"/>
    <w:rsid w:val="003075B5"/>
    <w:rsid w:val="00310D8E"/>
    <w:rsid w:val="00315063"/>
    <w:rsid w:val="00315BBD"/>
    <w:rsid w:val="003169E4"/>
    <w:rsid w:val="0031753A"/>
    <w:rsid w:val="0031767B"/>
    <w:rsid w:val="00320293"/>
    <w:rsid w:val="00322CC2"/>
    <w:rsid w:val="00323651"/>
    <w:rsid w:val="003271DC"/>
    <w:rsid w:val="003276DF"/>
    <w:rsid w:val="003318E0"/>
    <w:rsid w:val="003319F3"/>
    <w:rsid w:val="00334B54"/>
    <w:rsid w:val="0033739E"/>
    <w:rsid w:val="00343733"/>
    <w:rsid w:val="003465F1"/>
    <w:rsid w:val="00355886"/>
    <w:rsid w:val="00356814"/>
    <w:rsid w:val="003574F7"/>
    <w:rsid w:val="003630F9"/>
    <w:rsid w:val="0036419A"/>
    <w:rsid w:val="00366443"/>
    <w:rsid w:val="00370C9D"/>
    <w:rsid w:val="003739B0"/>
    <w:rsid w:val="00373F08"/>
    <w:rsid w:val="00374969"/>
    <w:rsid w:val="0038019F"/>
    <w:rsid w:val="00382071"/>
    <w:rsid w:val="00395FF7"/>
    <w:rsid w:val="003A18B7"/>
    <w:rsid w:val="003A2F25"/>
    <w:rsid w:val="003A6D15"/>
    <w:rsid w:val="003B2807"/>
    <w:rsid w:val="003B2B45"/>
    <w:rsid w:val="003B36F0"/>
    <w:rsid w:val="003C4227"/>
    <w:rsid w:val="003C5598"/>
    <w:rsid w:val="003C68F2"/>
    <w:rsid w:val="003D58B8"/>
    <w:rsid w:val="003D5CFB"/>
    <w:rsid w:val="003E2636"/>
    <w:rsid w:val="003E2E12"/>
    <w:rsid w:val="003E50D9"/>
    <w:rsid w:val="003F39CE"/>
    <w:rsid w:val="00401108"/>
    <w:rsid w:val="00401EA0"/>
    <w:rsid w:val="004025A7"/>
    <w:rsid w:val="00402927"/>
    <w:rsid w:val="004053D8"/>
    <w:rsid w:val="00406F61"/>
    <w:rsid w:val="00407993"/>
    <w:rsid w:val="00411833"/>
    <w:rsid w:val="00412F64"/>
    <w:rsid w:val="00413D10"/>
    <w:rsid w:val="00417BEB"/>
    <w:rsid w:val="00420F1C"/>
    <w:rsid w:val="00424A9A"/>
    <w:rsid w:val="004324FF"/>
    <w:rsid w:val="00432A55"/>
    <w:rsid w:val="0044260A"/>
    <w:rsid w:val="004434CD"/>
    <w:rsid w:val="00444224"/>
    <w:rsid w:val="00444D82"/>
    <w:rsid w:val="00450829"/>
    <w:rsid w:val="00452D75"/>
    <w:rsid w:val="004564C6"/>
    <w:rsid w:val="00457367"/>
    <w:rsid w:val="00457DB0"/>
    <w:rsid w:val="004610CC"/>
    <w:rsid w:val="00465464"/>
    <w:rsid w:val="00465E87"/>
    <w:rsid w:val="00467D21"/>
    <w:rsid w:val="004707CC"/>
    <w:rsid w:val="00471B47"/>
    <w:rsid w:val="00472A90"/>
    <w:rsid w:val="0047786A"/>
    <w:rsid w:val="00477A65"/>
    <w:rsid w:val="00482DB3"/>
    <w:rsid w:val="00490B6F"/>
    <w:rsid w:val="004955BA"/>
    <w:rsid w:val="00497B4D"/>
    <w:rsid w:val="004A0236"/>
    <w:rsid w:val="004A369A"/>
    <w:rsid w:val="004A3B3E"/>
    <w:rsid w:val="004B0D68"/>
    <w:rsid w:val="004B0F60"/>
    <w:rsid w:val="004B1CFA"/>
    <w:rsid w:val="004C27F1"/>
    <w:rsid w:val="004C2A59"/>
    <w:rsid w:val="004C332D"/>
    <w:rsid w:val="004C56A8"/>
    <w:rsid w:val="004C5777"/>
    <w:rsid w:val="004C5CF7"/>
    <w:rsid w:val="004C7877"/>
    <w:rsid w:val="004D0173"/>
    <w:rsid w:val="004D1056"/>
    <w:rsid w:val="004D39A7"/>
    <w:rsid w:val="004D60A8"/>
    <w:rsid w:val="004E1EDE"/>
    <w:rsid w:val="004E21E2"/>
    <w:rsid w:val="004E293F"/>
    <w:rsid w:val="004E380D"/>
    <w:rsid w:val="004E5FBE"/>
    <w:rsid w:val="004E7922"/>
    <w:rsid w:val="004F0DFC"/>
    <w:rsid w:val="004F214A"/>
    <w:rsid w:val="004F3441"/>
    <w:rsid w:val="004F41B2"/>
    <w:rsid w:val="004F4AFC"/>
    <w:rsid w:val="004F52A5"/>
    <w:rsid w:val="004F5540"/>
    <w:rsid w:val="004F7E05"/>
    <w:rsid w:val="00500C8C"/>
    <w:rsid w:val="00501375"/>
    <w:rsid w:val="00501D3B"/>
    <w:rsid w:val="005022C9"/>
    <w:rsid w:val="00503498"/>
    <w:rsid w:val="0050779D"/>
    <w:rsid w:val="00511291"/>
    <w:rsid w:val="00511880"/>
    <w:rsid w:val="005139EA"/>
    <w:rsid w:val="00520BBB"/>
    <w:rsid w:val="00521EAE"/>
    <w:rsid w:val="00525456"/>
    <w:rsid w:val="00526843"/>
    <w:rsid w:val="005310CF"/>
    <w:rsid w:val="00532236"/>
    <w:rsid w:val="00535E9A"/>
    <w:rsid w:val="0054136F"/>
    <w:rsid w:val="00541DFE"/>
    <w:rsid w:val="00542A99"/>
    <w:rsid w:val="00542CE1"/>
    <w:rsid w:val="00543E6C"/>
    <w:rsid w:val="00544184"/>
    <w:rsid w:val="00547F15"/>
    <w:rsid w:val="0055271D"/>
    <w:rsid w:val="005543F6"/>
    <w:rsid w:val="0055518D"/>
    <w:rsid w:val="005552FD"/>
    <w:rsid w:val="00555661"/>
    <w:rsid w:val="005600E5"/>
    <w:rsid w:val="00561123"/>
    <w:rsid w:val="00562FF5"/>
    <w:rsid w:val="00564E8F"/>
    <w:rsid w:val="00570E27"/>
    <w:rsid w:val="005728A4"/>
    <w:rsid w:val="005763FC"/>
    <w:rsid w:val="00576EB4"/>
    <w:rsid w:val="00577B30"/>
    <w:rsid w:val="00582768"/>
    <w:rsid w:val="00583461"/>
    <w:rsid w:val="005856A4"/>
    <w:rsid w:val="00587EA5"/>
    <w:rsid w:val="00590730"/>
    <w:rsid w:val="005A049F"/>
    <w:rsid w:val="005A1DA9"/>
    <w:rsid w:val="005A3051"/>
    <w:rsid w:val="005A3DF1"/>
    <w:rsid w:val="005A53FE"/>
    <w:rsid w:val="005A6221"/>
    <w:rsid w:val="005B26B5"/>
    <w:rsid w:val="005B5B00"/>
    <w:rsid w:val="005B7D22"/>
    <w:rsid w:val="005C029E"/>
    <w:rsid w:val="005C0388"/>
    <w:rsid w:val="005C346A"/>
    <w:rsid w:val="005C3A92"/>
    <w:rsid w:val="005D2F52"/>
    <w:rsid w:val="005D485F"/>
    <w:rsid w:val="005E085D"/>
    <w:rsid w:val="005E1D6C"/>
    <w:rsid w:val="005E200D"/>
    <w:rsid w:val="005E3FA7"/>
    <w:rsid w:val="005E7963"/>
    <w:rsid w:val="005F0FD1"/>
    <w:rsid w:val="005F1D48"/>
    <w:rsid w:val="005F218C"/>
    <w:rsid w:val="005F4523"/>
    <w:rsid w:val="00601D4D"/>
    <w:rsid w:val="006021B4"/>
    <w:rsid w:val="00605B5B"/>
    <w:rsid w:val="00605D46"/>
    <w:rsid w:val="006062D8"/>
    <w:rsid w:val="00606827"/>
    <w:rsid w:val="00615317"/>
    <w:rsid w:val="00615F56"/>
    <w:rsid w:val="00620262"/>
    <w:rsid w:val="00621B4C"/>
    <w:rsid w:val="00627C52"/>
    <w:rsid w:val="00630937"/>
    <w:rsid w:val="00631553"/>
    <w:rsid w:val="00632B00"/>
    <w:rsid w:val="00633B8E"/>
    <w:rsid w:val="006357D7"/>
    <w:rsid w:val="00636934"/>
    <w:rsid w:val="00645C48"/>
    <w:rsid w:val="006516F3"/>
    <w:rsid w:val="00653B84"/>
    <w:rsid w:val="00653E0D"/>
    <w:rsid w:val="00665043"/>
    <w:rsid w:val="00667E07"/>
    <w:rsid w:val="006760A5"/>
    <w:rsid w:val="006765D5"/>
    <w:rsid w:val="0068361F"/>
    <w:rsid w:val="006865C8"/>
    <w:rsid w:val="00686B48"/>
    <w:rsid w:val="00687038"/>
    <w:rsid w:val="0068714E"/>
    <w:rsid w:val="006929F7"/>
    <w:rsid w:val="0069374A"/>
    <w:rsid w:val="00694AB8"/>
    <w:rsid w:val="00695EF7"/>
    <w:rsid w:val="0069699D"/>
    <w:rsid w:val="00696A57"/>
    <w:rsid w:val="006B2C51"/>
    <w:rsid w:val="006B6361"/>
    <w:rsid w:val="006C3592"/>
    <w:rsid w:val="006D360C"/>
    <w:rsid w:val="006D42B4"/>
    <w:rsid w:val="006D5AC9"/>
    <w:rsid w:val="006D66ED"/>
    <w:rsid w:val="006E2F78"/>
    <w:rsid w:val="006E786B"/>
    <w:rsid w:val="006F07A0"/>
    <w:rsid w:val="006F2D16"/>
    <w:rsid w:val="006F58ED"/>
    <w:rsid w:val="006F5FEA"/>
    <w:rsid w:val="006F7828"/>
    <w:rsid w:val="007002B1"/>
    <w:rsid w:val="00704EB7"/>
    <w:rsid w:val="00705742"/>
    <w:rsid w:val="00706188"/>
    <w:rsid w:val="0070748E"/>
    <w:rsid w:val="007104FE"/>
    <w:rsid w:val="00711B0C"/>
    <w:rsid w:val="00711C3F"/>
    <w:rsid w:val="0071206E"/>
    <w:rsid w:val="007121A2"/>
    <w:rsid w:val="00713981"/>
    <w:rsid w:val="00715D9D"/>
    <w:rsid w:val="00716677"/>
    <w:rsid w:val="007176D6"/>
    <w:rsid w:val="0072371A"/>
    <w:rsid w:val="00727D54"/>
    <w:rsid w:val="00733CD0"/>
    <w:rsid w:val="007344C5"/>
    <w:rsid w:val="00734959"/>
    <w:rsid w:val="00735137"/>
    <w:rsid w:val="0073520D"/>
    <w:rsid w:val="007359D5"/>
    <w:rsid w:val="007367F7"/>
    <w:rsid w:val="00740867"/>
    <w:rsid w:val="0075620F"/>
    <w:rsid w:val="00765F70"/>
    <w:rsid w:val="00767552"/>
    <w:rsid w:val="0077649A"/>
    <w:rsid w:val="00780226"/>
    <w:rsid w:val="00781AB4"/>
    <w:rsid w:val="00787DC7"/>
    <w:rsid w:val="007923B7"/>
    <w:rsid w:val="00792616"/>
    <w:rsid w:val="007926BB"/>
    <w:rsid w:val="0079344C"/>
    <w:rsid w:val="00794E07"/>
    <w:rsid w:val="007960CE"/>
    <w:rsid w:val="007968AE"/>
    <w:rsid w:val="007A0283"/>
    <w:rsid w:val="007A5BA5"/>
    <w:rsid w:val="007B46C2"/>
    <w:rsid w:val="007B6934"/>
    <w:rsid w:val="007C02C7"/>
    <w:rsid w:val="007C21EE"/>
    <w:rsid w:val="007C44B5"/>
    <w:rsid w:val="007C4709"/>
    <w:rsid w:val="007C48A0"/>
    <w:rsid w:val="007D3A2E"/>
    <w:rsid w:val="007D3BAB"/>
    <w:rsid w:val="007D6652"/>
    <w:rsid w:val="007E343D"/>
    <w:rsid w:val="007E4B10"/>
    <w:rsid w:val="007F4383"/>
    <w:rsid w:val="007F455A"/>
    <w:rsid w:val="00800AEE"/>
    <w:rsid w:val="00800F84"/>
    <w:rsid w:val="00801601"/>
    <w:rsid w:val="00801902"/>
    <w:rsid w:val="00810991"/>
    <w:rsid w:val="00811A38"/>
    <w:rsid w:val="00813F1C"/>
    <w:rsid w:val="00814A9B"/>
    <w:rsid w:val="00814F66"/>
    <w:rsid w:val="008163FD"/>
    <w:rsid w:val="00817C9E"/>
    <w:rsid w:val="008205AF"/>
    <w:rsid w:val="00820884"/>
    <w:rsid w:val="008225E5"/>
    <w:rsid w:val="00824B1C"/>
    <w:rsid w:val="0083066B"/>
    <w:rsid w:val="00831053"/>
    <w:rsid w:val="008314D2"/>
    <w:rsid w:val="0083254D"/>
    <w:rsid w:val="008326F3"/>
    <w:rsid w:val="00835EBE"/>
    <w:rsid w:val="00836249"/>
    <w:rsid w:val="00836F00"/>
    <w:rsid w:val="00846192"/>
    <w:rsid w:val="00850806"/>
    <w:rsid w:val="008539A9"/>
    <w:rsid w:val="00856A1B"/>
    <w:rsid w:val="00860A3F"/>
    <w:rsid w:val="008621C3"/>
    <w:rsid w:val="008646A1"/>
    <w:rsid w:val="00865486"/>
    <w:rsid w:val="00873A5B"/>
    <w:rsid w:val="00876275"/>
    <w:rsid w:val="00882B99"/>
    <w:rsid w:val="00883ADE"/>
    <w:rsid w:val="00885799"/>
    <w:rsid w:val="00886121"/>
    <w:rsid w:val="00896A4F"/>
    <w:rsid w:val="008A295B"/>
    <w:rsid w:val="008A6604"/>
    <w:rsid w:val="008B5482"/>
    <w:rsid w:val="008B7BE0"/>
    <w:rsid w:val="008C11F4"/>
    <w:rsid w:val="008C1328"/>
    <w:rsid w:val="008C292F"/>
    <w:rsid w:val="008C2BEC"/>
    <w:rsid w:val="008C6201"/>
    <w:rsid w:val="008C6523"/>
    <w:rsid w:val="008C6D0E"/>
    <w:rsid w:val="008D09D2"/>
    <w:rsid w:val="008D2A7E"/>
    <w:rsid w:val="008D39C5"/>
    <w:rsid w:val="008D61C1"/>
    <w:rsid w:val="008E1203"/>
    <w:rsid w:val="008E14EE"/>
    <w:rsid w:val="008E1D89"/>
    <w:rsid w:val="008E2D70"/>
    <w:rsid w:val="008E3E3E"/>
    <w:rsid w:val="008F1064"/>
    <w:rsid w:val="008F50B7"/>
    <w:rsid w:val="008F5F87"/>
    <w:rsid w:val="00900A34"/>
    <w:rsid w:val="009051F7"/>
    <w:rsid w:val="00907073"/>
    <w:rsid w:val="00912973"/>
    <w:rsid w:val="00916BA6"/>
    <w:rsid w:val="009208F5"/>
    <w:rsid w:val="009229B2"/>
    <w:rsid w:val="009231B7"/>
    <w:rsid w:val="00923FA3"/>
    <w:rsid w:val="00927D51"/>
    <w:rsid w:val="0093028F"/>
    <w:rsid w:val="00931DC3"/>
    <w:rsid w:val="00932272"/>
    <w:rsid w:val="00932862"/>
    <w:rsid w:val="00935D60"/>
    <w:rsid w:val="0094004E"/>
    <w:rsid w:val="00942AA4"/>
    <w:rsid w:val="009447BB"/>
    <w:rsid w:val="00944C48"/>
    <w:rsid w:val="00946335"/>
    <w:rsid w:val="009474FF"/>
    <w:rsid w:val="009513C4"/>
    <w:rsid w:val="009548E3"/>
    <w:rsid w:val="00954CF9"/>
    <w:rsid w:val="0095577A"/>
    <w:rsid w:val="00955E55"/>
    <w:rsid w:val="00962200"/>
    <w:rsid w:val="00966F54"/>
    <w:rsid w:val="00974525"/>
    <w:rsid w:val="00975B01"/>
    <w:rsid w:val="00975E61"/>
    <w:rsid w:val="00976E31"/>
    <w:rsid w:val="009779C1"/>
    <w:rsid w:val="00977C63"/>
    <w:rsid w:val="00980087"/>
    <w:rsid w:val="00980C0B"/>
    <w:rsid w:val="009836B7"/>
    <w:rsid w:val="0098524F"/>
    <w:rsid w:val="00987585"/>
    <w:rsid w:val="00987ABE"/>
    <w:rsid w:val="009906C7"/>
    <w:rsid w:val="00993E3E"/>
    <w:rsid w:val="009957F3"/>
    <w:rsid w:val="009963CD"/>
    <w:rsid w:val="00997E85"/>
    <w:rsid w:val="009B266D"/>
    <w:rsid w:val="009B3300"/>
    <w:rsid w:val="009B5CBF"/>
    <w:rsid w:val="009B6075"/>
    <w:rsid w:val="009B75C3"/>
    <w:rsid w:val="009C184A"/>
    <w:rsid w:val="009C1D88"/>
    <w:rsid w:val="009C2CA5"/>
    <w:rsid w:val="009D17EA"/>
    <w:rsid w:val="009D3E45"/>
    <w:rsid w:val="009D6BB7"/>
    <w:rsid w:val="009E0276"/>
    <w:rsid w:val="009E076E"/>
    <w:rsid w:val="009E2051"/>
    <w:rsid w:val="009E6E07"/>
    <w:rsid w:val="009F351F"/>
    <w:rsid w:val="009F3F89"/>
    <w:rsid w:val="009F428D"/>
    <w:rsid w:val="009F480E"/>
    <w:rsid w:val="009F4B71"/>
    <w:rsid w:val="009F52F4"/>
    <w:rsid w:val="009F767D"/>
    <w:rsid w:val="00A022A2"/>
    <w:rsid w:val="00A02D15"/>
    <w:rsid w:val="00A0778D"/>
    <w:rsid w:val="00A1036B"/>
    <w:rsid w:val="00A107DC"/>
    <w:rsid w:val="00A11403"/>
    <w:rsid w:val="00A177AF"/>
    <w:rsid w:val="00A26B0D"/>
    <w:rsid w:val="00A27242"/>
    <w:rsid w:val="00A33E0C"/>
    <w:rsid w:val="00A3735A"/>
    <w:rsid w:val="00A42F1B"/>
    <w:rsid w:val="00A51D41"/>
    <w:rsid w:val="00A546BC"/>
    <w:rsid w:val="00A55989"/>
    <w:rsid w:val="00A5694A"/>
    <w:rsid w:val="00A57EA9"/>
    <w:rsid w:val="00A57F4A"/>
    <w:rsid w:val="00A63DA4"/>
    <w:rsid w:val="00A667C7"/>
    <w:rsid w:val="00A707EA"/>
    <w:rsid w:val="00A733D4"/>
    <w:rsid w:val="00A75CD5"/>
    <w:rsid w:val="00A762EF"/>
    <w:rsid w:val="00A83DF3"/>
    <w:rsid w:val="00A85915"/>
    <w:rsid w:val="00A867F4"/>
    <w:rsid w:val="00A91154"/>
    <w:rsid w:val="00A94E01"/>
    <w:rsid w:val="00A952AB"/>
    <w:rsid w:val="00A96EDC"/>
    <w:rsid w:val="00A9783D"/>
    <w:rsid w:val="00A97A2A"/>
    <w:rsid w:val="00AA1C57"/>
    <w:rsid w:val="00AA45E6"/>
    <w:rsid w:val="00AA532A"/>
    <w:rsid w:val="00AA5A37"/>
    <w:rsid w:val="00AB2DF4"/>
    <w:rsid w:val="00AB489C"/>
    <w:rsid w:val="00AB50C1"/>
    <w:rsid w:val="00AB6936"/>
    <w:rsid w:val="00AB748D"/>
    <w:rsid w:val="00AC0C3B"/>
    <w:rsid w:val="00AC2361"/>
    <w:rsid w:val="00AC2D63"/>
    <w:rsid w:val="00AC422F"/>
    <w:rsid w:val="00AD03D8"/>
    <w:rsid w:val="00AD0711"/>
    <w:rsid w:val="00AD17EE"/>
    <w:rsid w:val="00AD704E"/>
    <w:rsid w:val="00AE1CA6"/>
    <w:rsid w:val="00AE507E"/>
    <w:rsid w:val="00AE5FE0"/>
    <w:rsid w:val="00AE60B7"/>
    <w:rsid w:val="00AE75D4"/>
    <w:rsid w:val="00AF0629"/>
    <w:rsid w:val="00AF154F"/>
    <w:rsid w:val="00AF2AB7"/>
    <w:rsid w:val="00AF2B1C"/>
    <w:rsid w:val="00AF4833"/>
    <w:rsid w:val="00AF4D3F"/>
    <w:rsid w:val="00B000AD"/>
    <w:rsid w:val="00B02B94"/>
    <w:rsid w:val="00B0300B"/>
    <w:rsid w:val="00B032E5"/>
    <w:rsid w:val="00B05457"/>
    <w:rsid w:val="00B0793D"/>
    <w:rsid w:val="00B128A0"/>
    <w:rsid w:val="00B13241"/>
    <w:rsid w:val="00B15A7F"/>
    <w:rsid w:val="00B166D9"/>
    <w:rsid w:val="00B20240"/>
    <w:rsid w:val="00B23281"/>
    <w:rsid w:val="00B273AB"/>
    <w:rsid w:val="00B27571"/>
    <w:rsid w:val="00B32310"/>
    <w:rsid w:val="00B352F7"/>
    <w:rsid w:val="00B37B52"/>
    <w:rsid w:val="00B4164B"/>
    <w:rsid w:val="00B4404A"/>
    <w:rsid w:val="00B5409A"/>
    <w:rsid w:val="00B55574"/>
    <w:rsid w:val="00B57CF3"/>
    <w:rsid w:val="00B6109F"/>
    <w:rsid w:val="00B6525D"/>
    <w:rsid w:val="00B65ABA"/>
    <w:rsid w:val="00B6790F"/>
    <w:rsid w:val="00B70054"/>
    <w:rsid w:val="00B71B3B"/>
    <w:rsid w:val="00B75759"/>
    <w:rsid w:val="00B80913"/>
    <w:rsid w:val="00B81912"/>
    <w:rsid w:val="00B87D61"/>
    <w:rsid w:val="00B933E7"/>
    <w:rsid w:val="00B93948"/>
    <w:rsid w:val="00B94CE3"/>
    <w:rsid w:val="00B94E46"/>
    <w:rsid w:val="00B952DC"/>
    <w:rsid w:val="00B9605C"/>
    <w:rsid w:val="00BA4BC7"/>
    <w:rsid w:val="00BA55B7"/>
    <w:rsid w:val="00BA5E47"/>
    <w:rsid w:val="00BA7D57"/>
    <w:rsid w:val="00BB156E"/>
    <w:rsid w:val="00BB2F6A"/>
    <w:rsid w:val="00BB3330"/>
    <w:rsid w:val="00BB47D7"/>
    <w:rsid w:val="00BB4A62"/>
    <w:rsid w:val="00BB70BA"/>
    <w:rsid w:val="00BC01C1"/>
    <w:rsid w:val="00BC5A34"/>
    <w:rsid w:val="00BD17F5"/>
    <w:rsid w:val="00BD1B39"/>
    <w:rsid w:val="00BD6E05"/>
    <w:rsid w:val="00BE32AA"/>
    <w:rsid w:val="00BE48E6"/>
    <w:rsid w:val="00BE54D0"/>
    <w:rsid w:val="00BF21C2"/>
    <w:rsid w:val="00BF28AC"/>
    <w:rsid w:val="00BF3231"/>
    <w:rsid w:val="00BF666D"/>
    <w:rsid w:val="00BF6B6C"/>
    <w:rsid w:val="00BF7251"/>
    <w:rsid w:val="00BF7F28"/>
    <w:rsid w:val="00C00BC6"/>
    <w:rsid w:val="00C01710"/>
    <w:rsid w:val="00C01909"/>
    <w:rsid w:val="00C05787"/>
    <w:rsid w:val="00C13059"/>
    <w:rsid w:val="00C156D4"/>
    <w:rsid w:val="00C167A3"/>
    <w:rsid w:val="00C2181C"/>
    <w:rsid w:val="00C23148"/>
    <w:rsid w:val="00C2632F"/>
    <w:rsid w:val="00C26459"/>
    <w:rsid w:val="00C2657D"/>
    <w:rsid w:val="00C33260"/>
    <w:rsid w:val="00C3447A"/>
    <w:rsid w:val="00C35407"/>
    <w:rsid w:val="00C416E1"/>
    <w:rsid w:val="00C47BF8"/>
    <w:rsid w:val="00C51B1C"/>
    <w:rsid w:val="00C51D23"/>
    <w:rsid w:val="00C53DCE"/>
    <w:rsid w:val="00C553CC"/>
    <w:rsid w:val="00C6511C"/>
    <w:rsid w:val="00C655F2"/>
    <w:rsid w:val="00C65B4C"/>
    <w:rsid w:val="00C65B61"/>
    <w:rsid w:val="00C70E53"/>
    <w:rsid w:val="00C72979"/>
    <w:rsid w:val="00C75C14"/>
    <w:rsid w:val="00C81130"/>
    <w:rsid w:val="00C81529"/>
    <w:rsid w:val="00C81BA6"/>
    <w:rsid w:val="00C8377C"/>
    <w:rsid w:val="00C86796"/>
    <w:rsid w:val="00C877CD"/>
    <w:rsid w:val="00C902E9"/>
    <w:rsid w:val="00C908B7"/>
    <w:rsid w:val="00C91D81"/>
    <w:rsid w:val="00C92A42"/>
    <w:rsid w:val="00C96EC1"/>
    <w:rsid w:val="00CA18F2"/>
    <w:rsid w:val="00CA1E8F"/>
    <w:rsid w:val="00CA4871"/>
    <w:rsid w:val="00CA62D0"/>
    <w:rsid w:val="00CA6381"/>
    <w:rsid w:val="00CA6722"/>
    <w:rsid w:val="00CA6D4E"/>
    <w:rsid w:val="00CA7B4B"/>
    <w:rsid w:val="00CB36A8"/>
    <w:rsid w:val="00CC009D"/>
    <w:rsid w:val="00CC139A"/>
    <w:rsid w:val="00CC1E7A"/>
    <w:rsid w:val="00CC4F64"/>
    <w:rsid w:val="00CD058C"/>
    <w:rsid w:val="00CD3B98"/>
    <w:rsid w:val="00CD40F5"/>
    <w:rsid w:val="00CD4216"/>
    <w:rsid w:val="00CD518C"/>
    <w:rsid w:val="00CD733F"/>
    <w:rsid w:val="00CE0942"/>
    <w:rsid w:val="00CE1687"/>
    <w:rsid w:val="00CE7CA5"/>
    <w:rsid w:val="00CF1D81"/>
    <w:rsid w:val="00CF22B4"/>
    <w:rsid w:val="00CF2DC9"/>
    <w:rsid w:val="00CF7CB6"/>
    <w:rsid w:val="00D05C91"/>
    <w:rsid w:val="00D06A01"/>
    <w:rsid w:val="00D10E81"/>
    <w:rsid w:val="00D25DA8"/>
    <w:rsid w:val="00D2727D"/>
    <w:rsid w:val="00D311AB"/>
    <w:rsid w:val="00D325A8"/>
    <w:rsid w:val="00D367B8"/>
    <w:rsid w:val="00D43531"/>
    <w:rsid w:val="00D442AD"/>
    <w:rsid w:val="00D44591"/>
    <w:rsid w:val="00D46805"/>
    <w:rsid w:val="00D509AA"/>
    <w:rsid w:val="00D5618A"/>
    <w:rsid w:val="00D5784B"/>
    <w:rsid w:val="00D57938"/>
    <w:rsid w:val="00D6095C"/>
    <w:rsid w:val="00D63EFB"/>
    <w:rsid w:val="00D658AF"/>
    <w:rsid w:val="00D73B34"/>
    <w:rsid w:val="00D83DE9"/>
    <w:rsid w:val="00D8450D"/>
    <w:rsid w:val="00D84BB3"/>
    <w:rsid w:val="00D8541D"/>
    <w:rsid w:val="00D93FBA"/>
    <w:rsid w:val="00D95AF9"/>
    <w:rsid w:val="00D966F6"/>
    <w:rsid w:val="00DA09C9"/>
    <w:rsid w:val="00DA0A7E"/>
    <w:rsid w:val="00DA1822"/>
    <w:rsid w:val="00DA7EA6"/>
    <w:rsid w:val="00DB1741"/>
    <w:rsid w:val="00DB5E1F"/>
    <w:rsid w:val="00DB5FDD"/>
    <w:rsid w:val="00DC19D8"/>
    <w:rsid w:val="00DC2613"/>
    <w:rsid w:val="00DC4512"/>
    <w:rsid w:val="00DC7C3A"/>
    <w:rsid w:val="00DD2183"/>
    <w:rsid w:val="00DD3691"/>
    <w:rsid w:val="00DD4B55"/>
    <w:rsid w:val="00DD4EDC"/>
    <w:rsid w:val="00DE1050"/>
    <w:rsid w:val="00DE1E90"/>
    <w:rsid w:val="00DE24E6"/>
    <w:rsid w:val="00DE32B7"/>
    <w:rsid w:val="00DE6762"/>
    <w:rsid w:val="00DF07AD"/>
    <w:rsid w:val="00DF3364"/>
    <w:rsid w:val="00E055BB"/>
    <w:rsid w:val="00E11988"/>
    <w:rsid w:val="00E14F56"/>
    <w:rsid w:val="00E15DA9"/>
    <w:rsid w:val="00E1663F"/>
    <w:rsid w:val="00E2095D"/>
    <w:rsid w:val="00E2207B"/>
    <w:rsid w:val="00E24565"/>
    <w:rsid w:val="00E30414"/>
    <w:rsid w:val="00E335E5"/>
    <w:rsid w:val="00E403A4"/>
    <w:rsid w:val="00E40769"/>
    <w:rsid w:val="00E415D5"/>
    <w:rsid w:val="00E426E6"/>
    <w:rsid w:val="00E42E8B"/>
    <w:rsid w:val="00E4743A"/>
    <w:rsid w:val="00E5463B"/>
    <w:rsid w:val="00E55A3D"/>
    <w:rsid w:val="00E60F12"/>
    <w:rsid w:val="00E61640"/>
    <w:rsid w:val="00E61F44"/>
    <w:rsid w:val="00E652FB"/>
    <w:rsid w:val="00E658A8"/>
    <w:rsid w:val="00E66C20"/>
    <w:rsid w:val="00E67502"/>
    <w:rsid w:val="00E713BA"/>
    <w:rsid w:val="00E71822"/>
    <w:rsid w:val="00E71C46"/>
    <w:rsid w:val="00E75ED2"/>
    <w:rsid w:val="00E8280C"/>
    <w:rsid w:val="00E83E4C"/>
    <w:rsid w:val="00E8673D"/>
    <w:rsid w:val="00E91933"/>
    <w:rsid w:val="00E92A81"/>
    <w:rsid w:val="00E969B1"/>
    <w:rsid w:val="00EA3A4D"/>
    <w:rsid w:val="00EA3E1D"/>
    <w:rsid w:val="00EB0349"/>
    <w:rsid w:val="00EB6552"/>
    <w:rsid w:val="00EB7C3C"/>
    <w:rsid w:val="00EC18E6"/>
    <w:rsid w:val="00EC1984"/>
    <w:rsid w:val="00EC234C"/>
    <w:rsid w:val="00ED137B"/>
    <w:rsid w:val="00ED3529"/>
    <w:rsid w:val="00ED4D17"/>
    <w:rsid w:val="00ED7A41"/>
    <w:rsid w:val="00EE0311"/>
    <w:rsid w:val="00EE2CD5"/>
    <w:rsid w:val="00EE3CA0"/>
    <w:rsid w:val="00EE6CD3"/>
    <w:rsid w:val="00EF20D7"/>
    <w:rsid w:val="00EF3419"/>
    <w:rsid w:val="00EF37E5"/>
    <w:rsid w:val="00F00452"/>
    <w:rsid w:val="00F0119C"/>
    <w:rsid w:val="00F027CE"/>
    <w:rsid w:val="00F02BDB"/>
    <w:rsid w:val="00F0441B"/>
    <w:rsid w:val="00F07623"/>
    <w:rsid w:val="00F3136B"/>
    <w:rsid w:val="00F314F1"/>
    <w:rsid w:val="00F327EA"/>
    <w:rsid w:val="00F33641"/>
    <w:rsid w:val="00F3387C"/>
    <w:rsid w:val="00F35C6F"/>
    <w:rsid w:val="00F40AED"/>
    <w:rsid w:val="00F42842"/>
    <w:rsid w:val="00F440F0"/>
    <w:rsid w:val="00F46E40"/>
    <w:rsid w:val="00F4760A"/>
    <w:rsid w:val="00F52B8E"/>
    <w:rsid w:val="00F532B6"/>
    <w:rsid w:val="00F53CFD"/>
    <w:rsid w:val="00F54AF5"/>
    <w:rsid w:val="00F557E3"/>
    <w:rsid w:val="00F61E78"/>
    <w:rsid w:val="00F620A9"/>
    <w:rsid w:val="00F635C5"/>
    <w:rsid w:val="00F736E3"/>
    <w:rsid w:val="00F76300"/>
    <w:rsid w:val="00F767E8"/>
    <w:rsid w:val="00F86A3F"/>
    <w:rsid w:val="00F91297"/>
    <w:rsid w:val="00F9133B"/>
    <w:rsid w:val="00F92464"/>
    <w:rsid w:val="00F97730"/>
    <w:rsid w:val="00F97D30"/>
    <w:rsid w:val="00FA75DB"/>
    <w:rsid w:val="00FB32A4"/>
    <w:rsid w:val="00FB594D"/>
    <w:rsid w:val="00FB5A55"/>
    <w:rsid w:val="00FC2374"/>
    <w:rsid w:val="00FC49BB"/>
    <w:rsid w:val="00FC4DCE"/>
    <w:rsid w:val="00FC7082"/>
    <w:rsid w:val="00FD534C"/>
    <w:rsid w:val="00FD616B"/>
    <w:rsid w:val="00FD753D"/>
    <w:rsid w:val="00FD7F66"/>
    <w:rsid w:val="00FE2A9C"/>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ED7A41"/>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uiPriority w:val="99"/>
    <w:rsid w:val="00EA6F2B"/>
    <w:rPr>
      <w:sz w:val="24"/>
      <w:szCs w:val="24"/>
    </w:rPr>
  </w:style>
  <w:style w:type="character" w:styleId="EndnoteReference">
    <w:name w:val="endnote reference"/>
    <w:aliases w:val="Endnote Text Char"/>
    <w:uiPriority w:val="99"/>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72"/>
    <w:qFormat/>
    <w:rsid w:val="00733CD0"/>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33CD0"/>
    <w:rPr>
      <w:sz w:val="16"/>
      <w:szCs w:val="16"/>
    </w:rPr>
  </w:style>
  <w:style w:type="paragraph" w:styleId="CommentText">
    <w:name w:val="annotation text"/>
    <w:basedOn w:val="Normal"/>
    <w:link w:val="CommentTextChar"/>
    <w:uiPriority w:val="99"/>
    <w:semiHidden/>
    <w:unhideWhenUsed/>
    <w:rsid w:val="00733CD0"/>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733CD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33CD0"/>
    <w:rPr>
      <w:b/>
      <w:bCs/>
    </w:rPr>
  </w:style>
  <w:style w:type="character" w:customStyle="1" w:styleId="CommentSubjectChar">
    <w:name w:val="Comment Subject Char"/>
    <w:basedOn w:val="CommentTextChar"/>
    <w:link w:val="CommentSubject"/>
    <w:uiPriority w:val="99"/>
    <w:semiHidden/>
    <w:rsid w:val="00733CD0"/>
    <w:rPr>
      <w:rFonts w:ascii="Calibri" w:eastAsia="Calibri" w:hAnsi="Calibri"/>
      <w:b/>
      <w:bCs/>
      <w:lang w:eastAsia="en-US"/>
    </w:rPr>
  </w:style>
  <w:style w:type="paragraph" w:styleId="BalloonText">
    <w:name w:val="Balloon Text"/>
    <w:basedOn w:val="Normal"/>
    <w:link w:val="BalloonTextChar"/>
    <w:uiPriority w:val="99"/>
    <w:semiHidden/>
    <w:unhideWhenUsed/>
    <w:rsid w:val="00733CD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33CD0"/>
    <w:rPr>
      <w:rFonts w:ascii="Tahoma" w:eastAsia="Calibri" w:hAnsi="Tahoma" w:cs="Tahoma"/>
      <w:sz w:val="16"/>
      <w:szCs w:val="16"/>
      <w:lang w:eastAsia="en-US"/>
    </w:rPr>
  </w:style>
  <w:style w:type="character" w:customStyle="1" w:styleId="HeaderChar">
    <w:name w:val="Header Char"/>
    <w:link w:val="Header"/>
    <w:uiPriority w:val="99"/>
    <w:rsid w:val="00733CD0"/>
    <w:rPr>
      <w:rFonts w:ascii="Arial" w:hAnsi="Arial" w:cs="Arial"/>
      <w:sz w:val="18"/>
      <w:szCs w:val="18"/>
      <w:lang w:eastAsia="en-US"/>
    </w:rPr>
  </w:style>
  <w:style w:type="character" w:customStyle="1" w:styleId="FooterChar">
    <w:name w:val="Footer Char"/>
    <w:link w:val="Footer"/>
    <w:uiPriority w:val="99"/>
    <w:rsid w:val="00733CD0"/>
    <w:rPr>
      <w:rFonts w:ascii="Arial" w:hAnsi="Arial" w:cs="Arial"/>
      <w:sz w:val="18"/>
      <w:szCs w:val="18"/>
      <w:lang w:eastAsia="en-US"/>
    </w:rPr>
  </w:style>
  <w:style w:type="character" w:customStyle="1" w:styleId="FootnoteTextChar">
    <w:name w:val="Footnote Text Char"/>
    <w:link w:val="FootnoteText"/>
    <w:uiPriority w:val="99"/>
    <w:rsid w:val="00733CD0"/>
    <w:rPr>
      <w:rFonts w:ascii="Arial" w:eastAsia="MS Gothic" w:hAnsi="Arial" w:cs="Arial"/>
      <w:sz w:val="16"/>
      <w:szCs w:val="16"/>
      <w:lang w:eastAsia="en-US"/>
    </w:rPr>
  </w:style>
  <w:style w:type="paragraph" w:customStyle="1" w:styleId="Pa3">
    <w:name w:val="Pa3"/>
    <w:basedOn w:val="Normal"/>
    <w:next w:val="Normal"/>
    <w:uiPriority w:val="99"/>
    <w:rsid w:val="00DD2183"/>
    <w:pPr>
      <w:autoSpaceDE w:val="0"/>
      <w:autoSpaceDN w:val="0"/>
      <w:adjustRightInd w:val="0"/>
      <w:spacing w:line="201" w:lineRule="atLeast"/>
    </w:pPr>
    <w:rPr>
      <w:rFonts w:ascii="Raleway" w:hAnsi="Raleway"/>
      <w:sz w:val="24"/>
      <w:szCs w:val="24"/>
      <w:lang w:eastAsia="en-AU"/>
    </w:rPr>
  </w:style>
  <w:style w:type="paragraph" w:customStyle="1" w:styleId="Pa11">
    <w:name w:val="Pa11"/>
    <w:basedOn w:val="Normal"/>
    <w:next w:val="Normal"/>
    <w:uiPriority w:val="99"/>
    <w:rsid w:val="00DD2183"/>
    <w:pPr>
      <w:autoSpaceDE w:val="0"/>
      <w:autoSpaceDN w:val="0"/>
      <w:adjustRightInd w:val="0"/>
      <w:spacing w:line="201" w:lineRule="atLeast"/>
    </w:pPr>
    <w:rPr>
      <w:rFonts w:ascii="Raleway" w:hAnsi="Raleway"/>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lsdException w:name="Table Grid" w:semiHidden="0" w:uiPriority="0"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rsid w:val="00ED7A41"/>
    <w:rPr>
      <w:rFonts w:ascii="Cambria" w:hAnsi="Cambria"/>
      <w:lang w:eastAsia="en-US"/>
    </w:rPr>
  </w:style>
  <w:style w:type="paragraph" w:styleId="Heading1">
    <w:name w:val="heading 1"/>
    <w:next w:val="DHHSbody"/>
    <w:link w:val="Heading1Char"/>
    <w:uiPriority w:val="1"/>
    <w:qFormat/>
    <w:rsid w:val="00E55A3D"/>
    <w:pPr>
      <w:keepNext/>
      <w:keepLines/>
      <w:spacing w:before="520" w:after="440" w:line="440" w:lineRule="atLeast"/>
      <w:outlineLvl w:val="0"/>
    </w:pPr>
    <w:rPr>
      <w:rFonts w:ascii="Arial" w:hAnsi="Arial"/>
      <w:bCs/>
      <w:color w:val="007B4B"/>
      <w:sz w:val="44"/>
      <w:szCs w:val="44"/>
      <w:lang w:eastAsia="en-US"/>
    </w:rPr>
  </w:style>
  <w:style w:type="paragraph" w:styleId="Heading2">
    <w:name w:val="heading 2"/>
    <w:next w:val="DHHSbody"/>
    <w:link w:val="Heading2Char"/>
    <w:uiPriority w:val="1"/>
    <w:qFormat/>
    <w:rsid w:val="00E55A3D"/>
    <w:pPr>
      <w:keepNext/>
      <w:keepLines/>
      <w:spacing w:before="240" w:after="90" w:line="320" w:lineRule="atLeast"/>
      <w:outlineLvl w:val="1"/>
    </w:pPr>
    <w:rPr>
      <w:rFonts w:ascii="Arial" w:hAnsi="Arial"/>
      <w:b/>
      <w:color w:val="007B4B"/>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E55A3D"/>
    <w:rPr>
      <w:rFonts w:ascii="Arial" w:hAnsi="Arial"/>
      <w:bCs/>
      <w:color w:val="007B4B"/>
      <w:sz w:val="44"/>
      <w:szCs w:val="44"/>
      <w:lang w:eastAsia="en-US"/>
    </w:rPr>
  </w:style>
  <w:style w:type="character" w:customStyle="1" w:styleId="Heading2Char">
    <w:name w:val="Heading 2 Char"/>
    <w:link w:val="Heading2"/>
    <w:uiPriority w:val="1"/>
    <w:rsid w:val="00E55A3D"/>
    <w:rPr>
      <w:rFonts w:ascii="Arial" w:hAnsi="Arial"/>
      <w:b/>
      <w:color w:val="007B4B"/>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uiPriority w:val="99"/>
    <w:rsid w:val="00EA6F2B"/>
    <w:rPr>
      <w:sz w:val="24"/>
      <w:szCs w:val="24"/>
    </w:rPr>
  </w:style>
  <w:style w:type="character" w:styleId="EndnoteReference">
    <w:name w:val="endnote reference"/>
    <w:aliases w:val="Endnote Text Char"/>
    <w:uiPriority w:val="99"/>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E55A3D"/>
    <w:pPr>
      <w:keepLines/>
      <w:spacing w:after="240" w:line="580" w:lineRule="atLeast"/>
    </w:pPr>
    <w:rPr>
      <w:rFonts w:ascii="Arial" w:hAnsi="Arial"/>
      <w:color w:val="007B4B"/>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rsid w:val="001A7E04"/>
    <w:pPr>
      <w:spacing w:after="200" w:line="320" w:lineRule="atLeast"/>
    </w:pPr>
    <w:rPr>
      <w:rFonts w:ascii="Arial" w:hAnsi="Arial"/>
      <w:color w:val="FFFFFF"/>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E55A3D"/>
    <w:pPr>
      <w:spacing w:before="80" w:after="60"/>
    </w:pPr>
    <w:rPr>
      <w:rFonts w:ascii="Arial" w:hAnsi="Arial"/>
      <w:b/>
      <w:color w:val="007B4B"/>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E55A3D"/>
    <w:pPr>
      <w:spacing w:before="0"/>
      <w:outlineLvl w:val="9"/>
    </w:pPr>
  </w:style>
  <w:style w:type="character" w:customStyle="1" w:styleId="DHHSTOCheadingreportChar">
    <w:name w:val="DHHS TOC heading report Char"/>
    <w:link w:val="DHHSTOCheadingreport"/>
    <w:uiPriority w:val="5"/>
    <w:rsid w:val="00E55A3D"/>
    <w:rPr>
      <w:rFonts w:ascii="Arial" w:hAnsi="Arial"/>
      <w:bCs/>
      <w:color w:val="007B4B"/>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E75ED2"/>
    <w:pPr>
      <w:ind w:left="397"/>
    </w:pPr>
    <w:rPr>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semiHidden/>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E71C46"/>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72"/>
    <w:qFormat/>
    <w:rsid w:val="00733CD0"/>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733CD0"/>
    <w:rPr>
      <w:sz w:val="16"/>
      <w:szCs w:val="16"/>
    </w:rPr>
  </w:style>
  <w:style w:type="paragraph" w:styleId="CommentText">
    <w:name w:val="annotation text"/>
    <w:basedOn w:val="Normal"/>
    <w:link w:val="CommentTextChar"/>
    <w:uiPriority w:val="99"/>
    <w:semiHidden/>
    <w:unhideWhenUsed/>
    <w:rsid w:val="00733CD0"/>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733CD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733CD0"/>
    <w:rPr>
      <w:b/>
      <w:bCs/>
    </w:rPr>
  </w:style>
  <w:style w:type="character" w:customStyle="1" w:styleId="CommentSubjectChar">
    <w:name w:val="Comment Subject Char"/>
    <w:basedOn w:val="CommentTextChar"/>
    <w:link w:val="CommentSubject"/>
    <w:uiPriority w:val="99"/>
    <w:semiHidden/>
    <w:rsid w:val="00733CD0"/>
    <w:rPr>
      <w:rFonts w:ascii="Calibri" w:eastAsia="Calibri" w:hAnsi="Calibri"/>
      <w:b/>
      <w:bCs/>
      <w:lang w:eastAsia="en-US"/>
    </w:rPr>
  </w:style>
  <w:style w:type="paragraph" w:styleId="BalloonText">
    <w:name w:val="Balloon Text"/>
    <w:basedOn w:val="Normal"/>
    <w:link w:val="BalloonTextChar"/>
    <w:uiPriority w:val="99"/>
    <w:semiHidden/>
    <w:unhideWhenUsed/>
    <w:rsid w:val="00733CD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733CD0"/>
    <w:rPr>
      <w:rFonts w:ascii="Tahoma" w:eastAsia="Calibri" w:hAnsi="Tahoma" w:cs="Tahoma"/>
      <w:sz w:val="16"/>
      <w:szCs w:val="16"/>
      <w:lang w:eastAsia="en-US"/>
    </w:rPr>
  </w:style>
  <w:style w:type="character" w:customStyle="1" w:styleId="HeaderChar">
    <w:name w:val="Header Char"/>
    <w:link w:val="Header"/>
    <w:uiPriority w:val="99"/>
    <w:rsid w:val="00733CD0"/>
    <w:rPr>
      <w:rFonts w:ascii="Arial" w:hAnsi="Arial" w:cs="Arial"/>
      <w:sz w:val="18"/>
      <w:szCs w:val="18"/>
      <w:lang w:eastAsia="en-US"/>
    </w:rPr>
  </w:style>
  <w:style w:type="character" w:customStyle="1" w:styleId="FooterChar">
    <w:name w:val="Footer Char"/>
    <w:link w:val="Footer"/>
    <w:uiPriority w:val="99"/>
    <w:rsid w:val="00733CD0"/>
    <w:rPr>
      <w:rFonts w:ascii="Arial" w:hAnsi="Arial" w:cs="Arial"/>
      <w:sz w:val="18"/>
      <w:szCs w:val="18"/>
      <w:lang w:eastAsia="en-US"/>
    </w:rPr>
  </w:style>
  <w:style w:type="character" w:customStyle="1" w:styleId="FootnoteTextChar">
    <w:name w:val="Footnote Text Char"/>
    <w:link w:val="FootnoteText"/>
    <w:uiPriority w:val="99"/>
    <w:rsid w:val="00733CD0"/>
    <w:rPr>
      <w:rFonts w:ascii="Arial" w:eastAsia="MS Gothic" w:hAnsi="Arial" w:cs="Arial"/>
      <w:sz w:val="16"/>
      <w:szCs w:val="16"/>
      <w:lang w:eastAsia="en-US"/>
    </w:rPr>
  </w:style>
  <w:style w:type="paragraph" w:customStyle="1" w:styleId="Pa3">
    <w:name w:val="Pa3"/>
    <w:basedOn w:val="Normal"/>
    <w:next w:val="Normal"/>
    <w:uiPriority w:val="99"/>
    <w:rsid w:val="00DD2183"/>
    <w:pPr>
      <w:autoSpaceDE w:val="0"/>
      <w:autoSpaceDN w:val="0"/>
      <w:adjustRightInd w:val="0"/>
      <w:spacing w:line="201" w:lineRule="atLeast"/>
    </w:pPr>
    <w:rPr>
      <w:rFonts w:ascii="Raleway" w:hAnsi="Raleway"/>
      <w:sz w:val="24"/>
      <w:szCs w:val="24"/>
      <w:lang w:eastAsia="en-AU"/>
    </w:rPr>
  </w:style>
  <w:style w:type="paragraph" w:customStyle="1" w:styleId="Pa11">
    <w:name w:val="Pa11"/>
    <w:basedOn w:val="Normal"/>
    <w:next w:val="Normal"/>
    <w:uiPriority w:val="99"/>
    <w:rsid w:val="00DD2183"/>
    <w:pPr>
      <w:autoSpaceDE w:val="0"/>
      <w:autoSpaceDN w:val="0"/>
      <w:adjustRightInd w:val="0"/>
      <w:spacing w:line="201" w:lineRule="atLeast"/>
    </w:pPr>
    <w:rPr>
      <w:rFonts w:ascii="Raleway" w:hAnsi="Raleway"/>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791">
      <w:bodyDiv w:val="1"/>
      <w:marLeft w:val="0"/>
      <w:marRight w:val="0"/>
      <w:marTop w:val="0"/>
      <w:marBottom w:val="0"/>
      <w:divBdr>
        <w:top w:val="none" w:sz="0" w:space="0" w:color="auto"/>
        <w:left w:val="none" w:sz="0" w:space="0" w:color="auto"/>
        <w:bottom w:val="none" w:sz="0" w:space="0" w:color="auto"/>
        <w:right w:val="none" w:sz="0" w:space="0" w:color="auto"/>
      </w:divBdr>
    </w:div>
    <w:div w:id="469252420">
      <w:bodyDiv w:val="1"/>
      <w:marLeft w:val="0"/>
      <w:marRight w:val="0"/>
      <w:marTop w:val="0"/>
      <w:marBottom w:val="0"/>
      <w:divBdr>
        <w:top w:val="none" w:sz="0" w:space="0" w:color="auto"/>
        <w:left w:val="none" w:sz="0" w:space="0" w:color="auto"/>
        <w:bottom w:val="none" w:sz="0" w:space="0" w:color="auto"/>
        <w:right w:val="none" w:sz="0" w:space="0" w:color="auto"/>
      </w:divBdr>
    </w:div>
    <w:div w:id="1500578195">
      <w:bodyDiv w:val="1"/>
      <w:marLeft w:val="0"/>
      <w:marRight w:val="0"/>
      <w:marTop w:val="0"/>
      <w:marBottom w:val="0"/>
      <w:divBdr>
        <w:top w:val="none" w:sz="0" w:space="0" w:color="auto"/>
        <w:left w:val="none" w:sz="0" w:space="0" w:color="auto"/>
        <w:bottom w:val="none" w:sz="0" w:space="0" w:color="auto"/>
        <w:right w:val="none" w:sz="0" w:space="0" w:color="auto"/>
      </w:divBdr>
    </w:div>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s://doi.org/10.3928/00220124-20170119-03" TargetMode="External"/><Relationship Id="rId13" Type="http://schemas.openxmlformats.org/officeDocument/2006/relationships/hyperlink" Target="http://www.nursingmidwiferyboard.gov.au/Codes-Guidelines-Statements/Professional-standards.aspx" TargetMode="External"/><Relationship Id="rId18" Type="http://schemas.openxmlformats.org/officeDocument/2006/relationships/hyperlink" Target="https://www2.health.vic.gov.au/health-workforce/nursing-and-midwifery/whats-new" TargetMode="External"/><Relationship Id="rId26" Type="http://schemas.openxmlformats.org/officeDocument/2006/relationships/hyperlink" Target="http://www.nursingmidwiferyboard.gov.au/Registration-Standards/Continuing-professional-development.aspx" TargetMode="External"/><Relationship Id="rId3" Type="http://schemas.openxmlformats.org/officeDocument/2006/relationships/hyperlink" Target="https://www2.health.vic.gov.au/health-workforce/education-and-training/building-a-quality-health-workforce/bpcle-framework" TargetMode="External"/><Relationship Id="rId21" Type="http://schemas.openxmlformats.org/officeDocument/2006/relationships/hyperlink" Target="https://doi.org/10.1016/j.colegn.2017.06.006" TargetMode="External"/><Relationship Id="rId7" Type="http://schemas.openxmlformats.org/officeDocument/2006/relationships/hyperlink" Target="http://dx.doi.org/10.1016/j.colegn.2015.03.004" TargetMode="External"/><Relationship Id="rId12" Type="http://schemas.openxmlformats.org/officeDocument/2006/relationships/hyperlink" Target="http://www.nursingmidwiferyboard.gov.au/Codes-Guidelines-Statements/Professional-standards.aspx" TargetMode="External"/><Relationship Id="rId17" Type="http://schemas.openxmlformats.org/officeDocument/2006/relationships/hyperlink" Target="https://www2.health.vic.gov.au/health-workforce/education-and-training/building-a-quality-health-workforce/bpcle-framework" TargetMode="External"/><Relationship Id="rId25" Type="http://schemas.openxmlformats.org/officeDocument/2006/relationships/hyperlink" Target="https://www2.health.vic.gov.au/health-workforce/worker-health-wellbeing/occupational-violence-aggression/training" TargetMode="External"/><Relationship Id="rId2" Type="http://schemas.openxmlformats.org/officeDocument/2006/relationships/hyperlink" Target="https://www2.health.vic.gov.au/health-workforce/nursing-and-midwifery/nursing-and-midwifery-graduates" TargetMode="External"/><Relationship Id="rId16" Type="http://schemas.openxmlformats.org/officeDocument/2006/relationships/hyperlink" Target="http://www.nursingmidwiferyboard.gov.au/Codes-Guidelines-Statements/Professional-standards.aspx" TargetMode="External"/><Relationship Id="rId20" Type="http://schemas.openxmlformats.org/officeDocument/2006/relationships/hyperlink" Target="https://doi.org/10.1111/jan.12464" TargetMode="External"/><Relationship Id="rId29" Type="http://schemas.openxmlformats.org/officeDocument/2006/relationships/hyperlink" Target="https://doi.org/10.1186/s12909-016-0674-5" TargetMode="External"/><Relationship Id="rId1" Type="http://schemas.openxmlformats.org/officeDocument/2006/relationships/hyperlink" Target="https://www2.health.vic.gov.au/health-workforce/nursing-and-midwifery/nursing-and-midwifery-graduates" TargetMode="External"/><Relationship Id="rId6" Type="http://schemas.openxmlformats.org/officeDocument/2006/relationships/hyperlink" Target="http://www.nursingmidwiferyboard.gov.au/Codes-Guidelines-Statements/Professional-standards.aspx" TargetMode="External"/><Relationship Id="rId11" Type="http://schemas.openxmlformats.org/officeDocument/2006/relationships/hyperlink" Target="https://doi.org/10.1186/s12912-017-0236-0" TargetMode="External"/><Relationship Id="rId24" Type="http://schemas.openxmlformats.org/officeDocument/2006/relationships/hyperlink" Target="https://doi.org/10.1108/JMD-12-2015-0188" TargetMode="External"/><Relationship Id="rId5" Type="http://schemas.openxmlformats.org/officeDocument/2006/relationships/hyperlink" Target="https://www2.health.vic.gov.au/health-workforce/nursing-and-midwifery/whats-new" TargetMode="External"/><Relationship Id="rId15" Type="http://schemas.openxmlformats.org/officeDocument/2006/relationships/hyperlink" Target="http://www.nursingmidwiferyboard.gov.au/Codes-Guidelines-Statements/Professional-standards/registered-nurse-standards-for-practice.aspx" TargetMode="External"/><Relationship Id="rId23" Type="http://schemas.openxmlformats.org/officeDocument/2006/relationships/hyperlink" Target="https://doi.org/10.21307/eb-2013-002" TargetMode="External"/><Relationship Id="rId28" Type="http://schemas.openxmlformats.org/officeDocument/2006/relationships/hyperlink" Target="https://doi.org/10.5430/jnep.v8n3p103" TargetMode="External"/><Relationship Id="rId10" Type="http://schemas.openxmlformats.org/officeDocument/2006/relationships/hyperlink" Target="http://dx.doi.org/10.1016/j.colegn.2017.09.002" TargetMode="External"/><Relationship Id="rId19" Type="http://schemas.openxmlformats.org/officeDocument/2006/relationships/hyperlink" Target="http://dx.doi.org/10.1016/j.nepr.2017.10.008" TargetMode="External"/><Relationship Id="rId4" Type="http://schemas.openxmlformats.org/officeDocument/2006/relationships/hyperlink" Target="https://www2.health.vic.gov.au/hospitals-and-health-services/quality-safety-service/clinical-risk-management/clinical-governance-policy" TargetMode="External"/><Relationship Id="rId9" Type="http://schemas.openxmlformats.org/officeDocument/2006/relationships/hyperlink" Target="http://dx.doi.org/10.1016/j.nedt.2017.09.011" TargetMode="External"/><Relationship Id="rId14" Type="http://schemas.openxmlformats.org/officeDocument/2006/relationships/hyperlink" Target="http://www.nursingmidwiferyboard.gov.au/Codes-Guidelines-Statements/Frameworks.aspx" TargetMode="External"/><Relationship Id="rId22" Type="http://schemas.openxmlformats.org/officeDocument/2006/relationships/hyperlink" Target="https://doi.org/10.1016/j.nedt.2016.07.001" TargetMode="External"/><Relationship Id="rId27" Type="http://schemas.openxmlformats.org/officeDocument/2006/relationships/hyperlink" Target="http://dx.doi.org/10.1016/j.ijnurstu.2014.01.001" TargetMode="External"/><Relationship Id="rId30" Type="http://schemas.openxmlformats.org/officeDocument/2006/relationships/hyperlink" Target="https://doi.org/10.1080/10376178.2014.11081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2D7D5-FC5E-4F1D-ACB4-310D2D1A6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4638</Words>
  <Characters>33179</Characters>
  <Application>Microsoft Office Word</Application>
  <DocSecurity>0</DocSecurity>
  <Lines>276</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37742</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1114162</vt:i4>
      </vt:variant>
      <vt:variant>
        <vt:i4>44</vt:i4>
      </vt:variant>
      <vt:variant>
        <vt:i4>0</vt:i4>
      </vt:variant>
      <vt:variant>
        <vt:i4>5</vt:i4>
      </vt:variant>
      <vt:variant>
        <vt:lpwstr/>
      </vt:variant>
      <vt:variant>
        <vt:lpwstr>_Toc442704413</vt:lpwstr>
      </vt:variant>
      <vt:variant>
        <vt:i4>1114162</vt:i4>
      </vt:variant>
      <vt:variant>
        <vt:i4>38</vt:i4>
      </vt:variant>
      <vt:variant>
        <vt:i4>0</vt:i4>
      </vt:variant>
      <vt:variant>
        <vt:i4>5</vt:i4>
      </vt:variant>
      <vt:variant>
        <vt:lpwstr/>
      </vt:variant>
      <vt:variant>
        <vt:lpwstr>_Toc442704412</vt:lpwstr>
      </vt:variant>
      <vt:variant>
        <vt:i4>1114162</vt:i4>
      </vt:variant>
      <vt:variant>
        <vt:i4>32</vt:i4>
      </vt:variant>
      <vt:variant>
        <vt:i4>0</vt:i4>
      </vt:variant>
      <vt:variant>
        <vt:i4>5</vt:i4>
      </vt:variant>
      <vt:variant>
        <vt:lpwstr/>
      </vt:variant>
      <vt:variant>
        <vt:lpwstr>_Toc442704411</vt:lpwstr>
      </vt:variant>
      <vt:variant>
        <vt:i4>1114162</vt:i4>
      </vt:variant>
      <vt:variant>
        <vt:i4>26</vt:i4>
      </vt:variant>
      <vt:variant>
        <vt:i4>0</vt:i4>
      </vt:variant>
      <vt:variant>
        <vt:i4>5</vt:i4>
      </vt:variant>
      <vt:variant>
        <vt:lpwstr/>
      </vt:variant>
      <vt:variant>
        <vt:lpwstr>_Toc442704410</vt:lpwstr>
      </vt:variant>
      <vt:variant>
        <vt:i4>1048626</vt:i4>
      </vt:variant>
      <vt:variant>
        <vt:i4>20</vt:i4>
      </vt:variant>
      <vt:variant>
        <vt:i4>0</vt:i4>
      </vt:variant>
      <vt:variant>
        <vt:i4>5</vt:i4>
      </vt:variant>
      <vt:variant>
        <vt:lpwstr/>
      </vt:variant>
      <vt:variant>
        <vt:lpwstr>_Toc442704409</vt:lpwstr>
      </vt:variant>
      <vt:variant>
        <vt:i4>1048626</vt:i4>
      </vt:variant>
      <vt:variant>
        <vt:i4>14</vt:i4>
      </vt:variant>
      <vt:variant>
        <vt:i4>0</vt:i4>
      </vt:variant>
      <vt:variant>
        <vt:i4>5</vt:i4>
      </vt:variant>
      <vt:variant>
        <vt:lpwstr/>
      </vt:variant>
      <vt:variant>
        <vt:lpwstr>_Toc442704408</vt:lpwstr>
      </vt:variant>
      <vt:variant>
        <vt:i4>1048626</vt:i4>
      </vt:variant>
      <vt:variant>
        <vt:i4>8</vt:i4>
      </vt:variant>
      <vt:variant>
        <vt:i4>0</vt:i4>
      </vt:variant>
      <vt:variant>
        <vt:i4>5</vt:i4>
      </vt:variant>
      <vt:variant>
        <vt:lpwstr/>
      </vt:variant>
      <vt:variant>
        <vt:lpwstr>_Toc442704407</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Weidemann</dc:creator>
  <cp:lastModifiedBy>Andrew Oates</cp:lastModifiedBy>
  <cp:revision>2</cp:revision>
  <cp:lastPrinted>2018-06-19T00:57:00Z</cp:lastPrinted>
  <dcterms:created xsi:type="dcterms:W3CDTF">2018-08-09T02:04:00Z</dcterms:created>
  <dcterms:modified xsi:type="dcterms:W3CDTF">2018-08-09T02:04:00Z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