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D7CC" w14:textId="3F3224A8" w:rsidR="00834B05" w:rsidRDefault="00834B05" w:rsidP="00834B05">
      <w:pPr>
        <w:pStyle w:val="DHHSbody"/>
      </w:pPr>
      <w:bookmarkStart w:id="0" w:name="_Toc516827357"/>
      <w:bookmarkStart w:id="1" w:name="_GoBack"/>
      <w:r w:rsidRPr="002051B8">
        <w:rPr>
          <w:noProof/>
        </w:rPr>
        <w:drawing>
          <wp:anchor distT="0" distB="0" distL="114300" distR="114300" simplePos="0" relativeHeight="251658240" behindDoc="1" locked="0" layoutInCell="0" allowOverlap="1" wp14:anchorId="70D6B7A3" wp14:editId="35BCEBE7">
            <wp:simplePos x="0" y="0"/>
            <wp:positionH relativeFrom="page">
              <wp:posOffset>0</wp:posOffset>
            </wp:positionH>
            <wp:positionV relativeFrom="page">
              <wp:posOffset>0</wp:posOffset>
            </wp:positionV>
            <wp:extent cx="7563485" cy="10697845"/>
            <wp:effectExtent l="0" t="0" r="0" b="8255"/>
            <wp:wrapNone/>
            <wp:docPr id="10" name="Picture 1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ealth and Human Servic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3485" cy="1069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43072" w14:textId="5DEE61F9" w:rsidR="00682673" w:rsidRPr="00682673" w:rsidRDefault="00D1227D" w:rsidP="000C0016">
      <w:pPr>
        <w:pStyle w:val="DHHSreportmaintitlewhite"/>
      </w:pPr>
      <w:r>
        <w:t xml:space="preserve">Key </w:t>
      </w:r>
      <w:r w:rsidR="00D55695">
        <w:t>P</w:t>
      </w:r>
      <w:r w:rsidR="00B8608E">
        <w:t xml:space="preserve">erformance </w:t>
      </w:r>
      <w:r w:rsidR="00D55695">
        <w:t>M</w:t>
      </w:r>
      <w:r w:rsidR="00B8608E">
        <w:t xml:space="preserve">easures and </w:t>
      </w:r>
      <w:r w:rsidR="00D55695">
        <w:t>U</w:t>
      </w:r>
      <w:r w:rsidR="00B8608E">
        <w:t xml:space="preserve">nderlying </w:t>
      </w:r>
      <w:r w:rsidR="00D55695">
        <w:t>R</w:t>
      </w:r>
      <w:r w:rsidR="00B8608E">
        <w:t xml:space="preserve">isk </w:t>
      </w:r>
      <w:r w:rsidR="00D55695">
        <w:t>F</w:t>
      </w:r>
      <w:r w:rsidR="00B8608E">
        <w:t>actors</w:t>
      </w:r>
      <w:r w:rsidR="003B6D02">
        <w:t xml:space="preserve"> </w:t>
      </w:r>
      <w:r w:rsidR="000C0016">
        <w:br/>
      </w:r>
      <w:r w:rsidR="003B6D02">
        <w:t>20</w:t>
      </w:r>
      <w:r w:rsidR="007852C3">
        <w:t>19</w:t>
      </w:r>
      <w:r w:rsidR="00B8608E">
        <w:t>–</w:t>
      </w:r>
      <w:r w:rsidR="003B6D02">
        <w:t>20</w:t>
      </w:r>
    </w:p>
    <w:p w14:paraId="0C397549" w14:textId="650E898D" w:rsidR="00EB7AE8" w:rsidRPr="00EB7AE8" w:rsidRDefault="002160AD" w:rsidP="00EB7AE8">
      <w:pPr>
        <w:pStyle w:val="DHHSreportsubtitlewhite"/>
        <w:rPr>
          <w:sz w:val="36"/>
          <w:szCs w:val="50"/>
        </w:rPr>
        <w:sectPr w:rsidR="00EB7AE8" w:rsidRPr="00EB7AE8" w:rsidSect="00834B05">
          <w:pgSz w:w="11906" w:h="16838" w:code="9"/>
          <w:pgMar w:top="3969" w:right="1304" w:bottom="1134" w:left="1304" w:header="454" w:footer="510" w:gutter="0"/>
          <w:cols w:space="720"/>
          <w:docGrid w:linePitch="360"/>
        </w:sectPr>
      </w:pPr>
      <w:r>
        <w:rPr>
          <w:sz w:val="36"/>
          <w:szCs w:val="50"/>
        </w:rPr>
        <w:t xml:space="preserve">August </w:t>
      </w:r>
      <w:r w:rsidR="00A9455F">
        <w:rPr>
          <w:sz w:val="36"/>
          <w:szCs w:val="50"/>
        </w:rPr>
        <w:t>2019 edition</w:t>
      </w:r>
      <w:r w:rsidR="00EB7AE8">
        <w:rPr>
          <w:sz w:val="36"/>
          <w:szCs w:val="50"/>
        </w:rPr>
        <w:t xml:space="preserve"> </w:t>
      </w:r>
    </w:p>
    <w:p w14:paraId="58C90283" w14:textId="42FE75C9" w:rsidR="00076967" w:rsidRDefault="00B71120" w:rsidP="00B71120">
      <w:pPr>
        <w:pStyle w:val="DHHSbody"/>
      </w:pPr>
      <w:r>
        <w:lastRenderedPageBreak/>
        <w:t xml:space="preserve">The </w:t>
      </w:r>
      <w:r w:rsidRPr="00EE2506">
        <w:rPr>
          <w:i/>
        </w:rPr>
        <w:t>Key Performance Measures and Underlying Risk Factors</w:t>
      </w:r>
      <w:r>
        <w:t xml:space="preserve"> </w:t>
      </w:r>
      <w:r w:rsidRPr="00B71120">
        <w:t>(</w:t>
      </w:r>
      <w:r>
        <w:t>the Business Rules)</w:t>
      </w:r>
      <w:r w:rsidR="005F5B23">
        <w:t xml:space="preserve"> summaris</w:t>
      </w:r>
      <w:r w:rsidR="00786243">
        <w:t>e</w:t>
      </w:r>
      <w:r w:rsidR="005F5B23">
        <w:t xml:space="preserve"> the</w:t>
      </w:r>
      <w:r w:rsidR="00CE449C">
        <w:t xml:space="preserve"> </w:t>
      </w:r>
      <w:r w:rsidR="005F5B23">
        <w:t>list of Key Performance Measures and Underlying Risk Factors</w:t>
      </w:r>
      <w:r w:rsidR="00CE449C">
        <w:t>,</w:t>
      </w:r>
      <w:r w:rsidR="00A81A81">
        <w:t xml:space="preserve"> with their corresponding temporal elements and technical specifications</w:t>
      </w:r>
      <w:r w:rsidR="00CE449C">
        <w:t>.</w:t>
      </w:r>
      <w:r w:rsidR="009D0187">
        <w:t xml:space="preserve"> </w:t>
      </w:r>
    </w:p>
    <w:p w14:paraId="7D5CC910" w14:textId="72D38B27" w:rsidR="006E143E" w:rsidRDefault="00076967" w:rsidP="000E3588">
      <w:pPr>
        <w:pStyle w:val="DHHSbody"/>
      </w:pPr>
      <w:r>
        <w:t xml:space="preserve">The Business Rules support </w:t>
      </w:r>
      <w:r w:rsidR="000E3588">
        <w:t xml:space="preserve">and complement the </w:t>
      </w:r>
      <w:r w:rsidR="000E3588" w:rsidRPr="004A07E2">
        <w:rPr>
          <w:i/>
        </w:rPr>
        <w:t xml:space="preserve">Victorian </w:t>
      </w:r>
      <w:r w:rsidR="004851FC">
        <w:rPr>
          <w:i/>
        </w:rPr>
        <w:t>h</w:t>
      </w:r>
      <w:r w:rsidR="000E3588" w:rsidRPr="004A07E2">
        <w:rPr>
          <w:i/>
        </w:rPr>
        <w:t xml:space="preserve">ealth </w:t>
      </w:r>
      <w:r w:rsidR="004851FC">
        <w:rPr>
          <w:i/>
        </w:rPr>
        <w:t>s</w:t>
      </w:r>
      <w:r w:rsidR="000E3588" w:rsidRPr="004A07E2">
        <w:rPr>
          <w:i/>
        </w:rPr>
        <w:t xml:space="preserve">ervices </w:t>
      </w:r>
      <w:r w:rsidR="00F77943">
        <w:rPr>
          <w:i/>
        </w:rPr>
        <w:t>P</w:t>
      </w:r>
      <w:r w:rsidR="000E3588" w:rsidRPr="004A07E2">
        <w:rPr>
          <w:i/>
        </w:rPr>
        <w:t xml:space="preserve">erformance </w:t>
      </w:r>
      <w:r w:rsidR="00F77943">
        <w:rPr>
          <w:i/>
        </w:rPr>
        <w:t>M</w:t>
      </w:r>
      <w:r w:rsidR="000E3588" w:rsidRPr="004A07E2">
        <w:rPr>
          <w:i/>
        </w:rPr>
        <w:t xml:space="preserve">onitoring </w:t>
      </w:r>
      <w:r w:rsidR="00F77943">
        <w:rPr>
          <w:i/>
        </w:rPr>
        <w:t>F</w:t>
      </w:r>
      <w:r w:rsidR="000E3588" w:rsidRPr="004A07E2">
        <w:rPr>
          <w:i/>
        </w:rPr>
        <w:t>ramework</w:t>
      </w:r>
      <w:r w:rsidR="00305D11">
        <w:rPr>
          <w:i/>
        </w:rPr>
        <w:t xml:space="preserve"> </w:t>
      </w:r>
      <w:r w:rsidR="000E3588" w:rsidRPr="004A07E2">
        <w:t>(the Framework)</w:t>
      </w:r>
      <w:r w:rsidR="000E3588">
        <w:t xml:space="preserve">. The Framework details the approach, rationale and operationalisation of the performance monitoring and support of our Victorian health services (published annually). </w:t>
      </w:r>
    </w:p>
    <w:p w14:paraId="07404F1F" w14:textId="2342F68F" w:rsidR="000E3588" w:rsidRDefault="000E3588" w:rsidP="000E3588">
      <w:pPr>
        <w:pStyle w:val="DHHSbody"/>
      </w:pPr>
      <w:r>
        <w:t xml:space="preserve">The most recent version </w:t>
      </w:r>
      <w:r w:rsidR="00933A7B">
        <w:t xml:space="preserve">of the Framework </w:t>
      </w:r>
      <w:r w:rsidR="00DF1D09">
        <w:t>is available from</w:t>
      </w:r>
      <w:r>
        <w:t xml:space="preserve">: </w:t>
      </w:r>
    </w:p>
    <w:p w14:paraId="49280764" w14:textId="3A60B21D" w:rsidR="000E3588" w:rsidRDefault="007854E0" w:rsidP="00554C1C">
      <w:pPr>
        <w:pStyle w:val="DHHSbody"/>
        <w:ind w:left="720"/>
      </w:pPr>
      <w:hyperlink r:id="rId12" w:history="1">
        <w:r w:rsidR="00FD6CFD" w:rsidRPr="00361AA6">
          <w:rPr>
            <w:rStyle w:val="Hyperlink"/>
            <w:szCs w:val="19"/>
          </w:rPr>
          <w:t>Health.Vic Funding, performance and accountability</w:t>
        </w:r>
      </w:hyperlink>
      <w:r w:rsidR="00FD6CFD" w:rsidRPr="00E41295">
        <w:rPr>
          <w:szCs w:val="19"/>
        </w:rPr>
        <w:t xml:space="preserve"> </w:t>
      </w:r>
      <w:r w:rsidR="00FD6CFD">
        <w:rPr>
          <w:szCs w:val="19"/>
        </w:rPr>
        <w:t>(refer to ‘Performance monitoring’) &lt;</w:t>
      </w:r>
      <w:r w:rsidR="00FD6CFD" w:rsidRPr="00E41295">
        <w:rPr>
          <w:szCs w:val="19"/>
        </w:rPr>
        <w:t>https://www2.health.vic.gov.au/hospitals-and-health-services/funding-performance-accountability/performance-monitoring</w:t>
      </w:r>
      <w:r w:rsidR="00FD6CFD">
        <w:rPr>
          <w:szCs w:val="19"/>
        </w:rPr>
        <w:t>&gt;</w:t>
      </w:r>
    </w:p>
    <w:p w14:paraId="6CAFE82D" w14:textId="3C1FE964" w:rsidR="00DF438A" w:rsidRPr="00AC047D" w:rsidRDefault="00DF438A" w:rsidP="00DF438A">
      <w:pPr>
        <w:pStyle w:val="DHHSbody"/>
      </w:pPr>
      <w:r>
        <w:t xml:space="preserve">Throughout the </w:t>
      </w:r>
      <w:r w:rsidR="001B319D">
        <w:t>Business Rules</w:t>
      </w:r>
      <w:r>
        <w:t xml:space="preserve">, </w:t>
      </w:r>
      <w:r w:rsidRPr="00D34AA9">
        <w:t>t</w:t>
      </w:r>
      <w:r w:rsidRPr="00AC047D">
        <w:t>he t</w:t>
      </w:r>
      <w:r w:rsidRPr="00D34AA9">
        <w:t>erm ‘health services’</w:t>
      </w:r>
      <w:r w:rsidRPr="00AC047D">
        <w:t xml:space="preserve"> refer</w:t>
      </w:r>
      <w:r>
        <w:t>s</w:t>
      </w:r>
      <w:r w:rsidRPr="00AC047D">
        <w:t xml:space="preserve"> to </w:t>
      </w:r>
      <w:r w:rsidRPr="00D34AA9">
        <w:t xml:space="preserve">the </w:t>
      </w:r>
      <w:r>
        <w:t>‘</w:t>
      </w:r>
      <w:r w:rsidRPr="00AC047D">
        <w:t xml:space="preserve">public hospitals’, ‘public health services’ and </w:t>
      </w:r>
      <w:r>
        <w:t>‘</w:t>
      </w:r>
      <w:r w:rsidRPr="00AC047D">
        <w:t>multi-purpose services</w:t>
      </w:r>
      <w:r>
        <w:t>’</w:t>
      </w:r>
      <w:r w:rsidRPr="00AC047D">
        <w:t xml:space="preserve"> listed in the </w:t>
      </w:r>
      <w:r>
        <w:rPr>
          <w:i/>
        </w:rPr>
        <w:t>Health Services Act 1988 (Vic)</w:t>
      </w:r>
      <w:r w:rsidRPr="00D34AA9">
        <w:t>,</w:t>
      </w:r>
      <w:r>
        <w:t xml:space="preserve"> unless otherwise specified.</w:t>
      </w:r>
    </w:p>
    <w:p w14:paraId="42551040" w14:textId="2A9DDB1A" w:rsidR="0001532A" w:rsidRPr="006175D2" w:rsidRDefault="0001532A" w:rsidP="002908C9">
      <w:pPr>
        <w:pStyle w:val="DHHSaccessibilitypara"/>
      </w:pPr>
      <w:r w:rsidRPr="00605B5B">
        <w:t xml:space="preserve">To receive this publication in an accessible </w:t>
      </w:r>
      <w:r w:rsidRPr="006175D2">
        <w:t>format phone 9096 7120 using the National Relay Service 13 36 77 if required, or email</w:t>
      </w:r>
      <w:r>
        <w:t xml:space="preserve"> </w:t>
      </w:r>
      <w:hyperlink r:id="rId13" w:history="1">
        <w:r w:rsidRPr="00E41295">
          <w:rPr>
            <w:rStyle w:val="Hyperlink"/>
          </w:rPr>
          <w:t>Commissioning, Performance and Regulation</w:t>
        </w:r>
      </w:hyperlink>
      <w:r>
        <w:t xml:space="preserve"> at: &lt;</w:t>
      </w:r>
      <w:r w:rsidRPr="00E41295">
        <w:t>performance@dhhs.vic.gov.au</w:t>
      </w:r>
      <w:r>
        <w:t>&gt;</w:t>
      </w:r>
    </w:p>
    <w:p w14:paraId="545D32A0" w14:textId="77777777" w:rsidR="0001532A" w:rsidRPr="00605B5B" w:rsidRDefault="0001532A" w:rsidP="0001532A">
      <w:pPr>
        <w:pStyle w:val="DHHSbody"/>
      </w:pPr>
      <w:r w:rsidRPr="00605B5B">
        <w:t>Authorised and published by the Victorian Governmen</w:t>
      </w:r>
      <w:r>
        <w:t>t, 1 Treasury Place, Melbourne.</w:t>
      </w:r>
    </w:p>
    <w:p w14:paraId="166C19FD" w14:textId="2F496CC8" w:rsidR="0001532A" w:rsidRPr="006175D2" w:rsidRDefault="0001532A" w:rsidP="0001532A">
      <w:pPr>
        <w:pStyle w:val="DHHSbody"/>
      </w:pPr>
      <w:r w:rsidRPr="00605B5B">
        <w:t xml:space="preserve">© State of Victoria, Department of Health </w:t>
      </w:r>
      <w:r>
        <w:t>and</w:t>
      </w:r>
      <w:r w:rsidRPr="00605B5B">
        <w:t xml:space="preserve"> Human </w:t>
      </w:r>
      <w:r w:rsidRPr="006175D2">
        <w:t xml:space="preserve">Services </w:t>
      </w:r>
      <w:r w:rsidR="00A2782F">
        <w:t xml:space="preserve">August </w:t>
      </w:r>
      <w:r>
        <w:t>2019</w:t>
      </w:r>
    </w:p>
    <w:p w14:paraId="286C0910" w14:textId="0A5973D7" w:rsidR="00DF438A" w:rsidRPr="00840471" w:rsidRDefault="00DF438A" w:rsidP="00DF438A">
      <w:pPr>
        <w:pStyle w:val="DHHSbody"/>
      </w:pPr>
      <w:r w:rsidRPr="00554C1C">
        <w:t xml:space="preserve">This publication is copyright. Apart from any use permitted under the </w:t>
      </w:r>
      <w:r w:rsidRPr="00554C1C">
        <w:rPr>
          <w:i/>
          <w:iCs/>
        </w:rPr>
        <w:t xml:space="preserve">Copyright Act 1968 </w:t>
      </w:r>
      <w:r w:rsidRPr="00554C1C">
        <w:rPr>
          <w:iCs/>
        </w:rPr>
        <w:t>(Cth)</w:t>
      </w:r>
      <w:r w:rsidRPr="00554C1C">
        <w:t>, no part may be reproduced by any process, nor may any other exclusive right be exercised, without the permission of the Department of Health and Human Services, 2019.</w:t>
      </w:r>
    </w:p>
    <w:p w14:paraId="4C2DCE09" w14:textId="77777777" w:rsidR="0001532A" w:rsidRPr="001E61AC" w:rsidRDefault="0001532A" w:rsidP="0001532A">
      <w:pPr>
        <w:pStyle w:val="DHHSbody"/>
      </w:pPr>
      <w:r w:rsidRPr="00A96CEB">
        <w:t xml:space="preserve">Where the term </w:t>
      </w:r>
      <w:r>
        <w:t>‘</w:t>
      </w:r>
      <w:r w:rsidRPr="00A96CEB">
        <w:t>Aboriginal</w:t>
      </w:r>
      <w:r>
        <w:t>’</w:t>
      </w:r>
      <w:r w:rsidRPr="00A96CEB">
        <w:t xml:space="preserve"> is used it refers to both Aboriginal and Torres Strait Islander people. </w:t>
      </w:r>
      <w:r w:rsidRPr="001E61AC">
        <w:t>Indigenous is retained when it is part of the title of a report, program or quotation.</w:t>
      </w:r>
    </w:p>
    <w:p w14:paraId="2799DEB4" w14:textId="77777777" w:rsidR="00142202" w:rsidRPr="00BF4A9C" w:rsidRDefault="00142202" w:rsidP="00142202">
      <w:pPr>
        <w:pStyle w:val="DHHSbody"/>
      </w:pPr>
      <w:r w:rsidRPr="00554C1C">
        <w:rPr>
          <w:bCs/>
        </w:rPr>
        <w:t>ISSN 2209-4172 – Online (pdf / word)</w:t>
      </w:r>
    </w:p>
    <w:p w14:paraId="4630788D" w14:textId="23DA6597" w:rsidR="002908C9" w:rsidRDefault="002908C9" w:rsidP="002908C9">
      <w:pPr>
        <w:pStyle w:val="DHHSbody"/>
      </w:pPr>
      <w:bookmarkStart w:id="2" w:name="_Toc453325223"/>
      <w:bookmarkStart w:id="3" w:name="_Toc456342107"/>
      <w:bookmarkEnd w:id="0"/>
      <w:r w:rsidRPr="00605B5B">
        <w:rPr>
          <w:szCs w:val="19"/>
        </w:rPr>
        <w:t xml:space="preserve">Available at </w:t>
      </w:r>
      <w:hyperlink r:id="rId14" w:history="1">
        <w:r>
          <w:rPr>
            <w:rStyle w:val="Hyperlink"/>
            <w:szCs w:val="19"/>
          </w:rPr>
          <w:t>Funding, performance and accountability webpage</w:t>
        </w:r>
      </w:hyperlink>
      <w:r w:rsidRPr="00E41295">
        <w:rPr>
          <w:szCs w:val="19"/>
        </w:rPr>
        <w:t xml:space="preserve"> </w:t>
      </w:r>
      <w:r>
        <w:rPr>
          <w:szCs w:val="19"/>
        </w:rPr>
        <w:t>&lt;</w:t>
      </w:r>
      <w:r w:rsidRPr="009E5945">
        <w:t>https://www2.health.vic.gov.au/hospitals-and-health-services/funding-performance-accountability</w:t>
      </w:r>
      <w:r>
        <w:t>&gt;.</w:t>
      </w:r>
    </w:p>
    <w:p w14:paraId="4F0343B7" w14:textId="5C02E81A" w:rsidR="00206AEB" w:rsidRPr="00D639D3" w:rsidRDefault="00206AEB" w:rsidP="002908C9">
      <w:pPr>
        <w:pStyle w:val="DHHSbody"/>
        <w:rPr>
          <w:szCs w:val="19"/>
        </w:rPr>
      </w:pPr>
      <w:r>
        <w:rPr>
          <w:szCs w:val="19"/>
        </w:rPr>
        <w:t>(1902131)</w:t>
      </w:r>
    </w:p>
    <w:p w14:paraId="081F35AF" w14:textId="77777777" w:rsidR="00AC0D84" w:rsidRPr="00711B0C" w:rsidRDefault="00AC0D84" w:rsidP="00200BE4">
      <w:pPr>
        <w:pStyle w:val="DHHSTOCheadingreport"/>
      </w:pPr>
      <w:bookmarkStart w:id="4" w:name="_Toc516827358"/>
      <w:r w:rsidRPr="00711B0C">
        <w:lastRenderedPageBreak/>
        <w:t>Contents</w:t>
      </w:r>
    </w:p>
    <w:bookmarkStart w:id="5" w:name="_Toc486512534"/>
    <w:bookmarkStart w:id="6" w:name="_Toc486513099"/>
    <w:bookmarkStart w:id="7" w:name="_Toc516827350"/>
    <w:bookmarkStart w:id="8" w:name="_Toc517959112"/>
    <w:bookmarkEnd w:id="2"/>
    <w:bookmarkEnd w:id="3"/>
    <w:bookmarkEnd w:id="4"/>
    <w:p w14:paraId="005A1167" w14:textId="3B7C26DC" w:rsidR="007854E0" w:rsidRDefault="006C17B9">
      <w:pPr>
        <w:pStyle w:val="TOC2"/>
        <w:rPr>
          <w:rFonts w:asciiTheme="minorHAnsi" w:eastAsiaTheme="minorEastAsia" w:hAnsiTheme="minorHAnsi" w:cstheme="minorBidi"/>
          <w:b w:val="0"/>
          <w:sz w:val="22"/>
          <w:szCs w:val="22"/>
          <w:lang w:eastAsia="en-AU"/>
        </w:rPr>
      </w:pPr>
      <w:r w:rsidRPr="00E748CE">
        <w:rPr>
          <w:bCs/>
          <w:caps/>
        </w:rPr>
        <w:fldChar w:fldCharType="begin"/>
      </w:r>
      <w:r>
        <w:rPr>
          <w:bCs/>
        </w:rPr>
        <w:instrText xml:space="preserve"> TOC \o "1-4" \h \z \u </w:instrText>
      </w:r>
      <w:r w:rsidRPr="00E748CE">
        <w:rPr>
          <w:bCs/>
          <w:caps/>
        </w:rPr>
        <w:fldChar w:fldCharType="separate"/>
      </w:r>
      <w:hyperlink w:anchor="_Toc15580050" w:history="1">
        <w:r w:rsidR="007854E0" w:rsidRPr="002012A6">
          <w:rPr>
            <w:rStyle w:val="Hyperlink"/>
          </w:rPr>
          <w:t>The Business Rules</w:t>
        </w:r>
        <w:r w:rsidR="007854E0">
          <w:rPr>
            <w:webHidden/>
          </w:rPr>
          <w:tab/>
        </w:r>
        <w:r w:rsidR="007854E0">
          <w:rPr>
            <w:webHidden/>
          </w:rPr>
          <w:fldChar w:fldCharType="begin"/>
        </w:r>
        <w:r w:rsidR="007854E0">
          <w:rPr>
            <w:webHidden/>
          </w:rPr>
          <w:instrText xml:space="preserve"> PAGEREF _Toc15580050 \h </w:instrText>
        </w:r>
        <w:r w:rsidR="007854E0">
          <w:rPr>
            <w:webHidden/>
          </w:rPr>
        </w:r>
        <w:r w:rsidR="007854E0">
          <w:rPr>
            <w:webHidden/>
          </w:rPr>
          <w:fldChar w:fldCharType="separate"/>
        </w:r>
        <w:r w:rsidR="007854E0">
          <w:rPr>
            <w:webHidden/>
          </w:rPr>
          <w:t>5</w:t>
        </w:r>
        <w:r w:rsidR="007854E0">
          <w:rPr>
            <w:webHidden/>
          </w:rPr>
          <w:fldChar w:fldCharType="end"/>
        </w:r>
      </w:hyperlink>
    </w:p>
    <w:p w14:paraId="1A5A45DB" w14:textId="2D174561" w:rsidR="007854E0" w:rsidRDefault="007854E0">
      <w:pPr>
        <w:pStyle w:val="TOC2"/>
        <w:rPr>
          <w:rFonts w:asciiTheme="minorHAnsi" w:eastAsiaTheme="minorEastAsia" w:hAnsiTheme="minorHAnsi" w:cstheme="minorBidi"/>
          <w:b w:val="0"/>
          <w:sz w:val="22"/>
          <w:szCs w:val="22"/>
          <w:lang w:eastAsia="en-AU"/>
        </w:rPr>
      </w:pPr>
      <w:hyperlink w:anchor="_Toc15580051" w:history="1">
        <w:r w:rsidRPr="002012A6">
          <w:rPr>
            <w:rStyle w:val="Hyperlink"/>
          </w:rPr>
          <w:t>Key Performance Measures (performance input category 1)</w:t>
        </w:r>
        <w:r>
          <w:rPr>
            <w:webHidden/>
          </w:rPr>
          <w:tab/>
        </w:r>
        <w:r>
          <w:rPr>
            <w:webHidden/>
          </w:rPr>
          <w:fldChar w:fldCharType="begin"/>
        </w:r>
        <w:r>
          <w:rPr>
            <w:webHidden/>
          </w:rPr>
          <w:instrText xml:space="preserve"> PAGEREF _Toc15580051 \h </w:instrText>
        </w:r>
        <w:r>
          <w:rPr>
            <w:webHidden/>
          </w:rPr>
        </w:r>
        <w:r>
          <w:rPr>
            <w:webHidden/>
          </w:rPr>
          <w:fldChar w:fldCharType="separate"/>
        </w:r>
        <w:r>
          <w:rPr>
            <w:webHidden/>
          </w:rPr>
          <w:t>6</w:t>
        </w:r>
        <w:r>
          <w:rPr>
            <w:webHidden/>
          </w:rPr>
          <w:fldChar w:fldCharType="end"/>
        </w:r>
      </w:hyperlink>
    </w:p>
    <w:p w14:paraId="1436A733" w14:textId="2F61C630" w:rsidR="007854E0" w:rsidRDefault="007854E0">
      <w:pPr>
        <w:pStyle w:val="TOC3"/>
        <w:rPr>
          <w:rFonts w:asciiTheme="minorHAnsi" w:eastAsiaTheme="minorEastAsia" w:hAnsiTheme="minorHAnsi" w:cstheme="minorBidi"/>
          <w:noProof/>
          <w:sz w:val="22"/>
          <w:szCs w:val="22"/>
          <w:lang w:eastAsia="en-AU"/>
        </w:rPr>
      </w:pPr>
      <w:hyperlink w:anchor="_Toc15580052" w:history="1">
        <w:r w:rsidRPr="002012A6">
          <w:rPr>
            <w:rStyle w:val="Hyperlink"/>
            <w:noProof/>
          </w:rPr>
          <w:t>Key changes for 2019-20 and future directions</w:t>
        </w:r>
        <w:r>
          <w:rPr>
            <w:noProof/>
            <w:webHidden/>
          </w:rPr>
          <w:tab/>
        </w:r>
        <w:r>
          <w:rPr>
            <w:noProof/>
            <w:webHidden/>
          </w:rPr>
          <w:fldChar w:fldCharType="begin"/>
        </w:r>
        <w:r>
          <w:rPr>
            <w:noProof/>
            <w:webHidden/>
          </w:rPr>
          <w:instrText xml:space="preserve"> PAGEREF _Toc15580052 \h </w:instrText>
        </w:r>
        <w:r>
          <w:rPr>
            <w:noProof/>
            <w:webHidden/>
          </w:rPr>
        </w:r>
        <w:r>
          <w:rPr>
            <w:noProof/>
            <w:webHidden/>
          </w:rPr>
          <w:fldChar w:fldCharType="separate"/>
        </w:r>
        <w:r>
          <w:rPr>
            <w:noProof/>
            <w:webHidden/>
          </w:rPr>
          <w:t>6</w:t>
        </w:r>
        <w:r>
          <w:rPr>
            <w:noProof/>
            <w:webHidden/>
          </w:rPr>
          <w:fldChar w:fldCharType="end"/>
        </w:r>
      </w:hyperlink>
    </w:p>
    <w:p w14:paraId="0FB8F9B2" w14:textId="29240D2B" w:rsidR="007854E0" w:rsidRDefault="007854E0">
      <w:pPr>
        <w:pStyle w:val="TOC2"/>
        <w:rPr>
          <w:rFonts w:asciiTheme="minorHAnsi" w:eastAsiaTheme="minorEastAsia" w:hAnsiTheme="minorHAnsi" w:cstheme="minorBidi"/>
          <w:b w:val="0"/>
          <w:sz w:val="22"/>
          <w:szCs w:val="22"/>
          <w:lang w:eastAsia="en-AU"/>
        </w:rPr>
      </w:pPr>
      <w:hyperlink w:anchor="_Toc15580053" w:history="1">
        <w:r w:rsidRPr="002012A6">
          <w:rPr>
            <w:rStyle w:val="Hyperlink"/>
          </w:rPr>
          <w:t>Key Performance Measures: Summary</w:t>
        </w:r>
        <w:r>
          <w:rPr>
            <w:webHidden/>
          </w:rPr>
          <w:tab/>
        </w:r>
        <w:r>
          <w:rPr>
            <w:webHidden/>
          </w:rPr>
          <w:fldChar w:fldCharType="begin"/>
        </w:r>
        <w:r>
          <w:rPr>
            <w:webHidden/>
          </w:rPr>
          <w:instrText xml:space="preserve"> PAGEREF _Toc15580053 \h </w:instrText>
        </w:r>
        <w:r>
          <w:rPr>
            <w:webHidden/>
          </w:rPr>
        </w:r>
        <w:r>
          <w:rPr>
            <w:webHidden/>
          </w:rPr>
          <w:fldChar w:fldCharType="separate"/>
        </w:r>
        <w:r>
          <w:rPr>
            <w:webHidden/>
          </w:rPr>
          <w:t>8</w:t>
        </w:r>
        <w:r>
          <w:rPr>
            <w:webHidden/>
          </w:rPr>
          <w:fldChar w:fldCharType="end"/>
        </w:r>
      </w:hyperlink>
    </w:p>
    <w:p w14:paraId="464FE71B" w14:textId="79E3A860" w:rsidR="007854E0" w:rsidRDefault="007854E0">
      <w:pPr>
        <w:pStyle w:val="TOC3"/>
        <w:rPr>
          <w:rFonts w:asciiTheme="minorHAnsi" w:eastAsiaTheme="minorEastAsia" w:hAnsiTheme="minorHAnsi" w:cstheme="minorBidi"/>
          <w:noProof/>
          <w:sz w:val="22"/>
          <w:szCs w:val="22"/>
          <w:lang w:eastAsia="en-AU"/>
        </w:rPr>
      </w:pPr>
      <w:hyperlink w:anchor="_Toc15580054" w:history="1">
        <w:r w:rsidRPr="002012A6">
          <w:rPr>
            <w:rStyle w:val="Hyperlink"/>
            <w:noProof/>
          </w:rPr>
          <w:t>High quality and safe care</w:t>
        </w:r>
        <w:r>
          <w:rPr>
            <w:noProof/>
            <w:webHidden/>
          </w:rPr>
          <w:tab/>
        </w:r>
        <w:r>
          <w:rPr>
            <w:noProof/>
            <w:webHidden/>
          </w:rPr>
          <w:fldChar w:fldCharType="begin"/>
        </w:r>
        <w:r>
          <w:rPr>
            <w:noProof/>
            <w:webHidden/>
          </w:rPr>
          <w:instrText xml:space="preserve"> PAGEREF _Toc15580054 \h </w:instrText>
        </w:r>
        <w:r>
          <w:rPr>
            <w:noProof/>
            <w:webHidden/>
          </w:rPr>
        </w:r>
        <w:r>
          <w:rPr>
            <w:noProof/>
            <w:webHidden/>
          </w:rPr>
          <w:fldChar w:fldCharType="separate"/>
        </w:r>
        <w:r>
          <w:rPr>
            <w:noProof/>
            <w:webHidden/>
          </w:rPr>
          <w:t>8</w:t>
        </w:r>
        <w:r>
          <w:rPr>
            <w:noProof/>
            <w:webHidden/>
          </w:rPr>
          <w:fldChar w:fldCharType="end"/>
        </w:r>
      </w:hyperlink>
    </w:p>
    <w:p w14:paraId="0261C0C0" w14:textId="39759B2D" w:rsidR="007854E0" w:rsidRDefault="007854E0">
      <w:pPr>
        <w:pStyle w:val="TOC4"/>
        <w:rPr>
          <w:rFonts w:asciiTheme="minorHAnsi" w:eastAsiaTheme="minorEastAsia" w:hAnsiTheme="minorHAnsi" w:cstheme="minorBidi"/>
          <w:noProof/>
          <w:sz w:val="22"/>
          <w:szCs w:val="22"/>
          <w:lang w:eastAsia="en-AU"/>
        </w:rPr>
      </w:pPr>
      <w:hyperlink w:anchor="_Toc15580055" w:history="1">
        <w:r w:rsidRPr="002012A6">
          <w:rPr>
            <w:rStyle w:val="Hyperlink"/>
            <w:noProof/>
          </w:rPr>
          <w:t>Compliance</w:t>
        </w:r>
        <w:r>
          <w:rPr>
            <w:noProof/>
            <w:webHidden/>
          </w:rPr>
          <w:tab/>
        </w:r>
        <w:r>
          <w:rPr>
            <w:noProof/>
            <w:webHidden/>
          </w:rPr>
          <w:fldChar w:fldCharType="begin"/>
        </w:r>
        <w:r>
          <w:rPr>
            <w:noProof/>
            <w:webHidden/>
          </w:rPr>
          <w:instrText xml:space="preserve"> PAGEREF _Toc15580055 \h </w:instrText>
        </w:r>
        <w:r>
          <w:rPr>
            <w:noProof/>
            <w:webHidden/>
          </w:rPr>
        </w:r>
        <w:r>
          <w:rPr>
            <w:noProof/>
            <w:webHidden/>
          </w:rPr>
          <w:fldChar w:fldCharType="separate"/>
        </w:r>
        <w:r>
          <w:rPr>
            <w:noProof/>
            <w:webHidden/>
          </w:rPr>
          <w:t>8</w:t>
        </w:r>
        <w:r>
          <w:rPr>
            <w:noProof/>
            <w:webHidden/>
          </w:rPr>
          <w:fldChar w:fldCharType="end"/>
        </w:r>
      </w:hyperlink>
    </w:p>
    <w:p w14:paraId="7B2C2571" w14:textId="2430BBA8" w:rsidR="007854E0" w:rsidRDefault="007854E0">
      <w:pPr>
        <w:pStyle w:val="TOC4"/>
        <w:rPr>
          <w:rFonts w:asciiTheme="minorHAnsi" w:eastAsiaTheme="minorEastAsia" w:hAnsiTheme="minorHAnsi" w:cstheme="minorBidi"/>
          <w:noProof/>
          <w:sz w:val="22"/>
          <w:szCs w:val="22"/>
          <w:lang w:eastAsia="en-AU"/>
        </w:rPr>
      </w:pPr>
      <w:hyperlink w:anchor="_Toc15580056" w:history="1">
        <w:r w:rsidRPr="002012A6">
          <w:rPr>
            <w:rStyle w:val="Hyperlink"/>
            <w:noProof/>
          </w:rPr>
          <w:t>Infection prevention and control</w:t>
        </w:r>
        <w:r>
          <w:rPr>
            <w:noProof/>
            <w:webHidden/>
          </w:rPr>
          <w:tab/>
        </w:r>
        <w:r>
          <w:rPr>
            <w:noProof/>
            <w:webHidden/>
          </w:rPr>
          <w:fldChar w:fldCharType="begin"/>
        </w:r>
        <w:r>
          <w:rPr>
            <w:noProof/>
            <w:webHidden/>
          </w:rPr>
          <w:instrText xml:space="preserve"> PAGEREF _Toc15580056 \h </w:instrText>
        </w:r>
        <w:r>
          <w:rPr>
            <w:noProof/>
            <w:webHidden/>
          </w:rPr>
        </w:r>
        <w:r>
          <w:rPr>
            <w:noProof/>
            <w:webHidden/>
          </w:rPr>
          <w:fldChar w:fldCharType="separate"/>
        </w:r>
        <w:r>
          <w:rPr>
            <w:noProof/>
            <w:webHidden/>
          </w:rPr>
          <w:t>8</w:t>
        </w:r>
        <w:r>
          <w:rPr>
            <w:noProof/>
            <w:webHidden/>
          </w:rPr>
          <w:fldChar w:fldCharType="end"/>
        </w:r>
      </w:hyperlink>
    </w:p>
    <w:p w14:paraId="67A559E2" w14:textId="11FE8FF8" w:rsidR="007854E0" w:rsidRDefault="007854E0">
      <w:pPr>
        <w:pStyle w:val="TOC4"/>
        <w:rPr>
          <w:rFonts w:asciiTheme="minorHAnsi" w:eastAsiaTheme="minorEastAsia" w:hAnsiTheme="minorHAnsi" w:cstheme="minorBidi"/>
          <w:noProof/>
          <w:sz w:val="22"/>
          <w:szCs w:val="22"/>
          <w:lang w:eastAsia="en-AU"/>
        </w:rPr>
      </w:pPr>
      <w:hyperlink w:anchor="_Toc15580057" w:history="1">
        <w:r w:rsidRPr="002012A6">
          <w:rPr>
            <w:rStyle w:val="Hyperlink"/>
            <w:noProof/>
          </w:rPr>
          <w:t>Patient experience</w:t>
        </w:r>
        <w:r>
          <w:rPr>
            <w:noProof/>
            <w:webHidden/>
          </w:rPr>
          <w:tab/>
        </w:r>
        <w:r>
          <w:rPr>
            <w:noProof/>
            <w:webHidden/>
          </w:rPr>
          <w:fldChar w:fldCharType="begin"/>
        </w:r>
        <w:r>
          <w:rPr>
            <w:noProof/>
            <w:webHidden/>
          </w:rPr>
          <w:instrText xml:space="preserve"> PAGEREF _Toc15580057 \h </w:instrText>
        </w:r>
        <w:r>
          <w:rPr>
            <w:noProof/>
            <w:webHidden/>
          </w:rPr>
        </w:r>
        <w:r>
          <w:rPr>
            <w:noProof/>
            <w:webHidden/>
          </w:rPr>
          <w:fldChar w:fldCharType="separate"/>
        </w:r>
        <w:r>
          <w:rPr>
            <w:noProof/>
            <w:webHidden/>
          </w:rPr>
          <w:t>8</w:t>
        </w:r>
        <w:r>
          <w:rPr>
            <w:noProof/>
            <w:webHidden/>
          </w:rPr>
          <w:fldChar w:fldCharType="end"/>
        </w:r>
      </w:hyperlink>
    </w:p>
    <w:p w14:paraId="4D76315B" w14:textId="3A130B0F" w:rsidR="007854E0" w:rsidRDefault="007854E0">
      <w:pPr>
        <w:pStyle w:val="TOC4"/>
        <w:rPr>
          <w:rFonts w:asciiTheme="minorHAnsi" w:eastAsiaTheme="minorEastAsia" w:hAnsiTheme="minorHAnsi" w:cstheme="minorBidi"/>
          <w:noProof/>
          <w:sz w:val="22"/>
          <w:szCs w:val="22"/>
          <w:lang w:eastAsia="en-AU"/>
        </w:rPr>
      </w:pPr>
      <w:hyperlink w:anchor="_Toc15580058" w:history="1">
        <w:r w:rsidRPr="002012A6">
          <w:rPr>
            <w:rStyle w:val="Hyperlink"/>
            <w:noProof/>
          </w:rPr>
          <w:t>Forensicare</w:t>
        </w:r>
        <w:r>
          <w:rPr>
            <w:noProof/>
            <w:webHidden/>
          </w:rPr>
          <w:tab/>
        </w:r>
        <w:r>
          <w:rPr>
            <w:noProof/>
            <w:webHidden/>
          </w:rPr>
          <w:fldChar w:fldCharType="begin"/>
        </w:r>
        <w:r>
          <w:rPr>
            <w:noProof/>
            <w:webHidden/>
          </w:rPr>
          <w:instrText xml:space="preserve"> PAGEREF _Toc15580058 \h </w:instrText>
        </w:r>
        <w:r>
          <w:rPr>
            <w:noProof/>
            <w:webHidden/>
          </w:rPr>
        </w:r>
        <w:r>
          <w:rPr>
            <w:noProof/>
            <w:webHidden/>
          </w:rPr>
          <w:fldChar w:fldCharType="separate"/>
        </w:r>
        <w:r>
          <w:rPr>
            <w:noProof/>
            <w:webHidden/>
          </w:rPr>
          <w:t>9</w:t>
        </w:r>
        <w:r>
          <w:rPr>
            <w:noProof/>
            <w:webHidden/>
          </w:rPr>
          <w:fldChar w:fldCharType="end"/>
        </w:r>
      </w:hyperlink>
    </w:p>
    <w:p w14:paraId="4A504C5F" w14:textId="643AF456" w:rsidR="007854E0" w:rsidRDefault="007854E0">
      <w:pPr>
        <w:pStyle w:val="TOC4"/>
        <w:rPr>
          <w:rFonts w:asciiTheme="minorHAnsi" w:eastAsiaTheme="minorEastAsia" w:hAnsiTheme="minorHAnsi" w:cstheme="minorBidi"/>
          <w:noProof/>
          <w:sz w:val="22"/>
          <w:szCs w:val="22"/>
          <w:lang w:eastAsia="en-AU"/>
        </w:rPr>
      </w:pPr>
      <w:hyperlink w:anchor="_Toc15580059" w:history="1">
        <w:r w:rsidRPr="002012A6">
          <w:rPr>
            <w:rStyle w:val="Hyperlink"/>
            <w:noProof/>
          </w:rPr>
          <w:t>Healthcare-associated infections</w:t>
        </w:r>
        <w:r>
          <w:rPr>
            <w:noProof/>
            <w:webHidden/>
          </w:rPr>
          <w:tab/>
        </w:r>
        <w:r>
          <w:rPr>
            <w:noProof/>
            <w:webHidden/>
          </w:rPr>
          <w:fldChar w:fldCharType="begin"/>
        </w:r>
        <w:r>
          <w:rPr>
            <w:noProof/>
            <w:webHidden/>
          </w:rPr>
          <w:instrText xml:space="preserve"> PAGEREF _Toc15580059 \h </w:instrText>
        </w:r>
        <w:r>
          <w:rPr>
            <w:noProof/>
            <w:webHidden/>
          </w:rPr>
        </w:r>
        <w:r>
          <w:rPr>
            <w:noProof/>
            <w:webHidden/>
          </w:rPr>
          <w:fldChar w:fldCharType="separate"/>
        </w:r>
        <w:r>
          <w:rPr>
            <w:noProof/>
            <w:webHidden/>
          </w:rPr>
          <w:t>9</w:t>
        </w:r>
        <w:r>
          <w:rPr>
            <w:noProof/>
            <w:webHidden/>
          </w:rPr>
          <w:fldChar w:fldCharType="end"/>
        </w:r>
      </w:hyperlink>
    </w:p>
    <w:p w14:paraId="058EA9F6" w14:textId="5B39A3DC" w:rsidR="007854E0" w:rsidRDefault="007854E0">
      <w:pPr>
        <w:pStyle w:val="TOC4"/>
        <w:rPr>
          <w:rFonts w:asciiTheme="minorHAnsi" w:eastAsiaTheme="minorEastAsia" w:hAnsiTheme="minorHAnsi" w:cstheme="minorBidi"/>
          <w:noProof/>
          <w:sz w:val="22"/>
          <w:szCs w:val="22"/>
          <w:lang w:eastAsia="en-AU"/>
        </w:rPr>
      </w:pPr>
      <w:hyperlink w:anchor="_Toc15580060" w:history="1">
        <w:r w:rsidRPr="002012A6">
          <w:rPr>
            <w:rStyle w:val="Hyperlink"/>
            <w:noProof/>
          </w:rPr>
          <w:t>Adverse events</w:t>
        </w:r>
        <w:r>
          <w:rPr>
            <w:noProof/>
            <w:webHidden/>
          </w:rPr>
          <w:tab/>
        </w:r>
        <w:r>
          <w:rPr>
            <w:noProof/>
            <w:webHidden/>
          </w:rPr>
          <w:fldChar w:fldCharType="begin"/>
        </w:r>
        <w:r>
          <w:rPr>
            <w:noProof/>
            <w:webHidden/>
          </w:rPr>
          <w:instrText xml:space="preserve"> PAGEREF _Toc15580060 \h </w:instrText>
        </w:r>
        <w:r>
          <w:rPr>
            <w:noProof/>
            <w:webHidden/>
          </w:rPr>
        </w:r>
        <w:r>
          <w:rPr>
            <w:noProof/>
            <w:webHidden/>
          </w:rPr>
          <w:fldChar w:fldCharType="separate"/>
        </w:r>
        <w:r>
          <w:rPr>
            <w:noProof/>
            <w:webHidden/>
          </w:rPr>
          <w:t>9</w:t>
        </w:r>
        <w:r>
          <w:rPr>
            <w:noProof/>
            <w:webHidden/>
          </w:rPr>
          <w:fldChar w:fldCharType="end"/>
        </w:r>
      </w:hyperlink>
    </w:p>
    <w:p w14:paraId="4D1B06DA" w14:textId="3FB4610D" w:rsidR="007854E0" w:rsidRDefault="007854E0">
      <w:pPr>
        <w:pStyle w:val="TOC4"/>
        <w:rPr>
          <w:rFonts w:asciiTheme="minorHAnsi" w:eastAsiaTheme="minorEastAsia" w:hAnsiTheme="minorHAnsi" w:cstheme="minorBidi"/>
          <w:noProof/>
          <w:sz w:val="22"/>
          <w:szCs w:val="22"/>
          <w:lang w:eastAsia="en-AU"/>
        </w:rPr>
      </w:pPr>
      <w:hyperlink w:anchor="_Toc15580061" w:history="1">
        <w:r w:rsidRPr="002012A6">
          <w:rPr>
            <w:rStyle w:val="Hyperlink"/>
            <w:noProof/>
          </w:rPr>
          <w:t>Mental health</w:t>
        </w:r>
        <w:r>
          <w:rPr>
            <w:noProof/>
            <w:webHidden/>
          </w:rPr>
          <w:tab/>
        </w:r>
        <w:r>
          <w:rPr>
            <w:noProof/>
            <w:webHidden/>
          </w:rPr>
          <w:fldChar w:fldCharType="begin"/>
        </w:r>
        <w:r>
          <w:rPr>
            <w:noProof/>
            <w:webHidden/>
          </w:rPr>
          <w:instrText xml:space="preserve"> PAGEREF _Toc15580061 \h </w:instrText>
        </w:r>
        <w:r>
          <w:rPr>
            <w:noProof/>
            <w:webHidden/>
          </w:rPr>
        </w:r>
        <w:r>
          <w:rPr>
            <w:noProof/>
            <w:webHidden/>
          </w:rPr>
          <w:fldChar w:fldCharType="separate"/>
        </w:r>
        <w:r>
          <w:rPr>
            <w:noProof/>
            <w:webHidden/>
          </w:rPr>
          <w:t>10</w:t>
        </w:r>
        <w:r>
          <w:rPr>
            <w:noProof/>
            <w:webHidden/>
          </w:rPr>
          <w:fldChar w:fldCharType="end"/>
        </w:r>
      </w:hyperlink>
    </w:p>
    <w:p w14:paraId="20E2B3C9" w14:textId="5A7D044B" w:rsidR="007854E0" w:rsidRDefault="007854E0">
      <w:pPr>
        <w:pStyle w:val="TOC4"/>
        <w:rPr>
          <w:rFonts w:asciiTheme="minorHAnsi" w:eastAsiaTheme="minorEastAsia" w:hAnsiTheme="minorHAnsi" w:cstheme="minorBidi"/>
          <w:noProof/>
          <w:sz w:val="22"/>
          <w:szCs w:val="22"/>
          <w:lang w:eastAsia="en-AU"/>
        </w:rPr>
      </w:pPr>
      <w:hyperlink w:anchor="_Toc15580062" w:history="1">
        <w:r w:rsidRPr="002012A6">
          <w:rPr>
            <w:rStyle w:val="Hyperlink"/>
            <w:noProof/>
          </w:rPr>
          <w:t>Maternity and newborn</w:t>
        </w:r>
        <w:r>
          <w:rPr>
            <w:noProof/>
            <w:webHidden/>
          </w:rPr>
          <w:tab/>
        </w:r>
        <w:r>
          <w:rPr>
            <w:noProof/>
            <w:webHidden/>
          </w:rPr>
          <w:fldChar w:fldCharType="begin"/>
        </w:r>
        <w:r>
          <w:rPr>
            <w:noProof/>
            <w:webHidden/>
          </w:rPr>
          <w:instrText xml:space="preserve"> PAGEREF _Toc15580062 \h </w:instrText>
        </w:r>
        <w:r>
          <w:rPr>
            <w:noProof/>
            <w:webHidden/>
          </w:rPr>
        </w:r>
        <w:r>
          <w:rPr>
            <w:noProof/>
            <w:webHidden/>
          </w:rPr>
          <w:fldChar w:fldCharType="separate"/>
        </w:r>
        <w:r>
          <w:rPr>
            <w:noProof/>
            <w:webHidden/>
          </w:rPr>
          <w:t>10</w:t>
        </w:r>
        <w:r>
          <w:rPr>
            <w:noProof/>
            <w:webHidden/>
          </w:rPr>
          <w:fldChar w:fldCharType="end"/>
        </w:r>
      </w:hyperlink>
    </w:p>
    <w:p w14:paraId="3417F0A6" w14:textId="6B4F9240" w:rsidR="007854E0" w:rsidRDefault="007854E0">
      <w:pPr>
        <w:pStyle w:val="TOC4"/>
        <w:rPr>
          <w:rFonts w:asciiTheme="minorHAnsi" w:eastAsiaTheme="minorEastAsia" w:hAnsiTheme="minorHAnsi" w:cstheme="minorBidi"/>
          <w:noProof/>
          <w:sz w:val="22"/>
          <w:szCs w:val="22"/>
          <w:lang w:eastAsia="en-AU"/>
        </w:rPr>
      </w:pPr>
      <w:hyperlink w:anchor="_Toc15580063" w:history="1">
        <w:r w:rsidRPr="002012A6">
          <w:rPr>
            <w:rStyle w:val="Hyperlink"/>
            <w:noProof/>
          </w:rPr>
          <w:t>Continuing care</w:t>
        </w:r>
        <w:r>
          <w:rPr>
            <w:noProof/>
            <w:webHidden/>
          </w:rPr>
          <w:tab/>
        </w:r>
        <w:r>
          <w:rPr>
            <w:noProof/>
            <w:webHidden/>
          </w:rPr>
          <w:fldChar w:fldCharType="begin"/>
        </w:r>
        <w:r>
          <w:rPr>
            <w:noProof/>
            <w:webHidden/>
          </w:rPr>
          <w:instrText xml:space="preserve"> PAGEREF _Toc15580063 \h </w:instrText>
        </w:r>
        <w:r>
          <w:rPr>
            <w:noProof/>
            <w:webHidden/>
          </w:rPr>
        </w:r>
        <w:r>
          <w:rPr>
            <w:noProof/>
            <w:webHidden/>
          </w:rPr>
          <w:fldChar w:fldCharType="separate"/>
        </w:r>
        <w:r>
          <w:rPr>
            <w:noProof/>
            <w:webHidden/>
          </w:rPr>
          <w:t>10</w:t>
        </w:r>
        <w:r>
          <w:rPr>
            <w:noProof/>
            <w:webHidden/>
          </w:rPr>
          <w:fldChar w:fldCharType="end"/>
        </w:r>
      </w:hyperlink>
    </w:p>
    <w:p w14:paraId="1577E6DA" w14:textId="3067D7E5" w:rsidR="007854E0" w:rsidRDefault="007854E0">
      <w:pPr>
        <w:pStyle w:val="TOC4"/>
        <w:rPr>
          <w:rFonts w:asciiTheme="minorHAnsi" w:eastAsiaTheme="minorEastAsia" w:hAnsiTheme="minorHAnsi" w:cstheme="minorBidi"/>
          <w:noProof/>
          <w:sz w:val="22"/>
          <w:szCs w:val="22"/>
          <w:lang w:eastAsia="en-AU"/>
        </w:rPr>
      </w:pPr>
      <w:hyperlink w:anchor="_Toc15580064" w:history="1">
        <w:r w:rsidRPr="002012A6">
          <w:rPr>
            <w:rStyle w:val="Hyperlink"/>
            <w:noProof/>
          </w:rPr>
          <w:t>Ambulance Victoria</w:t>
        </w:r>
        <w:r>
          <w:rPr>
            <w:noProof/>
            <w:webHidden/>
          </w:rPr>
          <w:tab/>
        </w:r>
        <w:r>
          <w:rPr>
            <w:noProof/>
            <w:webHidden/>
          </w:rPr>
          <w:fldChar w:fldCharType="begin"/>
        </w:r>
        <w:r>
          <w:rPr>
            <w:noProof/>
            <w:webHidden/>
          </w:rPr>
          <w:instrText xml:space="preserve"> PAGEREF _Toc15580064 \h </w:instrText>
        </w:r>
        <w:r>
          <w:rPr>
            <w:noProof/>
            <w:webHidden/>
          </w:rPr>
        </w:r>
        <w:r>
          <w:rPr>
            <w:noProof/>
            <w:webHidden/>
          </w:rPr>
          <w:fldChar w:fldCharType="separate"/>
        </w:r>
        <w:r>
          <w:rPr>
            <w:noProof/>
            <w:webHidden/>
          </w:rPr>
          <w:t>11</w:t>
        </w:r>
        <w:r>
          <w:rPr>
            <w:noProof/>
            <w:webHidden/>
          </w:rPr>
          <w:fldChar w:fldCharType="end"/>
        </w:r>
      </w:hyperlink>
    </w:p>
    <w:p w14:paraId="33DFE4CE" w14:textId="0AF62C24" w:rsidR="007854E0" w:rsidRDefault="007854E0">
      <w:pPr>
        <w:pStyle w:val="TOC3"/>
        <w:rPr>
          <w:rFonts w:asciiTheme="minorHAnsi" w:eastAsiaTheme="minorEastAsia" w:hAnsiTheme="minorHAnsi" w:cstheme="minorBidi"/>
          <w:noProof/>
          <w:sz w:val="22"/>
          <w:szCs w:val="22"/>
          <w:lang w:eastAsia="en-AU"/>
        </w:rPr>
      </w:pPr>
      <w:hyperlink w:anchor="_Toc15580065" w:history="1">
        <w:r w:rsidRPr="002012A6">
          <w:rPr>
            <w:rStyle w:val="Hyperlink"/>
            <w:noProof/>
          </w:rPr>
          <w:t>Strong governance, leadership and culture</w:t>
        </w:r>
        <w:r>
          <w:rPr>
            <w:noProof/>
            <w:webHidden/>
          </w:rPr>
          <w:tab/>
        </w:r>
        <w:r>
          <w:rPr>
            <w:noProof/>
            <w:webHidden/>
          </w:rPr>
          <w:fldChar w:fldCharType="begin"/>
        </w:r>
        <w:r>
          <w:rPr>
            <w:noProof/>
            <w:webHidden/>
          </w:rPr>
          <w:instrText xml:space="preserve"> PAGEREF _Toc15580065 \h </w:instrText>
        </w:r>
        <w:r>
          <w:rPr>
            <w:noProof/>
            <w:webHidden/>
          </w:rPr>
        </w:r>
        <w:r>
          <w:rPr>
            <w:noProof/>
            <w:webHidden/>
          </w:rPr>
          <w:fldChar w:fldCharType="separate"/>
        </w:r>
        <w:r>
          <w:rPr>
            <w:noProof/>
            <w:webHidden/>
          </w:rPr>
          <w:t>12</w:t>
        </w:r>
        <w:r>
          <w:rPr>
            <w:noProof/>
            <w:webHidden/>
          </w:rPr>
          <w:fldChar w:fldCharType="end"/>
        </w:r>
      </w:hyperlink>
    </w:p>
    <w:p w14:paraId="2F5981BD" w14:textId="38C6995A" w:rsidR="007854E0" w:rsidRDefault="007854E0">
      <w:pPr>
        <w:pStyle w:val="TOC4"/>
        <w:rPr>
          <w:rFonts w:asciiTheme="minorHAnsi" w:eastAsiaTheme="minorEastAsia" w:hAnsiTheme="minorHAnsi" w:cstheme="minorBidi"/>
          <w:noProof/>
          <w:sz w:val="22"/>
          <w:szCs w:val="22"/>
          <w:lang w:eastAsia="en-AU"/>
        </w:rPr>
      </w:pPr>
      <w:hyperlink w:anchor="_Toc15580066" w:history="1">
        <w:r w:rsidRPr="002012A6">
          <w:rPr>
            <w:rStyle w:val="Hyperlink"/>
            <w:noProof/>
          </w:rPr>
          <w:t>Organisational culture</w:t>
        </w:r>
        <w:r>
          <w:rPr>
            <w:noProof/>
            <w:webHidden/>
          </w:rPr>
          <w:tab/>
        </w:r>
        <w:r>
          <w:rPr>
            <w:noProof/>
            <w:webHidden/>
          </w:rPr>
          <w:fldChar w:fldCharType="begin"/>
        </w:r>
        <w:r>
          <w:rPr>
            <w:noProof/>
            <w:webHidden/>
          </w:rPr>
          <w:instrText xml:space="preserve"> PAGEREF _Toc15580066 \h </w:instrText>
        </w:r>
        <w:r>
          <w:rPr>
            <w:noProof/>
            <w:webHidden/>
          </w:rPr>
        </w:r>
        <w:r>
          <w:rPr>
            <w:noProof/>
            <w:webHidden/>
          </w:rPr>
          <w:fldChar w:fldCharType="separate"/>
        </w:r>
        <w:r>
          <w:rPr>
            <w:noProof/>
            <w:webHidden/>
          </w:rPr>
          <w:t>12</w:t>
        </w:r>
        <w:r>
          <w:rPr>
            <w:noProof/>
            <w:webHidden/>
          </w:rPr>
          <w:fldChar w:fldCharType="end"/>
        </w:r>
      </w:hyperlink>
    </w:p>
    <w:p w14:paraId="17D2ED67" w14:textId="72B7BD06" w:rsidR="007854E0" w:rsidRDefault="007854E0">
      <w:pPr>
        <w:pStyle w:val="TOC4"/>
        <w:rPr>
          <w:rFonts w:asciiTheme="minorHAnsi" w:eastAsiaTheme="minorEastAsia" w:hAnsiTheme="minorHAnsi" w:cstheme="minorBidi"/>
          <w:noProof/>
          <w:sz w:val="22"/>
          <w:szCs w:val="22"/>
          <w:lang w:eastAsia="en-AU"/>
        </w:rPr>
      </w:pPr>
      <w:hyperlink w:anchor="_Toc15580067" w:history="1">
        <w:r w:rsidRPr="002012A6">
          <w:rPr>
            <w:rStyle w:val="Hyperlink"/>
            <w:noProof/>
          </w:rPr>
          <w:t>Learner’s experience</w:t>
        </w:r>
        <w:r>
          <w:rPr>
            <w:noProof/>
            <w:webHidden/>
          </w:rPr>
          <w:tab/>
        </w:r>
        <w:r>
          <w:rPr>
            <w:noProof/>
            <w:webHidden/>
          </w:rPr>
          <w:fldChar w:fldCharType="begin"/>
        </w:r>
        <w:r>
          <w:rPr>
            <w:noProof/>
            <w:webHidden/>
          </w:rPr>
          <w:instrText xml:space="preserve"> PAGEREF _Toc15580067 \h </w:instrText>
        </w:r>
        <w:r>
          <w:rPr>
            <w:noProof/>
            <w:webHidden/>
          </w:rPr>
        </w:r>
        <w:r>
          <w:rPr>
            <w:noProof/>
            <w:webHidden/>
          </w:rPr>
          <w:fldChar w:fldCharType="separate"/>
        </w:r>
        <w:r>
          <w:rPr>
            <w:noProof/>
            <w:webHidden/>
          </w:rPr>
          <w:t>12</w:t>
        </w:r>
        <w:r>
          <w:rPr>
            <w:noProof/>
            <w:webHidden/>
          </w:rPr>
          <w:fldChar w:fldCharType="end"/>
        </w:r>
      </w:hyperlink>
    </w:p>
    <w:p w14:paraId="11EA55AC" w14:textId="5F1B2461" w:rsidR="007854E0" w:rsidRDefault="007854E0">
      <w:pPr>
        <w:pStyle w:val="TOC3"/>
        <w:rPr>
          <w:rFonts w:asciiTheme="minorHAnsi" w:eastAsiaTheme="minorEastAsia" w:hAnsiTheme="minorHAnsi" w:cstheme="minorBidi"/>
          <w:noProof/>
          <w:sz w:val="22"/>
          <w:szCs w:val="22"/>
          <w:lang w:eastAsia="en-AU"/>
        </w:rPr>
      </w:pPr>
      <w:hyperlink w:anchor="_Toc15580068" w:history="1">
        <w:r w:rsidRPr="002012A6">
          <w:rPr>
            <w:rStyle w:val="Hyperlink"/>
            <w:noProof/>
          </w:rPr>
          <w:t>Timely access to care</w:t>
        </w:r>
        <w:r>
          <w:rPr>
            <w:noProof/>
            <w:webHidden/>
          </w:rPr>
          <w:tab/>
        </w:r>
        <w:r>
          <w:rPr>
            <w:noProof/>
            <w:webHidden/>
          </w:rPr>
          <w:fldChar w:fldCharType="begin"/>
        </w:r>
        <w:r>
          <w:rPr>
            <w:noProof/>
            <w:webHidden/>
          </w:rPr>
          <w:instrText xml:space="preserve"> PAGEREF _Toc15580068 \h </w:instrText>
        </w:r>
        <w:r>
          <w:rPr>
            <w:noProof/>
            <w:webHidden/>
          </w:rPr>
        </w:r>
        <w:r>
          <w:rPr>
            <w:noProof/>
            <w:webHidden/>
          </w:rPr>
          <w:fldChar w:fldCharType="separate"/>
        </w:r>
        <w:r>
          <w:rPr>
            <w:noProof/>
            <w:webHidden/>
          </w:rPr>
          <w:t>13</w:t>
        </w:r>
        <w:r>
          <w:rPr>
            <w:noProof/>
            <w:webHidden/>
          </w:rPr>
          <w:fldChar w:fldCharType="end"/>
        </w:r>
      </w:hyperlink>
    </w:p>
    <w:p w14:paraId="65E56560" w14:textId="4016B729" w:rsidR="007854E0" w:rsidRDefault="007854E0">
      <w:pPr>
        <w:pStyle w:val="TOC4"/>
        <w:rPr>
          <w:rFonts w:asciiTheme="minorHAnsi" w:eastAsiaTheme="minorEastAsia" w:hAnsiTheme="minorHAnsi" w:cstheme="minorBidi"/>
          <w:noProof/>
          <w:sz w:val="22"/>
          <w:szCs w:val="22"/>
          <w:lang w:eastAsia="en-AU"/>
        </w:rPr>
      </w:pPr>
      <w:hyperlink w:anchor="_Toc15580069" w:history="1">
        <w:r w:rsidRPr="002012A6">
          <w:rPr>
            <w:rStyle w:val="Hyperlink"/>
            <w:noProof/>
          </w:rPr>
          <w:t>Emergency care</w:t>
        </w:r>
        <w:r>
          <w:rPr>
            <w:noProof/>
            <w:webHidden/>
          </w:rPr>
          <w:tab/>
        </w:r>
        <w:r>
          <w:rPr>
            <w:noProof/>
            <w:webHidden/>
          </w:rPr>
          <w:fldChar w:fldCharType="begin"/>
        </w:r>
        <w:r>
          <w:rPr>
            <w:noProof/>
            <w:webHidden/>
          </w:rPr>
          <w:instrText xml:space="preserve"> PAGEREF _Toc15580069 \h </w:instrText>
        </w:r>
        <w:r>
          <w:rPr>
            <w:noProof/>
            <w:webHidden/>
          </w:rPr>
        </w:r>
        <w:r>
          <w:rPr>
            <w:noProof/>
            <w:webHidden/>
          </w:rPr>
          <w:fldChar w:fldCharType="separate"/>
        </w:r>
        <w:r>
          <w:rPr>
            <w:noProof/>
            <w:webHidden/>
          </w:rPr>
          <w:t>13</w:t>
        </w:r>
        <w:r>
          <w:rPr>
            <w:noProof/>
            <w:webHidden/>
          </w:rPr>
          <w:fldChar w:fldCharType="end"/>
        </w:r>
      </w:hyperlink>
    </w:p>
    <w:p w14:paraId="2C6EEF10" w14:textId="031E5DE8" w:rsidR="007854E0" w:rsidRDefault="007854E0">
      <w:pPr>
        <w:pStyle w:val="TOC4"/>
        <w:rPr>
          <w:rFonts w:asciiTheme="minorHAnsi" w:eastAsiaTheme="minorEastAsia" w:hAnsiTheme="minorHAnsi" w:cstheme="minorBidi"/>
          <w:noProof/>
          <w:sz w:val="22"/>
          <w:szCs w:val="22"/>
          <w:lang w:eastAsia="en-AU"/>
        </w:rPr>
      </w:pPr>
      <w:hyperlink w:anchor="_Toc15580070" w:history="1">
        <w:r w:rsidRPr="002012A6">
          <w:rPr>
            <w:rStyle w:val="Hyperlink"/>
            <w:noProof/>
          </w:rPr>
          <w:t>Elective surgery</w:t>
        </w:r>
        <w:r>
          <w:rPr>
            <w:noProof/>
            <w:webHidden/>
          </w:rPr>
          <w:tab/>
        </w:r>
        <w:r>
          <w:rPr>
            <w:noProof/>
            <w:webHidden/>
          </w:rPr>
          <w:fldChar w:fldCharType="begin"/>
        </w:r>
        <w:r>
          <w:rPr>
            <w:noProof/>
            <w:webHidden/>
          </w:rPr>
          <w:instrText xml:space="preserve"> PAGEREF _Toc15580070 \h </w:instrText>
        </w:r>
        <w:r>
          <w:rPr>
            <w:noProof/>
            <w:webHidden/>
          </w:rPr>
        </w:r>
        <w:r>
          <w:rPr>
            <w:noProof/>
            <w:webHidden/>
          </w:rPr>
          <w:fldChar w:fldCharType="separate"/>
        </w:r>
        <w:r>
          <w:rPr>
            <w:noProof/>
            <w:webHidden/>
          </w:rPr>
          <w:t>13</w:t>
        </w:r>
        <w:r>
          <w:rPr>
            <w:noProof/>
            <w:webHidden/>
          </w:rPr>
          <w:fldChar w:fldCharType="end"/>
        </w:r>
      </w:hyperlink>
    </w:p>
    <w:p w14:paraId="36D614D3" w14:textId="6ED4FDB1" w:rsidR="007854E0" w:rsidRDefault="007854E0">
      <w:pPr>
        <w:pStyle w:val="TOC4"/>
        <w:rPr>
          <w:rFonts w:asciiTheme="minorHAnsi" w:eastAsiaTheme="minorEastAsia" w:hAnsiTheme="minorHAnsi" w:cstheme="minorBidi"/>
          <w:noProof/>
          <w:sz w:val="22"/>
          <w:szCs w:val="22"/>
          <w:lang w:eastAsia="en-AU"/>
        </w:rPr>
      </w:pPr>
      <w:hyperlink w:anchor="_Toc15580071" w:history="1">
        <w:r w:rsidRPr="002012A6">
          <w:rPr>
            <w:rStyle w:val="Hyperlink"/>
            <w:noProof/>
          </w:rPr>
          <w:t>Specialist clinics</w:t>
        </w:r>
        <w:r>
          <w:rPr>
            <w:noProof/>
            <w:webHidden/>
          </w:rPr>
          <w:tab/>
        </w:r>
        <w:r>
          <w:rPr>
            <w:noProof/>
            <w:webHidden/>
          </w:rPr>
          <w:fldChar w:fldCharType="begin"/>
        </w:r>
        <w:r>
          <w:rPr>
            <w:noProof/>
            <w:webHidden/>
          </w:rPr>
          <w:instrText xml:space="preserve"> PAGEREF _Toc15580071 \h </w:instrText>
        </w:r>
        <w:r>
          <w:rPr>
            <w:noProof/>
            <w:webHidden/>
          </w:rPr>
        </w:r>
        <w:r>
          <w:rPr>
            <w:noProof/>
            <w:webHidden/>
          </w:rPr>
          <w:fldChar w:fldCharType="separate"/>
        </w:r>
        <w:r>
          <w:rPr>
            <w:noProof/>
            <w:webHidden/>
          </w:rPr>
          <w:t>13</w:t>
        </w:r>
        <w:r>
          <w:rPr>
            <w:noProof/>
            <w:webHidden/>
          </w:rPr>
          <w:fldChar w:fldCharType="end"/>
        </w:r>
      </w:hyperlink>
    </w:p>
    <w:p w14:paraId="4DE9BE97" w14:textId="3CFF23BE" w:rsidR="007854E0" w:rsidRDefault="007854E0">
      <w:pPr>
        <w:pStyle w:val="TOC4"/>
        <w:rPr>
          <w:rFonts w:asciiTheme="minorHAnsi" w:eastAsiaTheme="minorEastAsia" w:hAnsiTheme="minorHAnsi" w:cstheme="minorBidi"/>
          <w:noProof/>
          <w:sz w:val="22"/>
          <w:szCs w:val="22"/>
          <w:lang w:eastAsia="en-AU"/>
        </w:rPr>
      </w:pPr>
      <w:hyperlink w:anchor="_Toc15580072" w:history="1">
        <w:r w:rsidRPr="002012A6">
          <w:rPr>
            <w:rStyle w:val="Hyperlink"/>
            <w:noProof/>
          </w:rPr>
          <w:t>Ambulance Victoria</w:t>
        </w:r>
        <w:r>
          <w:rPr>
            <w:noProof/>
            <w:webHidden/>
          </w:rPr>
          <w:tab/>
        </w:r>
        <w:r>
          <w:rPr>
            <w:noProof/>
            <w:webHidden/>
          </w:rPr>
          <w:fldChar w:fldCharType="begin"/>
        </w:r>
        <w:r>
          <w:rPr>
            <w:noProof/>
            <w:webHidden/>
          </w:rPr>
          <w:instrText xml:space="preserve"> PAGEREF _Toc15580072 \h </w:instrText>
        </w:r>
        <w:r>
          <w:rPr>
            <w:noProof/>
            <w:webHidden/>
          </w:rPr>
        </w:r>
        <w:r>
          <w:rPr>
            <w:noProof/>
            <w:webHidden/>
          </w:rPr>
          <w:fldChar w:fldCharType="separate"/>
        </w:r>
        <w:r>
          <w:rPr>
            <w:noProof/>
            <w:webHidden/>
          </w:rPr>
          <w:t>14</w:t>
        </w:r>
        <w:r>
          <w:rPr>
            <w:noProof/>
            <w:webHidden/>
          </w:rPr>
          <w:fldChar w:fldCharType="end"/>
        </w:r>
      </w:hyperlink>
    </w:p>
    <w:p w14:paraId="1B417BD4" w14:textId="6CFE6FD0" w:rsidR="007854E0" w:rsidRDefault="007854E0">
      <w:pPr>
        <w:pStyle w:val="TOC4"/>
        <w:rPr>
          <w:rFonts w:asciiTheme="minorHAnsi" w:eastAsiaTheme="minorEastAsia" w:hAnsiTheme="minorHAnsi" w:cstheme="minorBidi"/>
          <w:noProof/>
          <w:sz w:val="22"/>
          <w:szCs w:val="22"/>
          <w:lang w:eastAsia="en-AU"/>
        </w:rPr>
      </w:pPr>
      <w:hyperlink w:anchor="_Toc15580073" w:history="1">
        <w:r w:rsidRPr="002012A6">
          <w:rPr>
            <w:rStyle w:val="Hyperlink"/>
            <w:noProof/>
          </w:rPr>
          <w:t>Forensicare</w:t>
        </w:r>
        <w:r>
          <w:rPr>
            <w:noProof/>
            <w:webHidden/>
          </w:rPr>
          <w:tab/>
        </w:r>
        <w:r>
          <w:rPr>
            <w:noProof/>
            <w:webHidden/>
          </w:rPr>
          <w:fldChar w:fldCharType="begin"/>
        </w:r>
        <w:r>
          <w:rPr>
            <w:noProof/>
            <w:webHidden/>
          </w:rPr>
          <w:instrText xml:space="preserve"> PAGEREF _Toc15580073 \h </w:instrText>
        </w:r>
        <w:r>
          <w:rPr>
            <w:noProof/>
            <w:webHidden/>
          </w:rPr>
        </w:r>
        <w:r>
          <w:rPr>
            <w:noProof/>
            <w:webHidden/>
          </w:rPr>
          <w:fldChar w:fldCharType="separate"/>
        </w:r>
        <w:r>
          <w:rPr>
            <w:noProof/>
            <w:webHidden/>
          </w:rPr>
          <w:t>14</w:t>
        </w:r>
        <w:r>
          <w:rPr>
            <w:noProof/>
            <w:webHidden/>
          </w:rPr>
          <w:fldChar w:fldCharType="end"/>
        </w:r>
      </w:hyperlink>
    </w:p>
    <w:p w14:paraId="3A3826BE" w14:textId="34A89EE4" w:rsidR="007854E0" w:rsidRDefault="007854E0">
      <w:pPr>
        <w:pStyle w:val="TOC3"/>
        <w:rPr>
          <w:rFonts w:asciiTheme="minorHAnsi" w:eastAsiaTheme="minorEastAsia" w:hAnsiTheme="minorHAnsi" w:cstheme="minorBidi"/>
          <w:noProof/>
          <w:sz w:val="22"/>
          <w:szCs w:val="22"/>
          <w:lang w:eastAsia="en-AU"/>
        </w:rPr>
      </w:pPr>
      <w:hyperlink w:anchor="_Toc15580074" w:history="1">
        <w:r w:rsidRPr="002012A6">
          <w:rPr>
            <w:rStyle w:val="Hyperlink"/>
            <w:noProof/>
          </w:rPr>
          <w:t>Effective financial management</w:t>
        </w:r>
        <w:r>
          <w:rPr>
            <w:noProof/>
            <w:webHidden/>
          </w:rPr>
          <w:tab/>
        </w:r>
        <w:r>
          <w:rPr>
            <w:noProof/>
            <w:webHidden/>
          </w:rPr>
          <w:fldChar w:fldCharType="begin"/>
        </w:r>
        <w:r>
          <w:rPr>
            <w:noProof/>
            <w:webHidden/>
          </w:rPr>
          <w:instrText xml:space="preserve"> PAGEREF _Toc15580074 \h </w:instrText>
        </w:r>
        <w:r>
          <w:rPr>
            <w:noProof/>
            <w:webHidden/>
          </w:rPr>
        </w:r>
        <w:r>
          <w:rPr>
            <w:noProof/>
            <w:webHidden/>
          </w:rPr>
          <w:fldChar w:fldCharType="separate"/>
        </w:r>
        <w:r>
          <w:rPr>
            <w:noProof/>
            <w:webHidden/>
          </w:rPr>
          <w:t>15</w:t>
        </w:r>
        <w:r>
          <w:rPr>
            <w:noProof/>
            <w:webHidden/>
          </w:rPr>
          <w:fldChar w:fldCharType="end"/>
        </w:r>
      </w:hyperlink>
    </w:p>
    <w:p w14:paraId="17331FBE" w14:textId="7642B2ED" w:rsidR="007854E0" w:rsidRDefault="007854E0">
      <w:pPr>
        <w:pStyle w:val="TOC4"/>
        <w:rPr>
          <w:rFonts w:asciiTheme="minorHAnsi" w:eastAsiaTheme="minorEastAsia" w:hAnsiTheme="minorHAnsi" w:cstheme="minorBidi"/>
          <w:noProof/>
          <w:sz w:val="22"/>
          <w:szCs w:val="22"/>
          <w:lang w:eastAsia="en-AU"/>
        </w:rPr>
      </w:pPr>
      <w:hyperlink w:anchor="_Toc15580075" w:history="1">
        <w:r w:rsidRPr="002012A6">
          <w:rPr>
            <w:rStyle w:val="Hyperlink"/>
            <w:noProof/>
          </w:rPr>
          <w:t>Finance</w:t>
        </w:r>
        <w:r>
          <w:rPr>
            <w:noProof/>
            <w:webHidden/>
          </w:rPr>
          <w:tab/>
        </w:r>
        <w:r>
          <w:rPr>
            <w:noProof/>
            <w:webHidden/>
          </w:rPr>
          <w:fldChar w:fldCharType="begin"/>
        </w:r>
        <w:r>
          <w:rPr>
            <w:noProof/>
            <w:webHidden/>
          </w:rPr>
          <w:instrText xml:space="preserve"> PAGEREF _Toc15580075 \h </w:instrText>
        </w:r>
        <w:r>
          <w:rPr>
            <w:noProof/>
            <w:webHidden/>
          </w:rPr>
        </w:r>
        <w:r>
          <w:rPr>
            <w:noProof/>
            <w:webHidden/>
          </w:rPr>
          <w:fldChar w:fldCharType="separate"/>
        </w:r>
        <w:r>
          <w:rPr>
            <w:noProof/>
            <w:webHidden/>
          </w:rPr>
          <w:t>15</w:t>
        </w:r>
        <w:r>
          <w:rPr>
            <w:noProof/>
            <w:webHidden/>
          </w:rPr>
          <w:fldChar w:fldCharType="end"/>
        </w:r>
      </w:hyperlink>
    </w:p>
    <w:p w14:paraId="1F5571E6" w14:textId="0028EB08" w:rsidR="007854E0" w:rsidRDefault="007854E0">
      <w:pPr>
        <w:pStyle w:val="TOC2"/>
        <w:rPr>
          <w:rFonts w:asciiTheme="minorHAnsi" w:eastAsiaTheme="minorEastAsia" w:hAnsiTheme="minorHAnsi" w:cstheme="minorBidi"/>
          <w:b w:val="0"/>
          <w:sz w:val="22"/>
          <w:szCs w:val="22"/>
          <w:lang w:eastAsia="en-AU"/>
        </w:rPr>
      </w:pPr>
      <w:hyperlink w:anchor="_Toc15580076" w:history="1">
        <w:r w:rsidRPr="002012A6">
          <w:rPr>
            <w:rStyle w:val="Hyperlink"/>
          </w:rPr>
          <w:t>Key Performance Measures: Technical Specifications</w:t>
        </w:r>
        <w:r>
          <w:rPr>
            <w:webHidden/>
          </w:rPr>
          <w:tab/>
        </w:r>
        <w:r>
          <w:rPr>
            <w:webHidden/>
          </w:rPr>
          <w:fldChar w:fldCharType="begin"/>
        </w:r>
        <w:r>
          <w:rPr>
            <w:webHidden/>
          </w:rPr>
          <w:instrText xml:space="preserve"> PAGEREF _Toc15580076 \h </w:instrText>
        </w:r>
        <w:r>
          <w:rPr>
            <w:webHidden/>
          </w:rPr>
        </w:r>
        <w:r>
          <w:rPr>
            <w:webHidden/>
          </w:rPr>
          <w:fldChar w:fldCharType="separate"/>
        </w:r>
        <w:r>
          <w:rPr>
            <w:webHidden/>
          </w:rPr>
          <w:t>16</w:t>
        </w:r>
        <w:r>
          <w:rPr>
            <w:webHidden/>
          </w:rPr>
          <w:fldChar w:fldCharType="end"/>
        </w:r>
      </w:hyperlink>
    </w:p>
    <w:p w14:paraId="2BFF4F09" w14:textId="02AD45B3" w:rsidR="007854E0" w:rsidRDefault="007854E0">
      <w:pPr>
        <w:pStyle w:val="TOC3"/>
        <w:rPr>
          <w:rFonts w:asciiTheme="minorHAnsi" w:eastAsiaTheme="minorEastAsia" w:hAnsiTheme="minorHAnsi" w:cstheme="minorBidi"/>
          <w:noProof/>
          <w:sz w:val="22"/>
          <w:szCs w:val="22"/>
          <w:lang w:eastAsia="en-AU"/>
        </w:rPr>
      </w:pPr>
      <w:hyperlink w:anchor="_Toc15580077" w:history="1">
        <w:r w:rsidRPr="002012A6">
          <w:rPr>
            <w:rStyle w:val="Hyperlink"/>
            <w:noProof/>
          </w:rPr>
          <w:t>High quality and safe care</w:t>
        </w:r>
        <w:r>
          <w:rPr>
            <w:noProof/>
            <w:webHidden/>
          </w:rPr>
          <w:tab/>
        </w:r>
        <w:r>
          <w:rPr>
            <w:noProof/>
            <w:webHidden/>
          </w:rPr>
          <w:fldChar w:fldCharType="begin"/>
        </w:r>
        <w:r>
          <w:rPr>
            <w:noProof/>
            <w:webHidden/>
          </w:rPr>
          <w:instrText xml:space="preserve"> PAGEREF _Toc15580077 \h </w:instrText>
        </w:r>
        <w:r>
          <w:rPr>
            <w:noProof/>
            <w:webHidden/>
          </w:rPr>
        </w:r>
        <w:r>
          <w:rPr>
            <w:noProof/>
            <w:webHidden/>
          </w:rPr>
          <w:fldChar w:fldCharType="separate"/>
        </w:r>
        <w:r>
          <w:rPr>
            <w:noProof/>
            <w:webHidden/>
          </w:rPr>
          <w:t>16</w:t>
        </w:r>
        <w:r>
          <w:rPr>
            <w:noProof/>
            <w:webHidden/>
          </w:rPr>
          <w:fldChar w:fldCharType="end"/>
        </w:r>
      </w:hyperlink>
    </w:p>
    <w:p w14:paraId="7C87D4DF" w14:textId="30E9A8E0" w:rsidR="007854E0" w:rsidRDefault="007854E0">
      <w:pPr>
        <w:pStyle w:val="TOC4"/>
        <w:rPr>
          <w:rFonts w:asciiTheme="minorHAnsi" w:eastAsiaTheme="minorEastAsia" w:hAnsiTheme="minorHAnsi" w:cstheme="minorBidi"/>
          <w:noProof/>
          <w:sz w:val="22"/>
          <w:szCs w:val="22"/>
          <w:lang w:eastAsia="en-AU"/>
        </w:rPr>
      </w:pPr>
      <w:hyperlink w:anchor="_Toc15580078" w:history="1">
        <w:r w:rsidRPr="002012A6">
          <w:rPr>
            <w:rStyle w:val="Hyperlink"/>
            <w:noProof/>
          </w:rPr>
          <w:t>Infection prevention and control</w:t>
        </w:r>
        <w:r>
          <w:rPr>
            <w:noProof/>
            <w:webHidden/>
          </w:rPr>
          <w:tab/>
        </w:r>
        <w:r>
          <w:rPr>
            <w:noProof/>
            <w:webHidden/>
          </w:rPr>
          <w:fldChar w:fldCharType="begin"/>
        </w:r>
        <w:r>
          <w:rPr>
            <w:noProof/>
            <w:webHidden/>
          </w:rPr>
          <w:instrText xml:space="preserve"> PAGEREF _Toc15580078 \h </w:instrText>
        </w:r>
        <w:r>
          <w:rPr>
            <w:noProof/>
            <w:webHidden/>
          </w:rPr>
        </w:r>
        <w:r>
          <w:rPr>
            <w:noProof/>
            <w:webHidden/>
          </w:rPr>
          <w:fldChar w:fldCharType="separate"/>
        </w:r>
        <w:r>
          <w:rPr>
            <w:noProof/>
            <w:webHidden/>
          </w:rPr>
          <w:t>18</w:t>
        </w:r>
        <w:r>
          <w:rPr>
            <w:noProof/>
            <w:webHidden/>
          </w:rPr>
          <w:fldChar w:fldCharType="end"/>
        </w:r>
      </w:hyperlink>
    </w:p>
    <w:p w14:paraId="01FE6F98" w14:textId="5A4F563A" w:rsidR="007854E0" w:rsidRDefault="007854E0">
      <w:pPr>
        <w:pStyle w:val="TOC4"/>
        <w:rPr>
          <w:rFonts w:asciiTheme="minorHAnsi" w:eastAsiaTheme="minorEastAsia" w:hAnsiTheme="minorHAnsi" w:cstheme="minorBidi"/>
          <w:noProof/>
          <w:sz w:val="22"/>
          <w:szCs w:val="22"/>
          <w:lang w:eastAsia="en-AU"/>
        </w:rPr>
      </w:pPr>
      <w:hyperlink w:anchor="_Toc15580079" w:history="1">
        <w:r w:rsidRPr="002012A6">
          <w:rPr>
            <w:rStyle w:val="Hyperlink"/>
            <w:noProof/>
          </w:rPr>
          <w:t>Patient experience</w:t>
        </w:r>
        <w:r>
          <w:rPr>
            <w:noProof/>
            <w:webHidden/>
          </w:rPr>
          <w:tab/>
        </w:r>
        <w:r>
          <w:rPr>
            <w:noProof/>
            <w:webHidden/>
          </w:rPr>
          <w:fldChar w:fldCharType="begin"/>
        </w:r>
        <w:r>
          <w:rPr>
            <w:noProof/>
            <w:webHidden/>
          </w:rPr>
          <w:instrText xml:space="preserve"> PAGEREF _Toc15580079 \h </w:instrText>
        </w:r>
        <w:r>
          <w:rPr>
            <w:noProof/>
            <w:webHidden/>
          </w:rPr>
        </w:r>
        <w:r>
          <w:rPr>
            <w:noProof/>
            <w:webHidden/>
          </w:rPr>
          <w:fldChar w:fldCharType="separate"/>
        </w:r>
        <w:r>
          <w:rPr>
            <w:noProof/>
            <w:webHidden/>
          </w:rPr>
          <w:t>20</w:t>
        </w:r>
        <w:r>
          <w:rPr>
            <w:noProof/>
            <w:webHidden/>
          </w:rPr>
          <w:fldChar w:fldCharType="end"/>
        </w:r>
      </w:hyperlink>
    </w:p>
    <w:p w14:paraId="190BC202" w14:textId="0BF21528" w:rsidR="007854E0" w:rsidRDefault="007854E0">
      <w:pPr>
        <w:pStyle w:val="TOC4"/>
        <w:rPr>
          <w:rFonts w:asciiTheme="minorHAnsi" w:eastAsiaTheme="minorEastAsia" w:hAnsiTheme="minorHAnsi" w:cstheme="minorBidi"/>
          <w:noProof/>
          <w:sz w:val="22"/>
          <w:szCs w:val="22"/>
          <w:lang w:eastAsia="en-AU"/>
        </w:rPr>
      </w:pPr>
      <w:hyperlink w:anchor="_Toc15580080" w:history="1">
        <w:r w:rsidRPr="002012A6">
          <w:rPr>
            <w:rStyle w:val="Hyperlink"/>
            <w:noProof/>
          </w:rPr>
          <w:t>Overall experience</w:t>
        </w:r>
        <w:r>
          <w:rPr>
            <w:noProof/>
            <w:webHidden/>
          </w:rPr>
          <w:tab/>
        </w:r>
        <w:r>
          <w:rPr>
            <w:noProof/>
            <w:webHidden/>
          </w:rPr>
          <w:fldChar w:fldCharType="begin"/>
        </w:r>
        <w:r>
          <w:rPr>
            <w:noProof/>
            <w:webHidden/>
          </w:rPr>
          <w:instrText xml:space="preserve"> PAGEREF _Toc15580080 \h </w:instrText>
        </w:r>
        <w:r>
          <w:rPr>
            <w:noProof/>
            <w:webHidden/>
          </w:rPr>
        </w:r>
        <w:r>
          <w:rPr>
            <w:noProof/>
            <w:webHidden/>
          </w:rPr>
          <w:fldChar w:fldCharType="separate"/>
        </w:r>
        <w:r>
          <w:rPr>
            <w:noProof/>
            <w:webHidden/>
          </w:rPr>
          <w:t>20</w:t>
        </w:r>
        <w:r>
          <w:rPr>
            <w:noProof/>
            <w:webHidden/>
          </w:rPr>
          <w:fldChar w:fldCharType="end"/>
        </w:r>
      </w:hyperlink>
    </w:p>
    <w:p w14:paraId="731E8B83" w14:textId="42844025" w:rsidR="007854E0" w:rsidRDefault="007854E0">
      <w:pPr>
        <w:pStyle w:val="TOC4"/>
        <w:rPr>
          <w:rFonts w:asciiTheme="minorHAnsi" w:eastAsiaTheme="minorEastAsia" w:hAnsiTheme="minorHAnsi" w:cstheme="minorBidi"/>
          <w:noProof/>
          <w:sz w:val="22"/>
          <w:szCs w:val="22"/>
          <w:lang w:eastAsia="en-AU"/>
        </w:rPr>
      </w:pPr>
      <w:hyperlink w:anchor="_Toc15580081" w:history="1">
        <w:r w:rsidRPr="002012A6">
          <w:rPr>
            <w:rStyle w:val="Hyperlink"/>
            <w:noProof/>
          </w:rPr>
          <w:t>Key aspects of care questions that influence the overall experience</w:t>
        </w:r>
        <w:r>
          <w:rPr>
            <w:noProof/>
            <w:webHidden/>
          </w:rPr>
          <w:tab/>
        </w:r>
        <w:r>
          <w:rPr>
            <w:noProof/>
            <w:webHidden/>
          </w:rPr>
          <w:fldChar w:fldCharType="begin"/>
        </w:r>
        <w:r>
          <w:rPr>
            <w:noProof/>
            <w:webHidden/>
          </w:rPr>
          <w:instrText xml:space="preserve"> PAGEREF _Toc15580081 \h </w:instrText>
        </w:r>
        <w:r>
          <w:rPr>
            <w:noProof/>
            <w:webHidden/>
          </w:rPr>
        </w:r>
        <w:r>
          <w:rPr>
            <w:noProof/>
            <w:webHidden/>
          </w:rPr>
          <w:fldChar w:fldCharType="separate"/>
        </w:r>
        <w:r>
          <w:rPr>
            <w:noProof/>
            <w:webHidden/>
          </w:rPr>
          <w:t>21</w:t>
        </w:r>
        <w:r>
          <w:rPr>
            <w:noProof/>
            <w:webHidden/>
          </w:rPr>
          <w:fldChar w:fldCharType="end"/>
        </w:r>
      </w:hyperlink>
    </w:p>
    <w:p w14:paraId="75DB07B0" w14:textId="3CB4C50F" w:rsidR="007854E0" w:rsidRDefault="007854E0">
      <w:pPr>
        <w:pStyle w:val="TOC4"/>
        <w:rPr>
          <w:rFonts w:asciiTheme="minorHAnsi" w:eastAsiaTheme="minorEastAsia" w:hAnsiTheme="minorHAnsi" w:cstheme="minorBidi"/>
          <w:noProof/>
          <w:sz w:val="22"/>
          <w:szCs w:val="22"/>
          <w:lang w:eastAsia="en-AU"/>
        </w:rPr>
      </w:pPr>
      <w:hyperlink w:anchor="_Toc15580082" w:history="1">
        <w:r w:rsidRPr="002012A6">
          <w:rPr>
            <w:rStyle w:val="Hyperlink"/>
            <w:noProof/>
          </w:rPr>
          <w:t>Transition of care</w:t>
        </w:r>
        <w:r>
          <w:rPr>
            <w:noProof/>
            <w:webHidden/>
          </w:rPr>
          <w:tab/>
        </w:r>
        <w:r>
          <w:rPr>
            <w:noProof/>
            <w:webHidden/>
          </w:rPr>
          <w:fldChar w:fldCharType="begin"/>
        </w:r>
        <w:r>
          <w:rPr>
            <w:noProof/>
            <w:webHidden/>
          </w:rPr>
          <w:instrText xml:space="preserve"> PAGEREF _Toc15580082 \h </w:instrText>
        </w:r>
        <w:r>
          <w:rPr>
            <w:noProof/>
            <w:webHidden/>
          </w:rPr>
        </w:r>
        <w:r>
          <w:rPr>
            <w:noProof/>
            <w:webHidden/>
          </w:rPr>
          <w:fldChar w:fldCharType="separate"/>
        </w:r>
        <w:r>
          <w:rPr>
            <w:noProof/>
            <w:webHidden/>
          </w:rPr>
          <w:t>22</w:t>
        </w:r>
        <w:r>
          <w:rPr>
            <w:noProof/>
            <w:webHidden/>
          </w:rPr>
          <w:fldChar w:fldCharType="end"/>
        </w:r>
      </w:hyperlink>
    </w:p>
    <w:p w14:paraId="6EC2E8BD" w14:textId="3A747818" w:rsidR="007854E0" w:rsidRDefault="007854E0">
      <w:pPr>
        <w:pStyle w:val="TOC4"/>
        <w:rPr>
          <w:rFonts w:asciiTheme="minorHAnsi" w:eastAsiaTheme="minorEastAsia" w:hAnsiTheme="minorHAnsi" w:cstheme="minorBidi"/>
          <w:noProof/>
          <w:sz w:val="22"/>
          <w:szCs w:val="22"/>
          <w:lang w:eastAsia="en-AU"/>
        </w:rPr>
      </w:pPr>
      <w:hyperlink w:anchor="_Toc15580083" w:history="1">
        <w:r w:rsidRPr="002012A6">
          <w:rPr>
            <w:rStyle w:val="Hyperlink"/>
            <w:noProof/>
          </w:rPr>
          <w:t>Perception of cleanliness</w:t>
        </w:r>
        <w:r>
          <w:rPr>
            <w:noProof/>
            <w:webHidden/>
          </w:rPr>
          <w:tab/>
        </w:r>
        <w:r>
          <w:rPr>
            <w:noProof/>
            <w:webHidden/>
          </w:rPr>
          <w:fldChar w:fldCharType="begin"/>
        </w:r>
        <w:r>
          <w:rPr>
            <w:noProof/>
            <w:webHidden/>
          </w:rPr>
          <w:instrText xml:space="preserve"> PAGEREF _Toc15580083 \h </w:instrText>
        </w:r>
        <w:r>
          <w:rPr>
            <w:noProof/>
            <w:webHidden/>
          </w:rPr>
        </w:r>
        <w:r>
          <w:rPr>
            <w:noProof/>
            <w:webHidden/>
          </w:rPr>
          <w:fldChar w:fldCharType="separate"/>
        </w:r>
        <w:r>
          <w:rPr>
            <w:noProof/>
            <w:webHidden/>
          </w:rPr>
          <w:t>24</w:t>
        </w:r>
        <w:r>
          <w:rPr>
            <w:noProof/>
            <w:webHidden/>
          </w:rPr>
          <w:fldChar w:fldCharType="end"/>
        </w:r>
      </w:hyperlink>
    </w:p>
    <w:p w14:paraId="466799F7" w14:textId="4193F8CF" w:rsidR="007854E0" w:rsidRDefault="007854E0">
      <w:pPr>
        <w:pStyle w:val="TOC4"/>
        <w:rPr>
          <w:rFonts w:asciiTheme="minorHAnsi" w:eastAsiaTheme="minorEastAsia" w:hAnsiTheme="minorHAnsi" w:cstheme="minorBidi"/>
          <w:noProof/>
          <w:sz w:val="22"/>
          <w:szCs w:val="22"/>
          <w:lang w:eastAsia="en-AU"/>
        </w:rPr>
      </w:pPr>
      <w:hyperlink w:anchor="_Toc15580084" w:history="1">
        <w:r w:rsidRPr="002012A6">
          <w:rPr>
            <w:rStyle w:val="Hyperlink"/>
            <w:noProof/>
          </w:rPr>
          <w:t>Forensicare patient experience</w:t>
        </w:r>
        <w:r>
          <w:rPr>
            <w:noProof/>
            <w:webHidden/>
          </w:rPr>
          <w:tab/>
        </w:r>
        <w:r>
          <w:rPr>
            <w:noProof/>
            <w:webHidden/>
          </w:rPr>
          <w:fldChar w:fldCharType="begin"/>
        </w:r>
        <w:r>
          <w:rPr>
            <w:noProof/>
            <w:webHidden/>
          </w:rPr>
          <w:instrText xml:space="preserve"> PAGEREF _Toc15580084 \h </w:instrText>
        </w:r>
        <w:r>
          <w:rPr>
            <w:noProof/>
            <w:webHidden/>
          </w:rPr>
        </w:r>
        <w:r>
          <w:rPr>
            <w:noProof/>
            <w:webHidden/>
          </w:rPr>
          <w:fldChar w:fldCharType="separate"/>
        </w:r>
        <w:r>
          <w:rPr>
            <w:noProof/>
            <w:webHidden/>
          </w:rPr>
          <w:t>25</w:t>
        </w:r>
        <w:r>
          <w:rPr>
            <w:noProof/>
            <w:webHidden/>
          </w:rPr>
          <w:fldChar w:fldCharType="end"/>
        </w:r>
      </w:hyperlink>
    </w:p>
    <w:p w14:paraId="0F8A6396" w14:textId="073848EA" w:rsidR="007854E0" w:rsidRDefault="007854E0">
      <w:pPr>
        <w:pStyle w:val="TOC4"/>
        <w:rPr>
          <w:rFonts w:asciiTheme="minorHAnsi" w:eastAsiaTheme="minorEastAsia" w:hAnsiTheme="minorHAnsi" w:cstheme="minorBidi"/>
          <w:noProof/>
          <w:sz w:val="22"/>
          <w:szCs w:val="22"/>
          <w:lang w:eastAsia="en-AU"/>
        </w:rPr>
      </w:pPr>
      <w:hyperlink w:anchor="_Toc15580085" w:history="1">
        <w:r w:rsidRPr="002012A6">
          <w:rPr>
            <w:rStyle w:val="Hyperlink"/>
            <w:noProof/>
          </w:rPr>
          <w:t>Healthcare-associated infections</w:t>
        </w:r>
        <w:r>
          <w:rPr>
            <w:noProof/>
            <w:webHidden/>
          </w:rPr>
          <w:tab/>
        </w:r>
        <w:r>
          <w:rPr>
            <w:noProof/>
            <w:webHidden/>
          </w:rPr>
          <w:fldChar w:fldCharType="begin"/>
        </w:r>
        <w:r>
          <w:rPr>
            <w:noProof/>
            <w:webHidden/>
          </w:rPr>
          <w:instrText xml:space="preserve"> PAGEREF _Toc15580085 \h </w:instrText>
        </w:r>
        <w:r>
          <w:rPr>
            <w:noProof/>
            <w:webHidden/>
          </w:rPr>
        </w:r>
        <w:r>
          <w:rPr>
            <w:noProof/>
            <w:webHidden/>
          </w:rPr>
          <w:fldChar w:fldCharType="separate"/>
        </w:r>
        <w:r>
          <w:rPr>
            <w:noProof/>
            <w:webHidden/>
          </w:rPr>
          <w:t>26</w:t>
        </w:r>
        <w:r>
          <w:rPr>
            <w:noProof/>
            <w:webHidden/>
          </w:rPr>
          <w:fldChar w:fldCharType="end"/>
        </w:r>
      </w:hyperlink>
    </w:p>
    <w:p w14:paraId="4B1B3693" w14:textId="07413837" w:rsidR="007854E0" w:rsidRDefault="007854E0">
      <w:pPr>
        <w:pStyle w:val="TOC4"/>
        <w:rPr>
          <w:rFonts w:asciiTheme="minorHAnsi" w:eastAsiaTheme="minorEastAsia" w:hAnsiTheme="minorHAnsi" w:cstheme="minorBidi"/>
          <w:noProof/>
          <w:sz w:val="22"/>
          <w:szCs w:val="22"/>
          <w:lang w:eastAsia="en-AU"/>
        </w:rPr>
      </w:pPr>
      <w:hyperlink w:anchor="_Toc15580086" w:history="1">
        <w:r w:rsidRPr="002012A6">
          <w:rPr>
            <w:rStyle w:val="Hyperlink"/>
            <w:noProof/>
          </w:rPr>
          <w:t>Adverse events</w:t>
        </w:r>
        <w:r>
          <w:rPr>
            <w:noProof/>
            <w:webHidden/>
          </w:rPr>
          <w:tab/>
        </w:r>
        <w:r>
          <w:rPr>
            <w:noProof/>
            <w:webHidden/>
          </w:rPr>
          <w:fldChar w:fldCharType="begin"/>
        </w:r>
        <w:r>
          <w:rPr>
            <w:noProof/>
            <w:webHidden/>
          </w:rPr>
          <w:instrText xml:space="preserve"> PAGEREF _Toc15580086 \h </w:instrText>
        </w:r>
        <w:r>
          <w:rPr>
            <w:noProof/>
            <w:webHidden/>
          </w:rPr>
        </w:r>
        <w:r>
          <w:rPr>
            <w:noProof/>
            <w:webHidden/>
          </w:rPr>
          <w:fldChar w:fldCharType="separate"/>
        </w:r>
        <w:r>
          <w:rPr>
            <w:noProof/>
            <w:webHidden/>
          </w:rPr>
          <w:t>31</w:t>
        </w:r>
        <w:r>
          <w:rPr>
            <w:noProof/>
            <w:webHidden/>
          </w:rPr>
          <w:fldChar w:fldCharType="end"/>
        </w:r>
      </w:hyperlink>
    </w:p>
    <w:p w14:paraId="6E09915F" w14:textId="1B2AB02A" w:rsidR="007854E0" w:rsidRDefault="007854E0">
      <w:pPr>
        <w:pStyle w:val="TOC4"/>
        <w:rPr>
          <w:rFonts w:asciiTheme="minorHAnsi" w:eastAsiaTheme="minorEastAsia" w:hAnsiTheme="minorHAnsi" w:cstheme="minorBidi"/>
          <w:noProof/>
          <w:sz w:val="22"/>
          <w:szCs w:val="22"/>
          <w:lang w:eastAsia="en-AU"/>
        </w:rPr>
      </w:pPr>
      <w:hyperlink w:anchor="_Toc15580087" w:history="1">
        <w:r w:rsidRPr="002012A6">
          <w:rPr>
            <w:rStyle w:val="Hyperlink"/>
            <w:noProof/>
          </w:rPr>
          <w:t>Unplanned readmission</w:t>
        </w:r>
        <w:r>
          <w:rPr>
            <w:noProof/>
            <w:webHidden/>
          </w:rPr>
          <w:tab/>
        </w:r>
        <w:r>
          <w:rPr>
            <w:noProof/>
            <w:webHidden/>
          </w:rPr>
          <w:fldChar w:fldCharType="begin"/>
        </w:r>
        <w:r>
          <w:rPr>
            <w:noProof/>
            <w:webHidden/>
          </w:rPr>
          <w:instrText xml:space="preserve"> PAGEREF _Toc15580087 \h </w:instrText>
        </w:r>
        <w:r>
          <w:rPr>
            <w:noProof/>
            <w:webHidden/>
          </w:rPr>
        </w:r>
        <w:r>
          <w:rPr>
            <w:noProof/>
            <w:webHidden/>
          </w:rPr>
          <w:fldChar w:fldCharType="separate"/>
        </w:r>
        <w:r>
          <w:rPr>
            <w:noProof/>
            <w:webHidden/>
          </w:rPr>
          <w:t>33</w:t>
        </w:r>
        <w:r>
          <w:rPr>
            <w:noProof/>
            <w:webHidden/>
          </w:rPr>
          <w:fldChar w:fldCharType="end"/>
        </w:r>
      </w:hyperlink>
    </w:p>
    <w:p w14:paraId="001ADFE7" w14:textId="170538E5" w:rsidR="007854E0" w:rsidRDefault="007854E0">
      <w:pPr>
        <w:pStyle w:val="TOC4"/>
        <w:rPr>
          <w:rFonts w:asciiTheme="minorHAnsi" w:eastAsiaTheme="minorEastAsia" w:hAnsiTheme="minorHAnsi" w:cstheme="minorBidi"/>
          <w:noProof/>
          <w:sz w:val="22"/>
          <w:szCs w:val="22"/>
          <w:lang w:eastAsia="en-AU"/>
        </w:rPr>
      </w:pPr>
      <w:hyperlink w:anchor="_Toc15580088" w:history="1">
        <w:r w:rsidRPr="002012A6">
          <w:rPr>
            <w:rStyle w:val="Hyperlink"/>
            <w:noProof/>
          </w:rPr>
          <w:t>Mental health</w:t>
        </w:r>
        <w:r>
          <w:rPr>
            <w:noProof/>
            <w:webHidden/>
          </w:rPr>
          <w:tab/>
        </w:r>
        <w:r>
          <w:rPr>
            <w:noProof/>
            <w:webHidden/>
          </w:rPr>
          <w:fldChar w:fldCharType="begin"/>
        </w:r>
        <w:r>
          <w:rPr>
            <w:noProof/>
            <w:webHidden/>
          </w:rPr>
          <w:instrText xml:space="preserve"> PAGEREF _Toc15580088 \h </w:instrText>
        </w:r>
        <w:r>
          <w:rPr>
            <w:noProof/>
            <w:webHidden/>
          </w:rPr>
        </w:r>
        <w:r>
          <w:rPr>
            <w:noProof/>
            <w:webHidden/>
          </w:rPr>
          <w:fldChar w:fldCharType="separate"/>
        </w:r>
        <w:r>
          <w:rPr>
            <w:noProof/>
            <w:webHidden/>
          </w:rPr>
          <w:t>44</w:t>
        </w:r>
        <w:r>
          <w:rPr>
            <w:noProof/>
            <w:webHidden/>
          </w:rPr>
          <w:fldChar w:fldCharType="end"/>
        </w:r>
      </w:hyperlink>
    </w:p>
    <w:p w14:paraId="220C5419" w14:textId="6E7000DD" w:rsidR="007854E0" w:rsidRDefault="007854E0">
      <w:pPr>
        <w:pStyle w:val="TOC4"/>
        <w:rPr>
          <w:rFonts w:asciiTheme="minorHAnsi" w:eastAsiaTheme="minorEastAsia" w:hAnsiTheme="minorHAnsi" w:cstheme="minorBidi"/>
          <w:noProof/>
          <w:sz w:val="22"/>
          <w:szCs w:val="22"/>
          <w:lang w:eastAsia="en-AU"/>
        </w:rPr>
      </w:pPr>
      <w:hyperlink w:anchor="_Toc15580089" w:history="1">
        <w:r w:rsidRPr="002012A6">
          <w:rPr>
            <w:rStyle w:val="Hyperlink"/>
            <w:noProof/>
          </w:rPr>
          <w:t>Maternity and newborn</w:t>
        </w:r>
        <w:r>
          <w:rPr>
            <w:noProof/>
            <w:webHidden/>
          </w:rPr>
          <w:tab/>
        </w:r>
        <w:r>
          <w:rPr>
            <w:noProof/>
            <w:webHidden/>
          </w:rPr>
          <w:fldChar w:fldCharType="begin"/>
        </w:r>
        <w:r>
          <w:rPr>
            <w:noProof/>
            <w:webHidden/>
          </w:rPr>
          <w:instrText xml:space="preserve"> PAGEREF _Toc15580089 \h </w:instrText>
        </w:r>
        <w:r>
          <w:rPr>
            <w:noProof/>
            <w:webHidden/>
          </w:rPr>
        </w:r>
        <w:r>
          <w:rPr>
            <w:noProof/>
            <w:webHidden/>
          </w:rPr>
          <w:fldChar w:fldCharType="separate"/>
        </w:r>
        <w:r>
          <w:rPr>
            <w:noProof/>
            <w:webHidden/>
          </w:rPr>
          <w:t>51</w:t>
        </w:r>
        <w:r>
          <w:rPr>
            <w:noProof/>
            <w:webHidden/>
          </w:rPr>
          <w:fldChar w:fldCharType="end"/>
        </w:r>
      </w:hyperlink>
    </w:p>
    <w:p w14:paraId="4E02F8E2" w14:textId="2B4756BE" w:rsidR="007854E0" w:rsidRDefault="007854E0">
      <w:pPr>
        <w:pStyle w:val="TOC4"/>
        <w:rPr>
          <w:rFonts w:asciiTheme="minorHAnsi" w:eastAsiaTheme="minorEastAsia" w:hAnsiTheme="minorHAnsi" w:cstheme="minorBidi"/>
          <w:noProof/>
          <w:sz w:val="22"/>
          <w:szCs w:val="22"/>
          <w:lang w:eastAsia="en-AU"/>
        </w:rPr>
      </w:pPr>
      <w:hyperlink w:anchor="_Toc15580090" w:history="1">
        <w:r w:rsidRPr="002012A6">
          <w:rPr>
            <w:rStyle w:val="Hyperlink"/>
            <w:noProof/>
          </w:rPr>
          <w:t>Continuing care</w:t>
        </w:r>
        <w:r>
          <w:rPr>
            <w:noProof/>
            <w:webHidden/>
          </w:rPr>
          <w:tab/>
        </w:r>
        <w:r>
          <w:rPr>
            <w:noProof/>
            <w:webHidden/>
          </w:rPr>
          <w:fldChar w:fldCharType="begin"/>
        </w:r>
        <w:r>
          <w:rPr>
            <w:noProof/>
            <w:webHidden/>
          </w:rPr>
          <w:instrText xml:space="preserve"> PAGEREF _Toc15580090 \h </w:instrText>
        </w:r>
        <w:r>
          <w:rPr>
            <w:noProof/>
            <w:webHidden/>
          </w:rPr>
        </w:r>
        <w:r>
          <w:rPr>
            <w:noProof/>
            <w:webHidden/>
          </w:rPr>
          <w:fldChar w:fldCharType="separate"/>
        </w:r>
        <w:r>
          <w:rPr>
            <w:noProof/>
            <w:webHidden/>
          </w:rPr>
          <w:t>54</w:t>
        </w:r>
        <w:r>
          <w:rPr>
            <w:noProof/>
            <w:webHidden/>
          </w:rPr>
          <w:fldChar w:fldCharType="end"/>
        </w:r>
      </w:hyperlink>
    </w:p>
    <w:p w14:paraId="6312C7FF" w14:textId="37F68E7B" w:rsidR="007854E0" w:rsidRDefault="007854E0">
      <w:pPr>
        <w:pStyle w:val="TOC4"/>
        <w:rPr>
          <w:rFonts w:asciiTheme="minorHAnsi" w:eastAsiaTheme="minorEastAsia" w:hAnsiTheme="minorHAnsi" w:cstheme="minorBidi"/>
          <w:noProof/>
          <w:sz w:val="22"/>
          <w:szCs w:val="22"/>
          <w:lang w:eastAsia="en-AU"/>
        </w:rPr>
      </w:pPr>
      <w:hyperlink w:anchor="_Toc15580091" w:history="1">
        <w:r w:rsidRPr="002012A6">
          <w:rPr>
            <w:rStyle w:val="Hyperlink"/>
            <w:noProof/>
          </w:rPr>
          <w:t>Ambulance services</w:t>
        </w:r>
        <w:r>
          <w:rPr>
            <w:noProof/>
            <w:webHidden/>
          </w:rPr>
          <w:tab/>
        </w:r>
        <w:r>
          <w:rPr>
            <w:noProof/>
            <w:webHidden/>
          </w:rPr>
          <w:fldChar w:fldCharType="begin"/>
        </w:r>
        <w:r>
          <w:rPr>
            <w:noProof/>
            <w:webHidden/>
          </w:rPr>
          <w:instrText xml:space="preserve"> PAGEREF _Toc15580091 \h </w:instrText>
        </w:r>
        <w:r>
          <w:rPr>
            <w:noProof/>
            <w:webHidden/>
          </w:rPr>
        </w:r>
        <w:r>
          <w:rPr>
            <w:noProof/>
            <w:webHidden/>
          </w:rPr>
          <w:fldChar w:fldCharType="separate"/>
        </w:r>
        <w:r>
          <w:rPr>
            <w:noProof/>
            <w:webHidden/>
          </w:rPr>
          <w:t>55</w:t>
        </w:r>
        <w:r>
          <w:rPr>
            <w:noProof/>
            <w:webHidden/>
          </w:rPr>
          <w:fldChar w:fldCharType="end"/>
        </w:r>
      </w:hyperlink>
    </w:p>
    <w:p w14:paraId="628F6FEE" w14:textId="0F54F4CC" w:rsidR="007854E0" w:rsidRDefault="007854E0">
      <w:pPr>
        <w:pStyle w:val="TOC3"/>
        <w:rPr>
          <w:rFonts w:asciiTheme="minorHAnsi" w:eastAsiaTheme="minorEastAsia" w:hAnsiTheme="minorHAnsi" w:cstheme="minorBidi"/>
          <w:noProof/>
          <w:sz w:val="22"/>
          <w:szCs w:val="22"/>
          <w:lang w:eastAsia="en-AU"/>
        </w:rPr>
      </w:pPr>
      <w:hyperlink w:anchor="_Toc15580092" w:history="1">
        <w:r w:rsidRPr="002012A6">
          <w:rPr>
            <w:rStyle w:val="Hyperlink"/>
            <w:noProof/>
          </w:rPr>
          <w:t>Strong governance, leadership and culture</w:t>
        </w:r>
        <w:r>
          <w:rPr>
            <w:noProof/>
            <w:webHidden/>
          </w:rPr>
          <w:tab/>
        </w:r>
        <w:r>
          <w:rPr>
            <w:noProof/>
            <w:webHidden/>
          </w:rPr>
          <w:fldChar w:fldCharType="begin"/>
        </w:r>
        <w:r>
          <w:rPr>
            <w:noProof/>
            <w:webHidden/>
          </w:rPr>
          <w:instrText xml:space="preserve"> PAGEREF _Toc15580092 \h </w:instrText>
        </w:r>
        <w:r>
          <w:rPr>
            <w:noProof/>
            <w:webHidden/>
          </w:rPr>
        </w:r>
        <w:r>
          <w:rPr>
            <w:noProof/>
            <w:webHidden/>
          </w:rPr>
          <w:fldChar w:fldCharType="separate"/>
        </w:r>
        <w:r>
          <w:rPr>
            <w:noProof/>
            <w:webHidden/>
          </w:rPr>
          <w:t>62</w:t>
        </w:r>
        <w:r>
          <w:rPr>
            <w:noProof/>
            <w:webHidden/>
          </w:rPr>
          <w:fldChar w:fldCharType="end"/>
        </w:r>
      </w:hyperlink>
    </w:p>
    <w:p w14:paraId="33C5E5B0" w14:textId="78A5CDD3" w:rsidR="007854E0" w:rsidRDefault="007854E0">
      <w:pPr>
        <w:pStyle w:val="TOC4"/>
        <w:rPr>
          <w:rFonts w:asciiTheme="minorHAnsi" w:eastAsiaTheme="minorEastAsia" w:hAnsiTheme="minorHAnsi" w:cstheme="minorBidi"/>
          <w:noProof/>
          <w:sz w:val="22"/>
          <w:szCs w:val="22"/>
          <w:lang w:eastAsia="en-AU"/>
        </w:rPr>
      </w:pPr>
      <w:hyperlink w:anchor="_Toc15580093" w:history="1">
        <w:r w:rsidRPr="002012A6">
          <w:rPr>
            <w:rStyle w:val="Hyperlink"/>
            <w:noProof/>
          </w:rPr>
          <w:t>Organisational culture</w:t>
        </w:r>
        <w:r>
          <w:rPr>
            <w:noProof/>
            <w:webHidden/>
          </w:rPr>
          <w:tab/>
        </w:r>
        <w:r>
          <w:rPr>
            <w:noProof/>
            <w:webHidden/>
          </w:rPr>
          <w:fldChar w:fldCharType="begin"/>
        </w:r>
        <w:r>
          <w:rPr>
            <w:noProof/>
            <w:webHidden/>
          </w:rPr>
          <w:instrText xml:space="preserve"> PAGEREF _Toc15580093 \h </w:instrText>
        </w:r>
        <w:r>
          <w:rPr>
            <w:noProof/>
            <w:webHidden/>
          </w:rPr>
        </w:r>
        <w:r>
          <w:rPr>
            <w:noProof/>
            <w:webHidden/>
          </w:rPr>
          <w:fldChar w:fldCharType="separate"/>
        </w:r>
        <w:r>
          <w:rPr>
            <w:noProof/>
            <w:webHidden/>
          </w:rPr>
          <w:t>62</w:t>
        </w:r>
        <w:r>
          <w:rPr>
            <w:noProof/>
            <w:webHidden/>
          </w:rPr>
          <w:fldChar w:fldCharType="end"/>
        </w:r>
      </w:hyperlink>
    </w:p>
    <w:p w14:paraId="4A095DD0" w14:textId="1F84B604" w:rsidR="007854E0" w:rsidRDefault="007854E0">
      <w:pPr>
        <w:pStyle w:val="TOC3"/>
        <w:rPr>
          <w:rFonts w:asciiTheme="minorHAnsi" w:eastAsiaTheme="minorEastAsia" w:hAnsiTheme="minorHAnsi" w:cstheme="minorBidi"/>
          <w:noProof/>
          <w:sz w:val="22"/>
          <w:szCs w:val="22"/>
          <w:lang w:eastAsia="en-AU"/>
        </w:rPr>
      </w:pPr>
      <w:hyperlink w:anchor="_Toc15580094" w:history="1">
        <w:r w:rsidRPr="002012A6">
          <w:rPr>
            <w:rStyle w:val="Hyperlink"/>
            <w:noProof/>
          </w:rPr>
          <w:t>Timely access to care</w:t>
        </w:r>
        <w:r>
          <w:rPr>
            <w:noProof/>
            <w:webHidden/>
          </w:rPr>
          <w:tab/>
        </w:r>
        <w:r>
          <w:rPr>
            <w:noProof/>
            <w:webHidden/>
          </w:rPr>
          <w:fldChar w:fldCharType="begin"/>
        </w:r>
        <w:r>
          <w:rPr>
            <w:noProof/>
            <w:webHidden/>
          </w:rPr>
          <w:instrText xml:space="preserve"> PAGEREF _Toc15580094 \h </w:instrText>
        </w:r>
        <w:r>
          <w:rPr>
            <w:noProof/>
            <w:webHidden/>
          </w:rPr>
        </w:r>
        <w:r>
          <w:rPr>
            <w:noProof/>
            <w:webHidden/>
          </w:rPr>
          <w:fldChar w:fldCharType="separate"/>
        </w:r>
        <w:r>
          <w:rPr>
            <w:noProof/>
            <w:webHidden/>
          </w:rPr>
          <w:t>68</w:t>
        </w:r>
        <w:r>
          <w:rPr>
            <w:noProof/>
            <w:webHidden/>
          </w:rPr>
          <w:fldChar w:fldCharType="end"/>
        </w:r>
      </w:hyperlink>
    </w:p>
    <w:p w14:paraId="6460DC56" w14:textId="558CE3B5" w:rsidR="007854E0" w:rsidRDefault="007854E0">
      <w:pPr>
        <w:pStyle w:val="TOC4"/>
        <w:rPr>
          <w:rFonts w:asciiTheme="minorHAnsi" w:eastAsiaTheme="minorEastAsia" w:hAnsiTheme="minorHAnsi" w:cstheme="minorBidi"/>
          <w:noProof/>
          <w:sz w:val="22"/>
          <w:szCs w:val="22"/>
          <w:lang w:eastAsia="en-AU"/>
        </w:rPr>
      </w:pPr>
      <w:hyperlink w:anchor="_Toc15580095" w:history="1">
        <w:r w:rsidRPr="002012A6">
          <w:rPr>
            <w:rStyle w:val="Hyperlink"/>
            <w:noProof/>
          </w:rPr>
          <w:t>Emergency care</w:t>
        </w:r>
        <w:r>
          <w:rPr>
            <w:noProof/>
            <w:webHidden/>
          </w:rPr>
          <w:tab/>
        </w:r>
        <w:r>
          <w:rPr>
            <w:noProof/>
            <w:webHidden/>
          </w:rPr>
          <w:fldChar w:fldCharType="begin"/>
        </w:r>
        <w:r>
          <w:rPr>
            <w:noProof/>
            <w:webHidden/>
          </w:rPr>
          <w:instrText xml:space="preserve"> PAGEREF _Toc15580095 \h </w:instrText>
        </w:r>
        <w:r>
          <w:rPr>
            <w:noProof/>
            <w:webHidden/>
          </w:rPr>
        </w:r>
        <w:r>
          <w:rPr>
            <w:noProof/>
            <w:webHidden/>
          </w:rPr>
          <w:fldChar w:fldCharType="separate"/>
        </w:r>
        <w:r>
          <w:rPr>
            <w:noProof/>
            <w:webHidden/>
          </w:rPr>
          <w:t>68</w:t>
        </w:r>
        <w:r>
          <w:rPr>
            <w:noProof/>
            <w:webHidden/>
          </w:rPr>
          <w:fldChar w:fldCharType="end"/>
        </w:r>
      </w:hyperlink>
    </w:p>
    <w:p w14:paraId="72F1BF08" w14:textId="1C0D90B5" w:rsidR="007854E0" w:rsidRDefault="007854E0">
      <w:pPr>
        <w:pStyle w:val="TOC4"/>
        <w:rPr>
          <w:rFonts w:asciiTheme="minorHAnsi" w:eastAsiaTheme="minorEastAsia" w:hAnsiTheme="minorHAnsi" w:cstheme="minorBidi"/>
          <w:noProof/>
          <w:sz w:val="22"/>
          <w:szCs w:val="22"/>
          <w:lang w:eastAsia="en-AU"/>
        </w:rPr>
      </w:pPr>
      <w:hyperlink w:anchor="_Toc15580096" w:history="1">
        <w:r w:rsidRPr="002012A6">
          <w:rPr>
            <w:rStyle w:val="Hyperlink"/>
            <w:noProof/>
          </w:rPr>
          <w:t>Elective surgery</w:t>
        </w:r>
        <w:r>
          <w:rPr>
            <w:noProof/>
            <w:webHidden/>
          </w:rPr>
          <w:tab/>
        </w:r>
        <w:r>
          <w:rPr>
            <w:noProof/>
            <w:webHidden/>
          </w:rPr>
          <w:fldChar w:fldCharType="begin"/>
        </w:r>
        <w:r>
          <w:rPr>
            <w:noProof/>
            <w:webHidden/>
          </w:rPr>
          <w:instrText xml:space="preserve"> PAGEREF _Toc15580096 \h </w:instrText>
        </w:r>
        <w:r>
          <w:rPr>
            <w:noProof/>
            <w:webHidden/>
          </w:rPr>
        </w:r>
        <w:r>
          <w:rPr>
            <w:noProof/>
            <w:webHidden/>
          </w:rPr>
          <w:fldChar w:fldCharType="separate"/>
        </w:r>
        <w:r>
          <w:rPr>
            <w:noProof/>
            <w:webHidden/>
          </w:rPr>
          <w:t>73</w:t>
        </w:r>
        <w:r>
          <w:rPr>
            <w:noProof/>
            <w:webHidden/>
          </w:rPr>
          <w:fldChar w:fldCharType="end"/>
        </w:r>
      </w:hyperlink>
    </w:p>
    <w:p w14:paraId="3F3A9669" w14:textId="643D82D4" w:rsidR="007854E0" w:rsidRDefault="007854E0">
      <w:pPr>
        <w:pStyle w:val="TOC4"/>
        <w:rPr>
          <w:rFonts w:asciiTheme="minorHAnsi" w:eastAsiaTheme="minorEastAsia" w:hAnsiTheme="minorHAnsi" w:cstheme="minorBidi"/>
          <w:noProof/>
          <w:sz w:val="22"/>
          <w:szCs w:val="22"/>
          <w:lang w:eastAsia="en-AU"/>
        </w:rPr>
      </w:pPr>
      <w:hyperlink w:anchor="_Toc15580097" w:history="1">
        <w:r w:rsidRPr="002012A6">
          <w:rPr>
            <w:rStyle w:val="Hyperlink"/>
            <w:noProof/>
          </w:rPr>
          <w:t>Specialist clinics</w:t>
        </w:r>
        <w:r>
          <w:rPr>
            <w:noProof/>
            <w:webHidden/>
          </w:rPr>
          <w:tab/>
        </w:r>
        <w:r>
          <w:rPr>
            <w:noProof/>
            <w:webHidden/>
          </w:rPr>
          <w:fldChar w:fldCharType="begin"/>
        </w:r>
        <w:r>
          <w:rPr>
            <w:noProof/>
            <w:webHidden/>
          </w:rPr>
          <w:instrText xml:space="preserve"> PAGEREF _Toc15580097 \h </w:instrText>
        </w:r>
        <w:r>
          <w:rPr>
            <w:noProof/>
            <w:webHidden/>
          </w:rPr>
        </w:r>
        <w:r>
          <w:rPr>
            <w:noProof/>
            <w:webHidden/>
          </w:rPr>
          <w:fldChar w:fldCharType="separate"/>
        </w:r>
        <w:r>
          <w:rPr>
            <w:noProof/>
            <w:webHidden/>
          </w:rPr>
          <w:t>80</w:t>
        </w:r>
        <w:r>
          <w:rPr>
            <w:noProof/>
            <w:webHidden/>
          </w:rPr>
          <w:fldChar w:fldCharType="end"/>
        </w:r>
      </w:hyperlink>
    </w:p>
    <w:p w14:paraId="45A90167" w14:textId="78B22370" w:rsidR="007854E0" w:rsidRDefault="007854E0">
      <w:pPr>
        <w:pStyle w:val="TOC4"/>
        <w:rPr>
          <w:rFonts w:asciiTheme="minorHAnsi" w:eastAsiaTheme="minorEastAsia" w:hAnsiTheme="minorHAnsi" w:cstheme="minorBidi"/>
          <w:noProof/>
          <w:sz w:val="22"/>
          <w:szCs w:val="22"/>
          <w:lang w:eastAsia="en-AU"/>
        </w:rPr>
      </w:pPr>
      <w:hyperlink w:anchor="_Toc15580098" w:history="1">
        <w:r w:rsidRPr="002012A6">
          <w:rPr>
            <w:rStyle w:val="Hyperlink"/>
            <w:noProof/>
          </w:rPr>
          <w:t>Timely response (Ambulance Victoria only)</w:t>
        </w:r>
        <w:r>
          <w:rPr>
            <w:noProof/>
            <w:webHidden/>
          </w:rPr>
          <w:tab/>
        </w:r>
        <w:r>
          <w:rPr>
            <w:noProof/>
            <w:webHidden/>
          </w:rPr>
          <w:fldChar w:fldCharType="begin"/>
        </w:r>
        <w:r>
          <w:rPr>
            <w:noProof/>
            <w:webHidden/>
          </w:rPr>
          <w:instrText xml:space="preserve"> PAGEREF _Toc15580098 \h </w:instrText>
        </w:r>
        <w:r>
          <w:rPr>
            <w:noProof/>
            <w:webHidden/>
          </w:rPr>
        </w:r>
        <w:r>
          <w:rPr>
            <w:noProof/>
            <w:webHidden/>
          </w:rPr>
          <w:fldChar w:fldCharType="separate"/>
        </w:r>
        <w:r>
          <w:rPr>
            <w:noProof/>
            <w:webHidden/>
          </w:rPr>
          <w:t>83</w:t>
        </w:r>
        <w:r>
          <w:rPr>
            <w:noProof/>
            <w:webHidden/>
          </w:rPr>
          <w:fldChar w:fldCharType="end"/>
        </w:r>
      </w:hyperlink>
    </w:p>
    <w:p w14:paraId="7FA79C4A" w14:textId="6ACF9342" w:rsidR="007854E0" w:rsidRDefault="007854E0">
      <w:pPr>
        <w:pStyle w:val="TOC4"/>
        <w:rPr>
          <w:rFonts w:asciiTheme="minorHAnsi" w:eastAsiaTheme="minorEastAsia" w:hAnsiTheme="minorHAnsi" w:cstheme="minorBidi"/>
          <w:noProof/>
          <w:sz w:val="22"/>
          <w:szCs w:val="22"/>
          <w:lang w:eastAsia="en-AU"/>
        </w:rPr>
      </w:pPr>
      <w:hyperlink w:anchor="_Toc15580099" w:history="1">
        <w:r w:rsidRPr="002012A6">
          <w:rPr>
            <w:rStyle w:val="Hyperlink"/>
            <w:noProof/>
          </w:rPr>
          <w:t>Forensicare: Admissions to Thomas Embling Hospital (TEH)</w:t>
        </w:r>
        <w:r>
          <w:rPr>
            <w:noProof/>
            <w:webHidden/>
          </w:rPr>
          <w:tab/>
        </w:r>
        <w:r>
          <w:rPr>
            <w:noProof/>
            <w:webHidden/>
          </w:rPr>
          <w:fldChar w:fldCharType="begin"/>
        </w:r>
        <w:r>
          <w:rPr>
            <w:noProof/>
            <w:webHidden/>
          </w:rPr>
          <w:instrText xml:space="preserve"> PAGEREF _Toc15580099 \h </w:instrText>
        </w:r>
        <w:r>
          <w:rPr>
            <w:noProof/>
            <w:webHidden/>
          </w:rPr>
        </w:r>
        <w:r>
          <w:rPr>
            <w:noProof/>
            <w:webHidden/>
          </w:rPr>
          <w:fldChar w:fldCharType="separate"/>
        </w:r>
        <w:r>
          <w:rPr>
            <w:noProof/>
            <w:webHidden/>
          </w:rPr>
          <w:t>88</w:t>
        </w:r>
        <w:r>
          <w:rPr>
            <w:noProof/>
            <w:webHidden/>
          </w:rPr>
          <w:fldChar w:fldCharType="end"/>
        </w:r>
      </w:hyperlink>
    </w:p>
    <w:p w14:paraId="5C23B4D9" w14:textId="102E244D" w:rsidR="007854E0" w:rsidRDefault="007854E0">
      <w:pPr>
        <w:pStyle w:val="TOC4"/>
        <w:rPr>
          <w:rFonts w:asciiTheme="minorHAnsi" w:eastAsiaTheme="minorEastAsia" w:hAnsiTheme="minorHAnsi" w:cstheme="minorBidi"/>
          <w:noProof/>
          <w:sz w:val="22"/>
          <w:szCs w:val="22"/>
          <w:lang w:eastAsia="en-AU"/>
        </w:rPr>
      </w:pPr>
      <w:hyperlink w:anchor="_Toc15580100" w:history="1">
        <w:r w:rsidRPr="002012A6">
          <w:rPr>
            <w:rStyle w:val="Hyperlink"/>
            <w:noProof/>
          </w:rPr>
          <w:t>Forensicare: Length of stay – male security patients</w:t>
        </w:r>
        <w:r>
          <w:rPr>
            <w:noProof/>
            <w:webHidden/>
          </w:rPr>
          <w:tab/>
        </w:r>
        <w:r>
          <w:rPr>
            <w:noProof/>
            <w:webHidden/>
          </w:rPr>
          <w:fldChar w:fldCharType="begin"/>
        </w:r>
        <w:r>
          <w:rPr>
            <w:noProof/>
            <w:webHidden/>
          </w:rPr>
          <w:instrText xml:space="preserve"> PAGEREF _Toc15580100 \h </w:instrText>
        </w:r>
        <w:r>
          <w:rPr>
            <w:noProof/>
            <w:webHidden/>
          </w:rPr>
        </w:r>
        <w:r>
          <w:rPr>
            <w:noProof/>
            <w:webHidden/>
          </w:rPr>
          <w:fldChar w:fldCharType="separate"/>
        </w:r>
        <w:r>
          <w:rPr>
            <w:noProof/>
            <w:webHidden/>
          </w:rPr>
          <w:t>90</w:t>
        </w:r>
        <w:r>
          <w:rPr>
            <w:noProof/>
            <w:webHidden/>
          </w:rPr>
          <w:fldChar w:fldCharType="end"/>
        </w:r>
      </w:hyperlink>
    </w:p>
    <w:p w14:paraId="60DDCD4F" w14:textId="7D80996E" w:rsidR="007854E0" w:rsidRDefault="007854E0">
      <w:pPr>
        <w:pStyle w:val="TOC3"/>
        <w:rPr>
          <w:rFonts w:asciiTheme="minorHAnsi" w:eastAsiaTheme="minorEastAsia" w:hAnsiTheme="minorHAnsi" w:cstheme="minorBidi"/>
          <w:noProof/>
          <w:sz w:val="22"/>
          <w:szCs w:val="22"/>
          <w:lang w:eastAsia="en-AU"/>
        </w:rPr>
      </w:pPr>
      <w:hyperlink w:anchor="_Toc15580101" w:history="1">
        <w:r w:rsidRPr="002012A6">
          <w:rPr>
            <w:rStyle w:val="Hyperlink"/>
            <w:noProof/>
          </w:rPr>
          <w:t>Effective financial management</w:t>
        </w:r>
        <w:r>
          <w:rPr>
            <w:noProof/>
            <w:webHidden/>
          </w:rPr>
          <w:tab/>
        </w:r>
        <w:r>
          <w:rPr>
            <w:noProof/>
            <w:webHidden/>
          </w:rPr>
          <w:fldChar w:fldCharType="begin"/>
        </w:r>
        <w:r>
          <w:rPr>
            <w:noProof/>
            <w:webHidden/>
          </w:rPr>
          <w:instrText xml:space="preserve"> PAGEREF _Toc15580101 \h </w:instrText>
        </w:r>
        <w:r>
          <w:rPr>
            <w:noProof/>
            <w:webHidden/>
          </w:rPr>
        </w:r>
        <w:r>
          <w:rPr>
            <w:noProof/>
            <w:webHidden/>
          </w:rPr>
          <w:fldChar w:fldCharType="separate"/>
        </w:r>
        <w:r>
          <w:rPr>
            <w:noProof/>
            <w:webHidden/>
          </w:rPr>
          <w:t>94</w:t>
        </w:r>
        <w:r>
          <w:rPr>
            <w:noProof/>
            <w:webHidden/>
          </w:rPr>
          <w:fldChar w:fldCharType="end"/>
        </w:r>
      </w:hyperlink>
    </w:p>
    <w:p w14:paraId="381A3FCB" w14:textId="5D321D41" w:rsidR="007854E0" w:rsidRDefault="007854E0">
      <w:pPr>
        <w:pStyle w:val="TOC2"/>
        <w:rPr>
          <w:rFonts w:asciiTheme="minorHAnsi" w:eastAsiaTheme="minorEastAsia" w:hAnsiTheme="minorHAnsi" w:cstheme="minorBidi"/>
          <w:b w:val="0"/>
          <w:sz w:val="22"/>
          <w:szCs w:val="22"/>
          <w:lang w:eastAsia="en-AU"/>
        </w:rPr>
      </w:pPr>
      <w:hyperlink w:anchor="_Toc15580102" w:history="1">
        <w:r w:rsidRPr="002012A6">
          <w:rPr>
            <w:rStyle w:val="Hyperlink"/>
          </w:rPr>
          <w:t>Underlying Risk Factors (performance input category 2)</w:t>
        </w:r>
        <w:r>
          <w:rPr>
            <w:webHidden/>
          </w:rPr>
          <w:tab/>
        </w:r>
        <w:r>
          <w:rPr>
            <w:webHidden/>
          </w:rPr>
          <w:fldChar w:fldCharType="begin"/>
        </w:r>
        <w:r>
          <w:rPr>
            <w:webHidden/>
          </w:rPr>
          <w:instrText xml:space="preserve"> PAGEREF _Toc15580102 \h </w:instrText>
        </w:r>
        <w:r>
          <w:rPr>
            <w:webHidden/>
          </w:rPr>
        </w:r>
        <w:r>
          <w:rPr>
            <w:webHidden/>
          </w:rPr>
          <w:fldChar w:fldCharType="separate"/>
        </w:r>
        <w:r>
          <w:rPr>
            <w:webHidden/>
          </w:rPr>
          <w:t>103</w:t>
        </w:r>
        <w:r>
          <w:rPr>
            <w:webHidden/>
          </w:rPr>
          <w:fldChar w:fldCharType="end"/>
        </w:r>
      </w:hyperlink>
    </w:p>
    <w:p w14:paraId="620E1E65" w14:textId="659E0FB6" w:rsidR="007854E0" w:rsidRDefault="007854E0">
      <w:pPr>
        <w:pStyle w:val="TOC2"/>
        <w:rPr>
          <w:rFonts w:asciiTheme="minorHAnsi" w:eastAsiaTheme="minorEastAsia" w:hAnsiTheme="minorHAnsi" w:cstheme="minorBidi"/>
          <w:b w:val="0"/>
          <w:sz w:val="22"/>
          <w:szCs w:val="22"/>
          <w:lang w:eastAsia="en-AU"/>
        </w:rPr>
      </w:pPr>
      <w:hyperlink w:anchor="_Toc15580103" w:history="1">
        <w:r w:rsidRPr="002012A6">
          <w:rPr>
            <w:rStyle w:val="Hyperlink"/>
          </w:rPr>
          <w:t>Specific events: Breaches</w:t>
        </w:r>
        <w:r>
          <w:rPr>
            <w:webHidden/>
          </w:rPr>
          <w:tab/>
        </w:r>
        <w:r>
          <w:rPr>
            <w:webHidden/>
          </w:rPr>
          <w:fldChar w:fldCharType="begin"/>
        </w:r>
        <w:r>
          <w:rPr>
            <w:webHidden/>
          </w:rPr>
          <w:instrText xml:space="preserve"> PAGEREF _Toc15580103 \h </w:instrText>
        </w:r>
        <w:r>
          <w:rPr>
            <w:webHidden/>
          </w:rPr>
        </w:r>
        <w:r>
          <w:rPr>
            <w:webHidden/>
          </w:rPr>
          <w:fldChar w:fldCharType="separate"/>
        </w:r>
        <w:r>
          <w:rPr>
            <w:webHidden/>
          </w:rPr>
          <w:t>105</w:t>
        </w:r>
        <w:r>
          <w:rPr>
            <w:webHidden/>
          </w:rPr>
          <w:fldChar w:fldCharType="end"/>
        </w:r>
      </w:hyperlink>
    </w:p>
    <w:p w14:paraId="52B0E5C0" w14:textId="49D47A74" w:rsidR="007854E0" w:rsidRDefault="007854E0">
      <w:pPr>
        <w:pStyle w:val="TOC3"/>
        <w:rPr>
          <w:rFonts w:asciiTheme="minorHAnsi" w:eastAsiaTheme="minorEastAsia" w:hAnsiTheme="minorHAnsi" w:cstheme="minorBidi"/>
          <w:noProof/>
          <w:sz w:val="22"/>
          <w:szCs w:val="22"/>
          <w:lang w:eastAsia="en-AU"/>
        </w:rPr>
      </w:pPr>
      <w:hyperlink w:anchor="_Toc15580104" w:history="1">
        <w:r w:rsidRPr="002012A6">
          <w:rPr>
            <w:rStyle w:val="Hyperlink"/>
            <w:noProof/>
          </w:rPr>
          <w:t>Accreditation breach</w:t>
        </w:r>
        <w:r>
          <w:rPr>
            <w:noProof/>
            <w:webHidden/>
          </w:rPr>
          <w:tab/>
        </w:r>
        <w:r>
          <w:rPr>
            <w:noProof/>
            <w:webHidden/>
          </w:rPr>
          <w:fldChar w:fldCharType="begin"/>
        </w:r>
        <w:r>
          <w:rPr>
            <w:noProof/>
            <w:webHidden/>
          </w:rPr>
          <w:instrText xml:space="preserve"> PAGEREF _Toc15580104 \h </w:instrText>
        </w:r>
        <w:r>
          <w:rPr>
            <w:noProof/>
            <w:webHidden/>
          </w:rPr>
        </w:r>
        <w:r>
          <w:rPr>
            <w:noProof/>
            <w:webHidden/>
          </w:rPr>
          <w:fldChar w:fldCharType="separate"/>
        </w:r>
        <w:r>
          <w:rPr>
            <w:noProof/>
            <w:webHidden/>
          </w:rPr>
          <w:t>105</w:t>
        </w:r>
        <w:r>
          <w:rPr>
            <w:noProof/>
            <w:webHidden/>
          </w:rPr>
          <w:fldChar w:fldCharType="end"/>
        </w:r>
      </w:hyperlink>
    </w:p>
    <w:p w14:paraId="676AE784" w14:textId="32A8A37F" w:rsidR="007854E0" w:rsidRDefault="007854E0">
      <w:pPr>
        <w:pStyle w:val="TOC4"/>
        <w:rPr>
          <w:rFonts w:asciiTheme="minorHAnsi" w:eastAsiaTheme="minorEastAsia" w:hAnsiTheme="minorHAnsi" w:cstheme="minorBidi"/>
          <w:noProof/>
          <w:sz w:val="22"/>
          <w:szCs w:val="22"/>
          <w:lang w:eastAsia="en-AU"/>
        </w:rPr>
      </w:pPr>
      <w:hyperlink w:anchor="_Toc15580105" w:history="1">
        <w:r w:rsidRPr="002012A6">
          <w:rPr>
            <w:rStyle w:val="Hyperlink"/>
            <w:noProof/>
          </w:rPr>
          <w:t>Compliance with the National Safety and Quality Health Service standards</w:t>
        </w:r>
        <w:r>
          <w:rPr>
            <w:noProof/>
            <w:webHidden/>
          </w:rPr>
          <w:tab/>
        </w:r>
        <w:r>
          <w:rPr>
            <w:noProof/>
            <w:webHidden/>
          </w:rPr>
          <w:fldChar w:fldCharType="begin"/>
        </w:r>
        <w:r>
          <w:rPr>
            <w:noProof/>
            <w:webHidden/>
          </w:rPr>
          <w:instrText xml:space="preserve"> PAGEREF _Toc15580105 \h </w:instrText>
        </w:r>
        <w:r>
          <w:rPr>
            <w:noProof/>
            <w:webHidden/>
          </w:rPr>
        </w:r>
        <w:r>
          <w:rPr>
            <w:noProof/>
            <w:webHidden/>
          </w:rPr>
          <w:fldChar w:fldCharType="separate"/>
        </w:r>
        <w:r>
          <w:rPr>
            <w:noProof/>
            <w:webHidden/>
          </w:rPr>
          <w:t>105</w:t>
        </w:r>
        <w:r>
          <w:rPr>
            <w:noProof/>
            <w:webHidden/>
          </w:rPr>
          <w:fldChar w:fldCharType="end"/>
        </w:r>
      </w:hyperlink>
    </w:p>
    <w:p w14:paraId="0B409AF5" w14:textId="62DC077E" w:rsidR="007854E0" w:rsidRDefault="007854E0">
      <w:pPr>
        <w:pStyle w:val="TOC3"/>
        <w:rPr>
          <w:rFonts w:asciiTheme="minorHAnsi" w:eastAsiaTheme="minorEastAsia" w:hAnsiTheme="minorHAnsi" w:cstheme="minorBidi"/>
          <w:noProof/>
          <w:sz w:val="22"/>
          <w:szCs w:val="22"/>
          <w:lang w:eastAsia="en-AU"/>
        </w:rPr>
      </w:pPr>
      <w:hyperlink w:anchor="_Toc15580106" w:history="1">
        <w:r w:rsidRPr="002012A6">
          <w:rPr>
            <w:rStyle w:val="Hyperlink"/>
            <w:noProof/>
          </w:rPr>
          <w:t>Colonoscopy Category 1 breach</w:t>
        </w:r>
        <w:r>
          <w:rPr>
            <w:noProof/>
            <w:webHidden/>
          </w:rPr>
          <w:tab/>
        </w:r>
        <w:r>
          <w:rPr>
            <w:noProof/>
            <w:webHidden/>
          </w:rPr>
          <w:fldChar w:fldCharType="begin"/>
        </w:r>
        <w:r>
          <w:rPr>
            <w:noProof/>
            <w:webHidden/>
          </w:rPr>
          <w:instrText xml:space="preserve"> PAGEREF _Toc15580106 \h </w:instrText>
        </w:r>
        <w:r>
          <w:rPr>
            <w:noProof/>
            <w:webHidden/>
          </w:rPr>
        </w:r>
        <w:r>
          <w:rPr>
            <w:noProof/>
            <w:webHidden/>
          </w:rPr>
          <w:fldChar w:fldCharType="separate"/>
        </w:r>
        <w:r>
          <w:rPr>
            <w:noProof/>
            <w:webHidden/>
          </w:rPr>
          <w:t>106</w:t>
        </w:r>
        <w:r>
          <w:rPr>
            <w:noProof/>
            <w:webHidden/>
          </w:rPr>
          <w:fldChar w:fldCharType="end"/>
        </w:r>
      </w:hyperlink>
    </w:p>
    <w:p w14:paraId="488560FA" w14:textId="7A7A9B4E" w:rsidR="007854E0" w:rsidRDefault="007854E0">
      <w:pPr>
        <w:pStyle w:val="TOC4"/>
        <w:rPr>
          <w:rFonts w:asciiTheme="minorHAnsi" w:eastAsiaTheme="minorEastAsia" w:hAnsiTheme="minorHAnsi" w:cstheme="minorBidi"/>
          <w:noProof/>
          <w:sz w:val="22"/>
          <w:szCs w:val="22"/>
          <w:lang w:eastAsia="en-AU"/>
        </w:rPr>
      </w:pPr>
      <w:hyperlink w:anchor="_Toc15580107" w:history="1">
        <w:r w:rsidRPr="002012A6">
          <w:rPr>
            <w:rStyle w:val="Hyperlink"/>
            <w:noProof/>
          </w:rPr>
          <w:t>Colonoscopy Category 1 not treated within recommended time</w:t>
        </w:r>
        <w:r>
          <w:rPr>
            <w:noProof/>
            <w:webHidden/>
          </w:rPr>
          <w:tab/>
        </w:r>
        <w:r>
          <w:rPr>
            <w:noProof/>
            <w:webHidden/>
          </w:rPr>
          <w:fldChar w:fldCharType="begin"/>
        </w:r>
        <w:r>
          <w:rPr>
            <w:noProof/>
            <w:webHidden/>
          </w:rPr>
          <w:instrText xml:space="preserve"> PAGEREF _Toc15580107 \h </w:instrText>
        </w:r>
        <w:r>
          <w:rPr>
            <w:noProof/>
            <w:webHidden/>
          </w:rPr>
        </w:r>
        <w:r>
          <w:rPr>
            <w:noProof/>
            <w:webHidden/>
          </w:rPr>
          <w:fldChar w:fldCharType="separate"/>
        </w:r>
        <w:r>
          <w:rPr>
            <w:noProof/>
            <w:webHidden/>
          </w:rPr>
          <w:t>106</w:t>
        </w:r>
        <w:r>
          <w:rPr>
            <w:noProof/>
            <w:webHidden/>
          </w:rPr>
          <w:fldChar w:fldCharType="end"/>
        </w:r>
      </w:hyperlink>
    </w:p>
    <w:p w14:paraId="3FE62499" w14:textId="1EFF3181" w:rsidR="007854E0" w:rsidRDefault="007854E0">
      <w:pPr>
        <w:pStyle w:val="TOC2"/>
        <w:rPr>
          <w:rFonts w:asciiTheme="minorHAnsi" w:eastAsiaTheme="minorEastAsia" w:hAnsiTheme="minorHAnsi" w:cstheme="minorBidi"/>
          <w:b w:val="0"/>
          <w:sz w:val="22"/>
          <w:szCs w:val="22"/>
          <w:lang w:eastAsia="en-AU"/>
        </w:rPr>
      </w:pPr>
      <w:hyperlink w:anchor="_Toc15580108" w:history="1">
        <w:r w:rsidRPr="002012A6">
          <w:rPr>
            <w:rStyle w:val="Hyperlink"/>
          </w:rPr>
          <w:t>Attachment A: List of health services/campuses required to report Coronary Artery Bypass Graft surgical site infections</w:t>
        </w:r>
        <w:r>
          <w:rPr>
            <w:webHidden/>
          </w:rPr>
          <w:tab/>
        </w:r>
        <w:r>
          <w:rPr>
            <w:webHidden/>
          </w:rPr>
          <w:fldChar w:fldCharType="begin"/>
        </w:r>
        <w:r>
          <w:rPr>
            <w:webHidden/>
          </w:rPr>
          <w:instrText xml:space="preserve"> PAGEREF _Toc15580108 \h </w:instrText>
        </w:r>
        <w:r>
          <w:rPr>
            <w:webHidden/>
          </w:rPr>
        </w:r>
        <w:r>
          <w:rPr>
            <w:webHidden/>
          </w:rPr>
          <w:fldChar w:fldCharType="separate"/>
        </w:r>
        <w:r>
          <w:rPr>
            <w:webHidden/>
          </w:rPr>
          <w:t>107</w:t>
        </w:r>
        <w:r>
          <w:rPr>
            <w:webHidden/>
          </w:rPr>
          <w:fldChar w:fldCharType="end"/>
        </w:r>
      </w:hyperlink>
    </w:p>
    <w:p w14:paraId="7B16C9E2" w14:textId="4B33CABA" w:rsidR="007854E0" w:rsidRDefault="007854E0">
      <w:pPr>
        <w:pStyle w:val="TOC2"/>
        <w:rPr>
          <w:rFonts w:asciiTheme="minorHAnsi" w:eastAsiaTheme="minorEastAsia" w:hAnsiTheme="minorHAnsi" w:cstheme="minorBidi"/>
          <w:b w:val="0"/>
          <w:sz w:val="22"/>
          <w:szCs w:val="22"/>
          <w:lang w:eastAsia="en-AU"/>
        </w:rPr>
      </w:pPr>
      <w:hyperlink w:anchor="_Toc15580109" w:history="1">
        <w:r w:rsidRPr="002012A6">
          <w:rPr>
            <w:rStyle w:val="Hyperlink"/>
          </w:rPr>
          <w:t>Attachment B: List of health services/campuses required to report Hip Replacement surgical site infections</w:t>
        </w:r>
        <w:r>
          <w:rPr>
            <w:webHidden/>
          </w:rPr>
          <w:tab/>
        </w:r>
        <w:r>
          <w:rPr>
            <w:webHidden/>
          </w:rPr>
          <w:fldChar w:fldCharType="begin"/>
        </w:r>
        <w:r>
          <w:rPr>
            <w:webHidden/>
          </w:rPr>
          <w:instrText xml:space="preserve"> PAGEREF _Toc15580109 \h </w:instrText>
        </w:r>
        <w:r>
          <w:rPr>
            <w:webHidden/>
          </w:rPr>
        </w:r>
        <w:r>
          <w:rPr>
            <w:webHidden/>
          </w:rPr>
          <w:fldChar w:fldCharType="separate"/>
        </w:r>
        <w:r>
          <w:rPr>
            <w:webHidden/>
          </w:rPr>
          <w:t>108</w:t>
        </w:r>
        <w:r>
          <w:rPr>
            <w:webHidden/>
          </w:rPr>
          <w:fldChar w:fldCharType="end"/>
        </w:r>
      </w:hyperlink>
    </w:p>
    <w:p w14:paraId="344BEE2B" w14:textId="1F1D0848" w:rsidR="007854E0" w:rsidRDefault="007854E0">
      <w:pPr>
        <w:pStyle w:val="TOC2"/>
        <w:rPr>
          <w:rFonts w:asciiTheme="minorHAnsi" w:eastAsiaTheme="minorEastAsia" w:hAnsiTheme="minorHAnsi" w:cstheme="minorBidi"/>
          <w:b w:val="0"/>
          <w:sz w:val="22"/>
          <w:szCs w:val="22"/>
          <w:lang w:eastAsia="en-AU"/>
        </w:rPr>
      </w:pPr>
      <w:hyperlink w:anchor="_Toc15580110" w:history="1">
        <w:r w:rsidRPr="002012A6">
          <w:rPr>
            <w:rStyle w:val="Hyperlink"/>
          </w:rPr>
          <w:t>Attachment C: List of health services/campuses required to report Knee Replacement surgical site infections</w:t>
        </w:r>
        <w:r>
          <w:rPr>
            <w:webHidden/>
          </w:rPr>
          <w:tab/>
        </w:r>
        <w:r>
          <w:rPr>
            <w:webHidden/>
          </w:rPr>
          <w:fldChar w:fldCharType="begin"/>
        </w:r>
        <w:r>
          <w:rPr>
            <w:webHidden/>
          </w:rPr>
          <w:instrText xml:space="preserve"> PAGEREF _Toc15580110 \h </w:instrText>
        </w:r>
        <w:r>
          <w:rPr>
            <w:webHidden/>
          </w:rPr>
        </w:r>
        <w:r>
          <w:rPr>
            <w:webHidden/>
          </w:rPr>
          <w:fldChar w:fldCharType="separate"/>
        </w:r>
        <w:r>
          <w:rPr>
            <w:webHidden/>
          </w:rPr>
          <w:t>109</w:t>
        </w:r>
        <w:r>
          <w:rPr>
            <w:webHidden/>
          </w:rPr>
          <w:fldChar w:fldCharType="end"/>
        </w:r>
      </w:hyperlink>
    </w:p>
    <w:p w14:paraId="5FFCC641" w14:textId="21E911FC" w:rsidR="007854E0" w:rsidRDefault="007854E0">
      <w:pPr>
        <w:pStyle w:val="TOC2"/>
        <w:rPr>
          <w:rFonts w:asciiTheme="minorHAnsi" w:eastAsiaTheme="minorEastAsia" w:hAnsiTheme="minorHAnsi" w:cstheme="minorBidi"/>
          <w:b w:val="0"/>
          <w:sz w:val="22"/>
          <w:szCs w:val="22"/>
          <w:lang w:eastAsia="en-AU"/>
        </w:rPr>
      </w:pPr>
      <w:hyperlink w:anchor="_Toc15580111" w:history="1">
        <w:r w:rsidRPr="002012A6">
          <w:rPr>
            <w:rStyle w:val="Hyperlink"/>
          </w:rPr>
          <w:t>Attachment D: List of health services/campuses required to report Caesarean sections surgical site infections</w:t>
        </w:r>
        <w:r>
          <w:rPr>
            <w:webHidden/>
          </w:rPr>
          <w:tab/>
        </w:r>
        <w:r>
          <w:rPr>
            <w:webHidden/>
          </w:rPr>
          <w:fldChar w:fldCharType="begin"/>
        </w:r>
        <w:r>
          <w:rPr>
            <w:webHidden/>
          </w:rPr>
          <w:instrText xml:space="preserve"> PAGEREF _Toc15580111 \h </w:instrText>
        </w:r>
        <w:r>
          <w:rPr>
            <w:webHidden/>
          </w:rPr>
        </w:r>
        <w:r>
          <w:rPr>
            <w:webHidden/>
          </w:rPr>
          <w:fldChar w:fldCharType="separate"/>
        </w:r>
        <w:r>
          <w:rPr>
            <w:webHidden/>
          </w:rPr>
          <w:t>110</w:t>
        </w:r>
        <w:r>
          <w:rPr>
            <w:webHidden/>
          </w:rPr>
          <w:fldChar w:fldCharType="end"/>
        </w:r>
      </w:hyperlink>
    </w:p>
    <w:p w14:paraId="7F4E9542" w14:textId="53E238A5" w:rsidR="007854E0" w:rsidRDefault="007854E0">
      <w:pPr>
        <w:pStyle w:val="TOC2"/>
        <w:rPr>
          <w:rFonts w:asciiTheme="minorHAnsi" w:eastAsiaTheme="minorEastAsia" w:hAnsiTheme="minorHAnsi" w:cstheme="minorBidi"/>
          <w:b w:val="0"/>
          <w:sz w:val="22"/>
          <w:szCs w:val="22"/>
          <w:lang w:eastAsia="en-AU"/>
        </w:rPr>
      </w:pPr>
      <w:hyperlink w:anchor="_Toc15580112" w:history="1">
        <w:r w:rsidRPr="002012A6">
          <w:rPr>
            <w:rStyle w:val="Hyperlink"/>
          </w:rPr>
          <w:t>Attachment E: List of health services/campuses required to report Colorectal surgical site infections</w:t>
        </w:r>
        <w:r>
          <w:rPr>
            <w:webHidden/>
          </w:rPr>
          <w:tab/>
        </w:r>
        <w:r>
          <w:rPr>
            <w:webHidden/>
          </w:rPr>
          <w:fldChar w:fldCharType="begin"/>
        </w:r>
        <w:r>
          <w:rPr>
            <w:webHidden/>
          </w:rPr>
          <w:instrText xml:space="preserve"> PAGEREF _Toc15580112 \h </w:instrText>
        </w:r>
        <w:r>
          <w:rPr>
            <w:webHidden/>
          </w:rPr>
        </w:r>
        <w:r>
          <w:rPr>
            <w:webHidden/>
          </w:rPr>
          <w:fldChar w:fldCharType="separate"/>
        </w:r>
        <w:r>
          <w:rPr>
            <w:webHidden/>
          </w:rPr>
          <w:t>111</w:t>
        </w:r>
        <w:r>
          <w:rPr>
            <w:webHidden/>
          </w:rPr>
          <w:fldChar w:fldCharType="end"/>
        </w:r>
      </w:hyperlink>
    </w:p>
    <w:p w14:paraId="5C643922" w14:textId="5E731784" w:rsidR="00E70258" w:rsidRPr="00834B05" w:rsidRDefault="006C17B9" w:rsidP="00834B05">
      <w:pPr>
        <w:pStyle w:val="DHHSbody"/>
      </w:pPr>
      <w:r w:rsidRPr="00E748CE">
        <w:fldChar w:fldCharType="end"/>
      </w:r>
    </w:p>
    <w:p w14:paraId="4AD2733E" w14:textId="77777777" w:rsidR="00834B05" w:rsidRDefault="00834B05" w:rsidP="00536DA1">
      <w:pPr>
        <w:pStyle w:val="Heading1"/>
        <w:sectPr w:rsidR="00834B05" w:rsidSect="00D34A13">
          <w:pgSz w:w="11906" w:h="16838" w:code="9"/>
          <w:pgMar w:top="1418" w:right="1304" w:bottom="1134" w:left="1304" w:header="454" w:footer="510" w:gutter="0"/>
          <w:cols w:space="720"/>
          <w:docGrid w:linePitch="360"/>
        </w:sectPr>
      </w:pPr>
    </w:p>
    <w:p w14:paraId="3369D8BB" w14:textId="228A5EF9" w:rsidR="00514AB5" w:rsidRDefault="00514AB5" w:rsidP="00514AB5">
      <w:pPr>
        <w:pStyle w:val="Heading2"/>
      </w:pPr>
      <w:bookmarkStart w:id="9" w:name="_Toc15580050"/>
      <w:bookmarkEnd w:id="5"/>
      <w:bookmarkEnd w:id="6"/>
      <w:r>
        <w:lastRenderedPageBreak/>
        <w:t>The Business Rules</w:t>
      </w:r>
      <w:bookmarkEnd w:id="9"/>
    </w:p>
    <w:p w14:paraId="00BE01A4" w14:textId="2ADD7DD0" w:rsidR="00690FBB" w:rsidRDefault="00514AB5" w:rsidP="00514AB5">
      <w:pPr>
        <w:pStyle w:val="DHHSbody"/>
      </w:pPr>
      <w:r>
        <w:t xml:space="preserve">The </w:t>
      </w:r>
      <w:r w:rsidRPr="00EE2506">
        <w:rPr>
          <w:i/>
        </w:rPr>
        <w:t>Key Performance Measures and Underlying Risk Factors</w:t>
      </w:r>
      <w:r>
        <w:t xml:space="preserve"> </w:t>
      </w:r>
      <w:r w:rsidRPr="00B71120">
        <w:t>(</w:t>
      </w:r>
      <w:r>
        <w:t xml:space="preserve">the Business Rules) </w:t>
      </w:r>
      <w:r w:rsidR="009C156E">
        <w:t>are the essential indicators</w:t>
      </w:r>
      <w:r>
        <w:t xml:space="preserve">, with their corresponding temporal elements and technical specifications, </w:t>
      </w:r>
      <w:r w:rsidR="009C156E">
        <w:t xml:space="preserve">that support and complement the </w:t>
      </w:r>
      <w:r w:rsidR="009C156E" w:rsidRPr="004A07E2">
        <w:rPr>
          <w:i/>
        </w:rPr>
        <w:t xml:space="preserve">Victorian </w:t>
      </w:r>
      <w:r w:rsidR="009C156E">
        <w:rPr>
          <w:i/>
        </w:rPr>
        <w:t>h</w:t>
      </w:r>
      <w:r w:rsidR="009C156E" w:rsidRPr="004A07E2">
        <w:rPr>
          <w:i/>
        </w:rPr>
        <w:t xml:space="preserve">ealth </w:t>
      </w:r>
      <w:r w:rsidR="009C156E">
        <w:rPr>
          <w:i/>
        </w:rPr>
        <w:t>s</w:t>
      </w:r>
      <w:r w:rsidR="009C156E" w:rsidRPr="004A07E2">
        <w:rPr>
          <w:i/>
        </w:rPr>
        <w:t xml:space="preserve">ervices </w:t>
      </w:r>
      <w:r w:rsidR="009C156E">
        <w:rPr>
          <w:i/>
        </w:rPr>
        <w:t>P</w:t>
      </w:r>
      <w:r w:rsidR="009C156E" w:rsidRPr="004A07E2">
        <w:rPr>
          <w:i/>
        </w:rPr>
        <w:t xml:space="preserve">erformance </w:t>
      </w:r>
      <w:r w:rsidR="009C156E">
        <w:rPr>
          <w:i/>
        </w:rPr>
        <w:t>M</w:t>
      </w:r>
      <w:r w:rsidR="009C156E" w:rsidRPr="004A07E2">
        <w:rPr>
          <w:i/>
        </w:rPr>
        <w:t xml:space="preserve">onitoring </w:t>
      </w:r>
      <w:r w:rsidR="009C156E">
        <w:rPr>
          <w:i/>
        </w:rPr>
        <w:t>F</w:t>
      </w:r>
      <w:r w:rsidR="009C156E" w:rsidRPr="004A07E2">
        <w:rPr>
          <w:i/>
        </w:rPr>
        <w:t>ramework</w:t>
      </w:r>
      <w:r w:rsidR="009C156E">
        <w:rPr>
          <w:i/>
        </w:rPr>
        <w:t xml:space="preserve"> </w:t>
      </w:r>
      <w:r w:rsidR="009C156E" w:rsidRPr="004A07E2">
        <w:t>(the Framework)</w:t>
      </w:r>
      <w:r w:rsidR="009C156E">
        <w:t xml:space="preserve">. </w:t>
      </w:r>
    </w:p>
    <w:p w14:paraId="1D4835CA" w14:textId="70257853" w:rsidR="00514AB5" w:rsidRDefault="00514AB5" w:rsidP="009C156E">
      <w:pPr>
        <w:pStyle w:val="DHHSbody"/>
      </w:pPr>
      <w:r>
        <w:t xml:space="preserve">The Business Rules provide </w:t>
      </w:r>
      <w:r w:rsidR="00796841">
        <w:t xml:space="preserve">the list of all </w:t>
      </w:r>
      <w:r w:rsidR="00A8687F">
        <w:t>indicators that</w:t>
      </w:r>
      <w:r w:rsidR="00796841">
        <w:t xml:space="preserve"> </w:t>
      </w:r>
      <w:r w:rsidR="00A8687F">
        <w:t>support the Framework</w:t>
      </w:r>
      <w:r w:rsidR="00F512E8">
        <w:t>,</w:t>
      </w:r>
      <w:r w:rsidR="00796841">
        <w:t xml:space="preserve"> the </w:t>
      </w:r>
      <w:r>
        <w:t xml:space="preserve">detailed information to assist with calculating the performance of each </w:t>
      </w:r>
      <w:r w:rsidR="00F907DD">
        <w:t xml:space="preserve">indicator, </w:t>
      </w:r>
      <w:r w:rsidR="00F512E8">
        <w:t>as well as</w:t>
      </w:r>
      <w:r w:rsidR="00F907DD">
        <w:t xml:space="preserve"> the </w:t>
      </w:r>
      <w:r>
        <w:t>methodology for assessing performance improvement.</w:t>
      </w:r>
    </w:p>
    <w:p w14:paraId="225F0331" w14:textId="15EC2F00" w:rsidR="0094069D" w:rsidRDefault="00B36EAC" w:rsidP="0094069D">
      <w:pPr>
        <w:pStyle w:val="DHHSbody"/>
        <w:rPr>
          <w:rFonts w:cs="Arial"/>
          <w:szCs w:val="22"/>
          <w:lang w:eastAsia="en-AU"/>
        </w:rPr>
      </w:pPr>
      <w:r>
        <w:rPr>
          <w:lang w:eastAsia="en-AU"/>
        </w:rPr>
        <w:t xml:space="preserve">The </w:t>
      </w:r>
      <w:r w:rsidR="0094069D">
        <w:rPr>
          <w:lang w:eastAsia="en-AU"/>
        </w:rPr>
        <w:t>Business Rules were previously ‘</w:t>
      </w:r>
      <w:r w:rsidR="0094069D" w:rsidRPr="006C62CD">
        <w:rPr>
          <w:rFonts w:cs="Arial"/>
          <w:i/>
          <w:szCs w:val="22"/>
          <w:lang w:eastAsia="en-AU"/>
        </w:rPr>
        <w:t>Part 2</w:t>
      </w:r>
      <w:r w:rsidR="0094069D">
        <w:rPr>
          <w:rFonts w:cs="Arial"/>
          <w:i/>
          <w:szCs w:val="22"/>
          <w:lang w:eastAsia="en-AU"/>
        </w:rPr>
        <w:t>:</w:t>
      </w:r>
      <w:r w:rsidR="0094069D">
        <w:rPr>
          <w:rFonts w:cs="Arial"/>
          <w:szCs w:val="22"/>
          <w:lang w:eastAsia="en-AU"/>
        </w:rPr>
        <w:t xml:space="preserve"> </w:t>
      </w:r>
      <w:r w:rsidR="0094069D" w:rsidRPr="00B50B70">
        <w:rPr>
          <w:rFonts w:cs="Arial"/>
          <w:i/>
          <w:szCs w:val="22"/>
          <w:lang w:eastAsia="en-AU"/>
        </w:rPr>
        <w:t>Indicators Business Rules</w:t>
      </w:r>
      <w:r w:rsidR="0094069D">
        <w:rPr>
          <w:rFonts w:cs="Arial"/>
          <w:i/>
          <w:szCs w:val="22"/>
          <w:lang w:eastAsia="en-AU"/>
        </w:rPr>
        <w:t xml:space="preserve">’ </w:t>
      </w:r>
      <w:r w:rsidR="0094069D">
        <w:rPr>
          <w:rFonts w:cs="Arial"/>
          <w:szCs w:val="22"/>
          <w:lang w:eastAsia="en-AU"/>
        </w:rPr>
        <w:t>of the 2018-19 Framework</w:t>
      </w:r>
      <w:r>
        <w:rPr>
          <w:rFonts w:cs="Arial"/>
          <w:szCs w:val="22"/>
          <w:lang w:eastAsia="en-AU"/>
        </w:rPr>
        <w:t xml:space="preserve"> and </w:t>
      </w:r>
      <w:r w:rsidR="006E1B51">
        <w:rPr>
          <w:rFonts w:cs="Arial"/>
          <w:szCs w:val="22"/>
          <w:lang w:eastAsia="en-AU"/>
        </w:rPr>
        <w:t xml:space="preserve">are now published separately from the Framework. </w:t>
      </w:r>
      <w:r w:rsidR="0094069D" w:rsidRPr="00B50B70">
        <w:rPr>
          <w:rFonts w:cs="Arial"/>
          <w:szCs w:val="22"/>
          <w:lang w:eastAsia="en-AU"/>
        </w:rPr>
        <w:t>This</w:t>
      </w:r>
      <w:r w:rsidR="0094069D">
        <w:rPr>
          <w:rFonts w:cs="Arial"/>
          <w:szCs w:val="22"/>
          <w:lang w:eastAsia="en-AU"/>
        </w:rPr>
        <w:t xml:space="preserve"> change allows for</w:t>
      </w:r>
      <w:r w:rsidR="0094069D" w:rsidRPr="00B50B70">
        <w:rPr>
          <w:rFonts w:cs="Arial"/>
          <w:szCs w:val="22"/>
          <w:lang w:eastAsia="en-AU"/>
        </w:rPr>
        <w:t xml:space="preserve"> amend</w:t>
      </w:r>
      <w:r w:rsidR="0094069D">
        <w:rPr>
          <w:rFonts w:cs="Arial"/>
          <w:szCs w:val="22"/>
          <w:lang w:eastAsia="en-AU"/>
        </w:rPr>
        <w:t>ment of</w:t>
      </w:r>
      <w:r w:rsidR="0094069D" w:rsidRPr="00B50B70">
        <w:rPr>
          <w:rFonts w:cs="Arial"/>
          <w:szCs w:val="22"/>
          <w:lang w:eastAsia="en-AU"/>
        </w:rPr>
        <w:t xml:space="preserve"> </w:t>
      </w:r>
      <w:r w:rsidR="0094069D">
        <w:rPr>
          <w:rFonts w:cs="Arial"/>
          <w:szCs w:val="22"/>
          <w:lang w:eastAsia="en-AU"/>
        </w:rPr>
        <w:t xml:space="preserve">the indicators and metrics that </w:t>
      </w:r>
      <w:r w:rsidR="0094069D" w:rsidRPr="00B50B70">
        <w:rPr>
          <w:rFonts w:cs="Arial"/>
          <w:szCs w:val="22"/>
          <w:lang w:eastAsia="en-AU"/>
        </w:rPr>
        <w:t>support the Framework</w:t>
      </w:r>
      <w:r w:rsidR="0094069D">
        <w:rPr>
          <w:rFonts w:cs="Arial"/>
          <w:szCs w:val="22"/>
          <w:lang w:eastAsia="en-AU"/>
        </w:rPr>
        <w:t>, as and when necessary, throughout the year</w:t>
      </w:r>
      <w:r w:rsidR="0094069D" w:rsidRPr="00B50B70">
        <w:rPr>
          <w:rFonts w:cs="Arial"/>
          <w:szCs w:val="22"/>
          <w:lang w:eastAsia="en-AU"/>
        </w:rPr>
        <w:t>.</w:t>
      </w:r>
      <w:r w:rsidR="0094069D">
        <w:rPr>
          <w:rFonts w:cs="Arial"/>
          <w:szCs w:val="22"/>
          <w:lang w:eastAsia="en-AU"/>
        </w:rPr>
        <w:t xml:space="preserve"> This adjustment </w:t>
      </w:r>
      <w:r w:rsidR="0094069D" w:rsidRPr="00B50B70">
        <w:rPr>
          <w:rFonts w:cs="Arial"/>
          <w:szCs w:val="22"/>
          <w:lang w:eastAsia="en-AU"/>
        </w:rPr>
        <w:t xml:space="preserve">reflects a </w:t>
      </w:r>
      <w:r w:rsidR="0094069D">
        <w:rPr>
          <w:rFonts w:cs="Arial"/>
          <w:szCs w:val="22"/>
          <w:lang w:eastAsia="en-AU"/>
        </w:rPr>
        <w:t xml:space="preserve">simpler and </w:t>
      </w:r>
      <w:r w:rsidR="0094069D" w:rsidRPr="00B50B70">
        <w:rPr>
          <w:rFonts w:cs="Arial"/>
          <w:szCs w:val="22"/>
          <w:lang w:eastAsia="en-AU"/>
        </w:rPr>
        <w:t>more flexible approach to performance monitoring</w:t>
      </w:r>
      <w:r w:rsidR="0094069D">
        <w:rPr>
          <w:rFonts w:cs="Arial"/>
          <w:szCs w:val="22"/>
          <w:lang w:eastAsia="en-AU"/>
        </w:rPr>
        <w:t>.</w:t>
      </w:r>
    </w:p>
    <w:p w14:paraId="27FF07A2" w14:textId="23CC0991" w:rsidR="00921922" w:rsidRPr="00150123" w:rsidRDefault="00536DA1" w:rsidP="00536DA1">
      <w:pPr>
        <w:pStyle w:val="Heading2"/>
      </w:pPr>
      <w:bookmarkStart w:id="10" w:name="_Toc15580051"/>
      <w:r>
        <w:lastRenderedPageBreak/>
        <w:t>Key P</w:t>
      </w:r>
      <w:r w:rsidRPr="00150123">
        <w:t>erformance</w:t>
      </w:r>
      <w:r w:rsidRPr="54D170AE">
        <w:t xml:space="preserve"> </w:t>
      </w:r>
      <w:r>
        <w:t>Measures</w:t>
      </w:r>
      <w:bookmarkEnd w:id="7"/>
      <w:bookmarkEnd w:id="8"/>
      <w:r w:rsidR="00990ECF">
        <w:t xml:space="preserve"> (performance input category 1)</w:t>
      </w:r>
      <w:bookmarkEnd w:id="10"/>
    </w:p>
    <w:p w14:paraId="766A611E" w14:textId="3CFE6D6C" w:rsidR="00444050" w:rsidRDefault="00444050" w:rsidP="00921922">
      <w:pPr>
        <w:pStyle w:val="DHHSbody"/>
      </w:pPr>
      <w:r>
        <w:t>The Key Performance Measures</w:t>
      </w:r>
      <w:r w:rsidR="005C12BF">
        <w:t xml:space="preserve"> </w:t>
      </w:r>
      <w:r w:rsidR="009E1DA5">
        <w:t>(</w:t>
      </w:r>
      <w:r w:rsidR="005C12BF">
        <w:t>performance input category 1</w:t>
      </w:r>
      <w:r w:rsidR="009E1DA5">
        <w:t>)</w:t>
      </w:r>
      <w:r>
        <w:t xml:space="preserve"> </w:t>
      </w:r>
      <w:r w:rsidR="005013D7">
        <w:t>of the Framework</w:t>
      </w:r>
      <w:r w:rsidR="00DF438A">
        <w:t xml:space="preserve"> are</w:t>
      </w:r>
      <w:r w:rsidR="005C12BF">
        <w:t xml:space="preserve"> the indicators that build a quantifiable data picture of </w:t>
      </w:r>
      <w:r w:rsidR="007519B1">
        <w:t>a</w:t>
      </w:r>
      <w:r w:rsidR="005C12BF">
        <w:t xml:space="preserve"> health service’s performance</w:t>
      </w:r>
      <w:r w:rsidR="00D503C4">
        <w:t xml:space="preserve">. </w:t>
      </w:r>
      <w:r w:rsidR="005013D7">
        <w:t xml:space="preserve">The Key Performance Measures </w:t>
      </w:r>
      <w:r w:rsidR="005C12BF">
        <w:t xml:space="preserve">are </w:t>
      </w:r>
      <w:r w:rsidR="005013D7">
        <w:t>used to inform performance risk as well as the</w:t>
      </w:r>
      <w:r w:rsidR="005C12BF">
        <w:t xml:space="preserve"> Department of Health and Human Services</w:t>
      </w:r>
      <w:r w:rsidR="009151C0">
        <w:t>’</w:t>
      </w:r>
      <w:r w:rsidR="005013D7">
        <w:t xml:space="preserve"> </w:t>
      </w:r>
      <w:r w:rsidR="005C12BF">
        <w:t xml:space="preserve">(the </w:t>
      </w:r>
      <w:r w:rsidR="005013D7">
        <w:t>department</w:t>
      </w:r>
      <w:r w:rsidR="005C12BF">
        <w:t>)</w:t>
      </w:r>
      <w:r w:rsidR="005013D7">
        <w:t xml:space="preserve"> monitoring level of the respective health service.</w:t>
      </w:r>
    </w:p>
    <w:p w14:paraId="7DD4AC83" w14:textId="66349BD3" w:rsidR="00921922" w:rsidRDefault="00EE498F" w:rsidP="00921922">
      <w:pPr>
        <w:pStyle w:val="DHHSbody"/>
      </w:pPr>
      <w:r>
        <w:t>T</w:t>
      </w:r>
      <w:r w:rsidR="00A315D6">
        <w:t xml:space="preserve">he </w:t>
      </w:r>
      <w:r w:rsidR="00867248">
        <w:t>technical specifications</w:t>
      </w:r>
      <w:r w:rsidR="00F63393">
        <w:t xml:space="preserve"> for</w:t>
      </w:r>
      <w:r w:rsidR="00921922" w:rsidRPr="002347D3">
        <w:t xml:space="preserve"> each </w:t>
      </w:r>
      <w:r w:rsidR="009151C0">
        <w:t>K</w:t>
      </w:r>
      <w:r w:rsidR="00A315D6">
        <w:t xml:space="preserve">ey </w:t>
      </w:r>
      <w:r w:rsidR="009151C0">
        <w:t>Performance M</w:t>
      </w:r>
      <w:r w:rsidR="00921922" w:rsidRPr="002347D3">
        <w:t>easure</w:t>
      </w:r>
      <w:r>
        <w:t xml:space="preserve"> are also detailed</w:t>
      </w:r>
      <w:r w:rsidR="002A0D3D">
        <w:t xml:space="preserve"> in the Business Rules</w:t>
      </w:r>
      <w:r w:rsidR="00596353">
        <w:t>, which</w:t>
      </w:r>
      <w:r w:rsidR="000E70B3">
        <w:t xml:space="preserve"> </w:t>
      </w:r>
      <w:r w:rsidR="005E143B">
        <w:t>describ</w:t>
      </w:r>
      <w:r w:rsidR="000E70B3">
        <w:t>e</w:t>
      </w:r>
      <w:r w:rsidR="004C3ED4">
        <w:t xml:space="preserve"> and iterat</w:t>
      </w:r>
      <w:r w:rsidR="000E70B3">
        <w:t>e</w:t>
      </w:r>
      <w:r w:rsidR="005E143B">
        <w:t xml:space="preserve"> the </w:t>
      </w:r>
      <w:r w:rsidR="003C3FD8">
        <w:t>temporal</w:t>
      </w:r>
      <w:r w:rsidR="00370C1C">
        <w:t>,</w:t>
      </w:r>
      <w:r w:rsidR="003C3FD8">
        <w:t xml:space="preserve"> and other </w:t>
      </w:r>
      <w:r w:rsidR="004C3ED4">
        <w:t>quantifiable and qualitative</w:t>
      </w:r>
      <w:r w:rsidR="00370C1C">
        <w:t>,</w:t>
      </w:r>
      <w:r w:rsidR="004C3ED4">
        <w:t xml:space="preserve"> element</w:t>
      </w:r>
      <w:r w:rsidR="009151C0">
        <w:t>s</w:t>
      </w:r>
      <w:r w:rsidR="003C3FD8">
        <w:t xml:space="preserve"> of each indicator</w:t>
      </w:r>
      <w:r>
        <w:t xml:space="preserve"> as well as how to accurately calculate the performance of the indicator</w:t>
      </w:r>
      <w:r w:rsidR="00A315D6">
        <w:t>.</w:t>
      </w:r>
    </w:p>
    <w:p w14:paraId="65CC69D6" w14:textId="5B1027FA" w:rsidR="002860FB" w:rsidRPr="00DD2526" w:rsidRDefault="00186467" w:rsidP="00DD2526">
      <w:pPr>
        <w:pStyle w:val="Heading3"/>
        <w:rPr>
          <w:b w:val="0"/>
        </w:rPr>
      </w:pPr>
      <w:bookmarkStart w:id="11" w:name="_Toc453325203"/>
      <w:bookmarkStart w:id="12" w:name="_Toc456342095"/>
      <w:bookmarkStart w:id="13" w:name="_Toc15580052"/>
      <w:r>
        <w:t>Key changes for 2019-20 and f</w:t>
      </w:r>
      <w:r w:rsidR="00185E98">
        <w:t>uture</w:t>
      </w:r>
      <w:r>
        <w:t xml:space="preserve"> directions</w:t>
      </w:r>
      <w:bookmarkEnd w:id="13"/>
    </w:p>
    <w:p w14:paraId="2F68424D" w14:textId="15DA9523" w:rsidR="004305CF" w:rsidRDefault="004305CF" w:rsidP="00DD2526">
      <w:pPr>
        <w:pStyle w:val="DHHSbody"/>
      </w:pPr>
      <w:r w:rsidRPr="00DD2526">
        <w:t xml:space="preserve">Performance monitoring involves a process of continual improvement to ensure measurements are relevant to both system managers and health services, whilst remaining aligned to contemporary methods of service delivery. </w:t>
      </w:r>
      <w:r w:rsidR="00832AB6">
        <w:t xml:space="preserve">The </w:t>
      </w:r>
      <w:r w:rsidR="00B21768">
        <w:t>F</w:t>
      </w:r>
      <w:r w:rsidR="00832AB6">
        <w:t xml:space="preserve">ramework, </w:t>
      </w:r>
      <w:r w:rsidR="000B2C48">
        <w:t xml:space="preserve">monitoring </w:t>
      </w:r>
      <w:r w:rsidR="00832AB6">
        <w:t xml:space="preserve">process and </w:t>
      </w:r>
      <w:r w:rsidR="000B2C48">
        <w:t xml:space="preserve">supporting </w:t>
      </w:r>
      <w:r w:rsidR="00832AB6">
        <w:t xml:space="preserve">indicators </w:t>
      </w:r>
      <w:r w:rsidRPr="00DD2526">
        <w:t xml:space="preserve">must evolve over time </w:t>
      </w:r>
      <w:r w:rsidR="000B2C48">
        <w:t>to reflect</w:t>
      </w:r>
      <w:r w:rsidRPr="00DD2526">
        <w:t xml:space="preserve"> health service </w:t>
      </w:r>
      <w:r w:rsidR="001308D1">
        <w:t>progress</w:t>
      </w:r>
      <w:r w:rsidR="000B2C48">
        <w:t>,</w:t>
      </w:r>
      <w:r w:rsidRPr="00DD2526">
        <w:t xml:space="preserve"> indicator relevance</w:t>
      </w:r>
      <w:r w:rsidR="000B2C48">
        <w:t xml:space="preserve"> and best practice</w:t>
      </w:r>
      <w:r w:rsidR="00D54214">
        <w:t xml:space="preserve"> service delivery</w:t>
      </w:r>
      <w:r w:rsidRPr="00DD2526">
        <w:t>.</w:t>
      </w:r>
    </w:p>
    <w:p w14:paraId="56AF3142" w14:textId="1765D28C" w:rsidR="005C05B7" w:rsidRDefault="00DD6921" w:rsidP="001E053D">
      <w:pPr>
        <w:pStyle w:val="DHHSbody"/>
      </w:pPr>
      <w:r>
        <w:t>S</w:t>
      </w:r>
      <w:r w:rsidR="003346C6">
        <w:t>everal</w:t>
      </w:r>
      <w:r w:rsidR="00C239F9">
        <w:t xml:space="preserve"> </w:t>
      </w:r>
      <w:r w:rsidR="003346C6">
        <w:t>Key Performance Measures</w:t>
      </w:r>
      <w:r w:rsidR="00C239F9">
        <w:t xml:space="preserve"> </w:t>
      </w:r>
      <w:r w:rsidR="00715156">
        <w:t xml:space="preserve">that support </w:t>
      </w:r>
      <w:r w:rsidR="00C239F9">
        <w:t>t</w:t>
      </w:r>
      <w:r w:rsidR="00B64CA4">
        <w:t>he 201</w:t>
      </w:r>
      <w:r w:rsidR="0000250E">
        <w:t>9–</w:t>
      </w:r>
      <w:r w:rsidR="00B64CA4">
        <w:t>20 Framework</w:t>
      </w:r>
      <w:r w:rsidR="001E053D">
        <w:t xml:space="preserve"> </w:t>
      </w:r>
      <w:r w:rsidR="00C239F9">
        <w:t>have undergone changes</w:t>
      </w:r>
      <w:r w:rsidR="00A07D22">
        <w:t xml:space="preserve"> (</w:t>
      </w:r>
      <w:r w:rsidR="00435DCF">
        <w:t>listed in Table</w:t>
      </w:r>
      <w:r w:rsidR="00BB039A">
        <w:t>s 1a and 1b</w:t>
      </w:r>
      <w:r w:rsidR="00A07D22">
        <w:t>)</w:t>
      </w:r>
      <w:r w:rsidR="00435DCF">
        <w:t>.</w:t>
      </w:r>
      <w:r w:rsidR="00E7280F">
        <w:t xml:space="preserve"> For convenience</w:t>
      </w:r>
      <w:r w:rsidR="004832A5">
        <w:t>,</w:t>
      </w:r>
      <w:r w:rsidR="00E7280F">
        <w:t xml:space="preserve"> </w:t>
      </w:r>
      <w:r w:rsidR="00B75CB8">
        <w:t xml:space="preserve">changes to Key Performance Measures that impact </w:t>
      </w:r>
      <w:r w:rsidR="00E7280F">
        <w:t xml:space="preserve">the Statement of Priorities </w:t>
      </w:r>
      <w:r w:rsidR="004832A5">
        <w:t xml:space="preserve">(SOP) </w:t>
      </w:r>
      <w:r w:rsidR="00E7280F">
        <w:t xml:space="preserve">are </w:t>
      </w:r>
      <w:r w:rsidR="004832A5">
        <w:t xml:space="preserve">also </w:t>
      </w:r>
      <w:r w:rsidR="00E7280F">
        <w:t>summarised in Table 1a.</w:t>
      </w:r>
    </w:p>
    <w:p w14:paraId="2143638B" w14:textId="1D5197E1" w:rsidR="00682673" w:rsidRDefault="00A07D22" w:rsidP="00DD2526">
      <w:pPr>
        <w:pStyle w:val="DHHSbody"/>
      </w:pPr>
      <w:r>
        <w:t>2019-20 is</w:t>
      </w:r>
      <w:r w:rsidR="003E4ADB">
        <w:t xml:space="preserve"> the </w:t>
      </w:r>
      <w:r w:rsidR="001E3D13">
        <w:t xml:space="preserve">first </w:t>
      </w:r>
      <w:r w:rsidR="00FF765B">
        <w:t>instance in which</w:t>
      </w:r>
      <w:r w:rsidR="00D762BC">
        <w:t xml:space="preserve"> a pipeline </w:t>
      </w:r>
      <w:r w:rsidR="00791CB6">
        <w:t>o</w:t>
      </w:r>
      <w:r w:rsidR="00D762BC">
        <w:t xml:space="preserve">f </w:t>
      </w:r>
      <w:r w:rsidR="002858F6">
        <w:t>indicator</w:t>
      </w:r>
      <w:r w:rsidR="00D762BC">
        <w:t xml:space="preserve"> development will be </w:t>
      </w:r>
      <w:r w:rsidR="00791CB6">
        <w:t>established</w:t>
      </w:r>
      <w:r w:rsidR="00EE10A8">
        <w:t xml:space="preserve">. </w:t>
      </w:r>
      <w:r w:rsidR="00F977DE">
        <w:t>I</w:t>
      </w:r>
      <w:r w:rsidR="00D52EDA" w:rsidRPr="00A348BC">
        <w:t xml:space="preserve">ndicators under consideration for future inclusion in the </w:t>
      </w:r>
      <w:r w:rsidR="00D52EDA" w:rsidRPr="00B51F9E">
        <w:t xml:space="preserve">Framework will be </w:t>
      </w:r>
      <w:r w:rsidR="00E21918" w:rsidRPr="0099498A">
        <w:t>reported</w:t>
      </w:r>
      <w:r w:rsidR="00E96BA9">
        <w:t xml:space="preserve"> alongside the </w:t>
      </w:r>
      <w:r w:rsidR="002858F6">
        <w:t>Key Performance Measures</w:t>
      </w:r>
      <w:r w:rsidR="00CD34E9">
        <w:t xml:space="preserve"> </w:t>
      </w:r>
      <w:r w:rsidR="002858F6">
        <w:t xml:space="preserve">supporting </w:t>
      </w:r>
      <w:r w:rsidR="00CD34E9">
        <w:t>the Framework</w:t>
      </w:r>
      <w:r w:rsidR="002858F6">
        <w:t xml:space="preserve">. </w:t>
      </w:r>
      <w:r w:rsidR="00B348F4">
        <w:t>A</w:t>
      </w:r>
      <w:r w:rsidR="002858F6">
        <w:t xml:space="preserve">lthough </w:t>
      </w:r>
      <w:r w:rsidR="00B348F4">
        <w:t xml:space="preserve">they will be </w:t>
      </w:r>
      <w:r w:rsidR="002858F6">
        <w:t>reported,</w:t>
      </w:r>
      <w:r w:rsidR="00E21918" w:rsidRPr="00A348BC">
        <w:t xml:space="preserve"> </w:t>
      </w:r>
      <w:r w:rsidR="00807531">
        <w:t xml:space="preserve">they </w:t>
      </w:r>
      <w:r w:rsidR="0061786C" w:rsidRPr="00DD2526">
        <w:t xml:space="preserve">will not impact the performance assessment </w:t>
      </w:r>
      <w:r w:rsidR="002858F6">
        <w:t xml:space="preserve">and level of monitoring </w:t>
      </w:r>
      <w:r w:rsidR="0061786C" w:rsidRPr="00DD2526">
        <w:t xml:space="preserve">of the health service. </w:t>
      </w:r>
      <w:r w:rsidR="00B348F4">
        <w:t xml:space="preserve">The indicators will be </w:t>
      </w:r>
      <w:r w:rsidR="00BC1992">
        <w:t>‘shadow</w:t>
      </w:r>
      <w:r w:rsidR="00B348F4">
        <w:t>ed</w:t>
      </w:r>
      <w:r w:rsidR="00BC1992">
        <w:t>’</w:t>
      </w:r>
      <w:r w:rsidR="0061786C" w:rsidRPr="00DD2526">
        <w:t xml:space="preserve"> </w:t>
      </w:r>
      <w:r w:rsidR="00B348F4">
        <w:t xml:space="preserve">and will </w:t>
      </w:r>
      <w:r w:rsidR="00281D7A" w:rsidRPr="00DD2526">
        <w:t xml:space="preserve">be a development </w:t>
      </w:r>
      <w:r w:rsidR="00B348F4">
        <w:t xml:space="preserve">focus </w:t>
      </w:r>
      <w:r w:rsidR="00281D7A" w:rsidRPr="00DD2526">
        <w:t>in 201</w:t>
      </w:r>
      <w:r w:rsidR="0000250E">
        <w:t>9–</w:t>
      </w:r>
      <w:r w:rsidR="00281D7A" w:rsidRPr="00DD2526">
        <w:t>20</w:t>
      </w:r>
      <w:r w:rsidR="00B348F4">
        <w:t>. These indicators</w:t>
      </w:r>
      <w:r w:rsidR="009E787D">
        <w:t xml:space="preserve"> </w:t>
      </w:r>
      <w:r w:rsidR="00B348F4">
        <w:t>may be</w:t>
      </w:r>
      <w:r w:rsidR="009E787D">
        <w:t xml:space="preserve"> presented to health services </w:t>
      </w:r>
      <w:r w:rsidR="007E1EF7">
        <w:t xml:space="preserve">for </w:t>
      </w:r>
      <w:r w:rsidR="009E27C0">
        <w:t>discussion</w:t>
      </w:r>
      <w:r w:rsidR="00CF53B6">
        <w:t xml:space="preserve"> during </w:t>
      </w:r>
      <w:r w:rsidR="00B348F4">
        <w:t xml:space="preserve">formal </w:t>
      </w:r>
      <w:r w:rsidR="00CF53B6">
        <w:t>performance meetings</w:t>
      </w:r>
      <w:r w:rsidR="00281D7A" w:rsidRPr="00DD2526">
        <w:t>.</w:t>
      </w:r>
    </w:p>
    <w:p w14:paraId="00E3CC4B" w14:textId="7BFA8467" w:rsidR="00452AE0" w:rsidRPr="00DD2526" w:rsidRDefault="003D5ED7" w:rsidP="00DD2526">
      <w:pPr>
        <w:pStyle w:val="DHHSbody"/>
      </w:pPr>
      <w:r>
        <w:t>Throughout the</w:t>
      </w:r>
      <w:r w:rsidR="00B4326B">
        <w:t xml:space="preserve"> </w:t>
      </w:r>
      <w:r>
        <w:t>fina</w:t>
      </w:r>
      <w:r w:rsidR="006103ED">
        <w:t>ncial year</w:t>
      </w:r>
      <w:r w:rsidR="00B4326B">
        <w:t>,</w:t>
      </w:r>
      <w:r w:rsidR="006103ED">
        <w:t xml:space="preserve"> </w:t>
      </w:r>
      <w:r w:rsidR="007434CD">
        <w:t>e</w:t>
      </w:r>
      <w:r w:rsidR="00281D7A" w:rsidRPr="00DD2526">
        <w:t xml:space="preserve">ach </w:t>
      </w:r>
      <w:r w:rsidR="00B4326B">
        <w:t>‘shadow’</w:t>
      </w:r>
      <w:r w:rsidR="00683CAE">
        <w:t xml:space="preserve"> </w:t>
      </w:r>
      <w:r w:rsidR="00281D7A" w:rsidRPr="00DD2526">
        <w:t xml:space="preserve">indicator will be evaluated by the </w:t>
      </w:r>
      <w:r w:rsidR="007434CD">
        <w:t xml:space="preserve">department and key </w:t>
      </w:r>
      <w:r w:rsidR="00B63E91">
        <w:t>stakeholders</w:t>
      </w:r>
      <w:r w:rsidR="007434CD">
        <w:t xml:space="preserve"> </w:t>
      </w:r>
      <w:r w:rsidR="00683CAE">
        <w:t>to</w:t>
      </w:r>
      <w:r w:rsidR="00281D7A" w:rsidRPr="00DD2526">
        <w:t xml:space="preserve"> determin</w:t>
      </w:r>
      <w:r w:rsidR="00683CAE">
        <w:t>e</w:t>
      </w:r>
      <w:r w:rsidR="00281D7A" w:rsidRPr="00DD2526">
        <w:t xml:space="preserve"> </w:t>
      </w:r>
      <w:r w:rsidR="00B63E91">
        <w:t xml:space="preserve">its eligibility for inclusion </w:t>
      </w:r>
      <w:r w:rsidR="00B74376">
        <w:t>in</w:t>
      </w:r>
      <w:r w:rsidR="00281D7A" w:rsidRPr="00DD2526">
        <w:t xml:space="preserve"> the Key Performance Measures </w:t>
      </w:r>
      <w:r w:rsidR="00B74376">
        <w:t>input category</w:t>
      </w:r>
      <w:r w:rsidR="00281D7A" w:rsidRPr="00DD2526">
        <w:t xml:space="preserve"> of the </w:t>
      </w:r>
      <w:r w:rsidR="008E5F67" w:rsidRPr="001A6767">
        <w:t>Framework</w:t>
      </w:r>
      <w:r w:rsidR="00AE010E">
        <w:t xml:space="preserve"> (performance input category 1)</w:t>
      </w:r>
      <w:r w:rsidR="0061786C" w:rsidRPr="00DD2526">
        <w:t>.</w:t>
      </w:r>
      <w:r w:rsidR="00B74376">
        <w:t xml:space="preserve"> </w:t>
      </w:r>
      <w:r w:rsidR="00452AE0" w:rsidRPr="00DD2526">
        <w:t>Th</w:t>
      </w:r>
      <w:r w:rsidR="00DD632E">
        <w:t>is approach</w:t>
      </w:r>
      <w:r w:rsidR="00452AE0" w:rsidRPr="00DD2526">
        <w:t xml:space="preserve"> aims to:</w:t>
      </w:r>
    </w:p>
    <w:p w14:paraId="3E2100BC" w14:textId="25015B73" w:rsidR="00452AE0" w:rsidRPr="00DD2526" w:rsidRDefault="00B74376" w:rsidP="007109AA">
      <w:pPr>
        <w:pStyle w:val="DHHSbullet1"/>
      </w:pPr>
      <w:r>
        <w:t>d</w:t>
      </w:r>
      <w:r w:rsidR="00452AE0" w:rsidRPr="00DD2526">
        <w:t xml:space="preserve">evelop a robust evaluation framework for </w:t>
      </w:r>
      <w:r>
        <w:t xml:space="preserve">assessing and evaluating </w:t>
      </w:r>
      <w:r w:rsidR="00452AE0" w:rsidRPr="00DD2526">
        <w:t>proposed</w:t>
      </w:r>
      <w:r w:rsidR="00D71155">
        <w:t>,</w:t>
      </w:r>
      <w:r w:rsidR="009C2EF1">
        <w:t xml:space="preserve"> and current</w:t>
      </w:r>
      <w:r w:rsidR="00D71155">
        <w:t>,</w:t>
      </w:r>
      <w:r w:rsidR="00452AE0" w:rsidRPr="00DD2526">
        <w:t xml:space="preserve"> </w:t>
      </w:r>
      <w:r w:rsidR="00D71155">
        <w:t>indicators</w:t>
      </w:r>
      <w:r w:rsidR="009C2EF1">
        <w:t>,</w:t>
      </w:r>
      <w:r w:rsidR="00647546">
        <w:t xml:space="preserve"> for inclusion or retainment</w:t>
      </w:r>
      <w:r w:rsidR="009C2EF1">
        <w:t xml:space="preserve"> </w:t>
      </w:r>
      <w:r w:rsidR="00647546">
        <w:t>i</w:t>
      </w:r>
      <w:r w:rsidR="00452AE0" w:rsidRPr="00DD2526">
        <w:t xml:space="preserve">n the </w:t>
      </w:r>
      <w:r>
        <w:t>Framework</w:t>
      </w:r>
      <w:r w:rsidR="00452AE0" w:rsidRPr="00DD2526">
        <w:t xml:space="preserve">. </w:t>
      </w:r>
      <w:r w:rsidR="009C19B8">
        <w:t>T</w:t>
      </w:r>
      <w:r w:rsidR="00452AE0" w:rsidRPr="00DD2526">
        <w:t xml:space="preserve">he </w:t>
      </w:r>
      <w:r w:rsidR="009C19B8">
        <w:t xml:space="preserve">evaluation will </w:t>
      </w:r>
      <w:r w:rsidR="00452AE0" w:rsidRPr="00DD2526">
        <w:t xml:space="preserve">also be applied to </w:t>
      </w:r>
      <w:r w:rsidR="006D0B66">
        <w:t xml:space="preserve">the </w:t>
      </w:r>
      <w:r w:rsidR="004832A5">
        <w:t>SOP</w:t>
      </w:r>
      <w:r w:rsidR="009C19B8">
        <w:t>,</w:t>
      </w:r>
      <w:r w:rsidR="00452AE0" w:rsidRPr="00DD2526">
        <w:t xml:space="preserve"> where appropriate</w:t>
      </w:r>
    </w:p>
    <w:p w14:paraId="77A6297E" w14:textId="1FB8487E" w:rsidR="004D5B67" w:rsidRPr="00DD2526" w:rsidRDefault="00B74376" w:rsidP="007109AA">
      <w:pPr>
        <w:pStyle w:val="DHHSbullet1"/>
      </w:pPr>
      <w:r>
        <w:t>p</w:t>
      </w:r>
      <w:r w:rsidR="00452AE0" w:rsidRPr="00DD2526">
        <w:t xml:space="preserve">roductively and constructively challenge the value of each </w:t>
      </w:r>
      <w:r w:rsidR="00AC1544">
        <w:t>indicator</w:t>
      </w:r>
      <w:r w:rsidR="00452AE0" w:rsidRPr="00DD2526">
        <w:t xml:space="preserve"> and, where possible, ensure </w:t>
      </w:r>
      <w:r w:rsidR="00AC1544">
        <w:t>indicators</w:t>
      </w:r>
      <w:r w:rsidR="00452AE0" w:rsidRPr="00DD2526">
        <w:t xml:space="preserve"> are future proofed as opposed to cyclic </w:t>
      </w:r>
    </w:p>
    <w:p w14:paraId="224B39D7" w14:textId="401E0D3D" w:rsidR="00517842" w:rsidRPr="00DD2526" w:rsidRDefault="00B74376" w:rsidP="007109AA">
      <w:pPr>
        <w:pStyle w:val="DHHSbullet1"/>
      </w:pPr>
      <w:r>
        <w:t>p</w:t>
      </w:r>
      <w:r w:rsidR="00452AE0" w:rsidRPr="00DD2526">
        <w:t>rovide a transparent process</w:t>
      </w:r>
      <w:r w:rsidR="00684A85">
        <w:t>,</w:t>
      </w:r>
      <w:r w:rsidR="00FD5C97">
        <w:t xml:space="preserve"> a</w:t>
      </w:r>
      <w:r w:rsidR="00452AE0" w:rsidRPr="00DD2526">
        <w:t xml:space="preserve"> platform for planning</w:t>
      </w:r>
      <w:r w:rsidR="00647546">
        <w:t>,</w:t>
      </w:r>
      <w:r w:rsidR="00452AE0" w:rsidRPr="00DD2526">
        <w:t xml:space="preserve"> and early communications with</w:t>
      </w:r>
      <w:r w:rsidR="004F7C7A" w:rsidRPr="00DD2526">
        <w:t xml:space="preserve"> all</w:t>
      </w:r>
      <w:r w:rsidR="00452AE0" w:rsidRPr="00DD2526">
        <w:t xml:space="preserve"> stakeholders </w:t>
      </w:r>
      <w:r w:rsidR="00647546">
        <w:t xml:space="preserve">that may be impacted by </w:t>
      </w:r>
      <w:r w:rsidR="00086B8C">
        <w:t>these changes</w:t>
      </w:r>
      <w:r w:rsidR="00452AE0" w:rsidRPr="00DD2526">
        <w:t>.</w:t>
      </w:r>
    </w:p>
    <w:p w14:paraId="70125B85" w14:textId="5BEEBB6B" w:rsidR="00F80200" w:rsidRPr="00F80200" w:rsidRDefault="00BD7C6F" w:rsidP="007109AA">
      <w:pPr>
        <w:pStyle w:val="DHHSbodyafterbullets"/>
      </w:pPr>
      <w:r w:rsidRPr="00F80200">
        <w:t>In 201</w:t>
      </w:r>
      <w:r w:rsidR="0000250E">
        <w:t>9–</w:t>
      </w:r>
      <w:r w:rsidRPr="00F80200">
        <w:t>20</w:t>
      </w:r>
      <w:r w:rsidR="00AC1544">
        <w:t>,</w:t>
      </w:r>
      <w:r w:rsidRPr="00F80200">
        <w:t xml:space="preserve"> </w:t>
      </w:r>
      <w:r w:rsidR="005845C6">
        <w:t xml:space="preserve">areas </w:t>
      </w:r>
      <w:r w:rsidR="00FD5C97">
        <w:t>with</w:t>
      </w:r>
      <w:r w:rsidR="005845C6">
        <w:t xml:space="preserve"> </w:t>
      </w:r>
      <w:r w:rsidRPr="00F80200">
        <w:t xml:space="preserve">indicators under development </w:t>
      </w:r>
      <w:r w:rsidR="00086B8C">
        <w:t>(</w:t>
      </w:r>
      <w:r w:rsidRPr="00F80200">
        <w:t xml:space="preserve">planned </w:t>
      </w:r>
      <w:r w:rsidR="00086B8C">
        <w:t xml:space="preserve">for </w:t>
      </w:r>
      <w:r w:rsidRPr="00F80200">
        <w:t>shadow reporting</w:t>
      </w:r>
      <w:r w:rsidR="00086B8C">
        <w:t>)</w:t>
      </w:r>
      <w:r w:rsidRPr="00F80200">
        <w:t xml:space="preserve"> </w:t>
      </w:r>
      <w:r w:rsidR="005845C6">
        <w:t>include:</w:t>
      </w:r>
      <w:r w:rsidR="00520D8C" w:rsidRPr="00F80200">
        <w:t xml:space="preserve"> </w:t>
      </w:r>
    </w:p>
    <w:p w14:paraId="3EDFD368" w14:textId="51660946" w:rsidR="00F80200" w:rsidRDefault="00520D8C" w:rsidP="007109AA">
      <w:pPr>
        <w:pStyle w:val="DHHSbullet1"/>
      </w:pPr>
      <w:r w:rsidRPr="00DD2526">
        <w:t xml:space="preserve">Percentage valid HoNOS compliance across all age groups and </w:t>
      </w:r>
      <w:r w:rsidR="003B72C2" w:rsidRPr="00DD2526">
        <w:t xml:space="preserve">settings </w:t>
      </w:r>
    </w:p>
    <w:p w14:paraId="3614E7D5" w14:textId="527E97D9" w:rsidR="00F80200" w:rsidRDefault="003B72C2" w:rsidP="007109AA">
      <w:pPr>
        <w:pStyle w:val="DHHSbullet1"/>
      </w:pPr>
      <w:r w:rsidRPr="00DD2526">
        <w:t>Your Experience Service Survey results</w:t>
      </w:r>
    </w:p>
    <w:p w14:paraId="760921CE" w14:textId="7098E50A" w:rsidR="002F0A6C" w:rsidRDefault="008461D5" w:rsidP="007109AA">
      <w:pPr>
        <w:pStyle w:val="DHHSbullet1"/>
      </w:pPr>
      <w:r w:rsidRPr="00DD2526">
        <w:t xml:space="preserve">Aboriginal </w:t>
      </w:r>
      <w:r w:rsidR="00FD5C97">
        <w:t>h</w:t>
      </w:r>
      <w:r w:rsidRPr="00DD2526">
        <w:t xml:space="preserve">ealth emergency and inpatient care </w:t>
      </w:r>
    </w:p>
    <w:p w14:paraId="3D196F44" w14:textId="2304B4FD" w:rsidR="007B05B1" w:rsidRPr="003E4ADB" w:rsidRDefault="00C359FF" w:rsidP="007109AA">
      <w:pPr>
        <w:pStyle w:val="DHHSbullet1"/>
      </w:pPr>
      <w:r w:rsidRPr="003E4ADB">
        <w:t>Victorian Health Experience Survey</w:t>
      </w:r>
      <w:r w:rsidR="008713A6" w:rsidRPr="003E4ADB">
        <w:t xml:space="preserve"> results.</w:t>
      </w:r>
    </w:p>
    <w:p w14:paraId="5DC8A7AB" w14:textId="06A00343" w:rsidR="00B25AB9" w:rsidRDefault="00B25AB9" w:rsidP="007109AA">
      <w:pPr>
        <w:pStyle w:val="DHHSbodyafterbullets"/>
      </w:pPr>
      <w:r>
        <w:t xml:space="preserve">As each indicator is developed </w:t>
      </w:r>
      <w:r w:rsidR="007B05B1">
        <w:t xml:space="preserve">for reporting </w:t>
      </w:r>
      <w:r w:rsidR="00F7310F">
        <w:t>they will be added to existing reporting platforms</w:t>
      </w:r>
      <w:r w:rsidR="00E2543A">
        <w:t xml:space="preserve"> for consideration and discussion</w:t>
      </w:r>
      <w:r w:rsidR="007B05B1">
        <w:t xml:space="preserve"> at </w:t>
      </w:r>
      <w:r w:rsidR="005845C6">
        <w:t xml:space="preserve">formal </w:t>
      </w:r>
      <w:r w:rsidR="007B05B1">
        <w:t>performanc</w:t>
      </w:r>
      <w:r w:rsidR="00EE2E75">
        <w:t>e</w:t>
      </w:r>
      <w:r w:rsidR="007B05B1">
        <w:t xml:space="preserve"> meetin</w:t>
      </w:r>
      <w:r w:rsidR="00EE2E75">
        <w:t>g</w:t>
      </w:r>
      <w:r w:rsidR="007B05B1">
        <w:t>s.</w:t>
      </w:r>
    </w:p>
    <w:p w14:paraId="6B84465E" w14:textId="097BC014" w:rsidR="00504C76" w:rsidRPr="007109AA" w:rsidRDefault="00A348BC" w:rsidP="00D052EF">
      <w:pPr>
        <w:pStyle w:val="DHHStablecaption"/>
        <w:pageBreakBefore/>
      </w:pPr>
      <w:r w:rsidRPr="007109AA">
        <w:lastRenderedPageBreak/>
        <w:t>Table 1</w:t>
      </w:r>
      <w:r w:rsidR="007109AA">
        <w:t>a</w:t>
      </w:r>
      <w:r w:rsidRPr="007109AA">
        <w:t xml:space="preserve">: </w:t>
      </w:r>
      <w:r w:rsidR="00504C76" w:rsidRPr="007109AA">
        <w:t xml:space="preserve">Changes to </w:t>
      </w:r>
      <w:r w:rsidR="00B75CB8">
        <w:t>Key Performance Measures in the Framework (that also impact</w:t>
      </w:r>
      <w:r w:rsidR="00B75CB8" w:rsidRPr="007109AA">
        <w:t xml:space="preserve"> </w:t>
      </w:r>
      <w:r w:rsidR="006201A8">
        <w:t>the SOP</w:t>
      </w:r>
      <w:r w:rsidR="00B75CB8">
        <w:t>)</w:t>
      </w:r>
    </w:p>
    <w:tbl>
      <w:tblPr>
        <w:tblStyle w:val="TableGrid"/>
        <w:tblW w:w="9299" w:type="dxa"/>
        <w:tblLook w:val="06A0" w:firstRow="1" w:lastRow="0" w:firstColumn="1" w:lastColumn="0" w:noHBand="1" w:noVBand="1"/>
      </w:tblPr>
      <w:tblGrid>
        <w:gridCol w:w="3904"/>
        <w:gridCol w:w="1387"/>
        <w:gridCol w:w="4008"/>
      </w:tblGrid>
      <w:tr w:rsidR="00504C76" w:rsidRPr="00F84EBE" w14:paraId="156033FF" w14:textId="77777777" w:rsidTr="0071472C">
        <w:trPr>
          <w:cnfStyle w:val="100000000000" w:firstRow="1" w:lastRow="0" w:firstColumn="0" w:lastColumn="0" w:oddVBand="0" w:evenVBand="0" w:oddHBand="0" w:evenHBand="0" w:firstRowFirstColumn="0" w:firstRowLastColumn="0" w:lastRowFirstColumn="0" w:lastRowLastColumn="0"/>
          <w:cantSplit/>
          <w:tblHeader/>
        </w:trPr>
        <w:tc>
          <w:tcPr>
            <w:tcW w:w="4082" w:type="dxa"/>
          </w:tcPr>
          <w:p w14:paraId="4C8C8553" w14:textId="77777777" w:rsidR="00504C76" w:rsidRPr="00DD2526" w:rsidRDefault="00504C76" w:rsidP="007109AA">
            <w:pPr>
              <w:pStyle w:val="DHHStablecolhead"/>
            </w:pPr>
            <w:r w:rsidRPr="00DD2526">
              <w:t>KPI title</w:t>
            </w:r>
          </w:p>
        </w:tc>
        <w:tc>
          <w:tcPr>
            <w:tcW w:w="1408" w:type="dxa"/>
          </w:tcPr>
          <w:p w14:paraId="45E3A0B0" w14:textId="553BF994" w:rsidR="00504C76" w:rsidRPr="00DD2526" w:rsidRDefault="00504C76" w:rsidP="007109AA">
            <w:pPr>
              <w:pStyle w:val="DHHStablecolhead"/>
            </w:pPr>
            <w:r w:rsidRPr="00DD2526">
              <w:t>Change</w:t>
            </w:r>
          </w:p>
        </w:tc>
        <w:tc>
          <w:tcPr>
            <w:tcW w:w="4182" w:type="dxa"/>
          </w:tcPr>
          <w:p w14:paraId="48984A1E" w14:textId="77777777" w:rsidR="00504C76" w:rsidRPr="00DD2526" w:rsidRDefault="00504C76" w:rsidP="007109AA">
            <w:pPr>
              <w:pStyle w:val="DHHStablecolhead"/>
            </w:pPr>
            <w:r w:rsidRPr="00DD2526">
              <w:t>Commentary</w:t>
            </w:r>
          </w:p>
        </w:tc>
      </w:tr>
      <w:tr w:rsidR="00504C76" w14:paraId="4CD7C6CD" w14:textId="77777777" w:rsidTr="0071472C">
        <w:trPr>
          <w:cantSplit/>
        </w:trPr>
        <w:tc>
          <w:tcPr>
            <w:tcW w:w="4082" w:type="dxa"/>
          </w:tcPr>
          <w:p w14:paraId="0BE4D70C" w14:textId="77777777" w:rsidR="00504C76" w:rsidRPr="0013204C" w:rsidRDefault="00504C76" w:rsidP="007109AA">
            <w:pPr>
              <w:pStyle w:val="DHHStabletext"/>
            </w:pPr>
            <w:r w:rsidRPr="006D0710">
              <w:t>Accreditation against the National Safety and Quality Health Service Standards</w:t>
            </w:r>
          </w:p>
        </w:tc>
        <w:tc>
          <w:tcPr>
            <w:tcW w:w="1408" w:type="dxa"/>
          </w:tcPr>
          <w:p w14:paraId="651A96C9" w14:textId="41A22831" w:rsidR="00504C76" w:rsidRDefault="00504C76" w:rsidP="007109AA">
            <w:pPr>
              <w:pStyle w:val="DHHStabletext"/>
            </w:pPr>
            <w:r>
              <w:t>Relocate</w:t>
            </w:r>
          </w:p>
        </w:tc>
        <w:tc>
          <w:tcPr>
            <w:tcW w:w="4182" w:type="dxa"/>
          </w:tcPr>
          <w:p w14:paraId="48179C66" w14:textId="77777777" w:rsidR="00504C76" w:rsidRDefault="00504C76" w:rsidP="007109AA">
            <w:pPr>
              <w:pStyle w:val="DHHStabletext"/>
            </w:pPr>
            <w:r>
              <w:t>Remove as Key Performance Measure from PMF and SOP (Part B) indicators. Instead include within the existing “</w:t>
            </w:r>
            <w:r w:rsidRPr="004273A8">
              <w:rPr>
                <w:i/>
              </w:rPr>
              <w:t>Accountability and funding requirements</w:t>
            </w:r>
            <w:r>
              <w:t>” section of the SOP</w:t>
            </w:r>
          </w:p>
        </w:tc>
      </w:tr>
      <w:tr w:rsidR="00504C76" w14:paraId="2C077ECE" w14:textId="77777777" w:rsidTr="0071472C">
        <w:trPr>
          <w:cantSplit/>
        </w:trPr>
        <w:tc>
          <w:tcPr>
            <w:tcW w:w="4082" w:type="dxa"/>
          </w:tcPr>
          <w:p w14:paraId="0CF286D5" w14:textId="77777777" w:rsidR="00504C76" w:rsidRPr="0013204C" w:rsidRDefault="00504C76" w:rsidP="007109AA">
            <w:pPr>
              <w:pStyle w:val="DHHStabletext"/>
            </w:pPr>
            <w:r w:rsidRPr="0013204C">
              <w:t>Compliance with the Hand Hygiene Australia program</w:t>
            </w:r>
          </w:p>
        </w:tc>
        <w:tc>
          <w:tcPr>
            <w:tcW w:w="1408" w:type="dxa"/>
          </w:tcPr>
          <w:p w14:paraId="4F2B637B" w14:textId="77777777" w:rsidR="00504C76" w:rsidRDefault="00504C76" w:rsidP="007109AA">
            <w:pPr>
              <w:pStyle w:val="DHHStabletext"/>
            </w:pPr>
            <w:r>
              <w:t>Target Change</w:t>
            </w:r>
          </w:p>
        </w:tc>
        <w:tc>
          <w:tcPr>
            <w:tcW w:w="4182" w:type="dxa"/>
          </w:tcPr>
          <w:p w14:paraId="4E94582C" w14:textId="77777777" w:rsidR="00504C76" w:rsidRDefault="00504C76" w:rsidP="007109AA">
            <w:pPr>
              <w:pStyle w:val="DHHStabletext"/>
            </w:pPr>
            <w:r>
              <w:t>Increase from 80% to 83%</w:t>
            </w:r>
          </w:p>
        </w:tc>
      </w:tr>
      <w:tr w:rsidR="00504C76" w14:paraId="39C12847" w14:textId="77777777" w:rsidTr="0071472C">
        <w:trPr>
          <w:cantSplit/>
        </w:trPr>
        <w:tc>
          <w:tcPr>
            <w:tcW w:w="4082" w:type="dxa"/>
          </w:tcPr>
          <w:p w14:paraId="3698711D" w14:textId="77777777" w:rsidR="00504C76" w:rsidRPr="0013204C" w:rsidRDefault="00504C76" w:rsidP="007109AA">
            <w:pPr>
              <w:pStyle w:val="DHHStabletext"/>
            </w:pPr>
            <w:r w:rsidRPr="0013204C">
              <w:t>Percentage of healthcare workers immunised for influenza</w:t>
            </w:r>
          </w:p>
        </w:tc>
        <w:tc>
          <w:tcPr>
            <w:tcW w:w="1408" w:type="dxa"/>
          </w:tcPr>
          <w:p w14:paraId="11383BEE" w14:textId="77777777" w:rsidR="00504C76" w:rsidRDefault="00504C76" w:rsidP="007109AA">
            <w:pPr>
              <w:pStyle w:val="DHHStabletext"/>
            </w:pPr>
            <w:r>
              <w:t>Target Change</w:t>
            </w:r>
          </w:p>
        </w:tc>
        <w:tc>
          <w:tcPr>
            <w:tcW w:w="4182" w:type="dxa"/>
          </w:tcPr>
          <w:p w14:paraId="355FDD7F" w14:textId="6B847908" w:rsidR="00504C76" w:rsidRDefault="00504C76" w:rsidP="007109AA">
            <w:pPr>
              <w:pStyle w:val="DHHStabletext"/>
            </w:pPr>
            <w:r>
              <w:t>Increase from 80% to 84%, as the state progresses to 90% over the next four years</w:t>
            </w:r>
          </w:p>
        </w:tc>
      </w:tr>
      <w:tr w:rsidR="00504C76" w14:paraId="5CF4B184" w14:textId="77777777" w:rsidTr="0071472C">
        <w:trPr>
          <w:cantSplit/>
        </w:trPr>
        <w:tc>
          <w:tcPr>
            <w:tcW w:w="4082" w:type="dxa"/>
          </w:tcPr>
          <w:p w14:paraId="42330F26" w14:textId="2F0D15F0" w:rsidR="00504C76" w:rsidRPr="0013204C" w:rsidRDefault="00504C76" w:rsidP="007109AA">
            <w:pPr>
              <w:pStyle w:val="DHHStabletext"/>
            </w:pPr>
            <w:r w:rsidRPr="0013204C">
              <w:t>Rate of singleton term infants without birth anomalies with Apgar score &lt;</w:t>
            </w:r>
            <w:r w:rsidR="00EC7924">
              <w:t xml:space="preserve"> </w:t>
            </w:r>
            <w:r w:rsidRPr="0013204C">
              <w:t>7 to 5 minutes</w:t>
            </w:r>
          </w:p>
        </w:tc>
        <w:tc>
          <w:tcPr>
            <w:tcW w:w="1408" w:type="dxa"/>
          </w:tcPr>
          <w:p w14:paraId="3BD8F919" w14:textId="15EFDC3E" w:rsidR="00504C76" w:rsidRDefault="00504C76" w:rsidP="007109AA">
            <w:pPr>
              <w:pStyle w:val="DHHStabletext"/>
            </w:pPr>
            <w:r w:rsidRPr="0013204C">
              <w:t>Reporting Change</w:t>
            </w:r>
          </w:p>
        </w:tc>
        <w:tc>
          <w:tcPr>
            <w:tcW w:w="4182" w:type="dxa"/>
          </w:tcPr>
          <w:p w14:paraId="0DD91B30" w14:textId="7D928C2E" w:rsidR="00504C76" w:rsidRDefault="00504C76" w:rsidP="007109AA">
            <w:pPr>
              <w:pStyle w:val="DHHStabletext"/>
            </w:pPr>
            <w:r>
              <w:t>T</w:t>
            </w:r>
            <w:r w:rsidRPr="002C08F1">
              <w:t xml:space="preserve">he result </w:t>
            </w:r>
            <w:r w:rsidR="00F6766F">
              <w:t xml:space="preserve">is to </w:t>
            </w:r>
            <w:r w:rsidRPr="002C08F1">
              <w:t>be reported as a 12 month rolling average (currently a six month rolling average)</w:t>
            </w:r>
          </w:p>
        </w:tc>
      </w:tr>
      <w:tr w:rsidR="00797A9E" w14:paraId="51B53E47" w14:textId="77777777" w:rsidTr="0071472C">
        <w:trPr>
          <w:cantSplit/>
        </w:trPr>
        <w:tc>
          <w:tcPr>
            <w:tcW w:w="4082" w:type="dxa"/>
          </w:tcPr>
          <w:p w14:paraId="08C72953" w14:textId="27CD8A64" w:rsidR="00797A9E" w:rsidRPr="0013204C" w:rsidRDefault="00797A9E" w:rsidP="007109AA">
            <w:pPr>
              <w:pStyle w:val="DHHStabletext"/>
            </w:pPr>
            <w:r>
              <w:t xml:space="preserve">VHES </w:t>
            </w:r>
            <w:r w:rsidR="000627A6">
              <w:t>–</w:t>
            </w:r>
            <w:r>
              <w:t xml:space="preserve"> </w:t>
            </w:r>
            <w:r w:rsidRPr="00E05B78">
              <w:t>Q</w:t>
            </w:r>
            <w:r w:rsidR="000627A6">
              <w:t>72</w:t>
            </w:r>
            <w:r w:rsidRPr="00E05B78">
              <w:t>. “Overall, how would you rate the care you received from</w:t>
            </w:r>
            <w:r w:rsidR="00F94ED6">
              <w:t xml:space="preserve"> the ambulance service</w:t>
            </w:r>
            <w:r w:rsidR="00156785">
              <w:t>?</w:t>
            </w:r>
            <w:r w:rsidRPr="00E05B78">
              <w:t>”</w:t>
            </w:r>
          </w:p>
        </w:tc>
        <w:tc>
          <w:tcPr>
            <w:tcW w:w="1408" w:type="dxa"/>
          </w:tcPr>
          <w:p w14:paraId="5B88FF09" w14:textId="31EF1E3E" w:rsidR="00797A9E" w:rsidRPr="0013204C" w:rsidRDefault="00797A9E" w:rsidP="007109AA">
            <w:pPr>
              <w:pStyle w:val="DHHStabletext"/>
            </w:pPr>
            <w:r>
              <w:t>New</w:t>
            </w:r>
          </w:p>
        </w:tc>
        <w:tc>
          <w:tcPr>
            <w:tcW w:w="4182" w:type="dxa"/>
          </w:tcPr>
          <w:p w14:paraId="31ACEAB7" w14:textId="542429D5" w:rsidR="00797A9E" w:rsidRDefault="000A12DA" w:rsidP="007109AA">
            <w:pPr>
              <w:pStyle w:val="DHHStabletext"/>
            </w:pPr>
            <w:r>
              <w:rPr>
                <w:bCs/>
              </w:rPr>
              <w:t>New</w:t>
            </w:r>
            <w:r w:rsidR="00797A9E">
              <w:rPr>
                <w:bCs/>
              </w:rPr>
              <w:t xml:space="preserve"> Ambulance Victoria </w:t>
            </w:r>
            <w:r w:rsidR="000627A6">
              <w:rPr>
                <w:bCs/>
              </w:rPr>
              <w:t xml:space="preserve">KPI </w:t>
            </w:r>
            <w:r>
              <w:rPr>
                <w:bCs/>
              </w:rPr>
              <w:t xml:space="preserve">utilising the </w:t>
            </w:r>
            <w:r w:rsidR="00797A9E">
              <w:rPr>
                <w:bCs/>
              </w:rPr>
              <w:t>VHES</w:t>
            </w:r>
            <w:r>
              <w:rPr>
                <w:bCs/>
              </w:rPr>
              <w:t xml:space="preserve"> reported results</w:t>
            </w:r>
          </w:p>
        </w:tc>
      </w:tr>
    </w:tbl>
    <w:p w14:paraId="2FF73BA4" w14:textId="41B3EC98" w:rsidR="007109AA" w:rsidRPr="007109AA" w:rsidRDefault="007109AA" w:rsidP="007109AA">
      <w:pPr>
        <w:pStyle w:val="DHHStablecaption"/>
      </w:pPr>
      <w:r w:rsidRPr="007109AA">
        <w:t>Table 1</w:t>
      </w:r>
      <w:r>
        <w:t>b</w:t>
      </w:r>
      <w:r w:rsidRPr="007109AA">
        <w:t xml:space="preserve">: Changes to Key Performance Measures </w:t>
      </w:r>
      <w:r w:rsidR="00E7280F">
        <w:t>in the Framework</w:t>
      </w:r>
    </w:p>
    <w:tbl>
      <w:tblPr>
        <w:tblStyle w:val="TableGrid"/>
        <w:tblW w:w="9299" w:type="dxa"/>
        <w:tblLook w:val="06A0" w:firstRow="1" w:lastRow="0" w:firstColumn="1" w:lastColumn="0" w:noHBand="1" w:noVBand="1"/>
      </w:tblPr>
      <w:tblGrid>
        <w:gridCol w:w="3912"/>
        <w:gridCol w:w="1381"/>
        <w:gridCol w:w="4006"/>
      </w:tblGrid>
      <w:tr w:rsidR="007109AA" w14:paraId="478C0D94" w14:textId="77777777" w:rsidTr="00F510CE">
        <w:trPr>
          <w:cnfStyle w:val="100000000000" w:firstRow="1" w:lastRow="0" w:firstColumn="0" w:lastColumn="0" w:oddVBand="0" w:evenVBand="0" w:oddHBand="0" w:evenHBand="0" w:firstRowFirstColumn="0" w:firstRowLastColumn="0" w:lastRowFirstColumn="0" w:lastRowLastColumn="0"/>
          <w:tblHeader/>
        </w:trPr>
        <w:tc>
          <w:tcPr>
            <w:tcW w:w="4082" w:type="dxa"/>
          </w:tcPr>
          <w:p w14:paraId="312B1339" w14:textId="60910185" w:rsidR="007109AA" w:rsidRPr="007109AA" w:rsidRDefault="007109AA" w:rsidP="007109AA">
            <w:pPr>
              <w:pStyle w:val="DHHStablecolhead"/>
            </w:pPr>
            <w:r w:rsidRPr="007109AA">
              <w:t>KPI title</w:t>
            </w:r>
          </w:p>
        </w:tc>
        <w:tc>
          <w:tcPr>
            <w:tcW w:w="1408" w:type="dxa"/>
          </w:tcPr>
          <w:p w14:paraId="5C8D4BB2" w14:textId="35F42BC0" w:rsidR="007109AA" w:rsidRPr="007109AA" w:rsidRDefault="007109AA" w:rsidP="007109AA">
            <w:pPr>
              <w:pStyle w:val="DHHStablecolhead"/>
            </w:pPr>
            <w:r w:rsidRPr="007109AA">
              <w:t>Change</w:t>
            </w:r>
          </w:p>
        </w:tc>
        <w:tc>
          <w:tcPr>
            <w:tcW w:w="4182" w:type="dxa"/>
          </w:tcPr>
          <w:p w14:paraId="339DCB46" w14:textId="733F35D2" w:rsidR="007109AA" w:rsidRPr="007109AA" w:rsidRDefault="007109AA" w:rsidP="007109AA">
            <w:pPr>
              <w:pStyle w:val="DHHStablecolhead"/>
            </w:pPr>
            <w:r w:rsidRPr="007109AA">
              <w:t>Commentary</w:t>
            </w:r>
          </w:p>
        </w:tc>
      </w:tr>
      <w:tr w:rsidR="00504C76" w14:paraId="20A609F7" w14:textId="77777777" w:rsidTr="0071472C">
        <w:trPr>
          <w:trHeight w:val="1116"/>
        </w:trPr>
        <w:tc>
          <w:tcPr>
            <w:tcW w:w="4082" w:type="dxa"/>
          </w:tcPr>
          <w:p w14:paraId="05F66806" w14:textId="77777777" w:rsidR="00504C76" w:rsidRPr="00867FC7" w:rsidRDefault="00504C76" w:rsidP="007109AA">
            <w:pPr>
              <w:pStyle w:val="DHHStabletext"/>
            </w:pPr>
            <w:r>
              <w:t>Percentage of</w:t>
            </w:r>
            <w:r w:rsidRPr="00867FC7">
              <w:t xml:space="preserve"> staff who personally experienced bullying at work in last 12</w:t>
            </w:r>
            <w:r>
              <w:t xml:space="preserve"> </w:t>
            </w:r>
            <w:r w:rsidRPr="00867FC7">
              <w:t>m</w:t>
            </w:r>
            <w:r>
              <w:t>on</w:t>
            </w:r>
            <w:r w:rsidRPr="00867FC7">
              <w:t>ths / P</w:t>
            </w:r>
            <w:r>
              <w:t xml:space="preserve">eople </w:t>
            </w:r>
            <w:r w:rsidRPr="00867FC7">
              <w:t>M</w:t>
            </w:r>
            <w:r>
              <w:t xml:space="preserve">atter </w:t>
            </w:r>
            <w:r w:rsidRPr="00867FC7">
              <w:t>S</w:t>
            </w:r>
            <w:r>
              <w:t>urvey</w:t>
            </w:r>
            <w:r w:rsidRPr="00867FC7">
              <w:t xml:space="preserve"> responses</w:t>
            </w:r>
          </w:p>
        </w:tc>
        <w:tc>
          <w:tcPr>
            <w:tcW w:w="1408" w:type="dxa"/>
          </w:tcPr>
          <w:p w14:paraId="59015691" w14:textId="77777777" w:rsidR="00504C76" w:rsidRPr="00867FC7" w:rsidRDefault="00504C76" w:rsidP="007109AA">
            <w:pPr>
              <w:pStyle w:val="DHHStabletext"/>
            </w:pPr>
            <w:r w:rsidRPr="00867FC7">
              <w:rPr>
                <w:bCs/>
              </w:rPr>
              <w:t>Target Change</w:t>
            </w:r>
          </w:p>
        </w:tc>
        <w:tc>
          <w:tcPr>
            <w:tcW w:w="4182" w:type="dxa"/>
          </w:tcPr>
          <w:p w14:paraId="2362CED8" w14:textId="77777777" w:rsidR="00504C76" w:rsidRDefault="00504C76" w:rsidP="007109AA">
            <w:pPr>
              <w:pStyle w:val="DHHStabletext"/>
            </w:pPr>
            <w:r>
              <w:t xml:space="preserve">Decrease from </w:t>
            </w:r>
            <w:r w:rsidRPr="003B4628">
              <w:t>≥</w:t>
            </w:r>
            <w:r>
              <w:t xml:space="preserve"> </w:t>
            </w:r>
            <w:r w:rsidRPr="003B4628">
              <w:t>20</w:t>
            </w:r>
            <w:r>
              <w:t xml:space="preserve"> to </w:t>
            </w:r>
            <w:r w:rsidRPr="003B4628">
              <w:t>≥</w:t>
            </w:r>
            <w:r>
              <w:t xml:space="preserve"> 17% of </w:t>
            </w:r>
            <w:r w:rsidRPr="003B4628">
              <w:t xml:space="preserve">People Matter </w:t>
            </w:r>
            <w:r>
              <w:t>S</w:t>
            </w:r>
            <w:r w:rsidRPr="003B4628">
              <w:t>urvey responses</w:t>
            </w:r>
          </w:p>
        </w:tc>
      </w:tr>
      <w:tr w:rsidR="00504C76" w14:paraId="7096FACA" w14:textId="77777777" w:rsidTr="0071472C">
        <w:trPr>
          <w:trHeight w:val="976"/>
        </w:trPr>
        <w:tc>
          <w:tcPr>
            <w:tcW w:w="4082" w:type="dxa"/>
          </w:tcPr>
          <w:p w14:paraId="1CD905E0" w14:textId="77777777" w:rsidR="00504C76" w:rsidRPr="00542CFD" w:rsidRDefault="00504C76" w:rsidP="007109AA">
            <w:pPr>
              <w:pStyle w:val="DHHStabletext"/>
            </w:pPr>
            <w:r w:rsidRPr="000D6548">
              <w:t>Unplanned Readmission paediatric tonsillectomy and adenoidectomy</w:t>
            </w:r>
          </w:p>
        </w:tc>
        <w:tc>
          <w:tcPr>
            <w:tcW w:w="1408" w:type="dxa"/>
          </w:tcPr>
          <w:p w14:paraId="4CC31E3E" w14:textId="6ADC7F14" w:rsidR="00504C76" w:rsidRDefault="00BE7204" w:rsidP="007109AA">
            <w:pPr>
              <w:pStyle w:val="DHHStabletext"/>
            </w:pPr>
            <w:r>
              <w:t>Relocate</w:t>
            </w:r>
            <w:r w:rsidR="00504C76">
              <w:t xml:space="preserve"> &amp; Shadow</w:t>
            </w:r>
          </w:p>
        </w:tc>
        <w:tc>
          <w:tcPr>
            <w:tcW w:w="4182" w:type="dxa"/>
          </w:tcPr>
          <w:p w14:paraId="746C0F61" w14:textId="2E884B87" w:rsidR="00504C76" w:rsidRPr="00542CFD" w:rsidRDefault="00504C76" w:rsidP="007109AA">
            <w:pPr>
              <w:pStyle w:val="DHHStabletext"/>
            </w:pPr>
            <w:r w:rsidRPr="000B0ED0">
              <w:t xml:space="preserve">Replace with </w:t>
            </w:r>
            <w:r w:rsidRPr="000D6548">
              <w:t xml:space="preserve">a new paediatric tonsillectomy and adenoidectomy readmission to any hospital </w:t>
            </w:r>
            <w:r>
              <w:t>(shadow)</w:t>
            </w:r>
          </w:p>
        </w:tc>
      </w:tr>
      <w:tr w:rsidR="00504C76" w14:paraId="098CF5CD" w14:textId="77777777" w:rsidTr="0071472C">
        <w:trPr>
          <w:trHeight w:val="968"/>
        </w:trPr>
        <w:tc>
          <w:tcPr>
            <w:tcW w:w="4082" w:type="dxa"/>
          </w:tcPr>
          <w:p w14:paraId="6B200FA4" w14:textId="6967F988" w:rsidR="00504C76" w:rsidRPr="00867FC7" w:rsidRDefault="00504C76" w:rsidP="007109AA">
            <w:pPr>
              <w:pStyle w:val="DHHStabletext"/>
            </w:pPr>
            <w:r w:rsidRPr="00542CFD">
              <w:t xml:space="preserve">Mortality </w:t>
            </w:r>
            <w:r w:rsidR="002846B2">
              <w:t xml:space="preserve">Indicators (Standardised, </w:t>
            </w:r>
            <w:r w:rsidR="00BC26A6">
              <w:t xml:space="preserve">Acute </w:t>
            </w:r>
            <w:r w:rsidR="002846B2">
              <w:t>Myocardial Infarction, FNOF, Stroke, pneumonia)</w:t>
            </w:r>
          </w:p>
        </w:tc>
        <w:tc>
          <w:tcPr>
            <w:tcW w:w="1408" w:type="dxa"/>
          </w:tcPr>
          <w:p w14:paraId="4804F4F3" w14:textId="5DF413DD" w:rsidR="00504C76" w:rsidRPr="00867FC7" w:rsidRDefault="00504C76" w:rsidP="007109AA">
            <w:pPr>
              <w:pStyle w:val="DHHStabletext"/>
            </w:pPr>
            <w:r>
              <w:t>Re</w:t>
            </w:r>
            <w:r w:rsidR="00BE7204">
              <w:t>locate</w:t>
            </w:r>
            <w:r>
              <w:t xml:space="preserve"> &amp; Shadow</w:t>
            </w:r>
          </w:p>
        </w:tc>
        <w:tc>
          <w:tcPr>
            <w:tcW w:w="4182" w:type="dxa"/>
          </w:tcPr>
          <w:p w14:paraId="0135D730" w14:textId="5A529CEC" w:rsidR="00504C76" w:rsidRDefault="002846B2" w:rsidP="007109AA">
            <w:pPr>
              <w:pStyle w:val="DHHStabletext"/>
            </w:pPr>
            <w:r>
              <w:t xml:space="preserve">This suite of five mortality indicators will undergo a change to reporting and related </w:t>
            </w:r>
            <w:r w:rsidR="00504C76" w:rsidRPr="00542CFD">
              <w:t xml:space="preserve">confidence </w:t>
            </w:r>
            <w:r w:rsidR="00365A51">
              <w:t xml:space="preserve">limits </w:t>
            </w:r>
            <w:r>
              <w:t>that will impact the</w:t>
            </w:r>
            <w:r w:rsidR="00504C76">
              <w:t xml:space="preserve"> lower </w:t>
            </w:r>
            <w:r w:rsidR="00504C76" w:rsidRPr="00542CFD">
              <w:t xml:space="preserve">the upper confidence </w:t>
            </w:r>
            <w:r w:rsidR="00365A51">
              <w:t xml:space="preserve">limits </w:t>
            </w:r>
            <w:r w:rsidR="00504C76">
              <w:t>(shadow)</w:t>
            </w:r>
          </w:p>
        </w:tc>
      </w:tr>
      <w:tr w:rsidR="00097B22" w14:paraId="7055F9CB" w14:textId="77777777" w:rsidTr="0071472C">
        <w:trPr>
          <w:trHeight w:val="982"/>
        </w:trPr>
        <w:tc>
          <w:tcPr>
            <w:tcW w:w="4082" w:type="dxa"/>
          </w:tcPr>
          <w:p w14:paraId="3173F634" w14:textId="3DC63862" w:rsidR="00097B22" w:rsidRPr="00542CFD" w:rsidRDefault="00097B22" w:rsidP="007109AA">
            <w:pPr>
              <w:pStyle w:val="DHHStabletext"/>
            </w:pPr>
            <w:r>
              <w:t>VHES</w:t>
            </w:r>
            <w:r w:rsidR="0071472C">
              <w:t xml:space="preserve"> – </w:t>
            </w:r>
            <w:r w:rsidR="007C1E1A">
              <w:t>c</w:t>
            </w:r>
            <w:r>
              <w:t xml:space="preserve">onfidence and trust in </w:t>
            </w:r>
            <w:r w:rsidR="00C75F14">
              <w:t>nursing staff</w:t>
            </w:r>
          </w:p>
        </w:tc>
        <w:tc>
          <w:tcPr>
            <w:tcW w:w="1408" w:type="dxa"/>
          </w:tcPr>
          <w:p w14:paraId="48B8EAAD" w14:textId="4290F2FC" w:rsidR="00097B22" w:rsidRDefault="00C75F14" w:rsidP="007109AA">
            <w:pPr>
              <w:pStyle w:val="DHHStabletext"/>
            </w:pPr>
            <w:r>
              <w:t>Re</w:t>
            </w:r>
            <w:r w:rsidR="00BE7204">
              <w:t xml:space="preserve">locate </w:t>
            </w:r>
            <w:r>
              <w:t>&amp; Shadow</w:t>
            </w:r>
          </w:p>
        </w:tc>
        <w:tc>
          <w:tcPr>
            <w:tcW w:w="4182" w:type="dxa"/>
          </w:tcPr>
          <w:p w14:paraId="790FDB1E" w14:textId="31AFF055" w:rsidR="00097B22" w:rsidRDefault="00C75F14" w:rsidP="007109AA">
            <w:pPr>
              <w:pStyle w:val="DHHStabletext"/>
            </w:pPr>
            <w:r>
              <w:t>Re</w:t>
            </w:r>
            <w:r w:rsidR="00BE7204">
              <w:t>locate</w:t>
            </w:r>
            <w:r>
              <w:t xml:space="preserve"> and replace with Question 41.</w:t>
            </w:r>
            <w:r w:rsidR="00BA0FD1">
              <w:t xml:space="preserve"> How would you rate</w:t>
            </w:r>
            <w:r w:rsidR="00A9257A">
              <w:t xml:space="preserve"> how well the doctors and nurses worked together</w:t>
            </w:r>
            <w:r w:rsidR="00BA0FD1">
              <w:t xml:space="preserve"> (</w:t>
            </w:r>
            <w:r w:rsidR="002D7ECB">
              <w:t>s</w:t>
            </w:r>
            <w:r w:rsidR="00BA0FD1">
              <w:t>hadow)</w:t>
            </w:r>
          </w:p>
        </w:tc>
      </w:tr>
      <w:tr w:rsidR="00F56885" w14:paraId="780FFEA2" w14:textId="77777777" w:rsidTr="0071472C">
        <w:trPr>
          <w:trHeight w:val="1097"/>
        </w:trPr>
        <w:tc>
          <w:tcPr>
            <w:tcW w:w="4082" w:type="dxa"/>
          </w:tcPr>
          <w:p w14:paraId="5566BB9C" w14:textId="786DE63C" w:rsidR="00F56885" w:rsidRDefault="00F56885" w:rsidP="007109AA">
            <w:pPr>
              <w:pStyle w:val="DHHStabletext"/>
            </w:pPr>
            <w:r>
              <w:t xml:space="preserve">VHES – </w:t>
            </w:r>
            <w:r w:rsidR="007C1E1A">
              <w:t>t</w:t>
            </w:r>
            <w:r>
              <w:t>imely assistance from staff</w:t>
            </w:r>
          </w:p>
        </w:tc>
        <w:tc>
          <w:tcPr>
            <w:tcW w:w="1408" w:type="dxa"/>
          </w:tcPr>
          <w:p w14:paraId="61382A42" w14:textId="6A296C6A" w:rsidR="00F56885" w:rsidRDefault="00F56885" w:rsidP="007109AA">
            <w:pPr>
              <w:pStyle w:val="DHHStabletext"/>
            </w:pPr>
            <w:r>
              <w:t>Re</w:t>
            </w:r>
            <w:r w:rsidR="00BE7204">
              <w:t>locate</w:t>
            </w:r>
            <w:r>
              <w:t xml:space="preserve"> &amp; Shadow</w:t>
            </w:r>
          </w:p>
        </w:tc>
        <w:tc>
          <w:tcPr>
            <w:tcW w:w="4182" w:type="dxa"/>
          </w:tcPr>
          <w:p w14:paraId="42BA16F8" w14:textId="2B267573" w:rsidR="00F56885" w:rsidRDefault="00F56885" w:rsidP="007109AA">
            <w:pPr>
              <w:pStyle w:val="DHHStabletext"/>
            </w:pPr>
            <w:r>
              <w:t>Re</w:t>
            </w:r>
            <w:r w:rsidR="00BE7204">
              <w:t>locate</w:t>
            </w:r>
            <w:r>
              <w:t xml:space="preserve"> and replace with Question 78. Overall d</w:t>
            </w:r>
            <w:r w:rsidR="00A10159">
              <w:t>i</w:t>
            </w:r>
            <w:r>
              <w:t>d you fee</w:t>
            </w:r>
            <w:r w:rsidR="00A10159">
              <w:t>l</w:t>
            </w:r>
            <w:r>
              <w:t xml:space="preserve"> you were treated with respect and dignity while you were in hospital</w:t>
            </w:r>
            <w:r w:rsidR="00ED6EEE">
              <w:t xml:space="preserve"> (shadow)</w:t>
            </w:r>
          </w:p>
        </w:tc>
      </w:tr>
      <w:tr w:rsidR="00100657" w14:paraId="2A9FF9CB" w14:textId="77777777" w:rsidTr="0071472C">
        <w:trPr>
          <w:trHeight w:val="918"/>
        </w:trPr>
        <w:tc>
          <w:tcPr>
            <w:tcW w:w="4082" w:type="dxa"/>
          </w:tcPr>
          <w:p w14:paraId="33D17179" w14:textId="77D7C4A7" w:rsidR="00100657" w:rsidRDefault="0063033A" w:rsidP="007109AA">
            <w:pPr>
              <w:pStyle w:val="DHHStabletext"/>
            </w:pPr>
            <w:r>
              <w:t>VHES</w:t>
            </w:r>
            <w:r w:rsidR="0071472C">
              <w:t xml:space="preserve"> – </w:t>
            </w:r>
            <w:r w:rsidR="00100657" w:rsidRPr="00E05B78">
              <w:t>Q55. “Overall, how would you rate the care and treatment you received from your paramedics?”</w:t>
            </w:r>
          </w:p>
        </w:tc>
        <w:tc>
          <w:tcPr>
            <w:tcW w:w="1408" w:type="dxa"/>
          </w:tcPr>
          <w:p w14:paraId="04FB02CE" w14:textId="529B9007" w:rsidR="00100657" w:rsidRDefault="00100657" w:rsidP="007109AA">
            <w:pPr>
              <w:pStyle w:val="DHHStabletext"/>
            </w:pPr>
            <w:r w:rsidRPr="00E05B78">
              <w:t>Data source change</w:t>
            </w:r>
          </w:p>
        </w:tc>
        <w:tc>
          <w:tcPr>
            <w:tcW w:w="4182" w:type="dxa"/>
          </w:tcPr>
          <w:p w14:paraId="2CA75621" w14:textId="2B80636E" w:rsidR="00100657" w:rsidRDefault="0063033A" w:rsidP="007109AA">
            <w:pPr>
              <w:pStyle w:val="DHHStabletext"/>
            </w:pPr>
            <w:r>
              <w:rPr>
                <w:bCs/>
              </w:rPr>
              <w:t xml:space="preserve">This Ambulance Victoria </w:t>
            </w:r>
            <w:r w:rsidR="000627A6">
              <w:rPr>
                <w:bCs/>
              </w:rPr>
              <w:t xml:space="preserve">KPI </w:t>
            </w:r>
            <w:r>
              <w:rPr>
                <w:bCs/>
              </w:rPr>
              <w:t>will undergo a d</w:t>
            </w:r>
            <w:r w:rsidR="00100657">
              <w:rPr>
                <w:bCs/>
              </w:rPr>
              <w:t>ata source changed from CAA to VHES</w:t>
            </w:r>
          </w:p>
        </w:tc>
      </w:tr>
    </w:tbl>
    <w:p w14:paraId="7B59AF1C" w14:textId="3E9C55DD" w:rsidR="00921922" w:rsidRDefault="00E15828" w:rsidP="00921922">
      <w:pPr>
        <w:pStyle w:val="Heading2"/>
      </w:pPr>
      <w:bookmarkStart w:id="14" w:name="_Toc15580053"/>
      <w:bookmarkEnd w:id="11"/>
      <w:bookmarkEnd w:id="12"/>
      <w:r>
        <w:lastRenderedPageBreak/>
        <w:t>Key Performance Measures</w:t>
      </w:r>
      <w:r w:rsidR="00E00D62">
        <w:t>:</w:t>
      </w:r>
      <w:r w:rsidR="00770649">
        <w:t xml:space="preserve"> Summary</w:t>
      </w:r>
      <w:bookmarkEnd w:id="14"/>
    </w:p>
    <w:p w14:paraId="3A9FC66D" w14:textId="50250E25" w:rsidR="00921922" w:rsidRDefault="00921922" w:rsidP="00921922">
      <w:pPr>
        <w:pStyle w:val="Heading3"/>
      </w:pPr>
      <w:bookmarkStart w:id="15" w:name="_Toc517959115"/>
      <w:bookmarkStart w:id="16" w:name="_Toc15580054"/>
      <w:r>
        <w:t>High quality and safe care</w:t>
      </w:r>
      <w:bookmarkEnd w:id="15"/>
      <w:bookmarkEnd w:id="16"/>
    </w:p>
    <w:p w14:paraId="79DFC948" w14:textId="15D73D67" w:rsidR="004534F0" w:rsidRDefault="006C6290" w:rsidP="004534F0">
      <w:pPr>
        <w:pStyle w:val="Heading4"/>
      </w:pPr>
      <w:bookmarkStart w:id="17" w:name="_Toc15580055"/>
      <w:r>
        <w:t>Compliance</w:t>
      </w:r>
      <w:bookmarkEnd w:id="17"/>
    </w:p>
    <w:tbl>
      <w:tblPr>
        <w:tblStyle w:val="TableGrid"/>
        <w:tblW w:w="9299" w:type="dxa"/>
        <w:tblLayout w:type="fixed"/>
        <w:tblLook w:val="06A0" w:firstRow="1" w:lastRow="0" w:firstColumn="1" w:lastColumn="0" w:noHBand="1" w:noVBand="1"/>
      </w:tblPr>
      <w:tblGrid>
        <w:gridCol w:w="1985"/>
        <w:gridCol w:w="5103"/>
        <w:gridCol w:w="2211"/>
      </w:tblGrid>
      <w:tr w:rsidR="00A4372E" w:rsidRPr="00193714" w14:paraId="24559D57" w14:textId="77777777" w:rsidTr="00A4372E">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7EABE621" w14:textId="77777777" w:rsidR="00A4372E" w:rsidRPr="00193714" w:rsidRDefault="00A4372E" w:rsidP="00A4372E">
            <w:pPr>
              <w:pStyle w:val="DHHStablecolhead"/>
            </w:pPr>
            <w:r w:rsidRPr="00193714">
              <w:t>KPI</w:t>
            </w:r>
          </w:p>
        </w:tc>
        <w:tc>
          <w:tcPr>
            <w:tcW w:w="5103" w:type="dxa"/>
            <w:hideMark/>
          </w:tcPr>
          <w:p w14:paraId="23A87734" w14:textId="77777777" w:rsidR="00A4372E" w:rsidRPr="00193714" w:rsidRDefault="00A4372E" w:rsidP="00A4372E">
            <w:pPr>
              <w:pStyle w:val="DHHStablecolhead"/>
            </w:pPr>
            <w:r w:rsidRPr="00193714">
              <w:t>KPI description</w:t>
            </w:r>
          </w:p>
        </w:tc>
        <w:tc>
          <w:tcPr>
            <w:tcW w:w="2211" w:type="dxa"/>
          </w:tcPr>
          <w:p w14:paraId="10F1B912" w14:textId="5FB83445" w:rsidR="00A4372E" w:rsidRPr="00193714" w:rsidRDefault="00743988" w:rsidP="00A4372E">
            <w:pPr>
              <w:pStyle w:val="DHHStablecolhead"/>
            </w:pPr>
            <w:r>
              <w:t>Target / risk trigger</w:t>
            </w:r>
          </w:p>
        </w:tc>
      </w:tr>
      <w:tr w:rsidR="00A4372E" w:rsidRPr="0071472C" w14:paraId="4B908D67" w14:textId="77777777" w:rsidTr="00A4372E">
        <w:trPr>
          <w:cantSplit/>
        </w:trPr>
        <w:tc>
          <w:tcPr>
            <w:tcW w:w="1985" w:type="dxa"/>
          </w:tcPr>
          <w:p w14:paraId="0381D61F" w14:textId="2AE74978" w:rsidR="00A4372E" w:rsidRDefault="00A4372E" w:rsidP="00A4372E">
            <w:pPr>
              <w:pStyle w:val="DHHStabletext"/>
            </w:pPr>
            <w:r>
              <w:t xml:space="preserve">Residential aged care </w:t>
            </w:r>
            <w:r w:rsidR="006C6290">
              <w:t>compliance</w:t>
            </w:r>
          </w:p>
        </w:tc>
        <w:tc>
          <w:tcPr>
            <w:tcW w:w="5103" w:type="dxa"/>
          </w:tcPr>
          <w:p w14:paraId="270009A0" w14:textId="70C821DB" w:rsidR="00A4372E" w:rsidRDefault="00A4372E" w:rsidP="00A4372E">
            <w:pPr>
              <w:pStyle w:val="DHHStabletext"/>
            </w:pPr>
            <w:r>
              <w:t>Compliance with Aged Care Standards</w:t>
            </w:r>
          </w:p>
        </w:tc>
        <w:tc>
          <w:tcPr>
            <w:tcW w:w="2211" w:type="dxa"/>
          </w:tcPr>
          <w:p w14:paraId="477E18F7" w14:textId="48C7BD87" w:rsidR="00A4372E" w:rsidRPr="0071472C" w:rsidRDefault="0080046A" w:rsidP="00A4372E">
            <w:pPr>
              <w:pStyle w:val="DHHStabletext"/>
            </w:pPr>
            <w:r>
              <w:t>Full compliance</w:t>
            </w:r>
          </w:p>
        </w:tc>
      </w:tr>
    </w:tbl>
    <w:p w14:paraId="1939B776" w14:textId="77777777" w:rsidR="004534F0" w:rsidRDefault="004534F0" w:rsidP="004534F0">
      <w:pPr>
        <w:pStyle w:val="Heading4"/>
      </w:pPr>
      <w:bookmarkStart w:id="18" w:name="_Toc15580056"/>
      <w:r w:rsidRPr="00EA6EA6">
        <w:t>Infection prevention and control</w:t>
      </w:r>
      <w:bookmarkEnd w:id="18"/>
    </w:p>
    <w:tbl>
      <w:tblPr>
        <w:tblStyle w:val="TableGrid"/>
        <w:tblW w:w="9299" w:type="dxa"/>
        <w:tblLayout w:type="fixed"/>
        <w:tblLook w:val="06A0" w:firstRow="1" w:lastRow="0" w:firstColumn="1" w:lastColumn="0" w:noHBand="1" w:noVBand="1"/>
      </w:tblPr>
      <w:tblGrid>
        <w:gridCol w:w="1985"/>
        <w:gridCol w:w="5103"/>
        <w:gridCol w:w="2211"/>
      </w:tblGrid>
      <w:tr w:rsidR="00A4372E" w:rsidRPr="00193714" w14:paraId="3308C9E0" w14:textId="77777777" w:rsidTr="00A4372E">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3A9185B2" w14:textId="77777777" w:rsidR="00A4372E" w:rsidRPr="00193714" w:rsidRDefault="00A4372E" w:rsidP="00A4372E">
            <w:pPr>
              <w:pStyle w:val="DHHStablecolhead"/>
            </w:pPr>
            <w:r w:rsidRPr="00193714">
              <w:t>KPI</w:t>
            </w:r>
          </w:p>
        </w:tc>
        <w:tc>
          <w:tcPr>
            <w:tcW w:w="5103" w:type="dxa"/>
            <w:hideMark/>
          </w:tcPr>
          <w:p w14:paraId="7BC2D660" w14:textId="77777777" w:rsidR="00A4372E" w:rsidRPr="00193714" w:rsidRDefault="00A4372E" w:rsidP="00A4372E">
            <w:pPr>
              <w:pStyle w:val="DHHStablecolhead"/>
            </w:pPr>
            <w:r w:rsidRPr="00193714">
              <w:t>KPI description</w:t>
            </w:r>
          </w:p>
        </w:tc>
        <w:tc>
          <w:tcPr>
            <w:tcW w:w="2211" w:type="dxa"/>
          </w:tcPr>
          <w:p w14:paraId="7CA72379" w14:textId="58223E89" w:rsidR="00A4372E" w:rsidRPr="00193714" w:rsidRDefault="00743988" w:rsidP="00A4372E">
            <w:pPr>
              <w:pStyle w:val="DHHStablecolhead"/>
            </w:pPr>
            <w:r>
              <w:t>Target / risk trigger</w:t>
            </w:r>
          </w:p>
        </w:tc>
      </w:tr>
      <w:tr w:rsidR="00A4372E" w:rsidRPr="0071472C" w14:paraId="26B388D7" w14:textId="77777777" w:rsidTr="00A4372E">
        <w:trPr>
          <w:cantSplit/>
        </w:trPr>
        <w:tc>
          <w:tcPr>
            <w:tcW w:w="1985" w:type="dxa"/>
            <w:hideMark/>
          </w:tcPr>
          <w:p w14:paraId="73356605" w14:textId="77777777" w:rsidR="00A4372E" w:rsidRDefault="00A4372E" w:rsidP="00A4372E">
            <w:pPr>
              <w:pStyle w:val="DHHStabletext"/>
            </w:pPr>
            <w:r>
              <w:t>Hand hygiene</w:t>
            </w:r>
          </w:p>
        </w:tc>
        <w:tc>
          <w:tcPr>
            <w:tcW w:w="5103" w:type="dxa"/>
            <w:hideMark/>
          </w:tcPr>
          <w:p w14:paraId="6297D13D" w14:textId="77777777" w:rsidR="00A4372E" w:rsidRDefault="00A4372E" w:rsidP="00A4372E">
            <w:pPr>
              <w:pStyle w:val="DHHStabletext"/>
            </w:pPr>
            <w:r>
              <w:t>Compliance with the Hand Hygiene Australia program</w:t>
            </w:r>
          </w:p>
        </w:tc>
        <w:tc>
          <w:tcPr>
            <w:tcW w:w="2211" w:type="dxa"/>
          </w:tcPr>
          <w:p w14:paraId="75430213" w14:textId="6E533D0B" w:rsidR="00A4372E" w:rsidRPr="0071472C" w:rsidRDefault="00A4372E" w:rsidP="00A4372E">
            <w:pPr>
              <w:pStyle w:val="DHHStabletext"/>
            </w:pPr>
            <w:r w:rsidRPr="0071472C">
              <w:t>83%</w:t>
            </w:r>
            <w:bookmarkStart w:id="19" w:name="_Ref13733811"/>
            <w:r w:rsidR="00830E81">
              <w:rPr>
                <w:rStyle w:val="FootnoteReference"/>
              </w:rPr>
              <w:footnoteReference w:id="2"/>
            </w:r>
            <w:bookmarkEnd w:id="19"/>
          </w:p>
        </w:tc>
      </w:tr>
      <w:tr w:rsidR="00A4372E" w:rsidRPr="0071472C" w14:paraId="6C84A397" w14:textId="77777777" w:rsidTr="00A4372E">
        <w:trPr>
          <w:cantSplit/>
        </w:trPr>
        <w:tc>
          <w:tcPr>
            <w:tcW w:w="1985" w:type="dxa"/>
            <w:hideMark/>
          </w:tcPr>
          <w:p w14:paraId="50957659" w14:textId="77777777" w:rsidR="00A4372E" w:rsidRDefault="00A4372E" w:rsidP="00A4372E">
            <w:pPr>
              <w:pStyle w:val="DHHStabletext"/>
            </w:pPr>
            <w:r>
              <w:t>Healthcare worker immunisation</w:t>
            </w:r>
          </w:p>
        </w:tc>
        <w:tc>
          <w:tcPr>
            <w:tcW w:w="5103" w:type="dxa"/>
            <w:hideMark/>
          </w:tcPr>
          <w:p w14:paraId="10EA10CC" w14:textId="77777777" w:rsidR="00A4372E" w:rsidRDefault="00A4372E" w:rsidP="00A4372E">
            <w:pPr>
              <w:pStyle w:val="DHHStabletext"/>
            </w:pPr>
            <w:r>
              <w:t xml:space="preserve">Percentage of healthcare workers immunised for influenza </w:t>
            </w:r>
          </w:p>
        </w:tc>
        <w:tc>
          <w:tcPr>
            <w:tcW w:w="2211" w:type="dxa"/>
          </w:tcPr>
          <w:p w14:paraId="7E931B20" w14:textId="3673487B" w:rsidR="00A4372E" w:rsidRPr="0071472C" w:rsidRDefault="00A4372E" w:rsidP="00A4372E">
            <w:pPr>
              <w:pStyle w:val="DHHStabletext"/>
            </w:pPr>
            <w:r w:rsidRPr="0071472C">
              <w:t>84%</w:t>
            </w:r>
            <w:r w:rsidR="00830E81" w:rsidRPr="00830E81">
              <w:rPr>
                <w:rStyle w:val="FootnoteReference"/>
              </w:rPr>
              <w:fldChar w:fldCharType="begin"/>
            </w:r>
            <w:r w:rsidR="00830E81" w:rsidRPr="00830E81">
              <w:rPr>
                <w:rStyle w:val="FootnoteReference"/>
              </w:rPr>
              <w:instrText xml:space="preserve"> NOTEREF _Ref13733811 \h </w:instrText>
            </w:r>
            <w:r w:rsidR="00830E81">
              <w:rPr>
                <w:rStyle w:val="FootnoteReference"/>
              </w:rPr>
              <w:instrText xml:space="preserve"> \* MERGEFORMAT </w:instrText>
            </w:r>
            <w:r w:rsidR="00830E81" w:rsidRPr="00830E81">
              <w:rPr>
                <w:rStyle w:val="FootnoteReference"/>
              </w:rPr>
            </w:r>
            <w:r w:rsidR="00830E81" w:rsidRPr="00830E81">
              <w:rPr>
                <w:rStyle w:val="FootnoteReference"/>
              </w:rPr>
              <w:fldChar w:fldCharType="separate"/>
            </w:r>
            <w:r w:rsidR="007854E0">
              <w:rPr>
                <w:rStyle w:val="FootnoteReference"/>
              </w:rPr>
              <w:t>1</w:t>
            </w:r>
            <w:r w:rsidR="00830E81" w:rsidRPr="00830E81">
              <w:rPr>
                <w:rStyle w:val="FootnoteReference"/>
              </w:rPr>
              <w:fldChar w:fldCharType="end"/>
            </w:r>
            <w:r w:rsidR="00830E81">
              <w:rPr>
                <w:rStyle w:val="FootnoteReference"/>
              </w:rPr>
              <w:t>,</w:t>
            </w:r>
            <w:r w:rsidR="00830E81">
              <w:rPr>
                <w:rStyle w:val="FootnoteReference"/>
              </w:rPr>
              <w:footnoteReference w:id="3"/>
            </w:r>
          </w:p>
        </w:tc>
      </w:tr>
    </w:tbl>
    <w:p w14:paraId="6A3554FC" w14:textId="5FF99F44" w:rsidR="004534F0" w:rsidRDefault="004534F0" w:rsidP="004534F0">
      <w:pPr>
        <w:pStyle w:val="Heading4"/>
      </w:pPr>
      <w:bookmarkStart w:id="20" w:name="_Toc15580057"/>
      <w:r>
        <w:t xml:space="preserve">Patient </w:t>
      </w:r>
      <w:r w:rsidR="00A4372E">
        <w:t>e</w:t>
      </w:r>
      <w:r>
        <w:t>xperience</w:t>
      </w:r>
      <w:bookmarkEnd w:id="20"/>
    </w:p>
    <w:tbl>
      <w:tblPr>
        <w:tblStyle w:val="TableGrid"/>
        <w:tblW w:w="9299" w:type="dxa"/>
        <w:tblLayout w:type="fixed"/>
        <w:tblLook w:val="06A0" w:firstRow="1" w:lastRow="0" w:firstColumn="1" w:lastColumn="0" w:noHBand="1" w:noVBand="1"/>
      </w:tblPr>
      <w:tblGrid>
        <w:gridCol w:w="1985"/>
        <w:gridCol w:w="5103"/>
        <w:gridCol w:w="2211"/>
      </w:tblGrid>
      <w:tr w:rsidR="00A4372E" w:rsidRPr="00193714" w14:paraId="61C72F9C" w14:textId="77777777" w:rsidTr="00A4372E">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185F2AAE" w14:textId="77777777" w:rsidR="00A4372E" w:rsidRPr="00193714" w:rsidRDefault="00A4372E" w:rsidP="00A4372E">
            <w:pPr>
              <w:pStyle w:val="DHHStablecolhead"/>
            </w:pPr>
            <w:r w:rsidRPr="00193714">
              <w:t>KPI</w:t>
            </w:r>
          </w:p>
        </w:tc>
        <w:tc>
          <w:tcPr>
            <w:tcW w:w="5103" w:type="dxa"/>
            <w:hideMark/>
          </w:tcPr>
          <w:p w14:paraId="15F511E8" w14:textId="77777777" w:rsidR="00A4372E" w:rsidRPr="00193714" w:rsidRDefault="00A4372E" w:rsidP="00A4372E">
            <w:pPr>
              <w:pStyle w:val="DHHStablecolhead"/>
            </w:pPr>
            <w:r w:rsidRPr="00193714">
              <w:t>KPI description</w:t>
            </w:r>
          </w:p>
        </w:tc>
        <w:tc>
          <w:tcPr>
            <w:tcW w:w="2211" w:type="dxa"/>
          </w:tcPr>
          <w:p w14:paraId="75BCA9B3" w14:textId="288F4F1F" w:rsidR="00A4372E" w:rsidRPr="00193714" w:rsidRDefault="00743988" w:rsidP="00A4372E">
            <w:pPr>
              <w:pStyle w:val="DHHStablecolhead"/>
            </w:pPr>
            <w:r>
              <w:t>Target / risk trigger</w:t>
            </w:r>
          </w:p>
        </w:tc>
      </w:tr>
      <w:tr w:rsidR="00A4372E" w:rsidRPr="0071472C" w14:paraId="4E38346E" w14:textId="77777777" w:rsidTr="00A4372E">
        <w:trPr>
          <w:cantSplit/>
        </w:trPr>
        <w:tc>
          <w:tcPr>
            <w:tcW w:w="1985" w:type="dxa"/>
            <w:hideMark/>
          </w:tcPr>
          <w:p w14:paraId="317A6FFB" w14:textId="77777777" w:rsidR="00A4372E" w:rsidRDefault="00A4372E" w:rsidP="00A4372E">
            <w:pPr>
              <w:pStyle w:val="DHHStabletext"/>
            </w:pPr>
            <w:r>
              <w:t>Overall experience</w:t>
            </w:r>
          </w:p>
        </w:tc>
        <w:tc>
          <w:tcPr>
            <w:tcW w:w="5103" w:type="dxa"/>
            <w:hideMark/>
          </w:tcPr>
          <w:p w14:paraId="4126B0C6" w14:textId="77777777" w:rsidR="00A4372E" w:rsidRDefault="00A4372E" w:rsidP="00A4372E">
            <w:pPr>
              <w:pStyle w:val="DHHStabletext"/>
            </w:pPr>
            <w:r>
              <w:t>Victorian Healthcare Experience Survey (VHES) – percentage of positive patient experience responses</w:t>
            </w:r>
          </w:p>
        </w:tc>
        <w:tc>
          <w:tcPr>
            <w:tcW w:w="2211" w:type="dxa"/>
          </w:tcPr>
          <w:p w14:paraId="04586570" w14:textId="77777777" w:rsidR="00A4372E" w:rsidRPr="0071472C" w:rsidRDefault="00A4372E" w:rsidP="00A4372E">
            <w:pPr>
              <w:pStyle w:val="DHHStabletext"/>
            </w:pPr>
            <w:r w:rsidRPr="0071472C">
              <w:t>95%</w:t>
            </w:r>
          </w:p>
        </w:tc>
      </w:tr>
      <w:tr w:rsidR="00A4372E" w:rsidRPr="0071472C" w14:paraId="438EAEC8" w14:textId="77777777" w:rsidTr="00A4372E">
        <w:trPr>
          <w:cantSplit/>
        </w:trPr>
        <w:tc>
          <w:tcPr>
            <w:tcW w:w="1985" w:type="dxa"/>
            <w:vMerge w:val="restart"/>
          </w:tcPr>
          <w:p w14:paraId="5D404962" w14:textId="77777777" w:rsidR="00A4372E" w:rsidRDefault="00A4372E" w:rsidP="00A4372E">
            <w:pPr>
              <w:pStyle w:val="DHHStabletext"/>
            </w:pPr>
            <w:r>
              <w:t>Key aspects of overall experience</w:t>
            </w:r>
          </w:p>
        </w:tc>
        <w:tc>
          <w:tcPr>
            <w:tcW w:w="5103" w:type="dxa"/>
          </w:tcPr>
          <w:p w14:paraId="064C2440" w14:textId="77777777" w:rsidR="00A4372E" w:rsidRDefault="00A4372E" w:rsidP="00A4372E">
            <w:pPr>
              <w:pStyle w:val="DHHStabletext"/>
            </w:pPr>
            <w:r w:rsidRPr="00C371D3">
              <w:t>VHES – understanding health professionals’ explanations</w:t>
            </w:r>
          </w:p>
        </w:tc>
        <w:tc>
          <w:tcPr>
            <w:tcW w:w="2211" w:type="dxa"/>
          </w:tcPr>
          <w:p w14:paraId="32175117" w14:textId="77777777" w:rsidR="00A4372E" w:rsidRPr="0071472C" w:rsidRDefault="00A4372E" w:rsidP="00A4372E">
            <w:pPr>
              <w:pStyle w:val="DHHStabletext"/>
            </w:pPr>
            <w:r w:rsidRPr="0071472C">
              <w:t>Risk flag ≤ 90%</w:t>
            </w:r>
          </w:p>
        </w:tc>
      </w:tr>
      <w:tr w:rsidR="00A4372E" w:rsidRPr="0071472C" w14:paraId="0A47AE3B" w14:textId="77777777" w:rsidTr="00A4372E">
        <w:trPr>
          <w:cantSplit/>
        </w:trPr>
        <w:tc>
          <w:tcPr>
            <w:tcW w:w="1985" w:type="dxa"/>
            <w:vMerge/>
          </w:tcPr>
          <w:p w14:paraId="53D3F6D0" w14:textId="77777777" w:rsidR="00A4372E" w:rsidRDefault="00A4372E" w:rsidP="00A4372E">
            <w:pPr>
              <w:pStyle w:val="DHHStabletext"/>
            </w:pPr>
          </w:p>
        </w:tc>
        <w:tc>
          <w:tcPr>
            <w:tcW w:w="5103" w:type="dxa"/>
          </w:tcPr>
          <w:p w14:paraId="05B06055" w14:textId="77777777" w:rsidR="00A4372E" w:rsidRPr="00C371D3" w:rsidRDefault="00A4372E" w:rsidP="00A4372E">
            <w:pPr>
              <w:pStyle w:val="DHHStabletext"/>
            </w:pPr>
            <w:r w:rsidRPr="00C371D3">
              <w:t>VHES</w:t>
            </w:r>
            <w:r>
              <w:t xml:space="preserve"> – </w:t>
            </w:r>
            <w:r w:rsidRPr="00C371D3">
              <w:t>involvement in care and treatment decisions</w:t>
            </w:r>
          </w:p>
        </w:tc>
        <w:tc>
          <w:tcPr>
            <w:tcW w:w="2211" w:type="dxa"/>
          </w:tcPr>
          <w:p w14:paraId="5A6C5D64" w14:textId="77777777" w:rsidR="00A4372E" w:rsidRPr="0071472C" w:rsidRDefault="00A4372E" w:rsidP="00A4372E">
            <w:pPr>
              <w:pStyle w:val="DHHStabletext"/>
            </w:pPr>
            <w:r w:rsidRPr="0071472C">
              <w:t>Risk flag ≤ 60%</w:t>
            </w:r>
          </w:p>
        </w:tc>
      </w:tr>
      <w:tr w:rsidR="00A4372E" w:rsidRPr="0071472C" w14:paraId="0D0666CB" w14:textId="77777777" w:rsidTr="00A4372E">
        <w:trPr>
          <w:cantSplit/>
        </w:trPr>
        <w:tc>
          <w:tcPr>
            <w:tcW w:w="1985" w:type="dxa"/>
            <w:vMerge w:val="restart"/>
          </w:tcPr>
          <w:p w14:paraId="7AF3CC4C" w14:textId="77777777" w:rsidR="00A4372E" w:rsidRDefault="00A4372E" w:rsidP="00A4372E">
            <w:pPr>
              <w:pStyle w:val="DHHStabletext"/>
            </w:pPr>
            <w:r>
              <w:t xml:space="preserve">Transition of care </w:t>
            </w:r>
          </w:p>
        </w:tc>
        <w:tc>
          <w:tcPr>
            <w:tcW w:w="5103" w:type="dxa"/>
          </w:tcPr>
          <w:p w14:paraId="75F168A8" w14:textId="77777777" w:rsidR="00A4372E" w:rsidRDefault="00A4372E" w:rsidP="00A4372E">
            <w:pPr>
              <w:pStyle w:val="DHHStabletext"/>
            </w:pPr>
            <w:r>
              <w:t>VHES – percentage of very positive responses to questions on discharge care</w:t>
            </w:r>
          </w:p>
        </w:tc>
        <w:tc>
          <w:tcPr>
            <w:tcW w:w="2211" w:type="dxa"/>
          </w:tcPr>
          <w:p w14:paraId="4948E858" w14:textId="77777777" w:rsidR="00A4372E" w:rsidRPr="0071472C" w:rsidRDefault="00A4372E" w:rsidP="00A4372E">
            <w:pPr>
              <w:pStyle w:val="DHHStabletext"/>
            </w:pPr>
            <w:r w:rsidRPr="0071472C">
              <w:t>75%</w:t>
            </w:r>
          </w:p>
        </w:tc>
      </w:tr>
      <w:tr w:rsidR="00A4372E" w:rsidRPr="0071472C" w14:paraId="16B2F104" w14:textId="77777777" w:rsidTr="00A4372E">
        <w:trPr>
          <w:cantSplit/>
        </w:trPr>
        <w:tc>
          <w:tcPr>
            <w:tcW w:w="1985" w:type="dxa"/>
            <w:vMerge/>
          </w:tcPr>
          <w:p w14:paraId="49A21FA9" w14:textId="77777777" w:rsidR="00A4372E" w:rsidRDefault="00A4372E" w:rsidP="00A4372E">
            <w:pPr>
              <w:pStyle w:val="DHHStabletext"/>
            </w:pPr>
          </w:p>
        </w:tc>
        <w:tc>
          <w:tcPr>
            <w:tcW w:w="5103" w:type="dxa"/>
          </w:tcPr>
          <w:p w14:paraId="6BA56CC9" w14:textId="77777777" w:rsidR="00A4372E" w:rsidRDefault="00A4372E" w:rsidP="00A4372E">
            <w:pPr>
              <w:pStyle w:val="DHHStabletext"/>
            </w:pPr>
            <w:r>
              <w:t xml:space="preserve">VHES – </w:t>
            </w:r>
            <w:r w:rsidRPr="00EA6EA6">
              <w:t>sufficient information about managing at home</w:t>
            </w:r>
          </w:p>
        </w:tc>
        <w:tc>
          <w:tcPr>
            <w:tcW w:w="2211" w:type="dxa"/>
          </w:tcPr>
          <w:p w14:paraId="444B456B" w14:textId="77777777" w:rsidR="00A4372E" w:rsidRPr="0071472C" w:rsidRDefault="00A4372E" w:rsidP="00A4372E">
            <w:pPr>
              <w:pStyle w:val="DHHStabletext"/>
            </w:pPr>
            <w:r w:rsidRPr="0071472C">
              <w:t>Risk flag ≤ 70%</w:t>
            </w:r>
          </w:p>
        </w:tc>
      </w:tr>
      <w:tr w:rsidR="00A4372E" w:rsidRPr="0071472C" w14:paraId="1B9D3701" w14:textId="77777777" w:rsidTr="00A4372E">
        <w:trPr>
          <w:cantSplit/>
        </w:trPr>
        <w:tc>
          <w:tcPr>
            <w:tcW w:w="1985" w:type="dxa"/>
            <w:vMerge/>
          </w:tcPr>
          <w:p w14:paraId="69D4E371" w14:textId="77777777" w:rsidR="00A4372E" w:rsidRDefault="00A4372E" w:rsidP="00A4372E">
            <w:pPr>
              <w:pStyle w:val="DHHStabletext"/>
            </w:pPr>
          </w:p>
        </w:tc>
        <w:tc>
          <w:tcPr>
            <w:tcW w:w="5103" w:type="dxa"/>
          </w:tcPr>
          <w:p w14:paraId="272660B6" w14:textId="77777777" w:rsidR="00A4372E" w:rsidRDefault="00A4372E" w:rsidP="00A4372E">
            <w:pPr>
              <w:pStyle w:val="DHHStabletext"/>
            </w:pPr>
            <w:r w:rsidRPr="00EA6EA6">
              <w:t>VHES</w:t>
            </w:r>
            <w:r>
              <w:t xml:space="preserve"> – </w:t>
            </w:r>
            <w:r w:rsidRPr="00EA6EA6">
              <w:t>discharge planning considered patient</w:t>
            </w:r>
            <w:r>
              <w:t>’</w:t>
            </w:r>
            <w:r w:rsidRPr="00EA6EA6">
              <w:t>s home situation</w:t>
            </w:r>
          </w:p>
        </w:tc>
        <w:tc>
          <w:tcPr>
            <w:tcW w:w="2211" w:type="dxa"/>
          </w:tcPr>
          <w:p w14:paraId="0658E6DC" w14:textId="77777777" w:rsidR="00A4372E" w:rsidRPr="0071472C" w:rsidRDefault="00A4372E" w:rsidP="00A4372E">
            <w:pPr>
              <w:pStyle w:val="DHHStabletext"/>
            </w:pPr>
            <w:r w:rsidRPr="0071472C">
              <w:t>Risk flag ≤ 70%</w:t>
            </w:r>
          </w:p>
        </w:tc>
      </w:tr>
      <w:tr w:rsidR="00A4372E" w:rsidRPr="0071472C" w14:paraId="0970290A" w14:textId="77777777" w:rsidTr="00A4372E">
        <w:trPr>
          <w:cantSplit/>
        </w:trPr>
        <w:tc>
          <w:tcPr>
            <w:tcW w:w="1985" w:type="dxa"/>
            <w:vMerge/>
          </w:tcPr>
          <w:p w14:paraId="7953D3DD" w14:textId="77777777" w:rsidR="00A4372E" w:rsidRDefault="00A4372E" w:rsidP="00A4372E">
            <w:pPr>
              <w:pStyle w:val="DHHStabletext"/>
            </w:pPr>
          </w:p>
        </w:tc>
        <w:tc>
          <w:tcPr>
            <w:tcW w:w="5103" w:type="dxa"/>
          </w:tcPr>
          <w:p w14:paraId="1FF3AF76" w14:textId="77777777" w:rsidR="00A4372E" w:rsidRDefault="00A4372E" w:rsidP="00A4372E">
            <w:pPr>
              <w:pStyle w:val="DHHStabletext"/>
            </w:pPr>
            <w:r>
              <w:t xml:space="preserve">VHES – </w:t>
            </w:r>
            <w:r w:rsidRPr="00EA6EA6">
              <w:t>adequate services arranged as part of discharge planning</w:t>
            </w:r>
          </w:p>
        </w:tc>
        <w:tc>
          <w:tcPr>
            <w:tcW w:w="2211" w:type="dxa"/>
          </w:tcPr>
          <w:p w14:paraId="629F042D" w14:textId="77777777" w:rsidR="00A4372E" w:rsidRPr="0071472C" w:rsidRDefault="00A4372E" w:rsidP="00A4372E">
            <w:pPr>
              <w:pStyle w:val="DHHStabletext"/>
            </w:pPr>
            <w:r w:rsidRPr="0071472C">
              <w:t>Risk flag</w:t>
            </w:r>
            <w:r>
              <w:t xml:space="preserve"> </w:t>
            </w:r>
            <w:r w:rsidRPr="0071472C">
              <w:t>≤ 65%</w:t>
            </w:r>
          </w:p>
        </w:tc>
      </w:tr>
      <w:tr w:rsidR="00A4372E" w:rsidRPr="0071472C" w14:paraId="7F9976F2" w14:textId="77777777" w:rsidTr="00A4372E">
        <w:trPr>
          <w:cantSplit/>
        </w:trPr>
        <w:tc>
          <w:tcPr>
            <w:tcW w:w="1985" w:type="dxa"/>
          </w:tcPr>
          <w:p w14:paraId="2EE30D52" w14:textId="77777777" w:rsidR="00A4372E" w:rsidRDefault="00A4372E" w:rsidP="00A4372E">
            <w:pPr>
              <w:pStyle w:val="DHHStabletext"/>
            </w:pPr>
            <w:r>
              <w:t>Perception of cleanliness</w:t>
            </w:r>
          </w:p>
        </w:tc>
        <w:tc>
          <w:tcPr>
            <w:tcW w:w="5103" w:type="dxa"/>
          </w:tcPr>
          <w:p w14:paraId="5782CE77" w14:textId="77777777" w:rsidR="00A4372E" w:rsidRPr="00C371D3" w:rsidRDefault="00A4372E" w:rsidP="00A4372E">
            <w:pPr>
              <w:pStyle w:val="DHHStabletext"/>
            </w:pPr>
            <w:r>
              <w:t xml:space="preserve">VHES – patient’s perception of cleanliness </w:t>
            </w:r>
          </w:p>
        </w:tc>
        <w:tc>
          <w:tcPr>
            <w:tcW w:w="2211" w:type="dxa"/>
          </w:tcPr>
          <w:p w14:paraId="5037969A" w14:textId="643A92A3" w:rsidR="00A4372E" w:rsidRPr="0071472C" w:rsidRDefault="00A4372E" w:rsidP="00A4372E">
            <w:pPr>
              <w:pStyle w:val="DHHStabletext"/>
            </w:pPr>
            <w:r w:rsidRPr="0071472C">
              <w:t>70%</w:t>
            </w:r>
          </w:p>
        </w:tc>
      </w:tr>
    </w:tbl>
    <w:p w14:paraId="0C21CDB7" w14:textId="77777777" w:rsidR="00A4372E" w:rsidRPr="00A4372E" w:rsidRDefault="00A4372E" w:rsidP="00A4372E">
      <w:pPr>
        <w:pStyle w:val="DHHSbody"/>
      </w:pPr>
      <w:r w:rsidRPr="00A4372E">
        <w:br w:type="page"/>
      </w:r>
    </w:p>
    <w:p w14:paraId="257299FC" w14:textId="66BD6D95" w:rsidR="004534F0" w:rsidRPr="005D7E89" w:rsidRDefault="004534F0" w:rsidP="004534F0">
      <w:pPr>
        <w:pStyle w:val="Heading4"/>
      </w:pPr>
      <w:bookmarkStart w:id="21" w:name="_Toc15580058"/>
      <w:r w:rsidRPr="005D7E89">
        <w:lastRenderedPageBreak/>
        <w:t>Forensicare</w:t>
      </w:r>
      <w:bookmarkEnd w:id="21"/>
    </w:p>
    <w:tbl>
      <w:tblPr>
        <w:tblStyle w:val="TableGrid"/>
        <w:tblW w:w="9299" w:type="dxa"/>
        <w:tblLayout w:type="fixed"/>
        <w:tblLook w:val="06A0" w:firstRow="1" w:lastRow="0" w:firstColumn="1" w:lastColumn="0" w:noHBand="1" w:noVBand="1"/>
      </w:tblPr>
      <w:tblGrid>
        <w:gridCol w:w="1985"/>
        <w:gridCol w:w="5103"/>
        <w:gridCol w:w="2211"/>
      </w:tblGrid>
      <w:tr w:rsidR="00A4372E" w:rsidRPr="00193714" w14:paraId="20DD505D" w14:textId="77777777" w:rsidTr="00A4372E">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33AD7811" w14:textId="77777777" w:rsidR="00A4372E" w:rsidRPr="00193714" w:rsidRDefault="00A4372E" w:rsidP="00A4372E">
            <w:pPr>
              <w:pStyle w:val="DHHStablecolhead"/>
            </w:pPr>
            <w:r w:rsidRPr="00193714">
              <w:t>KPI</w:t>
            </w:r>
          </w:p>
        </w:tc>
        <w:tc>
          <w:tcPr>
            <w:tcW w:w="5103" w:type="dxa"/>
            <w:hideMark/>
          </w:tcPr>
          <w:p w14:paraId="20E3E25E" w14:textId="77777777" w:rsidR="00A4372E" w:rsidRPr="00193714" w:rsidRDefault="00A4372E" w:rsidP="00A4372E">
            <w:pPr>
              <w:pStyle w:val="DHHStablecolhead"/>
            </w:pPr>
            <w:r w:rsidRPr="00193714">
              <w:t>KPI description</w:t>
            </w:r>
          </w:p>
        </w:tc>
        <w:tc>
          <w:tcPr>
            <w:tcW w:w="2211" w:type="dxa"/>
          </w:tcPr>
          <w:p w14:paraId="617000D8" w14:textId="1B5B17F4" w:rsidR="00A4372E" w:rsidRPr="00193714" w:rsidRDefault="00743988" w:rsidP="00A4372E">
            <w:pPr>
              <w:pStyle w:val="DHHStablecolhead"/>
            </w:pPr>
            <w:r>
              <w:t>Target / risk trigger</w:t>
            </w:r>
          </w:p>
        </w:tc>
      </w:tr>
      <w:tr w:rsidR="00A4372E" w:rsidRPr="0071472C" w14:paraId="5FA51DA4" w14:textId="77777777" w:rsidTr="00A4372E">
        <w:trPr>
          <w:cantSplit/>
        </w:trPr>
        <w:tc>
          <w:tcPr>
            <w:tcW w:w="1985" w:type="dxa"/>
            <w:vMerge w:val="restart"/>
          </w:tcPr>
          <w:p w14:paraId="6560B6DB" w14:textId="47D21FDB" w:rsidR="00A4372E" w:rsidRPr="005D7E89" w:rsidRDefault="00A4372E" w:rsidP="00A4372E">
            <w:pPr>
              <w:pStyle w:val="DHHStabletext"/>
            </w:pPr>
            <w:r w:rsidRPr="005D7E89">
              <w:t xml:space="preserve">Patient </w:t>
            </w:r>
            <w:r>
              <w:t>e</w:t>
            </w:r>
            <w:r w:rsidRPr="005D7E89">
              <w:t>xperience</w:t>
            </w:r>
          </w:p>
        </w:tc>
        <w:tc>
          <w:tcPr>
            <w:tcW w:w="5103" w:type="dxa"/>
          </w:tcPr>
          <w:p w14:paraId="4A53DCCE" w14:textId="77777777" w:rsidR="00A4372E" w:rsidRPr="005D7E89" w:rsidRDefault="00A4372E" w:rsidP="00A4372E">
            <w:pPr>
              <w:pStyle w:val="DHHStabletext"/>
            </w:pPr>
            <w:r w:rsidRPr="005D7E89">
              <w:t>% Inpatient</w:t>
            </w:r>
            <w:r>
              <w:t>’</w:t>
            </w:r>
            <w:r w:rsidRPr="005D7E89">
              <w:t>s overall experience at Thomas Embling Hospital</w:t>
            </w:r>
          </w:p>
        </w:tc>
        <w:tc>
          <w:tcPr>
            <w:tcW w:w="2211" w:type="dxa"/>
          </w:tcPr>
          <w:p w14:paraId="0E4A9E3C" w14:textId="77777777" w:rsidR="00A4372E" w:rsidRPr="0071472C" w:rsidRDefault="00A4372E" w:rsidP="00A4372E">
            <w:pPr>
              <w:pStyle w:val="DHHStabletext"/>
            </w:pPr>
            <w:r w:rsidRPr="0071472C">
              <w:t>90%</w:t>
            </w:r>
          </w:p>
        </w:tc>
      </w:tr>
      <w:tr w:rsidR="00A4372E" w:rsidRPr="0071472C" w14:paraId="71A0FB35" w14:textId="77777777" w:rsidTr="00A4372E">
        <w:trPr>
          <w:cantSplit/>
        </w:trPr>
        <w:tc>
          <w:tcPr>
            <w:tcW w:w="1985" w:type="dxa"/>
            <w:vMerge/>
          </w:tcPr>
          <w:p w14:paraId="5C6EFF1B" w14:textId="77777777" w:rsidR="00A4372E" w:rsidRPr="005D7E89" w:rsidRDefault="00A4372E" w:rsidP="00A4372E">
            <w:pPr>
              <w:pStyle w:val="DHHStabletext"/>
            </w:pPr>
          </w:p>
        </w:tc>
        <w:tc>
          <w:tcPr>
            <w:tcW w:w="5103" w:type="dxa"/>
          </w:tcPr>
          <w:p w14:paraId="293DA98B" w14:textId="77777777" w:rsidR="00A4372E" w:rsidRPr="005D7E89" w:rsidRDefault="00A4372E" w:rsidP="00A4372E">
            <w:pPr>
              <w:pStyle w:val="DHHStabletext"/>
            </w:pPr>
            <w:r w:rsidRPr="005D7E89">
              <w:t>% Community patient</w:t>
            </w:r>
            <w:r>
              <w:t>’</w:t>
            </w:r>
            <w:r w:rsidRPr="005D7E89">
              <w:t xml:space="preserve">s overall experience at </w:t>
            </w:r>
            <w:r>
              <w:t>c</w:t>
            </w:r>
            <w:r w:rsidRPr="005D7E89">
              <w:t xml:space="preserve">ommunity Forensicare </w:t>
            </w:r>
            <w:r>
              <w:t>m</w:t>
            </w:r>
            <w:r w:rsidRPr="005D7E89">
              <w:t xml:space="preserve">ental </w:t>
            </w:r>
            <w:r>
              <w:t>h</w:t>
            </w:r>
            <w:r w:rsidRPr="005D7E89">
              <w:t xml:space="preserve">ealth </w:t>
            </w:r>
            <w:r>
              <w:t>s</w:t>
            </w:r>
            <w:r w:rsidRPr="005D7E89">
              <w:t>ervices</w:t>
            </w:r>
          </w:p>
        </w:tc>
        <w:tc>
          <w:tcPr>
            <w:tcW w:w="2211" w:type="dxa"/>
          </w:tcPr>
          <w:p w14:paraId="3D9E0134" w14:textId="33F7DBA3" w:rsidR="00A4372E" w:rsidRPr="0071472C" w:rsidRDefault="00A4372E" w:rsidP="00A4372E">
            <w:pPr>
              <w:pStyle w:val="DHHStabletext"/>
            </w:pPr>
            <w:r w:rsidRPr="0071472C">
              <w:t>90%</w:t>
            </w:r>
          </w:p>
        </w:tc>
      </w:tr>
    </w:tbl>
    <w:p w14:paraId="23552FD8" w14:textId="065FE42D" w:rsidR="004534F0" w:rsidRDefault="004534F0" w:rsidP="004534F0">
      <w:pPr>
        <w:pStyle w:val="Heading4"/>
      </w:pPr>
      <w:bookmarkStart w:id="22" w:name="_Toc15580059"/>
      <w:r>
        <w:t>Healthcare-associated infections</w:t>
      </w:r>
      <w:bookmarkEnd w:id="22"/>
    </w:p>
    <w:tbl>
      <w:tblPr>
        <w:tblStyle w:val="TableGrid"/>
        <w:tblW w:w="9299" w:type="dxa"/>
        <w:tblLayout w:type="fixed"/>
        <w:tblLook w:val="06A0" w:firstRow="1" w:lastRow="0" w:firstColumn="1" w:lastColumn="0" w:noHBand="1" w:noVBand="1"/>
      </w:tblPr>
      <w:tblGrid>
        <w:gridCol w:w="1985"/>
        <w:gridCol w:w="5103"/>
        <w:gridCol w:w="2211"/>
      </w:tblGrid>
      <w:tr w:rsidR="00A4372E" w:rsidRPr="00193714" w14:paraId="1697C5B2" w14:textId="77777777" w:rsidTr="00A4372E">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16373632" w14:textId="77777777" w:rsidR="00A4372E" w:rsidRPr="00193714" w:rsidRDefault="00A4372E" w:rsidP="00A4372E">
            <w:pPr>
              <w:pStyle w:val="DHHStablecolhead"/>
            </w:pPr>
            <w:r w:rsidRPr="00193714">
              <w:t>KPI</w:t>
            </w:r>
          </w:p>
        </w:tc>
        <w:tc>
          <w:tcPr>
            <w:tcW w:w="5103" w:type="dxa"/>
            <w:hideMark/>
          </w:tcPr>
          <w:p w14:paraId="5F26DB41" w14:textId="77777777" w:rsidR="00A4372E" w:rsidRPr="00193714" w:rsidRDefault="00A4372E" w:rsidP="00A4372E">
            <w:pPr>
              <w:pStyle w:val="DHHStablecolhead"/>
            </w:pPr>
            <w:r w:rsidRPr="00193714">
              <w:t>KPI description</w:t>
            </w:r>
          </w:p>
        </w:tc>
        <w:tc>
          <w:tcPr>
            <w:tcW w:w="2211" w:type="dxa"/>
          </w:tcPr>
          <w:p w14:paraId="70B62434" w14:textId="32A2B023" w:rsidR="00A4372E" w:rsidRPr="00193714" w:rsidRDefault="00743988" w:rsidP="00A4372E">
            <w:pPr>
              <w:pStyle w:val="DHHStablecolhead"/>
            </w:pPr>
            <w:r>
              <w:t>Target / risk trigger</w:t>
            </w:r>
          </w:p>
        </w:tc>
      </w:tr>
      <w:tr w:rsidR="00A4372E" w:rsidRPr="0071472C" w14:paraId="1516E734" w14:textId="77777777" w:rsidTr="00A4372E">
        <w:trPr>
          <w:cantSplit/>
        </w:trPr>
        <w:tc>
          <w:tcPr>
            <w:tcW w:w="1985" w:type="dxa"/>
            <w:vMerge w:val="restart"/>
          </w:tcPr>
          <w:p w14:paraId="5787F93B" w14:textId="77777777" w:rsidR="00A4372E" w:rsidRDefault="00A4372E" w:rsidP="00A4372E">
            <w:pPr>
              <w:pStyle w:val="DHHStabletext"/>
            </w:pPr>
            <w:r>
              <w:t>Surgical site infection (SSI)</w:t>
            </w:r>
          </w:p>
        </w:tc>
        <w:tc>
          <w:tcPr>
            <w:tcW w:w="5103" w:type="dxa"/>
          </w:tcPr>
          <w:p w14:paraId="167135C9" w14:textId="77777777" w:rsidR="00A4372E" w:rsidRDefault="00A4372E" w:rsidP="00A4372E">
            <w:pPr>
              <w:pStyle w:val="DHHStabletext"/>
            </w:pPr>
            <w:r>
              <w:t xml:space="preserve">Rate of SSI (aggregate) </w:t>
            </w:r>
          </w:p>
        </w:tc>
        <w:tc>
          <w:tcPr>
            <w:tcW w:w="2211" w:type="dxa"/>
          </w:tcPr>
          <w:p w14:paraId="10292256" w14:textId="77777777" w:rsidR="00A4372E" w:rsidRPr="0071472C" w:rsidRDefault="00A4372E" w:rsidP="00A4372E">
            <w:pPr>
              <w:pStyle w:val="DHHStabletext"/>
            </w:pPr>
            <w:r w:rsidRPr="0071472C">
              <w:t>No outliers</w:t>
            </w:r>
          </w:p>
        </w:tc>
      </w:tr>
      <w:tr w:rsidR="00A4372E" w:rsidRPr="0071472C" w14:paraId="7C1E050D" w14:textId="77777777" w:rsidTr="00A4372E">
        <w:trPr>
          <w:cantSplit/>
        </w:trPr>
        <w:tc>
          <w:tcPr>
            <w:tcW w:w="1985" w:type="dxa"/>
            <w:vMerge/>
          </w:tcPr>
          <w:p w14:paraId="2AB084F1" w14:textId="77777777" w:rsidR="00A4372E" w:rsidRDefault="00A4372E" w:rsidP="00A4372E">
            <w:pPr>
              <w:pStyle w:val="DHHStabletext"/>
            </w:pPr>
          </w:p>
        </w:tc>
        <w:tc>
          <w:tcPr>
            <w:tcW w:w="5103" w:type="dxa"/>
          </w:tcPr>
          <w:p w14:paraId="50E8DD3A" w14:textId="77777777" w:rsidR="00A4372E" w:rsidRDefault="00A4372E" w:rsidP="00A4372E">
            <w:pPr>
              <w:pStyle w:val="DHHStabletext"/>
            </w:pPr>
            <w:r>
              <w:t>Rate of SSI post cardiac bypass</w:t>
            </w:r>
          </w:p>
        </w:tc>
        <w:tc>
          <w:tcPr>
            <w:tcW w:w="2211" w:type="dxa"/>
          </w:tcPr>
          <w:p w14:paraId="107BE572" w14:textId="77777777" w:rsidR="00A4372E" w:rsidRPr="0071472C" w:rsidRDefault="00A4372E" w:rsidP="00A4372E">
            <w:pPr>
              <w:pStyle w:val="DHHStabletext"/>
            </w:pPr>
            <w:r w:rsidRPr="0071472C">
              <w:t>No outliers</w:t>
            </w:r>
          </w:p>
        </w:tc>
      </w:tr>
      <w:tr w:rsidR="00A4372E" w:rsidRPr="0071472C" w14:paraId="5CBBD1DC" w14:textId="77777777" w:rsidTr="00A4372E">
        <w:trPr>
          <w:cantSplit/>
        </w:trPr>
        <w:tc>
          <w:tcPr>
            <w:tcW w:w="1985" w:type="dxa"/>
            <w:vMerge/>
          </w:tcPr>
          <w:p w14:paraId="26B4BE3B" w14:textId="77777777" w:rsidR="00A4372E" w:rsidRDefault="00A4372E" w:rsidP="00A4372E">
            <w:pPr>
              <w:pStyle w:val="DHHStabletext"/>
            </w:pPr>
          </w:p>
        </w:tc>
        <w:tc>
          <w:tcPr>
            <w:tcW w:w="5103" w:type="dxa"/>
          </w:tcPr>
          <w:p w14:paraId="7EF2B6AB" w14:textId="77777777" w:rsidR="00A4372E" w:rsidRDefault="00A4372E" w:rsidP="00A4372E">
            <w:pPr>
              <w:pStyle w:val="DHHStabletext"/>
            </w:pPr>
            <w:r>
              <w:t>Rate of SSI post hip prosthesis</w:t>
            </w:r>
          </w:p>
        </w:tc>
        <w:tc>
          <w:tcPr>
            <w:tcW w:w="2211" w:type="dxa"/>
          </w:tcPr>
          <w:p w14:paraId="4056CB23" w14:textId="77777777" w:rsidR="00A4372E" w:rsidRPr="0071472C" w:rsidRDefault="00A4372E" w:rsidP="00A4372E">
            <w:pPr>
              <w:pStyle w:val="DHHStabletext"/>
            </w:pPr>
            <w:r w:rsidRPr="0071472C">
              <w:t>No outliers</w:t>
            </w:r>
          </w:p>
        </w:tc>
      </w:tr>
      <w:tr w:rsidR="00A4372E" w:rsidRPr="0071472C" w14:paraId="7A697B95" w14:textId="77777777" w:rsidTr="00A4372E">
        <w:trPr>
          <w:cantSplit/>
        </w:trPr>
        <w:tc>
          <w:tcPr>
            <w:tcW w:w="1985" w:type="dxa"/>
            <w:vMerge/>
          </w:tcPr>
          <w:p w14:paraId="2C6EBE17" w14:textId="77777777" w:rsidR="00A4372E" w:rsidRDefault="00A4372E" w:rsidP="00A4372E">
            <w:pPr>
              <w:pStyle w:val="DHHStabletext"/>
            </w:pPr>
          </w:p>
        </w:tc>
        <w:tc>
          <w:tcPr>
            <w:tcW w:w="5103" w:type="dxa"/>
          </w:tcPr>
          <w:p w14:paraId="2F7F31AD" w14:textId="77777777" w:rsidR="00A4372E" w:rsidRDefault="00A4372E" w:rsidP="00A4372E">
            <w:pPr>
              <w:pStyle w:val="DHHStabletext"/>
            </w:pPr>
            <w:r>
              <w:t>Rate of SSI post knee prosthesis</w:t>
            </w:r>
          </w:p>
        </w:tc>
        <w:tc>
          <w:tcPr>
            <w:tcW w:w="2211" w:type="dxa"/>
          </w:tcPr>
          <w:p w14:paraId="3DA191F7" w14:textId="77777777" w:rsidR="00A4372E" w:rsidRPr="0071472C" w:rsidRDefault="00A4372E" w:rsidP="00A4372E">
            <w:pPr>
              <w:pStyle w:val="DHHStabletext"/>
            </w:pPr>
            <w:r w:rsidRPr="0071472C">
              <w:t>No outliers</w:t>
            </w:r>
          </w:p>
        </w:tc>
      </w:tr>
      <w:tr w:rsidR="00A4372E" w:rsidRPr="0071472C" w14:paraId="0163C008" w14:textId="77777777" w:rsidTr="00A4372E">
        <w:trPr>
          <w:cantSplit/>
        </w:trPr>
        <w:tc>
          <w:tcPr>
            <w:tcW w:w="1985" w:type="dxa"/>
            <w:vMerge/>
          </w:tcPr>
          <w:p w14:paraId="3BB6EE94" w14:textId="77777777" w:rsidR="00A4372E" w:rsidRDefault="00A4372E" w:rsidP="00A4372E">
            <w:pPr>
              <w:pStyle w:val="DHHStabletext"/>
            </w:pPr>
          </w:p>
        </w:tc>
        <w:tc>
          <w:tcPr>
            <w:tcW w:w="5103" w:type="dxa"/>
          </w:tcPr>
          <w:p w14:paraId="73EB6985" w14:textId="77777777" w:rsidR="00A4372E" w:rsidRDefault="00A4372E" w:rsidP="00A4372E">
            <w:pPr>
              <w:pStyle w:val="DHHStabletext"/>
            </w:pPr>
            <w:r>
              <w:t>Rate of SSI post C section</w:t>
            </w:r>
          </w:p>
        </w:tc>
        <w:tc>
          <w:tcPr>
            <w:tcW w:w="2211" w:type="dxa"/>
          </w:tcPr>
          <w:p w14:paraId="293C17A4" w14:textId="77777777" w:rsidR="00A4372E" w:rsidRPr="0071472C" w:rsidRDefault="00A4372E" w:rsidP="00A4372E">
            <w:pPr>
              <w:pStyle w:val="DHHStabletext"/>
            </w:pPr>
            <w:r w:rsidRPr="0071472C">
              <w:t>No outliers</w:t>
            </w:r>
          </w:p>
        </w:tc>
      </w:tr>
      <w:tr w:rsidR="00A4372E" w:rsidRPr="0071472C" w14:paraId="4EAD4DC1" w14:textId="77777777" w:rsidTr="00A4372E">
        <w:trPr>
          <w:cantSplit/>
        </w:trPr>
        <w:tc>
          <w:tcPr>
            <w:tcW w:w="1985" w:type="dxa"/>
            <w:vMerge/>
          </w:tcPr>
          <w:p w14:paraId="6ACA9106" w14:textId="77777777" w:rsidR="00A4372E" w:rsidRDefault="00A4372E" w:rsidP="00A4372E">
            <w:pPr>
              <w:pStyle w:val="DHHStabletext"/>
            </w:pPr>
          </w:p>
        </w:tc>
        <w:tc>
          <w:tcPr>
            <w:tcW w:w="5103" w:type="dxa"/>
          </w:tcPr>
          <w:p w14:paraId="782A9421" w14:textId="77777777" w:rsidR="00A4372E" w:rsidRDefault="00A4372E" w:rsidP="00A4372E">
            <w:pPr>
              <w:pStyle w:val="DHHStabletext"/>
            </w:pPr>
            <w:r>
              <w:t>Rate of SSI post colorectal surgery</w:t>
            </w:r>
          </w:p>
        </w:tc>
        <w:tc>
          <w:tcPr>
            <w:tcW w:w="2211" w:type="dxa"/>
          </w:tcPr>
          <w:p w14:paraId="1481B299" w14:textId="77777777" w:rsidR="00A4372E" w:rsidRPr="0071472C" w:rsidRDefault="00A4372E" w:rsidP="00A4372E">
            <w:pPr>
              <w:pStyle w:val="DHHStabletext"/>
            </w:pPr>
            <w:r w:rsidRPr="0071472C">
              <w:t>No outliers</w:t>
            </w:r>
          </w:p>
        </w:tc>
      </w:tr>
      <w:tr w:rsidR="00A4372E" w:rsidRPr="0071472C" w14:paraId="54FFE83A" w14:textId="77777777" w:rsidTr="00A4372E">
        <w:trPr>
          <w:cantSplit/>
        </w:trPr>
        <w:tc>
          <w:tcPr>
            <w:tcW w:w="1985" w:type="dxa"/>
            <w:hideMark/>
          </w:tcPr>
          <w:p w14:paraId="698CCB77" w14:textId="77777777" w:rsidR="00A4372E" w:rsidRDefault="00A4372E" w:rsidP="00A4372E">
            <w:pPr>
              <w:pStyle w:val="DHHStabletext"/>
            </w:pPr>
            <w:r>
              <w:t>ICU CLABSI</w:t>
            </w:r>
          </w:p>
        </w:tc>
        <w:tc>
          <w:tcPr>
            <w:tcW w:w="5103" w:type="dxa"/>
            <w:hideMark/>
          </w:tcPr>
          <w:p w14:paraId="596672B7" w14:textId="77777777" w:rsidR="00A4372E" w:rsidRDefault="00A4372E" w:rsidP="00A4372E">
            <w:pPr>
              <w:pStyle w:val="DHHStabletext"/>
            </w:pPr>
            <w:r>
              <w:t xml:space="preserve">Rate of patients with ICU central line-associated blood stream infection (CLABSI) </w:t>
            </w:r>
          </w:p>
        </w:tc>
        <w:tc>
          <w:tcPr>
            <w:tcW w:w="2211" w:type="dxa"/>
          </w:tcPr>
          <w:p w14:paraId="4A4BB231" w14:textId="77777777" w:rsidR="00A4372E" w:rsidRPr="0071472C" w:rsidRDefault="00A4372E" w:rsidP="00A4372E">
            <w:pPr>
              <w:pStyle w:val="DHHStabletext"/>
            </w:pPr>
            <w:r w:rsidRPr="0071472C">
              <w:t xml:space="preserve">Nil </w:t>
            </w:r>
          </w:p>
        </w:tc>
      </w:tr>
      <w:tr w:rsidR="00A4372E" w:rsidRPr="0071472C" w14:paraId="76A5D173" w14:textId="77777777" w:rsidTr="00A4372E">
        <w:trPr>
          <w:cantSplit/>
        </w:trPr>
        <w:tc>
          <w:tcPr>
            <w:tcW w:w="1985" w:type="dxa"/>
            <w:hideMark/>
          </w:tcPr>
          <w:p w14:paraId="787CDE85" w14:textId="77777777" w:rsidR="00A4372E" w:rsidRDefault="00A4372E" w:rsidP="00A4372E">
            <w:pPr>
              <w:pStyle w:val="DHHStabletext"/>
            </w:pPr>
            <w:r>
              <w:t>SAB</w:t>
            </w:r>
          </w:p>
        </w:tc>
        <w:tc>
          <w:tcPr>
            <w:tcW w:w="5103" w:type="dxa"/>
            <w:hideMark/>
          </w:tcPr>
          <w:p w14:paraId="69719245" w14:textId="77777777" w:rsidR="00A4372E" w:rsidRDefault="00A4372E" w:rsidP="00A4372E">
            <w:pPr>
              <w:pStyle w:val="DHHStabletext"/>
            </w:pPr>
            <w:r>
              <w:t>Rate of patients with SAB per 10,000 occupied bed days</w:t>
            </w:r>
          </w:p>
        </w:tc>
        <w:tc>
          <w:tcPr>
            <w:tcW w:w="2211" w:type="dxa"/>
          </w:tcPr>
          <w:p w14:paraId="450547F1" w14:textId="77777777" w:rsidR="00A4372E" w:rsidRPr="0071472C" w:rsidRDefault="00A4372E" w:rsidP="00A4372E">
            <w:pPr>
              <w:pStyle w:val="DHHStabletext"/>
            </w:pPr>
            <w:r w:rsidRPr="0071472C">
              <w:t>≤ 1/10,000</w:t>
            </w:r>
          </w:p>
        </w:tc>
      </w:tr>
    </w:tbl>
    <w:p w14:paraId="77098657" w14:textId="7E9B069B" w:rsidR="004534F0" w:rsidRDefault="004534F0" w:rsidP="004534F0">
      <w:pPr>
        <w:pStyle w:val="Heading4"/>
      </w:pPr>
      <w:bookmarkStart w:id="23" w:name="_Toc15580060"/>
      <w:r>
        <w:t xml:space="preserve">Adverse </w:t>
      </w:r>
      <w:r w:rsidR="00A4372E">
        <w:t>e</w:t>
      </w:r>
      <w:r>
        <w:t>vents</w:t>
      </w:r>
      <w:bookmarkEnd w:id="23"/>
    </w:p>
    <w:tbl>
      <w:tblPr>
        <w:tblStyle w:val="TableGrid"/>
        <w:tblW w:w="9299" w:type="dxa"/>
        <w:tblLayout w:type="fixed"/>
        <w:tblLook w:val="06A0" w:firstRow="1" w:lastRow="0" w:firstColumn="1" w:lastColumn="0" w:noHBand="1" w:noVBand="1"/>
      </w:tblPr>
      <w:tblGrid>
        <w:gridCol w:w="1985"/>
        <w:gridCol w:w="5103"/>
        <w:gridCol w:w="2211"/>
      </w:tblGrid>
      <w:tr w:rsidR="00A4372E" w:rsidRPr="00193714" w14:paraId="130299F7" w14:textId="77777777" w:rsidTr="00A4372E">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2611A614" w14:textId="77777777" w:rsidR="00A4372E" w:rsidRPr="00193714" w:rsidRDefault="00A4372E" w:rsidP="00A4372E">
            <w:pPr>
              <w:pStyle w:val="DHHStablecolhead"/>
            </w:pPr>
            <w:r w:rsidRPr="00193714">
              <w:t>KPI</w:t>
            </w:r>
          </w:p>
        </w:tc>
        <w:tc>
          <w:tcPr>
            <w:tcW w:w="5103" w:type="dxa"/>
            <w:hideMark/>
          </w:tcPr>
          <w:p w14:paraId="0E1D272F" w14:textId="77777777" w:rsidR="00A4372E" w:rsidRPr="00193714" w:rsidRDefault="00A4372E" w:rsidP="00A4372E">
            <w:pPr>
              <w:pStyle w:val="DHHStablecolhead"/>
            </w:pPr>
            <w:r w:rsidRPr="00193714">
              <w:t>KPI description</w:t>
            </w:r>
          </w:p>
        </w:tc>
        <w:tc>
          <w:tcPr>
            <w:tcW w:w="2211" w:type="dxa"/>
          </w:tcPr>
          <w:p w14:paraId="0F74E85B" w14:textId="4B619EBE" w:rsidR="00A4372E" w:rsidRPr="00193714" w:rsidRDefault="00743988" w:rsidP="00A4372E">
            <w:pPr>
              <w:pStyle w:val="DHHStablecolhead"/>
            </w:pPr>
            <w:r>
              <w:t>Target / risk trigger</w:t>
            </w:r>
          </w:p>
        </w:tc>
      </w:tr>
      <w:tr w:rsidR="00A4372E" w:rsidRPr="0071472C" w14:paraId="0C8D8A0A" w14:textId="77777777" w:rsidTr="00A4372E">
        <w:trPr>
          <w:cantSplit/>
        </w:trPr>
        <w:tc>
          <w:tcPr>
            <w:tcW w:w="1985" w:type="dxa"/>
          </w:tcPr>
          <w:p w14:paraId="65D96754" w14:textId="77777777" w:rsidR="00A4372E" w:rsidRDefault="00A4372E" w:rsidP="00A4372E">
            <w:pPr>
              <w:pStyle w:val="DHHStabletext"/>
            </w:pPr>
            <w:r>
              <w:t>Sentinel events</w:t>
            </w:r>
          </w:p>
        </w:tc>
        <w:tc>
          <w:tcPr>
            <w:tcW w:w="5103" w:type="dxa"/>
          </w:tcPr>
          <w:p w14:paraId="605DF01C" w14:textId="77777777" w:rsidR="00A4372E" w:rsidRDefault="00A4372E" w:rsidP="00A4372E">
            <w:pPr>
              <w:pStyle w:val="DHHStabletext"/>
            </w:pPr>
            <w:r w:rsidRPr="005A0B9A">
              <w:t xml:space="preserve">Sentinel events – </w:t>
            </w:r>
            <w:r>
              <w:t>r</w:t>
            </w:r>
            <w:r w:rsidRPr="005A0B9A">
              <w:t xml:space="preserve">oot </w:t>
            </w:r>
            <w:r>
              <w:t>c</w:t>
            </w:r>
            <w:r w:rsidRPr="005A0B9A">
              <w:t xml:space="preserve">ause </w:t>
            </w:r>
            <w:r>
              <w:t>a</w:t>
            </w:r>
            <w:r w:rsidRPr="005A0B9A">
              <w:t>nalys</w:t>
            </w:r>
            <w:r>
              <w:t xml:space="preserve">is (RCA) </w:t>
            </w:r>
            <w:r w:rsidRPr="005A0B9A">
              <w:t>reporting</w:t>
            </w:r>
          </w:p>
        </w:tc>
        <w:tc>
          <w:tcPr>
            <w:tcW w:w="2211" w:type="dxa"/>
          </w:tcPr>
          <w:p w14:paraId="0ED13FE9" w14:textId="32072DEE" w:rsidR="00A4372E" w:rsidRPr="0071472C" w:rsidRDefault="00A4372E" w:rsidP="00A4372E">
            <w:pPr>
              <w:pStyle w:val="DHHStabletext"/>
            </w:pPr>
            <w:r w:rsidRPr="0071472C">
              <w:t>All RCA reports submitted within 30 business days</w:t>
            </w:r>
            <w:r w:rsidR="00743988">
              <w:rPr>
                <w:rStyle w:val="FootnoteReference"/>
              </w:rPr>
              <w:footnoteReference w:id="4"/>
            </w:r>
          </w:p>
        </w:tc>
      </w:tr>
      <w:tr w:rsidR="00A4372E" w:rsidRPr="0071472C" w14:paraId="7EF24EEA" w14:textId="77777777" w:rsidTr="00A4372E">
        <w:trPr>
          <w:cantSplit/>
        </w:trPr>
        <w:tc>
          <w:tcPr>
            <w:tcW w:w="1985" w:type="dxa"/>
            <w:vMerge w:val="restart"/>
          </w:tcPr>
          <w:p w14:paraId="2CF5648C" w14:textId="77777777" w:rsidR="00A4372E" w:rsidRDefault="00A4372E" w:rsidP="00A4372E">
            <w:pPr>
              <w:pStyle w:val="DHHStabletext"/>
            </w:pPr>
            <w:r>
              <w:t>Readmission</w:t>
            </w:r>
          </w:p>
        </w:tc>
        <w:tc>
          <w:tcPr>
            <w:tcW w:w="5103" w:type="dxa"/>
          </w:tcPr>
          <w:p w14:paraId="5D1F0A33" w14:textId="77777777" w:rsidR="00A4372E" w:rsidRDefault="00A4372E" w:rsidP="00A4372E">
            <w:pPr>
              <w:pStyle w:val="DHHStabletext"/>
            </w:pPr>
            <w:r w:rsidRPr="00542409">
              <w:t xml:space="preserve">Unplanned </w:t>
            </w:r>
            <w:r>
              <w:t>r</w:t>
            </w:r>
            <w:r w:rsidRPr="00542409">
              <w:t xml:space="preserve">eadmission </w:t>
            </w:r>
            <w:r>
              <w:t>a</w:t>
            </w:r>
            <w:r w:rsidRPr="00542409">
              <w:t xml:space="preserve">cute </w:t>
            </w:r>
            <w:r w:rsidRPr="00677792">
              <w:t>myocardial infarction</w:t>
            </w:r>
          </w:p>
        </w:tc>
        <w:tc>
          <w:tcPr>
            <w:tcW w:w="2211" w:type="dxa"/>
          </w:tcPr>
          <w:p w14:paraId="0AD74157" w14:textId="77777777" w:rsidR="00A4372E" w:rsidRPr="0071472C" w:rsidRDefault="00A4372E" w:rsidP="00A4372E">
            <w:pPr>
              <w:pStyle w:val="DHHStabletext"/>
            </w:pPr>
            <w:r w:rsidRPr="0071472C">
              <w:t>No outliers</w:t>
            </w:r>
          </w:p>
        </w:tc>
      </w:tr>
      <w:tr w:rsidR="00A4372E" w:rsidRPr="0071472C" w14:paraId="1E375CC1" w14:textId="77777777" w:rsidTr="00A4372E">
        <w:trPr>
          <w:cantSplit/>
        </w:trPr>
        <w:tc>
          <w:tcPr>
            <w:tcW w:w="1985" w:type="dxa"/>
            <w:vMerge/>
          </w:tcPr>
          <w:p w14:paraId="30CA5C92" w14:textId="77777777" w:rsidR="00A4372E" w:rsidRDefault="00A4372E" w:rsidP="00A4372E">
            <w:pPr>
              <w:pStyle w:val="DHHStabletext"/>
            </w:pPr>
          </w:p>
        </w:tc>
        <w:tc>
          <w:tcPr>
            <w:tcW w:w="5103" w:type="dxa"/>
          </w:tcPr>
          <w:p w14:paraId="5E4E26BA" w14:textId="77777777" w:rsidR="00A4372E" w:rsidRDefault="00A4372E" w:rsidP="00A4372E">
            <w:pPr>
              <w:pStyle w:val="DHHStabletext"/>
            </w:pPr>
            <w:r w:rsidRPr="00542409">
              <w:t xml:space="preserve">Unplanned </w:t>
            </w:r>
            <w:r>
              <w:t>r</w:t>
            </w:r>
            <w:r w:rsidRPr="00542409">
              <w:t xml:space="preserve">eadmission </w:t>
            </w:r>
            <w:r>
              <w:t>k</w:t>
            </w:r>
            <w:r w:rsidRPr="00542409">
              <w:t xml:space="preserve">nee </w:t>
            </w:r>
            <w:r>
              <w:t>r</w:t>
            </w:r>
            <w:r w:rsidRPr="00542409">
              <w:t>eplacement</w:t>
            </w:r>
          </w:p>
        </w:tc>
        <w:tc>
          <w:tcPr>
            <w:tcW w:w="2211" w:type="dxa"/>
          </w:tcPr>
          <w:p w14:paraId="773097AA" w14:textId="77777777" w:rsidR="00A4372E" w:rsidRPr="0071472C" w:rsidRDefault="00A4372E" w:rsidP="00A4372E">
            <w:pPr>
              <w:pStyle w:val="DHHStabletext"/>
            </w:pPr>
            <w:r w:rsidRPr="0071472C">
              <w:t>No outliers</w:t>
            </w:r>
          </w:p>
        </w:tc>
      </w:tr>
      <w:tr w:rsidR="00A4372E" w:rsidRPr="0071472C" w14:paraId="6D13741C" w14:textId="77777777" w:rsidTr="00A4372E">
        <w:trPr>
          <w:cantSplit/>
        </w:trPr>
        <w:tc>
          <w:tcPr>
            <w:tcW w:w="1985" w:type="dxa"/>
            <w:vMerge/>
          </w:tcPr>
          <w:p w14:paraId="4CEE25AA" w14:textId="77777777" w:rsidR="00A4372E" w:rsidRDefault="00A4372E" w:rsidP="00A4372E">
            <w:pPr>
              <w:pStyle w:val="DHHStabletext"/>
            </w:pPr>
          </w:p>
        </w:tc>
        <w:tc>
          <w:tcPr>
            <w:tcW w:w="5103" w:type="dxa"/>
          </w:tcPr>
          <w:p w14:paraId="6727C485" w14:textId="77777777" w:rsidR="00A4372E" w:rsidRDefault="00A4372E" w:rsidP="00A4372E">
            <w:pPr>
              <w:pStyle w:val="DHHStabletext"/>
            </w:pPr>
            <w:r w:rsidRPr="00542409">
              <w:t xml:space="preserve">Unplanned </w:t>
            </w:r>
            <w:r>
              <w:t>r</w:t>
            </w:r>
            <w:r w:rsidRPr="00542409">
              <w:t xml:space="preserve">eadmission </w:t>
            </w:r>
            <w:r>
              <w:t>h</w:t>
            </w:r>
            <w:r w:rsidRPr="00542409">
              <w:t xml:space="preserve">eart </w:t>
            </w:r>
            <w:r>
              <w:t>f</w:t>
            </w:r>
            <w:r w:rsidRPr="00542409">
              <w:t>ailure</w:t>
            </w:r>
          </w:p>
        </w:tc>
        <w:tc>
          <w:tcPr>
            <w:tcW w:w="2211" w:type="dxa"/>
          </w:tcPr>
          <w:p w14:paraId="7BAB1361" w14:textId="77777777" w:rsidR="00A4372E" w:rsidRPr="0071472C" w:rsidRDefault="00A4372E" w:rsidP="00A4372E">
            <w:pPr>
              <w:pStyle w:val="DHHStabletext"/>
            </w:pPr>
            <w:r w:rsidRPr="0071472C">
              <w:t>No outliers</w:t>
            </w:r>
          </w:p>
        </w:tc>
      </w:tr>
      <w:tr w:rsidR="00A4372E" w:rsidRPr="0071472C" w14:paraId="112034ED" w14:textId="77777777" w:rsidTr="00A4372E">
        <w:trPr>
          <w:cantSplit/>
        </w:trPr>
        <w:tc>
          <w:tcPr>
            <w:tcW w:w="1985" w:type="dxa"/>
            <w:vMerge/>
          </w:tcPr>
          <w:p w14:paraId="1E5A4A63" w14:textId="77777777" w:rsidR="00A4372E" w:rsidRDefault="00A4372E" w:rsidP="00A4372E">
            <w:pPr>
              <w:pStyle w:val="DHHStabletext"/>
            </w:pPr>
          </w:p>
        </w:tc>
        <w:tc>
          <w:tcPr>
            <w:tcW w:w="5103" w:type="dxa"/>
          </w:tcPr>
          <w:p w14:paraId="08E48751" w14:textId="77777777" w:rsidR="00A4372E" w:rsidRDefault="00A4372E" w:rsidP="00A4372E">
            <w:pPr>
              <w:pStyle w:val="DHHStabletext"/>
            </w:pPr>
            <w:r w:rsidRPr="00542409">
              <w:t xml:space="preserve">Unplanned </w:t>
            </w:r>
            <w:r>
              <w:t>r</w:t>
            </w:r>
            <w:r w:rsidRPr="00542409">
              <w:t>eadmission</w:t>
            </w:r>
            <w:r>
              <w:t xml:space="preserve"> – </w:t>
            </w:r>
            <w:r w:rsidRPr="00542409">
              <w:t>of mother after birth</w:t>
            </w:r>
          </w:p>
        </w:tc>
        <w:tc>
          <w:tcPr>
            <w:tcW w:w="2211" w:type="dxa"/>
          </w:tcPr>
          <w:p w14:paraId="4227EF9D" w14:textId="77777777" w:rsidR="00A4372E" w:rsidRPr="0071472C" w:rsidRDefault="00A4372E" w:rsidP="00A4372E">
            <w:pPr>
              <w:pStyle w:val="DHHStabletext"/>
            </w:pPr>
            <w:r w:rsidRPr="0071472C">
              <w:t>No outliers</w:t>
            </w:r>
          </w:p>
        </w:tc>
      </w:tr>
      <w:tr w:rsidR="00A4372E" w:rsidRPr="0071472C" w14:paraId="59498FBD" w14:textId="77777777" w:rsidTr="00A4372E">
        <w:trPr>
          <w:cantSplit/>
        </w:trPr>
        <w:tc>
          <w:tcPr>
            <w:tcW w:w="1985" w:type="dxa"/>
            <w:vMerge/>
          </w:tcPr>
          <w:p w14:paraId="1B9B283D" w14:textId="77777777" w:rsidR="00A4372E" w:rsidRDefault="00A4372E" w:rsidP="00A4372E">
            <w:pPr>
              <w:pStyle w:val="DHHStabletext"/>
            </w:pPr>
          </w:p>
        </w:tc>
        <w:tc>
          <w:tcPr>
            <w:tcW w:w="5103" w:type="dxa"/>
          </w:tcPr>
          <w:p w14:paraId="2A637238" w14:textId="77777777" w:rsidR="00A4372E" w:rsidRDefault="00A4372E" w:rsidP="00A4372E">
            <w:pPr>
              <w:pStyle w:val="DHHStabletext"/>
            </w:pPr>
            <w:r w:rsidRPr="00542409">
              <w:t xml:space="preserve">Unplanned </w:t>
            </w:r>
            <w:r>
              <w:t>r</w:t>
            </w:r>
            <w:r w:rsidRPr="00542409">
              <w:t>eadmission</w:t>
            </w:r>
            <w:r>
              <w:t xml:space="preserve"> – </w:t>
            </w:r>
            <w:r w:rsidRPr="00542409">
              <w:t>of newborn after birth</w:t>
            </w:r>
          </w:p>
        </w:tc>
        <w:tc>
          <w:tcPr>
            <w:tcW w:w="2211" w:type="dxa"/>
          </w:tcPr>
          <w:p w14:paraId="4421A1D0" w14:textId="77777777" w:rsidR="00A4372E" w:rsidRPr="0071472C" w:rsidRDefault="00A4372E" w:rsidP="00A4372E">
            <w:pPr>
              <w:pStyle w:val="DHHStabletext"/>
            </w:pPr>
            <w:r w:rsidRPr="0071472C">
              <w:t>No outliers</w:t>
            </w:r>
          </w:p>
        </w:tc>
      </w:tr>
      <w:tr w:rsidR="00A4372E" w:rsidRPr="0071472C" w14:paraId="5D07D557" w14:textId="77777777" w:rsidTr="00A4372E">
        <w:trPr>
          <w:cantSplit/>
        </w:trPr>
        <w:tc>
          <w:tcPr>
            <w:tcW w:w="1985" w:type="dxa"/>
            <w:vMerge/>
          </w:tcPr>
          <w:p w14:paraId="761C2411" w14:textId="77777777" w:rsidR="00A4372E" w:rsidRDefault="00A4372E" w:rsidP="00A4372E">
            <w:pPr>
              <w:pStyle w:val="DHHStabletext"/>
            </w:pPr>
          </w:p>
        </w:tc>
        <w:tc>
          <w:tcPr>
            <w:tcW w:w="5103" w:type="dxa"/>
          </w:tcPr>
          <w:p w14:paraId="30A09B49" w14:textId="77777777" w:rsidR="00A4372E" w:rsidRPr="00542409" w:rsidRDefault="00A4372E" w:rsidP="00A4372E">
            <w:pPr>
              <w:pStyle w:val="DHHStabletext"/>
            </w:pPr>
            <w:r w:rsidRPr="00542409">
              <w:t xml:space="preserve">Unplanned </w:t>
            </w:r>
            <w:r>
              <w:t>r</w:t>
            </w:r>
            <w:r w:rsidRPr="00542409">
              <w:t xml:space="preserve">eadmission </w:t>
            </w:r>
            <w:r>
              <w:t>h</w:t>
            </w:r>
            <w:r w:rsidRPr="00542409">
              <w:t xml:space="preserve">ip </w:t>
            </w:r>
            <w:r>
              <w:t>r</w:t>
            </w:r>
            <w:r w:rsidRPr="00542409">
              <w:t>eplacement</w:t>
            </w:r>
          </w:p>
        </w:tc>
        <w:tc>
          <w:tcPr>
            <w:tcW w:w="2211" w:type="dxa"/>
          </w:tcPr>
          <w:p w14:paraId="1C7203C8" w14:textId="433E2622" w:rsidR="00A4372E" w:rsidRPr="0071472C" w:rsidRDefault="00A4372E" w:rsidP="00A4372E">
            <w:pPr>
              <w:pStyle w:val="DHHStabletext"/>
            </w:pPr>
            <w:r w:rsidRPr="0071472C">
              <w:t>Annual rate ≤ 2.5%</w:t>
            </w:r>
          </w:p>
        </w:tc>
      </w:tr>
    </w:tbl>
    <w:p w14:paraId="504C2B02" w14:textId="77777777" w:rsidR="00743988" w:rsidRPr="00743988" w:rsidRDefault="00743988" w:rsidP="00743988">
      <w:pPr>
        <w:pStyle w:val="DHHSbody"/>
      </w:pPr>
      <w:r w:rsidRPr="00743988">
        <w:br w:type="page"/>
      </w:r>
    </w:p>
    <w:p w14:paraId="1741E07F" w14:textId="29E4F9B4" w:rsidR="004534F0" w:rsidRDefault="004534F0" w:rsidP="004534F0">
      <w:pPr>
        <w:pStyle w:val="Heading4"/>
      </w:pPr>
      <w:bookmarkStart w:id="24" w:name="_Toc15580061"/>
      <w:r>
        <w:lastRenderedPageBreak/>
        <w:t>Mental health</w:t>
      </w:r>
      <w:bookmarkEnd w:id="24"/>
    </w:p>
    <w:tbl>
      <w:tblPr>
        <w:tblStyle w:val="TableGrid"/>
        <w:tblW w:w="9299" w:type="dxa"/>
        <w:tblLayout w:type="fixed"/>
        <w:tblLook w:val="06A0" w:firstRow="1" w:lastRow="0" w:firstColumn="1" w:lastColumn="0" w:noHBand="1" w:noVBand="1"/>
      </w:tblPr>
      <w:tblGrid>
        <w:gridCol w:w="1985"/>
        <w:gridCol w:w="5103"/>
        <w:gridCol w:w="2211"/>
      </w:tblGrid>
      <w:tr w:rsidR="00A4372E" w:rsidRPr="00193714" w14:paraId="1EBBE5BB" w14:textId="77777777" w:rsidTr="00A4372E">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55B38B4A" w14:textId="77777777" w:rsidR="00A4372E" w:rsidRPr="00193714" w:rsidRDefault="00A4372E" w:rsidP="00A4372E">
            <w:pPr>
              <w:pStyle w:val="DHHStablecolhead"/>
            </w:pPr>
            <w:r w:rsidRPr="00193714">
              <w:t>KPI</w:t>
            </w:r>
          </w:p>
        </w:tc>
        <w:tc>
          <w:tcPr>
            <w:tcW w:w="5103" w:type="dxa"/>
            <w:hideMark/>
          </w:tcPr>
          <w:p w14:paraId="63F37AF6" w14:textId="77777777" w:rsidR="00A4372E" w:rsidRPr="00193714" w:rsidRDefault="00A4372E" w:rsidP="00A4372E">
            <w:pPr>
              <w:pStyle w:val="DHHStablecolhead"/>
            </w:pPr>
            <w:r w:rsidRPr="00193714">
              <w:t>KPI description</w:t>
            </w:r>
          </w:p>
        </w:tc>
        <w:tc>
          <w:tcPr>
            <w:tcW w:w="2211" w:type="dxa"/>
          </w:tcPr>
          <w:p w14:paraId="0EC10A7C" w14:textId="416AE825" w:rsidR="00A4372E" w:rsidRPr="00193714" w:rsidRDefault="00743988" w:rsidP="00A4372E">
            <w:pPr>
              <w:pStyle w:val="DHHStablecolhead"/>
            </w:pPr>
            <w:r>
              <w:t>Target / risk trigger</w:t>
            </w:r>
          </w:p>
        </w:tc>
      </w:tr>
      <w:tr w:rsidR="00A4372E" w14:paraId="4EA4D87B" w14:textId="77777777" w:rsidTr="00A4372E">
        <w:trPr>
          <w:cantSplit/>
        </w:trPr>
        <w:tc>
          <w:tcPr>
            <w:tcW w:w="1985" w:type="dxa"/>
            <w:hideMark/>
          </w:tcPr>
          <w:p w14:paraId="2968F0A1" w14:textId="77777777" w:rsidR="00A4372E" w:rsidRDefault="00A4372E" w:rsidP="00A4372E">
            <w:pPr>
              <w:pStyle w:val="DHHStabletext"/>
            </w:pPr>
            <w:r>
              <w:t>Readmission</w:t>
            </w:r>
          </w:p>
        </w:tc>
        <w:tc>
          <w:tcPr>
            <w:tcW w:w="5103" w:type="dxa"/>
            <w:hideMark/>
          </w:tcPr>
          <w:p w14:paraId="39E42515" w14:textId="77777777" w:rsidR="00A4372E" w:rsidRDefault="00A4372E" w:rsidP="00A4372E">
            <w:pPr>
              <w:pStyle w:val="DHHStabletext"/>
            </w:pPr>
            <w:r>
              <w:t>Percentage of adult acute mental health inpatients who are readmitted within 28 days of discharge</w:t>
            </w:r>
          </w:p>
        </w:tc>
        <w:tc>
          <w:tcPr>
            <w:tcW w:w="2211" w:type="dxa"/>
          </w:tcPr>
          <w:p w14:paraId="006F733F" w14:textId="77777777" w:rsidR="00A4372E" w:rsidRDefault="00A4372E" w:rsidP="00A4372E">
            <w:pPr>
              <w:pStyle w:val="DHHStabletext"/>
            </w:pPr>
            <w:r>
              <w:t>14%</w:t>
            </w:r>
          </w:p>
        </w:tc>
      </w:tr>
      <w:tr w:rsidR="00A4372E" w14:paraId="638C28E8" w14:textId="77777777" w:rsidTr="00A4372E">
        <w:trPr>
          <w:cantSplit/>
        </w:trPr>
        <w:tc>
          <w:tcPr>
            <w:tcW w:w="1985" w:type="dxa"/>
            <w:vMerge w:val="restart"/>
            <w:hideMark/>
          </w:tcPr>
          <w:p w14:paraId="2511C10D" w14:textId="77777777" w:rsidR="00A4372E" w:rsidRDefault="00A4372E" w:rsidP="00A4372E">
            <w:pPr>
              <w:pStyle w:val="DHHStabletext"/>
            </w:pPr>
            <w:r>
              <w:t>Seclusion</w:t>
            </w:r>
          </w:p>
        </w:tc>
        <w:tc>
          <w:tcPr>
            <w:tcW w:w="5103" w:type="dxa"/>
            <w:hideMark/>
          </w:tcPr>
          <w:p w14:paraId="3527D0E9" w14:textId="77777777" w:rsidR="00A4372E" w:rsidRDefault="00A4372E" w:rsidP="00A4372E">
            <w:pPr>
              <w:pStyle w:val="DHHStabletext"/>
            </w:pPr>
            <w:r>
              <w:t>Rate of seclusion events relating to a child and adolescent acute mental health admission</w:t>
            </w:r>
          </w:p>
        </w:tc>
        <w:tc>
          <w:tcPr>
            <w:tcW w:w="2211" w:type="dxa"/>
          </w:tcPr>
          <w:p w14:paraId="53865588" w14:textId="77777777" w:rsidR="00A4372E" w:rsidRDefault="00A4372E" w:rsidP="00A4372E">
            <w:pPr>
              <w:pStyle w:val="DHHStabletext"/>
            </w:pPr>
            <w:r w:rsidRPr="000B2C9B">
              <w:t>≤ 15/1,000</w:t>
            </w:r>
          </w:p>
        </w:tc>
      </w:tr>
      <w:tr w:rsidR="00A4372E" w14:paraId="34A2E47E" w14:textId="77777777" w:rsidTr="00A4372E">
        <w:trPr>
          <w:cantSplit/>
        </w:trPr>
        <w:tc>
          <w:tcPr>
            <w:tcW w:w="1985" w:type="dxa"/>
            <w:vMerge/>
            <w:hideMark/>
          </w:tcPr>
          <w:p w14:paraId="130A38B5" w14:textId="77777777" w:rsidR="00A4372E" w:rsidRDefault="00A4372E" w:rsidP="00A4372E">
            <w:pPr>
              <w:pStyle w:val="DHHStabletext"/>
            </w:pPr>
          </w:p>
        </w:tc>
        <w:tc>
          <w:tcPr>
            <w:tcW w:w="5103" w:type="dxa"/>
            <w:hideMark/>
          </w:tcPr>
          <w:p w14:paraId="0A2E24DD" w14:textId="77777777" w:rsidR="00A4372E" w:rsidRDefault="00A4372E" w:rsidP="00A4372E">
            <w:pPr>
              <w:pStyle w:val="DHHStabletext"/>
            </w:pPr>
            <w:r>
              <w:t>Rate of seclusion events relating to an adult acute mental health admission</w:t>
            </w:r>
          </w:p>
        </w:tc>
        <w:tc>
          <w:tcPr>
            <w:tcW w:w="2211" w:type="dxa"/>
          </w:tcPr>
          <w:p w14:paraId="2748F31A" w14:textId="5879DEB9" w:rsidR="00A4372E" w:rsidRDefault="00A4372E" w:rsidP="00A4372E">
            <w:pPr>
              <w:pStyle w:val="DHHStabletext"/>
            </w:pPr>
            <w:r w:rsidRPr="000B2C9B">
              <w:t>≤ 15/1,000</w:t>
            </w:r>
            <w:bookmarkStart w:id="25" w:name="_Ref13738964"/>
            <w:r w:rsidR="00743988">
              <w:rPr>
                <w:rStyle w:val="FootnoteReference"/>
              </w:rPr>
              <w:footnoteReference w:id="5"/>
            </w:r>
            <w:bookmarkEnd w:id="25"/>
          </w:p>
        </w:tc>
      </w:tr>
      <w:tr w:rsidR="00A4372E" w14:paraId="493863E1" w14:textId="77777777" w:rsidTr="00A4372E">
        <w:trPr>
          <w:cantSplit/>
        </w:trPr>
        <w:tc>
          <w:tcPr>
            <w:tcW w:w="1985" w:type="dxa"/>
            <w:vMerge/>
            <w:hideMark/>
          </w:tcPr>
          <w:p w14:paraId="68248A84" w14:textId="77777777" w:rsidR="00A4372E" w:rsidRDefault="00A4372E" w:rsidP="00A4372E">
            <w:pPr>
              <w:pStyle w:val="DHHStabletext"/>
            </w:pPr>
          </w:p>
        </w:tc>
        <w:tc>
          <w:tcPr>
            <w:tcW w:w="5103" w:type="dxa"/>
            <w:hideMark/>
          </w:tcPr>
          <w:p w14:paraId="5CE2D480" w14:textId="77777777" w:rsidR="00A4372E" w:rsidRDefault="00A4372E" w:rsidP="00A4372E">
            <w:pPr>
              <w:pStyle w:val="DHHStabletext"/>
            </w:pPr>
            <w:r>
              <w:t>Rate of seclusion events relating to an aged acute mental health admission</w:t>
            </w:r>
          </w:p>
        </w:tc>
        <w:tc>
          <w:tcPr>
            <w:tcW w:w="2211" w:type="dxa"/>
          </w:tcPr>
          <w:p w14:paraId="04FF1795" w14:textId="77777777" w:rsidR="00A4372E" w:rsidRDefault="00A4372E" w:rsidP="00A4372E">
            <w:pPr>
              <w:pStyle w:val="DHHStabletext"/>
            </w:pPr>
            <w:r w:rsidRPr="000B2C9B">
              <w:t>≤ 15/1,000</w:t>
            </w:r>
          </w:p>
        </w:tc>
      </w:tr>
      <w:tr w:rsidR="00A4372E" w14:paraId="30977984" w14:textId="77777777" w:rsidTr="00A4372E">
        <w:trPr>
          <w:cantSplit/>
        </w:trPr>
        <w:tc>
          <w:tcPr>
            <w:tcW w:w="1985" w:type="dxa"/>
            <w:vMerge w:val="restart"/>
          </w:tcPr>
          <w:p w14:paraId="135C83C9" w14:textId="77777777" w:rsidR="00A4372E" w:rsidRDefault="00A4372E" w:rsidP="00A4372E">
            <w:pPr>
              <w:pStyle w:val="DHHStabletext"/>
            </w:pPr>
            <w:r>
              <w:t>Post-discharge follow-up</w:t>
            </w:r>
          </w:p>
        </w:tc>
        <w:tc>
          <w:tcPr>
            <w:tcW w:w="5103" w:type="dxa"/>
            <w:hideMark/>
          </w:tcPr>
          <w:p w14:paraId="5F386FB6" w14:textId="77777777" w:rsidR="00A4372E" w:rsidRDefault="00A4372E" w:rsidP="00A4372E">
            <w:pPr>
              <w:pStyle w:val="DHHStabletext"/>
            </w:pPr>
            <w:r>
              <w:t xml:space="preserve">Percentage of child and adolescent acute mental health inpatients who have a post-discharge follow-up within seven days </w:t>
            </w:r>
          </w:p>
        </w:tc>
        <w:tc>
          <w:tcPr>
            <w:tcW w:w="2211" w:type="dxa"/>
          </w:tcPr>
          <w:p w14:paraId="13229414" w14:textId="77777777" w:rsidR="00A4372E" w:rsidRDefault="00A4372E" w:rsidP="00A4372E">
            <w:pPr>
              <w:pStyle w:val="DHHStabletext"/>
            </w:pPr>
            <w:r>
              <w:t>80%</w:t>
            </w:r>
          </w:p>
        </w:tc>
      </w:tr>
      <w:tr w:rsidR="00A4372E" w14:paraId="38C1D278" w14:textId="77777777" w:rsidTr="00A4372E">
        <w:trPr>
          <w:cantSplit/>
        </w:trPr>
        <w:tc>
          <w:tcPr>
            <w:tcW w:w="1985" w:type="dxa"/>
            <w:vMerge/>
            <w:hideMark/>
          </w:tcPr>
          <w:p w14:paraId="3E1D83E9" w14:textId="77777777" w:rsidR="00A4372E" w:rsidRDefault="00A4372E" w:rsidP="00A4372E">
            <w:pPr>
              <w:pStyle w:val="DHHStabletext"/>
            </w:pPr>
          </w:p>
        </w:tc>
        <w:tc>
          <w:tcPr>
            <w:tcW w:w="5103" w:type="dxa"/>
            <w:hideMark/>
          </w:tcPr>
          <w:p w14:paraId="0D5A5C03" w14:textId="77777777" w:rsidR="00A4372E" w:rsidRDefault="00A4372E" w:rsidP="00A4372E">
            <w:pPr>
              <w:pStyle w:val="DHHStabletext"/>
            </w:pPr>
            <w:r>
              <w:t>Percentage of acute mental health adult inpatients with post-discharge follow-up within seven days</w:t>
            </w:r>
          </w:p>
        </w:tc>
        <w:tc>
          <w:tcPr>
            <w:tcW w:w="2211" w:type="dxa"/>
          </w:tcPr>
          <w:p w14:paraId="5E8894D0" w14:textId="2D24AA03" w:rsidR="00A4372E" w:rsidRDefault="00A4372E" w:rsidP="00A4372E">
            <w:pPr>
              <w:pStyle w:val="DHHStabletext"/>
            </w:pPr>
            <w:r>
              <w:t>80</w:t>
            </w:r>
            <w:r w:rsidRPr="00C941AB">
              <w:t>%</w:t>
            </w:r>
            <w:r w:rsidR="00AC6944">
              <w:rPr>
                <w:vertAlign w:val="superscript"/>
              </w:rPr>
              <w:fldChar w:fldCharType="begin"/>
            </w:r>
            <w:r w:rsidR="00AC6944">
              <w:rPr>
                <w:vertAlign w:val="superscript"/>
              </w:rPr>
              <w:instrText xml:space="preserve"> NOTEREF _Ref13738964 \h </w:instrText>
            </w:r>
            <w:r w:rsidR="00AC6944">
              <w:rPr>
                <w:vertAlign w:val="superscript"/>
              </w:rPr>
            </w:r>
            <w:r w:rsidR="00AC6944">
              <w:rPr>
                <w:vertAlign w:val="superscript"/>
              </w:rPr>
              <w:fldChar w:fldCharType="separate"/>
            </w:r>
            <w:r w:rsidR="007854E0">
              <w:rPr>
                <w:vertAlign w:val="superscript"/>
              </w:rPr>
              <w:t>4</w:t>
            </w:r>
            <w:r w:rsidR="00AC6944">
              <w:rPr>
                <w:vertAlign w:val="superscript"/>
              </w:rPr>
              <w:fldChar w:fldCharType="end"/>
            </w:r>
          </w:p>
        </w:tc>
      </w:tr>
      <w:tr w:rsidR="00A4372E" w14:paraId="18FDB82E" w14:textId="77777777" w:rsidTr="00A4372E">
        <w:trPr>
          <w:cantSplit/>
        </w:trPr>
        <w:tc>
          <w:tcPr>
            <w:tcW w:w="1985" w:type="dxa"/>
            <w:vMerge/>
            <w:hideMark/>
          </w:tcPr>
          <w:p w14:paraId="7EB41670" w14:textId="77777777" w:rsidR="00A4372E" w:rsidRDefault="00A4372E" w:rsidP="00A4372E">
            <w:pPr>
              <w:pStyle w:val="DHHStabletext"/>
            </w:pPr>
          </w:p>
        </w:tc>
        <w:tc>
          <w:tcPr>
            <w:tcW w:w="5103" w:type="dxa"/>
            <w:hideMark/>
          </w:tcPr>
          <w:p w14:paraId="5DCDC684" w14:textId="77777777" w:rsidR="00A4372E" w:rsidRDefault="00A4372E" w:rsidP="00A4372E">
            <w:pPr>
              <w:pStyle w:val="DHHStabletext"/>
            </w:pPr>
            <w:r>
              <w:t>Percentage of acute mental health aged inpatients who have a post-discharge follow-up within seven days</w:t>
            </w:r>
          </w:p>
        </w:tc>
        <w:tc>
          <w:tcPr>
            <w:tcW w:w="2211" w:type="dxa"/>
          </w:tcPr>
          <w:p w14:paraId="3A458B4C" w14:textId="77777777" w:rsidR="00A4372E" w:rsidRDefault="00A4372E" w:rsidP="00A4372E">
            <w:pPr>
              <w:pStyle w:val="DHHStabletext"/>
            </w:pPr>
            <w:r>
              <w:t>80</w:t>
            </w:r>
            <w:r w:rsidRPr="00C941AB">
              <w:t>%</w:t>
            </w:r>
          </w:p>
        </w:tc>
      </w:tr>
    </w:tbl>
    <w:p w14:paraId="0018EE1B" w14:textId="77777777" w:rsidR="004534F0" w:rsidRDefault="004534F0" w:rsidP="004534F0">
      <w:pPr>
        <w:pStyle w:val="Heading4"/>
      </w:pPr>
      <w:bookmarkStart w:id="26" w:name="_Toc15580062"/>
      <w:r w:rsidRPr="00EA6EA6">
        <w:t>Maternity and newborn</w:t>
      </w:r>
      <w:bookmarkEnd w:id="26"/>
    </w:p>
    <w:tbl>
      <w:tblPr>
        <w:tblStyle w:val="TableGrid"/>
        <w:tblW w:w="9299" w:type="dxa"/>
        <w:tblLayout w:type="fixed"/>
        <w:tblLook w:val="06A0" w:firstRow="1" w:lastRow="0" w:firstColumn="1" w:lastColumn="0" w:noHBand="1" w:noVBand="1"/>
      </w:tblPr>
      <w:tblGrid>
        <w:gridCol w:w="1985"/>
        <w:gridCol w:w="5103"/>
        <w:gridCol w:w="2211"/>
      </w:tblGrid>
      <w:tr w:rsidR="00A4372E" w:rsidRPr="00193714" w14:paraId="6544576B" w14:textId="77777777" w:rsidTr="00A4372E">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40A2F55B" w14:textId="77777777" w:rsidR="00A4372E" w:rsidRPr="00193714" w:rsidRDefault="00A4372E" w:rsidP="00A4372E">
            <w:pPr>
              <w:pStyle w:val="DHHStablecolhead"/>
            </w:pPr>
            <w:r w:rsidRPr="00193714">
              <w:t>KPI</w:t>
            </w:r>
          </w:p>
        </w:tc>
        <w:tc>
          <w:tcPr>
            <w:tcW w:w="5103" w:type="dxa"/>
            <w:hideMark/>
          </w:tcPr>
          <w:p w14:paraId="46AB6E2A" w14:textId="77777777" w:rsidR="00A4372E" w:rsidRPr="00193714" w:rsidRDefault="00A4372E" w:rsidP="00A4372E">
            <w:pPr>
              <w:pStyle w:val="DHHStablecolhead"/>
            </w:pPr>
            <w:r w:rsidRPr="00193714">
              <w:t>KPI description</w:t>
            </w:r>
          </w:p>
        </w:tc>
        <w:tc>
          <w:tcPr>
            <w:tcW w:w="2211" w:type="dxa"/>
          </w:tcPr>
          <w:p w14:paraId="39AE0D63" w14:textId="0B7891CD" w:rsidR="00A4372E" w:rsidRPr="00193714" w:rsidRDefault="00743988" w:rsidP="00A4372E">
            <w:pPr>
              <w:pStyle w:val="DHHStablecolhead"/>
            </w:pPr>
            <w:r>
              <w:t>Target / risk trigger</w:t>
            </w:r>
          </w:p>
        </w:tc>
      </w:tr>
      <w:tr w:rsidR="00A4372E" w14:paraId="22559346" w14:textId="77777777" w:rsidTr="00A4372E">
        <w:trPr>
          <w:cantSplit/>
        </w:trPr>
        <w:tc>
          <w:tcPr>
            <w:tcW w:w="1985" w:type="dxa"/>
            <w:hideMark/>
          </w:tcPr>
          <w:p w14:paraId="09DA9684" w14:textId="77777777" w:rsidR="00A4372E" w:rsidRDefault="00A4372E" w:rsidP="00A4372E">
            <w:pPr>
              <w:pStyle w:val="DHHStabletext"/>
            </w:pPr>
            <w:r>
              <w:t>Apgar score</w:t>
            </w:r>
          </w:p>
        </w:tc>
        <w:tc>
          <w:tcPr>
            <w:tcW w:w="5103" w:type="dxa"/>
            <w:hideMark/>
          </w:tcPr>
          <w:p w14:paraId="21CCF5FC" w14:textId="240F6823" w:rsidR="00A4372E" w:rsidRDefault="00A4372E" w:rsidP="00A4372E">
            <w:pPr>
              <w:pStyle w:val="DHHStabletext"/>
            </w:pPr>
            <w:r>
              <w:t>Rate of singleton term infants without birth anomalies with Apgar score &lt;</w:t>
            </w:r>
            <w:r w:rsidR="00EC7924">
              <w:t xml:space="preserve"> </w:t>
            </w:r>
            <w:r>
              <w:t>7 to 5 minutes</w:t>
            </w:r>
          </w:p>
        </w:tc>
        <w:tc>
          <w:tcPr>
            <w:tcW w:w="2211" w:type="dxa"/>
          </w:tcPr>
          <w:p w14:paraId="4F058895" w14:textId="2A0AC4B0" w:rsidR="00A4372E" w:rsidRDefault="00A4372E" w:rsidP="00A4372E">
            <w:pPr>
              <w:pStyle w:val="DHHStabletext"/>
            </w:pPr>
            <w:r>
              <w:t>≤</w:t>
            </w:r>
            <w:r w:rsidR="00C35D7C">
              <w:t xml:space="preserve"> </w:t>
            </w:r>
            <w:r w:rsidRPr="00BB2E53">
              <w:rPr>
                <w:lang w:val="en-US"/>
              </w:rPr>
              <w:t>1.</w:t>
            </w:r>
            <w:r>
              <w:rPr>
                <w:lang w:val="en-US"/>
              </w:rPr>
              <w:t>4</w:t>
            </w:r>
            <w:r w:rsidRPr="004827A9">
              <w:rPr>
                <w:lang w:val="en-US"/>
              </w:rPr>
              <w:t>%</w:t>
            </w:r>
          </w:p>
        </w:tc>
      </w:tr>
      <w:tr w:rsidR="00A4372E" w14:paraId="23EC3CE2" w14:textId="77777777" w:rsidTr="00A4372E">
        <w:trPr>
          <w:cantSplit/>
        </w:trPr>
        <w:tc>
          <w:tcPr>
            <w:tcW w:w="1985" w:type="dxa"/>
            <w:hideMark/>
          </w:tcPr>
          <w:p w14:paraId="47FFA16C" w14:textId="77777777" w:rsidR="00A4372E" w:rsidRDefault="00A4372E" w:rsidP="00A4372E">
            <w:pPr>
              <w:pStyle w:val="DHHStabletext"/>
            </w:pPr>
            <w:r>
              <w:t>FGR</w:t>
            </w:r>
          </w:p>
        </w:tc>
        <w:tc>
          <w:tcPr>
            <w:tcW w:w="5103" w:type="dxa"/>
            <w:hideMark/>
          </w:tcPr>
          <w:p w14:paraId="34E08088" w14:textId="77777777" w:rsidR="00A4372E" w:rsidRDefault="00A4372E" w:rsidP="00A4372E">
            <w:pPr>
              <w:pStyle w:val="DHHStabletext"/>
            </w:pPr>
            <w:r>
              <w:t xml:space="preserve">Rate of </w:t>
            </w:r>
            <w:r w:rsidRPr="00BB2E53">
              <w:t>severe f</w:t>
            </w:r>
            <w:r w:rsidRPr="004827A9">
              <w:t>etal growth</w:t>
            </w:r>
            <w:r>
              <w:t xml:space="preserve"> restriction (FGR) in singleton pregnancy undelivered by 40 weeks</w:t>
            </w:r>
          </w:p>
        </w:tc>
        <w:tc>
          <w:tcPr>
            <w:tcW w:w="2211" w:type="dxa"/>
          </w:tcPr>
          <w:p w14:paraId="23AFA225" w14:textId="77777777" w:rsidR="00A4372E" w:rsidRDefault="00A4372E" w:rsidP="00A4372E">
            <w:pPr>
              <w:pStyle w:val="DHHStabletext"/>
            </w:pPr>
            <w:r>
              <w:t>≤ 28.6%</w:t>
            </w:r>
          </w:p>
        </w:tc>
      </w:tr>
      <w:tr w:rsidR="00A4372E" w14:paraId="7A8F04AB" w14:textId="77777777" w:rsidTr="00A4372E">
        <w:trPr>
          <w:cantSplit/>
        </w:trPr>
        <w:tc>
          <w:tcPr>
            <w:tcW w:w="1985" w:type="dxa"/>
          </w:tcPr>
          <w:p w14:paraId="38E882F8" w14:textId="77777777" w:rsidR="00A4372E" w:rsidRDefault="00A4372E" w:rsidP="00A4372E">
            <w:pPr>
              <w:pStyle w:val="DHHStabletext"/>
            </w:pPr>
            <w:r>
              <w:t>Specialist clinic waiting time – obstetrics</w:t>
            </w:r>
          </w:p>
        </w:tc>
        <w:tc>
          <w:tcPr>
            <w:tcW w:w="5103" w:type="dxa"/>
          </w:tcPr>
          <w:p w14:paraId="4AF527E7" w14:textId="77777777" w:rsidR="00A4372E" w:rsidRDefault="00A4372E" w:rsidP="00A4372E">
            <w:pPr>
              <w:pStyle w:val="DHHStabletext"/>
            </w:pPr>
            <w:r w:rsidRPr="009B2CA8">
              <w:t>Proportion of urgent maternity patients referred for obstetric care to a level 4, 5 or 6 maternit</w:t>
            </w:r>
            <w:r>
              <w:t>y service who were booked for a specialist clinic</w:t>
            </w:r>
            <w:r w:rsidRPr="009B2CA8">
              <w:t xml:space="preserve"> appointment within 30 days of accepted referral</w:t>
            </w:r>
          </w:p>
        </w:tc>
        <w:tc>
          <w:tcPr>
            <w:tcW w:w="2211" w:type="dxa"/>
          </w:tcPr>
          <w:p w14:paraId="3A08B185" w14:textId="77777777" w:rsidR="00A4372E" w:rsidRDefault="00A4372E" w:rsidP="00A4372E">
            <w:pPr>
              <w:pStyle w:val="DHHStabletext"/>
            </w:pPr>
            <w:r>
              <w:t>100%</w:t>
            </w:r>
          </w:p>
        </w:tc>
      </w:tr>
    </w:tbl>
    <w:p w14:paraId="479FCB51" w14:textId="77777777" w:rsidR="004534F0" w:rsidRDefault="004534F0" w:rsidP="004534F0">
      <w:pPr>
        <w:pStyle w:val="Heading4"/>
      </w:pPr>
      <w:bookmarkStart w:id="27" w:name="_Toc15580063"/>
      <w:r>
        <w:t>Continuing care</w:t>
      </w:r>
      <w:bookmarkEnd w:id="27"/>
    </w:p>
    <w:tbl>
      <w:tblPr>
        <w:tblStyle w:val="TableGrid"/>
        <w:tblW w:w="9299" w:type="dxa"/>
        <w:tblLayout w:type="fixed"/>
        <w:tblLook w:val="06A0" w:firstRow="1" w:lastRow="0" w:firstColumn="1" w:lastColumn="0" w:noHBand="1" w:noVBand="1"/>
      </w:tblPr>
      <w:tblGrid>
        <w:gridCol w:w="1985"/>
        <w:gridCol w:w="5103"/>
        <w:gridCol w:w="2211"/>
      </w:tblGrid>
      <w:tr w:rsidR="00A4372E" w:rsidRPr="00193714" w14:paraId="1E2A0AB0" w14:textId="77777777" w:rsidTr="00A4372E">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13466FD5" w14:textId="77777777" w:rsidR="00A4372E" w:rsidRPr="00193714" w:rsidRDefault="00A4372E" w:rsidP="00A4372E">
            <w:pPr>
              <w:pStyle w:val="DHHStablecolhead"/>
            </w:pPr>
            <w:r w:rsidRPr="00193714">
              <w:t>KPI</w:t>
            </w:r>
          </w:p>
        </w:tc>
        <w:tc>
          <w:tcPr>
            <w:tcW w:w="5103" w:type="dxa"/>
            <w:hideMark/>
          </w:tcPr>
          <w:p w14:paraId="103CFA2D" w14:textId="77777777" w:rsidR="00A4372E" w:rsidRPr="00193714" w:rsidRDefault="00A4372E" w:rsidP="00A4372E">
            <w:pPr>
              <w:pStyle w:val="DHHStablecolhead"/>
            </w:pPr>
            <w:r w:rsidRPr="00193714">
              <w:t>KPI description</w:t>
            </w:r>
          </w:p>
        </w:tc>
        <w:tc>
          <w:tcPr>
            <w:tcW w:w="2211" w:type="dxa"/>
          </w:tcPr>
          <w:p w14:paraId="0E5641E1" w14:textId="1FDAB097" w:rsidR="00A4372E" w:rsidRPr="00193714" w:rsidRDefault="00743988" w:rsidP="00A4372E">
            <w:pPr>
              <w:pStyle w:val="DHHStablecolhead"/>
            </w:pPr>
            <w:r>
              <w:t>Target / risk trigger</w:t>
            </w:r>
          </w:p>
        </w:tc>
      </w:tr>
      <w:tr w:rsidR="00A4372E" w14:paraId="4F0EE7DA" w14:textId="77777777" w:rsidTr="00A4372E">
        <w:trPr>
          <w:cantSplit/>
        </w:trPr>
        <w:tc>
          <w:tcPr>
            <w:tcW w:w="1985" w:type="dxa"/>
          </w:tcPr>
          <w:p w14:paraId="4DE8D362" w14:textId="58A8A732" w:rsidR="00A4372E" w:rsidRDefault="00956D03" w:rsidP="00A4372E">
            <w:pPr>
              <w:pStyle w:val="DHHStabletext"/>
            </w:pPr>
            <w:r>
              <w:t>Functional Independence Measure (</w:t>
            </w:r>
            <w:r w:rsidR="00A4372E">
              <w:t>FIM™</w:t>
            </w:r>
            <w:r>
              <w:t>)</w:t>
            </w:r>
            <w:r w:rsidR="00A4372E">
              <w:t xml:space="preserve"> efficiency</w:t>
            </w:r>
          </w:p>
        </w:tc>
        <w:tc>
          <w:tcPr>
            <w:tcW w:w="5103" w:type="dxa"/>
          </w:tcPr>
          <w:p w14:paraId="78024172" w14:textId="77777777" w:rsidR="00A4372E" w:rsidRDefault="00A4372E" w:rsidP="00A4372E">
            <w:pPr>
              <w:pStyle w:val="DHHStabletext"/>
            </w:pPr>
            <w:r>
              <w:t>Functional independence gain from admission to discharge relative to length of stay for rehabilitation patients</w:t>
            </w:r>
          </w:p>
        </w:tc>
        <w:tc>
          <w:tcPr>
            <w:tcW w:w="2211" w:type="dxa"/>
          </w:tcPr>
          <w:p w14:paraId="0995B35F" w14:textId="77777777" w:rsidR="00A4372E" w:rsidRDefault="00A4372E" w:rsidP="00A4372E">
            <w:pPr>
              <w:pStyle w:val="DHHStabletext"/>
            </w:pPr>
            <w:r>
              <w:t>≥ 0.645</w:t>
            </w:r>
          </w:p>
        </w:tc>
      </w:tr>
    </w:tbl>
    <w:p w14:paraId="311ADF3D" w14:textId="77777777" w:rsidR="00743988" w:rsidRPr="00743988" w:rsidRDefault="00743988" w:rsidP="00743988">
      <w:pPr>
        <w:pStyle w:val="DHHSbody"/>
      </w:pPr>
      <w:r w:rsidRPr="00743988">
        <w:br w:type="page"/>
      </w:r>
    </w:p>
    <w:p w14:paraId="5847C541" w14:textId="070049C6" w:rsidR="004534F0" w:rsidRDefault="004534F0" w:rsidP="004534F0">
      <w:pPr>
        <w:pStyle w:val="Heading4"/>
      </w:pPr>
      <w:bookmarkStart w:id="28" w:name="_Toc15580064"/>
      <w:r>
        <w:lastRenderedPageBreak/>
        <w:t>Ambulance Victoria</w:t>
      </w:r>
      <w:bookmarkEnd w:id="28"/>
    </w:p>
    <w:tbl>
      <w:tblPr>
        <w:tblStyle w:val="TableGrid"/>
        <w:tblW w:w="9299" w:type="dxa"/>
        <w:tblLayout w:type="fixed"/>
        <w:tblLook w:val="06A0" w:firstRow="1" w:lastRow="0" w:firstColumn="1" w:lastColumn="0" w:noHBand="1" w:noVBand="1"/>
      </w:tblPr>
      <w:tblGrid>
        <w:gridCol w:w="1985"/>
        <w:gridCol w:w="5103"/>
        <w:gridCol w:w="2211"/>
      </w:tblGrid>
      <w:tr w:rsidR="004534F0" w:rsidRPr="00193714" w14:paraId="20308F2D" w14:textId="77777777" w:rsidTr="00A4372E">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7C7B0F96" w14:textId="77777777" w:rsidR="004534F0" w:rsidRPr="00193714" w:rsidRDefault="004534F0" w:rsidP="00603215">
            <w:pPr>
              <w:pStyle w:val="DHHStablecolhead"/>
            </w:pPr>
            <w:r w:rsidRPr="00193714">
              <w:t>KPI</w:t>
            </w:r>
          </w:p>
        </w:tc>
        <w:tc>
          <w:tcPr>
            <w:tcW w:w="5103" w:type="dxa"/>
            <w:hideMark/>
          </w:tcPr>
          <w:p w14:paraId="1811E335" w14:textId="77777777" w:rsidR="004534F0" w:rsidRPr="00193714" w:rsidRDefault="004534F0" w:rsidP="00603215">
            <w:pPr>
              <w:pStyle w:val="DHHStablecolhead"/>
            </w:pPr>
            <w:r w:rsidRPr="00193714">
              <w:t>KPI description</w:t>
            </w:r>
          </w:p>
        </w:tc>
        <w:tc>
          <w:tcPr>
            <w:tcW w:w="2211" w:type="dxa"/>
          </w:tcPr>
          <w:p w14:paraId="7BB38ECE" w14:textId="7D2AB59D" w:rsidR="004534F0" w:rsidRPr="00193714" w:rsidRDefault="00743988" w:rsidP="00603215">
            <w:pPr>
              <w:pStyle w:val="DHHStablecolhead"/>
            </w:pPr>
            <w:r>
              <w:t>Target / risk trigger</w:t>
            </w:r>
          </w:p>
        </w:tc>
      </w:tr>
      <w:tr w:rsidR="004534F0" w14:paraId="0AE6D080" w14:textId="77777777" w:rsidTr="00A4372E">
        <w:trPr>
          <w:cantSplit/>
        </w:trPr>
        <w:tc>
          <w:tcPr>
            <w:tcW w:w="1985" w:type="dxa"/>
          </w:tcPr>
          <w:p w14:paraId="5FE3CCBF" w14:textId="5BD472DC" w:rsidR="004534F0" w:rsidRPr="0063033A" w:rsidRDefault="004534F0" w:rsidP="0071472C">
            <w:pPr>
              <w:pStyle w:val="DHHStabletext"/>
            </w:pPr>
            <w:r w:rsidRPr="0063033A">
              <w:t>Patient satisfaction</w:t>
            </w:r>
          </w:p>
        </w:tc>
        <w:tc>
          <w:tcPr>
            <w:tcW w:w="5103" w:type="dxa"/>
          </w:tcPr>
          <w:p w14:paraId="41329F1E" w14:textId="6921970C" w:rsidR="004534F0" w:rsidRPr="0063033A" w:rsidRDefault="004534F0" w:rsidP="0071472C">
            <w:pPr>
              <w:pStyle w:val="DHHStabletext"/>
            </w:pPr>
            <w:r w:rsidRPr="0063033A">
              <w:t>VHES</w:t>
            </w:r>
            <w:r>
              <w:t xml:space="preserve"> – </w:t>
            </w:r>
            <w:r w:rsidRPr="0063033A">
              <w:t>percentage of patients that were satisfied or very satisfied with their care and treatment received from paramedics</w:t>
            </w:r>
          </w:p>
        </w:tc>
        <w:tc>
          <w:tcPr>
            <w:tcW w:w="2211" w:type="dxa"/>
          </w:tcPr>
          <w:p w14:paraId="4E0F12AC" w14:textId="4AD77677" w:rsidR="004534F0" w:rsidRDefault="004534F0" w:rsidP="0071472C">
            <w:pPr>
              <w:pStyle w:val="DHHStabletext"/>
            </w:pPr>
            <w:r>
              <w:t>95%</w:t>
            </w:r>
          </w:p>
        </w:tc>
      </w:tr>
      <w:tr w:rsidR="004534F0" w14:paraId="662F1A33" w14:textId="77777777" w:rsidTr="00A4372E">
        <w:trPr>
          <w:cantSplit/>
        </w:trPr>
        <w:tc>
          <w:tcPr>
            <w:tcW w:w="1985" w:type="dxa"/>
          </w:tcPr>
          <w:p w14:paraId="626AAFBE" w14:textId="31967DF4" w:rsidR="004534F0" w:rsidRDefault="004534F0" w:rsidP="0071472C">
            <w:pPr>
              <w:pStyle w:val="DHHStabletext"/>
            </w:pPr>
            <w:r w:rsidRPr="0063033A">
              <w:t>Patient satisfaction</w:t>
            </w:r>
          </w:p>
        </w:tc>
        <w:tc>
          <w:tcPr>
            <w:tcW w:w="5103" w:type="dxa"/>
          </w:tcPr>
          <w:p w14:paraId="31E4FEAA" w14:textId="1EA2DF28" w:rsidR="004534F0" w:rsidRDefault="004534F0" w:rsidP="0071472C">
            <w:pPr>
              <w:pStyle w:val="DHHStabletext"/>
            </w:pPr>
            <w:r>
              <w:t xml:space="preserve">VHES – </w:t>
            </w:r>
            <w:r w:rsidRPr="0063033A">
              <w:t>percentage of patients that were satisfied or very satisfied with</w:t>
            </w:r>
            <w:r>
              <w:t xml:space="preserve"> the care received from the ambulance service</w:t>
            </w:r>
          </w:p>
        </w:tc>
        <w:tc>
          <w:tcPr>
            <w:tcW w:w="2211" w:type="dxa"/>
          </w:tcPr>
          <w:p w14:paraId="390A9627" w14:textId="310E28FD" w:rsidR="004534F0" w:rsidRDefault="004534F0" w:rsidP="0071472C">
            <w:pPr>
              <w:pStyle w:val="DHHStabletext"/>
            </w:pPr>
            <w:r>
              <w:t>95%</w:t>
            </w:r>
          </w:p>
        </w:tc>
      </w:tr>
      <w:tr w:rsidR="004534F0" w14:paraId="23B3CCFA" w14:textId="77777777" w:rsidTr="00A4372E">
        <w:trPr>
          <w:cantSplit/>
        </w:trPr>
        <w:tc>
          <w:tcPr>
            <w:tcW w:w="1985" w:type="dxa"/>
          </w:tcPr>
          <w:p w14:paraId="7E9D50DF" w14:textId="20806387" w:rsidR="004534F0" w:rsidRDefault="004534F0" w:rsidP="0071472C">
            <w:pPr>
              <w:pStyle w:val="DHHStabletext"/>
            </w:pPr>
            <w:r>
              <w:t xml:space="preserve">Pain reduction </w:t>
            </w:r>
          </w:p>
        </w:tc>
        <w:tc>
          <w:tcPr>
            <w:tcW w:w="5103" w:type="dxa"/>
          </w:tcPr>
          <w:p w14:paraId="74347EA8" w14:textId="7876FA6C" w:rsidR="004534F0" w:rsidRDefault="004534F0" w:rsidP="0071472C">
            <w:pPr>
              <w:pStyle w:val="DHHStabletext"/>
            </w:pPr>
            <w:r>
              <w:t>Percentage of patients experiencing severe cardiac or traumatic pain whose level of pain was reduced significantly</w:t>
            </w:r>
          </w:p>
        </w:tc>
        <w:tc>
          <w:tcPr>
            <w:tcW w:w="2211" w:type="dxa"/>
          </w:tcPr>
          <w:p w14:paraId="1CEBF8C8" w14:textId="0771F869" w:rsidR="004534F0" w:rsidRDefault="004534F0" w:rsidP="0071472C">
            <w:pPr>
              <w:pStyle w:val="DHHStabletext"/>
            </w:pPr>
            <w:r>
              <w:t>90%</w:t>
            </w:r>
          </w:p>
        </w:tc>
      </w:tr>
      <w:tr w:rsidR="004534F0" w14:paraId="48BF10C0" w14:textId="77777777" w:rsidTr="00A4372E">
        <w:trPr>
          <w:cantSplit/>
        </w:trPr>
        <w:tc>
          <w:tcPr>
            <w:tcW w:w="1985" w:type="dxa"/>
            <w:hideMark/>
          </w:tcPr>
          <w:p w14:paraId="5AED3359" w14:textId="46E8885A" w:rsidR="004534F0" w:rsidRDefault="004534F0" w:rsidP="0071472C">
            <w:pPr>
              <w:pStyle w:val="DHHStabletext"/>
            </w:pPr>
            <w:r>
              <w:t>Stroke patients transport</w:t>
            </w:r>
          </w:p>
        </w:tc>
        <w:tc>
          <w:tcPr>
            <w:tcW w:w="5103" w:type="dxa"/>
            <w:hideMark/>
          </w:tcPr>
          <w:p w14:paraId="58D7CF4C" w14:textId="2BD37211" w:rsidR="004534F0" w:rsidRDefault="004534F0" w:rsidP="0071472C">
            <w:pPr>
              <w:pStyle w:val="DHHStabletext"/>
            </w:pPr>
            <w:r>
              <w:t>Percentage of adult stroke patients transported to definitive care within 60 minutes</w:t>
            </w:r>
          </w:p>
        </w:tc>
        <w:tc>
          <w:tcPr>
            <w:tcW w:w="2211" w:type="dxa"/>
          </w:tcPr>
          <w:p w14:paraId="6A387B03" w14:textId="69CBBB2F" w:rsidR="004534F0" w:rsidRDefault="004534F0" w:rsidP="0071472C">
            <w:pPr>
              <w:pStyle w:val="DHHStabletext"/>
            </w:pPr>
            <w:r>
              <w:t>90%</w:t>
            </w:r>
          </w:p>
        </w:tc>
      </w:tr>
      <w:tr w:rsidR="004534F0" w14:paraId="4A90163E" w14:textId="77777777" w:rsidTr="00A4372E">
        <w:trPr>
          <w:cantSplit/>
        </w:trPr>
        <w:tc>
          <w:tcPr>
            <w:tcW w:w="1985" w:type="dxa"/>
            <w:hideMark/>
          </w:tcPr>
          <w:p w14:paraId="441D009D" w14:textId="47D8DF14" w:rsidR="004534F0" w:rsidRDefault="004534F0" w:rsidP="0071472C">
            <w:pPr>
              <w:pStyle w:val="DHHStabletext"/>
            </w:pPr>
            <w:r>
              <w:t>Trauma patients transport</w:t>
            </w:r>
          </w:p>
        </w:tc>
        <w:tc>
          <w:tcPr>
            <w:tcW w:w="5103" w:type="dxa"/>
            <w:hideMark/>
          </w:tcPr>
          <w:p w14:paraId="27AD5D48" w14:textId="65F2D668" w:rsidR="004534F0" w:rsidRDefault="004534F0" w:rsidP="0071472C">
            <w:pPr>
              <w:pStyle w:val="DHHStabletext"/>
            </w:pPr>
            <w:r>
              <w:t>Percentage of major trauma patients that meet destination compliance</w:t>
            </w:r>
          </w:p>
        </w:tc>
        <w:tc>
          <w:tcPr>
            <w:tcW w:w="2211" w:type="dxa"/>
          </w:tcPr>
          <w:p w14:paraId="40E04941" w14:textId="3018534F" w:rsidR="004534F0" w:rsidRDefault="004534F0" w:rsidP="0071472C">
            <w:pPr>
              <w:pStyle w:val="DHHStabletext"/>
            </w:pPr>
            <w:r>
              <w:t>85%</w:t>
            </w:r>
          </w:p>
        </w:tc>
      </w:tr>
      <w:tr w:rsidR="004534F0" w14:paraId="77B54B3A" w14:textId="77777777" w:rsidTr="00A4372E">
        <w:trPr>
          <w:cantSplit/>
        </w:trPr>
        <w:tc>
          <w:tcPr>
            <w:tcW w:w="1985" w:type="dxa"/>
            <w:hideMark/>
          </w:tcPr>
          <w:p w14:paraId="111698E0" w14:textId="3040DD62" w:rsidR="004534F0" w:rsidRDefault="004534F0" w:rsidP="0071472C">
            <w:pPr>
              <w:pStyle w:val="DHHStabletext"/>
            </w:pPr>
            <w:r>
              <w:t xml:space="preserve">Cardiac survival to hospital </w:t>
            </w:r>
          </w:p>
        </w:tc>
        <w:tc>
          <w:tcPr>
            <w:tcW w:w="5103" w:type="dxa"/>
            <w:hideMark/>
          </w:tcPr>
          <w:p w14:paraId="2AF376B5" w14:textId="4379D0B8" w:rsidR="004534F0" w:rsidRDefault="004534F0" w:rsidP="0071472C">
            <w:pPr>
              <w:pStyle w:val="DHHStabletext"/>
            </w:pPr>
            <w:r>
              <w:t xml:space="preserve">Percentage of adult cardiac arrest patients surviving to hospital </w:t>
            </w:r>
          </w:p>
        </w:tc>
        <w:tc>
          <w:tcPr>
            <w:tcW w:w="2211" w:type="dxa"/>
          </w:tcPr>
          <w:p w14:paraId="591DD378" w14:textId="3348EDB3" w:rsidR="004534F0" w:rsidRDefault="004534F0" w:rsidP="0071472C">
            <w:pPr>
              <w:pStyle w:val="DHHStabletext"/>
            </w:pPr>
            <w:r>
              <w:t>50%</w:t>
            </w:r>
          </w:p>
        </w:tc>
      </w:tr>
      <w:tr w:rsidR="004534F0" w14:paraId="2496C6AC" w14:textId="77777777" w:rsidTr="00A4372E">
        <w:trPr>
          <w:cantSplit/>
        </w:trPr>
        <w:tc>
          <w:tcPr>
            <w:tcW w:w="1985" w:type="dxa"/>
            <w:hideMark/>
          </w:tcPr>
          <w:p w14:paraId="75E13492" w14:textId="4159D315" w:rsidR="004534F0" w:rsidRDefault="004534F0" w:rsidP="0071472C">
            <w:pPr>
              <w:pStyle w:val="DHHStabletext"/>
            </w:pPr>
            <w:r>
              <w:t>Cardiac survival on hospital discharge</w:t>
            </w:r>
          </w:p>
        </w:tc>
        <w:tc>
          <w:tcPr>
            <w:tcW w:w="5103" w:type="dxa"/>
            <w:hideMark/>
          </w:tcPr>
          <w:p w14:paraId="5BAAACBD" w14:textId="51FCBABA" w:rsidR="004534F0" w:rsidRDefault="004534F0" w:rsidP="0071472C">
            <w:pPr>
              <w:pStyle w:val="DHHStabletext"/>
            </w:pPr>
            <w:r>
              <w:t>Percentage of adult cardiac arrest patients surviving to hospital discharge</w:t>
            </w:r>
          </w:p>
        </w:tc>
        <w:tc>
          <w:tcPr>
            <w:tcW w:w="2211" w:type="dxa"/>
          </w:tcPr>
          <w:p w14:paraId="3DB1C306" w14:textId="67945A51" w:rsidR="004534F0" w:rsidRDefault="004534F0" w:rsidP="0071472C">
            <w:pPr>
              <w:pStyle w:val="DHHStabletext"/>
            </w:pPr>
            <w:r>
              <w:t>25%</w:t>
            </w:r>
          </w:p>
        </w:tc>
      </w:tr>
    </w:tbl>
    <w:p w14:paraId="6E834A51" w14:textId="77777777" w:rsidR="00921922" w:rsidRPr="00FB4060" w:rsidRDefault="00921922" w:rsidP="00921922">
      <w:pPr>
        <w:pStyle w:val="DHHSbody"/>
      </w:pPr>
      <w:bookmarkStart w:id="29" w:name="_Toc453325209"/>
      <w:r w:rsidRPr="00FB4060">
        <w:br w:type="page"/>
      </w:r>
    </w:p>
    <w:p w14:paraId="3DC6F991" w14:textId="73B7220D" w:rsidR="00921922" w:rsidRDefault="00921922" w:rsidP="00921922">
      <w:pPr>
        <w:pStyle w:val="Heading3"/>
      </w:pPr>
      <w:bookmarkStart w:id="30" w:name="_Toc517959116"/>
      <w:bookmarkStart w:id="31" w:name="_Toc15580065"/>
      <w:r>
        <w:lastRenderedPageBreak/>
        <w:t>Strong governance, leadership and culture</w:t>
      </w:r>
      <w:bookmarkEnd w:id="29"/>
      <w:bookmarkEnd w:id="30"/>
      <w:bookmarkEnd w:id="31"/>
    </w:p>
    <w:p w14:paraId="69D384D6" w14:textId="7957AB44" w:rsidR="004534F0" w:rsidRDefault="004534F0" w:rsidP="00F52D06">
      <w:pPr>
        <w:pStyle w:val="Heading4"/>
      </w:pPr>
      <w:bookmarkStart w:id="32" w:name="_Toc15580066"/>
      <w:r>
        <w:t xml:space="preserve">Organisational </w:t>
      </w:r>
      <w:r w:rsidR="00743988">
        <w:t>c</w:t>
      </w:r>
      <w:r>
        <w:t>ulture</w:t>
      </w:r>
      <w:bookmarkEnd w:id="32"/>
    </w:p>
    <w:tbl>
      <w:tblPr>
        <w:tblStyle w:val="TableGrid"/>
        <w:tblW w:w="9299" w:type="dxa"/>
        <w:tblLayout w:type="fixed"/>
        <w:tblLook w:val="06A0" w:firstRow="1" w:lastRow="0" w:firstColumn="1" w:lastColumn="0" w:noHBand="1" w:noVBand="1"/>
      </w:tblPr>
      <w:tblGrid>
        <w:gridCol w:w="1985"/>
        <w:gridCol w:w="5103"/>
        <w:gridCol w:w="2211"/>
      </w:tblGrid>
      <w:tr w:rsidR="004534F0" w14:paraId="4A3A1D6A" w14:textId="77777777" w:rsidTr="00743988">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441BFCA1" w14:textId="77777777" w:rsidR="004534F0" w:rsidRDefault="004534F0" w:rsidP="0071472C">
            <w:pPr>
              <w:pStyle w:val="DHHStablecolhead"/>
            </w:pPr>
            <w:r>
              <w:t>Risk</w:t>
            </w:r>
          </w:p>
        </w:tc>
        <w:tc>
          <w:tcPr>
            <w:tcW w:w="5103" w:type="dxa"/>
            <w:hideMark/>
          </w:tcPr>
          <w:p w14:paraId="00B782E3" w14:textId="43BD8AB7" w:rsidR="004534F0" w:rsidRDefault="004534F0" w:rsidP="0071472C">
            <w:pPr>
              <w:pStyle w:val="DHHStablecolhead"/>
            </w:pPr>
            <w:r>
              <w:t>KPI description</w:t>
            </w:r>
          </w:p>
        </w:tc>
        <w:tc>
          <w:tcPr>
            <w:tcW w:w="2211" w:type="dxa"/>
            <w:hideMark/>
          </w:tcPr>
          <w:p w14:paraId="1B24DC24" w14:textId="77744D2A" w:rsidR="004534F0" w:rsidRDefault="004534F0" w:rsidP="0071472C">
            <w:pPr>
              <w:pStyle w:val="DHHStablecolhead"/>
            </w:pPr>
            <w:r>
              <w:t>Target/</w:t>
            </w:r>
            <w:r w:rsidR="00743988">
              <w:t>r</w:t>
            </w:r>
            <w:r>
              <w:t>isk</w:t>
            </w:r>
          </w:p>
        </w:tc>
      </w:tr>
      <w:tr w:rsidR="004534F0" w14:paraId="37BE66FC" w14:textId="77777777" w:rsidTr="00743988">
        <w:trPr>
          <w:cantSplit/>
        </w:trPr>
        <w:tc>
          <w:tcPr>
            <w:tcW w:w="1985" w:type="dxa"/>
            <w:vMerge w:val="restart"/>
            <w:hideMark/>
          </w:tcPr>
          <w:p w14:paraId="0BDAE93B" w14:textId="77777777" w:rsidR="004534F0" w:rsidRDefault="004534F0" w:rsidP="0071472C">
            <w:pPr>
              <w:pStyle w:val="DHHStabletext"/>
            </w:pPr>
            <w:r>
              <w:t>Safety culture</w:t>
            </w:r>
          </w:p>
        </w:tc>
        <w:tc>
          <w:tcPr>
            <w:tcW w:w="5103" w:type="dxa"/>
            <w:hideMark/>
          </w:tcPr>
          <w:p w14:paraId="68322B69" w14:textId="77777777" w:rsidR="004534F0" w:rsidRDefault="004534F0" w:rsidP="0071472C">
            <w:pPr>
              <w:pStyle w:val="DHHStabletext"/>
            </w:pPr>
            <w:r>
              <w:t>Percentage of staff with an overall positive response to safety cultures</w:t>
            </w:r>
          </w:p>
        </w:tc>
        <w:tc>
          <w:tcPr>
            <w:tcW w:w="2211" w:type="dxa"/>
            <w:hideMark/>
          </w:tcPr>
          <w:p w14:paraId="67B85713" w14:textId="0693A9F6" w:rsidR="004534F0" w:rsidRDefault="004534F0" w:rsidP="0071472C">
            <w:pPr>
              <w:pStyle w:val="DHHStabletext"/>
            </w:pPr>
            <w:r>
              <w:t>80</w:t>
            </w:r>
            <w:r w:rsidR="00AC6944">
              <w:t>%</w:t>
            </w:r>
            <w:bookmarkStart w:id="33" w:name="_Ref13734173"/>
            <w:r w:rsidR="00C54758">
              <w:rPr>
                <w:rStyle w:val="FootnoteReference"/>
              </w:rPr>
              <w:footnoteReference w:id="6"/>
            </w:r>
            <w:bookmarkEnd w:id="33"/>
            <w:r w:rsidR="00C54758" w:rsidRPr="00C54758">
              <w:rPr>
                <w:rStyle w:val="FootnoteReference"/>
              </w:rPr>
              <w:t>,</w:t>
            </w:r>
            <w:bookmarkStart w:id="34" w:name="_Ref13734178"/>
            <w:r w:rsidR="00C54758">
              <w:rPr>
                <w:rStyle w:val="FootnoteReference"/>
              </w:rPr>
              <w:footnoteReference w:id="7"/>
            </w:r>
            <w:bookmarkEnd w:id="34"/>
          </w:p>
        </w:tc>
      </w:tr>
      <w:tr w:rsidR="004534F0" w14:paraId="114E9051" w14:textId="77777777" w:rsidTr="00743988">
        <w:trPr>
          <w:cantSplit/>
        </w:trPr>
        <w:tc>
          <w:tcPr>
            <w:tcW w:w="1985" w:type="dxa"/>
            <w:vMerge/>
          </w:tcPr>
          <w:p w14:paraId="7067BD53" w14:textId="77777777" w:rsidR="004534F0" w:rsidRDefault="004534F0" w:rsidP="0071472C">
            <w:pPr>
              <w:pStyle w:val="DHHStabletext"/>
            </w:pPr>
          </w:p>
        </w:tc>
        <w:tc>
          <w:tcPr>
            <w:tcW w:w="5103" w:type="dxa"/>
          </w:tcPr>
          <w:p w14:paraId="56D6FCBB" w14:textId="77777777" w:rsidR="004534F0" w:rsidRDefault="004534F0" w:rsidP="0071472C">
            <w:pPr>
              <w:pStyle w:val="DHHStabletext"/>
            </w:pPr>
            <w:r>
              <w:t xml:space="preserve">Staff encouraged to report patient </w:t>
            </w:r>
            <w:r w:rsidRPr="00892378">
              <w:t>safety concerns</w:t>
            </w:r>
          </w:p>
        </w:tc>
        <w:tc>
          <w:tcPr>
            <w:tcW w:w="2211" w:type="dxa"/>
          </w:tcPr>
          <w:p w14:paraId="10AA7B36" w14:textId="31512F6E" w:rsidR="004534F0" w:rsidRPr="00C54758" w:rsidRDefault="004534F0" w:rsidP="0071472C">
            <w:pPr>
              <w:pStyle w:val="DHHStabletext"/>
              <w:rPr>
                <w:rStyle w:val="FootnoteReference"/>
              </w:rPr>
            </w:pPr>
            <w:r w:rsidRPr="00897B0F">
              <w:t>80</w:t>
            </w:r>
            <w:r w:rsidR="00AC6944">
              <w:t>%</w:t>
            </w:r>
            <w:r w:rsidR="00C54758" w:rsidRPr="00C54758">
              <w:rPr>
                <w:rStyle w:val="FootnoteReference"/>
              </w:rPr>
              <w:fldChar w:fldCharType="begin"/>
            </w:r>
            <w:r w:rsidR="00C54758" w:rsidRPr="00C54758">
              <w:rPr>
                <w:rStyle w:val="FootnoteReference"/>
              </w:rPr>
              <w:instrText xml:space="preserve"> NOTEREF _Ref13734173 \h </w:instrText>
            </w:r>
            <w:r w:rsidR="00C54758">
              <w:rPr>
                <w:rStyle w:val="FootnoteReference"/>
              </w:rPr>
              <w:instrText xml:space="preserve"> \* MERGEFORMAT </w:instrText>
            </w:r>
            <w:r w:rsidR="00C54758" w:rsidRPr="00C54758">
              <w:rPr>
                <w:rStyle w:val="FootnoteReference"/>
              </w:rPr>
            </w:r>
            <w:r w:rsidR="00C54758" w:rsidRPr="00C54758">
              <w:rPr>
                <w:rStyle w:val="FootnoteReference"/>
              </w:rPr>
              <w:fldChar w:fldCharType="separate"/>
            </w:r>
            <w:r w:rsidR="007854E0">
              <w:rPr>
                <w:rStyle w:val="FootnoteReference"/>
              </w:rPr>
              <w:t>5</w:t>
            </w:r>
            <w:r w:rsidR="00C54758" w:rsidRPr="00C54758">
              <w:rPr>
                <w:rStyle w:val="FootnoteReference"/>
              </w:rPr>
              <w:fldChar w:fldCharType="end"/>
            </w:r>
            <w:r w:rsidR="00C54758">
              <w:rPr>
                <w:rStyle w:val="FootnoteReference"/>
              </w:rPr>
              <w:t>,</w:t>
            </w:r>
            <w:r w:rsidR="00C54758">
              <w:fldChar w:fldCharType="begin"/>
            </w:r>
            <w:r w:rsidR="00C54758">
              <w:rPr>
                <w:rStyle w:val="FootnoteReference"/>
              </w:rPr>
              <w:instrText xml:space="preserve"> NOTEREF _Ref13734178 \h </w:instrText>
            </w:r>
            <w:r w:rsidR="00C54758">
              <w:fldChar w:fldCharType="separate"/>
            </w:r>
            <w:r w:rsidR="007854E0">
              <w:rPr>
                <w:rStyle w:val="FootnoteReference"/>
              </w:rPr>
              <w:t>6</w:t>
            </w:r>
            <w:r w:rsidR="00C54758">
              <w:fldChar w:fldCharType="end"/>
            </w:r>
          </w:p>
        </w:tc>
      </w:tr>
      <w:tr w:rsidR="004534F0" w14:paraId="6347CE71" w14:textId="77777777" w:rsidTr="00743988">
        <w:trPr>
          <w:cantSplit/>
        </w:trPr>
        <w:tc>
          <w:tcPr>
            <w:tcW w:w="1985" w:type="dxa"/>
            <w:vMerge/>
          </w:tcPr>
          <w:p w14:paraId="296B63EE" w14:textId="77777777" w:rsidR="004534F0" w:rsidRDefault="004534F0" w:rsidP="0071472C">
            <w:pPr>
              <w:pStyle w:val="DHHStabletext"/>
            </w:pPr>
          </w:p>
        </w:tc>
        <w:tc>
          <w:tcPr>
            <w:tcW w:w="5103" w:type="dxa"/>
          </w:tcPr>
          <w:p w14:paraId="17E55E9B" w14:textId="77777777" w:rsidR="004534F0" w:rsidRDefault="004534F0" w:rsidP="0071472C">
            <w:pPr>
              <w:pStyle w:val="DHHStabletext"/>
            </w:pPr>
            <w:r>
              <w:t>Patient care errors are handled appropriately</w:t>
            </w:r>
          </w:p>
        </w:tc>
        <w:tc>
          <w:tcPr>
            <w:tcW w:w="2211" w:type="dxa"/>
          </w:tcPr>
          <w:p w14:paraId="556B1C2D" w14:textId="36C14D81" w:rsidR="004534F0" w:rsidRDefault="004534F0" w:rsidP="0071472C">
            <w:pPr>
              <w:pStyle w:val="DHHStabletext"/>
            </w:pPr>
            <w:r w:rsidRPr="0009081E">
              <w:t>80</w:t>
            </w:r>
            <w:r w:rsidR="00AC6944">
              <w:t>%</w:t>
            </w:r>
            <w:r w:rsidR="00C54758" w:rsidRPr="00C54758">
              <w:rPr>
                <w:rStyle w:val="FootnoteReference"/>
              </w:rPr>
              <w:fldChar w:fldCharType="begin"/>
            </w:r>
            <w:r w:rsidR="00C54758" w:rsidRPr="00C54758">
              <w:rPr>
                <w:rStyle w:val="FootnoteReference"/>
              </w:rPr>
              <w:instrText xml:space="preserve"> NOTEREF _Ref13734173 \h </w:instrText>
            </w:r>
            <w:r w:rsidR="00C54758">
              <w:rPr>
                <w:rStyle w:val="FootnoteReference"/>
              </w:rPr>
              <w:instrText xml:space="preserve"> \* MERGEFORMAT </w:instrText>
            </w:r>
            <w:r w:rsidR="00C54758" w:rsidRPr="00C54758">
              <w:rPr>
                <w:rStyle w:val="FootnoteReference"/>
              </w:rPr>
            </w:r>
            <w:r w:rsidR="00C54758" w:rsidRPr="00C54758">
              <w:rPr>
                <w:rStyle w:val="FootnoteReference"/>
              </w:rPr>
              <w:fldChar w:fldCharType="separate"/>
            </w:r>
            <w:r w:rsidR="007854E0">
              <w:rPr>
                <w:rStyle w:val="FootnoteReference"/>
              </w:rPr>
              <w:t>5</w:t>
            </w:r>
            <w:r w:rsidR="00C54758" w:rsidRPr="00C54758">
              <w:rPr>
                <w:rStyle w:val="FootnoteReference"/>
              </w:rPr>
              <w:fldChar w:fldCharType="end"/>
            </w:r>
            <w:r w:rsidR="00C54758">
              <w:rPr>
                <w:rStyle w:val="FootnoteReference"/>
              </w:rPr>
              <w:t>,</w:t>
            </w:r>
            <w:r w:rsidR="00C54758">
              <w:fldChar w:fldCharType="begin"/>
            </w:r>
            <w:r w:rsidR="00C54758">
              <w:rPr>
                <w:rStyle w:val="FootnoteReference"/>
              </w:rPr>
              <w:instrText xml:space="preserve"> NOTEREF _Ref13734178 \h </w:instrText>
            </w:r>
            <w:r w:rsidR="00C54758">
              <w:fldChar w:fldCharType="separate"/>
            </w:r>
            <w:r w:rsidR="007854E0">
              <w:rPr>
                <w:rStyle w:val="FootnoteReference"/>
              </w:rPr>
              <w:t>6</w:t>
            </w:r>
            <w:r w:rsidR="00C54758">
              <w:fldChar w:fldCharType="end"/>
            </w:r>
          </w:p>
        </w:tc>
      </w:tr>
      <w:tr w:rsidR="004534F0" w14:paraId="5F995731" w14:textId="77777777" w:rsidTr="00743988">
        <w:trPr>
          <w:cantSplit/>
        </w:trPr>
        <w:tc>
          <w:tcPr>
            <w:tcW w:w="1985" w:type="dxa"/>
            <w:vMerge/>
          </w:tcPr>
          <w:p w14:paraId="0DB38E20" w14:textId="77777777" w:rsidR="004534F0" w:rsidRDefault="004534F0" w:rsidP="0071472C">
            <w:pPr>
              <w:pStyle w:val="DHHStabletext"/>
            </w:pPr>
          </w:p>
        </w:tc>
        <w:tc>
          <w:tcPr>
            <w:tcW w:w="5103" w:type="dxa"/>
          </w:tcPr>
          <w:p w14:paraId="3C60279C" w14:textId="77777777" w:rsidR="004534F0" w:rsidRDefault="004534F0" w:rsidP="0071472C">
            <w:pPr>
              <w:pStyle w:val="DHHStabletext"/>
            </w:pPr>
            <w:r>
              <w:t>S</w:t>
            </w:r>
            <w:r w:rsidRPr="00892378">
              <w:t>uggestions about patient safety are acted upon</w:t>
            </w:r>
          </w:p>
        </w:tc>
        <w:tc>
          <w:tcPr>
            <w:tcW w:w="2211" w:type="dxa"/>
          </w:tcPr>
          <w:p w14:paraId="4FDC582C" w14:textId="27AB74B3" w:rsidR="004534F0" w:rsidRDefault="004534F0" w:rsidP="0071472C">
            <w:pPr>
              <w:pStyle w:val="DHHStabletext"/>
            </w:pPr>
            <w:r w:rsidRPr="0009081E">
              <w:t>80</w:t>
            </w:r>
            <w:r w:rsidR="00AC6944">
              <w:t>%</w:t>
            </w:r>
            <w:r w:rsidR="00C54758" w:rsidRPr="00C54758">
              <w:rPr>
                <w:rStyle w:val="FootnoteReference"/>
              </w:rPr>
              <w:fldChar w:fldCharType="begin"/>
            </w:r>
            <w:r w:rsidR="00C54758" w:rsidRPr="00C54758">
              <w:rPr>
                <w:rStyle w:val="FootnoteReference"/>
              </w:rPr>
              <w:instrText xml:space="preserve"> NOTEREF _Ref13734173 \h </w:instrText>
            </w:r>
            <w:r w:rsidR="00C54758">
              <w:rPr>
                <w:rStyle w:val="FootnoteReference"/>
              </w:rPr>
              <w:instrText xml:space="preserve"> \* MERGEFORMAT </w:instrText>
            </w:r>
            <w:r w:rsidR="00C54758" w:rsidRPr="00C54758">
              <w:rPr>
                <w:rStyle w:val="FootnoteReference"/>
              </w:rPr>
            </w:r>
            <w:r w:rsidR="00C54758" w:rsidRPr="00C54758">
              <w:rPr>
                <w:rStyle w:val="FootnoteReference"/>
              </w:rPr>
              <w:fldChar w:fldCharType="separate"/>
            </w:r>
            <w:r w:rsidR="007854E0">
              <w:rPr>
                <w:rStyle w:val="FootnoteReference"/>
              </w:rPr>
              <w:t>5</w:t>
            </w:r>
            <w:r w:rsidR="00C54758" w:rsidRPr="00C54758">
              <w:rPr>
                <w:rStyle w:val="FootnoteReference"/>
              </w:rPr>
              <w:fldChar w:fldCharType="end"/>
            </w:r>
            <w:r w:rsidR="00C54758">
              <w:rPr>
                <w:rStyle w:val="FootnoteReference"/>
              </w:rPr>
              <w:t>,</w:t>
            </w:r>
            <w:r w:rsidR="00C54758">
              <w:fldChar w:fldCharType="begin"/>
            </w:r>
            <w:r w:rsidR="00C54758">
              <w:rPr>
                <w:rStyle w:val="FootnoteReference"/>
              </w:rPr>
              <w:instrText xml:space="preserve"> NOTEREF _Ref13734178 \h </w:instrText>
            </w:r>
            <w:r w:rsidR="00C54758">
              <w:fldChar w:fldCharType="separate"/>
            </w:r>
            <w:r w:rsidR="007854E0">
              <w:rPr>
                <w:rStyle w:val="FootnoteReference"/>
              </w:rPr>
              <w:t>6</w:t>
            </w:r>
            <w:r w:rsidR="00C54758">
              <w:fldChar w:fldCharType="end"/>
            </w:r>
          </w:p>
        </w:tc>
      </w:tr>
      <w:tr w:rsidR="004534F0" w14:paraId="54405BCC" w14:textId="77777777" w:rsidTr="00743988">
        <w:trPr>
          <w:cantSplit/>
        </w:trPr>
        <w:tc>
          <w:tcPr>
            <w:tcW w:w="1985" w:type="dxa"/>
            <w:vMerge/>
          </w:tcPr>
          <w:p w14:paraId="1E2523F8" w14:textId="77777777" w:rsidR="004534F0" w:rsidRDefault="004534F0" w:rsidP="0071472C">
            <w:pPr>
              <w:pStyle w:val="DHHStabletext"/>
            </w:pPr>
          </w:p>
        </w:tc>
        <w:tc>
          <w:tcPr>
            <w:tcW w:w="5103" w:type="dxa"/>
          </w:tcPr>
          <w:p w14:paraId="11E19DF0" w14:textId="77777777" w:rsidR="004534F0" w:rsidRDefault="004534F0" w:rsidP="0071472C">
            <w:pPr>
              <w:pStyle w:val="DHHStabletext"/>
            </w:pPr>
            <w:r>
              <w:t>M</w:t>
            </w:r>
            <w:r w:rsidRPr="00892378">
              <w:t>anagement driving safety centred organisation</w:t>
            </w:r>
          </w:p>
        </w:tc>
        <w:tc>
          <w:tcPr>
            <w:tcW w:w="2211" w:type="dxa"/>
          </w:tcPr>
          <w:p w14:paraId="1774C68C" w14:textId="4FD56C23" w:rsidR="004534F0" w:rsidRPr="0009081E" w:rsidRDefault="004534F0" w:rsidP="0071472C">
            <w:pPr>
              <w:pStyle w:val="DHHStabletext"/>
            </w:pPr>
            <w:r w:rsidRPr="0009081E">
              <w:t>80</w:t>
            </w:r>
            <w:r w:rsidR="00AC6944">
              <w:t>%</w:t>
            </w:r>
            <w:r w:rsidR="00C54758" w:rsidRPr="00C54758">
              <w:rPr>
                <w:rStyle w:val="FootnoteReference"/>
              </w:rPr>
              <w:fldChar w:fldCharType="begin"/>
            </w:r>
            <w:r w:rsidR="00C54758" w:rsidRPr="00C54758">
              <w:rPr>
                <w:rStyle w:val="FootnoteReference"/>
              </w:rPr>
              <w:instrText xml:space="preserve"> NOTEREF _Ref13734173 \h </w:instrText>
            </w:r>
            <w:r w:rsidR="00C54758">
              <w:rPr>
                <w:rStyle w:val="FootnoteReference"/>
              </w:rPr>
              <w:instrText xml:space="preserve"> \* MERGEFORMAT </w:instrText>
            </w:r>
            <w:r w:rsidR="00C54758" w:rsidRPr="00C54758">
              <w:rPr>
                <w:rStyle w:val="FootnoteReference"/>
              </w:rPr>
            </w:r>
            <w:r w:rsidR="00C54758" w:rsidRPr="00C54758">
              <w:rPr>
                <w:rStyle w:val="FootnoteReference"/>
              </w:rPr>
              <w:fldChar w:fldCharType="separate"/>
            </w:r>
            <w:r w:rsidR="007854E0">
              <w:rPr>
                <w:rStyle w:val="FootnoteReference"/>
              </w:rPr>
              <w:t>5</w:t>
            </w:r>
            <w:r w:rsidR="00C54758" w:rsidRPr="00C54758">
              <w:rPr>
                <w:rStyle w:val="FootnoteReference"/>
              </w:rPr>
              <w:fldChar w:fldCharType="end"/>
            </w:r>
            <w:r w:rsidR="00C54758">
              <w:rPr>
                <w:rStyle w:val="FootnoteReference"/>
              </w:rPr>
              <w:t>,</w:t>
            </w:r>
            <w:r w:rsidR="00C54758">
              <w:fldChar w:fldCharType="begin"/>
            </w:r>
            <w:r w:rsidR="00C54758">
              <w:rPr>
                <w:rStyle w:val="FootnoteReference"/>
              </w:rPr>
              <w:instrText xml:space="preserve"> NOTEREF _Ref13734178 \h </w:instrText>
            </w:r>
            <w:r w:rsidR="00C54758">
              <w:fldChar w:fldCharType="separate"/>
            </w:r>
            <w:r w:rsidR="007854E0">
              <w:rPr>
                <w:rStyle w:val="FootnoteReference"/>
              </w:rPr>
              <w:t>6</w:t>
            </w:r>
            <w:r w:rsidR="00C54758">
              <w:fldChar w:fldCharType="end"/>
            </w:r>
          </w:p>
        </w:tc>
      </w:tr>
      <w:tr w:rsidR="004534F0" w14:paraId="64401430" w14:textId="77777777" w:rsidTr="00743988">
        <w:trPr>
          <w:cantSplit/>
        </w:trPr>
        <w:tc>
          <w:tcPr>
            <w:tcW w:w="1985" w:type="dxa"/>
            <w:vMerge/>
          </w:tcPr>
          <w:p w14:paraId="7B7B4357" w14:textId="77777777" w:rsidR="004534F0" w:rsidRDefault="004534F0" w:rsidP="0071472C">
            <w:pPr>
              <w:pStyle w:val="DHHStabletext"/>
            </w:pPr>
          </w:p>
        </w:tc>
        <w:tc>
          <w:tcPr>
            <w:tcW w:w="5103" w:type="dxa"/>
          </w:tcPr>
          <w:p w14:paraId="42D367B4" w14:textId="77777777" w:rsidR="004534F0" w:rsidRDefault="004534F0" w:rsidP="0071472C">
            <w:pPr>
              <w:pStyle w:val="DHHStabletext"/>
            </w:pPr>
            <w:r>
              <w:t>C</w:t>
            </w:r>
            <w:r w:rsidRPr="00892378">
              <w:t>ulture conducive to learning from errors</w:t>
            </w:r>
          </w:p>
        </w:tc>
        <w:tc>
          <w:tcPr>
            <w:tcW w:w="2211" w:type="dxa"/>
          </w:tcPr>
          <w:p w14:paraId="433E2B0C" w14:textId="03D00B31" w:rsidR="004534F0" w:rsidRDefault="004534F0" w:rsidP="0071472C">
            <w:pPr>
              <w:pStyle w:val="DHHStabletext"/>
            </w:pPr>
            <w:r w:rsidRPr="0009081E">
              <w:t>80</w:t>
            </w:r>
            <w:r w:rsidR="00AC6944">
              <w:t>%</w:t>
            </w:r>
            <w:r w:rsidR="00C54758" w:rsidRPr="00C54758">
              <w:rPr>
                <w:rStyle w:val="FootnoteReference"/>
              </w:rPr>
              <w:fldChar w:fldCharType="begin"/>
            </w:r>
            <w:r w:rsidR="00C54758" w:rsidRPr="00C54758">
              <w:rPr>
                <w:rStyle w:val="FootnoteReference"/>
              </w:rPr>
              <w:instrText xml:space="preserve"> NOTEREF _Ref13734173 \h </w:instrText>
            </w:r>
            <w:r w:rsidR="00C54758">
              <w:rPr>
                <w:rStyle w:val="FootnoteReference"/>
              </w:rPr>
              <w:instrText xml:space="preserve"> \* MERGEFORMAT </w:instrText>
            </w:r>
            <w:r w:rsidR="00C54758" w:rsidRPr="00C54758">
              <w:rPr>
                <w:rStyle w:val="FootnoteReference"/>
              </w:rPr>
            </w:r>
            <w:r w:rsidR="00C54758" w:rsidRPr="00C54758">
              <w:rPr>
                <w:rStyle w:val="FootnoteReference"/>
              </w:rPr>
              <w:fldChar w:fldCharType="separate"/>
            </w:r>
            <w:r w:rsidR="007854E0">
              <w:rPr>
                <w:rStyle w:val="FootnoteReference"/>
              </w:rPr>
              <w:t>5</w:t>
            </w:r>
            <w:r w:rsidR="00C54758" w:rsidRPr="00C54758">
              <w:rPr>
                <w:rStyle w:val="FootnoteReference"/>
              </w:rPr>
              <w:fldChar w:fldCharType="end"/>
            </w:r>
            <w:r w:rsidR="00C54758">
              <w:rPr>
                <w:rStyle w:val="FootnoteReference"/>
              </w:rPr>
              <w:t>,</w:t>
            </w:r>
            <w:r w:rsidR="00C54758">
              <w:fldChar w:fldCharType="begin"/>
            </w:r>
            <w:r w:rsidR="00C54758">
              <w:rPr>
                <w:rStyle w:val="FootnoteReference"/>
              </w:rPr>
              <w:instrText xml:space="preserve"> NOTEREF _Ref13734178 \h </w:instrText>
            </w:r>
            <w:r w:rsidR="00C54758">
              <w:fldChar w:fldCharType="separate"/>
            </w:r>
            <w:r w:rsidR="007854E0">
              <w:rPr>
                <w:rStyle w:val="FootnoteReference"/>
              </w:rPr>
              <w:t>6</w:t>
            </w:r>
            <w:r w:rsidR="00C54758">
              <w:fldChar w:fldCharType="end"/>
            </w:r>
          </w:p>
        </w:tc>
      </w:tr>
      <w:tr w:rsidR="004534F0" w14:paraId="274EE34A" w14:textId="77777777" w:rsidTr="00743988">
        <w:trPr>
          <w:cantSplit/>
        </w:trPr>
        <w:tc>
          <w:tcPr>
            <w:tcW w:w="1985" w:type="dxa"/>
            <w:vMerge/>
          </w:tcPr>
          <w:p w14:paraId="5D377B67" w14:textId="77777777" w:rsidR="004534F0" w:rsidRDefault="004534F0" w:rsidP="0071472C">
            <w:pPr>
              <w:pStyle w:val="DHHStabletext"/>
            </w:pPr>
          </w:p>
        </w:tc>
        <w:tc>
          <w:tcPr>
            <w:tcW w:w="5103" w:type="dxa"/>
          </w:tcPr>
          <w:p w14:paraId="3485FD94" w14:textId="77777777" w:rsidR="004534F0" w:rsidRDefault="004534F0" w:rsidP="0071472C">
            <w:pPr>
              <w:pStyle w:val="DHHStabletext"/>
            </w:pPr>
            <w:r>
              <w:t xml:space="preserve">Training new and existing staff </w:t>
            </w:r>
          </w:p>
        </w:tc>
        <w:tc>
          <w:tcPr>
            <w:tcW w:w="2211" w:type="dxa"/>
          </w:tcPr>
          <w:p w14:paraId="135DE478" w14:textId="4D722F0B" w:rsidR="004534F0" w:rsidRDefault="004534F0" w:rsidP="0071472C">
            <w:pPr>
              <w:pStyle w:val="DHHStabletext"/>
            </w:pPr>
            <w:r w:rsidRPr="0009081E">
              <w:t>80</w:t>
            </w:r>
            <w:r w:rsidR="00AC6944">
              <w:t>%</w:t>
            </w:r>
            <w:r w:rsidR="00C54758" w:rsidRPr="00C54758">
              <w:rPr>
                <w:rStyle w:val="FootnoteReference"/>
              </w:rPr>
              <w:fldChar w:fldCharType="begin"/>
            </w:r>
            <w:r w:rsidR="00C54758" w:rsidRPr="00C54758">
              <w:rPr>
                <w:rStyle w:val="FootnoteReference"/>
              </w:rPr>
              <w:instrText xml:space="preserve"> NOTEREF _Ref13734173 \h </w:instrText>
            </w:r>
            <w:r w:rsidR="00C54758">
              <w:rPr>
                <w:rStyle w:val="FootnoteReference"/>
              </w:rPr>
              <w:instrText xml:space="preserve"> \* MERGEFORMAT </w:instrText>
            </w:r>
            <w:r w:rsidR="00C54758" w:rsidRPr="00C54758">
              <w:rPr>
                <w:rStyle w:val="FootnoteReference"/>
              </w:rPr>
            </w:r>
            <w:r w:rsidR="00C54758" w:rsidRPr="00C54758">
              <w:rPr>
                <w:rStyle w:val="FootnoteReference"/>
              </w:rPr>
              <w:fldChar w:fldCharType="separate"/>
            </w:r>
            <w:r w:rsidR="007854E0">
              <w:rPr>
                <w:rStyle w:val="FootnoteReference"/>
              </w:rPr>
              <w:t>5</w:t>
            </w:r>
            <w:r w:rsidR="00C54758" w:rsidRPr="00C54758">
              <w:rPr>
                <w:rStyle w:val="FootnoteReference"/>
              </w:rPr>
              <w:fldChar w:fldCharType="end"/>
            </w:r>
            <w:r w:rsidR="00C54758">
              <w:rPr>
                <w:rStyle w:val="FootnoteReference"/>
              </w:rPr>
              <w:t>,</w:t>
            </w:r>
            <w:r w:rsidR="00C54758">
              <w:fldChar w:fldCharType="begin"/>
            </w:r>
            <w:r w:rsidR="00C54758">
              <w:rPr>
                <w:rStyle w:val="FootnoteReference"/>
              </w:rPr>
              <w:instrText xml:space="preserve"> NOTEREF _Ref13734178 \h </w:instrText>
            </w:r>
            <w:r w:rsidR="00C54758">
              <w:fldChar w:fldCharType="separate"/>
            </w:r>
            <w:r w:rsidR="007854E0">
              <w:rPr>
                <w:rStyle w:val="FootnoteReference"/>
              </w:rPr>
              <w:t>6</w:t>
            </w:r>
            <w:r w:rsidR="00C54758">
              <w:fldChar w:fldCharType="end"/>
            </w:r>
          </w:p>
        </w:tc>
      </w:tr>
      <w:tr w:rsidR="004534F0" w14:paraId="5F3B72A8" w14:textId="77777777" w:rsidTr="00743988">
        <w:trPr>
          <w:cantSplit/>
        </w:trPr>
        <w:tc>
          <w:tcPr>
            <w:tcW w:w="1985" w:type="dxa"/>
            <w:vMerge/>
          </w:tcPr>
          <w:p w14:paraId="72EBD076" w14:textId="77777777" w:rsidR="004534F0" w:rsidRDefault="004534F0" w:rsidP="0071472C">
            <w:pPr>
              <w:pStyle w:val="DHHStabletext"/>
            </w:pPr>
          </w:p>
        </w:tc>
        <w:tc>
          <w:tcPr>
            <w:tcW w:w="5103" w:type="dxa"/>
          </w:tcPr>
          <w:p w14:paraId="5BA931A8" w14:textId="77777777" w:rsidR="004534F0" w:rsidRDefault="004534F0" w:rsidP="0071472C">
            <w:pPr>
              <w:pStyle w:val="DHHStabletext"/>
            </w:pPr>
            <w:r w:rsidRPr="00727416">
              <w:t>Trainees are adequately supervised</w:t>
            </w:r>
          </w:p>
        </w:tc>
        <w:tc>
          <w:tcPr>
            <w:tcW w:w="2211" w:type="dxa"/>
          </w:tcPr>
          <w:p w14:paraId="04E2DE5D" w14:textId="020FD8D1" w:rsidR="004534F0" w:rsidRDefault="004534F0" w:rsidP="0071472C">
            <w:pPr>
              <w:pStyle w:val="DHHStabletext"/>
            </w:pPr>
            <w:r w:rsidRPr="00F7738D">
              <w:t>80</w:t>
            </w:r>
            <w:r w:rsidR="00AC6944">
              <w:t>%</w:t>
            </w:r>
            <w:r w:rsidR="00C54758" w:rsidRPr="00C54758">
              <w:rPr>
                <w:rStyle w:val="FootnoteReference"/>
              </w:rPr>
              <w:fldChar w:fldCharType="begin"/>
            </w:r>
            <w:r w:rsidR="00C54758" w:rsidRPr="00C54758">
              <w:rPr>
                <w:rStyle w:val="FootnoteReference"/>
              </w:rPr>
              <w:instrText xml:space="preserve"> NOTEREF _Ref13734173 \h </w:instrText>
            </w:r>
            <w:r w:rsidR="00C54758">
              <w:rPr>
                <w:rStyle w:val="FootnoteReference"/>
              </w:rPr>
              <w:instrText xml:space="preserve"> \* MERGEFORMAT </w:instrText>
            </w:r>
            <w:r w:rsidR="00C54758" w:rsidRPr="00C54758">
              <w:rPr>
                <w:rStyle w:val="FootnoteReference"/>
              </w:rPr>
            </w:r>
            <w:r w:rsidR="00C54758" w:rsidRPr="00C54758">
              <w:rPr>
                <w:rStyle w:val="FootnoteReference"/>
              </w:rPr>
              <w:fldChar w:fldCharType="separate"/>
            </w:r>
            <w:r w:rsidR="007854E0">
              <w:rPr>
                <w:rStyle w:val="FootnoteReference"/>
              </w:rPr>
              <w:t>5</w:t>
            </w:r>
            <w:r w:rsidR="00C54758" w:rsidRPr="00C54758">
              <w:rPr>
                <w:rStyle w:val="FootnoteReference"/>
              </w:rPr>
              <w:fldChar w:fldCharType="end"/>
            </w:r>
            <w:r w:rsidR="00C54758">
              <w:rPr>
                <w:rStyle w:val="FootnoteReference"/>
              </w:rPr>
              <w:t>,</w:t>
            </w:r>
            <w:r w:rsidR="00C54758">
              <w:fldChar w:fldCharType="begin"/>
            </w:r>
            <w:r w:rsidR="00C54758">
              <w:rPr>
                <w:rStyle w:val="FootnoteReference"/>
              </w:rPr>
              <w:instrText xml:space="preserve"> NOTEREF _Ref13734178 \h </w:instrText>
            </w:r>
            <w:r w:rsidR="00C54758">
              <w:fldChar w:fldCharType="separate"/>
            </w:r>
            <w:r w:rsidR="007854E0">
              <w:rPr>
                <w:rStyle w:val="FootnoteReference"/>
              </w:rPr>
              <w:t>6</w:t>
            </w:r>
            <w:r w:rsidR="00C54758">
              <w:fldChar w:fldCharType="end"/>
            </w:r>
          </w:p>
        </w:tc>
      </w:tr>
      <w:tr w:rsidR="004534F0" w14:paraId="5FCAD75D" w14:textId="77777777" w:rsidTr="00743988">
        <w:trPr>
          <w:cantSplit/>
        </w:trPr>
        <w:tc>
          <w:tcPr>
            <w:tcW w:w="1985" w:type="dxa"/>
            <w:vMerge/>
          </w:tcPr>
          <w:p w14:paraId="5417C86A" w14:textId="77777777" w:rsidR="004534F0" w:rsidRDefault="004534F0" w:rsidP="0071472C">
            <w:pPr>
              <w:pStyle w:val="DHHStabletext"/>
            </w:pPr>
          </w:p>
        </w:tc>
        <w:tc>
          <w:tcPr>
            <w:tcW w:w="5103" w:type="dxa"/>
          </w:tcPr>
          <w:p w14:paraId="2F70755B" w14:textId="77777777" w:rsidR="004534F0" w:rsidRDefault="004534F0" w:rsidP="0071472C">
            <w:pPr>
              <w:pStyle w:val="DHHStabletext"/>
            </w:pPr>
            <w:r>
              <w:t>W</w:t>
            </w:r>
            <w:r w:rsidRPr="00892378">
              <w:t xml:space="preserve">ould </w:t>
            </w:r>
            <w:r>
              <w:t xml:space="preserve">staff </w:t>
            </w:r>
            <w:r w:rsidRPr="00892378">
              <w:t xml:space="preserve">recommend a friend or relative to be treated as a patient </w:t>
            </w:r>
            <w:r>
              <w:t>there</w:t>
            </w:r>
          </w:p>
        </w:tc>
        <w:tc>
          <w:tcPr>
            <w:tcW w:w="2211" w:type="dxa"/>
          </w:tcPr>
          <w:p w14:paraId="0852FEA7" w14:textId="397F38FA" w:rsidR="004534F0" w:rsidRDefault="004534F0" w:rsidP="0071472C">
            <w:pPr>
              <w:pStyle w:val="DHHStabletext"/>
            </w:pPr>
            <w:r w:rsidRPr="00F7738D">
              <w:t>80</w:t>
            </w:r>
            <w:r w:rsidR="00AC6944">
              <w:t>%</w:t>
            </w:r>
            <w:r w:rsidR="00C54758" w:rsidRPr="00C54758">
              <w:rPr>
                <w:rStyle w:val="FootnoteReference"/>
              </w:rPr>
              <w:fldChar w:fldCharType="begin"/>
            </w:r>
            <w:r w:rsidR="00C54758" w:rsidRPr="00C54758">
              <w:rPr>
                <w:rStyle w:val="FootnoteReference"/>
              </w:rPr>
              <w:instrText xml:space="preserve"> NOTEREF _Ref13734173 \h </w:instrText>
            </w:r>
            <w:r w:rsidR="00C54758">
              <w:rPr>
                <w:rStyle w:val="FootnoteReference"/>
              </w:rPr>
              <w:instrText xml:space="preserve"> \* MERGEFORMAT </w:instrText>
            </w:r>
            <w:r w:rsidR="00C54758" w:rsidRPr="00C54758">
              <w:rPr>
                <w:rStyle w:val="FootnoteReference"/>
              </w:rPr>
            </w:r>
            <w:r w:rsidR="00C54758" w:rsidRPr="00C54758">
              <w:rPr>
                <w:rStyle w:val="FootnoteReference"/>
              </w:rPr>
              <w:fldChar w:fldCharType="separate"/>
            </w:r>
            <w:r w:rsidR="007854E0">
              <w:rPr>
                <w:rStyle w:val="FootnoteReference"/>
              </w:rPr>
              <w:t>5</w:t>
            </w:r>
            <w:r w:rsidR="00C54758" w:rsidRPr="00C54758">
              <w:rPr>
                <w:rStyle w:val="FootnoteReference"/>
              </w:rPr>
              <w:fldChar w:fldCharType="end"/>
            </w:r>
            <w:r w:rsidR="00C54758">
              <w:rPr>
                <w:rStyle w:val="FootnoteReference"/>
              </w:rPr>
              <w:t>,</w:t>
            </w:r>
            <w:r w:rsidR="00C54758">
              <w:fldChar w:fldCharType="begin"/>
            </w:r>
            <w:r w:rsidR="00C54758">
              <w:rPr>
                <w:rStyle w:val="FootnoteReference"/>
              </w:rPr>
              <w:instrText xml:space="preserve"> NOTEREF _Ref13734178 \h </w:instrText>
            </w:r>
            <w:r w:rsidR="00C54758">
              <w:fldChar w:fldCharType="separate"/>
            </w:r>
            <w:r w:rsidR="007854E0">
              <w:rPr>
                <w:rStyle w:val="FootnoteReference"/>
              </w:rPr>
              <w:t>6</w:t>
            </w:r>
            <w:r w:rsidR="00C54758">
              <w:fldChar w:fldCharType="end"/>
            </w:r>
          </w:p>
        </w:tc>
      </w:tr>
      <w:tr w:rsidR="004534F0" w14:paraId="0B73BF09" w14:textId="77777777" w:rsidTr="00743988">
        <w:trPr>
          <w:cantSplit/>
        </w:trPr>
        <w:tc>
          <w:tcPr>
            <w:tcW w:w="1985" w:type="dxa"/>
          </w:tcPr>
          <w:p w14:paraId="52486B08" w14:textId="77777777" w:rsidR="004534F0" w:rsidRDefault="004534F0" w:rsidP="0071472C">
            <w:pPr>
              <w:pStyle w:val="DHHStabletext"/>
            </w:pPr>
            <w:r>
              <w:t>Staff engagement</w:t>
            </w:r>
          </w:p>
        </w:tc>
        <w:tc>
          <w:tcPr>
            <w:tcW w:w="5103" w:type="dxa"/>
          </w:tcPr>
          <w:p w14:paraId="3F3EF1E4" w14:textId="77777777" w:rsidR="004534F0" w:rsidRDefault="004534F0" w:rsidP="0071472C">
            <w:pPr>
              <w:pStyle w:val="DHHStabletext"/>
            </w:pPr>
            <w:r w:rsidRPr="00F87FEA">
              <w:t>Low response rates to People Matter Survey</w:t>
            </w:r>
          </w:p>
        </w:tc>
        <w:tc>
          <w:tcPr>
            <w:tcW w:w="2211" w:type="dxa"/>
          </w:tcPr>
          <w:p w14:paraId="6CD28574" w14:textId="32FBE72E" w:rsidR="004534F0" w:rsidRDefault="004534F0" w:rsidP="0071472C">
            <w:pPr>
              <w:pStyle w:val="DHHStabletext"/>
            </w:pPr>
            <w:r>
              <w:rPr>
                <w:rFonts w:cs="Arial"/>
              </w:rPr>
              <w:t xml:space="preserve">≤ </w:t>
            </w:r>
            <w:r>
              <w:t>30</w:t>
            </w:r>
            <w:r w:rsidR="00AC6944">
              <w:t>%</w:t>
            </w:r>
            <w:r w:rsidR="00C54758" w:rsidRPr="00C54758">
              <w:rPr>
                <w:rStyle w:val="FootnoteReference"/>
              </w:rPr>
              <w:fldChar w:fldCharType="begin"/>
            </w:r>
            <w:r w:rsidR="00C54758" w:rsidRPr="00C54758">
              <w:rPr>
                <w:rStyle w:val="FootnoteReference"/>
              </w:rPr>
              <w:instrText xml:space="preserve"> NOTEREF _Ref13734173 \h </w:instrText>
            </w:r>
            <w:r w:rsidR="00C54758">
              <w:rPr>
                <w:rStyle w:val="FootnoteReference"/>
              </w:rPr>
              <w:instrText xml:space="preserve"> \* MERGEFORMAT </w:instrText>
            </w:r>
            <w:r w:rsidR="00C54758" w:rsidRPr="00C54758">
              <w:rPr>
                <w:rStyle w:val="FootnoteReference"/>
              </w:rPr>
            </w:r>
            <w:r w:rsidR="00C54758" w:rsidRPr="00C54758">
              <w:rPr>
                <w:rStyle w:val="FootnoteReference"/>
              </w:rPr>
              <w:fldChar w:fldCharType="separate"/>
            </w:r>
            <w:r w:rsidR="007854E0">
              <w:rPr>
                <w:rStyle w:val="FootnoteReference"/>
              </w:rPr>
              <w:t>5</w:t>
            </w:r>
            <w:r w:rsidR="00C54758" w:rsidRPr="00C54758">
              <w:rPr>
                <w:rStyle w:val="FootnoteReference"/>
              </w:rPr>
              <w:fldChar w:fldCharType="end"/>
            </w:r>
            <w:r w:rsidR="00C54758">
              <w:rPr>
                <w:rStyle w:val="FootnoteReference"/>
              </w:rPr>
              <w:t>,</w:t>
            </w:r>
            <w:r w:rsidR="00C54758">
              <w:fldChar w:fldCharType="begin"/>
            </w:r>
            <w:r w:rsidR="00C54758">
              <w:rPr>
                <w:rStyle w:val="FootnoteReference"/>
              </w:rPr>
              <w:instrText xml:space="preserve"> NOTEREF _Ref13734178 \h </w:instrText>
            </w:r>
            <w:r w:rsidR="00C54758">
              <w:fldChar w:fldCharType="separate"/>
            </w:r>
            <w:r w:rsidR="007854E0">
              <w:rPr>
                <w:rStyle w:val="FootnoteReference"/>
              </w:rPr>
              <w:t>6</w:t>
            </w:r>
            <w:r w:rsidR="00C54758">
              <w:fldChar w:fldCharType="end"/>
            </w:r>
          </w:p>
        </w:tc>
      </w:tr>
      <w:tr w:rsidR="004534F0" w14:paraId="6D0FA02C" w14:textId="77777777" w:rsidTr="00743988">
        <w:trPr>
          <w:cantSplit/>
        </w:trPr>
        <w:tc>
          <w:tcPr>
            <w:tcW w:w="1985" w:type="dxa"/>
          </w:tcPr>
          <w:p w14:paraId="7996510B" w14:textId="7033C848" w:rsidR="004534F0" w:rsidRDefault="004534F0" w:rsidP="0071472C">
            <w:pPr>
              <w:pStyle w:val="DHHStabletext"/>
            </w:pPr>
            <w:r>
              <w:t>Bullying</w:t>
            </w:r>
          </w:p>
        </w:tc>
        <w:tc>
          <w:tcPr>
            <w:tcW w:w="5103" w:type="dxa"/>
          </w:tcPr>
          <w:p w14:paraId="16B01AD8" w14:textId="29941A18" w:rsidR="004534F0" w:rsidRDefault="004534F0" w:rsidP="0071472C">
            <w:pPr>
              <w:pStyle w:val="DHHStabletext"/>
            </w:pPr>
            <w:r>
              <w:t>Percentage of</w:t>
            </w:r>
            <w:r w:rsidRPr="007C168F">
              <w:t xml:space="preserve"> staff </w:t>
            </w:r>
            <w:r>
              <w:t xml:space="preserve">who </w:t>
            </w:r>
            <w:r w:rsidRPr="007C168F">
              <w:t xml:space="preserve">personally experienced bullying at work in last 12mths / </w:t>
            </w:r>
            <w:r>
              <w:t>People Matter survey</w:t>
            </w:r>
            <w:r w:rsidRPr="007C168F">
              <w:t xml:space="preserve"> responses</w:t>
            </w:r>
          </w:p>
        </w:tc>
        <w:tc>
          <w:tcPr>
            <w:tcW w:w="2211" w:type="dxa"/>
          </w:tcPr>
          <w:p w14:paraId="665E57A2" w14:textId="2B8D2245" w:rsidR="004534F0" w:rsidRDefault="004534F0" w:rsidP="0071472C">
            <w:pPr>
              <w:pStyle w:val="DHHStabletext"/>
            </w:pPr>
            <w:r>
              <w:t xml:space="preserve">Risk flag </w:t>
            </w:r>
            <w:r w:rsidRPr="003B4628">
              <w:rPr>
                <w:rFonts w:cs="Arial"/>
              </w:rPr>
              <w:t>≥</w:t>
            </w:r>
            <w:r>
              <w:rPr>
                <w:rFonts w:cs="Arial"/>
              </w:rPr>
              <w:t xml:space="preserve"> </w:t>
            </w:r>
            <w:r>
              <w:t>17% of People Matter survey responses</w:t>
            </w:r>
            <w:r w:rsidR="00C54758" w:rsidRPr="00C54758">
              <w:rPr>
                <w:rStyle w:val="FootnoteReference"/>
              </w:rPr>
              <w:fldChar w:fldCharType="begin"/>
            </w:r>
            <w:r w:rsidR="00C54758" w:rsidRPr="00C54758">
              <w:rPr>
                <w:rStyle w:val="FootnoteReference"/>
              </w:rPr>
              <w:instrText xml:space="preserve"> NOTEREF _Ref13734173 \h </w:instrText>
            </w:r>
            <w:r w:rsidR="00C54758">
              <w:rPr>
                <w:rStyle w:val="FootnoteReference"/>
              </w:rPr>
              <w:instrText xml:space="preserve"> \* MERGEFORMAT </w:instrText>
            </w:r>
            <w:r w:rsidR="00C54758" w:rsidRPr="00C54758">
              <w:rPr>
                <w:rStyle w:val="FootnoteReference"/>
              </w:rPr>
            </w:r>
            <w:r w:rsidR="00C54758" w:rsidRPr="00C54758">
              <w:rPr>
                <w:rStyle w:val="FootnoteReference"/>
              </w:rPr>
              <w:fldChar w:fldCharType="separate"/>
            </w:r>
            <w:r w:rsidR="007854E0">
              <w:rPr>
                <w:rStyle w:val="FootnoteReference"/>
              </w:rPr>
              <w:t>5</w:t>
            </w:r>
            <w:r w:rsidR="00C54758" w:rsidRPr="00C54758">
              <w:rPr>
                <w:rStyle w:val="FootnoteReference"/>
              </w:rPr>
              <w:fldChar w:fldCharType="end"/>
            </w:r>
            <w:r w:rsidR="00C54758">
              <w:rPr>
                <w:rStyle w:val="FootnoteReference"/>
              </w:rPr>
              <w:t>,</w:t>
            </w:r>
            <w:r w:rsidR="00C54758">
              <w:fldChar w:fldCharType="begin"/>
            </w:r>
            <w:r w:rsidR="00C54758">
              <w:rPr>
                <w:rStyle w:val="FootnoteReference"/>
              </w:rPr>
              <w:instrText xml:space="preserve"> NOTEREF _Ref13734178 \h </w:instrText>
            </w:r>
            <w:r w:rsidR="00C54758">
              <w:fldChar w:fldCharType="separate"/>
            </w:r>
            <w:r w:rsidR="007854E0">
              <w:rPr>
                <w:rStyle w:val="FootnoteReference"/>
              </w:rPr>
              <w:t>6</w:t>
            </w:r>
            <w:r w:rsidR="00C54758">
              <w:fldChar w:fldCharType="end"/>
            </w:r>
          </w:p>
        </w:tc>
      </w:tr>
    </w:tbl>
    <w:p w14:paraId="0E615669" w14:textId="6601DACD" w:rsidR="00C54758" w:rsidRDefault="00F52D06" w:rsidP="00F52D06">
      <w:pPr>
        <w:pStyle w:val="Heading4"/>
      </w:pPr>
      <w:bookmarkStart w:id="35" w:name="_Toc15580067"/>
      <w:r>
        <w:t>Learner’s experience</w:t>
      </w:r>
      <w:bookmarkEnd w:id="35"/>
    </w:p>
    <w:tbl>
      <w:tblPr>
        <w:tblStyle w:val="TableGrid"/>
        <w:tblW w:w="9299" w:type="dxa"/>
        <w:tblLayout w:type="fixed"/>
        <w:tblLook w:val="06A0" w:firstRow="1" w:lastRow="0" w:firstColumn="1" w:lastColumn="0" w:noHBand="1" w:noVBand="1"/>
      </w:tblPr>
      <w:tblGrid>
        <w:gridCol w:w="1985"/>
        <w:gridCol w:w="5103"/>
        <w:gridCol w:w="2211"/>
      </w:tblGrid>
      <w:tr w:rsidR="00F52D06" w14:paraId="10DA043D" w14:textId="77777777" w:rsidTr="00F52D06">
        <w:trPr>
          <w:cnfStyle w:val="100000000000" w:firstRow="1" w:lastRow="0" w:firstColumn="0" w:lastColumn="0" w:oddVBand="0" w:evenVBand="0" w:oddHBand="0" w:evenHBand="0" w:firstRowFirstColumn="0" w:firstRowLastColumn="0" w:lastRowFirstColumn="0" w:lastRowLastColumn="0"/>
          <w:cantSplit/>
          <w:tblHeader/>
        </w:trPr>
        <w:tc>
          <w:tcPr>
            <w:tcW w:w="1985" w:type="dxa"/>
          </w:tcPr>
          <w:p w14:paraId="0E26C477" w14:textId="79136024" w:rsidR="00F52D06" w:rsidRDefault="00F52D06" w:rsidP="00F52D06">
            <w:pPr>
              <w:pStyle w:val="DHHStablecolhead"/>
            </w:pPr>
            <w:r>
              <w:t>Risk</w:t>
            </w:r>
          </w:p>
        </w:tc>
        <w:tc>
          <w:tcPr>
            <w:tcW w:w="5103" w:type="dxa"/>
          </w:tcPr>
          <w:p w14:paraId="004BB452" w14:textId="775C2F19" w:rsidR="00F52D06" w:rsidRDefault="00F52D06" w:rsidP="00F52D06">
            <w:pPr>
              <w:pStyle w:val="DHHStablecolhead"/>
            </w:pPr>
            <w:r>
              <w:t xml:space="preserve">KPI description </w:t>
            </w:r>
          </w:p>
        </w:tc>
        <w:tc>
          <w:tcPr>
            <w:tcW w:w="2211" w:type="dxa"/>
          </w:tcPr>
          <w:p w14:paraId="73514BE8" w14:textId="2687D32F" w:rsidR="00F52D06" w:rsidRDefault="00F52D06" w:rsidP="00F52D06">
            <w:pPr>
              <w:pStyle w:val="DHHStablecolhead"/>
            </w:pPr>
            <w:r>
              <w:t>Target/risk</w:t>
            </w:r>
          </w:p>
        </w:tc>
      </w:tr>
      <w:tr w:rsidR="004534F0" w14:paraId="727EB4FE" w14:textId="77777777" w:rsidTr="00743988">
        <w:trPr>
          <w:cantSplit/>
        </w:trPr>
        <w:tc>
          <w:tcPr>
            <w:tcW w:w="1985" w:type="dxa"/>
          </w:tcPr>
          <w:p w14:paraId="62C82AF6" w14:textId="16E14AE4" w:rsidR="004534F0" w:rsidRDefault="004534F0" w:rsidP="0071472C">
            <w:pPr>
              <w:pStyle w:val="DHHStabletext"/>
            </w:pPr>
            <w:r>
              <w:t>Safety</w:t>
            </w:r>
          </w:p>
        </w:tc>
        <w:tc>
          <w:tcPr>
            <w:tcW w:w="5103" w:type="dxa"/>
          </w:tcPr>
          <w:p w14:paraId="342503C6" w14:textId="77777777" w:rsidR="004534F0" w:rsidRDefault="004534F0" w:rsidP="0071472C">
            <w:pPr>
              <w:pStyle w:val="DHHStabletext"/>
            </w:pPr>
            <w:r>
              <w:t xml:space="preserve">% learners </w:t>
            </w:r>
            <w:r w:rsidRPr="00E222FF">
              <w:t>feeling saf</w:t>
            </w:r>
            <w:r>
              <w:t xml:space="preserve">e at the organisation / total number </w:t>
            </w:r>
            <w:r w:rsidRPr="00E222FF">
              <w:t>of respondents</w:t>
            </w:r>
          </w:p>
        </w:tc>
        <w:tc>
          <w:tcPr>
            <w:tcW w:w="2211" w:type="dxa"/>
          </w:tcPr>
          <w:p w14:paraId="472BAB12" w14:textId="597F63BF" w:rsidR="004534F0" w:rsidRDefault="004534F0" w:rsidP="0071472C">
            <w:pPr>
              <w:pStyle w:val="DHHStabletext"/>
            </w:pPr>
            <w:r>
              <w:t xml:space="preserve">Risk flag </w:t>
            </w:r>
            <w:r>
              <w:rPr>
                <w:rFonts w:cs="Arial"/>
              </w:rPr>
              <w:t xml:space="preserve">≤ </w:t>
            </w:r>
            <w:r>
              <w:t>80%</w:t>
            </w:r>
          </w:p>
        </w:tc>
      </w:tr>
      <w:tr w:rsidR="004534F0" w14:paraId="3F8BF1E7" w14:textId="77777777" w:rsidTr="00743988">
        <w:trPr>
          <w:cantSplit/>
        </w:trPr>
        <w:tc>
          <w:tcPr>
            <w:tcW w:w="1985" w:type="dxa"/>
          </w:tcPr>
          <w:p w14:paraId="4CE14446" w14:textId="77777777" w:rsidR="004534F0" w:rsidRDefault="004534F0" w:rsidP="0071472C">
            <w:pPr>
              <w:pStyle w:val="DHHStabletext"/>
            </w:pPr>
            <w:r>
              <w:t xml:space="preserve">Wellbeing </w:t>
            </w:r>
          </w:p>
        </w:tc>
        <w:tc>
          <w:tcPr>
            <w:tcW w:w="5103" w:type="dxa"/>
          </w:tcPr>
          <w:p w14:paraId="790517C8" w14:textId="77777777" w:rsidR="004534F0" w:rsidRDefault="004534F0" w:rsidP="0071472C">
            <w:pPr>
              <w:pStyle w:val="DHHStabletext"/>
            </w:pPr>
            <w:r>
              <w:t xml:space="preserve">% learners </w:t>
            </w:r>
            <w:r w:rsidRPr="00E222FF">
              <w:t>having a sense of wellbein</w:t>
            </w:r>
            <w:r>
              <w:t xml:space="preserve">g at the organisation /total number </w:t>
            </w:r>
            <w:r w:rsidRPr="00E222FF">
              <w:t>of respondents</w:t>
            </w:r>
          </w:p>
        </w:tc>
        <w:tc>
          <w:tcPr>
            <w:tcW w:w="2211" w:type="dxa"/>
          </w:tcPr>
          <w:p w14:paraId="48F8E316" w14:textId="07228B5B" w:rsidR="004534F0" w:rsidRDefault="004534F0" w:rsidP="0071472C">
            <w:pPr>
              <w:pStyle w:val="DHHStabletext"/>
            </w:pPr>
            <w:r>
              <w:t xml:space="preserve">Risk flag </w:t>
            </w:r>
            <w:r>
              <w:rPr>
                <w:rFonts w:cs="Arial"/>
              </w:rPr>
              <w:t xml:space="preserve">≤ </w:t>
            </w:r>
            <w:r>
              <w:t>80%</w:t>
            </w:r>
          </w:p>
        </w:tc>
      </w:tr>
      <w:tr w:rsidR="004534F0" w14:paraId="7E12836E" w14:textId="77777777" w:rsidTr="00743988">
        <w:trPr>
          <w:cantSplit/>
        </w:trPr>
        <w:tc>
          <w:tcPr>
            <w:tcW w:w="1985" w:type="dxa"/>
          </w:tcPr>
          <w:p w14:paraId="0A7DC80F" w14:textId="77777777" w:rsidR="004534F0" w:rsidRDefault="004534F0" w:rsidP="0071472C">
            <w:pPr>
              <w:pStyle w:val="DHHStabletext"/>
            </w:pPr>
            <w:r>
              <w:t>Bullying</w:t>
            </w:r>
          </w:p>
        </w:tc>
        <w:tc>
          <w:tcPr>
            <w:tcW w:w="5103" w:type="dxa"/>
          </w:tcPr>
          <w:p w14:paraId="1670A2B8" w14:textId="77777777" w:rsidR="004534F0" w:rsidRDefault="004534F0" w:rsidP="0071472C">
            <w:pPr>
              <w:pStyle w:val="DHHStabletext"/>
            </w:pPr>
            <w:r w:rsidRPr="00040A00">
              <w:t>% who reported experiencing or witnessing bully</w:t>
            </w:r>
            <w:r>
              <w:t xml:space="preserve">ing at the organisation/total number </w:t>
            </w:r>
            <w:r w:rsidRPr="00040A00">
              <w:t>of respondents</w:t>
            </w:r>
          </w:p>
        </w:tc>
        <w:tc>
          <w:tcPr>
            <w:tcW w:w="2211" w:type="dxa"/>
          </w:tcPr>
          <w:p w14:paraId="1B0D2E96" w14:textId="5348C3ED" w:rsidR="004534F0" w:rsidRDefault="004534F0" w:rsidP="0071472C">
            <w:pPr>
              <w:pStyle w:val="DHHStabletext"/>
            </w:pPr>
            <w:r>
              <w:t xml:space="preserve">Risk flag </w:t>
            </w:r>
            <w:r w:rsidRPr="003B4628">
              <w:rPr>
                <w:rFonts w:cs="Arial"/>
              </w:rPr>
              <w:t>≥</w:t>
            </w:r>
            <w:r>
              <w:rPr>
                <w:rFonts w:cs="Arial"/>
              </w:rPr>
              <w:t xml:space="preserve"> </w:t>
            </w:r>
            <w:r>
              <w:t>20%</w:t>
            </w:r>
          </w:p>
        </w:tc>
      </w:tr>
    </w:tbl>
    <w:p w14:paraId="27490694" w14:textId="77777777" w:rsidR="00921922" w:rsidRPr="00960B1E" w:rsidRDefault="00921922" w:rsidP="00921922">
      <w:pPr>
        <w:pStyle w:val="DHHSbody"/>
      </w:pPr>
      <w:r w:rsidRPr="00960B1E">
        <w:br w:type="page"/>
      </w:r>
    </w:p>
    <w:p w14:paraId="378E19BB" w14:textId="42C27D84" w:rsidR="00921922" w:rsidRDefault="00921922" w:rsidP="00921922">
      <w:pPr>
        <w:pStyle w:val="Heading3"/>
      </w:pPr>
      <w:bookmarkStart w:id="36" w:name="_Toc517959117"/>
      <w:bookmarkStart w:id="37" w:name="_Toc15580068"/>
      <w:r>
        <w:lastRenderedPageBreak/>
        <w:t>Timely access to care</w:t>
      </w:r>
      <w:bookmarkEnd w:id="36"/>
      <w:bookmarkEnd w:id="37"/>
    </w:p>
    <w:p w14:paraId="3818D721" w14:textId="77777777" w:rsidR="004534F0" w:rsidRDefault="004534F0" w:rsidP="00F52D06">
      <w:pPr>
        <w:pStyle w:val="Heading4"/>
      </w:pPr>
      <w:bookmarkStart w:id="38" w:name="_Toc15580069"/>
      <w:r>
        <w:t>Emergency care</w:t>
      </w:r>
      <w:bookmarkEnd w:id="38"/>
    </w:p>
    <w:tbl>
      <w:tblPr>
        <w:tblStyle w:val="TableGrid"/>
        <w:tblW w:w="9299" w:type="dxa"/>
        <w:tblLayout w:type="fixed"/>
        <w:tblLook w:val="06A0" w:firstRow="1" w:lastRow="0" w:firstColumn="1" w:lastColumn="0" w:noHBand="1" w:noVBand="1"/>
      </w:tblPr>
      <w:tblGrid>
        <w:gridCol w:w="1985"/>
        <w:gridCol w:w="5103"/>
        <w:gridCol w:w="2211"/>
      </w:tblGrid>
      <w:tr w:rsidR="00F52D06" w14:paraId="10C59E19" w14:textId="77777777" w:rsidTr="00996789">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416528A8" w14:textId="77777777" w:rsidR="00F52D06" w:rsidRDefault="00F52D06" w:rsidP="00996789">
            <w:pPr>
              <w:pStyle w:val="DHHStablecolhead"/>
            </w:pPr>
            <w:r>
              <w:t>KPI</w:t>
            </w:r>
          </w:p>
        </w:tc>
        <w:tc>
          <w:tcPr>
            <w:tcW w:w="5103" w:type="dxa"/>
            <w:hideMark/>
          </w:tcPr>
          <w:p w14:paraId="60D5990F" w14:textId="77777777" w:rsidR="00F52D06" w:rsidRDefault="00F52D06" w:rsidP="00996789">
            <w:pPr>
              <w:pStyle w:val="DHHStablecolhead"/>
            </w:pPr>
            <w:r>
              <w:t>KPI description</w:t>
            </w:r>
          </w:p>
        </w:tc>
        <w:tc>
          <w:tcPr>
            <w:tcW w:w="2211" w:type="dxa"/>
            <w:hideMark/>
          </w:tcPr>
          <w:p w14:paraId="7D5DC118" w14:textId="77777777" w:rsidR="00F52D06" w:rsidRDefault="00F52D06" w:rsidP="00996789">
            <w:pPr>
              <w:pStyle w:val="DHHStablecolhead"/>
            </w:pPr>
            <w:r>
              <w:t>Target</w:t>
            </w:r>
          </w:p>
        </w:tc>
      </w:tr>
      <w:tr w:rsidR="00F52D06" w14:paraId="78F0913B" w14:textId="77777777" w:rsidTr="00996789">
        <w:trPr>
          <w:cantSplit/>
        </w:trPr>
        <w:tc>
          <w:tcPr>
            <w:tcW w:w="1985" w:type="dxa"/>
            <w:hideMark/>
          </w:tcPr>
          <w:p w14:paraId="084ED99C" w14:textId="77777777" w:rsidR="00F52D06" w:rsidRDefault="00F52D06" w:rsidP="00996789">
            <w:pPr>
              <w:pStyle w:val="DHHStabletext"/>
            </w:pPr>
            <w:r>
              <w:t>40-minute transfer</w:t>
            </w:r>
          </w:p>
        </w:tc>
        <w:tc>
          <w:tcPr>
            <w:tcW w:w="5103" w:type="dxa"/>
            <w:hideMark/>
          </w:tcPr>
          <w:p w14:paraId="53FEF5CF" w14:textId="77777777" w:rsidR="00F52D06" w:rsidRDefault="00F52D06" w:rsidP="00996789">
            <w:pPr>
              <w:pStyle w:val="DHHStabletext"/>
            </w:pPr>
            <w:r>
              <w:t xml:space="preserve">Percentage of patients transferred from ambulance to ED within 40 minutes </w:t>
            </w:r>
          </w:p>
        </w:tc>
        <w:tc>
          <w:tcPr>
            <w:tcW w:w="2211" w:type="dxa"/>
            <w:hideMark/>
          </w:tcPr>
          <w:p w14:paraId="7728F29E" w14:textId="3483F3A5" w:rsidR="00F52D06" w:rsidRDefault="00F52D06" w:rsidP="00996789">
            <w:pPr>
              <w:pStyle w:val="DHHStabletext"/>
            </w:pPr>
            <w:r>
              <w:t>90%</w:t>
            </w:r>
            <w:r>
              <w:rPr>
                <w:rStyle w:val="FootnoteReference"/>
              </w:rPr>
              <w:footnoteReference w:id="8"/>
            </w:r>
          </w:p>
        </w:tc>
      </w:tr>
      <w:tr w:rsidR="00F52D06" w14:paraId="1B769182" w14:textId="77777777" w:rsidTr="00996789">
        <w:trPr>
          <w:cantSplit/>
        </w:trPr>
        <w:tc>
          <w:tcPr>
            <w:tcW w:w="1985" w:type="dxa"/>
            <w:hideMark/>
          </w:tcPr>
          <w:p w14:paraId="40006BC3" w14:textId="77777777" w:rsidR="00F52D06" w:rsidRDefault="00F52D06" w:rsidP="00996789">
            <w:pPr>
              <w:pStyle w:val="DHHStabletext"/>
            </w:pPr>
            <w:r>
              <w:t>Triage 1</w:t>
            </w:r>
          </w:p>
        </w:tc>
        <w:tc>
          <w:tcPr>
            <w:tcW w:w="5103" w:type="dxa"/>
            <w:hideMark/>
          </w:tcPr>
          <w:p w14:paraId="6B32DDE5" w14:textId="77777777" w:rsidR="00F52D06" w:rsidRDefault="00F52D06" w:rsidP="00996789">
            <w:pPr>
              <w:pStyle w:val="DHHStabletext"/>
            </w:pPr>
            <w:r>
              <w:t>Percentage of triage category 1 emergency patients seen immediately</w:t>
            </w:r>
          </w:p>
        </w:tc>
        <w:tc>
          <w:tcPr>
            <w:tcW w:w="2211" w:type="dxa"/>
            <w:hideMark/>
          </w:tcPr>
          <w:p w14:paraId="19779407" w14:textId="77777777" w:rsidR="00F52D06" w:rsidRDefault="00F52D06" w:rsidP="00996789">
            <w:pPr>
              <w:pStyle w:val="DHHStabletext"/>
            </w:pPr>
            <w:r>
              <w:t>100%</w:t>
            </w:r>
          </w:p>
        </w:tc>
      </w:tr>
      <w:tr w:rsidR="00F52D06" w14:paraId="5F6B8833" w14:textId="77777777" w:rsidTr="00996789">
        <w:trPr>
          <w:cantSplit/>
        </w:trPr>
        <w:tc>
          <w:tcPr>
            <w:tcW w:w="1985" w:type="dxa"/>
            <w:hideMark/>
          </w:tcPr>
          <w:p w14:paraId="2EB8EE36" w14:textId="77777777" w:rsidR="00F52D06" w:rsidRDefault="00F52D06" w:rsidP="00996789">
            <w:pPr>
              <w:pStyle w:val="DHHStabletext"/>
            </w:pPr>
            <w:r>
              <w:t>Triage 1–5</w:t>
            </w:r>
          </w:p>
        </w:tc>
        <w:tc>
          <w:tcPr>
            <w:tcW w:w="5103" w:type="dxa"/>
            <w:hideMark/>
          </w:tcPr>
          <w:p w14:paraId="07975A1F" w14:textId="77777777" w:rsidR="00F52D06" w:rsidRDefault="00F52D06" w:rsidP="00996789">
            <w:pPr>
              <w:pStyle w:val="DHHStabletext"/>
            </w:pPr>
            <w:r>
              <w:t>Percentage of triage category 1 to 5 emergency patients seen within clinically recommended time</w:t>
            </w:r>
          </w:p>
        </w:tc>
        <w:tc>
          <w:tcPr>
            <w:tcW w:w="2211" w:type="dxa"/>
            <w:hideMark/>
          </w:tcPr>
          <w:p w14:paraId="54691C32" w14:textId="77777777" w:rsidR="00F52D06" w:rsidRDefault="00F52D06" w:rsidP="00996789">
            <w:pPr>
              <w:pStyle w:val="DHHStabletext"/>
            </w:pPr>
            <w:r>
              <w:t>80%</w:t>
            </w:r>
          </w:p>
        </w:tc>
      </w:tr>
      <w:tr w:rsidR="00F52D06" w14:paraId="5506972D" w14:textId="77777777" w:rsidTr="00996789">
        <w:trPr>
          <w:cantSplit/>
        </w:trPr>
        <w:tc>
          <w:tcPr>
            <w:tcW w:w="1985" w:type="dxa"/>
            <w:hideMark/>
          </w:tcPr>
          <w:p w14:paraId="3B54E4CB" w14:textId="77777777" w:rsidR="00F52D06" w:rsidRDefault="00F52D06" w:rsidP="00996789">
            <w:pPr>
              <w:pStyle w:val="DHHStabletext"/>
            </w:pPr>
            <w:r>
              <w:t>ED &lt; 4 hours</w:t>
            </w:r>
          </w:p>
        </w:tc>
        <w:tc>
          <w:tcPr>
            <w:tcW w:w="5103" w:type="dxa"/>
            <w:hideMark/>
          </w:tcPr>
          <w:p w14:paraId="42DA1889" w14:textId="77777777" w:rsidR="00F52D06" w:rsidRDefault="00F52D06" w:rsidP="00996789">
            <w:pPr>
              <w:pStyle w:val="DHHStabletext"/>
            </w:pPr>
            <w:r>
              <w:t xml:space="preserve">Percentage of emergency patients with a length of stay in the ED of less </w:t>
            </w:r>
            <w:r w:rsidRPr="002F5E87">
              <w:t>than four hours</w:t>
            </w:r>
          </w:p>
        </w:tc>
        <w:tc>
          <w:tcPr>
            <w:tcW w:w="2211" w:type="dxa"/>
            <w:hideMark/>
          </w:tcPr>
          <w:p w14:paraId="43EC22FA" w14:textId="77777777" w:rsidR="00F52D06" w:rsidRDefault="00F52D06" w:rsidP="00996789">
            <w:pPr>
              <w:pStyle w:val="DHHStabletext"/>
            </w:pPr>
            <w:r>
              <w:t>81%</w:t>
            </w:r>
          </w:p>
        </w:tc>
      </w:tr>
      <w:tr w:rsidR="00F52D06" w14:paraId="7FB7C599" w14:textId="77777777" w:rsidTr="00996789">
        <w:trPr>
          <w:cantSplit/>
        </w:trPr>
        <w:tc>
          <w:tcPr>
            <w:tcW w:w="1985" w:type="dxa"/>
            <w:hideMark/>
          </w:tcPr>
          <w:p w14:paraId="78E288B0" w14:textId="77777777" w:rsidR="00F52D06" w:rsidRDefault="00F52D06" w:rsidP="00996789">
            <w:pPr>
              <w:pStyle w:val="DHHStabletext"/>
            </w:pPr>
            <w:r>
              <w:t>ED &gt; 24 hours</w:t>
            </w:r>
          </w:p>
        </w:tc>
        <w:tc>
          <w:tcPr>
            <w:tcW w:w="5103" w:type="dxa"/>
            <w:hideMark/>
          </w:tcPr>
          <w:p w14:paraId="25A2C4FF" w14:textId="77777777" w:rsidR="00F52D06" w:rsidRDefault="00F52D06" w:rsidP="00996789">
            <w:pPr>
              <w:pStyle w:val="DHHStabletext"/>
            </w:pPr>
            <w:r>
              <w:t xml:space="preserve">Number of patients with a length of stay in the ED greater than 24 hours </w:t>
            </w:r>
          </w:p>
        </w:tc>
        <w:tc>
          <w:tcPr>
            <w:tcW w:w="2211" w:type="dxa"/>
            <w:hideMark/>
          </w:tcPr>
          <w:p w14:paraId="706C2441" w14:textId="77777777" w:rsidR="00F52D06" w:rsidRDefault="00F52D06" w:rsidP="00996789">
            <w:pPr>
              <w:pStyle w:val="DHHStabletext"/>
            </w:pPr>
            <w:r>
              <w:t>0</w:t>
            </w:r>
          </w:p>
        </w:tc>
      </w:tr>
    </w:tbl>
    <w:p w14:paraId="6ACC7404" w14:textId="77777777" w:rsidR="004534F0" w:rsidRDefault="004534F0" w:rsidP="00F52D06">
      <w:pPr>
        <w:pStyle w:val="Heading4"/>
      </w:pPr>
      <w:bookmarkStart w:id="39" w:name="_Toc15580070"/>
      <w:r>
        <w:t>Elective surgery</w:t>
      </w:r>
      <w:bookmarkEnd w:id="39"/>
    </w:p>
    <w:tbl>
      <w:tblPr>
        <w:tblStyle w:val="TableGrid"/>
        <w:tblW w:w="9299" w:type="dxa"/>
        <w:tblLayout w:type="fixed"/>
        <w:tblLook w:val="06A0" w:firstRow="1" w:lastRow="0" w:firstColumn="1" w:lastColumn="0" w:noHBand="1" w:noVBand="1"/>
      </w:tblPr>
      <w:tblGrid>
        <w:gridCol w:w="1985"/>
        <w:gridCol w:w="5103"/>
        <w:gridCol w:w="2211"/>
      </w:tblGrid>
      <w:tr w:rsidR="00F52D06" w14:paraId="789D2838" w14:textId="77777777" w:rsidTr="00996789">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56D1C3A2" w14:textId="77777777" w:rsidR="00F52D06" w:rsidRDefault="00F52D06" w:rsidP="00996789">
            <w:pPr>
              <w:pStyle w:val="DHHStablecolhead"/>
            </w:pPr>
            <w:r>
              <w:t>KPI</w:t>
            </w:r>
          </w:p>
        </w:tc>
        <w:tc>
          <w:tcPr>
            <w:tcW w:w="5103" w:type="dxa"/>
            <w:hideMark/>
          </w:tcPr>
          <w:p w14:paraId="484AF4B1" w14:textId="77777777" w:rsidR="00F52D06" w:rsidRDefault="00F52D06" w:rsidP="00996789">
            <w:pPr>
              <w:pStyle w:val="DHHStablecolhead"/>
            </w:pPr>
            <w:r>
              <w:t>KPI description</w:t>
            </w:r>
          </w:p>
        </w:tc>
        <w:tc>
          <w:tcPr>
            <w:tcW w:w="2211" w:type="dxa"/>
            <w:hideMark/>
          </w:tcPr>
          <w:p w14:paraId="7E9A1824" w14:textId="77777777" w:rsidR="00F52D06" w:rsidRDefault="00F52D06" w:rsidP="00996789">
            <w:pPr>
              <w:pStyle w:val="DHHStablecolhead"/>
            </w:pPr>
            <w:r>
              <w:t>Target</w:t>
            </w:r>
          </w:p>
        </w:tc>
      </w:tr>
      <w:tr w:rsidR="00F52D06" w14:paraId="15AEBC73" w14:textId="77777777" w:rsidTr="00996789">
        <w:trPr>
          <w:cantSplit/>
        </w:trPr>
        <w:tc>
          <w:tcPr>
            <w:tcW w:w="1985" w:type="dxa"/>
          </w:tcPr>
          <w:p w14:paraId="401CD206" w14:textId="77777777" w:rsidR="00F52D06" w:rsidRDefault="00F52D06" w:rsidP="00996789">
            <w:pPr>
              <w:pStyle w:val="DHHStabletext"/>
            </w:pPr>
            <w:r>
              <w:t>Cat 1, 2 &amp; 3 admit</w:t>
            </w:r>
          </w:p>
        </w:tc>
        <w:tc>
          <w:tcPr>
            <w:tcW w:w="5103" w:type="dxa"/>
          </w:tcPr>
          <w:p w14:paraId="2CB1F664" w14:textId="77777777" w:rsidR="00F52D06" w:rsidRDefault="00F52D06" w:rsidP="00996789">
            <w:pPr>
              <w:pStyle w:val="DHHStabletext"/>
            </w:pPr>
            <w:r>
              <w:t>Percentage of urgency category 1, 2 and 3 elective surgery patients admitted within clinically recommended time</w:t>
            </w:r>
          </w:p>
        </w:tc>
        <w:tc>
          <w:tcPr>
            <w:tcW w:w="2211" w:type="dxa"/>
          </w:tcPr>
          <w:p w14:paraId="4246155F" w14:textId="77777777" w:rsidR="00F52D06" w:rsidRDefault="00F52D06" w:rsidP="00996789">
            <w:pPr>
              <w:pStyle w:val="DHHStabletext"/>
            </w:pPr>
            <w:r>
              <w:t>94%</w:t>
            </w:r>
          </w:p>
        </w:tc>
      </w:tr>
      <w:tr w:rsidR="00F52D06" w14:paraId="6AB94A22" w14:textId="77777777" w:rsidTr="00996789">
        <w:trPr>
          <w:cantSplit/>
        </w:trPr>
        <w:tc>
          <w:tcPr>
            <w:tcW w:w="1985" w:type="dxa"/>
          </w:tcPr>
          <w:p w14:paraId="6B804092" w14:textId="77777777" w:rsidR="00F52D06" w:rsidRDefault="00F52D06" w:rsidP="00996789">
            <w:pPr>
              <w:pStyle w:val="DHHStabletext"/>
            </w:pPr>
            <w:r>
              <w:t>Cat 1 admit</w:t>
            </w:r>
          </w:p>
        </w:tc>
        <w:tc>
          <w:tcPr>
            <w:tcW w:w="5103" w:type="dxa"/>
          </w:tcPr>
          <w:p w14:paraId="323A151B" w14:textId="77777777" w:rsidR="00F52D06" w:rsidRDefault="00F52D06" w:rsidP="00996789">
            <w:pPr>
              <w:pStyle w:val="DHHStabletext"/>
            </w:pPr>
            <w:r>
              <w:t>Percentage of urgency category 1 elective surgery patients admitted within 30 days</w:t>
            </w:r>
          </w:p>
        </w:tc>
        <w:tc>
          <w:tcPr>
            <w:tcW w:w="2211" w:type="dxa"/>
          </w:tcPr>
          <w:p w14:paraId="79486E38" w14:textId="77777777" w:rsidR="00F52D06" w:rsidRDefault="00F52D06" w:rsidP="00996789">
            <w:pPr>
              <w:pStyle w:val="DHHStabletext"/>
            </w:pPr>
            <w:r>
              <w:t>100%</w:t>
            </w:r>
          </w:p>
        </w:tc>
      </w:tr>
      <w:tr w:rsidR="00F52D06" w14:paraId="60FD5142" w14:textId="77777777" w:rsidTr="00996789">
        <w:trPr>
          <w:cantSplit/>
        </w:trPr>
        <w:tc>
          <w:tcPr>
            <w:tcW w:w="1985" w:type="dxa"/>
          </w:tcPr>
          <w:p w14:paraId="615DFADA" w14:textId="77777777" w:rsidR="00F52D06" w:rsidRDefault="00F52D06" w:rsidP="00996789">
            <w:pPr>
              <w:pStyle w:val="DHHStabletext"/>
            </w:pPr>
            <w:r>
              <w:t>ESWL</w:t>
            </w:r>
          </w:p>
        </w:tc>
        <w:tc>
          <w:tcPr>
            <w:tcW w:w="5103" w:type="dxa"/>
          </w:tcPr>
          <w:p w14:paraId="6D6D6ABD" w14:textId="77777777" w:rsidR="00F52D06" w:rsidRDefault="00F52D06" w:rsidP="00996789">
            <w:pPr>
              <w:pStyle w:val="DHHStabletext"/>
            </w:pPr>
            <w:r>
              <w:t>Number of patients on the elective surgery waiting list</w:t>
            </w:r>
          </w:p>
        </w:tc>
        <w:tc>
          <w:tcPr>
            <w:tcW w:w="2211" w:type="dxa"/>
          </w:tcPr>
          <w:p w14:paraId="19A4C3EE" w14:textId="77777777" w:rsidR="00F52D06" w:rsidRDefault="00F52D06" w:rsidP="00996789">
            <w:pPr>
              <w:pStyle w:val="DHHStabletext"/>
            </w:pPr>
            <w:r>
              <w:t>Health service specific</w:t>
            </w:r>
          </w:p>
        </w:tc>
      </w:tr>
      <w:tr w:rsidR="00F52D06" w14:paraId="0ED9F811" w14:textId="77777777" w:rsidTr="00996789">
        <w:trPr>
          <w:cantSplit/>
        </w:trPr>
        <w:tc>
          <w:tcPr>
            <w:tcW w:w="1985" w:type="dxa"/>
            <w:hideMark/>
          </w:tcPr>
          <w:p w14:paraId="71233BF9" w14:textId="77777777" w:rsidR="00F52D06" w:rsidRDefault="00F52D06" w:rsidP="00996789">
            <w:pPr>
              <w:pStyle w:val="DHHStabletext"/>
            </w:pPr>
            <w:r>
              <w:t xml:space="preserve">Reducing long waiting elective surgery patients </w:t>
            </w:r>
          </w:p>
        </w:tc>
        <w:tc>
          <w:tcPr>
            <w:tcW w:w="5103" w:type="dxa"/>
            <w:hideMark/>
          </w:tcPr>
          <w:p w14:paraId="6FC0A7FB" w14:textId="77777777" w:rsidR="00F52D06" w:rsidRDefault="00F52D06" w:rsidP="00996789">
            <w:pPr>
              <w:pStyle w:val="DHHStabletext"/>
            </w:pPr>
            <w:r>
              <w:t xml:space="preserve">Proportion of patients on the waiting list who have waited longer than clinically recommended time for their respective triage category </w:t>
            </w:r>
          </w:p>
        </w:tc>
        <w:tc>
          <w:tcPr>
            <w:tcW w:w="2211" w:type="dxa"/>
            <w:hideMark/>
          </w:tcPr>
          <w:p w14:paraId="4CF93102" w14:textId="77777777" w:rsidR="00F52D06" w:rsidRDefault="00F52D06" w:rsidP="00996789">
            <w:pPr>
              <w:pStyle w:val="DHHStabletext"/>
            </w:pPr>
            <w:r>
              <w:t>5% or 15</w:t>
            </w:r>
            <w:r w:rsidRPr="00D308E8">
              <w:t xml:space="preserve">% </w:t>
            </w:r>
            <w:r>
              <w:t xml:space="preserve">proportional </w:t>
            </w:r>
            <w:r w:rsidRPr="00D308E8">
              <w:t>improvement from prior year</w:t>
            </w:r>
          </w:p>
        </w:tc>
      </w:tr>
      <w:tr w:rsidR="00F52D06" w14:paraId="5195F937" w14:textId="77777777" w:rsidTr="00996789">
        <w:trPr>
          <w:cantSplit/>
        </w:trPr>
        <w:tc>
          <w:tcPr>
            <w:tcW w:w="1985" w:type="dxa"/>
          </w:tcPr>
          <w:p w14:paraId="5B0E4B96" w14:textId="77777777" w:rsidR="00F52D06" w:rsidRDefault="00F52D06" w:rsidP="00996789">
            <w:pPr>
              <w:pStyle w:val="DHHStabletext"/>
            </w:pPr>
            <w:r>
              <w:t>Admissions</w:t>
            </w:r>
          </w:p>
        </w:tc>
        <w:tc>
          <w:tcPr>
            <w:tcW w:w="5103" w:type="dxa"/>
          </w:tcPr>
          <w:p w14:paraId="4E76A829" w14:textId="77777777" w:rsidR="00F52D06" w:rsidRDefault="00F52D06" w:rsidP="00996789">
            <w:pPr>
              <w:pStyle w:val="DHHStabletext"/>
            </w:pPr>
            <w:r>
              <w:t xml:space="preserve">Number of patients admitted from the elective surgery waiting list </w:t>
            </w:r>
          </w:p>
        </w:tc>
        <w:tc>
          <w:tcPr>
            <w:tcW w:w="2211" w:type="dxa"/>
          </w:tcPr>
          <w:p w14:paraId="391E1199" w14:textId="77777777" w:rsidR="00F52D06" w:rsidRDefault="00F52D06" w:rsidP="00996789">
            <w:pPr>
              <w:pStyle w:val="DHHStabletext"/>
            </w:pPr>
            <w:r>
              <w:t>Health service specific</w:t>
            </w:r>
          </w:p>
        </w:tc>
      </w:tr>
      <w:tr w:rsidR="00F52D06" w14:paraId="1CCE31FD" w14:textId="77777777" w:rsidTr="00996789">
        <w:trPr>
          <w:cantSplit/>
        </w:trPr>
        <w:tc>
          <w:tcPr>
            <w:tcW w:w="1985" w:type="dxa"/>
            <w:hideMark/>
          </w:tcPr>
          <w:p w14:paraId="01869CA2" w14:textId="77777777" w:rsidR="00F52D06" w:rsidRDefault="00F52D06" w:rsidP="00996789">
            <w:pPr>
              <w:pStyle w:val="DHHStabletext"/>
            </w:pPr>
            <w:r>
              <w:t>HiPS</w:t>
            </w:r>
          </w:p>
        </w:tc>
        <w:tc>
          <w:tcPr>
            <w:tcW w:w="5103" w:type="dxa"/>
            <w:hideMark/>
          </w:tcPr>
          <w:p w14:paraId="2433AAAD" w14:textId="77777777" w:rsidR="00F52D06" w:rsidRDefault="00F52D06" w:rsidP="00996789">
            <w:pPr>
              <w:pStyle w:val="DHHStabletext"/>
            </w:pPr>
            <w:r>
              <w:t>Number of hospital-initiated postponements per 100 scheduled elective surgery admissions</w:t>
            </w:r>
          </w:p>
        </w:tc>
        <w:tc>
          <w:tcPr>
            <w:tcW w:w="2211" w:type="dxa"/>
            <w:hideMark/>
          </w:tcPr>
          <w:p w14:paraId="6D276EAF" w14:textId="77777777" w:rsidR="00F52D06" w:rsidRDefault="00F52D06" w:rsidP="00996789">
            <w:pPr>
              <w:pStyle w:val="DHHStabletext"/>
            </w:pPr>
            <w:r>
              <w:rPr>
                <w:rFonts w:cs="Arial"/>
              </w:rPr>
              <w:t xml:space="preserve">≤ </w:t>
            </w:r>
            <w:r>
              <w:t>7/100</w:t>
            </w:r>
          </w:p>
        </w:tc>
      </w:tr>
    </w:tbl>
    <w:p w14:paraId="31AEAD05" w14:textId="77777777" w:rsidR="004534F0" w:rsidRDefault="004534F0" w:rsidP="00F52D06">
      <w:pPr>
        <w:pStyle w:val="Heading4"/>
      </w:pPr>
      <w:bookmarkStart w:id="40" w:name="_Toc15580071"/>
      <w:r>
        <w:t>Specialist clinics</w:t>
      </w:r>
      <w:bookmarkEnd w:id="40"/>
    </w:p>
    <w:tbl>
      <w:tblPr>
        <w:tblStyle w:val="TableGrid"/>
        <w:tblW w:w="9299" w:type="dxa"/>
        <w:tblLayout w:type="fixed"/>
        <w:tblLook w:val="06A0" w:firstRow="1" w:lastRow="0" w:firstColumn="1" w:lastColumn="0" w:noHBand="1" w:noVBand="1"/>
      </w:tblPr>
      <w:tblGrid>
        <w:gridCol w:w="1985"/>
        <w:gridCol w:w="5103"/>
        <w:gridCol w:w="2211"/>
      </w:tblGrid>
      <w:tr w:rsidR="00F52D06" w14:paraId="2357A07F" w14:textId="77777777" w:rsidTr="00996789">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6AFFCBF3" w14:textId="77777777" w:rsidR="00F52D06" w:rsidRDefault="00F52D06" w:rsidP="00996789">
            <w:pPr>
              <w:pStyle w:val="DHHStablecolhead"/>
            </w:pPr>
            <w:r>
              <w:t>KPI</w:t>
            </w:r>
          </w:p>
        </w:tc>
        <w:tc>
          <w:tcPr>
            <w:tcW w:w="5103" w:type="dxa"/>
            <w:hideMark/>
          </w:tcPr>
          <w:p w14:paraId="72402069" w14:textId="77777777" w:rsidR="00F52D06" w:rsidRDefault="00F52D06" w:rsidP="00996789">
            <w:pPr>
              <w:pStyle w:val="DHHStablecolhead"/>
            </w:pPr>
            <w:r>
              <w:t>KPI description</w:t>
            </w:r>
          </w:p>
        </w:tc>
        <w:tc>
          <w:tcPr>
            <w:tcW w:w="2211" w:type="dxa"/>
            <w:hideMark/>
          </w:tcPr>
          <w:p w14:paraId="21285528" w14:textId="77777777" w:rsidR="00F52D06" w:rsidRDefault="00F52D06" w:rsidP="00996789">
            <w:pPr>
              <w:pStyle w:val="DHHStablecolhead"/>
            </w:pPr>
            <w:r>
              <w:t>Target</w:t>
            </w:r>
          </w:p>
        </w:tc>
      </w:tr>
      <w:tr w:rsidR="00F52D06" w14:paraId="71536FB1" w14:textId="77777777" w:rsidTr="00996789">
        <w:trPr>
          <w:cantSplit/>
        </w:trPr>
        <w:tc>
          <w:tcPr>
            <w:tcW w:w="1985" w:type="dxa"/>
            <w:hideMark/>
          </w:tcPr>
          <w:p w14:paraId="73B4EE1E" w14:textId="77777777" w:rsidR="00F52D06" w:rsidRDefault="00F52D06" w:rsidP="00996789">
            <w:pPr>
              <w:pStyle w:val="DHHStabletext"/>
            </w:pPr>
            <w:r>
              <w:t>Waiting time</w:t>
            </w:r>
          </w:p>
        </w:tc>
        <w:tc>
          <w:tcPr>
            <w:tcW w:w="5103" w:type="dxa"/>
            <w:hideMark/>
          </w:tcPr>
          <w:p w14:paraId="7F1FE7C3" w14:textId="77777777" w:rsidR="00F52D06" w:rsidRDefault="00F52D06" w:rsidP="00996789">
            <w:pPr>
              <w:pStyle w:val="DHHStabletext"/>
            </w:pPr>
            <w:r>
              <w:t xml:space="preserve">Waiting time for urgent patients referred by a GP or external specialist who attended a first appointment in the waiting period </w:t>
            </w:r>
          </w:p>
        </w:tc>
        <w:tc>
          <w:tcPr>
            <w:tcW w:w="2211" w:type="dxa"/>
            <w:hideMark/>
          </w:tcPr>
          <w:p w14:paraId="060B0F37" w14:textId="77777777" w:rsidR="00F52D06" w:rsidRDefault="00F52D06" w:rsidP="00996789">
            <w:pPr>
              <w:pStyle w:val="DHHStabletext"/>
              <w:rPr>
                <w:highlight w:val="yellow"/>
              </w:rPr>
            </w:pPr>
            <w:r>
              <w:t>100%</w:t>
            </w:r>
          </w:p>
        </w:tc>
      </w:tr>
      <w:tr w:rsidR="00F52D06" w14:paraId="56329691" w14:textId="77777777" w:rsidTr="00996789">
        <w:trPr>
          <w:cantSplit/>
        </w:trPr>
        <w:tc>
          <w:tcPr>
            <w:tcW w:w="1985" w:type="dxa"/>
            <w:hideMark/>
          </w:tcPr>
          <w:p w14:paraId="28F0DAC7" w14:textId="77777777" w:rsidR="00F52D06" w:rsidRDefault="00F52D06" w:rsidP="00996789">
            <w:pPr>
              <w:pStyle w:val="DHHStabletext"/>
            </w:pPr>
            <w:r>
              <w:t>Waiting time</w:t>
            </w:r>
          </w:p>
        </w:tc>
        <w:tc>
          <w:tcPr>
            <w:tcW w:w="5103" w:type="dxa"/>
            <w:hideMark/>
          </w:tcPr>
          <w:p w14:paraId="3B05D956" w14:textId="77777777" w:rsidR="00F52D06" w:rsidRDefault="00F52D06" w:rsidP="00996789">
            <w:pPr>
              <w:pStyle w:val="DHHStabletext"/>
            </w:pPr>
            <w:r>
              <w:t xml:space="preserve">Waiting time for routine patients referred by GP or external specialist who attended a first appointment in the waiting period </w:t>
            </w:r>
          </w:p>
        </w:tc>
        <w:tc>
          <w:tcPr>
            <w:tcW w:w="2211" w:type="dxa"/>
            <w:hideMark/>
          </w:tcPr>
          <w:p w14:paraId="6A6F984C" w14:textId="77777777" w:rsidR="00F52D06" w:rsidRDefault="00F52D06" w:rsidP="00996789">
            <w:pPr>
              <w:pStyle w:val="DHHStabletext"/>
            </w:pPr>
            <w:r>
              <w:t>90%</w:t>
            </w:r>
          </w:p>
        </w:tc>
      </w:tr>
    </w:tbl>
    <w:p w14:paraId="329A852D" w14:textId="77777777" w:rsidR="00F52D06" w:rsidRPr="00F52D06" w:rsidRDefault="00F52D06" w:rsidP="00F52D06">
      <w:pPr>
        <w:pStyle w:val="DHHSbody"/>
      </w:pPr>
      <w:r w:rsidRPr="00F52D06">
        <w:br w:type="page"/>
      </w:r>
    </w:p>
    <w:p w14:paraId="06C735FC" w14:textId="0B4A0B27" w:rsidR="004534F0" w:rsidRDefault="004534F0" w:rsidP="00F52D06">
      <w:pPr>
        <w:pStyle w:val="Heading4"/>
      </w:pPr>
      <w:bookmarkStart w:id="41" w:name="_Toc15580072"/>
      <w:r>
        <w:lastRenderedPageBreak/>
        <w:t>Ambulance Victoria</w:t>
      </w:r>
      <w:bookmarkEnd w:id="41"/>
    </w:p>
    <w:tbl>
      <w:tblPr>
        <w:tblStyle w:val="TableGrid"/>
        <w:tblW w:w="9299" w:type="dxa"/>
        <w:tblLayout w:type="fixed"/>
        <w:tblLook w:val="06A0" w:firstRow="1" w:lastRow="0" w:firstColumn="1" w:lastColumn="0" w:noHBand="1" w:noVBand="1"/>
      </w:tblPr>
      <w:tblGrid>
        <w:gridCol w:w="1985"/>
        <w:gridCol w:w="5103"/>
        <w:gridCol w:w="2211"/>
      </w:tblGrid>
      <w:tr w:rsidR="00F52D06" w14:paraId="2C33A07E" w14:textId="77777777" w:rsidTr="00996789">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7826E6E6" w14:textId="77777777" w:rsidR="00F52D06" w:rsidRDefault="00F52D06" w:rsidP="00996789">
            <w:pPr>
              <w:pStyle w:val="DHHStablecolhead"/>
            </w:pPr>
            <w:r>
              <w:t>KPI</w:t>
            </w:r>
          </w:p>
        </w:tc>
        <w:tc>
          <w:tcPr>
            <w:tcW w:w="5103" w:type="dxa"/>
            <w:hideMark/>
          </w:tcPr>
          <w:p w14:paraId="0774F248" w14:textId="77777777" w:rsidR="00F52D06" w:rsidRDefault="00F52D06" w:rsidP="00996789">
            <w:pPr>
              <w:pStyle w:val="DHHStablecolhead"/>
            </w:pPr>
            <w:r>
              <w:t>KPI description</w:t>
            </w:r>
          </w:p>
        </w:tc>
        <w:tc>
          <w:tcPr>
            <w:tcW w:w="2211" w:type="dxa"/>
            <w:hideMark/>
          </w:tcPr>
          <w:p w14:paraId="2C7F56D9" w14:textId="77777777" w:rsidR="00F52D06" w:rsidRDefault="00F52D06" w:rsidP="00996789">
            <w:pPr>
              <w:pStyle w:val="DHHStablecolhead"/>
            </w:pPr>
            <w:r>
              <w:t>Target</w:t>
            </w:r>
          </w:p>
        </w:tc>
      </w:tr>
      <w:tr w:rsidR="00F52D06" w14:paraId="580B52F0" w14:textId="77777777" w:rsidTr="00996789">
        <w:trPr>
          <w:cantSplit/>
        </w:trPr>
        <w:tc>
          <w:tcPr>
            <w:tcW w:w="1985" w:type="dxa"/>
            <w:vMerge w:val="restart"/>
            <w:hideMark/>
          </w:tcPr>
          <w:p w14:paraId="53A0DD8F" w14:textId="77777777" w:rsidR="00F52D06" w:rsidRDefault="00F52D06" w:rsidP="00996789">
            <w:pPr>
              <w:pStyle w:val="DHHStabletext"/>
            </w:pPr>
            <w:r>
              <w:t>Response times statewide</w:t>
            </w:r>
          </w:p>
        </w:tc>
        <w:tc>
          <w:tcPr>
            <w:tcW w:w="5103" w:type="dxa"/>
            <w:hideMark/>
          </w:tcPr>
          <w:p w14:paraId="5D60A458" w14:textId="77777777" w:rsidR="00F52D06" w:rsidRDefault="00F52D06" w:rsidP="00996789">
            <w:pPr>
              <w:pStyle w:val="DHHStabletext"/>
            </w:pPr>
            <w:r>
              <w:t>Percentage of emergency (Code 1) incidents responded to within 15 minutes</w:t>
            </w:r>
          </w:p>
        </w:tc>
        <w:tc>
          <w:tcPr>
            <w:tcW w:w="2211" w:type="dxa"/>
            <w:hideMark/>
          </w:tcPr>
          <w:p w14:paraId="5F8DA54D" w14:textId="77777777" w:rsidR="00F52D06" w:rsidRDefault="00F52D06" w:rsidP="00996789">
            <w:pPr>
              <w:pStyle w:val="DHHStabletext"/>
            </w:pPr>
            <w:r>
              <w:t>85%</w:t>
            </w:r>
          </w:p>
        </w:tc>
      </w:tr>
      <w:tr w:rsidR="00F52D06" w14:paraId="6CFF3448" w14:textId="77777777" w:rsidTr="00996789">
        <w:trPr>
          <w:cantSplit/>
        </w:trPr>
        <w:tc>
          <w:tcPr>
            <w:tcW w:w="1985" w:type="dxa"/>
            <w:vMerge/>
          </w:tcPr>
          <w:p w14:paraId="4579A478" w14:textId="77777777" w:rsidR="00F52D06" w:rsidRDefault="00F52D06" w:rsidP="00996789">
            <w:pPr>
              <w:pStyle w:val="DHHStabletext"/>
            </w:pPr>
          </w:p>
        </w:tc>
        <w:tc>
          <w:tcPr>
            <w:tcW w:w="5103" w:type="dxa"/>
          </w:tcPr>
          <w:p w14:paraId="66A75CEB" w14:textId="77777777" w:rsidR="00F52D06" w:rsidRDefault="00F52D06" w:rsidP="00996789">
            <w:pPr>
              <w:pStyle w:val="DHHStabletext"/>
            </w:pPr>
            <w:r>
              <w:t>Percentage of emergency (Priority 0</w:t>
            </w:r>
            <w:r w:rsidRPr="00C072FF">
              <w:t>) incidents r</w:t>
            </w:r>
            <w:r>
              <w:t>esponded to within 13</w:t>
            </w:r>
            <w:r w:rsidRPr="00C072FF">
              <w:t xml:space="preserve"> minutes</w:t>
            </w:r>
          </w:p>
        </w:tc>
        <w:tc>
          <w:tcPr>
            <w:tcW w:w="2211" w:type="dxa"/>
          </w:tcPr>
          <w:p w14:paraId="3DA48E98" w14:textId="77777777" w:rsidR="00F52D06" w:rsidRDefault="00F52D06" w:rsidP="00996789">
            <w:pPr>
              <w:pStyle w:val="DHHStabletext"/>
            </w:pPr>
            <w:r>
              <w:t>85%</w:t>
            </w:r>
          </w:p>
        </w:tc>
      </w:tr>
      <w:tr w:rsidR="00F52D06" w14:paraId="163E942F" w14:textId="77777777" w:rsidTr="00996789">
        <w:trPr>
          <w:cantSplit/>
        </w:trPr>
        <w:tc>
          <w:tcPr>
            <w:tcW w:w="1985" w:type="dxa"/>
            <w:hideMark/>
          </w:tcPr>
          <w:p w14:paraId="1585B0E9" w14:textId="77777777" w:rsidR="00F52D06" w:rsidRDefault="00F52D06" w:rsidP="00996789">
            <w:pPr>
              <w:pStyle w:val="DHHStabletext"/>
            </w:pPr>
            <w:r>
              <w:t>Response times urban</w:t>
            </w:r>
          </w:p>
        </w:tc>
        <w:tc>
          <w:tcPr>
            <w:tcW w:w="5103" w:type="dxa"/>
            <w:hideMark/>
          </w:tcPr>
          <w:p w14:paraId="44E08CC6" w14:textId="77777777" w:rsidR="00F52D06" w:rsidRDefault="00F52D06" w:rsidP="00996789">
            <w:pPr>
              <w:pStyle w:val="DHHStabletext"/>
            </w:pPr>
            <w:r>
              <w:t>Percentage of emergency (Code 1) incidents responded to within 15 minutes in centres with a population greater than 7,500</w:t>
            </w:r>
          </w:p>
        </w:tc>
        <w:tc>
          <w:tcPr>
            <w:tcW w:w="2211" w:type="dxa"/>
            <w:hideMark/>
          </w:tcPr>
          <w:p w14:paraId="75854F42" w14:textId="77777777" w:rsidR="00F52D06" w:rsidRDefault="00F52D06" w:rsidP="00996789">
            <w:pPr>
              <w:pStyle w:val="DHHStabletext"/>
            </w:pPr>
            <w:r>
              <w:t>90%</w:t>
            </w:r>
          </w:p>
        </w:tc>
      </w:tr>
      <w:tr w:rsidR="00F52D06" w14:paraId="3F31A683" w14:textId="77777777" w:rsidTr="00554C1C">
        <w:trPr>
          <w:cantSplit/>
        </w:trPr>
        <w:tc>
          <w:tcPr>
            <w:tcW w:w="0" w:type="dxa"/>
            <w:tcBorders>
              <w:bottom w:val="single" w:sz="4" w:space="0" w:color="auto"/>
            </w:tcBorders>
            <w:hideMark/>
          </w:tcPr>
          <w:p w14:paraId="79C796A1" w14:textId="77777777" w:rsidR="00F52D06" w:rsidRDefault="00F52D06" w:rsidP="00996789">
            <w:pPr>
              <w:pStyle w:val="DHHStabletext"/>
            </w:pPr>
            <w:r>
              <w:t>Call referral</w:t>
            </w:r>
          </w:p>
        </w:tc>
        <w:tc>
          <w:tcPr>
            <w:tcW w:w="0" w:type="dxa"/>
            <w:tcBorders>
              <w:bottom w:val="single" w:sz="4" w:space="0" w:color="auto"/>
            </w:tcBorders>
            <w:hideMark/>
          </w:tcPr>
          <w:p w14:paraId="78EA8A3B" w14:textId="77777777" w:rsidR="00F52D06" w:rsidRDefault="00F52D06" w:rsidP="00996789">
            <w:pPr>
              <w:pStyle w:val="DHHStabletext"/>
            </w:pPr>
            <w:r>
              <w:t>Percentage of triple zero events where the caller receives advice or service from another health provider as an alternative to emergency ambulance response – statewide</w:t>
            </w:r>
          </w:p>
        </w:tc>
        <w:tc>
          <w:tcPr>
            <w:tcW w:w="0" w:type="dxa"/>
            <w:tcBorders>
              <w:bottom w:val="single" w:sz="4" w:space="0" w:color="auto"/>
            </w:tcBorders>
            <w:hideMark/>
          </w:tcPr>
          <w:p w14:paraId="58C6016D" w14:textId="77777777" w:rsidR="00F52D06" w:rsidRDefault="00F52D06" w:rsidP="00996789">
            <w:pPr>
              <w:pStyle w:val="DHHStabletext"/>
            </w:pPr>
            <w:r>
              <w:t>15%</w:t>
            </w:r>
          </w:p>
        </w:tc>
      </w:tr>
      <w:tr w:rsidR="00F52D06" w14:paraId="6FF0AA6A" w14:textId="77777777" w:rsidTr="00554C1C">
        <w:trPr>
          <w:cantSplit/>
        </w:trPr>
        <w:tc>
          <w:tcPr>
            <w:tcW w:w="0" w:type="dxa"/>
            <w:tcBorders>
              <w:bottom w:val="single" w:sz="4" w:space="0" w:color="auto"/>
            </w:tcBorders>
            <w:hideMark/>
          </w:tcPr>
          <w:p w14:paraId="6ECDC95A" w14:textId="77777777" w:rsidR="00F52D06" w:rsidRDefault="00F52D06" w:rsidP="00996789">
            <w:pPr>
              <w:pStyle w:val="DHHStabletext"/>
            </w:pPr>
            <w:r>
              <w:t>Clearing time</w:t>
            </w:r>
          </w:p>
        </w:tc>
        <w:tc>
          <w:tcPr>
            <w:tcW w:w="0" w:type="dxa"/>
            <w:tcBorders>
              <w:bottom w:val="single" w:sz="4" w:space="0" w:color="auto"/>
            </w:tcBorders>
            <w:hideMark/>
          </w:tcPr>
          <w:p w14:paraId="67B272C3" w14:textId="77777777" w:rsidR="00F52D06" w:rsidRDefault="00F52D06" w:rsidP="00996789">
            <w:pPr>
              <w:pStyle w:val="DHHStabletext"/>
            </w:pPr>
            <w:r>
              <w:t>Average ambulance hospital clearing time</w:t>
            </w:r>
          </w:p>
        </w:tc>
        <w:tc>
          <w:tcPr>
            <w:tcW w:w="0" w:type="dxa"/>
            <w:tcBorders>
              <w:bottom w:val="single" w:sz="4" w:space="0" w:color="auto"/>
            </w:tcBorders>
            <w:hideMark/>
          </w:tcPr>
          <w:p w14:paraId="43E9806D" w14:textId="77777777" w:rsidR="00F52D06" w:rsidRDefault="00F52D06" w:rsidP="00996789">
            <w:pPr>
              <w:pStyle w:val="DHHStabletext"/>
            </w:pPr>
            <w:r>
              <w:t>20 minutes</w:t>
            </w:r>
          </w:p>
        </w:tc>
      </w:tr>
    </w:tbl>
    <w:p w14:paraId="28C83B3D" w14:textId="77777777" w:rsidR="004534F0" w:rsidRDefault="004534F0" w:rsidP="00F52D06">
      <w:pPr>
        <w:pStyle w:val="Heading4"/>
      </w:pPr>
      <w:bookmarkStart w:id="42" w:name="_Toc15580073"/>
      <w:r>
        <w:t>Forensicare</w:t>
      </w:r>
      <w:bookmarkEnd w:id="42"/>
    </w:p>
    <w:tbl>
      <w:tblPr>
        <w:tblStyle w:val="TableGrid"/>
        <w:tblW w:w="9299" w:type="dxa"/>
        <w:tblLayout w:type="fixed"/>
        <w:tblLook w:val="06A0" w:firstRow="1" w:lastRow="0" w:firstColumn="1" w:lastColumn="0" w:noHBand="1" w:noVBand="1"/>
      </w:tblPr>
      <w:tblGrid>
        <w:gridCol w:w="1985"/>
        <w:gridCol w:w="5103"/>
        <w:gridCol w:w="2211"/>
      </w:tblGrid>
      <w:tr w:rsidR="004534F0" w14:paraId="27A3FAED" w14:textId="77777777" w:rsidTr="00F52D06">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3963333F" w14:textId="77777777" w:rsidR="004534F0" w:rsidRDefault="004534F0" w:rsidP="00603215">
            <w:pPr>
              <w:pStyle w:val="DHHStablecolhead"/>
            </w:pPr>
            <w:r>
              <w:t>KPI</w:t>
            </w:r>
          </w:p>
        </w:tc>
        <w:tc>
          <w:tcPr>
            <w:tcW w:w="5103" w:type="dxa"/>
            <w:hideMark/>
          </w:tcPr>
          <w:p w14:paraId="2DB1D433" w14:textId="33F0689A" w:rsidR="004534F0" w:rsidRDefault="004534F0" w:rsidP="00603215">
            <w:pPr>
              <w:pStyle w:val="DHHStablecolhead"/>
            </w:pPr>
            <w:r>
              <w:t>KPI description</w:t>
            </w:r>
          </w:p>
        </w:tc>
        <w:tc>
          <w:tcPr>
            <w:tcW w:w="2211" w:type="dxa"/>
            <w:hideMark/>
          </w:tcPr>
          <w:p w14:paraId="1A2679FA" w14:textId="77777777" w:rsidR="004534F0" w:rsidRDefault="004534F0" w:rsidP="00603215">
            <w:pPr>
              <w:pStyle w:val="DHHStablecolhead"/>
            </w:pPr>
            <w:r>
              <w:t>Target</w:t>
            </w:r>
          </w:p>
        </w:tc>
      </w:tr>
      <w:tr w:rsidR="004534F0" w14:paraId="0BDDDD58" w14:textId="77777777" w:rsidTr="00F52D06">
        <w:trPr>
          <w:cantSplit/>
        </w:trPr>
        <w:tc>
          <w:tcPr>
            <w:tcW w:w="1985" w:type="dxa"/>
            <w:vMerge w:val="restart"/>
          </w:tcPr>
          <w:p w14:paraId="4682BF29" w14:textId="77777777" w:rsidR="004534F0" w:rsidRDefault="004534F0" w:rsidP="0098059E">
            <w:pPr>
              <w:pStyle w:val="DHHStabletext"/>
            </w:pPr>
            <w:r>
              <w:t>Admissions TEH</w:t>
            </w:r>
          </w:p>
        </w:tc>
        <w:tc>
          <w:tcPr>
            <w:tcW w:w="5103" w:type="dxa"/>
          </w:tcPr>
          <w:p w14:paraId="20EC5359" w14:textId="5ADA1500" w:rsidR="004534F0" w:rsidRDefault="004534F0" w:rsidP="0098059E">
            <w:pPr>
              <w:pStyle w:val="DHHStabletext"/>
            </w:pPr>
            <w:r>
              <w:t xml:space="preserve">Number of security patients admitted to </w:t>
            </w:r>
            <w:r w:rsidRPr="00AF148B">
              <w:t xml:space="preserve">Thomas Embling Hospital </w:t>
            </w:r>
            <w:r>
              <w:t>(TEH) Male Acute Units – Security</w:t>
            </w:r>
          </w:p>
        </w:tc>
        <w:tc>
          <w:tcPr>
            <w:tcW w:w="2211" w:type="dxa"/>
          </w:tcPr>
          <w:p w14:paraId="254653CD" w14:textId="0ECC9B6C" w:rsidR="004534F0" w:rsidRDefault="004534F0" w:rsidP="0098059E">
            <w:pPr>
              <w:pStyle w:val="DHHStabletext"/>
            </w:pPr>
            <w:r>
              <w:t>&gt; 80</w:t>
            </w:r>
          </w:p>
        </w:tc>
      </w:tr>
      <w:tr w:rsidR="004534F0" w14:paraId="12CC5232" w14:textId="77777777" w:rsidTr="00F52D06">
        <w:trPr>
          <w:cantSplit/>
        </w:trPr>
        <w:tc>
          <w:tcPr>
            <w:tcW w:w="1985" w:type="dxa"/>
            <w:vMerge/>
          </w:tcPr>
          <w:p w14:paraId="4D0E5204" w14:textId="77777777" w:rsidR="004534F0" w:rsidRDefault="004534F0" w:rsidP="0098059E">
            <w:pPr>
              <w:pStyle w:val="DHHStabletext"/>
            </w:pPr>
          </w:p>
        </w:tc>
        <w:tc>
          <w:tcPr>
            <w:tcW w:w="5103" w:type="dxa"/>
          </w:tcPr>
          <w:p w14:paraId="396D35F3" w14:textId="77777777" w:rsidR="004534F0" w:rsidRDefault="004534F0" w:rsidP="0098059E">
            <w:pPr>
              <w:pStyle w:val="DHHStabletext"/>
            </w:pPr>
            <w:r w:rsidRPr="00AF148B">
              <w:t xml:space="preserve">Percentage of male security patients admitted to </w:t>
            </w:r>
            <w:r>
              <w:t>TEH</w:t>
            </w:r>
            <w:r w:rsidRPr="00AF148B">
              <w:t xml:space="preserve"> within 14 days of certification</w:t>
            </w:r>
          </w:p>
        </w:tc>
        <w:tc>
          <w:tcPr>
            <w:tcW w:w="2211" w:type="dxa"/>
          </w:tcPr>
          <w:p w14:paraId="2DBB8498" w14:textId="77777777" w:rsidR="004534F0" w:rsidRDefault="004534F0" w:rsidP="0098059E">
            <w:pPr>
              <w:pStyle w:val="DHHStabletext"/>
            </w:pPr>
            <w:r>
              <w:t>100%</w:t>
            </w:r>
          </w:p>
        </w:tc>
      </w:tr>
      <w:tr w:rsidR="004534F0" w14:paraId="282E83B5" w14:textId="77777777" w:rsidTr="00F52D06">
        <w:trPr>
          <w:cantSplit/>
        </w:trPr>
        <w:tc>
          <w:tcPr>
            <w:tcW w:w="1985" w:type="dxa"/>
            <w:vMerge w:val="restart"/>
          </w:tcPr>
          <w:p w14:paraId="3D552A9C" w14:textId="7E1EF1C0" w:rsidR="004534F0" w:rsidRDefault="004534F0" w:rsidP="0098059E">
            <w:pPr>
              <w:pStyle w:val="DHHStabletext"/>
            </w:pPr>
            <w:r>
              <w:t>L</w:t>
            </w:r>
            <w:r w:rsidR="00A42C01">
              <w:t>ength of stay (L</w:t>
            </w:r>
            <w:r>
              <w:t>OS</w:t>
            </w:r>
            <w:r w:rsidR="00A42C01">
              <w:t>)</w:t>
            </w:r>
            <w:r>
              <w:t xml:space="preserve"> TEH – Male </w:t>
            </w:r>
            <w:r w:rsidR="00A168F0">
              <w:t>A</w:t>
            </w:r>
            <w:r>
              <w:t xml:space="preserve">cute </w:t>
            </w:r>
            <w:r w:rsidR="00A168F0">
              <w:t>U</w:t>
            </w:r>
            <w:r>
              <w:t xml:space="preserve">nits – Security </w:t>
            </w:r>
          </w:p>
        </w:tc>
        <w:tc>
          <w:tcPr>
            <w:tcW w:w="5103" w:type="dxa"/>
          </w:tcPr>
          <w:p w14:paraId="07506570" w14:textId="77777777" w:rsidR="004534F0" w:rsidRDefault="004534F0" w:rsidP="0098059E">
            <w:pPr>
              <w:pStyle w:val="DHHStabletext"/>
            </w:pPr>
            <w:r>
              <w:t>Percentage of security patients discharged to prison within 80 days</w:t>
            </w:r>
          </w:p>
        </w:tc>
        <w:tc>
          <w:tcPr>
            <w:tcW w:w="2211" w:type="dxa"/>
          </w:tcPr>
          <w:p w14:paraId="32502718" w14:textId="77777777" w:rsidR="004534F0" w:rsidRDefault="004534F0" w:rsidP="0098059E">
            <w:pPr>
              <w:pStyle w:val="DHHStabletext"/>
            </w:pPr>
            <w:r>
              <w:t>75%</w:t>
            </w:r>
          </w:p>
        </w:tc>
      </w:tr>
      <w:tr w:rsidR="004534F0" w14:paraId="4CC7E637" w14:textId="77777777" w:rsidTr="00F52D06">
        <w:trPr>
          <w:cantSplit/>
        </w:trPr>
        <w:tc>
          <w:tcPr>
            <w:tcW w:w="1985" w:type="dxa"/>
            <w:vMerge/>
          </w:tcPr>
          <w:p w14:paraId="0750EF1A" w14:textId="77777777" w:rsidR="004534F0" w:rsidRDefault="004534F0" w:rsidP="0098059E">
            <w:pPr>
              <w:pStyle w:val="DHHStabletext"/>
            </w:pPr>
          </w:p>
        </w:tc>
        <w:tc>
          <w:tcPr>
            <w:tcW w:w="5103" w:type="dxa"/>
          </w:tcPr>
          <w:p w14:paraId="46F17177" w14:textId="77777777" w:rsidR="004534F0" w:rsidRDefault="004534F0" w:rsidP="0098059E">
            <w:pPr>
              <w:pStyle w:val="DHHStabletext"/>
            </w:pPr>
            <w:r>
              <w:t>Percentage of security patients discharged within 21 days of becoming a civil patient</w:t>
            </w:r>
          </w:p>
        </w:tc>
        <w:tc>
          <w:tcPr>
            <w:tcW w:w="2211" w:type="dxa"/>
          </w:tcPr>
          <w:p w14:paraId="379AC4D6" w14:textId="77777777" w:rsidR="004534F0" w:rsidRDefault="004534F0" w:rsidP="0098059E">
            <w:pPr>
              <w:pStyle w:val="DHHStabletext"/>
            </w:pPr>
            <w:r>
              <w:t>75%</w:t>
            </w:r>
          </w:p>
        </w:tc>
      </w:tr>
    </w:tbl>
    <w:p w14:paraId="2BD79FAD" w14:textId="77777777" w:rsidR="00921922" w:rsidRPr="00155E63" w:rsidRDefault="00921922" w:rsidP="00155E63">
      <w:pPr>
        <w:pStyle w:val="DHHSbody"/>
      </w:pPr>
      <w:bookmarkStart w:id="43" w:name="_Toc453325211"/>
      <w:r w:rsidRPr="00155E63">
        <w:br w:type="page"/>
      </w:r>
    </w:p>
    <w:p w14:paraId="0A158592" w14:textId="1F091455" w:rsidR="00921922" w:rsidRDefault="00921922" w:rsidP="00921922">
      <w:pPr>
        <w:pStyle w:val="Heading3"/>
      </w:pPr>
      <w:bookmarkStart w:id="44" w:name="_Toc517959118"/>
      <w:bookmarkStart w:id="45" w:name="_Toc15580074"/>
      <w:r>
        <w:lastRenderedPageBreak/>
        <w:t xml:space="preserve">Effective financial </w:t>
      </w:r>
      <w:bookmarkEnd w:id="43"/>
      <w:r>
        <w:t>management</w:t>
      </w:r>
      <w:bookmarkEnd w:id="44"/>
      <w:bookmarkEnd w:id="45"/>
    </w:p>
    <w:p w14:paraId="7F946452" w14:textId="77777777" w:rsidR="004534F0" w:rsidRDefault="004534F0" w:rsidP="00F52D06">
      <w:pPr>
        <w:pStyle w:val="Heading4"/>
      </w:pPr>
      <w:bookmarkStart w:id="46" w:name="_Toc15580075"/>
      <w:r>
        <w:t>Finance</w:t>
      </w:r>
      <w:bookmarkEnd w:id="46"/>
    </w:p>
    <w:tbl>
      <w:tblPr>
        <w:tblStyle w:val="TableGrid"/>
        <w:tblW w:w="9299" w:type="dxa"/>
        <w:tblLayout w:type="fixed"/>
        <w:tblLook w:val="06A0" w:firstRow="1" w:lastRow="0" w:firstColumn="1" w:lastColumn="0" w:noHBand="1" w:noVBand="1"/>
      </w:tblPr>
      <w:tblGrid>
        <w:gridCol w:w="1985"/>
        <w:gridCol w:w="5103"/>
        <w:gridCol w:w="2211"/>
      </w:tblGrid>
      <w:tr w:rsidR="004534F0" w14:paraId="055FD259" w14:textId="77777777" w:rsidTr="00F52D06">
        <w:trPr>
          <w:cnfStyle w:val="100000000000" w:firstRow="1" w:lastRow="0" w:firstColumn="0" w:lastColumn="0" w:oddVBand="0" w:evenVBand="0" w:oddHBand="0" w:evenHBand="0" w:firstRowFirstColumn="0" w:firstRowLastColumn="0" w:lastRowFirstColumn="0" w:lastRowLastColumn="0"/>
          <w:cantSplit/>
          <w:tblHeader/>
        </w:trPr>
        <w:tc>
          <w:tcPr>
            <w:tcW w:w="1985" w:type="dxa"/>
            <w:hideMark/>
          </w:tcPr>
          <w:p w14:paraId="2093D814" w14:textId="77777777" w:rsidR="004534F0" w:rsidRDefault="004534F0" w:rsidP="00603215">
            <w:pPr>
              <w:pStyle w:val="DHHStablecolhead"/>
            </w:pPr>
            <w:r>
              <w:t>KPI</w:t>
            </w:r>
          </w:p>
        </w:tc>
        <w:tc>
          <w:tcPr>
            <w:tcW w:w="5103" w:type="dxa"/>
            <w:hideMark/>
          </w:tcPr>
          <w:p w14:paraId="62D53109" w14:textId="77777777" w:rsidR="004534F0" w:rsidRDefault="004534F0" w:rsidP="00603215">
            <w:pPr>
              <w:pStyle w:val="DHHStablecolhead"/>
            </w:pPr>
            <w:r>
              <w:t>KPI description</w:t>
            </w:r>
          </w:p>
        </w:tc>
        <w:tc>
          <w:tcPr>
            <w:tcW w:w="2211" w:type="dxa"/>
            <w:hideMark/>
          </w:tcPr>
          <w:p w14:paraId="27C701D5" w14:textId="77777777" w:rsidR="004534F0" w:rsidRDefault="004534F0" w:rsidP="00603215">
            <w:pPr>
              <w:pStyle w:val="DHHStablecolhead"/>
            </w:pPr>
            <w:r>
              <w:t>Target</w:t>
            </w:r>
          </w:p>
        </w:tc>
      </w:tr>
      <w:tr w:rsidR="004534F0" w14:paraId="66A48546" w14:textId="77777777" w:rsidTr="00F52D06">
        <w:trPr>
          <w:cantSplit/>
        </w:trPr>
        <w:tc>
          <w:tcPr>
            <w:tcW w:w="1985" w:type="dxa"/>
            <w:hideMark/>
          </w:tcPr>
          <w:p w14:paraId="74CA030B" w14:textId="19AD538B" w:rsidR="004534F0" w:rsidRDefault="004534F0" w:rsidP="002865B7">
            <w:pPr>
              <w:pStyle w:val="DHHStabletext"/>
            </w:pPr>
            <w:r>
              <w:t>Operating result as percentage of revenue</w:t>
            </w:r>
          </w:p>
        </w:tc>
        <w:tc>
          <w:tcPr>
            <w:tcW w:w="5103" w:type="dxa"/>
            <w:hideMark/>
          </w:tcPr>
          <w:p w14:paraId="04E3A1C7" w14:textId="77777777" w:rsidR="004534F0" w:rsidRDefault="004534F0" w:rsidP="002865B7">
            <w:pPr>
              <w:pStyle w:val="DHHStabletext"/>
            </w:pPr>
            <w:r>
              <w:t>Operating result as a percentage of total operating revenue</w:t>
            </w:r>
          </w:p>
        </w:tc>
        <w:tc>
          <w:tcPr>
            <w:tcW w:w="2211" w:type="dxa"/>
            <w:hideMark/>
          </w:tcPr>
          <w:p w14:paraId="2BC20E9C" w14:textId="4526D9F5" w:rsidR="004534F0" w:rsidRDefault="004534F0" w:rsidP="002865B7">
            <w:pPr>
              <w:pStyle w:val="DHHStabletext"/>
            </w:pPr>
            <w:r>
              <w:t xml:space="preserve">Health service </w:t>
            </w:r>
            <w:r w:rsidR="002A06E1">
              <w:br/>
            </w:r>
            <w:r>
              <w:t>specific</w:t>
            </w:r>
            <w:bookmarkStart w:id="47" w:name="_Ref13734768"/>
            <w:r w:rsidR="002A06E1">
              <w:rPr>
                <w:rStyle w:val="FootnoteReference"/>
              </w:rPr>
              <w:footnoteReference w:id="9"/>
            </w:r>
            <w:bookmarkEnd w:id="47"/>
            <w:r w:rsidR="002A06E1" w:rsidRPr="00C54758">
              <w:rPr>
                <w:rStyle w:val="FootnoteReference"/>
              </w:rPr>
              <w:t>,</w:t>
            </w:r>
            <w:bookmarkStart w:id="48" w:name="_Ref13734771"/>
            <w:r w:rsidR="002A06E1">
              <w:rPr>
                <w:rStyle w:val="FootnoteReference"/>
              </w:rPr>
              <w:footnoteReference w:id="10"/>
            </w:r>
            <w:bookmarkEnd w:id="48"/>
          </w:p>
        </w:tc>
      </w:tr>
      <w:tr w:rsidR="004534F0" w14:paraId="003A6E53" w14:textId="77777777" w:rsidTr="00F52D06">
        <w:trPr>
          <w:cantSplit/>
        </w:trPr>
        <w:tc>
          <w:tcPr>
            <w:tcW w:w="1985" w:type="dxa"/>
            <w:hideMark/>
          </w:tcPr>
          <w:p w14:paraId="333AC0D5" w14:textId="77777777" w:rsidR="004534F0" w:rsidRDefault="004534F0" w:rsidP="002865B7">
            <w:pPr>
              <w:pStyle w:val="DHHStabletext"/>
            </w:pPr>
            <w:r>
              <w:t>Creditors</w:t>
            </w:r>
          </w:p>
        </w:tc>
        <w:tc>
          <w:tcPr>
            <w:tcW w:w="5103" w:type="dxa"/>
            <w:hideMark/>
          </w:tcPr>
          <w:p w14:paraId="70047C99" w14:textId="77777777" w:rsidR="004534F0" w:rsidRDefault="004534F0" w:rsidP="002865B7">
            <w:pPr>
              <w:pStyle w:val="DHHStabletext"/>
            </w:pPr>
            <w:r>
              <w:t xml:space="preserve">Average number of days to paying trade creditors </w:t>
            </w:r>
          </w:p>
        </w:tc>
        <w:tc>
          <w:tcPr>
            <w:tcW w:w="2211" w:type="dxa"/>
            <w:hideMark/>
          </w:tcPr>
          <w:p w14:paraId="772CF5E3" w14:textId="0FF9C118" w:rsidR="004534F0" w:rsidRDefault="004534F0" w:rsidP="002865B7">
            <w:pPr>
              <w:pStyle w:val="DHHStabletext"/>
            </w:pPr>
            <w:r>
              <w:t>60 days</w:t>
            </w:r>
            <w:r w:rsidR="002A06E1" w:rsidRPr="002A06E1">
              <w:rPr>
                <w:rStyle w:val="FootnoteReference"/>
              </w:rPr>
              <w:fldChar w:fldCharType="begin"/>
            </w:r>
            <w:r w:rsidR="002A06E1" w:rsidRPr="002A06E1">
              <w:rPr>
                <w:rStyle w:val="FootnoteReference"/>
              </w:rPr>
              <w:instrText xml:space="preserve"> NOTEREF _Ref13734768 \h </w:instrText>
            </w:r>
            <w:r w:rsidR="002A06E1">
              <w:rPr>
                <w:rStyle w:val="FootnoteReference"/>
              </w:rPr>
              <w:instrText xml:space="preserve"> \* MERGEFORMAT </w:instrText>
            </w:r>
            <w:r w:rsidR="002A06E1" w:rsidRPr="002A06E1">
              <w:rPr>
                <w:rStyle w:val="FootnoteReference"/>
              </w:rPr>
            </w:r>
            <w:r w:rsidR="002A06E1" w:rsidRPr="002A06E1">
              <w:rPr>
                <w:rStyle w:val="FootnoteReference"/>
              </w:rPr>
              <w:fldChar w:fldCharType="separate"/>
            </w:r>
            <w:r w:rsidR="007854E0">
              <w:rPr>
                <w:rStyle w:val="FootnoteReference"/>
              </w:rPr>
              <w:t>8</w:t>
            </w:r>
            <w:r w:rsidR="002A06E1" w:rsidRPr="002A06E1">
              <w:rPr>
                <w:rStyle w:val="FootnoteReference"/>
              </w:rPr>
              <w:fldChar w:fldCharType="end"/>
            </w:r>
            <w:r w:rsidR="002A06E1" w:rsidRPr="002A06E1">
              <w:rPr>
                <w:rStyle w:val="FootnoteReference"/>
              </w:rPr>
              <w:t>,</w:t>
            </w:r>
            <w:r w:rsidR="002A06E1" w:rsidRPr="002A06E1">
              <w:rPr>
                <w:rStyle w:val="FootnoteReference"/>
              </w:rPr>
              <w:fldChar w:fldCharType="begin"/>
            </w:r>
            <w:r w:rsidR="002A06E1" w:rsidRPr="002A06E1">
              <w:rPr>
                <w:rStyle w:val="FootnoteReference"/>
              </w:rPr>
              <w:instrText xml:space="preserve"> NOTEREF _Ref13734771 \h </w:instrText>
            </w:r>
            <w:r w:rsidR="002A06E1">
              <w:rPr>
                <w:rStyle w:val="FootnoteReference"/>
              </w:rPr>
              <w:instrText xml:space="preserve"> \* MERGEFORMAT </w:instrText>
            </w:r>
            <w:r w:rsidR="002A06E1" w:rsidRPr="002A06E1">
              <w:rPr>
                <w:rStyle w:val="FootnoteReference"/>
              </w:rPr>
            </w:r>
            <w:r w:rsidR="002A06E1" w:rsidRPr="002A06E1">
              <w:rPr>
                <w:rStyle w:val="FootnoteReference"/>
              </w:rPr>
              <w:fldChar w:fldCharType="separate"/>
            </w:r>
            <w:r w:rsidR="007854E0">
              <w:rPr>
                <w:rStyle w:val="FootnoteReference"/>
              </w:rPr>
              <w:t>9</w:t>
            </w:r>
            <w:r w:rsidR="002A06E1" w:rsidRPr="002A06E1">
              <w:rPr>
                <w:rStyle w:val="FootnoteReference"/>
              </w:rPr>
              <w:fldChar w:fldCharType="end"/>
            </w:r>
          </w:p>
        </w:tc>
      </w:tr>
      <w:tr w:rsidR="004534F0" w14:paraId="4E785A5B" w14:textId="77777777" w:rsidTr="00F52D06">
        <w:trPr>
          <w:cantSplit/>
        </w:trPr>
        <w:tc>
          <w:tcPr>
            <w:tcW w:w="1985" w:type="dxa"/>
            <w:hideMark/>
          </w:tcPr>
          <w:p w14:paraId="131315B5" w14:textId="77777777" w:rsidR="004534F0" w:rsidRDefault="004534F0" w:rsidP="002865B7">
            <w:pPr>
              <w:pStyle w:val="DHHStabletext"/>
            </w:pPr>
            <w:r>
              <w:t>Debtors</w:t>
            </w:r>
          </w:p>
        </w:tc>
        <w:tc>
          <w:tcPr>
            <w:tcW w:w="5103" w:type="dxa"/>
            <w:hideMark/>
          </w:tcPr>
          <w:p w14:paraId="5E346EE9" w14:textId="10DAC658" w:rsidR="004534F0" w:rsidRDefault="004534F0" w:rsidP="002865B7">
            <w:pPr>
              <w:pStyle w:val="DHHStabletext"/>
            </w:pPr>
            <w:r>
              <w:t>Average number of days to receiving patient fee debtors</w:t>
            </w:r>
          </w:p>
        </w:tc>
        <w:tc>
          <w:tcPr>
            <w:tcW w:w="2211" w:type="dxa"/>
            <w:hideMark/>
          </w:tcPr>
          <w:p w14:paraId="1C8FB64A" w14:textId="4892B833" w:rsidR="004534F0" w:rsidRDefault="004534F0" w:rsidP="002865B7">
            <w:pPr>
              <w:pStyle w:val="DHHStabletext"/>
            </w:pPr>
            <w:r>
              <w:t>60 days</w:t>
            </w:r>
            <w:r w:rsidR="002A06E1" w:rsidRPr="002A06E1">
              <w:rPr>
                <w:rStyle w:val="FootnoteReference"/>
              </w:rPr>
              <w:fldChar w:fldCharType="begin"/>
            </w:r>
            <w:r w:rsidR="002A06E1" w:rsidRPr="002A06E1">
              <w:rPr>
                <w:rStyle w:val="FootnoteReference"/>
              </w:rPr>
              <w:instrText xml:space="preserve"> NOTEREF _Ref13734771 \h </w:instrText>
            </w:r>
            <w:r w:rsidR="002A06E1">
              <w:rPr>
                <w:rStyle w:val="FootnoteReference"/>
              </w:rPr>
              <w:instrText xml:space="preserve"> \* MERGEFORMAT </w:instrText>
            </w:r>
            <w:r w:rsidR="002A06E1" w:rsidRPr="002A06E1">
              <w:rPr>
                <w:rStyle w:val="FootnoteReference"/>
              </w:rPr>
            </w:r>
            <w:r w:rsidR="002A06E1" w:rsidRPr="002A06E1">
              <w:rPr>
                <w:rStyle w:val="FootnoteReference"/>
              </w:rPr>
              <w:fldChar w:fldCharType="separate"/>
            </w:r>
            <w:r w:rsidR="007854E0">
              <w:rPr>
                <w:rStyle w:val="FootnoteReference"/>
              </w:rPr>
              <w:t>9</w:t>
            </w:r>
            <w:r w:rsidR="002A06E1" w:rsidRPr="002A06E1">
              <w:rPr>
                <w:rStyle w:val="FootnoteReference"/>
              </w:rPr>
              <w:fldChar w:fldCharType="end"/>
            </w:r>
          </w:p>
        </w:tc>
      </w:tr>
      <w:tr w:rsidR="004534F0" w14:paraId="33F18003" w14:textId="77777777" w:rsidTr="00F52D06">
        <w:trPr>
          <w:cantSplit/>
        </w:trPr>
        <w:tc>
          <w:tcPr>
            <w:tcW w:w="1985" w:type="dxa"/>
            <w:hideMark/>
          </w:tcPr>
          <w:p w14:paraId="00045546" w14:textId="77777777" w:rsidR="004534F0" w:rsidRDefault="004534F0" w:rsidP="002865B7">
            <w:pPr>
              <w:pStyle w:val="DHHStabletext"/>
            </w:pPr>
            <w:r>
              <w:t>PP WIES</w:t>
            </w:r>
          </w:p>
        </w:tc>
        <w:tc>
          <w:tcPr>
            <w:tcW w:w="5103" w:type="dxa"/>
            <w:hideMark/>
          </w:tcPr>
          <w:p w14:paraId="4148071E" w14:textId="042D5CFF" w:rsidR="004534F0" w:rsidRDefault="004534F0" w:rsidP="002865B7">
            <w:pPr>
              <w:pStyle w:val="DHHStabletext"/>
            </w:pPr>
            <w:r>
              <w:t xml:space="preserve">Public and </w:t>
            </w:r>
            <w:r w:rsidR="004F218F">
              <w:t>P</w:t>
            </w:r>
            <w:r>
              <w:t>rivate Weighted Equivalent Inlier Separation activity performance to target</w:t>
            </w:r>
          </w:p>
        </w:tc>
        <w:tc>
          <w:tcPr>
            <w:tcW w:w="2211" w:type="dxa"/>
            <w:hideMark/>
          </w:tcPr>
          <w:p w14:paraId="0345D595" w14:textId="77777777" w:rsidR="004534F0" w:rsidRDefault="004534F0" w:rsidP="002865B7">
            <w:pPr>
              <w:pStyle w:val="DHHStabletext"/>
            </w:pPr>
            <w:r>
              <w:t>100%</w:t>
            </w:r>
          </w:p>
        </w:tc>
      </w:tr>
      <w:tr w:rsidR="004534F0" w14:paraId="07826B72" w14:textId="77777777" w:rsidTr="00F52D06">
        <w:trPr>
          <w:cantSplit/>
        </w:trPr>
        <w:tc>
          <w:tcPr>
            <w:tcW w:w="1985" w:type="dxa"/>
            <w:hideMark/>
          </w:tcPr>
          <w:p w14:paraId="79FDB410" w14:textId="77777777" w:rsidR="004534F0" w:rsidRDefault="004534F0" w:rsidP="002865B7">
            <w:pPr>
              <w:pStyle w:val="DHHStabletext"/>
            </w:pPr>
            <w:r>
              <w:t>Adjusted current asset ratio (ACAR)</w:t>
            </w:r>
          </w:p>
        </w:tc>
        <w:tc>
          <w:tcPr>
            <w:tcW w:w="5103" w:type="dxa"/>
            <w:hideMark/>
          </w:tcPr>
          <w:p w14:paraId="14F1D15C" w14:textId="77777777" w:rsidR="004534F0" w:rsidRDefault="004534F0" w:rsidP="002865B7">
            <w:pPr>
              <w:pStyle w:val="DHHStabletext"/>
            </w:pPr>
            <w:r>
              <w:t>Variance between actual ACAR and target, including performance improvement over time or maintaining actual performance</w:t>
            </w:r>
          </w:p>
        </w:tc>
        <w:tc>
          <w:tcPr>
            <w:tcW w:w="2211" w:type="dxa"/>
            <w:hideMark/>
          </w:tcPr>
          <w:p w14:paraId="1BF98087" w14:textId="463444BA" w:rsidR="004534F0" w:rsidRPr="006B3C44" w:rsidRDefault="004534F0" w:rsidP="002865B7">
            <w:pPr>
              <w:pStyle w:val="DHHStabletext"/>
              <w:rPr>
                <w:highlight w:val="yellow"/>
              </w:rPr>
            </w:pPr>
            <w:r>
              <w:t>0</w:t>
            </w:r>
            <w:r w:rsidRPr="006B3C44">
              <w:t>.7 or 3% improvement from HS base target</w:t>
            </w:r>
            <w:r w:rsidR="002A06E1" w:rsidRPr="002A06E1">
              <w:rPr>
                <w:rStyle w:val="FootnoteReference"/>
              </w:rPr>
              <w:fldChar w:fldCharType="begin"/>
            </w:r>
            <w:r w:rsidR="002A06E1" w:rsidRPr="002A06E1">
              <w:rPr>
                <w:rStyle w:val="FootnoteReference"/>
              </w:rPr>
              <w:instrText xml:space="preserve"> NOTEREF _Ref13734768 \h </w:instrText>
            </w:r>
            <w:r w:rsidR="002A06E1">
              <w:rPr>
                <w:rStyle w:val="FootnoteReference"/>
              </w:rPr>
              <w:instrText xml:space="preserve"> \* MERGEFORMAT </w:instrText>
            </w:r>
            <w:r w:rsidR="002A06E1" w:rsidRPr="002A06E1">
              <w:rPr>
                <w:rStyle w:val="FootnoteReference"/>
              </w:rPr>
            </w:r>
            <w:r w:rsidR="002A06E1" w:rsidRPr="002A06E1">
              <w:rPr>
                <w:rStyle w:val="FootnoteReference"/>
              </w:rPr>
              <w:fldChar w:fldCharType="separate"/>
            </w:r>
            <w:r w:rsidR="007854E0">
              <w:rPr>
                <w:rStyle w:val="FootnoteReference"/>
              </w:rPr>
              <w:t>8</w:t>
            </w:r>
            <w:r w:rsidR="002A06E1" w:rsidRPr="002A06E1">
              <w:rPr>
                <w:rStyle w:val="FootnoteReference"/>
              </w:rPr>
              <w:fldChar w:fldCharType="end"/>
            </w:r>
            <w:r w:rsidR="002A06E1" w:rsidRPr="002A06E1">
              <w:rPr>
                <w:rStyle w:val="FootnoteReference"/>
              </w:rPr>
              <w:t>,</w:t>
            </w:r>
            <w:r w:rsidR="002A06E1" w:rsidRPr="002A06E1">
              <w:rPr>
                <w:rStyle w:val="FootnoteReference"/>
              </w:rPr>
              <w:fldChar w:fldCharType="begin"/>
            </w:r>
            <w:r w:rsidR="002A06E1" w:rsidRPr="002A06E1">
              <w:rPr>
                <w:rStyle w:val="FootnoteReference"/>
              </w:rPr>
              <w:instrText xml:space="preserve"> NOTEREF _Ref13734771 \h </w:instrText>
            </w:r>
            <w:r w:rsidR="002A06E1">
              <w:rPr>
                <w:rStyle w:val="FootnoteReference"/>
              </w:rPr>
              <w:instrText xml:space="preserve"> \* MERGEFORMAT </w:instrText>
            </w:r>
            <w:r w:rsidR="002A06E1" w:rsidRPr="002A06E1">
              <w:rPr>
                <w:rStyle w:val="FootnoteReference"/>
              </w:rPr>
            </w:r>
            <w:r w:rsidR="002A06E1" w:rsidRPr="002A06E1">
              <w:rPr>
                <w:rStyle w:val="FootnoteReference"/>
              </w:rPr>
              <w:fldChar w:fldCharType="separate"/>
            </w:r>
            <w:r w:rsidR="007854E0">
              <w:rPr>
                <w:rStyle w:val="FootnoteReference"/>
              </w:rPr>
              <w:t>9</w:t>
            </w:r>
            <w:r w:rsidR="002A06E1" w:rsidRPr="002A06E1">
              <w:rPr>
                <w:rStyle w:val="FootnoteReference"/>
              </w:rPr>
              <w:fldChar w:fldCharType="end"/>
            </w:r>
          </w:p>
        </w:tc>
      </w:tr>
      <w:tr w:rsidR="004534F0" w14:paraId="5FCD8504" w14:textId="77777777" w:rsidTr="00F52D06">
        <w:trPr>
          <w:cantSplit/>
        </w:trPr>
        <w:tc>
          <w:tcPr>
            <w:tcW w:w="1985" w:type="dxa"/>
            <w:hideMark/>
          </w:tcPr>
          <w:p w14:paraId="620D5EE8" w14:textId="77777777" w:rsidR="004534F0" w:rsidRDefault="004534F0" w:rsidP="002865B7">
            <w:pPr>
              <w:pStyle w:val="DHHStabletext"/>
            </w:pPr>
            <w:r>
              <w:t>Forecast days available cash</w:t>
            </w:r>
          </w:p>
        </w:tc>
        <w:tc>
          <w:tcPr>
            <w:tcW w:w="5103" w:type="dxa"/>
            <w:hideMark/>
          </w:tcPr>
          <w:p w14:paraId="35FED4AE" w14:textId="77777777" w:rsidR="004534F0" w:rsidRDefault="004534F0" w:rsidP="002865B7">
            <w:pPr>
              <w:pStyle w:val="DHHStabletext"/>
            </w:pPr>
            <w:r>
              <w:t>Forecast number of days a health service can maintain its operations with unrestricted available cash (based on end of year forecast)</w:t>
            </w:r>
          </w:p>
        </w:tc>
        <w:tc>
          <w:tcPr>
            <w:tcW w:w="2211" w:type="dxa"/>
            <w:hideMark/>
          </w:tcPr>
          <w:p w14:paraId="0C31EE5B" w14:textId="33479DCE" w:rsidR="004534F0" w:rsidRPr="006B3C44" w:rsidRDefault="004534F0" w:rsidP="002865B7">
            <w:pPr>
              <w:pStyle w:val="DHHStabletext"/>
              <w:rPr>
                <w:highlight w:val="yellow"/>
              </w:rPr>
            </w:pPr>
            <w:r w:rsidRPr="001E17D4">
              <w:t>14 days</w:t>
            </w:r>
            <w:r w:rsidR="002A06E1" w:rsidRPr="002A06E1">
              <w:rPr>
                <w:rStyle w:val="FootnoteReference"/>
              </w:rPr>
              <w:fldChar w:fldCharType="begin"/>
            </w:r>
            <w:r w:rsidR="002A06E1" w:rsidRPr="002A06E1">
              <w:rPr>
                <w:rStyle w:val="FootnoteReference"/>
              </w:rPr>
              <w:instrText xml:space="preserve"> NOTEREF _Ref13734768 \h </w:instrText>
            </w:r>
            <w:r w:rsidR="002A06E1">
              <w:rPr>
                <w:rStyle w:val="FootnoteReference"/>
              </w:rPr>
              <w:instrText xml:space="preserve"> \* MERGEFORMAT </w:instrText>
            </w:r>
            <w:r w:rsidR="002A06E1" w:rsidRPr="002A06E1">
              <w:rPr>
                <w:rStyle w:val="FootnoteReference"/>
              </w:rPr>
            </w:r>
            <w:r w:rsidR="002A06E1" w:rsidRPr="002A06E1">
              <w:rPr>
                <w:rStyle w:val="FootnoteReference"/>
              </w:rPr>
              <w:fldChar w:fldCharType="separate"/>
            </w:r>
            <w:r w:rsidR="007854E0">
              <w:rPr>
                <w:rStyle w:val="FootnoteReference"/>
              </w:rPr>
              <w:t>8</w:t>
            </w:r>
            <w:r w:rsidR="002A06E1" w:rsidRPr="002A06E1">
              <w:rPr>
                <w:rStyle w:val="FootnoteReference"/>
              </w:rPr>
              <w:fldChar w:fldCharType="end"/>
            </w:r>
            <w:r w:rsidR="002A06E1" w:rsidRPr="002A06E1">
              <w:rPr>
                <w:rStyle w:val="FootnoteReference"/>
              </w:rPr>
              <w:t>,</w:t>
            </w:r>
            <w:r w:rsidR="002A06E1" w:rsidRPr="002A06E1">
              <w:rPr>
                <w:rStyle w:val="FootnoteReference"/>
              </w:rPr>
              <w:fldChar w:fldCharType="begin"/>
            </w:r>
            <w:r w:rsidR="002A06E1" w:rsidRPr="002A06E1">
              <w:rPr>
                <w:rStyle w:val="FootnoteReference"/>
              </w:rPr>
              <w:instrText xml:space="preserve"> NOTEREF _Ref13734771 \h </w:instrText>
            </w:r>
            <w:r w:rsidR="002A06E1">
              <w:rPr>
                <w:rStyle w:val="FootnoteReference"/>
              </w:rPr>
              <w:instrText xml:space="preserve"> \* MERGEFORMAT </w:instrText>
            </w:r>
            <w:r w:rsidR="002A06E1" w:rsidRPr="002A06E1">
              <w:rPr>
                <w:rStyle w:val="FootnoteReference"/>
              </w:rPr>
            </w:r>
            <w:r w:rsidR="002A06E1" w:rsidRPr="002A06E1">
              <w:rPr>
                <w:rStyle w:val="FootnoteReference"/>
              </w:rPr>
              <w:fldChar w:fldCharType="separate"/>
            </w:r>
            <w:r w:rsidR="007854E0">
              <w:rPr>
                <w:rStyle w:val="FootnoteReference"/>
              </w:rPr>
              <w:t>9</w:t>
            </w:r>
            <w:r w:rsidR="002A06E1" w:rsidRPr="002A06E1">
              <w:rPr>
                <w:rStyle w:val="FootnoteReference"/>
              </w:rPr>
              <w:fldChar w:fldCharType="end"/>
            </w:r>
          </w:p>
        </w:tc>
      </w:tr>
      <w:tr w:rsidR="004534F0" w14:paraId="441BBF10" w14:textId="77777777" w:rsidTr="00F52D06">
        <w:trPr>
          <w:cantSplit/>
        </w:trPr>
        <w:tc>
          <w:tcPr>
            <w:tcW w:w="1985" w:type="dxa"/>
          </w:tcPr>
          <w:p w14:paraId="1E9AEBE6" w14:textId="77777777" w:rsidR="004534F0" w:rsidRDefault="004534F0" w:rsidP="002865B7">
            <w:pPr>
              <w:pStyle w:val="DHHStabletext"/>
            </w:pPr>
            <w:r w:rsidRPr="007E1C4D">
              <w:t>Days of available cash (monthly)</w:t>
            </w:r>
          </w:p>
        </w:tc>
        <w:tc>
          <w:tcPr>
            <w:tcW w:w="5103" w:type="dxa"/>
          </w:tcPr>
          <w:p w14:paraId="3CB06D28" w14:textId="1BDB7AF2" w:rsidR="004534F0" w:rsidRDefault="004534F0" w:rsidP="002865B7">
            <w:pPr>
              <w:pStyle w:val="DHHStabletext"/>
            </w:pPr>
            <w:r>
              <w:t xml:space="preserve">Actual </w:t>
            </w:r>
            <w:r w:rsidRPr="0098470E">
              <w:t>number of days a health service can maintain its operations with unrestricted available cash</w:t>
            </w:r>
            <w:r>
              <w:t xml:space="preserve">, </w:t>
            </w:r>
            <w:r w:rsidRPr="007969A6">
              <w:t>measured on the last day of each month</w:t>
            </w:r>
            <w:r>
              <w:t>.</w:t>
            </w:r>
          </w:p>
        </w:tc>
        <w:tc>
          <w:tcPr>
            <w:tcW w:w="2211" w:type="dxa"/>
          </w:tcPr>
          <w:p w14:paraId="57587C9C" w14:textId="2F2CACC6" w:rsidR="004534F0" w:rsidRPr="001E17D4" w:rsidRDefault="004534F0" w:rsidP="002865B7">
            <w:pPr>
              <w:pStyle w:val="DHHStabletext"/>
            </w:pPr>
            <w:r w:rsidRPr="001E17D4">
              <w:t>14 days</w:t>
            </w:r>
            <w:r w:rsidR="002A06E1" w:rsidRPr="002A06E1">
              <w:rPr>
                <w:rStyle w:val="FootnoteReference"/>
              </w:rPr>
              <w:fldChar w:fldCharType="begin"/>
            </w:r>
            <w:r w:rsidR="002A06E1" w:rsidRPr="002A06E1">
              <w:rPr>
                <w:rStyle w:val="FootnoteReference"/>
              </w:rPr>
              <w:instrText xml:space="preserve"> NOTEREF _Ref13734768 \h </w:instrText>
            </w:r>
            <w:r w:rsidR="002A06E1">
              <w:rPr>
                <w:rStyle w:val="FootnoteReference"/>
              </w:rPr>
              <w:instrText xml:space="preserve"> \* MERGEFORMAT </w:instrText>
            </w:r>
            <w:r w:rsidR="002A06E1" w:rsidRPr="002A06E1">
              <w:rPr>
                <w:rStyle w:val="FootnoteReference"/>
              </w:rPr>
            </w:r>
            <w:r w:rsidR="002A06E1" w:rsidRPr="002A06E1">
              <w:rPr>
                <w:rStyle w:val="FootnoteReference"/>
              </w:rPr>
              <w:fldChar w:fldCharType="separate"/>
            </w:r>
            <w:r w:rsidR="007854E0">
              <w:rPr>
                <w:rStyle w:val="FootnoteReference"/>
              </w:rPr>
              <w:t>8</w:t>
            </w:r>
            <w:r w:rsidR="002A06E1" w:rsidRPr="002A06E1">
              <w:rPr>
                <w:rStyle w:val="FootnoteReference"/>
              </w:rPr>
              <w:fldChar w:fldCharType="end"/>
            </w:r>
            <w:r w:rsidR="002A06E1" w:rsidRPr="002A06E1">
              <w:rPr>
                <w:rStyle w:val="FootnoteReference"/>
              </w:rPr>
              <w:t>,</w:t>
            </w:r>
            <w:r w:rsidR="002A06E1" w:rsidRPr="002A06E1">
              <w:rPr>
                <w:rStyle w:val="FootnoteReference"/>
              </w:rPr>
              <w:fldChar w:fldCharType="begin"/>
            </w:r>
            <w:r w:rsidR="002A06E1" w:rsidRPr="002A06E1">
              <w:rPr>
                <w:rStyle w:val="FootnoteReference"/>
              </w:rPr>
              <w:instrText xml:space="preserve"> NOTEREF _Ref13734771 \h </w:instrText>
            </w:r>
            <w:r w:rsidR="002A06E1">
              <w:rPr>
                <w:rStyle w:val="FootnoteReference"/>
              </w:rPr>
              <w:instrText xml:space="preserve"> \* MERGEFORMAT </w:instrText>
            </w:r>
            <w:r w:rsidR="002A06E1" w:rsidRPr="002A06E1">
              <w:rPr>
                <w:rStyle w:val="FootnoteReference"/>
              </w:rPr>
            </w:r>
            <w:r w:rsidR="002A06E1" w:rsidRPr="002A06E1">
              <w:rPr>
                <w:rStyle w:val="FootnoteReference"/>
              </w:rPr>
              <w:fldChar w:fldCharType="separate"/>
            </w:r>
            <w:r w:rsidR="007854E0">
              <w:rPr>
                <w:rStyle w:val="FootnoteReference"/>
              </w:rPr>
              <w:t>9</w:t>
            </w:r>
            <w:r w:rsidR="002A06E1" w:rsidRPr="002A06E1">
              <w:rPr>
                <w:rStyle w:val="FootnoteReference"/>
              </w:rPr>
              <w:fldChar w:fldCharType="end"/>
            </w:r>
          </w:p>
        </w:tc>
      </w:tr>
      <w:tr w:rsidR="004534F0" w14:paraId="70135644" w14:textId="77777777" w:rsidTr="00F52D06">
        <w:trPr>
          <w:cantSplit/>
        </w:trPr>
        <w:tc>
          <w:tcPr>
            <w:tcW w:w="1985" w:type="dxa"/>
          </w:tcPr>
          <w:p w14:paraId="2AC7277A" w14:textId="77777777" w:rsidR="004534F0" w:rsidRDefault="004534F0" w:rsidP="002865B7">
            <w:pPr>
              <w:pStyle w:val="DHHStabletext"/>
            </w:pPr>
            <w:r w:rsidRPr="007E1C4D">
              <w:t>Net result from transactions</w:t>
            </w:r>
          </w:p>
        </w:tc>
        <w:tc>
          <w:tcPr>
            <w:tcW w:w="5103" w:type="dxa"/>
          </w:tcPr>
          <w:p w14:paraId="4B68F1A3" w14:textId="596BE921" w:rsidR="004534F0" w:rsidRDefault="004534F0" w:rsidP="002865B7">
            <w:pPr>
              <w:pStyle w:val="DHHStabletext"/>
            </w:pPr>
            <w:r>
              <w:t>Measures the</w:t>
            </w:r>
            <w:r w:rsidRPr="0098470E">
              <w:t xml:space="preserve"> </w:t>
            </w:r>
            <w:r>
              <w:t xml:space="preserve">accuracy of forecasting the </w:t>
            </w:r>
            <w:r w:rsidRPr="00F43A00">
              <w:rPr>
                <w:i/>
              </w:rPr>
              <w:t>Net result from transactions</w:t>
            </w:r>
            <w:r>
              <w:rPr>
                <w:i/>
              </w:rPr>
              <w:t xml:space="preserve"> (NRFT)</w:t>
            </w:r>
            <w:r>
              <w:t xml:space="preserve"> for the current financial year ending 30 June.</w:t>
            </w:r>
          </w:p>
        </w:tc>
        <w:tc>
          <w:tcPr>
            <w:tcW w:w="2211" w:type="dxa"/>
          </w:tcPr>
          <w:p w14:paraId="140AC8D1" w14:textId="61EDCA5D" w:rsidR="004534F0" w:rsidRPr="002A06E1" w:rsidRDefault="004534F0" w:rsidP="002865B7">
            <w:pPr>
              <w:pStyle w:val="DHHStabletext"/>
            </w:pPr>
            <w:r w:rsidRPr="00B62BB2">
              <w:t xml:space="preserve">Variance </w:t>
            </w:r>
            <w:r w:rsidR="002A06E1">
              <w:br/>
            </w:r>
            <w:r>
              <w:rPr>
                <w:rFonts w:cs="Arial"/>
              </w:rPr>
              <w:t xml:space="preserve">≤ </w:t>
            </w:r>
            <w:r>
              <w:t>$250,000</w:t>
            </w:r>
            <w:r w:rsidR="002A06E1" w:rsidRPr="002A06E1">
              <w:rPr>
                <w:rStyle w:val="FootnoteReference"/>
              </w:rPr>
              <w:fldChar w:fldCharType="begin"/>
            </w:r>
            <w:r w:rsidR="002A06E1" w:rsidRPr="002A06E1">
              <w:rPr>
                <w:rStyle w:val="FootnoteReference"/>
              </w:rPr>
              <w:instrText xml:space="preserve"> NOTEREF _Ref13734768 \h </w:instrText>
            </w:r>
            <w:r w:rsidR="002A06E1">
              <w:rPr>
                <w:rStyle w:val="FootnoteReference"/>
              </w:rPr>
              <w:instrText xml:space="preserve"> \* MERGEFORMAT </w:instrText>
            </w:r>
            <w:r w:rsidR="002A06E1" w:rsidRPr="002A06E1">
              <w:rPr>
                <w:rStyle w:val="FootnoteReference"/>
              </w:rPr>
            </w:r>
            <w:r w:rsidR="002A06E1" w:rsidRPr="002A06E1">
              <w:rPr>
                <w:rStyle w:val="FootnoteReference"/>
              </w:rPr>
              <w:fldChar w:fldCharType="separate"/>
            </w:r>
            <w:r w:rsidR="007854E0">
              <w:rPr>
                <w:rStyle w:val="FootnoteReference"/>
              </w:rPr>
              <w:t>8</w:t>
            </w:r>
            <w:r w:rsidR="002A06E1" w:rsidRPr="002A06E1">
              <w:rPr>
                <w:rStyle w:val="FootnoteReference"/>
              </w:rPr>
              <w:fldChar w:fldCharType="end"/>
            </w:r>
            <w:r w:rsidR="002A06E1" w:rsidRPr="002A06E1">
              <w:rPr>
                <w:rStyle w:val="FootnoteReference"/>
              </w:rPr>
              <w:t>,</w:t>
            </w:r>
            <w:r w:rsidR="002A06E1" w:rsidRPr="002A06E1">
              <w:rPr>
                <w:rStyle w:val="FootnoteReference"/>
              </w:rPr>
              <w:fldChar w:fldCharType="begin"/>
            </w:r>
            <w:r w:rsidR="002A06E1" w:rsidRPr="002A06E1">
              <w:rPr>
                <w:rStyle w:val="FootnoteReference"/>
              </w:rPr>
              <w:instrText xml:space="preserve"> NOTEREF _Ref13734771 \h </w:instrText>
            </w:r>
            <w:r w:rsidR="002A06E1">
              <w:rPr>
                <w:rStyle w:val="FootnoteReference"/>
              </w:rPr>
              <w:instrText xml:space="preserve"> \* MERGEFORMAT </w:instrText>
            </w:r>
            <w:r w:rsidR="002A06E1" w:rsidRPr="002A06E1">
              <w:rPr>
                <w:rStyle w:val="FootnoteReference"/>
              </w:rPr>
            </w:r>
            <w:r w:rsidR="002A06E1" w:rsidRPr="002A06E1">
              <w:rPr>
                <w:rStyle w:val="FootnoteReference"/>
              </w:rPr>
              <w:fldChar w:fldCharType="separate"/>
            </w:r>
            <w:r w:rsidR="007854E0">
              <w:rPr>
                <w:rStyle w:val="FootnoteReference"/>
              </w:rPr>
              <w:t>9</w:t>
            </w:r>
            <w:r w:rsidR="002A06E1" w:rsidRPr="002A06E1">
              <w:rPr>
                <w:rStyle w:val="FootnoteReference"/>
              </w:rPr>
              <w:fldChar w:fldCharType="end"/>
            </w:r>
          </w:p>
        </w:tc>
      </w:tr>
    </w:tbl>
    <w:p w14:paraId="215A4155" w14:textId="77777777" w:rsidR="0022760F" w:rsidRPr="002865B7" w:rsidRDefault="0022760F" w:rsidP="002865B7">
      <w:pPr>
        <w:pStyle w:val="DHHSbody"/>
      </w:pPr>
      <w:bookmarkStart w:id="49" w:name="_Toc486512540"/>
      <w:bookmarkStart w:id="50" w:name="_Toc486513104"/>
      <w:bookmarkStart w:id="51" w:name="_Toc509143700"/>
      <w:bookmarkStart w:id="52" w:name="_Toc516827354"/>
      <w:bookmarkStart w:id="53" w:name="_Toc517959119"/>
      <w:bookmarkStart w:id="54" w:name="_Toc486512541"/>
      <w:bookmarkStart w:id="55" w:name="_Toc486513105"/>
      <w:r w:rsidRPr="002865B7">
        <w:br w:type="page"/>
      </w:r>
    </w:p>
    <w:bookmarkEnd w:id="49"/>
    <w:bookmarkEnd w:id="50"/>
    <w:bookmarkEnd w:id="51"/>
    <w:bookmarkEnd w:id="52"/>
    <w:bookmarkEnd w:id="53"/>
    <w:bookmarkEnd w:id="54"/>
    <w:bookmarkEnd w:id="55"/>
    <w:p w14:paraId="7801EBA4" w14:textId="77777777" w:rsidR="00921922" w:rsidRDefault="00921922" w:rsidP="00921922">
      <w:pPr>
        <w:pStyle w:val="DHHSbodynospace"/>
        <w:sectPr w:rsidR="00921922" w:rsidSect="00D34A13">
          <w:footerReference w:type="even" r:id="rId15"/>
          <w:footerReference w:type="default" r:id="rId16"/>
          <w:pgSz w:w="11906" w:h="16838" w:code="9"/>
          <w:pgMar w:top="1418" w:right="1304" w:bottom="1134" w:left="1304" w:header="454" w:footer="510" w:gutter="0"/>
          <w:cols w:space="720"/>
          <w:docGrid w:linePitch="360"/>
        </w:sectPr>
      </w:pPr>
    </w:p>
    <w:p w14:paraId="3F23D9BF" w14:textId="74931FAB" w:rsidR="00EA5FA2" w:rsidRDefault="00770649" w:rsidP="00921922">
      <w:pPr>
        <w:pStyle w:val="Heading2"/>
      </w:pPr>
      <w:bookmarkStart w:id="56" w:name="_Toc517959123"/>
      <w:bookmarkStart w:id="57" w:name="_Toc15580076"/>
      <w:r>
        <w:lastRenderedPageBreak/>
        <w:t>Key Performance Measures</w:t>
      </w:r>
      <w:r w:rsidR="00132EF1">
        <w:t>:</w:t>
      </w:r>
      <w:r w:rsidR="004C6BB8">
        <w:t xml:space="preserve"> Technical Specifications</w:t>
      </w:r>
      <w:bookmarkEnd w:id="57"/>
      <w:r w:rsidR="004C6BB8">
        <w:t xml:space="preserve"> </w:t>
      </w:r>
    </w:p>
    <w:p w14:paraId="11B4DF18" w14:textId="4B32DF6D" w:rsidR="00EA5FA2" w:rsidRDefault="00EA5FA2" w:rsidP="00EE498F">
      <w:pPr>
        <w:pStyle w:val="DHHSbody"/>
      </w:pPr>
      <w:r>
        <w:t xml:space="preserve">The </w:t>
      </w:r>
      <w:r w:rsidR="004C6BB8">
        <w:t>technical specifications</w:t>
      </w:r>
      <w:r>
        <w:t xml:space="preserve"> provide the next level of detail </w:t>
      </w:r>
      <w:r w:rsidR="000D5690">
        <w:t xml:space="preserve">regarding </w:t>
      </w:r>
      <w:r>
        <w:t xml:space="preserve">calculating performance for </w:t>
      </w:r>
      <w:r w:rsidR="0047364C">
        <w:t xml:space="preserve">the </w:t>
      </w:r>
      <w:r w:rsidR="00EE498F">
        <w:t>K</w:t>
      </w:r>
      <w:r w:rsidR="0047364C">
        <w:t xml:space="preserve">ey </w:t>
      </w:r>
      <w:r w:rsidR="00EE498F">
        <w:t>P</w:t>
      </w:r>
      <w:r w:rsidR="0047364C">
        <w:t xml:space="preserve">erformance </w:t>
      </w:r>
      <w:r w:rsidR="00EE498F">
        <w:t>M</w:t>
      </w:r>
      <w:r w:rsidR="0047364C">
        <w:t>easures</w:t>
      </w:r>
      <w:r w:rsidR="00A50CCB">
        <w:t>.</w:t>
      </w:r>
      <w:r w:rsidR="00A82031">
        <w:t xml:space="preserve"> </w:t>
      </w:r>
      <w:r>
        <w:t>The methodology for assessing improvement has also been included.</w:t>
      </w:r>
    </w:p>
    <w:p w14:paraId="7AD2614D" w14:textId="29AA9F7A" w:rsidR="00921922" w:rsidRPr="0098470E" w:rsidRDefault="00921922" w:rsidP="00EA5FA2">
      <w:pPr>
        <w:pStyle w:val="Heading3"/>
      </w:pPr>
      <w:bookmarkStart w:id="58" w:name="_Toc15580077"/>
      <w:r w:rsidRPr="0098470E">
        <w:t>High quality and safe care</w:t>
      </w:r>
      <w:bookmarkEnd w:id="56"/>
      <w:bookmarkEnd w:id="58"/>
    </w:p>
    <w:p w14:paraId="0EE08470" w14:textId="08E2F1DB" w:rsidR="00961723" w:rsidRPr="0098470E" w:rsidRDefault="00961723" w:rsidP="00961723">
      <w:pPr>
        <w:pStyle w:val="DHHStablecaption"/>
      </w:pPr>
      <w:r>
        <w:t xml:space="preserve">Indicator: </w:t>
      </w:r>
      <w:r w:rsidRPr="0098470E">
        <w:t xml:space="preserve">Compliance with </w:t>
      </w:r>
      <w:r w:rsidR="006F594E">
        <w:t>a</w:t>
      </w:r>
      <w:r w:rsidRPr="0098470E">
        <w:t xml:space="preserve">ged </w:t>
      </w:r>
      <w:r w:rsidR="006F594E">
        <w:t>c</w:t>
      </w:r>
      <w:r w:rsidRPr="0098470E">
        <w:t xml:space="preserve">are </w:t>
      </w:r>
      <w:r w:rsidR="006F594E">
        <w:t>s</w:t>
      </w:r>
      <w:r w:rsidRPr="0098470E">
        <w:t>tandards</w:t>
      </w:r>
    </w:p>
    <w:tbl>
      <w:tblPr>
        <w:tblStyle w:val="TableGrid"/>
        <w:tblW w:w="9300" w:type="dxa"/>
        <w:tblLayout w:type="fixed"/>
        <w:tblLook w:val="0620" w:firstRow="1" w:lastRow="0" w:firstColumn="0" w:lastColumn="0" w:noHBand="1" w:noVBand="1"/>
      </w:tblPr>
      <w:tblGrid>
        <w:gridCol w:w="2552"/>
        <w:gridCol w:w="6748"/>
      </w:tblGrid>
      <w:tr w:rsidR="00961723" w:rsidRPr="0098470E" w14:paraId="4687EB4D" w14:textId="77777777" w:rsidTr="00961723">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0B494B2E" w14:textId="01C40A3D" w:rsidR="00961723" w:rsidRPr="0098470E" w:rsidRDefault="00961723" w:rsidP="00961723">
            <w:pPr>
              <w:pStyle w:val="DHHStablecolhead"/>
            </w:pPr>
            <w:r>
              <w:t>Element</w:t>
            </w:r>
          </w:p>
        </w:tc>
        <w:tc>
          <w:tcPr>
            <w:tcW w:w="6748" w:type="dxa"/>
          </w:tcPr>
          <w:p w14:paraId="15D5CF8C" w14:textId="6CD845FF" w:rsidR="00961723" w:rsidRPr="0098470E" w:rsidRDefault="00961723" w:rsidP="00961723">
            <w:pPr>
              <w:pStyle w:val="DHHStablecolhead"/>
            </w:pPr>
            <w:r>
              <w:t>Details</w:t>
            </w:r>
          </w:p>
        </w:tc>
      </w:tr>
      <w:tr w:rsidR="00164661" w:rsidRPr="0098470E" w14:paraId="74475830" w14:textId="77777777" w:rsidTr="00961723">
        <w:tblPrEx>
          <w:tblCellMar>
            <w:left w:w="57" w:type="dxa"/>
            <w:right w:w="57" w:type="dxa"/>
          </w:tblCellMar>
        </w:tblPrEx>
        <w:trPr>
          <w:cantSplit/>
        </w:trPr>
        <w:tc>
          <w:tcPr>
            <w:tcW w:w="2552" w:type="dxa"/>
            <w:hideMark/>
          </w:tcPr>
          <w:p w14:paraId="4D6E67E7" w14:textId="77777777" w:rsidR="00164661" w:rsidRPr="0098470E" w:rsidRDefault="00164661" w:rsidP="00164661">
            <w:pPr>
              <w:pStyle w:val="DHHStabletext"/>
            </w:pPr>
            <w:r w:rsidRPr="0098470E">
              <w:t>Description</w:t>
            </w:r>
          </w:p>
        </w:tc>
        <w:tc>
          <w:tcPr>
            <w:tcW w:w="6748" w:type="dxa"/>
            <w:hideMark/>
          </w:tcPr>
          <w:p w14:paraId="49FDAA02" w14:textId="77777777" w:rsidR="00164661" w:rsidRPr="0098470E" w:rsidRDefault="00164661" w:rsidP="00164661">
            <w:pPr>
              <w:pStyle w:val="DHHStabletext"/>
            </w:pPr>
            <w:r w:rsidRPr="0098470E">
              <w:t>It is a requirement that all residential aged care facilities are accredited and maintain full compliance with relevant standards.</w:t>
            </w:r>
          </w:p>
          <w:p w14:paraId="2D14066D" w14:textId="0BF5F0BB" w:rsidR="00164661" w:rsidRPr="0098470E" w:rsidRDefault="00164661" w:rsidP="00164661">
            <w:pPr>
              <w:pStyle w:val="DHHStabletext"/>
            </w:pPr>
            <w:r w:rsidRPr="0098470E">
              <w:t xml:space="preserve">The Commonwealth Government has primary responsibility for funding and regulating the residential aged care sector. In Victoria, a number of residential aged care services are provided by public health services and are subject to </w:t>
            </w:r>
            <w:r>
              <w:t xml:space="preserve">national </w:t>
            </w:r>
            <w:r w:rsidRPr="0098470E">
              <w:t xml:space="preserve">Aged Care </w:t>
            </w:r>
            <w:r>
              <w:t xml:space="preserve">Quality </w:t>
            </w:r>
            <w:r w:rsidRPr="0098470E">
              <w:t>Standards.</w:t>
            </w:r>
          </w:p>
        </w:tc>
      </w:tr>
      <w:tr w:rsidR="00921922" w:rsidRPr="0098470E" w14:paraId="0857C29A" w14:textId="77777777" w:rsidTr="00961723">
        <w:tblPrEx>
          <w:tblCellMar>
            <w:left w:w="57" w:type="dxa"/>
            <w:right w:w="57" w:type="dxa"/>
          </w:tblCellMar>
        </w:tblPrEx>
        <w:trPr>
          <w:cantSplit/>
        </w:trPr>
        <w:tc>
          <w:tcPr>
            <w:tcW w:w="2552" w:type="dxa"/>
            <w:hideMark/>
          </w:tcPr>
          <w:p w14:paraId="700F2C69" w14:textId="77777777" w:rsidR="00921922" w:rsidRPr="0098470E" w:rsidRDefault="00921922" w:rsidP="00603215">
            <w:pPr>
              <w:pStyle w:val="DHHStabletext"/>
            </w:pPr>
            <w:r w:rsidRPr="0098470E">
              <w:t>Calculating performance</w:t>
            </w:r>
          </w:p>
        </w:tc>
        <w:tc>
          <w:tcPr>
            <w:tcW w:w="6748" w:type="dxa"/>
            <w:hideMark/>
          </w:tcPr>
          <w:p w14:paraId="0D9B511A" w14:textId="77777777" w:rsidR="00A118E8" w:rsidRPr="0098470E" w:rsidRDefault="00A118E8" w:rsidP="00A118E8">
            <w:pPr>
              <w:pStyle w:val="DHHStabletext"/>
            </w:pPr>
            <w:r w:rsidRPr="0098470E">
              <w:t>This indicator is assessed at the health service level. Where a health service has multiple facilities, all facilities are required to meet the</w:t>
            </w:r>
            <w:r>
              <w:t xml:space="preserve"> aged care standards</w:t>
            </w:r>
            <w:r w:rsidRPr="0098470E">
              <w:t>.</w:t>
            </w:r>
          </w:p>
          <w:p w14:paraId="1A82F7C3" w14:textId="77777777" w:rsidR="00A118E8" w:rsidRPr="0098470E" w:rsidRDefault="00A118E8" w:rsidP="00A118E8">
            <w:pPr>
              <w:pStyle w:val="DHHStabletext"/>
            </w:pPr>
            <w:r w:rsidRPr="0098470E">
              <w:t xml:space="preserve">To achieve this indicator all residential aged care services must be fully compliant with </w:t>
            </w:r>
            <w:r>
              <w:t>the a</w:t>
            </w:r>
            <w:r w:rsidRPr="0098470E">
              <w:t xml:space="preserve">ged </w:t>
            </w:r>
            <w:r>
              <w:t>c</w:t>
            </w:r>
            <w:r w:rsidRPr="0098470E">
              <w:t xml:space="preserve">are </w:t>
            </w:r>
            <w:r>
              <w:t>s</w:t>
            </w:r>
            <w:r w:rsidRPr="0098470E">
              <w:t>tandards, at all times.</w:t>
            </w:r>
          </w:p>
          <w:p w14:paraId="2D67B8DA" w14:textId="77777777" w:rsidR="00A118E8" w:rsidRPr="0098470E" w:rsidRDefault="00A118E8" w:rsidP="00A118E8">
            <w:pPr>
              <w:pStyle w:val="DHHStabletext"/>
            </w:pPr>
            <w:r w:rsidRPr="0098470E">
              <w:t xml:space="preserve">Where a health service has </w:t>
            </w:r>
            <w:r>
              <w:t>a confirmed finding of n</w:t>
            </w:r>
            <w:r w:rsidRPr="0098470E">
              <w:t>o</w:t>
            </w:r>
            <w:r>
              <w:t xml:space="preserve">n-compliance with the standards from a performance assessment conducted by the Aged Care Quality and Safety Commission (ACQSC) during the reporting period they will be referred </w:t>
            </w:r>
            <w:r w:rsidRPr="0098470E">
              <w:t xml:space="preserve">to as </w:t>
            </w:r>
            <w:r>
              <w:t>‘</w:t>
            </w:r>
            <w:r w:rsidRPr="0098470E">
              <w:t>not achieved</w:t>
            </w:r>
            <w:r>
              <w:t>’</w:t>
            </w:r>
            <w:r w:rsidRPr="0098470E">
              <w:t>.</w:t>
            </w:r>
          </w:p>
          <w:p w14:paraId="7F2B41D5" w14:textId="77777777" w:rsidR="00A118E8" w:rsidRPr="0098470E" w:rsidRDefault="00A118E8" w:rsidP="00A118E8">
            <w:pPr>
              <w:pStyle w:val="DHHStabletextsubhead"/>
            </w:pPr>
            <w:r w:rsidRPr="0098470E">
              <w:t>Performance breach</w:t>
            </w:r>
          </w:p>
          <w:p w14:paraId="398982E3" w14:textId="77777777" w:rsidR="00A118E8" w:rsidRDefault="00A118E8" w:rsidP="00A118E8">
            <w:pPr>
              <w:pStyle w:val="DHHStabletext"/>
            </w:pPr>
            <w:r>
              <w:t xml:space="preserve">Non-compliance with the aged care standards </w:t>
            </w:r>
            <w:r w:rsidRPr="0098470E">
              <w:t xml:space="preserve">is considered a performance breach. </w:t>
            </w:r>
          </w:p>
          <w:p w14:paraId="6B6F17B4" w14:textId="77777777" w:rsidR="00A118E8" w:rsidRDefault="00A118E8" w:rsidP="00A118E8">
            <w:pPr>
              <w:pStyle w:val="DHHStabletext"/>
            </w:pPr>
            <w:r>
              <w:t>Health services are to notify t</w:t>
            </w:r>
            <w:r w:rsidRPr="0098470E">
              <w:t>he department</w:t>
            </w:r>
            <w:r>
              <w:t>’</w:t>
            </w:r>
            <w:r w:rsidRPr="0098470E">
              <w:t xml:space="preserve">s </w:t>
            </w:r>
            <w:r>
              <w:t xml:space="preserve">Quality Improvement, Care for Older People Unit </w:t>
            </w:r>
            <w:r w:rsidRPr="0098470E">
              <w:t xml:space="preserve">of any </w:t>
            </w:r>
            <w:r>
              <w:t xml:space="preserve">findings of </w:t>
            </w:r>
            <w:r w:rsidRPr="0098470E">
              <w:t>non</w:t>
            </w:r>
            <w:r>
              <w:t>-</w:t>
            </w:r>
            <w:r w:rsidRPr="0098470E">
              <w:t xml:space="preserve">compliance </w:t>
            </w:r>
            <w:r>
              <w:t xml:space="preserve">by </w:t>
            </w:r>
            <w:r w:rsidRPr="0098470E">
              <w:t>AC</w:t>
            </w:r>
            <w:r>
              <w:t>QSC.</w:t>
            </w:r>
          </w:p>
          <w:p w14:paraId="0AF58764" w14:textId="4C20E441" w:rsidR="00921922" w:rsidRPr="0098470E" w:rsidRDefault="00A118E8" w:rsidP="00603215">
            <w:pPr>
              <w:pStyle w:val="DHHStabletext"/>
            </w:pPr>
            <w:r>
              <w:t xml:space="preserve">Any </w:t>
            </w:r>
            <w:r w:rsidRPr="0098470E">
              <w:t>breach</w:t>
            </w:r>
            <w:r>
              <w:t xml:space="preserve"> will </w:t>
            </w:r>
            <w:r w:rsidRPr="0098470E">
              <w:t xml:space="preserve">require health services </w:t>
            </w:r>
            <w:r>
              <w:t xml:space="preserve">to make necessary improvements to comply with the aged care standards and </w:t>
            </w:r>
            <w:r w:rsidRPr="0098470E">
              <w:t>meet a timetable for improvements set by the A</w:t>
            </w:r>
            <w:r>
              <w:t>CQSC.</w:t>
            </w:r>
          </w:p>
        </w:tc>
      </w:tr>
      <w:tr w:rsidR="000B6025" w:rsidRPr="0098470E" w14:paraId="009F66B7" w14:textId="77777777" w:rsidTr="00961723">
        <w:tblPrEx>
          <w:tblCellMar>
            <w:left w:w="57" w:type="dxa"/>
            <w:right w:w="57" w:type="dxa"/>
          </w:tblCellMar>
        </w:tblPrEx>
        <w:trPr>
          <w:cantSplit/>
        </w:trPr>
        <w:tc>
          <w:tcPr>
            <w:tcW w:w="2552" w:type="dxa"/>
            <w:hideMark/>
          </w:tcPr>
          <w:p w14:paraId="29D1350F" w14:textId="77777777" w:rsidR="000B6025" w:rsidRPr="0098470E" w:rsidRDefault="000B6025" w:rsidP="000B6025">
            <w:pPr>
              <w:pStyle w:val="DHHStabletext"/>
            </w:pPr>
            <w:r w:rsidRPr="0098470E">
              <w:t>Statewide target</w:t>
            </w:r>
          </w:p>
        </w:tc>
        <w:tc>
          <w:tcPr>
            <w:tcW w:w="6748" w:type="dxa"/>
            <w:hideMark/>
          </w:tcPr>
          <w:p w14:paraId="59ED533E" w14:textId="24E16B14" w:rsidR="000B6025" w:rsidRPr="0098470E" w:rsidRDefault="000B6025" w:rsidP="000B6025">
            <w:pPr>
              <w:pStyle w:val="DHHStabletext"/>
            </w:pPr>
            <w:r w:rsidRPr="0098470E">
              <w:t>Full compliance</w:t>
            </w:r>
          </w:p>
        </w:tc>
      </w:tr>
      <w:tr w:rsidR="00921922" w:rsidRPr="0098470E" w14:paraId="00E0FE65" w14:textId="77777777" w:rsidTr="00961723">
        <w:tblPrEx>
          <w:tblCellMar>
            <w:left w:w="57" w:type="dxa"/>
            <w:right w:w="57" w:type="dxa"/>
          </w:tblCellMar>
        </w:tblPrEx>
        <w:trPr>
          <w:cantSplit/>
        </w:trPr>
        <w:tc>
          <w:tcPr>
            <w:tcW w:w="2552" w:type="dxa"/>
            <w:hideMark/>
          </w:tcPr>
          <w:p w14:paraId="7E343140" w14:textId="77777777" w:rsidR="00921922" w:rsidRPr="0098470E" w:rsidRDefault="00921922" w:rsidP="00603215">
            <w:pPr>
              <w:pStyle w:val="DHHStabletext"/>
            </w:pPr>
            <w:r w:rsidRPr="0098470E">
              <w:t>Achievement</w:t>
            </w:r>
          </w:p>
        </w:tc>
        <w:tc>
          <w:tcPr>
            <w:tcW w:w="6748" w:type="dxa"/>
          </w:tcPr>
          <w:p w14:paraId="1DD90EF9" w14:textId="77777777" w:rsidR="00C90750" w:rsidRPr="0098470E" w:rsidRDefault="00C90750" w:rsidP="00C90750">
            <w:pPr>
              <w:pStyle w:val="DHHStabletext"/>
            </w:pPr>
            <w:r w:rsidRPr="0098470E">
              <w:t>Achieved</w:t>
            </w:r>
          </w:p>
          <w:p w14:paraId="799FC1F6" w14:textId="1FD130BC" w:rsidR="00921922" w:rsidRPr="0098470E" w:rsidRDefault="00C90750" w:rsidP="00603215">
            <w:pPr>
              <w:pStyle w:val="DHHStabletext"/>
            </w:pPr>
            <w:r w:rsidRPr="0098470E">
              <w:t>Not achieved</w:t>
            </w:r>
          </w:p>
        </w:tc>
      </w:tr>
      <w:tr w:rsidR="00A214AA" w:rsidRPr="0098470E" w14:paraId="016B0A0B" w14:textId="77777777" w:rsidTr="00961723">
        <w:tblPrEx>
          <w:tblCellMar>
            <w:left w:w="57" w:type="dxa"/>
            <w:right w:w="57" w:type="dxa"/>
          </w:tblCellMar>
        </w:tblPrEx>
        <w:trPr>
          <w:cantSplit/>
        </w:trPr>
        <w:tc>
          <w:tcPr>
            <w:tcW w:w="2552" w:type="dxa"/>
            <w:hideMark/>
          </w:tcPr>
          <w:p w14:paraId="528C1E44" w14:textId="77777777" w:rsidR="00A214AA" w:rsidRPr="0098470E" w:rsidRDefault="00A214AA" w:rsidP="00A214AA">
            <w:pPr>
              <w:pStyle w:val="DHHStabletext"/>
            </w:pPr>
            <w:r>
              <w:t>Improvement</w:t>
            </w:r>
          </w:p>
        </w:tc>
        <w:tc>
          <w:tcPr>
            <w:tcW w:w="6748" w:type="dxa"/>
          </w:tcPr>
          <w:p w14:paraId="6471EBAC" w14:textId="4A94B982" w:rsidR="00A214AA" w:rsidRPr="0098470E" w:rsidRDefault="00A214AA" w:rsidP="00A214AA">
            <w:pPr>
              <w:pStyle w:val="DHHStabletext"/>
            </w:pPr>
            <w:r>
              <w:t>Compliance with the aged care standards at follow-up performance assessments by ACQSA.</w:t>
            </w:r>
          </w:p>
        </w:tc>
      </w:tr>
      <w:tr w:rsidR="00921922" w:rsidRPr="0098470E" w14:paraId="19375385" w14:textId="77777777" w:rsidTr="00961723">
        <w:tblPrEx>
          <w:tblCellMar>
            <w:left w:w="57" w:type="dxa"/>
            <w:right w:w="57" w:type="dxa"/>
          </w:tblCellMar>
        </w:tblPrEx>
        <w:trPr>
          <w:cantSplit/>
        </w:trPr>
        <w:tc>
          <w:tcPr>
            <w:tcW w:w="2552" w:type="dxa"/>
            <w:hideMark/>
          </w:tcPr>
          <w:p w14:paraId="026CF256" w14:textId="77777777" w:rsidR="00921922" w:rsidRPr="0098470E" w:rsidRDefault="00921922" w:rsidP="00603215">
            <w:pPr>
              <w:pStyle w:val="DHHStabletext"/>
            </w:pPr>
            <w:r w:rsidRPr="0098470E">
              <w:lastRenderedPageBreak/>
              <w:t>Frequency of reporting and data collection</w:t>
            </w:r>
          </w:p>
        </w:tc>
        <w:tc>
          <w:tcPr>
            <w:tcW w:w="6748" w:type="dxa"/>
            <w:hideMark/>
          </w:tcPr>
          <w:p w14:paraId="3734877E" w14:textId="77777777" w:rsidR="00A26371" w:rsidRPr="0098470E" w:rsidRDefault="00A26371" w:rsidP="00A26371">
            <w:pPr>
              <w:pStyle w:val="DHHStabletext"/>
            </w:pPr>
            <w:r w:rsidRPr="0098470E">
              <w:t>Performance is monitored and assessed quarterly. In addition to quarterly monitoring, a performance result is generated annually. Where a health service does not achieve the indicator in any quarter the annual result is not achieved.</w:t>
            </w:r>
          </w:p>
          <w:p w14:paraId="753ECC4E" w14:textId="77777777" w:rsidR="00A26371" w:rsidRPr="0098470E" w:rsidRDefault="00A26371" w:rsidP="00A26371">
            <w:pPr>
              <w:pStyle w:val="DHHStabletext"/>
            </w:pPr>
            <w:r>
              <w:t xml:space="preserve">Compliance </w:t>
            </w:r>
            <w:r w:rsidRPr="0098470E">
              <w:t>status as at the end of the quarter for the health service is to be reported for the periods:</w:t>
            </w:r>
          </w:p>
          <w:p w14:paraId="0530BCE2" w14:textId="77777777" w:rsidR="00A26371" w:rsidRPr="0098470E" w:rsidRDefault="00A26371" w:rsidP="00A26371">
            <w:pPr>
              <w:pStyle w:val="DHHStablebullet1"/>
            </w:pPr>
            <w:r w:rsidRPr="0098470E">
              <w:t>1 July to 30 September in quarter 1</w:t>
            </w:r>
          </w:p>
          <w:p w14:paraId="39CAD6FC" w14:textId="77777777" w:rsidR="00A26371" w:rsidRPr="0098470E" w:rsidRDefault="00A26371" w:rsidP="00A26371">
            <w:pPr>
              <w:pStyle w:val="DHHStablebullet1"/>
            </w:pPr>
            <w:r w:rsidRPr="0098470E">
              <w:t>1 October to 31 December in quarter 2</w:t>
            </w:r>
          </w:p>
          <w:p w14:paraId="35A653D2" w14:textId="77777777" w:rsidR="00A26371" w:rsidRPr="0098470E" w:rsidRDefault="00A26371" w:rsidP="00A26371">
            <w:pPr>
              <w:pStyle w:val="DHHStablebullet1"/>
            </w:pPr>
            <w:r w:rsidRPr="0098470E">
              <w:t>1 January to 31 March in quarter 3</w:t>
            </w:r>
          </w:p>
          <w:p w14:paraId="48EA63B3" w14:textId="77777777" w:rsidR="00A26371" w:rsidRPr="0098470E" w:rsidRDefault="00A26371" w:rsidP="00A26371">
            <w:pPr>
              <w:pStyle w:val="DHHStablebullet1"/>
            </w:pPr>
            <w:r w:rsidRPr="0098470E">
              <w:t>1 April to 30 June in quarter 4.</w:t>
            </w:r>
          </w:p>
          <w:p w14:paraId="45CE5FA0" w14:textId="72CBB3D8" w:rsidR="00921922" w:rsidRPr="0098470E" w:rsidRDefault="00A26371" w:rsidP="00603215">
            <w:pPr>
              <w:pStyle w:val="DHHStabletext"/>
            </w:pPr>
            <w:r w:rsidRPr="0098470E">
              <w:t xml:space="preserve">For each quarter, a list of residential aged care services that have failed to comply with the </w:t>
            </w:r>
            <w:r>
              <w:t>aged care standards</w:t>
            </w:r>
            <w:r w:rsidRPr="0098470E">
              <w:t xml:space="preserve"> during the relevant quarter will be obtained.</w:t>
            </w:r>
          </w:p>
        </w:tc>
      </w:tr>
    </w:tbl>
    <w:p w14:paraId="7A8BD959" w14:textId="77777777" w:rsidR="00921922" w:rsidRPr="00D97737" w:rsidRDefault="00921922" w:rsidP="00D97737">
      <w:pPr>
        <w:pStyle w:val="DHHSbody"/>
      </w:pPr>
      <w:r w:rsidRPr="00D97737">
        <w:br w:type="page"/>
      </w:r>
    </w:p>
    <w:p w14:paraId="621E28D6" w14:textId="1D8DA1A0" w:rsidR="00921922" w:rsidRDefault="00921922" w:rsidP="00EA5FA2">
      <w:pPr>
        <w:pStyle w:val="Heading4"/>
      </w:pPr>
      <w:bookmarkStart w:id="59" w:name="_Toc517959125"/>
      <w:bookmarkStart w:id="60" w:name="_Toc15580078"/>
      <w:r w:rsidRPr="0098470E">
        <w:lastRenderedPageBreak/>
        <w:t>Infection prevention and control</w:t>
      </w:r>
      <w:bookmarkEnd w:id="59"/>
      <w:bookmarkEnd w:id="60"/>
    </w:p>
    <w:p w14:paraId="5D7E29A0" w14:textId="6BBBF961" w:rsidR="00961723" w:rsidRPr="00961723" w:rsidRDefault="00961723" w:rsidP="00961723">
      <w:pPr>
        <w:pStyle w:val="DHHStablecaption"/>
      </w:pPr>
      <w:r>
        <w:t xml:space="preserve">Indicator: </w:t>
      </w:r>
      <w:r w:rsidR="00B20669" w:rsidRPr="0098470E">
        <w:t>Compliance with the Hand Hygiene Australia program</w:t>
      </w:r>
    </w:p>
    <w:tbl>
      <w:tblPr>
        <w:tblStyle w:val="TableGrid"/>
        <w:tblW w:w="9299" w:type="dxa"/>
        <w:tblLook w:val="06A0" w:firstRow="1" w:lastRow="0" w:firstColumn="1" w:lastColumn="0" w:noHBand="1" w:noVBand="1"/>
      </w:tblPr>
      <w:tblGrid>
        <w:gridCol w:w="2552"/>
        <w:gridCol w:w="6747"/>
      </w:tblGrid>
      <w:tr w:rsidR="00D97737" w:rsidRPr="0098470E" w14:paraId="183D3FDF" w14:textId="77777777" w:rsidTr="00B20669">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3A117D2C" w14:textId="1AE71961" w:rsidR="00D97737" w:rsidRPr="0098470E" w:rsidRDefault="00D97737" w:rsidP="00D97737">
            <w:pPr>
              <w:pStyle w:val="DHHStablecolhead"/>
            </w:pPr>
            <w:r>
              <w:t>Element</w:t>
            </w:r>
          </w:p>
        </w:tc>
        <w:tc>
          <w:tcPr>
            <w:tcW w:w="6747" w:type="dxa"/>
          </w:tcPr>
          <w:p w14:paraId="4BFBDC3F" w14:textId="65972BB9" w:rsidR="00D97737" w:rsidRPr="0098470E" w:rsidRDefault="00D97737" w:rsidP="00D97737">
            <w:pPr>
              <w:pStyle w:val="DHHStablecolhead"/>
            </w:pPr>
            <w:r>
              <w:t>Details</w:t>
            </w:r>
          </w:p>
        </w:tc>
      </w:tr>
      <w:tr w:rsidR="00921922" w:rsidRPr="0098470E" w14:paraId="311955EF" w14:textId="77777777" w:rsidTr="00B20669">
        <w:trPr>
          <w:cantSplit/>
        </w:trPr>
        <w:tc>
          <w:tcPr>
            <w:tcW w:w="2552" w:type="dxa"/>
            <w:hideMark/>
          </w:tcPr>
          <w:p w14:paraId="00C7FF78" w14:textId="77777777" w:rsidR="00921922" w:rsidRPr="0098470E" w:rsidRDefault="00921922" w:rsidP="00603215">
            <w:pPr>
              <w:pStyle w:val="DHHStabletext"/>
            </w:pPr>
            <w:r w:rsidRPr="0098470E">
              <w:t>Description</w:t>
            </w:r>
          </w:p>
        </w:tc>
        <w:tc>
          <w:tcPr>
            <w:tcW w:w="6747" w:type="dxa"/>
            <w:hideMark/>
          </w:tcPr>
          <w:p w14:paraId="13A04D94" w14:textId="77777777" w:rsidR="00921922" w:rsidRPr="0098470E" w:rsidRDefault="00921922" w:rsidP="00603215">
            <w:pPr>
              <w:pStyle w:val="DHHStabletext"/>
            </w:pPr>
            <w:r w:rsidRPr="0098470E">
              <w:t>The hand hygiene program aims to improve compliance with best practice hand hygiene processes so that healthcare-associated infections are reduced.</w:t>
            </w:r>
          </w:p>
          <w:p w14:paraId="07CCD5FA" w14:textId="2E5AECA4" w:rsidR="00921922" w:rsidRPr="0098470E" w:rsidRDefault="00921922" w:rsidP="00603215">
            <w:pPr>
              <w:pStyle w:val="DHHStabletext"/>
            </w:pPr>
            <w:r w:rsidRPr="0098470E">
              <w:t xml:space="preserve">The indicator encourages health services to achieve a high standard of hand hygiene and be fully compliant </w:t>
            </w:r>
            <w:r w:rsidR="005B7BD3">
              <w:t>with the</w:t>
            </w:r>
            <w:r w:rsidRPr="0098470E">
              <w:t xml:space="preserve"> </w:t>
            </w:r>
            <w:r w:rsidR="00007277">
              <w:t xml:space="preserve">auditing and </w:t>
            </w:r>
            <w:r w:rsidRPr="0098470E">
              <w:t>data submission to Hand Hygiene Australia (HHA)</w:t>
            </w:r>
            <w:r w:rsidR="005B7BD3">
              <w:t xml:space="preserve"> requirements</w:t>
            </w:r>
            <w:r w:rsidRPr="0098470E">
              <w:t>.</w:t>
            </w:r>
          </w:p>
          <w:p w14:paraId="58398111" w14:textId="77777777" w:rsidR="00921922" w:rsidRPr="0098470E" w:rsidRDefault="00921922" w:rsidP="00603215">
            <w:pPr>
              <w:pStyle w:val="DHHStabletext"/>
            </w:pPr>
            <w:r w:rsidRPr="0098470E">
              <w:t xml:space="preserve">This indicator measures the percentage of hand hygiene compliance achieved. This percentage represents compliance with the </w:t>
            </w:r>
            <w:r>
              <w:t>‘</w:t>
            </w:r>
            <w:r w:rsidRPr="0098470E">
              <w:t>5 moments</w:t>
            </w:r>
            <w:r>
              <w:t>’</w:t>
            </w:r>
            <w:r w:rsidRPr="0098470E">
              <w:t xml:space="preserve"> for hand hygiene methodology.</w:t>
            </w:r>
          </w:p>
        </w:tc>
      </w:tr>
      <w:tr w:rsidR="00921922" w:rsidRPr="0098470E" w14:paraId="5254B680" w14:textId="77777777" w:rsidTr="00B20669">
        <w:trPr>
          <w:cantSplit/>
        </w:trPr>
        <w:tc>
          <w:tcPr>
            <w:tcW w:w="2552" w:type="dxa"/>
            <w:hideMark/>
          </w:tcPr>
          <w:p w14:paraId="3402916F" w14:textId="77777777" w:rsidR="00921922" w:rsidRPr="0098470E" w:rsidRDefault="00921922" w:rsidP="00603215">
            <w:pPr>
              <w:pStyle w:val="DHHStabletext"/>
            </w:pPr>
            <w:r w:rsidRPr="0098470E">
              <w:t>Calculating performance</w:t>
            </w:r>
          </w:p>
        </w:tc>
        <w:tc>
          <w:tcPr>
            <w:tcW w:w="6747" w:type="dxa"/>
            <w:hideMark/>
          </w:tcPr>
          <w:p w14:paraId="61922078" w14:textId="0BBF587D" w:rsidR="00921922" w:rsidRPr="0098470E" w:rsidRDefault="00921922" w:rsidP="00603215">
            <w:pPr>
              <w:pStyle w:val="DHHStabletext"/>
            </w:pPr>
            <w:r w:rsidRPr="0098470E">
              <w:t xml:space="preserve">VICNISS coordinates the hand hygiene program for Victoria. Data </w:t>
            </w:r>
            <w:r w:rsidR="00827431">
              <w:t>is</w:t>
            </w:r>
            <w:r w:rsidR="00827431" w:rsidRPr="0098470E">
              <w:t xml:space="preserve"> </w:t>
            </w:r>
            <w:r w:rsidRPr="0098470E">
              <w:t>reported to HHA. VICNISS analyses the data for each audit period and reports results to the department.</w:t>
            </w:r>
          </w:p>
          <w:p w14:paraId="3DF490EF" w14:textId="38E4AD8A" w:rsidR="00921922" w:rsidRPr="0098470E" w:rsidRDefault="00921922" w:rsidP="00603215">
            <w:pPr>
              <w:pStyle w:val="DHHStabletext"/>
            </w:pPr>
            <w:r w:rsidRPr="0098470E">
              <w:t>Auditing r</w:t>
            </w:r>
            <w:r>
              <w:t xml:space="preserve">equirements are outlined by </w:t>
            </w:r>
            <w:hyperlink r:id="rId17" w:history="1">
              <w:r w:rsidRPr="00A15D08">
                <w:rPr>
                  <w:rStyle w:val="Hyperlink"/>
                </w:rPr>
                <w:t>Hand Hygiene Australia</w:t>
              </w:r>
            </w:hyperlink>
            <w:r>
              <w:t xml:space="preserve"> &lt;http://</w:t>
            </w:r>
            <w:r w:rsidRPr="00E161C0">
              <w:t>www.hha.org.au</w:t>
            </w:r>
            <w:r w:rsidRPr="00A15D08">
              <w:rPr>
                <w:color w:val="000000" w:themeColor="text1"/>
              </w:rPr>
              <w:t>&gt;.</w:t>
            </w:r>
          </w:p>
          <w:p w14:paraId="6A68E588" w14:textId="77777777" w:rsidR="00921922" w:rsidRPr="0098470E" w:rsidRDefault="00921922" w:rsidP="00603215">
            <w:pPr>
              <w:pStyle w:val="DHHStabletext"/>
            </w:pPr>
            <w:r w:rsidRPr="0098470E">
              <w:t>There are three hand hygiene audit periods per year:</w:t>
            </w:r>
          </w:p>
          <w:p w14:paraId="553A81E6" w14:textId="77777777" w:rsidR="00921922" w:rsidRPr="0098470E" w:rsidRDefault="00921922" w:rsidP="00603215">
            <w:pPr>
              <w:pStyle w:val="DHHStablebullet1"/>
            </w:pPr>
            <w:r w:rsidRPr="0098470E">
              <w:t>1 July to 31 October</w:t>
            </w:r>
          </w:p>
          <w:p w14:paraId="4096392F" w14:textId="77777777" w:rsidR="00921922" w:rsidRPr="0098470E" w:rsidRDefault="00921922" w:rsidP="00603215">
            <w:pPr>
              <w:pStyle w:val="DHHStablebullet1"/>
            </w:pPr>
            <w:r w:rsidRPr="0098470E">
              <w:t>1 November to 31 March</w:t>
            </w:r>
          </w:p>
          <w:p w14:paraId="5E1C97BD" w14:textId="77777777" w:rsidR="00921922" w:rsidRPr="0098470E" w:rsidRDefault="00921922" w:rsidP="00603215">
            <w:pPr>
              <w:pStyle w:val="DHHStablebullet1"/>
            </w:pPr>
            <w:r w:rsidRPr="0098470E">
              <w:t>1 April to 30 June.</w:t>
            </w:r>
          </w:p>
          <w:p w14:paraId="09F61B6F" w14:textId="0BC77939" w:rsidR="00921922" w:rsidRPr="0098470E" w:rsidRDefault="00921922" w:rsidP="00603215">
            <w:pPr>
              <w:pStyle w:val="DHHStabletext"/>
            </w:pPr>
            <w:r w:rsidRPr="0098470E">
              <w:t>The number of moments each campus is required to collect is based on acute inpatient bed numbers submitted to the Agency Information Management System.</w:t>
            </w:r>
          </w:p>
          <w:p w14:paraId="418728C5" w14:textId="77777777" w:rsidR="00921922" w:rsidRPr="0098470E" w:rsidRDefault="00921922" w:rsidP="00603215">
            <w:pPr>
              <w:pStyle w:val="DHHStabletext"/>
            </w:pPr>
            <w:r w:rsidRPr="0098470E">
              <w:t>This indicator is assessed at the health service level. Where a health service has multiple campuses, the compliance is aggregated to produce an average health service result.</w:t>
            </w:r>
          </w:p>
          <w:p w14:paraId="7933F749" w14:textId="77777777" w:rsidR="00921922" w:rsidRPr="0098470E" w:rsidRDefault="00921922" w:rsidP="00603215">
            <w:pPr>
              <w:pStyle w:val="DHHStabletext"/>
            </w:pPr>
            <w:r w:rsidRPr="0098470E">
              <w:t>Where a health service has fewer than 25 acute inpatient beds at each campus, the number of moments required to be collected will be based on the total number of acute inpatient beds at the health service.</w:t>
            </w:r>
          </w:p>
          <w:p w14:paraId="59A2B709" w14:textId="70398440" w:rsidR="00921922" w:rsidRPr="0098470E" w:rsidRDefault="00921922" w:rsidP="00603215">
            <w:pPr>
              <w:pStyle w:val="DHHStabletext"/>
            </w:pPr>
            <w:r w:rsidRPr="0098470E">
              <w:t xml:space="preserve">The department may determine alternative reporting arrangements for campuses with low bed numbers and low occupancy in consultation with </w:t>
            </w:r>
            <w:r w:rsidR="00EA3AF5">
              <w:t>Safer Care Victoria (</w:t>
            </w:r>
            <w:r>
              <w:t>SCV</w:t>
            </w:r>
            <w:r w:rsidR="00EA3AF5">
              <w:t>)</w:t>
            </w:r>
            <w:r>
              <w:t xml:space="preserve"> </w:t>
            </w:r>
            <w:r w:rsidRPr="0098470E">
              <w:t>and the relevant health services.</w:t>
            </w:r>
          </w:p>
        </w:tc>
      </w:tr>
      <w:tr w:rsidR="00921922" w:rsidRPr="0098470E" w14:paraId="5C5198DB" w14:textId="77777777" w:rsidTr="00B20669">
        <w:trPr>
          <w:cantSplit/>
        </w:trPr>
        <w:tc>
          <w:tcPr>
            <w:tcW w:w="2552" w:type="dxa"/>
            <w:hideMark/>
          </w:tcPr>
          <w:p w14:paraId="16EA2B5D" w14:textId="77777777" w:rsidR="00921922" w:rsidRPr="0098470E" w:rsidRDefault="00921922" w:rsidP="00603215">
            <w:pPr>
              <w:pStyle w:val="DHHStabletext"/>
            </w:pPr>
            <w:r w:rsidRPr="0098470E">
              <w:t xml:space="preserve">Statewide target </w:t>
            </w:r>
          </w:p>
        </w:tc>
        <w:tc>
          <w:tcPr>
            <w:tcW w:w="6747" w:type="dxa"/>
            <w:hideMark/>
          </w:tcPr>
          <w:p w14:paraId="308E409D" w14:textId="7E822CF6" w:rsidR="00921922" w:rsidRPr="0054030C" w:rsidRDefault="00921922" w:rsidP="00603215">
            <w:pPr>
              <w:pStyle w:val="DHHStabletext"/>
              <w:rPr>
                <w:rFonts w:cs="Arial"/>
              </w:rPr>
            </w:pPr>
            <w:r w:rsidRPr="0054030C">
              <w:t>≥</w:t>
            </w:r>
            <w:r>
              <w:t xml:space="preserve"> </w:t>
            </w:r>
            <w:r w:rsidRPr="0054030C">
              <w:t>8</w:t>
            </w:r>
            <w:r w:rsidR="000F1508">
              <w:t>3</w:t>
            </w:r>
            <w:r w:rsidRPr="0054030C">
              <w:t>%</w:t>
            </w:r>
          </w:p>
        </w:tc>
      </w:tr>
      <w:tr w:rsidR="002B4ABD" w:rsidRPr="0098470E" w14:paraId="1D78C118" w14:textId="77777777" w:rsidTr="002B4ABD">
        <w:trPr>
          <w:cantSplit/>
        </w:trPr>
        <w:tc>
          <w:tcPr>
            <w:tcW w:w="2552" w:type="dxa"/>
          </w:tcPr>
          <w:p w14:paraId="4161F0E3" w14:textId="77777777" w:rsidR="002B4ABD" w:rsidRPr="0098470E" w:rsidRDefault="002B4ABD" w:rsidP="00603215">
            <w:pPr>
              <w:pStyle w:val="DHHStabletext"/>
            </w:pPr>
            <w:r w:rsidRPr="0098470E">
              <w:t>Achievement</w:t>
            </w:r>
          </w:p>
        </w:tc>
        <w:tc>
          <w:tcPr>
            <w:tcW w:w="6747" w:type="dxa"/>
          </w:tcPr>
          <w:p w14:paraId="6D51EFE9" w14:textId="77777777" w:rsidR="002B4ABD" w:rsidRPr="0098470E" w:rsidRDefault="002B4ABD" w:rsidP="00660D47">
            <w:pPr>
              <w:pStyle w:val="DHHStabletext92mmtab"/>
            </w:pPr>
            <w:r w:rsidRPr="0098470E">
              <w:t>Equal to or above 8</w:t>
            </w:r>
            <w:r>
              <w:t>3</w:t>
            </w:r>
            <w:r w:rsidRPr="0098470E">
              <w:t>%</w:t>
            </w:r>
            <w:r>
              <w:tab/>
              <w:t>Achieved</w:t>
            </w:r>
          </w:p>
          <w:p w14:paraId="212EDA48" w14:textId="7B6DBE25" w:rsidR="002B4ABD" w:rsidRPr="0098470E" w:rsidRDefault="002B4ABD" w:rsidP="00660D47">
            <w:pPr>
              <w:pStyle w:val="DHHStabletext92mmtab"/>
            </w:pPr>
            <w:r w:rsidRPr="0098470E">
              <w:t>Below 8</w:t>
            </w:r>
            <w:r>
              <w:t>3</w:t>
            </w:r>
            <w:r w:rsidRPr="0098470E">
              <w:t>%</w:t>
            </w:r>
            <w:r>
              <w:tab/>
              <w:t>Not achieved</w:t>
            </w:r>
          </w:p>
        </w:tc>
      </w:tr>
      <w:tr w:rsidR="00921922" w:rsidRPr="0098470E" w14:paraId="174DF6C8" w14:textId="77777777" w:rsidTr="00B20669">
        <w:trPr>
          <w:cantSplit/>
        </w:trPr>
        <w:tc>
          <w:tcPr>
            <w:tcW w:w="2552" w:type="dxa"/>
          </w:tcPr>
          <w:p w14:paraId="2E406B2F" w14:textId="77777777" w:rsidR="00921922" w:rsidRPr="0098470E" w:rsidRDefault="00921922" w:rsidP="00603215">
            <w:pPr>
              <w:pStyle w:val="DHHStabletext"/>
            </w:pPr>
            <w:r>
              <w:t xml:space="preserve">Improvement </w:t>
            </w:r>
          </w:p>
        </w:tc>
        <w:tc>
          <w:tcPr>
            <w:tcW w:w="6747" w:type="dxa"/>
          </w:tcPr>
          <w:p w14:paraId="785CB30D" w14:textId="7003F365" w:rsidR="00921922" w:rsidRPr="0098470E" w:rsidRDefault="00921922" w:rsidP="00603215">
            <w:pPr>
              <w:pStyle w:val="DHHStabletext"/>
            </w:pPr>
            <w:r>
              <w:t>For the purpose of the performance risk assessment, i</w:t>
            </w:r>
            <w:r w:rsidRPr="0098470E">
              <w:t xml:space="preserve">mprovement is compared to previous </w:t>
            </w:r>
            <w:r w:rsidR="00F561A2">
              <w:t>audit</w:t>
            </w:r>
            <w:r w:rsidR="00F561A2" w:rsidRPr="0098470E">
              <w:t xml:space="preserve"> </w:t>
            </w:r>
            <w:r w:rsidRPr="0098470E">
              <w:t>period.</w:t>
            </w:r>
          </w:p>
        </w:tc>
      </w:tr>
      <w:tr w:rsidR="00921922" w:rsidRPr="0098470E" w14:paraId="432BE3E4" w14:textId="77777777" w:rsidTr="00B20669">
        <w:trPr>
          <w:cantSplit/>
        </w:trPr>
        <w:tc>
          <w:tcPr>
            <w:tcW w:w="2552" w:type="dxa"/>
            <w:hideMark/>
          </w:tcPr>
          <w:p w14:paraId="25011047" w14:textId="77777777" w:rsidR="00921922" w:rsidRPr="0098470E" w:rsidRDefault="00921922" w:rsidP="00603215">
            <w:pPr>
              <w:pStyle w:val="DHHStabletext"/>
            </w:pPr>
            <w:r w:rsidRPr="0098470E">
              <w:t>Frequency of reporting and data collection</w:t>
            </w:r>
          </w:p>
        </w:tc>
        <w:tc>
          <w:tcPr>
            <w:tcW w:w="6747" w:type="dxa"/>
            <w:hideMark/>
          </w:tcPr>
          <w:p w14:paraId="34DA416B" w14:textId="77777777" w:rsidR="00921922" w:rsidRPr="0098470E" w:rsidRDefault="00921922" w:rsidP="00603215">
            <w:pPr>
              <w:pStyle w:val="DHHStabletext"/>
            </w:pPr>
            <w:r w:rsidRPr="0098470E">
              <w:t>Data is collected at the campus level and used to produce an aggregated health service result.</w:t>
            </w:r>
          </w:p>
          <w:p w14:paraId="340C869B" w14:textId="77777777" w:rsidR="00921922" w:rsidRPr="0098470E" w:rsidRDefault="00921922" w:rsidP="00603215">
            <w:pPr>
              <w:pStyle w:val="DHHStabletext"/>
            </w:pPr>
            <w:r w:rsidRPr="0098470E">
              <w:t>Hand hygiene compliance data is submitted to HHA throughout the year, and VICNISS creates reports for the three audit periods:</w:t>
            </w:r>
          </w:p>
          <w:p w14:paraId="5F94AEE4" w14:textId="77777777" w:rsidR="00921922" w:rsidRPr="0098470E" w:rsidRDefault="00921922" w:rsidP="00603215">
            <w:pPr>
              <w:pStyle w:val="DHHStablebullet1"/>
            </w:pPr>
            <w:r w:rsidRPr="0098470E">
              <w:t>1 July to 31 October (reported with quarter 2)</w:t>
            </w:r>
          </w:p>
          <w:p w14:paraId="66063EB6" w14:textId="77777777" w:rsidR="00921922" w:rsidRPr="0098470E" w:rsidRDefault="00921922" w:rsidP="00603215">
            <w:pPr>
              <w:pStyle w:val="DHHStablebullet1"/>
            </w:pPr>
            <w:r w:rsidRPr="0098470E">
              <w:t>1 November to 31 March (reported with quarter 3)</w:t>
            </w:r>
          </w:p>
          <w:p w14:paraId="18A0BCD0" w14:textId="77777777" w:rsidR="00921922" w:rsidRPr="0098470E" w:rsidRDefault="00921922" w:rsidP="00603215">
            <w:pPr>
              <w:pStyle w:val="DHHStablebullet1"/>
            </w:pPr>
            <w:r w:rsidRPr="0098470E">
              <w:t>1 April to 30 June (reported with quarter 4).</w:t>
            </w:r>
          </w:p>
          <w:p w14:paraId="6978323B" w14:textId="0C324A98" w:rsidR="00921922" w:rsidRPr="0098470E" w:rsidRDefault="00921922" w:rsidP="00603215">
            <w:pPr>
              <w:pStyle w:val="DHHStabletext"/>
            </w:pPr>
            <w:r w:rsidRPr="0098470E">
              <w:t xml:space="preserve">Where a campus fails to submit the required number of moments in an audit period </w:t>
            </w:r>
            <w:r>
              <w:t>the measure is deemed not met.</w:t>
            </w:r>
          </w:p>
        </w:tc>
      </w:tr>
    </w:tbl>
    <w:p w14:paraId="05D26F3C" w14:textId="38995958" w:rsidR="00921922" w:rsidRPr="00961723" w:rsidRDefault="00961723" w:rsidP="00961723">
      <w:pPr>
        <w:pStyle w:val="DHHStablecaption"/>
      </w:pPr>
      <w:r>
        <w:lastRenderedPageBreak/>
        <w:t xml:space="preserve">Indicator: </w:t>
      </w:r>
      <w:r w:rsidR="00B20669" w:rsidRPr="0098470E">
        <w:t>Percentage of healthcare workers immunised for influenza</w:t>
      </w:r>
    </w:p>
    <w:tbl>
      <w:tblPr>
        <w:tblStyle w:val="TableGrid"/>
        <w:tblW w:w="9299" w:type="dxa"/>
        <w:tblLook w:val="06A0" w:firstRow="1" w:lastRow="0" w:firstColumn="1" w:lastColumn="0" w:noHBand="1" w:noVBand="1"/>
      </w:tblPr>
      <w:tblGrid>
        <w:gridCol w:w="2552"/>
        <w:gridCol w:w="6747"/>
      </w:tblGrid>
      <w:tr w:rsidR="00D97737" w:rsidRPr="0098470E" w14:paraId="325C3C5B" w14:textId="77777777" w:rsidTr="00B20669">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7501F642" w14:textId="704B38D3" w:rsidR="00D97737" w:rsidRPr="0098470E" w:rsidRDefault="00D97737" w:rsidP="00D97737">
            <w:pPr>
              <w:pStyle w:val="DHHStablecolhead"/>
            </w:pPr>
            <w:r>
              <w:t>Element</w:t>
            </w:r>
          </w:p>
        </w:tc>
        <w:tc>
          <w:tcPr>
            <w:tcW w:w="0" w:type="auto"/>
          </w:tcPr>
          <w:p w14:paraId="67513B49" w14:textId="10C314D6" w:rsidR="00D97737" w:rsidRPr="0098470E" w:rsidRDefault="00D97737" w:rsidP="00D97737">
            <w:pPr>
              <w:pStyle w:val="DHHStablecolhead"/>
            </w:pPr>
            <w:r>
              <w:t>Details</w:t>
            </w:r>
          </w:p>
        </w:tc>
      </w:tr>
      <w:tr w:rsidR="00921922" w:rsidRPr="0098470E" w14:paraId="5F5F1382" w14:textId="77777777" w:rsidTr="00B20669">
        <w:trPr>
          <w:cantSplit/>
        </w:trPr>
        <w:tc>
          <w:tcPr>
            <w:tcW w:w="2552" w:type="dxa"/>
            <w:hideMark/>
          </w:tcPr>
          <w:p w14:paraId="17844AEC" w14:textId="77777777" w:rsidR="00921922" w:rsidRPr="0098470E" w:rsidRDefault="00921922" w:rsidP="00603215">
            <w:pPr>
              <w:pStyle w:val="DHHStabletext"/>
            </w:pPr>
            <w:r w:rsidRPr="0098470E">
              <w:t>Description</w:t>
            </w:r>
          </w:p>
        </w:tc>
        <w:tc>
          <w:tcPr>
            <w:tcW w:w="6747" w:type="dxa"/>
            <w:hideMark/>
          </w:tcPr>
          <w:p w14:paraId="493B0DBC" w14:textId="77777777" w:rsidR="00921922" w:rsidRPr="0098470E" w:rsidRDefault="00921922" w:rsidP="00603215">
            <w:pPr>
              <w:pStyle w:val="DHHStabletext"/>
            </w:pPr>
            <w:r w:rsidRPr="0098470E">
              <w:t>High coverage rates of immunisation in healthcare workers (HCW) are essential to reduce the risk of influenza transmission in healthcare settings.</w:t>
            </w:r>
          </w:p>
          <w:p w14:paraId="798AC281" w14:textId="77777777" w:rsidR="00921922" w:rsidRPr="0098470E" w:rsidRDefault="00921922" w:rsidP="00603215">
            <w:pPr>
              <w:pStyle w:val="DHHStabletext"/>
            </w:pPr>
            <w:r w:rsidRPr="0098470E">
              <w:t xml:space="preserve">This indicator aims to measure the percentage of vaccinated health service staff </w:t>
            </w:r>
            <w:r>
              <w:t xml:space="preserve">(including residential aged care services and community health staff) </w:t>
            </w:r>
            <w:r w:rsidRPr="0098470E">
              <w:t>who are permanently, temporarily or casually (bank staff) employed by the nominated hospital / health service and worked one or more shifts during the influenza vaccination campaign.</w:t>
            </w:r>
          </w:p>
          <w:p w14:paraId="5B54CD91" w14:textId="37E25EE0" w:rsidR="00921922" w:rsidRPr="0098470E" w:rsidRDefault="00921922" w:rsidP="00603215">
            <w:pPr>
              <w:pStyle w:val="DHHStabletext"/>
            </w:pPr>
            <w:r w:rsidRPr="0098470E">
              <w:t xml:space="preserve">The HCW categories used are aligned with the Australian Council on Safety and Quality in Health Care (ACSQHC) </w:t>
            </w:r>
            <w:r w:rsidRPr="0098470E">
              <w:rPr>
                <w:i/>
              </w:rPr>
              <w:t>Australian guidelines for prevention and control of infection in healthcare</w:t>
            </w:r>
            <w:r w:rsidRPr="0098470E">
              <w:t>. Details can be found at</w:t>
            </w:r>
            <w:r>
              <w:t xml:space="preserve"> </w:t>
            </w:r>
            <w:hyperlink r:id="rId18" w:history="1">
              <w:r w:rsidRPr="00A15D08">
                <w:rPr>
                  <w:rStyle w:val="Hyperlink"/>
                </w:rPr>
                <w:t>VICNISS</w:t>
              </w:r>
            </w:hyperlink>
            <w:r w:rsidRPr="0098470E">
              <w:t xml:space="preserve"> &lt;</w:t>
            </w:r>
            <w:r w:rsidRPr="00E161C0">
              <w:t>http://www.vicniss.org.au</w:t>
            </w:r>
            <w:r w:rsidRPr="00A15D08">
              <w:rPr>
                <w:color w:val="000000" w:themeColor="text1"/>
              </w:rPr>
              <w:t>&gt;.</w:t>
            </w:r>
          </w:p>
        </w:tc>
      </w:tr>
      <w:tr w:rsidR="00921922" w:rsidRPr="0098470E" w14:paraId="513CAF66" w14:textId="77777777" w:rsidTr="00B20669">
        <w:trPr>
          <w:cantSplit/>
        </w:trPr>
        <w:tc>
          <w:tcPr>
            <w:tcW w:w="2552" w:type="dxa"/>
            <w:hideMark/>
          </w:tcPr>
          <w:p w14:paraId="5D7C4847" w14:textId="77777777" w:rsidR="00921922" w:rsidRPr="0098470E" w:rsidRDefault="00921922" w:rsidP="00603215">
            <w:pPr>
              <w:pStyle w:val="DHHStabletext"/>
            </w:pPr>
            <w:r w:rsidRPr="0098470E">
              <w:t>Calculating performance</w:t>
            </w:r>
          </w:p>
        </w:tc>
        <w:tc>
          <w:tcPr>
            <w:tcW w:w="6747" w:type="dxa"/>
            <w:hideMark/>
          </w:tcPr>
          <w:p w14:paraId="03EDB4C6" w14:textId="255D4C94" w:rsidR="00921922" w:rsidRPr="0098470E" w:rsidRDefault="00921922" w:rsidP="00603215">
            <w:pPr>
              <w:pStyle w:val="DHHStabletext"/>
            </w:pPr>
            <w:r w:rsidRPr="0098470E">
              <w:t>The period used to calculate th</w:t>
            </w:r>
            <w:r>
              <w:t>e rate of HCW immunisation is 1</w:t>
            </w:r>
            <w:r w:rsidR="00E174E0">
              <w:t>5</w:t>
            </w:r>
            <w:r>
              <w:t xml:space="preserve"> April to </w:t>
            </w:r>
            <w:r w:rsidR="0063676C">
              <w:t>2</w:t>
            </w:r>
            <w:r w:rsidRPr="0098470E">
              <w:t xml:space="preserve"> August</w:t>
            </w:r>
            <w:r w:rsidR="0063676C">
              <w:t xml:space="preserve"> 2019</w:t>
            </w:r>
            <w:r w:rsidR="00CD365D">
              <w:t>.</w:t>
            </w:r>
            <w:r w:rsidRPr="0098470E">
              <w:t xml:space="preserve"> </w:t>
            </w:r>
          </w:p>
        </w:tc>
      </w:tr>
      <w:tr w:rsidR="00921922" w:rsidRPr="0098470E" w14:paraId="6326A67E" w14:textId="77777777" w:rsidTr="00B20669">
        <w:trPr>
          <w:cantSplit/>
        </w:trPr>
        <w:tc>
          <w:tcPr>
            <w:tcW w:w="2552" w:type="dxa"/>
            <w:hideMark/>
          </w:tcPr>
          <w:p w14:paraId="2021C0FC" w14:textId="77777777" w:rsidR="00921922" w:rsidRPr="0098470E" w:rsidRDefault="00921922" w:rsidP="00603215">
            <w:pPr>
              <w:pStyle w:val="DHHStabletext"/>
            </w:pPr>
            <w:r w:rsidRPr="0098470E">
              <w:t>Numerator</w:t>
            </w:r>
          </w:p>
        </w:tc>
        <w:tc>
          <w:tcPr>
            <w:tcW w:w="6747" w:type="dxa"/>
            <w:hideMark/>
          </w:tcPr>
          <w:p w14:paraId="49F550B9" w14:textId="3585A637" w:rsidR="00921922" w:rsidRPr="0098470E" w:rsidRDefault="00921922" w:rsidP="00603215">
            <w:pPr>
              <w:pStyle w:val="DHHStabletext"/>
            </w:pPr>
            <w:r w:rsidRPr="0098470E">
              <w:t>Number of category A, B and C HCW vaccina</w:t>
            </w:r>
            <w:r>
              <w:t xml:space="preserve">ted as at </w:t>
            </w:r>
            <w:r w:rsidR="0027244A">
              <w:t>2</w:t>
            </w:r>
            <w:r>
              <w:t xml:space="preserve"> August</w:t>
            </w:r>
            <w:r w:rsidRPr="0098470E">
              <w:t>.</w:t>
            </w:r>
          </w:p>
        </w:tc>
      </w:tr>
      <w:tr w:rsidR="00921922" w:rsidRPr="0098470E" w14:paraId="7FEA3428" w14:textId="77777777" w:rsidTr="00B20669">
        <w:trPr>
          <w:cantSplit/>
        </w:trPr>
        <w:tc>
          <w:tcPr>
            <w:tcW w:w="2552" w:type="dxa"/>
            <w:hideMark/>
          </w:tcPr>
          <w:p w14:paraId="5CCE0F15" w14:textId="77777777" w:rsidR="00921922" w:rsidRPr="0098470E" w:rsidRDefault="00921922" w:rsidP="00603215">
            <w:pPr>
              <w:pStyle w:val="DHHStabletext"/>
            </w:pPr>
            <w:r w:rsidRPr="0098470E">
              <w:t>Denominator</w:t>
            </w:r>
          </w:p>
        </w:tc>
        <w:tc>
          <w:tcPr>
            <w:tcW w:w="6747" w:type="dxa"/>
            <w:hideMark/>
          </w:tcPr>
          <w:p w14:paraId="68257444" w14:textId="1A6BAB7C" w:rsidR="00921922" w:rsidRPr="0098470E" w:rsidRDefault="00921922" w:rsidP="00603215">
            <w:pPr>
              <w:pStyle w:val="DHHStabletext"/>
            </w:pPr>
            <w:r w:rsidRPr="0098470E">
              <w:t xml:space="preserve">Number of category </w:t>
            </w:r>
            <w:r>
              <w:t xml:space="preserve">A, B and C HCW employed as at </w:t>
            </w:r>
            <w:r w:rsidR="0027244A">
              <w:t>2</w:t>
            </w:r>
            <w:r w:rsidRPr="0098470E">
              <w:t xml:space="preserve"> August who worked one or more shifts during the in</w:t>
            </w:r>
            <w:r>
              <w:t>fluenza vaccination campaign (1</w:t>
            </w:r>
            <w:r w:rsidR="0027244A">
              <w:t>5</w:t>
            </w:r>
            <w:r>
              <w:t xml:space="preserve"> April to </w:t>
            </w:r>
            <w:r w:rsidR="0027244A">
              <w:t>2</w:t>
            </w:r>
            <w:r>
              <w:t xml:space="preserve"> </w:t>
            </w:r>
            <w:r w:rsidRPr="0098470E">
              <w:t>August)</w:t>
            </w:r>
            <w:r>
              <w:t>.</w:t>
            </w:r>
          </w:p>
        </w:tc>
      </w:tr>
      <w:tr w:rsidR="00921922" w:rsidRPr="0098470E" w14:paraId="220C1B65" w14:textId="77777777" w:rsidTr="00B20669">
        <w:trPr>
          <w:cantSplit/>
        </w:trPr>
        <w:tc>
          <w:tcPr>
            <w:tcW w:w="2552" w:type="dxa"/>
            <w:hideMark/>
          </w:tcPr>
          <w:p w14:paraId="56DFF278" w14:textId="77777777" w:rsidR="00921922" w:rsidRPr="0098470E" w:rsidRDefault="00921922" w:rsidP="00603215">
            <w:pPr>
              <w:pStyle w:val="DHHStabletext"/>
            </w:pPr>
            <w:r w:rsidRPr="0098470E">
              <w:t>Statewide target</w:t>
            </w:r>
          </w:p>
        </w:tc>
        <w:tc>
          <w:tcPr>
            <w:tcW w:w="6747" w:type="dxa"/>
            <w:hideMark/>
          </w:tcPr>
          <w:p w14:paraId="6865BCE2" w14:textId="6A69DC11" w:rsidR="00921922" w:rsidRPr="0054030C" w:rsidRDefault="00921922" w:rsidP="00603215">
            <w:pPr>
              <w:pStyle w:val="DHHStabletext"/>
              <w:rPr>
                <w:rFonts w:cs="Arial"/>
              </w:rPr>
            </w:pPr>
            <w:r w:rsidRPr="0054030C">
              <w:t>≥</w:t>
            </w:r>
            <w:r>
              <w:t xml:space="preserve"> 8</w:t>
            </w:r>
            <w:r w:rsidR="003A0118">
              <w:t>4</w:t>
            </w:r>
            <w:r w:rsidRPr="0054030C">
              <w:t>%</w:t>
            </w:r>
          </w:p>
        </w:tc>
      </w:tr>
      <w:tr w:rsidR="002B4ABD" w:rsidRPr="0098470E" w14:paraId="6B00CFF2" w14:textId="77777777" w:rsidTr="002B4ABD">
        <w:trPr>
          <w:cantSplit/>
        </w:trPr>
        <w:tc>
          <w:tcPr>
            <w:tcW w:w="2552" w:type="dxa"/>
          </w:tcPr>
          <w:p w14:paraId="4583BDBE" w14:textId="77777777" w:rsidR="002B4ABD" w:rsidRPr="0098470E" w:rsidRDefault="002B4ABD" w:rsidP="00603215">
            <w:pPr>
              <w:pStyle w:val="DHHStabletext"/>
            </w:pPr>
            <w:r w:rsidRPr="0098470E">
              <w:t xml:space="preserve">Achievement </w:t>
            </w:r>
          </w:p>
        </w:tc>
        <w:tc>
          <w:tcPr>
            <w:tcW w:w="6747" w:type="dxa"/>
          </w:tcPr>
          <w:p w14:paraId="1547462B" w14:textId="77777777" w:rsidR="002B4ABD" w:rsidRPr="0098470E" w:rsidRDefault="002B4ABD" w:rsidP="00660D47">
            <w:pPr>
              <w:pStyle w:val="DHHStabletext92mmtab"/>
            </w:pPr>
            <w:r w:rsidRPr="0098470E">
              <w:t xml:space="preserve">Equal to or above </w:t>
            </w:r>
            <w:r>
              <w:t>84</w:t>
            </w:r>
            <w:r w:rsidRPr="0098470E">
              <w:t>%</w:t>
            </w:r>
            <w:r>
              <w:tab/>
              <w:t>Achieved</w:t>
            </w:r>
          </w:p>
          <w:p w14:paraId="776EA6C5" w14:textId="6A5BA454" w:rsidR="002B4ABD" w:rsidRPr="0098470E" w:rsidRDefault="002B4ABD" w:rsidP="00660D47">
            <w:pPr>
              <w:pStyle w:val="DHHStabletext92mmtab"/>
            </w:pPr>
            <w:r w:rsidRPr="0098470E">
              <w:t xml:space="preserve">Below </w:t>
            </w:r>
            <w:r>
              <w:t>84</w:t>
            </w:r>
            <w:r w:rsidRPr="0098470E">
              <w:t>%</w:t>
            </w:r>
            <w:r>
              <w:tab/>
              <w:t>Not achieved</w:t>
            </w:r>
          </w:p>
        </w:tc>
      </w:tr>
      <w:tr w:rsidR="00921922" w:rsidRPr="0098470E" w14:paraId="26222765" w14:textId="77777777" w:rsidTr="00B20669">
        <w:trPr>
          <w:cantSplit/>
        </w:trPr>
        <w:tc>
          <w:tcPr>
            <w:tcW w:w="2552" w:type="dxa"/>
          </w:tcPr>
          <w:p w14:paraId="1477AA5C" w14:textId="77777777" w:rsidR="00921922" w:rsidRPr="0098470E" w:rsidRDefault="00921922" w:rsidP="00603215">
            <w:pPr>
              <w:pStyle w:val="DHHStabletext"/>
            </w:pPr>
            <w:r>
              <w:t>Improvement</w:t>
            </w:r>
          </w:p>
        </w:tc>
        <w:tc>
          <w:tcPr>
            <w:tcW w:w="6747" w:type="dxa"/>
          </w:tcPr>
          <w:p w14:paraId="4DCF55FA" w14:textId="7B707730" w:rsidR="00921922" w:rsidRDefault="00921922" w:rsidP="00603215">
            <w:pPr>
              <w:pStyle w:val="DHHStabletext"/>
            </w:pPr>
            <w:r w:rsidRPr="002B793A">
              <w:t>For the purpose of the performance risk assessment</w:t>
            </w:r>
            <w:r w:rsidR="00A6731D">
              <w:t>,</w:t>
            </w:r>
            <w:r w:rsidRPr="002B793A">
              <w:t xml:space="preserve"> improvement is assessed against the</w:t>
            </w:r>
            <w:r>
              <w:t xml:space="preserve"> previous year performance.</w:t>
            </w:r>
          </w:p>
        </w:tc>
      </w:tr>
      <w:tr w:rsidR="00921922" w:rsidRPr="0098470E" w14:paraId="32A03C48" w14:textId="77777777" w:rsidTr="00B20669">
        <w:trPr>
          <w:cantSplit/>
        </w:trPr>
        <w:tc>
          <w:tcPr>
            <w:tcW w:w="2552" w:type="dxa"/>
            <w:hideMark/>
          </w:tcPr>
          <w:p w14:paraId="074E23CA" w14:textId="77777777" w:rsidR="00921922" w:rsidRPr="0098470E" w:rsidRDefault="00921922" w:rsidP="00603215">
            <w:pPr>
              <w:pStyle w:val="DHHStabletext"/>
            </w:pPr>
            <w:r w:rsidRPr="0098470E">
              <w:t>Frequency of reporting and data collection</w:t>
            </w:r>
          </w:p>
        </w:tc>
        <w:tc>
          <w:tcPr>
            <w:tcW w:w="6747" w:type="dxa"/>
            <w:hideMark/>
          </w:tcPr>
          <w:p w14:paraId="5BBFA48B" w14:textId="3ECB227D" w:rsidR="00921922" w:rsidRPr="0098470E" w:rsidRDefault="00921922" w:rsidP="00603215">
            <w:pPr>
              <w:pStyle w:val="DHHStabletext"/>
            </w:pPr>
            <w:r w:rsidRPr="0098470E">
              <w:t xml:space="preserve">Data on vaccination rates must be submitted to VICNISS by </w:t>
            </w:r>
            <w:r>
              <w:t>1</w:t>
            </w:r>
            <w:r w:rsidR="001E0EA3">
              <w:t>6</w:t>
            </w:r>
            <w:r>
              <w:t xml:space="preserve"> </w:t>
            </w:r>
            <w:r w:rsidR="001E0EA3">
              <w:t>August 2019</w:t>
            </w:r>
            <w:r w:rsidRPr="0098470E">
              <w:t>. If possible, data should be submitted by HCW category.</w:t>
            </w:r>
          </w:p>
          <w:p w14:paraId="6218501F" w14:textId="77777777" w:rsidR="00921922" w:rsidRDefault="00921922" w:rsidP="00603215">
            <w:pPr>
              <w:pStyle w:val="DHHStabletext"/>
            </w:pPr>
            <w:r w:rsidRPr="0098470E">
              <w:t xml:space="preserve">Where data is not submitted, the measure is deemed as not achieved. </w:t>
            </w:r>
          </w:p>
          <w:p w14:paraId="59C6971E" w14:textId="7D965B1C" w:rsidR="00921922" w:rsidRPr="0098470E" w:rsidRDefault="00921922" w:rsidP="00603215">
            <w:pPr>
              <w:pStyle w:val="DHHStabletext"/>
            </w:pPr>
            <w:r w:rsidRPr="0098470E">
              <w:t>Performance is m</w:t>
            </w:r>
            <w:r>
              <w:t xml:space="preserve">onitored and reported </w:t>
            </w:r>
            <w:r w:rsidR="002B6BE7">
              <w:t xml:space="preserve">annually </w:t>
            </w:r>
            <w:r>
              <w:t>in Q1.</w:t>
            </w:r>
          </w:p>
        </w:tc>
      </w:tr>
    </w:tbl>
    <w:p w14:paraId="48355C97" w14:textId="77777777" w:rsidR="00921922" w:rsidRPr="00660D47" w:rsidRDefault="00921922" w:rsidP="00660D47">
      <w:pPr>
        <w:pStyle w:val="DHHSbody"/>
      </w:pPr>
      <w:r w:rsidRPr="00660D47">
        <w:br w:type="page"/>
      </w:r>
    </w:p>
    <w:p w14:paraId="48B93D32" w14:textId="62607F69" w:rsidR="00553CE8" w:rsidRPr="00553CE8" w:rsidRDefault="00921922" w:rsidP="00141749">
      <w:pPr>
        <w:pStyle w:val="Heading4"/>
      </w:pPr>
      <w:bookmarkStart w:id="61" w:name="_Toc517959126"/>
      <w:bookmarkStart w:id="62" w:name="_Toc15580079"/>
      <w:r>
        <w:lastRenderedPageBreak/>
        <w:t>Patient experience</w:t>
      </w:r>
      <w:bookmarkEnd w:id="61"/>
      <w:bookmarkEnd w:id="62"/>
    </w:p>
    <w:tbl>
      <w:tblPr>
        <w:tblStyle w:val="TableGrid"/>
        <w:tblW w:w="9300" w:type="dxa"/>
        <w:tblLayout w:type="fixed"/>
        <w:tblLook w:val="06A0" w:firstRow="1" w:lastRow="0" w:firstColumn="1" w:lastColumn="0" w:noHBand="1" w:noVBand="1"/>
      </w:tblPr>
      <w:tblGrid>
        <w:gridCol w:w="2552"/>
        <w:gridCol w:w="6748"/>
      </w:tblGrid>
      <w:tr w:rsidR="00B20669" w:rsidRPr="0098470E" w14:paraId="44590738" w14:textId="77777777" w:rsidTr="00B20669">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6F8FBD4B" w14:textId="061427CE" w:rsidR="00B20669" w:rsidRDefault="00883FA1" w:rsidP="00883FA1">
            <w:pPr>
              <w:pStyle w:val="DHHStablecolhead"/>
            </w:pPr>
            <w:r>
              <w:t>Element</w:t>
            </w:r>
          </w:p>
        </w:tc>
        <w:tc>
          <w:tcPr>
            <w:tcW w:w="6748" w:type="dxa"/>
          </w:tcPr>
          <w:p w14:paraId="785DDFA0" w14:textId="796E01CD" w:rsidR="00B20669" w:rsidRPr="0098470E" w:rsidRDefault="00883FA1" w:rsidP="00883FA1">
            <w:pPr>
              <w:pStyle w:val="DHHStablecolhead"/>
            </w:pPr>
            <w:r>
              <w:t>Details</w:t>
            </w:r>
          </w:p>
        </w:tc>
      </w:tr>
      <w:tr w:rsidR="00921922" w:rsidRPr="0098470E" w14:paraId="46AA7263" w14:textId="77777777" w:rsidTr="00B20669">
        <w:trPr>
          <w:cantSplit/>
        </w:trPr>
        <w:tc>
          <w:tcPr>
            <w:tcW w:w="2552" w:type="dxa"/>
          </w:tcPr>
          <w:p w14:paraId="747C9D67" w14:textId="77777777" w:rsidR="00921922" w:rsidRPr="0098470E" w:rsidRDefault="00921922" w:rsidP="00603215">
            <w:pPr>
              <w:pStyle w:val="DHHStabletext"/>
            </w:pPr>
            <w:bookmarkStart w:id="63" w:name="_Hlk12352042"/>
            <w:r>
              <w:t>Description</w:t>
            </w:r>
          </w:p>
        </w:tc>
        <w:tc>
          <w:tcPr>
            <w:tcW w:w="6748" w:type="dxa"/>
          </w:tcPr>
          <w:p w14:paraId="6BAF7F10" w14:textId="77777777" w:rsidR="00921922" w:rsidRPr="0098470E" w:rsidRDefault="00921922" w:rsidP="00603215">
            <w:pPr>
              <w:pStyle w:val="DHHStabletext"/>
            </w:pPr>
            <w:r w:rsidRPr="0098470E">
              <w:t>The Victorian healthcare experience survey (VHES) has been implemented in Victorian health services as a survey measuring</w:t>
            </w:r>
            <w:r>
              <w:t xml:space="preserve"> patient experience since 2014.</w:t>
            </w:r>
          </w:p>
        </w:tc>
      </w:tr>
      <w:tr w:rsidR="00921922" w:rsidRPr="0098470E" w14:paraId="7563BD49" w14:textId="77777777" w:rsidTr="00B20669">
        <w:trPr>
          <w:cantSplit/>
        </w:trPr>
        <w:tc>
          <w:tcPr>
            <w:tcW w:w="2552" w:type="dxa"/>
            <w:hideMark/>
          </w:tcPr>
          <w:p w14:paraId="13F31742" w14:textId="77777777" w:rsidR="00921922" w:rsidRPr="0098470E" w:rsidRDefault="00921922" w:rsidP="00603215">
            <w:pPr>
              <w:pStyle w:val="DHHStabletext"/>
            </w:pPr>
            <w:r w:rsidRPr="0098470E">
              <w:t>Calculating performance for all questions</w:t>
            </w:r>
          </w:p>
        </w:tc>
        <w:tc>
          <w:tcPr>
            <w:tcW w:w="6748" w:type="dxa"/>
            <w:hideMark/>
          </w:tcPr>
          <w:p w14:paraId="04EC81E3" w14:textId="77777777" w:rsidR="004C5BA8" w:rsidRPr="0098470E" w:rsidRDefault="004C5BA8" w:rsidP="004C5BA8">
            <w:pPr>
              <w:pStyle w:val="DHHStabletext"/>
            </w:pPr>
            <w:r w:rsidRPr="0098470E">
              <w:t>Indicators are measured at the health service level and mandatory participation is based on health services providing timely patient data to the contractor to enable surveying.</w:t>
            </w:r>
          </w:p>
          <w:p w14:paraId="003FA73A" w14:textId="30930BB1" w:rsidR="004C5BA8" w:rsidRPr="0098470E" w:rsidRDefault="004C5BA8" w:rsidP="004C5BA8">
            <w:pPr>
              <w:pStyle w:val="DHHStabletext"/>
            </w:pPr>
            <w:r w:rsidRPr="0098470E">
              <w:t xml:space="preserve">Participation is based on health services </w:t>
            </w:r>
            <w:r>
              <w:t xml:space="preserve">providing </w:t>
            </w:r>
            <w:r w:rsidRPr="0098470E">
              <w:t>patient data issued to the contractor by the 15</w:t>
            </w:r>
            <w:r w:rsidR="004D25CC">
              <w:t>th</w:t>
            </w:r>
            <w:r w:rsidRPr="0098470E">
              <w:t xml:space="preserve"> of each month</w:t>
            </w:r>
            <w:r>
              <w:t xml:space="preserve"> and </w:t>
            </w:r>
            <w:r w:rsidRPr="0098470E">
              <w:t xml:space="preserve">at least </w:t>
            </w:r>
            <w:r>
              <w:t>30</w:t>
            </w:r>
            <w:r w:rsidRPr="0098470E">
              <w:t xml:space="preserve"> responses per quarter</w:t>
            </w:r>
            <w:r>
              <w:t xml:space="preserve"> being received</w:t>
            </w:r>
            <w:r w:rsidRPr="0098470E">
              <w:t xml:space="preserve"> to enable statistically significant analysis</w:t>
            </w:r>
            <w:r w:rsidR="005069A3">
              <w:t>.</w:t>
            </w:r>
            <w:r w:rsidRPr="0098470E">
              <w:t xml:space="preserve"> Where data is not submitted in time, the measure is deemed not met.</w:t>
            </w:r>
          </w:p>
          <w:p w14:paraId="24FF13AB" w14:textId="3579848F" w:rsidR="004C5BA8" w:rsidRPr="00BC6473" w:rsidRDefault="004C5BA8" w:rsidP="004C5BA8">
            <w:pPr>
              <w:pStyle w:val="DHHStabletext"/>
            </w:pPr>
            <w:r w:rsidRPr="0098470E">
              <w:t xml:space="preserve">Some small rural health services will not be able to achieve the minimum </w:t>
            </w:r>
            <w:r>
              <w:t>30</w:t>
            </w:r>
            <w:r w:rsidRPr="0098470E">
              <w:t xml:space="preserve"> response rate per quarter. Small rural health services that can meet the minimum </w:t>
            </w:r>
            <w:r>
              <w:t>30</w:t>
            </w:r>
            <w:r w:rsidRPr="0098470E">
              <w:t xml:space="preserve"> response rate as cumulative over the course of the year </w:t>
            </w:r>
            <w:r w:rsidRPr="00BC6473">
              <w:t xml:space="preserve">will have the actual results from the overall patient experience </w:t>
            </w:r>
            <w:r w:rsidR="00823E10">
              <w:t>reported annually</w:t>
            </w:r>
            <w:r w:rsidRPr="00BC6473">
              <w:t>.</w:t>
            </w:r>
          </w:p>
          <w:p w14:paraId="68A2586B" w14:textId="77777777" w:rsidR="004C5BA8" w:rsidRDefault="004C5BA8" w:rsidP="004C5BA8">
            <w:pPr>
              <w:pStyle w:val="DHHStabletext"/>
            </w:pPr>
            <w:r>
              <w:t xml:space="preserve">The ‘experience score’ is calculated by the survey contractor, </w:t>
            </w:r>
            <w:r>
              <w:rPr>
                <w:b/>
                <w:bCs/>
              </w:rPr>
              <w:t>from the respective survey</w:t>
            </w:r>
            <w:r>
              <w:t>, based on the positive response(s) to the identified questions from the VHES suite of information.</w:t>
            </w:r>
          </w:p>
          <w:p w14:paraId="5E18B850" w14:textId="3726EC2B" w:rsidR="00921922" w:rsidRPr="0098470E" w:rsidRDefault="004C5BA8" w:rsidP="004C5BA8">
            <w:pPr>
              <w:pStyle w:val="DHHStabletext"/>
            </w:pPr>
            <w:r w:rsidRPr="0098470E">
              <w:t>Health servi</w:t>
            </w:r>
            <w:r>
              <w:t>ce results analysed quarterly.</w:t>
            </w:r>
          </w:p>
        </w:tc>
      </w:tr>
      <w:tr w:rsidR="00921922" w:rsidRPr="0098470E" w14:paraId="1A635361" w14:textId="77777777" w:rsidTr="00B20669">
        <w:trPr>
          <w:cantSplit/>
        </w:trPr>
        <w:tc>
          <w:tcPr>
            <w:tcW w:w="2552" w:type="dxa"/>
            <w:hideMark/>
          </w:tcPr>
          <w:p w14:paraId="0E618CC3" w14:textId="77777777" w:rsidR="00921922" w:rsidRPr="0098470E" w:rsidRDefault="00921922" w:rsidP="00603215">
            <w:pPr>
              <w:pStyle w:val="DHHStabletext"/>
            </w:pPr>
            <w:r w:rsidRPr="0098470E">
              <w:t>Frequency of reporting and data collection</w:t>
            </w:r>
          </w:p>
        </w:tc>
        <w:tc>
          <w:tcPr>
            <w:tcW w:w="6748" w:type="dxa"/>
            <w:hideMark/>
          </w:tcPr>
          <w:p w14:paraId="4F61D667" w14:textId="2356E55E" w:rsidR="00921922" w:rsidRDefault="00921922" w:rsidP="00603215">
            <w:pPr>
              <w:pStyle w:val="DHHStabletext"/>
            </w:pPr>
            <w:r w:rsidRPr="0098470E">
              <w:t xml:space="preserve">Health services are required to submit the details of eligible patients to the survey contractor by </w:t>
            </w:r>
            <w:r w:rsidR="004D25CC">
              <w:t xml:space="preserve">the </w:t>
            </w:r>
            <w:r w:rsidRPr="0098470E">
              <w:t>15th of each month.</w:t>
            </w:r>
          </w:p>
          <w:p w14:paraId="776B04C8" w14:textId="77777777" w:rsidR="00921922" w:rsidRPr="0098470E" w:rsidRDefault="00921922" w:rsidP="00603215">
            <w:pPr>
              <w:pStyle w:val="DHHStabletext"/>
            </w:pPr>
            <w:r w:rsidRPr="0098470E">
              <w:t>Reported data is lagged by one quarter.</w:t>
            </w:r>
          </w:p>
          <w:p w14:paraId="5FA364EA" w14:textId="77777777" w:rsidR="00921922" w:rsidRPr="0098470E" w:rsidRDefault="00921922" w:rsidP="00603215">
            <w:pPr>
              <w:pStyle w:val="DHHStabletext"/>
            </w:pPr>
            <w:r w:rsidRPr="0098470E">
              <w:t>Data is supplied at campus level and reported quarterly at health service level.</w:t>
            </w:r>
          </w:p>
        </w:tc>
      </w:tr>
      <w:tr w:rsidR="00921922" w:rsidRPr="0098470E" w14:paraId="63BFD578" w14:textId="77777777" w:rsidTr="00B20669">
        <w:trPr>
          <w:cantSplit/>
        </w:trPr>
        <w:tc>
          <w:tcPr>
            <w:tcW w:w="2552" w:type="dxa"/>
          </w:tcPr>
          <w:p w14:paraId="6F827911" w14:textId="77777777" w:rsidR="00921922" w:rsidRPr="0098470E" w:rsidRDefault="00921922" w:rsidP="00603215">
            <w:pPr>
              <w:pStyle w:val="DHHStabletext"/>
            </w:pPr>
            <w:r>
              <w:t>Improvement</w:t>
            </w:r>
          </w:p>
        </w:tc>
        <w:tc>
          <w:tcPr>
            <w:tcW w:w="6748" w:type="dxa"/>
          </w:tcPr>
          <w:p w14:paraId="7B6B704B" w14:textId="46B25FFE" w:rsidR="00921922" w:rsidRPr="0098470E" w:rsidRDefault="00921922" w:rsidP="00603215">
            <w:pPr>
              <w:pStyle w:val="DHHStabletext"/>
            </w:pPr>
            <w:r>
              <w:t>For the purpose of the performance risk assessment</w:t>
            </w:r>
            <w:r w:rsidR="00C313E0">
              <w:t>,</w:t>
            </w:r>
            <w:r>
              <w:t xml:space="preserve"> improvement is assessed against the previous quarter performance</w:t>
            </w:r>
            <w:r w:rsidR="00404348">
              <w:t>.</w:t>
            </w:r>
          </w:p>
        </w:tc>
      </w:tr>
    </w:tbl>
    <w:p w14:paraId="3F25E7ED" w14:textId="66BAAD1B" w:rsidR="002C5759" w:rsidRDefault="00921922" w:rsidP="002C5759">
      <w:pPr>
        <w:pStyle w:val="Heading4"/>
      </w:pPr>
      <w:bookmarkStart w:id="64" w:name="_Toc15580080"/>
      <w:bookmarkEnd w:id="63"/>
      <w:r w:rsidRPr="0098470E">
        <w:t>Overall experience</w:t>
      </w:r>
      <w:bookmarkEnd w:id="64"/>
    </w:p>
    <w:p w14:paraId="228FE550" w14:textId="0BB29A30" w:rsidR="00961723" w:rsidRPr="00961723" w:rsidRDefault="00961723" w:rsidP="00961723">
      <w:pPr>
        <w:pStyle w:val="DHHStablecaption"/>
      </w:pPr>
      <w:r>
        <w:t xml:space="preserve">Indicator: </w:t>
      </w:r>
      <w:r w:rsidR="00883FA1" w:rsidRPr="0098470E">
        <w:t>Question 76</w:t>
      </w:r>
      <w:r w:rsidR="00A73E40">
        <w:t xml:space="preserve"> – </w:t>
      </w:r>
      <w:r w:rsidR="00883FA1" w:rsidRPr="0098470E">
        <w:t>Overall, how would you rate the care you received while in hospital?</w:t>
      </w:r>
    </w:p>
    <w:tbl>
      <w:tblPr>
        <w:tblStyle w:val="TableGrid"/>
        <w:tblW w:w="9299" w:type="dxa"/>
        <w:tblLook w:val="06A0" w:firstRow="1" w:lastRow="0" w:firstColumn="1" w:lastColumn="0" w:noHBand="1" w:noVBand="1"/>
      </w:tblPr>
      <w:tblGrid>
        <w:gridCol w:w="2530"/>
        <w:gridCol w:w="6769"/>
      </w:tblGrid>
      <w:tr w:rsidR="00D97737" w:rsidRPr="0098470E" w14:paraId="4271485A" w14:textId="77777777" w:rsidTr="00B34932">
        <w:trPr>
          <w:cnfStyle w:val="100000000000" w:firstRow="1" w:lastRow="0" w:firstColumn="0" w:lastColumn="0" w:oddVBand="0" w:evenVBand="0" w:oddHBand="0" w:evenHBand="0" w:firstRowFirstColumn="0" w:firstRowLastColumn="0" w:lastRowFirstColumn="0" w:lastRowLastColumn="0"/>
          <w:trHeight w:val="60"/>
          <w:tblHeader/>
        </w:trPr>
        <w:tc>
          <w:tcPr>
            <w:tcW w:w="2530" w:type="dxa"/>
          </w:tcPr>
          <w:p w14:paraId="2C3F37C8" w14:textId="6B3E950E" w:rsidR="00D97737" w:rsidRPr="0098470E" w:rsidRDefault="00D97737" w:rsidP="00D97737">
            <w:pPr>
              <w:pStyle w:val="DHHStablecolhead"/>
            </w:pPr>
            <w:r>
              <w:t>Element</w:t>
            </w:r>
          </w:p>
        </w:tc>
        <w:tc>
          <w:tcPr>
            <w:tcW w:w="6769" w:type="dxa"/>
          </w:tcPr>
          <w:p w14:paraId="104BAE7A" w14:textId="3BC2306E" w:rsidR="00D97737" w:rsidRPr="0098470E" w:rsidRDefault="00D97737" w:rsidP="00D97737">
            <w:pPr>
              <w:pStyle w:val="DHHStablecolhead"/>
            </w:pPr>
            <w:r>
              <w:t>Details</w:t>
            </w:r>
          </w:p>
        </w:tc>
      </w:tr>
      <w:tr w:rsidR="002C5759" w:rsidRPr="0098470E" w14:paraId="0D28E19F" w14:textId="77777777" w:rsidTr="00B34932">
        <w:trPr>
          <w:trHeight w:val="60"/>
        </w:trPr>
        <w:tc>
          <w:tcPr>
            <w:tcW w:w="2530" w:type="dxa"/>
            <w:hideMark/>
          </w:tcPr>
          <w:p w14:paraId="0EF169DC" w14:textId="77777777" w:rsidR="002C5759" w:rsidRPr="0098470E" w:rsidRDefault="002C5759" w:rsidP="0022140C">
            <w:pPr>
              <w:pStyle w:val="DHHStabletext"/>
            </w:pPr>
            <w:r w:rsidRPr="0098470E">
              <w:t>Description</w:t>
            </w:r>
          </w:p>
        </w:tc>
        <w:tc>
          <w:tcPr>
            <w:tcW w:w="6769" w:type="dxa"/>
            <w:hideMark/>
          </w:tcPr>
          <w:p w14:paraId="5E76C322" w14:textId="074F8F14" w:rsidR="002C5759" w:rsidRPr="0098470E" w:rsidRDefault="002C5759" w:rsidP="0022140C">
            <w:pPr>
              <w:pStyle w:val="DHHStabletext"/>
            </w:pPr>
            <w:r w:rsidRPr="0098470E">
              <w:t xml:space="preserve">This indicator measures the results of the </w:t>
            </w:r>
            <w:r>
              <w:t>‘</w:t>
            </w:r>
            <w:r w:rsidRPr="0098470E">
              <w:t>very good</w:t>
            </w:r>
            <w:r>
              <w:t>’</w:t>
            </w:r>
            <w:r w:rsidRPr="0098470E">
              <w:t xml:space="preserve"> and </w:t>
            </w:r>
            <w:r>
              <w:t>‘</w:t>
            </w:r>
            <w:r w:rsidRPr="0098470E">
              <w:t>good</w:t>
            </w:r>
            <w:r>
              <w:t>’</w:t>
            </w:r>
            <w:r w:rsidRPr="0098470E">
              <w:t xml:space="preserve"> response to the adult inpatient VHES survey question relating to </w:t>
            </w:r>
            <w:r>
              <w:t>‘</w:t>
            </w:r>
            <w:r w:rsidRPr="0098470E">
              <w:t>overall experience</w:t>
            </w:r>
            <w:r>
              <w:t>’</w:t>
            </w:r>
            <w:r w:rsidR="00CD365D">
              <w:t>.</w:t>
            </w:r>
          </w:p>
        </w:tc>
      </w:tr>
      <w:tr w:rsidR="002C5759" w:rsidRPr="0098470E" w14:paraId="47B893BC" w14:textId="77777777" w:rsidTr="00B34932">
        <w:trPr>
          <w:trHeight w:val="60"/>
        </w:trPr>
        <w:tc>
          <w:tcPr>
            <w:tcW w:w="2530" w:type="dxa"/>
          </w:tcPr>
          <w:p w14:paraId="7464444F" w14:textId="77777777" w:rsidR="002C5759" w:rsidRPr="0098470E" w:rsidRDefault="002C5759" w:rsidP="0022140C">
            <w:pPr>
              <w:pStyle w:val="DHHStabletext"/>
            </w:pPr>
            <w:r>
              <w:t>Numerator</w:t>
            </w:r>
          </w:p>
        </w:tc>
        <w:tc>
          <w:tcPr>
            <w:tcW w:w="6769" w:type="dxa"/>
          </w:tcPr>
          <w:p w14:paraId="459D89B4" w14:textId="1230A66B" w:rsidR="002C5759" w:rsidRPr="0098470E" w:rsidRDefault="002C5759" w:rsidP="0022140C">
            <w:pPr>
              <w:pStyle w:val="DHHStabletext"/>
            </w:pPr>
            <w:r w:rsidRPr="00164FA0">
              <w:t>Weighted sum of</w:t>
            </w:r>
            <w:r>
              <w:t xml:space="preserve"> ‘g</w:t>
            </w:r>
            <w:r w:rsidRPr="00164FA0">
              <w:t>ood</w:t>
            </w:r>
            <w:r>
              <w:t>’</w:t>
            </w:r>
            <w:r w:rsidRPr="00164FA0">
              <w:t xml:space="preserve"> </w:t>
            </w:r>
            <w:r>
              <w:t>and</w:t>
            </w:r>
            <w:r w:rsidRPr="00164FA0">
              <w:t xml:space="preserve"> ‘</w:t>
            </w:r>
            <w:r>
              <w:t>v</w:t>
            </w:r>
            <w:r w:rsidRPr="00164FA0">
              <w:t xml:space="preserve">ery good’ responses to the question </w:t>
            </w:r>
            <w:r>
              <w:t>‘</w:t>
            </w:r>
            <w:r w:rsidRPr="00164FA0">
              <w:t>Overall, how would you rate the care you received while in hospital?</w:t>
            </w:r>
            <w:r>
              <w:t>’</w:t>
            </w:r>
            <w:r w:rsidR="00CD365D">
              <w:t>.</w:t>
            </w:r>
          </w:p>
        </w:tc>
      </w:tr>
      <w:tr w:rsidR="002C5759" w:rsidRPr="0098470E" w14:paraId="6A748096" w14:textId="77777777" w:rsidTr="00B34932">
        <w:trPr>
          <w:trHeight w:val="60"/>
        </w:trPr>
        <w:tc>
          <w:tcPr>
            <w:tcW w:w="2530" w:type="dxa"/>
          </w:tcPr>
          <w:p w14:paraId="0F0868DE" w14:textId="77777777" w:rsidR="002C5759" w:rsidRDefault="002C5759" w:rsidP="0022140C">
            <w:pPr>
              <w:pStyle w:val="DHHStabletext"/>
            </w:pPr>
            <w:r>
              <w:t>Denominator</w:t>
            </w:r>
          </w:p>
        </w:tc>
        <w:tc>
          <w:tcPr>
            <w:tcW w:w="6769" w:type="dxa"/>
          </w:tcPr>
          <w:p w14:paraId="50ABD0C2" w14:textId="6F6D1A87" w:rsidR="002C5759" w:rsidRPr="0098470E" w:rsidRDefault="002C5759" w:rsidP="0022140C">
            <w:pPr>
              <w:pStyle w:val="DHHStabletext"/>
            </w:pPr>
            <w:r w:rsidRPr="00164FA0">
              <w:t xml:space="preserve">Weighted sum of valid responses to the question </w:t>
            </w:r>
            <w:r>
              <w:t>‘</w:t>
            </w:r>
            <w:r w:rsidRPr="00164FA0">
              <w:t>Overall, how would you rate the care you received while in hospital?</w:t>
            </w:r>
            <w:r>
              <w:t>’</w:t>
            </w:r>
            <w:r w:rsidR="00CD365D">
              <w:t>.</w:t>
            </w:r>
          </w:p>
        </w:tc>
      </w:tr>
      <w:tr w:rsidR="002C5759" w:rsidRPr="0098470E" w14:paraId="6A53CCBD" w14:textId="77777777" w:rsidTr="00B34932">
        <w:trPr>
          <w:trHeight w:val="60"/>
        </w:trPr>
        <w:tc>
          <w:tcPr>
            <w:tcW w:w="2530" w:type="dxa"/>
          </w:tcPr>
          <w:p w14:paraId="1275D9BB" w14:textId="77777777" w:rsidR="002C5759" w:rsidRPr="0098470E" w:rsidRDefault="002C5759" w:rsidP="0022140C">
            <w:pPr>
              <w:pStyle w:val="DHHStabletext"/>
            </w:pPr>
            <w:r w:rsidRPr="0098470E">
              <w:t>Statewide target</w:t>
            </w:r>
          </w:p>
        </w:tc>
        <w:tc>
          <w:tcPr>
            <w:tcW w:w="6769" w:type="dxa"/>
          </w:tcPr>
          <w:p w14:paraId="4E2E893D" w14:textId="77777777" w:rsidR="002C5759" w:rsidRPr="0098470E" w:rsidRDefault="002C5759" w:rsidP="0022140C">
            <w:pPr>
              <w:pStyle w:val="DHHStabletext"/>
            </w:pPr>
            <w:r>
              <w:t>S</w:t>
            </w:r>
            <w:r w:rsidRPr="0098470E">
              <w:t>core equal to or above 95%</w:t>
            </w:r>
          </w:p>
        </w:tc>
      </w:tr>
      <w:tr w:rsidR="002B4ABD" w:rsidRPr="0098470E" w14:paraId="5FD8DFAA" w14:textId="77777777" w:rsidTr="002B4ABD">
        <w:tc>
          <w:tcPr>
            <w:tcW w:w="2530" w:type="dxa"/>
          </w:tcPr>
          <w:p w14:paraId="2BE257DC" w14:textId="77777777" w:rsidR="002B4ABD" w:rsidRPr="0098470E" w:rsidRDefault="002B4ABD" w:rsidP="0022140C">
            <w:pPr>
              <w:pStyle w:val="DHHStabletext"/>
            </w:pPr>
            <w:r w:rsidRPr="0098470E">
              <w:t>Achievement</w:t>
            </w:r>
          </w:p>
        </w:tc>
        <w:tc>
          <w:tcPr>
            <w:tcW w:w="6769" w:type="dxa"/>
          </w:tcPr>
          <w:p w14:paraId="23E9B485" w14:textId="77777777" w:rsidR="002B4ABD" w:rsidRPr="0098470E" w:rsidRDefault="002B4ABD" w:rsidP="00660D47">
            <w:pPr>
              <w:pStyle w:val="DHHStabletext92mmtab"/>
            </w:pPr>
            <w:r w:rsidRPr="0098470E">
              <w:t>Overall experience score equal to or above 95%</w:t>
            </w:r>
            <w:r>
              <w:tab/>
            </w:r>
            <w:r>
              <w:rPr>
                <w:noProof/>
              </w:rPr>
              <w:t>Achieved</w:t>
            </w:r>
          </w:p>
          <w:p w14:paraId="3FE8C4F6" w14:textId="57BF1F1E" w:rsidR="002B4ABD" w:rsidRPr="0098470E" w:rsidRDefault="002B4ABD" w:rsidP="00660D47">
            <w:pPr>
              <w:pStyle w:val="DHHStabletext92mmtab"/>
            </w:pPr>
            <w:r w:rsidRPr="0098470E">
              <w:t>Overall experience score below 95%</w:t>
            </w:r>
            <w:r>
              <w:tab/>
            </w:r>
            <w:r>
              <w:rPr>
                <w:noProof/>
              </w:rPr>
              <w:t>Not achieved</w:t>
            </w:r>
          </w:p>
        </w:tc>
      </w:tr>
    </w:tbl>
    <w:p w14:paraId="24BB0825" w14:textId="34D08909" w:rsidR="00424BA7" w:rsidRPr="00B34932" w:rsidRDefault="00424BA7" w:rsidP="00B34932">
      <w:pPr>
        <w:pStyle w:val="DHHSbody"/>
      </w:pPr>
      <w:r w:rsidRPr="00B34932">
        <w:br w:type="page"/>
      </w:r>
    </w:p>
    <w:p w14:paraId="2D7EF2DD" w14:textId="60914D78" w:rsidR="00921922" w:rsidRDefault="00921922" w:rsidP="00921922">
      <w:pPr>
        <w:pStyle w:val="Heading4"/>
      </w:pPr>
      <w:bookmarkStart w:id="65" w:name="_Toc15580081"/>
      <w:r w:rsidRPr="0098470E">
        <w:lastRenderedPageBreak/>
        <w:t>Key aspects of care questions that influence the overall experience</w:t>
      </w:r>
      <w:bookmarkEnd w:id="65"/>
    </w:p>
    <w:p w14:paraId="4155D8A0" w14:textId="56CF9970" w:rsidR="00961723" w:rsidRPr="00961723" w:rsidRDefault="00961723" w:rsidP="00961723">
      <w:pPr>
        <w:pStyle w:val="DHHStablecaption"/>
      </w:pPr>
      <w:r>
        <w:t xml:space="preserve">Indicator: </w:t>
      </w:r>
      <w:r w:rsidR="00883FA1" w:rsidRPr="0098470E">
        <w:t>Question 33</w:t>
      </w:r>
      <w:r w:rsidR="00A73E40">
        <w:t xml:space="preserve"> – </w:t>
      </w:r>
      <w:r w:rsidR="00883FA1" w:rsidRPr="0098470E">
        <w:t>How often did the doctors, nurses and other healthcare professionals caring for you explain things in a way you could understand?</w:t>
      </w:r>
    </w:p>
    <w:tbl>
      <w:tblPr>
        <w:tblStyle w:val="TableGrid"/>
        <w:tblW w:w="9299" w:type="dxa"/>
        <w:tblLook w:val="06A0" w:firstRow="1" w:lastRow="0" w:firstColumn="1" w:lastColumn="0" w:noHBand="1" w:noVBand="1"/>
      </w:tblPr>
      <w:tblGrid>
        <w:gridCol w:w="2531"/>
        <w:gridCol w:w="6768"/>
      </w:tblGrid>
      <w:tr w:rsidR="00D97737" w:rsidRPr="0098470E" w14:paraId="098EE253"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31" w:type="dxa"/>
          </w:tcPr>
          <w:p w14:paraId="76C1F61F" w14:textId="48AA8B9F" w:rsidR="00D97737" w:rsidRPr="00A15D08" w:rsidRDefault="00D97737" w:rsidP="00D97737">
            <w:pPr>
              <w:pStyle w:val="DHHStablecolhead"/>
            </w:pPr>
            <w:r>
              <w:t>Element</w:t>
            </w:r>
          </w:p>
        </w:tc>
        <w:tc>
          <w:tcPr>
            <w:tcW w:w="6768" w:type="dxa"/>
          </w:tcPr>
          <w:p w14:paraId="0A0C00FF" w14:textId="127A5AD7" w:rsidR="00D97737" w:rsidRPr="0098470E" w:rsidRDefault="00D97737" w:rsidP="00D97737">
            <w:pPr>
              <w:pStyle w:val="DHHStablecolhead"/>
            </w:pPr>
            <w:r>
              <w:t>Details</w:t>
            </w:r>
          </w:p>
        </w:tc>
      </w:tr>
      <w:tr w:rsidR="002E155B" w:rsidRPr="0098470E" w14:paraId="27C4E115" w14:textId="77777777" w:rsidTr="00B34932">
        <w:trPr>
          <w:cantSplit/>
        </w:trPr>
        <w:tc>
          <w:tcPr>
            <w:tcW w:w="2531" w:type="dxa"/>
          </w:tcPr>
          <w:p w14:paraId="498D39A8" w14:textId="77777777" w:rsidR="002E155B" w:rsidRPr="0098470E" w:rsidRDefault="002E155B" w:rsidP="0022140C">
            <w:pPr>
              <w:pStyle w:val="DHHStabletext"/>
            </w:pPr>
            <w:r w:rsidRPr="0098470E">
              <w:t>Description</w:t>
            </w:r>
          </w:p>
        </w:tc>
        <w:tc>
          <w:tcPr>
            <w:tcW w:w="6768" w:type="dxa"/>
          </w:tcPr>
          <w:p w14:paraId="49E9C204" w14:textId="479FAE12" w:rsidR="002E155B" w:rsidRPr="0098470E" w:rsidRDefault="002E155B" w:rsidP="0022140C">
            <w:pPr>
              <w:pStyle w:val="DHHStabletext"/>
              <w:rPr>
                <w:b/>
              </w:rPr>
            </w:pPr>
            <w:r w:rsidRPr="0098470E">
              <w:t xml:space="preserve">Measures the results of the </w:t>
            </w:r>
            <w:r>
              <w:t>‘</w:t>
            </w:r>
            <w:r w:rsidRPr="0098470E">
              <w:t>all of the time</w:t>
            </w:r>
            <w:r>
              <w:t>’</w:t>
            </w:r>
            <w:r w:rsidRPr="0098470E">
              <w:t xml:space="preserve"> and </w:t>
            </w:r>
            <w:r>
              <w:t>‘</w:t>
            </w:r>
            <w:r w:rsidRPr="0098470E">
              <w:t>most of the time</w:t>
            </w:r>
            <w:r>
              <w:t>’</w:t>
            </w:r>
            <w:r w:rsidRPr="0098470E">
              <w:t xml:space="preserve"> responses to the adult inpatient VHES survey question relating to </w:t>
            </w:r>
            <w:r>
              <w:t>‘</w:t>
            </w:r>
            <w:r w:rsidRPr="0098470E">
              <w:t>your care</w:t>
            </w:r>
            <w:r>
              <w:t>’</w:t>
            </w:r>
            <w:r w:rsidR="00CD365D">
              <w:t>.</w:t>
            </w:r>
          </w:p>
        </w:tc>
      </w:tr>
      <w:tr w:rsidR="002E155B" w:rsidRPr="0098470E" w14:paraId="75A26503" w14:textId="77777777" w:rsidTr="00B34932">
        <w:trPr>
          <w:cantSplit/>
        </w:trPr>
        <w:tc>
          <w:tcPr>
            <w:tcW w:w="2531" w:type="dxa"/>
          </w:tcPr>
          <w:p w14:paraId="46FB9CFF" w14:textId="77777777" w:rsidR="002E155B" w:rsidRPr="0098470E" w:rsidRDefault="002E155B" w:rsidP="0022140C">
            <w:pPr>
              <w:pStyle w:val="DHHStabletext"/>
            </w:pPr>
            <w:r>
              <w:t>Numerator</w:t>
            </w:r>
          </w:p>
        </w:tc>
        <w:tc>
          <w:tcPr>
            <w:tcW w:w="6768" w:type="dxa"/>
          </w:tcPr>
          <w:p w14:paraId="3DC2CF95" w14:textId="53E5BA49" w:rsidR="002E155B" w:rsidRPr="0098470E" w:rsidRDefault="002E155B" w:rsidP="0022140C">
            <w:pPr>
              <w:pStyle w:val="DHHStabletext"/>
            </w:pPr>
            <w:r w:rsidRPr="00DC739B">
              <w:t>Weighted sum of ‘</w:t>
            </w:r>
            <w:r>
              <w:t>a</w:t>
            </w:r>
            <w:r w:rsidRPr="00DC739B">
              <w:t>ll of the time’ and ‘</w:t>
            </w:r>
            <w:r>
              <w:t>m</w:t>
            </w:r>
            <w:r w:rsidRPr="00DC739B">
              <w:t xml:space="preserve">ost of the time’ responses to the question </w:t>
            </w:r>
            <w:r>
              <w:t>‘</w:t>
            </w:r>
            <w:r w:rsidRPr="00DC739B">
              <w:t>How often did the doctors, nurses and other healthcare professionals caring for you explain things in a way you could understand?</w:t>
            </w:r>
            <w:r>
              <w:t>’</w:t>
            </w:r>
            <w:r w:rsidR="00CD365D">
              <w:t>.</w:t>
            </w:r>
          </w:p>
        </w:tc>
      </w:tr>
      <w:tr w:rsidR="002E155B" w:rsidRPr="0098470E" w14:paraId="3C9BCB78" w14:textId="77777777" w:rsidTr="00B34932">
        <w:trPr>
          <w:cantSplit/>
        </w:trPr>
        <w:tc>
          <w:tcPr>
            <w:tcW w:w="2531" w:type="dxa"/>
          </w:tcPr>
          <w:p w14:paraId="720A14C7" w14:textId="77777777" w:rsidR="002E155B" w:rsidRPr="0098470E" w:rsidRDefault="002E155B" w:rsidP="0022140C">
            <w:pPr>
              <w:pStyle w:val="DHHStabletext"/>
            </w:pPr>
            <w:r>
              <w:t>Denominator</w:t>
            </w:r>
          </w:p>
        </w:tc>
        <w:tc>
          <w:tcPr>
            <w:tcW w:w="6768" w:type="dxa"/>
          </w:tcPr>
          <w:p w14:paraId="07CC1DB1" w14:textId="2F2862E1" w:rsidR="002E155B" w:rsidRPr="0098470E" w:rsidRDefault="002E155B" w:rsidP="0022140C">
            <w:pPr>
              <w:pStyle w:val="DHHStabletext"/>
            </w:pPr>
            <w:r w:rsidRPr="00DC739B">
              <w:t xml:space="preserve">Weighted sum of valid responses to the question </w:t>
            </w:r>
            <w:r>
              <w:t>‘</w:t>
            </w:r>
            <w:r w:rsidRPr="00DC739B">
              <w:t>How often did the doctors, nurses and other healthcare professionals caring for you explain things in a way you could understand?</w:t>
            </w:r>
            <w:r>
              <w:t>’</w:t>
            </w:r>
            <w:r w:rsidR="00CD365D">
              <w:t>.</w:t>
            </w:r>
          </w:p>
        </w:tc>
      </w:tr>
      <w:tr w:rsidR="002E155B" w:rsidRPr="0098470E" w14:paraId="11FCD903" w14:textId="77777777" w:rsidTr="00B34932">
        <w:trPr>
          <w:cantSplit/>
        </w:trPr>
        <w:tc>
          <w:tcPr>
            <w:tcW w:w="2531" w:type="dxa"/>
          </w:tcPr>
          <w:p w14:paraId="3FD98EF7" w14:textId="77777777" w:rsidR="002E155B" w:rsidRPr="0098470E" w:rsidRDefault="002E155B" w:rsidP="0022140C">
            <w:pPr>
              <w:pStyle w:val="DHHStabletext"/>
            </w:pPr>
            <w:r w:rsidRPr="0098470E">
              <w:t>Risk flag</w:t>
            </w:r>
          </w:p>
        </w:tc>
        <w:tc>
          <w:tcPr>
            <w:tcW w:w="6768" w:type="dxa"/>
          </w:tcPr>
          <w:p w14:paraId="184E6171" w14:textId="128C40D5" w:rsidR="002E155B" w:rsidRPr="0098470E" w:rsidRDefault="002E155B" w:rsidP="0022140C">
            <w:pPr>
              <w:pStyle w:val="DHHStabletext"/>
            </w:pPr>
            <w:r w:rsidRPr="0098470E">
              <w:t>&lt;</w:t>
            </w:r>
            <w:r w:rsidR="0070204E">
              <w:t xml:space="preserve"> </w:t>
            </w:r>
            <w:r w:rsidRPr="0098470E">
              <w:t xml:space="preserve">90% </w:t>
            </w:r>
          </w:p>
        </w:tc>
      </w:tr>
      <w:tr w:rsidR="002B4ABD" w:rsidRPr="0098470E" w14:paraId="296CEBD0" w14:textId="77777777" w:rsidTr="002B4ABD">
        <w:trPr>
          <w:cantSplit/>
        </w:trPr>
        <w:tc>
          <w:tcPr>
            <w:tcW w:w="2531" w:type="dxa"/>
          </w:tcPr>
          <w:p w14:paraId="2C1DFAF8" w14:textId="77777777" w:rsidR="002B4ABD" w:rsidRPr="0098470E" w:rsidRDefault="002B4ABD" w:rsidP="0022140C">
            <w:pPr>
              <w:pStyle w:val="DHHStabletext"/>
            </w:pPr>
            <w:r w:rsidRPr="0098470E">
              <w:t>Achievement</w:t>
            </w:r>
          </w:p>
        </w:tc>
        <w:tc>
          <w:tcPr>
            <w:tcW w:w="6768" w:type="dxa"/>
          </w:tcPr>
          <w:p w14:paraId="109768F7" w14:textId="77777777" w:rsidR="002B4ABD" w:rsidRPr="0098470E" w:rsidRDefault="002B4ABD" w:rsidP="00660D47">
            <w:pPr>
              <w:pStyle w:val="DHHStabletext92mmtab"/>
            </w:pPr>
            <w:r w:rsidRPr="0098470E">
              <w:t>Equal to or above 90%</w:t>
            </w:r>
            <w:r>
              <w:tab/>
              <w:t>Achieved</w:t>
            </w:r>
          </w:p>
          <w:p w14:paraId="3014CF99" w14:textId="1BA28102" w:rsidR="002B4ABD" w:rsidRPr="0098470E" w:rsidRDefault="002B4ABD" w:rsidP="00660D47">
            <w:pPr>
              <w:pStyle w:val="DHHStabletext92mmtab"/>
            </w:pPr>
            <w:r w:rsidRPr="0098470E">
              <w:t>Below 90%</w:t>
            </w:r>
            <w:r>
              <w:tab/>
              <w:t>Not achieved</w:t>
            </w:r>
          </w:p>
        </w:tc>
      </w:tr>
    </w:tbl>
    <w:p w14:paraId="5348C805" w14:textId="6EBCC986" w:rsidR="004330B8" w:rsidRPr="0098470E" w:rsidRDefault="00961723" w:rsidP="00961723">
      <w:pPr>
        <w:pStyle w:val="DHHStablecaption"/>
      </w:pPr>
      <w:r>
        <w:t xml:space="preserve">Indicator: </w:t>
      </w:r>
      <w:r w:rsidR="00883FA1" w:rsidRPr="0098470E">
        <w:t>Question 3</w:t>
      </w:r>
      <w:r w:rsidR="00A73E40">
        <w:t xml:space="preserve"> – </w:t>
      </w:r>
      <w:r w:rsidR="00883FA1" w:rsidRPr="0098470E">
        <w:t>Were you involved as much as you wanted to be in decisions about your care and treatment?</w:t>
      </w:r>
    </w:p>
    <w:tbl>
      <w:tblPr>
        <w:tblStyle w:val="TableGrid"/>
        <w:tblW w:w="9299" w:type="dxa"/>
        <w:tblLook w:val="06A0" w:firstRow="1" w:lastRow="0" w:firstColumn="1" w:lastColumn="0" w:noHBand="1" w:noVBand="1"/>
      </w:tblPr>
      <w:tblGrid>
        <w:gridCol w:w="2560"/>
        <w:gridCol w:w="6739"/>
      </w:tblGrid>
      <w:tr w:rsidR="00D97737" w:rsidRPr="0098470E" w14:paraId="23D7790C"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60" w:type="dxa"/>
          </w:tcPr>
          <w:p w14:paraId="2A2E4388" w14:textId="1E69F43D" w:rsidR="00D97737" w:rsidRPr="00A15D08" w:rsidRDefault="00D97737" w:rsidP="00D97737">
            <w:pPr>
              <w:pStyle w:val="DHHStablecolhead"/>
            </w:pPr>
            <w:r>
              <w:t>Element</w:t>
            </w:r>
          </w:p>
        </w:tc>
        <w:tc>
          <w:tcPr>
            <w:tcW w:w="6739" w:type="dxa"/>
          </w:tcPr>
          <w:p w14:paraId="4BE17878" w14:textId="59160E12" w:rsidR="00D97737" w:rsidRPr="0098470E" w:rsidRDefault="00D97737" w:rsidP="00D97737">
            <w:pPr>
              <w:pStyle w:val="DHHStablecolhead"/>
            </w:pPr>
            <w:r>
              <w:t>Details</w:t>
            </w:r>
          </w:p>
        </w:tc>
      </w:tr>
      <w:tr w:rsidR="004330B8" w:rsidRPr="0098470E" w14:paraId="3C92A633" w14:textId="77777777" w:rsidTr="00B34932">
        <w:trPr>
          <w:cantSplit/>
        </w:trPr>
        <w:tc>
          <w:tcPr>
            <w:tcW w:w="2560" w:type="dxa"/>
            <w:hideMark/>
          </w:tcPr>
          <w:p w14:paraId="1C4B98F4" w14:textId="77777777" w:rsidR="004330B8" w:rsidRPr="0098470E" w:rsidRDefault="004330B8" w:rsidP="0022140C">
            <w:pPr>
              <w:pStyle w:val="DHHStabletext"/>
            </w:pPr>
            <w:r w:rsidRPr="0098470E">
              <w:t>Description</w:t>
            </w:r>
          </w:p>
        </w:tc>
        <w:tc>
          <w:tcPr>
            <w:tcW w:w="6739" w:type="dxa"/>
            <w:hideMark/>
          </w:tcPr>
          <w:p w14:paraId="1B378915" w14:textId="77777777" w:rsidR="004330B8" w:rsidRPr="0098470E" w:rsidRDefault="004330B8" w:rsidP="0022140C">
            <w:pPr>
              <w:pStyle w:val="DHHStabletext"/>
            </w:pPr>
            <w:r w:rsidRPr="0098470E">
              <w:t xml:space="preserve">Measures the results of the </w:t>
            </w:r>
            <w:r>
              <w:t>‘</w:t>
            </w:r>
            <w:r w:rsidRPr="0098470E">
              <w:t>yes definitely</w:t>
            </w:r>
            <w:r>
              <w:t>’</w:t>
            </w:r>
            <w:r w:rsidRPr="0098470E">
              <w:t xml:space="preserve"> response to the adult inpatient VHES survey question relating to </w:t>
            </w:r>
            <w:r>
              <w:t>‘</w:t>
            </w:r>
            <w:r w:rsidRPr="0098470E">
              <w:t>your care</w:t>
            </w:r>
            <w:r>
              <w:t>’</w:t>
            </w:r>
            <w:r w:rsidRPr="0098470E">
              <w:t>.</w:t>
            </w:r>
          </w:p>
        </w:tc>
      </w:tr>
      <w:tr w:rsidR="004330B8" w:rsidRPr="0098470E" w14:paraId="09024008" w14:textId="77777777" w:rsidTr="00B34932">
        <w:trPr>
          <w:cantSplit/>
        </w:trPr>
        <w:tc>
          <w:tcPr>
            <w:tcW w:w="2560" w:type="dxa"/>
          </w:tcPr>
          <w:p w14:paraId="60FEB583" w14:textId="77777777" w:rsidR="004330B8" w:rsidRPr="0098470E" w:rsidRDefault="004330B8" w:rsidP="0022140C">
            <w:pPr>
              <w:pStyle w:val="DHHStabletext"/>
            </w:pPr>
            <w:r>
              <w:t>Numerator</w:t>
            </w:r>
          </w:p>
        </w:tc>
        <w:tc>
          <w:tcPr>
            <w:tcW w:w="6739" w:type="dxa"/>
          </w:tcPr>
          <w:p w14:paraId="26864B44" w14:textId="6028B818" w:rsidR="004330B8" w:rsidRPr="0098470E" w:rsidRDefault="004330B8" w:rsidP="0022140C">
            <w:pPr>
              <w:pStyle w:val="DHHStabletext"/>
            </w:pPr>
            <w:r w:rsidRPr="00AF772E">
              <w:t>Weighted sum of ‘</w:t>
            </w:r>
            <w:r>
              <w:t>y</w:t>
            </w:r>
            <w:r w:rsidRPr="00AF772E">
              <w:t xml:space="preserve">es definitely' responses to the question </w:t>
            </w:r>
            <w:r>
              <w:t>‘</w:t>
            </w:r>
            <w:r w:rsidRPr="00AF772E">
              <w:t>Were you involved as much as you wanted to be in decisions about your care and treatment?</w:t>
            </w:r>
            <w:r>
              <w:t>’</w:t>
            </w:r>
            <w:r w:rsidR="00313B08">
              <w:t>.</w:t>
            </w:r>
          </w:p>
        </w:tc>
      </w:tr>
      <w:tr w:rsidR="004330B8" w:rsidRPr="0098470E" w14:paraId="3F3DCD71" w14:textId="77777777" w:rsidTr="00B34932">
        <w:trPr>
          <w:cantSplit/>
        </w:trPr>
        <w:tc>
          <w:tcPr>
            <w:tcW w:w="2560" w:type="dxa"/>
          </w:tcPr>
          <w:p w14:paraId="365F1B98" w14:textId="77777777" w:rsidR="004330B8" w:rsidRPr="0098470E" w:rsidRDefault="004330B8" w:rsidP="0022140C">
            <w:pPr>
              <w:pStyle w:val="DHHStabletext"/>
            </w:pPr>
            <w:r>
              <w:t>Denominator</w:t>
            </w:r>
          </w:p>
        </w:tc>
        <w:tc>
          <w:tcPr>
            <w:tcW w:w="6739" w:type="dxa"/>
          </w:tcPr>
          <w:p w14:paraId="79B261E5" w14:textId="5C9C2A2D" w:rsidR="004330B8" w:rsidRDefault="004330B8" w:rsidP="0022140C">
            <w:pPr>
              <w:pStyle w:val="DHHStabletext"/>
            </w:pPr>
            <w:r>
              <w:t>Weighted sum of valid responses to the question ‘Were you involved as much as you wanted to be in decisions about your care and treatment?’</w:t>
            </w:r>
            <w:r w:rsidR="00404348">
              <w:t>.</w:t>
            </w:r>
          </w:p>
          <w:p w14:paraId="1BDE6E65" w14:textId="685694ED" w:rsidR="004330B8" w:rsidRPr="0098470E" w:rsidRDefault="004330B8" w:rsidP="0022140C">
            <w:pPr>
              <w:pStyle w:val="DHHStabletext"/>
            </w:pPr>
            <w:r>
              <w:t>Valid responses exclude ‘I was not well enough or did not want to be involved in these decisions’</w:t>
            </w:r>
            <w:r w:rsidR="00404348">
              <w:t>.</w:t>
            </w:r>
          </w:p>
        </w:tc>
      </w:tr>
      <w:tr w:rsidR="004330B8" w:rsidRPr="0098470E" w14:paraId="5D6623E3" w14:textId="77777777" w:rsidTr="00B34932">
        <w:trPr>
          <w:cantSplit/>
        </w:trPr>
        <w:tc>
          <w:tcPr>
            <w:tcW w:w="2560" w:type="dxa"/>
            <w:hideMark/>
          </w:tcPr>
          <w:p w14:paraId="40FF3D18" w14:textId="77777777" w:rsidR="004330B8" w:rsidRPr="0098470E" w:rsidRDefault="004330B8" w:rsidP="0022140C">
            <w:pPr>
              <w:pStyle w:val="DHHStabletext"/>
            </w:pPr>
            <w:r w:rsidRPr="0098470E">
              <w:t>Risk flag</w:t>
            </w:r>
          </w:p>
        </w:tc>
        <w:tc>
          <w:tcPr>
            <w:tcW w:w="6739" w:type="dxa"/>
          </w:tcPr>
          <w:p w14:paraId="1AD7A1C8" w14:textId="4885719A" w:rsidR="004330B8" w:rsidRPr="0098470E" w:rsidRDefault="004330B8" w:rsidP="0022140C">
            <w:pPr>
              <w:pStyle w:val="DHHStabletext"/>
            </w:pPr>
            <w:r w:rsidRPr="0098470E">
              <w:t>&lt;</w:t>
            </w:r>
            <w:r w:rsidR="00681748">
              <w:t xml:space="preserve"> </w:t>
            </w:r>
            <w:r w:rsidRPr="0098470E">
              <w:t xml:space="preserve">60% </w:t>
            </w:r>
          </w:p>
        </w:tc>
      </w:tr>
      <w:tr w:rsidR="002B4ABD" w:rsidRPr="0098470E" w14:paraId="108DADA1" w14:textId="77777777" w:rsidTr="002B4ABD">
        <w:trPr>
          <w:cantSplit/>
        </w:trPr>
        <w:tc>
          <w:tcPr>
            <w:tcW w:w="2560" w:type="dxa"/>
          </w:tcPr>
          <w:p w14:paraId="327B9814" w14:textId="77777777" w:rsidR="002B4ABD" w:rsidRPr="0098470E" w:rsidRDefault="002B4ABD" w:rsidP="0022140C">
            <w:pPr>
              <w:pStyle w:val="DHHStabletext"/>
            </w:pPr>
            <w:r w:rsidRPr="0098470E">
              <w:t>Achievement</w:t>
            </w:r>
          </w:p>
        </w:tc>
        <w:tc>
          <w:tcPr>
            <w:tcW w:w="6739" w:type="dxa"/>
          </w:tcPr>
          <w:p w14:paraId="5B0617D9" w14:textId="77777777" w:rsidR="002B4ABD" w:rsidRPr="0098470E" w:rsidRDefault="002B4ABD" w:rsidP="00660D47">
            <w:pPr>
              <w:pStyle w:val="DHHStabletext92mmtab"/>
            </w:pPr>
            <w:r w:rsidRPr="0098470E">
              <w:t>Equal to or above 60%</w:t>
            </w:r>
            <w:r>
              <w:tab/>
              <w:t>Achieved</w:t>
            </w:r>
          </w:p>
          <w:p w14:paraId="1176AB13" w14:textId="13CDC01E" w:rsidR="002B4ABD" w:rsidRPr="0098470E" w:rsidRDefault="002B4ABD" w:rsidP="00660D47">
            <w:pPr>
              <w:pStyle w:val="DHHStabletext92mmtab"/>
            </w:pPr>
            <w:r w:rsidRPr="0098470E">
              <w:t>Below 60%</w:t>
            </w:r>
            <w:r>
              <w:tab/>
              <w:t>Not achieved</w:t>
            </w:r>
          </w:p>
        </w:tc>
      </w:tr>
    </w:tbl>
    <w:p w14:paraId="60DA00D8" w14:textId="77777777" w:rsidR="0075540E" w:rsidRPr="00B34932" w:rsidRDefault="0075540E" w:rsidP="00B34932">
      <w:pPr>
        <w:pStyle w:val="DHHSbody"/>
      </w:pPr>
      <w:r w:rsidRPr="00B34932">
        <w:br w:type="page"/>
      </w:r>
    </w:p>
    <w:p w14:paraId="6B3DF723" w14:textId="522B210B" w:rsidR="00AC3618" w:rsidRDefault="00921922" w:rsidP="00B34932">
      <w:pPr>
        <w:pStyle w:val="Heading4"/>
      </w:pPr>
      <w:bookmarkStart w:id="66" w:name="_Toc15580082"/>
      <w:r w:rsidRPr="0098470E">
        <w:lastRenderedPageBreak/>
        <w:t>Transition of care</w:t>
      </w:r>
      <w:bookmarkEnd w:id="66"/>
    </w:p>
    <w:p w14:paraId="5B9F763D" w14:textId="34A9AE76" w:rsidR="00961723" w:rsidRPr="00961723" w:rsidRDefault="00961723" w:rsidP="00961723">
      <w:pPr>
        <w:pStyle w:val="DHHStablecaption"/>
      </w:pPr>
      <w:r>
        <w:t xml:space="preserve">Indicator: </w:t>
      </w:r>
      <w:r w:rsidR="00883FA1" w:rsidRPr="00F46FC8">
        <w:t xml:space="preserve">Transition </w:t>
      </w:r>
      <w:r w:rsidR="00883FA1">
        <w:t>i</w:t>
      </w:r>
      <w:r w:rsidR="00883FA1" w:rsidRPr="00F46FC8">
        <w:t>ndex</w:t>
      </w:r>
    </w:p>
    <w:tbl>
      <w:tblPr>
        <w:tblStyle w:val="TableGrid"/>
        <w:tblW w:w="9299" w:type="dxa"/>
        <w:tblLook w:val="02A0" w:firstRow="1" w:lastRow="0" w:firstColumn="1" w:lastColumn="0" w:noHBand="1" w:noVBand="0"/>
      </w:tblPr>
      <w:tblGrid>
        <w:gridCol w:w="2557"/>
        <w:gridCol w:w="6742"/>
      </w:tblGrid>
      <w:tr w:rsidR="00D97737" w:rsidRPr="0098470E" w14:paraId="24C0ADEB" w14:textId="77777777" w:rsidTr="00200BE4">
        <w:trPr>
          <w:cnfStyle w:val="100000000000" w:firstRow="1" w:lastRow="0" w:firstColumn="0" w:lastColumn="0" w:oddVBand="0" w:evenVBand="0" w:oddHBand="0" w:evenHBand="0" w:firstRowFirstColumn="0" w:firstRowLastColumn="0" w:lastRowFirstColumn="0" w:lastRowLastColumn="0"/>
          <w:cantSplit/>
          <w:tblHeader/>
        </w:trPr>
        <w:tc>
          <w:tcPr>
            <w:tcW w:w="2557" w:type="dxa"/>
          </w:tcPr>
          <w:p w14:paraId="433EE78F" w14:textId="269F33C1" w:rsidR="00D97737" w:rsidRPr="00F46FC8" w:rsidRDefault="00D97737" w:rsidP="00D97737">
            <w:pPr>
              <w:pStyle w:val="DHHStablecolhead"/>
            </w:pPr>
            <w:r>
              <w:t>Element</w:t>
            </w:r>
          </w:p>
        </w:tc>
        <w:tc>
          <w:tcPr>
            <w:tcW w:w="6742" w:type="dxa"/>
          </w:tcPr>
          <w:p w14:paraId="5F463DE0" w14:textId="10FDAF76" w:rsidR="00D97737" w:rsidRPr="00F46FC8" w:rsidRDefault="00D97737" w:rsidP="00D97737">
            <w:pPr>
              <w:pStyle w:val="DHHStablecolhead"/>
            </w:pPr>
            <w:r>
              <w:t>Details</w:t>
            </w:r>
          </w:p>
        </w:tc>
      </w:tr>
      <w:tr w:rsidR="00AC3618" w:rsidRPr="0098470E" w14:paraId="2A4F8E3A" w14:textId="77777777" w:rsidTr="00200BE4">
        <w:trPr>
          <w:cantSplit/>
        </w:trPr>
        <w:tc>
          <w:tcPr>
            <w:tcW w:w="2557" w:type="dxa"/>
          </w:tcPr>
          <w:p w14:paraId="0EDCC74C" w14:textId="77777777" w:rsidR="00AC3618" w:rsidRPr="0098470E" w:rsidRDefault="00AC3618" w:rsidP="0022140C">
            <w:pPr>
              <w:pStyle w:val="DHHStabletext"/>
              <w:rPr>
                <w:b/>
              </w:rPr>
            </w:pPr>
            <w:r w:rsidRPr="0098470E">
              <w:t>Description</w:t>
            </w:r>
          </w:p>
        </w:tc>
        <w:tc>
          <w:tcPr>
            <w:tcW w:w="6742" w:type="dxa"/>
          </w:tcPr>
          <w:p w14:paraId="46D6678E" w14:textId="77777777" w:rsidR="00AC3618" w:rsidRPr="0098470E" w:rsidRDefault="00AC3618" w:rsidP="0022140C">
            <w:pPr>
              <w:pStyle w:val="DHHStabletext"/>
            </w:pPr>
            <w:r w:rsidRPr="0098470E">
              <w:t>Measures the quality of patient reported discharge care.</w:t>
            </w:r>
          </w:p>
        </w:tc>
      </w:tr>
      <w:tr w:rsidR="00AC3618" w:rsidRPr="0098470E" w14:paraId="020AF566" w14:textId="77777777" w:rsidTr="00200BE4">
        <w:trPr>
          <w:cantSplit/>
        </w:trPr>
        <w:tc>
          <w:tcPr>
            <w:tcW w:w="2557" w:type="dxa"/>
            <w:hideMark/>
          </w:tcPr>
          <w:p w14:paraId="4910002A" w14:textId="77777777" w:rsidR="00AC3618" w:rsidRPr="0098470E" w:rsidRDefault="00AC3618" w:rsidP="0022140C">
            <w:pPr>
              <w:pStyle w:val="DHHStabletext"/>
            </w:pPr>
            <w:r w:rsidRPr="0098470E">
              <w:t>Calculating Performance</w:t>
            </w:r>
          </w:p>
        </w:tc>
        <w:tc>
          <w:tcPr>
            <w:tcW w:w="6742" w:type="dxa"/>
            <w:hideMark/>
          </w:tcPr>
          <w:p w14:paraId="05E334D6" w14:textId="77777777" w:rsidR="00AC3618" w:rsidRPr="0098470E" w:rsidRDefault="00AC3618" w:rsidP="0022140C">
            <w:pPr>
              <w:pStyle w:val="DHHStabletext"/>
            </w:pPr>
            <w:r w:rsidRPr="0098470E">
              <w:t>This composite indicator captures the average sum of the very positive responses to the following four questions in the adult inpatient VHES relating to transfer of care:</w:t>
            </w:r>
          </w:p>
          <w:p w14:paraId="786EA698" w14:textId="77777777" w:rsidR="00AC3618" w:rsidRPr="0098470E" w:rsidRDefault="00AC3618" w:rsidP="0022140C">
            <w:pPr>
              <w:pStyle w:val="DHHStablebullet1"/>
            </w:pPr>
            <w:r w:rsidRPr="0098470E">
              <w:t>Before leaving hospital</w:t>
            </w:r>
            <w:r>
              <w:t>,</w:t>
            </w:r>
            <w:r w:rsidRPr="0098470E">
              <w:t xml:space="preserve"> did the doctors and nurses give you sufficient information about managing your healthcare at home?</w:t>
            </w:r>
          </w:p>
          <w:p w14:paraId="47F9FF8B" w14:textId="77777777" w:rsidR="00AC3618" w:rsidRPr="0098470E" w:rsidRDefault="00AC3618" w:rsidP="0022140C">
            <w:pPr>
              <w:pStyle w:val="DHHStablebullet1"/>
            </w:pPr>
            <w:r w:rsidRPr="0098470E">
              <w:t>Did hospital staff take your family and home situation into account when planning your discharge?</w:t>
            </w:r>
          </w:p>
          <w:p w14:paraId="5CCD47BE" w14:textId="77777777" w:rsidR="00AC3618" w:rsidRPr="0098470E" w:rsidRDefault="00AC3618" w:rsidP="0022140C">
            <w:pPr>
              <w:pStyle w:val="DHHStablebullet1"/>
            </w:pPr>
            <w:r w:rsidRPr="0098470E">
              <w:t>Thinking about when you left hospital, were adequate arrangements made by the hospital for any services you needed?</w:t>
            </w:r>
          </w:p>
          <w:p w14:paraId="4A463278" w14:textId="7299768E" w:rsidR="00AC3618" w:rsidRPr="0098470E" w:rsidRDefault="00AC3618" w:rsidP="0022140C">
            <w:pPr>
              <w:pStyle w:val="DHHStablebullet1"/>
            </w:pPr>
            <w:r w:rsidRPr="0098470E">
              <w:t xml:space="preserve">If follow-up with your general practitioner was required, </w:t>
            </w:r>
            <w:r w:rsidR="005834BD">
              <w:t>were they</w:t>
            </w:r>
            <w:r w:rsidRPr="0098470E">
              <w:t xml:space="preserve"> given all the necessary information about the treatment or advice you received while in hospital?</w:t>
            </w:r>
          </w:p>
        </w:tc>
      </w:tr>
      <w:tr w:rsidR="00AC3618" w:rsidRPr="0098470E" w14:paraId="7A7E0C99" w14:textId="77777777" w:rsidTr="00200BE4">
        <w:trPr>
          <w:cantSplit/>
        </w:trPr>
        <w:tc>
          <w:tcPr>
            <w:tcW w:w="2557" w:type="dxa"/>
          </w:tcPr>
          <w:p w14:paraId="7974E853" w14:textId="77777777" w:rsidR="00AC3618" w:rsidRPr="0098470E" w:rsidRDefault="00AC3618" w:rsidP="0022140C">
            <w:pPr>
              <w:pStyle w:val="DHHStabletext"/>
            </w:pPr>
            <w:r>
              <w:t>Numerator</w:t>
            </w:r>
          </w:p>
        </w:tc>
        <w:tc>
          <w:tcPr>
            <w:tcW w:w="6742" w:type="dxa"/>
          </w:tcPr>
          <w:p w14:paraId="1501A0AF" w14:textId="011FB2B1" w:rsidR="00AC3618" w:rsidRPr="0098470E" w:rsidRDefault="00AC3618" w:rsidP="0022140C">
            <w:pPr>
              <w:pStyle w:val="DHHStabletext"/>
            </w:pPr>
            <w:r>
              <w:t>S</w:t>
            </w:r>
            <w:r w:rsidRPr="00DC739B">
              <w:t xml:space="preserve">um of </w:t>
            </w:r>
            <w:r>
              <w:t xml:space="preserve">(weighted) </w:t>
            </w:r>
            <w:r w:rsidRPr="00DC739B">
              <w:t xml:space="preserve">percent of </w:t>
            </w:r>
            <w:r>
              <w:t>‘y</w:t>
            </w:r>
            <w:r w:rsidRPr="00DC739B">
              <w:t>es, completely</w:t>
            </w:r>
            <w:r>
              <w:t>’</w:t>
            </w:r>
            <w:r w:rsidRPr="00DC739B">
              <w:t xml:space="preserve"> responses to the first three transition questions plus number of </w:t>
            </w:r>
            <w:r>
              <w:t>‘y</w:t>
            </w:r>
            <w:r w:rsidRPr="00DC739B">
              <w:t>es</w:t>
            </w:r>
            <w:r>
              <w:t>’</w:t>
            </w:r>
            <w:r w:rsidRPr="00DC739B">
              <w:t xml:space="preserve"> responses to the fourth transition question in the adult inpatient VHES</w:t>
            </w:r>
            <w:r w:rsidR="005834BD">
              <w:t>.</w:t>
            </w:r>
          </w:p>
        </w:tc>
      </w:tr>
      <w:tr w:rsidR="00AC3618" w:rsidRPr="0098470E" w14:paraId="53FFFE5A" w14:textId="77777777" w:rsidTr="00200BE4">
        <w:trPr>
          <w:cantSplit/>
        </w:trPr>
        <w:tc>
          <w:tcPr>
            <w:tcW w:w="2557" w:type="dxa"/>
          </w:tcPr>
          <w:p w14:paraId="50B63E2B" w14:textId="77777777" w:rsidR="00AC3618" w:rsidRPr="0098470E" w:rsidRDefault="00AC3618" w:rsidP="0022140C">
            <w:pPr>
              <w:pStyle w:val="DHHStabletext"/>
            </w:pPr>
            <w:r>
              <w:t>Denominator</w:t>
            </w:r>
          </w:p>
        </w:tc>
        <w:tc>
          <w:tcPr>
            <w:tcW w:w="6742" w:type="dxa"/>
          </w:tcPr>
          <w:p w14:paraId="7EC2C3A2" w14:textId="152B6D8D" w:rsidR="00AC3618" w:rsidRDefault="00BE2C8E" w:rsidP="0022140C">
            <w:pPr>
              <w:pStyle w:val="DHHStabletext"/>
            </w:pPr>
            <w:r>
              <w:t>Weighted s</w:t>
            </w:r>
            <w:r w:rsidR="00AC3618">
              <w:t>um of valid responses to each of the four transition questions in the adult inpatient VHES</w:t>
            </w:r>
            <w:r w:rsidR="00313B08">
              <w:t>.</w:t>
            </w:r>
          </w:p>
          <w:p w14:paraId="10D82540" w14:textId="77777777" w:rsidR="00AC3618" w:rsidRDefault="00AC3618" w:rsidP="0022140C">
            <w:pPr>
              <w:pStyle w:val="DHHStabletext"/>
            </w:pPr>
            <w:r>
              <w:t>The denominator excludes:</w:t>
            </w:r>
          </w:p>
          <w:p w14:paraId="4F19C46B" w14:textId="77777777" w:rsidR="00AC3618" w:rsidRDefault="00AC3618" w:rsidP="00B34932">
            <w:pPr>
              <w:pStyle w:val="DHHStablebullet1"/>
            </w:pPr>
            <w:r>
              <w:t>Invalid responses to any question</w:t>
            </w:r>
          </w:p>
          <w:p w14:paraId="2A91113E" w14:textId="77777777" w:rsidR="00AC3618" w:rsidRDefault="00AC3618" w:rsidP="00B34932">
            <w:pPr>
              <w:pStyle w:val="DHHStablebullet1"/>
            </w:pPr>
            <w:r>
              <w:t xml:space="preserve">Responses of ‘it was not necessary’ to the question ‘Did hospital staff take your family and home situation into account when planning your discharge?’ </w:t>
            </w:r>
          </w:p>
          <w:p w14:paraId="1A4F3F3C" w14:textId="77777777" w:rsidR="00AC3618" w:rsidRDefault="00AC3618" w:rsidP="00B34932">
            <w:pPr>
              <w:pStyle w:val="DHHStablebullet1"/>
            </w:pPr>
            <w:r>
              <w:t xml:space="preserve">Responses of ‘I did not need any services’ to the question ‘Thinking about when you left hospital, were adequate arrangements made by the hospital for any services you needed?’ </w:t>
            </w:r>
          </w:p>
          <w:p w14:paraId="6D398DC0" w14:textId="77777777" w:rsidR="00AC3618" w:rsidRPr="0098470E" w:rsidRDefault="00AC3618" w:rsidP="00B34932">
            <w:pPr>
              <w:pStyle w:val="DHHStablebullet1"/>
            </w:pPr>
            <w:r>
              <w:t>Responses of ‘no information was needed by my GP’ or ‘there was no follow-up with my GP’ to the question ‘If follow-up with your general practitioner was required, was he or she given all the necessary information about the treatment or advice you received while in hospital?’</w:t>
            </w:r>
          </w:p>
        </w:tc>
      </w:tr>
      <w:tr w:rsidR="00AC3618" w:rsidRPr="0098470E" w14:paraId="605BBEA2" w14:textId="77777777" w:rsidTr="00200BE4">
        <w:trPr>
          <w:cantSplit/>
        </w:trPr>
        <w:tc>
          <w:tcPr>
            <w:tcW w:w="2557" w:type="dxa"/>
            <w:hideMark/>
          </w:tcPr>
          <w:p w14:paraId="1ECDA96D" w14:textId="77777777" w:rsidR="00AC3618" w:rsidRPr="0098470E" w:rsidRDefault="00AC3618" w:rsidP="0022140C">
            <w:pPr>
              <w:pStyle w:val="DHHStabletext"/>
            </w:pPr>
            <w:r w:rsidRPr="0098470E">
              <w:t>Statewide Target</w:t>
            </w:r>
          </w:p>
        </w:tc>
        <w:tc>
          <w:tcPr>
            <w:tcW w:w="6742" w:type="dxa"/>
            <w:hideMark/>
          </w:tcPr>
          <w:p w14:paraId="52E96F32" w14:textId="77777777" w:rsidR="00AC3618" w:rsidRPr="0098470E" w:rsidRDefault="00AC3618" w:rsidP="0022140C">
            <w:pPr>
              <w:pStyle w:val="DHHStabletext"/>
            </w:pPr>
            <w:r w:rsidRPr="00DB06A2">
              <w:rPr>
                <w:rFonts w:cs="Arial"/>
              </w:rPr>
              <w:t>≥</w:t>
            </w:r>
            <w:r>
              <w:rPr>
                <w:rFonts w:cs="Arial"/>
              </w:rPr>
              <w:t xml:space="preserve"> </w:t>
            </w:r>
            <w:r w:rsidRPr="00AB657C">
              <w:t>75%</w:t>
            </w:r>
          </w:p>
        </w:tc>
      </w:tr>
      <w:tr w:rsidR="002B4ABD" w:rsidRPr="0098470E" w14:paraId="6E34BC30" w14:textId="77777777" w:rsidTr="00200BE4">
        <w:trPr>
          <w:cantSplit/>
        </w:trPr>
        <w:tc>
          <w:tcPr>
            <w:tcW w:w="2557" w:type="dxa"/>
            <w:hideMark/>
          </w:tcPr>
          <w:p w14:paraId="3AAD3527" w14:textId="77777777" w:rsidR="002B4ABD" w:rsidRPr="0098470E" w:rsidRDefault="002B4ABD" w:rsidP="0022140C">
            <w:pPr>
              <w:pStyle w:val="DHHStabletext"/>
            </w:pPr>
            <w:r w:rsidRPr="0098470E">
              <w:t>Achievement</w:t>
            </w:r>
          </w:p>
        </w:tc>
        <w:tc>
          <w:tcPr>
            <w:tcW w:w="6742" w:type="dxa"/>
            <w:hideMark/>
          </w:tcPr>
          <w:p w14:paraId="0719BC15" w14:textId="77777777" w:rsidR="002B4ABD" w:rsidRPr="0098470E" w:rsidRDefault="002B4ABD" w:rsidP="00660D47">
            <w:pPr>
              <w:pStyle w:val="DHHStabletext92mmtab"/>
            </w:pPr>
            <w:r w:rsidRPr="0098470E">
              <w:t>Equal to or above 75%</w:t>
            </w:r>
            <w:r>
              <w:tab/>
              <w:t>Achieved</w:t>
            </w:r>
          </w:p>
          <w:p w14:paraId="337D6FBF" w14:textId="01513871" w:rsidR="002B4ABD" w:rsidRPr="0098470E" w:rsidRDefault="002B4ABD" w:rsidP="00660D47">
            <w:pPr>
              <w:pStyle w:val="DHHStabletext92mmtab"/>
            </w:pPr>
            <w:r w:rsidRPr="0098470E">
              <w:t>Below 75%</w:t>
            </w:r>
            <w:r>
              <w:tab/>
              <w:t>Not achieved</w:t>
            </w:r>
          </w:p>
        </w:tc>
      </w:tr>
    </w:tbl>
    <w:p w14:paraId="432FC821" w14:textId="77777777" w:rsidR="00660D47" w:rsidRPr="00660D47" w:rsidRDefault="00660D47" w:rsidP="00660D47">
      <w:pPr>
        <w:pStyle w:val="DHHSbody"/>
      </w:pPr>
      <w:r w:rsidRPr="00660D47">
        <w:br w:type="page"/>
      </w:r>
    </w:p>
    <w:p w14:paraId="2EB184BC" w14:textId="25DE667A" w:rsidR="00AC3618" w:rsidRPr="00961723" w:rsidRDefault="00961723" w:rsidP="00961723">
      <w:pPr>
        <w:pStyle w:val="DHHStablecaption"/>
      </w:pPr>
      <w:r>
        <w:lastRenderedPageBreak/>
        <w:t xml:space="preserve">Indicator: </w:t>
      </w:r>
      <w:r w:rsidR="00883FA1" w:rsidRPr="0098470E">
        <w:t>Question 69</w:t>
      </w:r>
      <w:r w:rsidR="00A73E40">
        <w:t xml:space="preserve"> – </w:t>
      </w:r>
      <w:r w:rsidR="00883FA1" w:rsidRPr="0098470E">
        <w:t>Before you left hospital, did the doctors and nurses give you sufficient information about managing your health and care at home?</w:t>
      </w:r>
    </w:p>
    <w:tbl>
      <w:tblPr>
        <w:tblStyle w:val="TableGrid"/>
        <w:tblW w:w="9299" w:type="dxa"/>
        <w:tblLook w:val="06A0" w:firstRow="1" w:lastRow="0" w:firstColumn="1" w:lastColumn="0" w:noHBand="1" w:noVBand="1"/>
      </w:tblPr>
      <w:tblGrid>
        <w:gridCol w:w="2532"/>
        <w:gridCol w:w="6767"/>
      </w:tblGrid>
      <w:tr w:rsidR="00D97737" w:rsidRPr="0098470E" w14:paraId="79DD74BD"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32" w:type="dxa"/>
          </w:tcPr>
          <w:p w14:paraId="1F9EABA0" w14:textId="73561AA4" w:rsidR="00D97737" w:rsidRPr="00A15D08" w:rsidRDefault="00D97737" w:rsidP="00D97737">
            <w:pPr>
              <w:pStyle w:val="DHHStablecolhead"/>
            </w:pPr>
            <w:r>
              <w:t>Element</w:t>
            </w:r>
          </w:p>
        </w:tc>
        <w:tc>
          <w:tcPr>
            <w:tcW w:w="6767" w:type="dxa"/>
          </w:tcPr>
          <w:p w14:paraId="252AE69A" w14:textId="0DFA433D" w:rsidR="00D97737" w:rsidRPr="0098470E" w:rsidRDefault="00D97737" w:rsidP="00D97737">
            <w:pPr>
              <w:pStyle w:val="DHHStablecolhead"/>
            </w:pPr>
            <w:r>
              <w:t>Details</w:t>
            </w:r>
          </w:p>
        </w:tc>
      </w:tr>
      <w:tr w:rsidR="00DC114E" w:rsidRPr="0098470E" w14:paraId="7CDB3B76" w14:textId="77777777" w:rsidTr="00B34932">
        <w:trPr>
          <w:cantSplit/>
        </w:trPr>
        <w:tc>
          <w:tcPr>
            <w:tcW w:w="2532" w:type="dxa"/>
            <w:hideMark/>
          </w:tcPr>
          <w:p w14:paraId="3FD46BD9" w14:textId="77777777" w:rsidR="00DC114E" w:rsidRPr="0098470E" w:rsidRDefault="00DC114E" w:rsidP="0022140C">
            <w:pPr>
              <w:pStyle w:val="DHHStabletext"/>
            </w:pPr>
            <w:r w:rsidRPr="0098470E">
              <w:t>Description</w:t>
            </w:r>
          </w:p>
        </w:tc>
        <w:tc>
          <w:tcPr>
            <w:tcW w:w="6767" w:type="dxa"/>
            <w:hideMark/>
          </w:tcPr>
          <w:p w14:paraId="533A40F8" w14:textId="77777777" w:rsidR="00DC114E" w:rsidRPr="0098470E" w:rsidRDefault="00DC114E" w:rsidP="0022140C">
            <w:pPr>
              <w:pStyle w:val="DHHStabletext"/>
            </w:pPr>
            <w:r w:rsidRPr="0098470E">
              <w:t xml:space="preserve">This indicator measures the results of the </w:t>
            </w:r>
            <w:r>
              <w:t>‘</w:t>
            </w:r>
            <w:r w:rsidRPr="0098470E">
              <w:t>yes completely</w:t>
            </w:r>
            <w:r>
              <w:t>’</w:t>
            </w:r>
            <w:r w:rsidRPr="0098470E">
              <w:t xml:space="preserve"> response to the adult inpatient VHES survey question relating to </w:t>
            </w:r>
            <w:r>
              <w:t>‘</w:t>
            </w:r>
            <w:r w:rsidRPr="0098470E">
              <w:t>leaving hospital</w:t>
            </w:r>
            <w:r>
              <w:t>’</w:t>
            </w:r>
            <w:r w:rsidRPr="0098470E">
              <w:t>.</w:t>
            </w:r>
          </w:p>
        </w:tc>
      </w:tr>
      <w:tr w:rsidR="00DC114E" w:rsidRPr="0098470E" w14:paraId="50D8C03A" w14:textId="77777777" w:rsidTr="00B34932">
        <w:trPr>
          <w:cantSplit/>
        </w:trPr>
        <w:tc>
          <w:tcPr>
            <w:tcW w:w="2532" w:type="dxa"/>
          </w:tcPr>
          <w:p w14:paraId="0185281D" w14:textId="77777777" w:rsidR="00DC114E" w:rsidRPr="0098470E" w:rsidRDefault="00DC114E" w:rsidP="0022140C">
            <w:pPr>
              <w:pStyle w:val="DHHStabletext"/>
            </w:pPr>
            <w:r>
              <w:t>Numerator</w:t>
            </w:r>
          </w:p>
        </w:tc>
        <w:tc>
          <w:tcPr>
            <w:tcW w:w="6767" w:type="dxa"/>
          </w:tcPr>
          <w:p w14:paraId="6C6098F4" w14:textId="2A04E287" w:rsidR="00DC114E" w:rsidRPr="0098470E" w:rsidRDefault="00DC114E" w:rsidP="0022140C">
            <w:pPr>
              <w:pStyle w:val="DHHStabletext"/>
            </w:pPr>
            <w:r w:rsidRPr="009B0BD5">
              <w:t xml:space="preserve">Weighted sum of </w:t>
            </w:r>
            <w:r>
              <w:t>‘y</w:t>
            </w:r>
            <w:r w:rsidRPr="009B0BD5">
              <w:t>es, completely</w:t>
            </w:r>
            <w:r>
              <w:t>’</w:t>
            </w:r>
            <w:r w:rsidRPr="009B0BD5">
              <w:t xml:space="preserve"> responses to the question </w:t>
            </w:r>
            <w:r>
              <w:t>‘</w:t>
            </w:r>
            <w:r w:rsidRPr="009B0BD5">
              <w:t>Before you left hospital, did the doctors and nurses give you sufficient information about managing your health and care at home?</w:t>
            </w:r>
            <w:r>
              <w:t>’</w:t>
            </w:r>
            <w:r w:rsidR="0092407D">
              <w:t>.</w:t>
            </w:r>
          </w:p>
        </w:tc>
      </w:tr>
      <w:tr w:rsidR="00DC114E" w:rsidRPr="0098470E" w14:paraId="4C6D93AA" w14:textId="77777777" w:rsidTr="00B34932">
        <w:trPr>
          <w:cantSplit/>
        </w:trPr>
        <w:tc>
          <w:tcPr>
            <w:tcW w:w="2532" w:type="dxa"/>
          </w:tcPr>
          <w:p w14:paraId="2653528E" w14:textId="77777777" w:rsidR="00DC114E" w:rsidRPr="0098470E" w:rsidRDefault="00DC114E" w:rsidP="0022140C">
            <w:pPr>
              <w:pStyle w:val="DHHStabletext"/>
            </w:pPr>
            <w:r>
              <w:t>Denominator</w:t>
            </w:r>
          </w:p>
        </w:tc>
        <w:tc>
          <w:tcPr>
            <w:tcW w:w="6767" w:type="dxa"/>
          </w:tcPr>
          <w:p w14:paraId="6592D120" w14:textId="1537D6E9" w:rsidR="00DC114E" w:rsidRPr="0098470E" w:rsidRDefault="00DC114E" w:rsidP="0022140C">
            <w:pPr>
              <w:pStyle w:val="DHHStabletext"/>
            </w:pPr>
            <w:r w:rsidRPr="00DC739B">
              <w:t xml:space="preserve">Weighted sum of valid responses to the question </w:t>
            </w:r>
            <w:r>
              <w:t>‘</w:t>
            </w:r>
            <w:r w:rsidRPr="00DC739B">
              <w:t>Before you left hospital, did the doctors and nurses give you sufficient information about managing your health and care at home?</w:t>
            </w:r>
            <w:r>
              <w:t>’</w:t>
            </w:r>
            <w:r w:rsidR="0092407D">
              <w:t>.</w:t>
            </w:r>
          </w:p>
        </w:tc>
      </w:tr>
      <w:tr w:rsidR="00DC114E" w:rsidRPr="0098470E" w14:paraId="6F98132B" w14:textId="77777777" w:rsidTr="00B34932">
        <w:trPr>
          <w:cantSplit/>
        </w:trPr>
        <w:tc>
          <w:tcPr>
            <w:tcW w:w="2532" w:type="dxa"/>
            <w:hideMark/>
          </w:tcPr>
          <w:p w14:paraId="22C6AED6" w14:textId="77777777" w:rsidR="00DC114E" w:rsidRPr="0098470E" w:rsidRDefault="00DC114E" w:rsidP="0022140C">
            <w:pPr>
              <w:pStyle w:val="DHHStabletext"/>
            </w:pPr>
            <w:r w:rsidRPr="0098470E">
              <w:t>Risk flag</w:t>
            </w:r>
          </w:p>
        </w:tc>
        <w:tc>
          <w:tcPr>
            <w:tcW w:w="6767" w:type="dxa"/>
          </w:tcPr>
          <w:p w14:paraId="3B2E058F" w14:textId="1A3C68C9" w:rsidR="00DC114E" w:rsidRPr="0098470E" w:rsidRDefault="00DC114E" w:rsidP="0022140C">
            <w:pPr>
              <w:pStyle w:val="DHHStabletext"/>
            </w:pPr>
            <w:r w:rsidRPr="0098470E">
              <w:t>&lt;</w:t>
            </w:r>
            <w:r w:rsidR="00A672B9">
              <w:t xml:space="preserve"> </w:t>
            </w:r>
            <w:r w:rsidRPr="0098470E">
              <w:t>70%</w:t>
            </w:r>
          </w:p>
        </w:tc>
      </w:tr>
      <w:tr w:rsidR="002B4ABD" w:rsidRPr="0098470E" w14:paraId="58E122D4" w14:textId="77777777" w:rsidTr="002B4ABD">
        <w:trPr>
          <w:cantSplit/>
        </w:trPr>
        <w:tc>
          <w:tcPr>
            <w:tcW w:w="2532" w:type="dxa"/>
          </w:tcPr>
          <w:p w14:paraId="382438C1" w14:textId="77777777" w:rsidR="002B4ABD" w:rsidRPr="0098470E" w:rsidRDefault="002B4ABD" w:rsidP="0022140C">
            <w:pPr>
              <w:pStyle w:val="DHHStabletext"/>
            </w:pPr>
            <w:r w:rsidRPr="0098470E">
              <w:t>Achievement</w:t>
            </w:r>
          </w:p>
        </w:tc>
        <w:tc>
          <w:tcPr>
            <w:tcW w:w="6767" w:type="dxa"/>
          </w:tcPr>
          <w:p w14:paraId="20A810B1" w14:textId="77777777" w:rsidR="002B4ABD" w:rsidRPr="0098470E" w:rsidRDefault="002B4ABD" w:rsidP="00660D47">
            <w:pPr>
              <w:pStyle w:val="DHHStabletext92mmtab"/>
            </w:pPr>
            <w:r w:rsidRPr="0098470E">
              <w:t>Equal to or above</w:t>
            </w:r>
            <w:r>
              <w:t xml:space="preserve"> </w:t>
            </w:r>
            <w:r w:rsidRPr="0098470E">
              <w:t>70%</w:t>
            </w:r>
            <w:r>
              <w:tab/>
              <w:t>Achieved</w:t>
            </w:r>
          </w:p>
          <w:p w14:paraId="46A8E835" w14:textId="6A950847" w:rsidR="002B4ABD" w:rsidRPr="0098470E" w:rsidRDefault="002B4ABD" w:rsidP="00660D47">
            <w:pPr>
              <w:pStyle w:val="DHHStabletext92mmtab"/>
            </w:pPr>
            <w:r w:rsidRPr="0098470E">
              <w:t>Below 70%</w:t>
            </w:r>
            <w:r>
              <w:tab/>
              <w:t>Not achieved</w:t>
            </w:r>
          </w:p>
        </w:tc>
      </w:tr>
    </w:tbl>
    <w:p w14:paraId="27790D98" w14:textId="55D156D2" w:rsidR="00B64765" w:rsidRPr="00B34932" w:rsidRDefault="00961723" w:rsidP="00961723">
      <w:pPr>
        <w:pStyle w:val="DHHStablecaption"/>
      </w:pPr>
      <w:r>
        <w:t xml:space="preserve">Indicator: </w:t>
      </w:r>
      <w:r w:rsidR="00883FA1" w:rsidRPr="0098470E">
        <w:t>Question 70</w:t>
      </w:r>
      <w:r w:rsidR="00A73E40">
        <w:t xml:space="preserve"> – </w:t>
      </w:r>
      <w:r w:rsidR="00883FA1" w:rsidRPr="0098470E">
        <w:t>Did hospital staff take your family or home situation into account when planning your discharge?</w:t>
      </w:r>
    </w:p>
    <w:tbl>
      <w:tblPr>
        <w:tblStyle w:val="TableGrid"/>
        <w:tblW w:w="9299" w:type="dxa"/>
        <w:tblLook w:val="06A0" w:firstRow="1" w:lastRow="0" w:firstColumn="1" w:lastColumn="0" w:noHBand="1" w:noVBand="1"/>
      </w:tblPr>
      <w:tblGrid>
        <w:gridCol w:w="2532"/>
        <w:gridCol w:w="6767"/>
      </w:tblGrid>
      <w:tr w:rsidR="00D97737" w:rsidRPr="0098470E" w14:paraId="78CFAE24"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32" w:type="dxa"/>
          </w:tcPr>
          <w:p w14:paraId="6A0B4946" w14:textId="7DEF12CC" w:rsidR="00D97737" w:rsidRPr="00A15D08" w:rsidRDefault="00D97737" w:rsidP="00D97737">
            <w:pPr>
              <w:pStyle w:val="DHHStablecolhead"/>
            </w:pPr>
            <w:r>
              <w:t>Element</w:t>
            </w:r>
          </w:p>
        </w:tc>
        <w:tc>
          <w:tcPr>
            <w:tcW w:w="6767" w:type="dxa"/>
          </w:tcPr>
          <w:p w14:paraId="4E06E017" w14:textId="40449EA3" w:rsidR="00D97737" w:rsidRPr="0098470E" w:rsidRDefault="00D97737" w:rsidP="00D97737">
            <w:pPr>
              <w:pStyle w:val="DHHStablecolhead"/>
            </w:pPr>
            <w:r>
              <w:t>Details</w:t>
            </w:r>
          </w:p>
        </w:tc>
      </w:tr>
      <w:tr w:rsidR="00B64765" w:rsidRPr="0098470E" w14:paraId="0BB8CDDA" w14:textId="77777777" w:rsidTr="00B34932">
        <w:trPr>
          <w:cantSplit/>
        </w:trPr>
        <w:tc>
          <w:tcPr>
            <w:tcW w:w="2532" w:type="dxa"/>
            <w:hideMark/>
          </w:tcPr>
          <w:p w14:paraId="52588879" w14:textId="77777777" w:rsidR="00B64765" w:rsidRPr="0098470E" w:rsidRDefault="00B64765" w:rsidP="0022140C">
            <w:pPr>
              <w:pStyle w:val="DHHStabletext"/>
            </w:pPr>
            <w:r w:rsidRPr="0098470E">
              <w:t>Description</w:t>
            </w:r>
          </w:p>
        </w:tc>
        <w:tc>
          <w:tcPr>
            <w:tcW w:w="6767" w:type="dxa"/>
            <w:hideMark/>
          </w:tcPr>
          <w:p w14:paraId="29786B4A" w14:textId="77777777" w:rsidR="00B64765" w:rsidRPr="0098470E" w:rsidRDefault="00B64765" w:rsidP="0022140C">
            <w:pPr>
              <w:pStyle w:val="DHHStabletext"/>
            </w:pPr>
            <w:r w:rsidRPr="0098470E">
              <w:t xml:space="preserve">This indicator measures the results of the </w:t>
            </w:r>
            <w:r>
              <w:t>‘</w:t>
            </w:r>
            <w:r w:rsidRPr="0098470E">
              <w:t>yes completely</w:t>
            </w:r>
            <w:r>
              <w:t>’</w:t>
            </w:r>
            <w:r w:rsidRPr="0098470E">
              <w:t xml:space="preserve"> response to the adult inpatient VHES survey question relating to </w:t>
            </w:r>
            <w:r>
              <w:t>‘</w:t>
            </w:r>
            <w:r w:rsidRPr="0098470E">
              <w:t>leaving hospital</w:t>
            </w:r>
            <w:r>
              <w:t>’</w:t>
            </w:r>
            <w:r w:rsidRPr="0098470E">
              <w:t>.</w:t>
            </w:r>
          </w:p>
        </w:tc>
      </w:tr>
      <w:tr w:rsidR="00B64765" w:rsidRPr="0098470E" w14:paraId="0218FD26" w14:textId="77777777" w:rsidTr="00B34932">
        <w:trPr>
          <w:cantSplit/>
        </w:trPr>
        <w:tc>
          <w:tcPr>
            <w:tcW w:w="2532" w:type="dxa"/>
          </w:tcPr>
          <w:p w14:paraId="4BBDE11D" w14:textId="77777777" w:rsidR="00B64765" w:rsidRPr="0098470E" w:rsidRDefault="00B64765" w:rsidP="0022140C">
            <w:pPr>
              <w:pStyle w:val="DHHStabletext"/>
            </w:pPr>
            <w:r>
              <w:t>Numerator</w:t>
            </w:r>
          </w:p>
        </w:tc>
        <w:tc>
          <w:tcPr>
            <w:tcW w:w="6767" w:type="dxa"/>
          </w:tcPr>
          <w:p w14:paraId="4E71E2DC" w14:textId="7E538191" w:rsidR="00B64765" w:rsidRPr="0098470E" w:rsidRDefault="00B64765" w:rsidP="0022140C">
            <w:pPr>
              <w:pStyle w:val="DHHStabletext"/>
            </w:pPr>
            <w:r w:rsidRPr="00DC739B">
              <w:t xml:space="preserve">Weighted sum of </w:t>
            </w:r>
            <w:r>
              <w:t>‘y</w:t>
            </w:r>
            <w:r w:rsidRPr="00DC739B">
              <w:t>es, completely</w:t>
            </w:r>
            <w:r>
              <w:t>’</w:t>
            </w:r>
            <w:r w:rsidRPr="00DC739B">
              <w:t xml:space="preserve"> responses to the question</w:t>
            </w:r>
            <w:r>
              <w:t xml:space="preserve"> ‘</w:t>
            </w:r>
            <w:r w:rsidRPr="00DC739B">
              <w:t>Did hospital staff take your family and home situation into account when planning your discharge?'</w:t>
            </w:r>
            <w:r w:rsidR="006222EC">
              <w:t>.</w:t>
            </w:r>
          </w:p>
        </w:tc>
      </w:tr>
      <w:tr w:rsidR="00B64765" w:rsidRPr="0098470E" w14:paraId="38390B43" w14:textId="77777777" w:rsidTr="00B34932">
        <w:trPr>
          <w:cantSplit/>
        </w:trPr>
        <w:tc>
          <w:tcPr>
            <w:tcW w:w="2532" w:type="dxa"/>
          </w:tcPr>
          <w:p w14:paraId="13B44B83" w14:textId="77777777" w:rsidR="00B64765" w:rsidRPr="0098470E" w:rsidRDefault="00B64765" w:rsidP="0022140C">
            <w:pPr>
              <w:pStyle w:val="DHHStabletext"/>
            </w:pPr>
            <w:r>
              <w:t>Denominator</w:t>
            </w:r>
          </w:p>
        </w:tc>
        <w:tc>
          <w:tcPr>
            <w:tcW w:w="6767" w:type="dxa"/>
          </w:tcPr>
          <w:p w14:paraId="4BBBF474" w14:textId="649E8BAA" w:rsidR="00B64765" w:rsidRDefault="00B64765" w:rsidP="0022140C">
            <w:pPr>
              <w:pStyle w:val="DHHStabletext"/>
            </w:pPr>
            <w:r>
              <w:t>Weighted sum of valid responses to the question ‘Did hospital staff take your family and home situation into account when planning your discharge?'</w:t>
            </w:r>
            <w:r w:rsidR="006222EC">
              <w:t>.</w:t>
            </w:r>
          </w:p>
          <w:p w14:paraId="049DE3CE" w14:textId="3160D97E" w:rsidR="00B64765" w:rsidRPr="0098470E" w:rsidRDefault="00B64765" w:rsidP="0022140C">
            <w:pPr>
              <w:pStyle w:val="DHHStabletext"/>
            </w:pPr>
            <w:r>
              <w:t>Valid responses exclude ‘It was not necessary’</w:t>
            </w:r>
            <w:r w:rsidR="006222EC">
              <w:t>.</w:t>
            </w:r>
          </w:p>
        </w:tc>
      </w:tr>
      <w:tr w:rsidR="00B64765" w:rsidRPr="0098470E" w14:paraId="41410F82" w14:textId="77777777" w:rsidTr="00B34932">
        <w:trPr>
          <w:cantSplit/>
        </w:trPr>
        <w:tc>
          <w:tcPr>
            <w:tcW w:w="2532" w:type="dxa"/>
            <w:hideMark/>
          </w:tcPr>
          <w:p w14:paraId="7F71D05E" w14:textId="77777777" w:rsidR="00B64765" w:rsidRPr="0098470E" w:rsidRDefault="00B64765" w:rsidP="0022140C">
            <w:pPr>
              <w:pStyle w:val="DHHStabletext"/>
            </w:pPr>
            <w:r w:rsidRPr="0098470E">
              <w:t>Risk flag</w:t>
            </w:r>
          </w:p>
        </w:tc>
        <w:tc>
          <w:tcPr>
            <w:tcW w:w="6767" w:type="dxa"/>
          </w:tcPr>
          <w:p w14:paraId="4C53ADD8" w14:textId="6B847D5B" w:rsidR="00B64765" w:rsidRPr="0098470E" w:rsidRDefault="00B64765" w:rsidP="0022140C">
            <w:pPr>
              <w:pStyle w:val="DHHStabletext"/>
            </w:pPr>
            <w:r w:rsidRPr="0098470E">
              <w:t>&lt;</w:t>
            </w:r>
            <w:r w:rsidR="006222EC">
              <w:t xml:space="preserve"> </w:t>
            </w:r>
            <w:r w:rsidRPr="0098470E">
              <w:t xml:space="preserve">70% </w:t>
            </w:r>
          </w:p>
        </w:tc>
      </w:tr>
      <w:tr w:rsidR="002B4ABD" w:rsidRPr="0098470E" w14:paraId="2EB8E836" w14:textId="77777777" w:rsidTr="002B4ABD">
        <w:trPr>
          <w:cantSplit/>
        </w:trPr>
        <w:tc>
          <w:tcPr>
            <w:tcW w:w="2532" w:type="dxa"/>
          </w:tcPr>
          <w:p w14:paraId="77FCD879" w14:textId="77777777" w:rsidR="002B4ABD" w:rsidRPr="0098470E" w:rsidRDefault="002B4ABD" w:rsidP="0022140C">
            <w:pPr>
              <w:pStyle w:val="DHHStabletext"/>
            </w:pPr>
            <w:r w:rsidRPr="0098470E">
              <w:t>Achievement</w:t>
            </w:r>
          </w:p>
        </w:tc>
        <w:tc>
          <w:tcPr>
            <w:tcW w:w="6767" w:type="dxa"/>
          </w:tcPr>
          <w:p w14:paraId="165EE145" w14:textId="77777777" w:rsidR="002B4ABD" w:rsidRPr="0098470E" w:rsidRDefault="002B4ABD" w:rsidP="00660D47">
            <w:pPr>
              <w:pStyle w:val="DHHStabletext92mmtab"/>
            </w:pPr>
            <w:r w:rsidRPr="0098470E">
              <w:t>Equal to or above 70%</w:t>
            </w:r>
            <w:r>
              <w:tab/>
              <w:t>Achieved</w:t>
            </w:r>
          </w:p>
          <w:p w14:paraId="1AEDC55B" w14:textId="50F4DD46" w:rsidR="002B4ABD" w:rsidRPr="0098470E" w:rsidRDefault="002B4ABD" w:rsidP="00660D47">
            <w:pPr>
              <w:pStyle w:val="DHHStabletext92mmtab"/>
            </w:pPr>
            <w:r w:rsidRPr="0098470E">
              <w:t>Below 70%</w:t>
            </w:r>
            <w:r>
              <w:tab/>
              <w:t>Not achieved</w:t>
            </w:r>
          </w:p>
        </w:tc>
      </w:tr>
    </w:tbl>
    <w:p w14:paraId="7445D9DA" w14:textId="77777777" w:rsidR="00660D47" w:rsidRPr="00660D47" w:rsidRDefault="00660D47" w:rsidP="00660D47">
      <w:pPr>
        <w:pStyle w:val="DHHSbody"/>
      </w:pPr>
      <w:r w:rsidRPr="00660D47">
        <w:br w:type="page"/>
      </w:r>
    </w:p>
    <w:p w14:paraId="0AF55C62" w14:textId="25351F0B" w:rsidR="001D6724" w:rsidRPr="00B34932" w:rsidRDefault="00961723" w:rsidP="00961723">
      <w:pPr>
        <w:pStyle w:val="DHHStablecaption"/>
      </w:pPr>
      <w:r>
        <w:lastRenderedPageBreak/>
        <w:t xml:space="preserve">Indicator: </w:t>
      </w:r>
      <w:r w:rsidR="00883FA1" w:rsidRPr="0098470E">
        <w:t>Question 71</w:t>
      </w:r>
      <w:r w:rsidR="00A73E40">
        <w:t xml:space="preserve"> – </w:t>
      </w:r>
      <w:r w:rsidR="00883FA1" w:rsidRPr="0098470E">
        <w:t>Thinking about when you left hospital, were adequate arrangements made by the hospital for any services you needed? (e.g. transport, meals, mobility aids)</w:t>
      </w:r>
    </w:p>
    <w:tbl>
      <w:tblPr>
        <w:tblStyle w:val="TableGrid"/>
        <w:tblW w:w="9299" w:type="dxa"/>
        <w:tblLook w:val="06A0" w:firstRow="1" w:lastRow="0" w:firstColumn="1" w:lastColumn="0" w:noHBand="1" w:noVBand="1"/>
      </w:tblPr>
      <w:tblGrid>
        <w:gridCol w:w="2532"/>
        <w:gridCol w:w="6767"/>
      </w:tblGrid>
      <w:tr w:rsidR="00D97737" w:rsidRPr="0098470E" w14:paraId="5B5D3B63"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32" w:type="dxa"/>
          </w:tcPr>
          <w:p w14:paraId="01E5C6FD" w14:textId="2099F961" w:rsidR="00D97737" w:rsidRPr="00A15D08" w:rsidRDefault="00D97737" w:rsidP="00D97737">
            <w:pPr>
              <w:pStyle w:val="DHHStablecolhead"/>
            </w:pPr>
            <w:r>
              <w:t>Element</w:t>
            </w:r>
          </w:p>
        </w:tc>
        <w:tc>
          <w:tcPr>
            <w:tcW w:w="6767" w:type="dxa"/>
          </w:tcPr>
          <w:p w14:paraId="670F91E7" w14:textId="0FF899C1" w:rsidR="00D97737" w:rsidRPr="0098470E" w:rsidRDefault="00D97737" w:rsidP="00D97737">
            <w:pPr>
              <w:pStyle w:val="DHHStablecolhead"/>
            </w:pPr>
            <w:r>
              <w:t>Details</w:t>
            </w:r>
          </w:p>
        </w:tc>
      </w:tr>
      <w:tr w:rsidR="001D6724" w:rsidRPr="0098470E" w14:paraId="6A141D0E" w14:textId="77777777" w:rsidTr="00B34932">
        <w:trPr>
          <w:cantSplit/>
        </w:trPr>
        <w:tc>
          <w:tcPr>
            <w:tcW w:w="2532" w:type="dxa"/>
            <w:hideMark/>
          </w:tcPr>
          <w:p w14:paraId="22BC2819" w14:textId="77777777" w:rsidR="001D6724" w:rsidRPr="0098470E" w:rsidRDefault="001D6724" w:rsidP="0022140C">
            <w:pPr>
              <w:pStyle w:val="DHHStabletext"/>
            </w:pPr>
            <w:r w:rsidRPr="0098470E">
              <w:t>Description</w:t>
            </w:r>
          </w:p>
        </w:tc>
        <w:tc>
          <w:tcPr>
            <w:tcW w:w="6767" w:type="dxa"/>
            <w:hideMark/>
          </w:tcPr>
          <w:p w14:paraId="275B0679" w14:textId="77777777" w:rsidR="001D6724" w:rsidRPr="0098470E" w:rsidRDefault="001D6724" w:rsidP="0022140C">
            <w:pPr>
              <w:pStyle w:val="DHHStabletext"/>
            </w:pPr>
            <w:r w:rsidRPr="0098470E">
              <w:t xml:space="preserve">This indicator measures the results of the </w:t>
            </w:r>
            <w:r>
              <w:t>‘</w:t>
            </w:r>
            <w:r w:rsidRPr="0098470E">
              <w:t>yes completely</w:t>
            </w:r>
            <w:r>
              <w:t>’</w:t>
            </w:r>
            <w:r w:rsidRPr="0098470E">
              <w:t xml:space="preserve"> response to the adult inpatient VHES survey question relating to </w:t>
            </w:r>
            <w:r>
              <w:t>‘</w:t>
            </w:r>
            <w:r w:rsidRPr="0098470E">
              <w:t>leaving hospital</w:t>
            </w:r>
            <w:r>
              <w:t>’</w:t>
            </w:r>
            <w:r w:rsidRPr="0098470E">
              <w:t>.</w:t>
            </w:r>
          </w:p>
        </w:tc>
      </w:tr>
      <w:tr w:rsidR="001D6724" w:rsidRPr="0098470E" w14:paraId="7BB02A1C" w14:textId="77777777" w:rsidTr="00B34932">
        <w:trPr>
          <w:cantSplit/>
        </w:trPr>
        <w:tc>
          <w:tcPr>
            <w:tcW w:w="2532" w:type="dxa"/>
          </w:tcPr>
          <w:p w14:paraId="20AB9EC5" w14:textId="77777777" w:rsidR="001D6724" w:rsidRPr="0098470E" w:rsidRDefault="001D6724" w:rsidP="0022140C">
            <w:pPr>
              <w:pStyle w:val="DHHStabletext"/>
            </w:pPr>
            <w:r>
              <w:t>Numerator</w:t>
            </w:r>
          </w:p>
        </w:tc>
        <w:tc>
          <w:tcPr>
            <w:tcW w:w="6767" w:type="dxa"/>
          </w:tcPr>
          <w:p w14:paraId="72F6A8A1" w14:textId="3E8C126D" w:rsidR="001D6724" w:rsidRPr="0098470E" w:rsidRDefault="001D6724" w:rsidP="0022140C">
            <w:pPr>
              <w:pStyle w:val="DHHStabletext"/>
            </w:pPr>
            <w:r w:rsidRPr="00DC739B">
              <w:t xml:space="preserve">Weighted sum of </w:t>
            </w:r>
            <w:r>
              <w:t>‘y</w:t>
            </w:r>
            <w:r w:rsidRPr="00DC739B">
              <w:t>es, completely</w:t>
            </w:r>
            <w:r>
              <w:t>’</w:t>
            </w:r>
            <w:r w:rsidRPr="00DC739B">
              <w:t xml:space="preserve"> responses to the question</w:t>
            </w:r>
            <w:r>
              <w:t xml:space="preserve"> ‘</w:t>
            </w:r>
            <w:r w:rsidRPr="00DC739B">
              <w:t>Thinking about when you left hospital, were adequate arrangements made by the hospital for any services you needed?'</w:t>
            </w:r>
            <w:r w:rsidR="006222EC">
              <w:t>.</w:t>
            </w:r>
          </w:p>
        </w:tc>
      </w:tr>
      <w:tr w:rsidR="001D6724" w:rsidRPr="0098470E" w14:paraId="46C69E7F" w14:textId="77777777" w:rsidTr="00B34932">
        <w:trPr>
          <w:cantSplit/>
        </w:trPr>
        <w:tc>
          <w:tcPr>
            <w:tcW w:w="2532" w:type="dxa"/>
          </w:tcPr>
          <w:p w14:paraId="304C7DAB" w14:textId="77777777" w:rsidR="001D6724" w:rsidRPr="0098470E" w:rsidRDefault="001D6724" w:rsidP="0022140C">
            <w:pPr>
              <w:pStyle w:val="DHHStabletext"/>
            </w:pPr>
            <w:r>
              <w:t>Denominator</w:t>
            </w:r>
          </w:p>
        </w:tc>
        <w:tc>
          <w:tcPr>
            <w:tcW w:w="6767" w:type="dxa"/>
          </w:tcPr>
          <w:p w14:paraId="5184F690" w14:textId="1109D5E2" w:rsidR="001D6724" w:rsidRDefault="001D6724" w:rsidP="0022140C">
            <w:pPr>
              <w:pStyle w:val="DHHStabletext"/>
            </w:pPr>
            <w:r>
              <w:t>Weighted sum of the valid responses to the question ‘Thinking about when you left hospital, were adequate arrangements made by the hospital for any services you needed?’</w:t>
            </w:r>
            <w:r w:rsidR="006222EC">
              <w:t>.</w:t>
            </w:r>
          </w:p>
          <w:p w14:paraId="74F3C482" w14:textId="759A26F3" w:rsidR="001D6724" w:rsidRPr="0098470E" w:rsidRDefault="001D6724" w:rsidP="0022140C">
            <w:pPr>
              <w:pStyle w:val="DHHStabletext"/>
            </w:pPr>
            <w:r>
              <w:t>Valid responses exclude ‘I did not need any services’</w:t>
            </w:r>
            <w:r w:rsidR="006222EC">
              <w:t>.</w:t>
            </w:r>
          </w:p>
        </w:tc>
      </w:tr>
      <w:tr w:rsidR="001D6724" w:rsidRPr="0098470E" w14:paraId="35AE34D1" w14:textId="77777777" w:rsidTr="00B34932">
        <w:trPr>
          <w:cantSplit/>
        </w:trPr>
        <w:tc>
          <w:tcPr>
            <w:tcW w:w="2532" w:type="dxa"/>
            <w:hideMark/>
          </w:tcPr>
          <w:p w14:paraId="4CBB3DEF" w14:textId="77777777" w:rsidR="001D6724" w:rsidRPr="0098470E" w:rsidRDefault="001D6724" w:rsidP="0022140C">
            <w:pPr>
              <w:pStyle w:val="DHHStabletext"/>
            </w:pPr>
            <w:r w:rsidRPr="0098470E">
              <w:t>Risk flag</w:t>
            </w:r>
          </w:p>
        </w:tc>
        <w:tc>
          <w:tcPr>
            <w:tcW w:w="6767" w:type="dxa"/>
          </w:tcPr>
          <w:p w14:paraId="4643E4D2" w14:textId="35D53D47" w:rsidR="001D6724" w:rsidRPr="0098470E" w:rsidRDefault="001D6724" w:rsidP="0022140C">
            <w:pPr>
              <w:pStyle w:val="DHHStabletext"/>
            </w:pPr>
            <w:r w:rsidRPr="0098470E">
              <w:t>&lt;</w:t>
            </w:r>
            <w:r w:rsidR="006222EC">
              <w:t xml:space="preserve"> </w:t>
            </w:r>
            <w:r w:rsidRPr="0098470E">
              <w:t xml:space="preserve">65% </w:t>
            </w:r>
          </w:p>
        </w:tc>
      </w:tr>
      <w:tr w:rsidR="002B4ABD" w:rsidRPr="0098470E" w14:paraId="04A07AD6" w14:textId="77777777" w:rsidTr="002B4ABD">
        <w:trPr>
          <w:cantSplit/>
        </w:trPr>
        <w:tc>
          <w:tcPr>
            <w:tcW w:w="2532" w:type="dxa"/>
          </w:tcPr>
          <w:p w14:paraId="772CF84F" w14:textId="77777777" w:rsidR="002B4ABD" w:rsidRPr="0098470E" w:rsidRDefault="002B4ABD" w:rsidP="0022140C">
            <w:pPr>
              <w:pStyle w:val="DHHStabletext"/>
            </w:pPr>
            <w:r w:rsidRPr="0098470E">
              <w:t>Achievement</w:t>
            </w:r>
          </w:p>
        </w:tc>
        <w:tc>
          <w:tcPr>
            <w:tcW w:w="6767" w:type="dxa"/>
          </w:tcPr>
          <w:p w14:paraId="31BAFB59" w14:textId="77777777" w:rsidR="002B4ABD" w:rsidRPr="0098470E" w:rsidRDefault="002B4ABD" w:rsidP="00660D47">
            <w:pPr>
              <w:pStyle w:val="DHHStabletext92mmtab"/>
            </w:pPr>
            <w:r w:rsidRPr="0098470E">
              <w:t>Equal to or above 65%</w:t>
            </w:r>
            <w:r>
              <w:tab/>
              <w:t>Achieved</w:t>
            </w:r>
          </w:p>
          <w:p w14:paraId="6FFE2A0F" w14:textId="6D495521" w:rsidR="002B4ABD" w:rsidRPr="0098470E" w:rsidRDefault="002B4ABD" w:rsidP="00660D47">
            <w:pPr>
              <w:pStyle w:val="DHHStabletext92mmtab"/>
            </w:pPr>
            <w:r w:rsidRPr="0098470E">
              <w:t>Below 65%</w:t>
            </w:r>
            <w:r>
              <w:tab/>
              <w:t>Not achieved</w:t>
            </w:r>
          </w:p>
        </w:tc>
      </w:tr>
    </w:tbl>
    <w:p w14:paraId="6DC62D51" w14:textId="59FA5BB8" w:rsidR="00236FCE" w:rsidRDefault="00921922" w:rsidP="00B34932">
      <w:pPr>
        <w:pStyle w:val="Heading4"/>
      </w:pPr>
      <w:bookmarkStart w:id="67" w:name="_Toc15580083"/>
      <w:r w:rsidRPr="0098470E">
        <w:t>Perception of cleanliness</w:t>
      </w:r>
      <w:bookmarkStart w:id="68" w:name="_Toc517959127"/>
      <w:bookmarkEnd w:id="67"/>
    </w:p>
    <w:p w14:paraId="749D9648" w14:textId="2C205334" w:rsidR="00961723" w:rsidRPr="00961723" w:rsidRDefault="00961723" w:rsidP="00961723">
      <w:pPr>
        <w:pStyle w:val="DHHStablecaption"/>
      </w:pPr>
      <w:r>
        <w:t xml:space="preserve">Indicator: </w:t>
      </w:r>
      <w:r w:rsidR="00883FA1" w:rsidRPr="00F46FC8">
        <w:t>Patient perception of hospital cleanliness</w:t>
      </w:r>
    </w:p>
    <w:tbl>
      <w:tblPr>
        <w:tblStyle w:val="TableGrid"/>
        <w:tblW w:w="9299" w:type="dxa"/>
        <w:tblLook w:val="06A0" w:firstRow="1" w:lastRow="0" w:firstColumn="1" w:lastColumn="0" w:noHBand="1" w:noVBand="1"/>
      </w:tblPr>
      <w:tblGrid>
        <w:gridCol w:w="2531"/>
        <w:gridCol w:w="6768"/>
      </w:tblGrid>
      <w:tr w:rsidR="00D97737" w:rsidRPr="0098470E" w14:paraId="3BCC7F9D"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31" w:type="dxa"/>
          </w:tcPr>
          <w:p w14:paraId="66C58132" w14:textId="22BA430C" w:rsidR="00D97737" w:rsidRPr="00F46FC8" w:rsidRDefault="00D97737" w:rsidP="00D97737">
            <w:pPr>
              <w:pStyle w:val="DHHStablecolhead"/>
            </w:pPr>
            <w:r>
              <w:t>Element</w:t>
            </w:r>
          </w:p>
        </w:tc>
        <w:tc>
          <w:tcPr>
            <w:tcW w:w="6768" w:type="dxa"/>
          </w:tcPr>
          <w:p w14:paraId="41FA5645" w14:textId="5B11E0A3" w:rsidR="00D97737" w:rsidRPr="00F46FC8" w:rsidRDefault="00D97737" w:rsidP="00D97737">
            <w:pPr>
              <w:pStyle w:val="DHHStablecolhead"/>
            </w:pPr>
            <w:r>
              <w:t>Details</w:t>
            </w:r>
          </w:p>
        </w:tc>
      </w:tr>
      <w:tr w:rsidR="00236FCE" w:rsidRPr="0098470E" w14:paraId="35D549EC" w14:textId="77777777" w:rsidTr="00B34932">
        <w:trPr>
          <w:cantSplit/>
        </w:trPr>
        <w:tc>
          <w:tcPr>
            <w:tcW w:w="2531" w:type="dxa"/>
            <w:hideMark/>
          </w:tcPr>
          <w:p w14:paraId="2F488F1D" w14:textId="77777777" w:rsidR="00236FCE" w:rsidRPr="0098470E" w:rsidRDefault="00236FCE" w:rsidP="0022140C">
            <w:pPr>
              <w:pStyle w:val="DHHStabletext"/>
            </w:pPr>
            <w:r w:rsidRPr="0098470E">
              <w:t>Description</w:t>
            </w:r>
          </w:p>
        </w:tc>
        <w:tc>
          <w:tcPr>
            <w:tcW w:w="6768" w:type="dxa"/>
          </w:tcPr>
          <w:p w14:paraId="0DA726A7" w14:textId="77777777" w:rsidR="00236FCE" w:rsidRDefault="00236FCE" w:rsidP="0022140C">
            <w:pPr>
              <w:pStyle w:val="DHHStabletext"/>
            </w:pPr>
            <w:r w:rsidRPr="0098470E">
              <w:t>Measures the average sum of the very positive (</w:t>
            </w:r>
            <w:r>
              <w:t>‘</w:t>
            </w:r>
            <w:r w:rsidRPr="0098470E">
              <w:t>very clean</w:t>
            </w:r>
            <w:r>
              <w:t>’</w:t>
            </w:r>
            <w:r w:rsidRPr="0098470E">
              <w:t>) responses to the following two questions from the adult inpatient VHES relating to patient reported cleanliness:</w:t>
            </w:r>
          </w:p>
          <w:p w14:paraId="60828359" w14:textId="77777777" w:rsidR="00236FCE" w:rsidRDefault="00236FCE" w:rsidP="0022140C">
            <w:pPr>
              <w:pStyle w:val="DHHStabletext"/>
            </w:pPr>
            <w:r w:rsidRPr="0098470E">
              <w:t>Question 12: In your opinion, how clean was the hospital room or ward that you were in?</w:t>
            </w:r>
          </w:p>
          <w:p w14:paraId="09F5CD65" w14:textId="351BCBFA" w:rsidR="00236FCE" w:rsidRPr="0098470E" w:rsidRDefault="00236FCE" w:rsidP="0022140C">
            <w:pPr>
              <w:pStyle w:val="DHHStabletext"/>
            </w:pPr>
            <w:r w:rsidRPr="0098470E">
              <w:t>Question 13: How clean were the toilets and bathrooms that you used in hospital?</w:t>
            </w:r>
          </w:p>
        </w:tc>
      </w:tr>
      <w:tr w:rsidR="00236FCE" w:rsidRPr="0098470E" w14:paraId="193959FA" w14:textId="77777777" w:rsidTr="00B34932">
        <w:trPr>
          <w:cantSplit/>
        </w:trPr>
        <w:tc>
          <w:tcPr>
            <w:tcW w:w="2531" w:type="dxa"/>
          </w:tcPr>
          <w:p w14:paraId="5281BF58" w14:textId="77777777" w:rsidR="00236FCE" w:rsidRPr="0098470E" w:rsidRDefault="00236FCE" w:rsidP="0022140C">
            <w:pPr>
              <w:pStyle w:val="DHHStabletext"/>
            </w:pPr>
            <w:r>
              <w:t>Numerator</w:t>
            </w:r>
          </w:p>
        </w:tc>
        <w:tc>
          <w:tcPr>
            <w:tcW w:w="6768" w:type="dxa"/>
          </w:tcPr>
          <w:p w14:paraId="66C4713F" w14:textId="48A3CAB0" w:rsidR="00236FCE" w:rsidRPr="0098470E" w:rsidRDefault="00236FCE" w:rsidP="0022140C">
            <w:pPr>
              <w:pStyle w:val="DHHStabletext"/>
            </w:pPr>
            <w:r>
              <w:t xml:space="preserve">Sum of (weighted) percent </w:t>
            </w:r>
            <w:r w:rsidRPr="00AF772E">
              <w:t>of ‘</w:t>
            </w:r>
            <w:r>
              <w:t>v</w:t>
            </w:r>
            <w:r w:rsidRPr="00AF772E">
              <w:t xml:space="preserve">ery </w:t>
            </w:r>
            <w:r>
              <w:t>clean</w:t>
            </w:r>
            <w:r w:rsidRPr="00AF772E">
              <w:t xml:space="preserve">’ responses to </w:t>
            </w:r>
            <w:r>
              <w:t xml:space="preserve">the </w:t>
            </w:r>
            <w:r w:rsidRPr="00AF772E">
              <w:t>question</w:t>
            </w:r>
            <w:r>
              <w:t>s</w:t>
            </w:r>
            <w:r w:rsidRPr="00AF772E">
              <w:t xml:space="preserve"> </w:t>
            </w:r>
            <w:r>
              <w:t>‘In your opinion, h</w:t>
            </w:r>
            <w:r w:rsidRPr="00AF772E">
              <w:t>ow clean was the hospital room or ward that you were in?</w:t>
            </w:r>
            <w:r>
              <w:t>’ and ‘</w:t>
            </w:r>
            <w:r w:rsidRPr="00AF772E">
              <w:t>How clean were the toilets and bathrooms that you used in hospital?</w:t>
            </w:r>
            <w:r>
              <w:t>’</w:t>
            </w:r>
            <w:r w:rsidR="008E1D86">
              <w:t>.</w:t>
            </w:r>
          </w:p>
        </w:tc>
      </w:tr>
      <w:tr w:rsidR="00236FCE" w:rsidRPr="0098470E" w14:paraId="1725A9C4" w14:textId="77777777" w:rsidTr="00B34932">
        <w:trPr>
          <w:cantSplit/>
        </w:trPr>
        <w:tc>
          <w:tcPr>
            <w:tcW w:w="2531" w:type="dxa"/>
          </w:tcPr>
          <w:p w14:paraId="483D885D" w14:textId="77777777" w:rsidR="00236FCE" w:rsidRPr="0098470E" w:rsidRDefault="00236FCE" w:rsidP="0022140C">
            <w:pPr>
              <w:pStyle w:val="DHHStabletext"/>
            </w:pPr>
            <w:r>
              <w:t>Denominator</w:t>
            </w:r>
          </w:p>
        </w:tc>
        <w:tc>
          <w:tcPr>
            <w:tcW w:w="6768" w:type="dxa"/>
          </w:tcPr>
          <w:p w14:paraId="0A14A852" w14:textId="75FDAE91" w:rsidR="00236FCE" w:rsidRDefault="00236FCE" w:rsidP="0022140C">
            <w:pPr>
              <w:pStyle w:val="DHHStabletext"/>
            </w:pPr>
            <w:r>
              <w:t>Sum of valid responses to the questions ‘In your opinion, h</w:t>
            </w:r>
            <w:r w:rsidRPr="00AF772E">
              <w:t>ow clean was the hospital room or ward that you were in?</w:t>
            </w:r>
            <w:r>
              <w:t>’ and ‘</w:t>
            </w:r>
            <w:r w:rsidRPr="00AF772E">
              <w:t>How clean were the toilets and bathrooms that you used in hospital?</w:t>
            </w:r>
            <w:r>
              <w:t>’</w:t>
            </w:r>
            <w:r w:rsidR="008E1D86">
              <w:t>.</w:t>
            </w:r>
          </w:p>
          <w:p w14:paraId="558A00C5" w14:textId="77777777" w:rsidR="00236FCE" w:rsidRDefault="00236FCE" w:rsidP="0022140C">
            <w:pPr>
              <w:pStyle w:val="DHHStabletext"/>
            </w:pPr>
            <w:r>
              <w:t>The denominator excludes:</w:t>
            </w:r>
          </w:p>
          <w:p w14:paraId="2A4C5B23" w14:textId="77777777" w:rsidR="00236FCE" w:rsidRDefault="00236FCE" w:rsidP="00B34932">
            <w:pPr>
              <w:pStyle w:val="DHHStablebullet1"/>
            </w:pPr>
            <w:r>
              <w:t>Invalid responses to either question</w:t>
            </w:r>
          </w:p>
          <w:p w14:paraId="4E5111D3" w14:textId="201ED768" w:rsidR="00236FCE" w:rsidRPr="0098470E" w:rsidRDefault="00236FCE" w:rsidP="00B34932">
            <w:pPr>
              <w:pStyle w:val="DHHStablebullet1"/>
            </w:pPr>
            <w:r>
              <w:t>Responses of ‘</w:t>
            </w:r>
            <w:r w:rsidRPr="00AB608F">
              <w:t>I did not use a toilet or bathroom</w:t>
            </w:r>
            <w:r>
              <w:t>’ to the question ‘</w:t>
            </w:r>
            <w:r w:rsidRPr="00AB608F">
              <w:t>How clean were the toilets and bathrooms that you used in hospital?</w:t>
            </w:r>
            <w:r>
              <w:t>’</w:t>
            </w:r>
            <w:r w:rsidR="008E1D86">
              <w:t>.</w:t>
            </w:r>
          </w:p>
        </w:tc>
      </w:tr>
      <w:tr w:rsidR="00236FCE" w:rsidRPr="0098470E" w14:paraId="3E0BC29F" w14:textId="77777777" w:rsidTr="00B34932">
        <w:trPr>
          <w:cantSplit/>
        </w:trPr>
        <w:tc>
          <w:tcPr>
            <w:tcW w:w="2531" w:type="dxa"/>
            <w:hideMark/>
          </w:tcPr>
          <w:p w14:paraId="1AEE7D14" w14:textId="77777777" w:rsidR="00236FCE" w:rsidRPr="0098470E" w:rsidRDefault="00236FCE" w:rsidP="0022140C">
            <w:pPr>
              <w:pStyle w:val="DHHStabletext"/>
            </w:pPr>
            <w:r w:rsidRPr="0098470E">
              <w:t xml:space="preserve">Statewide target </w:t>
            </w:r>
          </w:p>
        </w:tc>
        <w:tc>
          <w:tcPr>
            <w:tcW w:w="6768" w:type="dxa"/>
            <w:hideMark/>
          </w:tcPr>
          <w:p w14:paraId="4A411692" w14:textId="77777777" w:rsidR="00236FCE" w:rsidRPr="0054030C" w:rsidRDefault="00236FCE" w:rsidP="0022140C">
            <w:pPr>
              <w:pStyle w:val="DHHStabletext"/>
              <w:rPr>
                <w:rFonts w:cs="Arial"/>
              </w:rPr>
            </w:pPr>
            <w:r w:rsidRPr="00DB06A2">
              <w:rPr>
                <w:rFonts w:cs="Arial"/>
              </w:rPr>
              <w:t>≥</w:t>
            </w:r>
            <w:r>
              <w:rPr>
                <w:rFonts w:cs="Arial"/>
              </w:rPr>
              <w:t xml:space="preserve"> </w:t>
            </w:r>
            <w:r w:rsidRPr="00AB657C">
              <w:t>70%</w:t>
            </w:r>
          </w:p>
        </w:tc>
      </w:tr>
      <w:tr w:rsidR="002B4ABD" w:rsidRPr="0098470E" w14:paraId="0196235D" w14:textId="77777777" w:rsidTr="002B4ABD">
        <w:trPr>
          <w:cantSplit/>
        </w:trPr>
        <w:tc>
          <w:tcPr>
            <w:tcW w:w="2531" w:type="dxa"/>
          </w:tcPr>
          <w:p w14:paraId="64361099" w14:textId="77777777" w:rsidR="002B4ABD" w:rsidRPr="0098470E" w:rsidRDefault="002B4ABD" w:rsidP="0022140C">
            <w:pPr>
              <w:pStyle w:val="DHHStabletext"/>
            </w:pPr>
            <w:r w:rsidRPr="0098470E">
              <w:t>Achievement</w:t>
            </w:r>
          </w:p>
        </w:tc>
        <w:tc>
          <w:tcPr>
            <w:tcW w:w="6768" w:type="dxa"/>
          </w:tcPr>
          <w:p w14:paraId="4BDC9D39" w14:textId="77777777" w:rsidR="002B4ABD" w:rsidRPr="0098470E" w:rsidRDefault="002B4ABD" w:rsidP="00660D47">
            <w:pPr>
              <w:pStyle w:val="DHHStabletext92mmtab"/>
            </w:pPr>
            <w:r w:rsidRPr="0098470E">
              <w:t>Equal to or above 70%</w:t>
            </w:r>
            <w:r>
              <w:tab/>
              <w:t>Achieved</w:t>
            </w:r>
          </w:p>
          <w:p w14:paraId="4F0B5A5B" w14:textId="698867B3" w:rsidR="002B4ABD" w:rsidRPr="0098470E" w:rsidRDefault="002B4ABD" w:rsidP="00660D47">
            <w:pPr>
              <w:pStyle w:val="DHHStabletext92mmtab"/>
            </w:pPr>
            <w:r w:rsidRPr="0098470E">
              <w:t>Below 70%</w:t>
            </w:r>
            <w:r>
              <w:tab/>
              <w:t>Not achieved</w:t>
            </w:r>
          </w:p>
        </w:tc>
      </w:tr>
    </w:tbl>
    <w:p w14:paraId="5E9D399E" w14:textId="1A2F9FDF" w:rsidR="00921922" w:rsidRDefault="00921922" w:rsidP="00EA5FA2">
      <w:pPr>
        <w:pStyle w:val="Heading4"/>
      </w:pPr>
      <w:bookmarkStart w:id="69" w:name="_Toc15580084"/>
      <w:r w:rsidRPr="0098470E">
        <w:lastRenderedPageBreak/>
        <w:t>Forensicare patient experience</w:t>
      </w:r>
      <w:bookmarkEnd w:id="68"/>
      <w:bookmarkEnd w:id="69"/>
    </w:p>
    <w:p w14:paraId="3014DAD2" w14:textId="7C31A9DA" w:rsidR="00961723" w:rsidRPr="00961723" w:rsidRDefault="00961723" w:rsidP="00961723">
      <w:pPr>
        <w:pStyle w:val="DHHStablecaption"/>
      </w:pPr>
      <w:r>
        <w:t xml:space="preserve">Indicator: </w:t>
      </w:r>
      <w:r w:rsidR="00883FA1">
        <w:t>I</w:t>
      </w:r>
      <w:r w:rsidR="00883FA1" w:rsidRPr="0098470E">
        <w:t>npatient</w:t>
      </w:r>
      <w:r w:rsidR="00883FA1">
        <w:t>’</w:t>
      </w:r>
      <w:r w:rsidR="00883FA1" w:rsidRPr="0098470E">
        <w:t>s overall experience at Thomas Embling Hospital</w:t>
      </w:r>
      <w:r w:rsidR="002734AB">
        <w:t xml:space="preserve"> (TEH)</w:t>
      </w:r>
    </w:p>
    <w:tbl>
      <w:tblPr>
        <w:tblStyle w:val="TableGrid"/>
        <w:tblW w:w="9299" w:type="dxa"/>
        <w:tblLook w:val="06A0" w:firstRow="1" w:lastRow="0" w:firstColumn="1" w:lastColumn="0" w:noHBand="1" w:noVBand="1"/>
      </w:tblPr>
      <w:tblGrid>
        <w:gridCol w:w="2556"/>
        <w:gridCol w:w="6743"/>
      </w:tblGrid>
      <w:tr w:rsidR="00D97737" w:rsidRPr="0098470E" w14:paraId="08E3F591" w14:textId="77777777" w:rsidTr="00883FA1">
        <w:trPr>
          <w:cnfStyle w:val="100000000000" w:firstRow="1" w:lastRow="0" w:firstColumn="0" w:lastColumn="0" w:oddVBand="0" w:evenVBand="0" w:oddHBand="0" w:evenHBand="0" w:firstRowFirstColumn="0" w:firstRowLastColumn="0" w:lastRowFirstColumn="0" w:lastRowLastColumn="0"/>
          <w:cantSplit/>
          <w:tblHeader/>
        </w:trPr>
        <w:tc>
          <w:tcPr>
            <w:tcW w:w="2556" w:type="dxa"/>
          </w:tcPr>
          <w:p w14:paraId="50B83844" w14:textId="499DE480" w:rsidR="00D97737" w:rsidRPr="0098470E" w:rsidRDefault="00D97737" w:rsidP="00D97737">
            <w:pPr>
              <w:pStyle w:val="DHHStablecolhead"/>
            </w:pPr>
            <w:r>
              <w:t>Element</w:t>
            </w:r>
          </w:p>
        </w:tc>
        <w:tc>
          <w:tcPr>
            <w:tcW w:w="6743" w:type="dxa"/>
          </w:tcPr>
          <w:p w14:paraId="465368B0" w14:textId="2FF11606" w:rsidR="00D97737" w:rsidRPr="0098470E" w:rsidRDefault="00D97737" w:rsidP="00D97737">
            <w:pPr>
              <w:pStyle w:val="DHHStablecolhead"/>
            </w:pPr>
            <w:r>
              <w:t>Details</w:t>
            </w:r>
          </w:p>
        </w:tc>
      </w:tr>
      <w:tr w:rsidR="00921922" w:rsidRPr="0098470E" w14:paraId="5572AB6F" w14:textId="77777777" w:rsidTr="00883FA1">
        <w:trPr>
          <w:cantSplit/>
        </w:trPr>
        <w:tc>
          <w:tcPr>
            <w:tcW w:w="2556" w:type="dxa"/>
          </w:tcPr>
          <w:p w14:paraId="2C50760C" w14:textId="77777777" w:rsidR="00921922" w:rsidRPr="0098470E" w:rsidRDefault="00921922" w:rsidP="00603215">
            <w:pPr>
              <w:pStyle w:val="DHHStabletext"/>
            </w:pPr>
            <w:r>
              <w:t xml:space="preserve">Description </w:t>
            </w:r>
          </w:p>
        </w:tc>
        <w:tc>
          <w:tcPr>
            <w:tcW w:w="6743" w:type="dxa"/>
          </w:tcPr>
          <w:p w14:paraId="25CD70F2" w14:textId="118CD2F9" w:rsidR="00921922" w:rsidRPr="0098470E" w:rsidRDefault="00921922" w:rsidP="00603215">
            <w:pPr>
              <w:pStyle w:val="DHHStabletext"/>
            </w:pPr>
            <w:r>
              <w:t xml:space="preserve">This indicator measures the results of the ‘excellent’, ‘very good’ and ‘good’ responses to the question ‘Overall, how would you rate your experience of care?’ in the annual </w:t>
            </w:r>
            <w:r w:rsidR="002734AB">
              <w:t>TEH</w:t>
            </w:r>
            <w:r>
              <w:t xml:space="preserve"> consumer survey.</w:t>
            </w:r>
          </w:p>
        </w:tc>
      </w:tr>
      <w:tr w:rsidR="00921922" w:rsidRPr="0098470E" w14:paraId="6DB58B80" w14:textId="77777777" w:rsidTr="00883FA1">
        <w:trPr>
          <w:cantSplit/>
        </w:trPr>
        <w:tc>
          <w:tcPr>
            <w:tcW w:w="2556" w:type="dxa"/>
          </w:tcPr>
          <w:p w14:paraId="2B27B205" w14:textId="77777777" w:rsidR="00921922" w:rsidRPr="0098470E" w:rsidRDefault="00921922" w:rsidP="00603215">
            <w:pPr>
              <w:pStyle w:val="DHHStabletext"/>
            </w:pPr>
            <w:r>
              <w:t>Calculating performance</w:t>
            </w:r>
          </w:p>
        </w:tc>
        <w:tc>
          <w:tcPr>
            <w:tcW w:w="6743" w:type="dxa"/>
          </w:tcPr>
          <w:p w14:paraId="2CE5247D" w14:textId="77777777" w:rsidR="00921922" w:rsidRPr="009B6337" w:rsidRDefault="00921922" w:rsidP="00603215">
            <w:pPr>
              <w:pStyle w:val="DHHStabletext"/>
            </w:pPr>
            <w:r w:rsidRPr="005B2B38">
              <w:t>This indicator is measur</w:t>
            </w:r>
            <w:r>
              <w:t>ed at the health service level.</w:t>
            </w:r>
          </w:p>
        </w:tc>
      </w:tr>
      <w:tr w:rsidR="00921922" w:rsidRPr="0098470E" w14:paraId="495E0939" w14:textId="77777777" w:rsidTr="00883FA1">
        <w:trPr>
          <w:cantSplit/>
        </w:trPr>
        <w:tc>
          <w:tcPr>
            <w:tcW w:w="2556" w:type="dxa"/>
          </w:tcPr>
          <w:p w14:paraId="68B5A143" w14:textId="77777777" w:rsidR="00921922" w:rsidRPr="0098470E" w:rsidRDefault="00921922" w:rsidP="00603215">
            <w:pPr>
              <w:pStyle w:val="DHHStabletext"/>
            </w:pPr>
            <w:r>
              <w:t>Numerator</w:t>
            </w:r>
          </w:p>
        </w:tc>
        <w:tc>
          <w:tcPr>
            <w:tcW w:w="6743" w:type="dxa"/>
          </w:tcPr>
          <w:p w14:paraId="1AF8799C" w14:textId="77777777" w:rsidR="00921922" w:rsidRPr="0098470E" w:rsidRDefault="00921922" w:rsidP="00603215">
            <w:pPr>
              <w:pStyle w:val="DHHStabletext"/>
            </w:pPr>
            <w:r>
              <w:t>Total number of survey respondents who answered ‘excellent’, ‘very good’ and ‘good’ to the item.</w:t>
            </w:r>
          </w:p>
        </w:tc>
      </w:tr>
      <w:tr w:rsidR="00921922" w:rsidRPr="0098470E" w14:paraId="11C7698C" w14:textId="77777777" w:rsidTr="00883FA1">
        <w:trPr>
          <w:cantSplit/>
        </w:trPr>
        <w:tc>
          <w:tcPr>
            <w:tcW w:w="2556" w:type="dxa"/>
          </w:tcPr>
          <w:p w14:paraId="3794A859" w14:textId="77777777" w:rsidR="00921922" w:rsidRPr="0098470E" w:rsidRDefault="00921922" w:rsidP="00603215">
            <w:pPr>
              <w:pStyle w:val="DHHStabletext"/>
            </w:pPr>
            <w:r>
              <w:t>Denominator</w:t>
            </w:r>
          </w:p>
        </w:tc>
        <w:tc>
          <w:tcPr>
            <w:tcW w:w="6743" w:type="dxa"/>
          </w:tcPr>
          <w:p w14:paraId="5D0B3399" w14:textId="77777777" w:rsidR="00921922" w:rsidRPr="0098470E" w:rsidRDefault="00921922" w:rsidP="00603215">
            <w:pPr>
              <w:pStyle w:val="DHHStabletext"/>
            </w:pPr>
            <w:r>
              <w:t>Total number of survey respondents.</w:t>
            </w:r>
          </w:p>
        </w:tc>
      </w:tr>
      <w:tr w:rsidR="00921922" w:rsidRPr="0098470E" w14:paraId="41438D1C" w14:textId="77777777" w:rsidTr="00883FA1">
        <w:trPr>
          <w:cantSplit/>
        </w:trPr>
        <w:tc>
          <w:tcPr>
            <w:tcW w:w="2556" w:type="dxa"/>
          </w:tcPr>
          <w:p w14:paraId="2A28E818" w14:textId="77777777" w:rsidR="00921922" w:rsidRPr="0098470E" w:rsidRDefault="00921922" w:rsidP="00603215">
            <w:pPr>
              <w:pStyle w:val="DHHStabletext"/>
            </w:pPr>
            <w:r w:rsidRPr="0098470E">
              <w:t>Statewide target</w:t>
            </w:r>
          </w:p>
        </w:tc>
        <w:tc>
          <w:tcPr>
            <w:tcW w:w="6743" w:type="dxa"/>
          </w:tcPr>
          <w:p w14:paraId="7E5C9816" w14:textId="77777777" w:rsidR="00921922" w:rsidRPr="0054030C" w:rsidRDefault="00921922" w:rsidP="00603215">
            <w:pPr>
              <w:pStyle w:val="DHHStabletext"/>
            </w:pPr>
            <w:r w:rsidRPr="0054030C">
              <w:t>≥</w:t>
            </w:r>
            <w:r>
              <w:t xml:space="preserve"> </w:t>
            </w:r>
            <w:r w:rsidRPr="0054030C">
              <w:t>90%</w:t>
            </w:r>
          </w:p>
        </w:tc>
      </w:tr>
      <w:tr w:rsidR="002B4ABD" w:rsidRPr="0098470E" w14:paraId="7D4016D5" w14:textId="77777777" w:rsidTr="002B4ABD">
        <w:trPr>
          <w:cantSplit/>
        </w:trPr>
        <w:tc>
          <w:tcPr>
            <w:tcW w:w="2556" w:type="dxa"/>
          </w:tcPr>
          <w:p w14:paraId="57895498" w14:textId="77777777" w:rsidR="002B4ABD" w:rsidRPr="0098470E" w:rsidRDefault="002B4ABD" w:rsidP="00603215">
            <w:pPr>
              <w:pStyle w:val="DHHStabletext"/>
            </w:pPr>
            <w:r w:rsidRPr="0098470E">
              <w:t>Achievement</w:t>
            </w:r>
          </w:p>
        </w:tc>
        <w:tc>
          <w:tcPr>
            <w:tcW w:w="6743" w:type="dxa"/>
          </w:tcPr>
          <w:p w14:paraId="06A3C53F" w14:textId="77777777" w:rsidR="002B4ABD" w:rsidRPr="0098470E" w:rsidRDefault="002B4ABD" w:rsidP="00690B78">
            <w:pPr>
              <w:pStyle w:val="DHHStabletext92mmtab"/>
            </w:pPr>
            <w:r w:rsidRPr="0098470E">
              <w:t>Equal to or above 90%</w:t>
            </w:r>
            <w:r>
              <w:tab/>
              <w:t>Achieved</w:t>
            </w:r>
          </w:p>
          <w:p w14:paraId="0E01FC7E" w14:textId="53D2A507" w:rsidR="002B4ABD" w:rsidRPr="0098470E" w:rsidRDefault="002B4ABD" w:rsidP="00690B78">
            <w:pPr>
              <w:pStyle w:val="DHHStabletext92mmtab"/>
            </w:pPr>
            <w:r w:rsidRPr="0098470E">
              <w:t>Below 90%</w:t>
            </w:r>
            <w:r>
              <w:tab/>
              <w:t>Not achieved</w:t>
            </w:r>
          </w:p>
        </w:tc>
      </w:tr>
      <w:tr w:rsidR="00921922" w:rsidRPr="0098470E" w14:paraId="3F9F7024" w14:textId="77777777" w:rsidTr="00883FA1">
        <w:trPr>
          <w:cantSplit/>
        </w:trPr>
        <w:tc>
          <w:tcPr>
            <w:tcW w:w="2556" w:type="dxa"/>
          </w:tcPr>
          <w:p w14:paraId="776BB989" w14:textId="77777777" w:rsidR="00921922" w:rsidRPr="0098470E" w:rsidRDefault="00921922" w:rsidP="00603215">
            <w:pPr>
              <w:pStyle w:val="DHHStabletext"/>
            </w:pPr>
            <w:r>
              <w:t>Improvement</w:t>
            </w:r>
          </w:p>
        </w:tc>
        <w:tc>
          <w:tcPr>
            <w:tcW w:w="6743" w:type="dxa"/>
          </w:tcPr>
          <w:p w14:paraId="7AB9A943" w14:textId="203ADEE0" w:rsidR="00921922" w:rsidRDefault="00921922" w:rsidP="00603215">
            <w:pPr>
              <w:pStyle w:val="DHHStabletext"/>
            </w:pPr>
            <w:r w:rsidRPr="009B6337">
              <w:t>For the purpose of the performance risk assessment</w:t>
            </w:r>
            <w:r w:rsidR="00D86A02">
              <w:t>,</w:t>
            </w:r>
            <w:r w:rsidRPr="009B6337">
              <w:t xml:space="preserve"> impro</w:t>
            </w:r>
            <w:r>
              <w:t xml:space="preserve">vement is assessed against the </w:t>
            </w:r>
            <w:r w:rsidRPr="009B6337">
              <w:t xml:space="preserve">previous </w:t>
            </w:r>
            <w:r>
              <w:t xml:space="preserve">survey results. </w:t>
            </w:r>
          </w:p>
        </w:tc>
      </w:tr>
      <w:tr w:rsidR="00921922" w:rsidRPr="0098470E" w14:paraId="2E925756" w14:textId="77777777" w:rsidTr="00883FA1">
        <w:trPr>
          <w:cantSplit/>
        </w:trPr>
        <w:tc>
          <w:tcPr>
            <w:tcW w:w="2556" w:type="dxa"/>
          </w:tcPr>
          <w:p w14:paraId="629DF835" w14:textId="77777777" w:rsidR="00921922" w:rsidRPr="0098470E" w:rsidRDefault="00921922" w:rsidP="00603215">
            <w:pPr>
              <w:pStyle w:val="DHHStabletext"/>
            </w:pPr>
            <w:r>
              <w:t>Frequency of reporting and data collection</w:t>
            </w:r>
          </w:p>
        </w:tc>
        <w:tc>
          <w:tcPr>
            <w:tcW w:w="6743" w:type="dxa"/>
          </w:tcPr>
          <w:p w14:paraId="6147EF01" w14:textId="77777777" w:rsidR="00921922" w:rsidRPr="005B2B38" w:rsidRDefault="00921922" w:rsidP="00603215">
            <w:pPr>
              <w:pStyle w:val="DHHStabletext"/>
            </w:pPr>
            <w:r w:rsidRPr="005B2B38">
              <w:t>Results and participation will be reported annually in quarter 4.</w:t>
            </w:r>
          </w:p>
          <w:p w14:paraId="1FA8ECD4" w14:textId="77777777" w:rsidR="00921922" w:rsidRDefault="00921922" w:rsidP="00603215">
            <w:pPr>
              <w:pStyle w:val="DHHStabletext"/>
            </w:pPr>
            <w:r w:rsidRPr="005B2B38">
              <w:rPr>
                <w:rFonts w:cs="Arial"/>
                <w:color w:val="000000"/>
                <w:szCs w:val="22"/>
              </w:rPr>
              <w:t>Data source: Forensicare quantitative survey results</w:t>
            </w:r>
            <w:r>
              <w:rPr>
                <w:rFonts w:cs="Arial"/>
                <w:color w:val="000000"/>
                <w:szCs w:val="22"/>
              </w:rPr>
              <w:t>.</w:t>
            </w:r>
          </w:p>
        </w:tc>
      </w:tr>
    </w:tbl>
    <w:p w14:paraId="3F2D3B4F" w14:textId="79C12C65" w:rsidR="00921922" w:rsidRDefault="00883FA1" w:rsidP="00883FA1">
      <w:pPr>
        <w:pStyle w:val="DHHStablecaption"/>
      </w:pPr>
      <w:r>
        <w:t>Indicator: Patient’s o</w:t>
      </w:r>
      <w:r w:rsidRPr="0098470E">
        <w:t>verall experience at community Forensicare mental health services</w:t>
      </w:r>
    </w:p>
    <w:tbl>
      <w:tblPr>
        <w:tblStyle w:val="TableGrid"/>
        <w:tblW w:w="9299" w:type="dxa"/>
        <w:tblLook w:val="06A0" w:firstRow="1" w:lastRow="0" w:firstColumn="1" w:lastColumn="0" w:noHBand="1" w:noVBand="1"/>
      </w:tblPr>
      <w:tblGrid>
        <w:gridCol w:w="2563"/>
        <w:gridCol w:w="6736"/>
      </w:tblGrid>
      <w:tr w:rsidR="00D97737" w:rsidRPr="0098470E" w14:paraId="21B70E26" w14:textId="77777777" w:rsidTr="00D97737">
        <w:trPr>
          <w:cnfStyle w:val="100000000000" w:firstRow="1" w:lastRow="0" w:firstColumn="0" w:lastColumn="0" w:oddVBand="0" w:evenVBand="0" w:oddHBand="0" w:evenHBand="0" w:firstRowFirstColumn="0" w:firstRowLastColumn="0" w:lastRowFirstColumn="0" w:lastRowLastColumn="0"/>
          <w:cantSplit/>
          <w:tblHeader/>
        </w:trPr>
        <w:tc>
          <w:tcPr>
            <w:tcW w:w="2563" w:type="dxa"/>
          </w:tcPr>
          <w:p w14:paraId="454920F6" w14:textId="6E0E5491" w:rsidR="00D97737" w:rsidRPr="0098470E" w:rsidRDefault="00D97737" w:rsidP="00D97737">
            <w:pPr>
              <w:pStyle w:val="DHHStablecolhead"/>
            </w:pPr>
            <w:r>
              <w:t>Element</w:t>
            </w:r>
          </w:p>
        </w:tc>
        <w:tc>
          <w:tcPr>
            <w:tcW w:w="6736" w:type="dxa"/>
          </w:tcPr>
          <w:p w14:paraId="2182605A" w14:textId="46AF1ADE" w:rsidR="00D97737" w:rsidRPr="0098470E" w:rsidRDefault="00D97737" w:rsidP="00D97737">
            <w:pPr>
              <w:pStyle w:val="DHHStablecolhead"/>
            </w:pPr>
            <w:r>
              <w:t>Details</w:t>
            </w:r>
          </w:p>
        </w:tc>
      </w:tr>
      <w:tr w:rsidR="00921922" w:rsidRPr="0098470E" w14:paraId="0E9A76FD" w14:textId="77777777" w:rsidTr="00D97737">
        <w:trPr>
          <w:cantSplit/>
        </w:trPr>
        <w:tc>
          <w:tcPr>
            <w:tcW w:w="2563" w:type="dxa"/>
          </w:tcPr>
          <w:p w14:paraId="06A69D27" w14:textId="702C1EBE" w:rsidR="00921922" w:rsidRPr="005B2B38" w:rsidRDefault="00921922" w:rsidP="00603215">
            <w:pPr>
              <w:pStyle w:val="DHHStabletext"/>
            </w:pPr>
            <w:r w:rsidRPr="005B2B38">
              <w:t>Description</w:t>
            </w:r>
          </w:p>
        </w:tc>
        <w:tc>
          <w:tcPr>
            <w:tcW w:w="6736" w:type="dxa"/>
          </w:tcPr>
          <w:p w14:paraId="40E79060" w14:textId="77777777" w:rsidR="00921922" w:rsidRPr="0098470E" w:rsidRDefault="00921922" w:rsidP="00603215">
            <w:pPr>
              <w:pStyle w:val="DHHStabletext"/>
            </w:pPr>
            <w:r>
              <w:t>This indicator measures the results of the ‘excellent’, ‘very good’ and ‘good’ responses to the question ‘Overall, how would you rate your experience of care?’ in the annual Community Forensicare Mental Health Service consumer survey.</w:t>
            </w:r>
          </w:p>
        </w:tc>
      </w:tr>
      <w:tr w:rsidR="00921922" w:rsidRPr="0098470E" w14:paraId="534AD817" w14:textId="77777777" w:rsidTr="00D97737">
        <w:trPr>
          <w:cantSplit/>
        </w:trPr>
        <w:tc>
          <w:tcPr>
            <w:tcW w:w="2563" w:type="dxa"/>
          </w:tcPr>
          <w:p w14:paraId="56D37FA8" w14:textId="77777777" w:rsidR="00921922" w:rsidRPr="005B2B38" w:rsidRDefault="00921922" w:rsidP="00603215">
            <w:pPr>
              <w:pStyle w:val="DHHStabletext"/>
            </w:pPr>
            <w:r w:rsidRPr="005B2B38">
              <w:t>Calculating performance</w:t>
            </w:r>
          </w:p>
        </w:tc>
        <w:tc>
          <w:tcPr>
            <w:tcW w:w="6736" w:type="dxa"/>
          </w:tcPr>
          <w:p w14:paraId="0AD52F45" w14:textId="77777777" w:rsidR="00921922" w:rsidRPr="005B2B38" w:rsidRDefault="00921922" w:rsidP="00603215">
            <w:pPr>
              <w:pStyle w:val="DHHStabletext"/>
            </w:pPr>
            <w:r w:rsidRPr="005B2B38">
              <w:t>This indicator is measured at the health service level.</w:t>
            </w:r>
          </w:p>
          <w:p w14:paraId="2F831860" w14:textId="77777777" w:rsidR="00921922" w:rsidRPr="0098470E" w:rsidRDefault="00921922" w:rsidP="00603215">
            <w:pPr>
              <w:pStyle w:val="DHHStabletext"/>
            </w:pPr>
            <w:r>
              <w:t>Improvement will be compared to previous survey results.</w:t>
            </w:r>
          </w:p>
        </w:tc>
      </w:tr>
      <w:tr w:rsidR="00921922" w:rsidRPr="0098470E" w14:paraId="60C84DCA" w14:textId="77777777" w:rsidTr="00D97737">
        <w:trPr>
          <w:cantSplit/>
        </w:trPr>
        <w:tc>
          <w:tcPr>
            <w:tcW w:w="2563" w:type="dxa"/>
          </w:tcPr>
          <w:p w14:paraId="7950D38D" w14:textId="77777777" w:rsidR="00921922" w:rsidRPr="005B2B38" w:rsidRDefault="00921922" w:rsidP="00603215">
            <w:pPr>
              <w:pStyle w:val="DHHStabletext"/>
            </w:pPr>
            <w:r w:rsidRPr="005B2B38">
              <w:t>Numerator</w:t>
            </w:r>
          </w:p>
        </w:tc>
        <w:tc>
          <w:tcPr>
            <w:tcW w:w="6736" w:type="dxa"/>
          </w:tcPr>
          <w:p w14:paraId="2CD0C953" w14:textId="77777777" w:rsidR="00921922" w:rsidRPr="0098470E" w:rsidRDefault="00921922" w:rsidP="00603215">
            <w:pPr>
              <w:pStyle w:val="DHHStabletext"/>
            </w:pPr>
            <w:r>
              <w:t>Total number of survey respondents who answered ‘excellent’, ‘very good’ and ‘good’ to the item.</w:t>
            </w:r>
          </w:p>
        </w:tc>
      </w:tr>
      <w:tr w:rsidR="00921922" w:rsidRPr="0098470E" w14:paraId="06623365" w14:textId="77777777" w:rsidTr="00D97737">
        <w:trPr>
          <w:cantSplit/>
        </w:trPr>
        <w:tc>
          <w:tcPr>
            <w:tcW w:w="2563" w:type="dxa"/>
          </w:tcPr>
          <w:p w14:paraId="7F5D3A03" w14:textId="77777777" w:rsidR="00921922" w:rsidRPr="005B2B38" w:rsidRDefault="00921922" w:rsidP="00603215">
            <w:pPr>
              <w:pStyle w:val="DHHStabletext"/>
            </w:pPr>
            <w:r w:rsidRPr="005B2B38">
              <w:t>Denominator</w:t>
            </w:r>
          </w:p>
        </w:tc>
        <w:tc>
          <w:tcPr>
            <w:tcW w:w="6736" w:type="dxa"/>
          </w:tcPr>
          <w:p w14:paraId="36877A0E" w14:textId="77777777" w:rsidR="00921922" w:rsidRPr="0098470E" w:rsidRDefault="00921922" w:rsidP="00603215">
            <w:pPr>
              <w:pStyle w:val="DHHStabletext"/>
            </w:pPr>
            <w:r>
              <w:t>Total number of survey respondents.</w:t>
            </w:r>
          </w:p>
        </w:tc>
      </w:tr>
      <w:tr w:rsidR="00921922" w:rsidRPr="0098470E" w14:paraId="23876CC9" w14:textId="77777777" w:rsidTr="00D97737">
        <w:trPr>
          <w:cantSplit/>
        </w:trPr>
        <w:tc>
          <w:tcPr>
            <w:tcW w:w="2563" w:type="dxa"/>
          </w:tcPr>
          <w:p w14:paraId="005A6809" w14:textId="77777777" w:rsidR="00921922" w:rsidRPr="0098470E" w:rsidRDefault="00921922" w:rsidP="00603215">
            <w:pPr>
              <w:pStyle w:val="DHHStabletext"/>
            </w:pPr>
            <w:r w:rsidRPr="0098470E">
              <w:t>Statewide target</w:t>
            </w:r>
          </w:p>
        </w:tc>
        <w:tc>
          <w:tcPr>
            <w:tcW w:w="6736" w:type="dxa"/>
          </w:tcPr>
          <w:p w14:paraId="2755D98B" w14:textId="77777777" w:rsidR="00921922" w:rsidRPr="0054030C" w:rsidRDefault="00921922" w:rsidP="00603215">
            <w:pPr>
              <w:pStyle w:val="DHHStabletext"/>
              <w:rPr>
                <w:rFonts w:cs="Arial"/>
              </w:rPr>
            </w:pPr>
            <w:r w:rsidRPr="0054030C">
              <w:t>≥</w:t>
            </w:r>
            <w:r>
              <w:t xml:space="preserve"> </w:t>
            </w:r>
            <w:r w:rsidRPr="0054030C">
              <w:t>90%</w:t>
            </w:r>
          </w:p>
        </w:tc>
      </w:tr>
      <w:tr w:rsidR="002B4ABD" w:rsidRPr="0098470E" w14:paraId="7BAD0EC5" w14:textId="77777777" w:rsidTr="002B4ABD">
        <w:trPr>
          <w:cantSplit/>
        </w:trPr>
        <w:tc>
          <w:tcPr>
            <w:tcW w:w="2563" w:type="dxa"/>
          </w:tcPr>
          <w:p w14:paraId="1D65213B" w14:textId="77777777" w:rsidR="002B4ABD" w:rsidRPr="0098470E" w:rsidRDefault="002B4ABD" w:rsidP="00603215">
            <w:pPr>
              <w:pStyle w:val="DHHStabletext"/>
            </w:pPr>
            <w:r w:rsidRPr="0098470E">
              <w:t>Achievement</w:t>
            </w:r>
          </w:p>
        </w:tc>
        <w:tc>
          <w:tcPr>
            <w:tcW w:w="6736" w:type="dxa"/>
          </w:tcPr>
          <w:p w14:paraId="0D132AAC" w14:textId="77777777" w:rsidR="002B4ABD" w:rsidRPr="0098470E" w:rsidRDefault="002B4ABD" w:rsidP="00690B78">
            <w:pPr>
              <w:pStyle w:val="DHHStabletext92mmtab"/>
            </w:pPr>
            <w:r w:rsidRPr="0098470E">
              <w:t>Equal to or above 90%</w:t>
            </w:r>
            <w:r>
              <w:tab/>
              <w:t>Achieved</w:t>
            </w:r>
          </w:p>
          <w:p w14:paraId="02651A42" w14:textId="3358CB19" w:rsidR="002B4ABD" w:rsidRPr="0098470E" w:rsidRDefault="002B4ABD" w:rsidP="00690B78">
            <w:pPr>
              <w:pStyle w:val="DHHStabletext92mmtab"/>
            </w:pPr>
            <w:r w:rsidRPr="0098470E">
              <w:t>Below 90%</w:t>
            </w:r>
            <w:r>
              <w:tab/>
              <w:t>Not achieved</w:t>
            </w:r>
          </w:p>
        </w:tc>
      </w:tr>
      <w:tr w:rsidR="00921922" w:rsidRPr="0098470E" w14:paraId="5707F1BD" w14:textId="77777777" w:rsidTr="00D97737">
        <w:trPr>
          <w:cantSplit/>
        </w:trPr>
        <w:tc>
          <w:tcPr>
            <w:tcW w:w="2563" w:type="dxa"/>
          </w:tcPr>
          <w:p w14:paraId="5937A200" w14:textId="77777777" w:rsidR="00921922" w:rsidRPr="0098470E" w:rsidRDefault="00921922" w:rsidP="00603215">
            <w:pPr>
              <w:pStyle w:val="DHHStabletext"/>
            </w:pPr>
            <w:r>
              <w:t>Improvement</w:t>
            </w:r>
          </w:p>
        </w:tc>
        <w:tc>
          <w:tcPr>
            <w:tcW w:w="6736" w:type="dxa"/>
          </w:tcPr>
          <w:p w14:paraId="464EC5D2" w14:textId="0D84F62B" w:rsidR="00921922" w:rsidRDefault="00921922" w:rsidP="00603215">
            <w:pPr>
              <w:pStyle w:val="DHHStabletext"/>
            </w:pPr>
            <w:r w:rsidRPr="009B6337">
              <w:t>For the purpose of the performance risk assessment</w:t>
            </w:r>
            <w:r w:rsidR="00D86A02">
              <w:t>,</w:t>
            </w:r>
            <w:r w:rsidRPr="009B6337">
              <w:t xml:space="preserve"> impro</w:t>
            </w:r>
            <w:r>
              <w:t>vement is assessed against the previous survey results.</w:t>
            </w:r>
          </w:p>
        </w:tc>
      </w:tr>
      <w:tr w:rsidR="00921922" w:rsidRPr="0098470E" w14:paraId="734B1097" w14:textId="77777777" w:rsidTr="00D97737">
        <w:trPr>
          <w:cantSplit/>
        </w:trPr>
        <w:tc>
          <w:tcPr>
            <w:tcW w:w="2563" w:type="dxa"/>
          </w:tcPr>
          <w:p w14:paraId="66D1C171" w14:textId="77777777" w:rsidR="00921922" w:rsidRPr="0098470E" w:rsidRDefault="00921922" w:rsidP="00603215">
            <w:pPr>
              <w:pStyle w:val="DHHStabletext"/>
            </w:pPr>
            <w:r>
              <w:t>Frequency of reporting and data collection</w:t>
            </w:r>
          </w:p>
        </w:tc>
        <w:tc>
          <w:tcPr>
            <w:tcW w:w="6736" w:type="dxa"/>
          </w:tcPr>
          <w:p w14:paraId="17F6E777" w14:textId="77777777" w:rsidR="00921922" w:rsidRPr="005B2B38" w:rsidRDefault="00921922" w:rsidP="00603215">
            <w:pPr>
              <w:pStyle w:val="DHHStabletext"/>
            </w:pPr>
            <w:r w:rsidRPr="005B2B38">
              <w:t>Results and participation will be reported annually in quarter 4.</w:t>
            </w:r>
          </w:p>
          <w:p w14:paraId="761A8AC8" w14:textId="77777777" w:rsidR="00921922" w:rsidRDefault="00921922" w:rsidP="00603215">
            <w:pPr>
              <w:pStyle w:val="DHHStabletext"/>
            </w:pPr>
            <w:r w:rsidRPr="005B2B38">
              <w:rPr>
                <w:rFonts w:cs="Arial"/>
                <w:color w:val="000000"/>
                <w:szCs w:val="22"/>
              </w:rPr>
              <w:t>Data source: Forensicare quantitative survey results</w:t>
            </w:r>
            <w:r>
              <w:rPr>
                <w:rFonts w:cs="Arial"/>
                <w:color w:val="000000"/>
                <w:szCs w:val="22"/>
              </w:rPr>
              <w:t>.</w:t>
            </w:r>
          </w:p>
        </w:tc>
      </w:tr>
    </w:tbl>
    <w:p w14:paraId="59503188" w14:textId="77777777" w:rsidR="00D97737" w:rsidRPr="00B35E9C" w:rsidRDefault="00D97737" w:rsidP="00D97737">
      <w:pPr>
        <w:pStyle w:val="DHHSbody"/>
      </w:pPr>
      <w:bookmarkStart w:id="70" w:name="_Toc517959128"/>
      <w:r w:rsidRPr="00B35E9C">
        <w:br w:type="page"/>
      </w:r>
    </w:p>
    <w:p w14:paraId="21C86D77" w14:textId="4ECE3EE8" w:rsidR="00921922" w:rsidRDefault="00921922" w:rsidP="00EA5FA2">
      <w:pPr>
        <w:pStyle w:val="Heading4"/>
      </w:pPr>
      <w:bookmarkStart w:id="71" w:name="_Toc15580085"/>
      <w:r w:rsidRPr="0098470E">
        <w:lastRenderedPageBreak/>
        <w:t>Healthcare</w:t>
      </w:r>
      <w:r>
        <w:t>-</w:t>
      </w:r>
      <w:r w:rsidRPr="0098470E">
        <w:t>associated infections</w:t>
      </w:r>
      <w:bookmarkEnd w:id="70"/>
      <w:bookmarkEnd w:id="71"/>
    </w:p>
    <w:p w14:paraId="4CCCCFB5" w14:textId="6BBD8CD9" w:rsidR="00961723" w:rsidRPr="00961723" w:rsidRDefault="00961723" w:rsidP="00961723">
      <w:pPr>
        <w:pStyle w:val="DHHStablecaption"/>
      </w:pPr>
      <w:r>
        <w:t xml:space="preserve">Indicator: </w:t>
      </w:r>
      <w:r w:rsidR="00883FA1">
        <w:t xml:space="preserve">Rate </w:t>
      </w:r>
      <w:r w:rsidR="00883FA1" w:rsidRPr="00F46FC8">
        <w:t>of patients with surgical site infection</w:t>
      </w:r>
    </w:p>
    <w:tbl>
      <w:tblPr>
        <w:tblStyle w:val="TableGrid"/>
        <w:tblW w:w="9300" w:type="dxa"/>
        <w:tblLayout w:type="fixed"/>
        <w:tblLook w:val="06A0" w:firstRow="1" w:lastRow="0" w:firstColumn="1" w:lastColumn="0" w:noHBand="1" w:noVBand="1"/>
      </w:tblPr>
      <w:tblGrid>
        <w:gridCol w:w="2581"/>
        <w:gridCol w:w="6719"/>
      </w:tblGrid>
      <w:tr w:rsidR="00D97737" w:rsidRPr="0098470E" w14:paraId="4ABF890D"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211C2468" w14:textId="099D1AED" w:rsidR="00D97737" w:rsidRPr="00F46FC8" w:rsidRDefault="00D97737" w:rsidP="00D97737">
            <w:pPr>
              <w:pStyle w:val="DHHStablecolhead"/>
            </w:pPr>
            <w:r>
              <w:t>Element</w:t>
            </w:r>
          </w:p>
        </w:tc>
        <w:tc>
          <w:tcPr>
            <w:tcW w:w="6719" w:type="dxa"/>
          </w:tcPr>
          <w:p w14:paraId="4FAD69C5" w14:textId="10A751BC" w:rsidR="00D97737" w:rsidRPr="00F46FC8" w:rsidRDefault="00D97737" w:rsidP="00D97737">
            <w:pPr>
              <w:pStyle w:val="DHHStablecolhead"/>
            </w:pPr>
            <w:r>
              <w:t>Details</w:t>
            </w:r>
          </w:p>
        </w:tc>
      </w:tr>
      <w:tr w:rsidR="00921922" w:rsidRPr="0098470E" w14:paraId="398F7E34" w14:textId="77777777" w:rsidTr="00B34932">
        <w:trPr>
          <w:cantSplit/>
        </w:trPr>
        <w:tc>
          <w:tcPr>
            <w:tcW w:w="2581" w:type="dxa"/>
            <w:hideMark/>
          </w:tcPr>
          <w:p w14:paraId="30F99370" w14:textId="77777777" w:rsidR="00921922" w:rsidRPr="0098470E" w:rsidRDefault="00921922" w:rsidP="00603215">
            <w:pPr>
              <w:pStyle w:val="DHHStabletext"/>
            </w:pPr>
            <w:r w:rsidRPr="0098470E">
              <w:t>Description</w:t>
            </w:r>
          </w:p>
        </w:tc>
        <w:tc>
          <w:tcPr>
            <w:tcW w:w="6719" w:type="dxa"/>
            <w:hideMark/>
          </w:tcPr>
          <w:p w14:paraId="7199EFC0" w14:textId="77777777" w:rsidR="00921922" w:rsidRPr="0098470E" w:rsidRDefault="00921922" w:rsidP="00603215">
            <w:pPr>
              <w:pStyle w:val="DHHStabletext"/>
            </w:pPr>
            <w:r w:rsidRPr="0098470E">
              <w:t xml:space="preserve">Surgical site infection surveillance focuses on reducing the incidence of healthcare-associated infection among nominated surgical procedures. </w:t>
            </w:r>
          </w:p>
        </w:tc>
      </w:tr>
      <w:tr w:rsidR="00921922" w:rsidRPr="0098470E" w14:paraId="63A74AA8" w14:textId="77777777" w:rsidTr="00B34932">
        <w:trPr>
          <w:cantSplit/>
        </w:trPr>
        <w:tc>
          <w:tcPr>
            <w:tcW w:w="2581" w:type="dxa"/>
            <w:hideMark/>
          </w:tcPr>
          <w:p w14:paraId="50E968A2" w14:textId="77777777" w:rsidR="00921922" w:rsidRPr="0098470E" w:rsidRDefault="00921922" w:rsidP="00603215">
            <w:pPr>
              <w:pStyle w:val="DHHStabletext"/>
            </w:pPr>
            <w:r w:rsidRPr="0098470E">
              <w:t>Calculating performance</w:t>
            </w:r>
          </w:p>
        </w:tc>
        <w:tc>
          <w:tcPr>
            <w:tcW w:w="6719" w:type="dxa"/>
            <w:hideMark/>
          </w:tcPr>
          <w:p w14:paraId="593C222C" w14:textId="77777777" w:rsidR="009C4F1E" w:rsidRPr="0098470E" w:rsidRDefault="009C4F1E" w:rsidP="009C4F1E">
            <w:pPr>
              <w:pStyle w:val="DHHStabletext"/>
            </w:pPr>
            <w:r w:rsidRPr="0098470E">
              <w:t>This indicator refers to a set of specific types of procedures:</w:t>
            </w:r>
          </w:p>
          <w:p w14:paraId="72F7CD2B" w14:textId="77777777" w:rsidR="009C4F1E" w:rsidRDefault="009C4F1E" w:rsidP="009C4F1E">
            <w:pPr>
              <w:pStyle w:val="DHHStablebullet1"/>
            </w:pPr>
            <w:r w:rsidRPr="0098470E">
              <w:t>coronary artery bypass grafts</w:t>
            </w:r>
          </w:p>
          <w:p w14:paraId="2786ED00" w14:textId="77777777" w:rsidR="009C4F1E" w:rsidRPr="0098470E" w:rsidRDefault="009C4F1E" w:rsidP="009C4F1E">
            <w:pPr>
              <w:pStyle w:val="DHHStablebullet1"/>
            </w:pPr>
            <w:r w:rsidRPr="0098470E">
              <w:t>hip arthroplasty</w:t>
            </w:r>
          </w:p>
          <w:p w14:paraId="7E3ECE92" w14:textId="77777777" w:rsidR="009C4F1E" w:rsidRDefault="009C4F1E" w:rsidP="009C4F1E">
            <w:pPr>
              <w:pStyle w:val="DHHStablebullet1"/>
            </w:pPr>
            <w:r w:rsidRPr="0098470E">
              <w:t>knee arthroplasty</w:t>
            </w:r>
          </w:p>
          <w:p w14:paraId="4A87B25F" w14:textId="77777777" w:rsidR="009C4F1E" w:rsidRPr="0098470E" w:rsidRDefault="009C4F1E" w:rsidP="009C4F1E">
            <w:pPr>
              <w:pStyle w:val="DHHStablebullet1"/>
            </w:pPr>
            <w:r w:rsidRPr="0098470E">
              <w:t>caesarean section for nominated health services</w:t>
            </w:r>
          </w:p>
          <w:p w14:paraId="52D2BFC0" w14:textId="784414D3" w:rsidR="009C4F1E" w:rsidRPr="0098470E" w:rsidRDefault="009C4F1E" w:rsidP="009C4F1E">
            <w:pPr>
              <w:pStyle w:val="DHHStablebullet1"/>
            </w:pPr>
            <w:r w:rsidRPr="0098470E">
              <w:t>colorectal surgery</w:t>
            </w:r>
            <w:r w:rsidR="00BD08B6">
              <w:t>.</w:t>
            </w:r>
          </w:p>
          <w:p w14:paraId="7A130F66" w14:textId="77777777" w:rsidR="009C4F1E" w:rsidRPr="0098470E" w:rsidRDefault="009C4F1E" w:rsidP="00B34932">
            <w:pPr>
              <w:pStyle w:val="DHHStabletext"/>
            </w:pPr>
            <w:r w:rsidRPr="0098470E">
              <w:t>Relevant procedures expressed as a crude rate per 100 procedures.</w:t>
            </w:r>
          </w:p>
          <w:p w14:paraId="4842B66A" w14:textId="025E85C1" w:rsidR="009C4F1E" w:rsidRPr="0098470E" w:rsidRDefault="009C4F1E" w:rsidP="00B34932">
            <w:pPr>
              <w:pStyle w:val="DHHStabletext"/>
            </w:pPr>
            <w:r w:rsidRPr="0098470E">
              <w:t xml:space="preserve">For each procedure type, where a health service is found to have a statistically significantly higher infection rate than the state aggregate rate, they are deemed an outlier. Further information </w:t>
            </w:r>
            <w:r>
              <w:t xml:space="preserve">on the methodology for calculating outliers for </w:t>
            </w:r>
            <w:r w:rsidR="00B532B4">
              <w:t>s</w:t>
            </w:r>
            <w:r>
              <w:t xml:space="preserve">urgical </w:t>
            </w:r>
            <w:r w:rsidR="00D27E41">
              <w:t>s</w:t>
            </w:r>
            <w:r>
              <w:t xml:space="preserve">ite </w:t>
            </w:r>
            <w:r w:rsidR="00D27E41">
              <w:t>i</w:t>
            </w:r>
            <w:r>
              <w:t xml:space="preserve">nfections can </w:t>
            </w:r>
            <w:r w:rsidR="00D27E41">
              <w:t xml:space="preserve">be </w:t>
            </w:r>
            <w:r>
              <w:t xml:space="preserve">obtained </w:t>
            </w:r>
            <w:r w:rsidRPr="0098470E">
              <w:t xml:space="preserve">at </w:t>
            </w:r>
            <w:hyperlink r:id="rId19" w:history="1">
              <w:r w:rsidRPr="007228DF">
                <w:rPr>
                  <w:rStyle w:val="Hyperlink"/>
                </w:rPr>
                <w:t>VICNISS</w:t>
              </w:r>
            </w:hyperlink>
            <w:r>
              <w:rPr>
                <w:rStyle w:val="Hyperlink"/>
              </w:rPr>
              <w:t xml:space="preserve"> </w:t>
            </w:r>
            <w:r w:rsidRPr="0098470E">
              <w:t>&lt;</w:t>
            </w:r>
            <w:r>
              <w:t>http://</w:t>
            </w:r>
            <w:r w:rsidRPr="00F65C3C">
              <w:t>www.vicniss.org.au</w:t>
            </w:r>
            <w:r w:rsidRPr="0098470E">
              <w:t>&gt;.</w:t>
            </w:r>
          </w:p>
          <w:p w14:paraId="425CCBD0" w14:textId="77777777" w:rsidR="009C4F1E" w:rsidRDefault="009C4F1E" w:rsidP="009C4F1E">
            <w:pPr>
              <w:pStyle w:val="DHHStabletextsubhead"/>
            </w:pPr>
            <w:r>
              <w:t>Coronary artery bypass graft</w:t>
            </w:r>
          </w:p>
          <w:p w14:paraId="3C61F764" w14:textId="67A44F57" w:rsidR="009C4F1E" w:rsidRPr="00B34932" w:rsidRDefault="3912F825" w:rsidP="00B34932">
            <w:pPr>
              <w:pStyle w:val="DHHStabletext"/>
            </w:pPr>
            <w:r w:rsidRPr="006D39DA">
              <w:rPr>
                <w:rFonts w:eastAsia="Arial"/>
              </w:rPr>
              <w:t>Campuses performing cardiac bypass surgery are required to conduct continuous surveillance.</w:t>
            </w:r>
          </w:p>
          <w:p w14:paraId="07CC4C96" w14:textId="6EEE30DA" w:rsidR="009C4F1E" w:rsidRPr="009D4B88" w:rsidRDefault="3912F825" w:rsidP="00B34932">
            <w:pPr>
              <w:pStyle w:val="DHHStabletext"/>
            </w:pPr>
            <w:r w:rsidRPr="006D39DA">
              <w:rPr>
                <w:rFonts w:eastAsia="Arial"/>
              </w:rPr>
              <w:t>The list of hospitals for which this measure is applicable to is based on previously reported data and can be found at Attachment A</w:t>
            </w:r>
            <w:r w:rsidR="00D27E41">
              <w:rPr>
                <w:rFonts w:eastAsia="Arial"/>
              </w:rPr>
              <w:t>.</w:t>
            </w:r>
          </w:p>
          <w:p w14:paraId="50194013" w14:textId="77777777" w:rsidR="009C4F1E" w:rsidRPr="0098470E" w:rsidRDefault="009C4F1E" w:rsidP="009C4F1E">
            <w:pPr>
              <w:pStyle w:val="DHHStabletextsubhead"/>
            </w:pPr>
            <w:r w:rsidRPr="0098470E">
              <w:t>Hip and knee arthroplasty</w:t>
            </w:r>
          </w:p>
          <w:p w14:paraId="73BC0AA4" w14:textId="032CB909" w:rsidR="009C4F1E" w:rsidRPr="00B34932" w:rsidRDefault="009C4F1E" w:rsidP="00B34932">
            <w:pPr>
              <w:pStyle w:val="DHHStabletext"/>
            </w:pPr>
            <w:r w:rsidRPr="00B34932">
              <w:t xml:space="preserve">Campuses performing ≥ 50 hip </w:t>
            </w:r>
            <w:r w:rsidR="00FD6482" w:rsidRPr="00B34932">
              <w:t xml:space="preserve">or </w:t>
            </w:r>
            <w:r w:rsidRPr="00B34932">
              <w:t>knee arthroplasty surgical procedures per annum are required to conduct continuous surveillance.</w:t>
            </w:r>
          </w:p>
          <w:p w14:paraId="0FF12B72" w14:textId="0D4E1E9E" w:rsidR="009C4F1E" w:rsidRPr="00B34932" w:rsidRDefault="009C4F1E" w:rsidP="00B34932">
            <w:pPr>
              <w:pStyle w:val="DHHStabletext"/>
            </w:pPr>
            <w:r w:rsidRPr="00B34932">
              <w:t xml:space="preserve">The list of hospitals for which these measures are applicable to is based on previously reported data and can be found at Attachment </w:t>
            </w:r>
            <w:r w:rsidR="5CD9F6FA" w:rsidRPr="00B34932">
              <w:t>B</w:t>
            </w:r>
            <w:r w:rsidRPr="00B34932">
              <w:t xml:space="preserve"> (Hip Arthroplasty) and Attachment </w:t>
            </w:r>
            <w:r w:rsidR="5CD9F6FA" w:rsidRPr="00B34932">
              <w:t>C</w:t>
            </w:r>
            <w:r w:rsidRPr="00B34932">
              <w:t xml:space="preserve"> (Knee Arthroplasty).</w:t>
            </w:r>
          </w:p>
          <w:p w14:paraId="053239DE" w14:textId="77777777" w:rsidR="009C4F1E" w:rsidRDefault="009C4F1E" w:rsidP="009C4F1E">
            <w:pPr>
              <w:pStyle w:val="DHHStabletextsubhead"/>
            </w:pPr>
            <w:r w:rsidRPr="0098470E">
              <w:t>Caesarean section for nominated health services</w:t>
            </w:r>
          </w:p>
          <w:p w14:paraId="72E2B66A" w14:textId="71FC574F" w:rsidR="009C4F1E" w:rsidRDefault="009C4F1E" w:rsidP="00B34932">
            <w:pPr>
              <w:pStyle w:val="DHHStabletext"/>
            </w:pPr>
            <w:r>
              <w:t xml:space="preserve">Health service campuses that manage </w:t>
            </w:r>
            <w:r w:rsidR="008B7365" w:rsidRPr="0098470E">
              <w:t>≥</w:t>
            </w:r>
            <w:r>
              <w:t xml:space="preserve"> 400 births are required to conduct six months of continuous surveillance of their c-section surgical site infections and report these to VICNISS. Health service</w:t>
            </w:r>
            <w:r w:rsidR="00785057">
              <w:t>s</w:t>
            </w:r>
            <w:r>
              <w:t xml:space="preserve"> are to nominate whether they will commence the six month surveillance period from the first, second or third quarter.</w:t>
            </w:r>
          </w:p>
          <w:p w14:paraId="7638362E" w14:textId="2584A13C" w:rsidR="009C4F1E" w:rsidRPr="007F035E" w:rsidRDefault="009C4F1E" w:rsidP="00B34932">
            <w:pPr>
              <w:pStyle w:val="DHHStabletext"/>
            </w:pPr>
            <w:r>
              <w:t xml:space="preserve">The list of hospitals for which this measure is applicable to is based on previously reported data and can be found at Attachment </w:t>
            </w:r>
            <w:r w:rsidR="5CD9F6FA">
              <w:t>D</w:t>
            </w:r>
            <w:r>
              <w:t>.</w:t>
            </w:r>
          </w:p>
          <w:p w14:paraId="65838B3A" w14:textId="77777777" w:rsidR="009C4F1E" w:rsidRPr="0098470E" w:rsidRDefault="009C4F1E" w:rsidP="009C4F1E">
            <w:pPr>
              <w:pStyle w:val="DHHStabletextsubhead"/>
            </w:pPr>
            <w:r w:rsidRPr="0098470E">
              <w:t>Colore</w:t>
            </w:r>
            <w:r>
              <w:t>ctal surgery</w:t>
            </w:r>
          </w:p>
          <w:p w14:paraId="30E0C235" w14:textId="78AE65D6" w:rsidR="009C4F1E" w:rsidRDefault="009C4F1E" w:rsidP="009C4F1E">
            <w:pPr>
              <w:pStyle w:val="DHHStabletext"/>
            </w:pPr>
            <w:r>
              <w:t>H</w:t>
            </w:r>
            <w:r w:rsidRPr="0098470E">
              <w:t xml:space="preserve">ealth services that undertake </w:t>
            </w:r>
            <w:r w:rsidR="008B7365" w:rsidRPr="0098470E">
              <w:t>≥</w:t>
            </w:r>
            <w:r w:rsidR="006D39DA">
              <w:t xml:space="preserve"> </w:t>
            </w:r>
            <w:r w:rsidRPr="0098470E">
              <w:t xml:space="preserve">50 relevant procedures a year will be </w:t>
            </w:r>
            <w:r>
              <w:t>required to conduct six months of continuous surveillance of their colorectal surgical site infections and report these to VICNISS. Health service</w:t>
            </w:r>
            <w:r w:rsidR="00785057">
              <w:t>s</w:t>
            </w:r>
            <w:r>
              <w:t xml:space="preserve"> are to nominate whether they will commence the six month surveillance period from the first, second or third quarter.</w:t>
            </w:r>
          </w:p>
          <w:p w14:paraId="0629C087" w14:textId="25B12D71" w:rsidR="00C679D9" w:rsidRDefault="007E1736" w:rsidP="00603215">
            <w:pPr>
              <w:pStyle w:val="DHHStabletext"/>
            </w:pPr>
            <w:r>
              <w:t>The l</w:t>
            </w:r>
            <w:r w:rsidR="009C4F1E" w:rsidRPr="0098470E">
              <w:t>ist of relevant procedures is available</w:t>
            </w:r>
            <w:r w:rsidR="009C4F1E">
              <w:t xml:space="preserve"> from VICNISS.</w:t>
            </w:r>
          </w:p>
          <w:p w14:paraId="516325A0" w14:textId="6507C5C6" w:rsidR="00C679D9" w:rsidRPr="0098470E" w:rsidRDefault="00C679D9" w:rsidP="00603215">
            <w:pPr>
              <w:pStyle w:val="DHHStabletext"/>
            </w:pPr>
            <w:r>
              <w:t xml:space="preserve">The list of hospitals for which this measure is applicable to is available at Attachment </w:t>
            </w:r>
            <w:r w:rsidR="5CD9F6FA">
              <w:t>E</w:t>
            </w:r>
            <w:r w:rsidRPr="00605C35">
              <w:t>.</w:t>
            </w:r>
          </w:p>
        </w:tc>
      </w:tr>
      <w:tr w:rsidR="00921922" w:rsidRPr="0098470E" w14:paraId="245BCC5C" w14:textId="77777777" w:rsidTr="00B34932">
        <w:trPr>
          <w:cantSplit/>
        </w:trPr>
        <w:tc>
          <w:tcPr>
            <w:tcW w:w="2581" w:type="dxa"/>
            <w:hideMark/>
          </w:tcPr>
          <w:p w14:paraId="23E7FF93" w14:textId="77777777" w:rsidR="00921922" w:rsidRPr="0098470E" w:rsidRDefault="00921922" w:rsidP="00603215">
            <w:pPr>
              <w:pStyle w:val="DHHStabletext"/>
            </w:pPr>
            <w:r w:rsidRPr="0098470E">
              <w:lastRenderedPageBreak/>
              <w:t>Frequency of reporting and data collection</w:t>
            </w:r>
          </w:p>
        </w:tc>
        <w:tc>
          <w:tcPr>
            <w:tcW w:w="6719" w:type="dxa"/>
            <w:hideMark/>
          </w:tcPr>
          <w:p w14:paraId="16447D80" w14:textId="77777777" w:rsidR="00921922" w:rsidRPr="0098470E" w:rsidRDefault="00921922" w:rsidP="00603215">
            <w:pPr>
              <w:pStyle w:val="DHHStabletext"/>
            </w:pPr>
            <w:r w:rsidRPr="0098470E">
              <w:t>Performance is monitored and assessed quarterly. Data reported is lagged. Data is analysed quarterly based on two quarters of data. Rates are calculated using the most recent six months of data in a rolling fashion.</w:t>
            </w:r>
          </w:p>
          <w:p w14:paraId="5C8F5BD5" w14:textId="77777777" w:rsidR="00921922" w:rsidRPr="0098470E" w:rsidRDefault="00921922" w:rsidP="00603215">
            <w:pPr>
              <w:pStyle w:val="DHHStabletext"/>
            </w:pPr>
            <w:r w:rsidRPr="0098470E">
              <w:t>VICNISS collates and analyses data from health services and reports quarterly to participants and the department on aggregate, risk-adjusted, procedure-specific infection rates.</w:t>
            </w:r>
          </w:p>
          <w:p w14:paraId="02C2ED66" w14:textId="77777777" w:rsidR="00921922" w:rsidRPr="0098470E" w:rsidRDefault="00921922" w:rsidP="00603215">
            <w:pPr>
              <w:pStyle w:val="DHHStabletext"/>
            </w:pPr>
            <w:r w:rsidRPr="0098470E">
              <w:t>Data is submitted to VICNISS and performance reported for the periods:</w:t>
            </w:r>
          </w:p>
          <w:p w14:paraId="0B1A0E91" w14:textId="6267C5B5" w:rsidR="00921922" w:rsidRPr="0098470E" w:rsidRDefault="00921922" w:rsidP="00603215">
            <w:pPr>
              <w:pStyle w:val="DHHStablebullet1"/>
            </w:pPr>
            <w:r w:rsidRPr="0098470E">
              <w:t xml:space="preserve">1 January to 30 June in quarter 1 </w:t>
            </w:r>
          </w:p>
          <w:p w14:paraId="01AD801D" w14:textId="7D75B344" w:rsidR="00921922" w:rsidRPr="0098470E" w:rsidRDefault="00921922" w:rsidP="00603215">
            <w:pPr>
              <w:pStyle w:val="DHHStablebullet1"/>
            </w:pPr>
            <w:r w:rsidRPr="0098470E">
              <w:t>1 April to 30 September in quarter 2</w:t>
            </w:r>
          </w:p>
          <w:p w14:paraId="78187BD0" w14:textId="35194618" w:rsidR="00921922" w:rsidRPr="0098470E" w:rsidRDefault="00921922" w:rsidP="00603215">
            <w:pPr>
              <w:pStyle w:val="DHHStablebullet1"/>
            </w:pPr>
            <w:r w:rsidRPr="0098470E">
              <w:t>1 July to 31 December in quarter 3</w:t>
            </w:r>
          </w:p>
          <w:p w14:paraId="5E52E0B7" w14:textId="1222280E" w:rsidR="00921922" w:rsidRPr="0098470E" w:rsidRDefault="00921922" w:rsidP="00603215">
            <w:pPr>
              <w:pStyle w:val="DHHStablebullet1"/>
            </w:pPr>
            <w:r w:rsidRPr="0098470E">
              <w:t>1 October to 31 March in quarter 4.</w:t>
            </w:r>
          </w:p>
          <w:p w14:paraId="2C83A3A0" w14:textId="77777777" w:rsidR="00921922" w:rsidRDefault="00921922" w:rsidP="00603215">
            <w:pPr>
              <w:pStyle w:val="DHHStabletext"/>
            </w:pPr>
            <w:r w:rsidRPr="0098470E">
              <w:t>This indicator is measured at the health service level.</w:t>
            </w:r>
          </w:p>
          <w:p w14:paraId="5128EE1E" w14:textId="77777777" w:rsidR="00921922" w:rsidRDefault="00921922" w:rsidP="00603215">
            <w:pPr>
              <w:pStyle w:val="DHHStabletext"/>
            </w:pPr>
            <w:r w:rsidRPr="0098470E">
              <w:t>Where a health service has multiple campuses, an outlier at any campus will result in the health service not meeting the indicator.</w:t>
            </w:r>
          </w:p>
          <w:p w14:paraId="2A43C932" w14:textId="77777777" w:rsidR="00921922" w:rsidRPr="0098470E" w:rsidRDefault="00921922" w:rsidP="00603215">
            <w:pPr>
              <w:pStyle w:val="DHHStabletext"/>
            </w:pPr>
            <w:r w:rsidRPr="0098470E">
              <w:t>If data is not submitted at a campus level in any month, the entire quarter target will be deemed as not met by the health service.</w:t>
            </w:r>
          </w:p>
          <w:p w14:paraId="058A43E8" w14:textId="77777777" w:rsidR="00921922" w:rsidRPr="0098470E" w:rsidRDefault="00921922" w:rsidP="00603215">
            <w:pPr>
              <w:pStyle w:val="DHHStabletext"/>
            </w:pPr>
            <w:r w:rsidRPr="0098470E">
              <w:t>A result is generated annually. Where a health service does not achieve the indicator in a reporting period the annual result is not achieved.</w:t>
            </w:r>
          </w:p>
        </w:tc>
      </w:tr>
      <w:tr w:rsidR="00921922" w:rsidRPr="0098470E" w14:paraId="5DDBCEF9" w14:textId="77777777" w:rsidTr="00B34932">
        <w:trPr>
          <w:cantSplit/>
        </w:trPr>
        <w:tc>
          <w:tcPr>
            <w:tcW w:w="2581" w:type="dxa"/>
            <w:hideMark/>
          </w:tcPr>
          <w:p w14:paraId="70BBBE49" w14:textId="77777777" w:rsidR="00921922" w:rsidRPr="0098470E" w:rsidRDefault="00921922" w:rsidP="00603215">
            <w:pPr>
              <w:pStyle w:val="DHHStabletext"/>
            </w:pPr>
            <w:r>
              <w:t>Improvement</w:t>
            </w:r>
          </w:p>
        </w:tc>
        <w:tc>
          <w:tcPr>
            <w:tcW w:w="6719" w:type="dxa"/>
            <w:hideMark/>
          </w:tcPr>
          <w:p w14:paraId="6D7FE0B1" w14:textId="37E18A6D" w:rsidR="00921922" w:rsidRPr="0098470E" w:rsidRDefault="00625C50" w:rsidP="00603215">
            <w:pPr>
              <w:pStyle w:val="DHHStabletext"/>
            </w:pPr>
            <w:r>
              <w:t xml:space="preserve">For the purpose of the performance risk assessment, the rate </w:t>
            </w:r>
            <w:r w:rsidR="003B61B5">
              <w:t>over a rolling six month period</w:t>
            </w:r>
            <w:r>
              <w:t xml:space="preserve"> is compared to the </w:t>
            </w:r>
            <w:r w:rsidR="003B61B5">
              <w:t>six month</w:t>
            </w:r>
            <w:r>
              <w:t xml:space="preserve"> rate of the previous quarter.</w:t>
            </w:r>
            <w:r w:rsidRPr="00AE30AA">
              <w:t xml:space="preserve"> SCV </w:t>
            </w:r>
            <w:r>
              <w:t xml:space="preserve">will </w:t>
            </w:r>
            <w:r w:rsidR="008C3471">
              <w:t xml:space="preserve">also </w:t>
            </w:r>
            <w:r w:rsidRPr="00AE30AA">
              <w:t xml:space="preserve">analyse performance over </w:t>
            </w:r>
            <w:r>
              <w:t>a longer period</w:t>
            </w:r>
            <w:r w:rsidRPr="00AE30AA">
              <w:t xml:space="preserve">, taking trends as well as </w:t>
            </w:r>
            <w:r w:rsidR="00524566">
              <w:t xml:space="preserve">outlier status and </w:t>
            </w:r>
            <w:r w:rsidRPr="00AE30AA">
              <w:t>absolute levels of performance into account.</w:t>
            </w:r>
          </w:p>
        </w:tc>
      </w:tr>
    </w:tbl>
    <w:p w14:paraId="54A01D38" w14:textId="5B8280EC" w:rsidR="00921922" w:rsidRDefault="00961723" w:rsidP="00961723">
      <w:pPr>
        <w:pStyle w:val="DHHStablecaption"/>
      </w:pPr>
      <w:r>
        <w:t xml:space="preserve">Indicator: </w:t>
      </w:r>
      <w:r w:rsidR="00883FA1">
        <w:t>Rate of surgical site infection for all reported</w:t>
      </w:r>
      <w:r w:rsidR="00883FA1" w:rsidRPr="00F46FC8">
        <w:t xml:space="preserve"> procedure</w:t>
      </w:r>
      <w:r w:rsidR="00883FA1">
        <w:t>s</w:t>
      </w:r>
    </w:p>
    <w:tbl>
      <w:tblPr>
        <w:tblStyle w:val="TableGrid"/>
        <w:tblW w:w="9300" w:type="dxa"/>
        <w:tblLayout w:type="fixed"/>
        <w:tblLook w:val="06A0" w:firstRow="1" w:lastRow="0" w:firstColumn="1" w:lastColumn="0" w:noHBand="1" w:noVBand="1"/>
      </w:tblPr>
      <w:tblGrid>
        <w:gridCol w:w="2581"/>
        <w:gridCol w:w="6719"/>
      </w:tblGrid>
      <w:tr w:rsidR="00D97737" w:rsidRPr="0098470E" w14:paraId="332A3AE5"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60ED9EC6" w14:textId="745EED5E" w:rsidR="00D97737" w:rsidRPr="00F46FC8" w:rsidRDefault="00D97737" w:rsidP="00D97737">
            <w:pPr>
              <w:pStyle w:val="DHHStablecolhead"/>
            </w:pPr>
            <w:r>
              <w:t>Element</w:t>
            </w:r>
          </w:p>
        </w:tc>
        <w:tc>
          <w:tcPr>
            <w:tcW w:w="6719" w:type="dxa"/>
          </w:tcPr>
          <w:p w14:paraId="16F0E913" w14:textId="3FC1E0ED" w:rsidR="00D97737" w:rsidRPr="00F46FC8" w:rsidRDefault="00D97737" w:rsidP="00D97737">
            <w:pPr>
              <w:pStyle w:val="DHHStablecolhead"/>
            </w:pPr>
            <w:r>
              <w:t>Details</w:t>
            </w:r>
          </w:p>
        </w:tc>
      </w:tr>
      <w:tr w:rsidR="00647845" w:rsidRPr="0098470E" w14:paraId="2E62C43F" w14:textId="77777777" w:rsidTr="00B34932">
        <w:trPr>
          <w:cantSplit/>
        </w:trPr>
        <w:tc>
          <w:tcPr>
            <w:tcW w:w="2581" w:type="dxa"/>
            <w:hideMark/>
          </w:tcPr>
          <w:p w14:paraId="7622377C" w14:textId="77777777" w:rsidR="00647845" w:rsidRPr="0098470E" w:rsidRDefault="00647845" w:rsidP="0022140C">
            <w:pPr>
              <w:pStyle w:val="DHHStabletext"/>
            </w:pPr>
            <w:r w:rsidRPr="0098470E">
              <w:t>Numerator</w:t>
            </w:r>
          </w:p>
        </w:tc>
        <w:tc>
          <w:tcPr>
            <w:tcW w:w="6719" w:type="dxa"/>
            <w:hideMark/>
          </w:tcPr>
          <w:p w14:paraId="19B77727" w14:textId="62D21AC1" w:rsidR="00647845" w:rsidRPr="0098470E" w:rsidRDefault="00647845" w:rsidP="0022140C">
            <w:pPr>
              <w:pStyle w:val="DHHStabletext"/>
            </w:pPr>
            <w:r w:rsidRPr="0098470E">
              <w:t xml:space="preserve">The number of patients with a </w:t>
            </w:r>
            <w:r>
              <w:t>surgical site infection for all reported</w:t>
            </w:r>
            <w:r w:rsidRPr="0098470E">
              <w:t xml:space="preserve"> procedure</w:t>
            </w:r>
            <w:r>
              <w:t>s</w:t>
            </w:r>
            <w:r w:rsidR="00515BE3">
              <w:t>.</w:t>
            </w:r>
          </w:p>
        </w:tc>
      </w:tr>
      <w:tr w:rsidR="00647845" w:rsidRPr="0098470E" w14:paraId="75C0FE55" w14:textId="77777777" w:rsidTr="00B34932">
        <w:trPr>
          <w:cantSplit/>
        </w:trPr>
        <w:tc>
          <w:tcPr>
            <w:tcW w:w="2581" w:type="dxa"/>
            <w:hideMark/>
          </w:tcPr>
          <w:p w14:paraId="1E0F7DC1" w14:textId="77777777" w:rsidR="00647845" w:rsidRPr="0098470E" w:rsidRDefault="00647845" w:rsidP="0022140C">
            <w:pPr>
              <w:pStyle w:val="DHHStabletext"/>
            </w:pPr>
            <w:r w:rsidRPr="0098470E">
              <w:t xml:space="preserve">Denominator </w:t>
            </w:r>
          </w:p>
        </w:tc>
        <w:tc>
          <w:tcPr>
            <w:tcW w:w="6719" w:type="dxa"/>
            <w:hideMark/>
          </w:tcPr>
          <w:p w14:paraId="535818EC" w14:textId="31593AF3" w:rsidR="00647845" w:rsidRPr="0098470E" w:rsidRDefault="00647845" w:rsidP="0022140C">
            <w:pPr>
              <w:pStyle w:val="DHHStabletext"/>
            </w:pPr>
            <w:r>
              <w:t>The total number of all reported</w:t>
            </w:r>
            <w:r w:rsidRPr="0098470E">
              <w:t xml:space="preserve"> procedure</w:t>
            </w:r>
            <w:r>
              <w:t>s</w:t>
            </w:r>
            <w:r w:rsidR="00515BE3">
              <w:t>.</w:t>
            </w:r>
            <w:r w:rsidRPr="0098470E">
              <w:t xml:space="preserve"> </w:t>
            </w:r>
          </w:p>
        </w:tc>
      </w:tr>
      <w:tr w:rsidR="00647845" w:rsidRPr="0098470E" w14:paraId="42025949" w14:textId="77777777" w:rsidTr="00B34932">
        <w:trPr>
          <w:cantSplit/>
        </w:trPr>
        <w:tc>
          <w:tcPr>
            <w:tcW w:w="2581" w:type="dxa"/>
            <w:hideMark/>
          </w:tcPr>
          <w:p w14:paraId="07E9F29A" w14:textId="77777777" w:rsidR="00647845" w:rsidRPr="0098470E" w:rsidRDefault="00647845" w:rsidP="0022140C">
            <w:pPr>
              <w:pStyle w:val="DHHStabletext"/>
            </w:pPr>
            <w:r w:rsidRPr="0098470E">
              <w:t>Statewide target</w:t>
            </w:r>
          </w:p>
        </w:tc>
        <w:tc>
          <w:tcPr>
            <w:tcW w:w="6719" w:type="dxa"/>
            <w:hideMark/>
          </w:tcPr>
          <w:p w14:paraId="350CAAD4" w14:textId="77777777" w:rsidR="00647845" w:rsidRPr="0098470E" w:rsidRDefault="00647845" w:rsidP="0022140C">
            <w:pPr>
              <w:pStyle w:val="DHHStabletext"/>
              <w:rPr>
                <w:lang w:val="en-US"/>
              </w:rPr>
            </w:pPr>
            <w:r w:rsidRPr="0098470E">
              <w:t>No outliers</w:t>
            </w:r>
          </w:p>
        </w:tc>
      </w:tr>
      <w:tr w:rsidR="00647845" w:rsidRPr="0098470E" w14:paraId="6CA8864B" w14:textId="77777777" w:rsidTr="00B34932">
        <w:trPr>
          <w:cantSplit/>
        </w:trPr>
        <w:tc>
          <w:tcPr>
            <w:tcW w:w="2581" w:type="dxa"/>
            <w:hideMark/>
          </w:tcPr>
          <w:p w14:paraId="6F28304A" w14:textId="77777777" w:rsidR="00647845" w:rsidRPr="0098470E" w:rsidRDefault="00647845" w:rsidP="0022140C">
            <w:pPr>
              <w:pStyle w:val="DHHStabletext"/>
            </w:pPr>
            <w:r w:rsidRPr="0098470E">
              <w:t>Achievement</w:t>
            </w:r>
          </w:p>
        </w:tc>
        <w:tc>
          <w:tcPr>
            <w:tcW w:w="6719" w:type="dxa"/>
            <w:hideMark/>
          </w:tcPr>
          <w:p w14:paraId="73D180DD" w14:textId="77777777" w:rsidR="00647845" w:rsidRPr="0098470E" w:rsidRDefault="00647845" w:rsidP="0022140C">
            <w:pPr>
              <w:pStyle w:val="DHHStabletext"/>
            </w:pPr>
            <w:r w:rsidRPr="0098470E">
              <w:t>Achieved</w:t>
            </w:r>
          </w:p>
          <w:p w14:paraId="47499366" w14:textId="77777777" w:rsidR="00647845" w:rsidRPr="0098470E" w:rsidRDefault="00647845" w:rsidP="0022140C">
            <w:pPr>
              <w:pStyle w:val="DHHStabletext"/>
            </w:pPr>
            <w:r w:rsidRPr="0098470E">
              <w:t>Not Achieved</w:t>
            </w:r>
          </w:p>
        </w:tc>
      </w:tr>
    </w:tbl>
    <w:p w14:paraId="11AB128B" w14:textId="5FB10118" w:rsidR="00E25E53" w:rsidRPr="0098470E" w:rsidRDefault="00961723" w:rsidP="00961723">
      <w:pPr>
        <w:pStyle w:val="DHHStablecaption"/>
      </w:pPr>
      <w:r>
        <w:t xml:space="preserve">Indicator: </w:t>
      </w:r>
      <w:r w:rsidR="00883FA1">
        <w:t>Rate of s</w:t>
      </w:r>
      <w:r w:rsidR="00883FA1" w:rsidRPr="00F46FC8">
        <w:t>urgical site infection post coronary artery bypass grafts</w:t>
      </w:r>
    </w:p>
    <w:tbl>
      <w:tblPr>
        <w:tblStyle w:val="TableGrid"/>
        <w:tblW w:w="9300" w:type="dxa"/>
        <w:tblLayout w:type="fixed"/>
        <w:tblLook w:val="06A0" w:firstRow="1" w:lastRow="0" w:firstColumn="1" w:lastColumn="0" w:noHBand="1" w:noVBand="1"/>
      </w:tblPr>
      <w:tblGrid>
        <w:gridCol w:w="2581"/>
        <w:gridCol w:w="6719"/>
      </w:tblGrid>
      <w:tr w:rsidR="00D97737" w:rsidRPr="0098470E" w14:paraId="5C1DD6A7"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7ECEE525" w14:textId="10B9F670" w:rsidR="00D97737" w:rsidRPr="00F46FC8" w:rsidRDefault="00D97737" w:rsidP="00D97737">
            <w:pPr>
              <w:pStyle w:val="DHHStablecolhead"/>
            </w:pPr>
            <w:r>
              <w:t>Element</w:t>
            </w:r>
          </w:p>
        </w:tc>
        <w:tc>
          <w:tcPr>
            <w:tcW w:w="6719" w:type="dxa"/>
          </w:tcPr>
          <w:p w14:paraId="6239BD3E" w14:textId="4A5E7F9D" w:rsidR="00D97737" w:rsidRPr="00F46FC8" w:rsidRDefault="00D97737" w:rsidP="00D97737">
            <w:pPr>
              <w:pStyle w:val="DHHStablecolhead"/>
            </w:pPr>
            <w:r>
              <w:t>Details</w:t>
            </w:r>
          </w:p>
        </w:tc>
      </w:tr>
      <w:tr w:rsidR="00921922" w:rsidRPr="0098470E" w14:paraId="23D0BFA3" w14:textId="77777777" w:rsidTr="00B34932">
        <w:trPr>
          <w:cantSplit/>
        </w:trPr>
        <w:tc>
          <w:tcPr>
            <w:tcW w:w="2581" w:type="dxa"/>
          </w:tcPr>
          <w:p w14:paraId="7FC0AA6B" w14:textId="77777777" w:rsidR="00921922" w:rsidRPr="0098470E" w:rsidRDefault="00921922" w:rsidP="00603215">
            <w:pPr>
              <w:pStyle w:val="DHHStabletext"/>
            </w:pPr>
            <w:r w:rsidRPr="0098470E">
              <w:t>Numerator</w:t>
            </w:r>
          </w:p>
        </w:tc>
        <w:tc>
          <w:tcPr>
            <w:tcW w:w="6719" w:type="dxa"/>
          </w:tcPr>
          <w:p w14:paraId="1D56BE57" w14:textId="5A21662F" w:rsidR="00921922" w:rsidRPr="0098470E" w:rsidRDefault="00921922" w:rsidP="00603215">
            <w:pPr>
              <w:pStyle w:val="DHHStabletext"/>
            </w:pPr>
            <w:r w:rsidRPr="0098470E">
              <w:t>Number of surgical site infection post coronary artery bypass grafts</w:t>
            </w:r>
            <w:r w:rsidR="003A2B43">
              <w:t>.</w:t>
            </w:r>
          </w:p>
        </w:tc>
      </w:tr>
      <w:tr w:rsidR="00921922" w:rsidRPr="0098470E" w14:paraId="504209AF" w14:textId="77777777" w:rsidTr="00B34932">
        <w:trPr>
          <w:cantSplit/>
        </w:trPr>
        <w:tc>
          <w:tcPr>
            <w:tcW w:w="2581" w:type="dxa"/>
          </w:tcPr>
          <w:p w14:paraId="1A549441" w14:textId="77777777" w:rsidR="00921922" w:rsidRPr="0098470E" w:rsidRDefault="00921922" w:rsidP="00603215">
            <w:pPr>
              <w:pStyle w:val="DHHStabletext"/>
            </w:pPr>
            <w:r w:rsidRPr="0098470E">
              <w:t xml:space="preserve">Denominator </w:t>
            </w:r>
          </w:p>
        </w:tc>
        <w:tc>
          <w:tcPr>
            <w:tcW w:w="6719" w:type="dxa"/>
          </w:tcPr>
          <w:p w14:paraId="39C83264" w14:textId="4E5A0293" w:rsidR="00921922" w:rsidRPr="0098470E" w:rsidRDefault="00921922" w:rsidP="00603215">
            <w:pPr>
              <w:pStyle w:val="DHHStabletext"/>
            </w:pPr>
            <w:r w:rsidRPr="0098470E">
              <w:t>The total number of coronary artery bypass graft procedures</w:t>
            </w:r>
            <w:r w:rsidR="003A2B43">
              <w:t>.</w:t>
            </w:r>
            <w:r w:rsidRPr="0098470E">
              <w:t xml:space="preserve"> </w:t>
            </w:r>
          </w:p>
        </w:tc>
      </w:tr>
      <w:tr w:rsidR="00921922" w:rsidRPr="0098470E" w14:paraId="41E59E31" w14:textId="77777777" w:rsidTr="00B34932">
        <w:trPr>
          <w:cantSplit/>
        </w:trPr>
        <w:tc>
          <w:tcPr>
            <w:tcW w:w="2581" w:type="dxa"/>
          </w:tcPr>
          <w:p w14:paraId="107A52DF" w14:textId="77777777" w:rsidR="00921922" w:rsidRPr="0098470E" w:rsidRDefault="00921922" w:rsidP="00603215">
            <w:pPr>
              <w:pStyle w:val="DHHStabletext"/>
            </w:pPr>
            <w:r w:rsidRPr="0098470E">
              <w:t>Statewide target</w:t>
            </w:r>
          </w:p>
        </w:tc>
        <w:tc>
          <w:tcPr>
            <w:tcW w:w="6719" w:type="dxa"/>
          </w:tcPr>
          <w:p w14:paraId="3FC9F5C0" w14:textId="77777777" w:rsidR="00921922" w:rsidRPr="0098470E" w:rsidRDefault="00921922" w:rsidP="00603215">
            <w:pPr>
              <w:pStyle w:val="DHHStabletext"/>
            </w:pPr>
            <w:r w:rsidRPr="0098470E">
              <w:t>No outliers</w:t>
            </w:r>
          </w:p>
        </w:tc>
      </w:tr>
      <w:tr w:rsidR="00921922" w:rsidRPr="0098470E" w14:paraId="02AE3F2C" w14:textId="77777777" w:rsidTr="00B34932">
        <w:trPr>
          <w:cantSplit/>
        </w:trPr>
        <w:tc>
          <w:tcPr>
            <w:tcW w:w="2581" w:type="dxa"/>
          </w:tcPr>
          <w:p w14:paraId="20F296AB" w14:textId="77777777" w:rsidR="00921922" w:rsidRPr="0098470E" w:rsidRDefault="00921922" w:rsidP="00603215">
            <w:pPr>
              <w:pStyle w:val="DHHStabletext"/>
            </w:pPr>
            <w:r w:rsidRPr="0098470E">
              <w:t>Achievement</w:t>
            </w:r>
          </w:p>
        </w:tc>
        <w:tc>
          <w:tcPr>
            <w:tcW w:w="6719" w:type="dxa"/>
          </w:tcPr>
          <w:p w14:paraId="158AE1EF" w14:textId="77777777" w:rsidR="00921922" w:rsidRPr="0098470E" w:rsidRDefault="00921922" w:rsidP="00603215">
            <w:pPr>
              <w:pStyle w:val="DHHStabletext"/>
            </w:pPr>
            <w:r w:rsidRPr="0098470E">
              <w:t>Achieved</w:t>
            </w:r>
          </w:p>
          <w:p w14:paraId="0C0A5010" w14:textId="77777777" w:rsidR="00921922" w:rsidRPr="0098470E" w:rsidRDefault="00921922" w:rsidP="00603215">
            <w:pPr>
              <w:pStyle w:val="DHHStabletext"/>
            </w:pPr>
            <w:r w:rsidRPr="0098470E">
              <w:t>Not achieved</w:t>
            </w:r>
          </w:p>
        </w:tc>
      </w:tr>
    </w:tbl>
    <w:p w14:paraId="376A785E" w14:textId="20460513" w:rsidR="00961723" w:rsidRPr="00961723" w:rsidRDefault="00961723" w:rsidP="00961723">
      <w:pPr>
        <w:pStyle w:val="DHHStablecaption"/>
      </w:pPr>
      <w:r>
        <w:lastRenderedPageBreak/>
        <w:t xml:space="preserve">Indicator: </w:t>
      </w:r>
      <w:r w:rsidR="00135F82">
        <w:t>Rate of s</w:t>
      </w:r>
      <w:r w:rsidR="00135F82" w:rsidRPr="00F46FC8">
        <w:t>urgical site infection post hip arthroplasty</w:t>
      </w:r>
    </w:p>
    <w:tbl>
      <w:tblPr>
        <w:tblStyle w:val="TableGrid"/>
        <w:tblW w:w="9300" w:type="dxa"/>
        <w:tblLayout w:type="fixed"/>
        <w:tblLook w:val="06A0" w:firstRow="1" w:lastRow="0" w:firstColumn="1" w:lastColumn="0" w:noHBand="1" w:noVBand="1"/>
      </w:tblPr>
      <w:tblGrid>
        <w:gridCol w:w="2581"/>
        <w:gridCol w:w="6719"/>
      </w:tblGrid>
      <w:tr w:rsidR="00D97737" w:rsidRPr="0098470E" w14:paraId="3448EA28"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0D95620E" w14:textId="1B49E5C6" w:rsidR="00D97737" w:rsidRPr="00F46FC8" w:rsidRDefault="00D97737" w:rsidP="00D97737">
            <w:pPr>
              <w:pStyle w:val="DHHStablecolhead"/>
            </w:pPr>
            <w:r>
              <w:t>Element</w:t>
            </w:r>
          </w:p>
        </w:tc>
        <w:tc>
          <w:tcPr>
            <w:tcW w:w="6719" w:type="dxa"/>
          </w:tcPr>
          <w:p w14:paraId="36DF6C42" w14:textId="1B93A1BB" w:rsidR="00D97737" w:rsidRPr="00F46FC8" w:rsidRDefault="00D97737" w:rsidP="00D97737">
            <w:pPr>
              <w:pStyle w:val="DHHStablecolhead"/>
            </w:pPr>
            <w:r>
              <w:t>Details</w:t>
            </w:r>
          </w:p>
        </w:tc>
      </w:tr>
      <w:tr w:rsidR="00921922" w:rsidRPr="0098470E" w14:paraId="60BAEA4D" w14:textId="77777777" w:rsidTr="00B34932">
        <w:trPr>
          <w:cantSplit/>
        </w:trPr>
        <w:tc>
          <w:tcPr>
            <w:tcW w:w="2581" w:type="dxa"/>
          </w:tcPr>
          <w:p w14:paraId="6C4BD3A0" w14:textId="77777777" w:rsidR="00921922" w:rsidRPr="0098470E" w:rsidRDefault="00921922" w:rsidP="00603215">
            <w:pPr>
              <w:pStyle w:val="DHHStabletext"/>
            </w:pPr>
            <w:r w:rsidRPr="0098470E">
              <w:t>Numerator</w:t>
            </w:r>
          </w:p>
        </w:tc>
        <w:tc>
          <w:tcPr>
            <w:tcW w:w="6719" w:type="dxa"/>
          </w:tcPr>
          <w:p w14:paraId="34028BD3" w14:textId="0F14D7E0" w:rsidR="00921922" w:rsidRPr="0098470E" w:rsidRDefault="00921922" w:rsidP="00603215">
            <w:pPr>
              <w:pStyle w:val="DHHStabletext"/>
            </w:pPr>
            <w:r w:rsidRPr="0098470E">
              <w:t>Number of surgical site infection post hip arthroplasty</w:t>
            </w:r>
            <w:r w:rsidR="0016154E">
              <w:t>.</w:t>
            </w:r>
          </w:p>
        </w:tc>
      </w:tr>
      <w:tr w:rsidR="00921922" w:rsidRPr="0098470E" w14:paraId="6B915D72" w14:textId="77777777" w:rsidTr="00B34932">
        <w:trPr>
          <w:cantSplit/>
        </w:trPr>
        <w:tc>
          <w:tcPr>
            <w:tcW w:w="2581" w:type="dxa"/>
          </w:tcPr>
          <w:p w14:paraId="7DBB8534" w14:textId="77777777" w:rsidR="00921922" w:rsidRPr="0098470E" w:rsidRDefault="00921922" w:rsidP="00603215">
            <w:pPr>
              <w:pStyle w:val="DHHStabletext"/>
            </w:pPr>
            <w:r w:rsidRPr="0098470E">
              <w:t xml:space="preserve">Denominator </w:t>
            </w:r>
          </w:p>
        </w:tc>
        <w:tc>
          <w:tcPr>
            <w:tcW w:w="6719" w:type="dxa"/>
          </w:tcPr>
          <w:p w14:paraId="1DF2180D" w14:textId="2DAA57D6" w:rsidR="00921922" w:rsidRPr="0098470E" w:rsidRDefault="00921922" w:rsidP="00603215">
            <w:pPr>
              <w:pStyle w:val="DHHStabletext"/>
            </w:pPr>
            <w:r w:rsidRPr="0098470E">
              <w:t>The total number of hip arthroplasties</w:t>
            </w:r>
            <w:r w:rsidR="0016154E">
              <w:t>.</w:t>
            </w:r>
          </w:p>
        </w:tc>
      </w:tr>
      <w:tr w:rsidR="00921922" w:rsidRPr="0098470E" w14:paraId="68A9C891" w14:textId="77777777" w:rsidTr="00B34932">
        <w:trPr>
          <w:cantSplit/>
        </w:trPr>
        <w:tc>
          <w:tcPr>
            <w:tcW w:w="2581" w:type="dxa"/>
          </w:tcPr>
          <w:p w14:paraId="42BADD7E" w14:textId="77777777" w:rsidR="00921922" w:rsidRPr="0098470E" w:rsidRDefault="00921922" w:rsidP="00603215">
            <w:pPr>
              <w:pStyle w:val="DHHStabletext"/>
            </w:pPr>
            <w:r w:rsidRPr="0098470E">
              <w:t>Statewide target</w:t>
            </w:r>
          </w:p>
        </w:tc>
        <w:tc>
          <w:tcPr>
            <w:tcW w:w="6719" w:type="dxa"/>
          </w:tcPr>
          <w:p w14:paraId="15D00703" w14:textId="77777777" w:rsidR="00921922" w:rsidRPr="0098470E" w:rsidRDefault="00921922" w:rsidP="00603215">
            <w:pPr>
              <w:pStyle w:val="DHHStabletext"/>
            </w:pPr>
            <w:r w:rsidRPr="0098470E">
              <w:t>No outliers</w:t>
            </w:r>
          </w:p>
        </w:tc>
      </w:tr>
      <w:tr w:rsidR="00921922" w:rsidRPr="0098470E" w14:paraId="5ED1E35B" w14:textId="77777777" w:rsidTr="00B34932">
        <w:trPr>
          <w:cantSplit/>
        </w:trPr>
        <w:tc>
          <w:tcPr>
            <w:tcW w:w="2581" w:type="dxa"/>
          </w:tcPr>
          <w:p w14:paraId="548051A5" w14:textId="77777777" w:rsidR="00921922" w:rsidRPr="0098470E" w:rsidRDefault="00921922" w:rsidP="00603215">
            <w:pPr>
              <w:pStyle w:val="DHHStabletext"/>
            </w:pPr>
            <w:r w:rsidRPr="0098470E">
              <w:t>Achievement</w:t>
            </w:r>
          </w:p>
        </w:tc>
        <w:tc>
          <w:tcPr>
            <w:tcW w:w="6719" w:type="dxa"/>
          </w:tcPr>
          <w:p w14:paraId="59C90127" w14:textId="77777777" w:rsidR="00921922" w:rsidRPr="0098470E" w:rsidRDefault="00921922" w:rsidP="00603215">
            <w:pPr>
              <w:pStyle w:val="DHHStabletext"/>
            </w:pPr>
            <w:r w:rsidRPr="0098470E">
              <w:t>Achieved</w:t>
            </w:r>
          </w:p>
          <w:p w14:paraId="0F3E29AF" w14:textId="77777777" w:rsidR="00921922" w:rsidRPr="0098470E" w:rsidRDefault="00921922" w:rsidP="00603215">
            <w:pPr>
              <w:pStyle w:val="DHHStabletext"/>
            </w:pPr>
            <w:r w:rsidRPr="0098470E">
              <w:t>Not achieved</w:t>
            </w:r>
          </w:p>
        </w:tc>
      </w:tr>
    </w:tbl>
    <w:p w14:paraId="350C1085" w14:textId="4387F85D" w:rsidR="00921922" w:rsidRPr="0098470E" w:rsidRDefault="00961723" w:rsidP="00961723">
      <w:pPr>
        <w:pStyle w:val="DHHStablecaption"/>
      </w:pPr>
      <w:r>
        <w:t xml:space="preserve">Indicator: </w:t>
      </w:r>
      <w:r w:rsidR="00135F82">
        <w:t>Rate of s</w:t>
      </w:r>
      <w:r w:rsidR="00135F82" w:rsidRPr="00F46FC8">
        <w:t>urgical site infection post knee arthroplasty</w:t>
      </w:r>
    </w:p>
    <w:tbl>
      <w:tblPr>
        <w:tblStyle w:val="TableGrid"/>
        <w:tblW w:w="9300" w:type="dxa"/>
        <w:tblLayout w:type="fixed"/>
        <w:tblLook w:val="06A0" w:firstRow="1" w:lastRow="0" w:firstColumn="1" w:lastColumn="0" w:noHBand="1" w:noVBand="1"/>
      </w:tblPr>
      <w:tblGrid>
        <w:gridCol w:w="2552"/>
        <w:gridCol w:w="6748"/>
      </w:tblGrid>
      <w:tr w:rsidR="00D97737" w:rsidRPr="0098470E" w14:paraId="70665C8C"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2AE29ED3" w14:textId="76A21ED4" w:rsidR="00D97737" w:rsidRPr="00F46FC8" w:rsidRDefault="00D97737" w:rsidP="00D97737">
            <w:pPr>
              <w:pStyle w:val="DHHStablecolhead"/>
            </w:pPr>
            <w:r>
              <w:t>Element</w:t>
            </w:r>
          </w:p>
        </w:tc>
        <w:tc>
          <w:tcPr>
            <w:tcW w:w="6748" w:type="dxa"/>
          </w:tcPr>
          <w:p w14:paraId="52F3DCB1" w14:textId="55F8213F" w:rsidR="00D97737" w:rsidRPr="00F46FC8" w:rsidRDefault="00D97737" w:rsidP="00D97737">
            <w:pPr>
              <w:pStyle w:val="DHHStablecolhead"/>
            </w:pPr>
            <w:r>
              <w:t>Details</w:t>
            </w:r>
          </w:p>
        </w:tc>
      </w:tr>
      <w:tr w:rsidR="00921922" w:rsidRPr="0098470E" w14:paraId="37A05495" w14:textId="77777777" w:rsidTr="00B34932">
        <w:trPr>
          <w:cantSplit/>
        </w:trPr>
        <w:tc>
          <w:tcPr>
            <w:tcW w:w="2552" w:type="dxa"/>
          </w:tcPr>
          <w:p w14:paraId="21F9566E" w14:textId="77777777" w:rsidR="00921922" w:rsidRPr="0098470E" w:rsidRDefault="00921922" w:rsidP="00603215">
            <w:pPr>
              <w:pStyle w:val="DHHStabletext"/>
            </w:pPr>
            <w:r w:rsidRPr="0098470E">
              <w:t>Description</w:t>
            </w:r>
          </w:p>
        </w:tc>
        <w:tc>
          <w:tcPr>
            <w:tcW w:w="6748" w:type="dxa"/>
          </w:tcPr>
          <w:p w14:paraId="75757F44" w14:textId="59C84F5A" w:rsidR="00921922" w:rsidRPr="0098470E" w:rsidRDefault="00921922" w:rsidP="00603215">
            <w:pPr>
              <w:pStyle w:val="DHHStabletext"/>
            </w:pPr>
            <w:r w:rsidRPr="0098470E">
              <w:t>Number of surgical site infection post knee arthroplasty</w:t>
            </w:r>
            <w:r w:rsidR="00B72B46">
              <w:t>.</w:t>
            </w:r>
          </w:p>
        </w:tc>
      </w:tr>
      <w:tr w:rsidR="00921922" w:rsidRPr="0098470E" w14:paraId="53C2F0F5" w14:textId="77777777" w:rsidTr="00B34932">
        <w:trPr>
          <w:cantSplit/>
        </w:trPr>
        <w:tc>
          <w:tcPr>
            <w:tcW w:w="2552" w:type="dxa"/>
          </w:tcPr>
          <w:p w14:paraId="1CD99BCB" w14:textId="77777777" w:rsidR="00921922" w:rsidRPr="0098470E" w:rsidRDefault="00921922" w:rsidP="00603215">
            <w:pPr>
              <w:pStyle w:val="DHHStabletext"/>
            </w:pPr>
            <w:r w:rsidRPr="0098470E">
              <w:t xml:space="preserve">Denominator </w:t>
            </w:r>
          </w:p>
        </w:tc>
        <w:tc>
          <w:tcPr>
            <w:tcW w:w="6748" w:type="dxa"/>
          </w:tcPr>
          <w:p w14:paraId="633A6F0B" w14:textId="74991CF0" w:rsidR="00921922" w:rsidRPr="0098470E" w:rsidRDefault="00921922" w:rsidP="00603215">
            <w:pPr>
              <w:pStyle w:val="DHHStabletext"/>
            </w:pPr>
            <w:r w:rsidRPr="0098470E">
              <w:t>The total number of knee arthroplasties</w:t>
            </w:r>
            <w:r w:rsidR="00B72B46">
              <w:t>.</w:t>
            </w:r>
          </w:p>
        </w:tc>
      </w:tr>
      <w:tr w:rsidR="00921922" w:rsidRPr="0098470E" w14:paraId="29EA7B5E" w14:textId="77777777" w:rsidTr="00B34932">
        <w:trPr>
          <w:cantSplit/>
        </w:trPr>
        <w:tc>
          <w:tcPr>
            <w:tcW w:w="2552" w:type="dxa"/>
          </w:tcPr>
          <w:p w14:paraId="78A2B96C" w14:textId="77777777" w:rsidR="00921922" w:rsidRPr="0098470E" w:rsidRDefault="00921922" w:rsidP="00603215">
            <w:pPr>
              <w:pStyle w:val="DHHStabletext"/>
            </w:pPr>
            <w:r w:rsidRPr="0098470E">
              <w:t>Statewide target</w:t>
            </w:r>
          </w:p>
        </w:tc>
        <w:tc>
          <w:tcPr>
            <w:tcW w:w="6748" w:type="dxa"/>
          </w:tcPr>
          <w:p w14:paraId="15B05CF2" w14:textId="77777777" w:rsidR="00921922" w:rsidRPr="0098470E" w:rsidRDefault="00921922" w:rsidP="00603215">
            <w:pPr>
              <w:pStyle w:val="DHHStabletext"/>
            </w:pPr>
            <w:r w:rsidRPr="0098470E">
              <w:t>No outliers</w:t>
            </w:r>
          </w:p>
        </w:tc>
      </w:tr>
      <w:tr w:rsidR="00921922" w:rsidRPr="0098470E" w14:paraId="6E39E56A" w14:textId="77777777" w:rsidTr="00B34932">
        <w:trPr>
          <w:cantSplit/>
        </w:trPr>
        <w:tc>
          <w:tcPr>
            <w:tcW w:w="2552" w:type="dxa"/>
          </w:tcPr>
          <w:p w14:paraId="238B9B9E" w14:textId="77777777" w:rsidR="00921922" w:rsidRPr="0098470E" w:rsidRDefault="00921922" w:rsidP="00603215">
            <w:pPr>
              <w:pStyle w:val="DHHStabletext"/>
            </w:pPr>
            <w:r w:rsidRPr="0098470E">
              <w:t>Achievement</w:t>
            </w:r>
          </w:p>
        </w:tc>
        <w:tc>
          <w:tcPr>
            <w:tcW w:w="6748" w:type="dxa"/>
          </w:tcPr>
          <w:p w14:paraId="3DDDC767" w14:textId="77777777" w:rsidR="00921922" w:rsidRPr="0098470E" w:rsidRDefault="00921922" w:rsidP="00603215">
            <w:pPr>
              <w:pStyle w:val="DHHStabletext"/>
            </w:pPr>
            <w:r w:rsidRPr="0098470E">
              <w:t>Achieved</w:t>
            </w:r>
          </w:p>
          <w:p w14:paraId="00378D71" w14:textId="77777777" w:rsidR="00921922" w:rsidRPr="0098470E" w:rsidRDefault="00921922" w:rsidP="00603215">
            <w:pPr>
              <w:pStyle w:val="DHHStabletext"/>
            </w:pPr>
            <w:r w:rsidRPr="0098470E">
              <w:t>Not Achieved</w:t>
            </w:r>
          </w:p>
        </w:tc>
      </w:tr>
    </w:tbl>
    <w:p w14:paraId="3E230AA5" w14:textId="6DE717DE" w:rsidR="00921922" w:rsidRPr="0098470E" w:rsidRDefault="00961723" w:rsidP="00961723">
      <w:pPr>
        <w:pStyle w:val="DHHStablecaption"/>
      </w:pPr>
      <w:r>
        <w:t xml:space="preserve">Indicator: </w:t>
      </w:r>
      <w:r w:rsidR="00135F82">
        <w:t>Rate of s</w:t>
      </w:r>
      <w:r w:rsidR="00135F82" w:rsidRPr="00F46FC8">
        <w:t>urgical site infection post caesarean section delivery</w:t>
      </w:r>
    </w:p>
    <w:tbl>
      <w:tblPr>
        <w:tblStyle w:val="TableGrid"/>
        <w:tblW w:w="9300" w:type="dxa"/>
        <w:tblLayout w:type="fixed"/>
        <w:tblLook w:val="06A0" w:firstRow="1" w:lastRow="0" w:firstColumn="1" w:lastColumn="0" w:noHBand="1" w:noVBand="1"/>
      </w:tblPr>
      <w:tblGrid>
        <w:gridCol w:w="2552"/>
        <w:gridCol w:w="6748"/>
      </w:tblGrid>
      <w:tr w:rsidR="00D97737" w:rsidRPr="0098470E" w14:paraId="610250A0" w14:textId="77777777" w:rsidTr="00B34932">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615C3CD2" w14:textId="3810C262" w:rsidR="00D97737" w:rsidRPr="00F46FC8" w:rsidRDefault="00D97737" w:rsidP="00D97737">
            <w:pPr>
              <w:pStyle w:val="DHHStablecolhead"/>
            </w:pPr>
            <w:r>
              <w:t>Element</w:t>
            </w:r>
          </w:p>
        </w:tc>
        <w:tc>
          <w:tcPr>
            <w:tcW w:w="6748" w:type="dxa"/>
          </w:tcPr>
          <w:p w14:paraId="2A963F2C" w14:textId="2C1C0021" w:rsidR="00D97737" w:rsidRPr="00F46FC8" w:rsidRDefault="00D97737" w:rsidP="00D97737">
            <w:pPr>
              <w:pStyle w:val="DHHStablecolhead"/>
            </w:pPr>
            <w:r>
              <w:t>Details</w:t>
            </w:r>
          </w:p>
        </w:tc>
      </w:tr>
      <w:tr w:rsidR="00921922" w:rsidRPr="0098470E" w14:paraId="22B5305E" w14:textId="77777777" w:rsidTr="00B34932">
        <w:trPr>
          <w:cantSplit/>
        </w:trPr>
        <w:tc>
          <w:tcPr>
            <w:tcW w:w="2552" w:type="dxa"/>
          </w:tcPr>
          <w:p w14:paraId="30DBFB91" w14:textId="77777777" w:rsidR="00921922" w:rsidRPr="0098470E" w:rsidRDefault="00921922" w:rsidP="00603215">
            <w:pPr>
              <w:pStyle w:val="DHHStabletext"/>
            </w:pPr>
            <w:r w:rsidRPr="0098470E">
              <w:t>Numerator</w:t>
            </w:r>
          </w:p>
        </w:tc>
        <w:tc>
          <w:tcPr>
            <w:tcW w:w="6748" w:type="dxa"/>
          </w:tcPr>
          <w:p w14:paraId="024EC3AB" w14:textId="30F81CF2" w:rsidR="00921922" w:rsidRPr="0098470E" w:rsidRDefault="00921922" w:rsidP="00603215">
            <w:pPr>
              <w:pStyle w:val="DHHStabletext"/>
            </w:pPr>
            <w:r w:rsidRPr="0098470E">
              <w:t>Number of surgical site infection post caesarean section delivery</w:t>
            </w:r>
            <w:r w:rsidR="00B72B46">
              <w:t>.</w:t>
            </w:r>
          </w:p>
        </w:tc>
      </w:tr>
      <w:tr w:rsidR="00921922" w:rsidRPr="0098470E" w14:paraId="5680307F" w14:textId="77777777" w:rsidTr="00B34932">
        <w:trPr>
          <w:cantSplit/>
        </w:trPr>
        <w:tc>
          <w:tcPr>
            <w:tcW w:w="2552" w:type="dxa"/>
          </w:tcPr>
          <w:p w14:paraId="1C0D574D" w14:textId="77777777" w:rsidR="00921922" w:rsidRPr="0098470E" w:rsidRDefault="00921922" w:rsidP="00603215">
            <w:pPr>
              <w:pStyle w:val="DHHStabletext"/>
            </w:pPr>
            <w:r w:rsidRPr="0098470E">
              <w:t xml:space="preserve">Denominator </w:t>
            </w:r>
          </w:p>
        </w:tc>
        <w:tc>
          <w:tcPr>
            <w:tcW w:w="6748" w:type="dxa"/>
          </w:tcPr>
          <w:p w14:paraId="46DAE496" w14:textId="397B5033" w:rsidR="00921922" w:rsidRPr="0098470E" w:rsidRDefault="00921922" w:rsidP="00603215">
            <w:pPr>
              <w:pStyle w:val="DHHStabletext"/>
            </w:pPr>
            <w:r w:rsidRPr="0098470E">
              <w:t>The total number of caesarean section deliveries</w:t>
            </w:r>
            <w:r w:rsidR="00B72B46">
              <w:t>.</w:t>
            </w:r>
          </w:p>
        </w:tc>
      </w:tr>
      <w:tr w:rsidR="00921922" w:rsidRPr="0098470E" w14:paraId="47BD935D" w14:textId="77777777" w:rsidTr="00B34932">
        <w:trPr>
          <w:cantSplit/>
        </w:trPr>
        <w:tc>
          <w:tcPr>
            <w:tcW w:w="2552" w:type="dxa"/>
          </w:tcPr>
          <w:p w14:paraId="0ED16875" w14:textId="77777777" w:rsidR="00921922" w:rsidRPr="0098470E" w:rsidRDefault="00921922" w:rsidP="00603215">
            <w:pPr>
              <w:pStyle w:val="DHHStabletext"/>
            </w:pPr>
            <w:r w:rsidRPr="0098470E">
              <w:t>Statewide target</w:t>
            </w:r>
          </w:p>
        </w:tc>
        <w:tc>
          <w:tcPr>
            <w:tcW w:w="6748" w:type="dxa"/>
          </w:tcPr>
          <w:p w14:paraId="12A10EB3" w14:textId="77777777" w:rsidR="00921922" w:rsidRPr="0098470E" w:rsidRDefault="00921922" w:rsidP="00603215">
            <w:pPr>
              <w:pStyle w:val="DHHStabletext"/>
            </w:pPr>
            <w:r w:rsidRPr="0098470E">
              <w:t>No outliers</w:t>
            </w:r>
          </w:p>
        </w:tc>
      </w:tr>
      <w:tr w:rsidR="00921922" w:rsidRPr="0098470E" w14:paraId="3C1257FF" w14:textId="77777777" w:rsidTr="00B34932">
        <w:trPr>
          <w:cantSplit/>
        </w:trPr>
        <w:tc>
          <w:tcPr>
            <w:tcW w:w="2552" w:type="dxa"/>
          </w:tcPr>
          <w:p w14:paraId="4ECB2250" w14:textId="77777777" w:rsidR="00921922" w:rsidRPr="0098470E" w:rsidRDefault="00921922" w:rsidP="00603215">
            <w:pPr>
              <w:pStyle w:val="DHHStabletext"/>
            </w:pPr>
            <w:r w:rsidRPr="0098470E">
              <w:t>Achievement</w:t>
            </w:r>
          </w:p>
        </w:tc>
        <w:tc>
          <w:tcPr>
            <w:tcW w:w="6748" w:type="dxa"/>
          </w:tcPr>
          <w:p w14:paraId="61F0347F" w14:textId="77777777" w:rsidR="00921922" w:rsidRPr="0098470E" w:rsidRDefault="00921922" w:rsidP="00603215">
            <w:pPr>
              <w:pStyle w:val="DHHStabletext"/>
            </w:pPr>
            <w:r w:rsidRPr="0098470E">
              <w:t>Achieved</w:t>
            </w:r>
          </w:p>
          <w:p w14:paraId="571AD962" w14:textId="77777777" w:rsidR="00921922" w:rsidRPr="0098470E" w:rsidRDefault="00921922" w:rsidP="00603215">
            <w:pPr>
              <w:pStyle w:val="DHHStabletext"/>
            </w:pPr>
            <w:r w:rsidRPr="0098470E">
              <w:t>Not Achieved</w:t>
            </w:r>
          </w:p>
        </w:tc>
      </w:tr>
    </w:tbl>
    <w:p w14:paraId="26C6B1D9" w14:textId="45DE36CB" w:rsidR="00921922" w:rsidRPr="0098470E" w:rsidRDefault="00961723" w:rsidP="00961723">
      <w:pPr>
        <w:pStyle w:val="DHHStablecaption"/>
      </w:pPr>
      <w:r>
        <w:t xml:space="preserve">Indicator: </w:t>
      </w:r>
      <w:r w:rsidR="00135F82">
        <w:t>Rate of s</w:t>
      </w:r>
      <w:r w:rsidR="00135F82" w:rsidRPr="00F46FC8">
        <w:t>urgical site infection post colorectal surgery</w:t>
      </w:r>
    </w:p>
    <w:tbl>
      <w:tblPr>
        <w:tblStyle w:val="TableGrid"/>
        <w:tblW w:w="9300" w:type="dxa"/>
        <w:tblLayout w:type="fixed"/>
        <w:tblLook w:val="06A0" w:firstRow="1" w:lastRow="0" w:firstColumn="1" w:lastColumn="0" w:noHBand="1" w:noVBand="1"/>
      </w:tblPr>
      <w:tblGrid>
        <w:gridCol w:w="2552"/>
        <w:gridCol w:w="6748"/>
      </w:tblGrid>
      <w:tr w:rsidR="00D97737" w:rsidRPr="0098470E" w14:paraId="73EA8637" w14:textId="4A0618F0" w:rsidTr="00D0165F">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2FA18E00" w14:textId="75C1AF94" w:rsidR="00D97737" w:rsidRPr="00F46FC8" w:rsidRDefault="00D97737" w:rsidP="00D97737">
            <w:pPr>
              <w:pStyle w:val="DHHStablecolhead"/>
            </w:pPr>
            <w:r>
              <w:t>Element</w:t>
            </w:r>
          </w:p>
        </w:tc>
        <w:tc>
          <w:tcPr>
            <w:tcW w:w="6748" w:type="dxa"/>
          </w:tcPr>
          <w:p w14:paraId="63D16A5E" w14:textId="310CDCF3" w:rsidR="00D97737" w:rsidRPr="00F46FC8" w:rsidRDefault="00D97737" w:rsidP="00D97737">
            <w:pPr>
              <w:pStyle w:val="DHHStablecolhead"/>
            </w:pPr>
            <w:r>
              <w:t>Details</w:t>
            </w:r>
          </w:p>
        </w:tc>
      </w:tr>
      <w:tr w:rsidR="00921922" w:rsidRPr="0098470E" w14:paraId="0CD2B44B" w14:textId="1D9DD9C6" w:rsidTr="00D0165F">
        <w:trPr>
          <w:cantSplit/>
        </w:trPr>
        <w:tc>
          <w:tcPr>
            <w:tcW w:w="2552" w:type="dxa"/>
          </w:tcPr>
          <w:p w14:paraId="072BE5AB" w14:textId="411CE58B" w:rsidR="00921922" w:rsidRPr="0098470E" w:rsidRDefault="00921922" w:rsidP="00603215">
            <w:pPr>
              <w:pStyle w:val="DHHStabletext"/>
            </w:pPr>
            <w:r w:rsidRPr="0098470E">
              <w:t>Numerator</w:t>
            </w:r>
          </w:p>
        </w:tc>
        <w:tc>
          <w:tcPr>
            <w:tcW w:w="6748" w:type="dxa"/>
          </w:tcPr>
          <w:p w14:paraId="3A168400" w14:textId="4577BD16" w:rsidR="00921922" w:rsidRPr="0098470E" w:rsidRDefault="00921922" w:rsidP="00603215">
            <w:pPr>
              <w:pStyle w:val="DHHStabletext"/>
            </w:pPr>
            <w:r w:rsidRPr="0098470E">
              <w:t xml:space="preserve">Number of surgical site infection post colorectal surgery. </w:t>
            </w:r>
          </w:p>
        </w:tc>
      </w:tr>
      <w:tr w:rsidR="00921922" w:rsidRPr="0098470E" w14:paraId="1EA963A9" w14:textId="2076C448" w:rsidTr="00D0165F">
        <w:trPr>
          <w:cantSplit/>
        </w:trPr>
        <w:tc>
          <w:tcPr>
            <w:tcW w:w="2552" w:type="dxa"/>
          </w:tcPr>
          <w:p w14:paraId="0A5B4EE2" w14:textId="76829725" w:rsidR="00921922" w:rsidRPr="0098470E" w:rsidRDefault="00921922" w:rsidP="00603215">
            <w:pPr>
              <w:pStyle w:val="DHHStabletext"/>
            </w:pPr>
            <w:r w:rsidRPr="0098470E">
              <w:t xml:space="preserve">Denominator </w:t>
            </w:r>
          </w:p>
        </w:tc>
        <w:tc>
          <w:tcPr>
            <w:tcW w:w="6748" w:type="dxa"/>
          </w:tcPr>
          <w:p w14:paraId="6BEDD8F7" w14:textId="513CB19D" w:rsidR="00921922" w:rsidRPr="0098470E" w:rsidRDefault="00921922" w:rsidP="00603215">
            <w:pPr>
              <w:pStyle w:val="DHHStabletext"/>
            </w:pPr>
            <w:r w:rsidRPr="0098470E">
              <w:t>The total number of colorectal surgeries.</w:t>
            </w:r>
          </w:p>
        </w:tc>
      </w:tr>
      <w:tr w:rsidR="00921922" w:rsidRPr="0098470E" w14:paraId="73FD4776" w14:textId="309B9268" w:rsidTr="00D0165F">
        <w:trPr>
          <w:cantSplit/>
        </w:trPr>
        <w:tc>
          <w:tcPr>
            <w:tcW w:w="2552" w:type="dxa"/>
          </w:tcPr>
          <w:p w14:paraId="6360FB79" w14:textId="57BF1F0E" w:rsidR="00921922" w:rsidRPr="0098470E" w:rsidRDefault="00921922" w:rsidP="00603215">
            <w:pPr>
              <w:pStyle w:val="DHHStabletext"/>
            </w:pPr>
            <w:r w:rsidRPr="0098470E">
              <w:t xml:space="preserve">Statewide target </w:t>
            </w:r>
          </w:p>
        </w:tc>
        <w:tc>
          <w:tcPr>
            <w:tcW w:w="6748" w:type="dxa"/>
          </w:tcPr>
          <w:p w14:paraId="1A9C29D3" w14:textId="4B08EDE7" w:rsidR="00921922" w:rsidRPr="0098470E" w:rsidRDefault="00921922" w:rsidP="00603215">
            <w:pPr>
              <w:pStyle w:val="DHHStabletext"/>
            </w:pPr>
            <w:r w:rsidRPr="0098470E">
              <w:t>No outliers</w:t>
            </w:r>
          </w:p>
        </w:tc>
      </w:tr>
      <w:tr w:rsidR="00921922" w:rsidRPr="0098470E" w14:paraId="64D3FE14" w14:textId="69E8FA28" w:rsidTr="00D0165F">
        <w:trPr>
          <w:cantSplit/>
        </w:trPr>
        <w:tc>
          <w:tcPr>
            <w:tcW w:w="2552" w:type="dxa"/>
          </w:tcPr>
          <w:p w14:paraId="56AB6277" w14:textId="1EA388CB" w:rsidR="00921922" w:rsidRPr="0098470E" w:rsidRDefault="00921922" w:rsidP="00603215">
            <w:pPr>
              <w:pStyle w:val="DHHStabletext"/>
            </w:pPr>
            <w:r w:rsidRPr="0098470E">
              <w:t>Achievement</w:t>
            </w:r>
          </w:p>
        </w:tc>
        <w:tc>
          <w:tcPr>
            <w:tcW w:w="6748" w:type="dxa"/>
          </w:tcPr>
          <w:p w14:paraId="07ED5EF4" w14:textId="21A60D33" w:rsidR="00921922" w:rsidRPr="0098470E" w:rsidRDefault="00921922" w:rsidP="00603215">
            <w:pPr>
              <w:pStyle w:val="DHHStabletext"/>
            </w:pPr>
            <w:r w:rsidRPr="0098470E">
              <w:t>Achieved</w:t>
            </w:r>
          </w:p>
          <w:p w14:paraId="38606373" w14:textId="422A4013" w:rsidR="00921922" w:rsidRPr="0098470E" w:rsidRDefault="00921922" w:rsidP="00603215">
            <w:pPr>
              <w:pStyle w:val="DHHStabletext"/>
            </w:pPr>
            <w:r w:rsidRPr="0098470E">
              <w:t>Not Achieved</w:t>
            </w:r>
          </w:p>
        </w:tc>
      </w:tr>
    </w:tbl>
    <w:p w14:paraId="3BE58985" w14:textId="77777777" w:rsidR="00B35E9C" w:rsidRPr="00B35E9C" w:rsidRDefault="00B35E9C" w:rsidP="00B35E9C">
      <w:pPr>
        <w:pStyle w:val="DHHSbody"/>
      </w:pPr>
      <w:r w:rsidRPr="00B35E9C">
        <w:br w:type="page"/>
      </w:r>
    </w:p>
    <w:p w14:paraId="33C73429" w14:textId="45AA9366" w:rsidR="00921922" w:rsidRPr="00961723" w:rsidRDefault="00961723" w:rsidP="00961723">
      <w:pPr>
        <w:pStyle w:val="DHHStablecaption"/>
      </w:pPr>
      <w:r>
        <w:lastRenderedPageBreak/>
        <w:t xml:space="preserve">Indicator: </w:t>
      </w:r>
      <w:r w:rsidR="00135F82" w:rsidRPr="00F46FC8">
        <w:t>Intensive care unit central-line-associated bloodstream infection surveillance</w:t>
      </w:r>
    </w:p>
    <w:tbl>
      <w:tblPr>
        <w:tblStyle w:val="TableGrid"/>
        <w:tblW w:w="9300" w:type="dxa"/>
        <w:tblLayout w:type="fixed"/>
        <w:tblLook w:val="06A0" w:firstRow="1" w:lastRow="0" w:firstColumn="1" w:lastColumn="0" w:noHBand="1" w:noVBand="1"/>
      </w:tblPr>
      <w:tblGrid>
        <w:gridCol w:w="2581"/>
        <w:gridCol w:w="6719"/>
      </w:tblGrid>
      <w:tr w:rsidR="00D97737" w:rsidRPr="0098470E" w14:paraId="6F62F841" w14:textId="77777777" w:rsidTr="00D0165F">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7C28DC23" w14:textId="5FE43D89" w:rsidR="00D97737" w:rsidRPr="00F46FC8" w:rsidRDefault="00D97737" w:rsidP="00D97737">
            <w:pPr>
              <w:pStyle w:val="DHHStablecolhead"/>
            </w:pPr>
            <w:r>
              <w:t>Element</w:t>
            </w:r>
          </w:p>
        </w:tc>
        <w:tc>
          <w:tcPr>
            <w:tcW w:w="6719" w:type="dxa"/>
          </w:tcPr>
          <w:p w14:paraId="46922359" w14:textId="38EFF3F5" w:rsidR="00D97737" w:rsidRPr="00F46FC8" w:rsidRDefault="00D97737" w:rsidP="00D97737">
            <w:pPr>
              <w:pStyle w:val="DHHStablecolhead"/>
            </w:pPr>
            <w:r>
              <w:t>Details</w:t>
            </w:r>
          </w:p>
        </w:tc>
      </w:tr>
      <w:tr w:rsidR="00921922" w:rsidRPr="0098470E" w14:paraId="3A626188" w14:textId="77777777" w:rsidTr="00D0165F">
        <w:trPr>
          <w:cantSplit/>
        </w:trPr>
        <w:tc>
          <w:tcPr>
            <w:tcW w:w="2581" w:type="dxa"/>
            <w:hideMark/>
          </w:tcPr>
          <w:p w14:paraId="42DAB72C" w14:textId="77777777" w:rsidR="00921922" w:rsidRPr="004B1272" w:rsidRDefault="00921922" w:rsidP="00603215">
            <w:pPr>
              <w:pStyle w:val="DHHStabletext"/>
            </w:pPr>
            <w:r w:rsidRPr="004B1272">
              <w:t>Description</w:t>
            </w:r>
          </w:p>
        </w:tc>
        <w:tc>
          <w:tcPr>
            <w:tcW w:w="6719" w:type="dxa"/>
            <w:hideMark/>
          </w:tcPr>
          <w:p w14:paraId="5BB1D9A4" w14:textId="5EDDAFAC" w:rsidR="00921922" w:rsidRDefault="00921922" w:rsidP="00603215">
            <w:pPr>
              <w:pStyle w:val="DHHStabletext"/>
            </w:pPr>
            <w:r w:rsidRPr="004B1272">
              <w:t>This surveillance measure focuses on reducing the incidence of central-line-associated bloodstream infection (CLABSI) for patients in intensive care unit (ICU)</w:t>
            </w:r>
            <w:r w:rsidR="007F652B">
              <w:t>.</w:t>
            </w:r>
          </w:p>
          <w:p w14:paraId="50F74D6E" w14:textId="77777777" w:rsidR="00921922" w:rsidRPr="004B1272" w:rsidRDefault="00921922" w:rsidP="00603215">
            <w:pPr>
              <w:pStyle w:val="DHHStabletext"/>
            </w:pPr>
            <w:r w:rsidRPr="004B1272">
              <w:t>Neonatal intensive care units are excluded.</w:t>
            </w:r>
          </w:p>
        </w:tc>
      </w:tr>
      <w:tr w:rsidR="00921922" w:rsidRPr="0098470E" w14:paraId="4980512E" w14:textId="77777777" w:rsidTr="00D0165F">
        <w:trPr>
          <w:cantSplit/>
        </w:trPr>
        <w:tc>
          <w:tcPr>
            <w:tcW w:w="2581" w:type="dxa"/>
            <w:hideMark/>
          </w:tcPr>
          <w:p w14:paraId="6B447FD0" w14:textId="77777777" w:rsidR="00921922" w:rsidRPr="004B1272" w:rsidRDefault="00921922" w:rsidP="00603215">
            <w:pPr>
              <w:pStyle w:val="DHHStabletext"/>
            </w:pPr>
            <w:r w:rsidRPr="004B1272">
              <w:t>Calculating performance</w:t>
            </w:r>
          </w:p>
        </w:tc>
        <w:tc>
          <w:tcPr>
            <w:tcW w:w="6719" w:type="dxa"/>
            <w:hideMark/>
          </w:tcPr>
          <w:p w14:paraId="3DE82D7F" w14:textId="77777777" w:rsidR="00921922" w:rsidRPr="004B1272" w:rsidRDefault="00921922" w:rsidP="00603215">
            <w:pPr>
              <w:pStyle w:val="DHHStabletext"/>
            </w:pPr>
            <w:r w:rsidRPr="004B1272">
              <w:t>Results are presented as rates calculated by the VICNISS on behalf of the department using the data collected from participating ICUs.</w:t>
            </w:r>
          </w:p>
          <w:p w14:paraId="0F264060" w14:textId="77777777" w:rsidR="00921922" w:rsidRPr="004B1272" w:rsidRDefault="00921922" w:rsidP="00603215">
            <w:pPr>
              <w:pStyle w:val="DHHStabletext"/>
            </w:pPr>
            <w:r w:rsidRPr="004B1272">
              <w:t>Rates = numerator/denominator × 1,000</w:t>
            </w:r>
          </w:p>
        </w:tc>
      </w:tr>
      <w:tr w:rsidR="00921922" w:rsidRPr="0098470E" w14:paraId="09C19D5F" w14:textId="77777777" w:rsidTr="00D0165F">
        <w:trPr>
          <w:cantSplit/>
        </w:trPr>
        <w:tc>
          <w:tcPr>
            <w:tcW w:w="2581" w:type="dxa"/>
            <w:hideMark/>
          </w:tcPr>
          <w:p w14:paraId="5AB7354A" w14:textId="77777777" w:rsidR="00921922" w:rsidRPr="004B1272" w:rsidRDefault="00921922" w:rsidP="00603215">
            <w:pPr>
              <w:pStyle w:val="DHHStabletext"/>
            </w:pPr>
            <w:r w:rsidRPr="004B1272">
              <w:t>Numerator</w:t>
            </w:r>
          </w:p>
        </w:tc>
        <w:tc>
          <w:tcPr>
            <w:tcW w:w="6719" w:type="dxa"/>
            <w:hideMark/>
          </w:tcPr>
          <w:p w14:paraId="41844115" w14:textId="79A94574" w:rsidR="00921922" w:rsidRPr="004B1272" w:rsidRDefault="00921922" w:rsidP="00603215">
            <w:pPr>
              <w:pStyle w:val="DHHStabletext"/>
            </w:pPr>
            <w:r w:rsidRPr="004B1272">
              <w:t xml:space="preserve">The number of </w:t>
            </w:r>
            <w:r w:rsidR="002B5D31">
              <w:t xml:space="preserve">ICU </w:t>
            </w:r>
            <w:r w:rsidRPr="004B1272">
              <w:t>CLABSIs</w:t>
            </w:r>
            <w:r w:rsidR="007F652B">
              <w:t>.</w:t>
            </w:r>
          </w:p>
        </w:tc>
      </w:tr>
      <w:tr w:rsidR="00921922" w:rsidRPr="0098470E" w14:paraId="07AECC61" w14:textId="77777777" w:rsidTr="00D0165F">
        <w:trPr>
          <w:cantSplit/>
        </w:trPr>
        <w:tc>
          <w:tcPr>
            <w:tcW w:w="2581" w:type="dxa"/>
            <w:hideMark/>
          </w:tcPr>
          <w:p w14:paraId="63BEF7B6" w14:textId="77777777" w:rsidR="00921922" w:rsidRPr="004B1272" w:rsidRDefault="00921922" w:rsidP="00603215">
            <w:pPr>
              <w:pStyle w:val="DHHStabletext"/>
            </w:pPr>
            <w:r w:rsidRPr="004B1272">
              <w:t xml:space="preserve">Denominator </w:t>
            </w:r>
          </w:p>
        </w:tc>
        <w:tc>
          <w:tcPr>
            <w:tcW w:w="6719" w:type="dxa"/>
            <w:hideMark/>
          </w:tcPr>
          <w:p w14:paraId="3031F5C8" w14:textId="6DDA6986" w:rsidR="00921922" w:rsidRPr="004B1272" w:rsidRDefault="00921922" w:rsidP="00603215">
            <w:pPr>
              <w:pStyle w:val="DHHStabletext"/>
            </w:pPr>
            <w:r w:rsidRPr="004B1272">
              <w:t xml:space="preserve">The total number of </w:t>
            </w:r>
            <w:r w:rsidR="002B5D31">
              <w:t xml:space="preserve">ICU </w:t>
            </w:r>
            <w:r w:rsidRPr="004B1272">
              <w:t>central line days</w:t>
            </w:r>
            <w:r w:rsidR="007F652B">
              <w:t>.</w:t>
            </w:r>
          </w:p>
        </w:tc>
      </w:tr>
      <w:tr w:rsidR="00921922" w:rsidRPr="0098470E" w14:paraId="1E2DD1D2" w14:textId="77777777" w:rsidTr="00D0165F">
        <w:trPr>
          <w:cantSplit/>
        </w:trPr>
        <w:tc>
          <w:tcPr>
            <w:tcW w:w="2581" w:type="dxa"/>
            <w:hideMark/>
          </w:tcPr>
          <w:p w14:paraId="57E36D18" w14:textId="77777777" w:rsidR="00921922" w:rsidRPr="004B1272" w:rsidRDefault="00921922" w:rsidP="00603215">
            <w:pPr>
              <w:pStyle w:val="DHHStabletext"/>
            </w:pPr>
            <w:r w:rsidRPr="004B1272">
              <w:t>Statewide target</w:t>
            </w:r>
          </w:p>
        </w:tc>
        <w:tc>
          <w:tcPr>
            <w:tcW w:w="6719" w:type="dxa"/>
            <w:hideMark/>
          </w:tcPr>
          <w:p w14:paraId="4ADD12FA" w14:textId="77777777" w:rsidR="00921922" w:rsidRPr="004B1272" w:rsidRDefault="00921922" w:rsidP="00603215">
            <w:pPr>
              <w:pStyle w:val="DHHStabletext"/>
            </w:pPr>
            <w:r w:rsidRPr="004B1272">
              <w:t>Nil</w:t>
            </w:r>
          </w:p>
        </w:tc>
      </w:tr>
      <w:tr w:rsidR="00921922" w:rsidRPr="0098470E" w14:paraId="2A3A8C48" w14:textId="77777777" w:rsidTr="00D0165F">
        <w:trPr>
          <w:cantSplit/>
        </w:trPr>
        <w:tc>
          <w:tcPr>
            <w:tcW w:w="2581" w:type="dxa"/>
            <w:hideMark/>
          </w:tcPr>
          <w:p w14:paraId="5ED72653" w14:textId="77777777" w:rsidR="00921922" w:rsidRPr="004B1272" w:rsidRDefault="00921922" w:rsidP="00603215">
            <w:pPr>
              <w:pStyle w:val="DHHStabletext"/>
            </w:pPr>
            <w:r w:rsidRPr="004B1272">
              <w:t>Achievement</w:t>
            </w:r>
          </w:p>
        </w:tc>
        <w:tc>
          <w:tcPr>
            <w:tcW w:w="6719" w:type="dxa"/>
            <w:hideMark/>
          </w:tcPr>
          <w:p w14:paraId="7EE63177" w14:textId="77777777" w:rsidR="00921922" w:rsidRPr="004B1272" w:rsidRDefault="00921922" w:rsidP="00603215">
            <w:pPr>
              <w:pStyle w:val="DHHStabletext"/>
            </w:pPr>
            <w:r w:rsidRPr="004B1272">
              <w:t>Achieved</w:t>
            </w:r>
          </w:p>
          <w:p w14:paraId="600490F9" w14:textId="77777777" w:rsidR="00921922" w:rsidRPr="004B1272" w:rsidRDefault="00921922" w:rsidP="00603215">
            <w:pPr>
              <w:pStyle w:val="DHHStabletext"/>
            </w:pPr>
            <w:r w:rsidRPr="004B1272">
              <w:t>Not achieved</w:t>
            </w:r>
          </w:p>
        </w:tc>
      </w:tr>
      <w:tr w:rsidR="00921922" w:rsidRPr="0098470E" w14:paraId="4D0C2FBF" w14:textId="77777777" w:rsidTr="00D0165F">
        <w:trPr>
          <w:cantSplit/>
        </w:trPr>
        <w:tc>
          <w:tcPr>
            <w:tcW w:w="2581" w:type="dxa"/>
          </w:tcPr>
          <w:p w14:paraId="2324683F" w14:textId="77777777" w:rsidR="00921922" w:rsidRPr="004B1272" w:rsidRDefault="00921922" w:rsidP="00603215">
            <w:pPr>
              <w:pStyle w:val="DHHStabletext"/>
            </w:pPr>
            <w:r>
              <w:t>Improvement</w:t>
            </w:r>
          </w:p>
        </w:tc>
        <w:tc>
          <w:tcPr>
            <w:tcW w:w="6719" w:type="dxa"/>
          </w:tcPr>
          <w:p w14:paraId="46BFF44E" w14:textId="5585B18F" w:rsidR="00921922" w:rsidRPr="004B1272" w:rsidRDefault="00921922" w:rsidP="00603215">
            <w:pPr>
              <w:pStyle w:val="DHHStabletext"/>
            </w:pPr>
            <w:r w:rsidRPr="009B6337">
              <w:t>For the purpose of the performance risk assessment</w:t>
            </w:r>
            <w:r w:rsidR="00785057">
              <w:t>,</w:t>
            </w:r>
            <w:r w:rsidRPr="009B6337">
              <w:t xml:space="preserve"> impro</w:t>
            </w:r>
            <w:r>
              <w:t xml:space="preserve">vement is assessed against the previous reporting period. </w:t>
            </w:r>
            <w:r w:rsidR="001A2B86" w:rsidRPr="00AE30AA">
              <w:t xml:space="preserve">SCV </w:t>
            </w:r>
            <w:r w:rsidR="001A2B86">
              <w:t xml:space="preserve">will </w:t>
            </w:r>
            <w:r w:rsidR="008C3471">
              <w:t xml:space="preserve">also </w:t>
            </w:r>
            <w:r w:rsidR="001A2B86" w:rsidRPr="00AE30AA">
              <w:t xml:space="preserve">analyse performance over </w:t>
            </w:r>
            <w:r w:rsidR="001A2B86">
              <w:t>a longer period</w:t>
            </w:r>
            <w:r w:rsidR="001A2B86" w:rsidRPr="00AE30AA">
              <w:t>, taking trends as well as absolute levels of performance into account.</w:t>
            </w:r>
          </w:p>
        </w:tc>
      </w:tr>
      <w:tr w:rsidR="00921922" w:rsidRPr="0098470E" w14:paraId="7FEA9B73" w14:textId="77777777" w:rsidTr="00D0165F">
        <w:trPr>
          <w:cantSplit/>
        </w:trPr>
        <w:tc>
          <w:tcPr>
            <w:tcW w:w="2581" w:type="dxa"/>
            <w:hideMark/>
          </w:tcPr>
          <w:p w14:paraId="6790A34D" w14:textId="77777777" w:rsidR="00921922" w:rsidRPr="004B1272" w:rsidRDefault="00921922" w:rsidP="00603215">
            <w:pPr>
              <w:pStyle w:val="DHHStabletext"/>
            </w:pPr>
            <w:r w:rsidRPr="004B1272">
              <w:t>Frequency of reporting and data collection</w:t>
            </w:r>
          </w:p>
        </w:tc>
        <w:tc>
          <w:tcPr>
            <w:tcW w:w="6719" w:type="dxa"/>
            <w:hideMark/>
          </w:tcPr>
          <w:p w14:paraId="32D5B6E9" w14:textId="77777777" w:rsidR="00921922" w:rsidRPr="004B1272" w:rsidRDefault="00921922" w:rsidP="00603215">
            <w:pPr>
              <w:pStyle w:val="DHHStabletext"/>
            </w:pPr>
            <w:r w:rsidRPr="004B1272">
              <w:t>This indicator is measured at the hospital level and is relevant to hospitals with an ICU.</w:t>
            </w:r>
          </w:p>
          <w:p w14:paraId="4BD6DEBD" w14:textId="77777777" w:rsidR="00921922" w:rsidRPr="004B1272" w:rsidRDefault="00921922" w:rsidP="00603215">
            <w:pPr>
              <w:pStyle w:val="DHHStabletext"/>
            </w:pPr>
            <w:r w:rsidRPr="004B1272">
              <w:t>VICNISS collates and analyses data from health services and reports quarterly to participants and the department on aggregate, risk-adjusted infection rates.</w:t>
            </w:r>
          </w:p>
          <w:p w14:paraId="0D2BC730" w14:textId="77777777" w:rsidR="00921922" w:rsidRPr="004B1272" w:rsidRDefault="00921922" w:rsidP="00603215">
            <w:pPr>
              <w:pStyle w:val="DHHStabletext"/>
            </w:pPr>
            <w:r w:rsidRPr="004B1272">
              <w:t>Data is submitted to VICNISS and performance reported for the periods:</w:t>
            </w:r>
          </w:p>
          <w:p w14:paraId="63853DB3" w14:textId="67D36E93" w:rsidR="00921922" w:rsidRPr="004B1272" w:rsidRDefault="00921922" w:rsidP="00603215">
            <w:pPr>
              <w:pStyle w:val="DHHStablebullet1"/>
            </w:pPr>
            <w:r w:rsidRPr="004B1272">
              <w:t xml:space="preserve">1 April to 30 June in quarter 1 </w:t>
            </w:r>
          </w:p>
          <w:p w14:paraId="099CDDE3" w14:textId="083FC232" w:rsidR="00921922" w:rsidRPr="004B1272" w:rsidRDefault="00921922" w:rsidP="00603215">
            <w:pPr>
              <w:pStyle w:val="DHHStablebullet1"/>
            </w:pPr>
            <w:r w:rsidRPr="004B1272">
              <w:t>1 July to 30 September in quarter 2</w:t>
            </w:r>
          </w:p>
          <w:p w14:paraId="61F9097B" w14:textId="39771DB6" w:rsidR="00921922" w:rsidRPr="004B1272" w:rsidRDefault="00921922" w:rsidP="00603215">
            <w:pPr>
              <w:pStyle w:val="DHHStablebullet1"/>
            </w:pPr>
            <w:r w:rsidRPr="004B1272">
              <w:t>1 October to 31 December in quarter 3</w:t>
            </w:r>
          </w:p>
          <w:p w14:paraId="29EDA07B" w14:textId="1D36E8BC" w:rsidR="00921922" w:rsidRPr="004B1272" w:rsidRDefault="00921922" w:rsidP="00603215">
            <w:pPr>
              <w:pStyle w:val="DHHStablebullet1"/>
            </w:pPr>
            <w:r w:rsidRPr="004B1272">
              <w:t>1 January to 31 March in quarter 4.</w:t>
            </w:r>
          </w:p>
          <w:p w14:paraId="1C325EA2" w14:textId="77777777" w:rsidR="00921922" w:rsidRDefault="00921922" w:rsidP="00603215">
            <w:pPr>
              <w:pStyle w:val="DHHStabletext"/>
            </w:pPr>
            <w:r w:rsidRPr="004B1272">
              <w:t>Performance is monitored and assessed quarterly.</w:t>
            </w:r>
          </w:p>
          <w:p w14:paraId="53653F6C" w14:textId="77777777" w:rsidR="00921922" w:rsidRPr="004B1272" w:rsidRDefault="00921922" w:rsidP="00603215">
            <w:pPr>
              <w:pStyle w:val="DHHStabletext"/>
            </w:pPr>
            <w:r w:rsidRPr="004B1272">
              <w:t>Data reported is lagged by one quarter.</w:t>
            </w:r>
          </w:p>
          <w:p w14:paraId="6E3EF284" w14:textId="77777777" w:rsidR="00921922" w:rsidRPr="004B1272" w:rsidRDefault="00921922" w:rsidP="00603215">
            <w:pPr>
              <w:pStyle w:val="DHHStabletext"/>
            </w:pPr>
            <w:r w:rsidRPr="004B1272">
              <w:t>Annual performance is based on full year lagged data.</w:t>
            </w:r>
          </w:p>
        </w:tc>
      </w:tr>
    </w:tbl>
    <w:p w14:paraId="6730D0CF" w14:textId="77777777" w:rsidR="00B35E9C" w:rsidRPr="00B35E9C" w:rsidRDefault="00B35E9C" w:rsidP="00B35E9C">
      <w:pPr>
        <w:pStyle w:val="DHHSbody"/>
      </w:pPr>
      <w:r w:rsidRPr="00B35E9C">
        <w:br w:type="page"/>
      </w:r>
    </w:p>
    <w:p w14:paraId="6BD51328" w14:textId="28A54410" w:rsidR="00961723" w:rsidRPr="00961723" w:rsidRDefault="00961723" w:rsidP="00961723">
      <w:pPr>
        <w:pStyle w:val="DHHStablecaption"/>
      </w:pPr>
      <w:r>
        <w:lastRenderedPageBreak/>
        <w:t xml:space="preserve">Indicator: </w:t>
      </w:r>
      <w:r w:rsidR="00135F82" w:rsidRPr="0098470E">
        <w:t xml:space="preserve">Rate of patients with </w:t>
      </w:r>
      <w:r w:rsidR="00135F82" w:rsidRPr="0098470E">
        <w:rPr>
          <w:i/>
        </w:rPr>
        <w:t>Staphylococcus aureus</w:t>
      </w:r>
      <w:r w:rsidR="00135F82" w:rsidRPr="0098470E">
        <w:t xml:space="preserve"> bacteraemia per occupied bed days</w:t>
      </w:r>
    </w:p>
    <w:tbl>
      <w:tblPr>
        <w:tblStyle w:val="TableGrid"/>
        <w:tblW w:w="9299" w:type="dxa"/>
        <w:tblLook w:val="06A0" w:firstRow="1" w:lastRow="0" w:firstColumn="1" w:lastColumn="0" w:noHBand="1" w:noVBand="1"/>
      </w:tblPr>
      <w:tblGrid>
        <w:gridCol w:w="2528"/>
        <w:gridCol w:w="6771"/>
      </w:tblGrid>
      <w:tr w:rsidR="00D97737" w:rsidRPr="0098470E" w14:paraId="2B855A71" w14:textId="77777777" w:rsidTr="00961723">
        <w:trPr>
          <w:cnfStyle w:val="100000000000" w:firstRow="1" w:lastRow="0" w:firstColumn="0" w:lastColumn="0" w:oddVBand="0" w:evenVBand="0" w:oddHBand="0" w:evenHBand="0" w:firstRowFirstColumn="0" w:firstRowLastColumn="0" w:lastRowFirstColumn="0" w:lastRowLastColumn="0"/>
          <w:cantSplit/>
          <w:tblHeader/>
        </w:trPr>
        <w:tc>
          <w:tcPr>
            <w:tcW w:w="2528" w:type="dxa"/>
          </w:tcPr>
          <w:p w14:paraId="3922A17C" w14:textId="7F8A8AC0" w:rsidR="00D97737" w:rsidRPr="0098470E" w:rsidRDefault="00D97737" w:rsidP="00D97737">
            <w:pPr>
              <w:pStyle w:val="DHHStablecolhead"/>
            </w:pPr>
            <w:r>
              <w:t>Element</w:t>
            </w:r>
          </w:p>
        </w:tc>
        <w:tc>
          <w:tcPr>
            <w:tcW w:w="6771" w:type="dxa"/>
          </w:tcPr>
          <w:p w14:paraId="0099E8D1" w14:textId="0D6CB704" w:rsidR="00D97737" w:rsidRPr="0098470E" w:rsidRDefault="00D97737" w:rsidP="00D97737">
            <w:pPr>
              <w:pStyle w:val="DHHStablecolhead"/>
            </w:pPr>
            <w:r>
              <w:t>Details</w:t>
            </w:r>
          </w:p>
        </w:tc>
      </w:tr>
      <w:tr w:rsidR="00921922" w:rsidRPr="0098470E" w14:paraId="33BCF615" w14:textId="77777777" w:rsidTr="00961723">
        <w:trPr>
          <w:cantSplit/>
        </w:trPr>
        <w:tc>
          <w:tcPr>
            <w:tcW w:w="2528" w:type="dxa"/>
            <w:hideMark/>
          </w:tcPr>
          <w:p w14:paraId="35EB6397" w14:textId="77777777" w:rsidR="00921922" w:rsidRPr="0098470E" w:rsidRDefault="00921922" w:rsidP="00603215">
            <w:pPr>
              <w:pStyle w:val="DHHStabletext"/>
            </w:pPr>
            <w:r w:rsidRPr="0098470E">
              <w:t>Description</w:t>
            </w:r>
          </w:p>
        </w:tc>
        <w:tc>
          <w:tcPr>
            <w:tcW w:w="6771" w:type="dxa"/>
            <w:hideMark/>
          </w:tcPr>
          <w:p w14:paraId="22586239" w14:textId="77777777" w:rsidR="00921922" w:rsidRPr="0098470E" w:rsidRDefault="00921922" w:rsidP="00603215">
            <w:pPr>
              <w:pStyle w:val="DHHStabletext"/>
            </w:pPr>
            <w:r w:rsidRPr="0098470E">
              <w:t xml:space="preserve">This surveillance measure aims to reduce the rate of health care associated </w:t>
            </w:r>
            <w:r w:rsidRPr="0098470E">
              <w:rPr>
                <w:i/>
              </w:rPr>
              <w:t>Staphylococcus aureus</w:t>
            </w:r>
            <w:r w:rsidRPr="0098470E">
              <w:t xml:space="preserve"> bacteraemia (SAB) for all patients admitted to a public hospital with a bacteraemia caused by either Methicillin-susceptible </w:t>
            </w:r>
            <w:r w:rsidRPr="0098470E">
              <w:rPr>
                <w:i/>
              </w:rPr>
              <w:t>S. aureus</w:t>
            </w:r>
            <w:r w:rsidRPr="0098470E">
              <w:t xml:space="preserve"> (MSSA) or Methicillin-resistant </w:t>
            </w:r>
            <w:r w:rsidRPr="0098470E">
              <w:rPr>
                <w:i/>
              </w:rPr>
              <w:t>S. aureus</w:t>
            </w:r>
            <w:r w:rsidRPr="0098470E">
              <w:t xml:space="preserve"> (MRSA).</w:t>
            </w:r>
          </w:p>
        </w:tc>
      </w:tr>
      <w:tr w:rsidR="00921922" w:rsidRPr="0098470E" w14:paraId="21EEC04C" w14:textId="77777777" w:rsidTr="00961723">
        <w:trPr>
          <w:cantSplit/>
        </w:trPr>
        <w:tc>
          <w:tcPr>
            <w:tcW w:w="2528" w:type="dxa"/>
            <w:hideMark/>
          </w:tcPr>
          <w:p w14:paraId="73394124" w14:textId="77777777" w:rsidR="00921922" w:rsidRPr="0098470E" w:rsidRDefault="00921922" w:rsidP="00603215">
            <w:pPr>
              <w:pStyle w:val="DHHStabletext"/>
            </w:pPr>
            <w:r w:rsidRPr="0098470E">
              <w:t>Calculating performance</w:t>
            </w:r>
          </w:p>
        </w:tc>
        <w:tc>
          <w:tcPr>
            <w:tcW w:w="6771" w:type="dxa"/>
            <w:hideMark/>
          </w:tcPr>
          <w:p w14:paraId="76850726" w14:textId="77777777" w:rsidR="00921922" w:rsidRPr="0098470E" w:rsidRDefault="00921922" w:rsidP="00603215">
            <w:pPr>
              <w:pStyle w:val="DHHStabletext"/>
            </w:pPr>
            <w:r w:rsidRPr="0098470E">
              <w:t xml:space="preserve">A patient episode of bacteraemia is defined as a positive blood culture for </w:t>
            </w:r>
            <w:r w:rsidRPr="0098470E">
              <w:rPr>
                <w:i/>
              </w:rPr>
              <w:t>S. aureus</w:t>
            </w:r>
            <w:r w:rsidRPr="0098470E">
              <w:t>. For surveillance purposes, only the first isolate per patient is counted, unless at least 14 days has passed without a positive blood culture, after which an additional episode is recorded.</w:t>
            </w:r>
          </w:p>
          <w:p w14:paraId="68702D6B" w14:textId="5431B98D" w:rsidR="00921922" w:rsidRPr="0098470E" w:rsidRDefault="00921922" w:rsidP="00603215">
            <w:pPr>
              <w:pStyle w:val="DHHStabletext"/>
            </w:pPr>
            <w:r w:rsidRPr="0098470E">
              <w:t>A SAB will be considered to be healthcare-associated either if:</w:t>
            </w:r>
          </w:p>
          <w:p w14:paraId="328B6260" w14:textId="77777777" w:rsidR="00921922" w:rsidRPr="0098470E" w:rsidRDefault="00921922" w:rsidP="00603215">
            <w:pPr>
              <w:pStyle w:val="DHHStablebullet1"/>
            </w:pPr>
            <w:r w:rsidRPr="0098470E">
              <w:t>the patient</w:t>
            </w:r>
            <w:r>
              <w:t>’</w:t>
            </w:r>
            <w:r w:rsidRPr="0098470E">
              <w:t>s first SAB blood culture was collected more than 48 hours after hospital admission or less than 48 hours after discharge, or</w:t>
            </w:r>
          </w:p>
          <w:p w14:paraId="2849C40F" w14:textId="77777777" w:rsidR="00921922" w:rsidRPr="0098470E" w:rsidRDefault="00921922" w:rsidP="00603215">
            <w:pPr>
              <w:pStyle w:val="DHHStablebullet1"/>
            </w:pPr>
            <w:r w:rsidRPr="0098470E">
              <w:t>the patient</w:t>
            </w:r>
            <w:r>
              <w:t>’</w:t>
            </w:r>
            <w:r w:rsidRPr="0098470E">
              <w:t>s first SAB blood culture was collected less than or equal to 48 hours after hospital admission and one or more of the defined clinical criteria was met for the patient episode of SAB.</w:t>
            </w:r>
          </w:p>
          <w:p w14:paraId="30F33C5B" w14:textId="77777777" w:rsidR="00921922" w:rsidRPr="0098470E" w:rsidRDefault="00921922" w:rsidP="00603215">
            <w:pPr>
              <w:pStyle w:val="DHHStabletext"/>
            </w:pPr>
            <w:r w:rsidRPr="0098470E">
              <w:t>Occupied bed days are defined as the total number of days for all patients who were admitted for an episode of care in the acute health facility, including psychiatric bed days.</w:t>
            </w:r>
          </w:p>
          <w:p w14:paraId="7E5F3EC7" w14:textId="7F3DF070" w:rsidR="00921922" w:rsidRPr="0098470E" w:rsidRDefault="00921922" w:rsidP="00603215">
            <w:pPr>
              <w:pStyle w:val="DHHStabletext"/>
            </w:pPr>
            <w:r w:rsidRPr="0098470E">
              <w:t xml:space="preserve">Further information on the SAB definition can be found at </w:t>
            </w:r>
            <w:hyperlink r:id="rId20" w:history="1">
              <w:r w:rsidRPr="007228DF">
                <w:rPr>
                  <w:rStyle w:val="Hyperlink"/>
                </w:rPr>
                <w:t>VICNISS</w:t>
              </w:r>
            </w:hyperlink>
            <w:r>
              <w:rPr>
                <w:rStyle w:val="Hyperlink"/>
              </w:rPr>
              <w:t xml:space="preserve"> </w:t>
            </w:r>
            <w:r w:rsidRPr="0098470E">
              <w:t>&lt;</w:t>
            </w:r>
            <w:r>
              <w:t>http://</w:t>
            </w:r>
            <w:r w:rsidRPr="00DD2C62">
              <w:t>www.vicniss.org.au</w:t>
            </w:r>
            <w:r>
              <w:t>&gt;.</w:t>
            </w:r>
          </w:p>
          <w:p w14:paraId="26F862B0" w14:textId="77777777" w:rsidR="00921922" w:rsidRPr="0098470E" w:rsidRDefault="00921922" w:rsidP="00603215">
            <w:pPr>
              <w:pStyle w:val="DHHStabletext"/>
            </w:pPr>
            <w:r w:rsidRPr="0098470E">
              <w:t>This indicator is expressed as the rate of infections per 10,000 occupied bed days. This indicator is expressed as a rate and rounded to one decimal place (0.05 is rounded down).</w:t>
            </w:r>
          </w:p>
        </w:tc>
      </w:tr>
      <w:tr w:rsidR="00921922" w:rsidRPr="0098470E" w14:paraId="1CCE61C5" w14:textId="77777777" w:rsidTr="00961723">
        <w:trPr>
          <w:cantSplit/>
        </w:trPr>
        <w:tc>
          <w:tcPr>
            <w:tcW w:w="2528" w:type="dxa"/>
            <w:hideMark/>
          </w:tcPr>
          <w:p w14:paraId="5F53EC97" w14:textId="77777777" w:rsidR="00921922" w:rsidRPr="0098470E" w:rsidRDefault="00921922" w:rsidP="00603215">
            <w:pPr>
              <w:pStyle w:val="DHHStabletext"/>
            </w:pPr>
            <w:r w:rsidRPr="0098470E">
              <w:t>Numerator</w:t>
            </w:r>
          </w:p>
        </w:tc>
        <w:tc>
          <w:tcPr>
            <w:tcW w:w="6771" w:type="dxa"/>
            <w:hideMark/>
          </w:tcPr>
          <w:p w14:paraId="31A8338C" w14:textId="094A1BCF" w:rsidR="00921922" w:rsidRPr="0098470E" w:rsidRDefault="00921922" w:rsidP="00603215">
            <w:pPr>
              <w:pStyle w:val="DHHStabletext"/>
            </w:pPr>
            <w:r w:rsidRPr="0098470E">
              <w:t>Healthcare-associated SAB patient episodes</w:t>
            </w:r>
            <w:r w:rsidR="00D456E6">
              <w:t>.</w:t>
            </w:r>
            <w:r w:rsidRPr="0098470E">
              <w:t xml:space="preserve"> </w:t>
            </w:r>
          </w:p>
        </w:tc>
      </w:tr>
      <w:tr w:rsidR="00921922" w:rsidRPr="0098470E" w14:paraId="21873E86" w14:textId="77777777" w:rsidTr="00961723">
        <w:trPr>
          <w:cantSplit/>
        </w:trPr>
        <w:tc>
          <w:tcPr>
            <w:tcW w:w="2528" w:type="dxa"/>
            <w:hideMark/>
          </w:tcPr>
          <w:p w14:paraId="3489893A" w14:textId="77777777" w:rsidR="00921922" w:rsidRPr="0098470E" w:rsidRDefault="00921922" w:rsidP="00603215">
            <w:pPr>
              <w:pStyle w:val="DHHStabletext"/>
            </w:pPr>
            <w:r w:rsidRPr="0098470E">
              <w:t xml:space="preserve">Denominator </w:t>
            </w:r>
          </w:p>
        </w:tc>
        <w:tc>
          <w:tcPr>
            <w:tcW w:w="6771" w:type="dxa"/>
            <w:hideMark/>
          </w:tcPr>
          <w:p w14:paraId="1B623490" w14:textId="7B1981E7" w:rsidR="00921922" w:rsidRPr="0098470E" w:rsidRDefault="00921922" w:rsidP="00603215">
            <w:pPr>
              <w:pStyle w:val="DHHStabletext"/>
            </w:pPr>
            <w:r w:rsidRPr="0098470E">
              <w:t>Number of occupied bed days for health services</w:t>
            </w:r>
            <w:r w:rsidR="00D456E6">
              <w:t>.</w:t>
            </w:r>
            <w:r w:rsidRPr="0098470E">
              <w:t xml:space="preserve"> </w:t>
            </w:r>
          </w:p>
        </w:tc>
      </w:tr>
      <w:tr w:rsidR="00921922" w:rsidRPr="0098470E" w14:paraId="600B393C" w14:textId="77777777" w:rsidTr="00961723">
        <w:trPr>
          <w:cantSplit/>
        </w:trPr>
        <w:tc>
          <w:tcPr>
            <w:tcW w:w="2528" w:type="dxa"/>
            <w:hideMark/>
          </w:tcPr>
          <w:p w14:paraId="5C7655B9" w14:textId="77777777" w:rsidR="00921922" w:rsidRPr="0098470E" w:rsidRDefault="00921922" w:rsidP="00603215">
            <w:pPr>
              <w:pStyle w:val="DHHStabletext"/>
            </w:pPr>
            <w:r w:rsidRPr="0098470E">
              <w:t>Statewide target</w:t>
            </w:r>
          </w:p>
        </w:tc>
        <w:tc>
          <w:tcPr>
            <w:tcW w:w="6771" w:type="dxa"/>
            <w:hideMark/>
          </w:tcPr>
          <w:p w14:paraId="42C37924" w14:textId="1C99737B" w:rsidR="00921922" w:rsidRPr="0054030C" w:rsidRDefault="00921922" w:rsidP="00603215">
            <w:pPr>
              <w:pStyle w:val="DHHStabletext"/>
            </w:pPr>
            <w:r w:rsidRPr="0054030C">
              <w:t>≤</w:t>
            </w:r>
            <w:r>
              <w:t xml:space="preserve"> </w:t>
            </w:r>
            <w:r w:rsidRPr="0054030C">
              <w:t>1.0 episodes per 10,000 occupied bed days</w:t>
            </w:r>
            <w:r w:rsidR="00D456E6">
              <w:t>.</w:t>
            </w:r>
          </w:p>
        </w:tc>
      </w:tr>
      <w:tr w:rsidR="002B4ABD" w:rsidRPr="0098470E" w14:paraId="5CD8F9D3" w14:textId="77777777" w:rsidTr="002B4ABD">
        <w:trPr>
          <w:cantSplit/>
        </w:trPr>
        <w:tc>
          <w:tcPr>
            <w:tcW w:w="2528" w:type="dxa"/>
            <w:hideMark/>
          </w:tcPr>
          <w:p w14:paraId="299FA6DD" w14:textId="77777777" w:rsidR="002B4ABD" w:rsidRPr="0098470E" w:rsidRDefault="002B4ABD" w:rsidP="00603215">
            <w:pPr>
              <w:pStyle w:val="DHHStabletext"/>
            </w:pPr>
            <w:r w:rsidRPr="0098470E">
              <w:t>Achievement</w:t>
            </w:r>
          </w:p>
        </w:tc>
        <w:tc>
          <w:tcPr>
            <w:tcW w:w="6771" w:type="dxa"/>
            <w:hideMark/>
          </w:tcPr>
          <w:p w14:paraId="3BAA2034" w14:textId="77777777" w:rsidR="002B4ABD" w:rsidRPr="0098470E" w:rsidRDefault="002B4ABD" w:rsidP="00B35E9C">
            <w:pPr>
              <w:pStyle w:val="DHHStabletext92mmtab"/>
            </w:pPr>
            <w:r w:rsidRPr="0098470E">
              <w:t>Equal to or below 1.0</w:t>
            </w:r>
            <w:r>
              <w:tab/>
              <w:t>Achieved</w:t>
            </w:r>
          </w:p>
          <w:p w14:paraId="2FD01596" w14:textId="08A243FC" w:rsidR="002B4ABD" w:rsidRPr="0098470E" w:rsidRDefault="002B4ABD" w:rsidP="00B35E9C">
            <w:pPr>
              <w:pStyle w:val="DHHStabletext92mmtab"/>
            </w:pPr>
            <w:r w:rsidRPr="0098470E">
              <w:t>Greater than 1.0</w:t>
            </w:r>
            <w:r>
              <w:tab/>
              <w:t>Not achieved</w:t>
            </w:r>
          </w:p>
        </w:tc>
      </w:tr>
      <w:tr w:rsidR="00921922" w:rsidRPr="0098470E" w14:paraId="4A9E0FD7" w14:textId="77777777" w:rsidTr="00961723">
        <w:trPr>
          <w:cantSplit/>
        </w:trPr>
        <w:tc>
          <w:tcPr>
            <w:tcW w:w="2528" w:type="dxa"/>
          </w:tcPr>
          <w:p w14:paraId="731F2F14" w14:textId="77777777" w:rsidR="00921922" w:rsidRPr="0098470E" w:rsidRDefault="00921922" w:rsidP="00603215">
            <w:pPr>
              <w:pStyle w:val="DHHStabletext"/>
              <w:rPr>
                <w:lang w:val="en-US"/>
              </w:rPr>
            </w:pPr>
            <w:r>
              <w:rPr>
                <w:lang w:val="en-US"/>
              </w:rPr>
              <w:t>Improvement</w:t>
            </w:r>
          </w:p>
        </w:tc>
        <w:tc>
          <w:tcPr>
            <w:tcW w:w="6771" w:type="dxa"/>
          </w:tcPr>
          <w:p w14:paraId="0E5E16D1" w14:textId="033A417C" w:rsidR="00921922" w:rsidRDefault="00921922" w:rsidP="00603215">
            <w:pPr>
              <w:pStyle w:val="DHHStabletext"/>
            </w:pPr>
            <w:r w:rsidRPr="009B6337">
              <w:t>For the purpose of the performance risk assessment</w:t>
            </w:r>
            <w:r w:rsidR="0006072A">
              <w:t>,</w:t>
            </w:r>
            <w:r w:rsidRPr="009B6337">
              <w:t xml:space="preserve"> impro</w:t>
            </w:r>
            <w:r>
              <w:t xml:space="preserve">vement is assessed against the </w:t>
            </w:r>
            <w:r w:rsidR="00A83B35">
              <w:t>previous reporting period</w:t>
            </w:r>
            <w:r>
              <w:t>.</w:t>
            </w:r>
            <w:r w:rsidR="00A83B35" w:rsidRPr="00AE30AA">
              <w:t xml:space="preserve"> SCV </w:t>
            </w:r>
            <w:r w:rsidR="00A83B35">
              <w:t>will</w:t>
            </w:r>
            <w:r w:rsidR="008C3471">
              <w:t xml:space="preserve"> also</w:t>
            </w:r>
            <w:r w:rsidR="00A83B35">
              <w:t xml:space="preserve"> </w:t>
            </w:r>
            <w:r w:rsidR="00A83B35" w:rsidRPr="00AE30AA">
              <w:t xml:space="preserve">analyse performance over </w:t>
            </w:r>
            <w:r w:rsidR="00A83B35">
              <w:t>a longer period</w:t>
            </w:r>
            <w:r w:rsidR="00A83B35" w:rsidRPr="00AE30AA">
              <w:t>, taking trends as well as absolute levels of performance into account.</w:t>
            </w:r>
          </w:p>
        </w:tc>
      </w:tr>
      <w:tr w:rsidR="00921922" w:rsidRPr="0098470E" w14:paraId="7F842649" w14:textId="77777777" w:rsidTr="00961723">
        <w:trPr>
          <w:cantSplit/>
        </w:trPr>
        <w:tc>
          <w:tcPr>
            <w:tcW w:w="2528" w:type="dxa"/>
            <w:hideMark/>
          </w:tcPr>
          <w:p w14:paraId="2CD282A0" w14:textId="77777777" w:rsidR="00921922" w:rsidRPr="0098470E" w:rsidRDefault="00921922" w:rsidP="00603215">
            <w:pPr>
              <w:pStyle w:val="DHHStabletext"/>
            </w:pPr>
            <w:r w:rsidRPr="0098470E">
              <w:t>Frequency of reporting and data collection</w:t>
            </w:r>
          </w:p>
        </w:tc>
        <w:tc>
          <w:tcPr>
            <w:tcW w:w="6771" w:type="dxa"/>
            <w:hideMark/>
          </w:tcPr>
          <w:p w14:paraId="22E9ED99" w14:textId="77777777" w:rsidR="00921922" w:rsidRPr="0098470E" w:rsidRDefault="00921922" w:rsidP="00603215">
            <w:pPr>
              <w:pStyle w:val="DHHStabletext"/>
            </w:pPr>
            <w:r w:rsidRPr="0098470E">
              <w:t>VICNISS collects and analyses data from health services and reports quarterly to participants and the department.</w:t>
            </w:r>
          </w:p>
          <w:p w14:paraId="034CC646" w14:textId="77777777" w:rsidR="00921922" w:rsidRPr="0098470E" w:rsidRDefault="00921922" w:rsidP="00603215">
            <w:pPr>
              <w:pStyle w:val="DHHStabletext"/>
            </w:pPr>
            <w:r w:rsidRPr="0098470E">
              <w:t>Reporting periods are:</w:t>
            </w:r>
          </w:p>
          <w:p w14:paraId="335F2E0B" w14:textId="4164AF39" w:rsidR="00921922" w:rsidRPr="0098470E" w:rsidRDefault="00921922" w:rsidP="00603215">
            <w:pPr>
              <w:pStyle w:val="DHHStablebullet1"/>
            </w:pPr>
            <w:r w:rsidRPr="0098470E">
              <w:t xml:space="preserve">1 April to 30 June </w:t>
            </w:r>
            <w:r w:rsidR="00DB0B1A">
              <w:t>r</w:t>
            </w:r>
            <w:r w:rsidRPr="0098470E">
              <w:t xml:space="preserve">eported in quarter 1 </w:t>
            </w:r>
          </w:p>
          <w:p w14:paraId="657621D4" w14:textId="384CC81C" w:rsidR="00921922" w:rsidRPr="0098470E" w:rsidRDefault="00921922" w:rsidP="00603215">
            <w:pPr>
              <w:pStyle w:val="DHHStablebullet1"/>
            </w:pPr>
            <w:r w:rsidRPr="0098470E">
              <w:t>1 July to 30 September in quarter 2</w:t>
            </w:r>
          </w:p>
          <w:p w14:paraId="7FFCBDF2" w14:textId="59F388D3" w:rsidR="00921922" w:rsidRPr="0098470E" w:rsidRDefault="00921922" w:rsidP="00603215">
            <w:pPr>
              <w:pStyle w:val="DHHStablebullet1"/>
            </w:pPr>
            <w:r w:rsidRPr="0098470E">
              <w:t>1 October to 31 December in quarter 3</w:t>
            </w:r>
          </w:p>
          <w:p w14:paraId="1E0FD764" w14:textId="5D3D913C" w:rsidR="00921922" w:rsidRPr="0098470E" w:rsidRDefault="00921922" w:rsidP="00603215">
            <w:pPr>
              <w:pStyle w:val="DHHStablebullet1"/>
            </w:pPr>
            <w:r w:rsidRPr="0098470E">
              <w:t>1 January to 31 March in quarter 4.</w:t>
            </w:r>
          </w:p>
          <w:p w14:paraId="60C6CF26" w14:textId="77777777" w:rsidR="00921922" w:rsidRDefault="00921922" w:rsidP="00603215">
            <w:pPr>
              <w:pStyle w:val="DHHStabletext"/>
            </w:pPr>
            <w:r w:rsidRPr="0098470E">
              <w:t>This indicator is measured at the health service level.</w:t>
            </w:r>
          </w:p>
          <w:p w14:paraId="4605CB02" w14:textId="77777777" w:rsidR="00921922" w:rsidRDefault="00921922" w:rsidP="00603215">
            <w:pPr>
              <w:pStyle w:val="DHHStabletext"/>
            </w:pPr>
            <w:r w:rsidRPr="0098470E">
              <w:t>Where a health service has multiple campuses, an aggregate for the health service result is produced.</w:t>
            </w:r>
          </w:p>
          <w:p w14:paraId="6749DC46" w14:textId="77777777" w:rsidR="00921922" w:rsidRPr="0098470E" w:rsidRDefault="00921922" w:rsidP="00603215">
            <w:pPr>
              <w:pStyle w:val="DHHStabletext"/>
            </w:pPr>
            <w:r w:rsidRPr="0098470E">
              <w:t>Data reported is lagged by one quarter.</w:t>
            </w:r>
          </w:p>
          <w:p w14:paraId="17944D63" w14:textId="77777777" w:rsidR="00921922" w:rsidRDefault="00921922" w:rsidP="00603215">
            <w:pPr>
              <w:pStyle w:val="DHHStabletext"/>
            </w:pPr>
            <w:r w:rsidRPr="0098470E">
              <w:t>Performance is monitored and assessed quarterly.</w:t>
            </w:r>
          </w:p>
          <w:p w14:paraId="2F698E48" w14:textId="77777777" w:rsidR="00921922" w:rsidRPr="0098470E" w:rsidRDefault="00921922" w:rsidP="00603215">
            <w:pPr>
              <w:pStyle w:val="DHHStabletext"/>
            </w:pPr>
            <w:r w:rsidRPr="0098470E">
              <w:t>Performance result is generated annually based on full year lagged data.</w:t>
            </w:r>
          </w:p>
        </w:tc>
      </w:tr>
    </w:tbl>
    <w:p w14:paraId="09618FEC" w14:textId="1DF0DE49" w:rsidR="00921922" w:rsidRDefault="00921922" w:rsidP="00A440C1">
      <w:pPr>
        <w:pStyle w:val="Heading4"/>
      </w:pPr>
      <w:r w:rsidRPr="00E441B7">
        <w:br w:type="page"/>
      </w:r>
      <w:bookmarkStart w:id="72" w:name="_Toc517959129"/>
      <w:bookmarkStart w:id="73" w:name="_Toc15580086"/>
      <w:r w:rsidRPr="0098470E">
        <w:lastRenderedPageBreak/>
        <w:t>Adverse events</w:t>
      </w:r>
      <w:bookmarkEnd w:id="72"/>
      <w:bookmarkEnd w:id="73"/>
    </w:p>
    <w:p w14:paraId="3C8C62A6" w14:textId="192725D8" w:rsidR="00961723" w:rsidRPr="00961723" w:rsidRDefault="00961723" w:rsidP="00961723">
      <w:pPr>
        <w:pStyle w:val="DHHStablecaption"/>
      </w:pPr>
      <w:r>
        <w:t xml:space="preserve">Indicator: </w:t>
      </w:r>
      <w:r w:rsidR="00135F82" w:rsidRPr="00042B06">
        <w:t>Sentinel events</w:t>
      </w:r>
      <w:r w:rsidR="00135F82">
        <w:t xml:space="preserve"> – root cause analysis reporting</w:t>
      </w:r>
    </w:p>
    <w:tbl>
      <w:tblPr>
        <w:tblStyle w:val="TableGrid"/>
        <w:tblW w:w="9300" w:type="dxa"/>
        <w:tblLayout w:type="fixed"/>
        <w:tblLook w:val="06A0" w:firstRow="1" w:lastRow="0" w:firstColumn="1" w:lastColumn="0" w:noHBand="1" w:noVBand="1"/>
      </w:tblPr>
      <w:tblGrid>
        <w:gridCol w:w="2581"/>
        <w:gridCol w:w="6719"/>
      </w:tblGrid>
      <w:tr w:rsidR="00D97737" w:rsidRPr="0098470E" w14:paraId="51EC7DF6" w14:textId="77777777" w:rsidTr="00D0165F">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7EDB101F" w14:textId="5FBAC562" w:rsidR="00D97737" w:rsidRPr="00042B06" w:rsidRDefault="00D97737" w:rsidP="00D97737">
            <w:pPr>
              <w:pStyle w:val="DHHStablecolhead"/>
            </w:pPr>
            <w:r>
              <w:t>Element</w:t>
            </w:r>
          </w:p>
        </w:tc>
        <w:tc>
          <w:tcPr>
            <w:tcW w:w="6719" w:type="dxa"/>
          </w:tcPr>
          <w:p w14:paraId="350668BA" w14:textId="149B1AEE" w:rsidR="00D97737" w:rsidRPr="00042B06" w:rsidRDefault="00D97737" w:rsidP="00D97737">
            <w:pPr>
              <w:pStyle w:val="DHHStablecolhead"/>
            </w:pPr>
            <w:r>
              <w:t>Details</w:t>
            </w:r>
          </w:p>
        </w:tc>
      </w:tr>
      <w:tr w:rsidR="00921922" w:rsidRPr="0098470E" w14:paraId="1D95F6EE" w14:textId="77777777" w:rsidTr="00D0165F">
        <w:trPr>
          <w:cantSplit/>
        </w:trPr>
        <w:tc>
          <w:tcPr>
            <w:tcW w:w="2581" w:type="dxa"/>
            <w:hideMark/>
          </w:tcPr>
          <w:p w14:paraId="78A930C3" w14:textId="77777777" w:rsidR="00921922" w:rsidRPr="0098470E" w:rsidRDefault="00921922" w:rsidP="00603215">
            <w:pPr>
              <w:pStyle w:val="DHHStabletext"/>
            </w:pPr>
            <w:r w:rsidRPr="0098470E">
              <w:t>Description</w:t>
            </w:r>
          </w:p>
        </w:tc>
        <w:tc>
          <w:tcPr>
            <w:tcW w:w="6719" w:type="dxa"/>
            <w:hideMark/>
          </w:tcPr>
          <w:p w14:paraId="1727B8F1" w14:textId="1928FF6D" w:rsidR="00085E5A" w:rsidRPr="00D0165F" w:rsidRDefault="00085E5A" w:rsidP="0000250E">
            <w:pPr>
              <w:pStyle w:val="DHHStabletext"/>
              <w:rPr>
                <w:shd w:val="clear" w:color="auto" w:fill="FFFFFF"/>
              </w:rPr>
            </w:pPr>
            <w:r w:rsidRPr="0090732C">
              <w:rPr>
                <w:shd w:val="clear" w:color="auto" w:fill="FFFFFF"/>
              </w:rPr>
              <w:t>Sentinel events are a subset of adverse patient safety events that are wholly preventable and result in serious harm to, or death of, a patient. The purpose of sentinel event reporting is to ensure public accountability and transparency and drive national improvements in patient safety</w:t>
            </w:r>
            <w:r w:rsidR="004F5CBF">
              <w:rPr>
                <w:shd w:val="clear" w:color="auto" w:fill="FFFFFF"/>
              </w:rPr>
              <w:t>.</w:t>
            </w:r>
            <w:r w:rsidRPr="0090732C">
              <w:rPr>
                <w:rStyle w:val="FootnoteReference"/>
                <w:rFonts w:cs="Arial"/>
                <w:color w:val="000000" w:themeColor="text1"/>
                <w:shd w:val="clear" w:color="auto" w:fill="FFFFFF"/>
              </w:rPr>
              <w:footnoteReference w:id="11"/>
            </w:r>
          </w:p>
          <w:p w14:paraId="082FB12B" w14:textId="42C427D5" w:rsidR="00085E5A" w:rsidRPr="00D0165F" w:rsidRDefault="00085E5A" w:rsidP="0000250E">
            <w:pPr>
              <w:pStyle w:val="DHHStabletext"/>
              <w:rPr>
                <w:color w:val="000000"/>
              </w:rPr>
            </w:pPr>
            <w:r w:rsidRPr="0090732C">
              <w:rPr>
                <w:color w:val="000000"/>
              </w:rPr>
              <w:t xml:space="preserve">This indicator is a trigger for discussion regarding quality, safety and improvement in health services, as well as compliance with mandatory </w:t>
            </w:r>
            <w:r>
              <w:rPr>
                <w:color w:val="000000"/>
              </w:rPr>
              <w:t>notification</w:t>
            </w:r>
            <w:r w:rsidRPr="0090732C">
              <w:rPr>
                <w:color w:val="000000"/>
              </w:rPr>
              <w:t xml:space="preserve"> of sentinel events. </w:t>
            </w:r>
          </w:p>
          <w:p w14:paraId="7D063F34" w14:textId="7A38E760" w:rsidR="00085E5A" w:rsidRPr="00D0165F" w:rsidRDefault="00085E5A" w:rsidP="0000250E">
            <w:pPr>
              <w:pStyle w:val="DHHStabletext"/>
              <w:rPr>
                <w:color w:val="000000"/>
              </w:rPr>
            </w:pPr>
            <w:r w:rsidRPr="0090732C">
              <w:rPr>
                <w:color w:val="000000"/>
              </w:rPr>
              <w:t xml:space="preserve">The sentinel event program aims to improve health service system design and delivery through event review and shared learning from a defined range of </w:t>
            </w:r>
            <w:r w:rsidRPr="006444AA">
              <w:rPr>
                <w:color w:val="000000"/>
              </w:rPr>
              <w:t>adverse patient safety events</w:t>
            </w:r>
            <w:r w:rsidRPr="001D7E3A">
              <w:rPr>
                <w:color w:val="494949"/>
                <w:shd w:val="clear" w:color="auto" w:fill="FFFFFF"/>
              </w:rPr>
              <w:t xml:space="preserve"> </w:t>
            </w:r>
            <w:r w:rsidRPr="0090732C">
              <w:rPr>
                <w:color w:val="000000"/>
              </w:rPr>
              <w:t xml:space="preserve">(sentinel events). </w:t>
            </w:r>
          </w:p>
          <w:p w14:paraId="4FC8B96D" w14:textId="74113546" w:rsidR="00085E5A" w:rsidRPr="0090732C" w:rsidRDefault="00085E5A" w:rsidP="0000250E">
            <w:pPr>
              <w:pStyle w:val="DHHStabletext"/>
              <w:rPr>
                <w:color w:val="000000"/>
              </w:rPr>
            </w:pPr>
            <w:r w:rsidRPr="0090732C">
              <w:rPr>
                <w:color w:val="000000"/>
              </w:rPr>
              <w:t xml:space="preserve">Notification of sentinel events are a sign of a healthy culture of reporting of incidents. Sentinel events also represent an important opportunity to review, learn and improve quality and safety. Too low numbers may be a sign of an under-reporting culture which is of concern, particularly in the context of other safety and quality risks. Of most importance is the timeliness of the response and effectiveness of the action taken to prevent re-occurrence. </w:t>
            </w:r>
          </w:p>
          <w:p w14:paraId="222FC499" w14:textId="627E7585" w:rsidR="00921922" w:rsidRPr="0098470E" w:rsidRDefault="00085E5A" w:rsidP="0000250E">
            <w:pPr>
              <w:pStyle w:val="DHHStabletext"/>
            </w:pPr>
            <w:r w:rsidRPr="0090732C">
              <w:rPr>
                <w:color w:val="000000"/>
              </w:rPr>
              <w:t>S</w:t>
            </w:r>
            <w:r>
              <w:rPr>
                <w:color w:val="000000"/>
              </w:rPr>
              <w:t xml:space="preserve">afer Care </w:t>
            </w:r>
            <w:r w:rsidRPr="0090732C">
              <w:rPr>
                <w:color w:val="000000"/>
              </w:rPr>
              <w:t>V</w:t>
            </w:r>
            <w:r>
              <w:rPr>
                <w:color w:val="000000"/>
              </w:rPr>
              <w:t>ictoria (SCV)</w:t>
            </w:r>
            <w:r w:rsidRPr="0090732C">
              <w:rPr>
                <w:color w:val="000000"/>
              </w:rPr>
              <w:t xml:space="preserve"> coordinates the sentinel event program for Victoria. All public and private health services are required to notify SCV within 3 business days of becoming aware of a sentinel event </w:t>
            </w:r>
            <w:r>
              <w:rPr>
                <w:color w:val="000000"/>
              </w:rPr>
              <w:t xml:space="preserve">and undertake a review of the event using root cause analysis (RCA). Health services are required to </w:t>
            </w:r>
            <w:r w:rsidRPr="0090732C">
              <w:rPr>
                <w:color w:val="000000"/>
              </w:rPr>
              <w:t xml:space="preserve">provide a report outlining </w:t>
            </w:r>
            <w:r>
              <w:rPr>
                <w:color w:val="000000"/>
              </w:rPr>
              <w:t xml:space="preserve">the review and </w:t>
            </w:r>
            <w:r w:rsidRPr="0090732C">
              <w:rPr>
                <w:color w:val="000000"/>
              </w:rPr>
              <w:t>a plan to prevent recurrence. Part A and B of the RCA report is to be submitted to SCV within 30 business days of the notification and part C of the RCA report to be submitted to SCV within 50 business days of the notification.</w:t>
            </w:r>
            <w:r w:rsidR="00921922" w:rsidRPr="0098470E">
              <w:t xml:space="preserve"> </w:t>
            </w:r>
          </w:p>
        </w:tc>
      </w:tr>
      <w:tr w:rsidR="00921922" w:rsidRPr="0098470E" w14:paraId="5E7EDEC7" w14:textId="77777777" w:rsidTr="00F551F9">
        <w:trPr>
          <w:cantSplit/>
        </w:trPr>
        <w:tc>
          <w:tcPr>
            <w:tcW w:w="2581" w:type="dxa"/>
            <w:hideMark/>
          </w:tcPr>
          <w:p w14:paraId="1D2EB7AB" w14:textId="77777777" w:rsidR="00921922" w:rsidRPr="0098470E" w:rsidRDefault="00921922" w:rsidP="00603215">
            <w:pPr>
              <w:pStyle w:val="DHHStabletext"/>
            </w:pPr>
            <w:r w:rsidRPr="0098470E">
              <w:lastRenderedPageBreak/>
              <w:t>Calculating performance</w:t>
            </w:r>
          </w:p>
        </w:tc>
        <w:tc>
          <w:tcPr>
            <w:tcW w:w="6719" w:type="dxa"/>
            <w:hideMark/>
          </w:tcPr>
          <w:p w14:paraId="575C8D26" w14:textId="2C8D9826" w:rsidR="00A11DEA" w:rsidRPr="0090732C" w:rsidRDefault="00A11DEA" w:rsidP="0000250E">
            <w:pPr>
              <w:pStyle w:val="DHHStabletext"/>
            </w:pPr>
            <w:r w:rsidRPr="0090732C">
              <w:t>This measure captures numbers of reportable sentinel events for which an RCA report (part A and B) is submitted within 30 business days</w:t>
            </w:r>
            <w:r w:rsidR="00C649A8">
              <w:rPr>
                <w:rStyle w:val="FootnoteReference"/>
              </w:rPr>
              <w:footnoteReference w:id="12"/>
            </w:r>
            <w:r w:rsidRPr="0090732C">
              <w:t xml:space="preserve"> from notification of the event to SCV. </w:t>
            </w:r>
          </w:p>
          <w:p w14:paraId="149FD3A2" w14:textId="77777777" w:rsidR="00A11DEA" w:rsidRPr="0090732C" w:rsidRDefault="00A11DEA" w:rsidP="00D0165F">
            <w:pPr>
              <w:pStyle w:val="DHHStabletext"/>
            </w:pPr>
            <w:r w:rsidRPr="0090732C">
              <w:t xml:space="preserve">Reportable sentinel events must meet one of the following specific criteria: </w:t>
            </w:r>
          </w:p>
          <w:p w14:paraId="5286A5BF" w14:textId="77777777" w:rsidR="00A11DEA" w:rsidRPr="0090732C" w:rsidRDefault="00A11DEA" w:rsidP="00D0165F">
            <w:pPr>
              <w:pStyle w:val="Default"/>
              <w:numPr>
                <w:ilvl w:val="0"/>
                <w:numId w:val="35"/>
              </w:numPr>
              <w:spacing w:before="80" w:after="60"/>
              <w:ind w:left="357" w:hanging="357"/>
              <w:rPr>
                <w:rFonts w:ascii="Arial" w:hAnsi="Arial" w:cs="Arial"/>
                <w:sz w:val="20"/>
                <w:szCs w:val="20"/>
              </w:rPr>
            </w:pPr>
            <w:r w:rsidRPr="0090732C">
              <w:rPr>
                <w:rFonts w:ascii="Arial" w:hAnsi="Arial" w:cs="Arial"/>
                <w:sz w:val="20"/>
                <w:szCs w:val="20"/>
              </w:rPr>
              <w:t>Surgery or other invasive procedure performed on the wrong site resulting in serious harm or death</w:t>
            </w:r>
          </w:p>
          <w:p w14:paraId="12917D8F" w14:textId="77777777" w:rsidR="00A11DEA" w:rsidRPr="0090732C" w:rsidRDefault="00A11DEA" w:rsidP="00D0165F">
            <w:pPr>
              <w:pStyle w:val="Default"/>
              <w:numPr>
                <w:ilvl w:val="0"/>
                <w:numId w:val="35"/>
              </w:numPr>
              <w:spacing w:before="80" w:after="60"/>
              <w:ind w:left="357" w:hanging="357"/>
              <w:rPr>
                <w:rFonts w:ascii="Arial" w:hAnsi="Arial" w:cs="Arial"/>
                <w:sz w:val="20"/>
                <w:szCs w:val="20"/>
              </w:rPr>
            </w:pPr>
            <w:r w:rsidRPr="0090732C">
              <w:rPr>
                <w:rFonts w:ascii="Arial" w:hAnsi="Arial" w:cs="Arial"/>
                <w:sz w:val="20"/>
                <w:szCs w:val="20"/>
              </w:rPr>
              <w:t>Surgery or other invasive procedure performed on the wrong patient resulting in serious harm or death</w:t>
            </w:r>
          </w:p>
          <w:p w14:paraId="728AA360" w14:textId="77777777" w:rsidR="00A11DEA" w:rsidRPr="0090732C" w:rsidRDefault="00A11DEA" w:rsidP="00D0165F">
            <w:pPr>
              <w:pStyle w:val="Default"/>
              <w:numPr>
                <w:ilvl w:val="0"/>
                <w:numId w:val="35"/>
              </w:numPr>
              <w:spacing w:before="80" w:after="60"/>
              <w:ind w:left="357" w:hanging="357"/>
              <w:rPr>
                <w:rFonts w:ascii="Arial" w:hAnsi="Arial" w:cs="Arial"/>
                <w:sz w:val="20"/>
                <w:szCs w:val="20"/>
              </w:rPr>
            </w:pPr>
            <w:r w:rsidRPr="0090732C">
              <w:rPr>
                <w:rFonts w:ascii="Arial" w:hAnsi="Arial" w:cs="Arial"/>
                <w:sz w:val="20"/>
                <w:szCs w:val="20"/>
              </w:rPr>
              <w:t>Wrong surgical or other invasive procedure performed on a patient resulting in serious harm or death</w:t>
            </w:r>
          </w:p>
          <w:p w14:paraId="4BAA7E34" w14:textId="77777777" w:rsidR="00A11DEA" w:rsidRPr="0090732C" w:rsidRDefault="00A11DEA" w:rsidP="00D0165F">
            <w:pPr>
              <w:pStyle w:val="Default"/>
              <w:numPr>
                <w:ilvl w:val="0"/>
                <w:numId w:val="35"/>
              </w:numPr>
              <w:spacing w:before="80" w:after="60"/>
              <w:ind w:left="357" w:hanging="357"/>
              <w:rPr>
                <w:rFonts w:ascii="Arial" w:hAnsi="Arial" w:cs="Arial"/>
                <w:sz w:val="20"/>
                <w:szCs w:val="20"/>
              </w:rPr>
            </w:pPr>
            <w:r w:rsidRPr="0090732C">
              <w:rPr>
                <w:rFonts w:ascii="Arial" w:hAnsi="Arial" w:cs="Arial"/>
                <w:sz w:val="20"/>
                <w:szCs w:val="20"/>
              </w:rPr>
              <w:t>Unintended retention of a foreign object in a patient after surgery or other invasive procedure resulting in serious harm or death</w:t>
            </w:r>
          </w:p>
          <w:p w14:paraId="66B8731F" w14:textId="77777777" w:rsidR="00A11DEA" w:rsidRPr="0090732C" w:rsidRDefault="00A11DEA" w:rsidP="00D0165F">
            <w:pPr>
              <w:pStyle w:val="Default"/>
              <w:numPr>
                <w:ilvl w:val="0"/>
                <w:numId w:val="35"/>
              </w:numPr>
              <w:spacing w:before="80" w:after="60"/>
              <w:ind w:left="357" w:hanging="357"/>
              <w:rPr>
                <w:rFonts w:ascii="Arial" w:hAnsi="Arial" w:cs="Arial"/>
                <w:sz w:val="20"/>
                <w:szCs w:val="20"/>
              </w:rPr>
            </w:pPr>
            <w:r w:rsidRPr="0090732C">
              <w:rPr>
                <w:rFonts w:ascii="Arial" w:hAnsi="Arial" w:cs="Arial"/>
                <w:sz w:val="20"/>
                <w:szCs w:val="20"/>
              </w:rPr>
              <w:t>Haemolytic blood transfusion reaction resulting from ABO incompatibility resulting in serious harm or death</w:t>
            </w:r>
          </w:p>
          <w:p w14:paraId="4D254B1F" w14:textId="77777777" w:rsidR="00A11DEA" w:rsidRPr="0090732C" w:rsidRDefault="00A11DEA" w:rsidP="00D0165F">
            <w:pPr>
              <w:pStyle w:val="Default"/>
              <w:numPr>
                <w:ilvl w:val="0"/>
                <w:numId w:val="35"/>
              </w:numPr>
              <w:spacing w:before="80" w:after="60"/>
              <w:ind w:left="357" w:hanging="357"/>
              <w:rPr>
                <w:rFonts w:ascii="Arial" w:hAnsi="Arial" w:cs="Arial"/>
                <w:sz w:val="20"/>
                <w:szCs w:val="20"/>
              </w:rPr>
            </w:pPr>
            <w:r w:rsidRPr="0090732C">
              <w:rPr>
                <w:rFonts w:ascii="Arial" w:hAnsi="Arial" w:cs="Arial"/>
                <w:sz w:val="20"/>
                <w:szCs w:val="20"/>
              </w:rPr>
              <w:t>Suspected suicide of a patient in an acute psychiatric unit or acute psychiatric ward</w:t>
            </w:r>
          </w:p>
          <w:p w14:paraId="2ABFBC74" w14:textId="77777777" w:rsidR="00A11DEA" w:rsidRPr="0090732C" w:rsidRDefault="00A11DEA" w:rsidP="00D0165F">
            <w:pPr>
              <w:pStyle w:val="Default"/>
              <w:numPr>
                <w:ilvl w:val="0"/>
                <w:numId w:val="35"/>
              </w:numPr>
              <w:spacing w:before="80" w:after="60"/>
              <w:ind w:left="357" w:hanging="357"/>
              <w:rPr>
                <w:rFonts w:ascii="Arial" w:hAnsi="Arial" w:cs="Arial"/>
                <w:sz w:val="20"/>
                <w:szCs w:val="20"/>
              </w:rPr>
            </w:pPr>
            <w:r w:rsidRPr="0090732C">
              <w:rPr>
                <w:rFonts w:ascii="Arial" w:hAnsi="Arial" w:cs="Arial"/>
                <w:sz w:val="20"/>
                <w:szCs w:val="20"/>
              </w:rPr>
              <w:t>Medication error resulting in serious harm or death</w:t>
            </w:r>
          </w:p>
          <w:p w14:paraId="18AD7FF7" w14:textId="77777777" w:rsidR="00A11DEA" w:rsidRPr="0090732C" w:rsidRDefault="00A11DEA" w:rsidP="00D0165F">
            <w:pPr>
              <w:pStyle w:val="Default"/>
              <w:numPr>
                <w:ilvl w:val="0"/>
                <w:numId w:val="35"/>
              </w:numPr>
              <w:spacing w:before="80" w:after="60"/>
              <w:ind w:left="357" w:hanging="357"/>
              <w:rPr>
                <w:rFonts w:ascii="Arial" w:hAnsi="Arial" w:cs="Arial"/>
                <w:sz w:val="20"/>
                <w:szCs w:val="20"/>
              </w:rPr>
            </w:pPr>
            <w:r w:rsidRPr="0090732C">
              <w:rPr>
                <w:rFonts w:ascii="Arial" w:hAnsi="Arial" w:cs="Arial"/>
                <w:sz w:val="20"/>
                <w:szCs w:val="20"/>
              </w:rPr>
              <w:t>Use of physical or mechanical restraint resulting in serious harm or death</w:t>
            </w:r>
          </w:p>
          <w:p w14:paraId="5312E7B1" w14:textId="77777777" w:rsidR="00A11DEA" w:rsidRPr="0090732C" w:rsidRDefault="00A11DEA" w:rsidP="00D0165F">
            <w:pPr>
              <w:pStyle w:val="Default"/>
              <w:numPr>
                <w:ilvl w:val="0"/>
                <w:numId w:val="35"/>
              </w:numPr>
              <w:spacing w:before="80" w:after="60"/>
              <w:ind w:left="357" w:hanging="357"/>
              <w:rPr>
                <w:rFonts w:ascii="Arial" w:hAnsi="Arial" w:cs="Arial"/>
                <w:sz w:val="20"/>
                <w:szCs w:val="20"/>
              </w:rPr>
            </w:pPr>
            <w:r w:rsidRPr="0090732C">
              <w:rPr>
                <w:rFonts w:ascii="Arial" w:hAnsi="Arial" w:cs="Arial"/>
                <w:sz w:val="20"/>
                <w:szCs w:val="20"/>
              </w:rPr>
              <w:t>Discharge or release of an infant or child to an unauthorised person</w:t>
            </w:r>
          </w:p>
          <w:p w14:paraId="174F5DA6" w14:textId="54DBB4FD" w:rsidR="00A11DEA" w:rsidRPr="0090732C" w:rsidRDefault="00A11DEA" w:rsidP="00D0165F">
            <w:pPr>
              <w:pStyle w:val="Default"/>
              <w:numPr>
                <w:ilvl w:val="0"/>
                <w:numId w:val="35"/>
              </w:numPr>
              <w:spacing w:before="80" w:after="60"/>
              <w:ind w:left="357" w:hanging="357"/>
              <w:rPr>
                <w:rFonts w:ascii="Arial" w:hAnsi="Arial" w:cs="Arial"/>
                <w:sz w:val="20"/>
                <w:szCs w:val="20"/>
              </w:rPr>
            </w:pPr>
            <w:r w:rsidRPr="0090732C">
              <w:rPr>
                <w:rFonts w:ascii="Arial" w:hAnsi="Arial" w:cs="Arial"/>
                <w:sz w:val="20"/>
                <w:szCs w:val="20"/>
              </w:rPr>
              <w:t>Use of an incorrectly positioned oro- or naso-gastric tube resulting in serious harm or death</w:t>
            </w:r>
          </w:p>
          <w:p w14:paraId="5AC875CE" w14:textId="481FC762" w:rsidR="00A11DEA" w:rsidRPr="0090732C" w:rsidRDefault="00A11DEA" w:rsidP="00D0165F">
            <w:pPr>
              <w:pStyle w:val="Default"/>
              <w:numPr>
                <w:ilvl w:val="0"/>
                <w:numId w:val="35"/>
              </w:numPr>
              <w:spacing w:before="80" w:after="60"/>
              <w:ind w:left="357" w:hanging="357"/>
              <w:rPr>
                <w:rFonts w:ascii="Arial" w:hAnsi="Arial" w:cs="Arial"/>
                <w:sz w:val="20"/>
                <w:szCs w:val="20"/>
              </w:rPr>
            </w:pPr>
            <w:r w:rsidRPr="0090732C">
              <w:rPr>
                <w:rFonts w:ascii="Arial" w:hAnsi="Arial" w:cs="Arial"/>
                <w:sz w:val="20"/>
                <w:szCs w:val="20"/>
              </w:rPr>
              <w:t>All other adverse patient safety events resulting in serious harm or death</w:t>
            </w:r>
            <w:r w:rsidR="00301B1C">
              <w:rPr>
                <w:rFonts w:ascii="Arial" w:hAnsi="Arial" w:cs="Arial"/>
                <w:sz w:val="20"/>
                <w:szCs w:val="20"/>
              </w:rPr>
              <w:t>.</w:t>
            </w:r>
          </w:p>
          <w:p w14:paraId="06615176" w14:textId="09B8B258" w:rsidR="00921922" w:rsidRPr="00C649A8" w:rsidRDefault="00A11DEA" w:rsidP="00C649A8">
            <w:pPr>
              <w:pStyle w:val="DHHStabletext"/>
            </w:pPr>
            <w:r w:rsidRPr="0090732C">
              <w:t xml:space="preserve">Note: </w:t>
            </w:r>
            <w:r w:rsidR="0070020A">
              <w:t xml:space="preserve">The above reflects </w:t>
            </w:r>
            <w:r w:rsidRPr="0090732C">
              <w:t>an updated national sentinel event category list</w:t>
            </w:r>
            <w:r w:rsidRPr="00C649A8">
              <w:t xml:space="preserve"> published by the Australian Commission on Safety and Quality in Health Care in 2019</w:t>
            </w:r>
            <w:r w:rsidR="005805CF">
              <w:t>,</w:t>
            </w:r>
            <w:r w:rsidRPr="00C649A8">
              <w:t xml:space="preserve"> which came into effect 1 July 2019.</w:t>
            </w:r>
          </w:p>
        </w:tc>
      </w:tr>
      <w:tr w:rsidR="00921922" w:rsidRPr="0098470E" w14:paraId="6D949216" w14:textId="77777777" w:rsidTr="00D0165F">
        <w:trPr>
          <w:cantSplit/>
        </w:trPr>
        <w:tc>
          <w:tcPr>
            <w:tcW w:w="2581" w:type="dxa"/>
            <w:hideMark/>
          </w:tcPr>
          <w:p w14:paraId="44355A00" w14:textId="77777777" w:rsidR="00921922" w:rsidRPr="0098470E" w:rsidRDefault="00921922" w:rsidP="00603215">
            <w:pPr>
              <w:pStyle w:val="DHHStabletext"/>
            </w:pPr>
            <w:r w:rsidRPr="0098470E">
              <w:t xml:space="preserve">Statewide target </w:t>
            </w:r>
          </w:p>
        </w:tc>
        <w:tc>
          <w:tcPr>
            <w:tcW w:w="6719" w:type="dxa"/>
            <w:hideMark/>
          </w:tcPr>
          <w:p w14:paraId="4DCA8672" w14:textId="0D9E86A1" w:rsidR="00921922" w:rsidRPr="0098470E" w:rsidRDefault="00394FB9" w:rsidP="00603215">
            <w:pPr>
              <w:pStyle w:val="DHHStabletext"/>
            </w:pPr>
            <w:r w:rsidRPr="0090732C">
              <w:rPr>
                <w:rFonts w:cs="Arial"/>
                <w:color w:val="000000"/>
              </w:rPr>
              <w:t>All RCA reports (part A and B) submitted within a 30 business day timeframe</w:t>
            </w:r>
            <w:r w:rsidR="005805CF">
              <w:rPr>
                <w:rFonts w:cs="Arial"/>
                <w:color w:val="000000"/>
              </w:rPr>
              <w:t>.</w:t>
            </w:r>
          </w:p>
        </w:tc>
      </w:tr>
      <w:tr w:rsidR="002B4ABD" w:rsidRPr="0098470E" w14:paraId="5539C78C" w14:textId="77777777" w:rsidTr="00F1426A">
        <w:trPr>
          <w:cantSplit/>
          <w:trHeight w:val="1210"/>
        </w:trPr>
        <w:tc>
          <w:tcPr>
            <w:tcW w:w="2581" w:type="dxa"/>
            <w:hideMark/>
          </w:tcPr>
          <w:p w14:paraId="77B54B8D" w14:textId="77777777" w:rsidR="002B4ABD" w:rsidRPr="0098470E" w:rsidRDefault="002B4ABD" w:rsidP="00831819">
            <w:pPr>
              <w:pStyle w:val="DHHStabletext"/>
            </w:pPr>
            <w:r w:rsidRPr="0098470E">
              <w:t>Achievement</w:t>
            </w:r>
          </w:p>
        </w:tc>
        <w:tc>
          <w:tcPr>
            <w:tcW w:w="6719" w:type="dxa"/>
            <w:hideMark/>
          </w:tcPr>
          <w:p w14:paraId="511B4648" w14:textId="5D08B819" w:rsidR="002B4ABD" w:rsidRPr="0098470E" w:rsidRDefault="002B4ABD" w:rsidP="002B4ABD">
            <w:pPr>
              <w:pStyle w:val="DHHStabletext92mmtab"/>
            </w:pPr>
            <w:r w:rsidRPr="0090732C">
              <w:t xml:space="preserve">All RCA reports (part A and B) submitted </w:t>
            </w:r>
            <w:r>
              <w:br/>
            </w:r>
            <w:r w:rsidRPr="0090732C">
              <w:t>within 30 business days</w:t>
            </w:r>
            <w:bookmarkStart w:id="74" w:name="_Ref13735014"/>
            <w:r w:rsidR="00F772E9" w:rsidRPr="00554C1C">
              <w:rPr>
                <w:vertAlign w:val="superscript"/>
              </w:rPr>
              <w:t>11</w:t>
            </w:r>
            <w:bookmarkEnd w:id="74"/>
            <w:r>
              <w:tab/>
            </w:r>
            <w:r w:rsidRPr="0098470E">
              <w:t>Achieved</w:t>
            </w:r>
          </w:p>
          <w:p w14:paraId="521A479A" w14:textId="51B46EC2" w:rsidR="002B4ABD" w:rsidRPr="0098470E" w:rsidRDefault="002B4ABD" w:rsidP="002B4ABD">
            <w:pPr>
              <w:pStyle w:val="DHHStabletext92mmtab"/>
            </w:pPr>
            <w:r>
              <w:t xml:space="preserve">RCA report </w:t>
            </w:r>
            <w:r w:rsidRPr="0090732C">
              <w:t>(part A and B)</w:t>
            </w:r>
            <w:r>
              <w:t xml:space="preserve"> not submitted </w:t>
            </w:r>
            <w:r>
              <w:br/>
              <w:t>within 30 business days</w:t>
            </w:r>
            <w:r w:rsidR="00F772E9" w:rsidRPr="00554C1C">
              <w:rPr>
                <w:vertAlign w:val="superscript"/>
              </w:rPr>
              <w:t>11</w:t>
            </w:r>
            <w:r>
              <w:tab/>
            </w:r>
            <w:r w:rsidRPr="0098470E">
              <w:t xml:space="preserve">Not </w:t>
            </w:r>
            <w:r>
              <w:t>A</w:t>
            </w:r>
            <w:r w:rsidRPr="0098470E">
              <w:t>chieved</w:t>
            </w:r>
          </w:p>
        </w:tc>
      </w:tr>
      <w:tr w:rsidR="00831819" w:rsidRPr="0098470E" w14:paraId="0FA94675" w14:textId="77777777" w:rsidTr="00D0165F">
        <w:trPr>
          <w:cantSplit/>
        </w:trPr>
        <w:tc>
          <w:tcPr>
            <w:tcW w:w="2581" w:type="dxa"/>
          </w:tcPr>
          <w:p w14:paraId="75EFD71C" w14:textId="77777777" w:rsidR="00831819" w:rsidRPr="0098470E" w:rsidRDefault="00831819" w:rsidP="00831819">
            <w:pPr>
              <w:pStyle w:val="DHHStabletext"/>
            </w:pPr>
            <w:r>
              <w:t>Improvement</w:t>
            </w:r>
          </w:p>
        </w:tc>
        <w:tc>
          <w:tcPr>
            <w:tcW w:w="6719" w:type="dxa"/>
          </w:tcPr>
          <w:p w14:paraId="0D1C3EFE" w14:textId="6CEEE7EB" w:rsidR="00831819" w:rsidRPr="0098470E" w:rsidRDefault="00831819" w:rsidP="00831819">
            <w:pPr>
              <w:pStyle w:val="DHHStabletext"/>
            </w:pPr>
            <w:r w:rsidRPr="006F2628">
              <w:t>For the purpose of the performance risk assessment</w:t>
            </w:r>
            <w:r w:rsidR="0006072A">
              <w:t>,</w:t>
            </w:r>
            <w:r w:rsidRPr="006F2628">
              <w:t xml:space="preserve"> improvement is assessed against the previous </w:t>
            </w:r>
            <w:r>
              <w:t>quarter performance.</w:t>
            </w:r>
          </w:p>
        </w:tc>
      </w:tr>
      <w:tr w:rsidR="00831819" w:rsidRPr="0098470E" w14:paraId="0C7405A3" w14:textId="77777777" w:rsidTr="00D0165F">
        <w:trPr>
          <w:cantSplit/>
        </w:trPr>
        <w:tc>
          <w:tcPr>
            <w:tcW w:w="2581" w:type="dxa"/>
            <w:hideMark/>
          </w:tcPr>
          <w:p w14:paraId="6C00A21C" w14:textId="77777777" w:rsidR="00831819" w:rsidRPr="0098470E" w:rsidRDefault="00831819" w:rsidP="00831819">
            <w:pPr>
              <w:pStyle w:val="DHHStabletext"/>
            </w:pPr>
            <w:r w:rsidRPr="0098470E">
              <w:t>Frequency of reporting and data collection</w:t>
            </w:r>
          </w:p>
        </w:tc>
        <w:tc>
          <w:tcPr>
            <w:tcW w:w="6719" w:type="dxa"/>
            <w:hideMark/>
          </w:tcPr>
          <w:p w14:paraId="6F58016F" w14:textId="77777777" w:rsidR="00831819" w:rsidRDefault="00831819" w:rsidP="00831819">
            <w:pPr>
              <w:pStyle w:val="DHHStabletext"/>
            </w:pPr>
            <w:r>
              <w:t>Data for this measure is reported at health service level</w:t>
            </w:r>
            <w:r w:rsidRPr="0098470E">
              <w:t>.</w:t>
            </w:r>
          </w:p>
          <w:p w14:paraId="1E3BE381" w14:textId="77777777" w:rsidR="00831819" w:rsidRPr="0098470E" w:rsidRDefault="00831819" w:rsidP="00831819">
            <w:pPr>
              <w:pStyle w:val="DHHStabletext"/>
            </w:pPr>
            <w:r w:rsidRPr="0098470E">
              <w:t xml:space="preserve">Performance is assessed and reported </w:t>
            </w:r>
            <w:r>
              <w:t>quarterly</w:t>
            </w:r>
            <w:r w:rsidRPr="0098470E">
              <w:t>.</w:t>
            </w:r>
          </w:p>
          <w:p w14:paraId="7A93A028" w14:textId="77777777" w:rsidR="00831819" w:rsidRPr="0098470E" w:rsidRDefault="00831819" w:rsidP="00831819">
            <w:pPr>
              <w:pStyle w:val="DHHStabletext"/>
            </w:pPr>
            <w:r>
              <w:t>A</w:t>
            </w:r>
            <w:r w:rsidRPr="0098470E">
              <w:t>nnual results are also cal</w:t>
            </w:r>
            <w:r>
              <w:t>culated.</w:t>
            </w:r>
          </w:p>
        </w:tc>
      </w:tr>
    </w:tbl>
    <w:p w14:paraId="5A08EF4B" w14:textId="77777777" w:rsidR="00921922" w:rsidRPr="00E441B7" w:rsidRDefault="00921922" w:rsidP="00921922">
      <w:pPr>
        <w:pStyle w:val="DHHSbody"/>
      </w:pPr>
      <w:r w:rsidRPr="00E441B7">
        <w:br w:type="page"/>
      </w:r>
    </w:p>
    <w:p w14:paraId="5E04BD76" w14:textId="1209EEE8" w:rsidR="00BD7DD7" w:rsidRPr="00BD7DD7" w:rsidRDefault="00921922" w:rsidP="007C29C3">
      <w:pPr>
        <w:pStyle w:val="Heading4"/>
      </w:pPr>
      <w:bookmarkStart w:id="75" w:name="_Toc517959131"/>
      <w:bookmarkStart w:id="76" w:name="_Toc15580087"/>
      <w:r>
        <w:lastRenderedPageBreak/>
        <w:t>Unplanned r</w:t>
      </w:r>
      <w:r w:rsidRPr="0098470E">
        <w:t>eadmission</w:t>
      </w:r>
      <w:bookmarkEnd w:id="75"/>
      <w:bookmarkEnd w:id="76"/>
    </w:p>
    <w:tbl>
      <w:tblPr>
        <w:tblStyle w:val="TableGrid"/>
        <w:tblW w:w="9300" w:type="dxa"/>
        <w:tblLayout w:type="fixed"/>
        <w:tblLook w:val="06A0" w:firstRow="1" w:lastRow="0" w:firstColumn="1" w:lastColumn="0" w:noHBand="1" w:noVBand="1"/>
      </w:tblPr>
      <w:tblGrid>
        <w:gridCol w:w="2581"/>
        <w:gridCol w:w="6719"/>
      </w:tblGrid>
      <w:tr w:rsidR="00135F82" w:rsidRPr="0098470E" w14:paraId="06108714" w14:textId="77777777" w:rsidTr="00F510CE">
        <w:trPr>
          <w:cnfStyle w:val="100000000000" w:firstRow="1" w:lastRow="0" w:firstColumn="0" w:lastColumn="0" w:oddVBand="0" w:evenVBand="0" w:oddHBand="0" w:evenHBand="0" w:firstRowFirstColumn="0" w:firstRowLastColumn="0" w:lastRowFirstColumn="0" w:lastRowLastColumn="0"/>
          <w:cantSplit/>
          <w:trHeight w:val="60"/>
          <w:tblHeader/>
        </w:trPr>
        <w:tc>
          <w:tcPr>
            <w:tcW w:w="2581" w:type="dxa"/>
          </w:tcPr>
          <w:p w14:paraId="4F3CB98A" w14:textId="67CE1C2B" w:rsidR="00135F82" w:rsidRPr="0098470E" w:rsidRDefault="00135F82" w:rsidP="00135F82">
            <w:pPr>
              <w:pStyle w:val="DHHStablecolhead"/>
            </w:pPr>
            <w:r>
              <w:t>Element</w:t>
            </w:r>
          </w:p>
        </w:tc>
        <w:tc>
          <w:tcPr>
            <w:tcW w:w="6719" w:type="dxa"/>
          </w:tcPr>
          <w:p w14:paraId="67A6D399" w14:textId="47E27E9F" w:rsidR="00135F82" w:rsidRPr="0098470E" w:rsidRDefault="00135F82" w:rsidP="00135F82">
            <w:pPr>
              <w:pStyle w:val="DHHStablecolhead"/>
            </w:pPr>
            <w:r>
              <w:t>Details</w:t>
            </w:r>
          </w:p>
        </w:tc>
      </w:tr>
      <w:tr w:rsidR="00921922" w:rsidRPr="0098470E" w14:paraId="43A2E660" w14:textId="77777777" w:rsidTr="00135F82">
        <w:trPr>
          <w:cantSplit/>
          <w:trHeight w:val="60"/>
        </w:trPr>
        <w:tc>
          <w:tcPr>
            <w:tcW w:w="2581" w:type="dxa"/>
            <w:hideMark/>
          </w:tcPr>
          <w:p w14:paraId="146222D8" w14:textId="77777777" w:rsidR="00921922" w:rsidRPr="0098470E" w:rsidRDefault="00921922" w:rsidP="00603215">
            <w:pPr>
              <w:pStyle w:val="DHHStabletext"/>
            </w:pPr>
            <w:r w:rsidRPr="0098470E">
              <w:t>Description</w:t>
            </w:r>
          </w:p>
        </w:tc>
        <w:tc>
          <w:tcPr>
            <w:tcW w:w="6719" w:type="dxa"/>
            <w:hideMark/>
          </w:tcPr>
          <w:p w14:paraId="13DF7C0F" w14:textId="776AB2B8" w:rsidR="00921922" w:rsidRPr="0098470E" w:rsidRDefault="00921922" w:rsidP="00603215">
            <w:pPr>
              <w:pStyle w:val="DHHStabletext"/>
            </w:pPr>
            <w:r w:rsidRPr="0098470E">
              <w:t>Unplanned readmission refers to an unexpected readmission for treatment of the same condition, a related condition or a complication of the condition for which the patient was previously hospitalised.</w:t>
            </w:r>
          </w:p>
          <w:p w14:paraId="7FA6F8C7" w14:textId="3627D190" w:rsidR="00921922" w:rsidRPr="00746A69" w:rsidRDefault="00921922" w:rsidP="00603215">
            <w:pPr>
              <w:pStyle w:val="DHHStabletext"/>
            </w:pPr>
            <w:r w:rsidRPr="0098470E">
              <w:t>The unplanned readmission indicators for Acute Myocardial Infarction, Knee replacement, Hip replacement</w:t>
            </w:r>
            <w:r w:rsidR="001B2A13">
              <w:t xml:space="preserve"> and</w:t>
            </w:r>
            <w:r w:rsidRPr="0098470E">
              <w:t xml:space="preserve"> Heart failure are part of a suite of core hospital-based outcome indicators focused on improving safet</w:t>
            </w:r>
            <w:r>
              <w:t>y and quality of patient care.</w:t>
            </w:r>
          </w:p>
        </w:tc>
      </w:tr>
      <w:tr w:rsidR="00921922" w:rsidRPr="0098470E" w14:paraId="14620E05" w14:textId="77777777" w:rsidTr="00135F82">
        <w:trPr>
          <w:cantSplit/>
          <w:trHeight w:val="60"/>
        </w:trPr>
        <w:tc>
          <w:tcPr>
            <w:tcW w:w="2581" w:type="dxa"/>
          </w:tcPr>
          <w:p w14:paraId="5B6CC2EC" w14:textId="77777777" w:rsidR="00921922" w:rsidRPr="0098470E" w:rsidRDefault="00921922" w:rsidP="00603215">
            <w:pPr>
              <w:pStyle w:val="DHHStabletext"/>
            </w:pPr>
            <w:r w:rsidRPr="0098470E">
              <w:t>Calculating performance</w:t>
            </w:r>
          </w:p>
        </w:tc>
        <w:tc>
          <w:tcPr>
            <w:tcW w:w="6719" w:type="dxa"/>
          </w:tcPr>
          <w:p w14:paraId="767EAD99" w14:textId="77777777" w:rsidR="00921922" w:rsidRDefault="00921922" w:rsidP="00603215">
            <w:pPr>
              <w:pStyle w:val="DHHStabletext"/>
            </w:pPr>
            <w:r w:rsidRPr="0098470E">
              <w:t>Results should fall within the expected range against statewide rates.</w:t>
            </w:r>
          </w:p>
          <w:p w14:paraId="74D6CCED" w14:textId="0DE7DA55" w:rsidR="00921922" w:rsidRPr="0098470E" w:rsidRDefault="00921922" w:rsidP="00603215">
            <w:pPr>
              <w:pStyle w:val="DHHStabletext"/>
            </w:pPr>
            <w:r w:rsidRPr="0098470E">
              <w:t xml:space="preserve">Results above the 99.8% confidence </w:t>
            </w:r>
            <w:r w:rsidR="00F734D7">
              <w:t>limit</w:t>
            </w:r>
            <w:r w:rsidR="00F734D7" w:rsidRPr="0098470E">
              <w:t xml:space="preserve"> </w:t>
            </w:r>
            <w:r w:rsidRPr="0098470E">
              <w:t>are considered outliers.</w:t>
            </w:r>
          </w:p>
          <w:p w14:paraId="6F809429" w14:textId="1CD0873D" w:rsidR="00921922" w:rsidRDefault="00921922" w:rsidP="00603215">
            <w:pPr>
              <w:pStyle w:val="DHHStabletext"/>
            </w:pPr>
            <w:r w:rsidRPr="0098470E">
              <w:t>Results between the 9</w:t>
            </w:r>
            <w:r w:rsidR="0000250E">
              <w:t>5–</w:t>
            </w:r>
            <w:r w:rsidRPr="0098470E">
              <w:t>99.8%</w:t>
            </w:r>
            <w:r w:rsidR="00DD7E96">
              <w:t xml:space="preserve"> confidence limit</w:t>
            </w:r>
            <w:r w:rsidR="00DD7E96" w:rsidRPr="0098470E">
              <w:t xml:space="preserve"> </w:t>
            </w:r>
            <w:r w:rsidRPr="0098470E">
              <w:t>reflect higher or lower than expected rates.</w:t>
            </w:r>
          </w:p>
          <w:p w14:paraId="2A121FFE" w14:textId="0D1039FB" w:rsidR="00921922" w:rsidRPr="0098470E" w:rsidRDefault="00921922" w:rsidP="00603215">
            <w:pPr>
              <w:pStyle w:val="DHHStabletext"/>
            </w:pPr>
            <w:r w:rsidRPr="0098470E">
              <w:t>High rates should be seen as a prompt to further investigation. Investigation should consider a comprehensive range of possible explanations including: case mix, structural or resource issues, changes in treatment pro</w:t>
            </w:r>
            <w:r>
              <w:t>tocols, professional practice.</w:t>
            </w:r>
          </w:p>
        </w:tc>
      </w:tr>
      <w:tr w:rsidR="00921922" w:rsidRPr="0098470E" w14:paraId="737E800D" w14:textId="77777777" w:rsidTr="00135F82">
        <w:trPr>
          <w:cantSplit/>
          <w:trHeight w:val="60"/>
        </w:trPr>
        <w:tc>
          <w:tcPr>
            <w:tcW w:w="2581" w:type="dxa"/>
          </w:tcPr>
          <w:p w14:paraId="10C098E1" w14:textId="77777777" w:rsidR="00921922" w:rsidRPr="0098470E" w:rsidRDefault="00921922" w:rsidP="00603215">
            <w:pPr>
              <w:pStyle w:val="DHHStabletext"/>
            </w:pPr>
            <w:r w:rsidRPr="0098470E">
              <w:t>Frequency of reporting and data collection</w:t>
            </w:r>
          </w:p>
        </w:tc>
        <w:tc>
          <w:tcPr>
            <w:tcW w:w="6719" w:type="dxa"/>
          </w:tcPr>
          <w:p w14:paraId="47B5B905" w14:textId="77777777" w:rsidR="00921922" w:rsidRPr="0098470E" w:rsidRDefault="00921922" w:rsidP="00603215">
            <w:pPr>
              <w:pStyle w:val="DHHStabletext"/>
            </w:pPr>
            <w:r w:rsidRPr="0098470E">
              <w:t>Quarterly (lagged by a quarter), representing a quarterly rate and an annual (preceding twelve months) rate. Outliers are calculated based on the annual rate.</w:t>
            </w:r>
          </w:p>
          <w:p w14:paraId="2187C105" w14:textId="371090C9" w:rsidR="00921922" w:rsidRPr="0098470E" w:rsidRDefault="00921922" w:rsidP="00603215">
            <w:pPr>
              <w:pStyle w:val="DHHStabletext"/>
            </w:pPr>
            <w:r w:rsidRPr="0098470E">
              <w:t xml:space="preserve">For quarterly results, </w:t>
            </w:r>
            <w:r w:rsidR="00F869B6">
              <w:t>campus level</w:t>
            </w:r>
            <w:r w:rsidR="00CD25E7">
              <w:t xml:space="preserve"> rates will be reported </w:t>
            </w:r>
            <w:r w:rsidR="007E165F">
              <w:t xml:space="preserve">when </w:t>
            </w:r>
            <w:r w:rsidRPr="0098470E">
              <w:t xml:space="preserve">the </w:t>
            </w:r>
            <w:r w:rsidR="007E165F">
              <w:t xml:space="preserve">number of </w:t>
            </w:r>
            <w:r w:rsidRPr="0098470E">
              <w:t>in scope separations for the quarter i</w:t>
            </w:r>
            <w:r>
              <w:t xml:space="preserve">s at least 15 or </w:t>
            </w:r>
            <w:r w:rsidR="00EC3A5B">
              <w:t xml:space="preserve">where </w:t>
            </w:r>
            <w:r>
              <w:t>2 or more rea</w:t>
            </w:r>
            <w:r w:rsidRPr="0098470E">
              <w:t>dmissions</w:t>
            </w:r>
            <w:r w:rsidR="00EC3A5B">
              <w:t xml:space="preserve"> are reported</w:t>
            </w:r>
            <w:r w:rsidRPr="0098470E">
              <w:t xml:space="preserve"> for two consecutive quarters.</w:t>
            </w:r>
          </w:p>
          <w:p w14:paraId="7004AC3D" w14:textId="3E2B2226" w:rsidR="00921922" w:rsidRDefault="00921922" w:rsidP="00603215">
            <w:pPr>
              <w:pStyle w:val="DHHStabletext"/>
            </w:pPr>
            <w:r w:rsidRPr="0098470E">
              <w:t xml:space="preserve">For annual results, </w:t>
            </w:r>
            <w:r w:rsidR="006C67A0">
              <w:t xml:space="preserve">campus level rates will be reported when </w:t>
            </w:r>
            <w:r w:rsidRPr="0098470E">
              <w:t xml:space="preserve">the </w:t>
            </w:r>
            <w:r w:rsidR="00434E24">
              <w:t xml:space="preserve">number of </w:t>
            </w:r>
            <w:r w:rsidRPr="0098470E">
              <w:t>in-scope separations is 50 or more</w:t>
            </w:r>
            <w:r>
              <w:t xml:space="preserve"> </w:t>
            </w:r>
            <w:r w:rsidRPr="0098470E">
              <w:t>in the twelve months up to and including the reporting quarter.</w:t>
            </w:r>
          </w:p>
          <w:p w14:paraId="7E508EAD" w14:textId="77777777" w:rsidR="00921922" w:rsidRPr="0098470E" w:rsidRDefault="00921922" w:rsidP="00603215">
            <w:pPr>
              <w:pStyle w:val="DHHStabletext"/>
            </w:pPr>
            <w:r w:rsidRPr="0098470E">
              <w:t>Data collection: VAED. Results are collected and reported at campus level.</w:t>
            </w:r>
          </w:p>
        </w:tc>
      </w:tr>
      <w:tr w:rsidR="00921922" w:rsidRPr="0098470E" w14:paraId="781BB480" w14:textId="77777777" w:rsidTr="00135F82">
        <w:trPr>
          <w:cantSplit/>
          <w:trHeight w:val="60"/>
        </w:trPr>
        <w:tc>
          <w:tcPr>
            <w:tcW w:w="2581" w:type="dxa"/>
          </w:tcPr>
          <w:p w14:paraId="570360A4" w14:textId="77777777" w:rsidR="00921922" w:rsidRDefault="00921922" w:rsidP="00603215">
            <w:pPr>
              <w:pStyle w:val="DHHStabletext"/>
            </w:pPr>
            <w:r>
              <w:t>Improvement</w:t>
            </w:r>
          </w:p>
        </w:tc>
        <w:tc>
          <w:tcPr>
            <w:tcW w:w="6719" w:type="dxa"/>
          </w:tcPr>
          <w:p w14:paraId="379F5F67" w14:textId="55D63B35" w:rsidR="00921922" w:rsidRDefault="00921922" w:rsidP="00603215">
            <w:pPr>
              <w:pStyle w:val="DHHStabletext"/>
            </w:pPr>
            <w:r>
              <w:t>For the purpose of the performance risk assessment,</w:t>
            </w:r>
            <w:r w:rsidR="00FA541B">
              <w:t xml:space="preserve"> the</w:t>
            </w:r>
            <w:r>
              <w:t xml:space="preserve"> </w:t>
            </w:r>
            <w:r w:rsidR="00BA6CF6">
              <w:t xml:space="preserve">annual </w:t>
            </w:r>
            <w:r w:rsidR="0042745E">
              <w:t>rate is</w:t>
            </w:r>
            <w:r>
              <w:t xml:space="preserve"> compared to </w:t>
            </w:r>
            <w:r w:rsidR="00FA541B">
              <w:t xml:space="preserve">the </w:t>
            </w:r>
            <w:r w:rsidR="00037EB5">
              <w:t xml:space="preserve">annual rate of the </w:t>
            </w:r>
            <w:r>
              <w:t>previous quarter.</w:t>
            </w:r>
            <w:r w:rsidR="00AE30AA">
              <w:t xml:space="preserve"> </w:t>
            </w:r>
            <w:r w:rsidR="00AE30AA" w:rsidRPr="00AE30AA">
              <w:t xml:space="preserve">SCV </w:t>
            </w:r>
            <w:r w:rsidR="007367ED">
              <w:t>will</w:t>
            </w:r>
            <w:r w:rsidR="0084560F">
              <w:t xml:space="preserve"> </w:t>
            </w:r>
            <w:r w:rsidR="00795918">
              <w:t xml:space="preserve">also </w:t>
            </w:r>
            <w:r w:rsidR="00AE30AA" w:rsidRPr="00AE30AA">
              <w:t xml:space="preserve">analyse performance over </w:t>
            </w:r>
            <w:r w:rsidR="00AA7173">
              <w:t xml:space="preserve">a </w:t>
            </w:r>
            <w:r w:rsidR="0084560F">
              <w:t>longer period</w:t>
            </w:r>
            <w:r w:rsidR="00AE30AA" w:rsidRPr="00AE30AA">
              <w:t>, taking trends as well as absolute levels of performance into account.</w:t>
            </w:r>
          </w:p>
        </w:tc>
      </w:tr>
    </w:tbl>
    <w:p w14:paraId="7DC6118C" w14:textId="77777777" w:rsidR="008D1E5D" w:rsidRPr="002B4ABD" w:rsidRDefault="008D1E5D" w:rsidP="002B4ABD">
      <w:pPr>
        <w:pStyle w:val="DHHSbody"/>
      </w:pPr>
      <w:r w:rsidRPr="002B4ABD">
        <w:br w:type="page"/>
      </w:r>
    </w:p>
    <w:p w14:paraId="6CF9C946" w14:textId="418A9D6C" w:rsidR="00961723" w:rsidRPr="00961723" w:rsidRDefault="00961723" w:rsidP="00961723">
      <w:pPr>
        <w:pStyle w:val="DHHStablecaption"/>
      </w:pPr>
      <w:r>
        <w:lastRenderedPageBreak/>
        <w:t xml:space="preserve">Indicator: </w:t>
      </w:r>
      <w:r w:rsidR="00135F82" w:rsidRPr="007A272E">
        <w:t>Unplanned readmission for Acute Myocardial Infarction</w:t>
      </w:r>
    </w:p>
    <w:tbl>
      <w:tblPr>
        <w:tblStyle w:val="TableGrid"/>
        <w:tblW w:w="9300" w:type="dxa"/>
        <w:tblLayout w:type="fixed"/>
        <w:tblLook w:val="06A0" w:firstRow="1" w:lastRow="0" w:firstColumn="1" w:lastColumn="0" w:noHBand="1" w:noVBand="1"/>
      </w:tblPr>
      <w:tblGrid>
        <w:gridCol w:w="2581"/>
        <w:gridCol w:w="6719"/>
      </w:tblGrid>
      <w:tr w:rsidR="00D97737" w:rsidRPr="009B4E07" w14:paraId="50B8813F" w14:textId="77777777" w:rsidTr="00D0165F">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7090587F" w14:textId="1F0E8187" w:rsidR="00D97737" w:rsidRPr="009B4E07" w:rsidRDefault="00D97737" w:rsidP="00D97737">
            <w:pPr>
              <w:pStyle w:val="DHHStablecolhead"/>
            </w:pPr>
            <w:r>
              <w:t>Element</w:t>
            </w:r>
          </w:p>
        </w:tc>
        <w:tc>
          <w:tcPr>
            <w:tcW w:w="6719" w:type="dxa"/>
          </w:tcPr>
          <w:p w14:paraId="6C9FFCF7" w14:textId="345B4D54" w:rsidR="00D97737" w:rsidRPr="007A272E" w:rsidRDefault="00D97737" w:rsidP="00D97737">
            <w:pPr>
              <w:pStyle w:val="DHHStablecolhead"/>
            </w:pPr>
            <w:r>
              <w:t>Details</w:t>
            </w:r>
          </w:p>
        </w:tc>
      </w:tr>
      <w:tr w:rsidR="00921922" w:rsidRPr="0098470E" w14:paraId="5810C56A" w14:textId="77777777" w:rsidTr="00D0165F">
        <w:trPr>
          <w:cantSplit/>
        </w:trPr>
        <w:tc>
          <w:tcPr>
            <w:tcW w:w="2581" w:type="dxa"/>
          </w:tcPr>
          <w:p w14:paraId="51432EEB" w14:textId="77777777" w:rsidR="00921922" w:rsidRPr="0098470E" w:rsidRDefault="00921922" w:rsidP="00603215">
            <w:pPr>
              <w:pStyle w:val="DHHStabletext"/>
            </w:pPr>
            <w:r>
              <w:t>Description</w:t>
            </w:r>
          </w:p>
        </w:tc>
        <w:tc>
          <w:tcPr>
            <w:tcW w:w="6719" w:type="dxa"/>
          </w:tcPr>
          <w:p w14:paraId="196BCFD4" w14:textId="77777777" w:rsidR="00921922" w:rsidRPr="0098470E" w:rsidRDefault="00921922" w:rsidP="00603215">
            <w:pPr>
              <w:pStyle w:val="DHHStabletext"/>
            </w:pPr>
            <w:r w:rsidRPr="0098470E">
              <w:t>Unplanned readmissions to the same hospital within 30 days of patients</w:t>
            </w:r>
            <w:r>
              <w:t>’</w:t>
            </w:r>
            <w:r w:rsidRPr="0098470E">
              <w:t xml:space="preserve"> separation, for management of Acute Myocardial Infarction.</w:t>
            </w:r>
          </w:p>
        </w:tc>
      </w:tr>
      <w:tr w:rsidR="00921922" w:rsidRPr="0098470E" w14:paraId="16113DB2" w14:textId="77777777" w:rsidTr="00D0165F">
        <w:trPr>
          <w:cantSplit/>
        </w:trPr>
        <w:tc>
          <w:tcPr>
            <w:tcW w:w="2581" w:type="dxa"/>
          </w:tcPr>
          <w:p w14:paraId="167265B4" w14:textId="77777777" w:rsidR="00921922" w:rsidRPr="0098470E" w:rsidRDefault="00921922" w:rsidP="00603215">
            <w:pPr>
              <w:pStyle w:val="DHHStabletext"/>
            </w:pPr>
            <w:r w:rsidRPr="0098470E">
              <w:t>Numerator</w:t>
            </w:r>
          </w:p>
        </w:tc>
        <w:tc>
          <w:tcPr>
            <w:tcW w:w="6719" w:type="dxa"/>
          </w:tcPr>
          <w:p w14:paraId="38183E45" w14:textId="77777777" w:rsidR="002B738C" w:rsidRPr="0098470E" w:rsidRDefault="002B738C" w:rsidP="002B738C">
            <w:pPr>
              <w:pStyle w:val="DHHStabletext"/>
            </w:pPr>
            <w:r w:rsidRPr="0098470E">
              <w:t>Includes all separations with a separation date which is within the reference period and which satisfy all of the following</w:t>
            </w:r>
            <w:r>
              <w:t>:</w:t>
            </w:r>
          </w:p>
          <w:p w14:paraId="1519BE2D" w14:textId="77777777" w:rsidR="002B738C" w:rsidRPr="0098470E" w:rsidRDefault="002B738C" w:rsidP="002B738C">
            <w:pPr>
              <w:pStyle w:val="DHHStablebullet1"/>
            </w:pPr>
            <w:r>
              <w:t>t</w:t>
            </w:r>
            <w:r w:rsidRPr="0098470E">
              <w:t>he separation is a readmission to the same hospital campus following a separation which is in scope of the denominator (either for the reference period or the previous period)</w:t>
            </w:r>
          </w:p>
          <w:p w14:paraId="17A18769" w14:textId="77777777" w:rsidR="002B738C" w:rsidRPr="0098470E" w:rsidRDefault="002B738C" w:rsidP="002B738C">
            <w:pPr>
              <w:pStyle w:val="DHHStablebullet1"/>
            </w:pPr>
            <w:r>
              <w:t>h</w:t>
            </w:r>
            <w:r w:rsidRPr="0098470E">
              <w:t>as a</w:t>
            </w:r>
            <w:r>
              <w:t>n ICD-10-AM</w:t>
            </w:r>
            <w:r w:rsidRPr="0098470E">
              <w:t xml:space="preserve"> principal diagnosis code (i.e. the readmission) of either I21</w:t>
            </w:r>
            <w:r>
              <w:t>.x</w:t>
            </w:r>
            <w:r w:rsidRPr="0098470E">
              <w:t xml:space="preserve"> or I22</w:t>
            </w:r>
            <w:r>
              <w:t>.x</w:t>
            </w:r>
          </w:p>
          <w:p w14:paraId="2AD4906D" w14:textId="77777777" w:rsidR="002B738C" w:rsidRPr="0098470E" w:rsidRDefault="002B738C" w:rsidP="002B738C">
            <w:pPr>
              <w:pStyle w:val="DHHStablebullet1"/>
            </w:pPr>
            <w:r>
              <w:t>o</w:t>
            </w:r>
            <w:r w:rsidRPr="0098470E">
              <w:t>ccurs within 30 days of the previous date of separation</w:t>
            </w:r>
          </w:p>
          <w:p w14:paraId="37B571CD" w14:textId="77777777" w:rsidR="002B738C" w:rsidRPr="00F207A0" w:rsidRDefault="002B738C" w:rsidP="002B738C">
            <w:pPr>
              <w:pStyle w:val="DHHStablebullet1"/>
            </w:pPr>
            <w:r>
              <w:t>t</w:t>
            </w:r>
            <w:r w:rsidRPr="0098470E">
              <w:t>he readmission is an acute admission</w:t>
            </w:r>
            <w:r>
              <w:t xml:space="preserve"> </w:t>
            </w:r>
            <w:r w:rsidRPr="00F207A0">
              <w:t>(Care Type =</w:t>
            </w:r>
            <w:r>
              <w:t xml:space="preserve"> ‘</w:t>
            </w:r>
            <w:r w:rsidRPr="00F207A0">
              <w:t>4</w:t>
            </w:r>
            <w:r>
              <w:t>’</w:t>
            </w:r>
            <w:r w:rsidRPr="00F207A0">
              <w:t>)</w:t>
            </w:r>
          </w:p>
          <w:p w14:paraId="46DB94E6" w14:textId="4183731B" w:rsidR="002B738C" w:rsidRPr="0098470E" w:rsidRDefault="002B738C" w:rsidP="002B738C">
            <w:pPr>
              <w:pStyle w:val="DHHStablebullet1"/>
            </w:pPr>
            <w:r>
              <w:t xml:space="preserve">Admission type </w:t>
            </w:r>
            <w:r w:rsidRPr="0098470E">
              <w:t xml:space="preserve">of the readmission is </w:t>
            </w:r>
            <w:r>
              <w:t>‘</w:t>
            </w:r>
            <w:r w:rsidRPr="0098470E">
              <w:t>Emergency</w:t>
            </w:r>
            <w:r>
              <w:t>’</w:t>
            </w:r>
            <w:r w:rsidR="0042745E">
              <w:t xml:space="preserve"> </w:t>
            </w:r>
            <w:r w:rsidRPr="00F207A0">
              <w:t>(</w:t>
            </w:r>
            <w:r>
              <w:t>‘</w:t>
            </w:r>
            <w:r w:rsidRPr="00F207A0">
              <w:t>O</w:t>
            </w:r>
            <w:r>
              <w:t>’</w:t>
            </w:r>
            <w:r w:rsidRPr="00F207A0">
              <w:t xml:space="preserve"> or </w:t>
            </w:r>
            <w:r>
              <w:t>‘</w:t>
            </w:r>
            <w:r w:rsidRPr="00F207A0">
              <w:t>C</w:t>
            </w:r>
            <w:r>
              <w:t>’</w:t>
            </w:r>
            <w:r w:rsidRPr="00F207A0">
              <w:t>)</w:t>
            </w:r>
          </w:p>
          <w:p w14:paraId="2F9584B7" w14:textId="70EC03B5" w:rsidR="00921922" w:rsidRPr="0098470E" w:rsidRDefault="002B738C" w:rsidP="002B738C">
            <w:pPr>
              <w:pStyle w:val="DHHStablebullet1"/>
            </w:pPr>
            <w:r>
              <w:t xml:space="preserve">excludes transfers </w:t>
            </w:r>
            <w:r w:rsidRPr="00F207A0">
              <w:t>from other cam</w:t>
            </w:r>
            <w:r>
              <w:t>puses (Admission Source = ‘T’).</w:t>
            </w:r>
          </w:p>
        </w:tc>
      </w:tr>
      <w:tr w:rsidR="00921922" w:rsidRPr="0098470E" w14:paraId="66C6B1BE" w14:textId="77777777" w:rsidTr="00D0165F">
        <w:trPr>
          <w:cantSplit/>
        </w:trPr>
        <w:tc>
          <w:tcPr>
            <w:tcW w:w="2581" w:type="dxa"/>
          </w:tcPr>
          <w:p w14:paraId="2E7887A5" w14:textId="7DA8D0B3" w:rsidR="00921922" w:rsidRPr="0098470E" w:rsidRDefault="00921922" w:rsidP="00603215">
            <w:pPr>
              <w:pStyle w:val="DHHStabletext"/>
            </w:pPr>
            <w:r w:rsidRPr="0098470E">
              <w:t>Denominator</w:t>
            </w:r>
          </w:p>
        </w:tc>
        <w:tc>
          <w:tcPr>
            <w:tcW w:w="6719" w:type="dxa"/>
          </w:tcPr>
          <w:p w14:paraId="146C70A7" w14:textId="77777777" w:rsidR="00F71BE6" w:rsidRDefault="00F71BE6" w:rsidP="00F71BE6">
            <w:pPr>
              <w:pStyle w:val="DHHStabletext"/>
            </w:pPr>
            <w:r>
              <w:t>Includes all separations with a separation date which is within the reference period and which satisfy all of the following:</w:t>
            </w:r>
          </w:p>
          <w:p w14:paraId="1F2A7742" w14:textId="77777777" w:rsidR="00F71BE6" w:rsidRDefault="00F71BE6" w:rsidP="00F71BE6">
            <w:pPr>
              <w:pStyle w:val="DHHStablebullet1"/>
            </w:pPr>
            <w:r>
              <w:t>has an ICD-10-AM principal diagnosis code of I21.x or I22.x</w:t>
            </w:r>
          </w:p>
          <w:p w14:paraId="3B2DE87B" w14:textId="77777777" w:rsidR="00F71BE6" w:rsidRDefault="00F71BE6" w:rsidP="00F71BE6">
            <w:pPr>
              <w:pStyle w:val="DHHStablebullet1"/>
            </w:pPr>
            <w:r>
              <w:t>is an acute separation (Care Type = ‘4’)</w:t>
            </w:r>
          </w:p>
          <w:p w14:paraId="6B3C97CA" w14:textId="1DF5C87C" w:rsidR="00F71BE6" w:rsidRDefault="00F71BE6" w:rsidP="00F71BE6">
            <w:pPr>
              <w:pStyle w:val="DHHStablebullet1"/>
            </w:pPr>
            <w:r>
              <w:t>patient age is between 3</w:t>
            </w:r>
            <w:r w:rsidR="0000250E">
              <w:t>0–</w:t>
            </w:r>
            <w:r>
              <w:t>89 years (inclusive)</w:t>
            </w:r>
          </w:p>
          <w:p w14:paraId="0E9809CF" w14:textId="16AA451C" w:rsidR="00F71BE6" w:rsidRDefault="00F71BE6" w:rsidP="00F71BE6">
            <w:pPr>
              <w:pStyle w:val="DHHStablebullet1"/>
            </w:pPr>
            <w:r>
              <w:t>Admission Type of admission is ‘</w:t>
            </w:r>
            <w:r w:rsidR="005554C8">
              <w:t>E</w:t>
            </w:r>
            <w:r>
              <w:t>mergency’ (‘O’, ‘C’)</w:t>
            </w:r>
          </w:p>
          <w:p w14:paraId="79BD138D" w14:textId="77777777" w:rsidR="00F71BE6" w:rsidRDefault="00F71BE6" w:rsidP="00F71BE6">
            <w:pPr>
              <w:pStyle w:val="DHHStablebullet1"/>
            </w:pPr>
            <w:r>
              <w:t>excludes transfers in and transfers out (Admission Source or Separation Mode = ‘T’)</w:t>
            </w:r>
          </w:p>
          <w:p w14:paraId="65A401C1" w14:textId="7DDA66CD" w:rsidR="00F71BE6" w:rsidRDefault="00F71BE6" w:rsidP="00F71BE6">
            <w:pPr>
              <w:pStyle w:val="DHHStablebullet1"/>
            </w:pPr>
            <w:r>
              <w:t xml:space="preserve">LOS is between </w:t>
            </w:r>
            <w:r w:rsidR="0000250E">
              <w:t>4–</w:t>
            </w:r>
            <w:r>
              <w:t>30 patient days (inclusive)</w:t>
            </w:r>
          </w:p>
          <w:p w14:paraId="7DD1701B" w14:textId="5FE43AED" w:rsidR="00921922" w:rsidRPr="0098470E" w:rsidRDefault="00F71BE6" w:rsidP="00F71BE6">
            <w:pPr>
              <w:pStyle w:val="DHHStablebullet1"/>
            </w:pPr>
            <w:r>
              <w:t>excludes in-hospital deaths (Separation Mode = ‘D’).</w:t>
            </w:r>
          </w:p>
        </w:tc>
      </w:tr>
      <w:tr w:rsidR="00921922" w:rsidRPr="0098470E" w14:paraId="4E2027CF" w14:textId="77777777" w:rsidTr="00D0165F">
        <w:trPr>
          <w:cantSplit/>
        </w:trPr>
        <w:tc>
          <w:tcPr>
            <w:tcW w:w="2581" w:type="dxa"/>
          </w:tcPr>
          <w:p w14:paraId="6F9DC2A0" w14:textId="77777777" w:rsidR="00921922" w:rsidRPr="0098470E" w:rsidRDefault="00921922" w:rsidP="00603215">
            <w:pPr>
              <w:pStyle w:val="DHHStabletext"/>
            </w:pPr>
            <w:r w:rsidRPr="0098470E">
              <w:t>Statewide target</w:t>
            </w:r>
          </w:p>
        </w:tc>
        <w:tc>
          <w:tcPr>
            <w:tcW w:w="6719" w:type="dxa"/>
          </w:tcPr>
          <w:p w14:paraId="124076F4" w14:textId="77777777" w:rsidR="00921922" w:rsidRPr="0098470E" w:rsidRDefault="00921922" w:rsidP="00603215">
            <w:pPr>
              <w:pStyle w:val="DHHStabletext"/>
            </w:pPr>
            <w:r w:rsidRPr="0098470E">
              <w:t>No outliers</w:t>
            </w:r>
          </w:p>
        </w:tc>
      </w:tr>
      <w:tr w:rsidR="00921922" w:rsidRPr="0098470E" w14:paraId="70CA2B3B" w14:textId="77777777" w:rsidTr="00D0165F">
        <w:trPr>
          <w:cantSplit/>
        </w:trPr>
        <w:tc>
          <w:tcPr>
            <w:tcW w:w="2581" w:type="dxa"/>
          </w:tcPr>
          <w:p w14:paraId="42A420BE" w14:textId="505B5D3C" w:rsidR="00921922" w:rsidRPr="0098470E" w:rsidRDefault="00921922" w:rsidP="00603215">
            <w:pPr>
              <w:pStyle w:val="DHHStabletext"/>
            </w:pPr>
            <w:r w:rsidRPr="0098470E">
              <w:t>Achievement</w:t>
            </w:r>
          </w:p>
        </w:tc>
        <w:tc>
          <w:tcPr>
            <w:tcW w:w="6719" w:type="dxa"/>
          </w:tcPr>
          <w:p w14:paraId="2D88EC1F" w14:textId="77777777" w:rsidR="00921922" w:rsidRDefault="00921922" w:rsidP="00603215">
            <w:pPr>
              <w:pStyle w:val="DHHStabletext"/>
            </w:pPr>
            <w:r w:rsidRPr="0098470E">
              <w:t>Achieved</w:t>
            </w:r>
          </w:p>
          <w:p w14:paraId="78D72598" w14:textId="77777777" w:rsidR="00921922" w:rsidRPr="0098470E" w:rsidRDefault="00921922" w:rsidP="00603215">
            <w:pPr>
              <w:pStyle w:val="DHHStabletext"/>
            </w:pPr>
            <w:r w:rsidRPr="0098470E">
              <w:t xml:space="preserve">Not achieved </w:t>
            </w:r>
          </w:p>
        </w:tc>
      </w:tr>
      <w:tr w:rsidR="00921922" w:rsidRPr="0098470E" w14:paraId="410ADBC9" w14:textId="77777777" w:rsidTr="00D0165F">
        <w:trPr>
          <w:cantSplit/>
        </w:trPr>
        <w:tc>
          <w:tcPr>
            <w:tcW w:w="2581" w:type="dxa"/>
          </w:tcPr>
          <w:p w14:paraId="16E96FBF" w14:textId="77777777" w:rsidR="00921922" w:rsidRDefault="00921922" w:rsidP="00603215">
            <w:pPr>
              <w:pStyle w:val="DHHStabletext"/>
            </w:pPr>
            <w:r>
              <w:t>Improvement</w:t>
            </w:r>
          </w:p>
        </w:tc>
        <w:tc>
          <w:tcPr>
            <w:tcW w:w="6719" w:type="dxa"/>
          </w:tcPr>
          <w:p w14:paraId="1470A8DD" w14:textId="1D2A0962" w:rsidR="00921922" w:rsidRDefault="00703F87" w:rsidP="00603215">
            <w:pPr>
              <w:pStyle w:val="DHHStabletext"/>
            </w:pPr>
            <w:r>
              <w:t xml:space="preserve">For the purpose of the performance risk assessment, the annual </w:t>
            </w:r>
            <w:r w:rsidR="005554C8">
              <w:t>rate is</w:t>
            </w:r>
            <w:r>
              <w:t xml:space="preserve"> compared to the annual rate of the previous quarter. </w:t>
            </w:r>
            <w:r w:rsidR="00795918">
              <w:t>S</w:t>
            </w:r>
            <w:r w:rsidRPr="00AE30AA">
              <w:t xml:space="preserve">CV </w:t>
            </w:r>
            <w:r w:rsidR="0010080D">
              <w:t>will</w:t>
            </w:r>
            <w:r>
              <w:t xml:space="preserve"> </w:t>
            </w:r>
            <w:r w:rsidR="00795918">
              <w:t xml:space="preserve">also </w:t>
            </w:r>
            <w:r w:rsidRPr="00AE30AA">
              <w:t xml:space="preserve">analyse performance over </w:t>
            </w:r>
            <w:r>
              <w:t>a longer period</w:t>
            </w:r>
            <w:r w:rsidRPr="00AE30AA">
              <w:t>, taking trends as well as absolute levels of performance into account.</w:t>
            </w:r>
          </w:p>
        </w:tc>
      </w:tr>
    </w:tbl>
    <w:p w14:paraId="540F3B84" w14:textId="77777777" w:rsidR="008D1E5D" w:rsidRDefault="008D1E5D">
      <w:pPr>
        <w:spacing w:after="200" w:line="276" w:lineRule="auto"/>
        <w:rPr>
          <w:rFonts w:ascii="Arial" w:hAnsi="Arial"/>
          <w:b/>
        </w:rPr>
      </w:pPr>
      <w:r>
        <w:br w:type="page"/>
      </w:r>
    </w:p>
    <w:p w14:paraId="04C88D2A" w14:textId="3BC01C6C" w:rsidR="00961723" w:rsidRPr="00961723" w:rsidRDefault="00961723" w:rsidP="00961723">
      <w:pPr>
        <w:pStyle w:val="DHHStablecaption"/>
      </w:pPr>
      <w:r>
        <w:lastRenderedPageBreak/>
        <w:t xml:space="preserve">Indicator: </w:t>
      </w:r>
      <w:r w:rsidR="00135F82" w:rsidRPr="008A6C4E">
        <w:t>Unplanned readmission for knee replacement</w:t>
      </w:r>
    </w:p>
    <w:tbl>
      <w:tblPr>
        <w:tblStyle w:val="TableGrid"/>
        <w:tblW w:w="9300" w:type="dxa"/>
        <w:tblLayout w:type="fixed"/>
        <w:tblLook w:val="06A0" w:firstRow="1" w:lastRow="0" w:firstColumn="1" w:lastColumn="0" w:noHBand="1" w:noVBand="1"/>
      </w:tblPr>
      <w:tblGrid>
        <w:gridCol w:w="2552"/>
        <w:gridCol w:w="6748"/>
      </w:tblGrid>
      <w:tr w:rsidR="00D97737" w:rsidRPr="0098470E" w14:paraId="34A5D102" w14:textId="77777777" w:rsidTr="00D0165F">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0E4949E3" w14:textId="02394CDE" w:rsidR="00D97737" w:rsidRPr="008A6C4E" w:rsidRDefault="00D97737" w:rsidP="00D97737">
            <w:pPr>
              <w:pStyle w:val="DHHStablecolhead"/>
            </w:pPr>
            <w:r>
              <w:t>Element</w:t>
            </w:r>
          </w:p>
        </w:tc>
        <w:tc>
          <w:tcPr>
            <w:tcW w:w="6748" w:type="dxa"/>
          </w:tcPr>
          <w:p w14:paraId="2CA442DD" w14:textId="0CA7CD12" w:rsidR="00D97737" w:rsidRPr="008A6C4E" w:rsidRDefault="00D97737" w:rsidP="00D97737">
            <w:pPr>
              <w:pStyle w:val="DHHStablecolhead"/>
            </w:pPr>
            <w:r>
              <w:t>Details</w:t>
            </w:r>
          </w:p>
        </w:tc>
      </w:tr>
      <w:tr w:rsidR="00921922" w:rsidRPr="0098470E" w14:paraId="61317C9A" w14:textId="77777777" w:rsidTr="00D0165F">
        <w:trPr>
          <w:cantSplit/>
        </w:trPr>
        <w:tc>
          <w:tcPr>
            <w:tcW w:w="2552" w:type="dxa"/>
          </w:tcPr>
          <w:p w14:paraId="58500075" w14:textId="77777777" w:rsidR="00921922" w:rsidRPr="0098470E" w:rsidRDefault="00921922" w:rsidP="00603215">
            <w:pPr>
              <w:pStyle w:val="DHHStabletext"/>
            </w:pPr>
            <w:r>
              <w:t>Description</w:t>
            </w:r>
          </w:p>
        </w:tc>
        <w:tc>
          <w:tcPr>
            <w:tcW w:w="6748" w:type="dxa"/>
          </w:tcPr>
          <w:p w14:paraId="102E7454" w14:textId="70B6AFA4" w:rsidR="00921922" w:rsidRPr="0098470E" w:rsidRDefault="00921922" w:rsidP="00603215">
            <w:pPr>
              <w:pStyle w:val="DHHStabletext"/>
            </w:pPr>
            <w:r w:rsidRPr="0098470E">
              <w:t>Unplanned readmissions to the same hospital within 60 days of patients</w:t>
            </w:r>
            <w:r w:rsidR="00C221B5">
              <w:t>’</w:t>
            </w:r>
            <w:r w:rsidRPr="0098470E">
              <w:t xml:space="preserve"> separation from acute care for knee replacement surgery.</w:t>
            </w:r>
          </w:p>
        </w:tc>
      </w:tr>
      <w:tr w:rsidR="00921922" w:rsidRPr="0098470E" w14:paraId="4A7000E6" w14:textId="77777777" w:rsidTr="00D0165F">
        <w:trPr>
          <w:cantSplit/>
        </w:trPr>
        <w:tc>
          <w:tcPr>
            <w:tcW w:w="2552" w:type="dxa"/>
          </w:tcPr>
          <w:p w14:paraId="428601BA" w14:textId="0B9A1F8C" w:rsidR="00921922" w:rsidRPr="0098470E" w:rsidRDefault="001F0D2D" w:rsidP="00603215">
            <w:pPr>
              <w:pStyle w:val="DHHStabletext"/>
            </w:pPr>
            <w:r w:rsidRPr="0098470E">
              <w:t>Numerator</w:t>
            </w:r>
          </w:p>
        </w:tc>
        <w:tc>
          <w:tcPr>
            <w:tcW w:w="6748" w:type="dxa"/>
          </w:tcPr>
          <w:p w14:paraId="2B02F6E8" w14:textId="77777777" w:rsidR="00304C98" w:rsidRPr="0098470E" w:rsidRDefault="00304C98" w:rsidP="00304C98">
            <w:pPr>
              <w:pStyle w:val="DHHStabletext"/>
            </w:pPr>
            <w:r w:rsidRPr="0098470E">
              <w:t>Includes all separations with a separation date which is within the reference period and which satisfy all of the following</w:t>
            </w:r>
            <w:r>
              <w:t>:</w:t>
            </w:r>
          </w:p>
          <w:p w14:paraId="2BC6F78D" w14:textId="77777777" w:rsidR="00304C98" w:rsidRPr="0098470E" w:rsidRDefault="00304C98" w:rsidP="00304C98">
            <w:pPr>
              <w:pStyle w:val="DHHStablebullet1"/>
            </w:pPr>
            <w:r>
              <w:t>t</w:t>
            </w:r>
            <w:r w:rsidRPr="0098470E">
              <w:t>he separation is a readmission to the same hospital campus following a separation which is in scope of the denominator (either for the reference period or the previous period)</w:t>
            </w:r>
          </w:p>
          <w:p w14:paraId="0B13AAD3" w14:textId="77777777" w:rsidR="00304C98" w:rsidRPr="0098470E" w:rsidRDefault="00304C98" w:rsidP="00304C98">
            <w:pPr>
              <w:pStyle w:val="DHHStablebullet1"/>
            </w:pPr>
            <w:r>
              <w:t>t</w:t>
            </w:r>
            <w:r w:rsidRPr="0098470E">
              <w:t xml:space="preserve">he </w:t>
            </w:r>
            <w:r>
              <w:t xml:space="preserve">ICD-10-AM </w:t>
            </w:r>
            <w:r w:rsidRPr="0098470E">
              <w:t>principal diagnosis code (i.e. of the readmission)</w:t>
            </w:r>
            <w:r>
              <w:t xml:space="preserve"> </w:t>
            </w:r>
            <w:r w:rsidRPr="0098470E">
              <w:t xml:space="preserve">is in </w:t>
            </w:r>
            <w:r w:rsidRPr="00F207A0">
              <w:t>(</w:t>
            </w:r>
            <w:r>
              <w:t>‘</w:t>
            </w:r>
            <w:r w:rsidRPr="00F207A0">
              <w:t>I21</w:t>
            </w:r>
            <w:r>
              <w:t>.x’</w:t>
            </w:r>
            <w:r w:rsidRPr="00F207A0">
              <w:t>,</w:t>
            </w:r>
            <w:r>
              <w:t>’</w:t>
            </w:r>
            <w:r w:rsidRPr="00F207A0">
              <w:t>I26</w:t>
            </w:r>
            <w:r>
              <w:t>.x’</w:t>
            </w:r>
            <w:r w:rsidRPr="00F207A0">
              <w:t>,</w:t>
            </w:r>
            <w:r>
              <w:t>’</w:t>
            </w:r>
            <w:r w:rsidRPr="00F207A0">
              <w:t>I50</w:t>
            </w:r>
            <w:r>
              <w:t>.x’</w:t>
            </w:r>
            <w:r w:rsidRPr="00F207A0">
              <w:t>,</w:t>
            </w:r>
            <w:r>
              <w:t>’</w:t>
            </w:r>
            <w:r w:rsidRPr="00F207A0">
              <w:t>I74</w:t>
            </w:r>
            <w:r>
              <w:t>.x’</w:t>
            </w:r>
            <w:r w:rsidRPr="00F207A0">
              <w:t>,</w:t>
            </w:r>
            <w:r>
              <w:t>’</w:t>
            </w:r>
            <w:r w:rsidRPr="00F207A0">
              <w:t>M17</w:t>
            </w:r>
            <w:r>
              <w:t>.x’</w:t>
            </w:r>
            <w:r w:rsidRPr="00F207A0">
              <w:t>,</w:t>
            </w:r>
            <w:r>
              <w:t>’</w:t>
            </w:r>
            <w:r w:rsidRPr="00F207A0">
              <w:t>M23</w:t>
            </w:r>
            <w:r>
              <w:t>.x’</w:t>
            </w:r>
            <w:r w:rsidRPr="00F207A0">
              <w:t>,</w:t>
            </w:r>
            <w:r>
              <w:t>’</w:t>
            </w:r>
            <w:r w:rsidRPr="00F207A0">
              <w:t>N13</w:t>
            </w:r>
            <w:r>
              <w:t>.x’</w:t>
            </w:r>
            <w:r w:rsidRPr="00F207A0">
              <w:t>,</w:t>
            </w:r>
            <w:r>
              <w:t>’</w:t>
            </w:r>
            <w:r w:rsidRPr="00F207A0">
              <w:t>R33</w:t>
            </w:r>
            <w:r>
              <w:t>’</w:t>
            </w:r>
            <w:r w:rsidRPr="00F207A0">
              <w:t>,</w:t>
            </w:r>
            <w:r>
              <w:t>’</w:t>
            </w:r>
            <w:r w:rsidRPr="00F207A0">
              <w:t>S89</w:t>
            </w:r>
            <w:r>
              <w:t>.x’</w:t>
            </w:r>
            <w:r w:rsidRPr="00F207A0">
              <w:t>,</w:t>
            </w:r>
            <w:r>
              <w:t>’</w:t>
            </w:r>
            <w:r w:rsidRPr="00F207A0">
              <w:t>T81</w:t>
            </w:r>
            <w:r>
              <w:t>.x’</w:t>
            </w:r>
            <w:r w:rsidRPr="00F207A0">
              <w:t>,</w:t>
            </w:r>
            <w:r w:rsidRPr="00E74F60">
              <w:t>’T84.x’</w:t>
            </w:r>
            <w:r w:rsidRPr="00F207A0">
              <w:t>,</w:t>
            </w:r>
            <w:r>
              <w:t>’</w:t>
            </w:r>
            <w:r w:rsidRPr="00F207A0">
              <w:t>I80.1</w:t>
            </w:r>
            <w:r>
              <w:t>’</w:t>
            </w:r>
            <w:r w:rsidRPr="00F207A0">
              <w:t>,</w:t>
            </w:r>
            <w:r>
              <w:t>’</w:t>
            </w:r>
            <w:r w:rsidRPr="00F207A0">
              <w:t>I80.2</w:t>
            </w:r>
            <w:r>
              <w:t>.x’</w:t>
            </w:r>
            <w:r w:rsidRPr="00F207A0">
              <w:t>,</w:t>
            </w:r>
            <w:r>
              <w:t>’</w:t>
            </w:r>
            <w:r w:rsidRPr="00F207A0">
              <w:t>I97.8</w:t>
            </w:r>
            <w:r>
              <w:t>.x’</w:t>
            </w:r>
            <w:r w:rsidRPr="00F207A0">
              <w:t>,</w:t>
            </w:r>
            <w:r>
              <w:t>’</w:t>
            </w:r>
            <w:r w:rsidRPr="00F207A0">
              <w:t>J15.1</w:t>
            </w:r>
            <w:r>
              <w:t>’</w:t>
            </w:r>
            <w:r w:rsidRPr="00F207A0">
              <w:t>,</w:t>
            </w:r>
            <w:r>
              <w:t>’</w:t>
            </w:r>
            <w:r w:rsidRPr="00F207A0">
              <w:t>J18.0</w:t>
            </w:r>
            <w:r>
              <w:t>’</w:t>
            </w:r>
            <w:r w:rsidRPr="00F207A0">
              <w:t>,</w:t>
            </w:r>
            <w:r>
              <w:t>’</w:t>
            </w:r>
            <w:r w:rsidRPr="00F207A0">
              <w:t>J18.9</w:t>
            </w:r>
            <w:r>
              <w:t>’</w:t>
            </w:r>
            <w:r w:rsidRPr="00F207A0">
              <w:t>,</w:t>
            </w:r>
            <w:r>
              <w:t>’</w:t>
            </w:r>
            <w:r w:rsidRPr="00F207A0">
              <w:t>J95.8</w:t>
            </w:r>
            <w:r>
              <w:t>x’</w:t>
            </w:r>
            <w:r w:rsidRPr="00F207A0">
              <w:t>,</w:t>
            </w:r>
            <w:r>
              <w:t>’</w:t>
            </w:r>
            <w:r w:rsidRPr="00F207A0">
              <w:t>L89.2</w:t>
            </w:r>
            <w:r>
              <w:t>x’</w:t>
            </w:r>
            <w:r w:rsidRPr="00F207A0">
              <w:t>,</w:t>
            </w:r>
            <w:r>
              <w:br/>
              <w:t>’</w:t>
            </w:r>
            <w:r w:rsidRPr="00F207A0">
              <w:t>M24.6</w:t>
            </w:r>
            <w:r>
              <w:t>6’</w:t>
            </w:r>
            <w:r w:rsidRPr="00F207A0">
              <w:t>,</w:t>
            </w:r>
            <w:r>
              <w:t>’</w:t>
            </w:r>
            <w:r w:rsidRPr="00F207A0">
              <w:t>M25.6</w:t>
            </w:r>
            <w:r>
              <w:t>6’</w:t>
            </w:r>
            <w:r w:rsidRPr="00F207A0">
              <w:t>,</w:t>
            </w:r>
            <w:r>
              <w:t>’</w:t>
            </w:r>
            <w:r w:rsidRPr="00F207A0">
              <w:t>N39.0</w:t>
            </w:r>
            <w:r>
              <w:t>’</w:t>
            </w:r>
            <w:r w:rsidRPr="00F207A0">
              <w:t>,</w:t>
            </w:r>
            <w:r>
              <w:t>’</w:t>
            </w:r>
            <w:r w:rsidRPr="00F207A0">
              <w:t>S82.0</w:t>
            </w:r>
            <w:r>
              <w:t>’</w:t>
            </w:r>
            <w:r w:rsidRPr="00F207A0">
              <w:t>,</w:t>
            </w:r>
            <w:r>
              <w:t>’</w:t>
            </w:r>
            <w:r w:rsidRPr="00F207A0">
              <w:t>T88.7</w:t>
            </w:r>
            <w:r>
              <w:t>’</w:t>
            </w:r>
            <w:r w:rsidRPr="00F207A0">
              <w:t>,</w:t>
            </w:r>
            <w:r w:rsidDel="003C0EF3">
              <w:t xml:space="preserve"> </w:t>
            </w:r>
            <w:r>
              <w:t>L03.13, L03.14, ’</w:t>
            </w:r>
            <w:r w:rsidRPr="00F207A0">
              <w:t>S72.10</w:t>
            </w:r>
            <w:r>
              <w:t>’</w:t>
            </w:r>
            <w:r w:rsidRPr="00F207A0">
              <w:t>,</w:t>
            </w:r>
            <w:r>
              <w:t>’</w:t>
            </w:r>
            <w:r w:rsidRPr="00F207A0">
              <w:t>S83.44</w:t>
            </w:r>
            <w:r>
              <w:t>’</w:t>
            </w:r>
            <w:r w:rsidRPr="00F207A0">
              <w:t>,</w:t>
            </w:r>
            <w:r>
              <w:t>’</w:t>
            </w:r>
            <w:r w:rsidRPr="00F207A0">
              <w:t>T85.78</w:t>
            </w:r>
            <w:r>
              <w:t>’</w:t>
            </w:r>
            <w:r w:rsidRPr="00F207A0">
              <w:t>,</w:t>
            </w:r>
            <w:r>
              <w:t>’</w:t>
            </w:r>
            <w:r w:rsidRPr="00F207A0">
              <w:t>T85.88</w:t>
            </w:r>
            <w:r>
              <w:t>’</w:t>
            </w:r>
            <w:r w:rsidRPr="00F207A0">
              <w:t>)</w:t>
            </w:r>
          </w:p>
          <w:p w14:paraId="0C8D28E3" w14:textId="77777777" w:rsidR="00304C98" w:rsidRPr="0098470E" w:rsidRDefault="00304C98" w:rsidP="00304C98">
            <w:pPr>
              <w:pStyle w:val="DHHStablebullet1"/>
            </w:pPr>
            <w:r>
              <w:t>t</w:t>
            </w:r>
            <w:r w:rsidRPr="0098470E">
              <w:t>he readmission occurs within 60 days of the previous date of separation</w:t>
            </w:r>
          </w:p>
          <w:p w14:paraId="20CF43FD" w14:textId="7C090F9B" w:rsidR="00921922" w:rsidRPr="0098470E" w:rsidRDefault="00304C98" w:rsidP="00304C98">
            <w:pPr>
              <w:pStyle w:val="DHHStablebullet1"/>
            </w:pPr>
            <w:r>
              <w:t>t</w:t>
            </w:r>
            <w:r w:rsidRPr="0098470E">
              <w:t>he readmission is an acute admission</w:t>
            </w:r>
            <w:r>
              <w:t xml:space="preserve"> </w:t>
            </w:r>
            <w:r w:rsidRPr="00F207A0">
              <w:t xml:space="preserve">(Care Type </w:t>
            </w:r>
            <w:r w:rsidR="005554C8" w:rsidRPr="00F207A0">
              <w:t>=</w:t>
            </w:r>
            <w:r w:rsidR="005554C8">
              <w:t xml:space="preserve"> ‘</w:t>
            </w:r>
            <w:r w:rsidRPr="00F207A0">
              <w:t>4</w:t>
            </w:r>
            <w:r>
              <w:t>’</w:t>
            </w:r>
            <w:r w:rsidRPr="00F207A0">
              <w:t>)</w:t>
            </w:r>
            <w:r>
              <w:t>.</w:t>
            </w:r>
          </w:p>
        </w:tc>
      </w:tr>
      <w:tr w:rsidR="00921922" w:rsidRPr="0098470E" w14:paraId="134A4713" w14:textId="77777777" w:rsidTr="00D0165F">
        <w:trPr>
          <w:cantSplit/>
        </w:trPr>
        <w:tc>
          <w:tcPr>
            <w:tcW w:w="2552" w:type="dxa"/>
          </w:tcPr>
          <w:p w14:paraId="45DF560A" w14:textId="77777777" w:rsidR="00921922" w:rsidRPr="0098470E" w:rsidRDefault="00921922" w:rsidP="00603215">
            <w:pPr>
              <w:pStyle w:val="DHHStabletext"/>
            </w:pPr>
            <w:r w:rsidRPr="0098470E">
              <w:t xml:space="preserve">Denominator </w:t>
            </w:r>
          </w:p>
        </w:tc>
        <w:tc>
          <w:tcPr>
            <w:tcW w:w="6748" w:type="dxa"/>
          </w:tcPr>
          <w:p w14:paraId="283D0335" w14:textId="77777777" w:rsidR="00E818A1" w:rsidRPr="0098470E" w:rsidRDefault="00E818A1" w:rsidP="00E818A1">
            <w:pPr>
              <w:pStyle w:val="DHHStabletext"/>
            </w:pPr>
            <w:r w:rsidRPr="0098470E">
              <w:t>Includes all separations with a separation date which is within the reference period and which satisfy all of the following</w:t>
            </w:r>
            <w:r>
              <w:t>:</w:t>
            </w:r>
          </w:p>
          <w:p w14:paraId="47B0D07C" w14:textId="77777777" w:rsidR="00E818A1" w:rsidRPr="0098470E" w:rsidRDefault="00E818A1" w:rsidP="00E818A1">
            <w:pPr>
              <w:pStyle w:val="DHHStablebullet1"/>
            </w:pPr>
            <w:r>
              <w:t>h</w:t>
            </w:r>
            <w:r w:rsidRPr="0098470E">
              <w:t>as any of the following procedure codes:</w:t>
            </w:r>
            <w:r>
              <w:t xml:space="preserve"> </w:t>
            </w:r>
            <w:r w:rsidRPr="0098470E">
              <w:t>49518-00</w:t>
            </w:r>
            <w:r>
              <w:t xml:space="preserve"> [1518]</w:t>
            </w:r>
            <w:r w:rsidRPr="0098470E">
              <w:t xml:space="preserve">, </w:t>
            </w:r>
            <w:r>
              <w:br/>
            </w:r>
            <w:r w:rsidRPr="0098470E">
              <w:t>49519-00</w:t>
            </w:r>
            <w:r>
              <w:t xml:space="preserve"> [1518]</w:t>
            </w:r>
            <w:r w:rsidRPr="0098470E">
              <w:t>, 49521-02</w:t>
            </w:r>
            <w:r>
              <w:t xml:space="preserve"> [1519]</w:t>
            </w:r>
          </w:p>
          <w:p w14:paraId="653B02C8" w14:textId="77777777" w:rsidR="00E818A1" w:rsidRPr="0098470E" w:rsidRDefault="00E818A1" w:rsidP="00E818A1">
            <w:pPr>
              <w:pStyle w:val="DHHStablebullet1"/>
            </w:pPr>
            <w:r>
              <w:t>i</w:t>
            </w:r>
            <w:r w:rsidRPr="0098470E">
              <w:t>s an acute separation</w:t>
            </w:r>
            <w:r>
              <w:t xml:space="preserve"> </w:t>
            </w:r>
            <w:r w:rsidRPr="00F207A0">
              <w:t>(Care Type =</w:t>
            </w:r>
            <w:r>
              <w:t xml:space="preserve"> ‘</w:t>
            </w:r>
            <w:r w:rsidRPr="00F207A0">
              <w:t>4</w:t>
            </w:r>
            <w:r>
              <w:t>’</w:t>
            </w:r>
            <w:r w:rsidRPr="00F207A0">
              <w:t>)</w:t>
            </w:r>
          </w:p>
          <w:p w14:paraId="23E6956A" w14:textId="77777777" w:rsidR="00E818A1" w:rsidRPr="0098470E" w:rsidRDefault="00E818A1" w:rsidP="00E818A1">
            <w:pPr>
              <w:pStyle w:val="DHHStablebullet1"/>
            </w:pPr>
            <w:r>
              <w:t>p</w:t>
            </w:r>
            <w:r w:rsidRPr="0098470E">
              <w:t>atient age is at least 20 years</w:t>
            </w:r>
          </w:p>
          <w:p w14:paraId="5FFEC66B" w14:textId="77777777" w:rsidR="00E818A1" w:rsidRPr="0098470E" w:rsidRDefault="00E818A1" w:rsidP="00E818A1">
            <w:pPr>
              <w:pStyle w:val="DHHStablebullet1"/>
            </w:pPr>
            <w:r w:rsidRPr="0098470E">
              <w:t>LOS is greater than or equal to 4 days</w:t>
            </w:r>
          </w:p>
          <w:p w14:paraId="61D0689D" w14:textId="4C0ED894" w:rsidR="00921922" w:rsidRPr="0098470E" w:rsidRDefault="00E818A1" w:rsidP="00E818A1">
            <w:pPr>
              <w:pStyle w:val="DHHStablebullet1"/>
            </w:pPr>
            <w:r>
              <w:t>e</w:t>
            </w:r>
            <w:r w:rsidRPr="0098470E">
              <w:t>xcludes in-hospital deaths</w:t>
            </w:r>
            <w:r>
              <w:t xml:space="preserve"> </w:t>
            </w:r>
            <w:r w:rsidRPr="00F207A0">
              <w:t xml:space="preserve">(Separation Mode = </w:t>
            </w:r>
            <w:r>
              <w:t>‘</w:t>
            </w:r>
            <w:r w:rsidRPr="00F207A0">
              <w:t>D</w:t>
            </w:r>
            <w:r>
              <w:t>’</w:t>
            </w:r>
            <w:r w:rsidRPr="00F207A0">
              <w:t>)</w:t>
            </w:r>
            <w:r>
              <w:t>.</w:t>
            </w:r>
          </w:p>
        </w:tc>
      </w:tr>
      <w:tr w:rsidR="00921922" w:rsidRPr="0098470E" w14:paraId="085149B2" w14:textId="77777777" w:rsidTr="00D0165F">
        <w:trPr>
          <w:cantSplit/>
        </w:trPr>
        <w:tc>
          <w:tcPr>
            <w:tcW w:w="2552" w:type="dxa"/>
          </w:tcPr>
          <w:p w14:paraId="239556EE" w14:textId="77777777" w:rsidR="00921922" w:rsidRPr="0098470E" w:rsidRDefault="00921922" w:rsidP="00603215">
            <w:pPr>
              <w:pStyle w:val="DHHStabletext"/>
            </w:pPr>
            <w:r w:rsidRPr="0098470E">
              <w:t>Statewide target</w:t>
            </w:r>
          </w:p>
        </w:tc>
        <w:tc>
          <w:tcPr>
            <w:tcW w:w="6748" w:type="dxa"/>
          </w:tcPr>
          <w:p w14:paraId="3334B6B0" w14:textId="77777777" w:rsidR="00921922" w:rsidRPr="0098470E" w:rsidRDefault="00921922" w:rsidP="00603215">
            <w:pPr>
              <w:pStyle w:val="DHHStabletext"/>
            </w:pPr>
            <w:r w:rsidRPr="0098470E">
              <w:t>No outliers</w:t>
            </w:r>
          </w:p>
        </w:tc>
      </w:tr>
      <w:tr w:rsidR="00921922" w:rsidRPr="0098470E" w14:paraId="4B4FDFCB" w14:textId="77777777" w:rsidTr="00D0165F">
        <w:trPr>
          <w:cantSplit/>
        </w:trPr>
        <w:tc>
          <w:tcPr>
            <w:tcW w:w="2552" w:type="dxa"/>
          </w:tcPr>
          <w:p w14:paraId="3184D747" w14:textId="27E90901" w:rsidR="00921922" w:rsidRPr="0098470E" w:rsidRDefault="00921922" w:rsidP="00603215">
            <w:pPr>
              <w:pStyle w:val="DHHStabletext"/>
            </w:pPr>
            <w:r w:rsidRPr="0098470E">
              <w:t>Achievement</w:t>
            </w:r>
          </w:p>
        </w:tc>
        <w:tc>
          <w:tcPr>
            <w:tcW w:w="6748" w:type="dxa"/>
          </w:tcPr>
          <w:p w14:paraId="50439FAD" w14:textId="77777777" w:rsidR="00921922" w:rsidRDefault="00921922" w:rsidP="00603215">
            <w:pPr>
              <w:pStyle w:val="DHHStabletext"/>
            </w:pPr>
            <w:r w:rsidRPr="0098470E">
              <w:t>Achieved</w:t>
            </w:r>
          </w:p>
          <w:p w14:paraId="4D51845E" w14:textId="676B2073" w:rsidR="00921922" w:rsidRPr="0098470E" w:rsidRDefault="00921922" w:rsidP="00603215">
            <w:pPr>
              <w:pStyle w:val="DHHStabletext"/>
            </w:pPr>
            <w:r w:rsidRPr="0098470E">
              <w:t>Not achieved</w:t>
            </w:r>
          </w:p>
        </w:tc>
      </w:tr>
      <w:tr w:rsidR="00921922" w:rsidRPr="0098470E" w14:paraId="45AFCC30" w14:textId="77777777" w:rsidTr="00D0165F">
        <w:trPr>
          <w:cantSplit/>
        </w:trPr>
        <w:tc>
          <w:tcPr>
            <w:tcW w:w="2552" w:type="dxa"/>
          </w:tcPr>
          <w:p w14:paraId="524939D3" w14:textId="77777777" w:rsidR="00921922" w:rsidRDefault="00921922" w:rsidP="00603215">
            <w:pPr>
              <w:pStyle w:val="DHHStabletext"/>
            </w:pPr>
            <w:r>
              <w:t>Improvement</w:t>
            </w:r>
          </w:p>
        </w:tc>
        <w:tc>
          <w:tcPr>
            <w:tcW w:w="6748" w:type="dxa"/>
          </w:tcPr>
          <w:p w14:paraId="5E3C2DA4" w14:textId="02A8A858" w:rsidR="00921922" w:rsidRDefault="007B13F3" w:rsidP="00603215">
            <w:pPr>
              <w:pStyle w:val="DHHStabletext"/>
            </w:pPr>
            <w:r>
              <w:t xml:space="preserve">For the purpose of the performance risk assessment, the annual </w:t>
            </w:r>
            <w:r w:rsidR="00771C0E">
              <w:t>rate is</w:t>
            </w:r>
            <w:r>
              <w:t xml:space="preserve"> compared to the annual rate of the previous quarter. </w:t>
            </w:r>
            <w:r w:rsidRPr="00AE30AA">
              <w:t xml:space="preserve">SCV </w:t>
            </w:r>
            <w:r w:rsidR="006272F3">
              <w:t>will</w:t>
            </w:r>
            <w:r>
              <w:t xml:space="preserve"> </w:t>
            </w:r>
            <w:r w:rsidR="00795918">
              <w:t xml:space="preserve">also </w:t>
            </w:r>
            <w:r w:rsidRPr="00AE30AA">
              <w:t xml:space="preserve">analyse performance over </w:t>
            </w:r>
            <w:r>
              <w:t>a longer period</w:t>
            </w:r>
            <w:r w:rsidRPr="00AE30AA">
              <w:t>, taking trends as well as absolute levels of performance into account.</w:t>
            </w:r>
          </w:p>
        </w:tc>
      </w:tr>
    </w:tbl>
    <w:p w14:paraId="12AE858D" w14:textId="77777777" w:rsidR="008D1E5D" w:rsidRDefault="008D1E5D">
      <w:pPr>
        <w:spacing w:after="200" w:line="276" w:lineRule="auto"/>
        <w:rPr>
          <w:rFonts w:ascii="Arial" w:hAnsi="Arial"/>
          <w:b/>
        </w:rPr>
      </w:pPr>
      <w:r>
        <w:br w:type="page"/>
      </w:r>
    </w:p>
    <w:p w14:paraId="320B22A9" w14:textId="0D01A1F2" w:rsidR="00961723" w:rsidRPr="00961723" w:rsidRDefault="00961723" w:rsidP="00961723">
      <w:pPr>
        <w:pStyle w:val="DHHStablecaption"/>
      </w:pPr>
      <w:r>
        <w:lastRenderedPageBreak/>
        <w:t xml:space="preserve">Indicator: </w:t>
      </w:r>
      <w:r w:rsidR="00135F82" w:rsidRPr="008A6C4E">
        <w:t>Unplanned readmission for heart failure</w:t>
      </w:r>
    </w:p>
    <w:tbl>
      <w:tblPr>
        <w:tblStyle w:val="TableGrid"/>
        <w:tblW w:w="9300" w:type="dxa"/>
        <w:tblLayout w:type="fixed"/>
        <w:tblLook w:val="06A0" w:firstRow="1" w:lastRow="0" w:firstColumn="1" w:lastColumn="0" w:noHBand="1" w:noVBand="1"/>
      </w:tblPr>
      <w:tblGrid>
        <w:gridCol w:w="2552"/>
        <w:gridCol w:w="6748"/>
      </w:tblGrid>
      <w:tr w:rsidR="00D97737" w:rsidRPr="0098470E" w14:paraId="6D6BE957" w14:textId="77777777" w:rsidTr="00D0165F">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3D07BA78" w14:textId="30C66233" w:rsidR="00D97737" w:rsidRPr="008A6C4E" w:rsidRDefault="00D97737" w:rsidP="00D97737">
            <w:pPr>
              <w:pStyle w:val="DHHStablecolhead"/>
            </w:pPr>
            <w:r>
              <w:t>Element</w:t>
            </w:r>
          </w:p>
        </w:tc>
        <w:tc>
          <w:tcPr>
            <w:tcW w:w="6748" w:type="dxa"/>
          </w:tcPr>
          <w:p w14:paraId="6C896170" w14:textId="58332FCD" w:rsidR="00D97737" w:rsidRPr="008A6C4E" w:rsidRDefault="00D97737" w:rsidP="00D97737">
            <w:pPr>
              <w:pStyle w:val="DHHStablecolhead"/>
            </w:pPr>
            <w:r>
              <w:t>Details</w:t>
            </w:r>
          </w:p>
        </w:tc>
      </w:tr>
      <w:tr w:rsidR="00921922" w:rsidRPr="0098470E" w14:paraId="5CCBCF73" w14:textId="77777777" w:rsidTr="00D0165F">
        <w:trPr>
          <w:cantSplit/>
        </w:trPr>
        <w:tc>
          <w:tcPr>
            <w:tcW w:w="2552" w:type="dxa"/>
          </w:tcPr>
          <w:p w14:paraId="5FE39EEC" w14:textId="77777777" w:rsidR="00921922" w:rsidRPr="0098470E" w:rsidRDefault="00921922" w:rsidP="00603215">
            <w:pPr>
              <w:pStyle w:val="DHHStabletext"/>
            </w:pPr>
            <w:r w:rsidRPr="0098470E">
              <w:t>Description</w:t>
            </w:r>
          </w:p>
        </w:tc>
        <w:tc>
          <w:tcPr>
            <w:tcW w:w="6748" w:type="dxa"/>
          </w:tcPr>
          <w:p w14:paraId="3A54A85D" w14:textId="77777777" w:rsidR="00921922" w:rsidRPr="0098470E" w:rsidRDefault="00921922" w:rsidP="00603215">
            <w:pPr>
              <w:pStyle w:val="DHHStabletext"/>
            </w:pPr>
            <w:r w:rsidRPr="0098470E">
              <w:t>Unplanned readmissions to the same hospital within 30 days of patients</w:t>
            </w:r>
            <w:r>
              <w:t>’</w:t>
            </w:r>
            <w:r w:rsidRPr="0098470E">
              <w:t xml:space="preserve"> separation, for management of heart failure.</w:t>
            </w:r>
          </w:p>
        </w:tc>
      </w:tr>
      <w:tr w:rsidR="00921922" w:rsidRPr="0098470E" w14:paraId="4C148603" w14:textId="77777777" w:rsidTr="00D0165F">
        <w:trPr>
          <w:cantSplit/>
        </w:trPr>
        <w:tc>
          <w:tcPr>
            <w:tcW w:w="2552" w:type="dxa"/>
          </w:tcPr>
          <w:p w14:paraId="11E25C8D" w14:textId="77777777" w:rsidR="00921922" w:rsidRPr="0098470E" w:rsidRDefault="00921922" w:rsidP="00603215">
            <w:pPr>
              <w:pStyle w:val="DHHStabletext"/>
            </w:pPr>
            <w:r w:rsidRPr="0098470E">
              <w:t>Numerator</w:t>
            </w:r>
          </w:p>
        </w:tc>
        <w:tc>
          <w:tcPr>
            <w:tcW w:w="6748" w:type="dxa"/>
          </w:tcPr>
          <w:p w14:paraId="340544AC" w14:textId="77777777" w:rsidR="00921922" w:rsidRPr="0098470E" w:rsidRDefault="00921922" w:rsidP="00603215">
            <w:pPr>
              <w:pStyle w:val="DHHStabletext"/>
            </w:pPr>
            <w:r w:rsidRPr="0098470E">
              <w:t>Includes all separations with a separation date which is within the reference period and which satisfy all of the following</w:t>
            </w:r>
            <w:r>
              <w:t>:</w:t>
            </w:r>
          </w:p>
          <w:p w14:paraId="49283DD8" w14:textId="77777777" w:rsidR="00921922" w:rsidRPr="0098470E" w:rsidRDefault="00921922" w:rsidP="00603215">
            <w:pPr>
              <w:pStyle w:val="DHHStablebullet1"/>
            </w:pPr>
            <w:r>
              <w:t>t</w:t>
            </w:r>
            <w:r w:rsidRPr="0098470E">
              <w:t>he separation is a readmission to the same hospital campus following a separation which is in scope of the denominator (either for the reference period or the previous period)</w:t>
            </w:r>
          </w:p>
          <w:p w14:paraId="27D96CA0" w14:textId="53E5BA34" w:rsidR="00921922" w:rsidRPr="0098470E" w:rsidRDefault="00921922" w:rsidP="00603215">
            <w:pPr>
              <w:pStyle w:val="DHHStablebullet1"/>
            </w:pPr>
            <w:r>
              <w:t>h</w:t>
            </w:r>
            <w:r w:rsidRPr="0098470E">
              <w:t>as a principal diagnosis code</w:t>
            </w:r>
            <w:r w:rsidR="00612DF5">
              <w:t xml:space="preserve"> </w:t>
            </w:r>
            <w:r w:rsidRPr="0098470E">
              <w:t>(i.e. the readmission)</w:t>
            </w:r>
            <w:r>
              <w:t xml:space="preserve"> </w:t>
            </w:r>
            <w:r w:rsidRPr="0098470E">
              <w:t>of I50</w:t>
            </w:r>
          </w:p>
          <w:p w14:paraId="5B28F1D7" w14:textId="77777777" w:rsidR="00921922" w:rsidRPr="0098470E" w:rsidRDefault="00921922" w:rsidP="00603215">
            <w:pPr>
              <w:pStyle w:val="DHHStablebullet1"/>
            </w:pPr>
            <w:r>
              <w:t>t</w:t>
            </w:r>
            <w:r w:rsidRPr="0098470E">
              <w:t>he readmission occurs within 30 days of the previous date of separation</w:t>
            </w:r>
          </w:p>
          <w:p w14:paraId="4CD2BC64" w14:textId="061BF82B" w:rsidR="00921922" w:rsidRPr="0098470E" w:rsidRDefault="00921922" w:rsidP="00603215">
            <w:pPr>
              <w:pStyle w:val="DHHStablebullet1"/>
            </w:pPr>
            <w:r>
              <w:t>t</w:t>
            </w:r>
            <w:r w:rsidRPr="0098470E">
              <w:t>he readmission is an acute admission</w:t>
            </w:r>
            <w:r>
              <w:t xml:space="preserve"> (Care Type = ‘4’)</w:t>
            </w:r>
          </w:p>
          <w:p w14:paraId="4B9228C3" w14:textId="5B2FFA15" w:rsidR="00921922" w:rsidRDefault="00FD3339" w:rsidP="00603215">
            <w:pPr>
              <w:pStyle w:val="DHHStablebullet1"/>
            </w:pPr>
            <w:r>
              <w:t xml:space="preserve">Admission </w:t>
            </w:r>
            <w:r w:rsidR="00921922">
              <w:t>Type</w:t>
            </w:r>
            <w:r w:rsidR="00921922" w:rsidRPr="0098470E">
              <w:t xml:space="preserve"> of admission is </w:t>
            </w:r>
            <w:r w:rsidR="00921922">
              <w:t>‘</w:t>
            </w:r>
            <w:r w:rsidR="00921922" w:rsidRPr="0098470E">
              <w:t>emergency</w:t>
            </w:r>
            <w:r w:rsidR="00921922">
              <w:t>’ (‘O’, ‘C’)</w:t>
            </w:r>
          </w:p>
          <w:p w14:paraId="413291EA" w14:textId="77777777" w:rsidR="00921922" w:rsidRPr="0098470E" w:rsidRDefault="00921922" w:rsidP="00603215">
            <w:pPr>
              <w:pStyle w:val="DHHStablebullet1"/>
            </w:pPr>
            <w:r>
              <w:t>e</w:t>
            </w:r>
            <w:r w:rsidRPr="0098470E">
              <w:t xml:space="preserve">xcludes transfers </w:t>
            </w:r>
            <w:r>
              <w:t>from other campuses (Admission Source = ‘T’).</w:t>
            </w:r>
          </w:p>
        </w:tc>
      </w:tr>
      <w:tr w:rsidR="00921922" w:rsidRPr="0098470E" w14:paraId="76A01E94" w14:textId="77777777" w:rsidTr="00D0165F">
        <w:trPr>
          <w:cantSplit/>
        </w:trPr>
        <w:tc>
          <w:tcPr>
            <w:tcW w:w="2552" w:type="dxa"/>
          </w:tcPr>
          <w:p w14:paraId="4A661048" w14:textId="77777777" w:rsidR="00921922" w:rsidRPr="0098470E" w:rsidRDefault="00921922" w:rsidP="00603215">
            <w:pPr>
              <w:pStyle w:val="DHHStabletext"/>
            </w:pPr>
            <w:r w:rsidRPr="0098470E">
              <w:t xml:space="preserve">Denominator </w:t>
            </w:r>
          </w:p>
        </w:tc>
        <w:tc>
          <w:tcPr>
            <w:tcW w:w="6748" w:type="dxa"/>
          </w:tcPr>
          <w:p w14:paraId="488B8946" w14:textId="77777777" w:rsidR="00921922" w:rsidRPr="0098470E" w:rsidRDefault="00921922" w:rsidP="00603215">
            <w:pPr>
              <w:pStyle w:val="DHHStabletext"/>
            </w:pPr>
            <w:r w:rsidRPr="0098470E">
              <w:t>Includes all separations with a separation date which is within the reference period and which satisfy all of the following</w:t>
            </w:r>
            <w:r>
              <w:t>:</w:t>
            </w:r>
          </w:p>
          <w:p w14:paraId="2C1E2A95" w14:textId="77777777" w:rsidR="00921922" w:rsidRPr="0098470E" w:rsidRDefault="00921922" w:rsidP="00603215">
            <w:pPr>
              <w:pStyle w:val="DHHStablebullet1"/>
            </w:pPr>
            <w:r>
              <w:t>h</w:t>
            </w:r>
            <w:r w:rsidRPr="0098470E">
              <w:t>as an ICD-10-AM principal diagnosis code of I50</w:t>
            </w:r>
          </w:p>
          <w:p w14:paraId="1C545C0A" w14:textId="2B31F81F" w:rsidR="00921922" w:rsidRPr="0098470E" w:rsidRDefault="00921922" w:rsidP="00603215">
            <w:pPr>
              <w:pStyle w:val="DHHStablebullet1"/>
            </w:pPr>
            <w:r>
              <w:t>i</w:t>
            </w:r>
            <w:r w:rsidRPr="0098470E">
              <w:t>s an acute separation</w:t>
            </w:r>
            <w:r>
              <w:t xml:space="preserve"> (Care Type = ‘4’)</w:t>
            </w:r>
          </w:p>
          <w:p w14:paraId="60B5369C" w14:textId="51118556" w:rsidR="003F7C32" w:rsidRDefault="00921922" w:rsidP="00603215">
            <w:pPr>
              <w:pStyle w:val="DHHStablebullet1"/>
            </w:pPr>
            <w:r>
              <w:t>p</w:t>
            </w:r>
            <w:r w:rsidRPr="0098470E">
              <w:t>atient age is between 3</w:t>
            </w:r>
            <w:r w:rsidR="0000250E">
              <w:t>0–</w:t>
            </w:r>
            <w:r w:rsidRPr="0098470E">
              <w:t>89 years (inclusive)</w:t>
            </w:r>
          </w:p>
          <w:p w14:paraId="6B5BB12A" w14:textId="6E557D4F" w:rsidR="00921922" w:rsidRPr="0098470E" w:rsidRDefault="00921922" w:rsidP="00603215">
            <w:pPr>
              <w:pStyle w:val="DHHStablebullet1"/>
            </w:pPr>
            <w:r>
              <w:t>Admission Type</w:t>
            </w:r>
            <w:r w:rsidRPr="0098470E">
              <w:t xml:space="preserve"> of admission is </w:t>
            </w:r>
            <w:r>
              <w:t>‘</w:t>
            </w:r>
            <w:r w:rsidRPr="0098470E">
              <w:t>emergency</w:t>
            </w:r>
            <w:r>
              <w:t>’ (‘O’, ‘C’)</w:t>
            </w:r>
          </w:p>
          <w:p w14:paraId="37A887AD" w14:textId="77777777" w:rsidR="00921922" w:rsidRPr="0098470E" w:rsidRDefault="00921922" w:rsidP="00603215">
            <w:pPr>
              <w:pStyle w:val="DHHStablebullet1"/>
            </w:pPr>
            <w:r>
              <w:t>e</w:t>
            </w:r>
            <w:r w:rsidRPr="0098470E">
              <w:t>xcludes transfers in and transfers out</w:t>
            </w:r>
            <w:r>
              <w:t xml:space="preserve"> (Admission Source or Separation Mode = ‘T’)</w:t>
            </w:r>
          </w:p>
          <w:p w14:paraId="5769D595" w14:textId="18023AF0" w:rsidR="00921922" w:rsidRPr="0098470E" w:rsidRDefault="00921922" w:rsidP="00603215">
            <w:pPr>
              <w:pStyle w:val="DHHStablebullet1"/>
            </w:pPr>
            <w:r w:rsidRPr="0098470E">
              <w:t xml:space="preserve">LOS is between </w:t>
            </w:r>
            <w:r w:rsidR="0000250E">
              <w:t>1–</w:t>
            </w:r>
            <w:r w:rsidRPr="0098470E">
              <w:t>30 patient days (inclusive)</w:t>
            </w:r>
          </w:p>
          <w:p w14:paraId="123397E3" w14:textId="77777777" w:rsidR="00921922" w:rsidRPr="0098470E" w:rsidRDefault="00921922" w:rsidP="00603215">
            <w:pPr>
              <w:pStyle w:val="DHHStablebullet1"/>
            </w:pPr>
            <w:r>
              <w:t>e</w:t>
            </w:r>
            <w:r w:rsidRPr="0098470E">
              <w:t>xcludes in-hospital deaths</w:t>
            </w:r>
            <w:r>
              <w:t xml:space="preserve"> (Separation Mode = ‘D’)</w:t>
            </w:r>
          </w:p>
          <w:p w14:paraId="6056A260" w14:textId="77777777" w:rsidR="00921922" w:rsidRPr="0098470E" w:rsidRDefault="00921922" w:rsidP="00603215">
            <w:pPr>
              <w:pStyle w:val="DHHStablebullet1"/>
            </w:pPr>
            <w:r>
              <w:t>p</w:t>
            </w:r>
            <w:r w:rsidRPr="0098470E">
              <w:t>atient must have spent at least one night in hospital (i.e. non-same day patient)</w:t>
            </w:r>
            <w:r>
              <w:t>.</w:t>
            </w:r>
          </w:p>
        </w:tc>
      </w:tr>
      <w:tr w:rsidR="00921922" w:rsidRPr="0098470E" w14:paraId="60316A69" w14:textId="77777777" w:rsidTr="00D0165F">
        <w:trPr>
          <w:cantSplit/>
        </w:trPr>
        <w:tc>
          <w:tcPr>
            <w:tcW w:w="2552" w:type="dxa"/>
          </w:tcPr>
          <w:p w14:paraId="77C20E92" w14:textId="77777777" w:rsidR="00921922" w:rsidRPr="0098470E" w:rsidRDefault="00921922" w:rsidP="00603215">
            <w:pPr>
              <w:pStyle w:val="DHHStabletext"/>
            </w:pPr>
            <w:r w:rsidRPr="0098470E">
              <w:t>Statewide target</w:t>
            </w:r>
          </w:p>
        </w:tc>
        <w:tc>
          <w:tcPr>
            <w:tcW w:w="6748" w:type="dxa"/>
          </w:tcPr>
          <w:p w14:paraId="6AB5EC26" w14:textId="77777777" w:rsidR="00921922" w:rsidRPr="0098470E" w:rsidRDefault="00921922" w:rsidP="00603215">
            <w:pPr>
              <w:pStyle w:val="DHHStabletext"/>
            </w:pPr>
            <w:r w:rsidRPr="0098470E">
              <w:t>No outliers</w:t>
            </w:r>
          </w:p>
        </w:tc>
      </w:tr>
      <w:tr w:rsidR="00921922" w:rsidRPr="0098470E" w14:paraId="3F098A9F" w14:textId="77777777" w:rsidTr="00D0165F">
        <w:trPr>
          <w:cantSplit/>
        </w:trPr>
        <w:tc>
          <w:tcPr>
            <w:tcW w:w="2552" w:type="dxa"/>
          </w:tcPr>
          <w:p w14:paraId="62CC1A9B" w14:textId="3C547C5A" w:rsidR="00921922" w:rsidRPr="0098470E" w:rsidRDefault="00921922" w:rsidP="00603215">
            <w:pPr>
              <w:pStyle w:val="DHHStabletext"/>
            </w:pPr>
            <w:r w:rsidRPr="0098470E">
              <w:t>Achievement</w:t>
            </w:r>
          </w:p>
        </w:tc>
        <w:tc>
          <w:tcPr>
            <w:tcW w:w="6748" w:type="dxa"/>
          </w:tcPr>
          <w:p w14:paraId="4B258BB1" w14:textId="77777777" w:rsidR="00921922" w:rsidRDefault="00921922" w:rsidP="00603215">
            <w:pPr>
              <w:pStyle w:val="DHHStabletext"/>
            </w:pPr>
            <w:r w:rsidRPr="0098470E">
              <w:t>Achieved</w:t>
            </w:r>
          </w:p>
          <w:p w14:paraId="7A6CE7E7" w14:textId="4C463462" w:rsidR="00921922" w:rsidRPr="0098470E" w:rsidRDefault="00921922" w:rsidP="00603215">
            <w:pPr>
              <w:pStyle w:val="DHHStabletext"/>
            </w:pPr>
            <w:r w:rsidRPr="0098470E">
              <w:t>Not achieved</w:t>
            </w:r>
          </w:p>
        </w:tc>
      </w:tr>
      <w:tr w:rsidR="00921922" w:rsidRPr="0098470E" w14:paraId="2D46CF4E" w14:textId="77777777" w:rsidTr="00D0165F">
        <w:trPr>
          <w:cantSplit/>
        </w:trPr>
        <w:tc>
          <w:tcPr>
            <w:tcW w:w="2552" w:type="dxa"/>
          </w:tcPr>
          <w:p w14:paraId="6C17B96B" w14:textId="77777777" w:rsidR="00921922" w:rsidRDefault="00921922" w:rsidP="00603215">
            <w:pPr>
              <w:pStyle w:val="DHHStabletext"/>
            </w:pPr>
            <w:r>
              <w:t>Improvement</w:t>
            </w:r>
          </w:p>
        </w:tc>
        <w:tc>
          <w:tcPr>
            <w:tcW w:w="6748" w:type="dxa"/>
          </w:tcPr>
          <w:p w14:paraId="65313EE5" w14:textId="1B4EF556" w:rsidR="00921922" w:rsidRDefault="00BF4977" w:rsidP="00603215">
            <w:pPr>
              <w:pStyle w:val="DHHStabletext"/>
            </w:pPr>
            <w:bookmarkStart w:id="77" w:name="_Hlk12007829"/>
            <w:r>
              <w:t xml:space="preserve">For the purpose of the performance risk assessment, the annual </w:t>
            </w:r>
            <w:r w:rsidR="00771C0E">
              <w:t>rate is</w:t>
            </w:r>
            <w:r>
              <w:t xml:space="preserve"> compared to the annual rate of the previous quarter.</w:t>
            </w:r>
            <w:r w:rsidRPr="00AE30AA">
              <w:t xml:space="preserve"> SCV </w:t>
            </w:r>
            <w:r w:rsidR="00D801AC">
              <w:t>will</w:t>
            </w:r>
            <w:r>
              <w:t xml:space="preserve"> </w:t>
            </w:r>
            <w:r w:rsidR="007F67EF">
              <w:t xml:space="preserve">also </w:t>
            </w:r>
            <w:r w:rsidRPr="00AE30AA">
              <w:t xml:space="preserve">analyse performance over </w:t>
            </w:r>
            <w:r>
              <w:t>a longer period</w:t>
            </w:r>
            <w:r w:rsidRPr="00AE30AA">
              <w:t>, taking trends as well as absolute levels of performance into account</w:t>
            </w:r>
            <w:bookmarkEnd w:id="77"/>
            <w:r w:rsidRPr="00AE30AA">
              <w:t>.</w:t>
            </w:r>
          </w:p>
        </w:tc>
      </w:tr>
    </w:tbl>
    <w:p w14:paraId="7B6110CE" w14:textId="31ED8168" w:rsidR="00961723" w:rsidRPr="00961723" w:rsidRDefault="00961723" w:rsidP="00961723">
      <w:pPr>
        <w:pStyle w:val="DHHStablecaption"/>
      </w:pPr>
      <w:r>
        <w:lastRenderedPageBreak/>
        <w:t xml:space="preserve">Indicator: </w:t>
      </w:r>
      <w:r w:rsidR="00135F82" w:rsidRPr="008A6C4E">
        <w:t xml:space="preserve">Unplanned </w:t>
      </w:r>
      <w:r w:rsidR="00135F82">
        <w:t>and p</w:t>
      </w:r>
      <w:r w:rsidR="00135F82" w:rsidRPr="00F4596E">
        <w:t xml:space="preserve">otentially preventable </w:t>
      </w:r>
      <w:r w:rsidR="00135F82" w:rsidRPr="008A6C4E">
        <w:t xml:space="preserve">readmission of mother </w:t>
      </w:r>
      <w:r w:rsidR="00135F82" w:rsidRPr="00F4596E">
        <w:t>within 28 days of discharge from a birthing admission</w:t>
      </w:r>
    </w:p>
    <w:tbl>
      <w:tblPr>
        <w:tblStyle w:val="TableGrid"/>
        <w:tblW w:w="9300" w:type="dxa"/>
        <w:tblLayout w:type="fixed"/>
        <w:tblLook w:val="06A0" w:firstRow="1" w:lastRow="0" w:firstColumn="1" w:lastColumn="0" w:noHBand="1" w:noVBand="1"/>
      </w:tblPr>
      <w:tblGrid>
        <w:gridCol w:w="2581"/>
        <w:gridCol w:w="6719"/>
      </w:tblGrid>
      <w:tr w:rsidR="00D97737" w:rsidRPr="0098470E" w14:paraId="1D7AF04D" w14:textId="77777777" w:rsidTr="00D0165F">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6318EF4D" w14:textId="7C5994A4" w:rsidR="00D97737" w:rsidRPr="008A6C4E" w:rsidRDefault="00D97737" w:rsidP="00D97737">
            <w:pPr>
              <w:pStyle w:val="DHHStablecolhead"/>
            </w:pPr>
            <w:r>
              <w:t>Element</w:t>
            </w:r>
          </w:p>
        </w:tc>
        <w:tc>
          <w:tcPr>
            <w:tcW w:w="6719" w:type="dxa"/>
          </w:tcPr>
          <w:p w14:paraId="4EA14FB0" w14:textId="3D8CB633" w:rsidR="00D97737" w:rsidRPr="008A6C4E" w:rsidRDefault="00D97737" w:rsidP="00D97737">
            <w:pPr>
              <w:pStyle w:val="DHHStablecolhead"/>
            </w:pPr>
            <w:r>
              <w:t>Details</w:t>
            </w:r>
          </w:p>
        </w:tc>
      </w:tr>
      <w:tr w:rsidR="00921922" w:rsidRPr="0098470E" w14:paraId="1D681EF2" w14:textId="77777777" w:rsidTr="00D0165F">
        <w:trPr>
          <w:cantSplit/>
        </w:trPr>
        <w:tc>
          <w:tcPr>
            <w:tcW w:w="2581" w:type="dxa"/>
          </w:tcPr>
          <w:p w14:paraId="106179E4" w14:textId="77777777" w:rsidR="00921922" w:rsidRPr="0098470E" w:rsidRDefault="00921922" w:rsidP="00603215">
            <w:pPr>
              <w:pStyle w:val="DHHStabletext"/>
            </w:pPr>
            <w:r w:rsidRPr="0098470E">
              <w:t>Description</w:t>
            </w:r>
          </w:p>
        </w:tc>
        <w:tc>
          <w:tcPr>
            <w:tcW w:w="6719" w:type="dxa"/>
          </w:tcPr>
          <w:p w14:paraId="068DD0FC" w14:textId="77777777" w:rsidR="00921922" w:rsidRDefault="00921922" w:rsidP="00603215">
            <w:pPr>
              <w:pStyle w:val="DHHStabletext"/>
            </w:pPr>
            <w:r w:rsidRPr="0098470E">
              <w:t>This indicator measures</w:t>
            </w:r>
            <w:r>
              <w:t xml:space="preserve"> the rate of unplanned and </w:t>
            </w:r>
            <w:r w:rsidRPr="0098470E">
              <w:t>potentially preventable readmission</w:t>
            </w:r>
            <w:r>
              <w:t>s</w:t>
            </w:r>
            <w:r w:rsidRPr="0098470E">
              <w:t xml:space="preserve"> of </w:t>
            </w:r>
            <w:r>
              <w:t>women</w:t>
            </w:r>
            <w:r w:rsidRPr="0098470E">
              <w:t xml:space="preserve"> within 28 days of discharge</w:t>
            </w:r>
            <w:r>
              <w:t xml:space="preserve"> from hospital following a </w:t>
            </w:r>
            <w:r w:rsidRPr="0098470E">
              <w:t>birthing admission.</w:t>
            </w:r>
          </w:p>
          <w:p w14:paraId="09970D05" w14:textId="77777777" w:rsidR="00921922" w:rsidRDefault="00921922" w:rsidP="00603215">
            <w:pPr>
              <w:pStyle w:val="DHHStabletext"/>
            </w:pPr>
            <w:r>
              <w:t xml:space="preserve">High quality and coordinated care means most women and babies do not return to hospital as an inpatient during the postnatal period. </w:t>
            </w:r>
            <w:r w:rsidRPr="0098470E">
              <w:t>Unplanned</w:t>
            </w:r>
            <w:r>
              <w:t xml:space="preserve"> and preventable</w:t>
            </w:r>
            <w:r w:rsidRPr="0098470E">
              <w:t xml:space="preserve"> </w:t>
            </w:r>
            <w:r>
              <w:t>hospital stays during this period reflect a deviation from the normal course of postnatal recovery.</w:t>
            </w:r>
          </w:p>
          <w:p w14:paraId="02DB3882" w14:textId="3C745663" w:rsidR="00921922" w:rsidRDefault="00921922" w:rsidP="00603215">
            <w:pPr>
              <w:pStyle w:val="DHHStabletext"/>
            </w:pPr>
            <w:r>
              <w:t>Evidence suggests higher readmission rates are associated with inconsistent discharge procedures, poor postnatal care and limited support in the community.</w:t>
            </w:r>
          </w:p>
          <w:p w14:paraId="2F1395D7" w14:textId="77777777" w:rsidR="00921922" w:rsidRPr="0098470E" w:rsidRDefault="00921922" w:rsidP="00603215">
            <w:pPr>
              <w:pStyle w:val="DHHStabletext"/>
            </w:pPr>
            <w:r>
              <w:t>The intersection of hospital-based maternity and newborn services and the community-based maternal and child health service system is a key point of transition within the first six weeks after the birth of a child.</w:t>
            </w:r>
          </w:p>
        </w:tc>
      </w:tr>
      <w:tr w:rsidR="00921922" w:rsidRPr="0098470E" w14:paraId="6720F433" w14:textId="77777777" w:rsidTr="00D0165F">
        <w:trPr>
          <w:cantSplit/>
        </w:trPr>
        <w:tc>
          <w:tcPr>
            <w:tcW w:w="2581" w:type="dxa"/>
          </w:tcPr>
          <w:p w14:paraId="3E77D91F" w14:textId="77777777" w:rsidR="00921922" w:rsidRPr="0098470E" w:rsidRDefault="00921922" w:rsidP="00603215">
            <w:pPr>
              <w:pStyle w:val="DHHStabletext"/>
            </w:pPr>
            <w:r w:rsidRPr="0098470E">
              <w:t>Calculating performance</w:t>
            </w:r>
          </w:p>
        </w:tc>
        <w:tc>
          <w:tcPr>
            <w:tcW w:w="6719" w:type="dxa"/>
          </w:tcPr>
          <w:p w14:paraId="16D13E60" w14:textId="77777777" w:rsidR="00921922" w:rsidRDefault="00921922" w:rsidP="00603215">
            <w:pPr>
              <w:pStyle w:val="DHHStabletext"/>
            </w:pPr>
            <w:r>
              <w:t>Readmissions that meet the criteria for inclusion are attributed to the health service that provided admitted postnatal care to the mother prior to discharge.</w:t>
            </w:r>
          </w:p>
          <w:p w14:paraId="7452A09E" w14:textId="77777777" w:rsidR="00921922" w:rsidRDefault="00921922" w:rsidP="00603215">
            <w:pPr>
              <w:pStyle w:val="DHHStabletext"/>
            </w:pPr>
            <w:r>
              <w:t xml:space="preserve">Women transferred to another health service following a birth separation are excluded from the numerator total, </w:t>
            </w:r>
            <w:r w:rsidRPr="00F942D2">
              <w:t>as are women who are readmitted as part of a planned follow-up plan after their birth episode.</w:t>
            </w:r>
          </w:p>
          <w:p w14:paraId="20E8D2FF" w14:textId="7BAD8190" w:rsidR="00921922" w:rsidRDefault="00921922" w:rsidP="00603215">
            <w:pPr>
              <w:pStyle w:val="DHHStabletext"/>
            </w:pPr>
            <w:r>
              <w:t>Women who present to an emergency department or urgent care centre but are not admitted</w:t>
            </w:r>
            <w:r w:rsidR="00CA1F5F">
              <w:t>,</w:t>
            </w:r>
            <w:r>
              <w:t xml:space="preserve"> are excluded from the numerator total.</w:t>
            </w:r>
          </w:p>
          <w:p w14:paraId="1EF35562" w14:textId="77777777" w:rsidR="00921922" w:rsidRDefault="00921922" w:rsidP="00603215">
            <w:pPr>
              <w:pStyle w:val="DHHStabletext"/>
            </w:pPr>
            <w:r>
              <w:t>Maternal deaths are excluded from the denominator.</w:t>
            </w:r>
          </w:p>
          <w:p w14:paraId="781F54C9" w14:textId="77777777" w:rsidR="00921922" w:rsidRDefault="00921922" w:rsidP="00603215">
            <w:pPr>
              <w:pStyle w:val="DHHStabletext"/>
            </w:pPr>
            <w:r w:rsidRPr="00235E94">
              <w:t>Data is lagged by one quarter.</w:t>
            </w:r>
          </w:p>
          <w:p w14:paraId="65048819" w14:textId="45E7C60B" w:rsidR="00921922" w:rsidRDefault="00921922" w:rsidP="00603215">
            <w:pPr>
              <w:pStyle w:val="DHHStabletext"/>
            </w:pPr>
            <w:r w:rsidRPr="0098470E">
              <w:t xml:space="preserve">Reporting thresholds </w:t>
            </w:r>
            <w:r w:rsidR="009A713C" w:rsidRPr="0054030C">
              <w:t>≥</w:t>
            </w:r>
            <w:r w:rsidRPr="0098470E">
              <w:t>10 cases in the denominator.</w:t>
            </w:r>
          </w:p>
          <w:p w14:paraId="79E60244" w14:textId="77777777" w:rsidR="00921922" w:rsidRDefault="00921922" w:rsidP="00603215">
            <w:pPr>
              <w:pStyle w:val="DHHStabletext"/>
            </w:pPr>
            <w:r w:rsidRPr="0098470E">
              <w:t>Results are assessed and reported quarterly and expressed as percentage.</w:t>
            </w:r>
          </w:p>
          <w:p w14:paraId="07F1ED15" w14:textId="67A5690A" w:rsidR="00921922" w:rsidRPr="0098470E" w:rsidRDefault="00921922" w:rsidP="00603215">
            <w:pPr>
              <w:pStyle w:val="DHHStabletext"/>
            </w:pPr>
            <w:r w:rsidRPr="0098470E">
              <w:t xml:space="preserve">Outlier status (above 99.7% </w:t>
            </w:r>
            <w:r w:rsidR="00B838FE">
              <w:t>confidence limit</w:t>
            </w:r>
            <w:r w:rsidRPr="0098470E">
              <w:t>) assessed against state-wide rates.</w:t>
            </w:r>
          </w:p>
        </w:tc>
      </w:tr>
      <w:tr w:rsidR="00921922" w:rsidRPr="0098470E" w14:paraId="183560CD" w14:textId="77777777" w:rsidTr="00F551F9">
        <w:trPr>
          <w:cantSplit/>
        </w:trPr>
        <w:tc>
          <w:tcPr>
            <w:tcW w:w="2581" w:type="dxa"/>
          </w:tcPr>
          <w:p w14:paraId="764543DB" w14:textId="77777777" w:rsidR="00921922" w:rsidRPr="0098470E" w:rsidRDefault="00921922" w:rsidP="00603215">
            <w:pPr>
              <w:pStyle w:val="DHHStabletext"/>
            </w:pPr>
            <w:r w:rsidRPr="0098470E">
              <w:lastRenderedPageBreak/>
              <w:t>Numerator</w:t>
            </w:r>
          </w:p>
        </w:tc>
        <w:tc>
          <w:tcPr>
            <w:tcW w:w="6719" w:type="dxa"/>
          </w:tcPr>
          <w:p w14:paraId="5A492803" w14:textId="77777777" w:rsidR="00921922" w:rsidRDefault="00921922" w:rsidP="00603215">
            <w:pPr>
              <w:pStyle w:val="DHHStabletext"/>
            </w:pPr>
            <w:r w:rsidRPr="0098470E">
              <w:t xml:space="preserve">The number of </w:t>
            </w:r>
            <w:r>
              <w:t>women readmitted to any health service with a potentially preventable readmission diagnosis code within 28 days of a birthing admission</w:t>
            </w:r>
            <w:r w:rsidRPr="0098470E">
              <w:t>.</w:t>
            </w:r>
          </w:p>
          <w:p w14:paraId="4390D3E1" w14:textId="77777777" w:rsidR="00921922" w:rsidRDefault="00921922" w:rsidP="00603215">
            <w:pPr>
              <w:pStyle w:val="DHHStabletext"/>
            </w:pPr>
            <w:r>
              <w:t>Women who are readmitted and have a primary diagnosis related to their pregnancy or birth are included in the numerator total. However, diagnosis codes that are associated with a complexity that cannot be prevented (or managed) through postnatal care or that are associated with a condition that manifests after discharge from hospital, without any indication of its presence prior to this time, are excluded.</w:t>
            </w:r>
          </w:p>
          <w:p w14:paraId="261D41F2" w14:textId="77777777" w:rsidR="00921922" w:rsidRDefault="00921922" w:rsidP="00603215">
            <w:pPr>
              <w:pStyle w:val="DHHStabletext"/>
            </w:pPr>
            <w:r>
              <w:t>Potentially preventable readmission primary diagnosis codes are limited to the following:</w:t>
            </w:r>
          </w:p>
          <w:p w14:paraId="4B77A745" w14:textId="77777777" w:rsidR="00921922" w:rsidRDefault="00921922" w:rsidP="00603215">
            <w:pPr>
              <w:pStyle w:val="DHHStablebullet1"/>
            </w:pPr>
            <w:r>
              <w:t>delayed and secondary postpartum haemorrhage (ICD10 Code O722)</w:t>
            </w:r>
          </w:p>
          <w:p w14:paraId="4858F169" w14:textId="77777777" w:rsidR="00921922" w:rsidRDefault="00921922" w:rsidP="00603215">
            <w:pPr>
              <w:pStyle w:val="DHHStablebullet1"/>
            </w:pPr>
            <w:r>
              <w:t>infection of obstetric surgical wound (ICD10 Code O860)</w:t>
            </w:r>
          </w:p>
          <w:p w14:paraId="17321FD7" w14:textId="77777777" w:rsidR="00921922" w:rsidRDefault="00921922" w:rsidP="00603215">
            <w:pPr>
              <w:pStyle w:val="DHHStablebullet1"/>
            </w:pPr>
            <w:r>
              <w:t>puerperal sepsis (ICD10 Code O85)</w:t>
            </w:r>
          </w:p>
          <w:p w14:paraId="78FC34A6" w14:textId="4495C38E" w:rsidR="00921922" w:rsidRDefault="00921922" w:rsidP="00603215">
            <w:pPr>
              <w:pStyle w:val="DHHStablebullet1"/>
            </w:pPr>
            <w:r>
              <w:t>non</w:t>
            </w:r>
            <w:r w:rsidR="007D02C5">
              <w:t>-</w:t>
            </w:r>
            <w:r>
              <w:t>purulent mastitis without attachment difficulty (ICD10 Code O9120)</w:t>
            </w:r>
          </w:p>
          <w:p w14:paraId="7E7CB152" w14:textId="77777777" w:rsidR="00921922" w:rsidRDefault="00921922" w:rsidP="00603215">
            <w:pPr>
              <w:pStyle w:val="DHHStablebullet1"/>
            </w:pPr>
            <w:r>
              <w:t>fitting and adjustment of urinary device (ICD10 Code Z466)</w:t>
            </w:r>
          </w:p>
          <w:p w14:paraId="10ABA215" w14:textId="77777777" w:rsidR="00921922" w:rsidRDefault="00921922" w:rsidP="00603215">
            <w:pPr>
              <w:pStyle w:val="DHHStablebullet1"/>
            </w:pPr>
            <w:r>
              <w:t xml:space="preserve">spinal epidural headache during </w:t>
            </w:r>
            <w:r w:rsidRPr="0085052E">
              <w:t>puerperium</w:t>
            </w:r>
            <w:r w:rsidRPr="0085052E" w:rsidDel="0085052E">
              <w:t xml:space="preserve"> </w:t>
            </w:r>
            <w:r>
              <w:t>(ICD10 Code O894)</w:t>
            </w:r>
          </w:p>
          <w:p w14:paraId="2375CCE2" w14:textId="77777777" w:rsidR="00921922" w:rsidRDefault="00921922" w:rsidP="00603215">
            <w:pPr>
              <w:pStyle w:val="DHHStablebullet1"/>
            </w:pPr>
            <w:r>
              <w:t>disruption of perineal obstetric wound (ICD 10 Code O901)</w:t>
            </w:r>
          </w:p>
          <w:p w14:paraId="7941B7FD" w14:textId="77777777" w:rsidR="00921922" w:rsidRDefault="00921922" w:rsidP="00603215">
            <w:pPr>
              <w:pStyle w:val="DHHStablebullet1"/>
            </w:pPr>
            <w:r>
              <w:t>pre-eclampsia unspecified (ICD10 Code O149)</w:t>
            </w:r>
          </w:p>
          <w:p w14:paraId="693C6676" w14:textId="77777777" w:rsidR="00921922" w:rsidRDefault="00921922" w:rsidP="00603215">
            <w:pPr>
              <w:pStyle w:val="DHHStablebullet1"/>
            </w:pPr>
            <w:r>
              <w:t>unspecified maternal hypertension (ICD10 Code O16)</w:t>
            </w:r>
          </w:p>
          <w:p w14:paraId="4D3398F4" w14:textId="4A507E7A" w:rsidR="00921922" w:rsidRDefault="007653C8" w:rsidP="00603215">
            <w:pPr>
              <w:pStyle w:val="DHHStablebullet1"/>
            </w:pPr>
            <w:r>
              <w:t>a</w:t>
            </w:r>
            <w:r w:rsidR="00921922" w:rsidRPr="0085052E">
              <w:t>n</w:t>
            </w:r>
            <w:r w:rsidR="007D02C5">
              <w:t>a</w:t>
            </w:r>
            <w:r w:rsidR="00921922" w:rsidRPr="0085052E">
              <w:t xml:space="preserve">emia complicating </w:t>
            </w:r>
            <w:r w:rsidR="00921922">
              <w:t>birth and</w:t>
            </w:r>
            <w:r w:rsidR="00921922" w:rsidRPr="0085052E">
              <w:t xml:space="preserve"> puerperium</w:t>
            </w:r>
            <w:r w:rsidR="00921922">
              <w:t xml:space="preserve"> (ICD10 Code O9903)</w:t>
            </w:r>
          </w:p>
          <w:p w14:paraId="4F7FAB8C" w14:textId="77777777" w:rsidR="00921922" w:rsidRDefault="00921922" w:rsidP="00603215">
            <w:pPr>
              <w:pStyle w:val="DHHStablebullet1"/>
            </w:pPr>
            <w:r>
              <w:t>retained portion placenta and membrane without haemorrhage</w:t>
            </w:r>
            <w:r w:rsidDel="0085052E">
              <w:t xml:space="preserve"> </w:t>
            </w:r>
            <w:r>
              <w:t>(ICD10 Code O731)</w:t>
            </w:r>
          </w:p>
          <w:p w14:paraId="6FE4EAB4" w14:textId="77777777" w:rsidR="00921922" w:rsidRDefault="00921922" w:rsidP="00603215">
            <w:pPr>
              <w:pStyle w:val="DHHStablebullet1"/>
            </w:pPr>
            <w:r>
              <w:t>other immediate postpartum haemorrhage (ICD10 Code O721)</w:t>
            </w:r>
          </w:p>
          <w:p w14:paraId="3C0CFB38" w14:textId="77777777" w:rsidR="00921922" w:rsidRDefault="00921922" w:rsidP="00603215">
            <w:pPr>
              <w:pStyle w:val="DHHStablebullet1"/>
            </w:pPr>
            <w:r>
              <w:t>haematoma of obstetric wound (ICD10 Code O902)</w:t>
            </w:r>
          </w:p>
          <w:p w14:paraId="590E68B0" w14:textId="77777777" w:rsidR="00921922" w:rsidRDefault="00921922" w:rsidP="00603215">
            <w:pPr>
              <w:pStyle w:val="DHHStablebullet1"/>
            </w:pPr>
            <w:r>
              <w:t>urinary tract infection following delivery (ICD10 Code O862)</w:t>
            </w:r>
          </w:p>
          <w:p w14:paraId="18D2FD82" w14:textId="77777777" w:rsidR="00921922" w:rsidRDefault="00921922" w:rsidP="00603215">
            <w:pPr>
              <w:pStyle w:val="DHHStablebullet1"/>
            </w:pPr>
            <w:r>
              <w:t>disruption of caesarean section wound (ICD10 Code O900)</w:t>
            </w:r>
          </w:p>
          <w:p w14:paraId="71542855" w14:textId="77777777" w:rsidR="00921922" w:rsidRDefault="00921922" w:rsidP="00603215">
            <w:pPr>
              <w:pStyle w:val="DHHStablebullet1"/>
            </w:pPr>
            <w:r>
              <w:t>care and examination of lactating mother (ICD10 Code Z391)</w:t>
            </w:r>
          </w:p>
          <w:p w14:paraId="449C495A" w14:textId="77777777" w:rsidR="00921922" w:rsidRDefault="00921922" w:rsidP="00603215">
            <w:pPr>
              <w:pStyle w:val="DHHStablebullet1"/>
            </w:pPr>
            <w:r>
              <w:t>gestational hypertension (ICD10 Code O13)</w:t>
            </w:r>
          </w:p>
          <w:p w14:paraId="3AB6E0EE" w14:textId="77777777" w:rsidR="00921922" w:rsidRDefault="00921922" w:rsidP="00603215">
            <w:pPr>
              <w:pStyle w:val="DHHStablebullet1"/>
            </w:pPr>
            <w:r>
              <w:t>urinary tract infection site not specified (ICD10 Code N390)</w:t>
            </w:r>
          </w:p>
          <w:p w14:paraId="14DFDF22" w14:textId="5A2F14B0" w:rsidR="00921922" w:rsidRDefault="00921922" w:rsidP="00603215">
            <w:pPr>
              <w:pStyle w:val="DHHStablebullet1"/>
            </w:pPr>
            <w:r>
              <w:t>non</w:t>
            </w:r>
            <w:r w:rsidR="000E6BA5">
              <w:t>-</w:t>
            </w:r>
            <w:r>
              <w:t>purulent mastitis with attachment difficulty (ICD10 Code O9121)</w:t>
            </w:r>
          </w:p>
          <w:p w14:paraId="6B7FD891" w14:textId="77777777" w:rsidR="00921922" w:rsidRDefault="00921922" w:rsidP="00603215">
            <w:pPr>
              <w:pStyle w:val="DHHStablebullet1"/>
            </w:pPr>
            <w:r>
              <w:t xml:space="preserve">severe mental and behavioural disorder associated with </w:t>
            </w:r>
            <w:r w:rsidRPr="0085052E">
              <w:t>puerperium</w:t>
            </w:r>
            <w:r w:rsidDel="005A5FBD">
              <w:t xml:space="preserve"> </w:t>
            </w:r>
            <w:r>
              <w:t>not elsewhere classified (ICD10 Code F531)</w:t>
            </w:r>
          </w:p>
          <w:p w14:paraId="22A41BE1" w14:textId="77777777" w:rsidR="00921922" w:rsidRDefault="00921922" w:rsidP="00603215">
            <w:pPr>
              <w:pStyle w:val="DHHStablebullet1"/>
            </w:pPr>
            <w:r>
              <w:t xml:space="preserve">mild mental and behavioural disorder associated with </w:t>
            </w:r>
            <w:r w:rsidRPr="0085052E">
              <w:t>puerperium</w:t>
            </w:r>
            <w:r w:rsidDel="005A5FBD">
              <w:t xml:space="preserve"> </w:t>
            </w:r>
            <w:r>
              <w:t>not elsewhere classified (ICD10 Code F530)</w:t>
            </w:r>
          </w:p>
          <w:p w14:paraId="0CCE3B1E" w14:textId="77777777" w:rsidR="00921922" w:rsidRDefault="00921922" w:rsidP="00603215">
            <w:pPr>
              <w:pStyle w:val="DHHStablebullet1"/>
            </w:pPr>
            <w:r>
              <w:t>other reaction to spinal and lumbar puncture (ICD10 Code G971)</w:t>
            </w:r>
          </w:p>
          <w:p w14:paraId="5EBEA019" w14:textId="77777777" w:rsidR="00921922" w:rsidRDefault="00921922" w:rsidP="00603215">
            <w:pPr>
              <w:pStyle w:val="DHHStablebullet1"/>
            </w:pPr>
            <w:r>
              <w:t>fever unspecified (ICD10 Code R509)</w:t>
            </w:r>
          </w:p>
          <w:p w14:paraId="5210D3BF" w14:textId="77777777" w:rsidR="00921922" w:rsidRDefault="00921922" w:rsidP="00603215">
            <w:pPr>
              <w:pStyle w:val="DHHStablebullet1"/>
            </w:pPr>
            <w:r>
              <w:t>retention of urine (ICD10 Code R33)</w:t>
            </w:r>
          </w:p>
          <w:p w14:paraId="6A98191B" w14:textId="77777777" w:rsidR="00921922" w:rsidRDefault="00921922" w:rsidP="00603215">
            <w:pPr>
              <w:pStyle w:val="DHHStablebullet1"/>
            </w:pPr>
            <w:r>
              <w:t>eclampsia in the puerperium (ICD10 Code O152)</w:t>
            </w:r>
          </w:p>
          <w:p w14:paraId="68080F07" w14:textId="77777777" w:rsidR="00921922" w:rsidRPr="0098470E" w:rsidRDefault="00921922" w:rsidP="00603215">
            <w:pPr>
              <w:pStyle w:val="DHHStablebullet1"/>
            </w:pPr>
            <w:r>
              <w:t>third-stage haemorrhage (ICD10 Code O720)</w:t>
            </w:r>
          </w:p>
        </w:tc>
      </w:tr>
      <w:tr w:rsidR="00921922" w:rsidRPr="0098470E" w14:paraId="07558E98" w14:textId="77777777" w:rsidTr="00D0165F">
        <w:trPr>
          <w:cantSplit/>
        </w:trPr>
        <w:tc>
          <w:tcPr>
            <w:tcW w:w="2581" w:type="dxa"/>
          </w:tcPr>
          <w:p w14:paraId="52CF6978" w14:textId="3D73A11B" w:rsidR="00921922" w:rsidRPr="0098470E" w:rsidRDefault="00921922" w:rsidP="00F551F9">
            <w:pPr>
              <w:pStyle w:val="DHHStabletext"/>
              <w:pageBreakBefore/>
            </w:pPr>
            <w:r w:rsidRPr="0098470E">
              <w:lastRenderedPageBreak/>
              <w:t>Denominator</w:t>
            </w:r>
          </w:p>
        </w:tc>
        <w:tc>
          <w:tcPr>
            <w:tcW w:w="6719" w:type="dxa"/>
          </w:tcPr>
          <w:p w14:paraId="7A0E07FE" w14:textId="77777777" w:rsidR="00921922" w:rsidRPr="0098470E" w:rsidRDefault="00921922" w:rsidP="00603215">
            <w:pPr>
              <w:pStyle w:val="DHHStabletext"/>
            </w:pPr>
            <w:r w:rsidRPr="0098470E">
              <w:t xml:space="preserve">The number of </w:t>
            </w:r>
            <w:r>
              <w:t>women provided admitted postnatal care prior to discharge.</w:t>
            </w:r>
          </w:p>
        </w:tc>
      </w:tr>
      <w:tr w:rsidR="00921922" w:rsidRPr="0098470E" w14:paraId="70DF1C25" w14:textId="77777777" w:rsidTr="00D0165F">
        <w:trPr>
          <w:cantSplit/>
        </w:trPr>
        <w:tc>
          <w:tcPr>
            <w:tcW w:w="2581" w:type="dxa"/>
          </w:tcPr>
          <w:p w14:paraId="784BFF4F" w14:textId="77777777" w:rsidR="00921922" w:rsidRPr="0098470E" w:rsidRDefault="00921922" w:rsidP="00603215">
            <w:pPr>
              <w:pStyle w:val="DHHStabletext"/>
            </w:pPr>
            <w:r w:rsidRPr="0098470E">
              <w:t>Statewide target</w:t>
            </w:r>
          </w:p>
        </w:tc>
        <w:tc>
          <w:tcPr>
            <w:tcW w:w="6719" w:type="dxa"/>
          </w:tcPr>
          <w:p w14:paraId="168E6C58" w14:textId="77777777" w:rsidR="00921922" w:rsidRPr="0098470E" w:rsidRDefault="00921922" w:rsidP="00603215">
            <w:pPr>
              <w:pStyle w:val="DHHStabletext"/>
            </w:pPr>
            <w:r w:rsidRPr="0098470E">
              <w:t>No outliers</w:t>
            </w:r>
          </w:p>
        </w:tc>
      </w:tr>
      <w:tr w:rsidR="00921922" w:rsidRPr="0098470E" w14:paraId="1C4BA877" w14:textId="77777777" w:rsidTr="00D0165F">
        <w:trPr>
          <w:cantSplit/>
        </w:trPr>
        <w:tc>
          <w:tcPr>
            <w:tcW w:w="2581" w:type="dxa"/>
          </w:tcPr>
          <w:p w14:paraId="3A47AFC7" w14:textId="77777777" w:rsidR="00921922" w:rsidRPr="0098470E" w:rsidRDefault="00921922" w:rsidP="00603215">
            <w:pPr>
              <w:pStyle w:val="DHHStabletext"/>
            </w:pPr>
            <w:r w:rsidRPr="0098470E">
              <w:t xml:space="preserve">Achievement </w:t>
            </w:r>
          </w:p>
        </w:tc>
        <w:tc>
          <w:tcPr>
            <w:tcW w:w="6719" w:type="dxa"/>
          </w:tcPr>
          <w:p w14:paraId="6B2F3457" w14:textId="77777777" w:rsidR="00921922" w:rsidRDefault="00921922" w:rsidP="00603215">
            <w:pPr>
              <w:pStyle w:val="DHHStabletext"/>
            </w:pPr>
            <w:r w:rsidRPr="0098470E">
              <w:t>Achieved</w:t>
            </w:r>
          </w:p>
          <w:p w14:paraId="0CF7DFA6" w14:textId="77777777" w:rsidR="00921922" w:rsidRPr="0098470E" w:rsidRDefault="00921922" w:rsidP="00603215">
            <w:pPr>
              <w:pStyle w:val="DHHStabletext"/>
            </w:pPr>
            <w:r w:rsidRPr="0098470E">
              <w:t xml:space="preserve">Not achieved </w:t>
            </w:r>
          </w:p>
        </w:tc>
      </w:tr>
      <w:tr w:rsidR="00921922" w:rsidRPr="0098470E" w14:paraId="22A55D5D" w14:textId="77777777" w:rsidTr="00D0165F">
        <w:trPr>
          <w:cantSplit/>
        </w:trPr>
        <w:tc>
          <w:tcPr>
            <w:tcW w:w="2581" w:type="dxa"/>
          </w:tcPr>
          <w:p w14:paraId="1D8AA9CF" w14:textId="77777777" w:rsidR="00921922" w:rsidRDefault="00921922" w:rsidP="00603215">
            <w:pPr>
              <w:pStyle w:val="DHHStabletext"/>
            </w:pPr>
            <w:r>
              <w:t>Improvement</w:t>
            </w:r>
          </w:p>
        </w:tc>
        <w:tc>
          <w:tcPr>
            <w:tcW w:w="6719" w:type="dxa"/>
          </w:tcPr>
          <w:p w14:paraId="6BA13619" w14:textId="0D10F041" w:rsidR="00921922" w:rsidRDefault="00921922" w:rsidP="00603215">
            <w:pPr>
              <w:pStyle w:val="DHHStabletext"/>
            </w:pPr>
            <w:r>
              <w:t xml:space="preserve">For the purpose of the performance risk assessment, improvement is compared to previous quarter performance and based on the </w:t>
            </w:r>
            <w:r w:rsidR="007C4B88">
              <w:t>state-wide</w:t>
            </w:r>
            <w:r>
              <w:t xml:space="preserve"> rate (outlier status).</w:t>
            </w:r>
          </w:p>
        </w:tc>
      </w:tr>
    </w:tbl>
    <w:p w14:paraId="7EF18961" w14:textId="77777777" w:rsidR="008D1E5D" w:rsidRDefault="008D1E5D">
      <w:pPr>
        <w:spacing w:after="200" w:line="276" w:lineRule="auto"/>
        <w:rPr>
          <w:rFonts w:ascii="Arial" w:hAnsi="Arial"/>
          <w:b/>
        </w:rPr>
      </w:pPr>
      <w:r>
        <w:br w:type="page"/>
      </w:r>
    </w:p>
    <w:p w14:paraId="3CFB6B10" w14:textId="09C8FF29" w:rsidR="00921922" w:rsidRPr="00961723" w:rsidRDefault="00961723" w:rsidP="00961723">
      <w:pPr>
        <w:pStyle w:val="DHHStablecaption"/>
      </w:pPr>
      <w:r>
        <w:lastRenderedPageBreak/>
        <w:t xml:space="preserve">Indicator: </w:t>
      </w:r>
      <w:r w:rsidR="00E405F2">
        <w:t>P</w:t>
      </w:r>
      <w:r w:rsidR="00E405F2" w:rsidRPr="00F4596E">
        <w:t>otentially preventable readmission of a neonate within 28 days of discharge from a birthing admission</w:t>
      </w:r>
    </w:p>
    <w:tbl>
      <w:tblPr>
        <w:tblStyle w:val="TableGrid"/>
        <w:tblW w:w="9300" w:type="dxa"/>
        <w:tblLayout w:type="fixed"/>
        <w:tblLook w:val="06A0" w:firstRow="1" w:lastRow="0" w:firstColumn="1" w:lastColumn="0" w:noHBand="1" w:noVBand="1"/>
      </w:tblPr>
      <w:tblGrid>
        <w:gridCol w:w="2552"/>
        <w:gridCol w:w="6748"/>
      </w:tblGrid>
      <w:tr w:rsidR="00D97737" w:rsidRPr="0098470E" w14:paraId="1E1EADAB" w14:textId="77777777" w:rsidTr="00D0165F">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14471A15" w14:textId="240020D1" w:rsidR="00D97737" w:rsidRPr="008A6C4E" w:rsidRDefault="00D97737" w:rsidP="00D97737">
            <w:pPr>
              <w:pStyle w:val="DHHStablecolhead"/>
            </w:pPr>
            <w:r>
              <w:t>Element</w:t>
            </w:r>
          </w:p>
        </w:tc>
        <w:tc>
          <w:tcPr>
            <w:tcW w:w="6748" w:type="dxa"/>
          </w:tcPr>
          <w:p w14:paraId="06C0663C" w14:textId="427C64F5" w:rsidR="00D97737" w:rsidRPr="008A6C4E" w:rsidRDefault="00D97737" w:rsidP="00D97737">
            <w:pPr>
              <w:pStyle w:val="DHHStablecolhead"/>
            </w:pPr>
            <w:r>
              <w:t>Details</w:t>
            </w:r>
          </w:p>
        </w:tc>
      </w:tr>
      <w:tr w:rsidR="00921922" w:rsidRPr="0098470E" w14:paraId="25FF05CC" w14:textId="77777777" w:rsidTr="00D0165F">
        <w:trPr>
          <w:cantSplit/>
        </w:trPr>
        <w:tc>
          <w:tcPr>
            <w:tcW w:w="2552" w:type="dxa"/>
          </w:tcPr>
          <w:p w14:paraId="19F9307F" w14:textId="77777777" w:rsidR="00921922" w:rsidRPr="0098470E" w:rsidRDefault="00921922" w:rsidP="00603215">
            <w:pPr>
              <w:pStyle w:val="DHHStabletext"/>
            </w:pPr>
            <w:r>
              <w:t>Description</w:t>
            </w:r>
          </w:p>
        </w:tc>
        <w:tc>
          <w:tcPr>
            <w:tcW w:w="6748" w:type="dxa"/>
          </w:tcPr>
          <w:p w14:paraId="07C63488" w14:textId="77777777" w:rsidR="00921922" w:rsidRDefault="00921922" w:rsidP="00603215">
            <w:pPr>
              <w:pStyle w:val="DHHStabletext"/>
            </w:pPr>
            <w:r w:rsidRPr="0098470E">
              <w:t>This indicator measures</w:t>
            </w:r>
            <w:r>
              <w:t xml:space="preserve"> the rate of unplanned and </w:t>
            </w:r>
            <w:r w:rsidRPr="0098470E">
              <w:t>potentially preventable readmission</w:t>
            </w:r>
            <w:r>
              <w:t>s</w:t>
            </w:r>
            <w:r w:rsidRPr="0098470E">
              <w:t xml:space="preserve"> </w:t>
            </w:r>
            <w:r>
              <w:t>of babies</w:t>
            </w:r>
            <w:r w:rsidRPr="0098470E">
              <w:t xml:space="preserve"> within 28 days of discharge</w:t>
            </w:r>
            <w:r>
              <w:t xml:space="preserve"> from hospital following a </w:t>
            </w:r>
            <w:r w:rsidRPr="0098470E">
              <w:t>birthing admission.</w:t>
            </w:r>
          </w:p>
          <w:p w14:paraId="59DA0851" w14:textId="77777777" w:rsidR="00921922" w:rsidRDefault="00921922" w:rsidP="00603215">
            <w:pPr>
              <w:pStyle w:val="DHHStabletext"/>
            </w:pPr>
            <w:r>
              <w:t xml:space="preserve">High quality and coordinated care means most women and babies do not return to hospital as an inpatient during the postnatal period. </w:t>
            </w:r>
            <w:r w:rsidRPr="0098470E">
              <w:t>Unplanned</w:t>
            </w:r>
            <w:r>
              <w:t xml:space="preserve"> and preventable</w:t>
            </w:r>
            <w:r w:rsidRPr="0098470E">
              <w:t xml:space="preserve"> </w:t>
            </w:r>
            <w:r>
              <w:t>hospital stays during this period reflect a deviation from the normal course of postnatal recovery.</w:t>
            </w:r>
          </w:p>
          <w:p w14:paraId="1C7DED23" w14:textId="77777777" w:rsidR="00921922" w:rsidRPr="0098470E" w:rsidRDefault="00921922" w:rsidP="00603215">
            <w:pPr>
              <w:pStyle w:val="DHHStabletext"/>
            </w:pPr>
            <w:r>
              <w:t>Evidence suggests higher readmission rates are associated with inconsistent discharge procedures, poor postnatal care and limited support in the community.</w:t>
            </w:r>
          </w:p>
        </w:tc>
      </w:tr>
      <w:tr w:rsidR="00921922" w:rsidRPr="0098470E" w14:paraId="6F5D3EE3" w14:textId="77777777" w:rsidTr="00D0165F">
        <w:trPr>
          <w:cantSplit/>
        </w:trPr>
        <w:tc>
          <w:tcPr>
            <w:tcW w:w="2552" w:type="dxa"/>
          </w:tcPr>
          <w:p w14:paraId="438E31C9" w14:textId="77777777" w:rsidR="00921922" w:rsidRPr="0098470E" w:rsidRDefault="00921922" w:rsidP="00603215">
            <w:pPr>
              <w:pStyle w:val="DHHStabletext"/>
            </w:pPr>
            <w:r w:rsidRPr="0098470E">
              <w:t>Calculating performance</w:t>
            </w:r>
          </w:p>
        </w:tc>
        <w:tc>
          <w:tcPr>
            <w:tcW w:w="6748" w:type="dxa"/>
          </w:tcPr>
          <w:p w14:paraId="4118BB38" w14:textId="77777777" w:rsidR="00921922" w:rsidRPr="0098470E" w:rsidRDefault="00921922" w:rsidP="00603215">
            <w:pPr>
              <w:pStyle w:val="DHHStabletext"/>
            </w:pPr>
            <w:r w:rsidRPr="0098470E">
              <w:t>Calculated for the hospital that discharged the newborn episode.</w:t>
            </w:r>
          </w:p>
          <w:p w14:paraId="6CD32CF5" w14:textId="77777777" w:rsidR="00921922" w:rsidRDefault="00921922" w:rsidP="00603215">
            <w:pPr>
              <w:pStyle w:val="DHHStabletext"/>
            </w:pPr>
            <w:r w:rsidRPr="0098470E">
              <w:t xml:space="preserve">Includes admissions to any Victorian health service after birth, not just a readmission to the birthing </w:t>
            </w:r>
            <w:r>
              <w:t>hospital</w:t>
            </w:r>
            <w:r w:rsidRPr="0098470E">
              <w:t>.</w:t>
            </w:r>
          </w:p>
          <w:p w14:paraId="7C709621" w14:textId="34AC6B55" w:rsidR="00921922" w:rsidRPr="0098470E" w:rsidRDefault="00921922" w:rsidP="00603215">
            <w:pPr>
              <w:pStyle w:val="DHHStabletext"/>
            </w:pPr>
            <w:r w:rsidRPr="0098470E">
              <w:t xml:space="preserve">Reporting thresholds </w:t>
            </w:r>
            <w:r w:rsidR="000866FD">
              <w:rPr>
                <w:rFonts w:cs="Arial"/>
              </w:rPr>
              <w:t>≥</w:t>
            </w:r>
            <w:r w:rsidR="00607603">
              <w:rPr>
                <w:rFonts w:cs="Arial"/>
              </w:rPr>
              <w:t xml:space="preserve"> </w:t>
            </w:r>
            <w:r w:rsidRPr="0098470E">
              <w:t>10 cases in the denominator.</w:t>
            </w:r>
          </w:p>
          <w:p w14:paraId="063C7C2F" w14:textId="77777777" w:rsidR="00921922" w:rsidRDefault="00921922" w:rsidP="00603215">
            <w:pPr>
              <w:pStyle w:val="DHHStabletext"/>
            </w:pPr>
            <w:r w:rsidRPr="0098470E">
              <w:t>Results are analysed, reported quarterly and expressed as a percentage.</w:t>
            </w:r>
          </w:p>
          <w:p w14:paraId="5974C4DB" w14:textId="77777777" w:rsidR="00921922" w:rsidRDefault="00921922" w:rsidP="00603215">
            <w:pPr>
              <w:pStyle w:val="DHHStabletext"/>
            </w:pPr>
            <w:r w:rsidRPr="0098470E">
              <w:t>Outlier status (above 99.7% CI) assessed against state-wide rates.</w:t>
            </w:r>
          </w:p>
          <w:p w14:paraId="6FB0DEB8" w14:textId="77777777" w:rsidR="00921922" w:rsidRPr="0098470E" w:rsidRDefault="00921922" w:rsidP="00603215">
            <w:pPr>
              <w:pStyle w:val="DHHStabletext"/>
            </w:pPr>
            <w:r>
              <w:t>Data lagged by two quarters.</w:t>
            </w:r>
          </w:p>
        </w:tc>
      </w:tr>
      <w:tr w:rsidR="00921922" w:rsidRPr="0098470E" w14:paraId="6A210A6C" w14:textId="77777777" w:rsidTr="00F551F9">
        <w:trPr>
          <w:cantSplit/>
        </w:trPr>
        <w:tc>
          <w:tcPr>
            <w:tcW w:w="2552" w:type="dxa"/>
          </w:tcPr>
          <w:p w14:paraId="67428904" w14:textId="77777777" w:rsidR="00921922" w:rsidRPr="0098470E" w:rsidRDefault="00921922" w:rsidP="00603215">
            <w:pPr>
              <w:pStyle w:val="DHHStabletext"/>
            </w:pPr>
            <w:r w:rsidRPr="0098470E">
              <w:lastRenderedPageBreak/>
              <w:t>Numerator</w:t>
            </w:r>
          </w:p>
        </w:tc>
        <w:tc>
          <w:tcPr>
            <w:tcW w:w="6748" w:type="dxa"/>
          </w:tcPr>
          <w:p w14:paraId="7E8F56B6" w14:textId="77777777" w:rsidR="00921922" w:rsidRDefault="00921922" w:rsidP="00603215">
            <w:pPr>
              <w:pStyle w:val="DHHStabletext"/>
            </w:pPr>
            <w:r w:rsidRPr="0098470E">
              <w:t>The number of b</w:t>
            </w:r>
            <w:r>
              <w:t>abies readmitted to any health service with a potentially preventable readmission diagnosis code within 28 days of discharge.</w:t>
            </w:r>
          </w:p>
          <w:p w14:paraId="5BFE7269" w14:textId="77777777" w:rsidR="00921922" w:rsidRDefault="00921922" w:rsidP="00603215">
            <w:pPr>
              <w:pStyle w:val="DHHStabletext"/>
            </w:pPr>
            <w:r>
              <w:t xml:space="preserve">Babies transferred to another health service following a birth separation are excluded from the numerator total, as are babies who are </w:t>
            </w:r>
            <w:r w:rsidRPr="00DB17B3">
              <w:t>readmitted as part of a planned follow-up after their birth episode.</w:t>
            </w:r>
          </w:p>
          <w:p w14:paraId="4B780E5F" w14:textId="77777777" w:rsidR="00921922" w:rsidRDefault="00921922" w:rsidP="00603215">
            <w:pPr>
              <w:pStyle w:val="DHHStabletext"/>
            </w:pPr>
            <w:r>
              <w:t>Babies who present to an emergency department or urgent care centre but are not admitted are excluded from the numerator total.</w:t>
            </w:r>
          </w:p>
          <w:p w14:paraId="57CC1F63" w14:textId="77777777" w:rsidR="00921922" w:rsidRPr="0098470E" w:rsidRDefault="00921922" w:rsidP="00603215">
            <w:pPr>
              <w:pStyle w:val="DHHStabletext"/>
            </w:pPr>
            <w:r>
              <w:t xml:space="preserve">Babies who are admitted and have a primary diagnosis related to their pregnancy or birth are included in the numerator total. However, diagnosis codes that are associated with a complexity that cannot be prevented (or managed) through postnatal care or that are associated with a condition(s) that manifests after discharge from hospital without any indication of its presence prior to this time, are excluded. </w:t>
            </w:r>
            <w:r>
              <w:br/>
              <w:t>Potentially preventable readmissions are limited to the cohort of primary diagnoses listed below.</w:t>
            </w:r>
          </w:p>
          <w:p w14:paraId="4CDD00BD" w14:textId="77777777" w:rsidR="00921922" w:rsidRDefault="00921922" w:rsidP="00603215">
            <w:pPr>
              <w:pStyle w:val="DHHStabletextsubhead"/>
            </w:pPr>
            <w:r w:rsidRPr="0098470E">
              <w:t>Neonate readmission diagnosis codes:</w:t>
            </w:r>
          </w:p>
          <w:p w14:paraId="55724274" w14:textId="77777777" w:rsidR="00921922" w:rsidRDefault="00921922" w:rsidP="00603215">
            <w:pPr>
              <w:pStyle w:val="DHHStablebullet1"/>
            </w:pPr>
            <w:r>
              <w:t>neonatal jaundice unspecified (ICD10 Code P599)</w:t>
            </w:r>
          </w:p>
          <w:p w14:paraId="1B6C3648" w14:textId="77777777" w:rsidR="00921922" w:rsidRDefault="00921922" w:rsidP="00603215">
            <w:pPr>
              <w:pStyle w:val="DHHStablebullet1"/>
            </w:pPr>
            <w:r>
              <w:t>abnormal weight loss (ICD10 Code R634)</w:t>
            </w:r>
          </w:p>
          <w:p w14:paraId="216B2F57" w14:textId="77777777" w:rsidR="00921922" w:rsidRDefault="00921922" w:rsidP="00603215">
            <w:pPr>
              <w:pStyle w:val="DHHStablebullet1"/>
            </w:pPr>
            <w:r>
              <w:t>feeding problem of newborn unspecified (ICD10 Code P929)</w:t>
            </w:r>
          </w:p>
          <w:p w14:paraId="2803E583" w14:textId="77777777" w:rsidR="00921922" w:rsidRDefault="00921922" w:rsidP="00603215">
            <w:pPr>
              <w:pStyle w:val="DHHStablebullet1"/>
            </w:pPr>
            <w:r>
              <w:t>other lack of normal physiological development (ICD10 Code R628)</w:t>
            </w:r>
          </w:p>
          <w:p w14:paraId="3888A250" w14:textId="77777777" w:rsidR="00921922" w:rsidRDefault="00921922" w:rsidP="00603215">
            <w:pPr>
              <w:pStyle w:val="DHHStablebullet1"/>
            </w:pPr>
            <w:r>
              <w:t>bacterial sepsis of newborn unspecified (ICD10 Code P369)</w:t>
            </w:r>
          </w:p>
          <w:p w14:paraId="6CC7BB17" w14:textId="77777777" w:rsidR="00921922" w:rsidRDefault="00921922" w:rsidP="00603215">
            <w:pPr>
              <w:pStyle w:val="DHHStablebullet1"/>
            </w:pPr>
            <w:r>
              <w:t>other feeding problems of newborn (</w:t>
            </w:r>
            <w:r w:rsidRPr="006767BD">
              <w:t xml:space="preserve">ICD10 Code </w:t>
            </w:r>
            <w:r>
              <w:t>P928)</w:t>
            </w:r>
          </w:p>
          <w:p w14:paraId="45614E00" w14:textId="77777777" w:rsidR="00921922" w:rsidRDefault="00921922" w:rsidP="00603215">
            <w:pPr>
              <w:pStyle w:val="DHHStablebullet1"/>
            </w:pPr>
            <w:r>
              <w:t>neonatal jaundice with preterm delivery (</w:t>
            </w:r>
            <w:r w:rsidRPr="006767BD">
              <w:t xml:space="preserve">ICD10 Code </w:t>
            </w:r>
            <w:r>
              <w:t>P590)</w:t>
            </w:r>
          </w:p>
          <w:p w14:paraId="40FA3E86" w14:textId="77777777" w:rsidR="00921922" w:rsidRDefault="00921922" w:rsidP="00603215">
            <w:pPr>
              <w:pStyle w:val="DHHStablebullet1"/>
            </w:pPr>
            <w:r>
              <w:t>neonatal jaundice from other specified causes (ICD10 Code P598)</w:t>
            </w:r>
          </w:p>
          <w:p w14:paraId="5B3D836E" w14:textId="0811DF9B" w:rsidR="00921922" w:rsidRDefault="00921922" w:rsidP="00603215">
            <w:pPr>
              <w:pStyle w:val="DHHStablebullet1"/>
            </w:pPr>
            <w:r>
              <w:t xml:space="preserve">other preterm infant </w:t>
            </w:r>
            <w:r w:rsidR="000866FD">
              <w:rPr>
                <w:rFonts w:cs="Arial"/>
              </w:rPr>
              <w:t xml:space="preserve">≥ </w:t>
            </w:r>
            <w:r>
              <w:t>32 but &lt;37 completed weeks (</w:t>
            </w:r>
            <w:r w:rsidRPr="006767BD">
              <w:t xml:space="preserve">ICD10 Code </w:t>
            </w:r>
            <w:r>
              <w:t>P0732)</w:t>
            </w:r>
          </w:p>
          <w:p w14:paraId="61E7EA40" w14:textId="6BBA7E96" w:rsidR="00921922" w:rsidRDefault="00921922" w:rsidP="00603215">
            <w:pPr>
              <w:pStyle w:val="DHHStablebullet1"/>
            </w:pPr>
            <w:r>
              <w:t>ABO isoimmunisation of f</w:t>
            </w:r>
            <w:r w:rsidR="00445E50">
              <w:t>o</w:t>
            </w:r>
            <w:r>
              <w:t>etus and newborn (</w:t>
            </w:r>
            <w:r w:rsidRPr="006767BD">
              <w:t xml:space="preserve">ICD10 Code </w:t>
            </w:r>
            <w:r>
              <w:t>P551)</w:t>
            </w:r>
          </w:p>
          <w:p w14:paraId="19128A8B" w14:textId="77777777" w:rsidR="00921922" w:rsidRDefault="00921922" w:rsidP="00603215">
            <w:pPr>
              <w:pStyle w:val="DHHStablebullet1"/>
            </w:pPr>
            <w:r>
              <w:t>observation of newborn for suspected infectious condition (</w:t>
            </w:r>
            <w:r w:rsidRPr="006767BD">
              <w:t xml:space="preserve">ICD10 Code </w:t>
            </w:r>
            <w:r>
              <w:t>Z0371)</w:t>
            </w:r>
          </w:p>
          <w:p w14:paraId="7759C28C" w14:textId="77777777" w:rsidR="00921922" w:rsidRDefault="00921922" w:rsidP="00603215">
            <w:pPr>
              <w:pStyle w:val="DHHStablebullet1"/>
            </w:pPr>
            <w:r>
              <w:t>apnoea of newborn, unspecified (</w:t>
            </w:r>
            <w:r w:rsidRPr="006767BD">
              <w:t xml:space="preserve">ICD10 Code </w:t>
            </w:r>
            <w:r>
              <w:t>P2840)</w:t>
            </w:r>
          </w:p>
          <w:p w14:paraId="49895CB6" w14:textId="77777777" w:rsidR="00921922" w:rsidRDefault="00921922" w:rsidP="00603215">
            <w:pPr>
              <w:pStyle w:val="DHHStablebullet1"/>
            </w:pPr>
            <w:r>
              <w:t>cyanotic attacks of newborn (</w:t>
            </w:r>
            <w:r w:rsidRPr="006767BD">
              <w:t xml:space="preserve">ICD10 Code </w:t>
            </w:r>
            <w:r>
              <w:t>P282)</w:t>
            </w:r>
          </w:p>
          <w:p w14:paraId="35B682AB" w14:textId="77777777" w:rsidR="00921922" w:rsidRDefault="00921922" w:rsidP="00603215">
            <w:pPr>
              <w:pStyle w:val="DHHStablebullet1"/>
            </w:pPr>
            <w:r>
              <w:t>enteroviral meningitis (</w:t>
            </w:r>
            <w:r w:rsidRPr="006767BD">
              <w:t xml:space="preserve">ICD10 Code </w:t>
            </w:r>
            <w:r>
              <w:t>A870)</w:t>
            </w:r>
          </w:p>
          <w:p w14:paraId="35BF97B7" w14:textId="77777777" w:rsidR="00921922" w:rsidRDefault="00921922" w:rsidP="00603215">
            <w:pPr>
              <w:pStyle w:val="DHHStablebullet1"/>
            </w:pPr>
            <w:r>
              <w:t>omphalitis newborn with or without mild haemorrhage</w:t>
            </w:r>
            <w:r w:rsidDel="00175E94">
              <w:t xml:space="preserve"> </w:t>
            </w:r>
            <w:r>
              <w:t>(</w:t>
            </w:r>
            <w:r w:rsidRPr="006767BD">
              <w:t xml:space="preserve">ICD10 Code </w:t>
            </w:r>
            <w:r>
              <w:t>P38)</w:t>
            </w:r>
          </w:p>
          <w:p w14:paraId="122C06CC" w14:textId="77777777" w:rsidR="00921922" w:rsidRDefault="00921922" w:rsidP="00603215">
            <w:pPr>
              <w:pStyle w:val="DHHStablebullet1"/>
            </w:pPr>
            <w:r>
              <w:t>dehydration of newborn (</w:t>
            </w:r>
            <w:r w:rsidRPr="006767BD">
              <w:t xml:space="preserve">ICD10 Code </w:t>
            </w:r>
            <w:r>
              <w:t>P741)</w:t>
            </w:r>
          </w:p>
          <w:p w14:paraId="3E0D863E" w14:textId="77777777" w:rsidR="00921922" w:rsidRDefault="00921922" w:rsidP="00603215">
            <w:pPr>
              <w:pStyle w:val="DHHStablebullet1"/>
            </w:pPr>
            <w:r>
              <w:t>hypothermia of newborn unspecified (</w:t>
            </w:r>
            <w:r w:rsidRPr="006767BD">
              <w:t xml:space="preserve">ICD10 Code </w:t>
            </w:r>
            <w:r>
              <w:t>P809)</w:t>
            </w:r>
          </w:p>
          <w:p w14:paraId="27E3D2F7" w14:textId="77777777" w:rsidR="00921922" w:rsidRPr="0098470E" w:rsidRDefault="00921922" w:rsidP="00603215">
            <w:pPr>
              <w:pStyle w:val="DHHStablebullet1"/>
            </w:pPr>
            <w:r>
              <w:t>convulsions of newborn (</w:t>
            </w:r>
            <w:r w:rsidRPr="006767BD">
              <w:t xml:space="preserve">ICD10 Code </w:t>
            </w:r>
            <w:r>
              <w:t>P90)</w:t>
            </w:r>
          </w:p>
        </w:tc>
      </w:tr>
      <w:tr w:rsidR="00921922" w:rsidRPr="0098470E" w14:paraId="6AF8046F" w14:textId="77777777" w:rsidTr="00D0165F">
        <w:trPr>
          <w:cantSplit/>
        </w:trPr>
        <w:tc>
          <w:tcPr>
            <w:tcW w:w="2552" w:type="dxa"/>
          </w:tcPr>
          <w:p w14:paraId="1099B006" w14:textId="77777777" w:rsidR="00921922" w:rsidRPr="0098470E" w:rsidRDefault="00921922" w:rsidP="00603215">
            <w:pPr>
              <w:pStyle w:val="DHHStabletext"/>
            </w:pPr>
            <w:r w:rsidRPr="0098470E">
              <w:t xml:space="preserve">Denominator </w:t>
            </w:r>
          </w:p>
        </w:tc>
        <w:tc>
          <w:tcPr>
            <w:tcW w:w="6748" w:type="dxa"/>
          </w:tcPr>
          <w:p w14:paraId="7504C280" w14:textId="77777777" w:rsidR="0012538B" w:rsidRDefault="0012538B" w:rsidP="0012538B">
            <w:pPr>
              <w:pStyle w:val="DHHStabletext"/>
            </w:pPr>
            <w:r>
              <w:t xml:space="preserve">The denominator includes the total number of babies discharged from a health service. </w:t>
            </w:r>
          </w:p>
          <w:p w14:paraId="52A6A93A" w14:textId="77777777" w:rsidR="0012538B" w:rsidRDefault="0012538B" w:rsidP="0012538B">
            <w:pPr>
              <w:pStyle w:val="DHHStabletext"/>
            </w:pPr>
            <w:r>
              <w:t>Qualified and unqualified babies are included – irrespective of their accommodation type during the birth episode (if they spent time in a neonatal intensive care unit or special care nursery).</w:t>
            </w:r>
          </w:p>
          <w:p w14:paraId="5EB6F24E" w14:textId="77777777" w:rsidR="0012538B" w:rsidRDefault="0012538B" w:rsidP="0012538B">
            <w:pPr>
              <w:pStyle w:val="DHHStabletext"/>
            </w:pPr>
            <w:r>
              <w:t>Exclusions:</w:t>
            </w:r>
          </w:p>
          <w:p w14:paraId="2B7A8B2E" w14:textId="77777777" w:rsidR="0012538B" w:rsidRDefault="0012538B" w:rsidP="00D0165F">
            <w:pPr>
              <w:pStyle w:val="DHHStablebullet1"/>
            </w:pPr>
            <w:r>
              <w:t xml:space="preserve">Stillbirths and neonatal deaths prior to discharge are excluded. </w:t>
            </w:r>
          </w:p>
          <w:p w14:paraId="752A186D" w14:textId="173A2C52" w:rsidR="00921922" w:rsidRPr="0098470E" w:rsidRDefault="0012538B" w:rsidP="00D0165F">
            <w:pPr>
              <w:pStyle w:val="DHHStablebullet1"/>
            </w:pPr>
            <w:r>
              <w:t>Babies who are readmitted on the same day of discharge are also excluded. This is because it is not possible to determine whether these are genuine readmissions or a new separation following planned transfer of care.</w:t>
            </w:r>
          </w:p>
        </w:tc>
      </w:tr>
      <w:tr w:rsidR="00921922" w:rsidRPr="0098470E" w14:paraId="741132E8" w14:textId="77777777" w:rsidTr="00D0165F">
        <w:trPr>
          <w:cantSplit/>
        </w:trPr>
        <w:tc>
          <w:tcPr>
            <w:tcW w:w="2552" w:type="dxa"/>
          </w:tcPr>
          <w:p w14:paraId="47CEF376" w14:textId="77777777" w:rsidR="00921922" w:rsidRPr="0098470E" w:rsidRDefault="00921922" w:rsidP="00603215">
            <w:pPr>
              <w:pStyle w:val="DHHStabletext"/>
            </w:pPr>
            <w:r w:rsidRPr="0098470E">
              <w:lastRenderedPageBreak/>
              <w:t xml:space="preserve">Statewide target </w:t>
            </w:r>
          </w:p>
        </w:tc>
        <w:tc>
          <w:tcPr>
            <w:tcW w:w="6748" w:type="dxa"/>
          </w:tcPr>
          <w:p w14:paraId="695EC750" w14:textId="77777777" w:rsidR="00921922" w:rsidRPr="0098470E" w:rsidRDefault="00921922" w:rsidP="00603215">
            <w:pPr>
              <w:pStyle w:val="DHHStabletext"/>
            </w:pPr>
            <w:r w:rsidRPr="0098470E">
              <w:t>No outliers</w:t>
            </w:r>
          </w:p>
        </w:tc>
      </w:tr>
      <w:tr w:rsidR="00921922" w:rsidRPr="0098470E" w14:paraId="6E3A4FF0" w14:textId="77777777" w:rsidTr="00D0165F">
        <w:trPr>
          <w:cantSplit/>
        </w:trPr>
        <w:tc>
          <w:tcPr>
            <w:tcW w:w="2552" w:type="dxa"/>
          </w:tcPr>
          <w:p w14:paraId="52DAEF3B" w14:textId="77777777" w:rsidR="00921922" w:rsidRPr="0098470E" w:rsidRDefault="00921922" w:rsidP="00603215">
            <w:pPr>
              <w:pStyle w:val="DHHStabletext"/>
            </w:pPr>
            <w:r w:rsidRPr="0098470E">
              <w:t xml:space="preserve">Achievement </w:t>
            </w:r>
          </w:p>
        </w:tc>
        <w:tc>
          <w:tcPr>
            <w:tcW w:w="6748" w:type="dxa"/>
          </w:tcPr>
          <w:p w14:paraId="34189B80" w14:textId="77777777" w:rsidR="00921922" w:rsidRDefault="00921922" w:rsidP="00603215">
            <w:pPr>
              <w:pStyle w:val="DHHStabletext"/>
            </w:pPr>
            <w:r w:rsidRPr="0098470E">
              <w:t>Achieved</w:t>
            </w:r>
          </w:p>
          <w:p w14:paraId="2F125B03" w14:textId="77777777" w:rsidR="00921922" w:rsidRPr="0098470E" w:rsidRDefault="00921922" w:rsidP="00603215">
            <w:pPr>
              <w:pStyle w:val="DHHStabletext"/>
            </w:pPr>
            <w:r w:rsidRPr="0098470E">
              <w:t xml:space="preserve">Not achieved </w:t>
            </w:r>
          </w:p>
        </w:tc>
      </w:tr>
      <w:tr w:rsidR="00921922" w:rsidRPr="0098470E" w14:paraId="72A0968B" w14:textId="77777777" w:rsidTr="00D0165F">
        <w:trPr>
          <w:cantSplit/>
        </w:trPr>
        <w:tc>
          <w:tcPr>
            <w:tcW w:w="2552" w:type="dxa"/>
          </w:tcPr>
          <w:p w14:paraId="4E199FD3" w14:textId="77777777" w:rsidR="00921922" w:rsidRDefault="00921922" w:rsidP="00603215">
            <w:pPr>
              <w:pStyle w:val="DHHStabletext"/>
            </w:pPr>
            <w:r>
              <w:t>Improvement</w:t>
            </w:r>
          </w:p>
        </w:tc>
        <w:tc>
          <w:tcPr>
            <w:tcW w:w="6748" w:type="dxa"/>
          </w:tcPr>
          <w:p w14:paraId="48154262" w14:textId="5DDDB099" w:rsidR="00921922" w:rsidRDefault="00921922" w:rsidP="00603215">
            <w:pPr>
              <w:pStyle w:val="DHHStabletext"/>
            </w:pPr>
            <w:r>
              <w:t xml:space="preserve">For the purpose of the performance risk assessment, improvement is compared to previous quarter performance and based on the </w:t>
            </w:r>
            <w:r w:rsidR="007C4B88">
              <w:t>state-wide</w:t>
            </w:r>
            <w:r>
              <w:t xml:space="preserve"> rate (outlier status).</w:t>
            </w:r>
          </w:p>
        </w:tc>
      </w:tr>
    </w:tbl>
    <w:p w14:paraId="6029AB0F" w14:textId="77777777" w:rsidR="00F1426A" w:rsidRDefault="00F1426A">
      <w:pPr>
        <w:spacing w:after="200" w:line="276" w:lineRule="auto"/>
        <w:rPr>
          <w:rFonts w:ascii="Arial" w:hAnsi="Arial"/>
          <w:b/>
        </w:rPr>
      </w:pPr>
      <w:r>
        <w:br w:type="page"/>
      </w:r>
    </w:p>
    <w:p w14:paraId="1C230C07" w14:textId="22C0F953" w:rsidR="00F12615" w:rsidRPr="00961723" w:rsidRDefault="00F12615" w:rsidP="00F12615">
      <w:pPr>
        <w:pStyle w:val="DHHStablecaption"/>
      </w:pPr>
      <w:r>
        <w:lastRenderedPageBreak/>
        <w:t xml:space="preserve">Indicator: </w:t>
      </w:r>
      <w:r w:rsidR="00E405F2" w:rsidRPr="008A6C4E">
        <w:t>Unplanned readmission for hip replacement</w:t>
      </w:r>
    </w:p>
    <w:tbl>
      <w:tblPr>
        <w:tblStyle w:val="TableGrid"/>
        <w:tblW w:w="9300" w:type="dxa"/>
        <w:tblLayout w:type="fixed"/>
        <w:tblLook w:val="06A0" w:firstRow="1" w:lastRow="0" w:firstColumn="1" w:lastColumn="0" w:noHBand="1" w:noVBand="1"/>
      </w:tblPr>
      <w:tblGrid>
        <w:gridCol w:w="2581"/>
        <w:gridCol w:w="6719"/>
      </w:tblGrid>
      <w:tr w:rsidR="00D97737" w:rsidRPr="0098470E" w14:paraId="3E4CED09" w14:textId="77777777" w:rsidTr="00D0165F">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115F05F1" w14:textId="102A4605" w:rsidR="00D97737" w:rsidRPr="008A6C4E" w:rsidRDefault="00D97737" w:rsidP="00D97737">
            <w:pPr>
              <w:pStyle w:val="DHHStablecolhead"/>
            </w:pPr>
            <w:r>
              <w:t>Element</w:t>
            </w:r>
          </w:p>
        </w:tc>
        <w:tc>
          <w:tcPr>
            <w:tcW w:w="6719" w:type="dxa"/>
          </w:tcPr>
          <w:p w14:paraId="057395F8" w14:textId="129201E4" w:rsidR="00D97737" w:rsidRPr="008A6C4E" w:rsidRDefault="00D97737" w:rsidP="00D97737">
            <w:pPr>
              <w:pStyle w:val="DHHStablecolhead"/>
            </w:pPr>
            <w:r>
              <w:t>Details</w:t>
            </w:r>
          </w:p>
        </w:tc>
      </w:tr>
      <w:tr w:rsidR="008A2580" w:rsidRPr="0098470E" w14:paraId="5B24F501" w14:textId="77777777" w:rsidTr="00D0165F">
        <w:trPr>
          <w:cantSplit/>
        </w:trPr>
        <w:tc>
          <w:tcPr>
            <w:tcW w:w="2581" w:type="dxa"/>
          </w:tcPr>
          <w:p w14:paraId="282E56FA" w14:textId="77777777" w:rsidR="008A2580" w:rsidRPr="0098470E" w:rsidRDefault="008A2580" w:rsidP="00603215">
            <w:pPr>
              <w:pStyle w:val="DHHStabletext"/>
            </w:pPr>
            <w:r w:rsidRPr="0098470E">
              <w:t>Description</w:t>
            </w:r>
          </w:p>
        </w:tc>
        <w:tc>
          <w:tcPr>
            <w:tcW w:w="6719" w:type="dxa"/>
          </w:tcPr>
          <w:p w14:paraId="14CB6D18" w14:textId="77777777" w:rsidR="008A2580" w:rsidRPr="0098470E" w:rsidRDefault="008A2580" w:rsidP="00603215">
            <w:pPr>
              <w:pStyle w:val="DHHStabletext"/>
            </w:pPr>
            <w:r w:rsidRPr="0098470E">
              <w:t>Unplanned readmissions to the same hospital within 60 days of patients</w:t>
            </w:r>
            <w:r>
              <w:t>’</w:t>
            </w:r>
            <w:r w:rsidRPr="0098470E">
              <w:t xml:space="preserve"> separation from acute care, for hip replacement surgery.</w:t>
            </w:r>
          </w:p>
        </w:tc>
      </w:tr>
      <w:tr w:rsidR="0022140C" w:rsidRPr="0098470E" w14:paraId="24AB0941" w14:textId="77777777" w:rsidTr="00D0165F">
        <w:trPr>
          <w:cantSplit/>
        </w:trPr>
        <w:tc>
          <w:tcPr>
            <w:tcW w:w="2581" w:type="dxa"/>
          </w:tcPr>
          <w:p w14:paraId="38E07D3C" w14:textId="77777777" w:rsidR="0022140C" w:rsidRPr="0098470E" w:rsidRDefault="0022140C" w:rsidP="0022140C">
            <w:pPr>
              <w:pStyle w:val="DHHStabletext"/>
            </w:pPr>
            <w:r w:rsidRPr="0098470E">
              <w:t>Frequency of reporting and data collection</w:t>
            </w:r>
          </w:p>
        </w:tc>
        <w:tc>
          <w:tcPr>
            <w:tcW w:w="6719" w:type="dxa"/>
          </w:tcPr>
          <w:p w14:paraId="17312CA2" w14:textId="7699E26D" w:rsidR="0022140C" w:rsidRPr="0098470E" w:rsidRDefault="0022140C" w:rsidP="0022140C">
            <w:pPr>
              <w:pStyle w:val="DHHStabletext"/>
            </w:pPr>
            <w:r w:rsidRPr="0098470E">
              <w:t xml:space="preserve">Quarterly (lagged by a quarter), representing an annual (preceding twelve months) rate. </w:t>
            </w:r>
          </w:p>
          <w:p w14:paraId="4D65330C" w14:textId="66063EA1" w:rsidR="0022140C" w:rsidRDefault="00135F54" w:rsidP="0022140C">
            <w:pPr>
              <w:pStyle w:val="DHHStabletext"/>
            </w:pPr>
            <w:r>
              <w:t>C</w:t>
            </w:r>
            <w:r w:rsidR="0022140C">
              <w:t xml:space="preserve">ampus level rates will be reported when </w:t>
            </w:r>
            <w:r w:rsidR="0022140C" w:rsidRPr="0098470E">
              <w:t xml:space="preserve">the </w:t>
            </w:r>
            <w:r w:rsidR="0022140C">
              <w:t xml:space="preserve">number of </w:t>
            </w:r>
            <w:r w:rsidR="0022140C" w:rsidRPr="0098470E">
              <w:t>in-scope separations is 50 or more</w:t>
            </w:r>
            <w:r w:rsidR="0022140C">
              <w:t xml:space="preserve"> </w:t>
            </w:r>
            <w:r w:rsidR="0022140C" w:rsidRPr="0098470E">
              <w:t>in the twelve months up to and including the reporting quarter.</w:t>
            </w:r>
          </w:p>
          <w:p w14:paraId="3E6430A5" w14:textId="77777777" w:rsidR="0022140C" w:rsidRPr="0098470E" w:rsidRDefault="0022140C" w:rsidP="0022140C">
            <w:pPr>
              <w:pStyle w:val="DHHStabletext"/>
            </w:pPr>
            <w:r w:rsidRPr="0098470E">
              <w:t>Data collection: VAED. Results are collected and reported at campus level.</w:t>
            </w:r>
          </w:p>
        </w:tc>
      </w:tr>
      <w:tr w:rsidR="00921922" w:rsidRPr="0098470E" w14:paraId="4976FBC7" w14:textId="77777777" w:rsidTr="00D0165F">
        <w:trPr>
          <w:cantSplit/>
        </w:trPr>
        <w:tc>
          <w:tcPr>
            <w:tcW w:w="2581" w:type="dxa"/>
          </w:tcPr>
          <w:p w14:paraId="6B7236EE" w14:textId="1BEC9D28" w:rsidR="00921922" w:rsidRPr="0098470E" w:rsidRDefault="00134F95" w:rsidP="00603215">
            <w:pPr>
              <w:pStyle w:val="DHHStabletext"/>
            </w:pPr>
            <w:r w:rsidRPr="0098470E">
              <w:t>Numerator</w:t>
            </w:r>
          </w:p>
        </w:tc>
        <w:tc>
          <w:tcPr>
            <w:tcW w:w="6719" w:type="dxa"/>
          </w:tcPr>
          <w:p w14:paraId="5B18CD11" w14:textId="77777777" w:rsidR="003E0C62" w:rsidRDefault="003E0C62" w:rsidP="003E0C62">
            <w:pPr>
              <w:pStyle w:val="DHHStabletext"/>
            </w:pPr>
            <w:r>
              <w:t>Includes all separations with a separation date which is within the reference period and which satisfy all of the following:</w:t>
            </w:r>
          </w:p>
          <w:p w14:paraId="617FEDC6" w14:textId="77777777" w:rsidR="003E0C62" w:rsidRDefault="003E0C62" w:rsidP="003E0C62">
            <w:pPr>
              <w:pStyle w:val="DHHStablebullet1"/>
            </w:pPr>
            <w:r>
              <w:t>the separation is a readmission to the same hospital campus following a separation which is in scope of the denominator (either for the reference period or the previous period)</w:t>
            </w:r>
          </w:p>
          <w:p w14:paraId="03D1B4A7" w14:textId="77777777" w:rsidR="003E0C62" w:rsidRDefault="003E0C62" w:rsidP="003E0C62">
            <w:pPr>
              <w:pStyle w:val="DHHStablebullet1"/>
            </w:pPr>
            <w:r>
              <w:t>the ICD-10-AM principal diagnosis code (i.e. of the readmission) is in (‘G46’,’I21.x’,’I26.x’,’I50.x’,’I74.x’,’I80.x’,’J15.x’,’L89.x’,’N13.x’,’N30.x’,’</w:t>
            </w:r>
            <w:r>
              <w:br/>
              <w:t>R33’,’S73.x’,’T84.x’,’T89.x’,’I62.1’,’I63.3’,’I97.8x’,’J18.0’,’J18.9’,’J95.8x’,’L03.9’,’M25.65’,’M96.8’,’N39.0’,’T81.1’,’T81.3’,’T81.5’,’T81.6’,’T81.8x’,’T81.9’,’T85.9’,’T88.7’, ‘L03.13, L03.14,’S72.00’,’S72.08’,’T85.788’,’T85.88’)</w:t>
            </w:r>
          </w:p>
          <w:p w14:paraId="1F0C177A" w14:textId="77777777" w:rsidR="003E0C62" w:rsidRDefault="003E0C62" w:rsidP="003E0C62">
            <w:pPr>
              <w:pStyle w:val="DHHStablebullet1"/>
            </w:pPr>
            <w:r>
              <w:t>the readmission occurs within 60 days of the previous date of separation</w:t>
            </w:r>
          </w:p>
          <w:p w14:paraId="07364EBA" w14:textId="2DED6EA0" w:rsidR="00921922" w:rsidRPr="0098470E" w:rsidRDefault="003E0C62" w:rsidP="003E0C62">
            <w:pPr>
              <w:pStyle w:val="DHHStablebullet1"/>
            </w:pPr>
            <w:r>
              <w:t>the readmission is an acute admission (Care Type = ‘4’).</w:t>
            </w:r>
          </w:p>
        </w:tc>
      </w:tr>
      <w:tr w:rsidR="00921922" w:rsidRPr="0098470E" w14:paraId="02C02157" w14:textId="77777777" w:rsidTr="00D0165F">
        <w:trPr>
          <w:cantSplit/>
        </w:trPr>
        <w:tc>
          <w:tcPr>
            <w:tcW w:w="2581" w:type="dxa"/>
          </w:tcPr>
          <w:p w14:paraId="74A5E2B2" w14:textId="65C091D1" w:rsidR="00921922" w:rsidRPr="0098470E" w:rsidRDefault="00921922" w:rsidP="00603215">
            <w:pPr>
              <w:pStyle w:val="DHHStabletext"/>
            </w:pPr>
            <w:r w:rsidRPr="0098470E">
              <w:t>Denominator</w:t>
            </w:r>
          </w:p>
        </w:tc>
        <w:tc>
          <w:tcPr>
            <w:tcW w:w="6719" w:type="dxa"/>
          </w:tcPr>
          <w:p w14:paraId="2A4CDDF3" w14:textId="77777777" w:rsidR="00617350" w:rsidRPr="0098470E" w:rsidRDefault="00617350" w:rsidP="00617350">
            <w:pPr>
              <w:pStyle w:val="DHHStabletext"/>
            </w:pPr>
            <w:r w:rsidRPr="0098470E">
              <w:t>Includes all separations with a separation date which is within the reference period and which satisfy all of the following</w:t>
            </w:r>
            <w:r>
              <w:t>:</w:t>
            </w:r>
          </w:p>
          <w:p w14:paraId="61EB8087" w14:textId="77777777" w:rsidR="00617350" w:rsidRPr="0098470E" w:rsidRDefault="00617350" w:rsidP="00617350">
            <w:pPr>
              <w:pStyle w:val="DHHStablebullet1"/>
            </w:pPr>
            <w:r>
              <w:t>h</w:t>
            </w:r>
            <w:r w:rsidRPr="0098470E">
              <w:t>as any of the following procedure codes:</w:t>
            </w:r>
            <w:r>
              <w:t xml:space="preserve"> </w:t>
            </w:r>
            <w:r w:rsidRPr="0098470E">
              <w:t>49318-00</w:t>
            </w:r>
            <w:r>
              <w:t xml:space="preserve"> [1489]</w:t>
            </w:r>
            <w:r w:rsidRPr="0098470E">
              <w:t>,49319-00</w:t>
            </w:r>
            <w:r>
              <w:t xml:space="preserve"> [1489]</w:t>
            </w:r>
          </w:p>
          <w:p w14:paraId="22AE9F4D" w14:textId="77777777" w:rsidR="00617350" w:rsidRPr="0098470E" w:rsidRDefault="00617350" w:rsidP="00617350">
            <w:pPr>
              <w:pStyle w:val="DHHStablebullet1"/>
            </w:pPr>
            <w:r>
              <w:t>i</w:t>
            </w:r>
            <w:r w:rsidRPr="0098470E">
              <w:t>s an acute separation</w:t>
            </w:r>
            <w:r>
              <w:t xml:space="preserve"> </w:t>
            </w:r>
            <w:r w:rsidRPr="0037514F">
              <w:t xml:space="preserve">(Care Type = </w:t>
            </w:r>
            <w:r>
              <w:t>‘</w:t>
            </w:r>
            <w:r w:rsidRPr="0037514F">
              <w:t>4</w:t>
            </w:r>
            <w:r>
              <w:t>’</w:t>
            </w:r>
            <w:r w:rsidRPr="0037514F">
              <w:t>)</w:t>
            </w:r>
          </w:p>
          <w:p w14:paraId="202201CD" w14:textId="77777777" w:rsidR="00617350" w:rsidRPr="0098470E" w:rsidRDefault="00617350" w:rsidP="00617350">
            <w:pPr>
              <w:pStyle w:val="DHHStablebullet1"/>
            </w:pPr>
            <w:r>
              <w:t>p</w:t>
            </w:r>
            <w:r w:rsidRPr="0098470E">
              <w:t>atient age is at least 20 years</w:t>
            </w:r>
          </w:p>
          <w:p w14:paraId="53ABCB1F" w14:textId="77777777" w:rsidR="00617350" w:rsidRPr="0098470E" w:rsidRDefault="00617350" w:rsidP="00617350">
            <w:pPr>
              <w:pStyle w:val="DHHStablebullet1"/>
            </w:pPr>
            <w:r w:rsidRPr="0098470E">
              <w:t>LOS is greater than or equal to 3 days</w:t>
            </w:r>
          </w:p>
          <w:p w14:paraId="588BB589" w14:textId="009C4034" w:rsidR="00921922" w:rsidRPr="0098470E" w:rsidRDefault="00617350" w:rsidP="00617350">
            <w:pPr>
              <w:pStyle w:val="DHHStablebullet1"/>
            </w:pPr>
            <w:r>
              <w:t>e</w:t>
            </w:r>
            <w:r w:rsidRPr="0098470E">
              <w:t>xcludes in-hospital deaths</w:t>
            </w:r>
            <w:r>
              <w:t xml:space="preserve"> </w:t>
            </w:r>
            <w:r w:rsidRPr="0037514F">
              <w:t xml:space="preserve">(Separation Mode = </w:t>
            </w:r>
            <w:r>
              <w:t>‘</w:t>
            </w:r>
            <w:r w:rsidRPr="0037514F">
              <w:t>D</w:t>
            </w:r>
            <w:r>
              <w:t>’</w:t>
            </w:r>
            <w:r w:rsidRPr="0037514F">
              <w:t>)</w:t>
            </w:r>
            <w:r>
              <w:t>.</w:t>
            </w:r>
          </w:p>
        </w:tc>
      </w:tr>
      <w:tr w:rsidR="00921922" w:rsidRPr="0098470E" w14:paraId="1D7A8C35" w14:textId="77777777" w:rsidTr="00D0165F">
        <w:trPr>
          <w:cantSplit/>
        </w:trPr>
        <w:tc>
          <w:tcPr>
            <w:tcW w:w="2581" w:type="dxa"/>
          </w:tcPr>
          <w:p w14:paraId="1FCBAE8B" w14:textId="77777777" w:rsidR="00921922" w:rsidRPr="0098470E" w:rsidRDefault="00921922" w:rsidP="00603215">
            <w:pPr>
              <w:pStyle w:val="DHHStabletext"/>
            </w:pPr>
            <w:r w:rsidRPr="0098470E">
              <w:t>Statewide target</w:t>
            </w:r>
          </w:p>
        </w:tc>
        <w:tc>
          <w:tcPr>
            <w:tcW w:w="6719" w:type="dxa"/>
          </w:tcPr>
          <w:p w14:paraId="63F3DD38" w14:textId="77777777" w:rsidR="00921922" w:rsidRPr="0098470E" w:rsidRDefault="00921922" w:rsidP="00603215">
            <w:pPr>
              <w:pStyle w:val="DHHStabletext"/>
            </w:pPr>
            <w:r>
              <w:t xml:space="preserve">Annual rate = </w:t>
            </w:r>
            <w:r w:rsidRPr="00E752D0">
              <w:t>≤</w:t>
            </w:r>
            <w:r>
              <w:t xml:space="preserve"> 2.5%</w:t>
            </w:r>
          </w:p>
        </w:tc>
      </w:tr>
      <w:tr w:rsidR="00921922" w:rsidRPr="0098470E" w14:paraId="1F38FE4C" w14:textId="77777777" w:rsidTr="00D0165F">
        <w:trPr>
          <w:cantSplit/>
        </w:trPr>
        <w:tc>
          <w:tcPr>
            <w:tcW w:w="2581" w:type="dxa"/>
          </w:tcPr>
          <w:p w14:paraId="01617F16" w14:textId="13304501" w:rsidR="00921922" w:rsidRPr="0098470E" w:rsidRDefault="00921922" w:rsidP="00603215">
            <w:pPr>
              <w:pStyle w:val="DHHStabletext"/>
            </w:pPr>
            <w:r w:rsidRPr="0098470E">
              <w:t>Achievement</w:t>
            </w:r>
          </w:p>
        </w:tc>
        <w:tc>
          <w:tcPr>
            <w:tcW w:w="6719" w:type="dxa"/>
          </w:tcPr>
          <w:p w14:paraId="14551A74" w14:textId="77777777" w:rsidR="00921922" w:rsidRPr="0098470E" w:rsidRDefault="00921922" w:rsidP="00603215">
            <w:pPr>
              <w:pStyle w:val="DHHStabletext"/>
            </w:pPr>
            <w:r w:rsidRPr="0098470E">
              <w:t xml:space="preserve">Achieved </w:t>
            </w:r>
            <w:r>
              <w:t xml:space="preserve">= </w:t>
            </w:r>
            <w:r w:rsidRPr="00997E72">
              <w:t>≤</w:t>
            </w:r>
            <w:r>
              <w:t xml:space="preserve"> </w:t>
            </w:r>
            <w:r w:rsidRPr="00997E72">
              <w:t>2.5%</w:t>
            </w:r>
          </w:p>
          <w:p w14:paraId="1FE4951B" w14:textId="77777777" w:rsidR="00921922" w:rsidRPr="0098470E" w:rsidRDefault="00921922" w:rsidP="00603215">
            <w:pPr>
              <w:pStyle w:val="DHHStabletext"/>
            </w:pPr>
            <w:r w:rsidRPr="0098470E">
              <w:t xml:space="preserve">Not achieved </w:t>
            </w:r>
            <w:r>
              <w:t xml:space="preserve">= </w:t>
            </w:r>
            <w:r w:rsidRPr="007F67EF">
              <w:t xml:space="preserve">&gt; </w:t>
            </w:r>
            <w:r w:rsidRPr="002F083B">
              <w:t>2.5%</w:t>
            </w:r>
          </w:p>
        </w:tc>
      </w:tr>
      <w:tr w:rsidR="00921922" w:rsidRPr="0098470E" w14:paraId="12911E33" w14:textId="77777777" w:rsidTr="00D0165F">
        <w:trPr>
          <w:cantSplit/>
        </w:trPr>
        <w:tc>
          <w:tcPr>
            <w:tcW w:w="2581" w:type="dxa"/>
          </w:tcPr>
          <w:p w14:paraId="68805E65" w14:textId="77777777" w:rsidR="00921922" w:rsidRDefault="00921922" w:rsidP="00603215">
            <w:pPr>
              <w:pStyle w:val="DHHStabletext"/>
            </w:pPr>
            <w:r>
              <w:t>Improvement</w:t>
            </w:r>
          </w:p>
        </w:tc>
        <w:tc>
          <w:tcPr>
            <w:tcW w:w="6719" w:type="dxa"/>
          </w:tcPr>
          <w:p w14:paraId="1FB23467" w14:textId="6C1B399E" w:rsidR="00921922" w:rsidRDefault="00135F54" w:rsidP="00603215">
            <w:pPr>
              <w:pStyle w:val="DHHStabletext"/>
            </w:pPr>
            <w:r>
              <w:t xml:space="preserve">For the purpose of the performance risk assessment, the annual rate is compared to the annual rate of the previous quarter. </w:t>
            </w:r>
            <w:r w:rsidRPr="00AE30AA">
              <w:t xml:space="preserve">SCV </w:t>
            </w:r>
            <w:r>
              <w:t xml:space="preserve">will </w:t>
            </w:r>
            <w:r w:rsidR="007F67EF">
              <w:t xml:space="preserve">also </w:t>
            </w:r>
            <w:r w:rsidRPr="00AE30AA">
              <w:t xml:space="preserve">analyse performance over </w:t>
            </w:r>
            <w:r>
              <w:t>a longer period</w:t>
            </w:r>
            <w:r w:rsidRPr="00AE30AA">
              <w:t>, taking trends as well as absolute levels of performance into account</w:t>
            </w:r>
            <w:r>
              <w:t>.</w:t>
            </w:r>
          </w:p>
        </w:tc>
      </w:tr>
    </w:tbl>
    <w:p w14:paraId="644048A4" w14:textId="77777777" w:rsidR="00921922" w:rsidRPr="0054152F" w:rsidRDefault="00921922" w:rsidP="00921922">
      <w:pPr>
        <w:pStyle w:val="DHHSbody"/>
      </w:pPr>
      <w:r w:rsidRPr="0054152F">
        <w:br w:type="page"/>
      </w:r>
    </w:p>
    <w:p w14:paraId="112FABAD" w14:textId="27A6EA3A" w:rsidR="00921922" w:rsidRDefault="00921922" w:rsidP="00EA5FA2">
      <w:pPr>
        <w:pStyle w:val="Heading4"/>
      </w:pPr>
      <w:bookmarkStart w:id="78" w:name="_Toc517959132"/>
      <w:bookmarkStart w:id="79" w:name="_Toc15580088"/>
      <w:r>
        <w:lastRenderedPageBreak/>
        <w:t>Mental h</w:t>
      </w:r>
      <w:r w:rsidRPr="0098470E">
        <w:t>ealth</w:t>
      </w:r>
      <w:bookmarkEnd w:id="78"/>
      <w:bookmarkEnd w:id="79"/>
    </w:p>
    <w:p w14:paraId="49746ABE" w14:textId="0DDE167D" w:rsidR="00F12615" w:rsidRPr="00F12615" w:rsidRDefault="00F12615" w:rsidP="00F12615">
      <w:pPr>
        <w:pStyle w:val="DHHStablecaption"/>
      </w:pPr>
      <w:r>
        <w:t xml:space="preserve">Indicator: </w:t>
      </w:r>
      <w:r w:rsidR="00E405F2" w:rsidRPr="008A6C4E">
        <w:t>Percentage of adult mental health inpatients who are readmitted within 28 days of discharge</w:t>
      </w:r>
    </w:p>
    <w:tbl>
      <w:tblPr>
        <w:tblStyle w:val="TableGrid"/>
        <w:tblW w:w="9299" w:type="dxa"/>
        <w:tblLook w:val="06A0" w:firstRow="1" w:lastRow="0" w:firstColumn="1" w:lastColumn="0" w:noHBand="1" w:noVBand="1"/>
      </w:tblPr>
      <w:tblGrid>
        <w:gridCol w:w="2560"/>
        <w:gridCol w:w="6739"/>
      </w:tblGrid>
      <w:tr w:rsidR="00D97737" w:rsidRPr="0098470E" w14:paraId="5790CB0F"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60" w:type="dxa"/>
          </w:tcPr>
          <w:p w14:paraId="6CD9B521" w14:textId="57AB5591" w:rsidR="00D97737" w:rsidRPr="008A6C4E" w:rsidRDefault="00D97737" w:rsidP="00D97737">
            <w:pPr>
              <w:pStyle w:val="DHHStablecolhead"/>
            </w:pPr>
            <w:r>
              <w:t>Element</w:t>
            </w:r>
          </w:p>
        </w:tc>
        <w:tc>
          <w:tcPr>
            <w:tcW w:w="6739" w:type="dxa"/>
          </w:tcPr>
          <w:p w14:paraId="7706B669" w14:textId="577074CE" w:rsidR="00D97737" w:rsidRPr="008A6C4E" w:rsidRDefault="00D97737" w:rsidP="00D97737">
            <w:pPr>
              <w:pStyle w:val="DHHStablecolhead"/>
            </w:pPr>
            <w:r>
              <w:t>Details</w:t>
            </w:r>
          </w:p>
        </w:tc>
      </w:tr>
      <w:tr w:rsidR="00921922" w:rsidRPr="0098470E" w14:paraId="276887DE" w14:textId="77777777" w:rsidTr="00F12615">
        <w:trPr>
          <w:cantSplit/>
        </w:trPr>
        <w:tc>
          <w:tcPr>
            <w:tcW w:w="2560" w:type="dxa"/>
            <w:hideMark/>
          </w:tcPr>
          <w:p w14:paraId="68CAF476" w14:textId="77777777" w:rsidR="00921922" w:rsidRPr="0098470E" w:rsidRDefault="00921922" w:rsidP="00603215">
            <w:pPr>
              <w:pStyle w:val="DHHStabletext"/>
            </w:pPr>
            <w:r w:rsidRPr="0098470E">
              <w:t>Description</w:t>
            </w:r>
          </w:p>
        </w:tc>
        <w:tc>
          <w:tcPr>
            <w:tcW w:w="6739" w:type="dxa"/>
            <w:hideMark/>
          </w:tcPr>
          <w:p w14:paraId="4D112FED" w14:textId="77777777" w:rsidR="00921922" w:rsidRPr="0098470E" w:rsidRDefault="00921922" w:rsidP="00603215">
            <w:pPr>
              <w:pStyle w:val="DHHStabletext"/>
            </w:pPr>
            <w:r w:rsidRPr="0098470E">
              <w:t>Adult specialist mental health services are aimed primarily at people with a serious mental illness or mental disorder who have associated significant levels of disturbance and psychosocial disability due to their illness or disorder. Readmission rates for adult mental health patients can reflect the quality of care, effectiveness of discharge planning and level of support provided to patients after discharge, as well as other factors.</w:t>
            </w:r>
          </w:p>
        </w:tc>
      </w:tr>
      <w:tr w:rsidR="00921922" w:rsidRPr="0098470E" w14:paraId="379F269B" w14:textId="77777777" w:rsidTr="00F12615">
        <w:trPr>
          <w:cantSplit/>
        </w:trPr>
        <w:tc>
          <w:tcPr>
            <w:tcW w:w="2560" w:type="dxa"/>
            <w:hideMark/>
          </w:tcPr>
          <w:p w14:paraId="70311148" w14:textId="77777777" w:rsidR="00921922" w:rsidRPr="0098470E" w:rsidRDefault="00921922" w:rsidP="00603215">
            <w:pPr>
              <w:pStyle w:val="DHHStabletext"/>
            </w:pPr>
            <w:r w:rsidRPr="0098470E">
              <w:t>Calculating performance</w:t>
            </w:r>
          </w:p>
        </w:tc>
        <w:tc>
          <w:tcPr>
            <w:tcW w:w="6739" w:type="dxa"/>
            <w:hideMark/>
          </w:tcPr>
          <w:p w14:paraId="2570FBDB" w14:textId="77777777" w:rsidR="00921922" w:rsidRPr="0098470E" w:rsidRDefault="00921922" w:rsidP="00603215">
            <w:pPr>
              <w:pStyle w:val="DHHStabletext"/>
            </w:pPr>
            <w:r w:rsidRPr="0098470E">
              <w:t>This indicator includes adult mental health patients who are admitted overnight or longer in hospital.</w:t>
            </w:r>
          </w:p>
          <w:p w14:paraId="7A7ACE68" w14:textId="77777777" w:rsidR="00921922" w:rsidRPr="0098470E" w:rsidRDefault="00921922" w:rsidP="00603215">
            <w:pPr>
              <w:pStyle w:val="DHHStabletext"/>
            </w:pPr>
            <w:r w:rsidRPr="0098470E">
              <w:t>Exclusions are overnight separations for electroconvulsive therapy, transfers to other acute hospitals or to residential aged care, and patients who leave against medical advice or abscond.</w:t>
            </w:r>
          </w:p>
          <w:p w14:paraId="544D616B" w14:textId="77777777" w:rsidR="00921922" w:rsidRPr="0098470E" w:rsidRDefault="00921922" w:rsidP="00603215">
            <w:pPr>
              <w:pStyle w:val="DHHStabletext"/>
            </w:pPr>
            <w:r w:rsidRPr="0098470E">
              <w:t>This indicator is expressed as a percentage and rounded to the nearest whole number.</w:t>
            </w:r>
          </w:p>
        </w:tc>
      </w:tr>
      <w:tr w:rsidR="00921922" w:rsidRPr="0098470E" w14:paraId="177DDCE3" w14:textId="77777777" w:rsidTr="00F12615">
        <w:trPr>
          <w:cantSplit/>
        </w:trPr>
        <w:tc>
          <w:tcPr>
            <w:tcW w:w="2560" w:type="dxa"/>
            <w:hideMark/>
          </w:tcPr>
          <w:p w14:paraId="6F98CEE3" w14:textId="77777777" w:rsidR="00921922" w:rsidRPr="0098470E" w:rsidRDefault="00921922" w:rsidP="00603215">
            <w:pPr>
              <w:pStyle w:val="DHHStabletext"/>
            </w:pPr>
            <w:r w:rsidRPr="0098470E">
              <w:t>Numerator</w:t>
            </w:r>
          </w:p>
        </w:tc>
        <w:tc>
          <w:tcPr>
            <w:tcW w:w="6739" w:type="dxa"/>
            <w:hideMark/>
          </w:tcPr>
          <w:p w14:paraId="5445DEB6" w14:textId="66CB8FC8" w:rsidR="00921922" w:rsidRPr="0098470E" w:rsidRDefault="00921922" w:rsidP="00603215">
            <w:pPr>
              <w:pStyle w:val="DHHStabletext"/>
            </w:pPr>
            <w:r w:rsidRPr="0098470E">
              <w:t>Non-same day separations from adult general acute psychiatric inpatient units that result in a non-same-day readmission to the same or to another public sector acute psychiatric inpatient unit within 28 days of discharge</w:t>
            </w:r>
            <w:r w:rsidR="00997351">
              <w:t>.</w:t>
            </w:r>
          </w:p>
        </w:tc>
      </w:tr>
      <w:tr w:rsidR="00921922" w:rsidRPr="0098470E" w14:paraId="24705F6F" w14:textId="77777777" w:rsidTr="00F12615">
        <w:trPr>
          <w:cantSplit/>
        </w:trPr>
        <w:tc>
          <w:tcPr>
            <w:tcW w:w="2560" w:type="dxa"/>
            <w:hideMark/>
          </w:tcPr>
          <w:p w14:paraId="528FB21A" w14:textId="77777777" w:rsidR="00921922" w:rsidRPr="0098470E" w:rsidRDefault="00921922" w:rsidP="00603215">
            <w:pPr>
              <w:pStyle w:val="DHHStabletext"/>
            </w:pPr>
            <w:r w:rsidRPr="0098470E">
              <w:t xml:space="preserve">Denominator </w:t>
            </w:r>
          </w:p>
        </w:tc>
        <w:tc>
          <w:tcPr>
            <w:tcW w:w="6739" w:type="dxa"/>
            <w:hideMark/>
          </w:tcPr>
          <w:p w14:paraId="6DB06DC7" w14:textId="2A57CD37" w:rsidR="00921922" w:rsidRPr="0098470E" w:rsidRDefault="00921922" w:rsidP="00603215">
            <w:pPr>
              <w:pStyle w:val="DHHStabletext"/>
            </w:pPr>
            <w:r w:rsidRPr="0098470E">
              <w:t>Number of non-same-day separations from adult general acute psychiatric inpatient units</w:t>
            </w:r>
            <w:r w:rsidR="00997351">
              <w:t>.</w:t>
            </w:r>
          </w:p>
        </w:tc>
      </w:tr>
      <w:tr w:rsidR="00921922" w:rsidRPr="0098470E" w14:paraId="3795F038" w14:textId="77777777" w:rsidTr="00F12615">
        <w:trPr>
          <w:cantSplit/>
        </w:trPr>
        <w:tc>
          <w:tcPr>
            <w:tcW w:w="2560" w:type="dxa"/>
            <w:hideMark/>
          </w:tcPr>
          <w:p w14:paraId="0609EDC9" w14:textId="77777777" w:rsidR="00921922" w:rsidRPr="0098470E" w:rsidRDefault="00921922" w:rsidP="00603215">
            <w:pPr>
              <w:pStyle w:val="DHHStabletext"/>
            </w:pPr>
            <w:r w:rsidRPr="0098470E">
              <w:t>Statewide target</w:t>
            </w:r>
          </w:p>
        </w:tc>
        <w:tc>
          <w:tcPr>
            <w:tcW w:w="6739" w:type="dxa"/>
            <w:hideMark/>
          </w:tcPr>
          <w:p w14:paraId="45F3DDEF" w14:textId="77777777" w:rsidR="00921922" w:rsidRPr="0054030C" w:rsidRDefault="00921922" w:rsidP="00603215">
            <w:pPr>
              <w:pStyle w:val="DHHStabletext"/>
            </w:pPr>
            <w:r w:rsidRPr="0054030C">
              <w:t>≤</w:t>
            </w:r>
            <w:r>
              <w:t xml:space="preserve"> </w:t>
            </w:r>
            <w:r w:rsidRPr="0054030C">
              <w:t>14%</w:t>
            </w:r>
          </w:p>
        </w:tc>
      </w:tr>
      <w:tr w:rsidR="002B4ABD" w:rsidRPr="0098470E" w14:paraId="6022EFA9" w14:textId="77777777" w:rsidTr="002B4ABD">
        <w:trPr>
          <w:cantSplit/>
        </w:trPr>
        <w:tc>
          <w:tcPr>
            <w:tcW w:w="2560" w:type="dxa"/>
            <w:hideMark/>
          </w:tcPr>
          <w:p w14:paraId="0E2D5862" w14:textId="77777777" w:rsidR="002B4ABD" w:rsidRPr="0098470E" w:rsidRDefault="002B4ABD" w:rsidP="00603215">
            <w:pPr>
              <w:pStyle w:val="DHHStabletext"/>
            </w:pPr>
            <w:r w:rsidRPr="0098470E">
              <w:t>Achievement</w:t>
            </w:r>
          </w:p>
        </w:tc>
        <w:tc>
          <w:tcPr>
            <w:tcW w:w="6739" w:type="dxa"/>
            <w:hideMark/>
          </w:tcPr>
          <w:p w14:paraId="4F8811E9" w14:textId="77777777" w:rsidR="002B4ABD" w:rsidRPr="0098470E" w:rsidRDefault="002B4ABD" w:rsidP="008D1E5D">
            <w:pPr>
              <w:pStyle w:val="DHHStabletext92mmtab"/>
            </w:pPr>
            <w:r w:rsidRPr="0098470E">
              <w:t>Less than or equal to 14%</w:t>
            </w:r>
            <w:r>
              <w:tab/>
              <w:t>Achieved</w:t>
            </w:r>
          </w:p>
          <w:p w14:paraId="47DF6498" w14:textId="3223F11D" w:rsidR="002B4ABD" w:rsidRPr="0098470E" w:rsidRDefault="002B4ABD" w:rsidP="008D1E5D">
            <w:pPr>
              <w:pStyle w:val="DHHStabletext92mmtab"/>
            </w:pPr>
            <w:r w:rsidRPr="0098470E">
              <w:t>Greater than 14%</w:t>
            </w:r>
            <w:r>
              <w:tab/>
              <w:t>Not achieved</w:t>
            </w:r>
          </w:p>
        </w:tc>
      </w:tr>
      <w:tr w:rsidR="00921922" w:rsidRPr="0098470E" w14:paraId="5885462C" w14:textId="77777777" w:rsidTr="00F12615">
        <w:trPr>
          <w:cantSplit/>
        </w:trPr>
        <w:tc>
          <w:tcPr>
            <w:tcW w:w="2560" w:type="dxa"/>
          </w:tcPr>
          <w:p w14:paraId="0C1F06A2" w14:textId="77777777" w:rsidR="00921922" w:rsidRDefault="00921922" w:rsidP="00603215">
            <w:pPr>
              <w:pStyle w:val="DHHStabletext"/>
            </w:pPr>
            <w:r>
              <w:t>Improvement</w:t>
            </w:r>
          </w:p>
        </w:tc>
        <w:tc>
          <w:tcPr>
            <w:tcW w:w="6739" w:type="dxa"/>
          </w:tcPr>
          <w:p w14:paraId="1D4E1B98" w14:textId="05687D7E" w:rsidR="00921922" w:rsidRDefault="00921922" w:rsidP="00603215">
            <w:pPr>
              <w:pStyle w:val="DHHStabletext"/>
            </w:pPr>
            <w:r>
              <w:t>For the purpose of the performance risk assessment, improvement is compared to previous quarter performance</w:t>
            </w:r>
            <w:r w:rsidR="00997351">
              <w:t>.</w:t>
            </w:r>
            <w:r>
              <w:t xml:space="preserve"> </w:t>
            </w:r>
          </w:p>
        </w:tc>
      </w:tr>
      <w:tr w:rsidR="00921922" w:rsidRPr="0098470E" w14:paraId="7899E3B5" w14:textId="77777777" w:rsidTr="00F12615">
        <w:trPr>
          <w:cantSplit/>
        </w:trPr>
        <w:tc>
          <w:tcPr>
            <w:tcW w:w="2560" w:type="dxa"/>
            <w:hideMark/>
          </w:tcPr>
          <w:p w14:paraId="0BE1E96B" w14:textId="77777777" w:rsidR="00921922" w:rsidRPr="0098470E" w:rsidRDefault="00921922" w:rsidP="00603215">
            <w:pPr>
              <w:pStyle w:val="DHHStabletext"/>
            </w:pPr>
            <w:r w:rsidRPr="0098470E">
              <w:t>Frequency of reporting and data collection</w:t>
            </w:r>
          </w:p>
        </w:tc>
        <w:tc>
          <w:tcPr>
            <w:tcW w:w="6739" w:type="dxa"/>
            <w:hideMark/>
          </w:tcPr>
          <w:p w14:paraId="74C462C4" w14:textId="77777777" w:rsidR="00921922" w:rsidRPr="0098470E" w:rsidRDefault="00921922" w:rsidP="00603215">
            <w:pPr>
              <w:pStyle w:val="DHHStabletext"/>
            </w:pPr>
            <w:r w:rsidRPr="0098470E">
              <w:t>Performance is monitored and assessed quarterly. In addition to quarterly monitoring, a performance result is generated annually based on the full year data.</w:t>
            </w:r>
          </w:p>
          <w:p w14:paraId="2D0E028C" w14:textId="14A2FB54" w:rsidR="00921922" w:rsidRPr="0098470E" w:rsidRDefault="00921922" w:rsidP="00603215">
            <w:pPr>
              <w:pStyle w:val="DHHStabletext"/>
            </w:pPr>
            <w:r w:rsidRPr="0098470E">
              <w:t>The 28-day lag inherent in the indicator means that reporting is lagged by one month. For example, quarter 2 will report the mental health results for separations occurring in the period September to November</w:t>
            </w:r>
            <w:r w:rsidR="00997351">
              <w:t>.</w:t>
            </w:r>
            <w:r w:rsidRPr="0098470E">
              <w:t xml:space="preserve"> </w:t>
            </w:r>
          </w:p>
          <w:p w14:paraId="0D848CC1" w14:textId="77777777" w:rsidR="00921922" w:rsidRPr="0098470E" w:rsidRDefault="00921922" w:rsidP="00603215">
            <w:pPr>
              <w:pStyle w:val="DHHStabletext"/>
            </w:pPr>
            <w:r w:rsidRPr="0098470E">
              <w:t>Performance is reported for the periods:</w:t>
            </w:r>
          </w:p>
          <w:p w14:paraId="31187E10" w14:textId="4D4DC42B" w:rsidR="00921922" w:rsidRPr="0098470E" w:rsidRDefault="00921922" w:rsidP="00603215">
            <w:pPr>
              <w:pStyle w:val="DHHStablebullet1"/>
            </w:pPr>
            <w:r w:rsidRPr="0098470E">
              <w:t>1 June to 31 August in quarter 1</w:t>
            </w:r>
          </w:p>
          <w:p w14:paraId="13A8FD43" w14:textId="7E756DAE" w:rsidR="00921922" w:rsidRPr="0098470E" w:rsidRDefault="00921922" w:rsidP="00603215">
            <w:pPr>
              <w:pStyle w:val="DHHStablebullet1"/>
            </w:pPr>
            <w:r w:rsidRPr="0098470E">
              <w:t>1 September to 30 November in quarter 2</w:t>
            </w:r>
          </w:p>
          <w:p w14:paraId="5508B7D3" w14:textId="46E4B326" w:rsidR="00921922" w:rsidRPr="0098470E" w:rsidRDefault="00921922" w:rsidP="00603215">
            <w:pPr>
              <w:pStyle w:val="DHHStablebullet1"/>
            </w:pPr>
            <w:r w:rsidRPr="0098470E">
              <w:t>1 December to 28 February in quarter 3</w:t>
            </w:r>
          </w:p>
          <w:p w14:paraId="4A80F43E" w14:textId="1CCCC642" w:rsidR="00921922" w:rsidRPr="0098470E" w:rsidRDefault="00921922" w:rsidP="00603215">
            <w:pPr>
              <w:pStyle w:val="DHHStablebullet1"/>
            </w:pPr>
            <w:r w:rsidRPr="0098470E">
              <w:t xml:space="preserve">1 March to 31 </w:t>
            </w:r>
            <w:r w:rsidR="007C4B88" w:rsidRPr="0098470E">
              <w:t>May in</w:t>
            </w:r>
            <w:r w:rsidRPr="0098470E">
              <w:t xml:space="preserve"> quarter 4.</w:t>
            </w:r>
          </w:p>
          <w:p w14:paraId="5026B927" w14:textId="77777777" w:rsidR="00921922" w:rsidRPr="0098470E" w:rsidRDefault="00921922" w:rsidP="00603215">
            <w:pPr>
              <w:pStyle w:val="DHHStabletext"/>
            </w:pPr>
            <w:r w:rsidRPr="0098470E">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6EF4575F" w14:textId="7443FAF9" w:rsidR="00F12615" w:rsidRPr="00961723" w:rsidRDefault="00F12615" w:rsidP="00F12615">
      <w:pPr>
        <w:pStyle w:val="DHHStablecaption"/>
      </w:pPr>
      <w:r>
        <w:lastRenderedPageBreak/>
        <w:t xml:space="preserve">Indicator: </w:t>
      </w:r>
      <w:r w:rsidR="00E405F2" w:rsidRPr="008A6C4E">
        <w:t>Rate of seclusion events relating to a child and adolescent acute mental health admission</w:t>
      </w:r>
    </w:p>
    <w:tbl>
      <w:tblPr>
        <w:tblStyle w:val="TableGrid"/>
        <w:tblW w:w="9299" w:type="dxa"/>
        <w:tblLook w:val="06A0" w:firstRow="1" w:lastRow="0" w:firstColumn="1" w:lastColumn="0" w:noHBand="1" w:noVBand="1"/>
      </w:tblPr>
      <w:tblGrid>
        <w:gridCol w:w="2539"/>
        <w:gridCol w:w="6760"/>
      </w:tblGrid>
      <w:tr w:rsidR="00D97737" w:rsidRPr="0098470E" w14:paraId="23DD6A61"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39" w:type="dxa"/>
          </w:tcPr>
          <w:p w14:paraId="5B364575" w14:textId="16D4F2ED" w:rsidR="00D97737" w:rsidRPr="008A6C4E" w:rsidRDefault="00D97737" w:rsidP="00D97737">
            <w:pPr>
              <w:pStyle w:val="DHHStablecolhead"/>
            </w:pPr>
            <w:r>
              <w:t>Element</w:t>
            </w:r>
          </w:p>
        </w:tc>
        <w:tc>
          <w:tcPr>
            <w:tcW w:w="6760" w:type="dxa"/>
          </w:tcPr>
          <w:p w14:paraId="4C1384E0" w14:textId="5802BB2C" w:rsidR="00D97737" w:rsidRPr="008A6C4E" w:rsidRDefault="00D97737" w:rsidP="00D97737">
            <w:pPr>
              <w:pStyle w:val="DHHStablecolhead"/>
            </w:pPr>
            <w:r>
              <w:t>Details</w:t>
            </w:r>
          </w:p>
        </w:tc>
      </w:tr>
      <w:tr w:rsidR="00921922" w:rsidRPr="0098470E" w14:paraId="7F5B93F7" w14:textId="77777777" w:rsidTr="00F12615">
        <w:trPr>
          <w:cantSplit/>
        </w:trPr>
        <w:tc>
          <w:tcPr>
            <w:tcW w:w="2539" w:type="dxa"/>
            <w:hideMark/>
          </w:tcPr>
          <w:p w14:paraId="0046DF63" w14:textId="77777777" w:rsidR="00921922" w:rsidRPr="0098470E" w:rsidRDefault="00921922" w:rsidP="00603215">
            <w:pPr>
              <w:pStyle w:val="DHHStabletext"/>
            </w:pPr>
            <w:r w:rsidRPr="0098470E">
              <w:t>Description</w:t>
            </w:r>
          </w:p>
        </w:tc>
        <w:tc>
          <w:tcPr>
            <w:tcW w:w="6760" w:type="dxa"/>
            <w:hideMark/>
          </w:tcPr>
          <w:p w14:paraId="39F48BC4" w14:textId="77777777" w:rsidR="00921922" w:rsidRDefault="00921922" w:rsidP="00603215">
            <w:pPr>
              <w:pStyle w:val="DHHStabletext"/>
            </w:pPr>
            <w:r w:rsidRPr="0098470E">
              <w:t>Reducing restraint and seclusion is a national safety priority, and incorporating this indicator ensures appropriate monitoring of seclusion use in child and adolescent mental health service (CAMHS) acute inpatient units in Victoria.</w:t>
            </w:r>
          </w:p>
          <w:p w14:paraId="75A2BDE3" w14:textId="77777777" w:rsidR="00921922" w:rsidRPr="0098470E" w:rsidRDefault="00921922" w:rsidP="00603215">
            <w:pPr>
              <w:pStyle w:val="DHHStabletext"/>
            </w:pPr>
            <w:r w:rsidRPr="0098470E">
              <w:t>This indicator is to measure any pe</w:t>
            </w:r>
            <w:r>
              <w:t>riod of seclusion relating to a child or adolescent</w:t>
            </w:r>
            <w:r w:rsidRPr="0098470E">
              <w:t xml:space="preserve"> acute admission</w:t>
            </w:r>
            <w:r>
              <w:t>.</w:t>
            </w:r>
          </w:p>
        </w:tc>
      </w:tr>
      <w:tr w:rsidR="00921922" w:rsidRPr="0098470E" w14:paraId="30F25E9E" w14:textId="77777777" w:rsidTr="00F12615">
        <w:trPr>
          <w:cantSplit/>
        </w:trPr>
        <w:tc>
          <w:tcPr>
            <w:tcW w:w="2539" w:type="dxa"/>
            <w:hideMark/>
          </w:tcPr>
          <w:p w14:paraId="77485726" w14:textId="77777777" w:rsidR="00921922" w:rsidRPr="0098470E" w:rsidRDefault="00921922" w:rsidP="00603215">
            <w:pPr>
              <w:pStyle w:val="DHHStabletext"/>
            </w:pPr>
            <w:r w:rsidRPr="0098470E">
              <w:t>Calculating performance</w:t>
            </w:r>
          </w:p>
        </w:tc>
        <w:tc>
          <w:tcPr>
            <w:tcW w:w="6760" w:type="dxa"/>
          </w:tcPr>
          <w:p w14:paraId="2D4446B7" w14:textId="77777777" w:rsidR="00921922" w:rsidRPr="0098470E" w:rsidRDefault="00921922" w:rsidP="00603215">
            <w:pPr>
              <w:pStyle w:val="DHHStabletext"/>
            </w:pPr>
            <w:r w:rsidRPr="0098470E">
              <w:t>This indicator comprises CAMHS acute inpatient services provided by public mental health services and includes all CAMHS acute admissions.</w:t>
            </w:r>
          </w:p>
          <w:p w14:paraId="2F59A257" w14:textId="77777777" w:rsidR="00921922" w:rsidRPr="0098470E" w:rsidRDefault="00921922" w:rsidP="00603215">
            <w:pPr>
              <w:pStyle w:val="DHHStabletext"/>
            </w:pPr>
            <w:r w:rsidRPr="0098470E">
              <w:t>Occupied bed days are calculated where the admission event type is one of the following:</w:t>
            </w:r>
          </w:p>
          <w:p w14:paraId="1CB59E80" w14:textId="77777777" w:rsidR="00921922" w:rsidRPr="0098470E" w:rsidRDefault="00921922" w:rsidP="00603215">
            <w:pPr>
              <w:pStyle w:val="DHHStablebullet1"/>
            </w:pPr>
            <w:r w:rsidRPr="0098470E">
              <w:t>SA (statistical admission)</w:t>
            </w:r>
          </w:p>
          <w:p w14:paraId="7E8E657E" w14:textId="77777777" w:rsidR="00921922" w:rsidRPr="0098470E" w:rsidRDefault="00921922" w:rsidP="00603215">
            <w:pPr>
              <w:pStyle w:val="DHHStablebullet1"/>
            </w:pPr>
            <w:r w:rsidRPr="0098470E">
              <w:t>R (return from leave)</w:t>
            </w:r>
          </w:p>
          <w:p w14:paraId="37D8A08A" w14:textId="77777777" w:rsidR="00921922" w:rsidRPr="0098470E" w:rsidRDefault="00921922" w:rsidP="00603215">
            <w:pPr>
              <w:pStyle w:val="DHHStablebullet1"/>
            </w:pPr>
            <w:r w:rsidRPr="0098470E">
              <w:t>A (admission – formal)</w:t>
            </w:r>
          </w:p>
          <w:p w14:paraId="0C939B16" w14:textId="77777777" w:rsidR="00921922" w:rsidRPr="0098470E" w:rsidRDefault="00921922" w:rsidP="00603215">
            <w:pPr>
              <w:pStyle w:val="DHHStablebullet1"/>
            </w:pPr>
            <w:r w:rsidRPr="0098470E">
              <w:t>T (ward transfer).</w:t>
            </w:r>
          </w:p>
          <w:p w14:paraId="15B16360" w14:textId="77777777" w:rsidR="00921922" w:rsidRPr="0098470E" w:rsidRDefault="00921922" w:rsidP="00603215">
            <w:pPr>
              <w:pStyle w:val="DHHStabletext"/>
            </w:pPr>
            <w:r w:rsidRPr="0098470E">
              <w:t>Leave events within an admission are excluded.</w:t>
            </w:r>
          </w:p>
          <w:p w14:paraId="513E1F2F" w14:textId="77777777" w:rsidR="00921922" w:rsidRPr="0098470E" w:rsidRDefault="00921922" w:rsidP="00603215">
            <w:pPr>
              <w:pStyle w:val="DHHStabletext"/>
            </w:pPr>
            <w:r w:rsidRPr="0098470E">
              <w:t>Admission events that do not have any temporal overlap with the reporting period are excluded. Only the minutes of the admission events that overlap with the reporting period are counted. The minutes for each CAMHS acute admission event are then summed and divided by 1,440 to give the total occupied bed days for the campus for the reporting period.</w:t>
            </w:r>
          </w:p>
          <w:p w14:paraId="573F2896" w14:textId="77777777" w:rsidR="00921922" w:rsidRPr="0098470E" w:rsidRDefault="00921922" w:rsidP="00603215">
            <w:pPr>
              <w:pStyle w:val="DHHStabletext"/>
            </w:pPr>
            <w:r w:rsidRPr="0098470E">
              <w:t>Any period of seclusion relating to a CAMHS acute admission ending in the reporting period is counted. The number of seclusions is divided by the number of occupied bed days. The quotient is then multiplied by 1,000.</w:t>
            </w:r>
          </w:p>
          <w:p w14:paraId="2D04EC84" w14:textId="77777777" w:rsidR="00921922" w:rsidRPr="0098470E" w:rsidRDefault="00921922" w:rsidP="00603215">
            <w:pPr>
              <w:pStyle w:val="DHHStabletext"/>
            </w:pPr>
            <w:r w:rsidRPr="0098470E">
              <w:t>CAMHS clients are identified by program type.</w:t>
            </w:r>
          </w:p>
        </w:tc>
      </w:tr>
      <w:tr w:rsidR="00921922" w:rsidRPr="0098470E" w14:paraId="1AC81ACC" w14:textId="77777777" w:rsidTr="00F12615">
        <w:trPr>
          <w:cantSplit/>
        </w:trPr>
        <w:tc>
          <w:tcPr>
            <w:tcW w:w="2539" w:type="dxa"/>
            <w:hideMark/>
          </w:tcPr>
          <w:p w14:paraId="5D24A4FE" w14:textId="77777777" w:rsidR="00921922" w:rsidRPr="0098470E" w:rsidRDefault="00921922" w:rsidP="00603215">
            <w:pPr>
              <w:pStyle w:val="DHHStabletext"/>
            </w:pPr>
            <w:r w:rsidRPr="0098470E">
              <w:t>Numerator</w:t>
            </w:r>
          </w:p>
        </w:tc>
        <w:tc>
          <w:tcPr>
            <w:tcW w:w="6760" w:type="dxa"/>
            <w:hideMark/>
          </w:tcPr>
          <w:p w14:paraId="61DA9D0E" w14:textId="15986414" w:rsidR="00921922" w:rsidRPr="0098470E" w:rsidRDefault="00921922" w:rsidP="00603215">
            <w:pPr>
              <w:pStyle w:val="DHHStabletext"/>
              <w:rPr>
                <w:lang w:val="en-US"/>
              </w:rPr>
            </w:pPr>
            <w:r w:rsidRPr="0098470E">
              <w:t>CAMHS acute seclusion events during the reference period</w:t>
            </w:r>
            <w:r w:rsidR="00BE2DCF">
              <w:t>.</w:t>
            </w:r>
          </w:p>
        </w:tc>
      </w:tr>
      <w:tr w:rsidR="00921922" w:rsidRPr="0098470E" w14:paraId="280E62C5" w14:textId="77777777" w:rsidTr="00F12615">
        <w:trPr>
          <w:cantSplit/>
        </w:trPr>
        <w:tc>
          <w:tcPr>
            <w:tcW w:w="2539" w:type="dxa"/>
            <w:hideMark/>
          </w:tcPr>
          <w:p w14:paraId="09B8CF7E" w14:textId="77777777" w:rsidR="00921922" w:rsidRPr="0098470E" w:rsidRDefault="00921922" w:rsidP="00603215">
            <w:pPr>
              <w:pStyle w:val="DHHStabletext"/>
            </w:pPr>
            <w:r w:rsidRPr="0098470E">
              <w:t xml:space="preserve">Denominator </w:t>
            </w:r>
          </w:p>
        </w:tc>
        <w:tc>
          <w:tcPr>
            <w:tcW w:w="6760" w:type="dxa"/>
            <w:hideMark/>
          </w:tcPr>
          <w:p w14:paraId="11FCBDEA" w14:textId="1243FDC1" w:rsidR="00921922" w:rsidRPr="0098470E" w:rsidRDefault="00921922" w:rsidP="00603215">
            <w:pPr>
              <w:pStyle w:val="DHHStabletext"/>
              <w:rPr>
                <w:lang w:val="en-US"/>
              </w:rPr>
            </w:pPr>
            <w:r w:rsidRPr="0098470E">
              <w:t>Total CAMHS acute occupied bed days during the reference period</w:t>
            </w:r>
            <w:r w:rsidR="00BE2DCF">
              <w:t>.</w:t>
            </w:r>
          </w:p>
        </w:tc>
      </w:tr>
      <w:tr w:rsidR="00921922" w:rsidRPr="0098470E" w14:paraId="19917207" w14:textId="77777777" w:rsidTr="00F12615">
        <w:trPr>
          <w:cantSplit/>
        </w:trPr>
        <w:tc>
          <w:tcPr>
            <w:tcW w:w="2539" w:type="dxa"/>
            <w:hideMark/>
          </w:tcPr>
          <w:p w14:paraId="4AEFF236" w14:textId="77777777" w:rsidR="00921922" w:rsidRPr="0098470E" w:rsidRDefault="00921922" w:rsidP="00603215">
            <w:pPr>
              <w:pStyle w:val="DHHStabletext"/>
            </w:pPr>
            <w:r w:rsidRPr="0098470E">
              <w:t>Statewide target</w:t>
            </w:r>
          </w:p>
        </w:tc>
        <w:tc>
          <w:tcPr>
            <w:tcW w:w="6760" w:type="dxa"/>
            <w:hideMark/>
          </w:tcPr>
          <w:p w14:paraId="722BE8DE" w14:textId="556A8837" w:rsidR="00921922" w:rsidRPr="0054030C" w:rsidRDefault="00921922" w:rsidP="00603215">
            <w:pPr>
              <w:pStyle w:val="DHHStabletext"/>
            </w:pPr>
            <w:r w:rsidRPr="0054030C">
              <w:t>≤</w:t>
            </w:r>
            <w:r>
              <w:t xml:space="preserve"> </w:t>
            </w:r>
            <w:r w:rsidRPr="0054030C">
              <w:t>15 seclusions per 1,000 bed days (&lt; 15/1,000)</w:t>
            </w:r>
            <w:r w:rsidR="00BE2DCF">
              <w:t>.</w:t>
            </w:r>
          </w:p>
        </w:tc>
      </w:tr>
      <w:tr w:rsidR="002B4ABD" w:rsidRPr="0098470E" w14:paraId="467324C7" w14:textId="77777777" w:rsidTr="002B4ABD">
        <w:trPr>
          <w:cantSplit/>
        </w:trPr>
        <w:tc>
          <w:tcPr>
            <w:tcW w:w="2539" w:type="dxa"/>
            <w:hideMark/>
          </w:tcPr>
          <w:p w14:paraId="7BD0473D" w14:textId="77777777" w:rsidR="002B4ABD" w:rsidRPr="0098470E" w:rsidRDefault="002B4ABD" w:rsidP="00603215">
            <w:pPr>
              <w:pStyle w:val="DHHStabletext"/>
            </w:pPr>
            <w:r w:rsidRPr="0098470E">
              <w:t>Achievement</w:t>
            </w:r>
          </w:p>
        </w:tc>
        <w:tc>
          <w:tcPr>
            <w:tcW w:w="6760" w:type="dxa"/>
            <w:hideMark/>
          </w:tcPr>
          <w:p w14:paraId="02B9E18D" w14:textId="77777777" w:rsidR="002B4ABD" w:rsidRPr="0098470E" w:rsidRDefault="002B4ABD" w:rsidP="00540406">
            <w:pPr>
              <w:pStyle w:val="DHHStabletext92mmtab"/>
            </w:pPr>
            <w:r w:rsidRPr="0098470E">
              <w:t>Less than or equal to &lt; 15/1,000</w:t>
            </w:r>
            <w:r>
              <w:tab/>
              <w:t>Achieved</w:t>
            </w:r>
          </w:p>
          <w:p w14:paraId="2D4B8D29" w14:textId="300E893C" w:rsidR="002B4ABD" w:rsidRPr="0098470E" w:rsidRDefault="002B4ABD" w:rsidP="00540406">
            <w:pPr>
              <w:pStyle w:val="DHHStabletext92mmtab"/>
            </w:pPr>
            <w:r w:rsidRPr="0098470E">
              <w:t>Greater than &gt; 15/1,000</w:t>
            </w:r>
            <w:r>
              <w:tab/>
              <w:t>Not achieved</w:t>
            </w:r>
          </w:p>
        </w:tc>
      </w:tr>
      <w:tr w:rsidR="00921922" w:rsidRPr="0098470E" w14:paraId="3C3BB608" w14:textId="77777777" w:rsidTr="00F12615">
        <w:trPr>
          <w:cantSplit/>
        </w:trPr>
        <w:tc>
          <w:tcPr>
            <w:tcW w:w="2539" w:type="dxa"/>
          </w:tcPr>
          <w:p w14:paraId="3C50E584" w14:textId="77777777" w:rsidR="00921922" w:rsidRDefault="00921922" w:rsidP="00603215">
            <w:pPr>
              <w:pStyle w:val="DHHStabletext"/>
            </w:pPr>
            <w:r>
              <w:t>Improvement</w:t>
            </w:r>
          </w:p>
        </w:tc>
        <w:tc>
          <w:tcPr>
            <w:tcW w:w="6760" w:type="dxa"/>
          </w:tcPr>
          <w:p w14:paraId="0681CA54" w14:textId="6FE4713D" w:rsidR="00921922" w:rsidRDefault="00921922" w:rsidP="00603215">
            <w:pPr>
              <w:pStyle w:val="DHHStabletext"/>
            </w:pPr>
            <w:r>
              <w:t>For the purpose of the performance risk assessment, improvement is compared to previous quarter performance</w:t>
            </w:r>
            <w:r w:rsidR="006A2EC8">
              <w:t>.</w:t>
            </w:r>
            <w:r>
              <w:t xml:space="preserve"> </w:t>
            </w:r>
          </w:p>
        </w:tc>
      </w:tr>
      <w:tr w:rsidR="00921922" w:rsidRPr="0098470E" w14:paraId="3AD72768" w14:textId="77777777" w:rsidTr="00F12615">
        <w:trPr>
          <w:cantSplit/>
        </w:trPr>
        <w:tc>
          <w:tcPr>
            <w:tcW w:w="2539" w:type="dxa"/>
            <w:hideMark/>
          </w:tcPr>
          <w:p w14:paraId="59C32F9D" w14:textId="77777777" w:rsidR="00921922" w:rsidRPr="0098470E" w:rsidRDefault="00921922" w:rsidP="00603215">
            <w:pPr>
              <w:pStyle w:val="DHHStabletext"/>
            </w:pPr>
            <w:r w:rsidRPr="0098470E">
              <w:t>Frequency of reporting and data collection</w:t>
            </w:r>
          </w:p>
        </w:tc>
        <w:tc>
          <w:tcPr>
            <w:tcW w:w="6760" w:type="dxa"/>
            <w:hideMark/>
          </w:tcPr>
          <w:p w14:paraId="30068AA7" w14:textId="77777777" w:rsidR="00921922" w:rsidRPr="0098470E" w:rsidRDefault="00921922" w:rsidP="00603215">
            <w:pPr>
              <w:pStyle w:val="DHHStabletext"/>
            </w:pPr>
            <w:r w:rsidRPr="0098470E">
              <w:t>Performance is monitored and assessed quarterly for the periods:</w:t>
            </w:r>
          </w:p>
          <w:p w14:paraId="060202BC" w14:textId="747C4544" w:rsidR="00921922" w:rsidRPr="0098470E" w:rsidRDefault="00921922" w:rsidP="00603215">
            <w:pPr>
              <w:pStyle w:val="DHHStablebullet1"/>
            </w:pPr>
            <w:r w:rsidRPr="0098470E">
              <w:t>1 July to 30 September in quarter 1</w:t>
            </w:r>
          </w:p>
          <w:p w14:paraId="162FA683" w14:textId="1A1E9AC2" w:rsidR="00921922" w:rsidRPr="0098470E" w:rsidRDefault="00921922" w:rsidP="00603215">
            <w:pPr>
              <w:pStyle w:val="DHHStablebullet1"/>
            </w:pPr>
            <w:r w:rsidRPr="0098470E">
              <w:t>1 October to 31 December in quarter 2</w:t>
            </w:r>
          </w:p>
          <w:p w14:paraId="3D13BC9E" w14:textId="524AAD5D" w:rsidR="00921922" w:rsidRPr="0098470E" w:rsidRDefault="00921922" w:rsidP="00603215">
            <w:pPr>
              <w:pStyle w:val="DHHStablebullet1"/>
            </w:pPr>
            <w:r w:rsidRPr="0098470E">
              <w:t>1 January to 31 March in quarter 3</w:t>
            </w:r>
          </w:p>
          <w:p w14:paraId="3937C8C0" w14:textId="3D0D3CFF" w:rsidR="00921922" w:rsidRPr="0098470E" w:rsidRDefault="00921922" w:rsidP="00603215">
            <w:pPr>
              <w:pStyle w:val="DHHStablebullet1"/>
            </w:pPr>
            <w:r w:rsidRPr="0098470E">
              <w:t>1 April to 30 June in quarter 4.</w:t>
            </w:r>
          </w:p>
          <w:p w14:paraId="2C1D2EF0" w14:textId="77777777" w:rsidR="00921922" w:rsidRPr="0098470E" w:rsidRDefault="00921922" w:rsidP="00603215">
            <w:pPr>
              <w:pStyle w:val="DHHStabletext"/>
            </w:pPr>
            <w:r w:rsidRPr="0098470E">
              <w:t>In addition to quarterly monitoring, a performance result is generated annually based on the full year data.</w:t>
            </w:r>
          </w:p>
          <w:p w14:paraId="769E8813" w14:textId="77777777" w:rsidR="00921922" w:rsidRPr="0098470E" w:rsidRDefault="00921922" w:rsidP="00603215">
            <w:pPr>
              <w:pStyle w:val="DHHStabletext"/>
            </w:pPr>
            <w:r w:rsidRPr="0098470E">
              <w:t>The data source for this indicator is the Client Management Interface (CMI), which is the local client information system used by each public mental health service. It also uses the Operational Data Store (ODS), which manages a set of select data items from each CMI. The data source is CMI/ODS.</w:t>
            </w:r>
          </w:p>
        </w:tc>
      </w:tr>
    </w:tbl>
    <w:p w14:paraId="6C36AB8C" w14:textId="1F572D43" w:rsidR="00F12615" w:rsidRPr="00961723" w:rsidRDefault="00F12615" w:rsidP="00F12615">
      <w:pPr>
        <w:pStyle w:val="DHHStablecaption"/>
      </w:pPr>
      <w:r>
        <w:lastRenderedPageBreak/>
        <w:t xml:space="preserve">Indicator: </w:t>
      </w:r>
      <w:r w:rsidR="00E405F2" w:rsidRPr="008A6C4E">
        <w:t>Rate of seclusion events relating to an adult acute mental health admission</w:t>
      </w:r>
    </w:p>
    <w:tbl>
      <w:tblPr>
        <w:tblStyle w:val="TableGrid"/>
        <w:tblW w:w="9299" w:type="dxa"/>
        <w:tblLook w:val="06A0" w:firstRow="1" w:lastRow="0" w:firstColumn="1" w:lastColumn="0" w:noHBand="1" w:noVBand="1"/>
      </w:tblPr>
      <w:tblGrid>
        <w:gridCol w:w="2531"/>
        <w:gridCol w:w="6768"/>
      </w:tblGrid>
      <w:tr w:rsidR="00D97737" w:rsidRPr="0098470E" w14:paraId="1CA782EB"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31" w:type="dxa"/>
          </w:tcPr>
          <w:p w14:paraId="4DB4B993" w14:textId="55D8CBD8" w:rsidR="00D97737" w:rsidRPr="008A6C4E" w:rsidRDefault="00D97737" w:rsidP="00D97737">
            <w:pPr>
              <w:pStyle w:val="DHHStablecolhead"/>
            </w:pPr>
            <w:r>
              <w:t>Element</w:t>
            </w:r>
          </w:p>
        </w:tc>
        <w:tc>
          <w:tcPr>
            <w:tcW w:w="6768" w:type="dxa"/>
          </w:tcPr>
          <w:p w14:paraId="294023BB" w14:textId="1CC98DE8" w:rsidR="00D97737" w:rsidRPr="008A6C4E" w:rsidRDefault="00D97737" w:rsidP="00D97737">
            <w:pPr>
              <w:pStyle w:val="DHHStablecolhead"/>
            </w:pPr>
            <w:r>
              <w:t>Details</w:t>
            </w:r>
          </w:p>
        </w:tc>
      </w:tr>
      <w:tr w:rsidR="00921922" w:rsidRPr="0098470E" w14:paraId="62111F90" w14:textId="77777777" w:rsidTr="00F12615">
        <w:trPr>
          <w:cantSplit/>
        </w:trPr>
        <w:tc>
          <w:tcPr>
            <w:tcW w:w="2531" w:type="dxa"/>
            <w:hideMark/>
          </w:tcPr>
          <w:p w14:paraId="61563DDF" w14:textId="77777777" w:rsidR="00921922" w:rsidRPr="0098470E" w:rsidRDefault="00921922" w:rsidP="00603215">
            <w:pPr>
              <w:pStyle w:val="DHHStabletext"/>
            </w:pPr>
            <w:r w:rsidRPr="0098470E">
              <w:t>Description</w:t>
            </w:r>
          </w:p>
        </w:tc>
        <w:tc>
          <w:tcPr>
            <w:tcW w:w="6768" w:type="dxa"/>
            <w:hideMark/>
          </w:tcPr>
          <w:p w14:paraId="44907F4F" w14:textId="77777777" w:rsidR="00921922" w:rsidRDefault="00921922" w:rsidP="00603215">
            <w:pPr>
              <w:pStyle w:val="DHHStabletext"/>
            </w:pPr>
            <w:r w:rsidRPr="0098470E">
              <w:t>Reducing restraint and seclusion is a national safety priority, and incorporating this indicator ensures appropriate monitoring of seclusion use in adult acute inpatient units in Victoria.</w:t>
            </w:r>
          </w:p>
          <w:p w14:paraId="7670D7BB" w14:textId="77777777" w:rsidR="00921922" w:rsidRPr="0098470E" w:rsidRDefault="00921922" w:rsidP="00603215">
            <w:pPr>
              <w:pStyle w:val="DHHStabletext"/>
            </w:pPr>
            <w:r w:rsidRPr="0098470E">
              <w:t>This indicator is to measure any period of seclusion relating to an adult acute admission.</w:t>
            </w:r>
          </w:p>
        </w:tc>
      </w:tr>
      <w:tr w:rsidR="00921922" w:rsidRPr="0098470E" w14:paraId="0BE7CCC3" w14:textId="77777777" w:rsidTr="00F12615">
        <w:trPr>
          <w:cantSplit/>
        </w:trPr>
        <w:tc>
          <w:tcPr>
            <w:tcW w:w="2531" w:type="dxa"/>
            <w:hideMark/>
          </w:tcPr>
          <w:p w14:paraId="45F4B041" w14:textId="77777777" w:rsidR="00921922" w:rsidRPr="0098470E" w:rsidRDefault="00921922" w:rsidP="00603215">
            <w:pPr>
              <w:pStyle w:val="DHHStabletext"/>
            </w:pPr>
            <w:r w:rsidRPr="0098470E">
              <w:t>Calculating performance</w:t>
            </w:r>
          </w:p>
        </w:tc>
        <w:tc>
          <w:tcPr>
            <w:tcW w:w="6768" w:type="dxa"/>
          </w:tcPr>
          <w:p w14:paraId="571A7864" w14:textId="77777777" w:rsidR="00921922" w:rsidRPr="0098470E" w:rsidRDefault="00921922" w:rsidP="00603215">
            <w:pPr>
              <w:pStyle w:val="DHHStabletext"/>
            </w:pPr>
            <w:r w:rsidRPr="0098470E">
              <w:t>This indicator comprises adult acute inpatient services provided by public mental health services and includes adult acute admissions as well as patients at ORYGEN Youth Health Melbourne Clinic campus. Occupied bed days are calculated where the admission event type is one of the following:</w:t>
            </w:r>
          </w:p>
          <w:p w14:paraId="2D8978CF" w14:textId="77777777" w:rsidR="00921922" w:rsidRPr="0098470E" w:rsidRDefault="00921922" w:rsidP="00603215">
            <w:pPr>
              <w:pStyle w:val="DHHStablebullet1"/>
            </w:pPr>
            <w:r w:rsidRPr="0098470E">
              <w:t>SA (statistical admission)</w:t>
            </w:r>
          </w:p>
          <w:p w14:paraId="0DEC66EF" w14:textId="77777777" w:rsidR="00921922" w:rsidRPr="0098470E" w:rsidRDefault="00921922" w:rsidP="00603215">
            <w:pPr>
              <w:pStyle w:val="DHHStablebullet1"/>
            </w:pPr>
            <w:r w:rsidRPr="0098470E">
              <w:t>R (return from leave)</w:t>
            </w:r>
          </w:p>
          <w:p w14:paraId="4135881C" w14:textId="77777777" w:rsidR="00921922" w:rsidRPr="0098470E" w:rsidRDefault="00921922" w:rsidP="00603215">
            <w:pPr>
              <w:pStyle w:val="DHHStablebullet1"/>
            </w:pPr>
            <w:r w:rsidRPr="0098470E">
              <w:t>A (admission – formal)</w:t>
            </w:r>
          </w:p>
          <w:p w14:paraId="3DB3773C" w14:textId="77777777" w:rsidR="00921922" w:rsidRPr="0098470E" w:rsidRDefault="00921922" w:rsidP="00603215">
            <w:pPr>
              <w:pStyle w:val="DHHStablebullet1"/>
            </w:pPr>
            <w:r w:rsidRPr="0098470E">
              <w:t>T (ward transfer).</w:t>
            </w:r>
          </w:p>
          <w:p w14:paraId="28F20334" w14:textId="77777777" w:rsidR="00921922" w:rsidRPr="0098470E" w:rsidRDefault="00921922" w:rsidP="00603215">
            <w:pPr>
              <w:pStyle w:val="DHHStabletext"/>
            </w:pPr>
            <w:r w:rsidRPr="0098470E">
              <w:t>Leave events within an admission are excluded.</w:t>
            </w:r>
          </w:p>
          <w:p w14:paraId="6771A387" w14:textId="77777777" w:rsidR="00921922" w:rsidRPr="0098470E" w:rsidRDefault="00921922" w:rsidP="00603215">
            <w:pPr>
              <w:pStyle w:val="DHHStabletext"/>
            </w:pPr>
            <w:r w:rsidRPr="0098470E">
              <w:t>Admission events that do not have any temporal overlap with the reporting period are excluded. Only the minutes of the admission events that overlap with the reporting period are counted. The minutes for each adult acute admission event are then summed and divided by 1,440 to give the total occupied bed days for the campus for the reporting period.</w:t>
            </w:r>
          </w:p>
          <w:p w14:paraId="0D9B5062" w14:textId="77777777" w:rsidR="00921922" w:rsidRPr="0098470E" w:rsidRDefault="00921922" w:rsidP="00603215">
            <w:pPr>
              <w:pStyle w:val="DHHStabletext"/>
            </w:pPr>
            <w:r w:rsidRPr="0098470E">
              <w:t>Any period of seclusion relating to an adult acute admission ending in the reporting period is counted. The number of seclusions is divided by the number of occupied bed days. The quotient is then multiplied by 1,000.</w:t>
            </w:r>
          </w:p>
          <w:p w14:paraId="1A676704" w14:textId="77777777" w:rsidR="00921922" w:rsidRPr="0098470E" w:rsidRDefault="00921922" w:rsidP="00603215">
            <w:pPr>
              <w:pStyle w:val="DHHStabletext"/>
            </w:pPr>
            <w:r w:rsidRPr="0098470E">
              <w:t>Improvement is compared to previous quarter performance.</w:t>
            </w:r>
          </w:p>
        </w:tc>
      </w:tr>
      <w:tr w:rsidR="00921922" w:rsidRPr="0098470E" w14:paraId="6F6EDB9D" w14:textId="77777777" w:rsidTr="00F12615">
        <w:trPr>
          <w:cantSplit/>
        </w:trPr>
        <w:tc>
          <w:tcPr>
            <w:tcW w:w="2531" w:type="dxa"/>
            <w:hideMark/>
          </w:tcPr>
          <w:p w14:paraId="56A7132E" w14:textId="77777777" w:rsidR="00921922" w:rsidRPr="0098470E" w:rsidRDefault="00921922" w:rsidP="00603215">
            <w:pPr>
              <w:pStyle w:val="DHHStabletext"/>
            </w:pPr>
            <w:r w:rsidRPr="0098470E">
              <w:t>Numerator</w:t>
            </w:r>
          </w:p>
        </w:tc>
        <w:tc>
          <w:tcPr>
            <w:tcW w:w="6768" w:type="dxa"/>
            <w:hideMark/>
          </w:tcPr>
          <w:p w14:paraId="6297AA58" w14:textId="32B99DFC" w:rsidR="00921922" w:rsidRPr="0098470E" w:rsidRDefault="00921922" w:rsidP="00603215">
            <w:pPr>
              <w:pStyle w:val="DHHStabletext"/>
              <w:rPr>
                <w:lang w:val="en-US"/>
              </w:rPr>
            </w:pPr>
            <w:r w:rsidRPr="0098470E">
              <w:t>Adult acute seclusion events during the reference period</w:t>
            </w:r>
            <w:r w:rsidR="001B51BB">
              <w:t>.</w:t>
            </w:r>
          </w:p>
        </w:tc>
      </w:tr>
      <w:tr w:rsidR="00921922" w:rsidRPr="0098470E" w14:paraId="7A16E94B" w14:textId="77777777" w:rsidTr="00F12615">
        <w:trPr>
          <w:cantSplit/>
        </w:trPr>
        <w:tc>
          <w:tcPr>
            <w:tcW w:w="2531" w:type="dxa"/>
            <w:hideMark/>
          </w:tcPr>
          <w:p w14:paraId="0AEC1A96" w14:textId="77777777" w:rsidR="00921922" w:rsidRPr="0098470E" w:rsidRDefault="00921922" w:rsidP="00603215">
            <w:pPr>
              <w:pStyle w:val="DHHStabletext"/>
            </w:pPr>
            <w:r w:rsidRPr="0098470E">
              <w:t xml:space="preserve">Denominator </w:t>
            </w:r>
          </w:p>
        </w:tc>
        <w:tc>
          <w:tcPr>
            <w:tcW w:w="6768" w:type="dxa"/>
            <w:hideMark/>
          </w:tcPr>
          <w:p w14:paraId="1EC4AC69" w14:textId="15EE8FD6" w:rsidR="00921922" w:rsidRPr="0098470E" w:rsidRDefault="00921922" w:rsidP="00603215">
            <w:pPr>
              <w:pStyle w:val="DHHStabletext"/>
              <w:rPr>
                <w:lang w:val="en-US"/>
              </w:rPr>
            </w:pPr>
            <w:r w:rsidRPr="0098470E">
              <w:t>Total adult acute occupied bed days during the reference period</w:t>
            </w:r>
            <w:r w:rsidR="001B51BB">
              <w:t>.</w:t>
            </w:r>
          </w:p>
        </w:tc>
      </w:tr>
      <w:tr w:rsidR="00921922" w:rsidRPr="0098470E" w14:paraId="6286374A" w14:textId="77777777" w:rsidTr="00F12615">
        <w:trPr>
          <w:cantSplit/>
        </w:trPr>
        <w:tc>
          <w:tcPr>
            <w:tcW w:w="2531" w:type="dxa"/>
            <w:hideMark/>
          </w:tcPr>
          <w:p w14:paraId="5C00E871" w14:textId="77777777" w:rsidR="00921922" w:rsidRPr="0098470E" w:rsidRDefault="00921922" w:rsidP="00603215">
            <w:pPr>
              <w:pStyle w:val="DHHStabletext"/>
            </w:pPr>
            <w:r w:rsidRPr="0098470E">
              <w:t>Statewide target</w:t>
            </w:r>
          </w:p>
        </w:tc>
        <w:tc>
          <w:tcPr>
            <w:tcW w:w="6768" w:type="dxa"/>
            <w:hideMark/>
          </w:tcPr>
          <w:p w14:paraId="29E21D2E" w14:textId="7C10BC8F" w:rsidR="00921922" w:rsidRPr="0054030C" w:rsidRDefault="00921922" w:rsidP="00603215">
            <w:pPr>
              <w:pStyle w:val="DHHStabletext"/>
            </w:pPr>
            <w:r w:rsidRPr="0054030C">
              <w:t>≤</w:t>
            </w:r>
            <w:r>
              <w:t xml:space="preserve"> </w:t>
            </w:r>
            <w:r w:rsidRPr="0054030C">
              <w:t>15 seclusions per 1,000 bed days (&lt; 15/1,000)</w:t>
            </w:r>
            <w:r w:rsidR="001B51BB">
              <w:t>.</w:t>
            </w:r>
          </w:p>
        </w:tc>
      </w:tr>
      <w:tr w:rsidR="002B4ABD" w:rsidRPr="0098470E" w14:paraId="6887E4D0" w14:textId="77777777" w:rsidTr="002B4ABD">
        <w:trPr>
          <w:cantSplit/>
        </w:trPr>
        <w:tc>
          <w:tcPr>
            <w:tcW w:w="2531" w:type="dxa"/>
            <w:hideMark/>
          </w:tcPr>
          <w:p w14:paraId="5203F9F5" w14:textId="77777777" w:rsidR="002B4ABD" w:rsidRPr="0098470E" w:rsidRDefault="002B4ABD" w:rsidP="00603215">
            <w:pPr>
              <w:pStyle w:val="DHHStabletext"/>
            </w:pPr>
            <w:r w:rsidRPr="0098470E">
              <w:t>Achievement</w:t>
            </w:r>
          </w:p>
        </w:tc>
        <w:tc>
          <w:tcPr>
            <w:tcW w:w="6768" w:type="dxa"/>
            <w:hideMark/>
          </w:tcPr>
          <w:p w14:paraId="5193E0B9" w14:textId="77777777" w:rsidR="002B4ABD" w:rsidRPr="0098470E" w:rsidRDefault="002B4ABD" w:rsidP="00540406">
            <w:pPr>
              <w:pStyle w:val="DHHStabletext92mmtab"/>
            </w:pPr>
            <w:r>
              <w:t>Less than or equal to</w:t>
            </w:r>
            <w:r w:rsidRPr="0098470E">
              <w:t xml:space="preserve"> 15/1,000</w:t>
            </w:r>
            <w:r>
              <w:tab/>
              <w:t>Achieved</w:t>
            </w:r>
          </w:p>
          <w:p w14:paraId="7439CD5A" w14:textId="312109C0" w:rsidR="002B4ABD" w:rsidRPr="0098470E" w:rsidRDefault="002B4ABD" w:rsidP="00540406">
            <w:pPr>
              <w:pStyle w:val="DHHStabletext92mmtab"/>
            </w:pPr>
            <w:r w:rsidRPr="0098470E">
              <w:t>Greater than &gt; 15/1,000</w:t>
            </w:r>
            <w:r>
              <w:tab/>
              <w:t>Not achieved</w:t>
            </w:r>
          </w:p>
        </w:tc>
      </w:tr>
      <w:tr w:rsidR="00921922" w:rsidRPr="0098470E" w14:paraId="4C1810F6" w14:textId="77777777" w:rsidTr="00F12615">
        <w:trPr>
          <w:cantSplit/>
        </w:trPr>
        <w:tc>
          <w:tcPr>
            <w:tcW w:w="2531" w:type="dxa"/>
          </w:tcPr>
          <w:p w14:paraId="0FB0C3A3" w14:textId="77777777" w:rsidR="00921922" w:rsidRDefault="00921922" w:rsidP="00603215">
            <w:pPr>
              <w:pStyle w:val="DHHStabletext"/>
            </w:pPr>
            <w:r>
              <w:t>Improvement</w:t>
            </w:r>
          </w:p>
        </w:tc>
        <w:tc>
          <w:tcPr>
            <w:tcW w:w="6768" w:type="dxa"/>
          </w:tcPr>
          <w:p w14:paraId="0B4E0B66" w14:textId="76DEA24C" w:rsidR="00921922" w:rsidRDefault="00921922" w:rsidP="00603215">
            <w:pPr>
              <w:pStyle w:val="DHHStabletext"/>
            </w:pPr>
            <w:r>
              <w:t>For the purpose of the performance risk assessment, improvement is compared to previous quarter performance</w:t>
            </w:r>
            <w:r w:rsidR="001B51BB">
              <w:t>.</w:t>
            </w:r>
          </w:p>
        </w:tc>
      </w:tr>
      <w:tr w:rsidR="00921922" w:rsidRPr="0098470E" w14:paraId="66342D6B" w14:textId="77777777" w:rsidTr="00F12615">
        <w:trPr>
          <w:cantSplit/>
        </w:trPr>
        <w:tc>
          <w:tcPr>
            <w:tcW w:w="2531" w:type="dxa"/>
            <w:hideMark/>
          </w:tcPr>
          <w:p w14:paraId="524F7D17" w14:textId="77777777" w:rsidR="00921922" w:rsidRPr="0098470E" w:rsidRDefault="00921922" w:rsidP="00603215">
            <w:pPr>
              <w:pStyle w:val="DHHStabletext"/>
            </w:pPr>
            <w:r w:rsidRPr="0098470E">
              <w:t>Frequency of reporting and data collection</w:t>
            </w:r>
          </w:p>
        </w:tc>
        <w:tc>
          <w:tcPr>
            <w:tcW w:w="6768" w:type="dxa"/>
            <w:hideMark/>
          </w:tcPr>
          <w:p w14:paraId="4E7EBF62" w14:textId="77777777" w:rsidR="00921922" w:rsidRPr="0098470E" w:rsidRDefault="00921922" w:rsidP="00603215">
            <w:pPr>
              <w:pStyle w:val="DHHStabletext"/>
            </w:pPr>
            <w:r w:rsidRPr="0098470E">
              <w:t>Performance is monitored and assessed quarterly for the periods:</w:t>
            </w:r>
          </w:p>
          <w:p w14:paraId="6F80FF3F" w14:textId="63D8A809" w:rsidR="00921922" w:rsidRPr="0098470E" w:rsidRDefault="00921922" w:rsidP="00603215">
            <w:pPr>
              <w:pStyle w:val="DHHStablebullet1"/>
            </w:pPr>
            <w:r w:rsidRPr="0098470E">
              <w:t>1 July to 30 September in quarter 1</w:t>
            </w:r>
          </w:p>
          <w:p w14:paraId="42CCFC43" w14:textId="6548EFB4" w:rsidR="00921922" w:rsidRPr="0098470E" w:rsidRDefault="00921922" w:rsidP="00603215">
            <w:pPr>
              <w:pStyle w:val="DHHStablebullet1"/>
            </w:pPr>
            <w:r w:rsidRPr="0098470E">
              <w:t>1 October to 31 December in quarter 2</w:t>
            </w:r>
          </w:p>
          <w:p w14:paraId="4CF6713A" w14:textId="2744E84D" w:rsidR="00921922" w:rsidRPr="0098470E" w:rsidRDefault="00921922" w:rsidP="00603215">
            <w:pPr>
              <w:pStyle w:val="DHHStablebullet1"/>
            </w:pPr>
            <w:r w:rsidRPr="0098470E">
              <w:t>1 January to 31 March in quarter 3</w:t>
            </w:r>
          </w:p>
          <w:p w14:paraId="2562A493" w14:textId="1776BE9A" w:rsidR="00921922" w:rsidRPr="0098470E" w:rsidRDefault="00921922" w:rsidP="00603215">
            <w:pPr>
              <w:pStyle w:val="DHHStablebullet1"/>
            </w:pPr>
            <w:r w:rsidRPr="0098470E">
              <w:t>1 April to 30 June in quarter 4.</w:t>
            </w:r>
          </w:p>
          <w:p w14:paraId="54506176" w14:textId="77777777" w:rsidR="00921922" w:rsidRPr="0098470E" w:rsidRDefault="00921922" w:rsidP="00603215">
            <w:pPr>
              <w:pStyle w:val="DHHStabletext"/>
            </w:pPr>
            <w:r w:rsidRPr="0098470E">
              <w:t>In addition to quarterly monitoring, a performance result is generated annually based on the full year data.</w:t>
            </w:r>
          </w:p>
          <w:p w14:paraId="2AB7BF57" w14:textId="77777777" w:rsidR="00921922" w:rsidRPr="0098470E" w:rsidRDefault="00921922" w:rsidP="00603215">
            <w:pPr>
              <w:pStyle w:val="DHHStabletext"/>
            </w:pPr>
            <w:r w:rsidRPr="0098470E">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5C8A8D95" w14:textId="17643457" w:rsidR="00F12615" w:rsidRPr="00961723" w:rsidRDefault="00F12615" w:rsidP="00F12615">
      <w:pPr>
        <w:pStyle w:val="DHHStablecaption"/>
      </w:pPr>
      <w:r>
        <w:lastRenderedPageBreak/>
        <w:t xml:space="preserve">Indicator: </w:t>
      </w:r>
      <w:r w:rsidR="00E405F2" w:rsidRPr="008A6C4E">
        <w:t>Rate of seclusion events relating to an aged acute mental health admission</w:t>
      </w:r>
    </w:p>
    <w:tbl>
      <w:tblPr>
        <w:tblStyle w:val="TableGrid"/>
        <w:tblW w:w="9299" w:type="dxa"/>
        <w:tblLook w:val="06A0" w:firstRow="1" w:lastRow="0" w:firstColumn="1" w:lastColumn="0" w:noHBand="1" w:noVBand="1"/>
      </w:tblPr>
      <w:tblGrid>
        <w:gridCol w:w="2569"/>
        <w:gridCol w:w="6730"/>
      </w:tblGrid>
      <w:tr w:rsidR="00D97737" w:rsidRPr="0098470E" w14:paraId="2AC39265"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69" w:type="dxa"/>
          </w:tcPr>
          <w:p w14:paraId="1611DEE7" w14:textId="05E89988" w:rsidR="00D97737" w:rsidRPr="008A6C4E" w:rsidRDefault="00D97737" w:rsidP="00D97737">
            <w:pPr>
              <w:pStyle w:val="DHHStablecolhead"/>
            </w:pPr>
            <w:r>
              <w:t>Element</w:t>
            </w:r>
          </w:p>
        </w:tc>
        <w:tc>
          <w:tcPr>
            <w:tcW w:w="6730" w:type="dxa"/>
          </w:tcPr>
          <w:p w14:paraId="46A1082D" w14:textId="63EDE731" w:rsidR="00D97737" w:rsidRPr="008A6C4E" w:rsidRDefault="00D97737" w:rsidP="00D97737">
            <w:pPr>
              <w:pStyle w:val="DHHStablecolhead"/>
            </w:pPr>
            <w:r>
              <w:t>Details</w:t>
            </w:r>
          </w:p>
        </w:tc>
      </w:tr>
      <w:tr w:rsidR="00921922" w:rsidRPr="0098470E" w14:paraId="1B2FB4A1" w14:textId="77777777" w:rsidTr="00F12615">
        <w:trPr>
          <w:cantSplit/>
        </w:trPr>
        <w:tc>
          <w:tcPr>
            <w:tcW w:w="2569" w:type="dxa"/>
            <w:hideMark/>
          </w:tcPr>
          <w:p w14:paraId="2BD403AF" w14:textId="77777777" w:rsidR="00921922" w:rsidRPr="0098470E" w:rsidRDefault="00921922" w:rsidP="00603215">
            <w:pPr>
              <w:pStyle w:val="DHHStabletext"/>
            </w:pPr>
            <w:r w:rsidRPr="0098470E">
              <w:t>Description</w:t>
            </w:r>
          </w:p>
        </w:tc>
        <w:tc>
          <w:tcPr>
            <w:tcW w:w="6730" w:type="dxa"/>
            <w:hideMark/>
          </w:tcPr>
          <w:p w14:paraId="7F9E25FD" w14:textId="77777777" w:rsidR="00921922" w:rsidRDefault="00921922" w:rsidP="00603215">
            <w:pPr>
              <w:pStyle w:val="DHHStabletext"/>
            </w:pPr>
            <w:r w:rsidRPr="0098470E">
              <w:t>Reducing restraint and seclusion is a national safety priority, and incorporating this indicator ensures appropriate monitoring of seclusion use in aged acute inpatient units in Victoria.</w:t>
            </w:r>
          </w:p>
          <w:p w14:paraId="71245DCF" w14:textId="77777777" w:rsidR="00921922" w:rsidRPr="0098470E" w:rsidRDefault="00921922" w:rsidP="00603215">
            <w:pPr>
              <w:pStyle w:val="DHHStabletext"/>
            </w:pPr>
            <w:r w:rsidRPr="0098470E">
              <w:t>This indicator is to measure any period of seclusion relating to an a</w:t>
            </w:r>
            <w:r>
              <w:t>ged</w:t>
            </w:r>
            <w:r w:rsidRPr="0098470E">
              <w:t xml:space="preserve"> acute admission.</w:t>
            </w:r>
          </w:p>
        </w:tc>
      </w:tr>
      <w:tr w:rsidR="00921922" w:rsidRPr="0098470E" w14:paraId="55025C8B" w14:textId="77777777" w:rsidTr="00F12615">
        <w:trPr>
          <w:cantSplit/>
        </w:trPr>
        <w:tc>
          <w:tcPr>
            <w:tcW w:w="2569" w:type="dxa"/>
            <w:hideMark/>
          </w:tcPr>
          <w:p w14:paraId="103143A8" w14:textId="77777777" w:rsidR="00921922" w:rsidRPr="0098470E" w:rsidRDefault="00921922" w:rsidP="00603215">
            <w:pPr>
              <w:pStyle w:val="DHHStabletext"/>
            </w:pPr>
            <w:r w:rsidRPr="0098470E">
              <w:t>Calculating performance</w:t>
            </w:r>
          </w:p>
        </w:tc>
        <w:tc>
          <w:tcPr>
            <w:tcW w:w="6730" w:type="dxa"/>
          </w:tcPr>
          <w:p w14:paraId="4CFD3C3A" w14:textId="77777777" w:rsidR="00921922" w:rsidRPr="0098470E" w:rsidRDefault="00921922" w:rsidP="00603215">
            <w:pPr>
              <w:pStyle w:val="DHHStabletext"/>
            </w:pPr>
            <w:r w:rsidRPr="0098470E">
              <w:t>This indicator comprises aged acute inpatient services provided by public mental health services and includes all aged acute admissions.</w:t>
            </w:r>
          </w:p>
          <w:p w14:paraId="29FC5FC1" w14:textId="77777777" w:rsidR="00921922" w:rsidRPr="0098470E" w:rsidRDefault="00921922" w:rsidP="00603215">
            <w:pPr>
              <w:pStyle w:val="DHHStabletext"/>
            </w:pPr>
            <w:r w:rsidRPr="0098470E">
              <w:t>Occupied bed days are calculated where the admission event type is one of the following:</w:t>
            </w:r>
          </w:p>
          <w:p w14:paraId="51F22B0E" w14:textId="77777777" w:rsidR="00921922" w:rsidRPr="0098470E" w:rsidRDefault="00921922" w:rsidP="00603215">
            <w:pPr>
              <w:pStyle w:val="DHHStablebullet1"/>
            </w:pPr>
            <w:r w:rsidRPr="0098470E">
              <w:t>SA (statistical admission)</w:t>
            </w:r>
          </w:p>
          <w:p w14:paraId="526A9DEA" w14:textId="77777777" w:rsidR="00921922" w:rsidRPr="0098470E" w:rsidRDefault="00921922" w:rsidP="00603215">
            <w:pPr>
              <w:pStyle w:val="DHHStablebullet1"/>
            </w:pPr>
            <w:r w:rsidRPr="0098470E">
              <w:t>R (return from leave)</w:t>
            </w:r>
          </w:p>
          <w:p w14:paraId="5F38EE13" w14:textId="77777777" w:rsidR="00921922" w:rsidRPr="0098470E" w:rsidRDefault="00921922" w:rsidP="00603215">
            <w:pPr>
              <w:pStyle w:val="DHHStablebullet1"/>
            </w:pPr>
            <w:r w:rsidRPr="0098470E">
              <w:t>A (admission – formal)</w:t>
            </w:r>
          </w:p>
          <w:p w14:paraId="26124777" w14:textId="77777777" w:rsidR="00921922" w:rsidRPr="0098470E" w:rsidRDefault="00921922" w:rsidP="00603215">
            <w:pPr>
              <w:pStyle w:val="DHHStablebullet1"/>
            </w:pPr>
            <w:r w:rsidRPr="0098470E">
              <w:t>T (ward transfer).</w:t>
            </w:r>
          </w:p>
          <w:p w14:paraId="264C5DAC" w14:textId="77777777" w:rsidR="00921922" w:rsidRPr="0098470E" w:rsidRDefault="00921922" w:rsidP="00603215">
            <w:pPr>
              <w:pStyle w:val="DHHStabletext"/>
            </w:pPr>
            <w:r w:rsidRPr="0098470E">
              <w:t>Leave events within an admission are excluded.</w:t>
            </w:r>
          </w:p>
          <w:p w14:paraId="5AB26739" w14:textId="77777777" w:rsidR="00921922" w:rsidRPr="0098470E" w:rsidRDefault="00921922" w:rsidP="00603215">
            <w:pPr>
              <w:pStyle w:val="DHHStabletext"/>
            </w:pPr>
            <w:r w:rsidRPr="0098470E">
              <w:t>Admission events that do not have any temporal overlap with the reporting period are excluded. Only the minutes of the admission events that overlap with the reporting period are counted. The minutes for each aged acute admission event are then summed and divided by 1,440 to give the total occupied bed days for the campus for the reporting period.</w:t>
            </w:r>
          </w:p>
          <w:p w14:paraId="092EEA73" w14:textId="77777777" w:rsidR="00921922" w:rsidRPr="0098470E" w:rsidRDefault="00921922" w:rsidP="00603215">
            <w:pPr>
              <w:pStyle w:val="DHHStabletext"/>
            </w:pPr>
            <w:r w:rsidRPr="0098470E">
              <w:t>Any period of seclusion relating to an aged acute admission ending in the reporting period is counted. The number of seclusions is divided by the number of occupied bed days. The quotient is then multiplied by 1,000.</w:t>
            </w:r>
          </w:p>
          <w:p w14:paraId="67E4F11A" w14:textId="77777777" w:rsidR="00921922" w:rsidRPr="0098470E" w:rsidRDefault="00921922" w:rsidP="00603215">
            <w:pPr>
              <w:pStyle w:val="DHHStabletext"/>
            </w:pPr>
            <w:r w:rsidRPr="0098470E">
              <w:t>Aged clients are identified by the type of admission.</w:t>
            </w:r>
          </w:p>
        </w:tc>
      </w:tr>
      <w:tr w:rsidR="00921922" w:rsidRPr="0098470E" w14:paraId="62ACBD06" w14:textId="77777777" w:rsidTr="00F12615">
        <w:trPr>
          <w:cantSplit/>
        </w:trPr>
        <w:tc>
          <w:tcPr>
            <w:tcW w:w="2569" w:type="dxa"/>
            <w:hideMark/>
          </w:tcPr>
          <w:p w14:paraId="56A52220" w14:textId="77777777" w:rsidR="00921922" w:rsidRPr="0098470E" w:rsidRDefault="00921922" w:rsidP="00603215">
            <w:pPr>
              <w:pStyle w:val="DHHStabletext"/>
            </w:pPr>
            <w:r w:rsidRPr="0098470E">
              <w:t>Numerator</w:t>
            </w:r>
          </w:p>
        </w:tc>
        <w:tc>
          <w:tcPr>
            <w:tcW w:w="6730" w:type="dxa"/>
            <w:hideMark/>
          </w:tcPr>
          <w:p w14:paraId="181B1978" w14:textId="79531F07" w:rsidR="00921922" w:rsidRPr="0098470E" w:rsidRDefault="00921922" w:rsidP="00603215">
            <w:pPr>
              <w:pStyle w:val="DHHStabletext"/>
              <w:rPr>
                <w:lang w:val="en-US"/>
              </w:rPr>
            </w:pPr>
            <w:r w:rsidRPr="0098470E">
              <w:t>Aged acute seclusion events during the reference period</w:t>
            </w:r>
            <w:r w:rsidR="00AD4721">
              <w:t>.</w:t>
            </w:r>
          </w:p>
        </w:tc>
      </w:tr>
      <w:tr w:rsidR="00921922" w:rsidRPr="0098470E" w14:paraId="798BACE3" w14:textId="77777777" w:rsidTr="00F12615">
        <w:trPr>
          <w:cantSplit/>
        </w:trPr>
        <w:tc>
          <w:tcPr>
            <w:tcW w:w="2569" w:type="dxa"/>
            <w:hideMark/>
          </w:tcPr>
          <w:p w14:paraId="17DC845F" w14:textId="77777777" w:rsidR="00921922" w:rsidRPr="0098470E" w:rsidRDefault="00921922" w:rsidP="00603215">
            <w:pPr>
              <w:pStyle w:val="DHHStabletext"/>
            </w:pPr>
            <w:r w:rsidRPr="0098470E">
              <w:t xml:space="preserve">Denominator </w:t>
            </w:r>
          </w:p>
        </w:tc>
        <w:tc>
          <w:tcPr>
            <w:tcW w:w="6730" w:type="dxa"/>
            <w:hideMark/>
          </w:tcPr>
          <w:p w14:paraId="01CEE74A" w14:textId="04DA5299" w:rsidR="00921922" w:rsidRPr="0098470E" w:rsidRDefault="00921922" w:rsidP="00603215">
            <w:pPr>
              <w:pStyle w:val="DHHStabletext"/>
              <w:rPr>
                <w:lang w:val="en-US"/>
              </w:rPr>
            </w:pPr>
            <w:r w:rsidRPr="0098470E">
              <w:t>Total aged acute occupied bed days during the reference period</w:t>
            </w:r>
            <w:r w:rsidR="00AD4721">
              <w:t>.</w:t>
            </w:r>
          </w:p>
        </w:tc>
      </w:tr>
      <w:tr w:rsidR="00921922" w:rsidRPr="0098470E" w14:paraId="352EB7DB" w14:textId="77777777" w:rsidTr="00F12615">
        <w:trPr>
          <w:cantSplit/>
        </w:trPr>
        <w:tc>
          <w:tcPr>
            <w:tcW w:w="2569" w:type="dxa"/>
            <w:hideMark/>
          </w:tcPr>
          <w:p w14:paraId="7E748AB5" w14:textId="77777777" w:rsidR="00921922" w:rsidRPr="0098470E" w:rsidRDefault="00921922" w:rsidP="00603215">
            <w:pPr>
              <w:pStyle w:val="DHHStabletext"/>
            </w:pPr>
            <w:r w:rsidRPr="0098470E">
              <w:t>Statewide target</w:t>
            </w:r>
          </w:p>
        </w:tc>
        <w:tc>
          <w:tcPr>
            <w:tcW w:w="6730" w:type="dxa"/>
            <w:hideMark/>
          </w:tcPr>
          <w:p w14:paraId="57FA3777" w14:textId="469F5F38" w:rsidR="00921922" w:rsidRPr="0054030C" w:rsidRDefault="00921922" w:rsidP="00603215">
            <w:pPr>
              <w:pStyle w:val="DHHStabletext"/>
            </w:pPr>
            <w:r w:rsidRPr="0054030C">
              <w:t>≤</w:t>
            </w:r>
            <w:r>
              <w:t xml:space="preserve"> </w:t>
            </w:r>
            <w:r w:rsidRPr="0054030C">
              <w:t>15 seclusions per 1,000 bed days (&lt; 15/1,000)</w:t>
            </w:r>
            <w:r w:rsidR="00AD4721">
              <w:t>.</w:t>
            </w:r>
          </w:p>
        </w:tc>
      </w:tr>
      <w:tr w:rsidR="002B4ABD" w:rsidRPr="0098470E" w14:paraId="10B5314B" w14:textId="77777777" w:rsidTr="002B4ABD">
        <w:trPr>
          <w:cantSplit/>
        </w:trPr>
        <w:tc>
          <w:tcPr>
            <w:tcW w:w="2569" w:type="dxa"/>
            <w:hideMark/>
          </w:tcPr>
          <w:p w14:paraId="5C502E6A" w14:textId="77777777" w:rsidR="002B4ABD" w:rsidRPr="0098470E" w:rsidRDefault="002B4ABD" w:rsidP="00603215">
            <w:pPr>
              <w:pStyle w:val="DHHStabletext"/>
            </w:pPr>
            <w:r w:rsidRPr="0098470E">
              <w:t>Achievement</w:t>
            </w:r>
          </w:p>
        </w:tc>
        <w:tc>
          <w:tcPr>
            <w:tcW w:w="6730" w:type="dxa"/>
            <w:hideMark/>
          </w:tcPr>
          <w:p w14:paraId="69F5BBB6" w14:textId="77777777" w:rsidR="002B4ABD" w:rsidRPr="0098470E" w:rsidRDefault="002B4ABD" w:rsidP="00BF6FCF">
            <w:pPr>
              <w:pStyle w:val="DHHStabletext92mmtab"/>
            </w:pPr>
            <w:r w:rsidRPr="0098470E">
              <w:t>Less than or equal to &lt; 15/1,000</w:t>
            </w:r>
            <w:r>
              <w:tab/>
              <w:t>Achieved</w:t>
            </w:r>
          </w:p>
          <w:p w14:paraId="38A44343" w14:textId="132F2596" w:rsidR="002B4ABD" w:rsidRPr="0098470E" w:rsidRDefault="002B4ABD" w:rsidP="00BF6FCF">
            <w:pPr>
              <w:pStyle w:val="DHHStabletext92mmtab"/>
            </w:pPr>
            <w:r w:rsidRPr="0098470E">
              <w:t>Greater than &gt; 15/1,000</w:t>
            </w:r>
            <w:r>
              <w:tab/>
              <w:t>Not achieved</w:t>
            </w:r>
          </w:p>
        </w:tc>
      </w:tr>
      <w:tr w:rsidR="00921922" w:rsidRPr="0098470E" w14:paraId="55427A5F" w14:textId="77777777" w:rsidTr="00F12615">
        <w:trPr>
          <w:cantSplit/>
        </w:trPr>
        <w:tc>
          <w:tcPr>
            <w:tcW w:w="2569" w:type="dxa"/>
          </w:tcPr>
          <w:p w14:paraId="7F230703" w14:textId="77777777" w:rsidR="00921922" w:rsidRDefault="00921922" w:rsidP="00603215">
            <w:pPr>
              <w:pStyle w:val="DHHStabletext"/>
            </w:pPr>
            <w:r>
              <w:t>Improvement</w:t>
            </w:r>
          </w:p>
        </w:tc>
        <w:tc>
          <w:tcPr>
            <w:tcW w:w="6730" w:type="dxa"/>
          </w:tcPr>
          <w:p w14:paraId="7DD0FB37" w14:textId="56053305" w:rsidR="00921922" w:rsidRDefault="00921922" w:rsidP="00603215">
            <w:pPr>
              <w:pStyle w:val="DHHStabletext"/>
            </w:pPr>
            <w:r>
              <w:t>For the purpose of the performance risk assessment, improvement is compared to previous quarter performance</w:t>
            </w:r>
            <w:r w:rsidR="00AD4721">
              <w:t>.</w:t>
            </w:r>
          </w:p>
        </w:tc>
      </w:tr>
      <w:tr w:rsidR="00921922" w:rsidRPr="0098470E" w14:paraId="742BCCAF" w14:textId="77777777" w:rsidTr="00F12615">
        <w:trPr>
          <w:cantSplit/>
        </w:trPr>
        <w:tc>
          <w:tcPr>
            <w:tcW w:w="2569" w:type="dxa"/>
            <w:hideMark/>
          </w:tcPr>
          <w:p w14:paraId="725D5F0F" w14:textId="77777777" w:rsidR="00921922" w:rsidRPr="0098470E" w:rsidRDefault="00921922" w:rsidP="00603215">
            <w:pPr>
              <w:pStyle w:val="DHHStabletext"/>
            </w:pPr>
            <w:r w:rsidRPr="0098470E">
              <w:t>Frequency of reporting and data collection</w:t>
            </w:r>
          </w:p>
        </w:tc>
        <w:tc>
          <w:tcPr>
            <w:tcW w:w="6730" w:type="dxa"/>
            <w:hideMark/>
          </w:tcPr>
          <w:p w14:paraId="0314A668" w14:textId="77777777" w:rsidR="00921922" w:rsidRPr="0098470E" w:rsidRDefault="00921922" w:rsidP="00603215">
            <w:pPr>
              <w:pStyle w:val="DHHStabletext"/>
            </w:pPr>
            <w:r w:rsidRPr="0098470E">
              <w:t>Performance is monitored and assessed quarterly for the periods:</w:t>
            </w:r>
          </w:p>
          <w:p w14:paraId="4A40A33F" w14:textId="4A6376BC" w:rsidR="00921922" w:rsidRPr="0098470E" w:rsidRDefault="00921922" w:rsidP="00603215">
            <w:pPr>
              <w:pStyle w:val="DHHStablebullet1"/>
            </w:pPr>
            <w:r w:rsidRPr="0098470E">
              <w:t>1 July to 30 September in quarter 1</w:t>
            </w:r>
          </w:p>
          <w:p w14:paraId="2CC37BF6" w14:textId="64B0DA9E" w:rsidR="00921922" w:rsidRPr="0098470E" w:rsidRDefault="00921922" w:rsidP="00603215">
            <w:pPr>
              <w:pStyle w:val="DHHStablebullet1"/>
            </w:pPr>
            <w:r w:rsidRPr="0098470E">
              <w:t>1 October to 31 December in quarter 2</w:t>
            </w:r>
          </w:p>
          <w:p w14:paraId="62774F34" w14:textId="01C23A01" w:rsidR="00921922" w:rsidRPr="0098470E" w:rsidRDefault="00921922" w:rsidP="00603215">
            <w:pPr>
              <w:pStyle w:val="DHHStablebullet1"/>
            </w:pPr>
            <w:r w:rsidRPr="0098470E">
              <w:t>1 January to 31 March in quarter 3</w:t>
            </w:r>
          </w:p>
          <w:p w14:paraId="162658A2" w14:textId="6A48749A" w:rsidR="00921922" w:rsidRPr="0098470E" w:rsidRDefault="00921922" w:rsidP="00BB2E53">
            <w:pPr>
              <w:pStyle w:val="DHHStablebullet1"/>
            </w:pPr>
            <w:r w:rsidRPr="0098470E">
              <w:t xml:space="preserve">1 April to 30 June </w:t>
            </w:r>
            <w:r w:rsidR="00843764">
              <w:t>i</w:t>
            </w:r>
            <w:r w:rsidRPr="0098470E">
              <w:t>n quarter 4.</w:t>
            </w:r>
          </w:p>
          <w:p w14:paraId="5822F10D" w14:textId="77777777" w:rsidR="00921922" w:rsidRPr="0098470E" w:rsidRDefault="00921922" w:rsidP="00603215">
            <w:pPr>
              <w:pStyle w:val="DHHStabletext"/>
            </w:pPr>
            <w:r w:rsidRPr="0098470E">
              <w:t>In addition to quarterly monitoring, a performance result is generated annually based on the full year data.</w:t>
            </w:r>
          </w:p>
          <w:p w14:paraId="4F867463" w14:textId="77777777" w:rsidR="00921922" w:rsidRPr="0098470E" w:rsidRDefault="00921922" w:rsidP="00603215">
            <w:pPr>
              <w:pStyle w:val="DHHStabletext"/>
            </w:pPr>
            <w:r w:rsidRPr="0098470E">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654A27CA" w14:textId="6B1F7E6A" w:rsidR="00F12615" w:rsidRPr="00961723" w:rsidRDefault="00F12615" w:rsidP="00F12615">
      <w:pPr>
        <w:pStyle w:val="DHHStablecaption"/>
      </w:pPr>
      <w:r>
        <w:lastRenderedPageBreak/>
        <w:t xml:space="preserve">Indicator: </w:t>
      </w:r>
      <w:r w:rsidR="00E405F2" w:rsidRPr="008A6C4E">
        <w:t>Percentage of child and adolescent mental health inpatients with post-discharge follow-up within seven days</w:t>
      </w:r>
    </w:p>
    <w:tbl>
      <w:tblPr>
        <w:tblStyle w:val="TableGrid"/>
        <w:tblW w:w="9299" w:type="dxa"/>
        <w:tblLook w:val="06A0" w:firstRow="1" w:lastRow="0" w:firstColumn="1" w:lastColumn="0" w:noHBand="1" w:noVBand="1"/>
      </w:tblPr>
      <w:tblGrid>
        <w:gridCol w:w="2531"/>
        <w:gridCol w:w="6768"/>
      </w:tblGrid>
      <w:tr w:rsidR="00D97737" w:rsidRPr="0098470E" w14:paraId="43AA99B7" w14:textId="77777777" w:rsidTr="00F12615">
        <w:trPr>
          <w:cnfStyle w:val="100000000000" w:firstRow="1" w:lastRow="0" w:firstColumn="0" w:lastColumn="0" w:oddVBand="0" w:evenVBand="0" w:oddHBand="0" w:evenHBand="0" w:firstRowFirstColumn="0" w:firstRowLastColumn="0" w:lastRowFirstColumn="0" w:lastRowLastColumn="0"/>
          <w:tblHeader/>
        </w:trPr>
        <w:tc>
          <w:tcPr>
            <w:tcW w:w="2531" w:type="dxa"/>
          </w:tcPr>
          <w:p w14:paraId="082DA415" w14:textId="5EE6C7DF" w:rsidR="00D97737" w:rsidRPr="008A6C4E" w:rsidRDefault="00D97737" w:rsidP="00D97737">
            <w:pPr>
              <w:pStyle w:val="DHHStablecolhead"/>
            </w:pPr>
            <w:r>
              <w:t>Element</w:t>
            </w:r>
          </w:p>
        </w:tc>
        <w:tc>
          <w:tcPr>
            <w:tcW w:w="6768" w:type="dxa"/>
          </w:tcPr>
          <w:p w14:paraId="59FC6B3B" w14:textId="35AA55F2" w:rsidR="00D97737" w:rsidRPr="008A6C4E" w:rsidRDefault="00D97737" w:rsidP="00D97737">
            <w:pPr>
              <w:pStyle w:val="DHHStablecolhead"/>
            </w:pPr>
            <w:r>
              <w:t>Details</w:t>
            </w:r>
          </w:p>
        </w:tc>
      </w:tr>
      <w:tr w:rsidR="00921922" w:rsidRPr="0098470E" w14:paraId="3A7A3685" w14:textId="77777777" w:rsidTr="00F12615">
        <w:trPr>
          <w:trHeight w:val="1117"/>
        </w:trPr>
        <w:tc>
          <w:tcPr>
            <w:tcW w:w="2531" w:type="dxa"/>
            <w:hideMark/>
          </w:tcPr>
          <w:p w14:paraId="02D7CECF" w14:textId="77777777" w:rsidR="00921922" w:rsidRPr="0098470E" w:rsidRDefault="00921922" w:rsidP="00603215">
            <w:pPr>
              <w:pStyle w:val="DHHStabletext"/>
            </w:pPr>
            <w:r w:rsidRPr="0098470E">
              <w:t>Description</w:t>
            </w:r>
          </w:p>
        </w:tc>
        <w:tc>
          <w:tcPr>
            <w:tcW w:w="6768" w:type="dxa"/>
            <w:hideMark/>
          </w:tcPr>
          <w:p w14:paraId="2C25A00F" w14:textId="77777777" w:rsidR="00921922" w:rsidRPr="0098470E" w:rsidRDefault="00921922" w:rsidP="00603215">
            <w:pPr>
              <w:pStyle w:val="DHHStabletext"/>
            </w:pPr>
            <w:r w:rsidRPr="0098470E">
              <w:t>Timely post-discharge follow-up is an important component of client care. Monitoring the proportion of discharges that are followed up within seven days is a good measure of the timeliness of this care. This indicator reflects the effectiveness of the interface between admitted care and non-admitted care. It is also monitored at a national level.</w:t>
            </w:r>
          </w:p>
        </w:tc>
      </w:tr>
      <w:tr w:rsidR="00921922" w:rsidRPr="0098470E" w14:paraId="0070D2E5" w14:textId="77777777" w:rsidTr="00F12615">
        <w:trPr>
          <w:trHeight w:val="60"/>
        </w:trPr>
        <w:tc>
          <w:tcPr>
            <w:tcW w:w="2531" w:type="dxa"/>
            <w:hideMark/>
          </w:tcPr>
          <w:p w14:paraId="7D8A5957" w14:textId="77777777" w:rsidR="00921922" w:rsidRPr="0098470E" w:rsidRDefault="00921922" w:rsidP="00603215">
            <w:pPr>
              <w:pStyle w:val="DHHStabletext"/>
            </w:pPr>
            <w:r w:rsidRPr="0098470E">
              <w:t>Calculating performance</w:t>
            </w:r>
          </w:p>
        </w:tc>
        <w:tc>
          <w:tcPr>
            <w:tcW w:w="6768" w:type="dxa"/>
            <w:hideMark/>
          </w:tcPr>
          <w:p w14:paraId="3F925451" w14:textId="77777777" w:rsidR="00921922" w:rsidRPr="0098470E" w:rsidRDefault="00921922" w:rsidP="00603215">
            <w:pPr>
              <w:pStyle w:val="DHHStabletext"/>
            </w:pPr>
            <w:r w:rsidRPr="0098470E">
              <w:t>Where one or more contacts fall in the seven days after the separation date, the separation is considered to have received post-discharge community care.</w:t>
            </w:r>
          </w:p>
          <w:p w14:paraId="6BB98F0D" w14:textId="77777777" w:rsidR="00921922" w:rsidRPr="0098470E" w:rsidRDefault="00921922" w:rsidP="00603215">
            <w:pPr>
              <w:pStyle w:val="DHHStabletext"/>
            </w:pPr>
            <w:r w:rsidRPr="0098470E">
              <w:t xml:space="preserve">Separations are counted against the mental health area (catchment campus) of the client, rather than the campus of separation. The separation type is </w:t>
            </w:r>
            <w:r>
              <w:t>‘</w:t>
            </w:r>
            <w:r w:rsidRPr="0098470E">
              <w:t>home</w:t>
            </w:r>
            <w:r>
              <w:t>’</w:t>
            </w:r>
            <w:r w:rsidRPr="0098470E">
              <w:t xml:space="preserve"> and patients must be admitted overnight or longer in hospital.</w:t>
            </w:r>
          </w:p>
          <w:p w14:paraId="48B1C794" w14:textId="77777777" w:rsidR="00921922" w:rsidRPr="0098470E" w:rsidRDefault="00921922" w:rsidP="00603215">
            <w:pPr>
              <w:pStyle w:val="DHHStabletext"/>
            </w:pPr>
            <w:r w:rsidRPr="0098470E">
              <w:t>Contacts on the day of separation are excluded. Contacts can be of any duration, in any location for any type of recipient, whether by the local mental health service or another mental health service.</w:t>
            </w:r>
          </w:p>
          <w:p w14:paraId="67425B4B" w14:textId="77777777" w:rsidR="00921922" w:rsidRPr="0098470E" w:rsidRDefault="00921922" w:rsidP="00603215">
            <w:pPr>
              <w:pStyle w:val="DHHStabletext"/>
            </w:pPr>
            <w:r w:rsidRPr="0098470E">
              <w:t>Child and adolescent mental health service (CAMHS) clients are identified by admission type in the Client Management Interface (CMI) system.</w:t>
            </w:r>
          </w:p>
          <w:p w14:paraId="77B546FA" w14:textId="77777777" w:rsidR="00921922" w:rsidRPr="0098470E" w:rsidRDefault="00921922" w:rsidP="00603215">
            <w:pPr>
              <w:pStyle w:val="DHHStabletext"/>
            </w:pPr>
            <w:r w:rsidRPr="0098470E">
              <w:t>This indicator is expressed as a percentage and rounded to the nearest whole number.</w:t>
            </w:r>
          </w:p>
        </w:tc>
      </w:tr>
      <w:tr w:rsidR="00921922" w:rsidRPr="0098470E" w14:paraId="67630909" w14:textId="77777777" w:rsidTr="00F12615">
        <w:trPr>
          <w:trHeight w:val="60"/>
        </w:trPr>
        <w:tc>
          <w:tcPr>
            <w:tcW w:w="2531" w:type="dxa"/>
            <w:hideMark/>
          </w:tcPr>
          <w:p w14:paraId="0357483A" w14:textId="77777777" w:rsidR="00921922" w:rsidRPr="0098470E" w:rsidRDefault="00921922" w:rsidP="00603215">
            <w:pPr>
              <w:pStyle w:val="DHHStabletext"/>
            </w:pPr>
            <w:r w:rsidRPr="0098470E">
              <w:t>Numerator</w:t>
            </w:r>
          </w:p>
        </w:tc>
        <w:tc>
          <w:tcPr>
            <w:tcW w:w="6768" w:type="dxa"/>
            <w:hideMark/>
          </w:tcPr>
          <w:p w14:paraId="467A92EB" w14:textId="035FEC06" w:rsidR="00921922" w:rsidRPr="0098470E" w:rsidRDefault="00921922" w:rsidP="00603215">
            <w:pPr>
              <w:pStyle w:val="DHHStabletext"/>
              <w:rPr>
                <w:lang w:val="en-US"/>
              </w:rPr>
            </w:pPr>
            <w:r w:rsidRPr="0098470E">
              <w:t>Number of post-discharge follow-ups within seven days</w:t>
            </w:r>
            <w:r w:rsidR="00742C4B">
              <w:t>.</w:t>
            </w:r>
            <w:r w:rsidRPr="0098470E">
              <w:t xml:space="preserve"> </w:t>
            </w:r>
          </w:p>
        </w:tc>
      </w:tr>
      <w:tr w:rsidR="00921922" w:rsidRPr="0098470E" w14:paraId="18583691" w14:textId="77777777" w:rsidTr="00F12615">
        <w:trPr>
          <w:trHeight w:val="60"/>
        </w:trPr>
        <w:tc>
          <w:tcPr>
            <w:tcW w:w="2531" w:type="dxa"/>
            <w:hideMark/>
          </w:tcPr>
          <w:p w14:paraId="5D5E79AE" w14:textId="77777777" w:rsidR="00921922" w:rsidRPr="0098470E" w:rsidRDefault="00921922" w:rsidP="00603215">
            <w:pPr>
              <w:pStyle w:val="DHHStabletext"/>
            </w:pPr>
            <w:r w:rsidRPr="0098470E">
              <w:t xml:space="preserve">Denominator </w:t>
            </w:r>
          </w:p>
        </w:tc>
        <w:tc>
          <w:tcPr>
            <w:tcW w:w="6768" w:type="dxa"/>
            <w:hideMark/>
          </w:tcPr>
          <w:p w14:paraId="0C6EF922" w14:textId="11EE4D57" w:rsidR="00921922" w:rsidRPr="0098470E" w:rsidRDefault="00921922" w:rsidP="00603215">
            <w:pPr>
              <w:pStyle w:val="DHHStabletext"/>
              <w:rPr>
                <w:lang w:val="en-US"/>
              </w:rPr>
            </w:pPr>
            <w:r w:rsidRPr="0098470E">
              <w:t>Total non-same-day acute mental health CAMHS separations to a private residence</w:t>
            </w:r>
            <w:r w:rsidR="00742C4B">
              <w:t>.</w:t>
            </w:r>
          </w:p>
        </w:tc>
      </w:tr>
      <w:tr w:rsidR="00921922" w:rsidRPr="0098470E" w14:paraId="5D7133F6" w14:textId="77777777" w:rsidTr="00F12615">
        <w:trPr>
          <w:trHeight w:val="60"/>
        </w:trPr>
        <w:tc>
          <w:tcPr>
            <w:tcW w:w="2531" w:type="dxa"/>
            <w:hideMark/>
          </w:tcPr>
          <w:p w14:paraId="0B320869" w14:textId="77777777" w:rsidR="00921922" w:rsidRPr="0098470E" w:rsidRDefault="00921922" w:rsidP="00603215">
            <w:pPr>
              <w:pStyle w:val="DHHStabletext"/>
            </w:pPr>
            <w:r w:rsidRPr="0098470E">
              <w:t>Statewide target</w:t>
            </w:r>
          </w:p>
        </w:tc>
        <w:tc>
          <w:tcPr>
            <w:tcW w:w="6768" w:type="dxa"/>
            <w:hideMark/>
          </w:tcPr>
          <w:p w14:paraId="19794C4F" w14:textId="77777777" w:rsidR="00921922" w:rsidRPr="0054030C" w:rsidRDefault="00921922" w:rsidP="00603215">
            <w:pPr>
              <w:pStyle w:val="DHHStabletext"/>
            </w:pPr>
            <w:r w:rsidRPr="0054030C">
              <w:t>≥</w:t>
            </w:r>
            <w:r>
              <w:t xml:space="preserve"> 80</w:t>
            </w:r>
            <w:r w:rsidRPr="0054030C">
              <w:t>%</w:t>
            </w:r>
            <w:r w:rsidRPr="0098470E">
              <w:t xml:space="preserve"> </w:t>
            </w:r>
          </w:p>
        </w:tc>
      </w:tr>
      <w:tr w:rsidR="00537E92" w:rsidRPr="0098470E" w14:paraId="47CB6055" w14:textId="77777777" w:rsidTr="002B4ABD">
        <w:tc>
          <w:tcPr>
            <w:tcW w:w="2531" w:type="dxa"/>
            <w:hideMark/>
          </w:tcPr>
          <w:p w14:paraId="5AE34639" w14:textId="77777777" w:rsidR="00537E92" w:rsidRPr="0098470E" w:rsidRDefault="00537E92" w:rsidP="00603215">
            <w:pPr>
              <w:pStyle w:val="DHHStabletext"/>
            </w:pPr>
            <w:r w:rsidRPr="0098470E">
              <w:t>Achievement</w:t>
            </w:r>
          </w:p>
        </w:tc>
        <w:tc>
          <w:tcPr>
            <w:tcW w:w="6768" w:type="dxa"/>
            <w:hideMark/>
          </w:tcPr>
          <w:p w14:paraId="5168F8C7" w14:textId="77777777" w:rsidR="00537E92" w:rsidRPr="0098470E" w:rsidRDefault="00537E92" w:rsidP="002D551F">
            <w:pPr>
              <w:pStyle w:val="DHHStabletext92mmtab"/>
            </w:pPr>
            <w:r w:rsidRPr="0098470E">
              <w:t xml:space="preserve">Greater than or equal to </w:t>
            </w:r>
            <w:r>
              <w:t>80</w:t>
            </w:r>
            <w:r w:rsidRPr="0098470E">
              <w:t>%</w:t>
            </w:r>
            <w:r>
              <w:tab/>
              <w:t>Achieved</w:t>
            </w:r>
          </w:p>
          <w:p w14:paraId="0126C7CB" w14:textId="431CC914" w:rsidR="00537E92" w:rsidRPr="0098470E" w:rsidRDefault="00537E92" w:rsidP="002D551F">
            <w:pPr>
              <w:pStyle w:val="DHHStabletext92mmtab"/>
            </w:pPr>
            <w:r w:rsidRPr="0098470E">
              <w:t xml:space="preserve">Less than </w:t>
            </w:r>
            <w:r>
              <w:t>80</w:t>
            </w:r>
            <w:r w:rsidRPr="0098470E">
              <w:t>%</w:t>
            </w:r>
            <w:r>
              <w:tab/>
              <w:t>Not achieved</w:t>
            </w:r>
          </w:p>
        </w:tc>
      </w:tr>
      <w:tr w:rsidR="00921922" w:rsidRPr="0098470E" w14:paraId="51F04DEB" w14:textId="77777777" w:rsidTr="00F12615">
        <w:trPr>
          <w:trHeight w:val="587"/>
        </w:trPr>
        <w:tc>
          <w:tcPr>
            <w:tcW w:w="2531" w:type="dxa"/>
          </w:tcPr>
          <w:p w14:paraId="064E9727" w14:textId="77777777" w:rsidR="00921922" w:rsidRDefault="00921922" w:rsidP="00603215">
            <w:pPr>
              <w:pStyle w:val="DHHStabletext"/>
            </w:pPr>
            <w:r>
              <w:t>Improvement</w:t>
            </w:r>
          </w:p>
        </w:tc>
        <w:tc>
          <w:tcPr>
            <w:tcW w:w="6768" w:type="dxa"/>
          </w:tcPr>
          <w:p w14:paraId="10095AE2" w14:textId="7E19CE0E" w:rsidR="00921922" w:rsidRDefault="00921922" w:rsidP="00603215">
            <w:pPr>
              <w:pStyle w:val="DHHStabletext"/>
            </w:pPr>
            <w:r>
              <w:t>For the purpose of the performance risk assessment, improvement is compared to previous quarter performance</w:t>
            </w:r>
            <w:r w:rsidR="00742C4B">
              <w:t>.</w:t>
            </w:r>
            <w:r>
              <w:t xml:space="preserve"> </w:t>
            </w:r>
          </w:p>
        </w:tc>
      </w:tr>
      <w:tr w:rsidR="00921922" w:rsidRPr="0098470E" w14:paraId="15E27964" w14:textId="77777777" w:rsidTr="00F12615">
        <w:trPr>
          <w:trHeight w:val="60"/>
        </w:trPr>
        <w:tc>
          <w:tcPr>
            <w:tcW w:w="2531" w:type="dxa"/>
            <w:hideMark/>
          </w:tcPr>
          <w:p w14:paraId="0AEA0498" w14:textId="77777777" w:rsidR="00921922" w:rsidRPr="0098470E" w:rsidRDefault="00921922" w:rsidP="00603215">
            <w:pPr>
              <w:pStyle w:val="DHHStabletext"/>
            </w:pPr>
            <w:r w:rsidRPr="0098470E">
              <w:t>Frequency of reporting and data collection</w:t>
            </w:r>
          </w:p>
        </w:tc>
        <w:tc>
          <w:tcPr>
            <w:tcW w:w="6768" w:type="dxa"/>
            <w:hideMark/>
          </w:tcPr>
          <w:p w14:paraId="4EBEF4FD" w14:textId="77777777" w:rsidR="00921922" w:rsidRPr="0098470E" w:rsidRDefault="00921922" w:rsidP="00603215">
            <w:pPr>
              <w:pStyle w:val="DHHStabletext"/>
            </w:pPr>
            <w:r w:rsidRPr="0098470E">
              <w:t>Performance is monitored and assessed quarterly. In addition to quarterly monitoring, a performance result is generated annually based on the full year data.</w:t>
            </w:r>
          </w:p>
          <w:p w14:paraId="0EC9697A" w14:textId="4015EFEE" w:rsidR="00921922" w:rsidRPr="0098470E" w:rsidRDefault="00921922" w:rsidP="00603215">
            <w:pPr>
              <w:pStyle w:val="DHHStabletext"/>
            </w:pPr>
            <w:r w:rsidRPr="0098470E">
              <w:t>The separation date is between the start of the reporting period (minus seven days) and the end of the reporting period (minus seven days). Separations are lagged by seven days to allow all post-discharge follow-up in the reporting period to be captured. For example, if the reporting period is from 1 July to 30 September</w:t>
            </w:r>
            <w:r w:rsidR="001F7A2A">
              <w:t>,</w:t>
            </w:r>
            <w:r w:rsidRPr="0098470E">
              <w:t xml:space="preserve"> then separations from 24 June </w:t>
            </w:r>
            <w:r w:rsidR="003B6C88">
              <w:t>to</w:t>
            </w:r>
            <w:r w:rsidRPr="0098470E">
              <w:t xml:space="preserve"> 24 September are included.</w:t>
            </w:r>
          </w:p>
          <w:p w14:paraId="5FE01F72" w14:textId="77777777" w:rsidR="00921922" w:rsidRPr="0098470E" w:rsidRDefault="00921922" w:rsidP="00603215">
            <w:pPr>
              <w:pStyle w:val="DHHStabletext"/>
            </w:pPr>
            <w:r w:rsidRPr="0098470E">
              <w:t>Results are reported for the periods:</w:t>
            </w:r>
          </w:p>
          <w:p w14:paraId="3423461C" w14:textId="68173283" w:rsidR="00921922" w:rsidRPr="0098470E" w:rsidRDefault="00921922" w:rsidP="00603215">
            <w:pPr>
              <w:pStyle w:val="DHHStablebullet1"/>
            </w:pPr>
            <w:r w:rsidRPr="0098470E">
              <w:t>1 July to 30 September in quarter 1</w:t>
            </w:r>
          </w:p>
          <w:p w14:paraId="48457703" w14:textId="24FDD773" w:rsidR="00921922" w:rsidRPr="0098470E" w:rsidRDefault="00921922" w:rsidP="00603215">
            <w:pPr>
              <w:pStyle w:val="DHHStablebullet1"/>
            </w:pPr>
            <w:r w:rsidRPr="0098470E">
              <w:t>1 October to 31 December in quarter 2</w:t>
            </w:r>
          </w:p>
          <w:p w14:paraId="2BF39BF0" w14:textId="013EED02" w:rsidR="00921922" w:rsidRPr="0098470E" w:rsidRDefault="00921922" w:rsidP="00603215">
            <w:pPr>
              <w:pStyle w:val="DHHStablebullet1"/>
            </w:pPr>
            <w:r w:rsidRPr="0098470E">
              <w:t>1 January to 31 March in quarter 3</w:t>
            </w:r>
          </w:p>
          <w:p w14:paraId="3BB2049A" w14:textId="67005797" w:rsidR="00921922" w:rsidRPr="0098470E" w:rsidRDefault="00921922" w:rsidP="00603215">
            <w:pPr>
              <w:pStyle w:val="DHHStablebullet1"/>
            </w:pPr>
            <w:r w:rsidRPr="0098470E">
              <w:t>1 April to 30 June in quarter 4.</w:t>
            </w:r>
          </w:p>
          <w:p w14:paraId="37676D8D" w14:textId="77777777" w:rsidR="00921922" w:rsidRPr="0098470E" w:rsidRDefault="00921922" w:rsidP="00603215">
            <w:pPr>
              <w:pStyle w:val="DHHStabletext"/>
            </w:pPr>
            <w:r w:rsidRPr="0098470E">
              <w:t>The data source for this indicator is the CMI, which is the local client information system used by each public mental health service. It also uses the Operational Data Store (ODS), which manages a set of select data items from each CMI. The initialism used for this data source is CMI/ODS.</w:t>
            </w:r>
          </w:p>
        </w:tc>
      </w:tr>
    </w:tbl>
    <w:p w14:paraId="2C57A987" w14:textId="483F24A5" w:rsidR="00921922" w:rsidRPr="00D0165F" w:rsidRDefault="00F12615" w:rsidP="00F12615">
      <w:pPr>
        <w:pStyle w:val="DHHStablecaption"/>
      </w:pPr>
      <w:r>
        <w:lastRenderedPageBreak/>
        <w:t xml:space="preserve">Indicator: </w:t>
      </w:r>
      <w:r w:rsidR="00E405F2" w:rsidRPr="008A6C4E">
        <w:t>Percentage of adult mental health patients who have post-discharge follow-up within seven days</w:t>
      </w:r>
    </w:p>
    <w:tbl>
      <w:tblPr>
        <w:tblStyle w:val="TableGrid"/>
        <w:tblW w:w="9299" w:type="dxa"/>
        <w:tblLook w:val="06A0" w:firstRow="1" w:lastRow="0" w:firstColumn="1" w:lastColumn="0" w:noHBand="1" w:noVBand="1"/>
      </w:tblPr>
      <w:tblGrid>
        <w:gridCol w:w="2570"/>
        <w:gridCol w:w="6729"/>
      </w:tblGrid>
      <w:tr w:rsidR="00D97737" w:rsidRPr="0098470E" w14:paraId="7A362065"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70" w:type="dxa"/>
          </w:tcPr>
          <w:p w14:paraId="3A0F5C5C" w14:textId="012580E8" w:rsidR="00D97737" w:rsidRPr="008A6C4E" w:rsidRDefault="00D97737" w:rsidP="00D97737">
            <w:pPr>
              <w:pStyle w:val="DHHStablecolhead"/>
            </w:pPr>
            <w:r>
              <w:t>Element</w:t>
            </w:r>
          </w:p>
        </w:tc>
        <w:tc>
          <w:tcPr>
            <w:tcW w:w="6729" w:type="dxa"/>
          </w:tcPr>
          <w:p w14:paraId="7A5717B9" w14:textId="1DA777C8" w:rsidR="00D97737" w:rsidRPr="008A6C4E" w:rsidRDefault="00D97737" w:rsidP="00D97737">
            <w:pPr>
              <w:pStyle w:val="DHHStablecolhead"/>
            </w:pPr>
            <w:r>
              <w:t>Details</w:t>
            </w:r>
          </w:p>
        </w:tc>
      </w:tr>
      <w:tr w:rsidR="00921922" w:rsidRPr="0098470E" w14:paraId="35B413DB" w14:textId="77777777" w:rsidTr="00F12615">
        <w:trPr>
          <w:cantSplit/>
        </w:trPr>
        <w:tc>
          <w:tcPr>
            <w:tcW w:w="2570" w:type="dxa"/>
            <w:hideMark/>
          </w:tcPr>
          <w:p w14:paraId="0985BD34" w14:textId="77777777" w:rsidR="00921922" w:rsidRPr="0098470E" w:rsidRDefault="00921922" w:rsidP="00603215">
            <w:pPr>
              <w:pStyle w:val="DHHStabletext"/>
            </w:pPr>
            <w:r w:rsidRPr="0098470E">
              <w:t>Description</w:t>
            </w:r>
          </w:p>
        </w:tc>
        <w:tc>
          <w:tcPr>
            <w:tcW w:w="6729" w:type="dxa"/>
            <w:hideMark/>
          </w:tcPr>
          <w:p w14:paraId="6AB826C4" w14:textId="77777777" w:rsidR="00921922" w:rsidRPr="0098470E" w:rsidRDefault="00921922" w:rsidP="00603215">
            <w:pPr>
              <w:pStyle w:val="DHHStabletext"/>
            </w:pPr>
            <w:r w:rsidRPr="0098470E">
              <w:t>Timely post-discharge follow-up is an important component of client care. Monitoring the proportion of discharges that are followed up within seven days is a good measure of the timeliness of this care. This indicator reflects the effectiveness of the interface between admitted care and non-admitted care. It is also monitored at the Commonwealth level.</w:t>
            </w:r>
          </w:p>
        </w:tc>
      </w:tr>
      <w:tr w:rsidR="00921922" w:rsidRPr="0098470E" w14:paraId="3BD9A829" w14:textId="77777777" w:rsidTr="00F12615">
        <w:trPr>
          <w:cantSplit/>
        </w:trPr>
        <w:tc>
          <w:tcPr>
            <w:tcW w:w="2570" w:type="dxa"/>
            <w:hideMark/>
          </w:tcPr>
          <w:p w14:paraId="586A8C8D" w14:textId="77777777" w:rsidR="00921922" w:rsidRPr="0098470E" w:rsidRDefault="00921922" w:rsidP="00603215">
            <w:pPr>
              <w:pStyle w:val="DHHStabletext"/>
            </w:pPr>
            <w:r w:rsidRPr="0098470E">
              <w:t>Calculating performance</w:t>
            </w:r>
          </w:p>
        </w:tc>
        <w:tc>
          <w:tcPr>
            <w:tcW w:w="6729" w:type="dxa"/>
            <w:hideMark/>
          </w:tcPr>
          <w:p w14:paraId="0A9EEED1" w14:textId="77777777" w:rsidR="00921922" w:rsidRPr="0098470E" w:rsidRDefault="00921922" w:rsidP="00603215">
            <w:pPr>
              <w:pStyle w:val="DHHStabletext"/>
            </w:pPr>
            <w:r w:rsidRPr="0098470E">
              <w:t>Where one or more contacts fall in the seven days after the separation date, the separation is considered to have received post-discharge community care.</w:t>
            </w:r>
          </w:p>
          <w:p w14:paraId="0E3C897E" w14:textId="77777777" w:rsidR="00921922" w:rsidRPr="0098470E" w:rsidRDefault="00921922" w:rsidP="00603215">
            <w:pPr>
              <w:pStyle w:val="DHHStabletext"/>
            </w:pPr>
            <w:r w:rsidRPr="0098470E">
              <w:t>The separation type is home and patients must be admitted overnight or longer in hospital.</w:t>
            </w:r>
          </w:p>
          <w:p w14:paraId="437357C7" w14:textId="77777777" w:rsidR="00921922" w:rsidRPr="0098470E" w:rsidRDefault="00921922" w:rsidP="00603215">
            <w:pPr>
              <w:pStyle w:val="DHHStabletext"/>
            </w:pPr>
            <w:r w:rsidRPr="0098470E">
              <w:t>Contacts on the day of separation are excluded. Contacts can be of any duration, in any location for any type of recipient, whether by the local mental health service or another mental health service.</w:t>
            </w:r>
          </w:p>
          <w:p w14:paraId="3AFB3F31" w14:textId="77777777" w:rsidR="00921922" w:rsidRPr="0098470E" w:rsidRDefault="00921922" w:rsidP="00603215">
            <w:pPr>
              <w:pStyle w:val="DHHStabletext"/>
            </w:pPr>
            <w:r w:rsidRPr="0098470E">
              <w:t>This indicator is expressed as a percentage of post-discharge follow-ups on the total number of non-same-day acute adult separations.</w:t>
            </w:r>
          </w:p>
          <w:p w14:paraId="53B402BB" w14:textId="77777777" w:rsidR="00921922" w:rsidRPr="0098470E" w:rsidRDefault="00921922" w:rsidP="00603215">
            <w:pPr>
              <w:pStyle w:val="DHHStabletext"/>
            </w:pPr>
            <w:r w:rsidRPr="0098470E">
              <w:t>This indicator is rounded to the nearest whole number.</w:t>
            </w:r>
          </w:p>
        </w:tc>
      </w:tr>
      <w:tr w:rsidR="00921922" w:rsidRPr="0098470E" w14:paraId="00FE1367" w14:textId="77777777" w:rsidTr="00F12615">
        <w:trPr>
          <w:cantSplit/>
        </w:trPr>
        <w:tc>
          <w:tcPr>
            <w:tcW w:w="2570" w:type="dxa"/>
            <w:hideMark/>
          </w:tcPr>
          <w:p w14:paraId="2814F9C6" w14:textId="77777777" w:rsidR="00921922" w:rsidRPr="0098470E" w:rsidRDefault="00921922" w:rsidP="00603215">
            <w:pPr>
              <w:pStyle w:val="DHHStabletext"/>
            </w:pPr>
            <w:r w:rsidRPr="0098470E">
              <w:t>Numerator</w:t>
            </w:r>
          </w:p>
        </w:tc>
        <w:tc>
          <w:tcPr>
            <w:tcW w:w="6729" w:type="dxa"/>
            <w:hideMark/>
          </w:tcPr>
          <w:p w14:paraId="47BEE258" w14:textId="0C47C452" w:rsidR="00921922" w:rsidRPr="0098470E" w:rsidRDefault="00921922" w:rsidP="00603215">
            <w:pPr>
              <w:pStyle w:val="DHHStabletext"/>
              <w:rPr>
                <w:lang w:val="en-US"/>
              </w:rPr>
            </w:pPr>
            <w:r w:rsidRPr="0098470E">
              <w:t>Number of post-discharge follow-ups within seven days</w:t>
            </w:r>
            <w:r w:rsidR="008A1D63">
              <w:t>.</w:t>
            </w:r>
            <w:r w:rsidRPr="0098470E">
              <w:t xml:space="preserve"> </w:t>
            </w:r>
          </w:p>
        </w:tc>
      </w:tr>
      <w:tr w:rsidR="00921922" w:rsidRPr="0098470E" w14:paraId="4C7215BD" w14:textId="77777777" w:rsidTr="00F12615">
        <w:trPr>
          <w:cantSplit/>
        </w:trPr>
        <w:tc>
          <w:tcPr>
            <w:tcW w:w="2570" w:type="dxa"/>
            <w:hideMark/>
          </w:tcPr>
          <w:p w14:paraId="2E3B0A32" w14:textId="77777777" w:rsidR="00921922" w:rsidRPr="0098470E" w:rsidRDefault="00921922" w:rsidP="00603215">
            <w:pPr>
              <w:pStyle w:val="DHHStabletext"/>
            </w:pPr>
            <w:r w:rsidRPr="0098470E">
              <w:t xml:space="preserve">Denominator </w:t>
            </w:r>
          </w:p>
        </w:tc>
        <w:tc>
          <w:tcPr>
            <w:tcW w:w="6729" w:type="dxa"/>
            <w:hideMark/>
          </w:tcPr>
          <w:p w14:paraId="2A02E759" w14:textId="384342E0" w:rsidR="00921922" w:rsidRPr="0098470E" w:rsidRDefault="00921922" w:rsidP="00603215">
            <w:pPr>
              <w:pStyle w:val="DHHStabletext"/>
              <w:rPr>
                <w:lang w:val="en-US"/>
              </w:rPr>
            </w:pPr>
            <w:r w:rsidRPr="0098470E">
              <w:t>Total non-same-day acute mental health adult separation to a private residence or accommodation</w:t>
            </w:r>
            <w:r w:rsidR="008A1D63">
              <w:t>.</w:t>
            </w:r>
          </w:p>
        </w:tc>
      </w:tr>
      <w:tr w:rsidR="00921922" w:rsidRPr="0098470E" w14:paraId="3FC7FCD3" w14:textId="77777777" w:rsidTr="00F12615">
        <w:trPr>
          <w:cantSplit/>
        </w:trPr>
        <w:tc>
          <w:tcPr>
            <w:tcW w:w="2570" w:type="dxa"/>
            <w:hideMark/>
          </w:tcPr>
          <w:p w14:paraId="4FB8D208" w14:textId="77777777" w:rsidR="00921922" w:rsidRPr="0098470E" w:rsidRDefault="00921922" w:rsidP="00603215">
            <w:pPr>
              <w:pStyle w:val="DHHStabletext"/>
            </w:pPr>
            <w:r w:rsidRPr="0098470E">
              <w:t>Statewide target</w:t>
            </w:r>
          </w:p>
        </w:tc>
        <w:tc>
          <w:tcPr>
            <w:tcW w:w="6729" w:type="dxa"/>
            <w:hideMark/>
          </w:tcPr>
          <w:p w14:paraId="005E6150" w14:textId="77777777" w:rsidR="00921922" w:rsidRPr="0054030C" w:rsidRDefault="00921922" w:rsidP="00603215">
            <w:pPr>
              <w:pStyle w:val="DHHStabletext"/>
            </w:pPr>
            <w:r>
              <w:t>≥ 80</w:t>
            </w:r>
            <w:r w:rsidRPr="0098470E">
              <w:t xml:space="preserve">% </w:t>
            </w:r>
          </w:p>
        </w:tc>
      </w:tr>
      <w:tr w:rsidR="00537E92" w:rsidRPr="0098470E" w14:paraId="065DAC85" w14:textId="77777777" w:rsidTr="002B4ABD">
        <w:trPr>
          <w:cantSplit/>
        </w:trPr>
        <w:tc>
          <w:tcPr>
            <w:tcW w:w="2570" w:type="dxa"/>
            <w:hideMark/>
          </w:tcPr>
          <w:p w14:paraId="763AFE6C" w14:textId="77777777" w:rsidR="00537E92" w:rsidRPr="0098470E" w:rsidRDefault="00537E92" w:rsidP="00603215">
            <w:pPr>
              <w:pStyle w:val="DHHStabletext"/>
            </w:pPr>
            <w:r w:rsidRPr="0098470E">
              <w:t>Achievement</w:t>
            </w:r>
          </w:p>
        </w:tc>
        <w:tc>
          <w:tcPr>
            <w:tcW w:w="6729" w:type="dxa"/>
            <w:hideMark/>
          </w:tcPr>
          <w:p w14:paraId="65B30934" w14:textId="6F6A4640" w:rsidR="00537E92" w:rsidRPr="0098470E" w:rsidRDefault="00537E92" w:rsidP="00537E92">
            <w:pPr>
              <w:pStyle w:val="DHHStabletext92mmtab"/>
            </w:pPr>
            <w:r w:rsidRPr="0098470E">
              <w:t xml:space="preserve">Greater than or equal to </w:t>
            </w:r>
            <w:r>
              <w:t>80</w:t>
            </w:r>
            <w:r w:rsidRPr="0098470E">
              <w:t>%</w:t>
            </w:r>
            <w:r>
              <w:tab/>
              <w:t>Achieved</w:t>
            </w:r>
          </w:p>
          <w:p w14:paraId="2A5E7FE8" w14:textId="763B0C20" w:rsidR="00537E92" w:rsidRPr="0098470E" w:rsidRDefault="00537E92" w:rsidP="00537E92">
            <w:pPr>
              <w:pStyle w:val="DHHStabletext92mmtab"/>
            </w:pPr>
            <w:r w:rsidRPr="0098470E">
              <w:t xml:space="preserve">Less than </w:t>
            </w:r>
            <w:r>
              <w:t>80</w:t>
            </w:r>
            <w:r w:rsidRPr="0098470E">
              <w:t>%</w:t>
            </w:r>
            <w:r>
              <w:tab/>
              <w:t>Not achieved</w:t>
            </w:r>
          </w:p>
        </w:tc>
      </w:tr>
      <w:tr w:rsidR="00921922" w:rsidRPr="0098470E" w14:paraId="32E2D43F" w14:textId="77777777" w:rsidTr="00F12615">
        <w:trPr>
          <w:cantSplit/>
        </w:trPr>
        <w:tc>
          <w:tcPr>
            <w:tcW w:w="2570" w:type="dxa"/>
          </w:tcPr>
          <w:p w14:paraId="7832A36E" w14:textId="77777777" w:rsidR="00921922" w:rsidRDefault="00921922" w:rsidP="00603215">
            <w:pPr>
              <w:pStyle w:val="DHHStabletext"/>
            </w:pPr>
            <w:r>
              <w:t>Improvement</w:t>
            </w:r>
          </w:p>
        </w:tc>
        <w:tc>
          <w:tcPr>
            <w:tcW w:w="6729" w:type="dxa"/>
          </w:tcPr>
          <w:p w14:paraId="49B4A9CC" w14:textId="208338EF" w:rsidR="00921922" w:rsidRDefault="00921922" w:rsidP="00603215">
            <w:pPr>
              <w:pStyle w:val="DHHStabletext"/>
            </w:pPr>
            <w:r>
              <w:t>For the purpose of the performance risk assessment, improvement is compared to previous quarter performance</w:t>
            </w:r>
            <w:r w:rsidR="008A1D63">
              <w:t>.</w:t>
            </w:r>
          </w:p>
        </w:tc>
      </w:tr>
      <w:tr w:rsidR="00921922" w:rsidRPr="0098470E" w14:paraId="175EA284" w14:textId="77777777" w:rsidTr="00F12615">
        <w:trPr>
          <w:cantSplit/>
        </w:trPr>
        <w:tc>
          <w:tcPr>
            <w:tcW w:w="2570" w:type="dxa"/>
            <w:hideMark/>
          </w:tcPr>
          <w:p w14:paraId="42F54642" w14:textId="77777777" w:rsidR="00921922" w:rsidRPr="0098470E" w:rsidRDefault="00921922" w:rsidP="00603215">
            <w:pPr>
              <w:pStyle w:val="DHHStabletext"/>
            </w:pPr>
            <w:r w:rsidRPr="0098470E">
              <w:t>Frequency of reporting and data collection</w:t>
            </w:r>
          </w:p>
        </w:tc>
        <w:tc>
          <w:tcPr>
            <w:tcW w:w="6729" w:type="dxa"/>
            <w:hideMark/>
          </w:tcPr>
          <w:p w14:paraId="569535DB" w14:textId="77777777" w:rsidR="00921922" w:rsidRPr="0098470E" w:rsidRDefault="00921922" w:rsidP="00603215">
            <w:pPr>
              <w:pStyle w:val="DHHStabletext"/>
            </w:pPr>
            <w:r w:rsidRPr="0098470E">
              <w:t>Performance is monitored and assessed quarterly. In addition to quarterly monitoring, a performance result is generated annually based on the full year data.</w:t>
            </w:r>
          </w:p>
          <w:p w14:paraId="353FF145" w14:textId="1330F9C5" w:rsidR="00921922" w:rsidRPr="0098470E" w:rsidRDefault="00921922" w:rsidP="00603215">
            <w:pPr>
              <w:pStyle w:val="DHHStabletext"/>
            </w:pPr>
            <w:r w:rsidRPr="0098470E">
              <w:t>The separation date is between the start of the reporting period (minus seven days) and the end of the reporting period (minus seven days). Separations are lagged by seven days to allow all post-discharge follow-up in the reporting period to be captured. For example, if the reporting period is from 1 July to 30 September, then separations from 24 June to 24 September are included.</w:t>
            </w:r>
          </w:p>
          <w:p w14:paraId="7117AE51" w14:textId="77777777" w:rsidR="00921922" w:rsidRPr="0098470E" w:rsidRDefault="00921922" w:rsidP="00603215">
            <w:pPr>
              <w:pStyle w:val="DHHStabletext"/>
            </w:pPr>
            <w:r w:rsidRPr="0098470E">
              <w:t>Performance is reported for the periods:</w:t>
            </w:r>
          </w:p>
          <w:p w14:paraId="348759DB" w14:textId="484C3B34" w:rsidR="00921922" w:rsidRPr="0098470E" w:rsidRDefault="00921922" w:rsidP="00603215">
            <w:pPr>
              <w:pStyle w:val="DHHStablebullet1"/>
            </w:pPr>
            <w:r w:rsidRPr="0098470E">
              <w:t>1 July to 30 September in quarter 1</w:t>
            </w:r>
          </w:p>
          <w:p w14:paraId="478EE6EC" w14:textId="34D5C017" w:rsidR="00921922" w:rsidRPr="0098470E" w:rsidRDefault="00921922" w:rsidP="00603215">
            <w:pPr>
              <w:pStyle w:val="DHHStablebullet1"/>
            </w:pPr>
            <w:r w:rsidRPr="0098470E">
              <w:t>1 October to 31 December in quarter 2</w:t>
            </w:r>
          </w:p>
          <w:p w14:paraId="503DC6B2" w14:textId="061C2D0B" w:rsidR="00921922" w:rsidRPr="0098470E" w:rsidRDefault="00921922" w:rsidP="00603215">
            <w:pPr>
              <w:pStyle w:val="DHHStablebullet1"/>
            </w:pPr>
            <w:r w:rsidRPr="0098470E">
              <w:t>1 January to 31 March in quarter 3</w:t>
            </w:r>
          </w:p>
          <w:p w14:paraId="6CFC8822" w14:textId="4841945C" w:rsidR="00921922" w:rsidRPr="0098470E" w:rsidRDefault="00921922" w:rsidP="00603215">
            <w:pPr>
              <w:pStyle w:val="DHHStablebullet1"/>
            </w:pPr>
            <w:r w:rsidRPr="0098470E">
              <w:t>1 April to 30 June in quarter 4.</w:t>
            </w:r>
          </w:p>
          <w:p w14:paraId="2EFF68A7" w14:textId="77777777" w:rsidR="00921922" w:rsidRPr="0098470E" w:rsidRDefault="00921922" w:rsidP="00603215">
            <w:pPr>
              <w:pStyle w:val="DHHStabletext"/>
            </w:pPr>
            <w:r w:rsidRPr="0098470E">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341C91DB" w14:textId="015421B0" w:rsidR="00F12615" w:rsidRPr="00961723" w:rsidRDefault="00F12615" w:rsidP="00F12615">
      <w:pPr>
        <w:pStyle w:val="DHHStablecaption"/>
      </w:pPr>
      <w:r>
        <w:lastRenderedPageBreak/>
        <w:t xml:space="preserve">Indicator: </w:t>
      </w:r>
      <w:r w:rsidR="00E405F2" w:rsidRPr="008A6C4E">
        <w:t>Percentage of aged mental health inpatients who have post-discharge follow-up within seven days</w:t>
      </w:r>
    </w:p>
    <w:tbl>
      <w:tblPr>
        <w:tblStyle w:val="TableGrid"/>
        <w:tblW w:w="9299" w:type="dxa"/>
        <w:tblLook w:val="06A0" w:firstRow="1" w:lastRow="0" w:firstColumn="1" w:lastColumn="0" w:noHBand="1" w:noVBand="1"/>
      </w:tblPr>
      <w:tblGrid>
        <w:gridCol w:w="2532"/>
        <w:gridCol w:w="6767"/>
      </w:tblGrid>
      <w:tr w:rsidR="00D97737" w:rsidRPr="0098470E" w14:paraId="3964E150"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32" w:type="dxa"/>
          </w:tcPr>
          <w:p w14:paraId="5E8BBDB1" w14:textId="6BD4252D" w:rsidR="00D97737" w:rsidRPr="008A6C4E" w:rsidRDefault="00D97737" w:rsidP="00D97737">
            <w:pPr>
              <w:pStyle w:val="DHHStablecolhead"/>
            </w:pPr>
            <w:r>
              <w:t>Element</w:t>
            </w:r>
          </w:p>
        </w:tc>
        <w:tc>
          <w:tcPr>
            <w:tcW w:w="6767" w:type="dxa"/>
          </w:tcPr>
          <w:p w14:paraId="31F905EB" w14:textId="3F2B3699" w:rsidR="00D97737" w:rsidRPr="008A6C4E" w:rsidRDefault="00D97737" w:rsidP="00D97737">
            <w:pPr>
              <w:pStyle w:val="DHHStablecolhead"/>
            </w:pPr>
            <w:r>
              <w:t>Details</w:t>
            </w:r>
          </w:p>
        </w:tc>
      </w:tr>
      <w:tr w:rsidR="00921922" w:rsidRPr="0098470E" w14:paraId="18CE144D" w14:textId="77777777" w:rsidTr="00F12615">
        <w:trPr>
          <w:cantSplit/>
        </w:trPr>
        <w:tc>
          <w:tcPr>
            <w:tcW w:w="2532" w:type="dxa"/>
            <w:hideMark/>
          </w:tcPr>
          <w:p w14:paraId="6E2484D7" w14:textId="77777777" w:rsidR="00921922" w:rsidRPr="0098470E" w:rsidRDefault="00921922" w:rsidP="00603215">
            <w:pPr>
              <w:pStyle w:val="DHHStabletext"/>
            </w:pPr>
            <w:r w:rsidRPr="0098470E">
              <w:t>Description</w:t>
            </w:r>
          </w:p>
        </w:tc>
        <w:tc>
          <w:tcPr>
            <w:tcW w:w="6767" w:type="dxa"/>
            <w:hideMark/>
          </w:tcPr>
          <w:p w14:paraId="0A091097" w14:textId="77777777" w:rsidR="00921922" w:rsidRPr="0098470E" w:rsidRDefault="00921922" w:rsidP="00603215">
            <w:pPr>
              <w:pStyle w:val="DHHStabletext"/>
            </w:pPr>
            <w:r w:rsidRPr="0098470E">
              <w:t>Timely post-discharge follow-up is an important component of client care. Monitoring the proportion of discharges that are followed up within seven days is a good measure of the timeliness of this care. This indicator reflects the effectiveness of the interface between admitted care and non-admitted care. It is also monitored at the Commonwealth level.</w:t>
            </w:r>
          </w:p>
        </w:tc>
      </w:tr>
      <w:tr w:rsidR="00921922" w:rsidRPr="0098470E" w14:paraId="053F1D05" w14:textId="77777777" w:rsidTr="00F12615">
        <w:trPr>
          <w:cantSplit/>
        </w:trPr>
        <w:tc>
          <w:tcPr>
            <w:tcW w:w="2532" w:type="dxa"/>
            <w:hideMark/>
          </w:tcPr>
          <w:p w14:paraId="34ED7E3A" w14:textId="77777777" w:rsidR="00921922" w:rsidRPr="0098470E" w:rsidRDefault="00921922" w:rsidP="00603215">
            <w:pPr>
              <w:pStyle w:val="DHHStabletext"/>
            </w:pPr>
            <w:r w:rsidRPr="0098470E">
              <w:t>Calculating performance</w:t>
            </w:r>
          </w:p>
        </w:tc>
        <w:tc>
          <w:tcPr>
            <w:tcW w:w="6767" w:type="dxa"/>
            <w:hideMark/>
          </w:tcPr>
          <w:p w14:paraId="16105003" w14:textId="77777777" w:rsidR="00921922" w:rsidRPr="0098470E" w:rsidRDefault="00921922" w:rsidP="00603215">
            <w:pPr>
              <w:pStyle w:val="DHHStabletext"/>
            </w:pPr>
            <w:r w:rsidRPr="0098470E">
              <w:t>Where one or more contacts fall in the seven days after the separation date, the separation is considered to have received post-discharge community care.</w:t>
            </w:r>
          </w:p>
          <w:p w14:paraId="0ADA4DDF" w14:textId="77777777" w:rsidR="00921922" w:rsidRPr="0098470E" w:rsidRDefault="00921922" w:rsidP="00603215">
            <w:pPr>
              <w:pStyle w:val="DHHStabletext"/>
            </w:pPr>
            <w:r w:rsidRPr="0098470E">
              <w:t>The separation type is home or residential aged care and patients must be admitted overnight or longer in hospital.</w:t>
            </w:r>
          </w:p>
          <w:p w14:paraId="73EA2220" w14:textId="77777777" w:rsidR="00921922" w:rsidRPr="0098470E" w:rsidRDefault="00921922" w:rsidP="00603215">
            <w:pPr>
              <w:pStyle w:val="DHHStabletext"/>
            </w:pPr>
            <w:r w:rsidRPr="0098470E">
              <w:t>Contacts on the day of separation are excluded. Contacts can be of any duration, in any location for any type of recipient, whether by the local mental health service or another mental health service.</w:t>
            </w:r>
          </w:p>
          <w:p w14:paraId="782C15B7" w14:textId="77777777" w:rsidR="00921922" w:rsidRPr="0098470E" w:rsidRDefault="00921922" w:rsidP="00603215">
            <w:pPr>
              <w:pStyle w:val="DHHStabletext"/>
            </w:pPr>
            <w:r w:rsidRPr="0098470E">
              <w:t>This indicator is expressed as a percentage of post-discharge follow-ups on the total number of non-same-day acute aged separations.</w:t>
            </w:r>
          </w:p>
          <w:p w14:paraId="4E4A037E" w14:textId="77777777" w:rsidR="00921922" w:rsidRPr="0098470E" w:rsidRDefault="00921922" w:rsidP="00603215">
            <w:pPr>
              <w:pStyle w:val="DHHStabletext"/>
            </w:pPr>
            <w:r w:rsidRPr="0098470E">
              <w:t>Aged clients are identified by the type of admission.</w:t>
            </w:r>
          </w:p>
          <w:p w14:paraId="0874D5EA" w14:textId="77777777" w:rsidR="00921922" w:rsidRPr="0098470E" w:rsidRDefault="00921922" w:rsidP="00603215">
            <w:pPr>
              <w:pStyle w:val="DHHStabletext"/>
            </w:pPr>
            <w:r w:rsidRPr="0098470E">
              <w:t>This indicator is expressed as a percentage and rounded to the nearest whole number.</w:t>
            </w:r>
          </w:p>
        </w:tc>
      </w:tr>
      <w:tr w:rsidR="00921922" w:rsidRPr="0098470E" w14:paraId="0636701D" w14:textId="77777777" w:rsidTr="00F12615">
        <w:trPr>
          <w:cantSplit/>
        </w:trPr>
        <w:tc>
          <w:tcPr>
            <w:tcW w:w="2532" w:type="dxa"/>
            <w:hideMark/>
          </w:tcPr>
          <w:p w14:paraId="61490655" w14:textId="77777777" w:rsidR="00921922" w:rsidRPr="0098470E" w:rsidRDefault="00921922" w:rsidP="00603215">
            <w:pPr>
              <w:pStyle w:val="DHHStabletext"/>
            </w:pPr>
            <w:r w:rsidRPr="0098470E">
              <w:t>Numerator</w:t>
            </w:r>
          </w:p>
        </w:tc>
        <w:tc>
          <w:tcPr>
            <w:tcW w:w="6767" w:type="dxa"/>
            <w:hideMark/>
          </w:tcPr>
          <w:p w14:paraId="4984C997" w14:textId="4937B8CD" w:rsidR="00921922" w:rsidRPr="0098470E" w:rsidRDefault="00921922" w:rsidP="00603215">
            <w:pPr>
              <w:pStyle w:val="DHHStabletext"/>
              <w:rPr>
                <w:lang w:val="en-US"/>
              </w:rPr>
            </w:pPr>
            <w:r w:rsidRPr="0098470E">
              <w:t>Number of post-discharge follow-ups within seven days</w:t>
            </w:r>
            <w:r w:rsidR="0027014E">
              <w:t>.</w:t>
            </w:r>
            <w:r w:rsidRPr="0098470E">
              <w:t xml:space="preserve"> </w:t>
            </w:r>
          </w:p>
        </w:tc>
      </w:tr>
      <w:tr w:rsidR="00921922" w:rsidRPr="0098470E" w14:paraId="72B59FF9" w14:textId="77777777" w:rsidTr="00F12615">
        <w:trPr>
          <w:cantSplit/>
        </w:trPr>
        <w:tc>
          <w:tcPr>
            <w:tcW w:w="2532" w:type="dxa"/>
            <w:hideMark/>
          </w:tcPr>
          <w:p w14:paraId="7177BC3C" w14:textId="77777777" w:rsidR="00921922" w:rsidRPr="0098470E" w:rsidRDefault="00921922" w:rsidP="00603215">
            <w:pPr>
              <w:pStyle w:val="DHHStabletext"/>
            </w:pPr>
            <w:r w:rsidRPr="0098470E">
              <w:t xml:space="preserve">Denominator </w:t>
            </w:r>
          </w:p>
        </w:tc>
        <w:tc>
          <w:tcPr>
            <w:tcW w:w="6767" w:type="dxa"/>
            <w:hideMark/>
          </w:tcPr>
          <w:p w14:paraId="197D3060" w14:textId="79B97A32" w:rsidR="00921922" w:rsidRPr="0098470E" w:rsidRDefault="00921922" w:rsidP="00603215">
            <w:pPr>
              <w:pStyle w:val="DHHStabletext"/>
              <w:rPr>
                <w:lang w:val="en-US"/>
              </w:rPr>
            </w:pPr>
            <w:r w:rsidRPr="0098470E">
              <w:t>Total non-same-day acute mental health aged separations to a private residence or accommodation</w:t>
            </w:r>
            <w:r w:rsidR="0027014E">
              <w:t>.</w:t>
            </w:r>
          </w:p>
        </w:tc>
      </w:tr>
      <w:tr w:rsidR="00921922" w:rsidRPr="0098470E" w14:paraId="40D050B4" w14:textId="77777777" w:rsidTr="00F12615">
        <w:trPr>
          <w:cantSplit/>
        </w:trPr>
        <w:tc>
          <w:tcPr>
            <w:tcW w:w="2532" w:type="dxa"/>
            <w:hideMark/>
          </w:tcPr>
          <w:p w14:paraId="3CC71023" w14:textId="77777777" w:rsidR="00921922" w:rsidRPr="0098470E" w:rsidRDefault="00921922" w:rsidP="00603215">
            <w:pPr>
              <w:pStyle w:val="DHHStabletext"/>
            </w:pPr>
            <w:r w:rsidRPr="0098470E">
              <w:t>Statewide target</w:t>
            </w:r>
          </w:p>
        </w:tc>
        <w:tc>
          <w:tcPr>
            <w:tcW w:w="6767" w:type="dxa"/>
            <w:hideMark/>
          </w:tcPr>
          <w:p w14:paraId="3BC2F225" w14:textId="77777777" w:rsidR="00921922" w:rsidRPr="0054030C" w:rsidRDefault="00921922" w:rsidP="00603215">
            <w:pPr>
              <w:pStyle w:val="DHHStabletext"/>
            </w:pPr>
            <w:r>
              <w:t>≥ 80</w:t>
            </w:r>
            <w:r w:rsidRPr="0098470E">
              <w:t xml:space="preserve">% </w:t>
            </w:r>
          </w:p>
        </w:tc>
      </w:tr>
      <w:tr w:rsidR="00537E92" w:rsidRPr="0098470E" w14:paraId="253AFC7E" w14:textId="77777777" w:rsidTr="002B4ABD">
        <w:trPr>
          <w:cantSplit/>
        </w:trPr>
        <w:tc>
          <w:tcPr>
            <w:tcW w:w="2532" w:type="dxa"/>
            <w:hideMark/>
          </w:tcPr>
          <w:p w14:paraId="12B4EC60" w14:textId="77777777" w:rsidR="00537E92" w:rsidRPr="0098470E" w:rsidRDefault="00537E92" w:rsidP="00603215">
            <w:pPr>
              <w:pStyle w:val="DHHStabletext"/>
            </w:pPr>
            <w:r w:rsidRPr="0098470E">
              <w:t>Achievement</w:t>
            </w:r>
          </w:p>
        </w:tc>
        <w:tc>
          <w:tcPr>
            <w:tcW w:w="6767" w:type="dxa"/>
            <w:hideMark/>
          </w:tcPr>
          <w:p w14:paraId="6C00D442" w14:textId="6F110748" w:rsidR="00537E92" w:rsidRPr="0098470E" w:rsidRDefault="00537E92" w:rsidP="00537E92">
            <w:pPr>
              <w:pStyle w:val="DHHStabletext92mmtab"/>
            </w:pPr>
            <w:r w:rsidRPr="0098470E">
              <w:t xml:space="preserve">Greater than or equal to </w:t>
            </w:r>
            <w:r>
              <w:t>80</w:t>
            </w:r>
            <w:r w:rsidRPr="0098470E">
              <w:t>%</w:t>
            </w:r>
            <w:r>
              <w:tab/>
              <w:t>Achieved</w:t>
            </w:r>
          </w:p>
          <w:p w14:paraId="4F30FBDC" w14:textId="7919899E" w:rsidR="00537E92" w:rsidRPr="0098470E" w:rsidRDefault="00537E92" w:rsidP="00537E92">
            <w:pPr>
              <w:pStyle w:val="DHHStabletext92mmtab"/>
            </w:pPr>
            <w:r w:rsidRPr="0098470E">
              <w:t xml:space="preserve">Less than </w:t>
            </w:r>
            <w:r>
              <w:t>80</w:t>
            </w:r>
            <w:r w:rsidRPr="0098470E">
              <w:t>%</w:t>
            </w:r>
            <w:r>
              <w:tab/>
              <w:t>Not achieved</w:t>
            </w:r>
          </w:p>
        </w:tc>
      </w:tr>
      <w:tr w:rsidR="00921922" w:rsidRPr="0098470E" w14:paraId="065239FE" w14:textId="77777777" w:rsidTr="00F12615">
        <w:trPr>
          <w:cantSplit/>
        </w:trPr>
        <w:tc>
          <w:tcPr>
            <w:tcW w:w="2532" w:type="dxa"/>
          </w:tcPr>
          <w:p w14:paraId="1252D7BD" w14:textId="77777777" w:rsidR="00921922" w:rsidRDefault="00921922" w:rsidP="00603215">
            <w:pPr>
              <w:pStyle w:val="DHHStabletext"/>
            </w:pPr>
            <w:r>
              <w:t>Improvement</w:t>
            </w:r>
          </w:p>
        </w:tc>
        <w:tc>
          <w:tcPr>
            <w:tcW w:w="6767" w:type="dxa"/>
          </w:tcPr>
          <w:p w14:paraId="0F2B2C61" w14:textId="5B91C0C8" w:rsidR="00921922" w:rsidRDefault="00921922" w:rsidP="00603215">
            <w:pPr>
              <w:pStyle w:val="DHHStabletext"/>
            </w:pPr>
            <w:r>
              <w:t>For the purpose of the performance risk assessment, improvement is compared to previous quarter performance</w:t>
            </w:r>
            <w:r w:rsidR="0027014E">
              <w:t>.</w:t>
            </w:r>
            <w:r>
              <w:t xml:space="preserve"> </w:t>
            </w:r>
          </w:p>
        </w:tc>
      </w:tr>
      <w:tr w:rsidR="00921922" w:rsidRPr="0098470E" w14:paraId="1EDBCC68" w14:textId="77777777" w:rsidTr="00F12615">
        <w:trPr>
          <w:cantSplit/>
        </w:trPr>
        <w:tc>
          <w:tcPr>
            <w:tcW w:w="2532" w:type="dxa"/>
            <w:hideMark/>
          </w:tcPr>
          <w:p w14:paraId="1B8773F5" w14:textId="77777777" w:rsidR="00921922" w:rsidRPr="0098470E" w:rsidRDefault="00921922" w:rsidP="00603215">
            <w:pPr>
              <w:pStyle w:val="DHHStabletext"/>
            </w:pPr>
            <w:r w:rsidRPr="0098470E">
              <w:t>Frequency of reporting and data collection</w:t>
            </w:r>
          </w:p>
        </w:tc>
        <w:tc>
          <w:tcPr>
            <w:tcW w:w="6767" w:type="dxa"/>
            <w:hideMark/>
          </w:tcPr>
          <w:p w14:paraId="367837B3" w14:textId="77777777" w:rsidR="00921922" w:rsidRPr="0098470E" w:rsidRDefault="00921922" w:rsidP="00603215">
            <w:pPr>
              <w:pStyle w:val="DHHStabletext"/>
            </w:pPr>
            <w:r w:rsidRPr="0098470E">
              <w:t>Performance is monitored and assessed quarterly. In addition to quarterly monitoring, a performance result is generated annually based on the full year data.</w:t>
            </w:r>
          </w:p>
          <w:p w14:paraId="3CFDA29F" w14:textId="7F68922B" w:rsidR="00921922" w:rsidRPr="0098470E" w:rsidRDefault="00921922" w:rsidP="00603215">
            <w:pPr>
              <w:pStyle w:val="DHHStabletext"/>
            </w:pPr>
            <w:r w:rsidRPr="0098470E">
              <w:t>The separation date is between the start of the reporting period (minus seven days) and the end of the reporting period (minus seven days). Separations are lagged by seven days to allow all post-discharge follow-up in the reporting period to be captured. For example, if the reporting period is from 1 July to 30 September then separations from 24 June to 24 September are included.</w:t>
            </w:r>
          </w:p>
          <w:p w14:paraId="69548A5F" w14:textId="77777777" w:rsidR="00921922" w:rsidRPr="0098470E" w:rsidRDefault="00921922" w:rsidP="00603215">
            <w:pPr>
              <w:pStyle w:val="DHHStabletext"/>
            </w:pPr>
            <w:r w:rsidRPr="0098470E">
              <w:t>Performance is reported for the periods:</w:t>
            </w:r>
          </w:p>
          <w:p w14:paraId="6B4D4BD4" w14:textId="50C3E578" w:rsidR="00921922" w:rsidRPr="0098470E" w:rsidRDefault="00921922" w:rsidP="00603215">
            <w:pPr>
              <w:pStyle w:val="DHHStablebullet1"/>
            </w:pPr>
            <w:r w:rsidRPr="0098470E">
              <w:t>1 July to 30 September in quarter 1</w:t>
            </w:r>
          </w:p>
          <w:p w14:paraId="0F6304BF" w14:textId="2D107117" w:rsidR="00921922" w:rsidRPr="0098470E" w:rsidRDefault="00921922" w:rsidP="00603215">
            <w:pPr>
              <w:pStyle w:val="DHHStablebullet1"/>
            </w:pPr>
            <w:r w:rsidRPr="0098470E">
              <w:t>1 October to 31 December in quarter 2</w:t>
            </w:r>
          </w:p>
          <w:p w14:paraId="64B9C942" w14:textId="00F0404B" w:rsidR="00921922" w:rsidRPr="0098470E" w:rsidRDefault="00921922" w:rsidP="00603215">
            <w:pPr>
              <w:pStyle w:val="DHHStablebullet1"/>
            </w:pPr>
            <w:r w:rsidRPr="0098470E">
              <w:t>1 January to 31 March in quarter 3</w:t>
            </w:r>
          </w:p>
          <w:p w14:paraId="466AD9D2" w14:textId="3131175D" w:rsidR="00921922" w:rsidRPr="0098470E" w:rsidRDefault="00921922" w:rsidP="00603215">
            <w:pPr>
              <w:pStyle w:val="DHHStablebullet1"/>
            </w:pPr>
            <w:r w:rsidRPr="0098470E">
              <w:t>1 April to 30 June in quarter 4.</w:t>
            </w:r>
          </w:p>
          <w:p w14:paraId="0C3315E6" w14:textId="77777777" w:rsidR="00921922" w:rsidRPr="0098470E" w:rsidRDefault="00921922" w:rsidP="00603215">
            <w:pPr>
              <w:pStyle w:val="DHHStabletext"/>
            </w:pPr>
            <w:r w:rsidRPr="0098470E">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713D7FEE" w14:textId="77777777" w:rsidR="00921922" w:rsidRDefault="00921922" w:rsidP="00921922">
      <w:pPr>
        <w:pStyle w:val="DHHSbody"/>
      </w:pPr>
      <w:r w:rsidRPr="0098470E">
        <w:br w:type="page"/>
      </w:r>
    </w:p>
    <w:p w14:paraId="5F61B89B" w14:textId="0C3A3371" w:rsidR="00921922" w:rsidRDefault="00921922" w:rsidP="00EA5FA2">
      <w:pPr>
        <w:pStyle w:val="Heading4"/>
      </w:pPr>
      <w:bookmarkStart w:id="80" w:name="_Toc517959133"/>
      <w:bookmarkStart w:id="81" w:name="_Toc15580089"/>
      <w:r>
        <w:lastRenderedPageBreak/>
        <w:t>Maternity and n</w:t>
      </w:r>
      <w:r w:rsidRPr="0098470E">
        <w:t>ewborn</w:t>
      </w:r>
      <w:bookmarkEnd w:id="80"/>
      <w:bookmarkEnd w:id="81"/>
    </w:p>
    <w:p w14:paraId="2FD42A0D" w14:textId="0FA32017" w:rsidR="00F12615" w:rsidRPr="00F12615" w:rsidRDefault="00F12615" w:rsidP="00F12615">
      <w:pPr>
        <w:pStyle w:val="DHHStablecaption"/>
      </w:pPr>
      <w:r>
        <w:t xml:space="preserve">Indicator: </w:t>
      </w:r>
      <w:r w:rsidR="00E405F2" w:rsidRPr="008A6C4E">
        <w:t>Rate of singleton term infants without birth anomalies with A</w:t>
      </w:r>
      <w:r w:rsidR="00E405F2">
        <w:t>pgar</w:t>
      </w:r>
      <w:r w:rsidR="00E405F2" w:rsidRPr="008A6C4E">
        <w:t xml:space="preserve"> score &lt;</w:t>
      </w:r>
      <w:r w:rsidR="003759A3">
        <w:t xml:space="preserve"> </w:t>
      </w:r>
      <w:r w:rsidR="00E405F2" w:rsidRPr="008A6C4E">
        <w:t>7 to 5 minutes</w:t>
      </w:r>
    </w:p>
    <w:tbl>
      <w:tblPr>
        <w:tblStyle w:val="TableGrid"/>
        <w:tblW w:w="9299" w:type="dxa"/>
        <w:tblLook w:val="06A0" w:firstRow="1" w:lastRow="0" w:firstColumn="1" w:lastColumn="0" w:noHBand="1" w:noVBand="1"/>
      </w:tblPr>
      <w:tblGrid>
        <w:gridCol w:w="2561"/>
        <w:gridCol w:w="6738"/>
      </w:tblGrid>
      <w:tr w:rsidR="00D97737" w:rsidRPr="0098470E" w14:paraId="54A9DAB9"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61" w:type="dxa"/>
          </w:tcPr>
          <w:p w14:paraId="42F408EC" w14:textId="71DAAC3D" w:rsidR="00D97737" w:rsidRPr="008A6C4E" w:rsidRDefault="00D97737" w:rsidP="00D97737">
            <w:pPr>
              <w:pStyle w:val="DHHStablecolhead"/>
            </w:pPr>
            <w:r>
              <w:t>Element</w:t>
            </w:r>
          </w:p>
        </w:tc>
        <w:tc>
          <w:tcPr>
            <w:tcW w:w="6738" w:type="dxa"/>
          </w:tcPr>
          <w:p w14:paraId="27070DD1" w14:textId="65CBDA4A" w:rsidR="00D97737" w:rsidRPr="008A6C4E" w:rsidRDefault="00D97737" w:rsidP="00D97737">
            <w:pPr>
              <w:pStyle w:val="DHHStablecolhead"/>
            </w:pPr>
            <w:r>
              <w:t>Details</w:t>
            </w:r>
          </w:p>
        </w:tc>
      </w:tr>
      <w:tr w:rsidR="00921922" w:rsidRPr="0098470E" w14:paraId="096CBAC9" w14:textId="77777777" w:rsidTr="00F12615">
        <w:trPr>
          <w:cantSplit/>
        </w:trPr>
        <w:tc>
          <w:tcPr>
            <w:tcW w:w="2561" w:type="dxa"/>
            <w:hideMark/>
          </w:tcPr>
          <w:p w14:paraId="1338D635" w14:textId="77777777" w:rsidR="00921922" w:rsidRPr="0098470E" w:rsidRDefault="00921922" w:rsidP="00603215">
            <w:pPr>
              <w:pStyle w:val="DHHStabletext"/>
            </w:pPr>
            <w:r w:rsidRPr="0098470E">
              <w:t>Description</w:t>
            </w:r>
          </w:p>
        </w:tc>
        <w:tc>
          <w:tcPr>
            <w:tcW w:w="6738" w:type="dxa"/>
            <w:hideMark/>
          </w:tcPr>
          <w:p w14:paraId="067E716B" w14:textId="77777777" w:rsidR="00921922" w:rsidRDefault="00921922" w:rsidP="00603215">
            <w:pPr>
              <w:pStyle w:val="DHHStabletext"/>
              <w:rPr>
                <w:bCs/>
                <w:lang w:val="en-US"/>
              </w:rPr>
            </w:pPr>
            <w:r w:rsidRPr="0098470E">
              <w:rPr>
                <w:bCs/>
                <w:lang w:val="en-US"/>
              </w:rPr>
              <w:t>This indicator measures the wellbeing of babies at birth. It is used as a proxy for the quality of intrapartum care and neonatal resuscitation, where necessary, following birth.</w:t>
            </w:r>
          </w:p>
          <w:p w14:paraId="3BD1D842" w14:textId="77777777" w:rsidR="00921922" w:rsidRDefault="00921922" w:rsidP="00603215">
            <w:pPr>
              <w:pStyle w:val="DHHStabletext"/>
              <w:rPr>
                <w:bCs/>
                <w:lang w:val="en-US"/>
              </w:rPr>
            </w:pPr>
            <w:r w:rsidRPr="0098470E">
              <w:rPr>
                <w:bCs/>
                <w:lang w:val="en-US"/>
              </w:rPr>
              <w:t>Singleton infants who are more than 37 weeks gestation and without congenital anomalies are expected to be born in good condition, show healthy physiological adaption to birth and not require significant resuscitation measures.</w:t>
            </w:r>
          </w:p>
          <w:p w14:paraId="7C623344" w14:textId="652BF4CD" w:rsidR="00921922" w:rsidRPr="0098470E" w:rsidRDefault="00921922" w:rsidP="00603215">
            <w:pPr>
              <w:pStyle w:val="DHHStabletext"/>
              <w:rPr>
                <w:bCs/>
                <w:lang w:val="en-US"/>
              </w:rPr>
            </w:pPr>
            <w:r w:rsidRPr="0098470E">
              <w:rPr>
                <w:bCs/>
                <w:lang w:val="en-US"/>
              </w:rPr>
              <w:t>The Apgar score is an assessment of a newborn</w:t>
            </w:r>
            <w:r>
              <w:rPr>
                <w:bCs/>
                <w:lang w:val="en-US"/>
              </w:rPr>
              <w:t>’</w:t>
            </w:r>
            <w:r w:rsidRPr="0098470E">
              <w:rPr>
                <w:bCs/>
                <w:lang w:val="en-US"/>
              </w:rPr>
              <w:t xml:space="preserve">s wellbeing at birth based on five physiological attributes at one and five minutes (and longer if applicable): </w:t>
            </w:r>
            <w:r w:rsidR="00FB4944">
              <w:rPr>
                <w:bCs/>
                <w:lang w:val="en-US"/>
              </w:rPr>
              <w:t>C</w:t>
            </w:r>
            <w:r w:rsidRPr="0098470E">
              <w:rPr>
                <w:bCs/>
                <w:lang w:val="en-US"/>
              </w:rPr>
              <w:t>olour (circulation), breathing, heart rate, muscle tone and reflexes.</w:t>
            </w:r>
          </w:p>
          <w:p w14:paraId="5E55A8FE" w14:textId="4851762A" w:rsidR="00921922" w:rsidRDefault="00921922" w:rsidP="00603215">
            <w:pPr>
              <w:pStyle w:val="DHHStabletext"/>
              <w:rPr>
                <w:bCs/>
                <w:lang w:val="en-US"/>
              </w:rPr>
            </w:pPr>
            <w:r>
              <w:rPr>
                <w:bCs/>
                <w:lang w:val="en-US"/>
              </w:rPr>
              <w:t>The Apgar score is</w:t>
            </w:r>
            <w:r w:rsidRPr="0098470E">
              <w:rPr>
                <w:bCs/>
                <w:lang w:val="en-US"/>
              </w:rPr>
              <w:t xml:space="preserve"> a verified measure of adverse long-term outcomes</w:t>
            </w:r>
            <w:r w:rsidR="00135F54">
              <w:rPr>
                <w:bCs/>
                <w:lang w:val="en-US"/>
              </w:rPr>
              <w:t>.</w:t>
            </w:r>
            <w:r w:rsidRPr="0098470E">
              <w:rPr>
                <w:bCs/>
                <w:lang w:val="en-US"/>
              </w:rPr>
              <w:t xml:space="preserve"> </w:t>
            </w:r>
          </w:p>
          <w:p w14:paraId="17410AB1" w14:textId="0012CFE0" w:rsidR="00921922" w:rsidRPr="0098470E" w:rsidRDefault="00921922" w:rsidP="00603215">
            <w:pPr>
              <w:pStyle w:val="DHHStabletext"/>
              <w:rPr>
                <w:bCs/>
                <w:lang w:val="en-US"/>
              </w:rPr>
            </w:pPr>
            <w:r w:rsidRPr="0098470E">
              <w:rPr>
                <w:bCs/>
                <w:lang w:val="en-US"/>
              </w:rPr>
              <w:t>An Apgar score &lt;</w:t>
            </w:r>
            <w:r w:rsidR="003759A3">
              <w:rPr>
                <w:bCs/>
                <w:lang w:val="en-US"/>
              </w:rPr>
              <w:t xml:space="preserve"> </w:t>
            </w:r>
            <w:r w:rsidRPr="0098470E">
              <w:rPr>
                <w:bCs/>
                <w:lang w:val="en-US"/>
              </w:rPr>
              <w:t>7 at five minutes indicates an infant who requires significant or ongoing resuscitation measures or additional care that may be due to avoidable factors during labour and childbirth and/or the immediate resuscitation measures at birth. It may also indicate sub-optimal triaging and/or management of higher complexity pregnancies.</w:t>
            </w:r>
          </w:p>
          <w:p w14:paraId="3543E9CA" w14:textId="77777777" w:rsidR="00921922" w:rsidRPr="00097404" w:rsidRDefault="00921922" w:rsidP="00603215">
            <w:pPr>
              <w:pStyle w:val="DHHStabletext"/>
            </w:pPr>
            <w:r w:rsidRPr="0098470E">
              <w:t xml:space="preserve">All cases </w:t>
            </w:r>
            <w:r>
              <w:t>of infants born with a low Apgar score (&lt; 7) at five minutes should undergo a clinical review</w:t>
            </w:r>
            <w:r w:rsidRPr="0098470E">
              <w:t xml:space="preserve"> to determine whether appropriate management </w:t>
            </w:r>
            <w:r>
              <w:t xml:space="preserve">and monitoring of the pregnancy </w:t>
            </w:r>
            <w:r w:rsidRPr="0098470E">
              <w:t xml:space="preserve">was provided and whether the </w:t>
            </w:r>
            <w:r>
              <w:t>case was</w:t>
            </w:r>
            <w:r w:rsidRPr="0098470E">
              <w:t xml:space="preserve"> avoidable. The review can also highlight </w:t>
            </w:r>
            <w:r>
              <w:t>opportunities for improvement</w:t>
            </w:r>
            <w:r w:rsidRPr="0098470E">
              <w:t>.</w:t>
            </w:r>
          </w:p>
        </w:tc>
      </w:tr>
      <w:tr w:rsidR="00921922" w:rsidRPr="0098470E" w14:paraId="46051F2A" w14:textId="77777777" w:rsidTr="00F12615">
        <w:trPr>
          <w:cantSplit/>
        </w:trPr>
        <w:tc>
          <w:tcPr>
            <w:tcW w:w="2561" w:type="dxa"/>
            <w:hideMark/>
          </w:tcPr>
          <w:p w14:paraId="2B4660AD" w14:textId="77777777" w:rsidR="00921922" w:rsidRPr="0098470E" w:rsidRDefault="00921922" w:rsidP="00603215">
            <w:pPr>
              <w:pStyle w:val="DHHStabletext"/>
            </w:pPr>
            <w:r w:rsidRPr="0098470E">
              <w:t>Calculating performance</w:t>
            </w:r>
          </w:p>
        </w:tc>
        <w:tc>
          <w:tcPr>
            <w:tcW w:w="6738" w:type="dxa"/>
            <w:hideMark/>
          </w:tcPr>
          <w:p w14:paraId="45F79467" w14:textId="24BD2A43" w:rsidR="00846467" w:rsidRPr="00097404" w:rsidRDefault="00921922" w:rsidP="00603215">
            <w:pPr>
              <w:pStyle w:val="DHHStabletext"/>
            </w:pPr>
            <w:r w:rsidRPr="0098470E">
              <w:t>This</w:t>
            </w:r>
            <w:r>
              <w:t xml:space="preserve"> indicator excludes all terminations of pregnancy, babies</w:t>
            </w:r>
            <w:r w:rsidRPr="0098470E">
              <w:t xml:space="preserve"> born at less than 37 weeks</w:t>
            </w:r>
            <w:r>
              <w:t>’</w:t>
            </w:r>
            <w:r w:rsidRPr="0098470E">
              <w:t xml:space="preserve"> gestation,</w:t>
            </w:r>
            <w:r>
              <w:t xml:space="preserve"> birthweight &lt;150 grams, babies </w:t>
            </w:r>
            <w:r w:rsidRPr="0098470E">
              <w:t>born with congenital anomalies, multiple births</w:t>
            </w:r>
            <w:r>
              <w:t>,</w:t>
            </w:r>
            <w:r w:rsidRPr="0098470E">
              <w:t xml:space="preserve"> stillbirths</w:t>
            </w:r>
            <w:r>
              <w:t xml:space="preserve"> and babies born before arrival at hospital.</w:t>
            </w:r>
          </w:p>
        </w:tc>
      </w:tr>
      <w:tr w:rsidR="00921922" w:rsidRPr="0098470E" w14:paraId="4046EE5A" w14:textId="77777777" w:rsidTr="00F12615">
        <w:trPr>
          <w:cantSplit/>
        </w:trPr>
        <w:tc>
          <w:tcPr>
            <w:tcW w:w="2561" w:type="dxa"/>
            <w:hideMark/>
          </w:tcPr>
          <w:p w14:paraId="4D896FBD" w14:textId="77777777" w:rsidR="00921922" w:rsidRPr="0098470E" w:rsidRDefault="00921922" w:rsidP="00603215">
            <w:pPr>
              <w:pStyle w:val="DHHStabletext"/>
            </w:pPr>
            <w:r w:rsidRPr="0098470E">
              <w:t>Numerator</w:t>
            </w:r>
          </w:p>
        </w:tc>
        <w:tc>
          <w:tcPr>
            <w:tcW w:w="6738" w:type="dxa"/>
            <w:hideMark/>
          </w:tcPr>
          <w:p w14:paraId="2C908B90" w14:textId="1C3716BF" w:rsidR="00921922" w:rsidRPr="0098470E" w:rsidRDefault="00921922" w:rsidP="00603215">
            <w:pPr>
              <w:pStyle w:val="DHHStabletext"/>
              <w:rPr>
                <w:lang w:val="en-US"/>
              </w:rPr>
            </w:pPr>
            <w:r w:rsidRPr="0098470E">
              <w:rPr>
                <w:lang w:val="en-US"/>
              </w:rPr>
              <w:t>The number of singleton, liveborn, term infants without congenital anomalies with an Apgar score &lt; 7 at five minutes</w:t>
            </w:r>
            <w:r w:rsidR="00FB4944">
              <w:rPr>
                <w:lang w:val="en-US"/>
              </w:rPr>
              <w:t>.</w:t>
            </w:r>
            <w:r w:rsidRPr="0098470E">
              <w:rPr>
                <w:lang w:val="en-US"/>
              </w:rPr>
              <w:t xml:space="preserve"> </w:t>
            </w:r>
          </w:p>
        </w:tc>
      </w:tr>
      <w:tr w:rsidR="00921922" w:rsidRPr="0098470E" w14:paraId="00C058AF" w14:textId="77777777" w:rsidTr="00F12615">
        <w:trPr>
          <w:cantSplit/>
        </w:trPr>
        <w:tc>
          <w:tcPr>
            <w:tcW w:w="2561" w:type="dxa"/>
            <w:hideMark/>
          </w:tcPr>
          <w:p w14:paraId="7C32C0C4" w14:textId="77777777" w:rsidR="00921922" w:rsidRPr="0098470E" w:rsidRDefault="00921922" w:rsidP="00603215">
            <w:pPr>
              <w:pStyle w:val="DHHStabletext"/>
            </w:pPr>
            <w:r w:rsidRPr="0098470E">
              <w:t xml:space="preserve">Denominator </w:t>
            </w:r>
          </w:p>
        </w:tc>
        <w:tc>
          <w:tcPr>
            <w:tcW w:w="6738" w:type="dxa"/>
            <w:hideMark/>
          </w:tcPr>
          <w:p w14:paraId="421A29BF" w14:textId="08705EA7" w:rsidR="00921922" w:rsidRPr="0098470E" w:rsidRDefault="00921922" w:rsidP="00603215">
            <w:pPr>
              <w:pStyle w:val="DHHStabletext"/>
              <w:rPr>
                <w:lang w:val="en-US"/>
              </w:rPr>
            </w:pPr>
            <w:r w:rsidRPr="0098470E">
              <w:rPr>
                <w:lang w:val="en-US"/>
              </w:rPr>
              <w:t xml:space="preserve">The number of </w:t>
            </w:r>
            <w:r>
              <w:rPr>
                <w:lang w:val="en-US"/>
              </w:rPr>
              <w:t xml:space="preserve">inborn </w:t>
            </w:r>
            <w:r w:rsidRPr="0098470E">
              <w:rPr>
                <w:lang w:val="en-US"/>
              </w:rPr>
              <w:t xml:space="preserve">singleton, liveborn term </w:t>
            </w:r>
            <w:r>
              <w:rPr>
                <w:lang w:val="en-US"/>
              </w:rPr>
              <w:t>babies</w:t>
            </w:r>
            <w:r w:rsidRPr="0098470E">
              <w:rPr>
                <w:lang w:val="en-US"/>
              </w:rPr>
              <w:t xml:space="preserve"> without congenital anomalies</w:t>
            </w:r>
            <w:r w:rsidR="00FB4944">
              <w:rPr>
                <w:lang w:val="en-US"/>
              </w:rPr>
              <w:t>.</w:t>
            </w:r>
            <w:r w:rsidRPr="0098470E">
              <w:rPr>
                <w:lang w:val="en-US"/>
              </w:rPr>
              <w:t xml:space="preserve"> </w:t>
            </w:r>
          </w:p>
        </w:tc>
      </w:tr>
      <w:tr w:rsidR="00921922" w:rsidRPr="0098470E" w14:paraId="114B3F58" w14:textId="77777777" w:rsidTr="00F12615">
        <w:trPr>
          <w:cantSplit/>
        </w:trPr>
        <w:tc>
          <w:tcPr>
            <w:tcW w:w="2561" w:type="dxa"/>
            <w:hideMark/>
          </w:tcPr>
          <w:p w14:paraId="6E16F24F" w14:textId="77777777" w:rsidR="00921922" w:rsidRPr="0098470E" w:rsidRDefault="00921922" w:rsidP="00603215">
            <w:pPr>
              <w:pStyle w:val="DHHStabletext"/>
            </w:pPr>
            <w:r w:rsidRPr="0098470E">
              <w:t>Statewide target</w:t>
            </w:r>
          </w:p>
        </w:tc>
        <w:tc>
          <w:tcPr>
            <w:tcW w:w="6738" w:type="dxa"/>
            <w:hideMark/>
          </w:tcPr>
          <w:p w14:paraId="015ABE82" w14:textId="31909F25" w:rsidR="00921922" w:rsidRPr="0054030C" w:rsidRDefault="00921922" w:rsidP="00603215">
            <w:pPr>
              <w:pStyle w:val="DHHStabletext"/>
            </w:pPr>
            <w:r w:rsidRPr="0054030C">
              <w:t>≤</w:t>
            </w:r>
            <w:r>
              <w:t xml:space="preserve"> </w:t>
            </w:r>
            <w:r w:rsidRPr="0054030C">
              <w:t>1.</w:t>
            </w:r>
            <w:r w:rsidR="00350FB0">
              <w:t>4</w:t>
            </w:r>
            <w:r w:rsidRPr="0054030C">
              <w:t>%</w:t>
            </w:r>
          </w:p>
        </w:tc>
      </w:tr>
      <w:tr w:rsidR="00537E92" w:rsidRPr="0098470E" w14:paraId="1DDEB64E" w14:textId="77777777" w:rsidTr="00537E92">
        <w:trPr>
          <w:cantSplit/>
        </w:trPr>
        <w:tc>
          <w:tcPr>
            <w:tcW w:w="2561" w:type="dxa"/>
            <w:hideMark/>
          </w:tcPr>
          <w:p w14:paraId="0EC9DCB4" w14:textId="219BFCEC" w:rsidR="00537E92" w:rsidRPr="0098470E" w:rsidRDefault="00537E92" w:rsidP="00603215">
            <w:pPr>
              <w:pStyle w:val="DHHStabletext"/>
            </w:pPr>
            <w:r w:rsidRPr="0098470E">
              <w:t>Achievement</w:t>
            </w:r>
          </w:p>
        </w:tc>
        <w:tc>
          <w:tcPr>
            <w:tcW w:w="6738" w:type="dxa"/>
            <w:hideMark/>
          </w:tcPr>
          <w:p w14:paraId="719D3FEE" w14:textId="40FAA218" w:rsidR="00537E92" w:rsidRPr="0098470E" w:rsidRDefault="00537E92" w:rsidP="00537E92">
            <w:pPr>
              <w:pStyle w:val="DHHStabletext92mmtab"/>
            </w:pPr>
            <w:r w:rsidRPr="0098470E">
              <w:t>Less than or equal to 1.</w:t>
            </w:r>
            <w:r>
              <w:t>4</w:t>
            </w:r>
            <w:r w:rsidRPr="0098470E">
              <w:t>%</w:t>
            </w:r>
            <w:r>
              <w:tab/>
              <w:t>Achieved</w:t>
            </w:r>
          </w:p>
          <w:p w14:paraId="243B9C0F" w14:textId="4D1D3F1D" w:rsidR="00537E92" w:rsidRPr="0098470E" w:rsidRDefault="00537E92" w:rsidP="00537E92">
            <w:pPr>
              <w:pStyle w:val="DHHStabletext92mmtab"/>
            </w:pPr>
            <w:r w:rsidRPr="0098470E">
              <w:t>Greater than 1.</w:t>
            </w:r>
            <w:r>
              <w:t>4</w:t>
            </w:r>
            <w:r w:rsidRPr="0098470E">
              <w:t>%</w:t>
            </w:r>
            <w:r>
              <w:tab/>
              <w:t>Not achieved</w:t>
            </w:r>
          </w:p>
        </w:tc>
      </w:tr>
      <w:tr w:rsidR="00921922" w:rsidRPr="0098470E" w14:paraId="551F83E5" w14:textId="77777777" w:rsidTr="00F12615">
        <w:trPr>
          <w:cantSplit/>
        </w:trPr>
        <w:tc>
          <w:tcPr>
            <w:tcW w:w="2561" w:type="dxa"/>
          </w:tcPr>
          <w:p w14:paraId="6FE2AD4C" w14:textId="77777777" w:rsidR="00921922" w:rsidRPr="0098470E" w:rsidRDefault="00921922" w:rsidP="00603215">
            <w:pPr>
              <w:pStyle w:val="DHHStabletext"/>
            </w:pPr>
            <w:r>
              <w:t>Improvement</w:t>
            </w:r>
          </w:p>
        </w:tc>
        <w:tc>
          <w:tcPr>
            <w:tcW w:w="6738" w:type="dxa"/>
          </w:tcPr>
          <w:p w14:paraId="661F2D73" w14:textId="2C5C13D8" w:rsidR="00921922" w:rsidRDefault="00DD05E4" w:rsidP="00603215">
            <w:pPr>
              <w:pStyle w:val="DHHStabletext"/>
            </w:pPr>
            <w:r>
              <w:t xml:space="preserve">For the purpose of the performance risk assessment, the annual rate is compared to the annual rate of the previous quarter. </w:t>
            </w:r>
            <w:r w:rsidRPr="00AE30AA">
              <w:t xml:space="preserve">SCV </w:t>
            </w:r>
            <w:r>
              <w:t xml:space="preserve">will </w:t>
            </w:r>
            <w:r w:rsidR="00093C29">
              <w:t xml:space="preserve">also </w:t>
            </w:r>
            <w:r w:rsidRPr="00AE30AA">
              <w:t xml:space="preserve">analyse performance over </w:t>
            </w:r>
            <w:r>
              <w:t>a longer period</w:t>
            </w:r>
            <w:r w:rsidRPr="00AE30AA">
              <w:t>, taking trends as well as absolute levels of performance into account</w:t>
            </w:r>
            <w:r>
              <w:t>.</w:t>
            </w:r>
          </w:p>
        </w:tc>
      </w:tr>
      <w:tr w:rsidR="00921922" w:rsidRPr="0098470E" w14:paraId="6B0AD887" w14:textId="77777777" w:rsidTr="00F12615">
        <w:trPr>
          <w:cantSplit/>
        </w:trPr>
        <w:tc>
          <w:tcPr>
            <w:tcW w:w="2561" w:type="dxa"/>
            <w:hideMark/>
          </w:tcPr>
          <w:p w14:paraId="3513D058" w14:textId="77777777" w:rsidR="00921922" w:rsidRPr="0098470E" w:rsidRDefault="00921922" w:rsidP="00603215">
            <w:pPr>
              <w:pStyle w:val="DHHStabletext"/>
            </w:pPr>
            <w:r w:rsidRPr="0098470E">
              <w:lastRenderedPageBreak/>
              <w:t>Frequency of reporting and data collection</w:t>
            </w:r>
          </w:p>
        </w:tc>
        <w:tc>
          <w:tcPr>
            <w:tcW w:w="6738" w:type="dxa"/>
            <w:hideMark/>
          </w:tcPr>
          <w:p w14:paraId="542C85E0" w14:textId="77777777" w:rsidR="00921922" w:rsidRDefault="00921922" w:rsidP="00603215">
            <w:pPr>
              <w:pStyle w:val="DHHStabletext"/>
            </w:pPr>
            <w:r w:rsidRPr="0098470E">
              <w:t>Data for this indicator is derived from the Victorian Perinatal Data Collection (VPDC) and lagged by one quarter.</w:t>
            </w:r>
          </w:p>
          <w:p w14:paraId="4B18CE45" w14:textId="2B16517E" w:rsidR="00921922" w:rsidRPr="0098470E" w:rsidRDefault="00921922" w:rsidP="00603215">
            <w:pPr>
              <w:pStyle w:val="DHHStabletext"/>
            </w:pPr>
            <w:r w:rsidRPr="0098470E">
              <w:rPr>
                <w:bCs/>
                <w:lang w:val="en-US"/>
              </w:rPr>
              <w:t xml:space="preserve">Due to low numbers of births at some health services, this measure is </w:t>
            </w:r>
            <w:r w:rsidRPr="0098470E">
              <w:rPr>
                <w:lang w:val="en-US"/>
              </w:rPr>
              <w:t xml:space="preserve">calculated using a </w:t>
            </w:r>
            <w:r w:rsidR="00563410">
              <w:rPr>
                <w:lang w:val="en-US"/>
              </w:rPr>
              <w:t xml:space="preserve">12 month </w:t>
            </w:r>
            <w:r w:rsidRPr="0098470E">
              <w:rPr>
                <w:lang w:val="en-US"/>
              </w:rPr>
              <w:t xml:space="preserve">rolling </w:t>
            </w:r>
            <w:r w:rsidR="00563410">
              <w:rPr>
                <w:lang w:val="en-US"/>
              </w:rPr>
              <w:t>average over the</w:t>
            </w:r>
            <w:r w:rsidRPr="0098470E">
              <w:rPr>
                <w:lang w:val="en-US"/>
              </w:rPr>
              <w:t xml:space="preserve"> reporting period.</w:t>
            </w:r>
          </w:p>
          <w:p w14:paraId="11AE1C7D" w14:textId="1346C058" w:rsidR="00921922" w:rsidRDefault="00921922" w:rsidP="00603215">
            <w:pPr>
              <w:pStyle w:val="DHHStabletext"/>
              <w:rPr>
                <w:lang w:val="en-US"/>
              </w:rPr>
            </w:pPr>
            <w:r w:rsidRPr="0098470E">
              <w:rPr>
                <w:lang w:val="en-US"/>
              </w:rPr>
              <w:t xml:space="preserve">Results are reported quarterly at campus level, using </w:t>
            </w:r>
            <w:r w:rsidR="00563410">
              <w:rPr>
                <w:lang w:val="en-US"/>
              </w:rPr>
              <w:t xml:space="preserve">four </w:t>
            </w:r>
            <w:r w:rsidRPr="0098470E">
              <w:rPr>
                <w:lang w:val="en-US"/>
              </w:rPr>
              <w:t xml:space="preserve">quarters rolling data, with one quarter lag time. Results are not reported where minimum threshold of </w:t>
            </w:r>
            <w:r w:rsidR="000866FD">
              <w:rPr>
                <w:rFonts w:cs="Arial"/>
                <w:lang w:val="en-US"/>
              </w:rPr>
              <w:t>≥</w:t>
            </w:r>
            <w:r w:rsidRPr="0098470E">
              <w:rPr>
                <w:lang w:val="en-US"/>
              </w:rPr>
              <w:t>10 case in denominator is not achieved.</w:t>
            </w:r>
          </w:p>
          <w:p w14:paraId="5F879EB5" w14:textId="77777777" w:rsidR="00921922" w:rsidRDefault="00921922" w:rsidP="00603215">
            <w:pPr>
              <w:pStyle w:val="DHHStabletext"/>
              <w:rPr>
                <w:lang w:val="en-US"/>
              </w:rPr>
            </w:pPr>
            <w:r w:rsidRPr="0098470E">
              <w:rPr>
                <w:lang w:val="en-US"/>
              </w:rPr>
              <w:t>Data is required to be submitted by health services monthly. All data reported to the VPDC is due within 30 days.</w:t>
            </w:r>
          </w:p>
          <w:p w14:paraId="70E0618A" w14:textId="77777777" w:rsidR="00921922" w:rsidRPr="00EB3B24" w:rsidRDefault="00921922" w:rsidP="00603215">
            <w:pPr>
              <w:pStyle w:val="DHHStabletext"/>
              <w:rPr>
                <w:lang w:val="en-US"/>
              </w:rPr>
            </w:pPr>
            <w:r>
              <w:rPr>
                <w:lang w:val="en-US"/>
              </w:rPr>
              <w:t>H</w:t>
            </w:r>
            <w:r w:rsidRPr="0098470E">
              <w:rPr>
                <w:lang w:val="en-US"/>
              </w:rPr>
              <w:t>ealth services are required to submit VPDC data for the previous month by the end of the following month. (This may mean that a birth may take up to 60 days to be reported by a health service if it occur</w:t>
            </w:r>
            <w:r>
              <w:rPr>
                <w:lang w:val="en-US"/>
              </w:rPr>
              <w:t>red at the start of the month).</w:t>
            </w:r>
          </w:p>
        </w:tc>
      </w:tr>
    </w:tbl>
    <w:p w14:paraId="39E1A5EA" w14:textId="77777777" w:rsidR="00F1426A" w:rsidRDefault="00F1426A">
      <w:pPr>
        <w:spacing w:after="200" w:line="276" w:lineRule="auto"/>
        <w:rPr>
          <w:rFonts w:ascii="Arial" w:hAnsi="Arial"/>
          <w:b/>
        </w:rPr>
      </w:pPr>
      <w:r>
        <w:br w:type="page"/>
      </w:r>
    </w:p>
    <w:p w14:paraId="2F15F8F1" w14:textId="3A4310A0" w:rsidR="00F12615" w:rsidRPr="00961723" w:rsidRDefault="00F12615" w:rsidP="00F12615">
      <w:pPr>
        <w:pStyle w:val="DHHStablecaption"/>
      </w:pPr>
      <w:r>
        <w:lastRenderedPageBreak/>
        <w:t xml:space="preserve">Indicator: </w:t>
      </w:r>
      <w:r w:rsidR="00E405F2" w:rsidRPr="008A6C4E">
        <w:t xml:space="preserve">Rate of </w:t>
      </w:r>
      <w:r w:rsidR="00E405F2">
        <w:t>s</w:t>
      </w:r>
      <w:r w:rsidR="00E405F2" w:rsidRPr="008A6C4E">
        <w:t>evere fetal growth restriction (FGR) in singleton pregnancy undelivered by 40 weeks</w:t>
      </w:r>
    </w:p>
    <w:tbl>
      <w:tblPr>
        <w:tblStyle w:val="TableGrid"/>
        <w:tblW w:w="9299" w:type="dxa"/>
        <w:tblLook w:val="06A0" w:firstRow="1" w:lastRow="0" w:firstColumn="1" w:lastColumn="0" w:noHBand="1" w:noVBand="1"/>
      </w:tblPr>
      <w:tblGrid>
        <w:gridCol w:w="2561"/>
        <w:gridCol w:w="6738"/>
      </w:tblGrid>
      <w:tr w:rsidR="00D97737" w:rsidRPr="0098470E" w14:paraId="7D414A2E"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61" w:type="dxa"/>
          </w:tcPr>
          <w:p w14:paraId="1545FEEB" w14:textId="1208DECB" w:rsidR="00D97737" w:rsidRPr="008A6C4E" w:rsidRDefault="00D97737" w:rsidP="00D97737">
            <w:pPr>
              <w:pStyle w:val="DHHStablecolhead"/>
            </w:pPr>
            <w:r>
              <w:t>Element</w:t>
            </w:r>
          </w:p>
        </w:tc>
        <w:tc>
          <w:tcPr>
            <w:tcW w:w="6738" w:type="dxa"/>
          </w:tcPr>
          <w:p w14:paraId="39514142" w14:textId="37BA276E" w:rsidR="00D97737" w:rsidRPr="008A6C4E" w:rsidRDefault="00D97737" w:rsidP="00D97737">
            <w:pPr>
              <w:pStyle w:val="DHHStablecolhead"/>
            </w:pPr>
            <w:r>
              <w:t>Details</w:t>
            </w:r>
          </w:p>
        </w:tc>
      </w:tr>
      <w:tr w:rsidR="00921922" w:rsidRPr="0098470E" w14:paraId="153B2AA0" w14:textId="77777777" w:rsidTr="00F12615">
        <w:trPr>
          <w:cantSplit/>
        </w:trPr>
        <w:tc>
          <w:tcPr>
            <w:tcW w:w="2561" w:type="dxa"/>
            <w:hideMark/>
          </w:tcPr>
          <w:p w14:paraId="4CC7B24F" w14:textId="77777777" w:rsidR="00921922" w:rsidRPr="0098470E" w:rsidRDefault="00921922" w:rsidP="00603215">
            <w:pPr>
              <w:pStyle w:val="DHHStabletext"/>
            </w:pPr>
            <w:r w:rsidRPr="0098470E">
              <w:t>Description</w:t>
            </w:r>
          </w:p>
        </w:tc>
        <w:tc>
          <w:tcPr>
            <w:tcW w:w="6738" w:type="dxa"/>
            <w:hideMark/>
          </w:tcPr>
          <w:p w14:paraId="2410543F" w14:textId="3C941EE7" w:rsidR="00921922" w:rsidRPr="0098470E" w:rsidRDefault="00CC1C71" w:rsidP="00603215">
            <w:pPr>
              <w:pStyle w:val="DHHStabletext"/>
              <w:rPr>
                <w:bCs/>
                <w:lang w:val="en-US"/>
              </w:rPr>
            </w:pPr>
            <w:r>
              <w:rPr>
                <w:bCs/>
                <w:lang w:val="en-US"/>
              </w:rPr>
              <w:t>T</w:t>
            </w:r>
            <w:r w:rsidR="00921922" w:rsidRPr="0098470E">
              <w:rPr>
                <w:bCs/>
                <w:lang w:val="en-US"/>
              </w:rPr>
              <w:t xml:space="preserve">his indicator </w:t>
            </w:r>
            <w:r>
              <w:rPr>
                <w:bCs/>
                <w:lang w:val="en-US"/>
              </w:rPr>
              <w:t>measures</w:t>
            </w:r>
            <w:r w:rsidR="00921922" w:rsidRPr="0098470E">
              <w:rPr>
                <w:bCs/>
                <w:lang w:val="en-US"/>
              </w:rPr>
              <w:t xml:space="preserve"> the proportion of severely growth-restricted singleton babies who were not born by 40 weeks</w:t>
            </w:r>
            <w:r w:rsidR="00921922">
              <w:rPr>
                <w:bCs/>
                <w:lang w:val="en-US"/>
              </w:rPr>
              <w:t>’</w:t>
            </w:r>
            <w:r w:rsidR="00921922" w:rsidRPr="0098470E">
              <w:rPr>
                <w:bCs/>
                <w:lang w:val="en-US"/>
              </w:rPr>
              <w:t xml:space="preserve"> gestation. </w:t>
            </w:r>
            <w:r w:rsidR="00921922">
              <w:rPr>
                <w:bCs/>
                <w:lang w:val="en-US"/>
              </w:rPr>
              <w:t>For this indicator, a</w:t>
            </w:r>
            <w:r w:rsidR="00921922" w:rsidRPr="0098470E">
              <w:rPr>
                <w:bCs/>
                <w:lang w:val="en-US"/>
              </w:rPr>
              <w:t xml:space="preserve"> baby is considered to be </w:t>
            </w:r>
            <w:r w:rsidR="00921922" w:rsidRPr="00611B47">
              <w:rPr>
                <w:b/>
                <w:bCs/>
                <w:lang w:val="en-US"/>
              </w:rPr>
              <w:t xml:space="preserve">severely </w:t>
            </w:r>
            <w:r w:rsidR="00921922" w:rsidRPr="0098470E">
              <w:rPr>
                <w:bCs/>
                <w:lang w:val="en-US"/>
              </w:rPr>
              <w:t>growth restricted when their birthweight is below the third centile for gestation, sex and plurality</w:t>
            </w:r>
            <w:r w:rsidR="00921922">
              <w:rPr>
                <w:bCs/>
                <w:lang w:val="en-US"/>
              </w:rPr>
              <w:t>.</w:t>
            </w:r>
          </w:p>
          <w:p w14:paraId="217CBCAC" w14:textId="77777777" w:rsidR="00921922" w:rsidRPr="0098470E" w:rsidRDefault="00921922" w:rsidP="00603215">
            <w:pPr>
              <w:pStyle w:val="DHHStabletext"/>
              <w:rPr>
                <w:bCs/>
                <w:lang w:val="en-US"/>
              </w:rPr>
            </w:pPr>
            <w:r w:rsidRPr="0098470E">
              <w:rPr>
                <w:bCs/>
                <w:lang w:val="en-US"/>
              </w:rPr>
              <w:t xml:space="preserve">Severe fetal growth restriction is associated with an increased risk of perinatal mortality and morbidity, admission to a special care nursery or neonatal intensive care unit, and long term health consequences. The risk of mortality for a severely growth-restricted baby increases as the pregnancy advances. </w:t>
            </w:r>
            <w:r>
              <w:rPr>
                <w:bCs/>
                <w:lang w:val="en-US"/>
              </w:rPr>
              <w:t>FGR</w:t>
            </w:r>
            <w:r w:rsidRPr="0098470E">
              <w:rPr>
                <w:bCs/>
                <w:lang w:val="en-US"/>
              </w:rPr>
              <w:t xml:space="preserve"> should therefore be identified early in pregnancy for appropriate medical management and delivery before 40 weeks</w:t>
            </w:r>
            <w:r>
              <w:rPr>
                <w:bCs/>
                <w:lang w:val="en-US"/>
              </w:rPr>
              <w:t>’</w:t>
            </w:r>
            <w:r w:rsidRPr="0098470E">
              <w:rPr>
                <w:bCs/>
                <w:lang w:val="en-US"/>
              </w:rPr>
              <w:t xml:space="preserve"> gestation.</w:t>
            </w:r>
          </w:p>
          <w:p w14:paraId="495EC669" w14:textId="19726627" w:rsidR="00921922" w:rsidRDefault="00921922" w:rsidP="00603215">
            <w:pPr>
              <w:pStyle w:val="DHHStabletext"/>
              <w:rPr>
                <w:bCs/>
                <w:lang w:val="en-US"/>
              </w:rPr>
            </w:pPr>
            <w:r w:rsidRPr="0098470E">
              <w:rPr>
                <w:bCs/>
                <w:lang w:val="en-US"/>
              </w:rPr>
              <w:t>Severe fetal growth restriction closely correlates with adverse outcomes at one year of age.</w:t>
            </w:r>
          </w:p>
          <w:p w14:paraId="53EE7F43" w14:textId="77777777" w:rsidR="00921922" w:rsidRDefault="00921922" w:rsidP="00603215">
            <w:pPr>
              <w:pStyle w:val="DHHStabletext"/>
              <w:rPr>
                <w:bCs/>
                <w:lang w:val="en-US"/>
              </w:rPr>
            </w:pPr>
            <w:r w:rsidRPr="0098470E">
              <w:rPr>
                <w:bCs/>
                <w:lang w:val="en-US"/>
              </w:rPr>
              <w:t>The rate of sever</w:t>
            </w:r>
            <w:r>
              <w:rPr>
                <w:bCs/>
                <w:lang w:val="en-US"/>
              </w:rPr>
              <w:t>e</w:t>
            </w:r>
            <w:r w:rsidRPr="0098470E">
              <w:rPr>
                <w:bCs/>
                <w:lang w:val="en-US"/>
              </w:rPr>
              <w:t xml:space="preserve"> FGR in singleton babies who were not born by 40 weeks</w:t>
            </w:r>
            <w:r>
              <w:rPr>
                <w:bCs/>
                <w:lang w:val="en-US"/>
              </w:rPr>
              <w:t>’</w:t>
            </w:r>
            <w:r w:rsidRPr="0098470E">
              <w:rPr>
                <w:bCs/>
                <w:lang w:val="en-US"/>
              </w:rPr>
              <w:t xml:space="preserve"> gestation has been chosen as the performance indicator for quality of antenatal care.</w:t>
            </w:r>
          </w:p>
          <w:p w14:paraId="7F95145D" w14:textId="77777777" w:rsidR="00921922" w:rsidRPr="0098470E" w:rsidRDefault="00921922" w:rsidP="00603215">
            <w:pPr>
              <w:pStyle w:val="DHHStabletext"/>
              <w:rPr>
                <w:bCs/>
                <w:lang w:val="en-US"/>
              </w:rPr>
            </w:pPr>
            <w:r w:rsidRPr="0098470E">
              <w:rPr>
                <w:bCs/>
                <w:lang w:val="en-US"/>
              </w:rPr>
              <w:t>FGR can be difficult to diagnose and health services should monitor their rates at regular intervals and aim to review these cases to understand why they had not been detected or managed.</w:t>
            </w:r>
          </w:p>
        </w:tc>
      </w:tr>
      <w:tr w:rsidR="00921922" w:rsidRPr="0098470E" w14:paraId="47C40288" w14:textId="77777777" w:rsidTr="00F12615">
        <w:trPr>
          <w:cantSplit/>
        </w:trPr>
        <w:tc>
          <w:tcPr>
            <w:tcW w:w="2561" w:type="dxa"/>
            <w:hideMark/>
          </w:tcPr>
          <w:p w14:paraId="19DEF2E6" w14:textId="77777777" w:rsidR="00921922" w:rsidRPr="0098470E" w:rsidRDefault="00921922" w:rsidP="00603215">
            <w:pPr>
              <w:pStyle w:val="DHHStabletext"/>
            </w:pPr>
            <w:r w:rsidRPr="0098470E">
              <w:t>Calculating performance</w:t>
            </w:r>
          </w:p>
        </w:tc>
        <w:tc>
          <w:tcPr>
            <w:tcW w:w="6738" w:type="dxa"/>
            <w:hideMark/>
          </w:tcPr>
          <w:p w14:paraId="191932EE" w14:textId="77777777" w:rsidR="00921922" w:rsidRDefault="00921922" w:rsidP="00603215">
            <w:pPr>
              <w:pStyle w:val="DHHStabletext"/>
            </w:pPr>
            <w:r>
              <w:t>Severe FGR is defined as birthweight less than the third centile for gestation, sex and plurality, whether liveborn or stillborn.</w:t>
            </w:r>
          </w:p>
          <w:p w14:paraId="76C391F9" w14:textId="77777777" w:rsidR="00921922" w:rsidRPr="000D1E4D" w:rsidRDefault="00921922" w:rsidP="00603215">
            <w:pPr>
              <w:pStyle w:val="DHHStabletext"/>
              <w:rPr>
                <w:bCs/>
                <w:lang w:val="en-US"/>
              </w:rPr>
            </w:pPr>
            <w:r w:rsidRPr="0098470E">
              <w:t xml:space="preserve">This indicator excludes all </w:t>
            </w:r>
            <w:r>
              <w:t xml:space="preserve">terminations of pregnancy, </w:t>
            </w:r>
            <w:r w:rsidRPr="0098470E">
              <w:t>babies without severe FGR</w:t>
            </w:r>
            <w:r>
              <w:t xml:space="preserve">, </w:t>
            </w:r>
            <w:r w:rsidRPr="0098470E">
              <w:t>multiple births</w:t>
            </w:r>
            <w:r>
              <w:t xml:space="preserve"> and births at earlier gestations (less than 32 weeks)</w:t>
            </w:r>
            <w:r w:rsidRPr="0098470E">
              <w:t>.</w:t>
            </w:r>
          </w:p>
        </w:tc>
      </w:tr>
      <w:tr w:rsidR="00921922" w:rsidRPr="0098470E" w14:paraId="2FD89515" w14:textId="77777777" w:rsidTr="00F12615">
        <w:trPr>
          <w:cantSplit/>
        </w:trPr>
        <w:tc>
          <w:tcPr>
            <w:tcW w:w="2561" w:type="dxa"/>
            <w:hideMark/>
          </w:tcPr>
          <w:p w14:paraId="45A1E5A9" w14:textId="77777777" w:rsidR="00921922" w:rsidRPr="0098470E" w:rsidRDefault="00921922" w:rsidP="00603215">
            <w:pPr>
              <w:pStyle w:val="DHHStabletext"/>
            </w:pPr>
            <w:r w:rsidRPr="0098470E">
              <w:t>Numerator</w:t>
            </w:r>
          </w:p>
        </w:tc>
        <w:tc>
          <w:tcPr>
            <w:tcW w:w="6738" w:type="dxa"/>
            <w:hideMark/>
          </w:tcPr>
          <w:p w14:paraId="6EF45E75" w14:textId="6A24C3DD" w:rsidR="00921922" w:rsidRPr="0098470E" w:rsidRDefault="00921922" w:rsidP="00603215">
            <w:pPr>
              <w:pStyle w:val="DHHStabletext"/>
              <w:rPr>
                <w:lang w:val="en-US"/>
              </w:rPr>
            </w:pPr>
            <w:r w:rsidRPr="0098470E">
              <w:rPr>
                <w:lang w:val="en-US"/>
              </w:rPr>
              <w:t>Birth at 40 or more weeks gestation of a singleton baby with severe FGR</w:t>
            </w:r>
            <w:r w:rsidR="00D966D3">
              <w:rPr>
                <w:lang w:val="en-US"/>
              </w:rPr>
              <w:t>.</w:t>
            </w:r>
          </w:p>
        </w:tc>
      </w:tr>
      <w:tr w:rsidR="00921922" w:rsidRPr="0098470E" w14:paraId="0F6851AF" w14:textId="77777777" w:rsidTr="00F12615">
        <w:trPr>
          <w:cantSplit/>
        </w:trPr>
        <w:tc>
          <w:tcPr>
            <w:tcW w:w="2561" w:type="dxa"/>
            <w:hideMark/>
          </w:tcPr>
          <w:p w14:paraId="22DC13BB" w14:textId="77777777" w:rsidR="00921922" w:rsidRPr="0098470E" w:rsidRDefault="00921922" w:rsidP="00603215">
            <w:pPr>
              <w:pStyle w:val="DHHStabletext"/>
            </w:pPr>
            <w:r w:rsidRPr="0098470E">
              <w:t xml:space="preserve">Denominator </w:t>
            </w:r>
          </w:p>
        </w:tc>
        <w:tc>
          <w:tcPr>
            <w:tcW w:w="6738" w:type="dxa"/>
            <w:hideMark/>
          </w:tcPr>
          <w:p w14:paraId="6FEDC340" w14:textId="77777777" w:rsidR="00921922" w:rsidRPr="0098470E" w:rsidRDefault="00921922" w:rsidP="00603215">
            <w:pPr>
              <w:pStyle w:val="DHHStabletext"/>
              <w:rPr>
                <w:lang w:val="en-US"/>
              </w:rPr>
            </w:pPr>
            <w:r w:rsidRPr="0098470E">
              <w:rPr>
                <w:lang w:val="en-US"/>
              </w:rPr>
              <w:t>All singleton births (live and stillborn) with severe FGR</w:t>
            </w:r>
            <w:r>
              <w:rPr>
                <w:lang w:val="en-US"/>
              </w:rPr>
              <w:t xml:space="preserve"> born at and beyond 32 weeks gestation.</w:t>
            </w:r>
          </w:p>
        </w:tc>
      </w:tr>
      <w:tr w:rsidR="00921922" w:rsidRPr="0098470E" w14:paraId="2EEC1FE5" w14:textId="77777777" w:rsidTr="00F12615">
        <w:trPr>
          <w:cantSplit/>
        </w:trPr>
        <w:tc>
          <w:tcPr>
            <w:tcW w:w="2561" w:type="dxa"/>
            <w:hideMark/>
          </w:tcPr>
          <w:p w14:paraId="30125B8D" w14:textId="77777777" w:rsidR="00921922" w:rsidRPr="0098470E" w:rsidRDefault="00921922" w:rsidP="00603215">
            <w:pPr>
              <w:pStyle w:val="DHHStabletext"/>
            </w:pPr>
            <w:r w:rsidRPr="0098470E">
              <w:t>Statewide target</w:t>
            </w:r>
          </w:p>
        </w:tc>
        <w:tc>
          <w:tcPr>
            <w:tcW w:w="6738" w:type="dxa"/>
            <w:hideMark/>
          </w:tcPr>
          <w:p w14:paraId="4B4EF3CF" w14:textId="77777777" w:rsidR="00921922" w:rsidRPr="0054030C" w:rsidRDefault="00921922" w:rsidP="00603215">
            <w:pPr>
              <w:pStyle w:val="DHHStabletext"/>
            </w:pPr>
            <w:r>
              <w:t xml:space="preserve">≤ </w:t>
            </w:r>
            <w:r w:rsidRPr="0098470E">
              <w:t>28.6%</w:t>
            </w:r>
          </w:p>
        </w:tc>
      </w:tr>
      <w:tr w:rsidR="00537E92" w:rsidRPr="0098470E" w14:paraId="0928669C" w14:textId="77777777" w:rsidTr="00537E92">
        <w:trPr>
          <w:cantSplit/>
        </w:trPr>
        <w:tc>
          <w:tcPr>
            <w:tcW w:w="2561" w:type="dxa"/>
            <w:hideMark/>
          </w:tcPr>
          <w:p w14:paraId="339069E9" w14:textId="2F3CAACA" w:rsidR="00537E92" w:rsidRPr="0098470E" w:rsidRDefault="00537E92" w:rsidP="00603215">
            <w:pPr>
              <w:pStyle w:val="DHHStabletext"/>
            </w:pPr>
            <w:r w:rsidRPr="0098470E">
              <w:t>Achievement</w:t>
            </w:r>
          </w:p>
        </w:tc>
        <w:tc>
          <w:tcPr>
            <w:tcW w:w="6738" w:type="dxa"/>
            <w:hideMark/>
          </w:tcPr>
          <w:p w14:paraId="06B21A90" w14:textId="01807FD2" w:rsidR="00537E92" w:rsidRPr="0098470E" w:rsidRDefault="00537E92" w:rsidP="00537E92">
            <w:pPr>
              <w:pStyle w:val="DHHStabletext92mmtab"/>
            </w:pPr>
            <w:r w:rsidRPr="0098470E">
              <w:t>Equal to or less than 28.6%</w:t>
            </w:r>
            <w:r>
              <w:tab/>
              <w:t>Achieved</w:t>
            </w:r>
          </w:p>
          <w:p w14:paraId="024E192C" w14:textId="527E468F" w:rsidR="00537E92" w:rsidRPr="0098470E" w:rsidRDefault="00537E92" w:rsidP="00537E92">
            <w:pPr>
              <w:pStyle w:val="DHHStabletext92mmtab"/>
            </w:pPr>
            <w:r w:rsidRPr="0098470E">
              <w:t>Greater than 28.6%</w:t>
            </w:r>
            <w:r>
              <w:tab/>
              <w:t>Not achieved</w:t>
            </w:r>
          </w:p>
        </w:tc>
      </w:tr>
      <w:tr w:rsidR="00921922" w:rsidRPr="0098470E" w14:paraId="53B11DDD" w14:textId="77777777" w:rsidTr="00F12615">
        <w:trPr>
          <w:cantSplit/>
        </w:trPr>
        <w:tc>
          <w:tcPr>
            <w:tcW w:w="2561" w:type="dxa"/>
          </w:tcPr>
          <w:p w14:paraId="0CD948BF" w14:textId="77777777" w:rsidR="00921922" w:rsidRPr="0098470E" w:rsidRDefault="00921922" w:rsidP="00603215">
            <w:pPr>
              <w:pStyle w:val="DHHStabletext"/>
            </w:pPr>
            <w:r>
              <w:t>Improvement</w:t>
            </w:r>
          </w:p>
        </w:tc>
        <w:tc>
          <w:tcPr>
            <w:tcW w:w="6738" w:type="dxa"/>
          </w:tcPr>
          <w:p w14:paraId="06C87805" w14:textId="467B7B57" w:rsidR="00921922" w:rsidRPr="0098470E" w:rsidRDefault="002E7628" w:rsidP="00603215">
            <w:pPr>
              <w:pStyle w:val="DHHStabletext"/>
              <w:rPr>
                <w:lang w:val="en-US"/>
              </w:rPr>
            </w:pPr>
            <w:r>
              <w:t xml:space="preserve">For the purpose of the performance risk assessment, the annual rate is compared to the annual rate of the previous quarter. </w:t>
            </w:r>
            <w:r w:rsidRPr="00AE30AA">
              <w:t xml:space="preserve">SCV </w:t>
            </w:r>
            <w:r>
              <w:t xml:space="preserve">will </w:t>
            </w:r>
            <w:r w:rsidR="00093C29">
              <w:t xml:space="preserve">also </w:t>
            </w:r>
            <w:r w:rsidRPr="00AE30AA">
              <w:t xml:space="preserve">analyse performance over </w:t>
            </w:r>
            <w:r>
              <w:t>a longer period</w:t>
            </w:r>
            <w:r w:rsidRPr="00AE30AA">
              <w:t>, taking trends as well as absolute levels of performance into account</w:t>
            </w:r>
            <w:r>
              <w:t>.</w:t>
            </w:r>
          </w:p>
        </w:tc>
      </w:tr>
      <w:tr w:rsidR="00921922" w:rsidRPr="0098470E" w14:paraId="629A0C87" w14:textId="77777777" w:rsidTr="00F12615">
        <w:trPr>
          <w:cantSplit/>
        </w:trPr>
        <w:tc>
          <w:tcPr>
            <w:tcW w:w="2561" w:type="dxa"/>
            <w:hideMark/>
          </w:tcPr>
          <w:p w14:paraId="4CD391DC" w14:textId="77777777" w:rsidR="00921922" w:rsidRPr="0098470E" w:rsidRDefault="00921922" w:rsidP="00603215">
            <w:pPr>
              <w:pStyle w:val="DHHStabletext"/>
            </w:pPr>
            <w:r w:rsidRPr="0098470E">
              <w:t>Frequency of reporting and data collection</w:t>
            </w:r>
          </w:p>
        </w:tc>
        <w:tc>
          <w:tcPr>
            <w:tcW w:w="6738" w:type="dxa"/>
            <w:hideMark/>
          </w:tcPr>
          <w:p w14:paraId="6B8F916A" w14:textId="77777777" w:rsidR="00921922" w:rsidRPr="0098470E" w:rsidRDefault="00921922" w:rsidP="00603215">
            <w:pPr>
              <w:pStyle w:val="DHHStabletext"/>
              <w:rPr>
                <w:lang w:val="en-US"/>
              </w:rPr>
            </w:pPr>
            <w:r w:rsidRPr="0098470E">
              <w:rPr>
                <w:lang w:val="en-US"/>
              </w:rPr>
              <w:t>Data for this indicator will be derived from the VPDC. Data is lagged by one quarter.</w:t>
            </w:r>
          </w:p>
          <w:p w14:paraId="7DCA904E" w14:textId="77777777" w:rsidR="00921922" w:rsidRDefault="00921922" w:rsidP="00603215">
            <w:pPr>
              <w:pStyle w:val="DHHStabletext"/>
              <w:rPr>
                <w:lang w:val="en-US"/>
              </w:rPr>
            </w:pPr>
            <w:r w:rsidRPr="0098470E">
              <w:rPr>
                <w:lang w:val="en-US"/>
              </w:rPr>
              <w:t>This indicator is reported quarterly at campus level, with one quarter lag</w:t>
            </w:r>
          </w:p>
          <w:p w14:paraId="5F0F09D4" w14:textId="52776229" w:rsidR="00921922" w:rsidRDefault="00AB19DE" w:rsidP="00603215">
            <w:pPr>
              <w:pStyle w:val="DHHStabletext"/>
              <w:rPr>
                <w:lang w:val="en-US"/>
              </w:rPr>
            </w:pPr>
            <w:r>
              <w:rPr>
                <w:lang w:val="en-US"/>
              </w:rPr>
              <w:t>R</w:t>
            </w:r>
            <w:r w:rsidR="00921922" w:rsidRPr="0098470E">
              <w:rPr>
                <w:lang w:val="en-US"/>
              </w:rPr>
              <w:t xml:space="preserve">esults are reported quarterly at campus level, using </w:t>
            </w:r>
            <w:r w:rsidR="00921922">
              <w:rPr>
                <w:lang w:val="en-US"/>
              </w:rPr>
              <w:t>12 months</w:t>
            </w:r>
            <w:r w:rsidR="00921922" w:rsidRPr="0098470E">
              <w:rPr>
                <w:lang w:val="en-US"/>
              </w:rPr>
              <w:t xml:space="preserve"> </w:t>
            </w:r>
            <w:r w:rsidR="00921922">
              <w:rPr>
                <w:lang w:val="en-US"/>
              </w:rPr>
              <w:t xml:space="preserve">(four quarters) </w:t>
            </w:r>
            <w:r w:rsidR="00921922" w:rsidRPr="0098470E">
              <w:rPr>
                <w:lang w:val="en-US"/>
              </w:rPr>
              <w:t>rolling data, with one quarte</w:t>
            </w:r>
            <w:r w:rsidR="00921922">
              <w:rPr>
                <w:lang w:val="en-US"/>
              </w:rPr>
              <w:t xml:space="preserve">r lag time. </w:t>
            </w:r>
          </w:p>
          <w:p w14:paraId="5EF8EFD7" w14:textId="3CA598F6" w:rsidR="00921922" w:rsidRPr="0098470E" w:rsidRDefault="00921922" w:rsidP="00603215">
            <w:pPr>
              <w:pStyle w:val="DHHStabletext"/>
              <w:rPr>
                <w:lang w:val="en-US"/>
              </w:rPr>
            </w:pPr>
            <w:r w:rsidRPr="0098470E">
              <w:rPr>
                <w:lang w:val="en-US"/>
              </w:rPr>
              <w:t xml:space="preserve">Results are not reported where minimum threshold of </w:t>
            </w:r>
            <w:r w:rsidR="00667AFF">
              <w:rPr>
                <w:rFonts w:cs="Arial"/>
                <w:lang w:val="en-US"/>
              </w:rPr>
              <w:t>≥</w:t>
            </w:r>
            <w:r w:rsidRPr="0098470E">
              <w:rPr>
                <w:lang w:val="en-US"/>
              </w:rPr>
              <w:t>10 case in denominator is not achieved</w:t>
            </w:r>
            <w:r>
              <w:rPr>
                <w:lang w:val="en-US"/>
              </w:rPr>
              <w:t xml:space="preserve"> over the 12 month period</w:t>
            </w:r>
            <w:r w:rsidRPr="0098470E">
              <w:rPr>
                <w:lang w:val="en-US"/>
              </w:rPr>
              <w:t>.</w:t>
            </w:r>
          </w:p>
          <w:p w14:paraId="0F16058B" w14:textId="77777777" w:rsidR="00921922" w:rsidRDefault="00921922" w:rsidP="00603215">
            <w:pPr>
              <w:pStyle w:val="DHHStabletext"/>
              <w:rPr>
                <w:lang w:val="en-US"/>
              </w:rPr>
            </w:pPr>
            <w:r w:rsidRPr="0098470E">
              <w:rPr>
                <w:lang w:val="en-US"/>
              </w:rPr>
              <w:t>Data is required to be submitted by health services monthly.</w:t>
            </w:r>
          </w:p>
          <w:p w14:paraId="5ADF5154" w14:textId="77777777" w:rsidR="00921922" w:rsidRDefault="00921922" w:rsidP="00603215">
            <w:pPr>
              <w:pStyle w:val="DHHStabletext"/>
              <w:rPr>
                <w:lang w:val="en-US"/>
              </w:rPr>
            </w:pPr>
            <w:r w:rsidRPr="0098470E">
              <w:rPr>
                <w:lang w:val="en-US"/>
              </w:rPr>
              <w:t>All data reported to the VPDC is due within 30 days.</w:t>
            </w:r>
          </w:p>
          <w:p w14:paraId="443FE752" w14:textId="77777777" w:rsidR="00921922" w:rsidRPr="0098470E" w:rsidRDefault="00921922" w:rsidP="00603215">
            <w:pPr>
              <w:pStyle w:val="DHHStabletext"/>
              <w:rPr>
                <w:lang w:val="en-US"/>
              </w:rPr>
            </w:pPr>
            <w:r>
              <w:rPr>
                <w:lang w:val="en-US"/>
              </w:rPr>
              <w:t>H</w:t>
            </w:r>
            <w:r w:rsidRPr="0098470E">
              <w:rPr>
                <w:lang w:val="en-US"/>
              </w:rPr>
              <w:t>ealth services are required to submit VPDC data for the previous month by the end of the following month. (This may mean that a birth may take up to 60 days to be reported by a health service if it occurred at the start of the month).</w:t>
            </w:r>
          </w:p>
        </w:tc>
      </w:tr>
    </w:tbl>
    <w:p w14:paraId="1C634742" w14:textId="19914208" w:rsidR="00921922" w:rsidRDefault="00921922">
      <w:pPr>
        <w:pStyle w:val="Heading4"/>
      </w:pPr>
      <w:bookmarkStart w:id="82" w:name="_Toc517959135"/>
      <w:bookmarkStart w:id="83" w:name="_Toc15580090"/>
      <w:r>
        <w:lastRenderedPageBreak/>
        <w:t>Continuing c</w:t>
      </w:r>
      <w:r w:rsidRPr="0098470E">
        <w:t>are</w:t>
      </w:r>
      <w:bookmarkEnd w:id="82"/>
      <w:bookmarkEnd w:id="83"/>
    </w:p>
    <w:p w14:paraId="1054A748" w14:textId="4635E966" w:rsidR="00F12615" w:rsidRPr="00961723" w:rsidRDefault="00F12615" w:rsidP="00F12615">
      <w:pPr>
        <w:pStyle w:val="DHHStablecaption"/>
      </w:pPr>
      <w:r>
        <w:t xml:space="preserve">Indicator: </w:t>
      </w:r>
      <w:r w:rsidR="00101E11" w:rsidRPr="0098470E">
        <w:t>Functional Independence Measure</w:t>
      </w:r>
      <w:r w:rsidR="00101E11">
        <w:t xml:space="preserve"> </w:t>
      </w:r>
      <w:r w:rsidR="00956D03">
        <w:t>(</w:t>
      </w:r>
      <w:r w:rsidR="00956D03" w:rsidRPr="0098470E">
        <w:t>FIM™</w:t>
      </w:r>
      <w:r w:rsidR="00956D03">
        <w:t xml:space="preserve">) </w:t>
      </w:r>
      <w:r w:rsidR="00101E11">
        <w:t>efficiency</w:t>
      </w:r>
    </w:p>
    <w:tbl>
      <w:tblPr>
        <w:tblStyle w:val="TableGrid"/>
        <w:tblW w:w="9300" w:type="dxa"/>
        <w:tblLook w:val="06A0" w:firstRow="1" w:lastRow="0" w:firstColumn="1" w:lastColumn="0" w:noHBand="1" w:noVBand="1"/>
      </w:tblPr>
      <w:tblGrid>
        <w:gridCol w:w="2560"/>
        <w:gridCol w:w="6740"/>
      </w:tblGrid>
      <w:tr w:rsidR="00D97737" w:rsidRPr="0098470E" w14:paraId="37030D9B" w14:textId="77777777" w:rsidTr="00F12615">
        <w:trPr>
          <w:cnfStyle w:val="100000000000" w:firstRow="1" w:lastRow="0" w:firstColumn="0" w:lastColumn="0" w:oddVBand="0" w:evenVBand="0" w:oddHBand="0" w:evenHBand="0" w:firstRowFirstColumn="0" w:firstRowLastColumn="0" w:lastRowFirstColumn="0" w:lastRowLastColumn="0"/>
          <w:cantSplit/>
          <w:trHeight w:val="60"/>
          <w:tblHeader/>
        </w:trPr>
        <w:tc>
          <w:tcPr>
            <w:tcW w:w="2560" w:type="dxa"/>
          </w:tcPr>
          <w:p w14:paraId="38EBD54A" w14:textId="24E9A4F4" w:rsidR="00D97737" w:rsidRPr="0064437D" w:rsidRDefault="00D97737" w:rsidP="00D97737">
            <w:pPr>
              <w:pStyle w:val="DHHStablecolhead"/>
            </w:pPr>
            <w:r>
              <w:t>Element</w:t>
            </w:r>
          </w:p>
        </w:tc>
        <w:tc>
          <w:tcPr>
            <w:tcW w:w="6740" w:type="dxa"/>
          </w:tcPr>
          <w:p w14:paraId="4A624522" w14:textId="2291BD31" w:rsidR="00D97737" w:rsidRPr="0064437D" w:rsidRDefault="00D97737" w:rsidP="00D97737">
            <w:pPr>
              <w:pStyle w:val="DHHStablecolhead"/>
            </w:pPr>
            <w:r>
              <w:t>Details</w:t>
            </w:r>
          </w:p>
        </w:tc>
      </w:tr>
      <w:tr w:rsidR="00921922" w:rsidRPr="0098470E" w14:paraId="5FF5F53B" w14:textId="77777777" w:rsidTr="00D97737">
        <w:trPr>
          <w:trHeight w:val="2145"/>
        </w:trPr>
        <w:tc>
          <w:tcPr>
            <w:tcW w:w="2560" w:type="dxa"/>
            <w:hideMark/>
          </w:tcPr>
          <w:p w14:paraId="27B17902" w14:textId="77777777" w:rsidR="00921922" w:rsidRPr="0098470E" w:rsidRDefault="00921922" w:rsidP="00603215">
            <w:pPr>
              <w:pStyle w:val="DHHStabletext"/>
            </w:pPr>
            <w:r w:rsidRPr="0098470E">
              <w:t>Description</w:t>
            </w:r>
          </w:p>
        </w:tc>
        <w:tc>
          <w:tcPr>
            <w:tcW w:w="6740" w:type="dxa"/>
          </w:tcPr>
          <w:p w14:paraId="5E7C06E2" w14:textId="77777777" w:rsidR="00921922" w:rsidRPr="0098470E" w:rsidRDefault="00921922" w:rsidP="00603215">
            <w:pPr>
              <w:pStyle w:val="DHHStabletext"/>
            </w:pPr>
            <w:r w:rsidRPr="0098470E">
              <w:t>The FIM™ instrument is a basic indicator of patient disability. FIM™ is used to track the changes in the functional ability of a patient during an episode of hospital rehabilitation or Geriatric Evaluation and Management (GEM) care.</w:t>
            </w:r>
          </w:p>
          <w:p w14:paraId="5720FF0A" w14:textId="5AE2E398" w:rsidR="00921922" w:rsidRDefault="00921922" w:rsidP="00603215">
            <w:pPr>
              <w:pStyle w:val="DHHStabletext"/>
            </w:pPr>
            <w:r w:rsidRPr="0098470E">
              <w:t>FIM™ is comprised of 18 items, grouped into 2 subscales</w:t>
            </w:r>
            <w:r w:rsidR="0071472C">
              <w:t xml:space="preserve"> – </w:t>
            </w:r>
            <w:r w:rsidRPr="0098470E">
              <w:t>motor and cognition; each of which is assessed against a seven point ordinal scale, where the higher the score for an item, the more independently the patient is able to perform the tasks assessed by that item. Total scores range from 18 to 126.</w:t>
            </w:r>
          </w:p>
          <w:p w14:paraId="27E514E6" w14:textId="77777777" w:rsidR="00921922" w:rsidRDefault="00921922" w:rsidP="00603215">
            <w:pPr>
              <w:pStyle w:val="DHHStabletext"/>
            </w:pPr>
            <w:r w:rsidRPr="0098470E">
              <w:t>A low FIM™ score is a good indicator of need for subacute bed based care due to reduced function.</w:t>
            </w:r>
          </w:p>
          <w:p w14:paraId="1A5F9579" w14:textId="77777777" w:rsidR="00921922" w:rsidRPr="0098470E" w:rsidRDefault="00921922" w:rsidP="00603215">
            <w:pPr>
              <w:pStyle w:val="DHHStabletext"/>
            </w:pPr>
            <w:r w:rsidRPr="0098470E">
              <w:t>Equally, a higher FIM™ admission score may indicate that care through the Health Independence Program may be as effective in meeting the patient</w:t>
            </w:r>
            <w:r>
              <w:t>’</w:t>
            </w:r>
            <w:r w:rsidRPr="0098470E">
              <w:t>s needs.</w:t>
            </w:r>
          </w:p>
        </w:tc>
      </w:tr>
      <w:tr w:rsidR="00921922" w:rsidRPr="0098470E" w14:paraId="6B5ED927" w14:textId="77777777" w:rsidTr="00D97737">
        <w:trPr>
          <w:trHeight w:val="60"/>
        </w:trPr>
        <w:tc>
          <w:tcPr>
            <w:tcW w:w="2560" w:type="dxa"/>
            <w:hideMark/>
          </w:tcPr>
          <w:p w14:paraId="79CDD410" w14:textId="77777777" w:rsidR="00921922" w:rsidRPr="0098470E" w:rsidRDefault="00921922" w:rsidP="00603215">
            <w:pPr>
              <w:pStyle w:val="DHHStabletext"/>
            </w:pPr>
            <w:r w:rsidRPr="0098470E">
              <w:t>Calculating performance</w:t>
            </w:r>
          </w:p>
        </w:tc>
        <w:tc>
          <w:tcPr>
            <w:tcW w:w="6740" w:type="dxa"/>
            <w:hideMark/>
          </w:tcPr>
          <w:p w14:paraId="684D5EC6" w14:textId="77777777" w:rsidR="00921922" w:rsidRPr="0098470E" w:rsidRDefault="00921922" w:rsidP="00603215">
            <w:pPr>
              <w:pStyle w:val="DHHStabletext"/>
            </w:pPr>
            <w:r w:rsidRPr="0098470E">
              <w:t>FIM™ efficiency is measured by the difference between FIM™ on discharge and FIM™ on admission divided by the number of days of the episode of care.</w:t>
            </w:r>
          </w:p>
          <w:p w14:paraId="7B39C098" w14:textId="77777777" w:rsidR="00921922" w:rsidRPr="0098470E" w:rsidRDefault="00921922" w:rsidP="00603215">
            <w:pPr>
              <w:pStyle w:val="DHHStabletext"/>
            </w:pPr>
            <w:r w:rsidRPr="0098470E">
              <w:t>This indicator applies to all health services providing subacute care (rehabilitation and/or GEM). Excludes palliative care, non-acute care and paediatric rehabilitation.</w:t>
            </w:r>
          </w:p>
          <w:p w14:paraId="719E9248" w14:textId="77777777" w:rsidR="00921922" w:rsidRPr="0098470E" w:rsidRDefault="00921922" w:rsidP="00603215">
            <w:pPr>
              <w:pStyle w:val="DHHStabletext"/>
            </w:pPr>
            <w:r w:rsidRPr="0098470E">
              <w:t xml:space="preserve">Performance is calculated separately as individual scores for GEM and rehabilitation. </w:t>
            </w:r>
          </w:p>
        </w:tc>
      </w:tr>
      <w:tr w:rsidR="00921922" w:rsidRPr="0098470E" w14:paraId="1E209823" w14:textId="77777777" w:rsidTr="00D97737">
        <w:trPr>
          <w:trHeight w:val="60"/>
        </w:trPr>
        <w:tc>
          <w:tcPr>
            <w:tcW w:w="2560" w:type="dxa"/>
          </w:tcPr>
          <w:p w14:paraId="30BD96E5" w14:textId="77777777" w:rsidR="00921922" w:rsidRPr="0098470E" w:rsidRDefault="00921922" w:rsidP="00603215">
            <w:pPr>
              <w:pStyle w:val="DHHStabletext"/>
            </w:pPr>
            <w:r>
              <w:t>Improvement</w:t>
            </w:r>
          </w:p>
        </w:tc>
        <w:tc>
          <w:tcPr>
            <w:tcW w:w="6740" w:type="dxa"/>
          </w:tcPr>
          <w:p w14:paraId="74528E0E" w14:textId="77777777" w:rsidR="00921922" w:rsidRDefault="00921922" w:rsidP="00603215">
            <w:pPr>
              <w:pStyle w:val="DHHStabletext"/>
            </w:pPr>
            <w:r w:rsidRPr="0098470E">
              <w:t>Improvement is compared to previous quarter performance.</w:t>
            </w:r>
          </w:p>
        </w:tc>
      </w:tr>
      <w:tr w:rsidR="00921922" w:rsidRPr="0098470E" w14:paraId="49307D2C" w14:textId="77777777" w:rsidTr="00D97737">
        <w:trPr>
          <w:trHeight w:val="60"/>
        </w:trPr>
        <w:tc>
          <w:tcPr>
            <w:tcW w:w="2560" w:type="dxa"/>
            <w:hideMark/>
          </w:tcPr>
          <w:p w14:paraId="637943AA" w14:textId="77777777" w:rsidR="00921922" w:rsidRPr="0098470E" w:rsidRDefault="00921922" w:rsidP="00603215">
            <w:pPr>
              <w:pStyle w:val="DHHStabletext"/>
            </w:pPr>
            <w:r w:rsidRPr="0098470E">
              <w:t>Frequency of reporting and data collection</w:t>
            </w:r>
          </w:p>
        </w:tc>
        <w:tc>
          <w:tcPr>
            <w:tcW w:w="6740" w:type="dxa"/>
            <w:hideMark/>
          </w:tcPr>
          <w:p w14:paraId="3E25BF81" w14:textId="77777777" w:rsidR="00921922" w:rsidRPr="0098470E" w:rsidRDefault="00921922" w:rsidP="00603215">
            <w:pPr>
              <w:pStyle w:val="DHHStabletext"/>
            </w:pPr>
            <w:r>
              <w:rPr>
                <w:rFonts w:cs="Arial"/>
              </w:rPr>
              <w:t>Data extracted from VAED and reported quarterly with a one quarter lag. Results are reported at health service level.</w:t>
            </w:r>
          </w:p>
        </w:tc>
      </w:tr>
    </w:tbl>
    <w:p w14:paraId="643EDB7F" w14:textId="4C87AD15" w:rsidR="00921922" w:rsidRPr="0098470E" w:rsidRDefault="00F12615" w:rsidP="00F12615">
      <w:pPr>
        <w:pStyle w:val="DHHStablecaption"/>
      </w:pPr>
      <w:r>
        <w:t xml:space="preserve">Indicator: </w:t>
      </w:r>
      <w:r w:rsidR="00101E11" w:rsidRPr="0064437D">
        <w:t>Rehabilitation</w:t>
      </w:r>
    </w:p>
    <w:tbl>
      <w:tblPr>
        <w:tblStyle w:val="TableGrid"/>
        <w:tblW w:w="9299" w:type="dxa"/>
        <w:tblLook w:val="06A0" w:firstRow="1" w:lastRow="0" w:firstColumn="1" w:lastColumn="0" w:noHBand="1" w:noVBand="1"/>
      </w:tblPr>
      <w:tblGrid>
        <w:gridCol w:w="2552"/>
        <w:gridCol w:w="6747"/>
      </w:tblGrid>
      <w:tr w:rsidR="00D97737" w:rsidRPr="0098470E" w14:paraId="43F42B8C" w14:textId="77777777" w:rsidTr="00E90723">
        <w:trPr>
          <w:cnfStyle w:val="100000000000" w:firstRow="1" w:lastRow="0" w:firstColumn="0" w:lastColumn="0" w:oddVBand="0" w:evenVBand="0" w:oddHBand="0" w:evenHBand="0" w:firstRowFirstColumn="0" w:firstRowLastColumn="0" w:lastRowFirstColumn="0" w:lastRowLastColumn="0"/>
          <w:cantSplit/>
          <w:trHeight w:val="60"/>
          <w:tblHeader/>
        </w:trPr>
        <w:tc>
          <w:tcPr>
            <w:tcW w:w="2552" w:type="dxa"/>
          </w:tcPr>
          <w:p w14:paraId="5A778129" w14:textId="50B39B19" w:rsidR="00D97737" w:rsidRPr="0064437D" w:rsidRDefault="00D97737" w:rsidP="00D97737">
            <w:pPr>
              <w:pStyle w:val="DHHStablecolhead"/>
            </w:pPr>
            <w:r>
              <w:t>Element</w:t>
            </w:r>
          </w:p>
        </w:tc>
        <w:tc>
          <w:tcPr>
            <w:tcW w:w="6747" w:type="dxa"/>
          </w:tcPr>
          <w:p w14:paraId="35A2DC8F" w14:textId="0576F52A" w:rsidR="00D97737" w:rsidRPr="0064437D" w:rsidRDefault="00D97737" w:rsidP="00D97737">
            <w:pPr>
              <w:pStyle w:val="DHHStablecolhead"/>
            </w:pPr>
            <w:r>
              <w:t>Details</w:t>
            </w:r>
          </w:p>
        </w:tc>
      </w:tr>
      <w:tr w:rsidR="00921922" w:rsidRPr="0098470E" w14:paraId="2F1B983E" w14:textId="77777777" w:rsidTr="00E90723">
        <w:trPr>
          <w:cantSplit/>
          <w:trHeight w:val="60"/>
        </w:trPr>
        <w:tc>
          <w:tcPr>
            <w:tcW w:w="2552" w:type="dxa"/>
            <w:hideMark/>
          </w:tcPr>
          <w:p w14:paraId="09376C49" w14:textId="77777777" w:rsidR="00921922" w:rsidRPr="0098470E" w:rsidRDefault="00921922" w:rsidP="00603215">
            <w:pPr>
              <w:pStyle w:val="DHHStabletext"/>
            </w:pPr>
            <w:r w:rsidRPr="0098470E">
              <w:t xml:space="preserve">Numerator </w:t>
            </w:r>
          </w:p>
        </w:tc>
        <w:tc>
          <w:tcPr>
            <w:tcW w:w="6747" w:type="dxa"/>
            <w:hideMark/>
          </w:tcPr>
          <w:p w14:paraId="2E41D881" w14:textId="77777777" w:rsidR="00921922" w:rsidRPr="0098470E" w:rsidRDefault="00921922" w:rsidP="00603215">
            <w:pPr>
              <w:pStyle w:val="DHHStabletext"/>
              <w:rPr>
                <w:lang w:val="en-US"/>
              </w:rPr>
            </w:pPr>
            <w:r w:rsidRPr="0098470E">
              <w:t xml:space="preserve">Total FIM™ score on discharge minus total FIM™ score on rehabilitation admission </w:t>
            </w:r>
          </w:p>
        </w:tc>
      </w:tr>
      <w:tr w:rsidR="00921922" w:rsidRPr="0098470E" w14:paraId="35C7A5FC" w14:textId="77777777" w:rsidTr="00E90723">
        <w:trPr>
          <w:cantSplit/>
          <w:trHeight w:val="60"/>
        </w:trPr>
        <w:tc>
          <w:tcPr>
            <w:tcW w:w="2552" w:type="dxa"/>
            <w:hideMark/>
          </w:tcPr>
          <w:p w14:paraId="50AC5206" w14:textId="77777777" w:rsidR="00921922" w:rsidRPr="0098470E" w:rsidRDefault="00921922" w:rsidP="00603215">
            <w:pPr>
              <w:pStyle w:val="DHHStabletext"/>
            </w:pPr>
            <w:r w:rsidRPr="0098470E">
              <w:t xml:space="preserve">Denominator </w:t>
            </w:r>
          </w:p>
        </w:tc>
        <w:tc>
          <w:tcPr>
            <w:tcW w:w="6747" w:type="dxa"/>
            <w:hideMark/>
          </w:tcPr>
          <w:p w14:paraId="7DD37F4D" w14:textId="77777777" w:rsidR="00921922" w:rsidRPr="0098470E" w:rsidRDefault="00921922" w:rsidP="00603215">
            <w:pPr>
              <w:pStyle w:val="DHHStabletext"/>
              <w:rPr>
                <w:lang w:val="en-US"/>
              </w:rPr>
            </w:pPr>
            <w:r w:rsidRPr="0098470E">
              <w:t>Length of episode stay per rehabilitation stream</w:t>
            </w:r>
          </w:p>
        </w:tc>
      </w:tr>
      <w:tr w:rsidR="00921922" w:rsidRPr="0098470E" w14:paraId="6C1E1BE7" w14:textId="77777777" w:rsidTr="00E90723">
        <w:trPr>
          <w:cantSplit/>
          <w:trHeight w:val="60"/>
        </w:trPr>
        <w:tc>
          <w:tcPr>
            <w:tcW w:w="2552" w:type="dxa"/>
            <w:hideMark/>
          </w:tcPr>
          <w:p w14:paraId="47377582" w14:textId="77777777" w:rsidR="00921922" w:rsidRPr="0098470E" w:rsidRDefault="00921922" w:rsidP="00603215">
            <w:pPr>
              <w:pStyle w:val="DHHStabletext"/>
            </w:pPr>
            <w:r w:rsidRPr="0098470E">
              <w:t>Statewide target</w:t>
            </w:r>
          </w:p>
        </w:tc>
        <w:tc>
          <w:tcPr>
            <w:tcW w:w="6747" w:type="dxa"/>
            <w:hideMark/>
          </w:tcPr>
          <w:p w14:paraId="35A3E893" w14:textId="77777777" w:rsidR="00921922" w:rsidRPr="0098470E" w:rsidRDefault="00921922" w:rsidP="00603215">
            <w:pPr>
              <w:pStyle w:val="DHHStabletext"/>
            </w:pPr>
            <w:r w:rsidRPr="0098470E">
              <w:t>≥ 0.645</w:t>
            </w:r>
          </w:p>
        </w:tc>
      </w:tr>
      <w:tr w:rsidR="00537E92" w:rsidRPr="0098470E" w14:paraId="02762CA3" w14:textId="77777777" w:rsidTr="002B4ABD">
        <w:trPr>
          <w:cantSplit/>
        </w:trPr>
        <w:tc>
          <w:tcPr>
            <w:tcW w:w="2552" w:type="dxa"/>
            <w:hideMark/>
          </w:tcPr>
          <w:p w14:paraId="5A215837" w14:textId="77777777" w:rsidR="00537E92" w:rsidRPr="0098470E" w:rsidRDefault="00537E92" w:rsidP="00603215">
            <w:pPr>
              <w:pStyle w:val="DHHStabletext"/>
            </w:pPr>
            <w:r w:rsidRPr="0098470E">
              <w:t>Achievement</w:t>
            </w:r>
          </w:p>
        </w:tc>
        <w:tc>
          <w:tcPr>
            <w:tcW w:w="6747" w:type="dxa"/>
            <w:hideMark/>
          </w:tcPr>
          <w:p w14:paraId="5D229363" w14:textId="4D518278" w:rsidR="00537E92" w:rsidRPr="0098470E" w:rsidRDefault="00537E92" w:rsidP="00537E92">
            <w:pPr>
              <w:pStyle w:val="DHHStabletext92mmtab"/>
            </w:pPr>
            <w:r w:rsidRPr="0098470E">
              <w:t>Equal to or above 0.645</w:t>
            </w:r>
            <w:r>
              <w:tab/>
              <w:t>Achieved</w:t>
            </w:r>
          </w:p>
          <w:p w14:paraId="1E06B5B9" w14:textId="6791D662" w:rsidR="00537E92" w:rsidRPr="0098470E" w:rsidRDefault="00537E92" w:rsidP="00537E92">
            <w:pPr>
              <w:pStyle w:val="DHHStabletext92mmtab"/>
            </w:pPr>
            <w:r w:rsidRPr="0098470E">
              <w:t>Below 0.645</w:t>
            </w:r>
            <w:r>
              <w:tab/>
              <w:t>Not achieved</w:t>
            </w:r>
          </w:p>
        </w:tc>
      </w:tr>
    </w:tbl>
    <w:p w14:paraId="4C4AD294" w14:textId="77777777" w:rsidR="00921922" w:rsidRDefault="00921922" w:rsidP="00921922">
      <w:pPr>
        <w:pStyle w:val="DHHSbody"/>
      </w:pPr>
      <w:r w:rsidRPr="0098470E">
        <w:br w:type="page"/>
      </w:r>
    </w:p>
    <w:p w14:paraId="58D09EA5" w14:textId="1A29FE91" w:rsidR="00BD7DD7" w:rsidRPr="00BD7DD7" w:rsidRDefault="00921922" w:rsidP="00141749">
      <w:pPr>
        <w:pStyle w:val="Heading4"/>
      </w:pPr>
      <w:bookmarkStart w:id="84" w:name="_Toc517959136"/>
      <w:bookmarkStart w:id="85" w:name="_Toc15580091"/>
      <w:r w:rsidRPr="0098470E">
        <w:lastRenderedPageBreak/>
        <w:t>Ambulance services</w:t>
      </w:r>
      <w:bookmarkEnd w:id="84"/>
      <w:bookmarkEnd w:id="85"/>
    </w:p>
    <w:tbl>
      <w:tblPr>
        <w:tblStyle w:val="TableGrid"/>
        <w:tblW w:w="9300" w:type="dxa"/>
        <w:tblLayout w:type="fixed"/>
        <w:tblLook w:val="06A0" w:firstRow="1" w:lastRow="0" w:firstColumn="1" w:lastColumn="0" w:noHBand="1" w:noVBand="1"/>
      </w:tblPr>
      <w:tblGrid>
        <w:gridCol w:w="2552"/>
        <w:gridCol w:w="6748"/>
      </w:tblGrid>
      <w:tr w:rsidR="00101E11" w:rsidRPr="0098470E" w14:paraId="7B335F0C" w14:textId="77777777" w:rsidTr="00F510CE">
        <w:trPr>
          <w:cnfStyle w:val="100000000000" w:firstRow="1" w:lastRow="0" w:firstColumn="0" w:lastColumn="0" w:oddVBand="0" w:evenVBand="0" w:oddHBand="0" w:evenHBand="0" w:firstRowFirstColumn="0" w:firstRowLastColumn="0" w:lastRowFirstColumn="0" w:lastRowLastColumn="0"/>
          <w:tblHeader/>
        </w:trPr>
        <w:tc>
          <w:tcPr>
            <w:tcW w:w="2552" w:type="dxa"/>
          </w:tcPr>
          <w:p w14:paraId="67F9D8C3" w14:textId="0DF4E02C" w:rsidR="00101E11" w:rsidRDefault="00101E11" w:rsidP="00101E11">
            <w:pPr>
              <w:pStyle w:val="DHHStablecolhead"/>
            </w:pPr>
            <w:r>
              <w:t>Element</w:t>
            </w:r>
          </w:p>
        </w:tc>
        <w:tc>
          <w:tcPr>
            <w:tcW w:w="6748" w:type="dxa"/>
          </w:tcPr>
          <w:p w14:paraId="76FDA1C1" w14:textId="7165C6E5" w:rsidR="00101E11" w:rsidRPr="00E74F60" w:rsidRDefault="00101E11" w:rsidP="00101E11">
            <w:pPr>
              <w:pStyle w:val="DHHStablecolhead"/>
            </w:pPr>
            <w:r>
              <w:t>Details</w:t>
            </w:r>
          </w:p>
        </w:tc>
      </w:tr>
      <w:tr w:rsidR="00E80C67" w:rsidRPr="0098470E" w14:paraId="67B97AD3" w14:textId="77777777" w:rsidTr="00101E11">
        <w:tc>
          <w:tcPr>
            <w:tcW w:w="2552" w:type="dxa"/>
          </w:tcPr>
          <w:p w14:paraId="2667B2B5" w14:textId="77777777" w:rsidR="00E80C67" w:rsidRPr="0098470E" w:rsidRDefault="00E80C67" w:rsidP="003B027F">
            <w:pPr>
              <w:pStyle w:val="DHHStabletext"/>
            </w:pPr>
            <w:r>
              <w:t>Description</w:t>
            </w:r>
          </w:p>
        </w:tc>
        <w:tc>
          <w:tcPr>
            <w:tcW w:w="6748" w:type="dxa"/>
          </w:tcPr>
          <w:p w14:paraId="733F8AB7" w14:textId="43FC9887" w:rsidR="007C4509" w:rsidRPr="005A45D1" w:rsidRDefault="007C4509" w:rsidP="00101E11">
            <w:pPr>
              <w:pStyle w:val="DHHStabletext"/>
            </w:pPr>
            <w:r w:rsidRPr="00E74F60">
              <w:t>The VHES Ambulance Emergency questionnaire seeks to discover the experience of people who were transported by an emergency ambulance,</w:t>
            </w:r>
            <w:r w:rsidR="00D01A39">
              <w:t xml:space="preserve"> </w:t>
            </w:r>
            <w:r w:rsidRPr="00E74F60">
              <w:t>treated at the scene by an ambulance service</w:t>
            </w:r>
            <w:r w:rsidR="00FF3393">
              <w:t xml:space="preserve"> however</w:t>
            </w:r>
            <w:r w:rsidR="00E73E32">
              <w:t>,</w:t>
            </w:r>
            <w:r w:rsidRPr="00E74F60">
              <w:t xml:space="preserve"> not transported, or received advice over the phone from a referral service after calling triple zero.</w:t>
            </w:r>
          </w:p>
        </w:tc>
      </w:tr>
      <w:tr w:rsidR="00E80C67" w:rsidRPr="0098470E" w14:paraId="43ECB2A7" w14:textId="77777777" w:rsidTr="00101E11">
        <w:tc>
          <w:tcPr>
            <w:tcW w:w="2552" w:type="dxa"/>
            <w:hideMark/>
          </w:tcPr>
          <w:p w14:paraId="51A9E3AB" w14:textId="77777777" w:rsidR="00E80C67" w:rsidRPr="0098470E" w:rsidRDefault="00E80C67" w:rsidP="00834B05">
            <w:pPr>
              <w:pStyle w:val="DHHStabletext"/>
            </w:pPr>
            <w:r w:rsidRPr="0098470E">
              <w:t>Calculating performance for all questions</w:t>
            </w:r>
          </w:p>
        </w:tc>
        <w:tc>
          <w:tcPr>
            <w:tcW w:w="6748" w:type="dxa"/>
            <w:hideMark/>
          </w:tcPr>
          <w:p w14:paraId="51DA86CC" w14:textId="413C4114" w:rsidR="00354813" w:rsidRPr="0098470E" w:rsidRDefault="00E80C67" w:rsidP="00834B05">
            <w:pPr>
              <w:pStyle w:val="DHHStabletext"/>
            </w:pPr>
            <w:r w:rsidRPr="0098470E">
              <w:t xml:space="preserve">Indicators are measured at the </w:t>
            </w:r>
            <w:r w:rsidR="00C35572">
              <w:t>organisation</w:t>
            </w:r>
            <w:r w:rsidRPr="0098470E">
              <w:t xml:space="preserve"> level and mandatory participation is based on </w:t>
            </w:r>
            <w:r w:rsidR="00C35572">
              <w:t>Ambulance Victoria</w:t>
            </w:r>
            <w:r w:rsidRPr="0098470E">
              <w:t xml:space="preserve"> providing timely patient data to the contractor to enable surveying.</w:t>
            </w:r>
          </w:p>
          <w:p w14:paraId="3FF25A58" w14:textId="3F996373" w:rsidR="002373DB" w:rsidRDefault="00E80C67" w:rsidP="00834B05">
            <w:pPr>
              <w:pStyle w:val="DHHStabletext"/>
            </w:pPr>
            <w:r w:rsidRPr="0098470E">
              <w:t xml:space="preserve">Participation is based on </w:t>
            </w:r>
            <w:r w:rsidR="00B727F8">
              <w:t>Ambulance Victoria</w:t>
            </w:r>
            <w:r w:rsidRPr="0098470E">
              <w:t xml:space="preserve"> </w:t>
            </w:r>
            <w:r>
              <w:t xml:space="preserve">providing </w:t>
            </w:r>
            <w:r w:rsidRPr="0098470E">
              <w:t xml:space="preserve">patient data to the contractor </w:t>
            </w:r>
            <w:r>
              <w:t xml:space="preserve">and </w:t>
            </w:r>
            <w:r w:rsidRPr="0098470E">
              <w:t xml:space="preserve">at least </w:t>
            </w:r>
            <w:r w:rsidR="0058624F">
              <w:t>1300</w:t>
            </w:r>
            <w:r w:rsidR="005943E3">
              <w:t xml:space="preserve"> (Code 1 and 2)</w:t>
            </w:r>
            <w:r w:rsidRPr="0098470E">
              <w:t xml:space="preserve"> responses </w:t>
            </w:r>
            <w:r>
              <w:t>being received</w:t>
            </w:r>
            <w:r w:rsidRPr="0098470E">
              <w:t xml:space="preserve"> to enable statistically significant analysis</w:t>
            </w:r>
            <w:r w:rsidR="002373DB">
              <w:t>.</w:t>
            </w:r>
          </w:p>
          <w:p w14:paraId="1AB16EDB" w14:textId="7A88FBAE" w:rsidR="002373DB" w:rsidRDefault="002373DB" w:rsidP="00834B05">
            <w:pPr>
              <w:pStyle w:val="DHHStabletext"/>
            </w:pPr>
            <w:r>
              <w:t>Exclu</w:t>
            </w:r>
            <w:r w:rsidR="00E01986">
              <w:t>de</w:t>
            </w:r>
            <w:r w:rsidR="002F63F8">
              <w:t xml:space="preserve"> where there is a </w:t>
            </w:r>
            <w:r w:rsidR="00AA11FD">
              <w:t>‘</w:t>
            </w:r>
            <w:r w:rsidR="002F63F8">
              <w:t>nil</w:t>
            </w:r>
            <w:r w:rsidR="00AA11FD">
              <w:t>’</w:t>
            </w:r>
            <w:r w:rsidR="002F63F8">
              <w:t xml:space="preserve"> or </w:t>
            </w:r>
            <w:r w:rsidR="00AA11FD">
              <w:t>‘</w:t>
            </w:r>
            <w:r w:rsidR="002F63F8">
              <w:t>don’t know</w:t>
            </w:r>
            <w:r w:rsidR="00AA11FD">
              <w:t>’</w:t>
            </w:r>
            <w:r w:rsidR="002F63F8">
              <w:t xml:space="preserve"> response.</w:t>
            </w:r>
          </w:p>
          <w:p w14:paraId="79FF5896" w14:textId="742C384C" w:rsidR="00E13FED" w:rsidRDefault="00E80C67" w:rsidP="00834B05">
            <w:pPr>
              <w:pStyle w:val="DHHStabletext"/>
            </w:pPr>
            <w:r w:rsidRPr="0098470E">
              <w:t>Where data is not submitted in time, the measure is deemed not met.</w:t>
            </w:r>
          </w:p>
          <w:p w14:paraId="3C632E1C" w14:textId="71CD1500" w:rsidR="00E80C67" w:rsidRPr="0098470E" w:rsidRDefault="00E80C67" w:rsidP="00834B05">
            <w:pPr>
              <w:pStyle w:val="DHHStabletext"/>
            </w:pPr>
            <w:r>
              <w:t xml:space="preserve">The ‘experience score’ is calculated by the survey contractor, </w:t>
            </w:r>
            <w:r w:rsidRPr="00E74F60">
              <w:rPr>
                <w:bCs/>
              </w:rPr>
              <w:t>from the respective survey</w:t>
            </w:r>
            <w:r w:rsidRPr="00E20527">
              <w:t>, based on th</w:t>
            </w:r>
            <w:r>
              <w:t>e positive response(s) to the identified questions from the VHES suite of information.</w:t>
            </w:r>
          </w:p>
        </w:tc>
      </w:tr>
      <w:tr w:rsidR="00E80C67" w:rsidRPr="0098470E" w14:paraId="452F11D5" w14:textId="77777777" w:rsidTr="00101E11">
        <w:tc>
          <w:tcPr>
            <w:tcW w:w="2552" w:type="dxa"/>
            <w:hideMark/>
          </w:tcPr>
          <w:p w14:paraId="6A8E7945" w14:textId="77777777" w:rsidR="00E80C67" w:rsidRPr="0098470E" w:rsidRDefault="00E80C67" w:rsidP="00834B05">
            <w:pPr>
              <w:pStyle w:val="DHHStabletext"/>
            </w:pPr>
            <w:r w:rsidRPr="0098470E">
              <w:t>Frequency of reporting and data collection</w:t>
            </w:r>
          </w:p>
        </w:tc>
        <w:tc>
          <w:tcPr>
            <w:tcW w:w="6748" w:type="dxa"/>
            <w:hideMark/>
          </w:tcPr>
          <w:p w14:paraId="4921B01B" w14:textId="5F789FA3" w:rsidR="00AA11FD" w:rsidRPr="0098470E" w:rsidRDefault="004330D2" w:rsidP="00834B05">
            <w:pPr>
              <w:pStyle w:val="DHHStabletext"/>
            </w:pPr>
            <w:r>
              <w:t>Ambulance Victoria</w:t>
            </w:r>
            <w:r w:rsidR="00E80C67" w:rsidRPr="0098470E">
              <w:t xml:space="preserve"> </w:t>
            </w:r>
            <w:r>
              <w:t>is</w:t>
            </w:r>
            <w:r w:rsidR="00E80C67" w:rsidRPr="0098470E">
              <w:t xml:space="preserve"> required to submit the details of eligible patients</w:t>
            </w:r>
            <w:r w:rsidR="00693421">
              <w:t>,</w:t>
            </w:r>
            <w:r w:rsidR="00057319">
              <w:t xml:space="preserve"> who interacted with Ambulance Victoria</w:t>
            </w:r>
            <w:r w:rsidR="00693421">
              <w:t xml:space="preserve"> in February and March,</w:t>
            </w:r>
            <w:r w:rsidR="00E80C67" w:rsidRPr="0098470E">
              <w:t xml:space="preserve"> to the survey contractor by 1</w:t>
            </w:r>
            <w:r w:rsidR="00057319">
              <w:t>6</w:t>
            </w:r>
            <w:r w:rsidR="00413BDF" w:rsidRPr="00E74F60">
              <w:t>th</w:t>
            </w:r>
            <w:r w:rsidR="00E80C67" w:rsidRPr="0098470E">
              <w:t xml:space="preserve"> of </w:t>
            </w:r>
            <w:r w:rsidR="00057319">
              <w:t xml:space="preserve">April and </w:t>
            </w:r>
            <w:r w:rsidR="00413BDF">
              <w:t>16</w:t>
            </w:r>
            <w:r w:rsidR="00413BDF" w:rsidRPr="00E74F60">
              <w:t>th</w:t>
            </w:r>
            <w:r w:rsidR="00413BDF">
              <w:t xml:space="preserve"> </w:t>
            </w:r>
            <w:r w:rsidR="00057319">
              <w:t>May</w:t>
            </w:r>
            <w:r w:rsidR="00413BDF">
              <w:t xml:space="preserve"> respectively</w:t>
            </w:r>
            <w:r w:rsidR="00E80C67" w:rsidRPr="0098470E">
              <w:t>.</w:t>
            </w:r>
          </w:p>
          <w:p w14:paraId="11C17195" w14:textId="1521FDF7" w:rsidR="00E80C67" w:rsidRPr="0098470E" w:rsidRDefault="00E80C67" w:rsidP="00834B05">
            <w:pPr>
              <w:pStyle w:val="DHHStabletext"/>
            </w:pPr>
            <w:r w:rsidRPr="0098470E">
              <w:t xml:space="preserve">Data is </w:t>
            </w:r>
            <w:r w:rsidR="00AA11FD">
              <w:t xml:space="preserve">lagged and </w:t>
            </w:r>
            <w:r w:rsidRPr="0098470E">
              <w:t xml:space="preserve">reported </w:t>
            </w:r>
            <w:r w:rsidR="007F20D3">
              <w:t>annually</w:t>
            </w:r>
            <w:r w:rsidRPr="0098470E">
              <w:t xml:space="preserve"> at </w:t>
            </w:r>
            <w:r w:rsidR="007F20D3">
              <w:t xml:space="preserve">an organisation </w:t>
            </w:r>
            <w:r w:rsidRPr="0098470E">
              <w:t>level</w:t>
            </w:r>
            <w:r w:rsidR="003B49F3">
              <w:t xml:space="preserve"> in Q1</w:t>
            </w:r>
            <w:r w:rsidRPr="0098470E">
              <w:t>.</w:t>
            </w:r>
          </w:p>
        </w:tc>
      </w:tr>
      <w:tr w:rsidR="00E80C67" w:rsidRPr="0098470E" w14:paraId="3DEB2320" w14:textId="77777777" w:rsidTr="00101E11">
        <w:tc>
          <w:tcPr>
            <w:tcW w:w="2552" w:type="dxa"/>
          </w:tcPr>
          <w:p w14:paraId="39CBF4C4" w14:textId="77777777" w:rsidR="00E80C67" w:rsidRPr="0098470E" w:rsidRDefault="00E80C67" w:rsidP="00834B05">
            <w:pPr>
              <w:pStyle w:val="DHHStabletext"/>
            </w:pPr>
            <w:r>
              <w:t>Improvement</w:t>
            </w:r>
          </w:p>
        </w:tc>
        <w:tc>
          <w:tcPr>
            <w:tcW w:w="6748" w:type="dxa"/>
          </w:tcPr>
          <w:p w14:paraId="6079DB9E" w14:textId="1909CB76" w:rsidR="00E80C67" w:rsidRPr="0098470E" w:rsidRDefault="00E80C67" w:rsidP="00834B05">
            <w:pPr>
              <w:pStyle w:val="DHHStabletext"/>
            </w:pPr>
            <w:r>
              <w:t>For the purpose of the performance risk assessment improvement is assessed against the previous performance.</w:t>
            </w:r>
          </w:p>
        </w:tc>
      </w:tr>
    </w:tbl>
    <w:p w14:paraId="220E4B81" w14:textId="22AD4267" w:rsidR="00E80C67" w:rsidRPr="00757A22" w:rsidRDefault="00F12615" w:rsidP="00F12615">
      <w:pPr>
        <w:pStyle w:val="DHHStablecaption"/>
      </w:pPr>
      <w:r>
        <w:t xml:space="preserve">Indicator: </w:t>
      </w:r>
      <w:r w:rsidR="00101E11">
        <w:t>Question 72</w:t>
      </w:r>
      <w:r w:rsidR="00A73E40">
        <w:t xml:space="preserve"> – </w:t>
      </w:r>
      <w:r w:rsidR="00101E11">
        <w:t>Overall, how would you rate the care you received from the ambulance service?</w:t>
      </w:r>
    </w:p>
    <w:tbl>
      <w:tblPr>
        <w:tblStyle w:val="TableGrid"/>
        <w:tblW w:w="9299" w:type="dxa"/>
        <w:tblLook w:val="06A0" w:firstRow="1" w:lastRow="0" w:firstColumn="1" w:lastColumn="0" w:noHBand="1" w:noVBand="1"/>
      </w:tblPr>
      <w:tblGrid>
        <w:gridCol w:w="2530"/>
        <w:gridCol w:w="6769"/>
      </w:tblGrid>
      <w:tr w:rsidR="00D97737" w:rsidRPr="0098470E" w14:paraId="29471120" w14:textId="77777777" w:rsidTr="00B3402A">
        <w:trPr>
          <w:cnfStyle w:val="100000000000" w:firstRow="1" w:lastRow="0" w:firstColumn="0" w:lastColumn="0" w:oddVBand="0" w:evenVBand="0" w:oddHBand="0" w:evenHBand="0" w:firstRowFirstColumn="0" w:firstRowLastColumn="0" w:lastRowFirstColumn="0" w:lastRowLastColumn="0"/>
          <w:cantSplit/>
          <w:tblHeader/>
        </w:trPr>
        <w:tc>
          <w:tcPr>
            <w:tcW w:w="2530" w:type="dxa"/>
          </w:tcPr>
          <w:p w14:paraId="428BFD6E" w14:textId="13DC919F" w:rsidR="00D97737" w:rsidRPr="0098470E" w:rsidRDefault="00D97737" w:rsidP="00D97737">
            <w:pPr>
              <w:pStyle w:val="DHHStablecolhead"/>
            </w:pPr>
            <w:r>
              <w:t>Element</w:t>
            </w:r>
          </w:p>
        </w:tc>
        <w:tc>
          <w:tcPr>
            <w:tcW w:w="6769" w:type="dxa"/>
          </w:tcPr>
          <w:p w14:paraId="0F862BB2" w14:textId="043ABBD5" w:rsidR="00D97737" w:rsidRPr="0098470E" w:rsidRDefault="00D97737" w:rsidP="00D97737">
            <w:pPr>
              <w:pStyle w:val="DHHStablecolhead"/>
            </w:pPr>
            <w:r>
              <w:t>Details</w:t>
            </w:r>
          </w:p>
        </w:tc>
      </w:tr>
      <w:tr w:rsidR="00B67A11" w:rsidRPr="0098470E" w14:paraId="2E1B87F8" w14:textId="77777777" w:rsidTr="00B3402A">
        <w:trPr>
          <w:cantSplit/>
        </w:trPr>
        <w:tc>
          <w:tcPr>
            <w:tcW w:w="2530" w:type="dxa"/>
            <w:hideMark/>
          </w:tcPr>
          <w:p w14:paraId="2668BAB7" w14:textId="77777777" w:rsidR="00B67A11" w:rsidRPr="0098470E" w:rsidRDefault="00B67A11" w:rsidP="006D2170">
            <w:pPr>
              <w:pStyle w:val="DHHStabletext"/>
            </w:pPr>
            <w:r w:rsidRPr="0098470E">
              <w:t>Description</w:t>
            </w:r>
          </w:p>
        </w:tc>
        <w:tc>
          <w:tcPr>
            <w:tcW w:w="6769" w:type="dxa"/>
            <w:hideMark/>
          </w:tcPr>
          <w:p w14:paraId="1ACFB9E7" w14:textId="3F3BC4B7" w:rsidR="00B67A11" w:rsidRPr="0098470E" w:rsidRDefault="00B67A11" w:rsidP="006D2170">
            <w:pPr>
              <w:pStyle w:val="DHHStabletext"/>
            </w:pPr>
            <w:r w:rsidRPr="0098470E">
              <w:t xml:space="preserve">This indicator measures the results of the </w:t>
            </w:r>
            <w:r>
              <w:t>‘</w:t>
            </w:r>
            <w:r w:rsidRPr="0098470E">
              <w:t>very good</w:t>
            </w:r>
            <w:r>
              <w:t>’</w:t>
            </w:r>
            <w:r w:rsidRPr="0098470E">
              <w:t xml:space="preserve"> and </w:t>
            </w:r>
            <w:r>
              <w:t>‘</w:t>
            </w:r>
            <w:r w:rsidRPr="0098470E">
              <w:t>good</w:t>
            </w:r>
            <w:r>
              <w:t>’</w:t>
            </w:r>
            <w:r w:rsidRPr="0098470E">
              <w:t xml:space="preserve"> response to the </w:t>
            </w:r>
            <w:r w:rsidR="00361177">
              <w:t>Ambulance Emergency</w:t>
            </w:r>
            <w:r w:rsidRPr="0098470E">
              <w:t xml:space="preserve"> VHES survey question relating to </w:t>
            </w:r>
            <w:r>
              <w:t>‘</w:t>
            </w:r>
            <w:r w:rsidRPr="0098470E">
              <w:t>overall experience</w:t>
            </w:r>
            <w:r>
              <w:t>’</w:t>
            </w:r>
            <w:r w:rsidR="00EC3F04">
              <w:t>.</w:t>
            </w:r>
          </w:p>
        </w:tc>
      </w:tr>
      <w:tr w:rsidR="00EF32F2" w:rsidRPr="0098470E" w14:paraId="01896DB6" w14:textId="77777777" w:rsidTr="00B3402A">
        <w:trPr>
          <w:cantSplit/>
        </w:trPr>
        <w:tc>
          <w:tcPr>
            <w:tcW w:w="2530" w:type="dxa"/>
          </w:tcPr>
          <w:p w14:paraId="1A39B3DC" w14:textId="0027BEE8" w:rsidR="00EF32F2" w:rsidRPr="0098470E" w:rsidRDefault="00EF32F2" w:rsidP="00EF32F2">
            <w:pPr>
              <w:pStyle w:val="DHHStabletext"/>
            </w:pPr>
            <w:r>
              <w:t>Numerator</w:t>
            </w:r>
          </w:p>
        </w:tc>
        <w:tc>
          <w:tcPr>
            <w:tcW w:w="6769" w:type="dxa"/>
          </w:tcPr>
          <w:p w14:paraId="32B5BFBC" w14:textId="7A162368" w:rsidR="00EF32F2" w:rsidRPr="0098470E" w:rsidRDefault="00EF32F2" w:rsidP="00EF32F2">
            <w:pPr>
              <w:pStyle w:val="DHHStabletext"/>
            </w:pPr>
            <w:r>
              <w:t>Weighted sum of ‘</w:t>
            </w:r>
            <w:r w:rsidR="00BF7235">
              <w:t>very good</w:t>
            </w:r>
            <w:r>
              <w:t>’ and ‘good’ responses to the question:</w:t>
            </w:r>
            <w:r w:rsidR="00EC3F04">
              <w:t xml:space="preserve"> ‘</w:t>
            </w:r>
            <w:r>
              <w:t>Overall, how would you rate the care you received from the ambulance service?’</w:t>
            </w:r>
            <w:r w:rsidR="00EC3F04">
              <w:t>.</w:t>
            </w:r>
          </w:p>
        </w:tc>
      </w:tr>
      <w:tr w:rsidR="00EF32F2" w:rsidRPr="0098470E" w14:paraId="6B29DDDA" w14:textId="77777777" w:rsidTr="00B3402A">
        <w:trPr>
          <w:cantSplit/>
        </w:trPr>
        <w:tc>
          <w:tcPr>
            <w:tcW w:w="2530" w:type="dxa"/>
          </w:tcPr>
          <w:p w14:paraId="4D07C927" w14:textId="3C61B19F" w:rsidR="00EF32F2" w:rsidRPr="0098470E" w:rsidRDefault="00EF32F2" w:rsidP="00EF32F2">
            <w:pPr>
              <w:pStyle w:val="DHHStabletext"/>
            </w:pPr>
            <w:r>
              <w:t xml:space="preserve">Denominator </w:t>
            </w:r>
          </w:p>
        </w:tc>
        <w:tc>
          <w:tcPr>
            <w:tcW w:w="6769" w:type="dxa"/>
          </w:tcPr>
          <w:p w14:paraId="3EBCC6F8" w14:textId="3E593E39" w:rsidR="00EF32F2" w:rsidRPr="0098470E" w:rsidRDefault="00EF32F2" w:rsidP="00EF32F2">
            <w:pPr>
              <w:pStyle w:val="DHHStabletext"/>
            </w:pPr>
            <w:r>
              <w:t xml:space="preserve">Weighted sum of valid responses to the </w:t>
            </w:r>
            <w:r w:rsidR="00C157A1">
              <w:t>question:</w:t>
            </w:r>
            <w:r>
              <w:t xml:space="preserve"> </w:t>
            </w:r>
            <w:r w:rsidR="007726A9">
              <w:t>‘</w:t>
            </w:r>
            <w:r>
              <w:t>Overall, how would you rate the care you received from the ambulance service?’</w:t>
            </w:r>
            <w:r w:rsidR="00EC3F04">
              <w:t>.</w:t>
            </w:r>
          </w:p>
        </w:tc>
      </w:tr>
      <w:tr w:rsidR="00EF32F2" w:rsidRPr="0098470E" w14:paraId="043757FC" w14:textId="77777777" w:rsidTr="00B3402A">
        <w:trPr>
          <w:cantSplit/>
        </w:trPr>
        <w:tc>
          <w:tcPr>
            <w:tcW w:w="2530" w:type="dxa"/>
          </w:tcPr>
          <w:p w14:paraId="713BFFA5" w14:textId="77777777" w:rsidR="00EF32F2" w:rsidRPr="0098470E" w:rsidRDefault="00EF32F2" w:rsidP="00EF32F2">
            <w:pPr>
              <w:pStyle w:val="DHHStabletext"/>
            </w:pPr>
            <w:r w:rsidRPr="0098470E">
              <w:t>Statewide target</w:t>
            </w:r>
          </w:p>
        </w:tc>
        <w:tc>
          <w:tcPr>
            <w:tcW w:w="6769" w:type="dxa"/>
          </w:tcPr>
          <w:p w14:paraId="25CB52E1" w14:textId="77777777" w:rsidR="00EF32F2" w:rsidRPr="0098470E" w:rsidRDefault="00EF32F2" w:rsidP="00EF32F2">
            <w:pPr>
              <w:pStyle w:val="DHHStabletext"/>
            </w:pPr>
            <w:r>
              <w:t>S</w:t>
            </w:r>
            <w:r w:rsidRPr="0098470E">
              <w:t>core equal to or above 95%</w:t>
            </w:r>
          </w:p>
        </w:tc>
      </w:tr>
      <w:tr w:rsidR="00E90723" w:rsidRPr="0098470E" w14:paraId="35B63CD1" w14:textId="77777777" w:rsidTr="00E90723">
        <w:trPr>
          <w:cantSplit/>
        </w:trPr>
        <w:tc>
          <w:tcPr>
            <w:tcW w:w="2530" w:type="dxa"/>
          </w:tcPr>
          <w:p w14:paraId="5A3714A5" w14:textId="77777777" w:rsidR="00E90723" w:rsidRPr="0098470E" w:rsidRDefault="00E90723" w:rsidP="00EF32F2">
            <w:pPr>
              <w:pStyle w:val="DHHStabletext"/>
            </w:pPr>
            <w:r w:rsidRPr="0098470E">
              <w:t>Achievement</w:t>
            </w:r>
          </w:p>
        </w:tc>
        <w:tc>
          <w:tcPr>
            <w:tcW w:w="6769" w:type="dxa"/>
          </w:tcPr>
          <w:p w14:paraId="4184BC3C" w14:textId="109238A1" w:rsidR="00E90723" w:rsidRPr="0098470E" w:rsidRDefault="00E90723" w:rsidP="00E90723">
            <w:pPr>
              <w:pStyle w:val="DHHStabletext92mmtab"/>
            </w:pPr>
            <w:r w:rsidRPr="0098470E">
              <w:t>Overall experience score equal to or above 95%</w:t>
            </w:r>
            <w:r>
              <w:tab/>
            </w:r>
            <w:r>
              <w:rPr>
                <w:noProof/>
              </w:rPr>
              <w:t>Achieved</w:t>
            </w:r>
          </w:p>
          <w:p w14:paraId="777A9BC1" w14:textId="3E1AF743" w:rsidR="00E90723" w:rsidRPr="0098470E" w:rsidRDefault="00E90723" w:rsidP="00E90723">
            <w:pPr>
              <w:pStyle w:val="DHHStabletext92mmtab"/>
            </w:pPr>
            <w:r w:rsidRPr="0098470E">
              <w:t>Overall experience score below 95%</w:t>
            </w:r>
            <w:r>
              <w:tab/>
            </w:r>
            <w:r>
              <w:rPr>
                <w:noProof/>
              </w:rPr>
              <w:t>Not achieved</w:t>
            </w:r>
          </w:p>
        </w:tc>
      </w:tr>
    </w:tbl>
    <w:p w14:paraId="4A96992C" w14:textId="77777777" w:rsidR="00E90723" w:rsidRDefault="00E90723">
      <w:pPr>
        <w:spacing w:after="200" w:line="276" w:lineRule="auto"/>
        <w:rPr>
          <w:rFonts w:ascii="Arial" w:hAnsi="Arial"/>
          <w:b/>
        </w:rPr>
      </w:pPr>
      <w:r>
        <w:br w:type="page"/>
      </w:r>
    </w:p>
    <w:p w14:paraId="1747D500" w14:textId="074CB6CC" w:rsidR="001C7E57" w:rsidRPr="00B3402A" w:rsidRDefault="00F12615" w:rsidP="00F12615">
      <w:pPr>
        <w:pStyle w:val="DHHStablecaption"/>
      </w:pPr>
      <w:r>
        <w:lastRenderedPageBreak/>
        <w:t xml:space="preserve">Indicator: </w:t>
      </w:r>
      <w:r w:rsidR="00101E11">
        <w:t>Question 55</w:t>
      </w:r>
      <w:r w:rsidR="00A73E40">
        <w:t xml:space="preserve"> – </w:t>
      </w:r>
      <w:r w:rsidR="00101E11">
        <w:t>Overall, how would you rate the care and treatment you received from your paramedics?</w:t>
      </w:r>
    </w:p>
    <w:tbl>
      <w:tblPr>
        <w:tblStyle w:val="TableGrid"/>
        <w:tblW w:w="9299" w:type="dxa"/>
        <w:tblLook w:val="06A0" w:firstRow="1" w:lastRow="0" w:firstColumn="1" w:lastColumn="0" w:noHBand="1" w:noVBand="1"/>
      </w:tblPr>
      <w:tblGrid>
        <w:gridCol w:w="2530"/>
        <w:gridCol w:w="6769"/>
      </w:tblGrid>
      <w:tr w:rsidR="00D97737" w:rsidRPr="0098470E" w14:paraId="6535B62C" w14:textId="77777777" w:rsidTr="00B3402A">
        <w:trPr>
          <w:cnfStyle w:val="100000000000" w:firstRow="1" w:lastRow="0" w:firstColumn="0" w:lastColumn="0" w:oddVBand="0" w:evenVBand="0" w:oddHBand="0" w:evenHBand="0" w:firstRowFirstColumn="0" w:firstRowLastColumn="0" w:lastRowFirstColumn="0" w:lastRowLastColumn="0"/>
          <w:cantSplit/>
          <w:tblHeader/>
        </w:trPr>
        <w:tc>
          <w:tcPr>
            <w:tcW w:w="2530" w:type="dxa"/>
          </w:tcPr>
          <w:p w14:paraId="39C30DF5" w14:textId="446EFF92" w:rsidR="00D97737" w:rsidRPr="0098470E" w:rsidRDefault="00D97737" w:rsidP="00D97737">
            <w:pPr>
              <w:pStyle w:val="DHHStablecolhead"/>
            </w:pPr>
            <w:r>
              <w:t>Element</w:t>
            </w:r>
          </w:p>
        </w:tc>
        <w:tc>
          <w:tcPr>
            <w:tcW w:w="6769" w:type="dxa"/>
          </w:tcPr>
          <w:p w14:paraId="0AFB493F" w14:textId="0BEB5CC2" w:rsidR="00D97737" w:rsidRPr="0098470E" w:rsidRDefault="00D97737" w:rsidP="00D97737">
            <w:pPr>
              <w:pStyle w:val="DHHStablecolhead"/>
            </w:pPr>
            <w:r>
              <w:t>Details</w:t>
            </w:r>
          </w:p>
        </w:tc>
      </w:tr>
      <w:tr w:rsidR="001C7E57" w:rsidRPr="0098470E" w14:paraId="642AC516" w14:textId="77777777" w:rsidTr="00B3402A">
        <w:trPr>
          <w:cantSplit/>
        </w:trPr>
        <w:tc>
          <w:tcPr>
            <w:tcW w:w="2530" w:type="dxa"/>
            <w:hideMark/>
          </w:tcPr>
          <w:p w14:paraId="589AB057" w14:textId="77777777" w:rsidR="001C7E57" w:rsidRPr="0098470E" w:rsidRDefault="001C7E57" w:rsidP="00990A87">
            <w:pPr>
              <w:pStyle w:val="DHHStabletext"/>
            </w:pPr>
            <w:r w:rsidRPr="0098470E">
              <w:t>Description</w:t>
            </w:r>
          </w:p>
        </w:tc>
        <w:tc>
          <w:tcPr>
            <w:tcW w:w="6769" w:type="dxa"/>
            <w:hideMark/>
          </w:tcPr>
          <w:p w14:paraId="416BEB32" w14:textId="37A24E04" w:rsidR="001C7E57" w:rsidRPr="0098470E" w:rsidRDefault="001C7E57" w:rsidP="00990A87">
            <w:pPr>
              <w:pStyle w:val="DHHStabletext"/>
            </w:pPr>
            <w:r w:rsidRPr="0098470E">
              <w:t xml:space="preserve">This indicator measures the results of the </w:t>
            </w:r>
            <w:r>
              <w:t>‘</w:t>
            </w:r>
            <w:r w:rsidRPr="0098470E">
              <w:t>very good</w:t>
            </w:r>
            <w:r>
              <w:t>’</w:t>
            </w:r>
            <w:r w:rsidRPr="0098470E">
              <w:t xml:space="preserve"> and </w:t>
            </w:r>
            <w:r>
              <w:t>‘</w:t>
            </w:r>
            <w:r w:rsidRPr="0098470E">
              <w:t>good</w:t>
            </w:r>
            <w:r>
              <w:t>’</w:t>
            </w:r>
            <w:r w:rsidRPr="0098470E">
              <w:t xml:space="preserve"> response to the </w:t>
            </w:r>
            <w:r w:rsidR="00361177">
              <w:t>Ambulance Emergency</w:t>
            </w:r>
            <w:r w:rsidRPr="0098470E">
              <w:t xml:space="preserve"> VHES survey question relating to </w:t>
            </w:r>
            <w:r>
              <w:t>‘</w:t>
            </w:r>
            <w:r w:rsidRPr="0098470E">
              <w:t>overall experience</w:t>
            </w:r>
            <w:r w:rsidR="00CB4CF2">
              <w:t xml:space="preserve"> of the care and treatment received from the paramedics</w:t>
            </w:r>
            <w:r>
              <w:t>’</w:t>
            </w:r>
            <w:r w:rsidR="007726A9">
              <w:t>.</w:t>
            </w:r>
          </w:p>
        </w:tc>
      </w:tr>
      <w:tr w:rsidR="00E64DF1" w:rsidRPr="0098470E" w14:paraId="43AC2124" w14:textId="77777777" w:rsidTr="00B3402A">
        <w:trPr>
          <w:cantSplit/>
        </w:trPr>
        <w:tc>
          <w:tcPr>
            <w:tcW w:w="2530" w:type="dxa"/>
          </w:tcPr>
          <w:p w14:paraId="5D7B1237" w14:textId="611F865B" w:rsidR="00E64DF1" w:rsidRPr="0098470E" w:rsidRDefault="00E64DF1" w:rsidP="00E64DF1">
            <w:pPr>
              <w:pStyle w:val="DHHStabletext"/>
            </w:pPr>
            <w:r>
              <w:t>Numerator</w:t>
            </w:r>
          </w:p>
        </w:tc>
        <w:tc>
          <w:tcPr>
            <w:tcW w:w="6769" w:type="dxa"/>
          </w:tcPr>
          <w:p w14:paraId="5576A531" w14:textId="3F22AEE2" w:rsidR="00E64DF1" w:rsidRPr="0098470E" w:rsidRDefault="00E64DF1" w:rsidP="00E64DF1">
            <w:pPr>
              <w:pStyle w:val="DHHStabletext"/>
            </w:pPr>
            <w:r>
              <w:t>Weighted sum of ‘</w:t>
            </w:r>
            <w:r w:rsidR="00DF625F">
              <w:t>very good</w:t>
            </w:r>
            <w:r>
              <w:t>’ and ‘good’ responses to the question</w:t>
            </w:r>
            <w:r w:rsidR="007726A9">
              <w:t>:</w:t>
            </w:r>
            <w:r>
              <w:t xml:space="preserve"> ‘</w:t>
            </w:r>
            <w:r w:rsidR="00361177">
              <w:t>Overall, how would you rate the care and treatment you received from your paramedics</w:t>
            </w:r>
            <w:r>
              <w:t>?’</w:t>
            </w:r>
            <w:r w:rsidR="007726A9">
              <w:t>.</w:t>
            </w:r>
          </w:p>
        </w:tc>
      </w:tr>
      <w:tr w:rsidR="00E64DF1" w:rsidRPr="0098470E" w14:paraId="74A33CB3" w14:textId="77777777" w:rsidTr="00B3402A">
        <w:trPr>
          <w:cantSplit/>
        </w:trPr>
        <w:tc>
          <w:tcPr>
            <w:tcW w:w="2530" w:type="dxa"/>
          </w:tcPr>
          <w:p w14:paraId="1ECFC4C0" w14:textId="650C9DE7" w:rsidR="00E64DF1" w:rsidRPr="0098470E" w:rsidRDefault="00E64DF1" w:rsidP="00E64DF1">
            <w:pPr>
              <w:pStyle w:val="DHHStabletext"/>
            </w:pPr>
            <w:r>
              <w:t xml:space="preserve">Denominator </w:t>
            </w:r>
          </w:p>
        </w:tc>
        <w:tc>
          <w:tcPr>
            <w:tcW w:w="6769" w:type="dxa"/>
          </w:tcPr>
          <w:p w14:paraId="23BBBF36" w14:textId="6897B85B" w:rsidR="00E64DF1" w:rsidRPr="0098470E" w:rsidRDefault="00E64DF1" w:rsidP="00E64DF1">
            <w:pPr>
              <w:pStyle w:val="DHHStabletext"/>
            </w:pPr>
            <w:r>
              <w:t xml:space="preserve">Weighted sum of valid responses to the </w:t>
            </w:r>
            <w:r w:rsidR="00C157A1">
              <w:t>question:</w:t>
            </w:r>
            <w:r w:rsidR="00361177">
              <w:t xml:space="preserve"> ‘Overall, how would you rate the care and treatment you received from your paramedics</w:t>
            </w:r>
            <w:r>
              <w:t>?’</w:t>
            </w:r>
            <w:r w:rsidR="007726A9">
              <w:t>.</w:t>
            </w:r>
          </w:p>
        </w:tc>
      </w:tr>
      <w:tr w:rsidR="00E64DF1" w:rsidRPr="0098470E" w14:paraId="77D97CBD" w14:textId="77777777" w:rsidTr="00B3402A">
        <w:trPr>
          <w:cantSplit/>
        </w:trPr>
        <w:tc>
          <w:tcPr>
            <w:tcW w:w="2530" w:type="dxa"/>
          </w:tcPr>
          <w:p w14:paraId="57D7DAB9" w14:textId="77777777" w:rsidR="00E64DF1" w:rsidRPr="0098470E" w:rsidRDefault="00E64DF1" w:rsidP="00E64DF1">
            <w:pPr>
              <w:pStyle w:val="DHHStabletext"/>
            </w:pPr>
            <w:r w:rsidRPr="0098470E">
              <w:t>Statewide target</w:t>
            </w:r>
          </w:p>
        </w:tc>
        <w:tc>
          <w:tcPr>
            <w:tcW w:w="6769" w:type="dxa"/>
          </w:tcPr>
          <w:p w14:paraId="0EEEBD1B" w14:textId="77777777" w:rsidR="00E64DF1" w:rsidRPr="0098470E" w:rsidRDefault="00E64DF1" w:rsidP="00E64DF1">
            <w:pPr>
              <w:pStyle w:val="DHHStabletext"/>
            </w:pPr>
            <w:r>
              <w:t>S</w:t>
            </w:r>
            <w:r w:rsidRPr="0098470E">
              <w:t>core equal to or above 95%</w:t>
            </w:r>
          </w:p>
        </w:tc>
      </w:tr>
      <w:tr w:rsidR="00E90723" w:rsidRPr="0098470E" w14:paraId="7736C6CA" w14:textId="77777777" w:rsidTr="00E90723">
        <w:trPr>
          <w:cantSplit/>
        </w:trPr>
        <w:tc>
          <w:tcPr>
            <w:tcW w:w="2530" w:type="dxa"/>
          </w:tcPr>
          <w:p w14:paraId="6D9346E2" w14:textId="77777777" w:rsidR="00E90723" w:rsidRPr="0098470E" w:rsidRDefault="00E90723" w:rsidP="00E64DF1">
            <w:pPr>
              <w:pStyle w:val="DHHStabletext"/>
            </w:pPr>
            <w:r w:rsidRPr="0098470E">
              <w:t>Achievement</w:t>
            </w:r>
          </w:p>
        </w:tc>
        <w:tc>
          <w:tcPr>
            <w:tcW w:w="6769" w:type="dxa"/>
          </w:tcPr>
          <w:p w14:paraId="04E7208B" w14:textId="6147FBD5" w:rsidR="00E90723" w:rsidRPr="0098470E" w:rsidRDefault="00E90723" w:rsidP="00E90723">
            <w:pPr>
              <w:pStyle w:val="DHHStabletext92mmtab"/>
            </w:pPr>
            <w:r w:rsidRPr="0098470E">
              <w:t>Overall experience score equal to or above 95%</w:t>
            </w:r>
            <w:r>
              <w:tab/>
            </w:r>
            <w:r>
              <w:rPr>
                <w:noProof/>
              </w:rPr>
              <w:t>Achieved</w:t>
            </w:r>
          </w:p>
          <w:p w14:paraId="6B74B453" w14:textId="28BA2972" w:rsidR="00E90723" w:rsidRPr="0098470E" w:rsidRDefault="00E90723" w:rsidP="00E90723">
            <w:pPr>
              <w:pStyle w:val="DHHStabletext92mmtab"/>
            </w:pPr>
            <w:r w:rsidRPr="0098470E">
              <w:t>Overall experience score below 95%</w:t>
            </w:r>
            <w:r>
              <w:tab/>
            </w:r>
            <w:r>
              <w:rPr>
                <w:noProof/>
              </w:rPr>
              <w:t>Not achieved</w:t>
            </w:r>
          </w:p>
        </w:tc>
      </w:tr>
    </w:tbl>
    <w:p w14:paraId="79396BF1" w14:textId="77777777" w:rsidR="00F1426A" w:rsidRDefault="00F1426A">
      <w:pPr>
        <w:spacing w:after="200" w:line="276" w:lineRule="auto"/>
        <w:rPr>
          <w:rFonts w:ascii="Arial" w:hAnsi="Arial"/>
          <w:b/>
        </w:rPr>
      </w:pPr>
      <w:r>
        <w:br w:type="page"/>
      </w:r>
    </w:p>
    <w:p w14:paraId="0B0699D2" w14:textId="4E038CB2" w:rsidR="001C7E57" w:rsidRPr="00F12615" w:rsidRDefault="00F12615" w:rsidP="00F12615">
      <w:pPr>
        <w:pStyle w:val="DHHStablecaption"/>
      </w:pPr>
      <w:r>
        <w:lastRenderedPageBreak/>
        <w:t xml:space="preserve">Indicator: </w:t>
      </w:r>
      <w:r w:rsidR="00101E11" w:rsidRPr="0064437D">
        <w:t>Percentage of patients experiencing severe cardiac or traumatic pain whose level of pain was reduced significantly</w:t>
      </w:r>
    </w:p>
    <w:tbl>
      <w:tblPr>
        <w:tblStyle w:val="TableGrid"/>
        <w:tblW w:w="9299" w:type="dxa"/>
        <w:tblLook w:val="06A0" w:firstRow="1" w:lastRow="0" w:firstColumn="1" w:lastColumn="0" w:noHBand="1" w:noVBand="1"/>
      </w:tblPr>
      <w:tblGrid>
        <w:gridCol w:w="2560"/>
        <w:gridCol w:w="6739"/>
      </w:tblGrid>
      <w:tr w:rsidR="00D97737" w:rsidRPr="0098470E" w14:paraId="1FD4B5AE"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60" w:type="dxa"/>
          </w:tcPr>
          <w:p w14:paraId="661D6144" w14:textId="271835B8" w:rsidR="00D97737" w:rsidRPr="0064437D" w:rsidRDefault="00D97737" w:rsidP="00D97737">
            <w:pPr>
              <w:pStyle w:val="DHHStablecolhead"/>
            </w:pPr>
            <w:r>
              <w:t>Element</w:t>
            </w:r>
          </w:p>
        </w:tc>
        <w:tc>
          <w:tcPr>
            <w:tcW w:w="6739" w:type="dxa"/>
          </w:tcPr>
          <w:p w14:paraId="10296A03" w14:textId="14180EB9" w:rsidR="00D97737" w:rsidRPr="0064437D" w:rsidRDefault="00D97737" w:rsidP="00D97737">
            <w:pPr>
              <w:pStyle w:val="DHHStablecolhead"/>
            </w:pPr>
            <w:r>
              <w:t>Details</w:t>
            </w:r>
          </w:p>
        </w:tc>
      </w:tr>
      <w:tr w:rsidR="00921922" w:rsidRPr="0098470E" w14:paraId="627C3BDE" w14:textId="77777777" w:rsidTr="00F12615">
        <w:trPr>
          <w:cantSplit/>
        </w:trPr>
        <w:tc>
          <w:tcPr>
            <w:tcW w:w="2560" w:type="dxa"/>
            <w:hideMark/>
          </w:tcPr>
          <w:p w14:paraId="3E4A9DB7" w14:textId="77777777" w:rsidR="00921922" w:rsidRPr="0098470E" w:rsidRDefault="00921922" w:rsidP="00603215">
            <w:pPr>
              <w:pStyle w:val="DHHStabletext"/>
            </w:pPr>
            <w:r w:rsidRPr="0098470E">
              <w:t>Description</w:t>
            </w:r>
          </w:p>
        </w:tc>
        <w:tc>
          <w:tcPr>
            <w:tcW w:w="6739" w:type="dxa"/>
            <w:hideMark/>
          </w:tcPr>
          <w:p w14:paraId="4F915696" w14:textId="77777777" w:rsidR="00921922" w:rsidRPr="0098470E" w:rsidRDefault="00921922" w:rsidP="00603215">
            <w:pPr>
              <w:pStyle w:val="DHHStabletext"/>
            </w:pPr>
            <w:r>
              <w:t>A</w:t>
            </w:r>
            <w:r w:rsidRPr="0098470E">
              <w:t>dequate relief of pain is one of a series of key measures of the clinical effectiveness of interventions by paramedics. The indicator of the proportion of patients experiencing severe cardiac or traumatic pain, whose level of pain is significantly reduced, focuses the attention of the organisation on the effectiveness of clinical interventions in two common areas of service provision – cardiac care and trauma care.</w:t>
            </w:r>
          </w:p>
          <w:p w14:paraId="15B3A1EB" w14:textId="77777777" w:rsidR="00921922" w:rsidRPr="0098470E" w:rsidRDefault="00921922" w:rsidP="00603215">
            <w:pPr>
              <w:pStyle w:val="DHHStabletext"/>
            </w:pPr>
            <w:r w:rsidRPr="0098470E">
              <w:t>Assessment of pain severity and the extent of relief that paramedics can provide is central to the provision of appropriate care.</w:t>
            </w:r>
          </w:p>
          <w:p w14:paraId="27577DA7" w14:textId="77777777" w:rsidR="00921922" w:rsidRPr="0098470E" w:rsidRDefault="00921922" w:rsidP="00603215">
            <w:pPr>
              <w:pStyle w:val="DHHStabletext"/>
            </w:pPr>
            <w:r w:rsidRPr="0098470E">
              <w:t>This indicator applies to patients of all ages experiencing traumatic pain and patients who are 15 years old or older with cardiac pain.</w:t>
            </w:r>
          </w:p>
        </w:tc>
      </w:tr>
      <w:tr w:rsidR="00921922" w:rsidRPr="0098470E" w14:paraId="0D7939D5" w14:textId="77777777" w:rsidTr="00F12615">
        <w:trPr>
          <w:cantSplit/>
        </w:trPr>
        <w:tc>
          <w:tcPr>
            <w:tcW w:w="2560" w:type="dxa"/>
            <w:hideMark/>
          </w:tcPr>
          <w:p w14:paraId="5311A96F" w14:textId="77777777" w:rsidR="00921922" w:rsidRPr="0098470E" w:rsidRDefault="00921922" w:rsidP="00603215">
            <w:pPr>
              <w:pStyle w:val="DHHStabletext"/>
            </w:pPr>
            <w:r w:rsidRPr="0098470E">
              <w:t>Calculating performance</w:t>
            </w:r>
          </w:p>
        </w:tc>
        <w:tc>
          <w:tcPr>
            <w:tcW w:w="6739" w:type="dxa"/>
            <w:hideMark/>
          </w:tcPr>
          <w:p w14:paraId="679DF5D7" w14:textId="77777777" w:rsidR="00921922" w:rsidRPr="0098470E" w:rsidRDefault="00921922" w:rsidP="00603215">
            <w:pPr>
              <w:pStyle w:val="DHHStabletext"/>
            </w:pPr>
            <w:r w:rsidRPr="0098470E">
              <w:t>This indicator measures the difference between the initial pain score and the final pain score according to Ambulance Victoria (clinical practice guidelines. Patients experiencing severe pain are defined as those having an initial pain score of 8 or more, with pain measured out of 10.</w:t>
            </w:r>
          </w:p>
          <w:p w14:paraId="31ED363D" w14:textId="77777777" w:rsidR="00921922" w:rsidRPr="0098470E" w:rsidRDefault="00921922" w:rsidP="00603215">
            <w:pPr>
              <w:pStyle w:val="DHHStabletext"/>
            </w:pPr>
            <w:r w:rsidRPr="0098470E">
              <w:t>A patient is deemed to have had a significant reduction in pain if the difference between their initial and final pain score is 2 or more.</w:t>
            </w:r>
          </w:p>
          <w:p w14:paraId="309A6FF4" w14:textId="77777777" w:rsidR="00517166" w:rsidRDefault="00921922" w:rsidP="00603215">
            <w:pPr>
              <w:pStyle w:val="DHHStabletext"/>
            </w:pPr>
            <w:r w:rsidRPr="0098470E">
              <w:t xml:space="preserve">This indicator excludes: </w:t>
            </w:r>
          </w:p>
          <w:p w14:paraId="5BA8F92E" w14:textId="77777777" w:rsidR="00517166" w:rsidRDefault="00921922" w:rsidP="00517166">
            <w:pPr>
              <w:pStyle w:val="DHHStablebullet1"/>
            </w:pPr>
            <w:r w:rsidRPr="0098470E">
              <w:t>patients with a Glasgow Coma Score &lt; 9</w:t>
            </w:r>
          </w:p>
          <w:p w14:paraId="5FC005D9" w14:textId="1F887C9D" w:rsidR="00517166" w:rsidRDefault="00921922" w:rsidP="00517166">
            <w:pPr>
              <w:pStyle w:val="DHHStablebullet1"/>
            </w:pPr>
            <w:r w:rsidRPr="0098470E">
              <w:t>intubated patients</w:t>
            </w:r>
          </w:p>
          <w:p w14:paraId="64FED4A7" w14:textId="522148AF" w:rsidR="00517166" w:rsidRDefault="00921922" w:rsidP="00517166">
            <w:pPr>
              <w:pStyle w:val="DHHStablebullet1"/>
            </w:pPr>
            <w:r w:rsidRPr="0098470E">
              <w:t>patients unable to rate pain</w:t>
            </w:r>
          </w:p>
          <w:p w14:paraId="33700D3E" w14:textId="61EE3D82" w:rsidR="00517166" w:rsidRDefault="00921922" w:rsidP="00517166">
            <w:pPr>
              <w:pStyle w:val="DHHStablebullet1"/>
            </w:pPr>
            <w:r w:rsidRPr="0098470E">
              <w:t xml:space="preserve">patients who have &lt; 2 recorded pain scores and </w:t>
            </w:r>
          </w:p>
          <w:p w14:paraId="744682AC" w14:textId="1F30EFE6" w:rsidR="00921922" w:rsidRPr="0098470E" w:rsidRDefault="00921922" w:rsidP="00554C1C">
            <w:pPr>
              <w:pStyle w:val="DHHStablebullet1"/>
            </w:pPr>
            <w:r w:rsidRPr="0098470E">
              <w:t>patients who refuse analgesia.</w:t>
            </w:r>
          </w:p>
          <w:p w14:paraId="500FE962" w14:textId="77777777" w:rsidR="00921922" w:rsidRPr="0098470E" w:rsidRDefault="00921922" w:rsidP="00603215">
            <w:pPr>
              <w:pStyle w:val="DHHStabletext"/>
            </w:pPr>
            <w:r w:rsidRPr="0098470E">
              <w:t>This indicator is expressed as a percentage to one decimal place.</w:t>
            </w:r>
          </w:p>
        </w:tc>
      </w:tr>
      <w:tr w:rsidR="00921922" w:rsidRPr="0098470E" w14:paraId="4E460AB4" w14:textId="77777777" w:rsidTr="00F12615">
        <w:trPr>
          <w:cantSplit/>
        </w:trPr>
        <w:tc>
          <w:tcPr>
            <w:tcW w:w="2560" w:type="dxa"/>
            <w:hideMark/>
          </w:tcPr>
          <w:p w14:paraId="7EAC6310" w14:textId="77777777" w:rsidR="00921922" w:rsidRPr="0098470E" w:rsidRDefault="00921922" w:rsidP="00603215">
            <w:pPr>
              <w:pStyle w:val="DHHStabletext"/>
            </w:pPr>
            <w:r w:rsidRPr="0098470E">
              <w:t>Numerator</w:t>
            </w:r>
          </w:p>
        </w:tc>
        <w:tc>
          <w:tcPr>
            <w:tcW w:w="6739" w:type="dxa"/>
            <w:hideMark/>
          </w:tcPr>
          <w:p w14:paraId="36614FFA" w14:textId="21C4C34C" w:rsidR="00921922" w:rsidRPr="0098470E" w:rsidRDefault="00921922" w:rsidP="00603215">
            <w:pPr>
              <w:pStyle w:val="DHHStabletext"/>
            </w:pPr>
            <w:r w:rsidRPr="0098470E">
              <w:t>Total number of adult cardiac, adult trauma and paediatric trauma patients with an initial pain score assessed as 8 or more experiencing a reduction in score of 2 or more</w:t>
            </w:r>
            <w:r w:rsidR="002C272A">
              <w:t>.</w:t>
            </w:r>
          </w:p>
        </w:tc>
      </w:tr>
      <w:tr w:rsidR="00921922" w:rsidRPr="0098470E" w14:paraId="36B7C909" w14:textId="77777777" w:rsidTr="00F12615">
        <w:trPr>
          <w:cantSplit/>
        </w:trPr>
        <w:tc>
          <w:tcPr>
            <w:tcW w:w="2560" w:type="dxa"/>
            <w:hideMark/>
          </w:tcPr>
          <w:p w14:paraId="70156FE8" w14:textId="77777777" w:rsidR="00921922" w:rsidRPr="0098470E" w:rsidRDefault="00921922" w:rsidP="00603215">
            <w:pPr>
              <w:pStyle w:val="DHHStabletext"/>
            </w:pPr>
            <w:r w:rsidRPr="0098470E">
              <w:t>Denominator</w:t>
            </w:r>
          </w:p>
        </w:tc>
        <w:tc>
          <w:tcPr>
            <w:tcW w:w="6739" w:type="dxa"/>
            <w:hideMark/>
          </w:tcPr>
          <w:p w14:paraId="0173134B" w14:textId="14850D8F" w:rsidR="00921922" w:rsidRPr="0098470E" w:rsidRDefault="00921922" w:rsidP="00603215">
            <w:pPr>
              <w:pStyle w:val="DHHStabletext"/>
            </w:pPr>
            <w:r w:rsidRPr="0098470E">
              <w:t>Total number of adult cardiac, adult trauma and paediatric trauma patients with an initial pain score assessed as 8 or more</w:t>
            </w:r>
            <w:r w:rsidR="002C272A">
              <w:t>.</w:t>
            </w:r>
          </w:p>
        </w:tc>
      </w:tr>
      <w:tr w:rsidR="00921922" w:rsidRPr="0098470E" w14:paraId="7D125EAE" w14:textId="77777777" w:rsidTr="00F12615">
        <w:trPr>
          <w:cantSplit/>
        </w:trPr>
        <w:tc>
          <w:tcPr>
            <w:tcW w:w="2560" w:type="dxa"/>
            <w:hideMark/>
          </w:tcPr>
          <w:p w14:paraId="43A83F3A" w14:textId="77777777" w:rsidR="00921922" w:rsidRPr="0098470E" w:rsidRDefault="00921922" w:rsidP="00603215">
            <w:pPr>
              <w:pStyle w:val="DHHStabletext"/>
            </w:pPr>
            <w:r w:rsidRPr="0098470E">
              <w:t>Statewide target</w:t>
            </w:r>
          </w:p>
        </w:tc>
        <w:tc>
          <w:tcPr>
            <w:tcW w:w="6739" w:type="dxa"/>
            <w:hideMark/>
          </w:tcPr>
          <w:p w14:paraId="288E7B06" w14:textId="77777777" w:rsidR="00921922" w:rsidRPr="0098470E" w:rsidRDefault="00921922" w:rsidP="00603215">
            <w:pPr>
              <w:pStyle w:val="DHHStabletext"/>
            </w:pPr>
            <w:r w:rsidRPr="0098470E">
              <w:t>90%</w:t>
            </w:r>
          </w:p>
        </w:tc>
      </w:tr>
      <w:tr w:rsidR="00E90723" w:rsidRPr="0098470E" w14:paraId="5D348E56" w14:textId="77777777" w:rsidTr="00E90723">
        <w:trPr>
          <w:cantSplit/>
        </w:trPr>
        <w:tc>
          <w:tcPr>
            <w:tcW w:w="2560" w:type="dxa"/>
            <w:hideMark/>
          </w:tcPr>
          <w:p w14:paraId="44C740AE" w14:textId="77777777" w:rsidR="00E90723" w:rsidRPr="0098470E" w:rsidRDefault="00E90723" w:rsidP="00603215">
            <w:pPr>
              <w:pStyle w:val="DHHStabletext"/>
            </w:pPr>
            <w:r w:rsidRPr="0098470E">
              <w:t>Achievement</w:t>
            </w:r>
          </w:p>
        </w:tc>
        <w:tc>
          <w:tcPr>
            <w:tcW w:w="6739" w:type="dxa"/>
            <w:hideMark/>
          </w:tcPr>
          <w:p w14:paraId="7D4E54BA" w14:textId="610FC8BE" w:rsidR="00E90723" w:rsidRPr="0098470E" w:rsidRDefault="00E90723" w:rsidP="00E90723">
            <w:pPr>
              <w:pStyle w:val="DHHStabletext92mmtab"/>
            </w:pPr>
            <w:r w:rsidRPr="0098470E">
              <w:t>Equal to or greater than 90%</w:t>
            </w:r>
            <w:r>
              <w:tab/>
              <w:t>Achieved</w:t>
            </w:r>
          </w:p>
          <w:p w14:paraId="1C68027F" w14:textId="30AAB379" w:rsidR="00E90723" w:rsidRPr="0098470E" w:rsidRDefault="00E90723" w:rsidP="00E90723">
            <w:pPr>
              <w:pStyle w:val="DHHStabletext92mmtab"/>
            </w:pPr>
            <w:r w:rsidRPr="0098470E">
              <w:t>Less than 90%</w:t>
            </w:r>
            <w:r>
              <w:tab/>
              <w:t>Not achieved</w:t>
            </w:r>
          </w:p>
        </w:tc>
      </w:tr>
      <w:tr w:rsidR="00921922" w:rsidRPr="0098470E" w14:paraId="653E2EE8" w14:textId="77777777" w:rsidTr="00F12615">
        <w:trPr>
          <w:cantSplit/>
        </w:trPr>
        <w:tc>
          <w:tcPr>
            <w:tcW w:w="2560" w:type="dxa"/>
          </w:tcPr>
          <w:p w14:paraId="4ED4627A" w14:textId="77777777" w:rsidR="00921922" w:rsidRPr="0098470E" w:rsidRDefault="00921922" w:rsidP="00603215">
            <w:pPr>
              <w:pStyle w:val="DHHStabletext"/>
            </w:pPr>
            <w:r>
              <w:t>Improvement</w:t>
            </w:r>
          </w:p>
        </w:tc>
        <w:tc>
          <w:tcPr>
            <w:tcW w:w="6739" w:type="dxa"/>
          </w:tcPr>
          <w:p w14:paraId="44D2C78C" w14:textId="77777777" w:rsidR="00921922" w:rsidRPr="0098470E" w:rsidRDefault="00921922" w:rsidP="00603215">
            <w:pPr>
              <w:pStyle w:val="DHHStabletext"/>
            </w:pPr>
            <w:r w:rsidRPr="0098470E">
              <w:t>Improvement is compared to previous quarter performance.</w:t>
            </w:r>
          </w:p>
        </w:tc>
      </w:tr>
      <w:tr w:rsidR="00921922" w:rsidRPr="0098470E" w14:paraId="2037FCBE" w14:textId="77777777" w:rsidTr="00F12615">
        <w:trPr>
          <w:cantSplit/>
        </w:trPr>
        <w:tc>
          <w:tcPr>
            <w:tcW w:w="2560" w:type="dxa"/>
            <w:hideMark/>
          </w:tcPr>
          <w:p w14:paraId="1D9A6D73" w14:textId="77777777" w:rsidR="00921922" w:rsidRPr="0098470E" w:rsidRDefault="00921922" w:rsidP="00603215">
            <w:pPr>
              <w:pStyle w:val="DHHStabletext"/>
            </w:pPr>
            <w:r w:rsidRPr="0098470E">
              <w:t>Frequency of reporting and data collection</w:t>
            </w:r>
          </w:p>
        </w:tc>
        <w:tc>
          <w:tcPr>
            <w:tcW w:w="6739" w:type="dxa"/>
            <w:hideMark/>
          </w:tcPr>
          <w:p w14:paraId="48658F39" w14:textId="77777777" w:rsidR="00921922" w:rsidRPr="0098470E" w:rsidRDefault="00921922" w:rsidP="00603215">
            <w:pPr>
              <w:pStyle w:val="DHHStabletext"/>
            </w:pPr>
            <w:r w:rsidRPr="0098470E">
              <w:t>Performance is monitored quarterly.</w:t>
            </w:r>
          </w:p>
          <w:p w14:paraId="7B344B41" w14:textId="77777777" w:rsidR="00921922" w:rsidRPr="0098470E" w:rsidRDefault="00921922" w:rsidP="00603215">
            <w:pPr>
              <w:pStyle w:val="DHHStabletext"/>
            </w:pPr>
            <w:r w:rsidRPr="0098470E">
              <w:t>Data is submitted to the department quarterly from Ambulance Victoria.</w:t>
            </w:r>
          </w:p>
        </w:tc>
      </w:tr>
    </w:tbl>
    <w:p w14:paraId="07A963BF" w14:textId="24E9F078" w:rsidR="00F12615" w:rsidRPr="00961723" w:rsidRDefault="00F12615" w:rsidP="00F12615">
      <w:pPr>
        <w:pStyle w:val="DHHStablecaption"/>
      </w:pPr>
      <w:r>
        <w:lastRenderedPageBreak/>
        <w:t xml:space="preserve">Indicator: </w:t>
      </w:r>
      <w:r w:rsidR="00101E11" w:rsidRPr="0064437D">
        <w:t>Percentage of acute adult stroke patients transported to definitive care within 60 minutes</w:t>
      </w:r>
    </w:p>
    <w:tbl>
      <w:tblPr>
        <w:tblStyle w:val="TableGrid"/>
        <w:tblW w:w="9299" w:type="dxa"/>
        <w:tblLook w:val="06A0" w:firstRow="1" w:lastRow="0" w:firstColumn="1" w:lastColumn="0" w:noHBand="1" w:noVBand="1"/>
      </w:tblPr>
      <w:tblGrid>
        <w:gridCol w:w="2659"/>
        <w:gridCol w:w="6640"/>
      </w:tblGrid>
      <w:tr w:rsidR="00D97737" w:rsidRPr="0098470E" w14:paraId="0F59955E"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659" w:type="dxa"/>
          </w:tcPr>
          <w:p w14:paraId="3E1EAFD3" w14:textId="0DD97116" w:rsidR="00D97737" w:rsidRPr="0064437D" w:rsidRDefault="00D97737" w:rsidP="00D97737">
            <w:pPr>
              <w:pStyle w:val="DHHStablecolhead"/>
            </w:pPr>
            <w:r>
              <w:t>Element</w:t>
            </w:r>
          </w:p>
        </w:tc>
        <w:tc>
          <w:tcPr>
            <w:tcW w:w="6640" w:type="dxa"/>
          </w:tcPr>
          <w:p w14:paraId="3A4BF743" w14:textId="08E072E5" w:rsidR="00D97737" w:rsidRPr="0064437D" w:rsidRDefault="00D97737" w:rsidP="00D97737">
            <w:pPr>
              <w:pStyle w:val="DHHStablecolhead"/>
            </w:pPr>
            <w:r>
              <w:t>Details</w:t>
            </w:r>
          </w:p>
        </w:tc>
      </w:tr>
      <w:tr w:rsidR="00921922" w:rsidRPr="0098470E" w14:paraId="13B6B1A2" w14:textId="77777777" w:rsidTr="00F12615">
        <w:trPr>
          <w:cantSplit/>
        </w:trPr>
        <w:tc>
          <w:tcPr>
            <w:tcW w:w="2659" w:type="dxa"/>
            <w:hideMark/>
          </w:tcPr>
          <w:p w14:paraId="7AC3EA52" w14:textId="77777777" w:rsidR="00921922" w:rsidRPr="0098470E" w:rsidRDefault="00921922" w:rsidP="00603215">
            <w:pPr>
              <w:pStyle w:val="DHHStabletext"/>
            </w:pPr>
            <w:r w:rsidRPr="0098470E">
              <w:t>Description</w:t>
            </w:r>
          </w:p>
        </w:tc>
        <w:tc>
          <w:tcPr>
            <w:tcW w:w="6640" w:type="dxa"/>
            <w:hideMark/>
          </w:tcPr>
          <w:p w14:paraId="49014E50" w14:textId="77777777" w:rsidR="00921922" w:rsidRPr="0098470E" w:rsidRDefault="00921922" w:rsidP="00603215">
            <w:pPr>
              <w:pStyle w:val="DHHStabletext"/>
            </w:pPr>
            <w:r w:rsidRPr="0098470E">
              <w:t>The early recognition of stroke symptoms and the timing and the destination to which patients are transported are critical to ensuring optimal outcomes for stroke patients.</w:t>
            </w:r>
          </w:p>
          <w:p w14:paraId="52263D16" w14:textId="39A25FAD" w:rsidR="00921922" w:rsidRPr="0098470E" w:rsidRDefault="00921922" w:rsidP="00603215">
            <w:pPr>
              <w:pStyle w:val="DHHStabletext"/>
            </w:pPr>
            <w:r w:rsidRPr="0098470E">
              <w:t>This indicator is a measure of ambulance response to adult patients (15 years or older) suspected of havi</w:t>
            </w:r>
            <w:r>
              <w:t xml:space="preserve">ng a stroke within the last six </w:t>
            </w:r>
            <w:r w:rsidRPr="0098470E">
              <w:t>hours</w:t>
            </w:r>
            <w:r w:rsidR="00FC2E13">
              <w:t>,</w:t>
            </w:r>
            <w:r w:rsidRPr="0098470E">
              <w:t xml:space="preserve"> who are transported within 60 minutes to a health service with the capability to deliver intravenous thrombolysis.</w:t>
            </w:r>
          </w:p>
          <w:p w14:paraId="20024FA8" w14:textId="063DE2CB" w:rsidR="00921922" w:rsidRPr="0098470E" w:rsidRDefault="00921922" w:rsidP="00603215">
            <w:pPr>
              <w:pStyle w:val="DHHStabletext"/>
            </w:pPr>
            <w:r w:rsidRPr="0098470E">
              <w:t>A list of health services providing thrombolysis for stroke patients can be found at</w:t>
            </w:r>
            <w:r>
              <w:t xml:space="preserve"> </w:t>
            </w:r>
            <w:hyperlink r:id="rId21" w:history="1">
              <w:r w:rsidRPr="00D5797B">
                <w:rPr>
                  <w:rStyle w:val="Hyperlink"/>
                </w:rPr>
                <w:t>HealthVic statewide frameworks for acute stroke services</w:t>
              </w:r>
            </w:hyperlink>
            <w:r w:rsidRPr="0098470E">
              <w:t xml:space="preserve"> </w:t>
            </w:r>
            <w:r w:rsidRPr="00D5797B">
              <w:rPr>
                <w:color w:val="000000" w:themeColor="text1"/>
              </w:rPr>
              <w:t>&lt;</w:t>
            </w:r>
            <w:r w:rsidRPr="004C15E2">
              <w:t>https://www2.health.vic.gov.au/hospitals-and-health-services/quality-safety-service/clinical-networks/clinical-network-stroke/stroke-statewide-frameworks</w:t>
            </w:r>
            <w:r w:rsidRPr="00D5797B">
              <w:rPr>
                <w:color w:val="000000" w:themeColor="text1"/>
              </w:rPr>
              <w:t>&gt;</w:t>
            </w:r>
          </w:p>
        </w:tc>
      </w:tr>
      <w:tr w:rsidR="00921922" w:rsidRPr="0098470E" w14:paraId="778E3C2A" w14:textId="77777777" w:rsidTr="00F12615">
        <w:trPr>
          <w:cantSplit/>
        </w:trPr>
        <w:tc>
          <w:tcPr>
            <w:tcW w:w="2659" w:type="dxa"/>
            <w:hideMark/>
          </w:tcPr>
          <w:p w14:paraId="62C93FE8" w14:textId="77777777" w:rsidR="00921922" w:rsidRPr="0098470E" w:rsidRDefault="00921922" w:rsidP="00603215">
            <w:pPr>
              <w:pStyle w:val="DHHStabletext"/>
            </w:pPr>
            <w:r w:rsidRPr="0098470E">
              <w:t>Calculating performance</w:t>
            </w:r>
          </w:p>
        </w:tc>
        <w:tc>
          <w:tcPr>
            <w:tcW w:w="6640" w:type="dxa"/>
            <w:hideMark/>
          </w:tcPr>
          <w:p w14:paraId="5DA59FFD" w14:textId="77777777" w:rsidR="00921922" w:rsidRPr="0098470E" w:rsidRDefault="00921922" w:rsidP="00603215">
            <w:pPr>
              <w:pStyle w:val="DHHStabletext"/>
            </w:pPr>
            <w:r w:rsidRPr="0098470E">
              <w:t xml:space="preserve">This indicator excludes inter-hospital transfers, patients with an </w:t>
            </w:r>
            <w:r>
              <w:t xml:space="preserve">estimated stroke onset of greater than six hours, </w:t>
            </w:r>
            <w:r w:rsidRPr="0098470E">
              <w:t>patients with significant pre-existing disability or dependent on others for daily living.</w:t>
            </w:r>
          </w:p>
          <w:p w14:paraId="35F79EA7" w14:textId="77777777" w:rsidR="00921922" w:rsidRPr="0098470E" w:rsidRDefault="00921922" w:rsidP="00603215">
            <w:pPr>
              <w:pStyle w:val="DHHStabletext"/>
            </w:pPr>
            <w:r w:rsidRPr="0098470E">
              <w:t>This indicator is expressed as a percentage to one decimal place.</w:t>
            </w:r>
          </w:p>
        </w:tc>
      </w:tr>
      <w:tr w:rsidR="00921922" w:rsidRPr="0098470E" w14:paraId="410CF028" w14:textId="77777777" w:rsidTr="00F12615">
        <w:trPr>
          <w:cantSplit/>
        </w:trPr>
        <w:tc>
          <w:tcPr>
            <w:tcW w:w="2659" w:type="dxa"/>
            <w:hideMark/>
          </w:tcPr>
          <w:p w14:paraId="26A70CBF" w14:textId="77777777" w:rsidR="00921922" w:rsidRPr="0098470E" w:rsidRDefault="00921922" w:rsidP="00603215">
            <w:pPr>
              <w:pStyle w:val="DHHStabletext"/>
            </w:pPr>
            <w:r w:rsidRPr="0098470E">
              <w:t>Numerator</w:t>
            </w:r>
          </w:p>
        </w:tc>
        <w:tc>
          <w:tcPr>
            <w:tcW w:w="6640" w:type="dxa"/>
            <w:hideMark/>
          </w:tcPr>
          <w:p w14:paraId="71A0CE08" w14:textId="77777777" w:rsidR="00921922" w:rsidRPr="0098470E" w:rsidRDefault="00921922" w:rsidP="00603215">
            <w:pPr>
              <w:pStyle w:val="DHHStabletext"/>
            </w:pPr>
            <w:r w:rsidRPr="0098470E">
              <w:t xml:space="preserve">Total number of adult patients suspected of having a stroke </w:t>
            </w:r>
            <w:r>
              <w:t xml:space="preserve">and meeting the above criteria </w:t>
            </w:r>
            <w:r w:rsidRPr="0098470E">
              <w:t>who were transported within 60 minutes to a health service with the capability to deliver intravenous thrombolysis.</w:t>
            </w:r>
          </w:p>
        </w:tc>
      </w:tr>
      <w:tr w:rsidR="00921922" w:rsidRPr="0098470E" w14:paraId="2EE8C969" w14:textId="77777777" w:rsidTr="00F12615">
        <w:trPr>
          <w:cantSplit/>
        </w:trPr>
        <w:tc>
          <w:tcPr>
            <w:tcW w:w="2659" w:type="dxa"/>
            <w:hideMark/>
          </w:tcPr>
          <w:p w14:paraId="28661410" w14:textId="77777777" w:rsidR="00921922" w:rsidRPr="0098470E" w:rsidRDefault="00921922" w:rsidP="00603215">
            <w:pPr>
              <w:pStyle w:val="DHHStabletext"/>
            </w:pPr>
            <w:r w:rsidRPr="0098470E">
              <w:t>Denominator</w:t>
            </w:r>
          </w:p>
        </w:tc>
        <w:tc>
          <w:tcPr>
            <w:tcW w:w="6640" w:type="dxa"/>
            <w:hideMark/>
          </w:tcPr>
          <w:p w14:paraId="6F1C6202" w14:textId="253D529B" w:rsidR="00921922" w:rsidRPr="0098470E" w:rsidRDefault="00921922" w:rsidP="00603215">
            <w:pPr>
              <w:pStyle w:val="DHHStabletext"/>
            </w:pPr>
            <w:r w:rsidRPr="0098470E">
              <w:t xml:space="preserve">Total number of adult patients </w:t>
            </w:r>
            <w:r>
              <w:t>suspected of having a stroke and meeting the above criteria</w:t>
            </w:r>
            <w:r w:rsidR="00FC2E13">
              <w:t>.</w:t>
            </w:r>
          </w:p>
        </w:tc>
      </w:tr>
      <w:tr w:rsidR="00921922" w:rsidRPr="0098470E" w14:paraId="0E20A841" w14:textId="77777777" w:rsidTr="00F12615">
        <w:trPr>
          <w:cantSplit/>
        </w:trPr>
        <w:tc>
          <w:tcPr>
            <w:tcW w:w="2659" w:type="dxa"/>
            <w:hideMark/>
          </w:tcPr>
          <w:p w14:paraId="33837D2A" w14:textId="77777777" w:rsidR="00921922" w:rsidRPr="0098470E" w:rsidRDefault="00921922" w:rsidP="00603215">
            <w:pPr>
              <w:pStyle w:val="DHHStabletext"/>
            </w:pPr>
            <w:r w:rsidRPr="0098470E">
              <w:t>Statewide target</w:t>
            </w:r>
          </w:p>
        </w:tc>
        <w:tc>
          <w:tcPr>
            <w:tcW w:w="6640" w:type="dxa"/>
            <w:hideMark/>
          </w:tcPr>
          <w:p w14:paraId="56657AB0" w14:textId="77777777" w:rsidR="00921922" w:rsidRPr="0098470E" w:rsidRDefault="00921922" w:rsidP="00603215">
            <w:pPr>
              <w:pStyle w:val="DHHStabletext"/>
            </w:pPr>
            <w:r w:rsidRPr="0098470E">
              <w:t>90%</w:t>
            </w:r>
          </w:p>
        </w:tc>
      </w:tr>
      <w:tr w:rsidR="00E90723" w:rsidRPr="0098470E" w14:paraId="1C432D62" w14:textId="77777777" w:rsidTr="00E90723">
        <w:trPr>
          <w:cantSplit/>
        </w:trPr>
        <w:tc>
          <w:tcPr>
            <w:tcW w:w="2659" w:type="dxa"/>
            <w:hideMark/>
          </w:tcPr>
          <w:p w14:paraId="15E371D3" w14:textId="77777777" w:rsidR="00E90723" w:rsidRPr="0098470E" w:rsidRDefault="00E90723" w:rsidP="00603215">
            <w:pPr>
              <w:pStyle w:val="DHHStabletext"/>
            </w:pPr>
            <w:r w:rsidRPr="0098470E">
              <w:t>Achievement</w:t>
            </w:r>
          </w:p>
        </w:tc>
        <w:tc>
          <w:tcPr>
            <w:tcW w:w="6640" w:type="dxa"/>
            <w:hideMark/>
          </w:tcPr>
          <w:p w14:paraId="1992FF92" w14:textId="02019A47" w:rsidR="00E90723" w:rsidRPr="0098470E" w:rsidRDefault="00E90723" w:rsidP="00E90723">
            <w:pPr>
              <w:pStyle w:val="DHHStabletext92mmtab"/>
            </w:pPr>
            <w:r w:rsidRPr="0098470E">
              <w:t>Equal to or greater than 90%</w:t>
            </w:r>
            <w:r>
              <w:tab/>
              <w:t>Achieved</w:t>
            </w:r>
          </w:p>
          <w:p w14:paraId="784F7B89" w14:textId="0F19C8A5" w:rsidR="00E90723" w:rsidRPr="0098470E" w:rsidRDefault="00E90723" w:rsidP="00E90723">
            <w:pPr>
              <w:pStyle w:val="DHHStabletext92mmtab"/>
            </w:pPr>
            <w:r w:rsidRPr="0098470E">
              <w:t>Less than 90%</w:t>
            </w:r>
            <w:r>
              <w:tab/>
              <w:t>Not achieved</w:t>
            </w:r>
          </w:p>
        </w:tc>
      </w:tr>
      <w:tr w:rsidR="00921922" w:rsidRPr="0098470E" w14:paraId="3A28D0D4" w14:textId="77777777" w:rsidTr="00F12615">
        <w:trPr>
          <w:cantSplit/>
        </w:trPr>
        <w:tc>
          <w:tcPr>
            <w:tcW w:w="2659" w:type="dxa"/>
          </w:tcPr>
          <w:p w14:paraId="4DB218DE" w14:textId="77777777" w:rsidR="00921922" w:rsidRPr="0098470E" w:rsidRDefault="00921922" w:rsidP="00603215">
            <w:pPr>
              <w:pStyle w:val="DHHStabletext"/>
            </w:pPr>
            <w:r>
              <w:t>Improvement</w:t>
            </w:r>
          </w:p>
        </w:tc>
        <w:tc>
          <w:tcPr>
            <w:tcW w:w="6640" w:type="dxa"/>
          </w:tcPr>
          <w:p w14:paraId="4470E5B3" w14:textId="77777777" w:rsidR="00921922" w:rsidRPr="0098470E" w:rsidRDefault="00921922" w:rsidP="00603215">
            <w:pPr>
              <w:pStyle w:val="DHHStabletext"/>
            </w:pPr>
            <w:r w:rsidRPr="0098470E">
              <w:t>Improvement is compared to previous quarter performance.</w:t>
            </w:r>
          </w:p>
        </w:tc>
      </w:tr>
      <w:tr w:rsidR="00921922" w:rsidRPr="0098470E" w14:paraId="066360BD" w14:textId="77777777" w:rsidTr="00F12615">
        <w:trPr>
          <w:cantSplit/>
        </w:trPr>
        <w:tc>
          <w:tcPr>
            <w:tcW w:w="2659" w:type="dxa"/>
            <w:hideMark/>
          </w:tcPr>
          <w:p w14:paraId="4AE035D3" w14:textId="77777777" w:rsidR="00921922" w:rsidRPr="0098470E" w:rsidRDefault="00921922" w:rsidP="00603215">
            <w:pPr>
              <w:pStyle w:val="DHHStabletext"/>
            </w:pPr>
            <w:r w:rsidRPr="0098470E">
              <w:t>Frequency of reporting and data collection</w:t>
            </w:r>
          </w:p>
        </w:tc>
        <w:tc>
          <w:tcPr>
            <w:tcW w:w="6640" w:type="dxa"/>
            <w:hideMark/>
          </w:tcPr>
          <w:p w14:paraId="167DAD35" w14:textId="77777777" w:rsidR="00921922" w:rsidRPr="0098470E" w:rsidRDefault="00921922" w:rsidP="00603215">
            <w:pPr>
              <w:pStyle w:val="DHHStabletext"/>
            </w:pPr>
            <w:r w:rsidRPr="0098470E">
              <w:t>Performance is monitored quarterly.</w:t>
            </w:r>
          </w:p>
          <w:p w14:paraId="6E6A7DA7" w14:textId="77777777" w:rsidR="00921922" w:rsidRPr="0098470E" w:rsidRDefault="00921922" w:rsidP="00603215">
            <w:pPr>
              <w:pStyle w:val="DHHStabletext"/>
            </w:pPr>
            <w:r w:rsidRPr="0098470E">
              <w:t>Data is submitted to the department quarterly from Ambulance Victoria.</w:t>
            </w:r>
          </w:p>
        </w:tc>
      </w:tr>
    </w:tbl>
    <w:p w14:paraId="1A99A183" w14:textId="77777777" w:rsidR="00F1426A" w:rsidRDefault="00F1426A">
      <w:pPr>
        <w:spacing w:after="200" w:line="276" w:lineRule="auto"/>
        <w:rPr>
          <w:rFonts w:ascii="Arial" w:hAnsi="Arial"/>
          <w:b/>
        </w:rPr>
      </w:pPr>
      <w:r>
        <w:br w:type="page"/>
      </w:r>
    </w:p>
    <w:p w14:paraId="4E6F7075" w14:textId="652369AB" w:rsidR="00F12615" w:rsidRPr="00961723" w:rsidRDefault="00F12615" w:rsidP="00F12615">
      <w:pPr>
        <w:pStyle w:val="DHHStablecaption"/>
      </w:pPr>
      <w:r>
        <w:lastRenderedPageBreak/>
        <w:t xml:space="preserve">Indicator: </w:t>
      </w:r>
      <w:r w:rsidR="00101E11" w:rsidRPr="0064437D">
        <w:t>Percentage of major trauma patients that meet destination compliance</w:t>
      </w:r>
    </w:p>
    <w:tbl>
      <w:tblPr>
        <w:tblStyle w:val="TableGrid"/>
        <w:tblW w:w="9299" w:type="dxa"/>
        <w:tblLook w:val="06A0" w:firstRow="1" w:lastRow="0" w:firstColumn="1" w:lastColumn="0" w:noHBand="1" w:noVBand="1"/>
      </w:tblPr>
      <w:tblGrid>
        <w:gridCol w:w="2593"/>
        <w:gridCol w:w="6706"/>
      </w:tblGrid>
      <w:tr w:rsidR="00D97737" w:rsidRPr="0098470E" w14:paraId="7547BC6B" w14:textId="77777777" w:rsidTr="00E90723">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125357EC" w14:textId="25C61719" w:rsidR="00D97737" w:rsidRPr="0064437D" w:rsidRDefault="00D97737" w:rsidP="00D97737">
            <w:pPr>
              <w:pStyle w:val="DHHStablecolhead"/>
            </w:pPr>
            <w:r>
              <w:t>Element</w:t>
            </w:r>
          </w:p>
        </w:tc>
        <w:tc>
          <w:tcPr>
            <w:tcW w:w="6600" w:type="dxa"/>
          </w:tcPr>
          <w:p w14:paraId="2260C3E4" w14:textId="754DAD4B" w:rsidR="00D97737" w:rsidRPr="0064437D" w:rsidRDefault="00D97737" w:rsidP="00D97737">
            <w:pPr>
              <w:pStyle w:val="DHHStablecolhead"/>
            </w:pPr>
            <w:r>
              <w:t>Details</w:t>
            </w:r>
          </w:p>
        </w:tc>
      </w:tr>
      <w:tr w:rsidR="00921922" w:rsidRPr="0098470E" w14:paraId="04273A9C" w14:textId="77777777" w:rsidTr="00E90723">
        <w:trPr>
          <w:cantSplit/>
        </w:trPr>
        <w:tc>
          <w:tcPr>
            <w:tcW w:w="2552" w:type="dxa"/>
            <w:hideMark/>
          </w:tcPr>
          <w:p w14:paraId="5C1456B8" w14:textId="77777777" w:rsidR="00921922" w:rsidRPr="0098470E" w:rsidRDefault="00921922" w:rsidP="00603215">
            <w:pPr>
              <w:pStyle w:val="DHHStabletext"/>
            </w:pPr>
            <w:r w:rsidRPr="0098470E">
              <w:t>Description</w:t>
            </w:r>
          </w:p>
        </w:tc>
        <w:tc>
          <w:tcPr>
            <w:tcW w:w="6600" w:type="dxa"/>
            <w:hideMark/>
          </w:tcPr>
          <w:p w14:paraId="134FC8CF" w14:textId="77777777" w:rsidR="00921922" w:rsidRPr="0098470E" w:rsidRDefault="00921922" w:rsidP="00603215">
            <w:pPr>
              <w:pStyle w:val="DHHStabletext"/>
            </w:pPr>
            <w:r w:rsidRPr="0098470E">
              <w:t>Mortality and morbidity can be reduced by effective field triage, treatment and transport of severely injured patients to specialised trauma hospitals.</w:t>
            </w:r>
          </w:p>
          <w:p w14:paraId="76D75941" w14:textId="77777777" w:rsidR="00921922" w:rsidRPr="0098470E" w:rsidRDefault="00921922" w:rsidP="00603215">
            <w:pPr>
              <w:pStyle w:val="DHHStabletext"/>
            </w:pPr>
            <w:r w:rsidRPr="0098470E">
              <w:t>This indicator is a measure of ambulance response to patients defined as major trauma who are transported to a major trauma service or to the highest level designated trauma service within 45 minutes of the ambulance departing the scene.</w:t>
            </w:r>
          </w:p>
          <w:p w14:paraId="3E880B53" w14:textId="77777777" w:rsidR="00921922" w:rsidRPr="0098470E" w:rsidRDefault="00921922" w:rsidP="00603215">
            <w:pPr>
              <w:pStyle w:val="DHHStabletext"/>
            </w:pPr>
            <w:r w:rsidRPr="0098470E">
              <w:t>Major trauma patients are defined by the Victorian State Trauma Registry, and this process relies on hospital diagnostic procedures, and in hospital treatment data which causes a lag of one quarter for all data.</w:t>
            </w:r>
          </w:p>
        </w:tc>
      </w:tr>
      <w:tr w:rsidR="00921922" w:rsidRPr="0098470E" w14:paraId="48E67117" w14:textId="77777777" w:rsidTr="00E90723">
        <w:trPr>
          <w:cantSplit/>
        </w:trPr>
        <w:tc>
          <w:tcPr>
            <w:tcW w:w="2552" w:type="dxa"/>
            <w:hideMark/>
          </w:tcPr>
          <w:p w14:paraId="700022C6" w14:textId="77777777" w:rsidR="00921922" w:rsidRPr="0098470E" w:rsidRDefault="00921922" w:rsidP="00603215">
            <w:pPr>
              <w:pStyle w:val="DHHStabletext"/>
            </w:pPr>
            <w:r w:rsidRPr="0098470E">
              <w:t>Calculating performance</w:t>
            </w:r>
          </w:p>
        </w:tc>
        <w:tc>
          <w:tcPr>
            <w:tcW w:w="6600" w:type="dxa"/>
            <w:hideMark/>
          </w:tcPr>
          <w:p w14:paraId="5042F74C" w14:textId="77777777" w:rsidR="00921922" w:rsidRPr="0098470E" w:rsidRDefault="00921922" w:rsidP="00603215">
            <w:pPr>
              <w:pStyle w:val="DHHStabletext"/>
            </w:pPr>
            <w:r w:rsidRPr="0098470E">
              <w:t xml:space="preserve">This indicator excludes inter-hospital transports and patients not meeting the </w:t>
            </w:r>
            <w:r>
              <w:t>Ambulance Victoria</w:t>
            </w:r>
            <w:r w:rsidRPr="0098470E">
              <w:t xml:space="preserve"> Trauma Triage Guidelines.</w:t>
            </w:r>
          </w:p>
          <w:p w14:paraId="3415F1B5" w14:textId="77777777" w:rsidR="00921922" w:rsidRPr="0098470E" w:rsidRDefault="00921922" w:rsidP="00603215">
            <w:pPr>
              <w:pStyle w:val="DHHStabletext"/>
            </w:pPr>
            <w:r w:rsidRPr="0098470E">
              <w:t>This indicator is expressed as a percentage to one decimal place.</w:t>
            </w:r>
          </w:p>
        </w:tc>
      </w:tr>
      <w:tr w:rsidR="00921922" w:rsidRPr="0098470E" w14:paraId="388EB260" w14:textId="77777777" w:rsidTr="00E90723">
        <w:trPr>
          <w:cantSplit/>
        </w:trPr>
        <w:tc>
          <w:tcPr>
            <w:tcW w:w="2552" w:type="dxa"/>
            <w:hideMark/>
          </w:tcPr>
          <w:p w14:paraId="4B8D4C02" w14:textId="77777777" w:rsidR="00921922" w:rsidRPr="0098470E" w:rsidRDefault="00921922" w:rsidP="00603215">
            <w:pPr>
              <w:pStyle w:val="DHHStabletext"/>
            </w:pPr>
            <w:r w:rsidRPr="0098470E">
              <w:t>Numerator</w:t>
            </w:r>
          </w:p>
        </w:tc>
        <w:tc>
          <w:tcPr>
            <w:tcW w:w="6600" w:type="dxa"/>
            <w:hideMark/>
          </w:tcPr>
          <w:p w14:paraId="06A9BB9A" w14:textId="466266C1" w:rsidR="00921922" w:rsidRPr="0098470E" w:rsidRDefault="00921922" w:rsidP="00603215">
            <w:pPr>
              <w:pStyle w:val="DHHStabletext"/>
            </w:pPr>
            <w:r w:rsidRPr="0098470E">
              <w:t>Total number of major trauma patients transported to a major trauma service or to the highest level designated trauma service within 45 minutes travel time (from scene)</w:t>
            </w:r>
            <w:r w:rsidR="007952C6">
              <w:t>.</w:t>
            </w:r>
          </w:p>
        </w:tc>
      </w:tr>
      <w:tr w:rsidR="00921922" w:rsidRPr="0098470E" w14:paraId="286640C3" w14:textId="77777777" w:rsidTr="00E90723">
        <w:trPr>
          <w:cantSplit/>
        </w:trPr>
        <w:tc>
          <w:tcPr>
            <w:tcW w:w="2552" w:type="dxa"/>
            <w:hideMark/>
          </w:tcPr>
          <w:p w14:paraId="555DE5E4" w14:textId="77777777" w:rsidR="00921922" w:rsidRPr="0098470E" w:rsidRDefault="00921922" w:rsidP="00603215">
            <w:pPr>
              <w:pStyle w:val="DHHStabletext"/>
            </w:pPr>
            <w:r w:rsidRPr="0098470E">
              <w:t>Denominator</w:t>
            </w:r>
          </w:p>
        </w:tc>
        <w:tc>
          <w:tcPr>
            <w:tcW w:w="6600" w:type="dxa"/>
            <w:hideMark/>
          </w:tcPr>
          <w:p w14:paraId="0E492D94" w14:textId="480CD693" w:rsidR="00921922" w:rsidRPr="0098470E" w:rsidRDefault="00921922" w:rsidP="00603215">
            <w:pPr>
              <w:pStyle w:val="DHHStabletext"/>
            </w:pPr>
            <w:r w:rsidRPr="0098470E">
              <w:t>Number of patients defined as major trauma</w:t>
            </w:r>
            <w:r w:rsidR="007952C6">
              <w:t>.</w:t>
            </w:r>
          </w:p>
        </w:tc>
      </w:tr>
      <w:tr w:rsidR="00921922" w:rsidRPr="0098470E" w14:paraId="05B61075" w14:textId="77777777" w:rsidTr="00E90723">
        <w:trPr>
          <w:cantSplit/>
        </w:trPr>
        <w:tc>
          <w:tcPr>
            <w:tcW w:w="2552" w:type="dxa"/>
            <w:hideMark/>
          </w:tcPr>
          <w:p w14:paraId="75CF42F1" w14:textId="77777777" w:rsidR="00921922" w:rsidRPr="0098470E" w:rsidRDefault="00921922" w:rsidP="00603215">
            <w:pPr>
              <w:pStyle w:val="DHHStabletext"/>
            </w:pPr>
            <w:r w:rsidRPr="0098470E">
              <w:t>Statewide target</w:t>
            </w:r>
          </w:p>
        </w:tc>
        <w:tc>
          <w:tcPr>
            <w:tcW w:w="6600" w:type="dxa"/>
            <w:hideMark/>
          </w:tcPr>
          <w:p w14:paraId="2B480A0B" w14:textId="77777777" w:rsidR="00921922" w:rsidRPr="0098470E" w:rsidRDefault="00921922" w:rsidP="00603215">
            <w:pPr>
              <w:pStyle w:val="DHHStabletext"/>
            </w:pPr>
            <w:r w:rsidRPr="0098470E">
              <w:t>85%</w:t>
            </w:r>
          </w:p>
        </w:tc>
      </w:tr>
      <w:tr w:rsidR="00E90723" w:rsidRPr="0098470E" w14:paraId="459FDACD" w14:textId="77777777" w:rsidTr="00E90723">
        <w:trPr>
          <w:cantSplit/>
        </w:trPr>
        <w:tc>
          <w:tcPr>
            <w:tcW w:w="2552" w:type="dxa"/>
            <w:hideMark/>
          </w:tcPr>
          <w:p w14:paraId="34A1FE6B" w14:textId="77777777" w:rsidR="00E90723" w:rsidRPr="0098470E" w:rsidRDefault="00E90723" w:rsidP="00603215">
            <w:pPr>
              <w:pStyle w:val="DHHStabletext"/>
            </w:pPr>
            <w:r w:rsidRPr="0098470E">
              <w:t>Achievement</w:t>
            </w:r>
          </w:p>
        </w:tc>
        <w:tc>
          <w:tcPr>
            <w:tcW w:w="6600" w:type="dxa"/>
            <w:hideMark/>
          </w:tcPr>
          <w:p w14:paraId="7BE97418" w14:textId="02421F51" w:rsidR="00E90723" w:rsidRPr="0098470E" w:rsidRDefault="00E90723" w:rsidP="00E90723">
            <w:pPr>
              <w:pStyle w:val="DHHStabletext92mmtab"/>
            </w:pPr>
            <w:r w:rsidRPr="0098470E">
              <w:t>Equal to or greater than 85%</w:t>
            </w:r>
            <w:r>
              <w:tab/>
              <w:t>Achieved</w:t>
            </w:r>
          </w:p>
          <w:p w14:paraId="2B6465BD" w14:textId="592B7716" w:rsidR="00E90723" w:rsidRPr="0098470E" w:rsidRDefault="00E90723" w:rsidP="00E90723">
            <w:pPr>
              <w:pStyle w:val="DHHStabletext92mmtab"/>
            </w:pPr>
            <w:r w:rsidRPr="0098470E">
              <w:t>Less than 85%</w:t>
            </w:r>
            <w:r>
              <w:tab/>
              <w:t>Not achieved</w:t>
            </w:r>
          </w:p>
        </w:tc>
      </w:tr>
      <w:tr w:rsidR="00921922" w:rsidRPr="0098470E" w14:paraId="173387AD" w14:textId="77777777" w:rsidTr="00E90723">
        <w:trPr>
          <w:cantSplit/>
        </w:trPr>
        <w:tc>
          <w:tcPr>
            <w:tcW w:w="2552" w:type="dxa"/>
          </w:tcPr>
          <w:p w14:paraId="17A49BE0" w14:textId="77777777" w:rsidR="00921922" w:rsidRPr="0098470E" w:rsidRDefault="00921922" w:rsidP="00603215">
            <w:pPr>
              <w:pStyle w:val="DHHStabletext"/>
            </w:pPr>
            <w:r>
              <w:t>Improvement</w:t>
            </w:r>
          </w:p>
        </w:tc>
        <w:tc>
          <w:tcPr>
            <w:tcW w:w="6600" w:type="dxa"/>
          </w:tcPr>
          <w:p w14:paraId="20FCA430" w14:textId="77777777" w:rsidR="00921922" w:rsidRPr="0098470E" w:rsidRDefault="00921922" w:rsidP="00603215">
            <w:pPr>
              <w:pStyle w:val="DHHStabletext"/>
            </w:pPr>
            <w:r w:rsidRPr="0098470E">
              <w:t>Improvement is compared to previous quarter performance.</w:t>
            </w:r>
          </w:p>
        </w:tc>
      </w:tr>
      <w:tr w:rsidR="00921922" w:rsidRPr="0098470E" w14:paraId="748C3A34" w14:textId="77777777" w:rsidTr="00E90723">
        <w:trPr>
          <w:cantSplit/>
        </w:trPr>
        <w:tc>
          <w:tcPr>
            <w:tcW w:w="2552" w:type="dxa"/>
            <w:hideMark/>
          </w:tcPr>
          <w:p w14:paraId="2EE8C134" w14:textId="77777777" w:rsidR="00921922" w:rsidRPr="0098470E" w:rsidRDefault="00921922" w:rsidP="00603215">
            <w:pPr>
              <w:pStyle w:val="DHHStabletext"/>
            </w:pPr>
            <w:r w:rsidRPr="0098470E">
              <w:t>Frequency of reporting and data collection</w:t>
            </w:r>
          </w:p>
        </w:tc>
        <w:tc>
          <w:tcPr>
            <w:tcW w:w="6600" w:type="dxa"/>
            <w:hideMark/>
          </w:tcPr>
          <w:p w14:paraId="3248BB10" w14:textId="77777777" w:rsidR="00921922" w:rsidRPr="0098470E" w:rsidRDefault="00921922" w:rsidP="00603215">
            <w:pPr>
              <w:pStyle w:val="DHHStabletext"/>
            </w:pPr>
            <w:r w:rsidRPr="0098470E">
              <w:t>Performance is monitored quarterly.</w:t>
            </w:r>
          </w:p>
          <w:p w14:paraId="2B3D201E" w14:textId="77777777" w:rsidR="00921922" w:rsidRPr="0098470E" w:rsidRDefault="00921922" w:rsidP="00603215">
            <w:pPr>
              <w:pStyle w:val="DHHStabletext"/>
            </w:pPr>
            <w:r w:rsidRPr="0098470E">
              <w:t>Data reported is lagged by one quarter.</w:t>
            </w:r>
          </w:p>
          <w:p w14:paraId="6305E76D" w14:textId="77777777" w:rsidR="00921922" w:rsidRPr="0098470E" w:rsidRDefault="00921922" w:rsidP="00603215">
            <w:pPr>
              <w:pStyle w:val="DHHStabletext"/>
            </w:pPr>
            <w:r w:rsidRPr="0098470E">
              <w:t>Data is submitted to the department quarterly from Ambulance Victoria.</w:t>
            </w:r>
          </w:p>
        </w:tc>
      </w:tr>
    </w:tbl>
    <w:p w14:paraId="71D0AA14" w14:textId="77777777" w:rsidR="00F1426A" w:rsidRDefault="00F1426A">
      <w:pPr>
        <w:spacing w:after="200" w:line="276" w:lineRule="auto"/>
        <w:rPr>
          <w:rFonts w:ascii="Arial" w:hAnsi="Arial"/>
          <w:b/>
        </w:rPr>
      </w:pPr>
      <w:r>
        <w:br w:type="page"/>
      </w:r>
    </w:p>
    <w:p w14:paraId="5D1C933A" w14:textId="5C422D4C" w:rsidR="00F12615" w:rsidRPr="00961723" w:rsidRDefault="00F12615" w:rsidP="00F12615">
      <w:pPr>
        <w:pStyle w:val="DHHStablecaption"/>
      </w:pPr>
      <w:r>
        <w:lastRenderedPageBreak/>
        <w:t xml:space="preserve">Indicator: </w:t>
      </w:r>
      <w:r w:rsidR="00101E11" w:rsidRPr="0064437D">
        <w:t>Percentage of adult cardiac arrest patients surviving to hospital</w:t>
      </w:r>
    </w:p>
    <w:tbl>
      <w:tblPr>
        <w:tblStyle w:val="TableGrid"/>
        <w:tblW w:w="9299" w:type="dxa"/>
        <w:tblLook w:val="06A0" w:firstRow="1" w:lastRow="0" w:firstColumn="1" w:lastColumn="0" w:noHBand="1" w:noVBand="1"/>
      </w:tblPr>
      <w:tblGrid>
        <w:gridCol w:w="2671"/>
        <w:gridCol w:w="6628"/>
      </w:tblGrid>
      <w:tr w:rsidR="00D97737" w:rsidRPr="0098470E" w14:paraId="024A7C60"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671" w:type="dxa"/>
          </w:tcPr>
          <w:p w14:paraId="5589609A" w14:textId="71A37460" w:rsidR="00D97737" w:rsidRPr="0064437D" w:rsidRDefault="00D97737" w:rsidP="00D97737">
            <w:pPr>
              <w:pStyle w:val="DHHStablecolhead"/>
            </w:pPr>
            <w:r>
              <w:t>Element</w:t>
            </w:r>
          </w:p>
        </w:tc>
        <w:tc>
          <w:tcPr>
            <w:tcW w:w="6628" w:type="dxa"/>
          </w:tcPr>
          <w:p w14:paraId="124BD581" w14:textId="72480EB5" w:rsidR="00D97737" w:rsidRPr="0064437D" w:rsidRDefault="00D97737" w:rsidP="00D97737">
            <w:pPr>
              <w:pStyle w:val="DHHStablecolhead"/>
            </w:pPr>
            <w:r>
              <w:t>Details</w:t>
            </w:r>
          </w:p>
        </w:tc>
      </w:tr>
      <w:tr w:rsidR="00921922" w:rsidRPr="0098470E" w14:paraId="7BFBD738" w14:textId="77777777" w:rsidTr="00F12615">
        <w:trPr>
          <w:cantSplit/>
        </w:trPr>
        <w:tc>
          <w:tcPr>
            <w:tcW w:w="2671" w:type="dxa"/>
            <w:hideMark/>
          </w:tcPr>
          <w:p w14:paraId="7E921F6D" w14:textId="77777777" w:rsidR="00921922" w:rsidRPr="0098470E" w:rsidRDefault="00921922" w:rsidP="00603215">
            <w:pPr>
              <w:pStyle w:val="DHHStabletext"/>
            </w:pPr>
            <w:r w:rsidRPr="0098470E">
              <w:t>Description</w:t>
            </w:r>
          </w:p>
        </w:tc>
        <w:tc>
          <w:tcPr>
            <w:tcW w:w="6628" w:type="dxa"/>
            <w:hideMark/>
          </w:tcPr>
          <w:p w14:paraId="46CC8D6A" w14:textId="77777777" w:rsidR="00921922" w:rsidRDefault="00921922" w:rsidP="00603215">
            <w:pPr>
              <w:pStyle w:val="DHHStabletext"/>
            </w:pPr>
            <w:r w:rsidRPr="0098470E">
              <w:t xml:space="preserve">Cardiac arrest survival </w:t>
            </w:r>
            <w:r>
              <w:t>is strongly impacted by</w:t>
            </w:r>
            <w:r w:rsidRPr="0098470E">
              <w:t xml:space="preserve"> Emergency Medical Services (EMS) response time</w:t>
            </w:r>
            <w:r>
              <w:t>s</w:t>
            </w:r>
            <w:r w:rsidRPr="0098470E">
              <w:t>, clinical interventions and treatments.</w:t>
            </w:r>
          </w:p>
          <w:p w14:paraId="3059ECCE" w14:textId="77777777" w:rsidR="00921922" w:rsidRPr="0098470E" w:rsidRDefault="00921922" w:rsidP="00603215">
            <w:pPr>
              <w:pStyle w:val="DHHStabletext"/>
            </w:pPr>
            <w:r w:rsidRPr="0098470E">
              <w:t>The cardiac arrest survival to hospital rate describes the percentage of adult patients in out-of-hospital cardiac arrest, that initially present in a shockable rhythm where any chest compressions and/or defibrillation was undertaken by ambulance/EMS (fire brigade first responders, community emergency response teams or ambulance) or where defibrillation was performed by a public access defibrillator (PAD) and who have a return to spontaneous circulation (palpable pulse) on arrival at hospital.</w:t>
            </w:r>
          </w:p>
          <w:p w14:paraId="04DE77C0" w14:textId="77777777" w:rsidR="00921922" w:rsidRPr="0098470E" w:rsidRDefault="00921922" w:rsidP="00603215">
            <w:pPr>
              <w:pStyle w:val="DHHStabletext"/>
            </w:pPr>
            <w:r w:rsidRPr="0098470E">
              <w:t>Data is collected and reported according to the internationally recognised Utstein template and definitions. The Victorian Ambulance Cardiac Arrest Registry captures data on all out-of-hospital cardiac arrest patients attended by EMS in Victoria.</w:t>
            </w:r>
          </w:p>
          <w:p w14:paraId="65A4BD37" w14:textId="77777777" w:rsidR="00921922" w:rsidRPr="0098470E" w:rsidRDefault="00921922" w:rsidP="00603215">
            <w:pPr>
              <w:pStyle w:val="DHHStabletext"/>
            </w:pPr>
            <w:r w:rsidRPr="0098470E">
              <w:t>This indicator applies to adult patients (15 years or older) who are in ventricular fibrillation or pulseless ventricular tachycardia (VF/VT) on EMS arrival for whom resuscitation is commenced (minimum is cardiopulmonary resuscitation) by EMS.</w:t>
            </w:r>
          </w:p>
        </w:tc>
      </w:tr>
      <w:tr w:rsidR="00921922" w:rsidRPr="0098470E" w14:paraId="7A8024A5" w14:textId="77777777" w:rsidTr="00F12615">
        <w:trPr>
          <w:cantSplit/>
        </w:trPr>
        <w:tc>
          <w:tcPr>
            <w:tcW w:w="2671" w:type="dxa"/>
            <w:hideMark/>
          </w:tcPr>
          <w:p w14:paraId="077C834C" w14:textId="77777777" w:rsidR="00921922" w:rsidRPr="0098470E" w:rsidRDefault="00921922" w:rsidP="00603215">
            <w:pPr>
              <w:pStyle w:val="DHHStabletext"/>
            </w:pPr>
            <w:r w:rsidRPr="0098470E">
              <w:t>Calculating performance</w:t>
            </w:r>
          </w:p>
        </w:tc>
        <w:tc>
          <w:tcPr>
            <w:tcW w:w="6628" w:type="dxa"/>
            <w:hideMark/>
          </w:tcPr>
          <w:p w14:paraId="4EC5A924" w14:textId="77777777" w:rsidR="00921922" w:rsidRPr="0098470E" w:rsidRDefault="00921922" w:rsidP="00603215">
            <w:pPr>
              <w:pStyle w:val="DHHStabletext"/>
            </w:pPr>
            <w:r w:rsidRPr="0098470E">
              <w:t>This indicator applies to adult patients who are in VF/VT on EMS arrival for whom resuscitation is commenced by EMS or patients defibrillated by PAD.</w:t>
            </w:r>
          </w:p>
          <w:p w14:paraId="0FF69C34" w14:textId="77777777" w:rsidR="00921922" w:rsidRPr="0098470E" w:rsidRDefault="00921922" w:rsidP="00603215">
            <w:pPr>
              <w:pStyle w:val="DHHStabletext"/>
            </w:pPr>
            <w:r w:rsidRPr="0098470E">
              <w:t>Excludes cardiac arrests witnessed by EMS and patients where vital signs at hospital are unknown.</w:t>
            </w:r>
          </w:p>
          <w:p w14:paraId="02D32D5E" w14:textId="77777777" w:rsidR="00921922" w:rsidRPr="0098470E" w:rsidRDefault="00921922" w:rsidP="00603215">
            <w:pPr>
              <w:pStyle w:val="DHHStabletext"/>
            </w:pPr>
            <w:r w:rsidRPr="0098470E">
              <w:t>This indicator is expressed as a percentage to one decimal place.</w:t>
            </w:r>
          </w:p>
        </w:tc>
      </w:tr>
      <w:tr w:rsidR="00921922" w:rsidRPr="0098470E" w14:paraId="3C19D67F" w14:textId="77777777" w:rsidTr="00F12615">
        <w:trPr>
          <w:cantSplit/>
        </w:trPr>
        <w:tc>
          <w:tcPr>
            <w:tcW w:w="2671" w:type="dxa"/>
            <w:hideMark/>
          </w:tcPr>
          <w:p w14:paraId="210AC24F" w14:textId="77777777" w:rsidR="00921922" w:rsidRPr="0098470E" w:rsidRDefault="00921922" w:rsidP="00603215">
            <w:pPr>
              <w:pStyle w:val="DHHStabletext"/>
            </w:pPr>
            <w:r w:rsidRPr="0098470E">
              <w:t>Numerator</w:t>
            </w:r>
          </w:p>
        </w:tc>
        <w:tc>
          <w:tcPr>
            <w:tcW w:w="6628" w:type="dxa"/>
            <w:hideMark/>
          </w:tcPr>
          <w:p w14:paraId="34CD1E8D" w14:textId="275AF66A" w:rsidR="00921922" w:rsidRPr="0098470E" w:rsidRDefault="00921922" w:rsidP="00603215">
            <w:pPr>
              <w:pStyle w:val="DHHStabletext"/>
            </w:pPr>
            <w:r w:rsidRPr="0098470E">
              <w:t>The number of adult VF/VT cardiac arrest patients with a palpable pulse on arrival at hospital</w:t>
            </w:r>
            <w:r w:rsidR="00EB074F">
              <w:t>.</w:t>
            </w:r>
            <w:r w:rsidRPr="0098470E">
              <w:t xml:space="preserve"> </w:t>
            </w:r>
          </w:p>
        </w:tc>
      </w:tr>
      <w:tr w:rsidR="00921922" w:rsidRPr="0098470E" w14:paraId="29AAF453" w14:textId="77777777" w:rsidTr="00F12615">
        <w:trPr>
          <w:cantSplit/>
        </w:trPr>
        <w:tc>
          <w:tcPr>
            <w:tcW w:w="2671" w:type="dxa"/>
            <w:hideMark/>
          </w:tcPr>
          <w:p w14:paraId="4646A6B8" w14:textId="77777777" w:rsidR="00921922" w:rsidRPr="0098470E" w:rsidRDefault="00921922" w:rsidP="00603215">
            <w:pPr>
              <w:pStyle w:val="DHHStabletext"/>
            </w:pPr>
            <w:r w:rsidRPr="0098470E">
              <w:t>Denominator</w:t>
            </w:r>
          </w:p>
        </w:tc>
        <w:tc>
          <w:tcPr>
            <w:tcW w:w="6628" w:type="dxa"/>
            <w:hideMark/>
          </w:tcPr>
          <w:p w14:paraId="1F76BFDB" w14:textId="3B0D14B7" w:rsidR="00921922" w:rsidRPr="0098470E" w:rsidRDefault="00921922" w:rsidP="00603215">
            <w:pPr>
              <w:pStyle w:val="DHHStabletext"/>
            </w:pPr>
            <w:r w:rsidRPr="0098470E">
              <w:t>The total number of adult VF/VT cardiac arrest patients meeting the criteria</w:t>
            </w:r>
            <w:r w:rsidR="00EB074F">
              <w:t>.</w:t>
            </w:r>
            <w:r w:rsidRPr="0098470E">
              <w:t xml:space="preserve"> </w:t>
            </w:r>
          </w:p>
        </w:tc>
      </w:tr>
      <w:tr w:rsidR="00921922" w:rsidRPr="0098470E" w14:paraId="74192D07" w14:textId="77777777" w:rsidTr="00F12615">
        <w:trPr>
          <w:cantSplit/>
        </w:trPr>
        <w:tc>
          <w:tcPr>
            <w:tcW w:w="2671" w:type="dxa"/>
            <w:hideMark/>
          </w:tcPr>
          <w:p w14:paraId="1E6BDDBC" w14:textId="77777777" w:rsidR="00921922" w:rsidRPr="0098470E" w:rsidRDefault="00921922" w:rsidP="00603215">
            <w:pPr>
              <w:pStyle w:val="DHHStabletext"/>
            </w:pPr>
            <w:r w:rsidRPr="0098470E">
              <w:t>Statewide target</w:t>
            </w:r>
          </w:p>
        </w:tc>
        <w:tc>
          <w:tcPr>
            <w:tcW w:w="6628" w:type="dxa"/>
            <w:hideMark/>
          </w:tcPr>
          <w:p w14:paraId="2B263703" w14:textId="77777777" w:rsidR="00921922" w:rsidRPr="0098470E" w:rsidRDefault="00921922" w:rsidP="00603215">
            <w:pPr>
              <w:pStyle w:val="DHHStabletext"/>
            </w:pPr>
            <w:r w:rsidRPr="0098470E">
              <w:t>50%</w:t>
            </w:r>
          </w:p>
        </w:tc>
      </w:tr>
      <w:tr w:rsidR="00E90723" w:rsidRPr="0098470E" w14:paraId="7C612E6C" w14:textId="77777777" w:rsidTr="00E90723">
        <w:trPr>
          <w:cantSplit/>
        </w:trPr>
        <w:tc>
          <w:tcPr>
            <w:tcW w:w="2671" w:type="dxa"/>
            <w:hideMark/>
          </w:tcPr>
          <w:p w14:paraId="04E15591" w14:textId="77777777" w:rsidR="00E90723" w:rsidRPr="0098470E" w:rsidRDefault="00E90723" w:rsidP="00603215">
            <w:pPr>
              <w:pStyle w:val="DHHStabletext"/>
            </w:pPr>
            <w:r w:rsidRPr="0098470E">
              <w:t>Achievement</w:t>
            </w:r>
          </w:p>
        </w:tc>
        <w:tc>
          <w:tcPr>
            <w:tcW w:w="6628" w:type="dxa"/>
            <w:hideMark/>
          </w:tcPr>
          <w:p w14:paraId="066EEF2C" w14:textId="6A28DA5A" w:rsidR="00E90723" w:rsidRPr="0098470E" w:rsidRDefault="00E90723" w:rsidP="00E90723">
            <w:pPr>
              <w:pStyle w:val="DHHStabletext92mmtab"/>
            </w:pPr>
            <w:r w:rsidRPr="0098470E">
              <w:t>Equal to or greater than 50%</w:t>
            </w:r>
            <w:r>
              <w:tab/>
              <w:t>Achieved</w:t>
            </w:r>
          </w:p>
          <w:p w14:paraId="2C05FA54" w14:textId="074D6C7F" w:rsidR="00E90723" w:rsidRPr="0098470E" w:rsidRDefault="00E90723" w:rsidP="00E90723">
            <w:pPr>
              <w:pStyle w:val="DHHStabletext92mmtab"/>
            </w:pPr>
            <w:r w:rsidRPr="0098470E">
              <w:t>Less than 50%</w:t>
            </w:r>
            <w:r>
              <w:tab/>
              <w:t>Not achieved</w:t>
            </w:r>
          </w:p>
        </w:tc>
      </w:tr>
      <w:tr w:rsidR="00921922" w:rsidRPr="0098470E" w14:paraId="5A396679" w14:textId="77777777" w:rsidTr="00F12615">
        <w:trPr>
          <w:cantSplit/>
        </w:trPr>
        <w:tc>
          <w:tcPr>
            <w:tcW w:w="2671" w:type="dxa"/>
          </w:tcPr>
          <w:p w14:paraId="6ABF71E0" w14:textId="77777777" w:rsidR="00921922" w:rsidRPr="0098470E" w:rsidRDefault="00921922" w:rsidP="00603215">
            <w:pPr>
              <w:pStyle w:val="DHHStabletext"/>
            </w:pPr>
            <w:r>
              <w:t>Improvement</w:t>
            </w:r>
          </w:p>
        </w:tc>
        <w:tc>
          <w:tcPr>
            <w:tcW w:w="6628" w:type="dxa"/>
          </w:tcPr>
          <w:p w14:paraId="4D809DFA" w14:textId="77777777" w:rsidR="00921922" w:rsidRPr="0098470E" w:rsidRDefault="00921922" w:rsidP="00603215">
            <w:pPr>
              <w:pStyle w:val="DHHStabletext"/>
            </w:pPr>
            <w:r w:rsidRPr="0098470E">
              <w:t>Improvement is compared to previous quarter performance.</w:t>
            </w:r>
          </w:p>
        </w:tc>
      </w:tr>
      <w:tr w:rsidR="00921922" w:rsidRPr="0098470E" w14:paraId="2B495CC5" w14:textId="77777777" w:rsidTr="00F12615">
        <w:trPr>
          <w:cantSplit/>
        </w:trPr>
        <w:tc>
          <w:tcPr>
            <w:tcW w:w="2671" w:type="dxa"/>
            <w:hideMark/>
          </w:tcPr>
          <w:p w14:paraId="671D03F3" w14:textId="77777777" w:rsidR="00921922" w:rsidRPr="0098470E" w:rsidRDefault="00921922" w:rsidP="00603215">
            <w:pPr>
              <w:pStyle w:val="DHHStabletext"/>
            </w:pPr>
            <w:r w:rsidRPr="0098470E">
              <w:t>Frequency of reporting and data collection</w:t>
            </w:r>
          </w:p>
        </w:tc>
        <w:tc>
          <w:tcPr>
            <w:tcW w:w="6628" w:type="dxa"/>
            <w:hideMark/>
          </w:tcPr>
          <w:p w14:paraId="5F2D72DE" w14:textId="0BBA9F90" w:rsidR="00921922" w:rsidRPr="0098470E" w:rsidRDefault="00921922" w:rsidP="00603215">
            <w:pPr>
              <w:pStyle w:val="DHHStabletext"/>
            </w:pPr>
            <w:r w:rsidRPr="0098470E">
              <w:t>Performance is monitored quarterly using 12</w:t>
            </w:r>
            <w:r w:rsidR="00EB074F">
              <w:t xml:space="preserve"> </w:t>
            </w:r>
            <w:r w:rsidRPr="0098470E">
              <w:t>months rolling percentages due to small sample sizes.</w:t>
            </w:r>
          </w:p>
          <w:p w14:paraId="6D9C9692" w14:textId="77777777" w:rsidR="00921922" w:rsidRPr="0098470E" w:rsidRDefault="00921922" w:rsidP="00603215">
            <w:pPr>
              <w:pStyle w:val="DHHStabletext"/>
            </w:pPr>
            <w:r w:rsidRPr="0098470E">
              <w:t>Data is submitted to the department quarterly from Ambulance Victoria.</w:t>
            </w:r>
          </w:p>
        </w:tc>
      </w:tr>
    </w:tbl>
    <w:p w14:paraId="51769A50" w14:textId="37A8D5D6" w:rsidR="00F12615" w:rsidRPr="00961723" w:rsidRDefault="00F12615" w:rsidP="00F12615">
      <w:pPr>
        <w:pStyle w:val="DHHStablecaption"/>
      </w:pPr>
      <w:r>
        <w:lastRenderedPageBreak/>
        <w:t xml:space="preserve">Indicator: </w:t>
      </w:r>
      <w:r w:rsidR="00101E11" w:rsidRPr="0064437D">
        <w:t>Percentage of adult cardiac arrest patients surviving to hospital</w:t>
      </w:r>
    </w:p>
    <w:tbl>
      <w:tblPr>
        <w:tblStyle w:val="TableGrid"/>
        <w:tblW w:w="9299" w:type="dxa"/>
        <w:tblLook w:val="06A0" w:firstRow="1" w:lastRow="0" w:firstColumn="1" w:lastColumn="0" w:noHBand="1" w:noVBand="1"/>
      </w:tblPr>
      <w:tblGrid>
        <w:gridCol w:w="2699"/>
        <w:gridCol w:w="6600"/>
      </w:tblGrid>
      <w:tr w:rsidR="00D97737" w:rsidRPr="0098470E" w14:paraId="7F29DF8A"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699" w:type="dxa"/>
          </w:tcPr>
          <w:p w14:paraId="0BF533E8" w14:textId="12C41316" w:rsidR="00D97737" w:rsidRPr="0064437D" w:rsidRDefault="00D97737" w:rsidP="00D97737">
            <w:pPr>
              <w:pStyle w:val="DHHStablecolhead"/>
            </w:pPr>
            <w:r>
              <w:t>Element</w:t>
            </w:r>
          </w:p>
        </w:tc>
        <w:tc>
          <w:tcPr>
            <w:tcW w:w="6600" w:type="dxa"/>
          </w:tcPr>
          <w:p w14:paraId="58D504E6" w14:textId="7B49752F" w:rsidR="00D97737" w:rsidRPr="0064437D" w:rsidRDefault="00D97737" w:rsidP="00D97737">
            <w:pPr>
              <w:pStyle w:val="DHHStablecolhead"/>
            </w:pPr>
            <w:r>
              <w:t>Details</w:t>
            </w:r>
          </w:p>
        </w:tc>
      </w:tr>
      <w:tr w:rsidR="00921922" w:rsidRPr="0098470E" w14:paraId="4A59660F" w14:textId="77777777" w:rsidTr="00F12615">
        <w:trPr>
          <w:cantSplit/>
        </w:trPr>
        <w:tc>
          <w:tcPr>
            <w:tcW w:w="2699" w:type="dxa"/>
            <w:hideMark/>
          </w:tcPr>
          <w:p w14:paraId="0471B83C" w14:textId="77777777" w:rsidR="00921922" w:rsidRPr="0098470E" w:rsidRDefault="00921922" w:rsidP="00603215">
            <w:pPr>
              <w:pStyle w:val="DHHStabletext"/>
            </w:pPr>
            <w:r w:rsidRPr="0098470E">
              <w:t>Description</w:t>
            </w:r>
          </w:p>
        </w:tc>
        <w:tc>
          <w:tcPr>
            <w:tcW w:w="6600" w:type="dxa"/>
            <w:hideMark/>
          </w:tcPr>
          <w:p w14:paraId="19B57618" w14:textId="77777777" w:rsidR="00921922" w:rsidRDefault="00921922" w:rsidP="00603215">
            <w:pPr>
              <w:pStyle w:val="DHHStabletext"/>
            </w:pPr>
            <w:r w:rsidRPr="0098470E">
              <w:t xml:space="preserve">Cardiac arrest survival </w:t>
            </w:r>
            <w:r>
              <w:t xml:space="preserve">is </w:t>
            </w:r>
            <w:r w:rsidRPr="0098470E">
              <w:t>strong</w:t>
            </w:r>
            <w:r>
              <w:t xml:space="preserve">ly impacted by </w:t>
            </w:r>
            <w:r w:rsidRPr="0098470E">
              <w:t>Emergency Medical Services (EMS) response time</w:t>
            </w:r>
            <w:r>
              <w:t>s</w:t>
            </w:r>
            <w:r w:rsidRPr="0098470E">
              <w:t>, clinical interventions and treatments.</w:t>
            </w:r>
          </w:p>
          <w:p w14:paraId="61803535" w14:textId="77777777" w:rsidR="00921922" w:rsidRPr="0098470E" w:rsidRDefault="00921922" w:rsidP="00603215">
            <w:pPr>
              <w:pStyle w:val="DHHStabletext"/>
            </w:pPr>
            <w:r w:rsidRPr="0098470E">
              <w:t>Data is collected and reported according to the internationally recognised Utstein template. The Victorian Ambulance Cardiac Arrest Registry captures data on all out-of-hospital cardiac arrest patients attended by EMS in Victoria.</w:t>
            </w:r>
          </w:p>
          <w:p w14:paraId="0E861ED4" w14:textId="77777777" w:rsidR="00921922" w:rsidRPr="0098470E" w:rsidRDefault="00921922" w:rsidP="00603215">
            <w:pPr>
              <w:pStyle w:val="DHHStabletext"/>
            </w:pPr>
            <w:r w:rsidRPr="0098470E">
              <w:t>This indicator applies to adult patients (15 years or older) who were in ventricular fibrillation or pulseless ventricular tachycardia (VF/VT) on EMS arrival for whom resuscitation was commenced by EMS or who were defibrillated via public access defibrillator (PAD).</w:t>
            </w:r>
          </w:p>
        </w:tc>
      </w:tr>
      <w:tr w:rsidR="00921922" w:rsidRPr="0098470E" w14:paraId="1B795D35" w14:textId="77777777" w:rsidTr="00F12615">
        <w:trPr>
          <w:cantSplit/>
        </w:trPr>
        <w:tc>
          <w:tcPr>
            <w:tcW w:w="2699" w:type="dxa"/>
            <w:hideMark/>
          </w:tcPr>
          <w:p w14:paraId="62AD2C62" w14:textId="77777777" w:rsidR="00921922" w:rsidRPr="0098470E" w:rsidRDefault="00921922" w:rsidP="00603215">
            <w:pPr>
              <w:pStyle w:val="DHHStabletext"/>
            </w:pPr>
            <w:r w:rsidRPr="0098470E">
              <w:t>Calculating performance</w:t>
            </w:r>
          </w:p>
        </w:tc>
        <w:tc>
          <w:tcPr>
            <w:tcW w:w="6600" w:type="dxa"/>
            <w:hideMark/>
          </w:tcPr>
          <w:p w14:paraId="288C8AC3" w14:textId="77777777" w:rsidR="00921922" w:rsidRPr="0098470E" w:rsidRDefault="00921922" w:rsidP="00603215">
            <w:pPr>
              <w:pStyle w:val="DHHStabletext"/>
            </w:pPr>
            <w:r w:rsidRPr="0098470E">
              <w:t>This indicator applies to adult patients who were in VF/VT on EMS arrival for whom resuscitation was commenced by EMS or patients defibrillated by PAD.</w:t>
            </w:r>
          </w:p>
          <w:p w14:paraId="32B4288B" w14:textId="77777777" w:rsidR="00921922" w:rsidRPr="0098470E" w:rsidRDefault="00921922" w:rsidP="00603215">
            <w:pPr>
              <w:pStyle w:val="DHHStabletext"/>
            </w:pPr>
            <w:r w:rsidRPr="0098470E">
              <w:t>Excludes cardiac arrests witnessed by EMS and patients where discharge status is unknown.</w:t>
            </w:r>
          </w:p>
          <w:p w14:paraId="44841DD5" w14:textId="77777777" w:rsidR="00921922" w:rsidRPr="0098470E" w:rsidRDefault="00921922" w:rsidP="00603215">
            <w:pPr>
              <w:pStyle w:val="DHHStabletext"/>
            </w:pPr>
            <w:r w:rsidRPr="0098470E">
              <w:t>This indicator is expressed as a percentage to one decimal place.</w:t>
            </w:r>
          </w:p>
        </w:tc>
      </w:tr>
      <w:tr w:rsidR="00921922" w:rsidRPr="0098470E" w14:paraId="506E2B3F" w14:textId="77777777" w:rsidTr="00F12615">
        <w:trPr>
          <w:cantSplit/>
        </w:trPr>
        <w:tc>
          <w:tcPr>
            <w:tcW w:w="2699" w:type="dxa"/>
            <w:hideMark/>
          </w:tcPr>
          <w:p w14:paraId="19F97227" w14:textId="77777777" w:rsidR="00921922" w:rsidRPr="0098470E" w:rsidRDefault="00921922" w:rsidP="00603215">
            <w:pPr>
              <w:pStyle w:val="DHHStabletext"/>
            </w:pPr>
            <w:r w:rsidRPr="0098470E">
              <w:t>Numerator</w:t>
            </w:r>
          </w:p>
        </w:tc>
        <w:tc>
          <w:tcPr>
            <w:tcW w:w="6600" w:type="dxa"/>
            <w:hideMark/>
          </w:tcPr>
          <w:p w14:paraId="119D08FA" w14:textId="1943B7F8" w:rsidR="00921922" w:rsidRPr="0098470E" w:rsidRDefault="00921922" w:rsidP="00603215">
            <w:pPr>
              <w:pStyle w:val="DHHStabletext"/>
            </w:pPr>
            <w:r w:rsidRPr="0098470E">
              <w:t>The number of adult VF/VT cardiac arrest patients discharged alive from hospital</w:t>
            </w:r>
            <w:r w:rsidR="000B24BD">
              <w:t>.</w:t>
            </w:r>
          </w:p>
        </w:tc>
      </w:tr>
      <w:tr w:rsidR="00921922" w:rsidRPr="0098470E" w14:paraId="55874A9B" w14:textId="77777777" w:rsidTr="00F12615">
        <w:trPr>
          <w:cantSplit/>
        </w:trPr>
        <w:tc>
          <w:tcPr>
            <w:tcW w:w="2699" w:type="dxa"/>
            <w:hideMark/>
          </w:tcPr>
          <w:p w14:paraId="2D7DF438" w14:textId="77777777" w:rsidR="00921922" w:rsidRPr="0098470E" w:rsidRDefault="00921922" w:rsidP="00603215">
            <w:pPr>
              <w:pStyle w:val="DHHStabletext"/>
            </w:pPr>
            <w:r w:rsidRPr="0098470E">
              <w:t>Denominator</w:t>
            </w:r>
          </w:p>
        </w:tc>
        <w:tc>
          <w:tcPr>
            <w:tcW w:w="6600" w:type="dxa"/>
            <w:hideMark/>
          </w:tcPr>
          <w:p w14:paraId="540EC423" w14:textId="55F558CB" w:rsidR="00921922" w:rsidRPr="0098470E" w:rsidRDefault="00921922" w:rsidP="00603215">
            <w:pPr>
              <w:pStyle w:val="DHHStabletext"/>
            </w:pPr>
            <w:r w:rsidRPr="0098470E">
              <w:t>The total number of adult VF/VT cardiac arrest patients meeting the criteria</w:t>
            </w:r>
            <w:r w:rsidR="000B24BD">
              <w:t>.</w:t>
            </w:r>
          </w:p>
        </w:tc>
      </w:tr>
      <w:tr w:rsidR="00921922" w:rsidRPr="0098470E" w14:paraId="20EA851B" w14:textId="77777777" w:rsidTr="00F12615">
        <w:trPr>
          <w:cantSplit/>
        </w:trPr>
        <w:tc>
          <w:tcPr>
            <w:tcW w:w="2699" w:type="dxa"/>
            <w:hideMark/>
          </w:tcPr>
          <w:p w14:paraId="4245F89F" w14:textId="77777777" w:rsidR="00921922" w:rsidRPr="0098470E" w:rsidRDefault="00921922" w:rsidP="00603215">
            <w:pPr>
              <w:pStyle w:val="DHHStabletext"/>
            </w:pPr>
            <w:r w:rsidRPr="0098470E">
              <w:t>Statewide target</w:t>
            </w:r>
          </w:p>
        </w:tc>
        <w:tc>
          <w:tcPr>
            <w:tcW w:w="6600" w:type="dxa"/>
            <w:hideMark/>
          </w:tcPr>
          <w:p w14:paraId="115FBD36" w14:textId="77777777" w:rsidR="00921922" w:rsidRPr="0098470E" w:rsidRDefault="00921922" w:rsidP="00603215">
            <w:pPr>
              <w:pStyle w:val="DHHStabletext"/>
            </w:pPr>
            <w:r w:rsidRPr="0098470E">
              <w:t xml:space="preserve">25% </w:t>
            </w:r>
          </w:p>
        </w:tc>
      </w:tr>
      <w:tr w:rsidR="00E90723" w:rsidRPr="0098470E" w14:paraId="0411B70F" w14:textId="77777777" w:rsidTr="00E90723">
        <w:trPr>
          <w:cantSplit/>
        </w:trPr>
        <w:tc>
          <w:tcPr>
            <w:tcW w:w="2699" w:type="dxa"/>
            <w:hideMark/>
          </w:tcPr>
          <w:p w14:paraId="60011108" w14:textId="77777777" w:rsidR="00E90723" w:rsidRPr="0098470E" w:rsidRDefault="00E90723" w:rsidP="00603215">
            <w:pPr>
              <w:pStyle w:val="DHHStabletext"/>
            </w:pPr>
            <w:r w:rsidRPr="0098470E">
              <w:t>Achievement</w:t>
            </w:r>
          </w:p>
        </w:tc>
        <w:tc>
          <w:tcPr>
            <w:tcW w:w="6600" w:type="dxa"/>
            <w:hideMark/>
          </w:tcPr>
          <w:p w14:paraId="57078970" w14:textId="16794F44" w:rsidR="00E90723" w:rsidRPr="0098470E" w:rsidRDefault="00E90723" w:rsidP="00E90723">
            <w:pPr>
              <w:pStyle w:val="DHHStabletext92mmtab"/>
            </w:pPr>
            <w:r w:rsidRPr="0098470E">
              <w:t>Equal to or greater than 25%</w:t>
            </w:r>
            <w:r>
              <w:tab/>
              <w:t>Achieved</w:t>
            </w:r>
          </w:p>
          <w:p w14:paraId="61E75E18" w14:textId="7E52CB6E" w:rsidR="00E90723" w:rsidRPr="0098470E" w:rsidRDefault="00E90723" w:rsidP="00E90723">
            <w:pPr>
              <w:pStyle w:val="DHHStabletext92mmtab"/>
            </w:pPr>
            <w:r w:rsidRPr="0098470E">
              <w:t>Less than 25%</w:t>
            </w:r>
            <w:r>
              <w:tab/>
              <w:t>Not achieved</w:t>
            </w:r>
          </w:p>
        </w:tc>
      </w:tr>
      <w:tr w:rsidR="00921922" w:rsidRPr="0098470E" w14:paraId="252E0E0B" w14:textId="77777777" w:rsidTr="00F12615">
        <w:trPr>
          <w:cantSplit/>
        </w:trPr>
        <w:tc>
          <w:tcPr>
            <w:tcW w:w="2699" w:type="dxa"/>
          </w:tcPr>
          <w:p w14:paraId="2878742F" w14:textId="77777777" w:rsidR="00921922" w:rsidRPr="0098470E" w:rsidRDefault="00921922" w:rsidP="00603215">
            <w:pPr>
              <w:pStyle w:val="DHHStabletext"/>
            </w:pPr>
            <w:r>
              <w:t>Improvement</w:t>
            </w:r>
          </w:p>
        </w:tc>
        <w:tc>
          <w:tcPr>
            <w:tcW w:w="6600" w:type="dxa"/>
          </w:tcPr>
          <w:p w14:paraId="300E06F7" w14:textId="77777777" w:rsidR="00921922" w:rsidRPr="0098470E" w:rsidRDefault="00921922" w:rsidP="00603215">
            <w:pPr>
              <w:pStyle w:val="DHHStabletext"/>
            </w:pPr>
            <w:r w:rsidRPr="0098470E">
              <w:t>Improvement is compared to previous quarter performance.</w:t>
            </w:r>
          </w:p>
        </w:tc>
      </w:tr>
      <w:tr w:rsidR="00921922" w:rsidRPr="0098470E" w14:paraId="479501D0" w14:textId="77777777" w:rsidTr="00F12615">
        <w:trPr>
          <w:cantSplit/>
        </w:trPr>
        <w:tc>
          <w:tcPr>
            <w:tcW w:w="2699" w:type="dxa"/>
            <w:hideMark/>
          </w:tcPr>
          <w:p w14:paraId="72DD8D71" w14:textId="77777777" w:rsidR="00921922" w:rsidRPr="0098470E" w:rsidRDefault="00921922" w:rsidP="00603215">
            <w:pPr>
              <w:pStyle w:val="DHHStabletext"/>
            </w:pPr>
            <w:r w:rsidRPr="0098470E">
              <w:t>Frequency of reporting and data collection</w:t>
            </w:r>
          </w:p>
        </w:tc>
        <w:tc>
          <w:tcPr>
            <w:tcW w:w="6600" w:type="dxa"/>
            <w:hideMark/>
          </w:tcPr>
          <w:p w14:paraId="388812E6" w14:textId="11880A0B" w:rsidR="00921922" w:rsidRPr="0098470E" w:rsidRDefault="00921922" w:rsidP="00603215">
            <w:pPr>
              <w:pStyle w:val="DHHStabletext"/>
            </w:pPr>
            <w:r w:rsidRPr="0098470E">
              <w:t>Performance is monitored quarterly using 12</w:t>
            </w:r>
            <w:r w:rsidR="000B24BD">
              <w:t xml:space="preserve"> </w:t>
            </w:r>
            <w:r w:rsidRPr="0098470E">
              <w:t>month rolling percentages.</w:t>
            </w:r>
          </w:p>
          <w:p w14:paraId="5749DC4B" w14:textId="77777777" w:rsidR="00921922" w:rsidRPr="0098470E" w:rsidRDefault="00921922" w:rsidP="00603215">
            <w:pPr>
              <w:pStyle w:val="DHHStabletext"/>
            </w:pPr>
            <w:r w:rsidRPr="0098470E">
              <w:t>Data is submitted to the department quarterly from Ambulance Victoria.</w:t>
            </w:r>
          </w:p>
        </w:tc>
      </w:tr>
    </w:tbl>
    <w:p w14:paraId="403E1366" w14:textId="77777777" w:rsidR="00DC5C1B" w:rsidRPr="00B3402A" w:rsidRDefault="00DC5C1B" w:rsidP="00B3402A">
      <w:pPr>
        <w:pStyle w:val="DHHSbody"/>
      </w:pPr>
      <w:bookmarkStart w:id="86" w:name="_Toc453325224"/>
      <w:bookmarkStart w:id="87" w:name="_Toc456342108"/>
      <w:bookmarkStart w:id="88" w:name="_Toc516827359"/>
      <w:bookmarkStart w:id="89" w:name="_Toc517959137"/>
      <w:bookmarkStart w:id="90" w:name="_Toc453325225"/>
      <w:bookmarkStart w:id="91" w:name="_Toc456342109"/>
      <w:r w:rsidRPr="00B3402A">
        <w:br w:type="page"/>
      </w:r>
    </w:p>
    <w:p w14:paraId="3A7356DD" w14:textId="4CA710D8" w:rsidR="00921922" w:rsidRPr="0098470E" w:rsidRDefault="00921922" w:rsidP="00330A94">
      <w:pPr>
        <w:pStyle w:val="Heading3"/>
      </w:pPr>
      <w:bookmarkStart w:id="92" w:name="_Toc15580092"/>
      <w:r>
        <w:lastRenderedPageBreak/>
        <w:t>Strong g</w:t>
      </w:r>
      <w:r w:rsidRPr="0098470E">
        <w:t>overnance, leadership</w:t>
      </w:r>
      <w:bookmarkEnd w:id="86"/>
      <w:bookmarkEnd w:id="87"/>
      <w:r w:rsidRPr="0098470E">
        <w:t xml:space="preserve"> and culture</w:t>
      </w:r>
      <w:bookmarkEnd w:id="88"/>
      <w:bookmarkEnd w:id="89"/>
      <w:bookmarkEnd w:id="92"/>
    </w:p>
    <w:p w14:paraId="5D359D87" w14:textId="17B9AED0" w:rsidR="00F12615" w:rsidRPr="00F12615" w:rsidRDefault="00921922" w:rsidP="00101E11">
      <w:pPr>
        <w:pStyle w:val="Heading4"/>
      </w:pPr>
      <w:bookmarkStart w:id="93" w:name="_Toc517959138"/>
      <w:bookmarkStart w:id="94" w:name="_Toc15580093"/>
      <w:r w:rsidRPr="0098470E">
        <w:t>Organisational culture</w:t>
      </w:r>
      <w:bookmarkEnd w:id="93"/>
      <w:bookmarkEnd w:id="94"/>
    </w:p>
    <w:tbl>
      <w:tblPr>
        <w:tblStyle w:val="TableGrid"/>
        <w:tblW w:w="9300" w:type="dxa"/>
        <w:tblLayout w:type="fixed"/>
        <w:tblLook w:val="06A0" w:firstRow="1" w:lastRow="0" w:firstColumn="1" w:lastColumn="0" w:noHBand="1" w:noVBand="1"/>
      </w:tblPr>
      <w:tblGrid>
        <w:gridCol w:w="2694"/>
        <w:gridCol w:w="6606"/>
      </w:tblGrid>
      <w:tr w:rsidR="00101E11" w:rsidRPr="0098470E" w14:paraId="593EC25D" w14:textId="77777777" w:rsidTr="00101E11">
        <w:trPr>
          <w:cnfStyle w:val="100000000000" w:firstRow="1" w:lastRow="0" w:firstColumn="0" w:lastColumn="0" w:oddVBand="0" w:evenVBand="0" w:oddHBand="0" w:evenHBand="0" w:firstRowFirstColumn="0" w:firstRowLastColumn="0" w:lastRowFirstColumn="0" w:lastRowLastColumn="0"/>
          <w:cantSplit/>
          <w:tblHeader/>
        </w:trPr>
        <w:tc>
          <w:tcPr>
            <w:tcW w:w="2694" w:type="dxa"/>
          </w:tcPr>
          <w:p w14:paraId="30CF4E57" w14:textId="7B5B06A5" w:rsidR="00101E11" w:rsidRPr="0098470E" w:rsidRDefault="00101E11" w:rsidP="00101E11">
            <w:pPr>
              <w:pStyle w:val="DHHStablecolhead"/>
            </w:pPr>
            <w:r>
              <w:t>Element</w:t>
            </w:r>
          </w:p>
        </w:tc>
        <w:tc>
          <w:tcPr>
            <w:tcW w:w="6606" w:type="dxa"/>
          </w:tcPr>
          <w:p w14:paraId="1BFD2345" w14:textId="1AE442A5" w:rsidR="00101E11" w:rsidRPr="0098470E" w:rsidRDefault="00101E11" w:rsidP="00101E11">
            <w:pPr>
              <w:pStyle w:val="DHHStablecolhead"/>
            </w:pPr>
            <w:r>
              <w:t>Details</w:t>
            </w:r>
          </w:p>
        </w:tc>
      </w:tr>
      <w:tr w:rsidR="00921922" w:rsidRPr="0098470E" w14:paraId="71B4A816" w14:textId="77777777" w:rsidTr="00101E11">
        <w:trPr>
          <w:cantSplit/>
        </w:trPr>
        <w:tc>
          <w:tcPr>
            <w:tcW w:w="2694" w:type="dxa"/>
            <w:hideMark/>
          </w:tcPr>
          <w:p w14:paraId="01902796" w14:textId="77777777" w:rsidR="00921922" w:rsidRPr="0098470E" w:rsidRDefault="00921922" w:rsidP="00603215">
            <w:pPr>
              <w:pStyle w:val="DHHStabletext"/>
            </w:pPr>
            <w:r w:rsidRPr="0098470E">
              <w:t>Description</w:t>
            </w:r>
          </w:p>
        </w:tc>
        <w:tc>
          <w:tcPr>
            <w:tcW w:w="6606" w:type="dxa"/>
            <w:hideMark/>
          </w:tcPr>
          <w:p w14:paraId="124B6077" w14:textId="77777777" w:rsidR="00921922" w:rsidRDefault="00921922" w:rsidP="00603215">
            <w:pPr>
              <w:pStyle w:val="DHHStabletext"/>
            </w:pPr>
            <w:r w:rsidRPr="0098470E">
              <w:t xml:space="preserve">Organisational culture can significantly influence patient safety through its impact on effective communication, collaboration and engagement across the health service. Poor safety cultures have been identified </w:t>
            </w:r>
            <w:r>
              <w:t xml:space="preserve">internationally </w:t>
            </w:r>
            <w:r w:rsidRPr="0098470E">
              <w:t>as recurring features of serious failings in care.</w:t>
            </w:r>
          </w:p>
          <w:p w14:paraId="70C066D5" w14:textId="2AF5FA59" w:rsidR="00921922" w:rsidRPr="0098470E" w:rsidRDefault="00921922" w:rsidP="00603215">
            <w:pPr>
              <w:pStyle w:val="DHHStabletext"/>
            </w:pPr>
            <w:r w:rsidRPr="0098470E">
              <w:t xml:space="preserve">Organisational culture surveys (such as the People Matter </w:t>
            </w:r>
            <w:r w:rsidR="00610869">
              <w:t>S</w:t>
            </w:r>
            <w:r w:rsidRPr="0098470E">
              <w:t>urvey) offer an independent mechanism of assessing staff</w:t>
            </w:r>
            <w:r>
              <w:t>’</w:t>
            </w:r>
            <w:r w:rsidRPr="0098470E">
              <w:t>s anonymous perception of safety within the organisation.</w:t>
            </w:r>
          </w:p>
          <w:p w14:paraId="2035E82A" w14:textId="61B727C6" w:rsidR="00921922" w:rsidRPr="0098470E" w:rsidRDefault="00F85BC4" w:rsidP="00603215">
            <w:pPr>
              <w:pStyle w:val="DHHStabletext"/>
            </w:pPr>
            <w:r>
              <w:t>A</w:t>
            </w:r>
            <w:r w:rsidR="00921922" w:rsidRPr="0098470E">
              <w:t xml:space="preserve">ll Victorian public healthcare organisations must participate </w:t>
            </w:r>
            <w:r w:rsidR="00921922">
              <w:t xml:space="preserve">in </w:t>
            </w:r>
            <w:r w:rsidR="00921922" w:rsidRPr="0098470E">
              <w:t>the People Matter survey annually.</w:t>
            </w:r>
          </w:p>
          <w:p w14:paraId="4F1848FB" w14:textId="77777777" w:rsidR="00921922" w:rsidRPr="0098470E" w:rsidRDefault="00921922" w:rsidP="00603215">
            <w:pPr>
              <w:pStyle w:val="DHHStabletext"/>
            </w:pPr>
            <w:r w:rsidRPr="0098470E">
              <w:t>While staff participation in the survey is voluntary, low participation rates can generate misleading results or sig</w:t>
            </w:r>
            <w:r>
              <w:t xml:space="preserve">nal staff engagement concerns. </w:t>
            </w:r>
          </w:p>
        </w:tc>
      </w:tr>
      <w:tr w:rsidR="00921922" w:rsidRPr="0098470E" w14:paraId="213919E4" w14:textId="77777777" w:rsidTr="00101E11">
        <w:trPr>
          <w:cantSplit/>
        </w:trPr>
        <w:tc>
          <w:tcPr>
            <w:tcW w:w="2694" w:type="dxa"/>
            <w:hideMark/>
          </w:tcPr>
          <w:p w14:paraId="3AA14B34" w14:textId="77777777" w:rsidR="00921922" w:rsidRPr="0098470E" w:rsidRDefault="00921922" w:rsidP="00603215">
            <w:pPr>
              <w:pStyle w:val="DHHStabletext"/>
            </w:pPr>
            <w:r w:rsidRPr="0098470E">
              <w:t>Calculating performance</w:t>
            </w:r>
          </w:p>
        </w:tc>
        <w:tc>
          <w:tcPr>
            <w:tcW w:w="6606" w:type="dxa"/>
            <w:hideMark/>
          </w:tcPr>
          <w:p w14:paraId="58CEE36E" w14:textId="77777777" w:rsidR="00921922" w:rsidRPr="0098470E" w:rsidRDefault="00921922" w:rsidP="00603215">
            <w:pPr>
              <w:pStyle w:val="DHHStabletext"/>
            </w:pPr>
            <w:r w:rsidRPr="0098470E">
              <w:t>The survey includes eight questions that specifically assess health service staff perspectives about the safety culture of the organisation.</w:t>
            </w:r>
          </w:p>
          <w:p w14:paraId="13F7CF20" w14:textId="77777777" w:rsidR="00921922" w:rsidRPr="0098470E" w:rsidRDefault="00921922" w:rsidP="00603215">
            <w:pPr>
              <w:pStyle w:val="DHHStabletext"/>
            </w:pPr>
            <w:r w:rsidRPr="0098470E">
              <w:t xml:space="preserve">For the overall response measure, performance is based on a composite score of the eight safety culture agreement questions and expressed as the percentage of staff responses that either </w:t>
            </w:r>
            <w:r>
              <w:t>‘</w:t>
            </w:r>
            <w:r w:rsidRPr="0098470E">
              <w:t>agree</w:t>
            </w:r>
            <w:r>
              <w:t>’</w:t>
            </w:r>
            <w:r w:rsidRPr="0098470E">
              <w:t xml:space="preserve"> or </w:t>
            </w:r>
            <w:r>
              <w:t>‘</w:t>
            </w:r>
            <w:r w:rsidRPr="0098470E">
              <w:t>strongly agree</w:t>
            </w:r>
            <w:r>
              <w:t>’</w:t>
            </w:r>
            <w:r w:rsidRPr="0098470E">
              <w:t xml:space="preserve"> with each question.</w:t>
            </w:r>
          </w:p>
          <w:p w14:paraId="24D1C223" w14:textId="77777777" w:rsidR="00921922" w:rsidRDefault="00921922" w:rsidP="00603215">
            <w:pPr>
              <w:pStyle w:val="DHHStabletext"/>
            </w:pPr>
            <w:r w:rsidRPr="0098470E">
              <w:t xml:space="preserve">Performance against each of the eight individual safety questions is also measured by assessing the percentage of staff responses that either </w:t>
            </w:r>
            <w:r>
              <w:t>‘</w:t>
            </w:r>
            <w:r w:rsidRPr="0098470E">
              <w:t>agree</w:t>
            </w:r>
            <w:r>
              <w:t>’</w:t>
            </w:r>
            <w:r w:rsidRPr="0098470E">
              <w:t xml:space="preserve"> or </w:t>
            </w:r>
            <w:r>
              <w:t>‘</w:t>
            </w:r>
            <w:r w:rsidRPr="0098470E">
              <w:t>strongly agree</w:t>
            </w:r>
            <w:r>
              <w:t>’</w:t>
            </w:r>
            <w:r w:rsidRPr="0098470E">
              <w:t xml:space="preserve"> with each question.</w:t>
            </w:r>
          </w:p>
          <w:p w14:paraId="1E118572" w14:textId="77777777" w:rsidR="00921922" w:rsidRPr="0098470E" w:rsidRDefault="00921922" w:rsidP="00603215">
            <w:pPr>
              <w:pStyle w:val="DHHStabletext"/>
            </w:pPr>
            <w:r w:rsidRPr="0098470E">
              <w:t xml:space="preserve">Denominator excludes </w:t>
            </w:r>
            <w:r>
              <w:t>‘</w:t>
            </w:r>
            <w:r w:rsidRPr="0098470E">
              <w:t>Neither agree or disagr</w:t>
            </w:r>
            <w:r>
              <w:t>ee’ and ‘Don’t know’ responses.</w:t>
            </w:r>
          </w:p>
        </w:tc>
      </w:tr>
      <w:tr w:rsidR="00921922" w:rsidRPr="0098470E" w14:paraId="1F70DD0E" w14:textId="77777777" w:rsidTr="00101E11">
        <w:trPr>
          <w:cantSplit/>
        </w:trPr>
        <w:tc>
          <w:tcPr>
            <w:tcW w:w="2694" w:type="dxa"/>
          </w:tcPr>
          <w:p w14:paraId="26A31180" w14:textId="77777777" w:rsidR="00921922" w:rsidRPr="0098470E" w:rsidRDefault="00921922" w:rsidP="00603215">
            <w:pPr>
              <w:pStyle w:val="DHHStabletext"/>
            </w:pPr>
            <w:r>
              <w:t>Improvement</w:t>
            </w:r>
          </w:p>
        </w:tc>
        <w:tc>
          <w:tcPr>
            <w:tcW w:w="6606" w:type="dxa"/>
          </w:tcPr>
          <w:p w14:paraId="58E334E3" w14:textId="39920492" w:rsidR="00921922" w:rsidRPr="0098470E" w:rsidRDefault="00921922" w:rsidP="00603215">
            <w:pPr>
              <w:pStyle w:val="DHHStabletext"/>
            </w:pPr>
            <w:r w:rsidRPr="0098470E">
              <w:t xml:space="preserve">Improvement for any of the People Matter </w:t>
            </w:r>
            <w:r w:rsidR="007578D2">
              <w:t>S</w:t>
            </w:r>
            <w:r w:rsidRPr="0098470E">
              <w:t>urvey related measures is assessed against the previous year result.</w:t>
            </w:r>
          </w:p>
        </w:tc>
      </w:tr>
      <w:tr w:rsidR="00921922" w:rsidRPr="0098470E" w14:paraId="0C02555B" w14:textId="77777777" w:rsidTr="00101E11">
        <w:trPr>
          <w:cantSplit/>
        </w:trPr>
        <w:tc>
          <w:tcPr>
            <w:tcW w:w="2694" w:type="dxa"/>
            <w:hideMark/>
          </w:tcPr>
          <w:p w14:paraId="47DD2DD7" w14:textId="77777777" w:rsidR="00921922" w:rsidRPr="0098470E" w:rsidRDefault="00921922" w:rsidP="00603215">
            <w:pPr>
              <w:pStyle w:val="DHHStabletext"/>
            </w:pPr>
            <w:r w:rsidRPr="0098470E">
              <w:t>Frequency of reporting and data collection</w:t>
            </w:r>
          </w:p>
        </w:tc>
        <w:tc>
          <w:tcPr>
            <w:tcW w:w="6606" w:type="dxa"/>
            <w:hideMark/>
          </w:tcPr>
          <w:p w14:paraId="0B345D16" w14:textId="77777777" w:rsidR="00921922" w:rsidRDefault="00921922" w:rsidP="00603215">
            <w:pPr>
              <w:pStyle w:val="DHHStabletext"/>
            </w:pPr>
            <w:r w:rsidRPr="0098470E">
              <w:t>Performance is monitored and assessed annually.</w:t>
            </w:r>
          </w:p>
          <w:p w14:paraId="72E3CF82" w14:textId="77777777" w:rsidR="00921922" w:rsidRPr="0098470E" w:rsidRDefault="00921922" w:rsidP="00603215">
            <w:pPr>
              <w:pStyle w:val="DHHStabletext"/>
            </w:pPr>
            <w:r>
              <w:t xml:space="preserve">These indicators measure </w:t>
            </w:r>
            <w:r w:rsidRPr="0098470E">
              <w:t>performance at the health service level.</w:t>
            </w:r>
          </w:p>
          <w:p w14:paraId="289CA91C" w14:textId="77777777" w:rsidR="00921922" w:rsidRPr="0098470E" w:rsidRDefault="00921922" w:rsidP="00603215">
            <w:pPr>
              <w:pStyle w:val="DHHStabletext"/>
            </w:pPr>
            <w:r w:rsidRPr="0098470E">
              <w:t>The data source for this measure is the Victorian Public Sector Commission.</w:t>
            </w:r>
          </w:p>
          <w:p w14:paraId="1D106CD1" w14:textId="77777777" w:rsidR="00921922" w:rsidRPr="0098470E" w:rsidRDefault="00921922" w:rsidP="00603215">
            <w:pPr>
              <w:pStyle w:val="DHHStabletext"/>
            </w:pPr>
            <w:r w:rsidRPr="0098470E">
              <w:t>Health services receive a report on their results and are also benchmarked against other like healthcare organisations.</w:t>
            </w:r>
          </w:p>
          <w:p w14:paraId="1A2B5902" w14:textId="3C424886" w:rsidR="00921922" w:rsidRPr="0098470E" w:rsidRDefault="00921922" w:rsidP="00603215">
            <w:pPr>
              <w:pStyle w:val="DHHStabletext"/>
            </w:pPr>
            <w:r w:rsidRPr="0098470E">
              <w:t>Data is submitted to the department by 31 August and reported in quarter 1.</w:t>
            </w:r>
          </w:p>
        </w:tc>
      </w:tr>
    </w:tbl>
    <w:p w14:paraId="50913D4E" w14:textId="42249790" w:rsidR="00921922" w:rsidRPr="00F12615" w:rsidRDefault="00F12615" w:rsidP="00F12615">
      <w:pPr>
        <w:pStyle w:val="DHHStablecaption"/>
      </w:pPr>
      <w:r>
        <w:t xml:space="preserve">Indicator: </w:t>
      </w:r>
      <w:r w:rsidR="00101E11" w:rsidRPr="0098470E">
        <w:t>Percentage of staff with an overall positive response to safety culture question in People Matter survey</w:t>
      </w:r>
    </w:p>
    <w:tbl>
      <w:tblPr>
        <w:tblStyle w:val="TableGrid"/>
        <w:tblW w:w="9299" w:type="dxa"/>
        <w:tblLook w:val="06A0" w:firstRow="1" w:lastRow="0" w:firstColumn="1" w:lastColumn="0" w:noHBand="1" w:noVBand="1"/>
      </w:tblPr>
      <w:tblGrid>
        <w:gridCol w:w="2671"/>
        <w:gridCol w:w="6628"/>
      </w:tblGrid>
      <w:tr w:rsidR="00D97737" w:rsidRPr="0098470E" w14:paraId="0C45790B"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671" w:type="dxa"/>
          </w:tcPr>
          <w:p w14:paraId="6EE9AA7B" w14:textId="164EDCA3" w:rsidR="00D97737" w:rsidRPr="0098470E" w:rsidRDefault="00D97737" w:rsidP="00D97737">
            <w:pPr>
              <w:pStyle w:val="DHHStablecolhead"/>
            </w:pPr>
            <w:r>
              <w:t>Element</w:t>
            </w:r>
          </w:p>
        </w:tc>
        <w:tc>
          <w:tcPr>
            <w:tcW w:w="6628" w:type="dxa"/>
          </w:tcPr>
          <w:p w14:paraId="153E2606" w14:textId="5E94A79D" w:rsidR="00D97737" w:rsidRPr="0098470E" w:rsidRDefault="00D97737" w:rsidP="00D97737">
            <w:pPr>
              <w:pStyle w:val="DHHStablecolhead"/>
            </w:pPr>
            <w:r>
              <w:t>Details</w:t>
            </w:r>
          </w:p>
        </w:tc>
      </w:tr>
      <w:tr w:rsidR="00921922" w:rsidRPr="0098470E" w14:paraId="192430ED" w14:textId="77777777" w:rsidTr="00F12615">
        <w:trPr>
          <w:cantSplit/>
        </w:trPr>
        <w:tc>
          <w:tcPr>
            <w:tcW w:w="2671" w:type="dxa"/>
            <w:hideMark/>
          </w:tcPr>
          <w:p w14:paraId="60414BB3" w14:textId="77777777" w:rsidR="00921922" w:rsidRPr="0098470E" w:rsidRDefault="00921922" w:rsidP="00603215">
            <w:pPr>
              <w:pStyle w:val="DHHStabletext"/>
            </w:pPr>
            <w:r w:rsidRPr="0098470E">
              <w:t xml:space="preserve">Numerator </w:t>
            </w:r>
          </w:p>
        </w:tc>
        <w:tc>
          <w:tcPr>
            <w:tcW w:w="6628" w:type="dxa"/>
            <w:hideMark/>
          </w:tcPr>
          <w:p w14:paraId="4401EE6A" w14:textId="31C61F85" w:rsidR="00921922" w:rsidRPr="0098470E" w:rsidRDefault="00921922" w:rsidP="00603215">
            <w:pPr>
              <w:pStyle w:val="DHHStabletext"/>
            </w:pPr>
            <w:r w:rsidRPr="0098470E">
              <w:t xml:space="preserve">The number of </w:t>
            </w:r>
            <w:r>
              <w:t>‘</w:t>
            </w:r>
            <w:r w:rsidRPr="0098470E">
              <w:t>agree</w:t>
            </w:r>
            <w:r>
              <w:t>’</w:t>
            </w:r>
            <w:r w:rsidRPr="0098470E">
              <w:t xml:space="preserve"> or </w:t>
            </w:r>
            <w:r>
              <w:t>‘</w:t>
            </w:r>
            <w:r w:rsidRPr="0098470E">
              <w:t>strongly agree</w:t>
            </w:r>
            <w:r>
              <w:t>’</w:t>
            </w:r>
            <w:r w:rsidRPr="0098470E">
              <w:t xml:space="preserve"> responses to each of the eight safety culture questions in the health service</w:t>
            </w:r>
            <w:r>
              <w:t>’</w:t>
            </w:r>
            <w:r w:rsidRPr="0098470E">
              <w:t xml:space="preserve">s People Matter </w:t>
            </w:r>
            <w:r w:rsidR="00610869">
              <w:t>S</w:t>
            </w:r>
            <w:r w:rsidRPr="0098470E">
              <w:t>urvey</w:t>
            </w:r>
            <w:r w:rsidR="007578D2">
              <w:t>.</w:t>
            </w:r>
          </w:p>
        </w:tc>
      </w:tr>
      <w:tr w:rsidR="00921922" w:rsidRPr="0098470E" w14:paraId="07E8CB7D" w14:textId="77777777" w:rsidTr="00F12615">
        <w:trPr>
          <w:cantSplit/>
        </w:trPr>
        <w:tc>
          <w:tcPr>
            <w:tcW w:w="2671" w:type="dxa"/>
            <w:hideMark/>
          </w:tcPr>
          <w:p w14:paraId="1C75B477" w14:textId="77777777" w:rsidR="00921922" w:rsidRPr="0098470E" w:rsidRDefault="00921922" w:rsidP="00603215">
            <w:pPr>
              <w:pStyle w:val="DHHStabletext"/>
            </w:pPr>
            <w:r w:rsidRPr="0098470E">
              <w:t>Denominator</w:t>
            </w:r>
          </w:p>
        </w:tc>
        <w:tc>
          <w:tcPr>
            <w:tcW w:w="6628" w:type="dxa"/>
            <w:hideMark/>
          </w:tcPr>
          <w:p w14:paraId="6A98EDD4" w14:textId="18B3F9ED" w:rsidR="00921922" w:rsidRPr="0098470E" w:rsidRDefault="00921922" w:rsidP="00603215">
            <w:pPr>
              <w:pStyle w:val="DHHStabletext"/>
            </w:pPr>
            <w:r w:rsidRPr="0098470E">
              <w:t xml:space="preserve">The total number of </w:t>
            </w:r>
            <w:r>
              <w:t>‘</w:t>
            </w:r>
            <w:r w:rsidRPr="0098470E">
              <w:t>agree</w:t>
            </w:r>
            <w:r>
              <w:t>’</w:t>
            </w:r>
            <w:r w:rsidRPr="0098470E">
              <w:t xml:space="preserve">, </w:t>
            </w:r>
            <w:r>
              <w:t>‘</w:t>
            </w:r>
            <w:r w:rsidRPr="0098470E">
              <w:t>strongly agree</w:t>
            </w:r>
            <w:r>
              <w:t>’</w:t>
            </w:r>
            <w:r w:rsidRPr="0098470E">
              <w:t xml:space="preserve">, </w:t>
            </w:r>
            <w:r>
              <w:t>‘</w:t>
            </w:r>
            <w:r w:rsidRPr="0098470E">
              <w:t>disagree</w:t>
            </w:r>
            <w:r>
              <w:t>’</w:t>
            </w:r>
            <w:r w:rsidRPr="0098470E">
              <w:t xml:space="preserve"> or </w:t>
            </w:r>
            <w:r>
              <w:t>‘</w:t>
            </w:r>
            <w:r w:rsidRPr="0098470E">
              <w:t>strongly disagree</w:t>
            </w:r>
            <w:r>
              <w:t>’</w:t>
            </w:r>
            <w:r w:rsidRPr="0098470E">
              <w:t xml:space="preserve"> responses to each of the eight safety culture questions in the health service</w:t>
            </w:r>
            <w:r>
              <w:t>’</w:t>
            </w:r>
            <w:r w:rsidRPr="0098470E">
              <w:t xml:space="preserve">s People Matter </w:t>
            </w:r>
            <w:r w:rsidR="007578D2">
              <w:t>S</w:t>
            </w:r>
            <w:r w:rsidRPr="0098470E">
              <w:t>urvey</w:t>
            </w:r>
            <w:r w:rsidR="007578D2">
              <w:t>.</w:t>
            </w:r>
          </w:p>
        </w:tc>
      </w:tr>
      <w:tr w:rsidR="00921922" w:rsidRPr="0098470E" w14:paraId="7AF70000" w14:textId="77777777" w:rsidTr="00F12615">
        <w:trPr>
          <w:cantSplit/>
        </w:trPr>
        <w:tc>
          <w:tcPr>
            <w:tcW w:w="2671" w:type="dxa"/>
            <w:hideMark/>
          </w:tcPr>
          <w:p w14:paraId="08D33C5A" w14:textId="77777777" w:rsidR="00921922" w:rsidRPr="0098470E" w:rsidRDefault="00921922" w:rsidP="00603215">
            <w:pPr>
              <w:pStyle w:val="DHHStabletext"/>
            </w:pPr>
            <w:r w:rsidRPr="0098470E">
              <w:t>Statewide target</w:t>
            </w:r>
          </w:p>
        </w:tc>
        <w:tc>
          <w:tcPr>
            <w:tcW w:w="6628" w:type="dxa"/>
            <w:hideMark/>
          </w:tcPr>
          <w:p w14:paraId="2ABEF62E" w14:textId="77777777" w:rsidR="00921922" w:rsidRPr="0098470E" w:rsidRDefault="00921922" w:rsidP="00603215">
            <w:pPr>
              <w:pStyle w:val="DHHStabletext"/>
              <w:rPr>
                <w:lang w:val="en-US"/>
              </w:rPr>
            </w:pPr>
            <w:r w:rsidRPr="0098470E">
              <w:t>80%</w:t>
            </w:r>
          </w:p>
        </w:tc>
      </w:tr>
      <w:tr w:rsidR="00E90723" w:rsidRPr="0098470E" w14:paraId="11981AFD" w14:textId="77777777" w:rsidTr="00E90723">
        <w:trPr>
          <w:cantSplit/>
        </w:trPr>
        <w:tc>
          <w:tcPr>
            <w:tcW w:w="2671" w:type="dxa"/>
            <w:hideMark/>
          </w:tcPr>
          <w:p w14:paraId="70C7F02A" w14:textId="77777777" w:rsidR="00E90723" w:rsidRPr="0098470E" w:rsidRDefault="00E90723" w:rsidP="00603215">
            <w:pPr>
              <w:pStyle w:val="DHHStabletext"/>
            </w:pPr>
            <w:r w:rsidRPr="0098470E">
              <w:t>Achievement</w:t>
            </w:r>
          </w:p>
        </w:tc>
        <w:tc>
          <w:tcPr>
            <w:tcW w:w="6628" w:type="dxa"/>
            <w:hideMark/>
          </w:tcPr>
          <w:p w14:paraId="202C1944" w14:textId="26487523" w:rsidR="00E90723" w:rsidRPr="0098470E" w:rsidRDefault="00E90723" w:rsidP="00E90723">
            <w:pPr>
              <w:pStyle w:val="DHHStabletext92mmtab"/>
            </w:pPr>
            <w:r w:rsidRPr="0098470E">
              <w:t>Equal to or greater than 80%</w:t>
            </w:r>
            <w:r>
              <w:tab/>
              <w:t>Achieved</w:t>
            </w:r>
          </w:p>
          <w:p w14:paraId="06F5750D" w14:textId="45B7D2DB" w:rsidR="00E90723" w:rsidRPr="0098470E" w:rsidRDefault="00E90723" w:rsidP="00E90723">
            <w:pPr>
              <w:pStyle w:val="DHHStabletext92mmtab"/>
            </w:pPr>
            <w:r w:rsidRPr="0098470E">
              <w:t>Less than 80%</w:t>
            </w:r>
            <w:r>
              <w:tab/>
              <w:t>Not achieved</w:t>
            </w:r>
          </w:p>
        </w:tc>
      </w:tr>
    </w:tbl>
    <w:p w14:paraId="628F3079" w14:textId="1E3FA84E" w:rsidR="00921922" w:rsidRPr="0098470E" w:rsidRDefault="00F12615" w:rsidP="00F12615">
      <w:pPr>
        <w:pStyle w:val="DHHStablecaption"/>
      </w:pPr>
      <w:r>
        <w:lastRenderedPageBreak/>
        <w:t xml:space="preserve">Indicator: </w:t>
      </w:r>
      <w:r w:rsidR="00101E11" w:rsidRPr="0064437D">
        <w:t>I am encouraged by my colleagues to report any patient safety concerns I may have</w:t>
      </w:r>
    </w:p>
    <w:tbl>
      <w:tblPr>
        <w:tblStyle w:val="TableGrid"/>
        <w:tblW w:w="9299" w:type="dxa"/>
        <w:tblLook w:val="06A0" w:firstRow="1" w:lastRow="0" w:firstColumn="1" w:lastColumn="0" w:noHBand="1" w:noVBand="1"/>
      </w:tblPr>
      <w:tblGrid>
        <w:gridCol w:w="2698"/>
        <w:gridCol w:w="6601"/>
      </w:tblGrid>
      <w:tr w:rsidR="00D97737" w:rsidRPr="0098470E" w14:paraId="1EE750B4"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698" w:type="dxa"/>
          </w:tcPr>
          <w:p w14:paraId="2A436B59" w14:textId="36585B7B" w:rsidR="00D97737" w:rsidRPr="0064437D" w:rsidRDefault="00D97737" w:rsidP="00D97737">
            <w:pPr>
              <w:pStyle w:val="DHHStablecolhead"/>
            </w:pPr>
            <w:r>
              <w:t>Element</w:t>
            </w:r>
          </w:p>
        </w:tc>
        <w:tc>
          <w:tcPr>
            <w:tcW w:w="6601" w:type="dxa"/>
          </w:tcPr>
          <w:p w14:paraId="777A038E" w14:textId="667D18AF" w:rsidR="00D97737" w:rsidRPr="0064437D" w:rsidRDefault="00D97737" w:rsidP="00D97737">
            <w:pPr>
              <w:pStyle w:val="DHHStablecolhead"/>
            </w:pPr>
            <w:r>
              <w:t>Details</w:t>
            </w:r>
          </w:p>
        </w:tc>
      </w:tr>
      <w:tr w:rsidR="00921922" w:rsidRPr="0098470E" w14:paraId="4D796951" w14:textId="77777777" w:rsidTr="00F12615">
        <w:trPr>
          <w:cantSplit/>
        </w:trPr>
        <w:tc>
          <w:tcPr>
            <w:tcW w:w="2698" w:type="dxa"/>
          </w:tcPr>
          <w:p w14:paraId="2B0FD572" w14:textId="77777777" w:rsidR="00921922" w:rsidRPr="0098470E" w:rsidRDefault="00921922" w:rsidP="00603215">
            <w:pPr>
              <w:pStyle w:val="DHHStabletext"/>
            </w:pPr>
            <w:r w:rsidRPr="0098470E">
              <w:t>Numerator</w:t>
            </w:r>
          </w:p>
        </w:tc>
        <w:tc>
          <w:tcPr>
            <w:tcW w:w="6601" w:type="dxa"/>
          </w:tcPr>
          <w:p w14:paraId="197C37E7" w14:textId="4B87ACF3" w:rsidR="00921922" w:rsidRPr="0098470E" w:rsidRDefault="00921922" w:rsidP="00603215">
            <w:pPr>
              <w:pStyle w:val="DHHStabletext"/>
            </w:pPr>
            <w:r w:rsidRPr="0098470E">
              <w:t xml:space="preserve">The number of </w:t>
            </w:r>
            <w:r>
              <w:t>‘</w:t>
            </w:r>
            <w:r w:rsidRPr="0098470E">
              <w:t>agree</w:t>
            </w:r>
            <w:r>
              <w:t>’</w:t>
            </w:r>
            <w:r w:rsidRPr="0098470E">
              <w:t xml:space="preserve"> or </w:t>
            </w:r>
            <w:r>
              <w:t>‘</w:t>
            </w:r>
            <w:r w:rsidRPr="0098470E">
              <w:t>strongly agree</w:t>
            </w:r>
            <w:r>
              <w:t>’</w:t>
            </w:r>
            <w:r w:rsidRPr="0098470E">
              <w:t xml:space="preserve"> responses to the People Matter </w:t>
            </w:r>
            <w:r w:rsidR="00610869">
              <w:t>S</w:t>
            </w:r>
            <w:r w:rsidRPr="0098470E">
              <w:t xml:space="preserve">urvey question: </w:t>
            </w:r>
            <w:r w:rsidR="0065349B">
              <w:t>‘</w:t>
            </w:r>
            <w:r w:rsidRPr="0098470E">
              <w:t>I am encouraged by my colleagues to report any patient safety concerns I may have</w:t>
            </w:r>
            <w:r w:rsidR="0065349B">
              <w:t>’.</w:t>
            </w:r>
          </w:p>
        </w:tc>
      </w:tr>
      <w:tr w:rsidR="00921922" w:rsidRPr="0098470E" w14:paraId="498A8FD7" w14:textId="77777777" w:rsidTr="00F12615">
        <w:trPr>
          <w:cantSplit/>
        </w:trPr>
        <w:tc>
          <w:tcPr>
            <w:tcW w:w="2698" w:type="dxa"/>
          </w:tcPr>
          <w:p w14:paraId="45CA1E72" w14:textId="77777777" w:rsidR="00921922" w:rsidRPr="0098470E" w:rsidRDefault="00921922" w:rsidP="00603215">
            <w:pPr>
              <w:pStyle w:val="DHHStabletext"/>
            </w:pPr>
            <w:r w:rsidRPr="0098470E">
              <w:t>Denominator</w:t>
            </w:r>
          </w:p>
        </w:tc>
        <w:tc>
          <w:tcPr>
            <w:tcW w:w="6601" w:type="dxa"/>
          </w:tcPr>
          <w:p w14:paraId="75FEC2F8" w14:textId="77777777" w:rsidR="00921922" w:rsidRPr="0098470E" w:rsidRDefault="00921922" w:rsidP="00603215">
            <w:pPr>
              <w:pStyle w:val="DHHStabletext"/>
            </w:pPr>
            <w:r w:rsidRPr="0098470E">
              <w:t xml:space="preserve">The total number of </w:t>
            </w:r>
            <w:r>
              <w:t>‘</w:t>
            </w:r>
            <w:r w:rsidRPr="0098470E">
              <w:t>agree</w:t>
            </w:r>
            <w:r>
              <w:t>’</w:t>
            </w:r>
            <w:r w:rsidRPr="0098470E">
              <w:t xml:space="preserve">, </w:t>
            </w:r>
            <w:r>
              <w:t>‘</w:t>
            </w:r>
            <w:r w:rsidRPr="0098470E">
              <w:t>strongly agree</w:t>
            </w:r>
            <w:r>
              <w:t>’</w:t>
            </w:r>
            <w:r w:rsidRPr="0098470E">
              <w:t xml:space="preserve">, </w:t>
            </w:r>
            <w:r>
              <w:t>‘</w:t>
            </w:r>
            <w:r w:rsidRPr="0098470E">
              <w:t>disagree</w:t>
            </w:r>
            <w:r>
              <w:t>’</w:t>
            </w:r>
            <w:r w:rsidRPr="0098470E">
              <w:t xml:space="preserve"> or </w:t>
            </w:r>
            <w:r>
              <w:t>‘</w:t>
            </w:r>
            <w:r w:rsidRPr="0098470E">
              <w:t>strongly disagree</w:t>
            </w:r>
            <w:r>
              <w:t>’</w:t>
            </w:r>
            <w:r w:rsidRPr="0098470E">
              <w:t xml:space="preserve"> responses to the assessed question.</w:t>
            </w:r>
          </w:p>
        </w:tc>
      </w:tr>
      <w:tr w:rsidR="00921922" w:rsidRPr="0098470E" w14:paraId="690D1D82" w14:textId="77777777" w:rsidTr="00F12615">
        <w:trPr>
          <w:cantSplit/>
        </w:trPr>
        <w:tc>
          <w:tcPr>
            <w:tcW w:w="2698" w:type="dxa"/>
          </w:tcPr>
          <w:p w14:paraId="63BD0CBC" w14:textId="77777777" w:rsidR="00921922" w:rsidRPr="0098470E" w:rsidRDefault="00921922" w:rsidP="00603215">
            <w:pPr>
              <w:pStyle w:val="DHHStabletext"/>
            </w:pPr>
            <w:r w:rsidRPr="0098470E">
              <w:t>Statewide target</w:t>
            </w:r>
          </w:p>
        </w:tc>
        <w:tc>
          <w:tcPr>
            <w:tcW w:w="6601" w:type="dxa"/>
          </w:tcPr>
          <w:p w14:paraId="669E7C22" w14:textId="77777777" w:rsidR="00921922" w:rsidRPr="0098470E" w:rsidRDefault="00921922" w:rsidP="00603215">
            <w:pPr>
              <w:pStyle w:val="DHHStabletext"/>
            </w:pPr>
            <w:r w:rsidRPr="0098470E">
              <w:t>80%</w:t>
            </w:r>
          </w:p>
        </w:tc>
      </w:tr>
      <w:tr w:rsidR="00E90723" w:rsidRPr="0098470E" w14:paraId="677533F1" w14:textId="77777777" w:rsidTr="00E90723">
        <w:trPr>
          <w:cantSplit/>
        </w:trPr>
        <w:tc>
          <w:tcPr>
            <w:tcW w:w="2698" w:type="dxa"/>
          </w:tcPr>
          <w:p w14:paraId="3731F96A" w14:textId="77777777" w:rsidR="00E90723" w:rsidRPr="0098470E" w:rsidRDefault="00E90723" w:rsidP="00603215">
            <w:pPr>
              <w:pStyle w:val="DHHStabletext"/>
            </w:pPr>
            <w:r w:rsidRPr="0098470E">
              <w:t xml:space="preserve">Achievement </w:t>
            </w:r>
          </w:p>
        </w:tc>
        <w:tc>
          <w:tcPr>
            <w:tcW w:w="6601" w:type="dxa"/>
          </w:tcPr>
          <w:p w14:paraId="5CA13B46" w14:textId="540A6250" w:rsidR="00E90723" w:rsidRPr="0098470E" w:rsidRDefault="00E90723" w:rsidP="00E90723">
            <w:pPr>
              <w:pStyle w:val="DHHStabletext92mmtab"/>
            </w:pPr>
            <w:r w:rsidRPr="0098470E">
              <w:t>Equal to or greater than 80%</w:t>
            </w:r>
            <w:r>
              <w:tab/>
              <w:t>Achieved</w:t>
            </w:r>
          </w:p>
          <w:p w14:paraId="3B026F50" w14:textId="6AB5FA57" w:rsidR="00E90723" w:rsidRPr="0098470E" w:rsidRDefault="00E90723" w:rsidP="00E90723">
            <w:pPr>
              <w:pStyle w:val="DHHStabletext92mmtab"/>
            </w:pPr>
            <w:r w:rsidRPr="0098470E">
              <w:t>Less than 80%</w:t>
            </w:r>
            <w:r>
              <w:tab/>
              <w:t>Not achieved</w:t>
            </w:r>
          </w:p>
        </w:tc>
      </w:tr>
    </w:tbl>
    <w:p w14:paraId="37226966" w14:textId="6873BB6C" w:rsidR="00921922" w:rsidRPr="0098470E" w:rsidRDefault="00F12615" w:rsidP="00F12615">
      <w:pPr>
        <w:pStyle w:val="DHHStablecaption"/>
      </w:pPr>
      <w:r>
        <w:t xml:space="preserve">Indicator: </w:t>
      </w:r>
      <w:r w:rsidR="00101E11" w:rsidRPr="0064437D">
        <w:t>Patient care errors are handled appropriately in my work area</w:t>
      </w:r>
    </w:p>
    <w:tbl>
      <w:tblPr>
        <w:tblStyle w:val="TableGrid"/>
        <w:tblW w:w="9299" w:type="dxa"/>
        <w:tblLook w:val="06A0" w:firstRow="1" w:lastRow="0" w:firstColumn="1" w:lastColumn="0" w:noHBand="1" w:noVBand="1"/>
      </w:tblPr>
      <w:tblGrid>
        <w:gridCol w:w="2698"/>
        <w:gridCol w:w="6601"/>
      </w:tblGrid>
      <w:tr w:rsidR="00D97737" w:rsidRPr="0098470E" w14:paraId="28509FD1"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698" w:type="dxa"/>
          </w:tcPr>
          <w:p w14:paraId="3E32445F" w14:textId="3EC1F9E5" w:rsidR="00D97737" w:rsidRPr="0064437D" w:rsidRDefault="00D97737" w:rsidP="00D97737">
            <w:pPr>
              <w:pStyle w:val="DHHStablecolhead"/>
            </w:pPr>
            <w:r>
              <w:t>Element</w:t>
            </w:r>
          </w:p>
        </w:tc>
        <w:tc>
          <w:tcPr>
            <w:tcW w:w="6601" w:type="dxa"/>
          </w:tcPr>
          <w:p w14:paraId="2975D3F1" w14:textId="3C83724A" w:rsidR="00D97737" w:rsidRPr="0064437D" w:rsidRDefault="00D97737" w:rsidP="00D97737">
            <w:pPr>
              <w:pStyle w:val="DHHStablecolhead"/>
            </w:pPr>
            <w:r>
              <w:t>Details</w:t>
            </w:r>
          </w:p>
        </w:tc>
      </w:tr>
      <w:tr w:rsidR="00921922" w:rsidRPr="0098470E" w14:paraId="16946769" w14:textId="77777777" w:rsidTr="00F12615">
        <w:trPr>
          <w:cantSplit/>
        </w:trPr>
        <w:tc>
          <w:tcPr>
            <w:tcW w:w="2698" w:type="dxa"/>
          </w:tcPr>
          <w:p w14:paraId="380FD18B" w14:textId="77777777" w:rsidR="00921922" w:rsidRPr="0098470E" w:rsidRDefault="00921922" w:rsidP="00603215">
            <w:pPr>
              <w:pStyle w:val="DHHStabletext"/>
            </w:pPr>
            <w:r w:rsidRPr="0098470E">
              <w:t>Numerator</w:t>
            </w:r>
          </w:p>
        </w:tc>
        <w:tc>
          <w:tcPr>
            <w:tcW w:w="6601" w:type="dxa"/>
          </w:tcPr>
          <w:p w14:paraId="51E69950" w14:textId="2F02B46E" w:rsidR="00921922" w:rsidRPr="0098470E" w:rsidRDefault="00921922" w:rsidP="00603215">
            <w:pPr>
              <w:pStyle w:val="DHHStabletext"/>
            </w:pPr>
            <w:r w:rsidRPr="0098470E">
              <w:t xml:space="preserve">The number of </w:t>
            </w:r>
            <w:r>
              <w:t>‘</w:t>
            </w:r>
            <w:r w:rsidRPr="0098470E">
              <w:t>agree</w:t>
            </w:r>
            <w:r>
              <w:t>’</w:t>
            </w:r>
            <w:r w:rsidRPr="0098470E">
              <w:t xml:space="preserve"> or </w:t>
            </w:r>
            <w:r>
              <w:t>‘</w:t>
            </w:r>
            <w:r w:rsidRPr="0098470E">
              <w:t>strongly agree</w:t>
            </w:r>
            <w:r>
              <w:t>’</w:t>
            </w:r>
            <w:r w:rsidRPr="0098470E">
              <w:t xml:space="preserve"> responses to the People Matter </w:t>
            </w:r>
            <w:r w:rsidR="0065349B">
              <w:t>S</w:t>
            </w:r>
            <w:r w:rsidRPr="0098470E">
              <w:t xml:space="preserve">urvey question: </w:t>
            </w:r>
            <w:r w:rsidR="0065349B">
              <w:t>‘</w:t>
            </w:r>
            <w:r w:rsidRPr="0098470E">
              <w:t>Patient care errors are handled appropriately in my work area</w:t>
            </w:r>
            <w:r w:rsidR="0065349B">
              <w:t>’.</w:t>
            </w:r>
          </w:p>
        </w:tc>
      </w:tr>
      <w:tr w:rsidR="00921922" w:rsidRPr="0098470E" w14:paraId="38E202F2" w14:textId="77777777" w:rsidTr="00F12615">
        <w:trPr>
          <w:cantSplit/>
        </w:trPr>
        <w:tc>
          <w:tcPr>
            <w:tcW w:w="2698" w:type="dxa"/>
          </w:tcPr>
          <w:p w14:paraId="564FD659" w14:textId="77777777" w:rsidR="00921922" w:rsidRPr="0098470E" w:rsidRDefault="00921922" w:rsidP="00603215">
            <w:pPr>
              <w:pStyle w:val="DHHStabletext"/>
            </w:pPr>
            <w:r w:rsidRPr="0098470E">
              <w:t xml:space="preserve">Denominator </w:t>
            </w:r>
          </w:p>
        </w:tc>
        <w:tc>
          <w:tcPr>
            <w:tcW w:w="6601" w:type="dxa"/>
          </w:tcPr>
          <w:p w14:paraId="4FDEFECE" w14:textId="77777777" w:rsidR="00921922" w:rsidRPr="0098470E" w:rsidRDefault="00921922" w:rsidP="00603215">
            <w:pPr>
              <w:pStyle w:val="DHHStabletext"/>
            </w:pPr>
            <w:r w:rsidRPr="0098470E">
              <w:t xml:space="preserve">The total number of </w:t>
            </w:r>
            <w:r>
              <w:t>‘</w:t>
            </w:r>
            <w:r w:rsidRPr="0098470E">
              <w:t>agree</w:t>
            </w:r>
            <w:r>
              <w:t>’</w:t>
            </w:r>
            <w:r w:rsidRPr="0098470E">
              <w:t xml:space="preserve">, </w:t>
            </w:r>
            <w:r>
              <w:t>‘</w:t>
            </w:r>
            <w:r w:rsidRPr="0098470E">
              <w:t>strongly agree</w:t>
            </w:r>
            <w:r>
              <w:t>’</w:t>
            </w:r>
            <w:r w:rsidRPr="0098470E">
              <w:t xml:space="preserve">, </w:t>
            </w:r>
            <w:r>
              <w:t>‘</w:t>
            </w:r>
            <w:r w:rsidRPr="0098470E">
              <w:t>disagree</w:t>
            </w:r>
            <w:r>
              <w:t>’</w:t>
            </w:r>
            <w:r w:rsidRPr="0098470E">
              <w:t xml:space="preserve"> or </w:t>
            </w:r>
            <w:r>
              <w:t>‘</w:t>
            </w:r>
            <w:r w:rsidRPr="0098470E">
              <w:t>strongly disagree</w:t>
            </w:r>
            <w:r>
              <w:t>’</w:t>
            </w:r>
            <w:r w:rsidRPr="0098470E">
              <w:t xml:space="preserve"> responses to the assessed question.</w:t>
            </w:r>
          </w:p>
        </w:tc>
      </w:tr>
      <w:tr w:rsidR="00921922" w:rsidRPr="0098470E" w14:paraId="42233889" w14:textId="77777777" w:rsidTr="00F12615">
        <w:trPr>
          <w:cantSplit/>
        </w:trPr>
        <w:tc>
          <w:tcPr>
            <w:tcW w:w="2698" w:type="dxa"/>
          </w:tcPr>
          <w:p w14:paraId="5197DD26" w14:textId="77777777" w:rsidR="00921922" w:rsidRPr="0098470E" w:rsidRDefault="00921922" w:rsidP="00603215">
            <w:pPr>
              <w:pStyle w:val="DHHStabletext"/>
            </w:pPr>
            <w:r w:rsidRPr="0098470E">
              <w:t>Statewide target</w:t>
            </w:r>
          </w:p>
        </w:tc>
        <w:tc>
          <w:tcPr>
            <w:tcW w:w="6601" w:type="dxa"/>
          </w:tcPr>
          <w:p w14:paraId="4A0BCF79" w14:textId="77777777" w:rsidR="00921922" w:rsidRPr="0098470E" w:rsidRDefault="00921922" w:rsidP="00603215">
            <w:pPr>
              <w:pStyle w:val="DHHStabletext"/>
            </w:pPr>
            <w:r w:rsidRPr="0098470E">
              <w:t>80%</w:t>
            </w:r>
          </w:p>
        </w:tc>
      </w:tr>
      <w:tr w:rsidR="00E90723" w:rsidRPr="0098470E" w14:paraId="040EF538" w14:textId="77777777" w:rsidTr="00E90723">
        <w:trPr>
          <w:cantSplit/>
        </w:trPr>
        <w:tc>
          <w:tcPr>
            <w:tcW w:w="2698" w:type="dxa"/>
          </w:tcPr>
          <w:p w14:paraId="5C3CC8F8" w14:textId="77777777" w:rsidR="00E90723" w:rsidRPr="0098470E" w:rsidRDefault="00E90723" w:rsidP="00603215">
            <w:pPr>
              <w:pStyle w:val="DHHStabletext"/>
            </w:pPr>
            <w:r w:rsidRPr="0098470E">
              <w:t xml:space="preserve">Achievement </w:t>
            </w:r>
          </w:p>
        </w:tc>
        <w:tc>
          <w:tcPr>
            <w:tcW w:w="6601" w:type="dxa"/>
          </w:tcPr>
          <w:p w14:paraId="5B6AA3DF" w14:textId="7CBEC7B9" w:rsidR="00E90723" w:rsidRPr="0098470E" w:rsidRDefault="00E90723" w:rsidP="00E90723">
            <w:pPr>
              <w:pStyle w:val="DHHStabletext92mmtab"/>
              <w:rPr>
                <w:b/>
                <w:bCs/>
                <w:i/>
                <w:iCs/>
              </w:rPr>
            </w:pPr>
            <w:r w:rsidRPr="0098470E">
              <w:t>Equal to or greater than 80%</w:t>
            </w:r>
            <w:r>
              <w:tab/>
              <w:t>Achieved</w:t>
            </w:r>
          </w:p>
          <w:p w14:paraId="6C513FF1" w14:textId="44756B89" w:rsidR="00E90723" w:rsidRPr="0098470E" w:rsidRDefault="00E90723" w:rsidP="00E90723">
            <w:pPr>
              <w:pStyle w:val="DHHStabletext92mmtab"/>
              <w:rPr>
                <w:b/>
                <w:bCs/>
                <w:i/>
                <w:iCs/>
              </w:rPr>
            </w:pPr>
            <w:r w:rsidRPr="0098470E">
              <w:t>Less than 80%</w:t>
            </w:r>
            <w:r>
              <w:tab/>
              <w:t>Not achieved</w:t>
            </w:r>
          </w:p>
        </w:tc>
      </w:tr>
    </w:tbl>
    <w:p w14:paraId="2117FB76" w14:textId="08429A7E" w:rsidR="00921922" w:rsidRPr="0098470E" w:rsidRDefault="00F12615" w:rsidP="00F12615">
      <w:pPr>
        <w:pStyle w:val="DHHStablecaption"/>
      </w:pPr>
      <w:r>
        <w:t xml:space="preserve">Indicator: </w:t>
      </w:r>
      <w:r w:rsidR="00101E11" w:rsidRPr="0064437D">
        <w:t>My suggestions about patient safety would be acted upon if I expressed them to my manager</w:t>
      </w:r>
    </w:p>
    <w:tbl>
      <w:tblPr>
        <w:tblStyle w:val="TableGrid"/>
        <w:tblW w:w="9299" w:type="dxa"/>
        <w:tblLook w:val="06A0" w:firstRow="1" w:lastRow="0" w:firstColumn="1" w:lastColumn="0" w:noHBand="1" w:noVBand="1"/>
      </w:tblPr>
      <w:tblGrid>
        <w:gridCol w:w="2698"/>
        <w:gridCol w:w="6601"/>
      </w:tblGrid>
      <w:tr w:rsidR="00D97737" w:rsidRPr="0098470E" w14:paraId="696385DC"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698" w:type="dxa"/>
          </w:tcPr>
          <w:p w14:paraId="30169637" w14:textId="0DAE2C37" w:rsidR="00D97737" w:rsidRPr="0064437D" w:rsidRDefault="00D97737" w:rsidP="00D97737">
            <w:pPr>
              <w:pStyle w:val="DHHStablecolhead"/>
            </w:pPr>
            <w:r>
              <w:t>Element</w:t>
            </w:r>
          </w:p>
        </w:tc>
        <w:tc>
          <w:tcPr>
            <w:tcW w:w="6601" w:type="dxa"/>
          </w:tcPr>
          <w:p w14:paraId="6D8D863B" w14:textId="38F84DEE" w:rsidR="00D97737" w:rsidRPr="0064437D" w:rsidRDefault="00D97737" w:rsidP="00D97737">
            <w:pPr>
              <w:pStyle w:val="DHHStablecolhead"/>
            </w:pPr>
            <w:r>
              <w:t>Details</w:t>
            </w:r>
          </w:p>
        </w:tc>
      </w:tr>
      <w:tr w:rsidR="00921922" w:rsidRPr="0098470E" w14:paraId="5550F42C" w14:textId="77777777" w:rsidTr="00F12615">
        <w:trPr>
          <w:cantSplit/>
        </w:trPr>
        <w:tc>
          <w:tcPr>
            <w:tcW w:w="2698" w:type="dxa"/>
          </w:tcPr>
          <w:p w14:paraId="2A132FA6" w14:textId="77777777" w:rsidR="00921922" w:rsidRPr="0098470E" w:rsidRDefault="00921922" w:rsidP="00603215">
            <w:pPr>
              <w:pStyle w:val="DHHStabletext"/>
            </w:pPr>
            <w:r w:rsidRPr="0098470E">
              <w:t>Numerator</w:t>
            </w:r>
          </w:p>
        </w:tc>
        <w:tc>
          <w:tcPr>
            <w:tcW w:w="6601" w:type="dxa"/>
          </w:tcPr>
          <w:p w14:paraId="3D17CE45" w14:textId="43BAB8A6" w:rsidR="00921922" w:rsidRPr="0098470E" w:rsidRDefault="00921922" w:rsidP="00603215">
            <w:pPr>
              <w:pStyle w:val="DHHStabletext"/>
            </w:pPr>
            <w:r w:rsidRPr="0098470E">
              <w:t xml:space="preserve">The number of </w:t>
            </w:r>
            <w:r>
              <w:t>‘</w:t>
            </w:r>
            <w:r w:rsidRPr="0098470E">
              <w:t>agree</w:t>
            </w:r>
            <w:r>
              <w:t>’</w:t>
            </w:r>
            <w:r w:rsidRPr="0098470E">
              <w:t xml:space="preserve"> or </w:t>
            </w:r>
            <w:r>
              <w:t>‘</w:t>
            </w:r>
            <w:r w:rsidRPr="0098470E">
              <w:t>strongly agree</w:t>
            </w:r>
            <w:r>
              <w:t>’</w:t>
            </w:r>
            <w:r w:rsidRPr="0098470E">
              <w:t xml:space="preserve"> responses to the People Matter survey question: </w:t>
            </w:r>
            <w:r w:rsidR="0065349B">
              <w:t>‘</w:t>
            </w:r>
            <w:r w:rsidRPr="00E15D54">
              <w:t>My suggestions about patient safety would be acted upon if I expressed them to my manager</w:t>
            </w:r>
            <w:r w:rsidR="0065349B">
              <w:t>’.</w:t>
            </w:r>
          </w:p>
        </w:tc>
      </w:tr>
      <w:tr w:rsidR="00921922" w:rsidRPr="0098470E" w14:paraId="26D94B71" w14:textId="77777777" w:rsidTr="00F12615">
        <w:trPr>
          <w:cantSplit/>
        </w:trPr>
        <w:tc>
          <w:tcPr>
            <w:tcW w:w="2698" w:type="dxa"/>
          </w:tcPr>
          <w:p w14:paraId="1DB42449" w14:textId="77777777" w:rsidR="00921922" w:rsidRPr="0098470E" w:rsidRDefault="00921922" w:rsidP="00603215">
            <w:pPr>
              <w:pStyle w:val="DHHStabletext"/>
            </w:pPr>
            <w:r w:rsidRPr="0098470E">
              <w:t xml:space="preserve">Denominator </w:t>
            </w:r>
          </w:p>
        </w:tc>
        <w:tc>
          <w:tcPr>
            <w:tcW w:w="6601" w:type="dxa"/>
          </w:tcPr>
          <w:p w14:paraId="22E0D85E" w14:textId="77777777" w:rsidR="00921922" w:rsidRPr="0098470E" w:rsidRDefault="00921922" w:rsidP="00603215">
            <w:pPr>
              <w:pStyle w:val="DHHStabletext"/>
            </w:pPr>
            <w:r w:rsidRPr="0098470E">
              <w:t xml:space="preserve">The total number of </w:t>
            </w:r>
            <w:r>
              <w:t>‘</w:t>
            </w:r>
            <w:r w:rsidRPr="0098470E">
              <w:t>agree</w:t>
            </w:r>
            <w:r>
              <w:t>’</w:t>
            </w:r>
            <w:r w:rsidRPr="0098470E">
              <w:t xml:space="preserve">, </w:t>
            </w:r>
            <w:r>
              <w:t>‘</w:t>
            </w:r>
            <w:r w:rsidRPr="0098470E">
              <w:t>strongly agree</w:t>
            </w:r>
            <w:r>
              <w:t>’</w:t>
            </w:r>
            <w:r w:rsidRPr="0098470E">
              <w:t xml:space="preserve">, </w:t>
            </w:r>
            <w:r>
              <w:t>‘</w:t>
            </w:r>
            <w:r w:rsidRPr="0098470E">
              <w:t>disagree</w:t>
            </w:r>
            <w:r>
              <w:t>’</w:t>
            </w:r>
            <w:r w:rsidRPr="0098470E">
              <w:t xml:space="preserve"> or </w:t>
            </w:r>
            <w:r>
              <w:t>‘</w:t>
            </w:r>
            <w:r w:rsidRPr="0098470E">
              <w:t>strongly disagree</w:t>
            </w:r>
            <w:r>
              <w:t>’</w:t>
            </w:r>
            <w:r w:rsidRPr="0098470E">
              <w:t xml:space="preserve"> responses to the assessed question.</w:t>
            </w:r>
          </w:p>
        </w:tc>
      </w:tr>
      <w:tr w:rsidR="00921922" w:rsidRPr="0098470E" w14:paraId="1A9D8E4A" w14:textId="77777777" w:rsidTr="00F12615">
        <w:trPr>
          <w:cantSplit/>
        </w:trPr>
        <w:tc>
          <w:tcPr>
            <w:tcW w:w="2698" w:type="dxa"/>
          </w:tcPr>
          <w:p w14:paraId="792FF7DA" w14:textId="77777777" w:rsidR="00921922" w:rsidRPr="0098470E" w:rsidRDefault="00921922" w:rsidP="00603215">
            <w:pPr>
              <w:pStyle w:val="DHHStabletext"/>
            </w:pPr>
            <w:r w:rsidRPr="0098470E">
              <w:t>Statewide target</w:t>
            </w:r>
          </w:p>
        </w:tc>
        <w:tc>
          <w:tcPr>
            <w:tcW w:w="6601" w:type="dxa"/>
          </w:tcPr>
          <w:p w14:paraId="4044632D" w14:textId="77777777" w:rsidR="00921922" w:rsidRPr="0098470E" w:rsidRDefault="00921922" w:rsidP="00603215">
            <w:pPr>
              <w:pStyle w:val="DHHStabletext"/>
            </w:pPr>
            <w:r w:rsidRPr="0098470E">
              <w:t>80%</w:t>
            </w:r>
          </w:p>
        </w:tc>
      </w:tr>
      <w:tr w:rsidR="00E90723" w:rsidRPr="0098470E" w14:paraId="6E086C74" w14:textId="77777777" w:rsidTr="00E90723">
        <w:trPr>
          <w:cantSplit/>
        </w:trPr>
        <w:tc>
          <w:tcPr>
            <w:tcW w:w="2698" w:type="dxa"/>
          </w:tcPr>
          <w:p w14:paraId="296877AA" w14:textId="77777777" w:rsidR="00E90723" w:rsidRPr="0098470E" w:rsidRDefault="00E90723" w:rsidP="00603215">
            <w:pPr>
              <w:pStyle w:val="DHHStabletext"/>
            </w:pPr>
            <w:r w:rsidRPr="0098470E">
              <w:t xml:space="preserve">Achievement </w:t>
            </w:r>
          </w:p>
        </w:tc>
        <w:tc>
          <w:tcPr>
            <w:tcW w:w="6601" w:type="dxa"/>
          </w:tcPr>
          <w:p w14:paraId="0098855C" w14:textId="75FA0321" w:rsidR="00E90723" w:rsidRPr="00E90723" w:rsidRDefault="00E90723" w:rsidP="00E90723">
            <w:pPr>
              <w:pStyle w:val="DHHStabletext92mmtab"/>
            </w:pPr>
            <w:r w:rsidRPr="00E90723">
              <w:t>Equal to or greater than 80%</w:t>
            </w:r>
            <w:r>
              <w:tab/>
            </w:r>
            <w:r w:rsidRPr="00E90723">
              <w:t>Achieved</w:t>
            </w:r>
          </w:p>
          <w:p w14:paraId="101AC51C" w14:textId="0BF75AC3" w:rsidR="00E90723" w:rsidRPr="00E90723" w:rsidRDefault="00E90723" w:rsidP="00E90723">
            <w:pPr>
              <w:pStyle w:val="DHHStabletext92mmtab"/>
            </w:pPr>
            <w:r w:rsidRPr="00E90723">
              <w:t>Less than 80%</w:t>
            </w:r>
            <w:r>
              <w:tab/>
            </w:r>
            <w:r w:rsidRPr="00E90723">
              <w:t>Not achieved</w:t>
            </w:r>
          </w:p>
        </w:tc>
      </w:tr>
    </w:tbl>
    <w:p w14:paraId="4D6CC9E3" w14:textId="580DDFE0" w:rsidR="00921922" w:rsidRDefault="00F12615" w:rsidP="00F12615">
      <w:pPr>
        <w:pStyle w:val="DHHStablecaption"/>
      </w:pPr>
      <w:r>
        <w:t xml:space="preserve">Indicator: </w:t>
      </w:r>
      <w:r w:rsidR="00101E11" w:rsidRPr="0064437D">
        <w:t>Management is driving us to be a safety-centred organisation</w:t>
      </w:r>
    </w:p>
    <w:tbl>
      <w:tblPr>
        <w:tblStyle w:val="TableGrid"/>
        <w:tblW w:w="9299" w:type="dxa"/>
        <w:tblLook w:val="06A0" w:firstRow="1" w:lastRow="0" w:firstColumn="1" w:lastColumn="0" w:noHBand="1" w:noVBand="1"/>
      </w:tblPr>
      <w:tblGrid>
        <w:gridCol w:w="2671"/>
        <w:gridCol w:w="6628"/>
      </w:tblGrid>
      <w:tr w:rsidR="00D97737" w:rsidRPr="0098470E" w14:paraId="159198B9"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671" w:type="dxa"/>
          </w:tcPr>
          <w:p w14:paraId="6189F822" w14:textId="5EC3D2AB" w:rsidR="00D97737" w:rsidRPr="0064437D" w:rsidRDefault="00D97737" w:rsidP="00D97737">
            <w:pPr>
              <w:pStyle w:val="DHHStablecolhead"/>
            </w:pPr>
            <w:r>
              <w:t>Element</w:t>
            </w:r>
          </w:p>
        </w:tc>
        <w:tc>
          <w:tcPr>
            <w:tcW w:w="6628" w:type="dxa"/>
          </w:tcPr>
          <w:p w14:paraId="0501150F" w14:textId="59162191" w:rsidR="00D97737" w:rsidRPr="0064437D" w:rsidRDefault="00D97737" w:rsidP="00D97737">
            <w:pPr>
              <w:pStyle w:val="DHHStablecolhead"/>
            </w:pPr>
            <w:r>
              <w:t>Details</w:t>
            </w:r>
          </w:p>
        </w:tc>
      </w:tr>
      <w:tr w:rsidR="00921922" w:rsidRPr="0098470E" w14:paraId="59015434" w14:textId="77777777" w:rsidTr="00F12615">
        <w:trPr>
          <w:cantSplit/>
        </w:trPr>
        <w:tc>
          <w:tcPr>
            <w:tcW w:w="2671" w:type="dxa"/>
          </w:tcPr>
          <w:p w14:paraId="0D9CB47F" w14:textId="77777777" w:rsidR="00921922" w:rsidRPr="0098470E" w:rsidRDefault="00921922" w:rsidP="00603215">
            <w:pPr>
              <w:pStyle w:val="DHHStabletext"/>
            </w:pPr>
            <w:r w:rsidRPr="0098470E">
              <w:t>Numerator</w:t>
            </w:r>
          </w:p>
        </w:tc>
        <w:tc>
          <w:tcPr>
            <w:tcW w:w="6628" w:type="dxa"/>
          </w:tcPr>
          <w:p w14:paraId="4FC523F5" w14:textId="15D0A4BF" w:rsidR="00921922" w:rsidRPr="00E15D54" w:rsidRDefault="00921922" w:rsidP="00603215">
            <w:pPr>
              <w:pStyle w:val="DHHStabletext"/>
            </w:pPr>
            <w:r w:rsidRPr="00E15D54">
              <w:t xml:space="preserve">Percentage of staff with a positive response to the question: </w:t>
            </w:r>
            <w:r w:rsidR="0065349B">
              <w:t>‘</w:t>
            </w:r>
            <w:r w:rsidRPr="00E15D54">
              <w:t>Management is driving us to be a safety-centred organisation</w:t>
            </w:r>
            <w:r w:rsidR="0065349B">
              <w:t>’.</w:t>
            </w:r>
          </w:p>
        </w:tc>
      </w:tr>
      <w:tr w:rsidR="00921922" w:rsidRPr="0098470E" w14:paraId="0A8C1447" w14:textId="77777777" w:rsidTr="00F12615">
        <w:trPr>
          <w:cantSplit/>
        </w:trPr>
        <w:tc>
          <w:tcPr>
            <w:tcW w:w="2671" w:type="dxa"/>
          </w:tcPr>
          <w:p w14:paraId="230845CE" w14:textId="77777777" w:rsidR="00921922" w:rsidRPr="0098470E" w:rsidRDefault="00921922" w:rsidP="00603215">
            <w:pPr>
              <w:pStyle w:val="DHHStabletext"/>
            </w:pPr>
            <w:r w:rsidRPr="0098470E">
              <w:t xml:space="preserve">Denominator </w:t>
            </w:r>
          </w:p>
        </w:tc>
        <w:tc>
          <w:tcPr>
            <w:tcW w:w="6628" w:type="dxa"/>
          </w:tcPr>
          <w:p w14:paraId="0F6AAD6E" w14:textId="77777777" w:rsidR="00921922" w:rsidRPr="00E15D54" w:rsidRDefault="00921922" w:rsidP="00603215">
            <w:pPr>
              <w:pStyle w:val="DHHStabletext"/>
            </w:pPr>
            <w:r w:rsidRPr="00E15D54">
              <w:t xml:space="preserve">The total number of </w:t>
            </w:r>
            <w:r>
              <w:t>‘</w:t>
            </w:r>
            <w:r w:rsidRPr="00E15D54">
              <w:t>agree</w:t>
            </w:r>
            <w:r>
              <w:t>’</w:t>
            </w:r>
            <w:r w:rsidRPr="00E15D54">
              <w:t xml:space="preserve">, </w:t>
            </w:r>
            <w:r>
              <w:t>‘</w:t>
            </w:r>
            <w:r w:rsidRPr="00E15D54">
              <w:t>strongly agree</w:t>
            </w:r>
            <w:r>
              <w:t>’</w:t>
            </w:r>
            <w:r w:rsidRPr="00E15D54">
              <w:t xml:space="preserve">, </w:t>
            </w:r>
            <w:r>
              <w:t>‘</w:t>
            </w:r>
            <w:r w:rsidRPr="00E15D54">
              <w:t>disagree</w:t>
            </w:r>
            <w:r>
              <w:t>’</w:t>
            </w:r>
            <w:r w:rsidRPr="00E15D54">
              <w:t xml:space="preserve"> or </w:t>
            </w:r>
            <w:r>
              <w:t>‘</w:t>
            </w:r>
            <w:r w:rsidRPr="00E15D54">
              <w:t>strongly disagree</w:t>
            </w:r>
            <w:r>
              <w:t>’</w:t>
            </w:r>
            <w:r w:rsidRPr="00E15D54">
              <w:t xml:space="preserve"> responses to the assessed question.</w:t>
            </w:r>
          </w:p>
        </w:tc>
      </w:tr>
      <w:tr w:rsidR="00921922" w:rsidRPr="0098470E" w14:paraId="2EEA65D3" w14:textId="77777777" w:rsidTr="00F12615">
        <w:trPr>
          <w:cantSplit/>
        </w:trPr>
        <w:tc>
          <w:tcPr>
            <w:tcW w:w="2671" w:type="dxa"/>
          </w:tcPr>
          <w:p w14:paraId="3AF2ADED" w14:textId="77777777" w:rsidR="00921922" w:rsidRPr="0098470E" w:rsidRDefault="00921922" w:rsidP="00603215">
            <w:pPr>
              <w:pStyle w:val="DHHStabletext"/>
            </w:pPr>
            <w:r w:rsidRPr="0098470E">
              <w:t>Statewide target</w:t>
            </w:r>
          </w:p>
        </w:tc>
        <w:tc>
          <w:tcPr>
            <w:tcW w:w="6628" w:type="dxa"/>
          </w:tcPr>
          <w:p w14:paraId="0B07378A" w14:textId="77777777" w:rsidR="00921922" w:rsidRPr="00E15D54" w:rsidRDefault="00921922" w:rsidP="00603215">
            <w:pPr>
              <w:pStyle w:val="DHHStabletext"/>
            </w:pPr>
            <w:r w:rsidRPr="00E15D54">
              <w:t>80%</w:t>
            </w:r>
          </w:p>
        </w:tc>
      </w:tr>
      <w:tr w:rsidR="00E90723" w:rsidRPr="0098470E" w14:paraId="69B42871" w14:textId="77777777" w:rsidTr="00E90723">
        <w:trPr>
          <w:cantSplit/>
        </w:trPr>
        <w:tc>
          <w:tcPr>
            <w:tcW w:w="2671" w:type="dxa"/>
          </w:tcPr>
          <w:p w14:paraId="71512E6F" w14:textId="77777777" w:rsidR="00E90723" w:rsidRPr="0098470E" w:rsidRDefault="00E90723" w:rsidP="00603215">
            <w:pPr>
              <w:pStyle w:val="DHHStabletext"/>
            </w:pPr>
            <w:r w:rsidRPr="0098470E">
              <w:t xml:space="preserve">Achievement </w:t>
            </w:r>
          </w:p>
        </w:tc>
        <w:tc>
          <w:tcPr>
            <w:tcW w:w="6628" w:type="dxa"/>
          </w:tcPr>
          <w:p w14:paraId="3887FB8B" w14:textId="7A8CB016" w:rsidR="00E90723" w:rsidRPr="00E90723" w:rsidRDefault="00E90723" w:rsidP="00E90723">
            <w:pPr>
              <w:pStyle w:val="DHHStabletext92mmtab"/>
            </w:pPr>
            <w:r w:rsidRPr="00E90723">
              <w:t>Equal to or greater than 80%</w:t>
            </w:r>
            <w:r>
              <w:tab/>
            </w:r>
            <w:r w:rsidRPr="00E90723">
              <w:t>Achieved</w:t>
            </w:r>
          </w:p>
          <w:p w14:paraId="13597397" w14:textId="40524BA2" w:rsidR="00E90723" w:rsidRPr="00E90723" w:rsidRDefault="00E90723" w:rsidP="00E90723">
            <w:pPr>
              <w:pStyle w:val="DHHStabletext92mmtab"/>
            </w:pPr>
            <w:r w:rsidRPr="00E90723">
              <w:t>Less than 80%</w:t>
            </w:r>
            <w:r>
              <w:tab/>
            </w:r>
            <w:r w:rsidRPr="00E90723">
              <w:t>Not achieved</w:t>
            </w:r>
          </w:p>
        </w:tc>
      </w:tr>
    </w:tbl>
    <w:p w14:paraId="23D96B53" w14:textId="441755EE" w:rsidR="00921922" w:rsidRPr="0098470E" w:rsidRDefault="00F12615" w:rsidP="00F12615">
      <w:pPr>
        <w:pStyle w:val="DHHStablecaption"/>
      </w:pPr>
      <w:r>
        <w:lastRenderedPageBreak/>
        <w:t xml:space="preserve">Indicator: </w:t>
      </w:r>
      <w:r w:rsidR="00101E11" w:rsidRPr="0064437D">
        <w:t>The culture in my work area makes it easy to learn from the errors of others</w:t>
      </w:r>
    </w:p>
    <w:tbl>
      <w:tblPr>
        <w:tblStyle w:val="TableGrid"/>
        <w:tblW w:w="9299" w:type="dxa"/>
        <w:tblLook w:val="06A0" w:firstRow="1" w:lastRow="0" w:firstColumn="1" w:lastColumn="0" w:noHBand="1" w:noVBand="1"/>
      </w:tblPr>
      <w:tblGrid>
        <w:gridCol w:w="2671"/>
        <w:gridCol w:w="6628"/>
      </w:tblGrid>
      <w:tr w:rsidR="00D97737" w:rsidRPr="0098470E" w14:paraId="40B42D64"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671" w:type="dxa"/>
          </w:tcPr>
          <w:p w14:paraId="66F71EA6" w14:textId="5856A6E6" w:rsidR="00D97737" w:rsidRPr="0064437D" w:rsidRDefault="00D97737" w:rsidP="00D97737">
            <w:pPr>
              <w:pStyle w:val="DHHStablecolhead"/>
            </w:pPr>
            <w:r>
              <w:t>Element</w:t>
            </w:r>
          </w:p>
        </w:tc>
        <w:tc>
          <w:tcPr>
            <w:tcW w:w="6628" w:type="dxa"/>
          </w:tcPr>
          <w:p w14:paraId="315FBBCB" w14:textId="332A51DC" w:rsidR="00D97737" w:rsidRPr="0064437D" w:rsidRDefault="00D97737" w:rsidP="00D97737">
            <w:pPr>
              <w:pStyle w:val="DHHStablecolhead"/>
            </w:pPr>
            <w:r>
              <w:t>Details</w:t>
            </w:r>
          </w:p>
        </w:tc>
      </w:tr>
      <w:tr w:rsidR="00921922" w:rsidRPr="0098470E" w14:paraId="05CB5F11" w14:textId="77777777" w:rsidTr="00F12615">
        <w:trPr>
          <w:cantSplit/>
        </w:trPr>
        <w:tc>
          <w:tcPr>
            <w:tcW w:w="2671" w:type="dxa"/>
          </w:tcPr>
          <w:p w14:paraId="5B3E3C94" w14:textId="77777777" w:rsidR="00921922" w:rsidRPr="0098470E" w:rsidRDefault="00921922" w:rsidP="00603215">
            <w:pPr>
              <w:pStyle w:val="DHHStabletext"/>
            </w:pPr>
            <w:r w:rsidRPr="0098470E">
              <w:t>Numerator</w:t>
            </w:r>
          </w:p>
        </w:tc>
        <w:tc>
          <w:tcPr>
            <w:tcW w:w="6628" w:type="dxa"/>
          </w:tcPr>
          <w:p w14:paraId="7DA6DF24" w14:textId="1265E886" w:rsidR="00921922" w:rsidRPr="0098470E" w:rsidRDefault="00921922" w:rsidP="00603215">
            <w:pPr>
              <w:pStyle w:val="DHHStabletext"/>
            </w:pPr>
            <w:r w:rsidRPr="0098470E">
              <w:t xml:space="preserve">The number of </w:t>
            </w:r>
            <w:r>
              <w:t>‘</w:t>
            </w:r>
            <w:r w:rsidRPr="0098470E">
              <w:t>agree</w:t>
            </w:r>
            <w:r>
              <w:t>’</w:t>
            </w:r>
            <w:r w:rsidRPr="0098470E">
              <w:t xml:space="preserve"> or </w:t>
            </w:r>
            <w:r>
              <w:t>‘</w:t>
            </w:r>
            <w:r w:rsidRPr="0098470E">
              <w:t>strongly agree</w:t>
            </w:r>
            <w:r>
              <w:t>’</w:t>
            </w:r>
            <w:r w:rsidRPr="0098470E">
              <w:t xml:space="preserve"> responses to the People Matter survey question: </w:t>
            </w:r>
            <w:r w:rsidR="00740176">
              <w:t>‘</w:t>
            </w:r>
            <w:r w:rsidRPr="0098470E">
              <w:t>The culture in my work area makes it easy to learn from the errors of others</w:t>
            </w:r>
            <w:r w:rsidR="00740176">
              <w:t>’.</w:t>
            </w:r>
          </w:p>
        </w:tc>
      </w:tr>
      <w:tr w:rsidR="00921922" w:rsidRPr="0098470E" w14:paraId="1A4BFC12" w14:textId="77777777" w:rsidTr="00F12615">
        <w:trPr>
          <w:cantSplit/>
        </w:trPr>
        <w:tc>
          <w:tcPr>
            <w:tcW w:w="2671" w:type="dxa"/>
          </w:tcPr>
          <w:p w14:paraId="660AD3BC" w14:textId="3C8E6D66" w:rsidR="00921922" w:rsidRPr="0098470E" w:rsidRDefault="00921922" w:rsidP="00603215">
            <w:pPr>
              <w:pStyle w:val="DHHStabletext"/>
            </w:pPr>
            <w:r w:rsidRPr="0098470E">
              <w:t>Denominator</w:t>
            </w:r>
          </w:p>
        </w:tc>
        <w:tc>
          <w:tcPr>
            <w:tcW w:w="6628" w:type="dxa"/>
          </w:tcPr>
          <w:p w14:paraId="4869B4DA" w14:textId="77777777" w:rsidR="00921922" w:rsidRPr="0098470E" w:rsidRDefault="00921922" w:rsidP="00603215">
            <w:pPr>
              <w:pStyle w:val="DHHStabletext"/>
            </w:pPr>
            <w:r w:rsidRPr="0098470E">
              <w:t xml:space="preserve">The total number of </w:t>
            </w:r>
            <w:r>
              <w:t>‘</w:t>
            </w:r>
            <w:r w:rsidRPr="0098470E">
              <w:t>agree</w:t>
            </w:r>
            <w:r>
              <w:t>’</w:t>
            </w:r>
            <w:r w:rsidRPr="0098470E">
              <w:t xml:space="preserve">, </w:t>
            </w:r>
            <w:r>
              <w:t>‘</w:t>
            </w:r>
            <w:r w:rsidRPr="0098470E">
              <w:t>strongly agree</w:t>
            </w:r>
            <w:r>
              <w:t>’</w:t>
            </w:r>
            <w:r w:rsidRPr="0098470E">
              <w:t xml:space="preserve">, </w:t>
            </w:r>
            <w:r>
              <w:t>‘</w:t>
            </w:r>
            <w:r w:rsidRPr="0098470E">
              <w:t>disagree</w:t>
            </w:r>
            <w:r>
              <w:t>’</w:t>
            </w:r>
            <w:r w:rsidRPr="0098470E">
              <w:t xml:space="preserve"> or </w:t>
            </w:r>
            <w:r>
              <w:t>‘</w:t>
            </w:r>
            <w:r w:rsidRPr="0098470E">
              <w:t>strongly disagree</w:t>
            </w:r>
            <w:r>
              <w:t>’</w:t>
            </w:r>
            <w:r w:rsidRPr="0098470E">
              <w:t xml:space="preserve"> responses to the assessed question.</w:t>
            </w:r>
          </w:p>
        </w:tc>
      </w:tr>
      <w:tr w:rsidR="00921922" w:rsidRPr="0098470E" w14:paraId="6BDA645A" w14:textId="77777777" w:rsidTr="00F12615">
        <w:trPr>
          <w:cantSplit/>
        </w:trPr>
        <w:tc>
          <w:tcPr>
            <w:tcW w:w="2671" w:type="dxa"/>
          </w:tcPr>
          <w:p w14:paraId="7011EF17" w14:textId="77777777" w:rsidR="00921922" w:rsidRPr="0098470E" w:rsidRDefault="00921922" w:rsidP="00603215">
            <w:pPr>
              <w:pStyle w:val="DHHStabletext"/>
            </w:pPr>
            <w:r w:rsidRPr="0098470E">
              <w:t>Statewide target</w:t>
            </w:r>
          </w:p>
        </w:tc>
        <w:tc>
          <w:tcPr>
            <w:tcW w:w="6628" w:type="dxa"/>
          </w:tcPr>
          <w:p w14:paraId="7B0E3A2A" w14:textId="77777777" w:rsidR="00921922" w:rsidRPr="0098470E" w:rsidRDefault="00921922" w:rsidP="00603215">
            <w:pPr>
              <w:pStyle w:val="DHHStabletext"/>
            </w:pPr>
            <w:r w:rsidRPr="0098470E">
              <w:t>80%</w:t>
            </w:r>
          </w:p>
        </w:tc>
      </w:tr>
      <w:tr w:rsidR="00E90723" w:rsidRPr="0098470E" w14:paraId="56553613" w14:textId="77777777" w:rsidTr="00E90723">
        <w:trPr>
          <w:cantSplit/>
        </w:trPr>
        <w:tc>
          <w:tcPr>
            <w:tcW w:w="2671" w:type="dxa"/>
          </w:tcPr>
          <w:p w14:paraId="3448BDB8" w14:textId="3CFB4B8A" w:rsidR="00E90723" w:rsidRPr="0098470E" w:rsidRDefault="00E90723" w:rsidP="00603215">
            <w:pPr>
              <w:pStyle w:val="DHHStabletext"/>
            </w:pPr>
            <w:r w:rsidRPr="0098470E">
              <w:t>Achievement</w:t>
            </w:r>
          </w:p>
        </w:tc>
        <w:tc>
          <w:tcPr>
            <w:tcW w:w="6628" w:type="dxa"/>
          </w:tcPr>
          <w:p w14:paraId="210CB323" w14:textId="597539F2" w:rsidR="00E90723" w:rsidRPr="00E90723" w:rsidRDefault="00E90723" w:rsidP="00E90723">
            <w:pPr>
              <w:pStyle w:val="DHHStabletext92mmtab"/>
              <w:rPr>
                <w:i/>
                <w:iCs/>
              </w:rPr>
            </w:pPr>
            <w:r w:rsidRPr="00E90723">
              <w:t>Equal to or greater than 80%</w:t>
            </w:r>
            <w:r w:rsidRPr="00E90723">
              <w:tab/>
              <w:t>Achieved</w:t>
            </w:r>
          </w:p>
          <w:p w14:paraId="386D5B52" w14:textId="163CFE7A" w:rsidR="00E90723" w:rsidRPr="0098470E" w:rsidRDefault="00E90723" w:rsidP="00E90723">
            <w:pPr>
              <w:pStyle w:val="DHHStabletext92mmtab"/>
              <w:rPr>
                <w:b/>
                <w:bCs/>
                <w:i/>
                <w:iCs/>
              </w:rPr>
            </w:pPr>
            <w:r w:rsidRPr="00E90723">
              <w:t>Less than 80%</w:t>
            </w:r>
            <w:r w:rsidRPr="00E90723">
              <w:tab/>
              <w:t>Not achieved</w:t>
            </w:r>
          </w:p>
        </w:tc>
      </w:tr>
    </w:tbl>
    <w:p w14:paraId="283815D4" w14:textId="46B25B67" w:rsidR="00921922" w:rsidRPr="0098470E" w:rsidRDefault="00F12615" w:rsidP="00F12615">
      <w:pPr>
        <w:pStyle w:val="DHHStablecaption"/>
      </w:pPr>
      <w:r>
        <w:t xml:space="preserve">Indicator: </w:t>
      </w:r>
      <w:r w:rsidR="00101E11" w:rsidRPr="0064437D">
        <w:t>This health service does a good job of training new and existing staff</w:t>
      </w:r>
    </w:p>
    <w:tbl>
      <w:tblPr>
        <w:tblStyle w:val="TableGrid"/>
        <w:tblW w:w="9299" w:type="dxa"/>
        <w:tblLook w:val="06A0" w:firstRow="1" w:lastRow="0" w:firstColumn="1" w:lastColumn="0" w:noHBand="1" w:noVBand="1"/>
      </w:tblPr>
      <w:tblGrid>
        <w:gridCol w:w="2671"/>
        <w:gridCol w:w="6628"/>
      </w:tblGrid>
      <w:tr w:rsidR="00D97737" w:rsidRPr="0098470E" w14:paraId="194E0E95"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671" w:type="dxa"/>
          </w:tcPr>
          <w:p w14:paraId="0AAA30F3" w14:textId="7D5EAF89" w:rsidR="00D97737" w:rsidRPr="0064437D" w:rsidRDefault="00D97737" w:rsidP="00D97737">
            <w:pPr>
              <w:pStyle w:val="DHHStablecolhead"/>
            </w:pPr>
            <w:r>
              <w:t>Element</w:t>
            </w:r>
          </w:p>
        </w:tc>
        <w:tc>
          <w:tcPr>
            <w:tcW w:w="6628" w:type="dxa"/>
          </w:tcPr>
          <w:p w14:paraId="3E247FF7" w14:textId="5622E927" w:rsidR="00D97737" w:rsidRPr="0064437D" w:rsidRDefault="00D97737" w:rsidP="00D97737">
            <w:pPr>
              <w:pStyle w:val="DHHStablecolhead"/>
            </w:pPr>
            <w:r>
              <w:t>Details</w:t>
            </w:r>
          </w:p>
        </w:tc>
      </w:tr>
      <w:tr w:rsidR="00921922" w:rsidRPr="0098470E" w14:paraId="7E39E45E" w14:textId="77777777" w:rsidTr="00F12615">
        <w:trPr>
          <w:cantSplit/>
        </w:trPr>
        <w:tc>
          <w:tcPr>
            <w:tcW w:w="2671" w:type="dxa"/>
          </w:tcPr>
          <w:p w14:paraId="62923A86" w14:textId="77777777" w:rsidR="00921922" w:rsidRPr="0098470E" w:rsidRDefault="00921922" w:rsidP="00603215">
            <w:pPr>
              <w:pStyle w:val="DHHStabletext"/>
            </w:pPr>
            <w:r w:rsidRPr="0098470E">
              <w:t>Numerator</w:t>
            </w:r>
          </w:p>
        </w:tc>
        <w:tc>
          <w:tcPr>
            <w:tcW w:w="6628" w:type="dxa"/>
          </w:tcPr>
          <w:p w14:paraId="1EDC2310" w14:textId="72A85AC2" w:rsidR="00921922" w:rsidRPr="00D5797B" w:rsidRDefault="00921922" w:rsidP="00603215">
            <w:pPr>
              <w:pStyle w:val="DHHStabletext"/>
            </w:pPr>
            <w:r w:rsidRPr="00D5797B">
              <w:t xml:space="preserve">Percentage of staff with a positive response to the safety culture question: </w:t>
            </w:r>
            <w:r w:rsidR="00740176">
              <w:t>‘</w:t>
            </w:r>
            <w:r w:rsidRPr="00D5797B">
              <w:t>This health service does a good job of training new and existing staff</w:t>
            </w:r>
            <w:r w:rsidR="00740176">
              <w:t>’.</w:t>
            </w:r>
          </w:p>
        </w:tc>
      </w:tr>
      <w:tr w:rsidR="00921922" w:rsidRPr="0098470E" w14:paraId="10EFD322" w14:textId="77777777" w:rsidTr="00F12615">
        <w:trPr>
          <w:cantSplit/>
        </w:trPr>
        <w:tc>
          <w:tcPr>
            <w:tcW w:w="2671" w:type="dxa"/>
          </w:tcPr>
          <w:p w14:paraId="0DFAD5E6" w14:textId="6B587BB3" w:rsidR="00921922" w:rsidRPr="0098470E" w:rsidRDefault="00921922" w:rsidP="00603215">
            <w:pPr>
              <w:pStyle w:val="DHHStabletext"/>
            </w:pPr>
            <w:r w:rsidRPr="0098470E">
              <w:t>Denominator</w:t>
            </w:r>
          </w:p>
        </w:tc>
        <w:tc>
          <w:tcPr>
            <w:tcW w:w="6628" w:type="dxa"/>
          </w:tcPr>
          <w:p w14:paraId="6AEC93D2" w14:textId="77777777" w:rsidR="00921922" w:rsidRPr="0098470E" w:rsidRDefault="00921922" w:rsidP="00603215">
            <w:pPr>
              <w:pStyle w:val="DHHStabletext"/>
            </w:pPr>
            <w:r w:rsidRPr="0098470E">
              <w:t xml:space="preserve">The total number of </w:t>
            </w:r>
            <w:r>
              <w:t>‘</w:t>
            </w:r>
            <w:r w:rsidRPr="0098470E">
              <w:t>agree</w:t>
            </w:r>
            <w:r>
              <w:t>’</w:t>
            </w:r>
            <w:r w:rsidRPr="0098470E">
              <w:t xml:space="preserve">, </w:t>
            </w:r>
            <w:r>
              <w:t>‘</w:t>
            </w:r>
            <w:r w:rsidRPr="0098470E">
              <w:t>strongly agree</w:t>
            </w:r>
            <w:r>
              <w:t>’</w:t>
            </w:r>
            <w:r w:rsidRPr="0098470E">
              <w:t xml:space="preserve">, </w:t>
            </w:r>
            <w:r>
              <w:t>‘</w:t>
            </w:r>
            <w:r w:rsidRPr="0098470E">
              <w:t>disagree</w:t>
            </w:r>
            <w:r>
              <w:t>’</w:t>
            </w:r>
            <w:r w:rsidRPr="0098470E">
              <w:t xml:space="preserve"> or </w:t>
            </w:r>
            <w:r>
              <w:t>‘</w:t>
            </w:r>
            <w:r w:rsidRPr="0098470E">
              <w:t>strongly disagree</w:t>
            </w:r>
            <w:r>
              <w:t>’</w:t>
            </w:r>
            <w:r w:rsidRPr="0098470E">
              <w:t xml:space="preserve"> responses to the assessed question.</w:t>
            </w:r>
          </w:p>
        </w:tc>
      </w:tr>
      <w:tr w:rsidR="00921922" w:rsidRPr="0098470E" w14:paraId="6AAE2B62" w14:textId="77777777" w:rsidTr="00F12615">
        <w:trPr>
          <w:cantSplit/>
        </w:trPr>
        <w:tc>
          <w:tcPr>
            <w:tcW w:w="2671" w:type="dxa"/>
          </w:tcPr>
          <w:p w14:paraId="5B836BEF" w14:textId="77777777" w:rsidR="00921922" w:rsidRPr="0098470E" w:rsidRDefault="00921922" w:rsidP="00603215">
            <w:pPr>
              <w:pStyle w:val="DHHStabletext"/>
            </w:pPr>
            <w:r w:rsidRPr="0098470E">
              <w:t>Statewide target</w:t>
            </w:r>
          </w:p>
        </w:tc>
        <w:tc>
          <w:tcPr>
            <w:tcW w:w="6628" w:type="dxa"/>
          </w:tcPr>
          <w:p w14:paraId="5BD08C96" w14:textId="77777777" w:rsidR="00921922" w:rsidRPr="0098470E" w:rsidRDefault="00921922" w:rsidP="00603215">
            <w:pPr>
              <w:pStyle w:val="DHHStabletext"/>
            </w:pPr>
            <w:r w:rsidRPr="0098470E">
              <w:t>80%</w:t>
            </w:r>
          </w:p>
        </w:tc>
      </w:tr>
      <w:tr w:rsidR="00E90723" w:rsidRPr="0098470E" w14:paraId="45A470E3" w14:textId="77777777" w:rsidTr="00E90723">
        <w:trPr>
          <w:cantSplit/>
        </w:trPr>
        <w:tc>
          <w:tcPr>
            <w:tcW w:w="2671" w:type="dxa"/>
          </w:tcPr>
          <w:p w14:paraId="36C34716" w14:textId="0F8DBB79" w:rsidR="00E90723" w:rsidRPr="0098470E" w:rsidRDefault="00E90723" w:rsidP="00603215">
            <w:pPr>
              <w:pStyle w:val="DHHStabletext"/>
            </w:pPr>
            <w:r w:rsidRPr="0098470E">
              <w:t>Achievement</w:t>
            </w:r>
          </w:p>
        </w:tc>
        <w:tc>
          <w:tcPr>
            <w:tcW w:w="6628" w:type="dxa"/>
          </w:tcPr>
          <w:p w14:paraId="0AD5DACF" w14:textId="2A849C9D" w:rsidR="00E90723" w:rsidRPr="009D6E80" w:rsidRDefault="00E90723" w:rsidP="00E90723">
            <w:pPr>
              <w:pStyle w:val="DHHStabletext92mmtab"/>
              <w:rPr>
                <w:bCs/>
                <w:i/>
                <w:iCs/>
              </w:rPr>
            </w:pPr>
            <w:r w:rsidRPr="0098470E">
              <w:t>Equal to or greater than 80%</w:t>
            </w:r>
            <w:r>
              <w:tab/>
            </w:r>
            <w:r w:rsidRPr="009D6E80">
              <w:t>Achieved</w:t>
            </w:r>
          </w:p>
          <w:p w14:paraId="79B8E7E0" w14:textId="08775B81" w:rsidR="00E90723" w:rsidRPr="009D6E80" w:rsidRDefault="00E90723" w:rsidP="00E90723">
            <w:pPr>
              <w:pStyle w:val="DHHStabletext92mmtab"/>
              <w:rPr>
                <w:bCs/>
                <w:i/>
                <w:iCs/>
              </w:rPr>
            </w:pPr>
            <w:r w:rsidRPr="0098470E">
              <w:t>Less than 80%</w:t>
            </w:r>
            <w:r>
              <w:tab/>
            </w:r>
            <w:r w:rsidRPr="009D6E80">
              <w:t>Not achieved</w:t>
            </w:r>
          </w:p>
        </w:tc>
      </w:tr>
    </w:tbl>
    <w:p w14:paraId="4B080BFC" w14:textId="463106EC" w:rsidR="00921922" w:rsidRPr="0098470E" w:rsidRDefault="00F12615" w:rsidP="00F12615">
      <w:pPr>
        <w:pStyle w:val="DHHStablecaption"/>
      </w:pPr>
      <w:r>
        <w:t xml:space="preserve">Indicator: </w:t>
      </w:r>
      <w:r w:rsidR="00101E11" w:rsidRPr="0098470E">
        <w:t>Trainees in my discipline are adequately supervised</w:t>
      </w:r>
    </w:p>
    <w:tbl>
      <w:tblPr>
        <w:tblStyle w:val="TableGrid"/>
        <w:tblW w:w="9299" w:type="dxa"/>
        <w:tblLook w:val="06A0" w:firstRow="1" w:lastRow="0" w:firstColumn="1" w:lastColumn="0" w:noHBand="1" w:noVBand="1"/>
      </w:tblPr>
      <w:tblGrid>
        <w:gridCol w:w="2671"/>
        <w:gridCol w:w="6628"/>
      </w:tblGrid>
      <w:tr w:rsidR="00D97737" w:rsidRPr="0098470E" w14:paraId="3181A1F7"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671" w:type="dxa"/>
          </w:tcPr>
          <w:p w14:paraId="0EC09D83" w14:textId="35134119" w:rsidR="00D97737" w:rsidRPr="0098470E" w:rsidRDefault="00D97737" w:rsidP="00D97737">
            <w:pPr>
              <w:pStyle w:val="DHHStablecolhead"/>
            </w:pPr>
            <w:r>
              <w:t>Element</w:t>
            </w:r>
          </w:p>
        </w:tc>
        <w:tc>
          <w:tcPr>
            <w:tcW w:w="6628" w:type="dxa"/>
          </w:tcPr>
          <w:p w14:paraId="0E6771B3" w14:textId="4572D7FB" w:rsidR="00D97737" w:rsidRPr="00E15D54" w:rsidRDefault="00D97737" w:rsidP="00D97737">
            <w:pPr>
              <w:pStyle w:val="DHHStablecolhead"/>
            </w:pPr>
            <w:r>
              <w:t>Details</w:t>
            </w:r>
          </w:p>
        </w:tc>
      </w:tr>
      <w:tr w:rsidR="00921922" w:rsidRPr="0098470E" w14:paraId="24CD5C41" w14:textId="77777777" w:rsidTr="00F12615">
        <w:trPr>
          <w:cantSplit/>
        </w:trPr>
        <w:tc>
          <w:tcPr>
            <w:tcW w:w="2671" w:type="dxa"/>
          </w:tcPr>
          <w:p w14:paraId="552F5493" w14:textId="77777777" w:rsidR="00921922" w:rsidRPr="0098470E" w:rsidRDefault="00921922" w:rsidP="00603215">
            <w:pPr>
              <w:pStyle w:val="DHHStabletext"/>
            </w:pPr>
            <w:r w:rsidRPr="0098470E">
              <w:t>Numerator</w:t>
            </w:r>
          </w:p>
        </w:tc>
        <w:tc>
          <w:tcPr>
            <w:tcW w:w="6628" w:type="dxa"/>
          </w:tcPr>
          <w:p w14:paraId="13CC6F0F" w14:textId="162ADF87" w:rsidR="00921922" w:rsidRPr="00E15D54" w:rsidRDefault="00921922" w:rsidP="00603215">
            <w:pPr>
              <w:pStyle w:val="DHHStabletext"/>
            </w:pPr>
            <w:r w:rsidRPr="00E15D54">
              <w:t xml:space="preserve">Percentage of staff with a positive response to the safety culture question: </w:t>
            </w:r>
            <w:r w:rsidR="00740176">
              <w:t>‘</w:t>
            </w:r>
            <w:r w:rsidRPr="00E15D54">
              <w:t>Trainees in my discipline are adequately supervised</w:t>
            </w:r>
            <w:r w:rsidR="00740176">
              <w:t>’.</w:t>
            </w:r>
          </w:p>
        </w:tc>
      </w:tr>
      <w:tr w:rsidR="00921922" w:rsidRPr="0098470E" w14:paraId="01FD1DBC" w14:textId="77777777" w:rsidTr="00F12615">
        <w:trPr>
          <w:cantSplit/>
        </w:trPr>
        <w:tc>
          <w:tcPr>
            <w:tcW w:w="2671" w:type="dxa"/>
          </w:tcPr>
          <w:p w14:paraId="7559003A" w14:textId="56AAA3BD" w:rsidR="00921922" w:rsidRPr="0098470E" w:rsidRDefault="00921922" w:rsidP="00603215">
            <w:pPr>
              <w:pStyle w:val="DHHStabletext"/>
            </w:pPr>
            <w:r w:rsidRPr="0098470E">
              <w:t>Denominator</w:t>
            </w:r>
          </w:p>
        </w:tc>
        <w:tc>
          <w:tcPr>
            <w:tcW w:w="6628" w:type="dxa"/>
          </w:tcPr>
          <w:p w14:paraId="726AB05F" w14:textId="77777777" w:rsidR="00921922" w:rsidRPr="0098470E" w:rsidRDefault="00921922" w:rsidP="00603215">
            <w:pPr>
              <w:pStyle w:val="DHHStabletext"/>
            </w:pPr>
            <w:r w:rsidRPr="0098470E">
              <w:t xml:space="preserve">The total number of </w:t>
            </w:r>
            <w:r>
              <w:t>‘</w:t>
            </w:r>
            <w:r w:rsidRPr="0098470E">
              <w:t>agree</w:t>
            </w:r>
            <w:r>
              <w:t>’</w:t>
            </w:r>
            <w:r w:rsidRPr="0098470E">
              <w:t xml:space="preserve">, </w:t>
            </w:r>
            <w:r>
              <w:t>‘</w:t>
            </w:r>
            <w:r w:rsidRPr="0098470E">
              <w:t>strongly agree</w:t>
            </w:r>
            <w:r>
              <w:t>’</w:t>
            </w:r>
            <w:r w:rsidRPr="0098470E">
              <w:t xml:space="preserve">, </w:t>
            </w:r>
            <w:r>
              <w:t>‘</w:t>
            </w:r>
            <w:r w:rsidRPr="0098470E">
              <w:t>disagree</w:t>
            </w:r>
            <w:r>
              <w:t>’</w:t>
            </w:r>
            <w:r w:rsidRPr="0098470E">
              <w:t xml:space="preserve"> or </w:t>
            </w:r>
            <w:r>
              <w:t>‘</w:t>
            </w:r>
            <w:r w:rsidRPr="0098470E">
              <w:t>strongly disagree</w:t>
            </w:r>
            <w:r>
              <w:t>’</w:t>
            </w:r>
            <w:r w:rsidRPr="0098470E">
              <w:t xml:space="preserve"> responses to the assessed question.</w:t>
            </w:r>
          </w:p>
        </w:tc>
      </w:tr>
      <w:tr w:rsidR="00921922" w:rsidRPr="0098470E" w14:paraId="748AEB83" w14:textId="77777777" w:rsidTr="00F12615">
        <w:trPr>
          <w:cantSplit/>
        </w:trPr>
        <w:tc>
          <w:tcPr>
            <w:tcW w:w="2671" w:type="dxa"/>
          </w:tcPr>
          <w:p w14:paraId="666A5417" w14:textId="77777777" w:rsidR="00921922" w:rsidRPr="0098470E" w:rsidRDefault="00921922" w:rsidP="00603215">
            <w:pPr>
              <w:pStyle w:val="DHHStabletext"/>
            </w:pPr>
            <w:r w:rsidRPr="0098470E">
              <w:t>Statewide target</w:t>
            </w:r>
          </w:p>
        </w:tc>
        <w:tc>
          <w:tcPr>
            <w:tcW w:w="6628" w:type="dxa"/>
          </w:tcPr>
          <w:p w14:paraId="1828E94D" w14:textId="77777777" w:rsidR="00921922" w:rsidRPr="0098470E" w:rsidRDefault="00921922" w:rsidP="00603215">
            <w:pPr>
              <w:pStyle w:val="DHHStabletext"/>
            </w:pPr>
            <w:r w:rsidRPr="0098470E">
              <w:t>80%</w:t>
            </w:r>
          </w:p>
        </w:tc>
      </w:tr>
      <w:tr w:rsidR="00E90723" w:rsidRPr="0098470E" w14:paraId="06FFA921" w14:textId="77777777" w:rsidTr="00E90723">
        <w:trPr>
          <w:cantSplit/>
        </w:trPr>
        <w:tc>
          <w:tcPr>
            <w:tcW w:w="2671" w:type="dxa"/>
          </w:tcPr>
          <w:p w14:paraId="1079F7CE" w14:textId="4B5DD3F1" w:rsidR="00E90723" w:rsidRPr="0098470E" w:rsidRDefault="00E90723" w:rsidP="00603215">
            <w:pPr>
              <w:pStyle w:val="DHHStabletext"/>
            </w:pPr>
            <w:r w:rsidRPr="0098470E">
              <w:t>Achievement</w:t>
            </w:r>
          </w:p>
        </w:tc>
        <w:tc>
          <w:tcPr>
            <w:tcW w:w="6628" w:type="dxa"/>
          </w:tcPr>
          <w:p w14:paraId="12B9E251" w14:textId="77777777" w:rsidR="00E90723" w:rsidRPr="009D6E80" w:rsidRDefault="00E90723" w:rsidP="00E90723">
            <w:pPr>
              <w:pStyle w:val="DHHStabletext92mmtab"/>
              <w:rPr>
                <w:bCs/>
                <w:i/>
                <w:iCs/>
              </w:rPr>
            </w:pPr>
            <w:r w:rsidRPr="0098470E">
              <w:t>Equal to or greater than 80%</w:t>
            </w:r>
            <w:r>
              <w:tab/>
            </w:r>
            <w:r w:rsidRPr="009D6E80">
              <w:t>Achieved</w:t>
            </w:r>
          </w:p>
          <w:p w14:paraId="35AB4841" w14:textId="002C06B6" w:rsidR="00E90723" w:rsidRPr="0098470E" w:rsidRDefault="00E90723" w:rsidP="00E90723">
            <w:pPr>
              <w:pStyle w:val="DHHStabletext92mmtab"/>
              <w:rPr>
                <w:b/>
                <w:bCs/>
                <w:i/>
                <w:iCs/>
              </w:rPr>
            </w:pPr>
            <w:r w:rsidRPr="0098470E">
              <w:t>Less than 80%</w:t>
            </w:r>
            <w:r>
              <w:tab/>
            </w:r>
            <w:r w:rsidRPr="009D6E80">
              <w:t>Not achieved</w:t>
            </w:r>
          </w:p>
        </w:tc>
      </w:tr>
    </w:tbl>
    <w:p w14:paraId="76878146" w14:textId="6CF0EC97" w:rsidR="00921922" w:rsidRPr="000B4BF3" w:rsidRDefault="00F12615" w:rsidP="00F12615">
      <w:pPr>
        <w:pStyle w:val="DHHStablecaption"/>
      </w:pPr>
      <w:r>
        <w:t xml:space="preserve">Indicator: </w:t>
      </w:r>
      <w:r w:rsidR="00101E11" w:rsidRPr="0098470E">
        <w:t>I would recommend a friend or relative to be treated as a patient here</w:t>
      </w:r>
    </w:p>
    <w:tbl>
      <w:tblPr>
        <w:tblStyle w:val="TableGrid"/>
        <w:tblW w:w="9299" w:type="dxa"/>
        <w:tblLook w:val="06A0" w:firstRow="1" w:lastRow="0" w:firstColumn="1" w:lastColumn="0" w:noHBand="1" w:noVBand="1"/>
      </w:tblPr>
      <w:tblGrid>
        <w:gridCol w:w="2560"/>
        <w:gridCol w:w="6739"/>
      </w:tblGrid>
      <w:tr w:rsidR="00D97737" w:rsidRPr="00E15D54" w14:paraId="5D9F6C7E"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60" w:type="dxa"/>
          </w:tcPr>
          <w:p w14:paraId="47774C8C" w14:textId="73B4BB4B" w:rsidR="00D97737" w:rsidRPr="0098470E" w:rsidRDefault="00D97737" w:rsidP="00D97737">
            <w:pPr>
              <w:pStyle w:val="DHHStablecolhead"/>
            </w:pPr>
            <w:r>
              <w:t>Element</w:t>
            </w:r>
          </w:p>
        </w:tc>
        <w:tc>
          <w:tcPr>
            <w:tcW w:w="6739" w:type="dxa"/>
          </w:tcPr>
          <w:p w14:paraId="46C062E9" w14:textId="560D1F40" w:rsidR="00D97737" w:rsidRPr="00E15D54" w:rsidRDefault="00D97737" w:rsidP="00D97737">
            <w:pPr>
              <w:pStyle w:val="DHHStablecolhead"/>
            </w:pPr>
            <w:r>
              <w:t>Details</w:t>
            </w:r>
          </w:p>
        </w:tc>
      </w:tr>
      <w:tr w:rsidR="00921922" w:rsidRPr="00E15D54" w14:paraId="450D89F0" w14:textId="77777777" w:rsidTr="00F12615">
        <w:trPr>
          <w:cantSplit/>
        </w:trPr>
        <w:tc>
          <w:tcPr>
            <w:tcW w:w="2560" w:type="dxa"/>
          </w:tcPr>
          <w:p w14:paraId="48121489" w14:textId="77777777" w:rsidR="00921922" w:rsidRPr="0098470E" w:rsidRDefault="00921922" w:rsidP="00603215">
            <w:pPr>
              <w:pStyle w:val="DHHStabletext"/>
            </w:pPr>
            <w:r w:rsidRPr="0098470E">
              <w:t>Numerator</w:t>
            </w:r>
          </w:p>
        </w:tc>
        <w:tc>
          <w:tcPr>
            <w:tcW w:w="6739" w:type="dxa"/>
          </w:tcPr>
          <w:p w14:paraId="78AAA1C9" w14:textId="2664E98C" w:rsidR="00921922" w:rsidRPr="00E15D54" w:rsidRDefault="00921922" w:rsidP="00603215">
            <w:pPr>
              <w:pStyle w:val="DHHStabletext"/>
            </w:pPr>
            <w:r w:rsidRPr="00E15D54">
              <w:t xml:space="preserve">Percentage of staff with a positive response to the safety culture question: </w:t>
            </w:r>
            <w:r w:rsidR="00740176">
              <w:t>‘</w:t>
            </w:r>
            <w:r w:rsidRPr="00E15D54">
              <w:t>I would recommend a friend or relative to be treated as a patient here</w:t>
            </w:r>
            <w:r w:rsidR="00740176">
              <w:t>’.</w:t>
            </w:r>
          </w:p>
        </w:tc>
      </w:tr>
      <w:tr w:rsidR="00921922" w:rsidRPr="0098470E" w14:paraId="0A02C922" w14:textId="77777777" w:rsidTr="00F12615">
        <w:trPr>
          <w:cantSplit/>
        </w:trPr>
        <w:tc>
          <w:tcPr>
            <w:tcW w:w="2560" w:type="dxa"/>
          </w:tcPr>
          <w:p w14:paraId="3371A803" w14:textId="213A5A65" w:rsidR="00921922" w:rsidRPr="0098470E" w:rsidRDefault="00921922" w:rsidP="00603215">
            <w:pPr>
              <w:pStyle w:val="DHHStabletext"/>
            </w:pPr>
            <w:r w:rsidRPr="0098470E">
              <w:t>Denominator</w:t>
            </w:r>
          </w:p>
        </w:tc>
        <w:tc>
          <w:tcPr>
            <w:tcW w:w="6739" w:type="dxa"/>
          </w:tcPr>
          <w:p w14:paraId="2A473D2E" w14:textId="77777777" w:rsidR="00921922" w:rsidRPr="0098470E" w:rsidRDefault="00921922" w:rsidP="00603215">
            <w:pPr>
              <w:pStyle w:val="DHHStabletext"/>
            </w:pPr>
            <w:r w:rsidRPr="0098470E">
              <w:t xml:space="preserve">The total number of </w:t>
            </w:r>
            <w:r>
              <w:t>‘</w:t>
            </w:r>
            <w:r w:rsidRPr="0098470E">
              <w:t>agree</w:t>
            </w:r>
            <w:r>
              <w:t>’</w:t>
            </w:r>
            <w:r w:rsidRPr="0098470E">
              <w:t xml:space="preserve">, </w:t>
            </w:r>
            <w:r>
              <w:t>‘</w:t>
            </w:r>
            <w:r w:rsidRPr="0098470E">
              <w:t>strongly agree</w:t>
            </w:r>
            <w:r>
              <w:t>’</w:t>
            </w:r>
            <w:r w:rsidRPr="0098470E">
              <w:t xml:space="preserve">, </w:t>
            </w:r>
            <w:r>
              <w:t>‘</w:t>
            </w:r>
            <w:r w:rsidRPr="0098470E">
              <w:t>disagree</w:t>
            </w:r>
            <w:r>
              <w:t>’</w:t>
            </w:r>
            <w:r w:rsidRPr="0098470E">
              <w:t xml:space="preserve"> or </w:t>
            </w:r>
            <w:r>
              <w:t>‘</w:t>
            </w:r>
            <w:r w:rsidRPr="0098470E">
              <w:t>strongly disagree</w:t>
            </w:r>
            <w:r>
              <w:t>’</w:t>
            </w:r>
            <w:r w:rsidRPr="0098470E">
              <w:t xml:space="preserve"> responses to the assessed question.</w:t>
            </w:r>
          </w:p>
        </w:tc>
      </w:tr>
      <w:tr w:rsidR="00921922" w:rsidRPr="0098470E" w14:paraId="0751B709" w14:textId="77777777" w:rsidTr="00F12615">
        <w:trPr>
          <w:cantSplit/>
        </w:trPr>
        <w:tc>
          <w:tcPr>
            <w:tcW w:w="2560" w:type="dxa"/>
          </w:tcPr>
          <w:p w14:paraId="27EAD267" w14:textId="77777777" w:rsidR="00921922" w:rsidRPr="0098470E" w:rsidRDefault="00921922" w:rsidP="00603215">
            <w:pPr>
              <w:pStyle w:val="DHHStabletext"/>
            </w:pPr>
            <w:r w:rsidRPr="0098470E">
              <w:t>Statewide target</w:t>
            </w:r>
          </w:p>
        </w:tc>
        <w:tc>
          <w:tcPr>
            <w:tcW w:w="6739" w:type="dxa"/>
          </w:tcPr>
          <w:p w14:paraId="769683F8" w14:textId="77777777" w:rsidR="00921922" w:rsidRPr="0098470E" w:rsidRDefault="00921922" w:rsidP="00603215">
            <w:pPr>
              <w:pStyle w:val="DHHStabletext"/>
            </w:pPr>
            <w:r w:rsidRPr="0098470E">
              <w:t>80%</w:t>
            </w:r>
          </w:p>
        </w:tc>
      </w:tr>
      <w:tr w:rsidR="00E90723" w:rsidRPr="0098470E" w14:paraId="68DE1098" w14:textId="77777777" w:rsidTr="00E90723">
        <w:trPr>
          <w:cantSplit/>
        </w:trPr>
        <w:tc>
          <w:tcPr>
            <w:tcW w:w="2560" w:type="dxa"/>
          </w:tcPr>
          <w:p w14:paraId="64E78426" w14:textId="6998AD39" w:rsidR="00E90723" w:rsidRPr="0098470E" w:rsidRDefault="00E90723" w:rsidP="00603215">
            <w:pPr>
              <w:pStyle w:val="DHHStabletext"/>
            </w:pPr>
            <w:r w:rsidRPr="0098470E">
              <w:t>Achievement</w:t>
            </w:r>
          </w:p>
        </w:tc>
        <w:tc>
          <w:tcPr>
            <w:tcW w:w="6739" w:type="dxa"/>
          </w:tcPr>
          <w:p w14:paraId="7C3E78E1" w14:textId="7CDD7025" w:rsidR="00E90723" w:rsidRPr="00E90723" w:rsidRDefault="00E90723" w:rsidP="00E90723">
            <w:pPr>
              <w:pStyle w:val="DHHStabletext92mmtab"/>
              <w:rPr>
                <w:i/>
                <w:iCs/>
              </w:rPr>
            </w:pPr>
            <w:r w:rsidRPr="00E90723">
              <w:t>Equal to or greater than 80%</w:t>
            </w:r>
            <w:r>
              <w:tab/>
            </w:r>
            <w:r w:rsidRPr="00E90723">
              <w:t>Achieved</w:t>
            </w:r>
          </w:p>
          <w:p w14:paraId="54234A16" w14:textId="43A16243" w:rsidR="00E90723" w:rsidRPr="00E90723" w:rsidRDefault="00E90723" w:rsidP="00E90723">
            <w:pPr>
              <w:pStyle w:val="DHHStabletext92mmtab"/>
              <w:rPr>
                <w:i/>
                <w:iCs/>
              </w:rPr>
            </w:pPr>
            <w:r w:rsidRPr="00E90723">
              <w:t>Less than 80%</w:t>
            </w:r>
            <w:r>
              <w:tab/>
            </w:r>
            <w:r w:rsidRPr="00E90723">
              <w:t>Not achieved</w:t>
            </w:r>
          </w:p>
        </w:tc>
      </w:tr>
    </w:tbl>
    <w:p w14:paraId="7F2F151E" w14:textId="4D04C932" w:rsidR="00921922" w:rsidRPr="00504261" w:rsidRDefault="00F12615" w:rsidP="00F12615">
      <w:pPr>
        <w:pStyle w:val="DHHStablecaption"/>
      </w:pPr>
      <w:r>
        <w:lastRenderedPageBreak/>
        <w:t xml:space="preserve">Indicator: </w:t>
      </w:r>
      <w:r w:rsidR="00101E11" w:rsidRPr="00504261">
        <w:t>Percentage of staff who responded to the People Matter Survey</w:t>
      </w:r>
    </w:p>
    <w:tbl>
      <w:tblPr>
        <w:tblStyle w:val="TableGrid"/>
        <w:tblW w:w="9300" w:type="dxa"/>
        <w:tblLayout w:type="fixed"/>
        <w:tblLook w:val="06A0" w:firstRow="1" w:lastRow="0" w:firstColumn="1" w:lastColumn="0" w:noHBand="1" w:noVBand="1"/>
      </w:tblPr>
      <w:tblGrid>
        <w:gridCol w:w="2581"/>
        <w:gridCol w:w="6719"/>
      </w:tblGrid>
      <w:tr w:rsidR="00D97737" w:rsidRPr="0098470E" w14:paraId="656F26F7" w14:textId="77777777" w:rsidTr="000B4BF3">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4C4A1802" w14:textId="7906D7D1" w:rsidR="00D97737" w:rsidRPr="00504261" w:rsidRDefault="00D97737" w:rsidP="00D97737">
            <w:pPr>
              <w:pStyle w:val="DHHStablecolhead"/>
            </w:pPr>
            <w:r>
              <w:t>Element</w:t>
            </w:r>
          </w:p>
        </w:tc>
        <w:tc>
          <w:tcPr>
            <w:tcW w:w="6719" w:type="dxa"/>
          </w:tcPr>
          <w:p w14:paraId="5187E529" w14:textId="0871B3C2" w:rsidR="00D97737" w:rsidRPr="00504261" w:rsidRDefault="00D97737" w:rsidP="00D97737">
            <w:pPr>
              <w:pStyle w:val="DHHStablecolhead"/>
            </w:pPr>
            <w:r>
              <w:t>Details</w:t>
            </w:r>
          </w:p>
        </w:tc>
      </w:tr>
      <w:tr w:rsidR="00921922" w:rsidRPr="0098470E" w14:paraId="54B7628C" w14:textId="77777777" w:rsidTr="000B4BF3">
        <w:trPr>
          <w:cantSplit/>
        </w:trPr>
        <w:tc>
          <w:tcPr>
            <w:tcW w:w="2581" w:type="dxa"/>
          </w:tcPr>
          <w:p w14:paraId="7436C019" w14:textId="77777777" w:rsidR="00921922" w:rsidRPr="0098470E" w:rsidRDefault="00921922" w:rsidP="00603215">
            <w:pPr>
              <w:pStyle w:val="DHHStabletext"/>
            </w:pPr>
            <w:r w:rsidRPr="0098470E">
              <w:t>Numerator</w:t>
            </w:r>
          </w:p>
        </w:tc>
        <w:tc>
          <w:tcPr>
            <w:tcW w:w="6719" w:type="dxa"/>
          </w:tcPr>
          <w:p w14:paraId="73746E46" w14:textId="77777777" w:rsidR="00921922" w:rsidRPr="0098470E" w:rsidRDefault="00921922" w:rsidP="00603215">
            <w:pPr>
              <w:pStyle w:val="DHHStabletext"/>
            </w:pPr>
            <w:r w:rsidRPr="0098470E">
              <w:t>Number of staff who responded to the People Matter Survey</w:t>
            </w:r>
          </w:p>
        </w:tc>
      </w:tr>
      <w:tr w:rsidR="00921922" w:rsidRPr="0098470E" w14:paraId="34EE096D" w14:textId="77777777" w:rsidTr="000B4BF3">
        <w:trPr>
          <w:cantSplit/>
        </w:trPr>
        <w:tc>
          <w:tcPr>
            <w:tcW w:w="2581" w:type="dxa"/>
          </w:tcPr>
          <w:p w14:paraId="1A4C7D16" w14:textId="77777777" w:rsidR="00921922" w:rsidRPr="0098470E" w:rsidRDefault="00921922" w:rsidP="00603215">
            <w:pPr>
              <w:pStyle w:val="DHHStabletext"/>
            </w:pPr>
            <w:r w:rsidRPr="0098470E">
              <w:t xml:space="preserve">Denominator </w:t>
            </w:r>
          </w:p>
        </w:tc>
        <w:tc>
          <w:tcPr>
            <w:tcW w:w="6719" w:type="dxa"/>
          </w:tcPr>
          <w:p w14:paraId="036781DF" w14:textId="004D037D" w:rsidR="00921922" w:rsidRPr="0098470E" w:rsidRDefault="00921922" w:rsidP="00603215">
            <w:pPr>
              <w:pStyle w:val="DHHStabletext"/>
            </w:pPr>
            <w:r w:rsidRPr="0098470E">
              <w:t xml:space="preserve">Total number of staff who could have participated in the </w:t>
            </w:r>
            <w:r w:rsidR="00740176">
              <w:t>People Matter S</w:t>
            </w:r>
            <w:r w:rsidRPr="0098470E">
              <w:t>urvey</w:t>
            </w:r>
          </w:p>
        </w:tc>
      </w:tr>
      <w:tr w:rsidR="00921922" w:rsidRPr="0098470E" w14:paraId="54C612C1" w14:textId="77777777" w:rsidTr="000B4BF3">
        <w:trPr>
          <w:cantSplit/>
        </w:trPr>
        <w:tc>
          <w:tcPr>
            <w:tcW w:w="2581" w:type="dxa"/>
          </w:tcPr>
          <w:p w14:paraId="2AEC6407" w14:textId="77777777" w:rsidR="00921922" w:rsidRPr="0098470E" w:rsidRDefault="00921922" w:rsidP="00603215">
            <w:pPr>
              <w:pStyle w:val="DHHStabletext"/>
            </w:pPr>
            <w:r w:rsidRPr="0098470E">
              <w:t>Statewide target</w:t>
            </w:r>
          </w:p>
        </w:tc>
        <w:tc>
          <w:tcPr>
            <w:tcW w:w="6719" w:type="dxa"/>
          </w:tcPr>
          <w:p w14:paraId="49C63AAE" w14:textId="77777777" w:rsidR="00921922" w:rsidRPr="0098470E" w:rsidRDefault="00921922" w:rsidP="00603215">
            <w:pPr>
              <w:pStyle w:val="DHHStabletext"/>
            </w:pPr>
            <w:r w:rsidRPr="0098470E">
              <w:t>30%</w:t>
            </w:r>
          </w:p>
        </w:tc>
      </w:tr>
      <w:tr w:rsidR="00E90723" w:rsidRPr="0098470E" w14:paraId="6EF5055B" w14:textId="77777777" w:rsidTr="00E90723">
        <w:trPr>
          <w:cantSplit/>
        </w:trPr>
        <w:tc>
          <w:tcPr>
            <w:tcW w:w="2581" w:type="dxa"/>
          </w:tcPr>
          <w:p w14:paraId="4DCA6562" w14:textId="66030D26" w:rsidR="00E90723" w:rsidRPr="0098470E" w:rsidRDefault="00E90723" w:rsidP="00603215">
            <w:pPr>
              <w:pStyle w:val="DHHStabletext"/>
            </w:pPr>
            <w:r w:rsidRPr="0098470E">
              <w:t>Achievement</w:t>
            </w:r>
          </w:p>
        </w:tc>
        <w:tc>
          <w:tcPr>
            <w:tcW w:w="6719" w:type="dxa"/>
          </w:tcPr>
          <w:p w14:paraId="3C80071F" w14:textId="401481FF" w:rsidR="00E90723" w:rsidRPr="00E90723" w:rsidRDefault="00E90723" w:rsidP="00E90723">
            <w:pPr>
              <w:pStyle w:val="DHHStabletext92mmtab"/>
            </w:pPr>
            <w:r w:rsidRPr="00E90723">
              <w:t>Equal to or greater than 30%</w:t>
            </w:r>
            <w:r>
              <w:tab/>
            </w:r>
            <w:r w:rsidRPr="00E90723">
              <w:t>Achieved</w:t>
            </w:r>
          </w:p>
          <w:p w14:paraId="646AC42E" w14:textId="459E3942" w:rsidR="00E90723" w:rsidRPr="00E90723" w:rsidRDefault="00E90723" w:rsidP="00E90723">
            <w:pPr>
              <w:pStyle w:val="DHHStabletext92mmtab"/>
            </w:pPr>
            <w:r w:rsidRPr="00E90723">
              <w:t>Less than 30%</w:t>
            </w:r>
            <w:r>
              <w:tab/>
            </w:r>
            <w:r w:rsidRPr="00E90723">
              <w:t>Not achieved</w:t>
            </w:r>
          </w:p>
        </w:tc>
      </w:tr>
    </w:tbl>
    <w:p w14:paraId="20A5F743" w14:textId="23A8399F" w:rsidR="00921922" w:rsidRPr="0098470E" w:rsidRDefault="00F12615" w:rsidP="00F12615">
      <w:pPr>
        <w:pStyle w:val="DHHStablecaption"/>
      </w:pPr>
      <w:r>
        <w:t xml:space="preserve">Indicator: </w:t>
      </w:r>
      <w:r w:rsidR="00101E11" w:rsidRPr="00504261">
        <w:t>Bullying</w:t>
      </w:r>
    </w:p>
    <w:tbl>
      <w:tblPr>
        <w:tblStyle w:val="TableGrid"/>
        <w:tblW w:w="9299" w:type="dxa"/>
        <w:tblLook w:val="06A0" w:firstRow="1" w:lastRow="0" w:firstColumn="1" w:lastColumn="0" w:noHBand="1" w:noVBand="1"/>
      </w:tblPr>
      <w:tblGrid>
        <w:gridCol w:w="2560"/>
        <w:gridCol w:w="6739"/>
      </w:tblGrid>
      <w:tr w:rsidR="00D97737" w:rsidRPr="0098470E" w14:paraId="2A5FCECF"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60" w:type="dxa"/>
          </w:tcPr>
          <w:p w14:paraId="1A0B8628" w14:textId="074ED3F5" w:rsidR="00D97737" w:rsidRPr="00504261" w:rsidRDefault="00D97737" w:rsidP="00D97737">
            <w:pPr>
              <w:pStyle w:val="DHHStablecolhead"/>
            </w:pPr>
            <w:r>
              <w:t>Element</w:t>
            </w:r>
          </w:p>
        </w:tc>
        <w:tc>
          <w:tcPr>
            <w:tcW w:w="6739" w:type="dxa"/>
          </w:tcPr>
          <w:p w14:paraId="47267B95" w14:textId="301CEEF7" w:rsidR="00D97737" w:rsidRPr="00504261" w:rsidRDefault="00D97737" w:rsidP="00D97737">
            <w:pPr>
              <w:pStyle w:val="DHHStablecolhead"/>
            </w:pPr>
            <w:r>
              <w:t>Details</w:t>
            </w:r>
          </w:p>
        </w:tc>
      </w:tr>
      <w:tr w:rsidR="00921922" w:rsidRPr="0098470E" w14:paraId="413F3F46" w14:textId="77777777" w:rsidTr="00F12615">
        <w:trPr>
          <w:cantSplit/>
        </w:trPr>
        <w:tc>
          <w:tcPr>
            <w:tcW w:w="2560" w:type="dxa"/>
            <w:hideMark/>
          </w:tcPr>
          <w:p w14:paraId="388DA035" w14:textId="77777777" w:rsidR="00921922" w:rsidRPr="0098470E" w:rsidRDefault="00921922" w:rsidP="00603215">
            <w:pPr>
              <w:pStyle w:val="DHHStabletext"/>
            </w:pPr>
            <w:r w:rsidRPr="0098470E">
              <w:t>Description</w:t>
            </w:r>
          </w:p>
        </w:tc>
        <w:tc>
          <w:tcPr>
            <w:tcW w:w="6739" w:type="dxa"/>
            <w:hideMark/>
          </w:tcPr>
          <w:p w14:paraId="2C47F642" w14:textId="258B8C8E" w:rsidR="00921922" w:rsidRDefault="00921922" w:rsidP="00603215">
            <w:pPr>
              <w:pStyle w:val="DHHStabletext"/>
            </w:pPr>
            <w:r>
              <w:t xml:space="preserve">Relates to the People Matter survey question: </w:t>
            </w:r>
            <w:r w:rsidR="00740176">
              <w:t>‘</w:t>
            </w:r>
            <w:r w:rsidRPr="0021427C">
              <w:t>Have you personally experienced bullying at work in the last 12</w:t>
            </w:r>
            <w:r w:rsidR="001E166C">
              <w:t xml:space="preserve"> </w:t>
            </w:r>
            <w:r w:rsidRPr="0021427C">
              <w:t>months</w:t>
            </w:r>
            <w:r>
              <w:t>?</w:t>
            </w:r>
            <w:r w:rsidR="00740176">
              <w:t>’.</w:t>
            </w:r>
          </w:p>
          <w:p w14:paraId="5FBF161F" w14:textId="77777777" w:rsidR="00921922" w:rsidRPr="0098470E" w:rsidRDefault="00921922" w:rsidP="00603215">
            <w:pPr>
              <w:pStyle w:val="DHHStabletext"/>
            </w:pPr>
            <w:r w:rsidRPr="0098470E">
              <w:t>This measure aims to identify bullying risks within the organisation.</w:t>
            </w:r>
          </w:p>
          <w:p w14:paraId="40C07C6D" w14:textId="77777777" w:rsidR="00921922" w:rsidRDefault="00921922" w:rsidP="00603215">
            <w:pPr>
              <w:pStyle w:val="DHHStabletext"/>
            </w:pPr>
            <w:r w:rsidRPr="0098470E">
              <w:t>A target is not applied as no staff should be experiencing bullying.</w:t>
            </w:r>
          </w:p>
          <w:p w14:paraId="33724148" w14:textId="77777777" w:rsidR="00921922" w:rsidRPr="0098470E" w:rsidRDefault="00921922" w:rsidP="00603215">
            <w:pPr>
              <w:pStyle w:val="DHHStabletext"/>
            </w:pPr>
            <w:r w:rsidRPr="0098470E">
              <w:t xml:space="preserve">The risk flag should trigger further attention to potential bullying concerns within the organisation. </w:t>
            </w:r>
          </w:p>
        </w:tc>
      </w:tr>
      <w:tr w:rsidR="00921922" w:rsidRPr="0098470E" w14:paraId="418283EB" w14:textId="77777777" w:rsidTr="00F12615">
        <w:trPr>
          <w:cantSplit/>
        </w:trPr>
        <w:tc>
          <w:tcPr>
            <w:tcW w:w="2560" w:type="dxa"/>
          </w:tcPr>
          <w:p w14:paraId="326B2B49" w14:textId="77777777" w:rsidR="00921922" w:rsidRPr="0098470E" w:rsidRDefault="00921922" w:rsidP="00603215">
            <w:pPr>
              <w:pStyle w:val="DHHStabletext"/>
            </w:pPr>
            <w:r w:rsidRPr="0098470E">
              <w:t>Numerator</w:t>
            </w:r>
          </w:p>
        </w:tc>
        <w:tc>
          <w:tcPr>
            <w:tcW w:w="6739" w:type="dxa"/>
          </w:tcPr>
          <w:p w14:paraId="5468549A" w14:textId="759BFBA0" w:rsidR="00921922" w:rsidRPr="0098470E" w:rsidRDefault="00921922" w:rsidP="00603215">
            <w:pPr>
              <w:pStyle w:val="DHHStabletext"/>
            </w:pPr>
            <w:r w:rsidRPr="0098470E">
              <w:t xml:space="preserve">The responses </w:t>
            </w:r>
            <w:r>
              <w:t>‘</w:t>
            </w:r>
            <w:r w:rsidRPr="0098470E">
              <w:t>yes but not currently experiencing it</w:t>
            </w:r>
            <w:r>
              <w:t>’</w:t>
            </w:r>
            <w:r w:rsidRPr="0098470E">
              <w:t xml:space="preserve"> and </w:t>
            </w:r>
            <w:r>
              <w:t>‘</w:t>
            </w:r>
            <w:r w:rsidR="001E166C">
              <w:t>y</w:t>
            </w:r>
            <w:r w:rsidRPr="0098470E">
              <w:t>es and currently experiencing it</w:t>
            </w:r>
            <w:r>
              <w:t>’</w:t>
            </w:r>
            <w:r w:rsidRPr="0098470E">
              <w:t xml:space="preserve"> are counted for the numerator</w:t>
            </w:r>
            <w:r w:rsidR="001E166C">
              <w:t>.</w:t>
            </w:r>
          </w:p>
        </w:tc>
      </w:tr>
      <w:tr w:rsidR="00921922" w:rsidRPr="0098470E" w14:paraId="596D4D98" w14:textId="77777777" w:rsidTr="00F12615">
        <w:trPr>
          <w:cantSplit/>
        </w:trPr>
        <w:tc>
          <w:tcPr>
            <w:tcW w:w="2560" w:type="dxa"/>
          </w:tcPr>
          <w:p w14:paraId="470B9E65" w14:textId="77777777" w:rsidR="00921922" w:rsidRPr="0098470E" w:rsidRDefault="00921922" w:rsidP="00603215">
            <w:pPr>
              <w:pStyle w:val="DHHStabletext"/>
            </w:pPr>
            <w:r w:rsidRPr="0098470E">
              <w:t xml:space="preserve">Denominator </w:t>
            </w:r>
          </w:p>
        </w:tc>
        <w:tc>
          <w:tcPr>
            <w:tcW w:w="6739" w:type="dxa"/>
          </w:tcPr>
          <w:p w14:paraId="23C8623C" w14:textId="7C1121C2" w:rsidR="00921922" w:rsidRPr="0098470E" w:rsidRDefault="00921922" w:rsidP="00603215">
            <w:pPr>
              <w:pStyle w:val="DHHStabletext"/>
            </w:pPr>
            <w:r w:rsidRPr="0098470E">
              <w:t xml:space="preserve">All responses to the People Matter </w:t>
            </w:r>
            <w:r w:rsidR="001E166C">
              <w:t>S</w:t>
            </w:r>
            <w:r w:rsidRPr="0098470E">
              <w:t>urvey</w:t>
            </w:r>
            <w:r>
              <w:t xml:space="preserve"> </w:t>
            </w:r>
            <w:r w:rsidRPr="0098470E">
              <w:t>are included in denominator</w:t>
            </w:r>
          </w:p>
        </w:tc>
      </w:tr>
      <w:tr w:rsidR="00921922" w:rsidRPr="0098470E" w14:paraId="310E1A41" w14:textId="77777777" w:rsidTr="00F12615">
        <w:trPr>
          <w:cantSplit/>
        </w:trPr>
        <w:tc>
          <w:tcPr>
            <w:tcW w:w="2560" w:type="dxa"/>
          </w:tcPr>
          <w:p w14:paraId="5146AA17" w14:textId="77777777" w:rsidR="00921922" w:rsidRPr="0098470E" w:rsidRDefault="00921922" w:rsidP="00603215">
            <w:pPr>
              <w:pStyle w:val="DHHStabletext"/>
            </w:pPr>
            <w:r w:rsidRPr="0098470E">
              <w:t>Risk Flag</w:t>
            </w:r>
          </w:p>
        </w:tc>
        <w:tc>
          <w:tcPr>
            <w:tcW w:w="6739" w:type="dxa"/>
          </w:tcPr>
          <w:p w14:paraId="1EF82773" w14:textId="55E50DC0" w:rsidR="00921922" w:rsidRPr="0098470E" w:rsidRDefault="00BE582B" w:rsidP="00603215">
            <w:pPr>
              <w:pStyle w:val="DHHStabletext"/>
            </w:pPr>
            <w:r>
              <w:t>17</w:t>
            </w:r>
            <w:r w:rsidR="00921922" w:rsidRPr="0098470E">
              <w:t xml:space="preserve">% </w:t>
            </w:r>
          </w:p>
        </w:tc>
      </w:tr>
      <w:tr w:rsidR="00E90723" w:rsidRPr="0098470E" w14:paraId="5A07E4C3" w14:textId="77777777" w:rsidTr="00E90723">
        <w:trPr>
          <w:cantSplit/>
        </w:trPr>
        <w:tc>
          <w:tcPr>
            <w:tcW w:w="2560" w:type="dxa"/>
          </w:tcPr>
          <w:p w14:paraId="0512014A" w14:textId="77777777" w:rsidR="00E90723" w:rsidRPr="0098470E" w:rsidRDefault="00E90723" w:rsidP="00603215">
            <w:pPr>
              <w:pStyle w:val="DHHStabletext"/>
            </w:pPr>
            <w:r w:rsidRPr="0098470E">
              <w:t xml:space="preserve">Achievement </w:t>
            </w:r>
          </w:p>
        </w:tc>
        <w:tc>
          <w:tcPr>
            <w:tcW w:w="6739" w:type="dxa"/>
          </w:tcPr>
          <w:p w14:paraId="57492E1D" w14:textId="7DD40B74" w:rsidR="00E90723" w:rsidRPr="00E90723" w:rsidRDefault="00E90723" w:rsidP="00E90723">
            <w:pPr>
              <w:pStyle w:val="DHHStabletext92mmtab"/>
            </w:pPr>
            <w:r w:rsidRPr="00E90723">
              <w:t>Less than 17%</w:t>
            </w:r>
            <w:r>
              <w:tab/>
            </w:r>
            <w:r w:rsidRPr="00E90723">
              <w:t>Achieved</w:t>
            </w:r>
          </w:p>
          <w:p w14:paraId="7F8986DE" w14:textId="05C98D72" w:rsidR="00E90723" w:rsidRPr="00E90723" w:rsidRDefault="00E90723" w:rsidP="00E90723">
            <w:pPr>
              <w:pStyle w:val="DHHStabletext92mmtab"/>
            </w:pPr>
            <w:r w:rsidRPr="00E90723">
              <w:t>Equal to or over 17%</w:t>
            </w:r>
            <w:r>
              <w:tab/>
            </w:r>
            <w:r w:rsidRPr="00E90723">
              <w:t>Not achieved</w:t>
            </w:r>
          </w:p>
        </w:tc>
      </w:tr>
    </w:tbl>
    <w:p w14:paraId="10A6B223" w14:textId="77777777" w:rsidR="00F1426A" w:rsidRDefault="00F1426A">
      <w:pPr>
        <w:spacing w:after="200" w:line="276" w:lineRule="auto"/>
        <w:rPr>
          <w:rFonts w:ascii="Arial" w:hAnsi="Arial"/>
          <w:b/>
        </w:rPr>
      </w:pPr>
      <w:r>
        <w:br w:type="page"/>
      </w:r>
    </w:p>
    <w:p w14:paraId="2F506991" w14:textId="49AD190C" w:rsidR="00921922" w:rsidRPr="00F12615" w:rsidRDefault="00F12615" w:rsidP="00F12615">
      <w:pPr>
        <w:pStyle w:val="DHHStablecaption"/>
      </w:pPr>
      <w:r>
        <w:lastRenderedPageBreak/>
        <w:t xml:space="preserve">Indicator: </w:t>
      </w:r>
      <w:r w:rsidR="00101E11" w:rsidRPr="00504261">
        <w:t>Learner</w:t>
      </w:r>
      <w:r w:rsidR="00101E11">
        <w:t>’</w:t>
      </w:r>
      <w:r w:rsidR="00101E11" w:rsidRPr="00504261">
        <w:t>s experience</w:t>
      </w:r>
    </w:p>
    <w:tbl>
      <w:tblPr>
        <w:tblStyle w:val="TableGrid"/>
        <w:tblW w:w="9300" w:type="dxa"/>
        <w:tblLayout w:type="fixed"/>
        <w:tblLook w:val="06A0" w:firstRow="1" w:lastRow="0" w:firstColumn="1" w:lastColumn="0" w:noHBand="1" w:noVBand="1"/>
      </w:tblPr>
      <w:tblGrid>
        <w:gridCol w:w="2581"/>
        <w:gridCol w:w="6719"/>
      </w:tblGrid>
      <w:tr w:rsidR="00D97737" w:rsidRPr="0098470E" w14:paraId="0D5FE046" w14:textId="77777777" w:rsidTr="000B4BF3">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3AEEA5CF" w14:textId="6ABE9154" w:rsidR="00D97737" w:rsidRPr="00504261" w:rsidRDefault="00D97737" w:rsidP="00D97737">
            <w:pPr>
              <w:pStyle w:val="DHHStablecolhead"/>
            </w:pPr>
            <w:r>
              <w:t>Element</w:t>
            </w:r>
          </w:p>
        </w:tc>
        <w:tc>
          <w:tcPr>
            <w:tcW w:w="6719" w:type="dxa"/>
          </w:tcPr>
          <w:p w14:paraId="705BD0A3" w14:textId="6E734660" w:rsidR="00D97737" w:rsidRPr="00504261" w:rsidRDefault="00D97737" w:rsidP="00D97737">
            <w:pPr>
              <w:pStyle w:val="DHHStablecolhead"/>
            </w:pPr>
            <w:r>
              <w:t>Details</w:t>
            </w:r>
          </w:p>
        </w:tc>
      </w:tr>
      <w:tr w:rsidR="00921922" w:rsidRPr="00945069" w14:paraId="53D0BB98" w14:textId="77777777" w:rsidTr="000B4BF3">
        <w:trPr>
          <w:cantSplit/>
        </w:trPr>
        <w:tc>
          <w:tcPr>
            <w:tcW w:w="2581" w:type="dxa"/>
            <w:hideMark/>
          </w:tcPr>
          <w:p w14:paraId="322B9600" w14:textId="77777777" w:rsidR="00921922" w:rsidRPr="0098718A" w:rsidRDefault="00921922" w:rsidP="00603215">
            <w:pPr>
              <w:pStyle w:val="DHHStabletext"/>
            </w:pPr>
            <w:r w:rsidRPr="0098718A">
              <w:t>Description</w:t>
            </w:r>
          </w:p>
        </w:tc>
        <w:tc>
          <w:tcPr>
            <w:tcW w:w="6719" w:type="dxa"/>
            <w:hideMark/>
          </w:tcPr>
          <w:p w14:paraId="4D265D29" w14:textId="77777777" w:rsidR="00921922" w:rsidRPr="000213C5" w:rsidRDefault="00921922" w:rsidP="00603215">
            <w:pPr>
              <w:pStyle w:val="DHHStabletext"/>
            </w:pPr>
            <w:r w:rsidRPr="000213C5">
              <w:t>Learner perceptions about their feeling of safety and wellbeing as identified through the Best Practice Clinical Learning Environment (BPCLE) Framework</w:t>
            </w:r>
            <w:r>
              <w:t>.</w:t>
            </w:r>
            <w:r w:rsidRPr="000213C5">
              <w:t xml:space="preserve"> </w:t>
            </w:r>
          </w:p>
        </w:tc>
      </w:tr>
      <w:tr w:rsidR="00921922" w:rsidRPr="0098470E" w14:paraId="2436C966" w14:textId="77777777" w:rsidTr="000B4BF3">
        <w:trPr>
          <w:cantSplit/>
        </w:trPr>
        <w:tc>
          <w:tcPr>
            <w:tcW w:w="2581" w:type="dxa"/>
          </w:tcPr>
          <w:p w14:paraId="09B99DEC" w14:textId="77777777" w:rsidR="00921922" w:rsidRPr="0098470E" w:rsidRDefault="00921922" w:rsidP="00603215">
            <w:pPr>
              <w:pStyle w:val="DHHStabletext"/>
            </w:pPr>
            <w:r w:rsidRPr="0098470E">
              <w:t>Calculating performance</w:t>
            </w:r>
          </w:p>
        </w:tc>
        <w:tc>
          <w:tcPr>
            <w:tcW w:w="6719" w:type="dxa"/>
          </w:tcPr>
          <w:p w14:paraId="30EC2932" w14:textId="77777777" w:rsidR="00921922" w:rsidRPr="0098470E" w:rsidRDefault="00921922" w:rsidP="00603215">
            <w:pPr>
              <w:pStyle w:val="DHHStabletext"/>
            </w:pPr>
            <w:r w:rsidRPr="0098470E">
              <w:t>The BPCLE Framework is a guide for health and human services organisations, in partnership with education providers, to coordinate and deliver high-quality training for learners.</w:t>
            </w:r>
          </w:p>
          <w:p w14:paraId="6EF5416C" w14:textId="0F3231BB" w:rsidR="00921922" w:rsidRPr="0098470E" w:rsidRDefault="00921922" w:rsidP="00603215">
            <w:pPr>
              <w:pStyle w:val="DHHStabletext"/>
            </w:pPr>
            <w:r w:rsidRPr="0098470E">
              <w:rPr>
                <w:lang w:val="en"/>
              </w:rPr>
              <w:t xml:space="preserve">The BPCLE Framework and supplementary resources are available </w:t>
            </w:r>
            <w:r>
              <w:rPr>
                <w:lang w:val="en"/>
              </w:rPr>
              <w:t xml:space="preserve">from </w:t>
            </w:r>
            <w:hyperlink r:id="rId22" w:history="1">
              <w:r w:rsidRPr="00527FEF">
                <w:rPr>
                  <w:rStyle w:val="Hyperlink"/>
                  <w:lang w:val="en"/>
                </w:rPr>
                <w:t>HealthVic Best Practice Clinical Learning Environment (BPCLE)</w:t>
              </w:r>
            </w:hyperlink>
            <w:r>
              <w:rPr>
                <w:lang w:val="en"/>
              </w:rPr>
              <w:t xml:space="preserve"> </w:t>
            </w:r>
            <w:r w:rsidRPr="0098470E">
              <w:rPr>
                <w:lang w:val="en"/>
              </w:rPr>
              <w:t>&lt;https://www2.health.vic.gov.au/health-workforce/education-and-training/building-a-quality-health-workforce/bpcle-framework&gt;</w:t>
            </w:r>
          </w:p>
          <w:p w14:paraId="51DBB967" w14:textId="77777777" w:rsidR="00921922" w:rsidRDefault="00921922" w:rsidP="00603215">
            <w:pPr>
              <w:pStyle w:val="DHHStabletext"/>
            </w:pPr>
            <w:r>
              <w:t xml:space="preserve">Results obtained through </w:t>
            </w:r>
            <w:r w:rsidRPr="0098470E">
              <w:t xml:space="preserve">BPCLE </w:t>
            </w:r>
            <w:r>
              <w:t xml:space="preserve">Framework </w:t>
            </w:r>
            <w:r w:rsidRPr="0098470E">
              <w:t>can provide additional context to potential safety culture or bullying concerns within the organisation.</w:t>
            </w:r>
          </w:p>
          <w:p w14:paraId="75649748" w14:textId="62BAFCAF" w:rsidR="00921922" w:rsidRDefault="00BE582B" w:rsidP="00603215">
            <w:pPr>
              <w:pStyle w:val="DHHStabletext"/>
            </w:pPr>
            <w:r>
              <w:t>T</w:t>
            </w:r>
            <w:r w:rsidR="00921922" w:rsidRPr="0098470E">
              <w:t xml:space="preserve">he </w:t>
            </w:r>
            <w:r w:rsidR="00921922" w:rsidRPr="00554C1C">
              <w:rPr>
                <w:i/>
              </w:rPr>
              <w:t xml:space="preserve">Victorian </w:t>
            </w:r>
            <w:r w:rsidR="00D87C79">
              <w:rPr>
                <w:i/>
              </w:rPr>
              <w:t>h</w:t>
            </w:r>
            <w:r w:rsidR="00921922" w:rsidRPr="00554C1C">
              <w:rPr>
                <w:i/>
              </w:rPr>
              <w:t xml:space="preserve">ealth </w:t>
            </w:r>
            <w:r w:rsidR="00D87C79">
              <w:rPr>
                <w:i/>
              </w:rPr>
              <w:t>s</w:t>
            </w:r>
            <w:r w:rsidR="00921922" w:rsidRPr="00554C1C">
              <w:rPr>
                <w:i/>
              </w:rPr>
              <w:t>ervices Performance Monitoring Framework</w:t>
            </w:r>
            <w:r w:rsidR="00921922" w:rsidRPr="0098470E">
              <w:t xml:space="preserve"> prescribes no specific performance targets for BPCLE </w:t>
            </w:r>
            <w:r w:rsidR="00921922">
              <w:t xml:space="preserve">Framework </w:t>
            </w:r>
            <w:r w:rsidR="00921922" w:rsidRPr="0098470E">
              <w:t xml:space="preserve">related measures. Health service performance will however be assessed against key risk flags associated with the three components </w:t>
            </w:r>
            <w:r w:rsidR="00921922">
              <w:t>of the BPCLE F</w:t>
            </w:r>
            <w:r w:rsidR="00921922" w:rsidRPr="0098470E">
              <w:t xml:space="preserve">ramework (Indicator 23): </w:t>
            </w:r>
          </w:p>
          <w:p w14:paraId="2F0C9074" w14:textId="77777777" w:rsidR="00921922" w:rsidRPr="0098470E" w:rsidRDefault="00921922" w:rsidP="00603215">
            <w:pPr>
              <w:pStyle w:val="DHHStablebullet1"/>
            </w:pPr>
            <w:r>
              <w:t>l</w:t>
            </w:r>
            <w:r w:rsidRPr="0098470E">
              <w:t>earner perception</w:t>
            </w:r>
            <w:r>
              <w:t>s</w:t>
            </w:r>
            <w:r w:rsidRPr="0098470E">
              <w:t xml:space="preserve"> of </w:t>
            </w:r>
            <w:r>
              <w:t xml:space="preserve">their </w:t>
            </w:r>
            <w:r w:rsidRPr="0098470E">
              <w:t>safety</w:t>
            </w:r>
          </w:p>
          <w:p w14:paraId="100E902E" w14:textId="77777777" w:rsidR="00921922" w:rsidRPr="0098470E" w:rsidRDefault="00921922" w:rsidP="00603215">
            <w:pPr>
              <w:pStyle w:val="DHHStablebullet1"/>
            </w:pPr>
            <w:r>
              <w:t>l</w:t>
            </w:r>
            <w:r w:rsidRPr="0098470E">
              <w:t>earner perception</w:t>
            </w:r>
            <w:r>
              <w:t>s</w:t>
            </w:r>
            <w:r w:rsidRPr="0098470E">
              <w:t xml:space="preserve"> of their own wellbeing</w:t>
            </w:r>
          </w:p>
          <w:p w14:paraId="19BDE69E" w14:textId="77777777" w:rsidR="00921922" w:rsidRDefault="00921922" w:rsidP="00603215">
            <w:pPr>
              <w:pStyle w:val="DHHStablebullet1"/>
            </w:pPr>
            <w:r>
              <w:t>l</w:t>
            </w:r>
            <w:r w:rsidRPr="0098470E">
              <w:t>earner experience/awareness of bullying.</w:t>
            </w:r>
          </w:p>
          <w:p w14:paraId="2544EDD4" w14:textId="77777777" w:rsidR="00921922" w:rsidRDefault="00921922" w:rsidP="00603215">
            <w:pPr>
              <w:pStyle w:val="DHHStabletext"/>
            </w:pPr>
            <w:r w:rsidRPr="0098470E">
              <w:t xml:space="preserve">Each of these </w:t>
            </w:r>
            <w:r>
              <w:t xml:space="preserve">components </w:t>
            </w:r>
            <w:r w:rsidRPr="0098470E">
              <w:t xml:space="preserve">will be assessed as individual measures to ascertain </w:t>
            </w:r>
            <w:r>
              <w:t xml:space="preserve">if there </w:t>
            </w:r>
            <w:r w:rsidRPr="0098470E">
              <w:t xml:space="preserve">are potential safety and wellbeing vulnerabilities pertaining to </w:t>
            </w:r>
            <w:r>
              <w:t xml:space="preserve">students </w:t>
            </w:r>
            <w:r w:rsidRPr="0098470E">
              <w:t>and other learners employed by health services.</w:t>
            </w:r>
          </w:p>
          <w:p w14:paraId="60649ADB" w14:textId="77777777" w:rsidR="00921922" w:rsidRPr="0098470E" w:rsidRDefault="00921922" w:rsidP="00603215">
            <w:pPr>
              <w:pStyle w:val="DHHStabletext"/>
            </w:pPr>
            <w:r w:rsidRPr="0098470E">
              <w:t xml:space="preserve">Each of these measures apply to </w:t>
            </w:r>
            <w:r>
              <w:t>four</w:t>
            </w:r>
            <w:r w:rsidRPr="0098470E">
              <w:t xml:space="preserve"> learner levels:</w:t>
            </w:r>
          </w:p>
          <w:p w14:paraId="0E95B048" w14:textId="77777777" w:rsidR="00921922" w:rsidRPr="0098470E" w:rsidRDefault="00921922" w:rsidP="00603215">
            <w:pPr>
              <w:pStyle w:val="DHHStablebullet1"/>
            </w:pPr>
            <w:r>
              <w:t>p</w:t>
            </w:r>
            <w:r w:rsidRPr="0098470E">
              <w:t xml:space="preserve">rofessional entry (formerly </w:t>
            </w:r>
            <w:r>
              <w:t>‘</w:t>
            </w:r>
            <w:r w:rsidRPr="0098470E">
              <w:t>undergraduate</w:t>
            </w:r>
            <w:r>
              <w:t>’</w:t>
            </w:r>
            <w:r w:rsidRPr="0098470E">
              <w:t>) – defined as learners enrolled in a higher education course of study leading to initial registration for, or qualification to, practice as a health professional.</w:t>
            </w:r>
          </w:p>
          <w:p w14:paraId="1F988324" w14:textId="77777777" w:rsidR="00921922" w:rsidRPr="0098470E" w:rsidRDefault="00921922" w:rsidP="00603215">
            <w:pPr>
              <w:pStyle w:val="DHHStablebullet1"/>
            </w:pPr>
            <w:r>
              <w:t>e</w:t>
            </w:r>
            <w:r w:rsidRPr="0098470E">
              <w:t>arly graduate – An individual who has completed their entry-level professional qualification within the last one or two years. For example, this will encompass:</w:t>
            </w:r>
          </w:p>
          <w:p w14:paraId="38EBAC68" w14:textId="77777777" w:rsidR="00921922" w:rsidRDefault="00921922" w:rsidP="00603215">
            <w:pPr>
              <w:pStyle w:val="DHHStablebullet2"/>
            </w:pPr>
            <w:r>
              <w:t>j</w:t>
            </w:r>
            <w:r w:rsidRPr="0098470E">
              <w:t>unior doctors employed in pre-vocational positions for postgraduate years 1 and 2 (PGY1 and PGY2) (also referred to as Hospital Medical Officers).</w:t>
            </w:r>
          </w:p>
          <w:p w14:paraId="4441F1B1" w14:textId="77777777" w:rsidR="00921922" w:rsidRDefault="00921922" w:rsidP="00603215">
            <w:pPr>
              <w:pStyle w:val="DHHStablebullet2"/>
            </w:pPr>
            <w:r>
              <w:t>r</w:t>
            </w:r>
            <w:r w:rsidRPr="0098470E">
              <w:t>egistered Nurses and Midwives in Graduate Nurse (or Midwifery) Programs (GNP/GMP).</w:t>
            </w:r>
          </w:p>
          <w:p w14:paraId="30E1D9F6" w14:textId="77777777" w:rsidR="00921922" w:rsidRPr="0098470E" w:rsidRDefault="00921922" w:rsidP="00603215">
            <w:pPr>
              <w:pStyle w:val="DHHStablebullet2"/>
            </w:pPr>
            <w:r>
              <w:t>e</w:t>
            </w:r>
            <w:r w:rsidRPr="0098470E">
              <w:t xml:space="preserve">nrolled Nurses (formerly </w:t>
            </w:r>
            <w:r>
              <w:t>‘</w:t>
            </w:r>
            <w:r w:rsidRPr="0098470E">
              <w:t>Division 2</w:t>
            </w:r>
            <w:r>
              <w:t>’</w:t>
            </w:r>
            <w:r w:rsidRPr="0098470E">
              <w:t>) in their first year post-qualification.</w:t>
            </w:r>
          </w:p>
          <w:p w14:paraId="637370DB" w14:textId="77777777" w:rsidR="00921922" w:rsidRPr="0098470E" w:rsidRDefault="00921922" w:rsidP="00603215">
            <w:pPr>
              <w:pStyle w:val="DHHStablebullet1"/>
            </w:pPr>
            <w:r>
              <w:t>a</w:t>
            </w:r>
            <w:r w:rsidRPr="0098470E">
              <w:t>llied health professionals in their first two years post-qualification (generally employed at Grade 1 level). Where internship programs exist (e.g. Pharmacy), this would include the internship year and the first year post-internship.</w:t>
            </w:r>
          </w:p>
          <w:p w14:paraId="5EBD6E21" w14:textId="77777777" w:rsidR="00921922" w:rsidRPr="0098470E" w:rsidRDefault="00921922" w:rsidP="00603215">
            <w:pPr>
              <w:pStyle w:val="DHHStablebullet1"/>
            </w:pPr>
            <w:r>
              <w:t>v</w:t>
            </w:r>
            <w:r w:rsidRPr="0098470E">
              <w:t>ocational/postgraduate – defined as learners enrolled in formal programs of study, usually undertaken to enable specialty practice. Examples include registrars in specialist medical training programs; nurses and allied health professionals enrolled in Graduate Certificate, Graduate Diploma or Masters courses</w:t>
            </w:r>
            <w:r>
              <w:t>.</w:t>
            </w:r>
          </w:p>
        </w:tc>
      </w:tr>
      <w:tr w:rsidR="00921922" w:rsidRPr="0098470E" w14:paraId="51844938" w14:textId="77777777" w:rsidTr="000B4BF3">
        <w:trPr>
          <w:cantSplit/>
        </w:trPr>
        <w:tc>
          <w:tcPr>
            <w:tcW w:w="2581" w:type="dxa"/>
          </w:tcPr>
          <w:p w14:paraId="64D906A0" w14:textId="77777777" w:rsidR="00921922" w:rsidRPr="0098470E" w:rsidRDefault="00921922" w:rsidP="00603215">
            <w:pPr>
              <w:pStyle w:val="DHHStabletext"/>
            </w:pPr>
            <w:r>
              <w:t>Improvement</w:t>
            </w:r>
          </w:p>
        </w:tc>
        <w:tc>
          <w:tcPr>
            <w:tcW w:w="6719" w:type="dxa"/>
          </w:tcPr>
          <w:p w14:paraId="74E00748" w14:textId="77777777" w:rsidR="00921922" w:rsidRPr="0098470E" w:rsidRDefault="00921922" w:rsidP="00603215">
            <w:pPr>
              <w:pStyle w:val="DHHStabletext"/>
            </w:pPr>
            <w:r>
              <w:t>For the purpose of the performance risk assessment, i</w:t>
            </w:r>
            <w:r w:rsidRPr="0098470E">
              <w:t>mprovement is calculated annually compared to previous year</w:t>
            </w:r>
            <w:r>
              <w:t>’</w:t>
            </w:r>
            <w:r w:rsidRPr="0098470E">
              <w:t>s survey results.</w:t>
            </w:r>
          </w:p>
        </w:tc>
      </w:tr>
      <w:tr w:rsidR="00921922" w:rsidRPr="0098470E" w14:paraId="36BA093C" w14:textId="77777777" w:rsidTr="000B4BF3">
        <w:trPr>
          <w:cantSplit/>
        </w:trPr>
        <w:tc>
          <w:tcPr>
            <w:tcW w:w="2581" w:type="dxa"/>
          </w:tcPr>
          <w:p w14:paraId="5AF9D11E" w14:textId="77777777" w:rsidR="00921922" w:rsidRPr="0098470E" w:rsidRDefault="00921922" w:rsidP="00603215">
            <w:pPr>
              <w:pStyle w:val="DHHStabletext"/>
            </w:pPr>
            <w:r w:rsidRPr="0098470E">
              <w:lastRenderedPageBreak/>
              <w:t>Frequency of reporting and data collection</w:t>
            </w:r>
          </w:p>
        </w:tc>
        <w:tc>
          <w:tcPr>
            <w:tcW w:w="6719" w:type="dxa"/>
          </w:tcPr>
          <w:p w14:paraId="3CD85BB1" w14:textId="77777777" w:rsidR="00921922" w:rsidRPr="0098470E" w:rsidRDefault="00921922" w:rsidP="00603215">
            <w:pPr>
              <w:pStyle w:val="DHHStabletext"/>
            </w:pPr>
            <w:r w:rsidRPr="0098470E">
              <w:t xml:space="preserve">Performance is assessed </w:t>
            </w:r>
            <w:r>
              <w:t xml:space="preserve">throughout the calendar year </w:t>
            </w:r>
            <w:r w:rsidRPr="0098470E">
              <w:t>and reported annually at health service level.</w:t>
            </w:r>
          </w:p>
          <w:p w14:paraId="53426F70" w14:textId="77777777" w:rsidR="00921922" w:rsidRPr="0098470E" w:rsidRDefault="00921922" w:rsidP="00603215">
            <w:pPr>
              <w:pStyle w:val="DHHStabletext"/>
            </w:pPr>
            <w:r w:rsidRPr="0098470E">
              <w:t xml:space="preserve">Data is submitted by health service as per the BPCLE </w:t>
            </w:r>
            <w:r>
              <w:t>F</w:t>
            </w:r>
            <w:r w:rsidRPr="0098470E">
              <w:t xml:space="preserve">ramework </w:t>
            </w:r>
            <w:r>
              <w:t xml:space="preserve">reporting </w:t>
            </w:r>
            <w:r w:rsidRPr="0098470E">
              <w:t>requirement</w:t>
            </w:r>
            <w:r>
              <w:t xml:space="preserve">s associated with the Training and Development Grant. </w:t>
            </w:r>
          </w:p>
        </w:tc>
      </w:tr>
    </w:tbl>
    <w:p w14:paraId="1A010BB4" w14:textId="42A9F4E2" w:rsidR="00921922" w:rsidRPr="0098470E" w:rsidRDefault="00F12615" w:rsidP="00F12615">
      <w:pPr>
        <w:pStyle w:val="DHHStablecaption"/>
      </w:pPr>
      <w:r>
        <w:t xml:space="preserve">Indicator: </w:t>
      </w:r>
      <w:r w:rsidR="00101E11" w:rsidRPr="00504261">
        <w:t>Percentage of learners feeling safe at the organisation</w:t>
      </w:r>
    </w:p>
    <w:tbl>
      <w:tblPr>
        <w:tblStyle w:val="TableGrid"/>
        <w:tblW w:w="9299" w:type="dxa"/>
        <w:tblLook w:val="06A0" w:firstRow="1" w:lastRow="0" w:firstColumn="1" w:lastColumn="0" w:noHBand="1" w:noVBand="1"/>
      </w:tblPr>
      <w:tblGrid>
        <w:gridCol w:w="2560"/>
        <w:gridCol w:w="6739"/>
      </w:tblGrid>
      <w:tr w:rsidR="00D97737" w:rsidRPr="0098470E" w14:paraId="0B8C54F6"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60" w:type="dxa"/>
          </w:tcPr>
          <w:p w14:paraId="352AC81E" w14:textId="07399D55" w:rsidR="00D97737" w:rsidRPr="00504261" w:rsidRDefault="00D97737" w:rsidP="00D97737">
            <w:pPr>
              <w:pStyle w:val="DHHStablecolhead"/>
            </w:pPr>
            <w:r>
              <w:t>Element</w:t>
            </w:r>
          </w:p>
        </w:tc>
        <w:tc>
          <w:tcPr>
            <w:tcW w:w="6739" w:type="dxa"/>
          </w:tcPr>
          <w:p w14:paraId="454BE490" w14:textId="11C44DBE" w:rsidR="00D97737" w:rsidRPr="00504261" w:rsidRDefault="00D97737" w:rsidP="00D97737">
            <w:pPr>
              <w:pStyle w:val="DHHStablecolhead"/>
            </w:pPr>
            <w:r>
              <w:t>Details</w:t>
            </w:r>
          </w:p>
        </w:tc>
      </w:tr>
      <w:tr w:rsidR="00921922" w:rsidRPr="0098470E" w14:paraId="3990A142" w14:textId="77777777" w:rsidTr="00F12615">
        <w:trPr>
          <w:cantSplit/>
        </w:trPr>
        <w:tc>
          <w:tcPr>
            <w:tcW w:w="2560" w:type="dxa"/>
          </w:tcPr>
          <w:p w14:paraId="21A42362" w14:textId="77777777" w:rsidR="00921922" w:rsidRPr="0098470E" w:rsidRDefault="00921922" w:rsidP="00603215">
            <w:pPr>
              <w:pStyle w:val="DHHStabletext"/>
            </w:pPr>
            <w:r w:rsidRPr="0098470E">
              <w:t>Numerator</w:t>
            </w:r>
          </w:p>
        </w:tc>
        <w:tc>
          <w:tcPr>
            <w:tcW w:w="6739" w:type="dxa"/>
          </w:tcPr>
          <w:p w14:paraId="30EE1B0D" w14:textId="5DB1BA38" w:rsidR="00921922" w:rsidRPr="0098470E" w:rsidRDefault="00921922" w:rsidP="00603215">
            <w:pPr>
              <w:pStyle w:val="DHHStabletext"/>
            </w:pPr>
            <w:r w:rsidRPr="0098470E">
              <w:t xml:space="preserve">The number of learners that rated their feeling of safety favourably (i.e. agree or strongly agree on the 5-point Likert scale of: strongly disagree – disagree – neither agree nor disagree – agree – </w:t>
            </w:r>
            <w:r>
              <w:t>strongly agree) to the statement</w:t>
            </w:r>
            <w:r w:rsidRPr="0098470E">
              <w:t xml:space="preserve">: </w:t>
            </w:r>
            <w:r w:rsidR="0069770C">
              <w:t>‘</w:t>
            </w:r>
            <w:r w:rsidRPr="0098470E">
              <w:t>I feel safe at this organisation</w:t>
            </w:r>
            <w:r w:rsidR="0069770C">
              <w:t>’.</w:t>
            </w:r>
          </w:p>
        </w:tc>
      </w:tr>
      <w:tr w:rsidR="00921922" w:rsidRPr="0098470E" w14:paraId="61E094E5" w14:textId="77777777" w:rsidTr="00F12615">
        <w:trPr>
          <w:cantSplit/>
        </w:trPr>
        <w:tc>
          <w:tcPr>
            <w:tcW w:w="2560" w:type="dxa"/>
          </w:tcPr>
          <w:p w14:paraId="7C872B27" w14:textId="77777777" w:rsidR="00921922" w:rsidRPr="0098470E" w:rsidRDefault="00921922" w:rsidP="00603215">
            <w:pPr>
              <w:pStyle w:val="DHHStabletext"/>
            </w:pPr>
            <w:r w:rsidRPr="0098470E">
              <w:t xml:space="preserve">Denominator </w:t>
            </w:r>
          </w:p>
        </w:tc>
        <w:tc>
          <w:tcPr>
            <w:tcW w:w="6739" w:type="dxa"/>
          </w:tcPr>
          <w:p w14:paraId="688F70A0" w14:textId="0641CDA4" w:rsidR="00921922" w:rsidRPr="0098470E" w:rsidRDefault="00921922" w:rsidP="00603215">
            <w:pPr>
              <w:pStyle w:val="DHHStabletext"/>
            </w:pPr>
            <w:r w:rsidRPr="0098470E">
              <w:t>The total number of</w:t>
            </w:r>
            <w:r>
              <w:t xml:space="preserve"> learners that responded to the statement</w:t>
            </w:r>
            <w:r w:rsidR="0069770C">
              <w:t>.</w:t>
            </w:r>
            <w:r>
              <w:t xml:space="preserve"> </w:t>
            </w:r>
          </w:p>
        </w:tc>
      </w:tr>
      <w:tr w:rsidR="00921922" w:rsidRPr="0098470E" w14:paraId="689C9553" w14:textId="77777777" w:rsidTr="00F12615">
        <w:trPr>
          <w:cantSplit/>
        </w:trPr>
        <w:tc>
          <w:tcPr>
            <w:tcW w:w="2560" w:type="dxa"/>
          </w:tcPr>
          <w:p w14:paraId="7FBD0F2C" w14:textId="77777777" w:rsidR="00921922" w:rsidRPr="0098470E" w:rsidRDefault="00921922" w:rsidP="00603215">
            <w:pPr>
              <w:pStyle w:val="DHHStabletext"/>
            </w:pPr>
            <w:r w:rsidRPr="0098470E">
              <w:t>Risk Flag</w:t>
            </w:r>
          </w:p>
        </w:tc>
        <w:tc>
          <w:tcPr>
            <w:tcW w:w="6739" w:type="dxa"/>
          </w:tcPr>
          <w:p w14:paraId="12FC001A" w14:textId="77777777" w:rsidR="00921922" w:rsidRPr="0098470E" w:rsidRDefault="00921922" w:rsidP="00603215">
            <w:pPr>
              <w:pStyle w:val="DHHStabletext"/>
            </w:pPr>
            <w:r w:rsidRPr="0098470E">
              <w:t>80%</w:t>
            </w:r>
          </w:p>
        </w:tc>
      </w:tr>
      <w:tr w:rsidR="00E90723" w:rsidRPr="0098470E" w14:paraId="7F0BB9A8" w14:textId="77777777" w:rsidTr="00E90723">
        <w:trPr>
          <w:cantSplit/>
        </w:trPr>
        <w:tc>
          <w:tcPr>
            <w:tcW w:w="2560" w:type="dxa"/>
          </w:tcPr>
          <w:p w14:paraId="5A196D9D" w14:textId="77777777" w:rsidR="00E90723" w:rsidRPr="0098470E" w:rsidRDefault="00E90723" w:rsidP="00603215">
            <w:pPr>
              <w:pStyle w:val="DHHStabletext"/>
            </w:pPr>
            <w:r w:rsidRPr="0098470E">
              <w:t xml:space="preserve">Achievement </w:t>
            </w:r>
          </w:p>
        </w:tc>
        <w:tc>
          <w:tcPr>
            <w:tcW w:w="6739" w:type="dxa"/>
          </w:tcPr>
          <w:p w14:paraId="292DBC78" w14:textId="5B24FEDD" w:rsidR="00E90723" w:rsidRPr="00E90723" w:rsidRDefault="00E90723" w:rsidP="00E90723">
            <w:pPr>
              <w:pStyle w:val="DHHStabletext92mmtab"/>
            </w:pPr>
            <w:r w:rsidRPr="00E90723">
              <w:t>Over 80%</w:t>
            </w:r>
            <w:r>
              <w:tab/>
            </w:r>
            <w:r w:rsidRPr="00E90723">
              <w:t>Achieved</w:t>
            </w:r>
          </w:p>
          <w:p w14:paraId="34E98E7A" w14:textId="32989B98" w:rsidR="00E90723" w:rsidRPr="00E90723" w:rsidRDefault="00E90723" w:rsidP="00E90723">
            <w:pPr>
              <w:pStyle w:val="DHHStabletext92mmtab"/>
            </w:pPr>
            <w:r w:rsidRPr="00E90723">
              <w:t>Equal to or under 80%</w:t>
            </w:r>
            <w:r>
              <w:tab/>
            </w:r>
            <w:r w:rsidRPr="00E90723">
              <w:t>Not achieved</w:t>
            </w:r>
          </w:p>
        </w:tc>
      </w:tr>
    </w:tbl>
    <w:p w14:paraId="482DD389" w14:textId="0F8D9CD3" w:rsidR="00921922" w:rsidRPr="0098470E" w:rsidRDefault="00F12615" w:rsidP="00F12615">
      <w:pPr>
        <w:pStyle w:val="DHHStablecaption"/>
      </w:pPr>
      <w:r>
        <w:t xml:space="preserve">Indicator: </w:t>
      </w:r>
      <w:r w:rsidR="00101E11" w:rsidRPr="00504261">
        <w:t>Percentage of learners having a sense of wellbeing at the organisation</w:t>
      </w:r>
    </w:p>
    <w:tbl>
      <w:tblPr>
        <w:tblStyle w:val="TableGrid"/>
        <w:tblW w:w="9299" w:type="dxa"/>
        <w:tblLook w:val="06A0" w:firstRow="1" w:lastRow="0" w:firstColumn="1" w:lastColumn="0" w:noHBand="1" w:noVBand="1"/>
      </w:tblPr>
      <w:tblGrid>
        <w:gridCol w:w="2561"/>
        <w:gridCol w:w="6738"/>
      </w:tblGrid>
      <w:tr w:rsidR="00D97737" w:rsidRPr="0098470E" w14:paraId="617785C9" w14:textId="77777777" w:rsidTr="00F12615">
        <w:trPr>
          <w:cnfStyle w:val="100000000000" w:firstRow="1" w:lastRow="0" w:firstColumn="0" w:lastColumn="0" w:oddVBand="0" w:evenVBand="0" w:oddHBand="0" w:evenHBand="0" w:firstRowFirstColumn="0" w:firstRowLastColumn="0" w:lastRowFirstColumn="0" w:lastRowLastColumn="0"/>
          <w:cantSplit/>
          <w:tblHeader/>
        </w:trPr>
        <w:tc>
          <w:tcPr>
            <w:tcW w:w="2561" w:type="dxa"/>
          </w:tcPr>
          <w:p w14:paraId="21191606" w14:textId="53004667" w:rsidR="00D97737" w:rsidRPr="00504261" w:rsidRDefault="00D97737" w:rsidP="00D97737">
            <w:pPr>
              <w:pStyle w:val="DHHStablecolhead"/>
            </w:pPr>
            <w:r>
              <w:t>Element</w:t>
            </w:r>
          </w:p>
        </w:tc>
        <w:tc>
          <w:tcPr>
            <w:tcW w:w="6738" w:type="dxa"/>
          </w:tcPr>
          <w:p w14:paraId="5A6EA331" w14:textId="4300AF27" w:rsidR="00D97737" w:rsidRPr="00504261" w:rsidRDefault="00D97737" w:rsidP="00D97737">
            <w:pPr>
              <w:pStyle w:val="DHHStablecolhead"/>
            </w:pPr>
            <w:r>
              <w:t>Details</w:t>
            </w:r>
          </w:p>
        </w:tc>
      </w:tr>
      <w:tr w:rsidR="00921922" w:rsidRPr="0098470E" w14:paraId="796445AD" w14:textId="77777777" w:rsidTr="00F12615">
        <w:trPr>
          <w:cantSplit/>
        </w:trPr>
        <w:tc>
          <w:tcPr>
            <w:tcW w:w="2561" w:type="dxa"/>
          </w:tcPr>
          <w:p w14:paraId="41545AF1" w14:textId="77777777" w:rsidR="00921922" w:rsidRPr="0098470E" w:rsidRDefault="00921922" w:rsidP="00603215">
            <w:pPr>
              <w:pStyle w:val="DHHStabletext"/>
            </w:pPr>
            <w:r w:rsidRPr="0098470E">
              <w:t>Numerator</w:t>
            </w:r>
          </w:p>
        </w:tc>
        <w:tc>
          <w:tcPr>
            <w:tcW w:w="6738" w:type="dxa"/>
          </w:tcPr>
          <w:p w14:paraId="5C31B11B" w14:textId="0BC27819" w:rsidR="00921922" w:rsidRPr="0098470E" w:rsidRDefault="00921922" w:rsidP="00603215">
            <w:pPr>
              <w:pStyle w:val="DHHStabletext"/>
            </w:pPr>
            <w:r w:rsidRPr="0098470E">
              <w:t xml:space="preserve">The number of learners that rate their sense of personal wellbeing favourably (i.e. agree or strongly agree on a 5-point Likert scale of strongly disagree – disagree – neither agree nor disagree – agree </w:t>
            </w:r>
            <w:r>
              <w:t>– strongly agree) to the statement</w:t>
            </w:r>
            <w:r w:rsidRPr="0098470E">
              <w:t xml:space="preserve">: </w:t>
            </w:r>
            <w:r w:rsidR="007610EE">
              <w:t>‘</w:t>
            </w:r>
            <w:r w:rsidRPr="0098470E">
              <w:t>I had an overall sense of wellbeing while in this organisation</w:t>
            </w:r>
            <w:r w:rsidR="007610EE">
              <w:t>’.</w:t>
            </w:r>
          </w:p>
        </w:tc>
      </w:tr>
      <w:tr w:rsidR="00921922" w:rsidRPr="0098470E" w14:paraId="493D7C58" w14:textId="77777777" w:rsidTr="00F12615">
        <w:trPr>
          <w:cantSplit/>
        </w:trPr>
        <w:tc>
          <w:tcPr>
            <w:tcW w:w="2561" w:type="dxa"/>
          </w:tcPr>
          <w:p w14:paraId="16D1FB21" w14:textId="77777777" w:rsidR="00921922" w:rsidRPr="0098470E" w:rsidRDefault="00921922" w:rsidP="00603215">
            <w:pPr>
              <w:pStyle w:val="DHHStabletext"/>
            </w:pPr>
            <w:r w:rsidRPr="0098470E">
              <w:t xml:space="preserve">Denominator </w:t>
            </w:r>
          </w:p>
        </w:tc>
        <w:tc>
          <w:tcPr>
            <w:tcW w:w="6738" w:type="dxa"/>
          </w:tcPr>
          <w:p w14:paraId="109BEF71" w14:textId="3E8613D9" w:rsidR="00921922" w:rsidRPr="0098470E" w:rsidRDefault="00921922" w:rsidP="00603215">
            <w:pPr>
              <w:pStyle w:val="DHHStabletext"/>
            </w:pPr>
            <w:r w:rsidRPr="0098470E">
              <w:t xml:space="preserve">The total number of </w:t>
            </w:r>
            <w:r>
              <w:t>learners that responded to the statement</w:t>
            </w:r>
            <w:r w:rsidR="007610EE">
              <w:t>.</w:t>
            </w:r>
          </w:p>
        </w:tc>
      </w:tr>
      <w:tr w:rsidR="00921922" w:rsidRPr="0098470E" w14:paraId="269781B1" w14:textId="77777777" w:rsidTr="00F12615">
        <w:trPr>
          <w:cantSplit/>
        </w:trPr>
        <w:tc>
          <w:tcPr>
            <w:tcW w:w="2561" w:type="dxa"/>
          </w:tcPr>
          <w:p w14:paraId="56D821F2" w14:textId="77777777" w:rsidR="00921922" w:rsidRPr="0098470E" w:rsidRDefault="00921922" w:rsidP="00603215">
            <w:pPr>
              <w:pStyle w:val="DHHStabletext"/>
            </w:pPr>
            <w:r w:rsidRPr="0098470E">
              <w:t>Risk Flag</w:t>
            </w:r>
          </w:p>
        </w:tc>
        <w:tc>
          <w:tcPr>
            <w:tcW w:w="6738" w:type="dxa"/>
          </w:tcPr>
          <w:p w14:paraId="3C9B22EC" w14:textId="77777777" w:rsidR="00921922" w:rsidRPr="0098470E" w:rsidRDefault="00921922" w:rsidP="00603215">
            <w:pPr>
              <w:pStyle w:val="DHHStabletext"/>
            </w:pPr>
            <w:r w:rsidRPr="0098470E">
              <w:t xml:space="preserve">80% </w:t>
            </w:r>
          </w:p>
        </w:tc>
      </w:tr>
      <w:tr w:rsidR="005A4C80" w:rsidRPr="0098470E" w14:paraId="6451F27B" w14:textId="77777777" w:rsidTr="005A4C80">
        <w:trPr>
          <w:cantSplit/>
        </w:trPr>
        <w:tc>
          <w:tcPr>
            <w:tcW w:w="2561" w:type="dxa"/>
          </w:tcPr>
          <w:p w14:paraId="1D57217E" w14:textId="0CB8846A" w:rsidR="005A4C80" w:rsidRPr="0098470E" w:rsidRDefault="005A4C80" w:rsidP="00603215">
            <w:pPr>
              <w:pStyle w:val="DHHStabletext"/>
            </w:pPr>
            <w:r w:rsidRPr="0098470E">
              <w:t>Achievement</w:t>
            </w:r>
          </w:p>
        </w:tc>
        <w:tc>
          <w:tcPr>
            <w:tcW w:w="6738" w:type="dxa"/>
          </w:tcPr>
          <w:p w14:paraId="3D272FE8" w14:textId="62F851E2" w:rsidR="005A4C80" w:rsidRPr="0098470E" w:rsidRDefault="005A4C80" w:rsidP="005A4C80">
            <w:pPr>
              <w:pStyle w:val="DHHStabletext92mmtab"/>
            </w:pPr>
            <w:r w:rsidRPr="0098470E">
              <w:t>Over 80%</w:t>
            </w:r>
            <w:r>
              <w:tab/>
              <w:t>Achieved</w:t>
            </w:r>
          </w:p>
          <w:p w14:paraId="25D4807D" w14:textId="65CF786A" w:rsidR="005A4C80" w:rsidRPr="0098470E" w:rsidRDefault="005A4C80" w:rsidP="005A4C80">
            <w:pPr>
              <w:pStyle w:val="DHHStabletext92mmtab"/>
            </w:pPr>
            <w:r w:rsidRPr="0098470E">
              <w:t>Equal to or under 80%</w:t>
            </w:r>
            <w:r>
              <w:tab/>
              <w:t>Not achieved</w:t>
            </w:r>
          </w:p>
        </w:tc>
      </w:tr>
    </w:tbl>
    <w:p w14:paraId="7D1B5CBD" w14:textId="01EB2BA2" w:rsidR="00921922" w:rsidRPr="0098470E" w:rsidRDefault="00F12615" w:rsidP="00F12615">
      <w:pPr>
        <w:pStyle w:val="DHHStablecaption"/>
      </w:pPr>
      <w:r>
        <w:t xml:space="preserve">Indicator: </w:t>
      </w:r>
      <w:r w:rsidR="00101E11" w:rsidRPr="00504261">
        <w:t>Percentage of learners who reported experiencing or witnessing bullying at the organisation</w:t>
      </w:r>
    </w:p>
    <w:tbl>
      <w:tblPr>
        <w:tblStyle w:val="TableGrid"/>
        <w:tblW w:w="9299" w:type="dxa"/>
        <w:tblLook w:val="06A0" w:firstRow="1" w:lastRow="0" w:firstColumn="1" w:lastColumn="0" w:noHBand="1" w:noVBand="1"/>
      </w:tblPr>
      <w:tblGrid>
        <w:gridCol w:w="2561"/>
        <w:gridCol w:w="6738"/>
      </w:tblGrid>
      <w:tr w:rsidR="00D97737" w:rsidRPr="0098470E" w14:paraId="45C9AF6D" w14:textId="77777777" w:rsidTr="00D97737">
        <w:trPr>
          <w:cnfStyle w:val="100000000000" w:firstRow="1" w:lastRow="0" w:firstColumn="0" w:lastColumn="0" w:oddVBand="0" w:evenVBand="0" w:oddHBand="0" w:evenHBand="0" w:firstRowFirstColumn="0" w:firstRowLastColumn="0" w:lastRowFirstColumn="0" w:lastRowLastColumn="0"/>
          <w:cantSplit/>
          <w:tblHeader/>
        </w:trPr>
        <w:tc>
          <w:tcPr>
            <w:tcW w:w="2561" w:type="dxa"/>
          </w:tcPr>
          <w:p w14:paraId="1DC1B3B3" w14:textId="35F866C6" w:rsidR="00D97737" w:rsidRPr="00504261" w:rsidRDefault="00D97737" w:rsidP="00D97737">
            <w:pPr>
              <w:pStyle w:val="DHHStablecolhead"/>
            </w:pPr>
            <w:r>
              <w:t>Element</w:t>
            </w:r>
          </w:p>
        </w:tc>
        <w:tc>
          <w:tcPr>
            <w:tcW w:w="6738" w:type="dxa"/>
          </w:tcPr>
          <w:p w14:paraId="2B17A961" w14:textId="27FE2F3D" w:rsidR="00D97737" w:rsidRPr="00504261" w:rsidRDefault="00D97737" w:rsidP="00D97737">
            <w:pPr>
              <w:pStyle w:val="DHHStablecolhead"/>
            </w:pPr>
            <w:r>
              <w:t>Details</w:t>
            </w:r>
          </w:p>
        </w:tc>
      </w:tr>
      <w:tr w:rsidR="00921922" w:rsidRPr="0098470E" w14:paraId="315BEAA1" w14:textId="77777777" w:rsidTr="00D97737">
        <w:trPr>
          <w:cantSplit/>
        </w:trPr>
        <w:tc>
          <w:tcPr>
            <w:tcW w:w="2561" w:type="dxa"/>
          </w:tcPr>
          <w:p w14:paraId="655BC37C" w14:textId="77777777" w:rsidR="00921922" w:rsidRPr="0098470E" w:rsidRDefault="00921922" w:rsidP="00603215">
            <w:pPr>
              <w:pStyle w:val="DHHStabletext"/>
            </w:pPr>
            <w:r w:rsidRPr="0098470E">
              <w:t>Numerator</w:t>
            </w:r>
          </w:p>
        </w:tc>
        <w:tc>
          <w:tcPr>
            <w:tcW w:w="6738" w:type="dxa"/>
          </w:tcPr>
          <w:p w14:paraId="0C67528D" w14:textId="77777777" w:rsidR="00921922" w:rsidRDefault="00921922" w:rsidP="00603215">
            <w:pPr>
              <w:pStyle w:val="DHHStabletext"/>
            </w:pPr>
            <w:r w:rsidRPr="0098470E">
              <w:t xml:space="preserve">The number of learners that indicate a </w:t>
            </w:r>
            <w:r>
              <w:t>‘</w:t>
            </w:r>
            <w:r w:rsidRPr="0098470E">
              <w:t>yes</w:t>
            </w:r>
            <w:r>
              <w:t>’</w:t>
            </w:r>
            <w:r w:rsidRPr="0098470E">
              <w:t xml:space="preserve"> answer to the</w:t>
            </w:r>
            <w:r>
              <w:t xml:space="preserve"> statement</w:t>
            </w:r>
            <w:r w:rsidRPr="0098470E">
              <w:t xml:space="preserve">: </w:t>
            </w:r>
          </w:p>
          <w:p w14:paraId="72D6B147" w14:textId="3A7CB96A" w:rsidR="00921922" w:rsidRPr="0098470E" w:rsidRDefault="007610EE" w:rsidP="00603215">
            <w:pPr>
              <w:pStyle w:val="DHHStabletext"/>
            </w:pPr>
            <w:r>
              <w:t>‘</w:t>
            </w:r>
            <w:r w:rsidR="00921922" w:rsidRPr="0098470E">
              <w:t>I personally experienced bullying or witnessed bullying of others in this organisation</w:t>
            </w:r>
            <w:r>
              <w:t>’.</w:t>
            </w:r>
            <w:r w:rsidR="00921922" w:rsidRPr="0098470E">
              <w:t xml:space="preserve"> </w:t>
            </w:r>
          </w:p>
        </w:tc>
      </w:tr>
      <w:tr w:rsidR="00921922" w:rsidRPr="0098470E" w14:paraId="7BA35B20" w14:textId="77777777" w:rsidTr="00D97737">
        <w:trPr>
          <w:cantSplit/>
        </w:trPr>
        <w:tc>
          <w:tcPr>
            <w:tcW w:w="2561" w:type="dxa"/>
          </w:tcPr>
          <w:p w14:paraId="2E44E374" w14:textId="77777777" w:rsidR="00921922" w:rsidRPr="0098470E" w:rsidRDefault="00921922" w:rsidP="00603215">
            <w:pPr>
              <w:pStyle w:val="DHHStabletext"/>
            </w:pPr>
            <w:r w:rsidRPr="0098470E">
              <w:t xml:space="preserve">Denominator </w:t>
            </w:r>
          </w:p>
        </w:tc>
        <w:tc>
          <w:tcPr>
            <w:tcW w:w="6738" w:type="dxa"/>
          </w:tcPr>
          <w:p w14:paraId="23D69F20" w14:textId="386A7940" w:rsidR="00921922" w:rsidRPr="0098470E" w:rsidRDefault="00921922" w:rsidP="00603215">
            <w:pPr>
              <w:pStyle w:val="DHHStabletext"/>
            </w:pPr>
            <w:r w:rsidRPr="0098470E">
              <w:t>The total number of</w:t>
            </w:r>
            <w:r>
              <w:t xml:space="preserve"> </w:t>
            </w:r>
            <w:r w:rsidRPr="0098470E">
              <w:t xml:space="preserve">learners that responded to </w:t>
            </w:r>
            <w:r>
              <w:t>the statement</w:t>
            </w:r>
            <w:r w:rsidR="007610EE">
              <w:t>.</w:t>
            </w:r>
          </w:p>
        </w:tc>
      </w:tr>
      <w:tr w:rsidR="00921922" w:rsidRPr="0098470E" w14:paraId="4D0079D5" w14:textId="77777777" w:rsidTr="00D97737">
        <w:trPr>
          <w:cantSplit/>
        </w:trPr>
        <w:tc>
          <w:tcPr>
            <w:tcW w:w="2561" w:type="dxa"/>
          </w:tcPr>
          <w:p w14:paraId="44EBC5EC" w14:textId="77777777" w:rsidR="00921922" w:rsidRPr="0098470E" w:rsidRDefault="00921922" w:rsidP="00603215">
            <w:pPr>
              <w:pStyle w:val="DHHStabletext"/>
            </w:pPr>
            <w:r w:rsidRPr="0098470E">
              <w:t>Risk Flag</w:t>
            </w:r>
          </w:p>
        </w:tc>
        <w:tc>
          <w:tcPr>
            <w:tcW w:w="6738" w:type="dxa"/>
          </w:tcPr>
          <w:p w14:paraId="2414CCC5" w14:textId="77777777" w:rsidR="00921922" w:rsidRPr="0098470E" w:rsidRDefault="00921922" w:rsidP="00603215">
            <w:pPr>
              <w:pStyle w:val="DHHStabletext"/>
            </w:pPr>
            <w:r w:rsidRPr="0098470E">
              <w:t xml:space="preserve">20% </w:t>
            </w:r>
          </w:p>
        </w:tc>
      </w:tr>
      <w:tr w:rsidR="00B52E13" w:rsidRPr="0098470E" w14:paraId="052E3BDC" w14:textId="77777777" w:rsidTr="00B52E13">
        <w:trPr>
          <w:cantSplit/>
        </w:trPr>
        <w:tc>
          <w:tcPr>
            <w:tcW w:w="2561" w:type="dxa"/>
          </w:tcPr>
          <w:p w14:paraId="264EB92C" w14:textId="77777777" w:rsidR="00B52E13" w:rsidRPr="0098470E" w:rsidRDefault="00B52E13" w:rsidP="00603215">
            <w:pPr>
              <w:pStyle w:val="DHHStabletext"/>
            </w:pPr>
            <w:r w:rsidRPr="0098470E">
              <w:t xml:space="preserve">Achievement </w:t>
            </w:r>
          </w:p>
        </w:tc>
        <w:tc>
          <w:tcPr>
            <w:tcW w:w="6738" w:type="dxa"/>
          </w:tcPr>
          <w:p w14:paraId="4B4EA960" w14:textId="138D688E" w:rsidR="00B52E13" w:rsidRPr="00B52E13" w:rsidRDefault="00B52E13" w:rsidP="00B52E13">
            <w:pPr>
              <w:pStyle w:val="DHHStabletext92mmtab"/>
            </w:pPr>
            <w:r w:rsidRPr="00B52E13">
              <w:t>Under 20%</w:t>
            </w:r>
            <w:r>
              <w:tab/>
            </w:r>
            <w:r w:rsidRPr="00B52E13">
              <w:t>Achieved</w:t>
            </w:r>
          </w:p>
          <w:p w14:paraId="090E5061" w14:textId="585B7B49" w:rsidR="00B52E13" w:rsidRPr="00B52E13" w:rsidRDefault="00B52E13" w:rsidP="00B52E13">
            <w:pPr>
              <w:pStyle w:val="DHHStabletext92mmtab"/>
            </w:pPr>
            <w:r w:rsidRPr="00B52E13">
              <w:t>Equal to or over 20%</w:t>
            </w:r>
            <w:r>
              <w:tab/>
            </w:r>
            <w:r w:rsidRPr="00B52E13">
              <w:t>Not achieved</w:t>
            </w:r>
          </w:p>
        </w:tc>
      </w:tr>
    </w:tbl>
    <w:p w14:paraId="23137059" w14:textId="77777777" w:rsidR="00921922" w:rsidRPr="0098470E" w:rsidRDefault="00921922" w:rsidP="00330A94">
      <w:pPr>
        <w:pStyle w:val="Heading3"/>
      </w:pPr>
      <w:bookmarkStart w:id="95" w:name="_Toc516827360"/>
      <w:bookmarkStart w:id="96" w:name="_Toc517959139"/>
      <w:bookmarkStart w:id="97" w:name="_Toc15580094"/>
      <w:r w:rsidRPr="0098470E">
        <w:lastRenderedPageBreak/>
        <w:t>Timely access to care</w:t>
      </w:r>
      <w:bookmarkEnd w:id="95"/>
      <w:bookmarkEnd w:id="96"/>
      <w:bookmarkEnd w:id="97"/>
    </w:p>
    <w:p w14:paraId="3BC9BD41" w14:textId="635D40EE" w:rsidR="00921922" w:rsidRDefault="00921922" w:rsidP="00330A94">
      <w:pPr>
        <w:pStyle w:val="Heading4"/>
      </w:pPr>
      <w:bookmarkStart w:id="98" w:name="_Toc517959140"/>
      <w:bookmarkStart w:id="99" w:name="_Toc15580095"/>
      <w:r w:rsidRPr="0098470E">
        <w:t>Emergency care</w:t>
      </w:r>
      <w:bookmarkEnd w:id="98"/>
      <w:bookmarkEnd w:id="99"/>
    </w:p>
    <w:p w14:paraId="0B90D46A" w14:textId="5DE1EA4D" w:rsidR="00F12615" w:rsidRPr="00F12615" w:rsidRDefault="00F12615" w:rsidP="00F12615">
      <w:pPr>
        <w:pStyle w:val="DHHStablecaption"/>
      </w:pPr>
      <w:r>
        <w:t xml:space="preserve">Indicator: </w:t>
      </w:r>
      <w:r w:rsidR="00101E11" w:rsidRPr="00504261">
        <w:t xml:space="preserve">Percentage of patients transferred from ambulance to </w:t>
      </w:r>
      <w:r w:rsidR="00647185">
        <w:t>an emergency department (ED)</w:t>
      </w:r>
      <w:r w:rsidR="00101E11" w:rsidRPr="00504261">
        <w:t xml:space="preserve"> within 40 minutes</w:t>
      </w:r>
    </w:p>
    <w:tbl>
      <w:tblPr>
        <w:tblStyle w:val="TableGrid"/>
        <w:tblW w:w="9300" w:type="dxa"/>
        <w:tblLayout w:type="fixed"/>
        <w:tblLook w:val="06A0" w:firstRow="1" w:lastRow="0" w:firstColumn="1" w:lastColumn="0" w:noHBand="1" w:noVBand="1"/>
      </w:tblPr>
      <w:tblGrid>
        <w:gridCol w:w="2552"/>
        <w:gridCol w:w="6748"/>
      </w:tblGrid>
      <w:tr w:rsidR="00D97737" w:rsidRPr="0098470E" w14:paraId="0B9AFDF9" w14:textId="77777777" w:rsidTr="000B4BF3">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456E45EC" w14:textId="239772A6" w:rsidR="00D97737" w:rsidRPr="00504261" w:rsidRDefault="00D97737" w:rsidP="00D97737">
            <w:pPr>
              <w:pStyle w:val="DHHStablecolhead"/>
            </w:pPr>
            <w:r>
              <w:t>Element</w:t>
            </w:r>
          </w:p>
        </w:tc>
        <w:tc>
          <w:tcPr>
            <w:tcW w:w="6748" w:type="dxa"/>
          </w:tcPr>
          <w:p w14:paraId="327D4A5F" w14:textId="5CD21B03" w:rsidR="00D97737" w:rsidRPr="00504261" w:rsidRDefault="00D97737" w:rsidP="00D97737">
            <w:pPr>
              <w:pStyle w:val="DHHStablecolhead"/>
            </w:pPr>
            <w:r>
              <w:t>Details</w:t>
            </w:r>
          </w:p>
        </w:tc>
      </w:tr>
      <w:tr w:rsidR="00921922" w:rsidRPr="0098470E" w14:paraId="0D245EDA" w14:textId="77777777" w:rsidTr="000B4BF3">
        <w:trPr>
          <w:cantSplit/>
        </w:trPr>
        <w:tc>
          <w:tcPr>
            <w:tcW w:w="2552" w:type="dxa"/>
          </w:tcPr>
          <w:p w14:paraId="540DFCAB" w14:textId="77777777" w:rsidR="00921922" w:rsidRPr="0098470E" w:rsidRDefault="00921922" w:rsidP="00603215">
            <w:pPr>
              <w:pStyle w:val="DHHStabletext"/>
            </w:pPr>
            <w:r>
              <w:t>Description</w:t>
            </w:r>
          </w:p>
        </w:tc>
        <w:tc>
          <w:tcPr>
            <w:tcW w:w="6748" w:type="dxa"/>
          </w:tcPr>
          <w:p w14:paraId="37A30357" w14:textId="2BF5DF08" w:rsidR="00921922" w:rsidRDefault="00921922" w:rsidP="00603215">
            <w:pPr>
              <w:pStyle w:val="DHHStabletext"/>
            </w:pPr>
            <w:r w:rsidRPr="0098470E">
              <w:t>Timely reception of ambulance patients in EDs is essential to delivering responsive and safe emergency care</w:t>
            </w:r>
            <w:r>
              <w:t>, and good performance impacts</w:t>
            </w:r>
            <w:r w:rsidRPr="0098470E">
              <w:t xml:space="preserve"> positively on patient outcomes, patient flow in the E</w:t>
            </w:r>
            <w:r>
              <w:t>D and ambulance response times.</w:t>
            </w:r>
          </w:p>
          <w:p w14:paraId="03C3E492" w14:textId="77777777" w:rsidR="00921922" w:rsidRPr="0098470E" w:rsidRDefault="00921922" w:rsidP="00603215">
            <w:pPr>
              <w:pStyle w:val="DHHStabletext"/>
            </w:pPr>
            <w:r w:rsidRPr="0098470E">
              <w:t>This indicator monitors the percentage of patients who were transferred from paramedic care to hospital emergency care within 40 minutes of ambulance</w:t>
            </w:r>
            <w:r>
              <w:t xml:space="preserve"> arrival.</w:t>
            </w:r>
          </w:p>
        </w:tc>
      </w:tr>
      <w:tr w:rsidR="00921922" w:rsidRPr="0098470E" w14:paraId="006BA937" w14:textId="77777777" w:rsidTr="000B4BF3">
        <w:trPr>
          <w:cantSplit/>
        </w:trPr>
        <w:tc>
          <w:tcPr>
            <w:tcW w:w="2552" w:type="dxa"/>
            <w:hideMark/>
          </w:tcPr>
          <w:p w14:paraId="4757924F" w14:textId="77777777" w:rsidR="00921922" w:rsidRPr="0098470E" w:rsidRDefault="00921922" w:rsidP="00603215">
            <w:pPr>
              <w:pStyle w:val="DHHStabletext"/>
            </w:pPr>
            <w:r w:rsidRPr="0098470E">
              <w:t>Calculating performance</w:t>
            </w:r>
          </w:p>
        </w:tc>
        <w:tc>
          <w:tcPr>
            <w:tcW w:w="6748" w:type="dxa"/>
            <w:hideMark/>
          </w:tcPr>
          <w:p w14:paraId="0594B49F" w14:textId="77777777" w:rsidR="00921922" w:rsidRPr="0098470E" w:rsidRDefault="00921922" w:rsidP="00603215">
            <w:pPr>
              <w:pStyle w:val="DHHStabletext"/>
            </w:pPr>
            <w:r w:rsidRPr="0098470E">
              <w:t>Ambulance patient transfer time is the total time from ambulance arrival at the hospital (</w:t>
            </w:r>
            <w:r>
              <w:t>‘</w:t>
            </w:r>
            <w:r w:rsidRPr="0098470E">
              <w:t>at destination time</w:t>
            </w:r>
            <w:r>
              <w:t>’</w:t>
            </w:r>
            <w:r w:rsidRPr="0098470E">
              <w:t>) to the physical transfer of the patient and handover of care to hospital staff (</w:t>
            </w:r>
            <w:r>
              <w:t>‘</w:t>
            </w:r>
            <w:r w:rsidRPr="0098470E">
              <w:t>ambulance handover complete</w:t>
            </w:r>
            <w:r>
              <w:t>’</w:t>
            </w:r>
            <w:r w:rsidRPr="0098470E">
              <w:t>).</w:t>
            </w:r>
          </w:p>
          <w:p w14:paraId="34E1FC06" w14:textId="77777777" w:rsidR="00921922" w:rsidRPr="0098470E" w:rsidRDefault="00921922" w:rsidP="00603215">
            <w:pPr>
              <w:pStyle w:val="DHHStabletext"/>
            </w:pPr>
            <w:r w:rsidRPr="0098470E">
              <w:t>This indicator captures the percentage of cases where ambulance patient transfer time is less than or equal to 40 minutes.</w:t>
            </w:r>
          </w:p>
          <w:p w14:paraId="5C8E37DD" w14:textId="77777777" w:rsidR="00921922" w:rsidRPr="0098470E" w:rsidRDefault="00921922" w:rsidP="00603215">
            <w:pPr>
              <w:pStyle w:val="DHHStabletext"/>
            </w:pPr>
            <w:r w:rsidRPr="0098470E">
              <w:t>This indicator includes patients who arrive by ambulance to the ED but excludes patients arriving by Non-Emergency Patient Transport.</w:t>
            </w:r>
          </w:p>
          <w:p w14:paraId="5701F047" w14:textId="77777777" w:rsidR="00921922" w:rsidRPr="0098470E" w:rsidRDefault="00921922" w:rsidP="00603215">
            <w:pPr>
              <w:pStyle w:val="DHHStabletext"/>
            </w:pPr>
            <w:r w:rsidRPr="0098470E">
              <w:t>This indicator is expressed as a percentage and rounded to the nearest whole number (0.5 is rounded up).</w:t>
            </w:r>
          </w:p>
        </w:tc>
      </w:tr>
      <w:tr w:rsidR="00921922" w:rsidRPr="0098470E" w14:paraId="69DDBF43" w14:textId="77777777" w:rsidTr="000B4BF3">
        <w:trPr>
          <w:cantSplit/>
        </w:trPr>
        <w:tc>
          <w:tcPr>
            <w:tcW w:w="2552" w:type="dxa"/>
            <w:hideMark/>
          </w:tcPr>
          <w:p w14:paraId="3D475927" w14:textId="77777777" w:rsidR="00921922" w:rsidRPr="0098470E" w:rsidRDefault="00921922" w:rsidP="00603215">
            <w:pPr>
              <w:pStyle w:val="DHHStabletext"/>
            </w:pPr>
            <w:r w:rsidRPr="0098470E">
              <w:t>Numerator</w:t>
            </w:r>
          </w:p>
        </w:tc>
        <w:tc>
          <w:tcPr>
            <w:tcW w:w="6748" w:type="dxa"/>
            <w:hideMark/>
          </w:tcPr>
          <w:p w14:paraId="75341385" w14:textId="7F3D4ACB" w:rsidR="00921922" w:rsidRPr="0098470E" w:rsidRDefault="00921922" w:rsidP="00603215">
            <w:pPr>
              <w:pStyle w:val="DHHStabletext"/>
            </w:pPr>
            <w:r w:rsidRPr="0098470E">
              <w:t>Patients arriving by emergency ambulance who are transferred within 40 minutes to the ED</w:t>
            </w:r>
            <w:r w:rsidR="00354140">
              <w:t>.</w:t>
            </w:r>
          </w:p>
        </w:tc>
      </w:tr>
      <w:tr w:rsidR="00921922" w:rsidRPr="0098470E" w14:paraId="77F516E7" w14:textId="77777777" w:rsidTr="000B4BF3">
        <w:trPr>
          <w:cantSplit/>
        </w:trPr>
        <w:tc>
          <w:tcPr>
            <w:tcW w:w="2552" w:type="dxa"/>
            <w:hideMark/>
          </w:tcPr>
          <w:p w14:paraId="7AFF678B" w14:textId="77777777" w:rsidR="00921922" w:rsidRPr="0098470E" w:rsidRDefault="00921922" w:rsidP="00603215">
            <w:pPr>
              <w:pStyle w:val="DHHStabletext"/>
            </w:pPr>
            <w:r w:rsidRPr="0098470E">
              <w:t>Denominator</w:t>
            </w:r>
          </w:p>
        </w:tc>
        <w:tc>
          <w:tcPr>
            <w:tcW w:w="6748" w:type="dxa"/>
            <w:hideMark/>
          </w:tcPr>
          <w:p w14:paraId="33344984" w14:textId="6D6B51B1" w:rsidR="00921922" w:rsidRPr="0098470E" w:rsidRDefault="00921922" w:rsidP="00603215">
            <w:pPr>
              <w:pStyle w:val="DHHStabletext"/>
            </w:pPr>
            <w:r w:rsidRPr="0098470E">
              <w:t>All patients arriving by emergency ambulance who are transferred to the ED</w:t>
            </w:r>
            <w:r w:rsidR="00354140">
              <w:t>.</w:t>
            </w:r>
          </w:p>
        </w:tc>
      </w:tr>
      <w:tr w:rsidR="00921922" w:rsidRPr="0098470E" w14:paraId="7669EA51" w14:textId="77777777" w:rsidTr="000B4BF3">
        <w:trPr>
          <w:cantSplit/>
        </w:trPr>
        <w:tc>
          <w:tcPr>
            <w:tcW w:w="2552" w:type="dxa"/>
            <w:hideMark/>
          </w:tcPr>
          <w:p w14:paraId="107CA6D7" w14:textId="77777777" w:rsidR="00921922" w:rsidRPr="0098470E" w:rsidRDefault="00921922" w:rsidP="00603215">
            <w:pPr>
              <w:pStyle w:val="DHHStabletext"/>
            </w:pPr>
            <w:r w:rsidRPr="0098470E">
              <w:t>Statewide target</w:t>
            </w:r>
          </w:p>
        </w:tc>
        <w:tc>
          <w:tcPr>
            <w:tcW w:w="6748" w:type="dxa"/>
            <w:hideMark/>
          </w:tcPr>
          <w:p w14:paraId="19193098" w14:textId="77777777" w:rsidR="00921922" w:rsidRPr="0098470E" w:rsidRDefault="00921922" w:rsidP="00603215">
            <w:pPr>
              <w:pStyle w:val="DHHStabletext"/>
              <w:rPr>
                <w:lang w:val="en-US"/>
              </w:rPr>
            </w:pPr>
            <w:r w:rsidRPr="0098470E">
              <w:t>90%</w:t>
            </w:r>
          </w:p>
        </w:tc>
      </w:tr>
      <w:tr w:rsidR="00B52E13" w:rsidRPr="0098470E" w14:paraId="169CBD11" w14:textId="77777777" w:rsidTr="00B52E13">
        <w:trPr>
          <w:cantSplit/>
        </w:trPr>
        <w:tc>
          <w:tcPr>
            <w:tcW w:w="2552" w:type="dxa"/>
            <w:hideMark/>
          </w:tcPr>
          <w:p w14:paraId="584F20FB" w14:textId="77777777" w:rsidR="00B52E13" w:rsidRPr="0021427C" w:rsidRDefault="00B52E13" w:rsidP="00603215">
            <w:pPr>
              <w:pStyle w:val="DHHStabletext"/>
            </w:pPr>
            <w:r w:rsidRPr="0021427C">
              <w:t>Achievement</w:t>
            </w:r>
          </w:p>
        </w:tc>
        <w:tc>
          <w:tcPr>
            <w:tcW w:w="6748" w:type="dxa"/>
            <w:hideMark/>
          </w:tcPr>
          <w:p w14:paraId="15081C88" w14:textId="1E27CFA8" w:rsidR="00B52E13" w:rsidRPr="0098470E" w:rsidRDefault="00B52E13" w:rsidP="00B52E13">
            <w:pPr>
              <w:pStyle w:val="DHHStabletext92mmtab"/>
            </w:pPr>
            <w:r w:rsidRPr="0098470E">
              <w:t>Greater than or equal to 90%</w:t>
            </w:r>
            <w:r>
              <w:tab/>
              <w:t>Achieved</w:t>
            </w:r>
          </w:p>
          <w:p w14:paraId="1DD52FF0" w14:textId="1911D595" w:rsidR="00B52E13" w:rsidRPr="0098470E" w:rsidRDefault="00B52E13" w:rsidP="00B52E13">
            <w:pPr>
              <w:pStyle w:val="DHHStabletext92mmtab"/>
            </w:pPr>
            <w:r w:rsidRPr="0098470E">
              <w:t>Less than 90%</w:t>
            </w:r>
            <w:r>
              <w:tab/>
              <w:t>Not achieved</w:t>
            </w:r>
          </w:p>
        </w:tc>
      </w:tr>
      <w:tr w:rsidR="00921922" w:rsidRPr="0098470E" w14:paraId="381F14BA" w14:textId="77777777" w:rsidTr="000B4BF3">
        <w:trPr>
          <w:cantSplit/>
        </w:trPr>
        <w:tc>
          <w:tcPr>
            <w:tcW w:w="2552" w:type="dxa"/>
          </w:tcPr>
          <w:p w14:paraId="381A4C36" w14:textId="77777777" w:rsidR="00921922" w:rsidRPr="0098470E" w:rsidRDefault="00921922" w:rsidP="00603215">
            <w:pPr>
              <w:pStyle w:val="DHHStabletext"/>
            </w:pPr>
            <w:r>
              <w:t>Improvement</w:t>
            </w:r>
          </w:p>
        </w:tc>
        <w:tc>
          <w:tcPr>
            <w:tcW w:w="6748" w:type="dxa"/>
          </w:tcPr>
          <w:p w14:paraId="63EA8C8E" w14:textId="77777777" w:rsidR="00921922" w:rsidRPr="0098470E" w:rsidRDefault="00921922" w:rsidP="00603215">
            <w:pPr>
              <w:pStyle w:val="DHHStabletext"/>
            </w:pPr>
            <w:r w:rsidRPr="0098470E">
              <w:t>Improvement is calculated based on same time last year performance.</w:t>
            </w:r>
          </w:p>
        </w:tc>
      </w:tr>
      <w:tr w:rsidR="00921922" w:rsidRPr="0098470E" w14:paraId="757CC6B0" w14:textId="77777777" w:rsidTr="000B4BF3">
        <w:trPr>
          <w:cantSplit/>
        </w:trPr>
        <w:tc>
          <w:tcPr>
            <w:tcW w:w="2552" w:type="dxa"/>
            <w:hideMark/>
          </w:tcPr>
          <w:p w14:paraId="1B6B080D" w14:textId="77777777" w:rsidR="00921922" w:rsidRPr="0098470E" w:rsidRDefault="00921922" w:rsidP="00603215">
            <w:pPr>
              <w:pStyle w:val="DHHStabletext"/>
              <w:rPr>
                <w:lang w:val="en-US"/>
              </w:rPr>
            </w:pPr>
            <w:r w:rsidRPr="0098470E">
              <w:t>Frequency of reporting and data collection</w:t>
            </w:r>
          </w:p>
        </w:tc>
        <w:tc>
          <w:tcPr>
            <w:tcW w:w="6748" w:type="dxa"/>
            <w:hideMark/>
          </w:tcPr>
          <w:p w14:paraId="7420A473" w14:textId="77777777" w:rsidR="00921922" w:rsidRPr="0098470E" w:rsidRDefault="00921922" w:rsidP="00603215">
            <w:pPr>
              <w:pStyle w:val="DHHStabletext"/>
            </w:pPr>
            <w:r w:rsidRPr="0098470E">
              <w:t>This indicator is measured at the campus level.</w:t>
            </w:r>
          </w:p>
          <w:p w14:paraId="2351C5CB" w14:textId="77777777" w:rsidR="00921922" w:rsidRPr="0098470E" w:rsidRDefault="00921922" w:rsidP="00603215">
            <w:pPr>
              <w:pStyle w:val="DHHStabletext"/>
            </w:pPr>
            <w:r w:rsidRPr="0098470E">
              <w:t>Performance is monitored and assessed monthly. Quarterly and annual results are also generated.</w:t>
            </w:r>
          </w:p>
          <w:p w14:paraId="131DB386" w14:textId="24B1F1F0" w:rsidR="00921922" w:rsidRPr="0098470E" w:rsidRDefault="00ED2483" w:rsidP="00603215">
            <w:pPr>
              <w:pStyle w:val="DHHStabletext"/>
            </w:pPr>
            <w:r>
              <w:t>T</w:t>
            </w:r>
            <w:r w:rsidR="00921922" w:rsidRPr="0098470E">
              <w:t xml:space="preserve">his indicator </w:t>
            </w:r>
            <w:r w:rsidR="00921922">
              <w:t>is</w:t>
            </w:r>
            <w:r w:rsidR="00921922" w:rsidRPr="0098470E">
              <w:t xml:space="preserve"> calculated using data submitted by health services via the </w:t>
            </w:r>
            <w:r w:rsidR="00921922">
              <w:t>Victorian Emergency Minimum Dataset (</w:t>
            </w:r>
            <w:r w:rsidR="00921922" w:rsidRPr="0098470E">
              <w:t>VEMD</w:t>
            </w:r>
            <w:r w:rsidR="00921922">
              <w:t>)</w:t>
            </w:r>
            <w:r w:rsidR="00921922" w:rsidRPr="0098470E">
              <w:t xml:space="preserve">. Refer to the </w:t>
            </w:r>
            <w:r w:rsidR="00171A1C">
              <w:rPr>
                <w:i/>
              </w:rPr>
              <w:t>P</w:t>
            </w:r>
            <w:r w:rsidR="00921922" w:rsidRPr="0098470E">
              <w:rPr>
                <w:i/>
              </w:rPr>
              <w:t xml:space="preserve">olicy and </w:t>
            </w:r>
            <w:r w:rsidR="00171A1C">
              <w:rPr>
                <w:i/>
              </w:rPr>
              <w:t>F</w:t>
            </w:r>
            <w:r w:rsidR="00921922" w:rsidRPr="0098470E">
              <w:rPr>
                <w:i/>
              </w:rPr>
              <w:t xml:space="preserve">unding </w:t>
            </w:r>
            <w:r w:rsidR="00171A1C">
              <w:rPr>
                <w:i/>
              </w:rPr>
              <w:t>G</w:t>
            </w:r>
            <w:r w:rsidR="00921922" w:rsidRPr="0098470E">
              <w:rPr>
                <w:i/>
              </w:rPr>
              <w:t>uidelines</w:t>
            </w:r>
            <w:r w:rsidR="00921922" w:rsidRPr="0098470E">
              <w:t xml:space="preserve"> for further information on VEMD data submission timelines.</w:t>
            </w:r>
          </w:p>
        </w:tc>
      </w:tr>
    </w:tbl>
    <w:p w14:paraId="29C26D2D" w14:textId="3AAE1E4E" w:rsidR="00F12615" w:rsidRPr="00961723" w:rsidRDefault="00F12615" w:rsidP="00F12615">
      <w:pPr>
        <w:pStyle w:val="DHHStablecaption"/>
      </w:pPr>
      <w:r>
        <w:lastRenderedPageBreak/>
        <w:t xml:space="preserve">Indicator: </w:t>
      </w:r>
      <w:r w:rsidR="00101E11" w:rsidRPr="00504261">
        <w:t>Percentage of triage category 1 emergency patients seen immediately</w:t>
      </w:r>
    </w:p>
    <w:tbl>
      <w:tblPr>
        <w:tblStyle w:val="TableGrid"/>
        <w:tblW w:w="9300" w:type="dxa"/>
        <w:tblLayout w:type="fixed"/>
        <w:tblLook w:val="06A0" w:firstRow="1" w:lastRow="0" w:firstColumn="1" w:lastColumn="0" w:noHBand="1" w:noVBand="1"/>
      </w:tblPr>
      <w:tblGrid>
        <w:gridCol w:w="2581"/>
        <w:gridCol w:w="6719"/>
      </w:tblGrid>
      <w:tr w:rsidR="00D97737" w:rsidRPr="0098470E" w14:paraId="7CD9DF8B" w14:textId="77777777" w:rsidTr="000B4BF3">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6386FDB5" w14:textId="0491B45C" w:rsidR="00D97737" w:rsidRPr="00504261" w:rsidRDefault="00D97737" w:rsidP="00D97737">
            <w:pPr>
              <w:pStyle w:val="DHHStablecolhead"/>
            </w:pPr>
            <w:r>
              <w:t>Element</w:t>
            </w:r>
          </w:p>
        </w:tc>
        <w:tc>
          <w:tcPr>
            <w:tcW w:w="6719" w:type="dxa"/>
          </w:tcPr>
          <w:p w14:paraId="4CC00057" w14:textId="568C28B5" w:rsidR="00D97737" w:rsidRPr="00504261" w:rsidRDefault="00D97737" w:rsidP="00D97737">
            <w:pPr>
              <w:pStyle w:val="DHHStablecolhead"/>
            </w:pPr>
            <w:r>
              <w:t>Details</w:t>
            </w:r>
          </w:p>
        </w:tc>
      </w:tr>
      <w:tr w:rsidR="00921922" w:rsidRPr="0098470E" w14:paraId="516A46D0" w14:textId="77777777" w:rsidTr="000B4BF3">
        <w:trPr>
          <w:cantSplit/>
        </w:trPr>
        <w:tc>
          <w:tcPr>
            <w:tcW w:w="2581" w:type="dxa"/>
            <w:hideMark/>
          </w:tcPr>
          <w:p w14:paraId="4D61E4CF" w14:textId="77777777" w:rsidR="00921922" w:rsidRPr="0098470E" w:rsidRDefault="00921922" w:rsidP="00603215">
            <w:pPr>
              <w:pStyle w:val="DHHStabletext"/>
            </w:pPr>
            <w:r w:rsidRPr="0098470E">
              <w:t>Description</w:t>
            </w:r>
          </w:p>
        </w:tc>
        <w:tc>
          <w:tcPr>
            <w:tcW w:w="6719" w:type="dxa"/>
            <w:hideMark/>
          </w:tcPr>
          <w:p w14:paraId="3F93C938" w14:textId="77777777" w:rsidR="00921922" w:rsidRDefault="00921922" w:rsidP="00603215">
            <w:pPr>
              <w:pStyle w:val="DHHStabletext"/>
            </w:pPr>
            <w:r w:rsidRPr="0098470E">
              <w:t>Triage category 1 patients have a condition that is clinically assessed as immediately life threatening and requires immediate intervention. The clinical benchmark is 100 per cent</w:t>
            </w:r>
            <w:r>
              <w:t xml:space="preserve"> due to the high clinical needs of patients</w:t>
            </w:r>
            <w:r w:rsidRPr="0098470E">
              <w:t>.</w:t>
            </w:r>
          </w:p>
          <w:p w14:paraId="239B3207" w14:textId="77777777" w:rsidR="00921922" w:rsidRPr="0098470E" w:rsidRDefault="00921922" w:rsidP="00603215">
            <w:pPr>
              <w:pStyle w:val="DHHStabletext"/>
            </w:pPr>
            <w:r w:rsidRPr="0098470E">
              <w:t xml:space="preserve">The aim of this indicator is to </w:t>
            </w:r>
            <w:r>
              <w:t xml:space="preserve">ensure the treatment of </w:t>
            </w:r>
            <w:r w:rsidRPr="0098470E">
              <w:t xml:space="preserve">patients </w:t>
            </w:r>
            <w:r>
              <w:t xml:space="preserve">occurs </w:t>
            </w:r>
            <w:r w:rsidRPr="0098470E">
              <w:t>within appropriate clinical benchmark times.</w:t>
            </w:r>
          </w:p>
          <w:p w14:paraId="13DAF15D" w14:textId="349BF072" w:rsidR="00921922" w:rsidRPr="0098470E" w:rsidRDefault="00921922" w:rsidP="00603215">
            <w:pPr>
              <w:pStyle w:val="DHHStabletext"/>
            </w:pPr>
            <w:r w:rsidRPr="0098470E">
              <w:t>All patients attending EDs are triaged or assessed for urgency. The Australasian College of Emergency Medicine has identified five triage categories and defines the desirable time by when treatment should commence for patients in each category.</w:t>
            </w:r>
          </w:p>
        </w:tc>
      </w:tr>
      <w:tr w:rsidR="00921922" w:rsidRPr="0098470E" w14:paraId="19720154" w14:textId="77777777" w:rsidTr="000B4BF3">
        <w:trPr>
          <w:cantSplit/>
        </w:trPr>
        <w:tc>
          <w:tcPr>
            <w:tcW w:w="2581" w:type="dxa"/>
            <w:hideMark/>
          </w:tcPr>
          <w:p w14:paraId="752B8515" w14:textId="77777777" w:rsidR="00921922" w:rsidRPr="0098470E" w:rsidRDefault="00921922" w:rsidP="00603215">
            <w:pPr>
              <w:pStyle w:val="DHHStabletext"/>
            </w:pPr>
            <w:r w:rsidRPr="0098470E">
              <w:t>Calculating performance</w:t>
            </w:r>
          </w:p>
        </w:tc>
        <w:tc>
          <w:tcPr>
            <w:tcW w:w="6719" w:type="dxa"/>
            <w:hideMark/>
          </w:tcPr>
          <w:p w14:paraId="219D6992" w14:textId="77777777" w:rsidR="00921922" w:rsidRPr="0098470E" w:rsidRDefault="00921922" w:rsidP="00603215">
            <w:pPr>
              <w:pStyle w:val="DHHStabletext"/>
            </w:pPr>
            <w:r w:rsidRPr="0098470E">
              <w:t>A patient is categorised as having been seen immediately if the time to treatment, as defined in the VEMD manual, is less than or equal to one minute.</w:t>
            </w:r>
          </w:p>
          <w:p w14:paraId="2EE7D218" w14:textId="77777777" w:rsidR="00921922" w:rsidRPr="0098470E" w:rsidRDefault="00921922" w:rsidP="00603215">
            <w:pPr>
              <w:pStyle w:val="DHHStabletext"/>
            </w:pPr>
            <w:r w:rsidRPr="0098470E">
              <w:t>Time to treatment equals b – a, where:</w:t>
            </w:r>
          </w:p>
          <w:p w14:paraId="0E73A436" w14:textId="77777777" w:rsidR="00921922" w:rsidRPr="0098470E" w:rsidRDefault="00921922" w:rsidP="00603215">
            <w:pPr>
              <w:pStyle w:val="DHHStablebullet1"/>
            </w:pPr>
            <w:r>
              <w:t>‘</w:t>
            </w:r>
            <w:r w:rsidRPr="0098470E">
              <w:t>a</w:t>
            </w:r>
            <w:r>
              <w:t>’</w:t>
            </w:r>
            <w:r w:rsidRPr="0098470E">
              <w:t xml:space="preserve"> is arrival date and time</w:t>
            </w:r>
          </w:p>
          <w:p w14:paraId="056F55A8" w14:textId="77777777" w:rsidR="00921922" w:rsidRPr="0098470E" w:rsidRDefault="00921922" w:rsidP="00603215">
            <w:pPr>
              <w:pStyle w:val="DHHStablebullet1"/>
            </w:pPr>
            <w:r>
              <w:t>‘</w:t>
            </w:r>
            <w:r w:rsidRPr="0098470E">
              <w:t>b</w:t>
            </w:r>
            <w:r>
              <w:t>’</w:t>
            </w:r>
            <w:r w:rsidRPr="0098470E">
              <w:t xml:space="preserve"> is the date and time of the initiation of patient management (either by a doctor, a mental health practitioner or a nurse, whichever is earliest).</w:t>
            </w:r>
          </w:p>
          <w:p w14:paraId="1B35BDB0" w14:textId="77777777" w:rsidR="00921922" w:rsidRPr="0098470E" w:rsidRDefault="00921922" w:rsidP="00603215">
            <w:pPr>
              <w:pStyle w:val="DHHStabletext"/>
            </w:pPr>
            <w:r w:rsidRPr="0098470E">
              <w:t>This indicator excludes those presentations with a departure status code of:</w:t>
            </w:r>
          </w:p>
          <w:p w14:paraId="77BAD07E" w14:textId="77777777" w:rsidR="00921922" w:rsidRPr="0098470E" w:rsidRDefault="00921922" w:rsidP="00603215">
            <w:pPr>
              <w:pStyle w:val="DHHStablebullet1"/>
            </w:pPr>
            <w:r w:rsidRPr="0098470E">
              <w:t xml:space="preserve">10 – </w:t>
            </w:r>
            <w:r>
              <w:t>l</w:t>
            </w:r>
            <w:r w:rsidRPr="0098470E">
              <w:t>eft after advice regarding treatment options</w:t>
            </w:r>
          </w:p>
          <w:p w14:paraId="54DD5D85" w14:textId="77777777" w:rsidR="00921922" w:rsidRPr="0098470E" w:rsidRDefault="00921922" w:rsidP="00603215">
            <w:pPr>
              <w:pStyle w:val="DHHStablebullet1"/>
            </w:pPr>
            <w:r w:rsidRPr="0098470E">
              <w:t xml:space="preserve">11 – </w:t>
            </w:r>
            <w:r>
              <w:t>l</w:t>
            </w:r>
            <w:r w:rsidRPr="0098470E">
              <w:t>eft at own risk without treatment</w:t>
            </w:r>
          </w:p>
          <w:p w14:paraId="4B5998F3" w14:textId="77777777" w:rsidR="00921922" w:rsidRPr="0098470E" w:rsidRDefault="00921922" w:rsidP="00603215">
            <w:pPr>
              <w:pStyle w:val="DHHStablebullet1"/>
            </w:pPr>
            <w:r w:rsidRPr="0098470E">
              <w:t xml:space="preserve">30 – </w:t>
            </w:r>
            <w:r>
              <w:t>r</w:t>
            </w:r>
            <w:r w:rsidRPr="0098470E">
              <w:t>eferred to collocated clinic.</w:t>
            </w:r>
          </w:p>
          <w:p w14:paraId="474D6FC1" w14:textId="77777777" w:rsidR="00921922" w:rsidRPr="0098470E" w:rsidRDefault="00921922" w:rsidP="00603215">
            <w:pPr>
              <w:pStyle w:val="DHHStabletext"/>
            </w:pPr>
            <w:r w:rsidRPr="0098470E">
              <w:t>This indicator is expressed as a percentage and rounded to the nearest whole number (0.5 is rounded up).</w:t>
            </w:r>
          </w:p>
          <w:p w14:paraId="00C511EA" w14:textId="77777777" w:rsidR="00921922" w:rsidRPr="0098470E" w:rsidRDefault="00921922" w:rsidP="00603215">
            <w:pPr>
              <w:pStyle w:val="DHHStabletext"/>
            </w:pPr>
            <w:r w:rsidRPr="0098470E">
              <w:t>Improvement is calculated based on same time last year performance.</w:t>
            </w:r>
          </w:p>
          <w:p w14:paraId="234CE679" w14:textId="77777777" w:rsidR="00921922" w:rsidRDefault="00921922" w:rsidP="00603215">
            <w:pPr>
              <w:pStyle w:val="DHHStabletextsubhead"/>
            </w:pPr>
            <w:r>
              <w:t>Performance breach notification</w:t>
            </w:r>
          </w:p>
          <w:p w14:paraId="209BF0CF" w14:textId="395A2293" w:rsidR="00921922" w:rsidRPr="0098470E" w:rsidRDefault="00921922">
            <w:pPr>
              <w:pStyle w:val="DHHStabletext"/>
            </w:pPr>
            <w:r w:rsidRPr="0098470E">
              <w:t>If a category 1 ED patient was not seen immediately and the event has been verified and confirmed as accurate, the patient will be regarded as a breach for the purposes of performance</w:t>
            </w:r>
            <w:r w:rsidR="007D4618">
              <w:t>,</w:t>
            </w:r>
            <w:r w:rsidRPr="0098470E">
              <w:t xml:space="preserve"> and a departmental notification procedure must be initiated by the health service.</w:t>
            </w:r>
          </w:p>
        </w:tc>
      </w:tr>
      <w:tr w:rsidR="00921922" w:rsidRPr="0098470E" w14:paraId="72D801B0" w14:textId="77777777" w:rsidTr="000B4BF3">
        <w:trPr>
          <w:cantSplit/>
        </w:trPr>
        <w:tc>
          <w:tcPr>
            <w:tcW w:w="2581" w:type="dxa"/>
            <w:hideMark/>
          </w:tcPr>
          <w:p w14:paraId="45A9BBF9" w14:textId="77777777" w:rsidR="00921922" w:rsidRPr="0098470E" w:rsidRDefault="00921922" w:rsidP="00603215">
            <w:pPr>
              <w:pStyle w:val="DHHStabletext"/>
            </w:pPr>
            <w:r w:rsidRPr="0098470E">
              <w:t>Numerator</w:t>
            </w:r>
          </w:p>
        </w:tc>
        <w:tc>
          <w:tcPr>
            <w:tcW w:w="6719" w:type="dxa"/>
            <w:hideMark/>
          </w:tcPr>
          <w:p w14:paraId="1B9D0BBD" w14:textId="51ED2BCE" w:rsidR="00921922" w:rsidRPr="0098470E" w:rsidRDefault="00921922" w:rsidP="00603215">
            <w:pPr>
              <w:pStyle w:val="DHHStabletext"/>
            </w:pPr>
            <w:r w:rsidRPr="0098470E">
              <w:t>Number of triage category 1 emergency patients seen immediately</w:t>
            </w:r>
            <w:r w:rsidR="007D4618">
              <w:t>.</w:t>
            </w:r>
          </w:p>
        </w:tc>
      </w:tr>
      <w:tr w:rsidR="00921922" w:rsidRPr="0098470E" w14:paraId="208B43F5" w14:textId="77777777" w:rsidTr="000B4BF3">
        <w:trPr>
          <w:cantSplit/>
        </w:trPr>
        <w:tc>
          <w:tcPr>
            <w:tcW w:w="2581" w:type="dxa"/>
            <w:hideMark/>
          </w:tcPr>
          <w:p w14:paraId="63C5A755" w14:textId="77777777" w:rsidR="00921922" w:rsidRPr="0098470E" w:rsidRDefault="00921922" w:rsidP="00603215">
            <w:pPr>
              <w:pStyle w:val="DHHStabletext"/>
            </w:pPr>
            <w:r w:rsidRPr="0098470E">
              <w:t>Denominator</w:t>
            </w:r>
          </w:p>
        </w:tc>
        <w:tc>
          <w:tcPr>
            <w:tcW w:w="6719" w:type="dxa"/>
            <w:hideMark/>
          </w:tcPr>
          <w:p w14:paraId="30B16563" w14:textId="12B665D7" w:rsidR="00921922" w:rsidRPr="0098470E" w:rsidRDefault="00921922" w:rsidP="00603215">
            <w:pPr>
              <w:pStyle w:val="DHHStabletext"/>
            </w:pPr>
            <w:r w:rsidRPr="0098470E">
              <w:t>Total number of triage category 1 emergency patients</w:t>
            </w:r>
            <w:r w:rsidR="007D4618">
              <w:t>.</w:t>
            </w:r>
          </w:p>
        </w:tc>
      </w:tr>
      <w:tr w:rsidR="00921922" w:rsidRPr="0098470E" w14:paraId="588C718F" w14:textId="77777777" w:rsidTr="000B4BF3">
        <w:trPr>
          <w:cantSplit/>
        </w:trPr>
        <w:tc>
          <w:tcPr>
            <w:tcW w:w="2581" w:type="dxa"/>
            <w:hideMark/>
          </w:tcPr>
          <w:p w14:paraId="19BAE24D" w14:textId="77777777" w:rsidR="00921922" w:rsidRPr="0098470E" w:rsidRDefault="00921922" w:rsidP="00603215">
            <w:pPr>
              <w:pStyle w:val="DHHStabletext"/>
            </w:pPr>
            <w:r w:rsidRPr="0098470E">
              <w:t>Statewide target</w:t>
            </w:r>
          </w:p>
        </w:tc>
        <w:tc>
          <w:tcPr>
            <w:tcW w:w="6719" w:type="dxa"/>
            <w:hideMark/>
          </w:tcPr>
          <w:p w14:paraId="318864B6" w14:textId="77777777" w:rsidR="00921922" w:rsidRPr="0098470E" w:rsidRDefault="00921922" w:rsidP="00603215">
            <w:pPr>
              <w:pStyle w:val="DHHStabletext"/>
              <w:rPr>
                <w:lang w:val="en-US"/>
              </w:rPr>
            </w:pPr>
            <w:r w:rsidRPr="0098470E">
              <w:t>100%</w:t>
            </w:r>
          </w:p>
        </w:tc>
      </w:tr>
      <w:tr w:rsidR="00B52E13" w:rsidRPr="0098470E" w14:paraId="0AABA0EA" w14:textId="77777777" w:rsidTr="00B52E13">
        <w:trPr>
          <w:cantSplit/>
        </w:trPr>
        <w:tc>
          <w:tcPr>
            <w:tcW w:w="2581" w:type="dxa"/>
            <w:hideMark/>
          </w:tcPr>
          <w:p w14:paraId="1EED53D1" w14:textId="77777777" w:rsidR="00B52E13" w:rsidRPr="0098470E" w:rsidRDefault="00B52E13" w:rsidP="00603215">
            <w:pPr>
              <w:pStyle w:val="DHHStabletext"/>
            </w:pPr>
            <w:r w:rsidRPr="0098470E">
              <w:t>Achievement</w:t>
            </w:r>
          </w:p>
        </w:tc>
        <w:tc>
          <w:tcPr>
            <w:tcW w:w="6719" w:type="dxa"/>
            <w:hideMark/>
          </w:tcPr>
          <w:p w14:paraId="72A099A0" w14:textId="79F5DC4C" w:rsidR="00B52E13" w:rsidRPr="0098470E" w:rsidRDefault="00B52E13" w:rsidP="00B52E13">
            <w:pPr>
              <w:pStyle w:val="DHHStabletext92mmtab"/>
            </w:pPr>
            <w:r w:rsidRPr="0098470E">
              <w:t>Equal to 100%</w:t>
            </w:r>
            <w:r>
              <w:tab/>
              <w:t>Achieved</w:t>
            </w:r>
          </w:p>
          <w:p w14:paraId="70E7E0E5" w14:textId="78109442" w:rsidR="00B52E13" w:rsidRPr="0098470E" w:rsidRDefault="00B52E13" w:rsidP="00B52E13">
            <w:pPr>
              <w:pStyle w:val="DHHStabletext92mmtab"/>
            </w:pPr>
            <w:r w:rsidRPr="0098470E">
              <w:t>Less than 100%</w:t>
            </w:r>
            <w:r>
              <w:tab/>
              <w:t>Not achieved</w:t>
            </w:r>
          </w:p>
        </w:tc>
      </w:tr>
      <w:tr w:rsidR="00921922" w:rsidRPr="0098470E" w14:paraId="4744953C" w14:textId="77777777" w:rsidTr="000B4BF3">
        <w:trPr>
          <w:cantSplit/>
        </w:trPr>
        <w:tc>
          <w:tcPr>
            <w:tcW w:w="2581" w:type="dxa"/>
            <w:hideMark/>
          </w:tcPr>
          <w:p w14:paraId="3787873E" w14:textId="77777777" w:rsidR="00921922" w:rsidRPr="0098470E" w:rsidRDefault="00921922" w:rsidP="00603215">
            <w:pPr>
              <w:pStyle w:val="DHHStabletext"/>
            </w:pPr>
            <w:r w:rsidRPr="0098470E">
              <w:t>Frequency of reporting and data collection</w:t>
            </w:r>
          </w:p>
        </w:tc>
        <w:tc>
          <w:tcPr>
            <w:tcW w:w="6719" w:type="dxa"/>
            <w:hideMark/>
          </w:tcPr>
          <w:p w14:paraId="655C2C70" w14:textId="77777777" w:rsidR="00921922" w:rsidRDefault="00921922" w:rsidP="00603215">
            <w:pPr>
              <w:pStyle w:val="DHHStabletext"/>
            </w:pPr>
            <w:r w:rsidRPr="0098470E">
              <w:t>Performance is monitored and assessed monthly.</w:t>
            </w:r>
          </w:p>
          <w:p w14:paraId="1C21B981" w14:textId="77777777" w:rsidR="00921922" w:rsidRPr="0098470E" w:rsidRDefault="00921922" w:rsidP="00603215">
            <w:pPr>
              <w:pStyle w:val="DHHStabletext"/>
            </w:pPr>
            <w:r w:rsidRPr="0098470E">
              <w:t>Quarterly and annual results are also generated.</w:t>
            </w:r>
          </w:p>
          <w:p w14:paraId="54D64428" w14:textId="284F321B" w:rsidR="00921922" w:rsidRPr="0098470E" w:rsidRDefault="00921922" w:rsidP="00603215">
            <w:pPr>
              <w:pStyle w:val="DHHStabletext"/>
            </w:pPr>
            <w:r w:rsidRPr="0098470E">
              <w:t xml:space="preserve">Data is submitted by health services via the VEMD. Refer to the </w:t>
            </w:r>
            <w:r w:rsidR="00171A1C">
              <w:rPr>
                <w:i/>
              </w:rPr>
              <w:t>P</w:t>
            </w:r>
            <w:r w:rsidRPr="0098470E">
              <w:rPr>
                <w:i/>
              </w:rPr>
              <w:t xml:space="preserve">olicy and </w:t>
            </w:r>
            <w:r w:rsidR="00171A1C">
              <w:rPr>
                <w:i/>
              </w:rPr>
              <w:t>F</w:t>
            </w:r>
            <w:r w:rsidRPr="0098470E">
              <w:rPr>
                <w:i/>
              </w:rPr>
              <w:t xml:space="preserve">unding </w:t>
            </w:r>
            <w:r w:rsidR="00171A1C">
              <w:rPr>
                <w:i/>
              </w:rPr>
              <w:t>G</w:t>
            </w:r>
            <w:r w:rsidRPr="0098470E">
              <w:rPr>
                <w:i/>
              </w:rPr>
              <w:t xml:space="preserve">uidelines </w:t>
            </w:r>
            <w:r w:rsidRPr="0098470E">
              <w:t>for further information on VEMD data submission timelines.</w:t>
            </w:r>
          </w:p>
          <w:p w14:paraId="3B019882" w14:textId="77777777" w:rsidR="00921922" w:rsidRPr="0098470E" w:rsidRDefault="00921922" w:rsidP="00603215">
            <w:pPr>
              <w:pStyle w:val="DHHStabletext"/>
            </w:pPr>
            <w:r w:rsidRPr="0098470E">
              <w:t>This indicator is measured at the campus level.</w:t>
            </w:r>
          </w:p>
        </w:tc>
      </w:tr>
    </w:tbl>
    <w:p w14:paraId="2D1DE8C1" w14:textId="0BFC9100" w:rsidR="00921922" w:rsidRPr="00F12615" w:rsidRDefault="00F12615" w:rsidP="00F12615">
      <w:pPr>
        <w:pStyle w:val="DHHStablecaption"/>
      </w:pPr>
      <w:r>
        <w:lastRenderedPageBreak/>
        <w:t xml:space="preserve">Indicator: </w:t>
      </w:r>
      <w:r w:rsidR="00101E11" w:rsidRPr="005B435A">
        <w:t>Percentage of triage category 1 to 5 emergency patients seen within clinically recommended time</w:t>
      </w:r>
    </w:p>
    <w:tbl>
      <w:tblPr>
        <w:tblStyle w:val="TableGrid"/>
        <w:tblW w:w="9300" w:type="dxa"/>
        <w:tblLayout w:type="fixed"/>
        <w:tblLook w:val="06A0" w:firstRow="1" w:lastRow="0" w:firstColumn="1" w:lastColumn="0" w:noHBand="1" w:noVBand="1"/>
      </w:tblPr>
      <w:tblGrid>
        <w:gridCol w:w="2552"/>
        <w:gridCol w:w="6748"/>
      </w:tblGrid>
      <w:tr w:rsidR="00D97737" w:rsidRPr="0098470E" w14:paraId="792903DE" w14:textId="77777777" w:rsidTr="000B4BF3">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6F76F24D" w14:textId="18684DF8" w:rsidR="00D97737" w:rsidRPr="005B435A" w:rsidRDefault="00D97737" w:rsidP="00D97737">
            <w:pPr>
              <w:pStyle w:val="DHHStablecolhead"/>
            </w:pPr>
            <w:r>
              <w:t>Element</w:t>
            </w:r>
          </w:p>
        </w:tc>
        <w:tc>
          <w:tcPr>
            <w:tcW w:w="6748" w:type="dxa"/>
          </w:tcPr>
          <w:p w14:paraId="413A6B09" w14:textId="01A5E6E3" w:rsidR="00D97737" w:rsidRPr="005B435A" w:rsidRDefault="00D97737" w:rsidP="00D97737">
            <w:pPr>
              <w:pStyle w:val="DHHStablecolhead"/>
            </w:pPr>
            <w:r>
              <w:t>Details</w:t>
            </w:r>
          </w:p>
        </w:tc>
      </w:tr>
      <w:tr w:rsidR="00921922" w:rsidRPr="0098470E" w14:paraId="17458374" w14:textId="77777777" w:rsidTr="000B4BF3">
        <w:trPr>
          <w:cantSplit/>
        </w:trPr>
        <w:tc>
          <w:tcPr>
            <w:tcW w:w="2552" w:type="dxa"/>
            <w:hideMark/>
          </w:tcPr>
          <w:p w14:paraId="3586666B" w14:textId="77777777" w:rsidR="00921922" w:rsidRPr="0098470E" w:rsidRDefault="00921922" w:rsidP="00603215">
            <w:pPr>
              <w:pStyle w:val="DHHStabletext"/>
            </w:pPr>
            <w:r w:rsidRPr="0098470E">
              <w:t>Description</w:t>
            </w:r>
          </w:p>
        </w:tc>
        <w:tc>
          <w:tcPr>
            <w:tcW w:w="6748" w:type="dxa"/>
            <w:hideMark/>
          </w:tcPr>
          <w:p w14:paraId="0013D9A3" w14:textId="5D6ACFF8" w:rsidR="00921922" w:rsidRPr="0098470E" w:rsidRDefault="00921922" w:rsidP="00603215">
            <w:pPr>
              <w:pStyle w:val="DHHStabletext"/>
            </w:pPr>
            <w:r w:rsidRPr="0098470E">
              <w:t>All patients attending EDs are triaged or assessed for urgency. The Australasian College of Emergency Medicine has identified five triage categories and defines the desirable time by when treatment should commence for patients in each category.</w:t>
            </w:r>
          </w:p>
          <w:p w14:paraId="1490EFA0" w14:textId="77777777" w:rsidR="00921922" w:rsidRPr="0098470E" w:rsidRDefault="00921922" w:rsidP="00603215">
            <w:pPr>
              <w:pStyle w:val="DHHStabletext"/>
            </w:pPr>
            <w:r w:rsidRPr="0098470E">
              <w:t xml:space="preserve">The aim of this indicator is to </w:t>
            </w:r>
            <w:r>
              <w:t xml:space="preserve">ensure the treatment of </w:t>
            </w:r>
            <w:r w:rsidRPr="0098470E">
              <w:t xml:space="preserve">patients </w:t>
            </w:r>
            <w:r>
              <w:t xml:space="preserve">occurs </w:t>
            </w:r>
            <w:r w:rsidRPr="0098470E">
              <w:t>within appropriate clinical benchmark times.</w:t>
            </w:r>
          </w:p>
        </w:tc>
      </w:tr>
      <w:tr w:rsidR="00921922" w:rsidRPr="0098470E" w14:paraId="1F36AD96" w14:textId="77777777" w:rsidTr="000B4BF3">
        <w:trPr>
          <w:cantSplit/>
        </w:trPr>
        <w:tc>
          <w:tcPr>
            <w:tcW w:w="2552" w:type="dxa"/>
            <w:hideMark/>
          </w:tcPr>
          <w:p w14:paraId="60D0AE5B" w14:textId="77777777" w:rsidR="00921922" w:rsidRPr="0098470E" w:rsidRDefault="00921922" w:rsidP="00603215">
            <w:pPr>
              <w:pStyle w:val="DHHStabletext"/>
            </w:pPr>
            <w:r w:rsidRPr="0098470E">
              <w:t>Calculating performance</w:t>
            </w:r>
          </w:p>
        </w:tc>
        <w:tc>
          <w:tcPr>
            <w:tcW w:w="6748" w:type="dxa"/>
            <w:hideMark/>
          </w:tcPr>
          <w:p w14:paraId="40BDD010" w14:textId="77777777" w:rsidR="00921922" w:rsidRPr="0098470E" w:rsidRDefault="00921922" w:rsidP="00603215">
            <w:pPr>
              <w:pStyle w:val="DHHStabletext"/>
            </w:pPr>
            <w:r w:rsidRPr="0098470E">
              <w:t>A patient is categorised as having been seen within clinically appropriate time where the time to treatment is as defined in the VEMD manual.</w:t>
            </w:r>
          </w:p>
          <w:p w14:paraId="4CE3D8DE" w14:textId="77777777" w:rsidR="00921922" w:rsidRPr="0098470E" w:rsidRDefault="00921922" w:rsidP="00603215">
            <w:pPr>
              <w:pStyle w:val="DHHStabletext"/>
            </w:pPr>
            <w:r w:rsidRPr="0098470E">
              <w:t>Time to treatment equals b – a, where:</w:t>
            </w:r>
          </w:p>
          <w:p w14:paraId="5C039B6E" w14:textId="77777777" w:rsidR="00921922" w:rsidRPr="0098470E" w:rsidRDefault="00921922" w:rsidP="00603215">
            <w:pPr>
              <w:pStyle w:val="DHHStablebullet1"/>
            </w:pPr>
            <w:r>
              <w:t>‘</w:t>
            </w:r>
            <w:r w:rsidRPr="0098470E">
              <w:t>a</w:t>
            </w:r>
            <w:r>
              <w:t>’</w:t>
            </w:r>
            <w:r w:rsidRPr="0098470E">
              <w:t xml:space="preserve"> is arrival date and time</w:t>
            </w:r>
          </w:p>
          <w:p w14:paraId="116EC28D" w14:textId="77777777" w:rsidR="00921922" w:rsidRPr="0098470E" w:rsidRDefault="00921922" w:rsidP="00603215">
            <w:pPr>
              <w:pStyle w:val="DHHStablebullet1"/>
            </w:pPr>
            <w:r>
              <w:t>‘</w:t>
            </w:r>
            <w:r w:rsidRPr="0098470E">
              <w:t>b</w:t>
            </w:r>
            <w:r>
              <w:t>’</w:t>
            </w:r>
            <w:r w:rsidRPr="0098470E">
              <w:t xml:space="preserve"> is the date and time of the initiation of patient management (either by a doctor, a mental health practitioner or a nurse, whichever is earliest).</w:t>
            </w:r>
          </w:p>
          <w:p w14:paraId="612A4ACD" w14:textId="77777777" w:rsidR="00921922" w:rsidRPr="0098470E" w:rsidRDefault="00921922" w:rsidP="00603215">
            <w:pPr>
              <w:pStyle w:val="DHHStabletext"/>
            </w:pPr>
            <w:r w:rsidRPr="00154DA9">
              <w:t>This</w:t>
            </w:r>
            <w:r w:rsidRPr="0098470E">
              <w:t xml:space="preserve"> indicator excludes those presentations with a departure status code of:</w:t>
            </w:r>
          </w:p>
          <w:p w14:paraId="2E84816D" w14:textId="77777777" w:rsidR="00921922" w:rsidRPr="0098470E" w:rsidRDefault="00921922" w:rsidP="00603215">
            <w:pPr>
              <w:pStyle w:val="DHHStablebullet1"/>
            </w:pPr>
            <w:r w:rsidRPr="0098470E">
              <w:t xml:space="preserve">10 – </w:t>
            </w:r>
            <w:r>
              <w:t>l</w:t>
            </w:r>
            <w:r w:rsidRPr="0098470E">
              <w:t>eft after advice regarding treatment options</w:t>
            </w:r>
          </w:p>
          <w:p w14:paraId="2C65FC1B" w14:textId="77777777" w:rsidR="00921922" w:rsidRPr="0098470E" w:rsidRDefault="00921922" w:rsidP="00603215">
            <w:pPr>
              <w:pStyle w:val="DHHStablebullet1"/>
            </w:pPr>
            <w:r w:rsidRPr="0098470E">
              <w:t xml:space="preserve">11 – </w:t>
            </w:r>
            <w:r>
              <w:t>l</w:t>
            </w:r>
            <w:r w:rsidRPr="0098470E">
              <w:t>eft at own risk without treatment</w:t>
            </w:r>
          </w:p>
          <w:p w14:paraId="5F85528D" w14:textId="77777777" w:rsidR="00921922" w:rsidRPr="0098470E" w:rsidRDefault="00921922" w:rsidP="00603215">
            <w:pPr>
              <w:pStyle w:val="DHHStablebullet1"/>
            </w:pPr>
            <w:r w:rsidRPr="0098470E">
              <w:t xml:space="preserve">30 – </w:t>
            </w:r>
            <w:r>
              <w:t>r</w:t>
            </w:r>
            <w:r w:rsidRPr="0098470E">
              <w:t>eferred to collocated clinic.</w:t>
            </w:r>
          </w:p>
          <w:p w14:paraId="18BCD4A6" w14:textId="77777777" w:rsidR="00921922" w:rsidRPr="0098470E" w:rsidRDefault="00921922" w:rsidP="00603215">
            <w:pPr>
              <w:pStyle w:val="DHHStabletext"/>
            </w:pPr>
            <w:r w:rsidRPr="0098470E">
              <w:t>This indicator is expressed as a percentage and rounded to the nearest whole number (0.5 i</w:t>
            </w:r>
            <w:r>
              <w:t>s rounded up).</w:t>
            </w:r>
          </w:p>
        </w:tc>
      </w:tr>
      <w:tr w:rsidR="00921922" w:rsidRPr="0098470E" w14:paraId="52699D83" w14:textId="77777777" w:rsidTr="000B4BF3">
        <w:trPr>
          <w:cantSplit/>
        </w:trPr>
        <w:tc>
          <w:tcPr>
            <w:tcW w:w="2552" w:type="dxa"/>
            <w:hideMark/>
          </w:tcPr>
          <w:p w14:paraId="0FAE1FB3" w14:textId="77777777" w:rsidR="00921922" w:rsidRPr="0098470E" w:rsidRDefault="00921922" w:rsidP="00603215">
            <w:pPr>
              <w:pStyle w:val="DHHStabletext"/>
            </w:pPr>
            <w:r w:rsidRPr="0098470E">
              <w:t>Numerator</w:t>
            </w:r>
          </w:p>
        </w:tc>
        <w:tc>
          <w:tcPr>
            <w:tcW w:w="6748" w:type="dxa"/>
            <w:hideMark/>
          </w:tcPr>
          <w:p w14:paraId="2602BF17" w14:textId="4400F1A9" w:rsidR="00921922" w:rsidRPr="0098470E" w:rsidRDefault="00921922" w:rsidP="00603215">
            <w:pPr>
              <w:pStyle w:val="DHHStabletext"/>
            </w:pPr>
            <w:r w:rsidRPr="0098470E">
              <w:t>Number of triage category 1 to 5 emergency patients seen within desirable times</w:t>
            </w:r>
            <w:r w:rsidR="00B24F77">
              <w:t>.</w:t>
            </w:r>
          </w:p>
        </w:tc>
      </w:tr>
      <w:tr w:rsidR="00921922" w:rsidRPr="0098470E" w14:paraId="36F8C7BA" w14:textId="77777777" w:rsidTr="000B4BF3">
        <w:trPr>
          <w:cantSplit/>
        </w:trPr>
        <w:tc>
          <w:tcPr>
            <w:tcW w:w="2552" w:type="dxa"/>
            <w:hideMark/>
          </w:tcPr>
          <w:p w14:paraId="38CC815C" w14:textId="77777777" w:rsidR="00921922" w:rsidRPr="0098470E" w:rsidRDefault="00921922" w:rsidP="00603215">
            <w:pPr>
              <w:pStyle w:val="DHHStabletext"/>
            </w:pPr>
            <w:r w:rsidRPr="0098470E">
              <w:t>Denominator</w:t>
            </w:r>
          </w:p>
        </w:tc>
        <w:tc>
          <w:tcPr>
            <w:tcW w:w="6748" w:type="dxa"/>
            <w:hideMark/>
          </w:tcPr>
          <w:p w14:paraId="188B66F0" w14:textId="7343ABFF" w:rsidR="00921922" w:rsidRPr="0098470E" w:rsidRDefault="00921922" w:rsidP="00603215">
            <w:pPr>
              <w:pStyle w:val="DHHStabletext"/>
              <w:rPr>
                <w:lang w:val="en-US"/>
              </w:rPr>
            </w:pPr>
            <w:r w:rsidRPr="0098470E">
              <w:t>Total number of triage category 1 to 5 emergency patients</w:t>
            </w:r>
            <w:r w:rsidR="00B24F77">
              <w:t>.</w:t>
            </w:r>
          </w:p>
        </w:tc>
      </w:tr>
      <w:tr w:rsidR="00921922" w:rsidRPr="0098470E" w14:paraId="7C569FAD" w14:textId="77777777" w:rsidTr="000B4BF3">
        <w:trPr>
          <w:cantSplit/>
        </w:trPr>
        <w:tc>
          <w:tcPr>
            <w:tcW w:w="2552" w:type="dxa"/>
            <w:hideMark/>
          </w:tcPr>
          <w:p w14:paraId="0112E970" w14:textId="77777777" w:rsidR="00921922" w:rsidRPr="0098470E" w:rsidRDefault="00921922" w:rsidP="00603215">
            <w:pPr>
              <w:pStyle w:val="DHHStabletext"/>
            </w:pPr>
            <w:r w:rsidRPr="0098470E">
              <w:t>Statewide target</w:t>
            </w:r>
          </w:p>
        </w:tc>
        <w:tc>
          <w:tcPr>
            <w:tcW w:w="6748" w:type="dxa"/>
            <w:hideMark/>
          </w:tcPr>
          <w:p w14:paraId="4D923060" w14:textId="77777777" w:rsidR="00921922" w:rsidRPr="0098470E" w:rsidRDefault="00921922" w:rsidP="00603215">
            <w:pPr>
              <w:pStyle w:val="DHHStabletext"/>
              <w:rPr>
                <w:lang w:val="en-US"/>
              </w:rPr>
            </w:pPr>
            <w:r w:rsidRPr="0098470E">
              <w:t>80%</w:t>
            </w:r>
          </w:p>
        </w:tc>
      </w:tr>
      <w:tr w:rsidR="003562F3" w:rsidRPr="0098470E" w14:paraId="0284E7D0" w14:textId="77777777" w:rsidTr="003562F3">
        <w:trPr>
          <w:cantSplit/>
        </w:trPr>
        <w:tc>
          <w:tcPr>
            <w:tcW w:w="2552" w:type="dxa"/>
            <w:hideMark/>
          </w:tcPr>
          <w:p w14:paraId="22389C1F" w14:textId="77777777" w:rsidR="003562F3" w:rsidRPr="0098470E" w:rsidRDefault="003562F3" w:rsidP="00603215">
            <w:pPr>
              <w:pStyle w:val="DHHStabletext"/>
            </w:pPr>
            <w:r w:rsidRPr="0098470E">
              <w:t>Achievement</w:t>
            </w:r>
          </w:p>
        </w:tc>
        <w:tc>
          <w:tcPr>
            <w:tcW w:w="6748" w:type="dxa"/>
            <w:hideMark/>
          </w:tcPr>
          <w:p w14:paraId="789F20CF" w14:textId="442AAD0D" w:rsidR="003562F3" w:rsidRPr="0098470E" w:rsidRDefault="003562F3" w:rsidP="003562F3">
            <w:pPr>
              <w:pStyle w:val="DHHStabletext92mmtab"/>
            </w:pPr>
            <w:r w:rsidRPr="0098470E">
              <w:t>Greater than or equal to 80%</w:t>
            </w:r>
            <w:r>
              <w:tab/>
              <w:t>Achieved</w:t>
            </w:r>
          </w:p>
          <w:p w14:paraId="13DC390A" w14:textId="3C169635" w:rsidR="003562F3" w:rsidRPr="0098470E" w:rsidRDefault="003562F3" w:rsidP="003562F3">
            <w:pPr>
              <w:pStyle w:val="DHHStabletext92mmtab"/>
            </w:pPr>
            <w:r w:rsidRPr="0098470E">
              <w:t>Less than 80%</w:t>
            </w:r>
            <w:r>
              <w:tab/>
              <w:t>Not achieved</w:t>
            </w:r>
          </w:p>
        </w:tc>
      </w:tr>
      <w:tr w:rsidR="00921922" w:rsidRPr="0098470E" w14:paraId="6667BE7E" w14:textId="77777777" w:rsidTr="000B4BF3">
        <w:trPr>
          <w:cantSplit/>
        </w:trPr>
        <w:tc>
          <w:tcPr>
            <w:tcW w:w="2552" w:type="dxa"/>
          </w:tcPr>
          <w:p w14:paraId="48BE379B" w14:textId="77777777" w:rsidR="00921922" w:rsidRPr="0098470E" w:rsidRDefault="00921922" w:rsidP="00603215">
            <w:pPr>
              <w:pStyle w:val="DHHStabletext"/>
            </w:pPr>
            <w:r>
              <w:t>Improvement</w:t>
            </w:r>
          </w:p>
        </w:tc>
        <w:tc>
          <w:tcPr>
            <w:tcW w:w="6748" w:type="dxa"/>
          </w:tcPr>
          <w:p w14:paraId="44680A81" w14:textId="77777777" w:rsidR="00921922" w:rsidRPr="0098470E" w:rsidRDefault="00921922" w:rsidP="00603215">
            <w:pPr>
              <w:pStyle w:val="DHHStabletext"/>
            </w:pPr>
            <w:r w:rsidRPr="0098470E">
              <w:t>Improvement is calculated based on same time last year performance.</w:t>
            </w:r>
          </w:p>
        </w:tc>
      </w:tr>
      <w:tr w:rsidR="00921922" w:rsidRPr="0098470E" w14:paraId="7CA0AE2E" w14:textId="77777777" w:rsidTr="000B4BF3">
        <w:trPr>
          <w:cantSplit/>
        </w:trPr>
        <w:tc>
          <w:tcPr>
            <w:tcW w:w="2552" w:type="dxa"/>
            <w:hideMark/>
          </w:tcPr>
          <w:p w14:paraId="3503DA7D" w14:textId="77777777" w:rsidR="00921922" w:rsidRPr="0098470E" w:rsidRDefault="00921922" w:rsidP="00603215">
            <w:pPr>
              <w:pStyle w:val="DHHStabletext"/>
            </w:pPr>
            <w:r w:rsidRPr="0098470E">
              <w:t>Frequency of reporting and data collection</w:t>
            </w:r>
          </w:p>
        </w:tc>
        <w:tc>
          <w:tcPr>
            <w:tcW w:w="6748" w:type="dxa"/>
            <w:hideMark/>
          </w:tcPr>
          <w:p w14:paraId="6FE1CAC5" w14:textId="77777777" w:rsidR="00921922" w:rsidRDefault="00921922" w:rsidP="00603215">
            <w:pPr>
              <w:pStyle w:val="DHHStabletext"/>
            </w:pPr>
            <w:r w:rsidRPr="0098470E">
              <w:t>Performance is monitored and assessed monthly.</w:t>
            </w:r>
          </w:p>
          <w:p w14:paraId="442CCDD8" w14:textId="77777777" w:rsidR="00921922" w:rsidRPr="0098470E" w:rsidRDefault="00921922" w:rsidP="00603215">
            <w:pPr>
              <w:pStyle w:val="DHHStabletext"/>
            </w:pPr>
            <w:r w:rsidRPr="0098470E">
              <w:t>Quarterly and annual results are also generated.</w:t>
            </w:r>
          </w:p>
          <w:p w14:paraId="05E1AF10" w14:textId="619F2911" w:rsidR="00921922" w:rsidRPr="0098470E" w:rsidRDefault="00921922" w:rsidP="00603215">
            <w:pPr>
              <w:pStyle w:val="DHHStabletext"/>
            </w:pPr>
            <w:r w:rsidRPr="0098470E">
              <w:t xml:space="preserve">Data is expected to be submitted by health services via the VEMD. Refer to the </w:t>
            </w:r>
            <w:r w:rsidR="00217BF9">
              <w:rPr>
                <w:i/>
              </w:rPr>
              <w:t>P</w:t>
            </w:r>
            <w:r w:rsidRPr="0098470E">
              <w:rPr>
                <w:i/>
              </w:rPr>
              <w:t xml:space="preserve">olicy and </w:t>
            </w:r>
            <w:r w:rsidR="00217BF9">
              <w:rPr>
                <w:i/>
              </w:rPr>
              <w:t>F</w:t>
            </w:r>
            <w:r w:rsidRPr="0098470E">
              <w:rPr>
                <w:i/>
              </w:rPr>
              <w:t xml:space="preserve">unding </w:t>
            </w:r>
            <w:r w:rsidR="00217BF9">
              <w:rPr>
                <w:i/>
              </w:rPr>
              <w:t>G</w:t>
            </w:r>
            <w:r w:rsidRPr="0098470E">
              <w:rPr>
                <w:i/>
              </w:rPr>
              <w:t xml:space="preserve">uidelines </w:t>
            </w:r>
            <w:r w:rsidRPr="0098470E">
              <w:t>for further information on VEMD data submission timelines.</w:t>
            </w:r>
          </w:p>
          <w:p w14:paraId="3E05B940" w14:textId="77777777" w:rsidR="00921922" w:rsidRPr="0098470E" w:rsidRDefault="00921922" w:rsidP="00603215">
            <w:pPr>
              <w:pStyle w:val="DHHStabletext"/>
              <w:rPr>
                <w:lang w:val="en-US"/>
              </w:rPr>
            </w:pPr>
            <w:r w:rsidRPr="0098470E">
              <w:t xml:space="preserve">This indicator is measured at the campus level. </w:t>
            </w:r>
          </w:p>
        </w:tc>
      </w:tr>
    </w:tbl>
    <w:p w14:paraId="739EDCAF" w14:textId="77777777" w:rsidR="00F1426A" w:rsidRDefault="00F1426A">
      <w:pPr>
        <w:spacing w:after="200" w:line="276" w:lineRule="auto"/>
        <w:rPr>
          <w:rFonts w:ascii="Arial" w:hAnsi="Arial"/>
          <w:b/>
        </w:rPr>
      </w:pPr>
      <w:r>
        <w:br w:type="page"/>
      </w:r>
    </w:p>
    <w:p w14:paraId="5D079A9D" w14:textId="0BA5D311" w:rsidR="00F12615" w:rsidRPr="00961723" w:rsidRDefault="00F12615" w:rsidP="00F12615">
      <w:pPr>
        <w:pStyle w:val="DHHStablecaption"/>
      </w:pPr>
      <w:r>
        <w:lastRenderedPageBreak/>
        <w:t xml:space="preserve">Indicator: </w:t>
      </w:r>
      <w:r w:rsidR="00101E11" w:rsidRPr="005B435A">
        <w:t>Percentage of emergency patients with a length of stay in the ED of less than four hours</w:t>
      </w:r>
    </w:p>
    <w:tbl>
      <w:tblPr>
        <w:tblStyle w:val="TableGrid"/>
        <w:tblW w:w="9300" w:type="dxa"/>
        <w:tblLayout w:type="fixed"/>
        <w:tblLook w:val="06A0" w:firstRow="1" w:lastRow="0" w:firstColumn="1" w:lastColumn="0" w:noHBand="1" w:noVBand="1"/>
      </w:tblPr>
      <w:tblGrid>
        <w:gridCol w:w="2581"/>
        <w:gridCol w:w="6719"/>
      </w:tblGrid>
      <w:tr w:rsidR="00D97737" w:rsidRPr="0098470E" w14:paraId="2116D81C" w14:textId="77777777" w:rsidTr="000B4BF3">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2E739C46" w14:textId="150A8053" w:rsidR="00D97737" w:rsidRPr="005B435A" w:rsidRDefault="00D97737" w:rsidP="00D97737">
            <w:pPr>
              <w:pStyle w:val="DHHStablecolhead"/>
            </w:pPr>
            <w:r>
              <w:t>Element</w:t>
            </w:r>
          </w:p>
        </w:tc>
        <w:tc>
          <w:tcPr>
            <w:tcW w:w="6719" w:type="dxa"/>
          </w:tcPr>
          <w:p w14:paraId="243F07B1" w14:textId="73BE6E97" w:rsidR="00D97737" w:rsidRPr="005B435A" w:rsidRDefault="00D97737" w:rsidP="00D97737">
            <w:pPr>
              <w:pStyle w:val="DHHStablecolhead"/>
            </w:pPr>
            <w:r>
              <w:t>Details</w:t>
            </w:r>
          </w:p>
        </w:tc>
      </w:tr>
      <w:tr w:rsidR="00921922" w:rsidRPr="0098470E" w14:paraId="1C485FCE" w14:textId="77777777" w:rsidTr="000B4BF3">
        <w:trPr>
          <w:cantSplit/>
        </w:trPr>
        <w:tc>
          <w:tcPr>
            <w:tcW w:w="2581" w:type="dxa"/>
            <w:hideMark/>
          </w:tcPr>
          <w:p w14:paraId="046D769A" w14:textId="77777777" w:rsidR="00921922" w:rsidRPr="0098470E" w:rsidRDefault="00921922" w:rsidP="00603215">
            <w:pPr>
              <w:pStyle w:val="DHHStabletext"/>
            </w:pPr>
            <w:r w:rsidRPr="0098470E">
              <w:t>Description</w:t>
            </w:r>
          </w:p>
        </w:tc>
        <w:tc>
          <w:tcPr>
            <w:tcW w:w="6719" w:type="dxa"/>
            <w:hideMark/>
          </w:tcPr>
          <w:p w14:paraId="766BAFE8" w14:textId="7BF39159" w:rsidR="00921922" w:rsidRPr="0098470E" w:rsidRDefault="00921922" w:rsidP="00603215">
            <w:pPr>
              <w:pStyle w:val="DHHStabletext"/>
            </w:pPr>
            <w:r w:rsidRPr="0098470E">
              <w:t xml:space="preserve">This indicator measures the effectiveness of hospital processes and patient flow. The measure aims to encourage more timely management of ED patients who are admitted to the hospital, referred to another hospital or discharged within four hours. </w:t>
            </w:r>
          </w:p>
        </w:tc>
      </w:tr>
      <w:tr w:rsidR="00921922" w:rsidRPr="0098470E" w14:paraId="066CA160" w14:textId="77777777" w:rsidTr="000B4BF3">
        <w:trPr>
          <w:cantSplit/>
        </w:trPr>
        <w:tc>
          <w:tcPr>
            <w:tcW w:w="2581" w:type="dxa"/>
            <w:hideMark/>
          </w:tcPr>
          <w:p w14:paraId="1F901384" w14:textId="77777777" w:rsidR="00921922" w:rsidRPr="0098470E" w:rsidRDefault="00921922" w:rsidP="00603215">
            <w:pPr>
              <w:pStyle w:val="DHHStabletext"/>
            </w:pPr>
            <w:r w:rsidRPr="0098470E">
              <w:t>Calculating performance</w:t>
            </w:r>
          </w:p>
        </w:tc>
        <w:tc>
          <w:tcPr>
            <w:tcW w:w="6719" w:type="dxa"/>
            <w:hideMark/>
          </w:tcPr>
          <w:p w14:paraId="754972D6" w14:textId="77777777" w:rsidR="00921922" w:rsidRPr="0098470E" w:rsidRDefault="00921922" w:rsidP="00603215">
            <w:pPr>
              <w:pStyle w:val="DHHStabletext"/>
            </w:pPr>
            <w:r w:rsidRPr="0098470E">
              <w:t>This indicator is measured at the campus level and excludes patients referred to a collocated clinic.</w:t>
            </w:r>
          </w:p>
          <w:p w14:paraId="1DC76B50" w14:textId="77777777" w:rsidR="00921922" w:rsidRPr="0098470E" w:rsidRDefault="00921922" w:rsidP="00603215">
            <w:pPr>
              <w:pStyle w:val="DHHStabletext"/>
            </w:pPr>
            <w:r w:rsidRPr="0098470E">
              <w:t>This indicator is expressed as a percentage and rounded to the nearest wh</w:t>
            </w:r>
            <w:r>
              <w:t>ole number (0.5 is rounded up).</w:t>
            </w:r>
          </w:p>
        </w:tc>
      </w:tr>
      <w:tr w:rsidR="00921922" w:rsidRPr="0098470E" w14:paraId="1E20698E" w14:textId="77777777" w:rsidTr="000B4BF3">
        <w:trPr>
          <w:cantSplit/>
        </w:trPr>
        <w:tc>
          <w:tcPr>
            <w:tcW w:w="2581" w:type="dxa"/>
            <w:hideMark/>
          </w:tcPr>
          <w:p w14:paraId="10779407" w14:textId="77777777" w:rsidR="00921922" w:rsidRPr="0098470E" w:rsidRDefault="00921922" w:rsidP="00603215">
            <w:pPr>
              <w:pStyle w:val="DHHStabletext"/>
            </w:pPr>
            <w:r w:rsidRPr="0098470E">
              <w:t>Numerator</w:t>
            </w:r>
          </w:p>
        </w:tc>
        <w:tc>
          <w:tcPr>
            <w:tcW w:w="6719" w:type="dxa"/>
            <w:hideMark/>
          </w:tcPr>
          <w:p w14:paraId="56769434" w14:textId="77777777" w:rsidR="00921922" w:rsidRPr="0098470E" w:rsidRDefault="00921922" w:rsidP="00603215">
            <w:pPr>
              <w:pStyle w:val="DHHStabletext"/>
            </w:pPr>
            <w:r w:rsidRPr="0098470E">
              <w:t>Number of patients with an ED length of stay of less than or equal to four hours (240 minutes).</w:t>
            </w:r>
          </w:p>
        </w:tc>
      </w:tr>
      <w:tr w:rsidR="00921922" w:rsidRPr="0098470E" w14:paraId="7909D17B" w14:textId="77777777" w:rsidTr="000B4BF3">
        <w:trPr>
          <w:cantSplit/>
        </w:trPr>
        <w:tc>
          <w:tcPr>
            <w:tcW w:w="2581" w:type="dxa"/>
            <w:hideMark/>
          </w:tcPr>
          <w:p w14:paraId="5C7E3E2E" w14:textId="77777777" w:rsidR="00921922" w:rsidRPr="0098470E" w:rsidRDefault="00921922" w:rsidP="00603215">
            <w:pPr>
              <w:pStyle w:val="DHHStabletext"/>
            </w:pPr>
            <w:r w:rsidRPr="0098470E">
              <w:t>Denominator</w:t>
            </w:r>
          </w:p>
        </w:tc>
        <w:tc>
          <w:tcPr>
            <w:tcW w:w="6719" w:type="dxa"/>
            <w:hideMark/>
          </w:tcPr>
          <w:p w14:paraId="7224637E" w14:textId="18A7318D" w:rsidR="00921922" w:rsidRPr="0098470E" w:rsidRDefault="00921922" w:rsidP="00603215">
            <w:pPr>
              <w:pStyle w:val="DHHStabletext"/>
              <w:rPr>
                <w:lang w:val="en-US"/>
              </w:rPr>
            </w:pPr>
            <w:r w:rsidRPr="0098470E">
              <w:t>Total number of patients presenting to the ED</w:t>
            </w:r>
            <w:r w:rsidR="00BC515C">
              <w:t>.</w:t>
            </w:r>
          </w:p>
        </w:tc>
      </w:tr>
      <w:tr w:rsidR="00921922" w:rsidRPr="0098470E" w14:paraId="1769BDF8" w14:textId="77777777" w:rsidTr="000B4BF3">
        <w:trPr>
          <w:cantSplit/>
        </w:trPr>
        <w:tc>
          <w:tcPr>
            <w:tcW w:w="2581" w:type="dxa"/>
            <w:hideMark/>
          </w:tcPr>
          <w:p w14:paraId="08B64D81" w14:textId="77777777" w:rsidR="00921922" w:rsidRPr="0098470E" w:rsidRDefault="00921922" w:rsidP="00603215">
            <w:pPr>
              <w:pStyle w:val="DHHStabletext"/>
            </w:pPr>
            <w:r w:rsidRPr="0098470E">
              <w:t xml:space="preserve">Statewide target </w:t>
            </w:r>
          </w:p>
        </w:tc>
        <w:tc>
          <w:tcPr>
            <w:tcW w:w="6719" w:type="dxa"/>
            <w:hideMark/>
          </w:tcPr>
          <w:p w14:paraId="54C7FE0B" w14:textId="77777777" w:rsidR="00921922" w:rsidRPr="0098470E" w:rsidRDefault="00921922" w:rsidP="00603215">
            <w:pPr>
              <w:pStyle w:val="DHHStabletext"/>
              <w:rPr>
                <w:lang w:val="en-US"/>
              </w:rPr>
            </w:pPr>
            <w:r w:rsidRPr="0098470E">
              <w:t>81%</w:t>
            </w:r>
          </w:p>
        </w:tc>
      </w:tr>
      <w:tr w:rsidR="000A4A48" w:rsidRPr="0098470E" w14:paraId="4A0F96AA" w14:textId="77777777" w:rsidTr="000A4A48">
        <w:trPr>
          <w:cantSplit/>
        </w:trPr>
        <w:tc>
          <w:tcPr>
            <w:tcW w:w="2581" w:type="dxa"/>
            <w:hideMark/>
          </w:tcPr>
          <w:p w14:paraId="4EA9A1FE" w14:textId="77777777" w:rsidR="000A4A48" w:rsidRPr="0098470E" w:rsidRDefault="000A4A48" w:rsidP="00603215">
            <w:pPr>
              <w:pStyle w:val="DHHStabletext"/>
            </w:pPr>
            <w:r w:rsidRPr="0098470E">
              <w:t>Achievement</w:t>
            </w:r>
          </w:p>
        </w:tc>
        <w:tc>
          <w:tcPr>
            <w:tcW w:w="6719" w:type="dxa"/>
            <w:hideMark/>
          </w:tcPr>
          <w:p w14:paraId="4B869B2D" w14:textId="17E7999D" w:rsidR="000A4A48" w:rsidRPr="0098470E" w:rsidRDefault="000A4A48" w:rsidP="000A4A48">
            <w:pPr>
              <w:pStyle w:val="DHHStabletext92mmtab"/>
            </w:pPr>
            <w:r w:rsidRPr="0098470E">
              <w:t>Greater than or equal to 81%</w:t>
            </w:r>
            <w:r>
              <w:tab/>
              <w:t>Achieved</w:t>
            </w:r>
          </w:p>
          <w:p w14:paraId="2AE2637E" w14:textId="42F620A1" w:rsidR="000A4A48" w:rsidRPr="0098470E" w:rsidRDefault="000A4A48" w:rsidP="000A4A48">
            <w:pPr>
              <w:pStyle w:val="DHHStabletext92mmtab"/>
            </w:pPr>
            <w:r w:rsidRPr="0098470E">
              <w:t>Less than 81%</w:t>
            </w:r>
            <w:r>
              <w:tab/>
              <w:t>Not achieved</w:t>
            </w:r>
          </w:p>
        </w:tc>
      </w:tr>
      <w:tr w:rsidR="00921922" w:rsidRPr="0098470E" w14:paraId="5B0152F7" w14:textId="77777777" w:rsidTr="000B4BF3">
        <w:trPr>
          <w:cantSplit/>
        </w:trPr>
        <w:tc>
          <w:tcPr>
            <w:tcW w:w="2581" w:type="dxa"/>
          </w:tcPr>
          <w:p w14:paraId="3BC62040" w14:textId="77777777" w:rsidR="00921922" w:rsidRPr="0098470E" w:rsidRDefault="00921922" w:rsidP="00603215">
            <w:pPr>
              <w:pStyle w:val="DHHStabletext"/>
            </w:pPr>
            <w:r>
              <w:t>Improvement</w:t>
            </w:r>
          </w:p>
        </w:tc>
        <w:tc>
          <w:tcPr>
            <w:tcW w:w="6719" w:type="dxa"/>
          </w:tcPr>
          <w:p w14:paraId="3AD00FF7" w14:textId="77777777" w:rsidR="00921922" w:rsidRPr="0098470E" w:rsidRDefault="00921922" w:rsidP="00603215">
            <w:pPr>
              <w:pStyle w:val="DHHStabletext"/>
            </w:pPr>
            <w:r w:rsidRPr="0098470E">
              <w:t>Improvement is calculated based on same time last year performance.</w:t>
            </w:r>
          </w:p>
        </w:tc>
      </w:tr>
      <w:tr w:rsidR="00921922" w:rsidRPr="0098470E" w14:paraId="76C3382D" w14:textId="77777777" w:rsidTr="000B4BF3">
        <w:trPr>
          <w:cantSplit/>
        </w:trPr>
        <w:tc>
          <w:tcPr>
            <w:tcW w:w="2581" w:type="dxa"/>
            <w:hideMark/>
          </w:tcPr>
          <w:p w14:paraId="5CD8BE92" w14:textId="77777777" w:rsidR="00921922" w:rsidRPr="0098470E" w:rsidRDefault="00921922" w:rsidP="00603215">
            <w:pPr>
              <w:pStyle w:val="DHHStabletext"/>
            </w:pPr>
            <w:r w:rsidRPr="0098470E">
              <w:t>Frequency of reporting and data collection</w:t>
            </w:r>
          </w:p>
        </w:tc>
        <w:tc>
          <w:tcPr>
            <w:tcW w:w="6719" w:type="dxa"/>
            <w:hideMark/>
          </w:tcPr>
          <w:p w14:paraId="0213D603" w14:textId="77777777" w:rsidR="00921922" w:rsidRDefault="00921922" w:rsidP="00603215">
            <w:pPr>
              <w:pStyle w:val="DHHStabletext"/>
            </w:pPr>
            <w:r w:rsidRPr="0098470E">
              <w:t>Performance is monitored and assessed monthly.</w:t>
            </w:r>
          </w:p>
          <w:p w14:paraId="4E05E4F1" w14:textId="77777777" w:rsidR="00921922" w:rsidRPr="0098470E" w:rsidRDefault="00921922" w:rsidP="00603215">
            <w:pPr>
              <w:pStyle w:val="DHHStabletext"/>
            </w:pPr>
            <w:r w:rsidRPr="0098470E">
              <w:t>Quarterly and annual results are also generated.</w:t>
            </w:r>
          </w:p>
          <w:p w14:paraId="532CBFB4" w14:textId="4A1BFD04" w:rsidR="00921922" w:rsidRPr="0098470E" w:rsidRDefault="00921922" w:rsidP="00603215">
            <w:pPr>
              <w:pStyle w:val="DHHStabletext"/>
            </w:pPr>
            <w:r w:rsidRPr="0098470E">
              <w:t xml:space="preserve">Data is submitted by health services via the VEMD. Refer to the </w:t>
            </w:r>
            <w:r w:rsidR="00171A1C">
              <w:rPr>
                <w:i/>
              </w:rPr>
              <w:t>P</w:t>
            </w:r>
            <w:r w:rsidR="00171A1C" w:rsidRPr="0098470E">
              <w:rPr>
                <w:i/>
              </w:rPr>
              <w:t xml:space="preserve">olicy and </w:t>
            </w:r>
            <w:r w:rsidR="00171A1C">
              <w:rPr>
                <w:i/>
              </w:rPr>
              <w:t>F</w:t>
            </w:r>
            <w:r w:rsidR="00171A1C" w:rsidRPr="0098470E">
              <w:rPr>
                <w:i/>
              </w:rPr>
              <w:t xml:space="preserve">unding </w:t>
            </w:r>
            <w:r w:rsidR="00171A1C">
              <w:rPr>
                <w:i/>
              </w:rPr>
              <w:t>G</w:t>
            </w:r>
            <w:r w:rsidR="00171A1C" w:rsidRPr="0098470E">
              <w:rPr>
                <w:i/>
              </w:rPr>
              <w:t>uidelines</w:t>
            </w:r>
            <w:r>
              <w:rPr>
                <w:i/>
              </w:rPr>
              <w:t xml:space="preserve"> </w:t>
            </w:r>
            <w:r w:rsidRPr="0098470E">
              <w:t>for further information on VEMD data submission timelines.</w:t>
            </w:r>
          </w:p>
        </w:tc>
      </w:tr>
    </w:tbl>
    <w:p w14:paraId="40F253DA" w14:textId="77777777" w:rsidR="00F1426A" w:rsidRDefault="00F1426A">
      <w:pPr>
        <w:spacing w:after="200" w:line="276" w:lineRule="auto"/>
        <w:rPr>
          <w:rFonts w:ascii="Arial" w:hAnsi="Arial"/>
          <w:b/>
        </w:rPr>
      </w:pPr>
      <w:r>
        <w:br w:type="page"/>
      </w:r>
    </w:p>
    <w:p w14:paraId="16EAC42C" w14:textId="757C69C3" w:rsidR="00F12615" w:rsidRPr="00961723" w:rsidRDefault="00F12615" w:rsidP="00F12615">
      <w:pPr>
        <w:pStyle w:val="DHHStablecaption"/>
      </w:pPr>
      <w:r>
        <w:lastRenderedPageBreak/>
        <w:t xml:space="preserve">Indicator: </w:t>
      </w:r>
      <w:r w:rsidR="00101E11" w:rsidRPr="005B435A">
        <w:t>Number of patients with a length of stay in the ED greater than 24 hours</w:t>
      </w:r>
    </w:p>
    <w:tbl>
      <w:tblPr>
        <w:tblStyle w:val="TableGrid"/>
        <w:tblW w:w="9300" w:type="dxa"/>
        <w:tblLayout w:type="fixed"/>
        <w:tblLook w:val="06A0" w:firstRow="1" w:lastRow="0" w:firstColumn="1" w:lastColumn="0" w:noHBand="1" w:noVBand="1"/>
      </w:tblPr>
      <w:tblGrid>
        <w:gridCol w:w="2552"/>
        <w:gridCol w:w="6748"/>
      </w:tblGrid>
      <w:tr w:rsidR="00D97737" w:rsidRPr="0098470E" w14:paraId="39BB3176" w14:textId="77777777" w:rsidTr="000B4BF3">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044F715C" w14:textId="3F74116A" w:rsidR="00D97737" w:rsidRPr="005B435A" w:rsidRDefault="00D97737" w:rsidP="00D97737">
            <w:pPr>
              <w:pStyle w:val="DHHStablecolhead"/>
            </w:pPr>
            <w:r>
              <w:t>Element</w:t>
            </w:r>
          </w:p>
        </w:tc>
        <w:tc>
          <w:tcPr>
            <w:tcW w:w="6748" w:type="dxa"/>
          </w:tcPr>
          <w:p w14:paraId="76BC8805" w14:textId="6A714961" w:rsidR="00D97737" w:rsidRPr="005B435A" w:rsidRDefault="00D97737" w:rsidP="00D97737">
            <w:pPr>
              <w:pStyle w:val="DHHStablecolhead"/>
            </w:pPr>
            <w:r>
              <w:t>Details</w:t>
            </w:r>
          </w:p>
        </w:tc>
      </w:tr>
      <w:tr w:rsidR="00921922" w:rsidRPr="0098470E" w14:paraId="740DCF22" w14:textId="77777777" w:rsidTr="000B4BF3">
        <w:trPr>
          <w:cantSplit/>
        </w:trPr>
        <w:tc>
          <w:tcPr>
            <w:tcW w:w="2552" w:type="dxa"/>
            <w:hideMark/>
          </w:tcPr>
          <w:p w14:paraId="5D654944" w14:textId="77777777" w:rsidR="00921922" w:rsidRPr="0098470E" w:rsidRDefault="00921922" w:rsidP="00603215">
            <w:pPr>
              <w:pStyle w:val="DHHStabletext"/>
            </w:pPr>
            <w:r w:rsidRPr="0098470E">
              <w:t>Description</w:t>
            </w:r>
          </w:p>
        </w:tc>
        <w:tc>
          <w:tcPr>
            <w:tcW w:w="6748" w:type="dxa"/>
            <w:hideMark/>
          </w:tcPr>
          <w:p w14:paraId="11B8A7E6" w14:textId="77777777" w:rsidR="00921922" w:rsidRPr="0098470E" w:rsidRDefault="00921922" w:rsidP="00603215">
            <w:pPr>
              <w:pStyle w:val="DHHStabletext"/>
            </w:pPr>
            <w:r w:rsidRPr="0098470E">
              <w:t xml:space="preserve">This indicator measures the timely transfer of emergency patients to an inpatient bed or discharge </w:t>
            </w:r>
            <w:r>
              <w:t>from the ED</w:t>
            </w:r>
            <w:r w:rsidRPr="0098470E">
              <w:t xml:space="preserve">. It reflects the effectiveness of hospital patient flow processes and discharge planning. </w:t>
            </w:r>
          </w:p>
        </w:tc>
      </w:tr>
      <w:tr w:rsidR="00921922" w:rsidRPr="0098470E" w14:paraId="230826A2" w14:textId="77777777" w:rsidTr="000B4BF3">
        <w:trPr>
          <w:cantSplit/>
        </w:trPr>
        <w:tc>
          <w:tcPr>
            <w:tcW w:w="2552" w:type="dxa"/>
            <w:hideMark/>
          </w:tcPr>
          <w:p w14:paraId="50D04E7A" w14:textId="77777777" w:rsidR="00921922" w:rsidRPr="0098470E" w:rsidRDefault="00921922" w:rsidP="00603215">
            <w:pPr>
              <w:pStyle w:val="DHHStabletext"/>
            </w:pPr>
            <w:r w:rsidRPr="0098470E">
              <w:t>Calculating performance</w:t>
            </w:r>
          </w:p>
        </w:tc>
        <w:tc>
          <w:tcPr>
            <w:tcW w:w="6748" w:type="dxa"/>
            <w:hideMark/>
          </w:tcPr>
          <w:p w14:paraId="625F735D" w14:textId="77777777" w:rsidR="00921922" w:rsidRPr="0098470E" w:rsidRDefault="00921922" w:rsidP="00603215">
            <w:pPr>
              <w:pStyle w:val="DHHStabletext"/>
            </w:pPr>
            <w:r w:rsidRPr="0098470E">
              <w:t>This indicator is measured at the campus level and excludes patients whose status is dead on arrival.</w:t>
            </w:r>
          </w:p>
          <w:p w14:paraId="02D996D9" w14:textId="77777777" w:rsidR="00921922" w:rsidRPr="0098470E" w:rsidRDefault="00921922" w:rsidP="000B4BF3">
            <w:pPr>
              <w:pStyle w:val="DHHStabletextsubhead"/>
            </w:pPr>
            <w:r w:rsidRPr="0098470E">
              <w:t>Performance breach notification</w:t>
            </w:r>
          </w:p>
          <w:p w14:paraId="7AA18F6C" w14:textId="2DDD25C4" w:rsidR="00921922" w:rsidRPr="0098470E" w:rsidRDefault="00C17BD7">
            <w:pPr>
              <w:pStyle w:val="DHHStabletext"/>
            </w:pPr>
            <w:r>
              <w:t>I</w:t>
            </w:r>
            <w:r w:rsidR="00921922" w:rsidRPr="0098470E">
              <w:t>f a patient has exceeded 24hrs length of stay in ED and the event verified as accurate, the patient will be regarded as a breach for the purposes of performance and a departmental notification procedure must be initiated by the health service.</w:t>
            </w:r>
          </w:p>
        </w:tc>
      </w:tr>
      <w:tr w:rsidR="00921922" w:rsidRPr="0098470E" w14:paraId="29855D09" w14:textId="77777777" w:rsidTr="000B4BF3">
        <w:trPr>
          <w:cantSplit/>
        </w:trPr>
        <w:tc>
          <w:tcPr>
            <w:tcW w:w="2552" w:type="dxa"/>
            <w:hideMark/>
          </w:tcPr>
          <w:p w14:paraId="0ABEED32" w14:textId="77777777" w:rsidR="00921922" w:rsidRPr="0098470E" w:rsidRDefault="00921922" w:rsidP="00603215">
            <w:pPr>
              <w:pStyle w:val="DHHStabletext"/>
            </w:pPr>
            <w:r w:rsidRPr="0098470E">
              <w:t>Numerator</w:t>
            </w:r>
          </w:p>
        </w:tc>
        <w:tc>
          <w:tcPr>
            <w:tcW w:w="6748" w:type="dxa"/>
            <w:hideMark/>
          </w:tcPr>
          <w:p w14:paraId="599E508F" w14:textId="2EC65BB2" w:rsidR="00921922" w:rsidRPr="0098470E" w:rsidRDefault="00921922" w:rsidP="00603215">
            <w:pPr>
              <w:pStyle w:val="DHHStabletext"/>
            </w:pPr>
            <w:r w:rsidRPr="0098470E">
              <w:t xml:space="preserve">Number of patients with an </w:t>
            </w:r>
            <w:r w:rsidR="00BC515C">
              <w:t>ED</w:t>
            </w:r>
            <w:r w:rsidRPr="0098470E">
              <w:t xml:space="preserve"> length of stay of greater than 24 hours (1,440 minutes), regardless of departure status code</w:t>
            </w:r>
            <w:r w:rsidR="00BC515C">
              <w:t>.</w:t>
            </w:r>
          </w:p>
        </w:tc>
      </w:tr>
      <w:tr w:rsidR="00921922" w:rsidRPr="0098470E" w14:paraId="0CB9B0D1" w14:textId="77777777" w:rsidTr="000B4BF3">
        <w:trPr>
          <w:cantSplit/>
        </w:trPr>
        <w:tc>
          <w:tcPr>
            <w:tcW w:w="2552" w:type="dxa"/>
            <w:hideMark/>
          </w:tcPr>
          <w:p w14:paraId="7C4EE900" w14:textId="77777777" w:rsidR="00921922" w:rsidRPr="0098470E" w:rsidRDefault="00921922" w:rsidP="00603215">
            <w:pPr>
              <w:pStyle w:val="DHHStabletext"/>
            </w:pPr>
            <w:r w:rsidRPr="0098470E">
              <w:t>Statewide target</w:t>
            </w:r>
          </w:p>
        </w:tc>
        <w:tc>
          <w:tcPr>
            <w:tcW w:w="6748" w:type="dxa"/>
            <w:hideMark/>
          </w:tcPr>
          <w:p w14:paraId="7A4D90D2" w14:textId="77777777" w:rsidR="00921922" w:rsidRPr="0098470E" w:rsidRDefault="00921922" w:rsidP="00603215">
            <w:pPr>
              <w:pStyle w:val="DHHStabletext"/>
              <w:rPr>
                <w:lang w:val="en-US"/>
              </w:rPr>
            </w:pPr>
            <w:r w:rsidRPr="0098470E">
              <w:t>0 patients</w:t>
            </w:r>
          </w:p>
        </w:tc>
      </w:tr>
      <w:tr w:rsidR="000A4A48" w:rsidRPr="0098470E" w14:paraId="372E272A" w14:textId="77777777" w:rsidTr="000A4A48">
        <w:trPr>
          <w:cantSplit/>
        </w:trPr>
        <w:tc>
          <w:tcPr>
            <w:tcW w:w="2552" w:type="dxa"/>
            <w:hideMark/>
          </w:tcPr>
          <w:p w14:paraId="4AC10463" w14:textId="77777777" w:rsidR="000A4A48" w:rsidRPr="0098470E" w:rsidRDefault="000A4A48" w:rsidP="00603215">
            <w:pPr>
              <w:pStyle w:val="DHHStabletext"/>
            </w:pPr>
            <w:r w:rsidRPr="0098470E">
              <w:t>Achievement</w:t>
            </w:r>
          </w:p>
        </w:tc>
        <w:tc>
          <w:tcPr>
            <w:tcW w:w="6748" w:type="dxa"/>
            <w:hideMark/>
          </w:tcPr>
          <w:p w14:paraId="766F67A4" w14:textId="558613D5" w:rsidR="000A4A48" w:rsidRPr="0098470E" w:rsidRDefault="000A4A48" w:rsidP="000A4A48">
            <w:pPr>
              <w:pStyle w:val="DHHStabletext92mmtab"/>
            </w:pPr>
            <w:r w:rsidRPr="0098470E">
              <w:t>0 patients</w:t>
            </w:r>
            <w:r w:rsidR="00904088">
              <w:tab/>
            </w:r>
            <w:r>
              <w:t>Achieved</w:t>
            </w:r>
          </w:p>
          <w:p w14:paraId="3E5DFFE1" w14:textId="7174F466" w:rsidR="000A4A48" w:rsidRPr="0098470E" w:rsidRDefault="000A4A48" w:rsidP="00904088">
            <w:pPr>
              <w:pStyle w:val="DHHStabletext92mmtab"/>
            </w:pPr>
            <w:r w:rsidRPr="0098470E">
              <w:t>Greater than or equal to 1 patient</w:t>
            </w:r>
            <w:r w:rsidR="00904088">
              <w:tab/>
            </w:r>
            <w:r>
              <w:t>Not achieved</w:t>
            </w:r>
          </w:p>
        </w:tc>
      </w:tr>
      <w:tr w:rsidR="00921922" w:rsidRPr="0098470E" w14:paraId="0BE0993A" w14:textId="77777777" w:rsidTr="000B4BF3">
        <w:trPr>
          <w:cantSplit/>
        </w:trPr>
        <w:tc>
          <w:tcPr>
            <w:tcW w:w="2552" w:type="dxa"/>
          </w:tcPr>
          <w:p w14:paraId="148E560F" w14:textId="77777777" w:rsidR="00921922" w:rsidRPr="0098470E" w:rsidRDefault="00921922" w:rsidP="00603215">
            <w:pPr>
              <w:pStyle w:val="DHHStabletext"/>
            </w:pPr>
            <w:r>
              <w:t>Improvement</w:t>
            </w:r>
          </w:p>
        </w:tc>
        <w:tc>
          <w:tcPr>
            <w:tcW w:w="6748" w:type="dxa"/>
          </w:tcPr>
          <w:p w14:paraId="33883832" w14:textId="77777777" w:rsidR="00921922" w:rsidRPr="0098470E" w:rsidRDefault="00921922" w:rsidP="00603215">
            <w:pPr>
              <w:pStyle w:val="DHHStabletext"/>
            </w:pPr>
            <w:r w:rsidRPr="0098470E">
              <w:t>Improvement is calculated based on s</w:t>
            </w:r>
            <w:r>
              <w:t>ame time last year performance.</w:t>
            </w:r>
          </w:p>
        </w:tc>
      </w:tr>
      <w:tr w:rsidR="00921922" w:rsidRPr="0098470E" w14:paraId="45DE2E5F" w14:textId="77777777" w:rsidTr="000B4BF3">
        <w:trPr>
          <w:cantSplit/>
        </w:trPr>
        <w:tc>
          <w:tcPr>
            <w:tcW w:w="2552" w:type="dxa"/>
            <w:hideMark/>
          </w:tcPr>
          <w:p w14:paraId="42630F5A" w14:textId="77777777" w:rsidR="00921922" w:rsidRPr="0098470E" w:rsidRDefault="00921922" w:rsidP="00603215">
            <w:pPr>
              <w:pStyle w:val="DHHStabletext"/>
            </w:pPr>
            <w:r w:rsidRPr="0098470E">
              <w:t>Frequency of reporting and data collection</w:t>
            </w:r>
          </w:p>
        </w:tc>
        <w:tc>
          <w:tcPr>
            <w:tcW w:w="6748" w:type="dxa"/>
            <w:hideMark/>
          </w:tcPr>
          <w:p w14:paraId="6D50BBE5" w14:textId="77777777" w:rsidR="00921922" w:rsidRPr="0098470E" w:rsidRDefault="00921922" w:rsidP="00603215">
            <w:pPr>
              <w:pStyle w:val="DHHStabletext"/>
            </w:pPr>
            <w:r w:rsidRPr="0098470E">
              <w:t>Performance is monitored and assessed monthly.</w:t>
            </w:r>
          </w:p>
          <w:p w14:paraId="4D4535FA" w14:textId="77777777" w:rsidR="00921922" w:rsidRPr="0098470E" w:rsidRDefault="00921922" w:rsidP="00603215">
            <w:pPr>
              <w:pStyle w:val="DHHStabletext"/>
            </w:pPr>
            <w:r w:rsidRPr="0098470E">
              <w:t>Quarterly and annual results are also generated.</w:t>
            </w:r>
          </w:p>
          <w:p w14:paraId="7334A656" w14:textId="627813A2" w:rsidR="00921922" w:rsidRPr="0098470E" w:rsidRDefault="00921922" w:rsidP="00603215">
            <w:pPr>
              <w:pStyle w:val="DHHStabletext"/>
            </w:pPr>
            <w:r w:rsidRPr="0098470E">
              <w:t xml:space="preserve">Data is submitted by health services via the VEMD. Refer to the </w:t>
            </w:r>
            <w:r w:rsidR="00171A1C">
              <w:rPr>
                <w:i/>
              </w:rPr>
              <w:t>P</w:t>
            </w:r>
            <w:r w:rsidR="00171A1C" w:rsidRPr="0098470E">
              <w:rPr>
                <w:i/>
              </w:rPr>
              <w:t xml:space="preserve">olicy and </w:t>
            </w:r>
            <w:r w:rsidR="00171A1C">
              <w:rPr>
                <w:i/>
              </w:rPr>
              <w:t>F</w:t>
            </w:r>
            <w:r w:rsidR="00171A1C" w:rsidRPr="0098470E">
              <w:rPr>
                <w:i/>
              </w:rPr>
              <w:t xml:space="preserve">unding </w:t>
            </w:r>
            <w:r w:rsidR="00171A1C">
              <w:rPr>
                <w:i/>
              </w:rPr>
              <w:t>G</w:t>
            </w:r>
            <w:r w:rsidR="00171A1C" w:rsidRPr="0098470E">
              <w:rPr>
                <w:i/>
              </w:rPr>
              <w:t xml:space="preserve">uidelines </w:t>
            </w:r>
            <w:r w:rsidRPr="0098470E">
              <w:t>for further information on VEMD data submission timelines.</w:t>
            </w:r>
          </w:p>
        </w:tc>
      </w:tr>
    </w:tbl>
    <w:p w14:paraId="77A5D989" w14:textId="77777777" w:rsidR="00921922" w:rsidRPr="0074556A" w:rsidRDefault="00921922" w:rsidP="00921922">
      <w:pPr>
        <w:pStyle w:val="DHHSbody"/>
      </w:pPr>
      <w:r w:rsidRPr="0074556A">
        <w:br w:type="page"/>
      </w:r>
    </w:p>
    <w:p w14:paraId="3097539B" w14:textId="77777777" w:rsidR="00921922" w:rsidRPr="0098470E" w:rsidRDefault="00921922" w:rsidP="00330A94">
      <w:pPr>
        <w:pStyle w:val="Heading4"/>
      </w:pPr>
      <w:bookmarkStart w:id="100" w:name="_Toc517959141"/>
      <w:bookmarkStart w:id="101" w:name="_Toc15580096"/>
      <w:r w:rsidRPr="0098470E">
        <w:lastRenderedPageBreak/>
        <w:t>Elective surgery</w:t>
      </w:r>
      <w:bookmarkEnd w:id="100"/>
      <w:bookmarkEnd w:id="101"/>
    </w:p>
    <w:p w14:paraId="386F3E72" w14:textId="13AA9E51" w:rsidR="00921922" w:rsidRDefault="00921922" w:rsidP="00921922">
      <w:pPr>
        <w:pStyle w:val="DHHSbody"/>
        <w:rPr>
          <w:color w:val="000000" w:themeColor="text1"/>
        </w:rPr>
      </w:pPr>
      <w:r w:rsidRPr="0098470E">
        <w:t xml:space="preserve">Elective surgery performance indicators aim to encourage improved performance in managing healthcare for elective surgery patients. Elective surgery services should be provided in accordance with the </w:t>
      </w:r>
      <w:r w:rsidRPr="0098470E">
        <w:rPr>
          <w:i/>
        </w:rPr>
        <w:t>Elective surgery access policy</w:t>
      </w:r>
      <w:r w:rsidRPr="0098470E">
        <w:t xml:space="preserve"> (20</w:t>
      </w:r>
      <w:r w:rsidR="00924DF1">
        <w:t>15</w:t>
      </w:r>
      <w:r w:rsidRPr="0098470E">
        <w:t xml:space="preserve">). </w:t>
      </w:r>
      <w:hyperlink r:id="rId23" w:history="1">
        <w:r w:rsidRPr="00527FEF">
          <w:rPr>
            <w:rStyle w:val="Hyperlink"/>
          </w:rPr>
          <w:t>HealthVic Surgical services</w:t>
        </w:r>
      </w:hyperlink>
      <w:r>
        <w:t xml:space="preserve"> </w:t>
      </w:r>
      <w:r w:rsidRPr="00527FEF">
        <w:rPr>
          <w:color w:val="000000" w:themeColor="text1"/>
        </w:rPr>
        <w:t>&lt;</w:t>
      </w:r>
      <w:r>
        <w:rPr>
          <w:color w:val="000000" w:themeColor="text1"/>
        </w:rPr>
        <w:t>http://</w:t>
      </w:r>
      <w:r w:rsidRPr="0074556A">
        <w:t>www.health.vic.gov.au/surgery/policies</w:t>
      </w:r>
      <w:r w:rsidRPr="00527FEF">
        <w:rPr>
          <w:color w:val="000000" w:themeColor="text1"/>
        </w:rPr>
        <w:t>&gt;.</w:t>
      </w:r>
    </w:p>
    <w:p w14:paraId="64755AA5" w14:textId="3301E29D" w:rsidR="00F12615" w:rsidRDefault="00F12615" w:rsidP="00F12615">
      <w:pPr>
        <w:pStyle w:val="DHHStablecaption"/>
      </w:pPr>
      <w:r>
        <w:t xml:space="preserve">Indicator: </w:t>
      </w:r>
      <w:r w:rsidR="00101E11" w:rsidRPr="005B435A">
        <w:t>Percentage of elective surgery patients admitted within clinically recommended time</w:t>
      </w:r>
    </w:p>
    <w:tbl>
      <w:tblPr>
        <w:tblStyle w:val="TableGrid"/>
        <w:tblW w:w="9300" w:type="dxa"/>
        <w:tblLayout w:type="fixed"/>
        <w:tblLook w:val="06A0" w:firstRow="1" w:lastRow="0" w:firstColumn="1" w:lastColumn="0" w:noHBand="1" w:noVBand="1"/>
      </w:tblPr>
      <w:tblGrid>
        <w:gridCol w:w="2581"/>
        <w:gridCol w:w="6719"/>
      </w:tblGrid>
      <w:tr w:rsidR="00D97737" w:rsidRPr="0098470E" w14:paraId="6FFEDC43" w14:textId="77777777" w:rsidTr="000B4BF3">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1EBB6CCA" w14:textId="53F8B2A1" w:rsidR="00D97737" w:rsidRPr="005B435A" w:rsidRDefault="00D97737" w:rsidP="00D97737">
            <w:pPr>
              <w:pStyle w:val="DHHStablecolhead"/>
            </w:pPr>
            <w:r>
              <w:t>Element</w:t>
            </w:r>
          </w:p>
        </w:tc>
        <w:tc>
          <w:tcPr>
            <w:tcW w:w="6719" w:type="dxa"/>
          </w:tcPr>
          <w:p w14:paraId="17493EE7" w14:textId="4B9FC435" w:rsidR="00D97737" w:rsidRPr="005B435A" w:rsidRDefault="00D97737" w:rsidP="00D97737">
            <w:pPr>
              <w:pStyle w:val="DHHStablecolhead"/>
            </w:pPr>
            <w:r>
              <w:t>Details</w:t>
            </w:r>
          </w:p>
        </w:tc>
      </w:tr>
      <w:tr w:rsidR="00921922" w:rsidRPr="0098470E" w14:paraId="2AD58BF5" w14:textId="77777777" w:rsidTr="000B4BF3">
        <w:trPr>
          <w:cantSplit/>
        </w:trPr>
        <w:tc>
          <w:tcPr>
            <w:tcW w:w="2581" w:type="dxa"/>
            <w:hideMark/>
          </w:tcPr>
          <w:p w14:paraId="1F54E6F6" w14:textId="77777777" w:rsidR="00921922" w:rsidRPr="0098470E" w:rsidRDefault="00921922" w:rsidP="00603215">
            <w:pPr>
              <w:pStyle w:val="DHHStabletext"/>
            </w:pPr>
            <w:r w:rsidRPr="0098470E">
              <w:t>Description</w:t>
            </w:r>
          </w:p>
        </w:tc>
        <w:tc>
          <w:tcPr>
            <w:tcW w:w="6719" w:type="dxa"/>
            <w:hideMark/>
          </w:tcPr>
          <w:p w14:paraId="172D1F25" w14:textId="77777777" w:rsidR="00921922" w:rsidRPr="0098470E" w:rsidRDefault="00921922" w:rsidP="00603215">
            <w:pPr>
              <w:pStyle w:val="DHHStabletext"/>
            </w:pPr>
            <w:r w:rsidRPr="0098470E">
              <w:t xml:space="preserve">All elective surgery patients are </w:t>
            </w:r>
            <w:r>
              <w:t xml:space="preserve">allocated </w:t>
            </w:r>
            <w:r w:rsidRPr="0098470E">
              <w:t>an urgency category that indicates the desirable timeframe for admissions due to their clinical condition.</w:t>
            </w:r>
          </w:p>
          <w:p w14:paraId="391095A0" w14:textId="77777777" w:rsidR="00921922" w:rsidRPr="0098470E" w:rsidRDefault="00921922" w:rsidP="00603215">
            <w:pPr>
              <w:pStyle w:val="DHHStabletext"/>
            </w:pPr>
            <w:r w:rsidRPr="0098470E">
              <w:t>There are three urgency categories:</w:t>
            </w:r>
          </w:p>
          <w:p w14:paraId="4C48E408" w14:textId="77777777" w:rsidR="00921922" w:rsidRPr="0098470E" w:rsidRDefault="00921922" w:rsidP="00603215">
            <w:pPr>
              <w:pStyle w:val="DHHStablebullet1"/>
            </w:pPr>
            <w:r w:rsidRPr="0098470E">
              <w:t>urgency category 1 patients – admission within 30 days is desirable</w:t>
            </w:r>
          </w:p>
          <w:p w14:paraId="2360D6A2" w14:textId="77777777" w:rsidR="00921922" w:rsidRPr="0098470E" w:rsidRDefault="00921922" w:rsidP="00603215">
            <w:pPr>
              <w:pStyle w:val="DHHStablebullet1"/>
            </w:pPr>
            <w:r w:rsidRPr="0098470E">
              <w:t>urgency category 2 patients – admission within 90 days is desirable</w:t>
            </w:r>
          </w:p>
          <w:p w14:paraId="5516C284" w14:textId="77777777" w:rsidR="00921922" w:rsidRPr="0098470E" w:rsidRDefault="00921922" w:rsidP="00603215">
            <w:pPr>
              <w:pStyle w:val="DHHStablebullet1"/>
            </w:pPr>
            <w:r w:rsidRPr="0098470E">
              <w:t>urgency category 3 patients – admission within 365 days is desirable.</w:t>
            </w:r>
          </w:p>
          <w:p w14:paraId="65312E99" w14:textId="77777777" w:rsidR="00921922" w:rsidRPr="0098470E" w:rsidRDefault="00921922" w:rsidP="00603215">
            <w:pPr>
              <w:pStyle w:val="DHHStabletext"/>
            </w:pPr>
            <w:r w:rsidRPr="0098470E">
              <w:t>This indicator is measured at the health service level. Where a health service has multiple campuses, the aggregate for all campuses is used.</w:t>
            </w:r>
          </w:p>
        </w:tc>
      </w:tr>
      <w:tr w:rsidR="00921922" w:rsidRPr="0098470E" w14:paraId="4DCE5782" w14:textId="77777777" w:rsidTr="000B4BF3">
        <w:trPr>
          <w:cantSplit/>
        </w:trPr>
        <w:tc>
          <w:tcPr>
            <w:tcW w:w="2581" w:type="dxa"/>
            <w:hideMark/>
          </w:tcPr>
          <w:p w14:paraId="5D6710D1" w14:textId="77777777" w:rsidR="00921922" w:rsidRPr="0098470E" w:rsidRDefault="00921922" w:rsidP="00603215">
            <w:pPr>
              <w:pStyle w:val="DHHStabletext"/>
            </w:pPr>
            <w:r w:rsidRPr="0098470E">
              <w:t>Calculating performance</w:t>
            </w:r>
          </w:p>
        </w:tc>
        <w:tc>
          <w:tcPr>
            <w:tcW w:w="6719" w:type="dxa"/>
            <w:hideMark/>
          </w:tcPr>
          <w:p w14:paraId="55FD0175" w14:textId="1F61E2D6" w:rsidR="00921922" w:rsidRPr="0098470E" w:rsidRDefault="00921922" w:rsidP="00603215">
            <w:pPr>
              <w:pStyle w:val="DHHStabletext"/>
            </w:pPr>
            <w:r w:rsidRPr="0098470E">
              <w:t>Only records assigned a</w:t>
            </w:r>
            <w:r w:rsidR="006356FD">
              <w:t>n intended procedure</w:t>
            </w:r>
            <w:r w:rsidR="00486417">
              <w:t xml:space="preserve"> code</w:t>
            </w:r>
            <w:r w:rsidR="00701083">
              <w:rPr>
                <w:rStyle w:val="FootnoteReference"/>
              </w:rPr>
              <w:footnoteReference w:id="13"/>
            </w:r>
            <w:r w:rsidRPr="0098470E">
              <w:t xml:space="preserve"> and with a readiness status of R (ready for surgery) are used to assess this indicator.</w:t>
            </w:r>
          </w:p>
          <w:p w14:paraId="662DD60B" w14:textId="77777777" w:rsidR="00921922" w:rsidRPr="0098470E" w:rsidRDefault="00921922" w:rsidP="00603215">
            <w:pPr>
              <w:pStyle w:val="DHHStabletext"/>
            </w:pPr>
            <w:r w:rsidRPr="0098470E">
              <w:t xml:space="preserve">A removal in the Elective Surgery Information System (ESIS) is counted when the reason for removal is </w:t>
            </w:r>
            <w:r>
              <w:t>any one of the following</w:t>
            </w:r>
            <w:r w:rsidRPr="0098470E">
              <w:t>:</w:t>
            </w:r>
          </w:p>
          <w:p w14:paraId="07795D75" w14:textId="77777777" w:rsidR="00921922" w:rsidRPr="0098470E" w:rsidRDefault="00921922" w:rsidP="00603215">
            <w:pPr>
              <w:pStyle w:val="DHHStablebullet1"/>
            </w:pPr>
            <w:r w:rsidRPr="0098470E">
              <w:t xml:space="preserve">W – </w:t>
            </w:r>
            <w:r>
              <w:t>a</w:t>
            </w:r>
            <w:r w:rsidRPr="0098470E">
              <w:t>dmitted to the intended campus and has received the awaited procedure</w:t>
            </w:r>
          </w:p>
          <w:p w14:paraId="560315D6" w14:textId="56CE816C" w:rsidR="00921922" w:rsidRPr="0098470E" w:rsidRDefault="00921922" w:rsidP="00603215">
            <w:pPr>
              <w:pStyle w:val="DHHStablebullet1"/>
            </w:pPr>
            <w:r w:rsidRPr="0098470E">
              <w:t xml:space="preserve">S – </w:t>
            </w:r>
            <w:r>
              <w:t>a</w:t>
            </w:r>
            <w:r w:rsidRPr="0098470E">
              <w:t xml:space="preserve">dmitted to another campus arranged by </w:t>
            </w:r>
            <w:r w:rsidR="00056BB9">
              <w:t>Elective Surgery Access Service (</w:t>
            </w:r>
            <w:r w:rsidRPr="0098470E">
              <w:t>ESAS</w:t>
            </w:r>
            <w:r w:rsidR="00056BB9">
              <w:t>)</w:t>
            </w:r>
            <w:r w:rsidRPr="0098470E">
              <w:t xml:space="preserve"> and has received the awaited procedure</w:t>
            </w:r>
          </w:p>
          <w:p w14:paraId="4F69A5C2" w14:textId="77777777" w:rsidR="00921922" w:rsidRPr="0098470E" w:rsidRDefault="00921922" w:rsidP="00603215">
            <w:pPr>
              <w:pStyle w:val="DHHStablebullet1"/>
            </w:pPr>
            <w:r w:rsidRPr="0098470E">
              <w:t xml:space="preserve">X – </w:t>
            </w:r>
            <w:r>
              <w:t>a</w:t>
            </w:r>
            <w:r w:rsidRPr="0098470E">
              <w:t>dmitted to another campus arranged by this campus/health service and has received the awaited procedure under other contract or similar arrangement</w:t>
            </w:r>
          </w:p>
          <w:p w14:paraId="2308D659" w14:textId="77777777" w:rsidR="00921922" w:rsidRPr="0098470E" w:rsidRDefault="00921922" w:rsidP="00603215">
            <w:pPr>
              <w:pStyle w:val="DHHStablebullet1"/>
            </w:pPr>
            <w:r w:rsidRPr="0098470E">
              <w:t xml:space="preserve">Y – </w:t>
            </w:r>
            <w:r>
              <w:t>p</w:t>
            </w:r>
            <w:r w:rsidRPr="0098470E">
              <w:t>rocedure received at intended campus, not planned at admission (excludes emergency admission)</w:t>
            </w:r>
          </w:p>
          <w:p w14:paraId="2513EA20" w14:textId="77777777" w:rsidR="00921922" w:rsidRPr="0098470E" w:rsidRDefault="00921922" w:rsidP="00603215">
            <w:pPr>
              <w:pStyle w:val="DHHStablebullet1"/>
            </w:pPr>
            <w:r w:rsidRPr="0098470E">
              <w:t xml:space="preserve">M – </w:t>
            </w:r>
            <w:r>
              <w:t>a</w:t>
            </w:r>
            <w:r w:rsidRPr="0098470E">
              <w:t>dmitted to the intended campus or any campus with the health service and has received the awaited procedure as an emergency admission</w:t>
            </w:r>
            <w:r>
              <w:t>.</w:t>
            </w:r>
          </w:p>
          <w:p w14:paraId="0809A6A5" w14:textId="77777777" w:rsidR="00921922" w:rsidRPr="0098470E" w:rsidRDefault="00921922" w:rsidP="00603215">
            <w:pPr>
              <w:pStyle w:val="DHHStabletext"/>
            </w:pPr>
            <w:r w:rsidRPr="0098470E">
              <w:t>A broader range of removal codes is used for this indicator compared with the indicator that measures the number of patients admitted.</w:t>
            </w:r>
          </w:p>
          <w:p w14:paraId="754AB352" w14:textId="77777777" w:rsidR="00921922" w:rsidRPr="0098470E" w:rsidRDefault="00921922" w:rsidP="00603215">
            <w:pPr>
              <w:pStyle w:val="DHHStabletext"/>
            </w:pPr>
            <w:r w:rsidRPr="0098470E">
              <w:t>This indicator is expressed as a percentage and rounded to one deci</w:t>
            </w:r>
            <w:r>
              <w:t>mal place (0.05 is rounded up).</w:t>
            </w:r>
          </w:p>
        </w:tc>
      </w:tr>
      <w:tr w:rsidR="00921922" w:rsidRPr="0098470E" w14:paraId="2F5155FC" w14:textId="77777777" w:rsidTr="000B4BF3">
        <w:trPr>
          <w:cantSplit/>
        </w:trPr>
        <w:tc>
          <w:tcPr>
            <w:tcW w:w="2581" w:type="dxa"/>
            <w:hideMark/>
          </w:tcPr>
          <w:p w14:paraId="000006D9" w14:textId="77777777" w:rsidR="00921922" w:rsidRPr="0098470E" w:rsidRDefault="00921922" w:rsidP="00603215">
            <w:pPr>
              <w:pStyle w:val="DHHStabletext"/>
            </w:pPr>
            <w:r w:rsidRPr="0098470E">
              <w:t>Numerator</w:t>
            </w:r>
          </w:p>
        </w:tc>
        <w:tc>
          <w:tcPr>
            <w:tcW w:w="6719" w:type="dxa"/>
            <w:hideMark/>
          </w:tcPr>
          <w:p w14:paraId="1C136689" w14:textId="654C9455" w:rsidR="00921922" w:rsidRPr="0098470E" w:rsidRDefault="00921922" w:rsidP="00603215">
            <w:pPr>
              <w:pStyle w:val="DHHStabletext"/>
            </w:pPr>
            <w:r w:rsidRPr="0098470E">
              <w:t>Number of patients admitted within clinically recommended timeframes, aggregated across all urgency categories</w:t>
            </w:r>
            <w:r w:rsidR="002C57B9">
              <w:t>.</w:t>
            </w:r>
          </w:p>
        </w:tc>
      </w:tr>
      <w:tr w:rsidR="00921922" w:rsidRPr="0098470E" w14:paraId="0A334030" w14:textId="77777777" w:rsidTr="000B4BF3">
        <w:trPr>
          <w:cantSplit/>
        </w:trPr>
        <w:tc>
          <w:tcPr>
            <w:tcW w:w="2581" w:type="dxa"/>
            <w:hideMark/>
          </w:tcPr>
          <w:p w14:paraId="5E5C7F5C" w14:textId="77777777" w:rsidR="00921922" w:rsidRPr="0098470E" w:rsidRDefault="00921922" w:rsidP="00603215">
            <w:pPr>
              <w:pStyle w:val="DHHStabletext"/>
            </w:pPr>
            <w:r w:rsidRPr="0098470E">
              <w:t>Denominator</w:t>
            </w:r>
          </w:p>
        </w:tc>
        <w:tc>
          <w:tcPr>
            <w:tcW w:w="6719" w:type="dxa"/>
            <w:hideMark/>
          </w:tcPr>
          <w:p w14:paraId="1D8ECBF5" w14:textId="27E79E0A" w:rsidR="00921922" w:rsidRPr="0098470E" w:rsidRDefault="00921922" w:rsidP="00603215">
            <w:pPr>
              <w:pStyle w:val="DHHStabletext"/>
            </w:pPr>
            <w:r w:rsidRPr="0098470E">
              <w:t>Total number of patients admitted</w:t>
            </w:r>
            <w:r w:rsidR="002C57B9">
              <w:t>.</w:t>
            </w:r>
          </w:p>
        </w:tc>
      </w:tr>
      <w:tr w:rsidR="00921922" w:rsidRPr="0098470E" w14:paraId="5D491070" w14:textId="77777777" w:rsidTr="000B4BF3">
        <w:trPr>
          <w:cantSplit/>
        </w:trPr>
        <w:tc>
          <w:tcPr>
            <w:tcW w:w="2581" w:type="dxa"/>
            <w:hideMark/>
          </w:tcPr>
          <w:p w14:paraId="6B321E2B" w14:textId="77777777" w:rsidR="00921922" w:rsidRPr="0098470E" w:rsidRDefault="00921922" w:rsidP="00603215">
            <w:pPr>
              <w:pStyle w:val="DHHStabletext"/>
            </w:pPr>
            <w:r w:rsidRPr="0098470E">
              <w:t>Statewide target</w:t>
            </w:r>
          </w:p>
        </w:tc>
        <w:tc>
          <w:tcPr>
            <w:tcW w:w="6719" w:type="dxa"/>
            <w:hideMark/>
          </w:tcPr>
          <w:p w14:paraId="7CBC4251" w14:textId="77777777" w:rsidR="00921922" w:rsidRPr="0098470E" w:rsidRDefault="00921922" w:rsidP="00603215">
            <w:pPr>
              <w:pStyle w:val="DHHStabletext"/>
            </w:pPr>
            <w:r w:rsidRPr="0098470E">
              <w:t>94%</w:t>
            </w:r>
          </w:p>
        </w:tc>
      </w:tr>
      <w:tr w:rsidR="00904088" w:rsidRPr="0098470E" w14:paraId="45498579" w14:textId="77777777" w:rsidTr="00904088">
        <w:trPr>
          <w:cantSplit/>
        </w:trPr>
        <w:tc>
          <w:tcPr>
            <w:tcW w:w="2581" w:type="dxa"/>
            <w:hideMark/>
          </w:tcPr>
          <w:p w14:paraId="570891FF" w14:textId="77777777" w:rsidR="00904088" w:rsidRPr="0098470E" w:rsidRDefault="00904088" w:rsidP="00603215">
            <w:pPr>
              <w:pStyle w:val="DHHStabletext"/>
            </w:pPr>
            <w:r w:rsidRPr="0098470E">
              <w:t>Achievement</w:t>
            </w:r>
          </w:p>
        </w:tc>
        <w:tc>
          <w:tcPr>
            <w:tcW w:w="6719" w:type="dxa"/>
            <w:hideMark/>
          </w:tcPr>
          <w:p w14:paraId="45570891" w14:textId="4E69590A" w:rsidR="00904088" w:rsidRPr="0098470E" w:rsidRDefault="00904088" w:rsidP="00904088">
            <w:pPr>
              <w:pStyle w:val="DHHStabletext92mmtab"/>
            </w:pPr>
            <w:r w:rsidRPr="0098470E">
              <w:t>Greater than or equal to 94%</w:t>
            </w:r>
            <w:r>
              <w:tab/>
              <w:t>Achieved</w:t>
            </w:r>
          </w:p>
          <w:p w14:paraId="6942DDF2" w14:textId="51A06AFA" w:rsidR="00904088" w:rsidRPr="0098470E" w:rsidRDefault="00904088" w:rsidP="00904088">
            <w:pPr>
              <w:pStyle w:val="DHHStabletext92mmtab"/>
            </w:pPr>
            <w:r w:rsidRPr="0098470E">
              <w:t>Less than 94%</w:t>
            </w:r>
            <w:r>
              <w:tab/>
              <w:t>Not achieved</w:t>
            </w:r>
          </w:p>
        </w:tc>
      </w:tr>
      <w:tr w:rsidR="00921922" w:rsidRPr="0098470E" w14:paraId="36DEBD1E" w14:textId="77777777" w:rsidTr="000B4BF3">
        <w:trPr>
          <w:cantSplit/>
        </w:trPr>
        <w:tc>
          <w:tcPr>
            <w:tcW w:w="2581" w:type="dxa"/>
          </w:tcPr>
          <w:p w14:paraId="35C0B910" w14:textId="77777777" w:rsidR="00921922" w:rsidRPr="0098470E" w:rsidRDefault="00921922" w:rsidP="00603215">
            <w:pPr>
              <w:pStyle w:val="DHHStabletext"/>
            </w:pPr>
            <w:r>
              <w:t>Improvement</w:t>
            </w:r>
          </w:p>
        </w:tc>
        <w:tc>
          <w:tcPr>
            <w:tcW w:w="6719" w:type="dxa"/>
          </w:tcPr>
          <w:p w14:paraId="3D887434" w14:textId="77777777" w:rsidR="00921922" w:rsidRDefault="00921922" w:rsidP="00603215">
            <w:pPr>
              <w:pStyle w:val="DHHStabletext"/>
            </w:pPr>
            <w:r>
              <w:t xml:space="preserve">For the purpose of the performance risk assessment, improvement </w:t>
            </w:r>
            <w:r w:rsidRPr="0098470E">
              <w:t>is compared to same time last year performance.</w:t>
            </w:r>
          </w:p>
        </w:tc>
      </w:tr>
      <w:tr w:rsidR="00921922" w:rsidRPr="0098470E" w14:paraId="0877062D" w14:textId="77777777" w:rsidTr="000B4BF3">
        <w:trPr>
          <w:cantSplit/>
        </w:trPr>
        <w:tc>
          <w:tcPr>
            <w:tcW w:w="2581" w:type="dxa"/>
            <w:hideMark/>
          </w:tcPr>
          <w:p w14:paraId="1A09F3A7" w14:textId="77777777" w:rsidR="00921922" w:rsidRPr="0098470E" w:rsidRDefault="00921922" w:rsidP="00603215">
            <w:pPr>
              <w:pStyle w:val="DHHStabletext"/>
            </w:pPr>
            <w:r w:rsidRPr="0098470E">
              <w:lastRenderedPageBreak/>
              <w:t>Frequency of reporting and data collection</w:t>
            </w:r>
          </w:p>
        </w:tc>
        <w:tc>
          <w:tcPr>
            <w:tcW w:w="6719" w:type="dxa"/>
            <w:hideMark/>
          </w:tcPr>
          <w:p w14:paraId="0AD519A6" w14:textId="77777777" w:rsidR="00921922" w:rsidRPr="0098470E" w:rsidRDefault="00921922" w:rsidP="00603215">
            <w:pPr>
              <w:pStyle w:val="DHHStabletext"/>
            </w:pPr>
            <w:r w:rsidRPr="0098470E">
              <w:t>Performance is monitored and assessed monthly.</w:t>
            </w:r>
          </w:p>
          <w:p w14:paraId="2C45AFD3" w14:textId="36B37D2D" w:rsidR="00921922" w:rsidRPr="0098470E" w:rsidRDefault="00921922" w:rsidP="00603215">
            <w:pPr>
              <w:pStyle w:val="DHHStabletext"/>
            </w:pPr>
            <w:r w:rsidRPr="0098470E">
              <w:t xml:space="preserve">Data is submitted by health services via ESIS. Refer to </w:t>
            </w:r>
            <w:r w:rsidR="00217BF9">
              <w:rPr>
                <w:i/>
              </w:rPr>
              <w:t>P</w:t>
            </w:r>
            <w:r w:rsidRPr="0098470E">
              <w:rPr>
                <w:i/>
              </w:rPr>
              <w:t xml:space="preserve">olicy and </w:t>
            </w:r>
            <w:r w:rsidR="00217BF9">
              <w:rPr>
                <w:i/>
              </w:rPr>
              <w:t>F</w:t>
            </w:r>
            <w:r w:rsidRPr="0098470E">
              <w:rPr>
                <w:i/>
              </w:rPr>
              <w:t xml:space="preserve">unding </w:t>
            </w:r>
            <w:r w:rsidR="00217BF9">
              <w:rPr>
                <w:i/>
              </w:rPr>
              <w:t>G</w:t>
            </w:r>
            <w:r w:rsidRPr="0098470E">
              <w:rPr>
                <w:i/>
              </w:rPr>
              <w:t xml:space="preserve">uidelines </w:t>
            </w:r>
            <w:r w:rsidRPr="0098470E">
              <w:t>for further information on ESIS data submission timelines.</w:t>
            </w:r>
          </w:p>
        </w:tc>
      </w:tr>
    </w:tbl>
    <w:p w14:paraId="00C6D4E8" w14:textId="77777777" w:rsidR="003F315F" w:rsidRPr="00554C1C" w:rsidRDefault="003F315F" w:rsidP="00554C1C">
      <w:pPr>
        <w:pStyle w:val="DHHSbody"/>
      </w:pPr>
    </w:p>
    <w:p w14:paraId="72280924" w14:textId="2B87AF55" w:rsidR="00F12615" w:rsidRDefault="00F12615" w:rsidP="003F315F">
      <w:pPr>
        <w:pStyle w:val="DHHStablecaption"/>
      </w:pPr>
      <w:r>
        <w:t xml:space="preserve">Indicator: </w:t>
      </w:r>
      <w:r w:rsidR="00101E11" w:rsidRPr="005B435A">
        <w:t>Percentage of urgency category 1 elective surgery patients admitted within 30 days</w:t>
      </w:r>
    </w:p>
    <w:tbl>
      <w:tblPr>
        <w:tblStyle w:val="TableGrid"/>
        <w:tblW w:w="9300" w:type="dxa"/>
        <w:tblLayout w:type="fixed"/>
        <w:tblLook w:val="06A0" w:firstRow="1" w:lastRow="0" w:firstColumn="1" w:lastColumn="0" w:noHBand="1" w:noVBand="1"/>
      </w:tblPr>
      <w:tblGrid>
        <w:gridCol w:w="2552"/>
        <w:gridCol w:w="6748"/>
      </w:tblGrid>
      <w:tr w:rsidR="00D97737" w:rsidRPr="0098470E" w14:paraId="1748A75E" w14:textId="77777777" w:rsidTr="000B4BF3">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52433A91" w14:textId="7504B310" w:rsidR="00D97737" w:rsidRPr="005B435A" w:rsidRDefault="00D97737" w:rsidP="00D97737">
            <w:pPr>
              <w:pStyle w:val="DHHStablecolhead"/>
            </w:pPr>
            <w:r>
              <w:t>Element</w:t>
            </w:r>
          </w:p>
        </w:tc>
        <w:tc>
          <w:tcPr>
            <w:tcW w:w="6748" w:type="dxa"/>
          </w:tcPr>
          <w:p w14:paraId="782AA6A9" w14:textId="1B25EC4B" w:rsidR="00D97737" w:rsidRPr="005B435A" w:rsidRDefault="00D97737" w:rsidP="00D97737">
            <w:pPr>
              <w:pStyle w:val="DHHStablecolhead"/>
            </w:pPr>
            <w:r>
              <w:t>Details</w:t>
            </w:r>
          </w:p>
        </w:tc>
      </w:tr>
      <w:tr w:rsidR="00921922" w:rsidRPr="0098470E" w14:paraId="63E70B33" w14:textId="77777777" w:rsidTr="000B4BF3">
        <w:trPr>
          <w:cantSplit/>
        </w:trPr>
        <w:tc>
          <w:tcPr>
            <w:tcW w:w="2552" w:type="dxa"/>
            <w:hideMark/>
          </w:tcPr>
          <w:p w14:paraId="5949924B" w14:textId="77777777" w:rsidR="00921922" w:rsidRPr="0098470E" w:rsidRDefault="00921922" w:rsidP="00603215">
            <w:pPr>
              <w:pStyle w:val="DHHStabletext"/>
            </w:pPr>
            <w:r w:rsidRPr="0098470E">
              <w:t>Description</w:t>
            </w:r>
          </w:p>
        </w:tc>
        <w:tc>
          <w:tcPr>
            <w:tcW w:w="6748" w:type="dxa"/>
            <w:hideMark/>
          </w:tcPr>
          <w:p w14:paraId="767E3C95" w14:textId="77777777" w:rsidR="00921922" w:rsidRPr="0098470E" w:rsidRDefault="00921922" w:rsidP="00603215">
            <w:pPr>
              <w:pStyle w:val="DHHStabletext"/>
            </w:pPr>
            <w:r w:rsidRPr="0098470E">
              <w:t>Urgency category 1 elective surgery patients are patients for whom admission within 30 days is desirable for a condition that has the potential to deteriorate quickly to the point tha</w:t>
            </w:r>
            <w:r>
              <w:t>t it might become an emergency.</w:t>
            </w:r>
          </w:p>
        </w:tc>
      </w:tr>
      <w:tr w:rsidR="00921922" w:rsidRPr="0098470E" w14:paraId="504AD8D2" w14:textId="77777777" w:rsidTr="000B4BF3">
        <w:trPr>
          <w:cantSplit/>
        </w:trPr>
        <w:tc>
          <w:tcPr>
            <w:tcW w:w="2552" w:type="dxa"/>
            <w:hideMark/>
          </w:tcPr>
          <w:p w14:paraId="31A59319" w14:textId="77777777" w:rsidR="00921922" w:rsidRPr="0098470E" w:rsidRDefault="00921922" w:rsidP="00603215">
            <w:pPr>
              <w:pStyle w:val="DHHStabletext"/>
            </w:pPr>
            <w:r w:rsidRPr="0098470E">
              <w:t>Calculating performance</w:t>
            </w:r>
          </w:p>
        </w:tc>
        <w:tc>
          <w:tcPr>
            <w:tcW w:w="6748" w:type="dxa"/>
            <w:hideMark/>
          </w:tcPr>
          <w:p w14:paraId="3808EB51" w14:textId="3EDDBD21" w:rsidR="00921922" w:rsidRPr="0098470E" w:rsidRDefault="00921922" w:rsidP="00603215">
            <w:pPr>
              <w:pStyle w:val="DHHStabletext"/>
            </w:pPr>
            <w:r w:rsidRPr="0098470E">
              <w:t>Only records assigned a</w:t>
            </w:r>
            <w:r w:rsidR="004B43DC">
              <w:t>n intended procedure</w:t>
            </w:r>
            <w:r w:rsidR="00701083">
              <w:rPr>
                <w:rStyle w:val="FootnoteReference"/>
              </w:rPr>
              <w:footnoteReference w:id="14"/>
            </w:r>
            <w:r w:rsidRPr="0098470E">
              <w:t xml:space="preserve"> and with a readiness status of R (ready for surgery) are used to assess this indicator.</w:t>
            </w:r>
          </w:p>
          <w:p w14:paraId="493855F8" w14:textId="77777777" w:rsidR="00921922" w:rsidRPr="0098470E" w:rsidRDefault="00921922" w:rsidP="00603215">
            <w:pPr>
              <w:pStyle w:val="DHHStabletext"/>
            </w:pPr>
            <w:r w:rsidRPr="0098470E">
              <w:t xml:space="preserve">A removal in ESIS is counted when the reason for removal is </w:t>
            </w:r>
            <w:r>
              <w:t>any one of the following</w:t>
            </w:r>
            <w:r w:rsidRPr="0098470E">
              <w:t>:</w:t>
            </w:r>
          </w:p>
          <w:p w14:paraId="1146F93E" w14:textId="77777777" w:rsidR="00921922" w:rsidRPr="0098470E" w:rsidRDefault="00921922" w:rsidP="00603215">
            <w:pPr>
              <w:pStyle w:val="DHHStablebullet1"/>
            </w:pPr>
            <w:r w:rsidRPr="0098470E">
              <w:t xml:space="preserve">W – </w:t>
            </w:r>
            <w:r>
              <w:t>a</w:t>
            </w:r>
            <w:r w:rsidRPr="0098470E">
              <w:t>dmitted to the intended campus and has received the awaited procedure</w:t>
            </w:r>
          </w:p>
          <w:p w14:paraId="6AD47372" w14:textId="77777777" w:rsidR="00921922" w:rsidRPr="0098470E" w:rsidRDefault="00921922" w:rsidP="00603215">
            <w:pPr>
              <w:pStyle w:val="DHHStablebullet1"/>
            </w:pPr>
            <w:r w:rsidRPr="0098470E">
              <w:t xml:space="preserve">S – </w:t>
            </w:r>
            <w:r>
              <w:t>a</w:t>
            </w:r>
            <w:r w:rsidRPr="0098470E">
              <w:t>dmitted to another campus arranged by ESAS and has received the awaited procedure</w:t>
            </w:r>
          </w:p>
          <w:p w14:paraId="735DD7E5" w14:textId="77777777" w:rsidR="00921922" w:rsidRPr="0098470E" w:rsidRDefault="00921922" w:rsidP="00603215">
            <w:pPr>
              <w:pStyle w:val="DHHStablebullet1"/>
            </w:pPr>
            <w:r w:rsidRPr="0098470E">
              <w:t xml:space="preserve">X – </w:t>
            </w:r>
            <w:r>
              <w:t>a</w:t>
            </w:r>
            <w:r w:rsidRPr="0098470E">
              <w:t>dmitted to another campus arranged by this campus/health service and has received the awaited procedure under other contract or similar arrangement</w:t>
            </w:r>
          </w:p>
          <w:p w14:paraId="72305337" w14:textId="77777777" w:rsidR="00921922" w:rsidRPr="0098470E" w:rsidRDefault="00921922" w:rsidP="00603215">
            <w:pPr>
              <w:pStyle w:val="DHHStablebullet1"/>
            </w:pPr>
            <w:r w:rsidRPr="0098470E">
              <w:t xml:space="preserve">Y – </w:t>
            </w:r>
            <w:r>
              <w:t>p</w:t>
            </w:r>
            <w:r w:rsidRPr="0098470E">
              <w:t>rocedure received at intended campus, not planned at admission (excludes emergency admission)</w:t>
            </w:r>
          </w:p>
          <w:p w14:paraId="42F55BE4" w14:textId="77777777" w:rsidR="00921922" w:rsidRPr="0098470E" w:rsidRDefault="00921922" w:rsidP="00603215">
            <w:pPr>
              <w:pStyle w:val="DHHStablebullet1"/>
            </w:pPr>
            <w:r w:rsidRPr="0098470E">
              <w:t xml:space="preserve">M – </w:t>
            </w:r>
            <w:r>
              <w:t>a</w:t>
            </w:r>
            <w:r w:rsidRPr="0098470E">
              <w:t>dmitted to the intended campus or any campus with the health service and has received the awaited procedure as an emergency admission</w:t>
            </w:r>
            <w:r>
              <w:t>.</w:t>
            </w:r>
          </w:p>
          <w:p w14:paraId="59D31DDB" w14:textId="77777777" w:rsidR="00921922" w:rsidRPr="0098470E" w:rsidRDefault="00921922" w:rsidP="00603215">
            <w:pPr>
              <w:pStyle w:val="DHHStabletext"/>
            </w:pPr>
            <w:r w:rsidRPr="0098470E">
              <w:t>A broader range of removal codes is used for this indicator compared with the indicator that measures the number of patients admitted.</w:t>
            </w:r>
          </w:p>
          <w:p w14:paraId="132D4735" w14:textId="77777777" w:rsidR="00921922" w:rsidRPr="0098470E" w:rsidRDefault="00921922" w:rsidP="00603215">
            <w:pPr>
              <w:pStyle w:val="DHHStabletext"/>
            </w:pPr>
            <w:r w:rsidRPr="0098470E">
              <w:t>This indicator is expressed as a percentage and rounded to one decimal place (0.05 is rounded up).</w:t>
            </w:r>
          </w:p>
          <w:p w14:paraId="4B117E44" w14:textId="77777777" w:rsidR="00921922" w:rsidRPr="00A64A9C" w:rsidRDefault="00921922" w:rsidP="00603215">
            <w:pPr>
              <w:pStyle w:val="DHHStabletext"/>
            </w:pPr>
            <w:r w:rsidRPr="0098470E">
              <w:t>This indicator is measured at the health service level. Where a health service has multiple campuses, the aggregate for all campuses is used.</w:t>
            </w:r>
          </w:p>
          <w:p w14:paraId="7925D183" w14:textId="77777777" w:rsidR="00921922" w:rsidRPr="0098470E" w:rsidRDefault="00921922" w:rsidP="00603215">
            <w:pPr>
              <w:pStyle w:val="DHHStabletextsubhead"/>
            </w:pPr>
            <w:r w:rsidRPr="0098470E">
              <w:t>Performance breach notification</w:t>
            </w:r>
          </w:p>
          <w:p w14:paraId="47C449AA" w14:textId="5BE92057" w:rsidR="00921922" w:rsidRPr="0098470E" w:rsidRDefault="00921922">
            <w:pPr>
              <w:pStyle w:val="DHHStabletext"/>
            </w:pPr>
            <w:r w:rsidRPr="0098470E">
              <w:t>If a category 1 elective surgery patient is overdue and the event has been verified and confirmed as accurate, the patient will be regarded as a breach for the purposes of performance and a departmental notification procedure must be initiated by the health service.</w:t>
            </w:r>
          </w:p>
        </w:tc>
      </w:tr>
      <w:tr w:rsidR="00921922" w:rsidRPr="0098470E" w14:paraId="1CDAEF33" w14:textId="77777777" w:rsidTr="000B4BF3">
        <w:trPr>
          <w:cantSplit/>
        </w:trPr>
        <w:tc>
          <w:tcPr>
            <w:tcW w:w="2552" w:type="dxa"/>
            <w:hideMark/>
          </w:tcPr>
          <w:p w14:paraId="626CD6DD" w14:textId="77777777" w:rsidR="00921922" w:rsidRPr="0098470E" w:rsidRDefault="00921922" w:rsidP="00603215">
            <w:pPr>
              <w:pStyle w:val="DHHStabletext"/>
            </w:pPr>
            <w:r w:rsidRPr="0098470E">
              <w:t>Numerator</w:t>
            </w:r>
          </w:p>
        </w:tc>
        <w:tc>
          <w:tcPr>
            <w:tcW w:w="6748" w:type="dxa"/>
            <w:hideMark/>
          </w:tcPr>
          <w:p w14:paraId="047BCFAE" w14:textId="77777777" w:rsidR="00921922" w:rsidRPr="0098470E" w:rsidRDefault="00921922" w:rsidP="00603215">
            <w:pPr>
              <w:pStyle w:val="DHHStabletext"/>
            </w:pPr>
            <w:r w:rsidRPr="0098470E">
              <w:t>Number of urgency category 1 patients admitted within 30 days</w:t>
            </w:r>
          </w:p>
        </w:tc>
      </w:tr>
      <w:tr w:rsidR="00921922" w:rsidRPr="0098470E" w14:paraId="37D9BFA7" w14:textId="77777777" w:rsidTr="000B4BF3">
        <w:trPr>
          <w:cantSplit/>
        </w:trPr>
        <w:tc>
          <w:tcPr>
            <w:tcW w:w="2552" w:type="dxa"/>
            <w:hideMark/>
          </w:tcPr>
          <w:p w14:paraId="161738B8" w14:textId="77777777" w:rsidR="00921922" w:rsidRPr="0098470E" w:rsidRDefault="00921922" w:rsidP="00603215">
            <w:pPr>
              <w:pStyle w:val="DHHStabletext"/>
            </w:pPr>
            <w:r w:rsidRPr="0098470E">
              <w:t>Denominator</w:t>
            </w:r>
          </w:p>
        </w:tc>
        <w:tc>
          <w:tcPr>
            <w:tcW w:w="6748" w:type="dxa"/>
            <w:hideMark/>
          </w:tcPr>
          <w:p w14:paraId="13E79F5F" w14:textId="77777777" w:rsidR="00921922" w:rsidRPr="0098470E" w:rsidRDefault="00921922" w:rsidP="00603215">
            <w:pPr>
              <w:pStyle w:val="DHHStabletext"/>
            </w:pPr>
            <w:r w:rsidRPr="0098470E">
              <w:t>Total urgency category 1 patients admitted</w:t>
            </w:r>
          </w:p>
        </w:tc>
      </w:tr>
      <w:tr w:rsidR="00921922" w:rsidRPr="0098470E" w14:paraId="112B54D0" w14:textId="77777777" w:rsidTr="000B4BF3">
        <w:trPr>
          <w:cantSplit/>
        </w:trPr>
        <w:tc>
          <w:tcPr>
            <w:tcW w:w="2552" w:type="dxa"/>
            <w:hideMark/>
          </w:tcPr>
          <w:p w14:paraId="379A2FBA" w14:textId="77777777" w:rsidR="00921922" w:rsidRPr="0098470E" w:rsidRDefault="00921922" w:rsidP="00603215">
            <w:pPr>
              <w:pStyle w:val="DHHStabletext"/>
            </w:pPr>
            <w:r w:rsidRPr="0098470E">
              <w:t>Statewide target</w:t>
            </w:r>
          </w:p>
        </w:tc>
        <w:tc>
          <w:tcPr>
            <w:tcW w:w="6748" w:type="dxa"/>
            <w:hideMark/>
          </w:tcPr>
          <w:p w14:paraId="3125C60B" w14:textId="77777777" w:rsidR="00921922" w:rsidRPr="0098470E" w:rsidRDefault="00921922" w:rsidP="00603215">
            <w:pPr>
              <w:pStyle w:val="DHHStabletext"/>
            </w:pPr>
            <w:r w:rsidRPr="0098470E">
              <w:t>100%</w:t>
            </w:r>
          </w:p>
        </w:tc>
      </w:tr>
      <w:tr w:rsidR="00904088" w:rsidRPr="0098470E" w14:paraId="2DE1172A" w14:textId="77777777" w:rsidTr="00904088">
        <w:trPr>
          <w:cantSplit/>
        </w:trPr>
        <w:tc>
          <w:tcPr>
            <w:tcW w:w="2552" w:type="dxa"/>
            <w:hideMark/>
          </w:tcPr>
          <w:p w14:paraId="4661679C" w14:textId="77777777" w:rsidR="00904088" w:rsidRPr="0098470E" w:rsidRDefault="00904088" w:rsidP="00603215">
            <w:pPr>
              <w:pStyle w:val="DHHStabletext"/>
            </w:pPr>
            <w:r w:rsidRPr="0098470E">
              <w:t>Achievement</w:t>
            </w:r>
          </w:p>
        </w:tc>
        <w:tc>
          <w:tcPr>
            <w:tcW w:w="6748" w:type="dxa"/>
            <w:hideMark/>
          </w:tcPr>
          <w:p w14:paraId="0A49ED10" w14:textId="7055B496" w:rsidR="00904088" w:rsidRPr="0098470E" w:rsidRDefault="00904088" w:rsidP="00904088">
            <w:pPr>
              <w:pStyle w:val="DHHStabletext92mmtab"/>
            </w:pPr>
            <w:r w:rsidRPr="0098470E">
              <w:t>Equal to 100%</w:t>
            </w:r>
            <w:r>
              <w:tab/>
              <w:t>Achieved</w:t>
            </w:r>
          </w:p>
          <w:p w14:paraId="5BA6ED0E" w14:textId="7E8EF8D7" w:rsidR="00904088" w:rsidRPr="0098470E" w:rsidRDefault="00904088" w:rsidP="00904088">
            <w:pPr>
              <w:pStyle w:val="DHHStabletext92mmtab"/>
            </w:pPr>
            <w:r w:rsidRPr="0098470E">
              <w:t>Less than 100%</w:t>
            </w:r>
            <w:r>
              <w:tab/>
              <w:t>Not achieved</w:t>
            </w:r>
          </w:p>
        </w:tc>
      </w:tr>
      <w:tr w:rsidR="00921922" w:rsidRPr="0098470E" w14:paraId="650A0734" w14:textId="77777777" w:rsidTr="000B4BF3">
        <w:trPr>
          <w:cantSplit/>
        </w:trPr>
        <w:tc>
          <w:tcPr>
            <w:tcW w:w="2552" w:type="dxa"/>
          </w:tcPr>
          <w:p w14:paraId="4F773F75" w14:textId="77777777" w:rsidR="00921922" w:rsidRPr="0098470E" w:rsidRDefault="00921922" w:rsidP="00603215">
            <w:pPr>
              <w:pStyle w:val="DHHStabletext"/>
            </w:pPr>
            <w:r>
              <w:t>Improvement</w:t>
            </w:r>
          </w:p>
        </w:tc>
        <w:tc>
          <w:tcPr>
            <w:tcW w:w="6748" w:type="dxa"/>
          </w:tcPr>
          <w:p w14:paraId="2CCA396E" w14:textId="77777777" w:rsidR="00921922" w:rsidRDefault="00921922" w:rsidP="00603215">
            <w:pPr>
              <w:pStyle w:val="DHHStabletext"/>
            </w:pPr>
            <w:r>
              <w:t xml:space="preserve">For the purpose of the performance risk assessment, improvement </w:t>
            </w:r>
            <w:r w:rsidRPr="0098470E">
              <w:t>is compared to same time last year performance.</w:t>
            </w:r>
          </w:p>
        </w:tc>
      </w:tr>
      <w:tr w:rsidR="00921922" w:rsidRPr="0098470E" w14:paraId="61D73959" w14:textId="77777777" w:rsidTr="000B4BF3">
        <w:trPr>
          <w:cantSplit/>
        </w:trPr>
        <w:tc>
          <w:tcPr>
            <w:tcW w:w="2552" w:type="dxa"/>
            <w:hideMark/>
          </w:tcPr>
          <w:p w14:paraId="4CC3325A" w14:textId="77777777" w:rsidR="00921922" w:rsidRPr="0098470E" w:rsidRDefault="00921922" w:rsidP="00603215">
            <w:pPr>
              <w:pStyle w:val="DHHStabletext"/>
            </w:pPr>
            <w:r w:rsidRPr="0098470E">
              <w:lastRenderedPageBreak/>
              <w:t>Frequency of reporting and data collection</w:t>
            </w:r>
          </w:p>
        </w:tc>
        <w:tc>
          <w:tcPr>
            <w:tcW w:w="6748" w:type="dxa"/>
            <w:hideMark/>
          </w:tcPr>
          <w:p w14:paraId="776F8613" w14:textId="77777777" w:rsidR="00921922" w:rsidRPr="0098470E" w:rsidRDefault="00921922" w:rsidP="00603215">
            <w:pPr>
              <w:pStyle w:val="DHHStabletext"/>
            </w:pPr>
            <w:r w:rsidRPr="0098470E">
              <w:t>Performance is monitored and assessed monthly.</w:t>
            </w:r>
          </w:p>
          <w:p w14:paraId="0C778FE0" w14:textId="1126AC62" w:rsidR="00921922" w:rsidRPr="0098470E" w:rsidRDefault="00921922" w:rsidP="00603215">
            <w:pPr>
              <w:pStyle w:val="DHHStabletext"/>
            </w:pPr>
            <w:r w:rsidRPr="0098470E">
              <w:t xml:space="preserve">Data is submitted by health services via ESIS. Refer to the </w:t>
            </w:r>
            <w:r w:rsidR="00217BF9">
              <w:rPr>
                <w:i/>
              </w:rPr>
              <w:t>P</w:t>
            </w:r>
            <w:r w:rsidRPr="0098470E">
              <w:rPr>
                <w:i/>
              </w:rPr>
              <w:t xml:space="preserve">olicy and </w:t>
            </w:r>
            <w:r w:rsidR="00217BF9">
              <w:rPr>
                <w:i/>
              </w:rPr>
              <w:t>F</w:t>
            </w:r>
            <w:r w:rsidRPr="0098470E">
              <w:rPr>
                <w:i/>
              </w:rPr>
              <w:t xml:space="preserve">unding </w:t>
            </w:r>
            <w:r w:rsidR="00217BF9">
              <w:rPr>
                <w:i/>
              </w:rPr>
              <w:t>G</w:t>
            </w:r>
            <w:r w:rsidRPr="0098470E">
              <w:rPr>
                <w:i/>
              </w:rPr>
              <w:t xml:space="preserve">uidelines </w:t>
            </w:r>
            <w:r w:rsidRPr="0098470E">
              <w:t>for further information on ESIS data submission timelines.</w:t>
            </w:r>
          </w:p>
        </w:tc>
      </w:tr>
    </w:tbl>
    <w:p w14:paraId="115ED40E" w14:textId="146EAED9" w:rsidR="00F12615" w:rsidRPr="00F12615" w:rsidRDefault="00F12615" w:rsidP="00F12615">
      <w:pPr>
        <w:pStyle w:val="DHHStablecaption"/>
      </w:pPr>
      <w:r>
        <w:t xml:space="preserve">Indicator: </w:t>
      </w:r>
      <w:r w:rsidR="00101E11" w:rsidRPr="000B4BF3">
        <w:t>Number of patients on the elective surgery waiting list</w:t>
      </w:r>
    </w:p>
    <w:tbl>
      <w:tblPr>
        <w:tblStyle w:val="TableGrid"/>
        <w:tblW w:w="9300" w:type="dxa"/>
        <w:tblLayout w:type="fixed"/>
        <w:tblLook w:val="06A0" w:firstRow="1" w:lastRow="0" w:firstColumn="1" w:lastColumn="0" w:noHBand="1" w:noVBand="1"/>
      </w:tblPr>
      <w:tblGrid>
        <w:gridCol w:w="2439"/>
        <w:gridCol w:w="6861"/>
      </w:tblGrid>
      <w:tr w:rsidR="00D97737" w:rsidRPr="0098470E" w14:paraId="7552710D" w14:textId="77777777" w:rsidTr="00F510CE">
        <w:trPr>
          <w:cnfStyle w:val="100000000000" w:firstRow="1" w:lastRow="0" w:firstColumn="0" w:lastColumn="0" w:oddVBand="0" w:evenVBand="0" w:oddHBand="0" w:evenHBand="0" w:firstRowFirstColumn="0" w:firstRowLastColumn="0" w:lastRowFirstColumn="0" w:lastRowLastColumn="0"/>
          <w:cantSplit/>
          <w:tblHeader/>
        </w:trPr>
        <w:tc>
          <w:tcPr>
            <w:tcW w:w="2439" w:type="dxa"/>
          </w:tcPr>
          <w:p w14:paraId="17319EDB" w14:textId="58C79499" w:rsidR="00D97737" w:rsidRPr="000B4BF3" w:rsidRDefault="00D97737" w:rsidP="00D97737">
            <w:pPr>
              <w:pStyle w:val="DHHStablecolhead"/>
            </w:pPr>
            <w:r>
              <w:t>Element</w:t>
            </w:r>
          </w:p>
        </w:tc>
        <w:tc>
          <w:tcPr>
            <w:tcW w:w="6861" w:type="dxa"/>
          </w:tcPr>
          <w:p w14:paraId="65A7E6E9" w14:textId="3EB78A41" w:rsidR="00D97737" w:rsidRPr="000B4BF3" w:rsidRDefault="00D97737" w:rsidP="00D97737">
            <w:pPr>
              <w:pStyle w:val="DHHStablecolhead"/>
            </w:pPr>
            <w:r>
              <w:t>Details</w:t>
            </w:r>
          </w:p>
        </w:tc>
      </w:tr>
      <w:tr w:rsidR="00921922" w:rsidRPr="0098470E" w14:paraId="22207C36" w14:textId="77777777" w:rsidTr="000B4BF3">
        <w:trPr>
          <w:cantSplit/>
        </w:trPr>
        <w:tc>
          <w:tcPr>
            <w:tcW w:w="2439" w:type="dxa"/>
            <w:hideMark/>
          </w:tcPr>
          <w:p w14:paraId="76C7FBF3" w14:textId="77777777" w:rsidR="00921922" w:rsidRPr="0098470E" w:rsidRDefault="00921922" w:rsidP="00603215">
            <w:pPr>
              <w:pStyle w:val="DHHStabletext"/>
            </w:pPr>
            <w:r w:rsidRPr="0098470E">
              <w:t>Description</w:t>
            </w:r>
          </w:p>
        </w:tc>
        <w:tc>
          <w:tcPr>
            <w:tcW w:w="6861" w:type="dxa"/>
            <w:hideMark/>
          </w:tcPr>
          <w:p w14:paraId="71199FC5" w14:textId="77777777" w:rsidR="00921922" w:rsidRPr="0098470E" w:rsidRDefault="00921922" w:rsidP="00603215">
            <w:pPr>
              <w:pStyle w:val="DHHStabletext"/>
            </w:pPr>
            <w:r w:rsidRPr="0098470E">
              <w:t>Elective surgery performance indicators aim to encourage improved performance in managing healthcare for elective surgery patients.</w:t>
            </w:r>
          </w:p>
          <w:p w14:paraId="7F134A90" w14:textId="77777777" w:rsidR="00921922" w:rsidRPr="0098470E" w:rsidRDefault="00921922" w:rsidP="00603215">
            <w:pPr>
              <w:pStyle w:val="DHHStabletext"/>
            </w:pPr>
            <w:r w:rsidRPr="0098470E">
              <w:t>This indicator measures the number of patients waiting for elective surgery as at the end of the reporting period and is measured at the health service level. Where health services have multiple campuses, the aggr</w:t>
            </w:r>
            <w:r>
              <w:t>egate for all campuses is used.</w:t>
            </w:r>
          </w:p>
        </w:tc>
      </w:tr>
      <w:tr w:rsidR="00921922" w:rsidRPr="0098470E" w14:paraId="63275177" w14:textId="77777777" w:rsidTr="000B4BF3">
        <w:trPr>
          <w:cantSplit/>
        </w:trPr>
        <w:tc>
          <w:tcPr>
            <w:tcW w:w="2439" w:type="dxa"/>
            <w:hideMark/>
          </w:tcPr>
          <w:p w14:paraId="5349EDDF" w14:textId="77777777" w:rsidR="00921922" w:rsidRPr="0098470E" w:rsidRDefault="00921922" w:rsidP="00603215">
            <w:pPr>
              <w:pStyle w:val="DHHStabletext"/>
            </w:pPr>
            <w:r w:rsidRPr="0098470E">
              <w:t>Calculating performance</w:t>
            </w:r>
          </w:p>
        </w:tc>
        <w:tc>
          <w:tcPr>
            <w:tcW w:w="6861" w:type="dxa"/>
            <w:hideMark/>
          </w:tcPr>
          <w:p w14:paraId="56375E13" w14:textId="28B2F58A" w:rsidR="00921922" w:rsidRPr="0098470E" w:rsidRDefault="00921922" w:rsidP="00603215">
            <w:pPr>
              <w:pStyle w:val="DHHStabletext"/>
            </w:pPr>
            <w:r w:rsidRPr="0098470E">
              <w:t>Only records assigned a</w:t>
            </w:r>
            <w:r w:rsidR="00D27659">
              <w:t>n intended procedure</w:t>
            </w:r>
            <w:r w:rsidR="009D46B4">
              <w:rPr>
                <w:rStyle w:val="FootnoteReference"/>
              </w:rPr>
              <w:footnoteReference w:id="15"/>
            </w:r>
            <w:r w:rsidRPr="0098470E">
              <w:t xml:space="preserve"> and with a readiness status of R (ready for care) are used to assess this indicator.</w:t>
            </w:r>
          </w:p>
          <w:p w14:paraId="2520E57B" w14:textId="77777777" w:rsidR="00921922" w:rsidRPr="0098470E" w:rsidRDefault="00921922" w:rsidP="00603215">
            <w:pPr>
              <w:pStyle w:val="DHHStabletext"/>
            </w:pPr>
            <w:r w:rsidRPr="0098470E">
              <w:t>This indicator is expressed as a whole number.</w:t>
            </w:r>
          </w:p>
          <w:p w14:paraId="7A106CB5" w14:textId="2932C44F" w:rsidR="00921922" w:rsidRPr="0098470E" w:rsidRDefault="00921922" w:rsidP="00603215">
            <w:pPr>
              <w:pStyle w:val="DHHStabletext"/>
            </w:pPr>
            <w:r w:rsidRPr="0098470E">
              <w:t xml:space="preserve">Agreed individual health service quarterly targets </w:t>
            </w:r>
            <w:r w:rsidR="00BB11EF" w:rsidRPr="0098470E">
              <w:t>consider</w:t>
            </w:r>
            <w:r w:rsidRPr="0098470E">
              <w:t xml:space="preserve"> external factors impacting on service capacity such as peaks in emergency demand and seasonal fluctuations. Notional monthly targets are used to assist with monitoring performance.</w:t>
            </w:r>
          </w:p>
        </w:tc>
      </w:tr>
      <w:tr w:rsidR="00921922" w:rsidRPr="0098470E" w14:paraId="6D42FD09" w14:textId="77777777" w:rsidTr="000B4BF3">
        <w:trPr>
          <w:cantSplit/>
        </w:trPr>
        <w:tc>
          <w:tcPr>
            <w:tcW w:w="2439" w:type="dxa"/>
            <w:hideMark/>
          </w:tcPr>
          <w:p w14:paraId="766D29DA" w14:textId="77777777" w:rsidR="00921922" w:rsidRPr="0098470E" w:rsidRDefault="00921922" w:rsidP="00603215">
            <w:pPr>
              <w:pStyle w:val="DHHStabletext"/>
            </w:pPr>
            <w:r w:rsidRPr="0098470E">
              <w:t>Numerator</w:t>
            </w:r>
          </w:p>
        </w:tc>
        <w:tc>
          <w:tcPr>
            <w:tcW w:w="6861" w:type="dxa"/>
            <w:hideMark/>
          </w:tcPr>
          <w:p w14:paraId="54EB986A" w14:textId="5D73A3F8" w:rsidR="00921922" w:rsidRPr="0098470E" w:rsidRDefault="00921922" w:rsidP="00603215">
            <w:pPr>
              <w:pStyle w:val="DHHStabletext"/>
            </w:pPr>
            <w:r w:rsidRPr="0098470E">
              <w:t>Number of patients, for all urgency categories, waiting for elective surgery at the end of the reporting period</w:t>
            </w:r>
            <w:r w:rsidR="00444D59">
              <w:t>.</w:t>
            </w:r>
          </w:p>
        </w:tc>
      </w:tr>
      <w:tr w:rsidR="00921922" w:rsidRPr="0098470E" w14:paraId="5756A099" w14:textId="77777777" w:rsidTr="000B4BF3">
        <w:trPr>
          <w:cantSplit/>
        </w:trPr>
        <w:tc>
          <w:tcPr>
            <w:tcW w:w="2439" w:type="dxa"/>
            <w:hideMark/>
          </w:tcPr>
          <w:p w14:paraId="3DF23D01" w14:textId="77777777" w:rsidR="00921922" w:rsidRPr="0098470E" w:rsidRDefault="00921922" w:rsidP="00603215">
            <w:pPr>
              <w:pStyle w:val="DHHStabletext"/>
            </w:pPr>
            <w:r w:rsidRPr="0098470E">
              <w:t>Specific health service target</w:t>
            </w:r>
          </w:p>
        </w:tc>
        <w:tc>
          <w:tcPr>
            <w:tcW w:w="6861" w:type="dxa"/>
            <w:hideMark/>
          </w:tcPr>
          <w:p w14:paraId="111B1739" w14:textId="1BA1D0FC" w:rsidR="00921922" w:rsidRPr="0098470E" w:rsidRDefault="00921922" w:rsidP="00603215">
            <w:pPr>
              <w:pStyle w:val="DHHStabletext"/>
              <w:rPr>
                <w:lang w:val="en-US"/>
              </w:rPr>
            </w:pPr>
            <w:r w:rsidRPr="0098470E">
              <w:t xml:space="preserve">As agreed in the </w:t>
            </w:r>
            <w:r w:rsidR="00444D59">
              <w:t>SOP.</w:t>
            </w:r>
          </w:p>
        </w:tc>
      </w:tr>
      <w:tr w:rsidR="0077186D" w:rsidRPr="0098470E" w14:paraId="7B3C9099" w14:textId="77777777" w:rsidTr="0077186D">
        <w:trPr>
          <w:cantSplit/>
        </w:trPr>
        <w:tc>
          <w:tcPr>
            <w:tcW w:w="2439" w:type="dxa"/>
            <w:hideMark/>
          </w:tcPr>
          <w:p w14:paraId="315C04F2" w14:textId="77777777" w:rsidR="0077186D" w:rsidRPr="0098470E" w:rsidRDefault="0077186D" w:rsidP="00603215">
            <w:pPr>
              <w:pStyle w:val="DHHStabletext"/>
            </w:pPr>
            <w:r w:rsidRPr="0098470E">
              <w:t>Achievement</w:t>
            </w:r>
          </w:p>
        </w:tc>
        <w:tc>
          <w:tcPr>
            <w:tcW w:w="6861" w:type="dxa"/>
            <w:hideMark/>
          </w:tcPr>
          <w:p w14:paraId="6A9BFA25" w14:textId="0898AE51" w:rsidR="0077186D" w:rsidRPr="0098470E" w:rsidRDefault="0077186D" w:rsidP="0077186D">
            <w:pPr>
              <w:pStyle w:val="DHHStabletext92mmtab"/>
            </w:pPr>
            <w:r w:rsidRPr="0098470E">
              <w:t>Target achieved</w:t>
            </w:r>
            <w:r>
              <w:tab/>
              <w:t>Achieved</w:t>
            </w:r>
          </w:p>
          <w:p w14:paraId="6ECAF597" w14:textId="6F80525E" w:rsidR="0077186D" w:rsidRPr="0098470E" w:rsidRDefault="0077186D" w:rsidP="0077186D">
            <w:pPr>
              <w:pStyle w:val="DHHStabletext92mmtab"/>
            </w:pPr>
            <w:r w:rsidRPr="0098470E">
              <w:t>Target not achieved</w:t>
            </w:r>
            <w:r>
              <w:tab/>
              <w:t>Not achieved</w:t>
            </w:r>
          </w:p>
        </w:tc>
      </w:tr>
      <w:tr w:rsidR="00921922" w:rsidRPr="0098470E" w14:paraId="07B779C6" w14:textId="77777777" w:rsidTr="000B4BF3">
        <w:trPr>
          <w:cantSplit/>
        </w:trPr>
        <w:tc>
          <w:tcPr>
            <w:tcW w:w="2439" w:type="dxa"/>
          </w:tcPr>
          <w:p w14:paraId="1C2E1AA2" w14:textId="77777777" w:rsidR="00921922" w:rsidRPr="0098470E" w:rsidRDefault="00921922" w:rsidP="00603215">
            <w:pPr>
              <w:pStyle w:val="DHHStabletext"/>
            </w:pPr>
            <w:r>
              <w:t xml:space="preserve">Improvement </w:t>
            </w:r>
          </w:p>
        </w:tc>
        <w:tc>
          <w:tcPr>
            <w:tcW w:w="6861" w:type="dxa"/>
          </w:tcPr>
          <w:p w14:paraId="2FC084E8" w14:textId="77777777" w:rsidR="00921922" w:rsidRPr="0098470E" w:rsidRDefault="00921922" w:rsidP="00603215">
            <w:pPr>
              <w:pStyle w:val="DHHStabletext"/>
            </w:pPr>
            <w:r>
              <w:t xml:space="preserve">For the purpose of the performance risk assessment, improvement is assessed quarterly based on performance against phased targets, compared to previous quarter performance. </w:t>
            </w:r>
          </w:p>
        </w:tc>
      </w:tr>
      <w:tr w:rsidR="00921922" w:rsidRPr="0098470E" w14:paraId="1A2BA816" w14:textId="77777777" w:rsidTr="000B4BF3">
        <w:trPr>
          <w:cantSplit/>
        </w:trPr>
        <w:tc>
          <w:tcPr>
            <w:tcW w:w="2439" w:type="dxa"/>
            <w:hideMark/>
          </w:tcPr>
          <w:p w14:paraId="24C74AF7" w14:textId="77777777" w:rsidR="00921922" w:rsidRPr="0098470E" w:rsidRDefault="00921922" w:rsidP="00603215">
            <w:pPr>
              <w:pStyle w:val="DHHStabletext"/>
            </w:pPr>
            <w:r w:rsidRPr="0098470E">
              <w:t>Frequency of reporting and data collection</w:t>
            </w:r>
          </w:p>
        </w:tc>
        <w:tc>
          <w:tcPr>
            <w:tcW w:w="6861" w:type="dxa"/>
            <w:hideMark/>
          </w:tcPr>
          <w:p w14:paraId="0C93BBC0" w14:textId="77777777" w:rsidR="00921922" w:rsidRDefault="00921922" w:rsidP="00603215">
            <w:pPr>
              <w:pStyle w:val="DHHStabletext"/>
            </w:pPr>
            <w:r w:rsidRPr="0098470E">
              <w:t>Performance is monitored and assessed monthly.</w:t>
            </w:r>
          </w:p>
          <w:p w14:paraId="1A967C4F" w14:textId="29DB158F" w:rsidR="00921922" w:rsidRPr="0098470E" w:rsidRDefault="00921922" w:rsidP="00603215">
            <w:pPr>
              <w:pStyle w:val="DHHStabletext"/>
            </w:pPr>
            <w:r w:rsidRPr="0098470E">
              <w:t xml:space="preserve">Data is submitted by health services via ESIS. Refer to the </w:t>
            </w:r>
            <w:r w:rsidR="00217BF9">
              <w:rPr>
                <w:i/>
              </w:rPr>
              <w:t>Policy and Funding Guidelines</w:t>
            </w:r>
            <w:r w:rsidRPr="0098470E">
              <w:rPr>
                <w:i/>
              </w:rPr>
              <w:t xml:space="preserve"> </w:t>
            </w:r>
            <w:r w:rsidRPr="0098470E">
              <w:t>for further information on ESIS data submission timelines.</w:t>
            </w:r>
          </w:p>
        </w:tc>
      </w:tr>
    </w:tbl>
    <w:p w14:paraId="76C368B2" w14:textId="77777777" w:rsidR="00F1426A" w:rsidRDefault="00F1426A">
      <w:pPr>
        <w:spacing w:after="200" w:line="276" w:lineRule="auto"/>
        <w:rPr>
          <w:rFonts w:ascii="Arial" w:hAnsi="Arial"/>
          <w:b/>
        </w:rPr>
      </w:pPr>
      <w:r>
        <w:br w:type="page"/>
      </w:r>
    </w:p>
    <w:p w14:paraId="7BCE6E10" w14:textId="292E7822" w:rsidR="00F12615" w:rsidRPr="00961723" w:rsidRDefault="00F12615" w:rsidP="00F12615">
      <w:pPr>
        <w:pStyle w:val="DHHStablecaption"/>
      </w:pPr>
      <w:r>
        <w:lastRenderedPageBreak/>
        <w:t xml:space="preserve">Indicator: </w:t>
      </w:r>
      <w:r w:rsidR="00101E11" w:rsidRPr="005B435A">
        <w:t>Reduce long waiting elective surgery patients</w:t>
      </w:r>
    </w:p>
    <w:tbl>
      <w:tblPr>
        <w:tblStyle w:val="TableGrid"/>
        <w:tblW w:w="9300" w:type="dxa"/>
        <w:tblLayout w:type="fixed"/>
        <w:tblLook w:val="06A0" w:firstRow="1" w:lastRow="0" w:firstColumn="1" w:lastColumn="0" w:noHBand="1" w:noVBand="1"/>
      </w:tblPr>
      <w:tblGrid>
        <w:gridCol w:w="2581"/>
        <w:gridCol w:w="6719"/>
      </w:tblGrid>
      <w:tr w:rsidR="00D97737" w:rsidRPr="0098470E" w14:paraId="4B9F15B3" w14:textId="77777777" w:rsidTr="000B4BF3">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703C8B12" w14:textId="58FAD71F" w:rsidR="00D97737" w:rsidRPr="005B435A" w:rsidRDefault="00D97737" w:rsidP="00D97737">
            <w:pPr>
              <w:pStyle w:val="DHHStablecolhead"/>
            </w:pPr>
            <w:r>
              <w:t>Element</w:t>
            </w:r>
          </w:p>
        </w:tc>
        <w:tc>
          <w:tcPr>
            <w:tcW w:w="6719" w:type="dxa"/>
          </w:tcPr>
          <w:p w14:paraId="5DB032F0" w14:textId="7F0AD397" w:rsidR="00D97737" w:rsidRPr="005B435A" w:rsidRDefault="00D97737" w:rsidP="00D97737">
            <w:pPr>
              <w:pStyle w:val="DHHStablecolhead"/>
            </w:pPr>
            <w:r>
              <w:t>Details</w:t>
            </w:r>
          </w:p>
        </w:tc>
      </w:tr>
      <w:tr w:rsidR="00921922" w:rsidRPr="0098470E" w14:paraId="554A22EC" w14:textId="77777777" w:rsidTr="000B4BF3">
        <w:trPr>
          <w:cantSplit/>
        </w:trPr>
        <w:tc>
          <w:tcPr>
            <w:tcW w:w="2581" w:type="dxa"/>
            <w:hideMark/>
          </w:tcPr>
          <w:p w14:paraId="31105F2D" w14:textId="77777777" w:rsidR="00921922" w:rsidRPr="0098470E" w:rsidRDefault="00921922" w:rsidP="00603215">
            <w:pPr>
              <w:pStyle w:val="DHHStabletext"/>
            </w:pPr>
            <w:r w:rsidRPr="0098470E">
              <w:t>Description</w:t>
            </w:r>
          </w:p>
        </w:tc>
        <w:tc>
          <w:tcPr>
            <w:tcW w:w="6719" w:type="dxa"/>
            <w:hideMark/>
          </w:tcPr>
          <w:p w14:paraId="5C201172" w14:textId="54D6E9C3" w:rsidR="00921922" w:rsidRPr="0098470E" w:rsidRDefault="00921922" w:rsidP="00603215">
            <w:pPr>
              <w:pStyle w:val="DHHStabletext"/>
            </w:pPr>
            <w:r w:rsidRPr="0098470E">
              <w:t>Percentage of patients on the waiting list who have waited longer than clinically recommended time for their respective triage category</w:t>
            </w:r>
            <w:r w:rsidR="00EB2E6E">
              <w:t>.</w:t>
            </w:r>
          </w:p>
        </w:tc>
      </w:tr>
      <w:tr w:rsidR="00921922" w:rsidRPr="0098470E" w14:paraId="18DC1ABB" w14:textId="77777777" w:rsidTr="000B4BF3">
        <w:trPr>
          <w:cantSplit/>
        </w:trPr>
        <w:tc>
          <w:tcPr>
            <w:tcW w:w="2581" w:type="dxa"/>
          </w:tcPr>
          <w:p w14:paraId="182A8FC7" w14:textId="77777777" w:rsidR="00921922" w:rsidRPr="0098470E" w:rsidRDefault="00921922" w:rsidP="00603215">
            <w:pPr>
              <w:pStyle w:val="DHHStabletext"/>
            </w:pPr>
            <w:r w:rsidRPr="0098470E">
              <w:t>Calculating performance</w:t>
            </w:r>
          </w:p>
        </w:tc>
        <w:tc>
          <w:tcPr>
            <w:tcW w:w="6719" w:type="dxa"/>
          </w:tcPr>
          <w:p w14:paraId="33DA892E" w14:textId="7298E6DB" w:rsidR="00921922" w:rsidRPr="0098470E" w:rsidRDefault="00921922" w:rsidP="00603215">
            <w:pPr>
              <w:pStyle w:val="DHHStabletext"/>
            </w:pPr>
            <w:r w:rsidRPr="0098470E">
              <w:t>Only records assigned a</w:t>
            </w:r>
            <w:r w:rsidR="00D27659">
              <w:t>n intended procedure</w:t>
            </w:r>
            <w:r w:rsidR="009D46B4">
              <w:rPr>
                <w:rStyle w:val="FootnoteReference"/>
              </w:rPr>
              <w:footnoteReference w:id="16"/>
            </w:r>
            <w:r w:rsidRPr="0098470E">
              <w:t xml:space="preserve"> are used to assess this indicator.</w:t>
            </w:r>
          </w:p>
          <w:p w14:paraId="61CD72EA" w14:textId="659BAA2E" w:rsidR="00921922" w:rsidRPr="0098470E" w:rsidRDefault="00921922" w:rsidP="00603215">
            <w:pPr>
              <w:pStyle w:val="DHHStabletext"/>
            </w:pPr>
            <w:r w:rsidRPr="0098470E">
              <w:t xml:space="preserve">The measure considers the </w:t>
            </w:r>
            <w:r>
              <w:t>‘</w:t>
            </w:r>
            <w:r w:rsidRPr="0098470E">
              <w:t>total</w:t>
            </w:r>
            <w:r>
              <w:t>’</w:t>
            </w:r>
            <w:r w:rsidRPr="0098470E">
              <w:t xml:space="preserve"> waiting list at a health service, not only patients who are </w:t>
            </w:r>
            <w:r>
              <w:t>‘</w:t>
            </w:r>
            <w:r w:rsidRPr="0098470E">
              <w:t>ready for surgery</w:t>
            </w:r>
            <w:r>
              <w:t>’</w:t>
            </w:r>
            <w:r w:rsidRPr="0098470E">
              <w:t>.</w:t>
            </w:r>
            <w:r>
              <w:t xml:space="preserve"> ‘</w:t>
            </w:r>
            <w:r w:rsidRPr="0098470E">
              <w:t>Total number of patients on the waiting list</w:t>
            </w:r>
            <w:r>
              <w:t>’</w:t>
            </w:r>
            <w:r w:rsidRPr="0098470E">
              <w:t xml:space="preserve"> means all patients with readiness status of </w:t>
            </w:r>
            <w:r w:rsidR="00BB11EF" w:rsidRPr="0098470E">
              <w:t>R, S, F, C</w:t>
            </w:r>
            <w:r w:rsidRPr="0098470E">
              <w:t xml:space="preserve"> or P.</w:t>
            </w:r>
          </w:p>
          <w:p w14:paraId="21BE669B" w14:textId="1FDC9169" w:rsidR="00921922" w:rsidRDefault="00921922" w:rsidP="00603215">
            <w:pPr>
              <w:pStyle w:val="DHHStabletext"/>
            </w:pPr>
            <w:r w:rsidRPr="0098470E">
              <w:t xml:space="preserve">Proportional improvement (under the Achievement section below) denotes the incremental performance improvement required to achieve the </w:t>
            </w:r>
            <w:r w:rsidR="00D417F9">
              <w:t>indicator</w:t>
            </w:r>
            <w:r w:rsidR="00D417F9" w:rsidRPr="0098470E">
              <w:t xml:space="preserve"> </w:t>
            </w:r>
            <w:r w:rsidRPr="0098470E">
              <w:t>should the sta</w:t>
            </w:r>
            <w:r>
              <w:t>tewide target not be achieved at 30 June.</w:t>
            </w:r>
          </w:p>
          <w:p w14:paraId="20731BDB" w14:textId="77777777" w:rsidR="00921922" w:rsidRPr="0098470E" w:rsidRDefault="00921922" w:rsidP="00603215">
            <w:pPr>
              <w:pStyle w:val="DHHStabletext"/>
            </w:pPr>
            <w:r w:rsidRPr="0098470E">
              <w:t>This indicator is measured at the health service level.</w:t>
            </w:r>
            <w:r>
              <w:t xml:space="preserve"> </w:t>
            </w:r>
            <w:r w:rsidRPr="0098470E">
              <w:t>Where a health service has multiple campuses, the aggr</w:t>
            </w:r>
            <w:r>
              <w:t>egate for all campuses is used.</w:t>
            </w:r>
          </w:p>
          <w:p w14:paraId="7B006856" w14:textId="77777777" w:rsidR="00921922" w:rsidRPr="00D51E79" w:rsidRDefault="00921922" w:rsidP="00603215">
            <w:pPr>
              <w:pStyle w:val="DHHStabletext"/>
              <w:rPr>
                <w:rStyle w:val="Strong"/>
              </w:rPr>
            </w:pPr>
            <w:r w:rsidRPr="00D51E79">
              <w:rPr>
                <w:rStyle w:val="Strong"/>
              </w:rPr>
              <w:t>Example</w:t>
            </w:r>
          </w:p>
          <w:p w14:paraId="59AFABE5" w14:textId="2F6150FB" w:rsidR="00921922" w:rsidRPr="0098470E" w:rsidRDefault="00921922" w:rsidP="00603215">
            <w:pPr>
              <w:pStyle w:val="DHHStabletext"/>
            </w:pPr>
            <w:r w:rsidRPr="0098470E">
              <w:t>At 30 June</w:t>
            </w:r>
            <w:r w:rsidR="00AB5933">
              <w:t xml:space="preserve"> (Year 1)</w:t>
            </w:r>
            <w:r w:rsidR="004B0985">
              <w:t>,</w:t>
            </w:r>
            <w:r w:rsidRPr="0098470E">
              <w:t xml:space="preserve"> Health Service A has:</w:t>
            </w:r>
          </w:p>
          <w:p w14:paraId="43624563" w14:textId="77777777" w:rsidR="00921922" w:rsidRPr="0098470E" w:rsidRDefault="00921922" w:rsidP="00603215">
            <w:pPr>
              <w:pStyle w:val="DHHStablebullet1"/>
            </w:pPr>
            <w:r w:rsidRPr="0098470E">
              <w:t>100 patients on the Elective Surgery Waiting List who have waited longer than clinically recommended time for their given urgency category (regardless of their current readiness status).</w:t>
            </w:r>
          </w:p>
          <w:p w14:paraId="2C0CAE99" w14:textId="65947A10" w:rsidR="00921922" w:rsidRPr="0098470E" w:rsidRDefault="00921922" w:rsidP="00603215">
            <w:pPr>
              <w:pStyle w:val="DHHStablebullet1"/>
            </w:pPr>
            <w:r w:rsidRPr="0098470E">
              <w:t>1</w:t>
            </w:r>
            <w:r w:rsidR="0087544E">
              <w:t>,</w:t>
            </w:r>
            <w:r w:rsidRPr="0098470E">
              <w:t>000 patients on the Elective Surgery Waiting List (regardless of readiness status).</w:t>
            </w:r>
          </w:p>
          <w:p w14:paraId="7D92EFEE" w14:textId="77777777" w:rsidR="00921922" w:rsidRPr="0098470E" w:rsidRDefault="00921922" w:rsidP="00603215">
            <w:pPr>
              <w:pStyle w:val="DHHStabletext"/>
            </w:pPr>
            <w:r w:rsidRPr="0098470E">
              <w:t>Therefore, 10</w:t>
            </w:r>
            <w:r>
              <w:t xml:space="preserve"> per cent</w:t>
            </w:r>
            <w:r w:rsidRPr="0098470E">
              <w:t xml:space="preserve"> of patients had waited longer than clinically recommended time.</w:t>
            </w:r>
          </w:p>
          <w:p w14:paraId="090B8130" w14:textId="26171144" w:rsidR="00921922" w:rsidRPr="0098470E" w:rsidRDefault="00921922" w:rsidP="00603215">
            <w:pPr>
              <w:pStyle w:val="DHHStabletext"/>
            </w:pPr>
            <w:r w:rsidRPr="0098470E">
              <w:t xml:space="preserve">At </w:t>
            </w:r>
            <w:r w:rsidR="004B0985">
              <w:t xml:space="preserve">30 </w:t>
            </w:r>
            <w:r w:rsidRPr="0098470E">
              <w:t>June</w:t>
            </w:r>
            <w:r w:rsidR="00AB5933">
              <w:t xml:space="preserve"> (Year 2)</w:t>
            </w:r>
            <w:r w:rsidRPr="0098470E">
              <w:t>, Health Service A has:</w:t>
            </w:r>
          </w:p>
          <w:p w14:paraId="1967CE81" w14:textId="77777777" w:rsidR="00921922" w:rsidRPr="0098470E" w:rsidRDefault="00921922" w:rsidP="00603215">
            <w:pPr>
              <w:pStyle w:val="DHHStablebullet1"/>
            </w:pPr>
            <w:r w:rsidRPr="0098470E">
              <w:t>85 patients on the Elective Surgery Waiting List who have waited longer than clinically recommended time for their given urgency category (regardless of their current readiness status)</w:t>
            </w:r>
          </w:p>
          <w:p w14:paraId="3E69E9F4" w14:textId="19E08E69" w:rsidR="00921922" w:rsidRPr="0098470E" w:rsidRDefault="00921922" w:rsidP="00603215">
            <w:pPr>
              <w:pStyle w:val="DHHStablebullet1"/>
            </w:pPr>
            <w:r w:rsidRPr="0098470E">
              <w:t>1</w:t>
            </w:r>
            <w:r w:rsidR="00D26FD3">
              <w:t>,</w:t>
            </w:r>
            <w:r w:rsidRPr="0098470E">
              <w:t>000 patients on the Elective Surgery Waiting List (regardless of readiness status)</w:t>
            </w:r>
            <w:r w:rsidR="00D417F9">
              <w:t>.</w:t>
            </w:r>
          </w:p>
          <w:p w14:paraId="00410D3C" w14:textId="77777777" w:rsidR="00921922" w:rsidRPr="0098470E" w:rsidRDefault="00921922" w:rsidP="00603215">
            <w:pPr>
              <w:pStyle w:val="DHHStabletext"/>
            </w:pPr>
            <w:r w:rsidRPr="0098470E">
              <w:t>Therefore, Health Service A had 8.5</w:t>
            </w:r>
            <w:r>
              <w:t xml:space="preserve"> per cent</w:t>
            </w:r>
            <w:r w:rsidRPr="0098470E">
              <w:t xml:space="preserve"> of patients who had waited longer than clinically recommended time at this time</w:t>
            </w:r>
          </w:p>
          <w:p w14:paraId="5AA5773C" w14:textId="3AF3A5FB" w:rsidR="00921922" w:rsidRPr="0098470E" w:rsidRDefault="00921922" w:rsidP="00603215">
            <w:pPr>
              <w:pStyle w:val="DHHStabletext"/>
            </w:pPr>
            <w:r w:rsidRPr="0098470E">
              <w:t xml:space="preserve">Health Service A did not achieve the </w:t>
            </w:r>
            <w:r w:rsidR="00BB11EF" w:rsidRPr="0098470E">
              <w:t>state-wide</w:t>
            </w:r>
            <w:r w:rsidRPr="0098470E">
              <w:t xml:space="preserve"> target (less than 5</w:t>
            </w:r>
            <w:r>
              <w:t xml:space="preserve"> per cent</w:t>
            </w:r>
            <w:r w:rsidRPr="0098470E">
              <w:t>), however did achieve a 15</w:t>
            </w:r>
            <w:r>
              <w:t xml:space="preserve"> per cent</w:t>
            </w:r>
            <w:r w:rsidRPr="0098470E">
              <w:t xml:space="preserve"> proportional improvement (10</w:t>
            </w:r>
            <w:r>
              <w:t xml:space="preserve"> per cent</w:t>
            </w:r>
            <w:r w:rsidRPr="0098470E">
              <w:t xml:space="preserve"> vs 8.5</w:t>
            </w:r>
            <w:r>
              <w:t xml:space="preserve"> per cent</w:t>
            </w:r>
            <w:r w:rsidRPr="0098470E">
              <w:t>), theref</w:t>
            </w:r>
            <w:r>
              <w:t xml:space="preserve">ore meeting this </w:t>
            </w:r>
            <w:r w:rsidR="00B561B0">
              <w:t>indicator</w:t>
            </w:r>
            <w:r w:rsidR="00D27740">
              <w:t>.</w:t>
            </w:r>
          </w:p>
        </w:tc>
      </w:tr>
      <w:tr w:rsidR="00921922" w:rsidRPr="0098470E" w14:paraId="5A6331B0" w14:textId="77777777" w:rsidTr="000B4BF3">
        <w:trPr>
          <w:cantSplit/>
        </w:trPr>
        <w:tc>
          <w:tcPr>
            <w:tcW w:w="2581" w:type="dxa"/>
            <w:hideMark/>
          </w:tcPr>
          <w:p w14:paraId="4EFA494E" w14:textId="77777777" w:rsidR="00921922" w:rsidRPr="0098470E" w:rsidRDefault="00921922" w:rsidP="00603215">
            <w:pPr>
              <w:pStyle w:val="DHHStabletext"/>
            </w:pPr>
            <w:r w:rsidRPr="0098470E">
              <w:t>Numerator</w:t>
            </w:r>
          </w:p>
        </w:tc>
        <w:tc>
          <w:tcPr>
            <w:tcW w:w="6719" w:type="dxa"/>
            <w:hideMark/>
          </w:tcPr>
          <w:p w14:paraId="72DB1936" w14:textId="5D2B3EE9" w:rsidR="00921922" w:rsidRPr="0098470E" w:rsidRDefault="00921922" w:rsidP="00603215">
            <w:pPr>
              <w:pStyle w:val="DHHStabletext"/>
            </w:pPr>
            <w:r w:rsidRPr="0098470E">
              <w:t>Total number of patients on the Elective Surgery Waiting List (regardless of readiness status) who have waited longer than clinically recommended times (&gt;</w:t>
            </w:r>
            <w:r w:rsidR="00B561B0">
              <w:t xml:space="preserve"> </w:t>
            </w:r>
            <w:r w:rsidRPr="0098470E">
              <w:t xml:space="preserve">30 </w:t>
            </w:r>
            <w:r>
              <w:t>‘</w:t>
            </w:r>
            <w:r w:rsidRPr="0098470E">
              <w:t>ready for care days</w:t>
            </w:r>
            <w:r>
              <w:t>’</w:t>
            </w:r>
            <w:r w:rsidRPr="0098470E">
              <w:t xml:space="preserve"> for category 1, &gt;</w:t>
            </w:r>
            <w:r w:rsidR="00B561B0">
              <w:t xml:space="preserve"> </w:t>
            </w:r>
            <w:r w:rsidRPr="0098470E">
              <w:t xml:space="preserve">90 </w:t>
            </w:r>
            <w:r>
              <w:t>‘</w:t>
            </w:r>
            <w:r w:rsidRPr="0098470E">
              <w:t>ready for care days</w:t>
            </w:r>
            <w:r>
              <w:t>’</w:t>
            </w:r>
            <w:r w:rsidRPr="0098470E">
              <w:t xml:space="preserve"> for category 2, &gt;</w:t>
            </w:r>
            <w:r w:rsidR="00B561B0">
              <w:t xml:space="preserve"> </w:t>
            </w:r>
            <w:r w:rsidRPr="0098470E">
              <w:t xml:space="preserve">365 </w:t>
            </w:r>
            <w:r>
              <w:t>‘</w:t>
            </w:r>
            <w:r w:rsidRPr="0098470E">
              <w:t>ready for care days</w:t>
            </w:r>
            <w:r>
              <w:t>’</w:t>
            </w:r>
            <w:r w:rsidRPr="0098470E">
              <w:t xml:space="preserve"> for category 3).</w:t>
            </w:r>
          </w:p>
        </w:tc>
      </w:tr>
      <w:tr w:rsidR="00921922" w:rsidRPr="0098470E" w14:paraId="349788E2" w14:textId="77777777" w:rsidTr="000B4BF3">
        <w:trPr>
          <w:cantSplit/>
        </w:trPr>
        <w:tc>
          <w:tcPr>
            <w:tcW w:w="2581" w:type="dxa"/>
            <w:hideMark/>
          </w:tcPr>
          <w:p w14:paraId="2A761D8E" w14:textId="77777777" w:rsidR="00921922" w:rsidRPr="0098470E" w:rsidRDefault="00921922" w:rsidP="00603215">
            <w:pPr>
              <w:pStyle w:val="DHHStabletext"/>
            </w:pPr>
            <w:r w:rsidRPr="0098470E">
              <w:t>Denominator</w:t>
            </w:r>
          </w:p>
        </w:tc>
        <w:tc>
          <w:tcPr>
            <w:tcW w:w="6719" w:type="dxa"/>
            <w:hideMark/>
          </w:tcPr>
          <w:p w14:paraId="1058AAA7" w14:textId="77777777" w:rsidR="00921922" w:rsidRPr="0098470E" w:rsidRDefault="00921922" w:rsidP="00603215">
            <w:pPr>
              <w:pStyle w:val="DHHStabletext"/>
            </w:pPr>
            <w:r w:rsidRPr="0098470E">
              <w:t>Total number of patients on the Elective Surgery Waiting List (regardless of readiness status).</w:t>
            </w:r>
          </w:p>
        </w:tc>
      </w:tr>
      <w:tr w:rsidR="00921922" w:rsidRPr="0098470E" w14:paraId="754BD2CA" w14:textId="77777777" w:rsidTr="000B4BF3">
        <w:trPr>
          <w:cantSplit/>
        </w:trPr>
        <w:tc>
          <w:tcPr>
            <w:tcW w:w="2581" w:type="dxa"/>
          </w:tcPr>
          <w:p w14:paraId="346B1321" w14:textId="77777777" w:rsidR="00921922" w:rsidRPr="0098470E" w:rsidRDefault="00921922" w:rsidP="00603215">
            <w:pPr>
              <w:pStyle w:val="DHHStabletext"/>
            </w:pPr>
            <w:r w:rsidRPr="0098470E">
              <w:t>Statewide target</w:t>
            </w:r>
          </w:p>
        </w:tc>
        <w:tc>
          <w:tcPr>
            <w:tcW w:w="6719" w:type="dxa"/>
          </w:tcPr>
          <w:p w14:paraId="0AC9A857" w14:textId="77777777" w:rsidR="00921922" w:rsidRPr="0098470E" w:rsidRDefault="00921922" w:rsidP="00603215">
            <w:pPr>
              <w:pStyle w:val="DHHStabletext"/>
            </w:pPr>
            <w:r w:rsidRPr="0098470E">
              <w:t xml:space="preserve">5% </w:t>
            </w:r>
          </w:p>
        </w:tc>
      </w:tr>
      <w:tr w:rsidR="0017595B" w:rsidRPr="0098470E" w14:paraId="2FDEE622" w14:textId="77777777" w:rsidTr="0017595B">
        <w:trPr>
          <w:cantSplit/>
        </w:trPr>
        <w:tc>
          <w:tcPr>
            <w:tcW w:w="2581" w:type="dxa"/>
          </w:tcPr>
          <w:p w14:paraId="78E290A2" w14:textId="77777777" w:rsidR="0017595B" w:rsidRPr="0098470E" w:rsidRDefault="0017595B" w:rsidP="00603215">
            <w:pPr>
              <w:pStyle w:val="DHHStabletext"/>
            </w:pPr>
            <w:r w:rsidRPr="0098470E">
              <w:t xml:space="preserve">Achievement </w:t>
            </w:r>
          </w:p>
        </w:tc>
        <w:tc>
          <w:tcPr>
            <w:tcW w:w="6719" w:type="dxa"/>
          </w:tcPr>
          <w:p w14:paraId="26C494B0" w14:textId="3BEB9192" w:rsidR="0017595B" w:rsidRPr="0098470E" w:rsidRDefault="0017595B" w:rsidP="0017595B">
            <w:pPr>
              <w:pStyle w:val="DHHStabletext92mmtab"/>
              <w:rPr>
                <w:b/>
                <w:bCs/>
                <w:i/>
                <w:iCs/>
              </w:rPr>
            </w:pPr>
            <w:r>
              <w:t xml:space="preserve">Less than or equal to 5% </w:t>
            </w:r>
            <w:r w:rsidRPr="00F422FA">
              <w:rPr>
                <w:u w:val="single"/>
              </w:rPr>
              <w:t>OR</w:t>
            </w:r>
            <w:r>
              <w:rPr>
                <w:u w:val="single"/>
              </w:rPr>
              <w:t xml:space="preserve"> </w:t>
            </w:r>
            <w:r w:rsidRPr="0098470E">
              <w:t xml:space="preserve">if state wide target </w:t>
            </w:r>
            <w:r>
              <w:br/>
            </w:r>
            <w:r w:rsidRPr="0098470E">
              <w:t xml:space="preserve">not met, at least 15% proportional improvement </w:t>
            </w:r>
            <w:r>
              <w:br/>
            </w:r>
            <w:r w:rsidRPr="0098470E">
              <w:t>from prior year</w:t>
            </w:r>
            <w:r>
              <w:t xml:space="preserve"> as calculated at 30 June</w:t>
            </w:r>
            <w:r w:rsidR="00B561B0">
              <w:t>.</w:t>
            </w:r>
            <w:r>
              <w:tab/>
              <w:t>Achieved</w:t>
            </w:r>
          </w:p>
          <w:p w14:paraId="1A7FB211" w14:textId="33F5C40F" w:rsidR="0017595B" w:rsidRPr="0098470E" w:rsidRDefault="0017595B" w:rsidP="0017595B">
            <w:pPr>
              <w:pStyle w:val="DHHStabletext92mmtab"/>
              <w:rPr>
                <w:b/>
                <w:bCs/>
                <w:i/>
                <w:iCs/>
              </w:rPr>
            </w:pPr>
            <w:r w:rsidRPr="0098470E">
              <w:t>Greater than 5%</w:t>
            </w:r>
            <w:r>
              <w:t xml:space="preserve"> </w:t>
            </w:r>
            <w:r w:rsidRPr="00F422FA">
              <w:rPr>
                <w:u w:val="single"/>
              </w:rPr>
              <w:t>AND</w:t>
            </w:r>
            <w:r>
              <w:t xml:space="preserve"> </w:t>
            </w:r>
            <w:r w:rsidRPr="0098470E">
              <w:t xml:space="preserve">less than 15% proportional </w:t>
            </w:r>
            <w:r>
              <w:br/>
            </w:r>
            <w:r w:rsidRPr="0098470E">
              <w:t>improvement from prior year as calculated at 30 June</w:t>
            </w:r>
            <w:r w:rsidR="00B561B0">
              <w:t>.</w:t>
            </w:r>
            <w:r>
              <w:tab/>
              <w:t>Not achieved</w:t>
            </w:r>
          </w:p>
        </w:tc>
      </w:tr>
      <w:tr w:rsidR="00921922" w:rsidRPr="0098470E" w14:paraId="49C408E0" w14:textId="77777777" w:rsidTr="000B4BF3">
        <w:trPr>
          <w:cantSplit/>
        </w:trPr>
        <w:tc>
          <w:tcPr>
            <w:tcW w:w="2581" w:type="dxa"/>
          </w:tcPr>
          <w:p w14:paraId="4E0CA002" w14:textId="77777777" w:rsidR="00921922" w:rsidRPr="0098470E" w:rsidRDefault="00921922" w:rsidP="00603215">
            <w:pPr>
              <w:pStyle w:val="DHHStabletext"/>
            </w:pPr>
            <w:r>
              <w:lastRenderedPageBreak/>
              <w:t xml:space="preserve">Improvement </w:t>
            </w:r>
          </w:p>
        </w:tc>
        <w:tc>
          <w:tcPr>
            <w:tcW w:w="6719" w:type="dxa"/>
          </w:tcPr>
          <w:p w14:paraId="5563424B" w14:textId="77777777" w:rsidR="00921922" w:rsidRDefault="00921922" w:rsidP="00603215">
            <w:pPr>
              <w:pStyle w:val="DHHStabletext"/>
            </w:pPr>
            <w:r>
              <w:t>The 15 per cent proportional improvement from prior year (as indicated under the achievement section) is different to improvement achieved for the purpose of the risk assessment.</w:t>
            </w:r>
          </w:p>
          <w:p w14:paraId="5BF321B8" w14:textId="30336421" w:rsidR="00921922" w:rsidRDefault="00921922" w:rsidP="00603215">
            <w:pPr>
              <w:pStyle w:val="DHHStabletext"/>
            </w:pPr>
            <w:r>
              <w:t>The former denotes an alternative level of achievement calculated at the end of year and reflected in the Annual Report against the S</w:t>
            </w:r>
            <w:r w:rsidR="00BB11EF">
              <w:t>O</w:t>
            </w:r>
            <w:r>
              <w:t>P targets.</w:t>
            </w:r>
          </w:p>
          <w:p w14:paraId="19616DF5" w14:textId="3E950694" w:rsidR="00921922" w:rsidRDefault="00921922" w:rsidP="00603215">
            <w:pPr>
              <w:pStyle w:val="DHHStabletext"/>
            </w:pPr>
            <w:r>
              <w:t xml:space="preserve">Quarterly improvement for the purpose of the performance risk assessment is the proportional reduction in overdue patients compared to previous quarter. As such, for Q1 </w:t>
            </w:r>
            <w:r w:rsidR="00042A54">
              <w:t xml:space="preserve">(Year 2) </w:t>
            </w:r>
            <w:r>
              <w:t xml:space="preserve">this will be compared to Q4 </w:t>
            </w:r>
            <w:r w:rsidR="00042A54">
              <w:t>(Year 1)</w:t>
            </w:r>
            <w:r>
              <w:t xml:space="preserve">; Q2 </w:t>
            </w:r>
            <w:r w:rsidR="00042A54">
              <w:t>(Year 2)</w:t>
            </w:r>
            <w:r>
              <w:t xml:space="preserve"> to Q1 </w:t>
            </w:r>
            <w:r w:rsidR="00042A54">
              <w:t xml:space="preserve">(Year 2) </w:t>
            </w:r>
            <w:r>
              <w:t xml:space="preserve">and so on. </w:t>
            </w:r>
          </w:p>
        </w:tc>
      </w:tr>
      <w:tr w:rsidR="00921922" w:rsidRPr="0098470E" w14:paraId="48DE4139" w14:textId="77777777" w:rsidTr="000B4BF3">
        <w:trPr>
          <w:cantSplit/>
        </w:trPr>
        <w:tc>
          <w:tcPr>
            <w:tcW w:w="2581" w:type="dxa"/>
            <w:hideMark/>
          </w:tcPr>
          <w:p w14:paraId="00954E0C" w14:textId="77777777" w:rsidR="00921922" w:rsidRPr="0098470E" w:rsidRDefault="00921922" w:rsidP="00603215">
            <w:pPr>
              <w:pStyle w:val="DHHStabletext"/>
            </w:pPr>
            <w:r w:rsidRPr="0098470E">
              <w:t>Frequency of reporting and data collection</w:t>
            </w:r>
          </w:p>
        </w:tc>
        <w:tc>
          <w:tcPr>
            <w:tcW w:w="6719" w:type="dxa"/>
            <w:hideMark/>
          </w:tcPr>
          <w:p w14:paraId="7ADFDF93" w14:textId="77777777" w:rsidR="00921922" w:rsidRPr="0098470E" w:rsidRDefault="00921922" w:rsidP="00603215">
            <w:pPr>
              <w:pStyle w:val="DHHStabletext"/>
            </w:pPr>
            <w:r w:rsidRPr="0098470E">
              <w:t>Performance is monitored and assessed quarterly.</w:t>
            </w:r>
          </w:p>
          <w:p w14:paraId="7990F39A" w14:textId="77777777" w:rsidR="00921922" w:rsidRPr="0098470E" w:rsidRDefault="00921922" w:rsidP="00603215">
            <w:pPr>
              <w:pStyle w:val="DHHStabletext"/>
            </w:pPr>
            <w:r w:rsidRPr="0098470E">
              <w:t>Data is submitted by health services via ESIS.</w:t>
            </w:r>
          </w:p>
        </w:tc>
      </w:tr>
    </w:tbl>
    <w:p w14:paraId="74FE554B" w14:textId="77777777" w:rsidR="00F1426A" w:rsidRDefault="00F1426A">
      <w:pPr>
        <w:spacing w:after="200" w:line="276" w:lineRule="auto"/>
        <w:rPr>
          <w:rFonts w:ascii="Arial" w:hAnsi="Arial"/>
          <w:b/>
        </w:rPr>
      </w:pPr>
      <w:r>
        <w:br w:type="page"/>
      </w:r>
    </w:p>
    <w:p w14:paraId="780D1CA8" w14:textId="41946548" w:rsidR="00F12615" w:rsidRPr="00961723" w:rsidRDefault="00F12615" w:rsidP="00F12615">
      <w:pPr>
        <w:pStyle w:val="DHHStablecaption"/>
      </w:pPr>
      <w:r>
        <w:lastRenderedPageBreak/>
        <w:t xml:space="preserve">Indicator: </w:t>
      </w:r>
      <w:r w:rsidR="00101E11" w:rsidRPr="005B435A">
        <w:t>Number of patients admitted from the elective surgery waiting list</w:t>
      </w:r>
    </w:p>
    <w:tbl>
      <w:tblPr>
        <w:tblStyle w:val="TableGrid"/>
        <w:tblW w:w="9300" w:type="dxa"/>
        <w:tblLayout w:type="fixed"/>
        <w:tblLook w:val="06A0" w:firstRow="1" w:lastRow="0" w:firstColumn="1" w:lastColumn="0" w:noHBand="1" w:noVBand="1"/>
      </w:tblPr>
      <w:tblGrid>
        <w:gridCol w:w="2581"/>
        <w:gridCol w:w="6719"/>
      </w:tblGrid>
      <w:tr w:rsidR="00D97737" w:rsidRPr="0098470E" w14:paraId="2A323D41" w14:textId="77777777" w:rsidTr="00AD34FC">
        <w:trPr>
          <w:cnfStyle w:val="100000000000" w:firstRow="1" w:lastRow="0" w:firstColumn="0" w:lastColumn="0" w:oddVBand="0" w:evenVBand="0" w:oddHBand="0" w:evenHBand="0" w:firstRowFirstColumn="0" w:firstRowLastColumn="0" w:lastRowFirstColumn="0" w:lastRowLastColumn="0"/>
          <w:cantSplit/>
          <w:tblHeader/>
        </w:trPr>
        <w:tc>
          <w:tcPr>
            <w:tcW w:w="2581" w:type="dxa"/>
          </w:tcPr>
          <w:bookmarkEnd w:id="90"/>
          <w:bookmarkEnd w:id="91"/>
          <w:p w14:paraId="69E6ED69" w14:textId="49CC20C4" w:rsidR="00D97737" w:rsidRPr="005B435A" w:rsidRDefault="00D97737" w:rsidP="00D97737">
            <w:pPr>
              <w:pStyle w:val="DHHStablecolhead"/>
            </w:pPr>
            <w:r>
              <w:t>Element</w:t>
            </w:r>
          </w:p>
        </w:tc>
        <w:tc>
          <w:tcPr>
            <w:tcW w:w="6719" w:type="dxa"/>
          </w:tcPr>
          <w:p w14:paraId="5B2EB713" w14:textId="452A50DD" w:rsidR="00D97737" w:rsidRPr="005B435A" w:rsidRDefault="00D97737" w:rsidP="00D97737">
            <w:pPr>
              <w:pStyle w:val="DHHStablecolhead"/>
            </w:pPr>
            <w:r>
              <w:t>Details</w:t>
            </w:r>
          </w:p>
        </w:tc>
      </w:tr>
      <w:tr w:rsidR="00921922" w:rsidRPr="0098470E" w14:paraId="273BEF8A" w14:textId="77777777" w:rsidTr="00AD34FC">
        <w:trPr>
          <w:cantSplit/>
        </w:trPr>
        <w:tc>
          <w:tcPr>
            <w:tcW w:w="2581" w:type="dxa"/>
            <w:hideMark/>
          </w:tcPr>
          <w:p w14:paraId="6464A8EC" w14:textId="77777777" w:rsidR="00921922" w:rsidRPr="0098470E" w:rsidRDefault="00921922" w:rsidP="00603215">
            <w:pPr>
              <w:pStyle w:val="DHHStabletext"/>
            </w:pPr>
            <w:r w:rsidRPr="0098470E">
              <w:t>Description</w:t>
            </w:r>
          </w:p>
        </w:tc>
        <w:tc>
          <w:tcPr>
            <w:tcW w:w="6719" w:type="dxa"/>
            <w:hideMark/>
          </w:tcPr>
          <w:p w14:paraId="04B15C6D" w14:textId="77777777" w:rsidR="00921922" w:rsidRPr="0098470E" w:rsidRDefault="00921922" w:rsidP="00603215">
            <w:pPr>
              <w:pStyle w:val="DHHStabletext"/>
            </w:pPr>
            <w:r>
              <w:t>This indicator measures the stocks and flows of elective surgery patients and assists the understanding of the demand management of elective surgery patients.</w:t>
            </w:r>
          </w:p>
          <w:p w14:paraId="23336A49" w14:textId="77777777" w:rsidR="00921922" w:rsidRPr="0098470E" w:rsidRDefault="00921922" w:rsidP="00603215">
            <w:pPr>
              <w:pStyle w:val="DHHStabletext"/>
            </w:pPr>
            <w:r w:rsidRPr="0098470E">
              <w:t>Individual targets are negotiated with each health service. Targets for the number of patients admitted from the waiting list during each month are set at the health service level, rather than individual hospital level.</w:t>
            </w:r>
          </w:p>
          <w:p w14:paraId="06813E33" w14:textId="77777777" w:rsidR="00921922" w:rsidRPr="0098470E" w:rsidRDefault="00921922" w:rsidP="00603215">
            <w:pPr>
              <w:pStyle w:val="DHHStabletext"/>
            </w:pPr>
            <w:r w:rsidRPr="0098470E">
              <w:t>The phased targets set for individual health services reflect peaks in emergency demand and seasonal capacity limitations. To enable this indicator to be monitored on a monthly basis health services provide the department with phased monthly targets.</w:t>
            </w:r>
          </w:p>
        </w:tc>
      </w:tr>
      <w:tr w:rsidR="00921922" w:rsidRPr="0098470E" w14:paraId="27BFF7E3" w14:textId="77777777" w:rsidTr="00AD34FC">
        <w:trPr>
          <w:cantSplit/>
        </w:trPr>
        <w:tc>
          <w:tcPr>
            <w:tcW w:w="2581" w:type="dxa"/>
            <w:hideMark/>
          </w:tcPr>
          <w:p w14:paraId="41613FC6" w14:textId="77777777" w:rsidR="00921922" w:rsidRPr="0098470E" w:rsidRDefault="00921922" w:rsidP="00603215">
            <w:pPr>
              <w:pStyle w:val="DHHStabletext"/>
            </w:pPr>
            <w:r w:rsidRPr="0098470E">
              <w:t>Calculating performance</w:t>
            </w:r>
          </w:p>
        </w:tc>
        <w:tc>
          <w:tcPr>
            <w:tcW w:w="6719" w:type="dxa"/>
            <w:hideMark/>
          </w:tcPr>
          <w:p w14:paraId="4AD86313" w14:textId="77777777" w:rsidR="00921922" w:rsidRPr="0098470E" w:rsidRDefault="00921922" w:rsidP="00603215">
            <w:pPr>
              <w:pStyle w:val="DHHStabletext"/>
            </w:pPr>
            <w:r w:rsidRPr="0098470E">
              <w:t>The number of patients during the reporting period who have been admitted for the awaited procedure, or related procedure, that addresses the clinical condition for which they were added to the elective surgery waiting list.</w:t>
            </w:r>
          </w:p>
          <w:p w14:paraId="6A5DA911" w14:textId="6A5E8627" w:rsidR="00921922" w:rsidRPr="0098470E" w:rsidRDefault="00921922" w:rsidP="00603215">
            <w:pPr>
              <w:pStyle w:val="DHHStabletext"/>
            </w:pPr>
            <w:r w:rsidRPr="0098470E">
              <w:t xml:space="preserve">Only records assigned an ESIS </w:t>
            </w:r>
            <w:r w:rsidR="007E4A47">
              <w:t>intended procedure</w:t>
            </w:r>
            <w:r w:rsidR="009D46B4">
              <w:rPr>
                <w:rStyle w:val="FootnoteReference"/>
              </w:rPr>
              <w:footnoteReference w:id="17"/>
            </w:r>
            <w:r w:rsidRPr="0098470E">
              <w:t xml:space="preserve"> are used to assess this indicator.</w:t>
            </w:r>
          </w:p>
          <w:p w14:paraId="262BD0DC" w14:textId="77777777" w:rsidR="00921922" w:rsidRPr="0098470E" w:rsidRDefault="00921922" w:rsidP="00603215">
            <w:pPr>
              <w:pStyle w:val="DHHStabletext"/>
            </w:pPr>
            <w:r w:rsidRPr="0098470E">
              <w:t>Within ESIS data, a removal is counted as a planned admission if the removal date falls within the quarter being reported and the reason for removal is either:</w:t>
            </w:r>
          </w:p>
          <w:p w14:paraId="79F86009" w14:textId="77777777" w:rsidR="00921922" w:rsidRPr="0098470E" w:rsidRDefault="00921922" w:rsidP="00603215">
            <w:pPr>
              <w:pStyle w:val="DHHStablebullet1"/>
            </w:pPr>
            <w:r w:rsidRPr="0098470E">
              <w:t xml:space="preserve">W – </w:t>
            </w:r>
            <w:r>
              <w:t>a</w:t>
            </w:r>
            <w:r w:rsidRPr="0098470E">
              <w:t>dmitted to the intended campus and has received the awaited procedure</w:t>
            </w:r>
          </w:p>
          <w:p w14:paraId="48892A7C" w14:textId="77777777" w:rsidR="00921922" w:rsidRPr="0098470E" w:rsidRDefault="00921922" w:rsidP="00603215">
            <w:pPr>
              <w:pStyle w:val="DHHStablebullet1"/>
            </w:pPr>
            <w:r w:rsidRPr="0098470E">
              <w:t xml:space="preserve">S – </w:t>
            </w:r>
            <w:r>
              <w:t>a</w:t>
            </w:r>
            <w:r w:rsidRPr="0098470E">
              <w:t>dmitted to another campus arranged by ESAS and has received the awaited procedure</w:t>
            </w:r>
          </w:p>
          <w:p w14:paraId="512FC291" w14:textId="77777777" w:rsidR="00921922" w:rsidRPr="0098470E" w:rsidRDefault="00921922" w:rsidP="00603215">
            <w:pPr>
              <w:pStyle w:val="DHHStablebullet1"/>
            </w:pPr>
            <w:r w:rsidRPr="0098470E">
              <w:t xml:space="preserve">X – </w:t>
            </w:r>
            <w:r>
              <w:t>a</w:t>
            </w:r>
            <w:r w:rsidRPr="0098470E">
              <w:t>dmitted to another campus arranged by this campus/health service and has received the awaited procedure under other contract or similar arrangement</w:t>
            </w:r>
            <w:r>
              <w:t>.</w:t>
            </w:r>
          </w:p>
          <w:p w14:paraId="3048279E" w14:textId="77777777" w:rsidR="00921922" w:rsidRPr="0098470E" w:rsidRDefault="00921922" w:rsidP="00603215">
            <w:pPr>
              <w:pStyle w:val="DHHStabletext"/>
            </w:pPr>
            <w:r w:rsidRPr="0098470E">
              <w:t>Planned admissions have a narrower range of removal codes than the codes used for the indicators dealing with the percentage of patients removed within time.</w:t>
            </w:r>
          </w:p>
          <w:p w14:paraId="5B24A44D" w14:textId="77777777" w:rsidR="00921922" w:rsidRPr="0098470E" w:rsidRDefault="00921922" w:rsidP="00603215">
            <w:pPr>
              <w:pStyle w:val="DHHStabletext"/>
            </w:pPr>
            <w:r w:rsidRPr="0098470E">
              <w:t xml:space="preserve">This indicator </w:t>
            </w:r>
            <w:r>
              <w:t>is expressed as a whole number.</w:t>
            </w:r>
          </w:p>
        </w:tc>
      </w:tr>
      <w:tr w:rsidR="00921922" w:rsidRPr="0098470E" w14:paraId="1A43E2DE" w14:textId="77777777" w:rsidTr="00AD34FC">
        <w:trPr>
          <w:cantSplit/>
        </w:trPr>
        <w:tc>
          <w:tcPr>
            <w:tcW w:w="2581" w:type="dxa"/>
            <w:hideMark/>
          </w:tcPr>
          <w:p w14:paraId="0A95981C" w14:textId="77777777" w:rsidR="00921922" w:rsidRPr="0098470E" w:rsidRDefault="00921922" w:rsidP="00603215">
            <w:pPr>
              <w:pStyle w:val="DHHStabletext"/>
            </w:pPr>
            <w:r w:rsidRPr="0098470E">
              <w:t>Numerator</w:t>
            </w:r>
          </w:p>
        </w:tc>
        <w:tc>
          <w:tcPr>
            <w:tcW w:w="6719" w:type="dxa"/>
            <w:hideMark/>
          </w:tcPr>
          <w:p w14:paraId="27F91914" w14:textId="17987D36" w:rsidR="00921922" w:rsidRPr="0098470E" w:rsidRDefault="00921922" w:rsidP="00603215">
            <w:pPr>
              <w:pStyle w:val="DHHStabletext"/>
              <w:rPr>
                <w:lang w:val="en-US"/>
              </w:rPr>
            </w:pPr>
            <w:r w:rsidRPr="0098470E">
              <w:t>Number of admitted patients</w:t>
            </w:r>
            <w:r w:rsidR="00131427">
              <w:t>.</w:t>
            </w:r>
            <w:r w:rsidRPr="0098470E">
              <w:t xml:space="preserve"> </w:t>
            </w:r>
          </w:p>
        </w:tc>
      </w:tr>
      <w:tr w:rsidR="00921922" w:rsidRPr="0098470E" w14:paraId="010FFBB7" w14:textId="77777777" w:rsidTr="00AD34FC">
        <w:trPr>
          <w:cantSplit/>
        </w:trPr>
        <w:tc>
          <w:tcPr>
            <w:tcW w:w="2581" w:type="dxa"/>
            <w:hideMark/>
          </w:tcPr>
          <w:p w14:paraId="396326E1" w14:textId="77777777" w:rsidR="00921922" w:rsidRPr="0098470E" w:rsidRDefault="00921922" w:rsidP="00603215">
            <w:pPr>
              <w:pStyle w:val="DHHStabletext"/>
            </w:pPr>
            <w:r w:rsidRPr="0098470E">
              <w:t>Target</w:t>
            </w:r>
          </w:p>
        </w:tc>
        <w:tc>
          <w:tcPr>
            <w:tcW w:w="6719" w:type="dxa"/>
            <w:hideMark/>
          </w:tcPr>
          <w:p w14:paraId="2BD7637A" w14:textId="5456FCB6" w:rsidR="00921922" w:rsidRPr="0098470E" w:rsidRDefault="00921922" w:rsidP="00603215">
            <w:pPr>
              <w:pStyle w:val="DHHStabletext"/>
              <w:rPr>
                <w:lang w:val="en-US"/>
              </w:rPr>
            </w:pPr>
            <w:r w:rsidRPr="0098470E">
              <w:t xml:space="preserve">Specific health service target as agreed in the </w:t>
            </w:r>
            <w:r w:rsidR="00131427">
              <w:t>SOP.</w:t>
            </w:r>
          </w:p>
        </w:tc>
      </w:tr>
      <w:tr w:rsidR="00921922" w:rsidRPr="0098470E" w14:paraId="5F05845E" w14:textId="77777777" w:rsidTr="00AD34FC">
        <w:trPr>
          <w:cantSplit/>
        </w:trPr>
        <w:tc>
          <w:tcPr>
            <w:tcW w:w="2581" w:type="dxa"/>
            <w:hideMark/>
          </w:tcPr>
          <w:p w14:paraId="5D385E64" w14:textId="77777777" w:rsidR="00921922" w:rsidRPr="0098470E" w:rsidRDefault="00921922" w:rsidP="00603215">
            <w:pPr>
              <w:pStyle w:val="DHHStabletext"/>
            </w:pPr>
            <w:r w:rsidRPr="0098470E">
              <w:t>Achievement</w:t>
            </w:r>
          </w:p>
        </w:tc>
        <w:tc>
          <w:tcPr>
            <w:tcW w:w="6719" w:type="dxa"/>
            <w:hideMark/>
          </w:tcPr>
          <w:p w14:paraId="568A0409" w14:textId="77777777" w:rsidR="00921922" w:rsidRPr="0098470E" w:rsidRDefault="00921922" w:rsidP="00603215">
            <w:pPr>
              <w:pStyle w:val="DHHStabletext"/>
            </w:pPr>
            <w:r>
              <w:t>A</w:t>
            </w:r>
            <w:r w:rsidRPr="0098470E">
              <w:t>chieved</w:t>
            </w:r>
          </w:p>
          <w:p w14:paraId="07C9AD2E" w14:textId="77777777" w:rsidR="00921922" w:rsidRPr="0098470E" w:rsidRDefault="00921922" w:rsidP="00603215">
            <w:pPr>
              <w:pStyle w:val="DHHStabletext"/>
            </w:pPr>
            <w:r>
              <w:t>N</w:t>
            </w:r>
            <w:r w:rsidRPr="0098470E">
              <w:t>ot achieved</w:t>
            </w:r>
          </w:p>
        </w:tc>
      </w:tr>
      <w:tr w:rsidR="00921922" w:rsidRPr="0098470E" w14:paraId="48962585" w14:textId="77777777" w:rsidTr="00AD34FC">
        <w:trPr>
          <w:cantSplit/>
        </w:trPr>
        <w:tc>
          <w:tcPr>
            <w:tcW w:w="2581" w:type="dxa"/>
            <w:hideMark/>
          </w:tcPr>
          <w:p w14:paraId="71B3EF00" w14:textId="77777777" w:rsidR="00921922" w:rsidRPr="0098470E" w:rsidRDefault="00921922" w:rsidP="00603215">
            <w:pPr>
              <w:pStyle w:val="DHHStabletext"/>
            </w:pPr>
            <w:r>
              <w:t xml:space="preserve">Improvement </w:t>
            </w:r>
          </w:p>
        </w:tc>
        <w:tc>
          <w:tcPr>
            <w:tcW w:w="6719" w:type="dxa"/>
            <w:hideMark/>
          </w:tcPr>
          <w:p w14:paraId="1EE4BF93" w14:textId="77777777" w:rsidR="00921922" w:rsidRPr="0098470E" w:rsidRDefault="00921922" w:rsidP="00603215">
            <w:pPr>
              <w:pStyle w:val="DHHStabletext"/>
            </w:pPr>
            <w:r>
              <w:t xml:space="preserve">For the purpose of the performance risk assessment, improvement is assessed quarterly based on performance against phased targets, compared to previous quarter performance. </w:t>
            </w:r>
          </w:p>
        </w:tc>
      </w:tr>
      <w:tr w:rsidR="00921922" w:rsidRPr="0098470E" w14:paraId="319E0A07" w14:textId="77777777" w:rsidTr="00AD34FC">
        <w:trPr>
          <w:cantSplit/>
        </w:trPr>
        <w:tc>
          <w:tcPr>
            <w:tcW w:w="2581" w:type="dxa"/>
            <w:hideMark/>
          </w:tcPr>
          <w:p w14:paraId="432A4538" w14:textId="77777777" w:rsidR="00921922" w:rsidRPr="0098470E" w:rsidRDefault="00921922" w:rsidP="00603215">
            <w:pPr>
              <w:pStyle w:val="DHHStabletext"/>
            </w:pPr>
            <w:r w:rsidRPr="0098470E">
              <w:t>Frequency of reporting and data collection</w:t>
            </w:r>
          </w:p>
        </w:tc>
        <w:tc>
          <w:tcPr>
            <w:tcW w:w="6719" w:type="dxa"/>
            <w:hideMark/>
          </w:tcPr>
          <w:p w14:paraId="47AE5062" w14:textId="77777777" w:rsidR="00921922" w:rsidRPr="0098470E" w:rsidRDefault="00921922" w:rsidP="00603215">
            <w:pPr>
              <w:pStyle w:val="DHHStabletext"/>
            </w:pPr>
            <w:r w:rsidRPr="0098470E">
              <w:t>Performance is monitored and assessed monthly. In addition to monthly monitoring, a performance result is generated annually based on the full year data.</w:t>
            </w:r>
          </w:p>
          <w:p w14:paraId="054E8DAE" w14:textId="618B899D" w:rsidR="00921922" w:rsidRPr="0098470E" w:rsidRDefault="00921922" w:rsidP="00603215">
            <w:pPr>
              <w:pStyle w:val="DHHStabletext"/>
            </w:pPr>
            <w:r w:rsidRPr="0098470E">
              <w:t xml:space="preserve">Data is submitted by health services via ESIS. Refer to the </w:t>
            </w:r>
            <w:r w:rsidR="00BB11EF">
              <w:rPr>
                <w:i/>
              </w:rPr>
              <w:t>P</w:t>
            </w:r>
            <w:r w:rsidR="00BB11EF" w:rsidRPr="0098470E">
              <w:rPr>
                <w:i/>
              </w:rPr>
              <w:t xml:space="preserve">olicy and </w:t>
            </w:r>
            <w:r w:rsidR="00BB11EF">
              <w:rPr>
                <w:i/>
              </w:rPr>
              <w:t>F</w:t>
            </w:r>
            <w:r w:rsidR="00BB11EF" w:rsidRPr="0098470E">
              <w:rPr>
                <w:i/>
              </w:rPr>
              <w:t xml:space="preserve">unding </w:t>
            </w:r>
            <w:r w:rsidR="00BB11EF">
              <w:rPr>
                <w:i/>
              </w:rPr>
              <w:t>G</w:t>
            </w:r>
            <w:r w:rsidR="00BB11EF" w:rsidRPr="0098470E">
              <w:rPr>
                <w:i/>
              </w:rPr>
              <w:t>uidelines</w:t>
            </w:r>
            <w:r>
              <w:rPr>
                <w:i/>
              </w:rPr>
              <w:t xml:space="preserve"> </w:t>
            </w:r>
            <w:r w:rsidRPr="0098470E">
              <w:t>for further information on ESIS data submission timelines.</w:t>
            </w:r>
          </w:p>
        </w:tc>
      </w:tr>
    </w:tbl>
    <w:p w14:paraId="4F0326CE" w14:textId="412B3CE1" w:rsidR="00F12615" w:rsidRPr="00961723" w:rsidRDefault="00F12615" w:rsidP="00F12615">
      <w:pPr>
        <w:pStyle w:val="DHHStablecaption"/>
      </w:pPr>
      <w:r>
        <w:lastRenderedPageBreak/>
        <w:t xml:space="preserve">Indicator: </w:t>
      </w:r>
      <w:r w:rsidR="00101E11" w:rsidRPr="00357D86">
        <w:t xml:space="preserve">Number of </w:t>
      </w:r>
      <w:r w:rsidR="00D62491" w:rsidRPr="00357D86">
        <w:t>hospital-initiated</w:t>
      </w:r>
      <w:r w:rsidR="00101E11" w:rsidRPr="00357D86">
        <w:t xml:space="preserve"> postponements </w:t>
      </w:r>
      <w:r w:rsidR="00101E11">
        <w:t xml:space="preserve">made within 28 days of a </w:t>
      </w:r>
      <w:r w:rsidR="00101E11" w:rsidRPr="00357D86">
        <w:t>scheduled elective surgery admissions</w:t>
      </w:r>
      <w:r w:rsidR="00101E11">
        <w:t xml:space="preserve"> per 100</w:t>
      </w:r>
    </w:p>
    <w:tbl>
      <w:tblPr>
        <w:tblStyle w:val="TableGrid"/>
        <w:tblW w:w="9300" w:type="dxa"/>
        <w:tblLayout w:type="fixed"/>
        <w:tblLook w:val="06A0" w:firstRow="1" w:lastRow="0" w:firstColumn="1" w:lastColumn="0" w:noHBand="1" w:noVBand="1"/>
      </w:tblPr>
      <w:tblGrid>
        <w:gridCol w:w="2291"/>
        <w:gridCol w:w="7009"/>
      </w:tblGrid>
      <w:tr w:rsidR="00D97737" w14:paraId="14E5F64F" w14:textId="77777777" w:rsidTr="00AD34FC">
        <w:trPr>
          <w:cnfStyle w:val="100000000000" w:firstRow="1" w:lastRow="0" w:firstColumn="0" w:lastColumn="0" w:oddVBand="0" w:evenVBand="0" w:oddHBand="0" w:evenHBand="0" w:firstRowFirstColumn="0" w:firstRowLastColumn="0" w:lastRowFirstColumn="0" w:lastRowLastColumn="0"/>
          <w:cantSplit/>
          <w:tblHeader/>
        </w:trPr>
        <w:tc>
          <w:tcPr>
            <w:tcW w:w="2291" w:type="dxa"/>
          </w:tcPr>
          <w:p w14:paraId="16EC52FA" w14:textId="330B9AC7" w:rsidR="00D97737" w:rsidRDefault="00D97737" w:rsidP="00D97737">
            <w:pPr>
              <w:pStyle w:val="DHHStablecolhead"/>
            </w:pPr>
            <w:r>
              <w:t>Element</w:t>
            </w:r>
          </w:p>
        </w:tc>
        <w:tc>
          <w:tcPr>
            <w:tcW w:w="7009" w:type="dxa"/>
          </w:tcPr>
          <w:p w14:paraId="0337F606" w14:textId="57087121" w:rsidR="00D97737" w:rsidRDefault="00D97737" w:rsidP="00D97737">
            <w:pPr>
              <w:pStyle w:val="DHHStablecolhead"/>
            </w:pPr>
            <w:r>
              <w:t>Details</w:t>
            </w:r>
          </w:p>
        </w:tc>
      </w:tr>
      <w:tr w:rsidR="00921922" w14:paraId="2FB32688" w14:textId="77777777" w:rsidTr="00AD34FC">
        <w:trPr>
          <w:cantSplit/>
        </w:trPr>
        <w:tc>
          <w:tcPr>
            <w:tcW w:w="2291" w:type="dxa"/>
            <w:hideMark/>
          </w:tcPr>
          <w:p w14:paraId="5526FC08" w14:textId="77777777" w:rsidR="00921922" w:rsidRDefault="00921922" w:rsidP="00603215">
            <w:pPr>
              <w:pStyle w:val="DHHStabletext"/>
            </w:pPr>
            <w:r>
              <w:t>Description</w:t>
            </w:r>
          </w:p>
        </w:tc>
        <w:tc>
          <w:tcPr>
            <w:tcW w:w="7009" w:type="dxa"/>
            <w:hideMark/>
          </w:tcPr>
          <w:p w14:paraId="539FACC0" w14:textId="77777777" w:rsidR="00921922" w:rsidRDefault="00921922" w:rsidP="00603215">
            <w:pPr>
              <w:pStyle w:val="DHHStabletext"/>
            </w:pPr>
            <w:r w:rsidRPr="00357D86">
              <w:t xml:space="preserve">This indicator measures the number of hospital-initiated postponements (HiPs) </w:t>
            </w:r>
            <w:r w:rsidRPr="00C953F2">
              <w:t xml:space="preserve">that occur within </w:t>
            </w:r>
            <w:r>
              <w:t>28 days</w:t>
            </w:r>
            <w:r w:rsidRPr="00C953F2">
              <w:t xml:space="preserve"> of a scheduled elective surgery admission </w:t>
            </w:r>
            <w:r w:rsidRPr="00357D86">
              <w:t>experienced by elective sur</w:t>
            </w:r>
            <w:r>
              <w:t>gery patients during a quarter.</w:t>
            </w:r>
          </w:p>
        </w:tc>
      </w:tr>
      <w:tr w:rsidR="00921922" w14:paraId="6B929C1F" w14:textId="77777777" w:rsidTr="00AD34FC">
        <w:trPr>
          <w:cantSplit/>
        </w:trPr>
        <w:tc>
          <w:tcPr>
            <w:tcW w:w="2291" w:type="dxa"/>
            <w:hideMark/>
          </w:tcPr>
          <w:p w14:paraId="06D9EEA6" w14:textId="77777777" w:rsidR="00921922" w:rsidRDefault="00921922" w:rsidP="00603215">
            <w:pPr>
              <w:pStyle w:val="DHHStabletext"/>
            </w:pPr>
            <w:r>
              <w:t>Calculating performance</w:t>
            </w:r>
          </w:p>
        </w:tc>
        <w:tc>
          <w:tcPr>
            <w:tcW w:w="7009" w:type="dxa"/>
            <w:hideMark/>
          </w:tcPr>
          <w:p w14:paraId="71A51577" w14:textId="3604B266" w:rsidR="00921922" w:rsidRDefault="00921922" w:rsidP="00603215">
            <w:pPr>
              <w:pStyle w:val="DHHStabletext"/>
            </w:pPr>
            <w:r>
              <w:t>Only records assigned a</w:t>
            </w:r>
            <w:r w:rsidR="00F9540A">
              <w:t xml:space="preserve">n intended </w:t>
            </w:r>
            <w:r>
              <w:t>procedure</w:t>
            </w:r>
            <w:r w:rsidR="009D46B4">
              <w:rPr>
                <w:rStyle w:val="FootnoteReference"/>
              </w:rPr>
              <w:footnoteReference w:id="18"/>
            </w:r>
            <w:r>
              <w:t xml:space="preserve"> code used to assess this indicator.</w:t>
            </w:r>
          </w:p>
          <w:p w14:paraId="65357B27" w14:textId="77777777" w:rsidR="00921922" w:rsidRPr="00357D86" w:rsidRDefault="00921922" w:rsidP="00603215">
            <w:pPr>
              <w:spacing w:before="80" w:after="60"/>
              <w:rPr>
                <w:rFonts w:ascii="Arial" w:hAnsi="Arial"/>
              </w:rPr>
            </w:pPr>
            <w:r w:rsidRPr="00357D86">
              <w:rPr>
                <w:rFonts w:ascii="Arial" w:hAnsi="Arial"/>
              </w:rPr>
              <w:t xml:space="preserve">All HiPs </w:t>
            </w:r>
            <w:r>
              <w:rPr>
                <w:rFonts w:ascii="Arial" w:hAnsi="Arial"/>
              </w:rPr>
              <w:t xml:space="preserve">that occur within 28 days of a scheduled elective surgery admission </w:t>
            </w:r>
            <w:r w:rsidRPr="00357D86">
              <w:rPr>
                <w:rFonts w:ascii="Arial" w:hAnsi="Arial"/>
              </w:rPr>
              <w:t xml:space="preserve">within the quarter will impact on performance regardless of whether the patient is </w:t>
            </w:r>
            <w:r>
              <w:rPr>
                <w:rFonts w:ascii="Arial" w:hAnsi="Arial"/>
              </w:rPr>
              <w:t>‘</w:t>
            </w:r>
            <w:r w:rsidRPr="00357D86">
              <w:rPr>
                <w:rFonts w:ascii="Arial" w:hAnsi="Arial"/>
              </w:rPr>
              <w:t>ready for surgery</w:t>
            </w:r>
            <w:r>
              <w:rPr>
                <w:rFonts w:ascii="Arial" w:hAnsi="Arial"/>
              </w:rPr>
              <w:t>’</w:t>
            </w:r>
            <w:r w:rsidRPr="00357D86">
              <w:rPr>
                <w:rFonts w:ascii="Arial" w:hAnsi="Arial"/>
              </w:rPr>
              <w:t xml:space="preserve">, </w:t>
            </w:r>
            <w:r>
              <w:rPr>
                <w:rFonts w:ascii="Arial" w:hAnsi="Arial"/>
              </w:rPr>
              <w:t>‘</w:t>
            </w:r>
            <w:r w:rsidRPr="00357D86">
              <w:rPr>
                <w:rFonts w:ascii="Arial" w:hAnsi="Arial"/>
              </w:rPr>
              <w:t>not ready for surgery – staged patients</w:t>
            </w:r>
            <w:r>
              <w:rPr>
                <w:rFonts w:ascii="Arial" w:hAnsi="Arial"/>
              </w:rPr>
              <w:t>’</w:t>
            </w:r>
            <w:r w:rsidRPr="00357D86">
              <w:rPr>
                <w:rFonts w:ascii="Arial" w:hAnsi="Arial"/>
              </w:rPr>
              <w:t xml:space="preserve">, </w:t>
            </w:r>
            <w:r>
              <w:rPr>
                <w:rFonts w:ascii="Arial" w:hAnsi="Arial"/>
              </w:rPr>
              <w:t>‘</w:t>
            </w:r>
            <w:r w:rsidRPr="00357D86">
              <w:rPr>
                <w:rFonts w:ascii="Arial" w:hAnsi="Arial"/>
              </w:rPr>
              <w:t>not ready for surgery – pending improvement of clinical condition</w:t>
            </w:r>
            <w:r>
              <w:rPr>
                <w:rFonts w:ascii="Arial" w:hAnsi="Arial"/>
              </w:rPr>
              <w:t>’</w:t>
            </w:r>
            <w:r w:rsidRPr="00357D86">
              <w:rPr>
                <w:rFonts w:ascii="Arial" w:hAnsi="Arial"/>
              </w:rPr>
              <w:t xml:space="preserve">, </w:t>
            </w:r>
            <w:r>
              <w:rPr>
                <w:rFonts w:ascii="Arial" w:hAnsi="Arial"/>
              </w:rPr>
              <w:t>‘</w:t>
            </w:r>
            <w:r w:rsidRPr="00357D86">
              <w:rPr>
                <w:rFonts w:ascii="Arial" w:hAnsi="Arial"/>
              </w:rPr>
              <w:t>not ready for surgery – deferred for personal reasons</w:t>
            </w:r>
            <w:r>
              <w:rPr>
                <w:rFonts w:ascii="Arial" w:hAnsi="Arial"/>
              </w:rPr>
              <w:t>’</w:t>
            </w:r>
            <w:r w:rsidRPr="00357D86">
              <w:rPr>
                <w:rFonts w:ascii="Arial" w:hAnsi="Arial"/>
              </w:rPr>
              <w:t xml:space="preserve"> or has been removed from the waiting list.</w:t>
            </w:r>
          </w:p>
          <w:p w14:paraId="4FC269FF" w14:textId="77777777" w:rsidR="00921922" w:rsidRDefault="00921922" w:rsidP="00603215">
            <w:pPr>
              <w:pStyle w:val="DHHStabletext"/>
            </w:pPr>
            <w:r>
              <w:t>HiPs are counted for the quarter in which they actually occur, even if the procedure being postponed was scheduled for a different quarter.</w:t>
            </w:r>
          </w:p>
          <w:p w14:paraId="70694BE0" w14:textId="77777777" w:rsidR="00921922" w:rsidRDefault="00921922" w:rsidP="00603215">
            <w:pPr>
              <w:pStyle w:val="DHHStabletext"/>
            </w:pPr>
            <w:r>
              <w:t>A postponement is hospital-initiated if the reason for the scheduled admission date change in ESIS is recorded as:</w:t>
            </w:r>
          </w:p>
          <w:p w14:paraId="1290D454" w14:textId="77777777" w:rsidR="00921922" w:rsidRDefault="00921922" w:rsidP="00603215">
            <w:pPr>
              <w:pStyle w:val="DHHStablebullet1"/>
            </w:pPr>
            <w:r>
              <w:t>100 – surgeon unavailable</w:t>
            </w:r>
          </w:p>
          <w:p w14:paraId="592E490B" w14:textId="77777777" w:rsidR="00921922" w:rsidRDefault="00921922" w:rsidP="00603215">
            <w:pPr>
              <w:pStyle w:val="DHHStablebullet1"/>
            </w:pPr>
            <w:r>
              <w:t>101 – surgical unit initiated</w:t>
            </w:r>
          </w:p>
          <w:p w14:paraId="5FB5237B" w14:textId="77777777" w:rsidR="00921922" w:rsidRDefault="00921922" w:rsidP="00603215">
            <w:pPr>
              <w:pStyle w:val="DHHStablebullet1"/>
            </w:pPr>
            <w:r>
              <w:t>102 – hospital staff unavailable</w:t>
            </w:r>
          </w:p>
          <w:p w14:paraId="431F0285" w14:textId="77777777" w:rsidR="00921922" w:rsidRDefault="00921922" w:rsidP="00603215">
            <w:pPr>
              <w:pStyle w:val="DHHStablebullet1"/>
            </w:pPr>
            <w:r>
              <w:t>103 – ward bed unavailable</w:t>
            </w:r>
          </w:p>
          <w:p w14:paraId="17B0842E" w14:textId="77777777" w:rsidR="00921922" w:rsidRDefault="00921922" w:rsidP="00603215">
            <w:pPr>
              <w:pStyle w:val="DHHStablebullet1"/>
            </w:pPr>
            <w:r>
              <w:t>104 – critical care bed unavailable</w:t>
            </w:r>
          </w:p>
          <w:p w14:paraId="69CBA6B6" w14:textId="77777777" w:rsidR="00921922" w:rsidRDefault="00921922" w:rsidP="00603215">
            <w:pPr>
              <w:pStyle w:val="DHHStablebullet1"/>
            </w:pPr>
            <w:r>
              <w:t>105 – equipment unavailable</w:t>
            </w:r>
          </w:p>
          <w:p w14:paraId="44C77154" w14:textId="77777777" w:rsidR="00921922" w:rsidRDefault="00921922" w:rsidP="00603215">
            <w:pPr>
              <w:pStyle w:val="DHHStablebullet1"/>
            </w:pPr>
            <w:r>
              <w:t>106 – theatre overbooked</w:t>
            </w:r>
          </w:p>
          <w:p w14:paraId="32537BDB" w14:textId="77777777" w:rsidR="00921922" w:rsidRDefault="00921922" w:rsidP="00603215">
            <w:pPr>
              <w:pStyle w:val="DHHStablebullet1"/>
            </w:pPr>
            <w:r>
              <w:t>108 – emergency priority</w:t>
            </w:r>
          </w:p>
          <w:p w14:paraId="47C36051" w14:textId="77777777" w:rsidR="00921922" w:rsidRDefault="00921922" w:rsidP="00603215">
            <w:pPr>
              <w:pStyle w:val="DHHStablebullet1"/>
            </w:pPr>
            <w:r>
              <w:t>109 – elective priority</w:t>
            </w:r>
          </w:p>
          <w:p w14:paraId="2D52E283" w14:textId="77777777" w:rsidR="00921922" w:rsidRDefault="00921922" w:rsidP="00603215">
            <w:pPr>
              <w:pStyle w:val="DHHStablebullet1"/>
            </w:pPr>
            <w:r>
              <w:t>110 – hospital or surgeon has not prepared patient</w:t>
            </w:r>
          </w:p>
          <w:p w14:paraId="5FC88252" w14:textId="77777777" w:rsidR="00921922" w:rsidRDefault="00921922" w:rsidP="00603215">
            <w:pPr>
              <w:pStyle w:val="DHHStablebullet1"/>
            </w:pPr>
            <w:r>
              <w:t>111 – clerical or booking error.</w:t>
            </w:r>
          </w:p>
          <w:p w14:paraId="2A3C6F9D" w14:textId="77777777" w:rsidR="00921922" w:rsidRDefault="00921922" w:rsidP="00603215">
            <w:pPr>
              <w:pStyle w:val="DHHStabletext"/>
            </w:pPr>
            <w:r>
              <w:t>This indicator is rounded to one decimal place (0.05 is rounded up).</w:t>
            </w:r>
          </w:p>
        </w:tc>
      </w:tr>
      <w:tr w:rsidR="00921922" w14:paraId="38B54EA5" w14:textId="77777777" w:rsidTr="00AD34FC">
        <w:trPr>
          <w:cantSplit/>
        </w:trPr>
        <w:tc>
          <w:tcPr>
            <w:tcW w:w="2291" w:type="dxa"/>
            <w:hideMark/>
          </w:tcPr>
          <w:p w14:paraId="727C330A" w14:textId="77777777" w:rsidR="00921922" w:rsidRDefault="00921922" w:rsidP="00603215">
            <w:pPr>
              <w:pStyle w:val="DHHStabletext"/>
            </w:pPr>
            <w:r>
              <w:t>Numerator</w:t>
            </w:r>
          </w:p>
        </w:tc>
        <w:tc>
          <w:tcPr>
            <w:tcW w:w="7009" w:type="dxa"/>
            <w:hideMark/>
          </w:tcPr>
          <w:p w14:paraId="21BF087C" w14:textId="4D53C9D4" w:rsidR="00921922" w:rsidRDefault="00921922" w:rsidP="00603215">
            <w:pPr>
              <w:pStyle w:val="DHHStabletext"/>
              <w:rPr>
                <w:lang w:val="en-US"/>
              </w:rPr>
            </w:pPr>
            <w:r w:rsidRPr="00357D86">
              <w:t xml:space="preserve">Number of HiPs </w:t>
            </w:r>
            <w:r w:rsidRPr="00C953F2">
              <w:t xml:space="preserve">that occur within </w:t>
            </w:r>
            <w:r>
              <w:t xml:space="preserve">28 days </w:t>
            </w:r>
            <w:r w:rsidRPr="00C953F2">
              <w:t xml:space="preserve">of a scheduled elective surgery admission </w:t>
            </w:r>
            <w:r w:rsidRPr="00357D86">
              <w:t>within the quarter</w:t>
            </w:r>
            <w:r w:rsidR="003E212C">
              <w:t>.</w:t>
            </w:r>
          </w:p>
        </w:tc>
      </w:tr>
      <w:tr w:rsidR="00921922" w14:paraId="73E7CFBA" w14:textId="77777777" w:rsidTr="00AD34FC">
        <w:trPr>
          <w:cantSplit/>
        </w:trPr>
        <w:tc>
          <w:tcPr>
            <w:tcW w:w="2291" w:type="dxa"/>
            <w:hideMark/>
          </w:tcPr>
          <w:p w14:paraId="1E96E25D" w14:textId="77777777" w:rsidR="00921922" w:rsidRDefault="00921922" w:rsidP="00603215">
            <w:pPr>
              <w:pStyle w:val="DHHStabletext"/>
            </w:pPr>
            <w:r>
              <w:t>Denominator</w:t>
            </w:r>
          </w:p>
        </w:tc>
        <w:tc>
          <w:tcPr>
            <w:tcW w:w="7009" w:type="dxa"/>
            <w:hideMark/>
          </w:tcPr>
          <w:p w14:paraId="1D76DC22" w14:textId="6163FFA1" w:rsidR="00921922" w:rsidRDefault="00921922" w:rsidP="00603215">
            <w:pPr>
              <w:pStyle w:val="DHHStabletext"/>
            </w:pPr>
            <w:r>
              <w:t>Number of procedures scheduled to occur in the quarter, regardless of whether the procedure actually takes place</w:t>
            </w:r>
            <w:r w:rsidR="003E212C">
              <w:t>.</w:t>
            </w:r>
            <w:r>
              <w:t xml:space="preserve"> </w:t>
            </w:r>
          </w:p>
        </w:tc>
      </w:tr>
      <w:tr w:rsidR="00921922" w14:paraId="3128434C" w14:textId="77777777" w:rsidTr="00AD34FC">
        <w:trPr>
          <w:cantSplit/>
        </w:trPr>
        <w:tc>
          <w:tcPr>
            <w:tcW w:w="2291" w:type="dxa"/>
            <w:hideMark/>
          </w:tcPr>
          <w:p w14:paraId="1F19086F" w14:textId="77777777" w:rsidR="00921922" w:rsidRDefault="00921922" w:rsidP="00603215">
            <w:pPr>
              <w:pStyle w:val="DHHStabletext"/>
            </w:pPr>
            <w:r>
              <w:t>State-wide target</w:t>
            </w:r>
          </w:p>
        </w:tc>
        <w:tc>
          <w:tcPr>
            <w:tcW w:w="7009" w:type="dxa"/>
            <w:hideMark/>
          </w:tcPr>
          <w:p w14:paraId="1E655987" w14:textId="73C6BD4E" w:rsidR="00921922" w:rsidRDefault="00921922" w:rsidP="00603215">
            <w:pPr>
              <w:pStyle w:val="DHHStabletext"/>
              <w:rPr>
                <w:lang w:val="en-US"/>
              </w:rPr>
            </w:pPr>
            <w:r>
              <w:t>7</w:t>
            </w:r>
            <w:r w:rsidRPr="00357D86">
              <w:t xml:space="preserve"> per 100 scheduled admissions</w:t>
            </w:r>
            <w:r w:rsidR="003E212C">
              <w:t>.</w:t>
            </w:r>
          </w:p>
        </w:tc>
      </w:tr>
      <w:tr w:rsidR="0017595B" w14:paraId="0CA12AEB" w14:textId="77777777" w:rsidTr="0017595B">
        <w:trPr>
          <w:cantSplit/>
        </w:trPr>
        <w:tc>
          <w:tcPr>
            <w:tcW w:w="2291" w:type="dxa"/>
            <w:hideMark/>
          </w:tcPr>
          <w:p w14:paraId="70AA7760" w14:textId="77777777" w:rsidR="0017595B" w:rsidRDefault="0017595B" w:rsidP="00603215">
            <w:pPr>
              <w:pStyle w:val="DHHStabletext"/>
            </w:pPr>
            <w:r>
              <w:t>Achievement</w:t>
            </w:r>
          </w:p>
        </w:tc>
        <w:tc>
          <w:tcPr>
            <w:tcW w:w="7009" w:type="dxa"/>
          </w:tcPr>
          <w:p w14:paraId="40471026" w14:textId="5ECAD8F9" w:rsidR="0017595B" w:rsidRDefault="0017595B" w:rsidP="0017595B">
            <w:pPr>
              <w:pStyle w:val="DHHStabletext92mmtab"/>
            </w:pPr>
            <w:r w:rsidRPr="00846315">
              <w:t xml:space="preserve">Less than or equal to </w:t>
            </w:r>
            <w:r>
              <w:t>7</w:t>
            </w:r>
            <w:r w:rsidRPr="00846315">
              <w:t xml:space="preserve"> per 100 scheduled admissions</w:t>
            </w:r>
            <w:r>
              <w:tab/>
              <w:t>Achieved</w:t>
            </w:r>
          </w:p>
          <w:p w14:paraId="197084BE" w14:textId="465A22FF" w:rsidR="0017595B" w:rsidRDefault="0017595B" w:rsidP="0017595B">
            <w:pPr>
              <w:pStyle w:val="DHHStabletext92mmtab"/>
            </w:pPr>
            <w:r w:rsidRPr="00846315">
              <w:t xml:space="preserve">Greater than </w:t>
            </w:r>
            <w:r>
              <w:t>7</w:t>
            </w:r>
            <w:r w:rsidRPr="00846315">
              <w:t xml:space="preserve"> per 100 scheduled admissions</w:t>
            </w:r>
            <w:r>
              <w:tab/>
              <w:t>Not Achieved</w:t>
            </w:r>
          </w:p>
        </w:tc>
      </w:tr>
      <w:tr w:rsidR="00921922" w14:paraId="41EF3942" w14:textId="77777777" w:rsidTr="00AD34FC">
        <w:trPr>
          <w:cantSplit/>
        </w:trPr>
        <w:tc>
          <w:tcPr>
            <w:tcW w:w="2291" w:type="dxa"/>
            <w:hideMark/>
          </w:tcPr>
          <w:p w14:paraId="48EB5F80" w14:textId="77777777" w:rsidR="00921922" w:rsidRDefault="00921922" w:rsidP="00603215">
            <w:pPr>
              <w:pStyle w:val="DHHStabletext"/>
            </w:pPr>
            <w:r>
              <w:t>Frequency of reporting and data collection</w:t>
            </w:r>
          </w:p>
        </w:tc>
        <w:tc>
          <w:tcPr>
            <w:tcW w:w="7009" w:type="dxa"/>
            <w:hideMark/>
          </w:tcPr>
          <w:p w14:paraId="08BB8A38" w14:textId="77777777" w:rsidR="00921922" w:rsidRDefault="00921922" w:rsidP="00603215">
            <w:pPr>
              <w:pStyle w:val="DHHStabletext"/>
            </w:pPr>
            <w:r>
              <w:t>Performance is monitored and assessed quarterly. In addition to the monthly monitoring, a performance result is generated annually based on full year data.</w:t>
            </w:r>
          </w:p>
          <w:p w14:paraId="1DB23C38" w14:textId="77777777" w:rsidR="00921922" w:rsidRDefault="00921922" w:rsidP="00603215">
            <w:pPr>
              <w:pStyle w:val="DHHStabletext"/>
            </w:pPr>
            <w:r>
              <w:t>This indicator is measured at the health service level. Where a health service has multiple campuses, the aggregate for all campuses is used.</w:t>
            </w:r>
          </w:p>
          <w:p w14:paraId="59BCFAD2" w14:textId="3C3CA62F" w:rsidR="00921922" w:rsidRDefault="00921922" w:rsidP="00603215">
            <w:pPr>
              <w:pStyle w:val="DHHStabletext"/>
            </w:pPr>
            <w:r>
              <w:t xml:space="preserve">Data is submitted by health services via ESIS. Refer to the </w:t>
            </w:r>
            <w:r w:rsidR="00217BF9">
              <w:rPr>
                <w:i/>
              </w:rPr>
              <w:t>Policy and Funding Guidelines</w:t>
            </w:r>
            <w:r w:rsidR="00217BF9" w:rsidRPr="0098470E">
              <w:rPr>
                <w:i/>
              </w:rPr>
              <w:t xml:space="preserve"> </w:t>
            </w:r>
            <w:r>
              <w:t>for further information on ESIS data submission timelines.</w:t>
            </w:r>
          </w:p>
        </w:tc>
      </w:tr>
    </w:tbl>
    <w:p w14:paraId="3B73ECF4" w14:textId="77777777" w:rsidR="00921922" w:rsidRDefault="00921922" w:rsidP="008B435F">
      <w:pPr>
        <w:pStyle w:val="Heading4"/>
      </w:pPr>
      <w:bookmarkStart w:id="102" w:name="_Toc517959142"/>
      <w:bookmarkStart w:id="103" w:name="_Toc15580097"/>
      <w:r w:rsidRPr="0098470E">
        <w:lastRenderedPageBreak/>
        <w:t>Specialist clinics</w:t>
      </w:r>
      <w:bookmarkEnd w:id="102"/>
      <w:bookmarkEnd w:id="103"/>
    </w:p>
    <w:p w14:paraId="6956116C" w14:textId="7DC02739" w:rsidR="00921922" w:rsidRDefault="00921922" w:rsidP="00921922">
      <w:pPr>
        <w:pStyle w:val="DHHSbody"/>
      </w:pPr>
      <w:r w:rsidRPr="00DC275F">
        <w:t xml:space="preserve">Specialist clinic performance indicators aim to encourage improved performance in managing access for patients who </w:t>
      </w:r>
      <w:r>
        <w:t xml:space="preserve">are referred to a specialist </w:t>
      </w:r>
      <w:r w:rsidRPr="00DC275F">
        <w:t>clinic</w:t>
      </w:r>
      <w:r>
        <w:t xml:space="preserve"> by a </w:t>
      </w:r>
      <w:r w:rsidR="00AF0FB9">
        <w:t>general practitioner (</w:t>
      </w:r>
      <w:r>
        <w:t>GP</w:t>
      </w:r>
      <w:r w:rsidR="00AF0FB9">
        <w:t>)</w:t>
      </w:r>
      <w:r>
        <w:t xml:space="preserve"> or external specialist.</w:t>
      </w:r>
      <w:r w:rsidRPr="00DC275F">
        <w:t xml:space="preserve"> Management of patient referrals to specialist clinics, including allocation of appointments</w:t>
      </w:r>
      <w:r w:rsidR="00AF0FB9">
        <w:t>,</w:t>
      </w:r>
      <w:r w:rsidRPr="00DC275F">
        <w:t xml:space="preserve"> should be provided in accordance with </w:t>
      </w:r>
      <w:r w:rsidRPr="00554C1C">
        <w:t>the</w:t>
      </w:r>
      <w:r w:rsidRPr="000213C5">
        <w:rPr>
          <w:i/>
        </w:rPr>
        <w:t xml:space="preserve"> Specialist clinics in Victorian public hospitals: access policy</w:t>
      </w:r>
      <w:r w:rsidRPr="00DC275F">
        <w:t xml:space="preserve"> (201</w:t>
      </w:r>
      <w:r>
        <w:t>3</w:t>
      </w:r>
      <w:r w:rsidRPr="00DC275F">
        <w:t>)</w:t>
      </w:r>
      <w:r w:rsidR="00AF0FB9">
        <w:t>.</w:t>
      </w:r>
      <w:r>
        <w:rPr>
          <w:rStyle w:val="FootnoteReference"/>
        </w:rPr>
        <w:footnoteReference w:id="19"/>
      </w:r>
    </w:p>
    <w:p w14:paraId="3D2185CB" w14:textId="68DCD54D" w:rsidR="00F12615" w:rsidRPr="00961723" w:rsidRDefault="00F12615" w:rsidP="00F12615">
      <w:pPr>
        <w:pStyle w:val="DHHStablecaption"/>
      </w:pPr>
      <w:r>
        <w:t xml:space="preserve">Indicator: </w:t>
      </w:r>
      <w:r w:rsidR="00101E11" w:rsidRPr="005B435A">
        <w:t xml:space="preserve">Proportion of urgent patients referred by a GP or external specialist who attended a first appointment </w:t>
      </w:r>
      <w:r w:rsidR="00101E11">
        <w:t>within 30 days</w:t>
      </w:r>
    </w:p>
    <w:tbl>
      <w:tblPr>
        <w:tblStyle w:val="TableGrid"/>
        <w:tblW w:w="9300" w:type="dxa"/>
        <w:tblLayout w:type="fixed"/>
        <w:tblLook w:val="06A0" w:firstRow="1" w:lastRow="0" w:firstColumn="1" w:lastColumn="0" w:noHBand="1" w:noVBand="1"/>
      </w:tblPr>
      <w:tblGrid>
        <w:gridCol w:w="2552"/>
        <w:gridCol w:w="6748"/>
      </w:tblGrid>
      <w:tr w:rsidR="00D97737" w:rsidRPr="0098470E" w14:paraId="10BA782B"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0F890B07" w14:textId="0F6421C7" w:rsidR="00D97737" w:rsidRPr="005B435A" w:rsidRDefault="00D97737" w:rsidP="00D97737">
            <w:pPr>
              <w:pStyle w:val="DHHStablecolhead"/>
            </w:pPr>
            <w:r>
              <w:t>Element</w:t>
            </w:r>
          </w:p>
        </w:tc>
        <w:tc>
          <w:tcPr>
            <w:tcW w:w="6748" w:type="dxa"/>
          </w:tcPr>
          <w:p w14:paraId="1778CF6E" w14:textId="690B001C" w:rsidR="00D97737" w:rsidRPr="005B435A" w:rsidRDefault="00D97737" w:rsidP="00D97737">
            <w:pPr>
              <w:pStyle w:val="DHHStablecolhead"/>
            </w:pPr>
            <w:r>
              <w:t>Details</w:t>
            </w:r>
          </w:p>
        </w:tc>
      </w:tr>
      <w:tr w:rsidR="00921922" w:rsidRPr="0098470E" w14:paraId="657B8297" w14:textId="77777777" w:rsidTr="00A32829">
        <w:trPr>
          <w:cantSplit/>
        </w:trPr>
        <w:tc>
          <w:tcPr>
            <w:tcW w:w="2552" w:type="dxa"/>
            <w:hideMark/>
          </w:tcPr>
          <w:p w14:paraId="5CA0CEDA" w14:textId="77777777" w:rsidR="00921922" w:rsidRPr="00DC275F" w:rsidRDefault="00921922" w:rsidP="00603215">
            <w:pPr>
              <w:pStyle w:val="DHHStabletext"/>
            </w:pPr>
            <w:r w:rsidRPr="00DC275F">
              <w:t>Description</w:t>
            </w:r>
          </w:p>
        </w:tc>
        <w:tc>
          <w:tcPr>
            <w:tcW w:w="6748" w:type="dxa"/>
            <w:hideMark/>
          </w:tcPr>
          <w:p w14:paraId="202C7B1B" w14:textId="799CBA82" w:rsidR="00921922" w:rsidRPr="00DC275F" w:rsidRDefault="00921922" w:rsidP="00603215">
            <w:pPr>
              <w:pStyle w:val="DHHStabletext"/>
            </w:pPr>
            <w:r w:rsidRPr="00DC275F">
              <w:t xml:space="preserve">The indicator monitors the proportion of urgent patients referred by a GP or external specialist who attended a first appointment within 30 days of </w:t>
            </w:r>
            <w:r w:rsidR="00D13D7C">
              <w:t xml:space="preserve">the </w:t>
            </w:r>
            <w:r w:rsidRPr="00DC275F">
              <w:t>referral.</w:t>
            </w:r>
          </w:p>
        </w:tc>
      </w:tr>
      <w:tr w:rsidR="00921922" w:rsidRPr="0098470E" w14:paraId="2160874F" w14:textId="77777777" w:rsidTr="00A32829">
        <w:trPr>
          <w:cantSplit/>
        </w:trPr>
        <w:tc>
          <w:tcPr>
            <w:tcW w:w="2552" w:type="dxa"/>
          </w:tcPr>
          <w:p w14:paraId="4E4DB525" w14:textId="77777777" w:rsidR="00921922" w:rsidRPr="00DC275F" w:rsidRDefault="00921922" w:rsidP="00603215">
            <w:pPr>
              <w:pStyle w:val="DHHStabletext"/>
            </w:pPr>
            <w:r w:rsidRPr="00DC275F">
              <w:t>Calculating performance</w:t>
            </w:r>
          </w:p>
        </w:tc>
        <w:tc>
          <w:tcPr>
            <w:tcW w:w="6748" w:type="dxa"/>
          </w:tcPr>
          <w:p w14:paraId="162B2190" w14:textId="77777777" w:rsidR="00921922" w:rsidRPr="00DC275F" w:rsidRDefault="00921922" w:rsidP="00603215">
            <w:pPr>
              <w:pStyle w:val="DHHStabletext"/>
            </w:pPr>
            <w:r w:rsidRPr="00DC275F">
              <w:t>Specialist clinic referrals that have been clinically prioritised as urgent are used to assess this indicator.</w:t>
            </w:r>
          </w:p>
          <w:p w14:paraId="0FB351FB" w14:textId="5F17EA47" w:rsidR="00921922" w:rsidRPr="00DC275F" w:rsidRDefault="00921922" w:rsidP="00603215">
            <w:pPr>
              <w:pStyle w:val="DHHStabletext"/>
            </w:pPr>
            <w:r w:rsidRPr="00DC275F">
              <w:t xml:space="preserve">The indicator includes all patients referred from either a GP or external </w:t>
            </w:r>
            <w:r>
              <w:t>s</w:t>
            </w:r>
            <w:r w:rsidRPr="00DC275F">
              <w:t>pecialist who attended a first appointment during or had a first appointment booked</w:t>
            </w:r>
            <w:r w:rsidR="007B3E7F">
              <w:t xml:space="preserve"> date</w:t>
            </w:r>
            <w:r w:rsidRPr="00DC275F">
              <w:t xml:space="preserve"> before the end of the reporting period.</w:t>
            </w:r>
          </w:p>
          <w:p w14:paraId="6D5CB44A" w14:textId="77777777" w:rsidR="00921922" w:rsidRDefault="00921922" w:rsidP="00603215">
            <w:pPr>
              <w:pStyle w:val="DHHStabletext"/>
            </w:pPr>
            <w:r w:rsidRPr="00DC275F">
              <w:t xml:space="preserve">This indicator includes those patients with a scheduled appointment but </w:t>
            </w:r>
            <w:r>
              <w:t>failed to</w:t>
            </w:r>
            <w:r w:rsidRPr="00DC275F">
              <w:t xml:space="preserve"> attend.</w:t>
            </w:r>
          </w:p>
          <w:p w14:paraId="187D7E3C" w14:textId="77777777" w:rsidR="00921922" w:rsidRPr="00E320B9" w:rsidRDefault="00921922" w:rsidP="00603215">
            <w:pPr>
              <w:pStyle w:val="DHHStabletext"/>
              <w:rPr>
                <w:color w:val="000000" w:themeColor="text1"/>
                <w:u w:val="dotted"/>
              </w:rPr>
            </w:pPr>
            <w:r w:rsidRPr="00DC275F">
              <w:t>The waiting time for a first appointment is the number of days between the Referral in Received Date and the Contact Date/Time or First Appointment Booked Date, whichever occurs first.</w:t>
            </w:r>
          </w:p>
        </w:tc>
      </w:tr>
      <w:tr w:rsidR="00921922" w:rsidRPr="0098470E" w14:paraId="32BB4B5C" w14:textId="77777777" w:rsidTr="00A32829">
        <w:trPr>
          <w:cantSplit/>
        </w:trPr>
        <w:tc>
          <w:tcPr>
            <w:tcW w:w="2552" w:type="dxa"/>
            <w:hideMark/>
          </w:tcPr>
          <w:p w14:paraId="0F33AE6E" w14:textId="77777777" w:rsidR="00921922" w:rsidRPr="00DC275F" w:rsidRDefault="00921922" w:rsidP="00603215">
            <w:pPr>
              <w:pStyle w:val="DHHStabletext"/>
            </w:pPr>
            <w:r w:rsidRPr="00DC275F">
              <w:t>Numerator</w:t>
            </w:r>
          </w:p>
        </w:tc>
        <w:tc>
          <w:tcPr>
            <w:tcW w:w="6748" w:type="dxa"/>
            <w:hideMark/>
          </w:tcPr>
          <w:p w14:paraId="4CB76570" w14:textId="33839BF5" w:rsidR="00921922" w:rsidRPr="00DC275F" w:rsidRDefault="00921922" w:rsidP="00603215">
            <w:pPr>
              <w:pStyle w:val="DHHStabletext"/>
            </w:pPr>
            <w:r w:rsidRPr="00DC275F">
              <w:t xml:space="preserve">The number of urgent patients referred by a GP or external </w:t>
            </w:r>
            <w:r w:rsidR="00252457">
              <w:t>s</w:t>
            </w:r>
            <w:r w:rsidRPr="00DC275F">
              <w:t>pecialist, who waited 30 calendar days or less for a first appointment, or first appointment booked date before the end of the reporting period.</w:t>
            </w:r>
          </w:p>
        </w:tc>
      </w:tr>
      <w:tr w:rsidR="00921922" w:rsidRPr="0098470E" w14:paraId="71DE2F22" w14:textId="77777777" w:rsidTr="00A32829">
        <w:trPr>
          <w:cantSplit/>
        </w:trPr>
        <w:tc>
          <w:tcPr>
            <w:tcW w:w="2552" w:type="dxa"/>
            <w:hideMark/>
          </w:tcPr>
          <w:p w14:paraId="5646E1CF" w14:textId="77777777" w:rsidR="00921922" w:rsidRPr="00DC275F" w:rsidRDefault="00921922" w:rsidP="00603215">
            <w:pPr>
              <w:pStyle w:val="DHHStabletext"/>
            </w:pPr>
            <w:r w:rsidRPr="00DC275F">
              <w:t>Denominator</w:t>
            </w:r>
          </w:p>
        </w:tc>
        <w:tc>
          <w:tcPr>
            <w:tcW w:w="6748" w:type="dxa"/>
            <w:hideMark/>
          </w:tcPr>
          <w:p w14:paraId="7851B6C9" w14:textId="78E1BE77" w:rsidR="00921922" w:rsidRPr="00DC275F" w:rsidRDefault="00921922" w:rsidP="00603215">
            <w:pPr>
              <w:pStyle w:val="DHHStabletext"/>
            </w:pPr>
            <w:r w:rsidRPr="00DC275F">
              <w:t>The number of all urgent patients referred by a GP or external Specialist, who attended a first appointment</w:t>
            </w:r>
            <w:r w:rsidR="00252457">
              <w:t>,</w:t>
            </w:r>
            <w:r w:rsidRPr="00DC275F">
              <w:t xml:space="preserve"> or had a first appointment booked date</w:t>
            </w:r>
            <w:r w:rsidR="00252457">
              <w:t>,</w:t>
            </w:r>
            <w:r w:rsidRPr="00DC275F">
              <w:t xml:space="preserve"> before the end of the reporting period.</w:t>
            </w:r>
          </w:p>
        </w:tc>
      </w:tr>
      <w:tr w:rsidR="00921922" w:rsidRPr="0098470E" w14:paraId="5392596E" w14:textId="77777777" w:rsidTr="00A32829">
        <w:trPr>
          <w:cantSplit/>
        </w:trPr>
        <w:tc>
          <w:tcPr>
            <w:tcW w:w="2552" w:type="dxa"/>
          </w:tcPr>
          <w:p w14:paraId="73C31DC4" w14:textId="77777777" w:rsidR="00921922" w:rsidRPr="00DC275F" w:rsidRDefault="00921922" w:rsidP="00603215">
            <w:pPr>
              <w:pStyle w:val="DHHStabletext"/>
            </w:pPr>
            <w:r w:rsidRPr="00DC275F">
              <w:t>Statewide target</w:t>
            </w:r>
          </w:p>
        </w:tc>
        <w:tc>
          <w:tcPr>
            <w:tcW w:w="6748" w:type="dxa"/>
          </w:tcPr>
          <w:p w14:paraId="1F59D022" w14:textId="77777777" w:rsidR="00921922" w:rsidRPr="00DC275F" w:rsidRDefault="00921922" w:rsidP="00603215">
            <w:pPr>
              <w:pStyle w:val="DHHStabletext"/>
            </w:pPr>
            <w:r w:rsidRPr="00DC275F">
              <w:t>100%</w:t>
            </w:r>
          </w:p>
        </w:tc>
      </w:tr>
      <w:tr w:rsidR="0017595B" w:rsidRPr="0098470E" w14:paraId="2E28A6F8" w14:textId="77777777" w:rsidTr="0017595B">
        <w:trPr>
          <w:cantSplit/>
        </w:trPr>
        <w:tc>
          <w:tcPr>
            <w:tcW w:w="2552" w:type="dxa"/>
          </w:tcPr>
          <w:p w14:paraId="307DA9D4" w14:textId="77777777" w:rsidR="0017595B" w:rsidRPr="00DC275F" w:rsidRDefault="0017595B" w:rsidP="00603215">
            <w:pPr>
              <w:pStyle w:val="DHHStabletext"/>
            </w:pPr>
            <w:r w:rsidRPr="00DC275F">
              <w:t>Achievement</w:t>
            </w:r>
          </w:p>
        </w:tc>
        <w:tc>
          <w:tcPr>
            <w:tcW w:w="6748" w:type="dxa"/>
          </w:tcPr>
          <w:p w14:paraId="0F84197B" w14:textId="20B6A673" w:rsidR="0017595B" w:rsidRPr="00DC275F" w:rsidRDefault="0017595B" w:rsidP="0017595B">
            <w:pPr>
              <w:pStyle w:val="DHHStabletext92mmtab"/>
            </w:pPr>
            <w:r w:rsidRPr="00DC275F">
              <w:t>Equal to 100%</w:t>
            </w:r>
            <w:r>
              <w:tab/>
              <w:t>Achieved</w:t>
            </w:r>
          </w:p>
          <w:p w14:paraId="05F8A042" w14:textId="4C604A81" w:rsidR="0017595B" w:rsidRPr="00DC275F" w:rsidRDefault="0017595B" w:rsidP="0017595B">
            <w:pPr>
              <w:pStyle w:val="DHHStabletext92mmtab"/>
            </w:pPr>
            <w:r w:rsidRPr="00DC275F">
              <w:t>Less than 100%</w:t>
            </w:r>
            <w:r>
              <w:tab/>
              <w:t>Not achieved</w:t>
            </w:r>
          </w:p>
        </w:tc>
      </w:tr>
      <w:tr w:rsidR="00921922" w:rsidRPr="0098470E" w14:paraId="3EDC6746" w14:textId="77777777" w:rsidTr="00A32829">
        <w:trPr>
          <w:cantSplit/>
        </w:trPr>
        <w:tc>
          <w:tcPr>
            <w:tcW w:w="2552" w:type="dxa"/>
          </w:tcPr>
          <w:p w14:paraId="6CBD92FB" w14:textId="77777777" w:rsidR="00921922" w:rsidRPr="0098470E" w:rsidRDefault="00921922" w:rsidP="00603215">
            <w:pPr>
              <w:pStyle w:val="DHHStabletext"/>
            </w:pPr>
            <w:r>
              <w:t>Improvement</w:t>
            </w:r>
          </w:p>
        </w:tc>
        <w:tc>
          <w:tcPr>
            <w:tcW w:w="6748" w:type="dxa"/>
          </w:tcPr>
          <w:p w14:paraId="3FBC88E4" w14:textId="77777777" w:rsidR="00921922" w:rsidRDefault="00921922" w:rsidP="00603215">
            <w:pPr>
              <w:pStyle w:val="DHHStabletext"/>
            </w:pPr>
            <w:r>
              <w:t xml:space="preserve">For the purpose of the performance risk assessment, improvement </w:t>
            </w:r>
            <w:r w:rsidRPr="0098470E">
              <w:t>is compared to same time last year performance.</w:t>
            </w:r>
          </w:p>
        </w:tc>
      </w:tr>
      <w:tr w:rsidR="00921922" w:rsidRPr="0098470E" w14:paraId="11EBA3DD" w14:textId="77777777" w:rsidTr="00A32829">
        <w:trPr>
          <w:cantSplit/>
        </w:trPr>
        <w:tc>
          <w:tcPr>
            <w:tcW w:w="2552" w:type="dxa"/>
            <w:hideMark/>
          </w:tcPr>
          <w:p w14:paraId="2872B71B" w14:textId="77777777" w:rsidR="00921922" w:rsidRPr="00DC275F" w:rsidRDefault="00921922" w:rsidP="00603215">
            <w:pPr>
              <w:pStyle w:val="DHHStabletext"/>
            </w:pPr>
            <w:r w:rsidRPr="00DC275F">
              <w:t>Frequency of reporting and data collection</w:t>
            </w:r>
          </w:p>
        </w:tc>
        <w:tc>
          <w:tcPr>
            <w:tcW w:w="6748" w:type="dxa"/>
            <w:hideMark/>
          </w:tcPr>
          <w:p w14:paraId="53E75602" w14:textId="77777777" w:rsidR="00921922" w:rsidRDefault="00921922" w:rsidP="00603215">
            <w:pPr>
              <w:pStyle w:val="DHHStabletext"/>
            </w:pPr>
            <w:r w:rsidRPr="00DC275F">
              <w:t>Performance is monitored and assessed monthly.</w:t>
            </w:r>
          </w:p>
          <w:p w14:paraId="6CDB6457" w14:textId="77777777" w:rsidR="00921922" w:rsidRDefault="00921922" w:rsidP="00603215">
            <w:pPr>
              <w:pStyle w:val="DHHStabletext"/>
            </w:pPr>
            <w:r w:rsidRPr="00DC275F">
              <w:t xml:space="preserve">Data is submitted by health services via VINAH. </w:t>
            </w:r>
          </w:p>
          <w:p w14:paraId="37A540BD" w14:textId="77777777" w:rsidR="00921922" w:rsidRDefault="00921922" w:rsidP="00603215">
            <w:pPr>
              <w:pStyle w:val="DHHStabletext"/>
            </w:pPr>
            <w:r w:rsidRPr="00DC275F">
              <w:t>Submission date: Health services are encouraged to submit data as often as desired, so long as a minimum of one submission is made for each reference month no later than 5pm on the 10th day of the following reference month.</w:t>
            </w:r>
          </w:p>
          <w:p w14:paraId="59B15220" w14:textId="77777777" w:rsidR="00921922" w:rsidRDefault="00921922" w:rsidP="00603215">
            <w:pPr>
              <w:pStyle w:val="DHHStabletext"/>
            </w:pPr>
            <w:r w:rsidRPr="00DC275F">
              <w:t>Clean date: All errors are to be cleared by the 14th day of the following month, or the preceding working day if the 14th falls on a weekend or public holiday.</w:t>
            </w:r>
          </w:p>
          <w:p w14:paraId="02A869B3" w14:textId="5B02CAA3" w:rsidR="00921922" w:rsidRPr="00DC275F" w:rsidRDefault="00921922" w:rsidP="00603215">
            <w:pPr>
              <w:pStyle w:val="DHHStabletext"/>
            </w:pPr>
            <w:r w:rsidRPr="00DC275F">
              <w:t xml:space="preserve">End of financial year consolidation: All errors for </w:t>
            </w:r>
            <w:r>
              <w:t>the financial year</w:t>
            </w:r>
            <w:r w:rsidRPr="00DC275F">
              <w:t xml:space="preserve"> must be corrected and resubmitted before consolidation of the VINAH database on the date advised in the </w:t>
            </w:r>
            <w:r w:rsidR="00BC327F">
              <w:rPr>
                <w:i/>
              </w:rPr>
              <w:t>Policy and Funding Guidelines</w:t>
            </w:r>
            <w:r w:rsidR="00BC327F" w:rsidRPr="00554C1C">
              <w:t>.</w:t>
            </w:r>
          </w:p>
        </w:tc>
      </w:tr>
    </w:tbl>
    <w:p w14:paraId="17FA12BB" w14:textId="00BCF3A0" w:rsidR="00921922" w:rsidRDefault="00F12615" w:rsidP="00F12615">
      <w:pPr>
        <w:pStyle w:val="DHHStablecaption"/>
      </w:pPr>
      <w:r>
        <w:lastRenderedPageBreak/>
        <w:t xml:space="preserve">Indicator: </w:t>
      </w:r>
      <w:r w:rsidR="00101E11" w:rsidRPr="005B435A">
        <w:t xml:space="preserve">Proportion of routine patients referred by a GP or external specialist who attended a first appointment </w:t>
      </w:r>
      <w:r w:rsidR="00101E11">
        <w:t>within 365 days</w:t>
      </w:r>
    </w:p>
    <w:tbl>
      <w:tblPr>
        <w:tblStyle w:val="TableGrid"/>
        <w:tblW w:w="9300" w:type="dxa"/>
        <w:tblLayout w:type="fixed"/>
        <w:tblLook w:val="06A0" w:firstRow="1" w:lastRow="0" w:firstColumn="1" w:lastColumn="0" w:noHBand="1" w:noVBand="1"/>
      </w:tblPr>
      <w:tblGrid>
        <w:gridCol w:w="2552"/>
        <w:gridCol w:w="6748"/>
      </w:tblGrid>
      <w:tr w:rsidR="00D97737" w:rsidRPr="0098470E" w14:paraId="76B766E2"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6FAD5850" w14:textId="0DFB046A" w:rsidR="00D97737" w:rsidRPr="005B435A" w:rsidRDefault="00D97737" w:rsidP="00D97737">
            <w:pPr>
              <w:pStyle w:val="DHHStablecolhead"/>
            </w:pPr>
            <w:r>
              <w:t>Element</w:t>
            </w:r>
          </w:p>
        </w:tc>
        <w:tc>
          <w:tcPr>
            <w:tcW w:w="6748" w:type="dxa"/>
          </w:tcPr>
          <w:p w14:paraId="6821E0BB" w14:textId="792D4C31" w:rsidR="00D97737" w:rsidRPr="005B435A" w:rsidRDefault="00D97737" w:rsidP="00D97737">
            <w:pPr>
              <w:pStyle w:val="DHHStablecolhead"/>
            </w:pPr>
            <w:r>
              <w:t>Details</w:t>
            </w:r>
          </w:p>
        </w:tc>
      </w:tr>
      <w:tr w:rsidR="00921922" w:rsidRPr="0098470E" w14:paraId="6361B462" w14:textId="77777777" w:rsidTr="00A32829">
        <w:trPr>
          <w:cantSplit/>
        </w:trPr>
        <w:tc>
          <w:tcPr>
            <w:tcW w:w="2552" w:type="dxa"/>
            <w:hideMark/>
          </w:tcPr>
          <w:p w14:paraId="74F2DD17" w14:textId="77777777" w:rsidR="00921922" w:rsidRPr="0098470E" w:rsidRDefault="00921922" w:rsidP="00603215">
            <w:pPr>
              <w:pStyle w:val="DHHStabletext"/>
            </w:pPr>
            <w:r w:rsidRPr="0098470E">
              <w:t>Description</w:t>
            </w:r>
          </w:p>
        </w:tc>
        <w:tc>
          <w:tcPr>
            <w:tcW w:w="6748" w:type="dxa"/>
            <w:hideMark/>
          </w:tcPr>
          <w:p w14:paraId="2418B843" w14:textId="77777777" w:rsidR="00921922" w:rsidRPr="0098470E" w:rsidRDefault="00921922" w:rsidP="00603215">
            <w:pPr>
              <w:pStyle w:val="DHHStabletext"/>
            </w:pPr>
            <w:r w:rsidRPr="0098470E">
              <w:t xml:space="preserve">The indicator monitors the proportion of routine patients referred by a GP or external specialist who attended a first appointment within 365 days of referral. </w:t>
            </w:r>
          </w:p>
        </w:tc>
      </w:tr>
      <w:tr w:rsidR="00921922" w:rsidRPr="0098470E" w14:paraId="34BBB8AD" w14:textId="77777777" w:rsidTr="00A32829">
        <w:trPr>
          <w:cantSplit/>
        </w:trPr>
        <w:tc>
          <w:tcPr>
            <w:tcW w:w="2552" w:type="dxa"/>
            <w:hideMark/>
          </w:tcPr>
          <w:p w14:paraId="36520FD5" w14:textId="77777777" w:rsidR="00921922" w:rsidRPr="0098470E" w:rsidRDefault="00921922" w:rsidP="00603215">
            <w:pPr>
              <w:pStyle w:val="DHHStabletext"/>
            </w:pPr>
            <w:r w:rsidRPr="0098470E">
              <w:t>Calculating performance</w:t>
            </w:r>
          </w:p>
        </w:tc>
        <w:tc>
          <w:tcPr>
            <w:tcW w:w="6748" w:type="dxa"/>
            <w:hideMark/>
          </w:tcPr>
          <w:p w14:paraId="05363E5E" w14:textId="77777777" w:rsidR="00921922" w:rsidRPr="0098470E" w:rsidRDefault="00921922" w:rsidP="00603215">
            <w:pPr>
              <w:pStyle w:val="DHHStabletext"/>
            </w:pPr>
            <w:r>
              <w:t>Specialist clinic</w:t>
            </w:r>
            <w:r w:rsidRPr="0098470E">
              <w:t xml:space="preserve"> referrals that have been clinically prioritised as routine are used to assess this indicator.</w:t>
            </w:r>
          </w:p>
          <w:p w14:paraId="0D03436A" w14:textId="1524B7BE" w:rsidR="00921922" w:rsidRPr="0098470E" w:rsidRDefault="00921922" w:rsidP="00603215">
            <w:pPr>
              <w:pStyle w:val="DHHStabletext"/>
            </w:pPr>
            <w:r w:rsidRPr="0098470E">
              <w:t xml:space="preserve">The indicator includes all patients referred from either a GP or external </w:t>
            </w:r>
            <w:r w:rsidR="00095523">
              <w:t>s</w:t>
            </w:r>
            <w:r w:rsidRPr="0098470E">
              <w:t>pecialist, who attended a first appointment during, or had a first appointment booked date before the end of the reporting period.</w:t>
            </w:r>
          </w:p>
          <w:p w14:paraId="513DF3E0" w14:textId="77777777" w:rsidR="00921922" w:rsidRDefault="00921922" w:rsidP="00603215">
            <w:pPr>
              <w:pStyle w:val="DHHStabletext"/>
            </w:pPr>
            <w:r w:rsidRPr="0098470E">
              <w:t>This indicator includes those patients with a scheduled appointment but did not attend.</w:t>
            </w:r>
          </w:p>
          <w:p w14:paraId="50C1C552" w14:textId="77777777" w:rsidR="00921922" w:rsidRPr="00E320B9" w:rsidRDefault="00921922" w:rsidP="00603215">
            <w:pPr>
              <w:pStyle w:val="DHHStabletext"/>
              <w:rPr>
                <w:color w:val="000000" w:themeColor="text1"/>
              </w:rPr>
            </w:pPr>
            <w:r w:rsidRPr="0098470E">
              <w:t>The waiting time for a first appointment is the number of days between the Referral in Received Date and the Contact Date/Time or First Appointment Booked Date, whichever occurs first.</w:t>
            </w:r>
          </w:p>
        </w:tc>
      </w:tr>
      <w:tr w:rsidR="00921922" w:rsidRPr="0098470E" w14:paraId="21C175B2" w14:textId="77777777" w:rsidTr="00A32829">
        <w:trPr>
          <w:cantSplit/>
        </w:trPr>
        <w:tc>
          <w:tcPr>
            <w:tcW w:w="2552" w:type="dxa"/>
            <w:hideMark/>
          </w:tcPr>
          <w:p w14:paraId="20A88F2E" w14:textId="77777777" w:rsidR="00921922" w:rsidRPr="0098470E" w:rsidRDefault="00921922" w:rsidP="00603215">
            <w:pPr>
              <w:pStyle w:val="DHHStabletext"/>
            </w:pPr>
            <w:r w:rsidRPr="0098470E">
              <w:t>Numerator</w:t>
            </w:r>
          </w:p>
        </w:tc>
        <w:tc>
          <w:tcPr>
            <w:tcW w:w="6748" w:type="dxa"/>
            <w:hideMark/>
          </w:tcPr>
          <w:p w14:paraId="7D899260" w14:textId="3CA9B669" w:rsidR="00921922" w:rsidRPr="0098470E" w:rsidRDefault="00921922" w:rsidP="00603215">
            <w:pPr>
              <w:pStyle w:val="DHHStabletext"/>
            </w:pPr>
            <w:r w:rsidRPr="0098470E">
              <w:t xml:space="preserve">The number of routine patients referred by a GP or external </w:t>
            </w:r>
            <w:r w:rsidR="00095523">
              <w:t>s</w:t>
            </w:r>
            <w:r w:rsidRPr="0098470E">
              <w:t>pecialist, who waited 365 calendar days or less for a first appointment, or first appointment booked date before the end of the reporting period.</w:t>
            </w:r>
          </w:p>
        </w:tc>
      </w:tr>
      <w:tr w:rsidR="00921922" w:rsidRPr="0098470E" w14:paraId="4B7CD817" w14:textId="77777777" w:rsidTr="00A32829">
        <w:trPr>
          <w:cantSplit/>
        </w:trPr>
        <w:tc>
          <w:tcPr>
            <w:tcW w:w="2552" w:type="dxa"/>
            <w:hideMark/>
          </w:tcPr>
          <w:p w14:paraId="15CCFB38" w14:textId="77777777" w:rsidR="00921922" w:rsidRPr="0098470E" w:rsidRDefault="00921922" w:rsidP="00603215">
            <w:pPr>
              <w:pStyle w:val="DHHStabletext"/>
            </w:pPr>
            <w:r w:rsidRPr="0098470E">
              <w:t>Denominator</w:t>
            </w:r>
          </w:p>
        </w:tc>
        <w:tc>
          <w:tcPr>
            <w:tcW w:w="6748" w:type="dxa"/>
            <w:hideMark/>
          </w:tcPr>
          <w:p w14:paraId="73CE46BE" w14:textId="55C7B16F" w:rsidR="00921922" w:rsidRPr="0098470E" w:rsidRDefault="00921922" w:rsidP="00603215">
            <w:pPr>
              <w:pStyle w:val="DHHStabletext"/>
            </w:pPr>
            <w:r w:rsidRPr="0098470E">
              <w:t xml:space="preserve">The number of all routine patients referred by a GP or external </w:t>
            </w:r>
            <w:r w:rsidR="00095523">
              <w:t>s</w:t>
            </w:r>
            <w:r w:rsidRPr="0098470E">
              <w:t>pecialist, who attended a first appointment or had a first appointment booked date before the end of the reporting period.</w:t>
            </w:r>
          </w:p>
        </w:tc>
      </w:tr>
      <w:tr w:rsidR="00921922" w:rsidRPr="0098470E" w14:paraId="052030AB" w14:textId="77777777" w:rsidTr="00A32829">
        <w:trPr>
          <w:cantSplit/>
        </w:trPr>
        <w:tc>
          <w:tcPr>
            <w:tcW w:w="2552" w:type="dxa"/>
            <w:hideMark/>
          </w:tcPr>
          <w:p w14:paraId="0F7AC7F2" w14:textId="77777777" w:rsidR="00921922" w:rsidRPr="0098470E" w:rsidRDefault="00921922" w:rsidP="00603215">
            <w:pPr>
              <w:pStyle w:val="DHHStabletext"/>
            </w:pPr>
            <w:r w:rsidRPr="0098470E">
              <w:t>Statewide target</w:t>
            </w:r>
          </w:p>
        </w:tc>
        <w:tc>
          <w:tcPr>
            <w:tcW w:w="6748" w:type="dxa"/>
            <w:hideMark/>
          </w:tcPr>
          <w:p w14:paraId="74553D5E" w14:textId="77777777" w:rsidR="00921922" w:rsidRPr="0098470E" w:rsidRDefault="00921922" w:rsidP="00603215">
            <w:pPr>
              <w:pStyle w:val="DHHStabletext"/>
            </w:pPr>
            <w:r w:rsidRPr="0098470E">
              <w:t>90%</w:t>
            </w:r>
          </w:p>
        </w:tc>
      </w:tr>
      <w:tr w:rsidR="0017595B" w:rsidRPr="0098470E" w14:paraId="418CA90E" w14:textId="77777777" w:rsidTr="0017595B">
        <w:trPr>
          <w:cantSplit/>
        </w:trPr>
        <w:tc>
          <w:tcPr>
            <w:tcW w:w="2552" w:type="dxa"/>
            <w:hideMark/>
          </w:tcPr>
          <w:p w14:paraId="3EF7CACA" w14:textId="77777777" w:rsidR="0017595B" w:rsidRPr="0098470E" w:rsidRDefault="0017595B" w:rsidP="00603215">
            <w:pPr>
              <w:pStyle w:val="DHHStabletext"/>
            </w:pPr>
            <w:r w:rsidRPr="0098470E">
              <w:t>Achievement</w:t>
            </w:r>
          </w:p>
        </w:tc>
        <w:tc>
          <w:tcPr>
            <w:tcW w:w="6748" w:type="dxa"/>
            <w:hideMark/>
          </w:tcPr>
          <w:p w14:paraId="4A4C6FB0" w14:textId="5143FCEE" w:rsidR="0017595B" w:rsidRPr="0098470E" w:rsidRDefault="0017595B" w:rsidP="0017595B">
            <w:pPr>
              <w:pStyle w:val="DHHStabletext92mmtab"/>
            </w:pPr>
            <w:r w:rsidRPr="0098470E">
              <w:t>Equal to or above 90%</w:t>
            </w:r>
            <w:r>
              <w:tab/>
              <w:t>Achieved</w:t>
            </w:r>
          </w:p>
          <w:p w14:paraId="7853CA81" w14:textId="0C486203" w:rsidR="0017595B" w:rsidRPr="0098470E" w:rsidRDefault="0017595B" w:rsidP="0017595B">
            <w:pPr>
              <w:pStyle w:val="DHHStabletext92mmtab"/>
            </w:pPr>
            <w:r w:rsidRPr="0098470E">
              <w:t>Less than 90%</w:t>
            </w:r>
            <w:r>
              <w:tab/>
              <w:t>Not achieved</w:t>
            </w:r>
          </w:p>
        </w:tc>
      </w:tr>
      <w:tr w:rsidR="00921922" w:rsidRPr="0098470E" w14:paraId="1409000E" w14:textId="77777777" w:rsidTr="00A32829">
        <w:trPr>
          <w:cantSplit/>
        </w:trPr>
        <w:tc>
          <w:tcPr>
            <w:tcW w:w="2552" w:type="dxa"/>
          </w:tcPr>
          <w:p w14:paraId="3EED0C3D" w14:textId="77777777" w:rsidR="00921922" w:rsidRPr="0098470E" w:rsidRDefault="00921922" w:rsidP="00603215">
            <w:pPr>
              <w:pStyle w:val="DHHStabletext"/>
            </w:pPr>
            <w:r>
              <w:t>Improvement</w:t>
            </w:r>
          </w:p>
        </w:tc>
        <w:tc>
          <w:tcPr>
            <w:tcW w:w="6748" w:type="dxa"/>
          </w:tcPr>
          <w:p w14:paraId="26FB5C19" w14:textId="77777777" w:rsidR="00921922" w:rsidRDefault="00921922" w:rsidP="00603215">
            <w:pPr>
              <w:pStyle w:val="DHHStabletext"/>
            </w:pPr>
            <w:r>
              <w:t xml:space="preserve">For the purpose of the performance risk assessment, improvement </w:t>
            </w:r>
            <w:r w:rsidRPr="0098470E">
              <w:t>is compared to same time last year performance.</w:t>
            </w:r>
          </w:p>
        </w:tc>
      </w:tr>
      <w:tr w:rsidR="00921922" w:rsidRPr="0098470E" w14:paraId="38A87D46" w14:textId="77777777" w:rsidTr="00A32829">
        <w:trPr>
          <w:cantSplit/>
        </w:trPr>
        <w:tc>
          <w:tcPr>
            <w:tcW w:w="2552" w:type="dxa"/>
            <w:hideMark/>
          </w:tcPr>
          <w:p w14:paraId="3853CBD0" w14:textId="77777777" w:rsidR="00921922" w:rsidRPr="0098470E" w:rsidRDefault="00921922" w:rsidP="00603215">
            <w:pPr>
              <w:pStyle w:val="DHHStabletext"/>
            </w:pPr>
            <w:r w:rsidRPr="0098470E">
              <w:t>Frequency of reporting and data collection</w:t>
            </w:r>
          </w:p>
        </w:tc>
        <w:tc>
          <w:tcPr>
            <w:tcW w:w="6748" w:type="dxa"/>
          </w:tcPr>
          <w:p w14:paraId="01BEC348" w14:textId="77777777" w:rsidR="00921922" w:rsidRDefault="00921922" w:rsidP="00603215">
            <w:pPr>
              <w:pStyle w:val="DHHStabletext"/>
            </w:pPr>
            <w:r w:rsidRPr="0098470E">
              <w:t>Performance is monitored and assessed monthly.</w:t>
            </w:r>
          </w:p>
          <w:p w14:paraId="0E565708" w14:textId="77777777" w:rsidR="00921922" w:rsidRDefault="00921922" w:rsidP="00603215">
            <w:pPr>
              <w:pStyle w:val="DHHStabletext"/>
            </w:pPr>
            <w:r w:rsidRPr="0098470E">
              <w:t xml:space="preserve">Data is submitted by health services via VINAH. </w:t>
            </w:r>
          </w:p>
          <w:p w14:paraId="21559864" w14:textId="77777777" w:rsidR="00921922" w:rsidRDefault="00921922" w:rsidP="00603215">
            <w:pPr>
              <w:pStyle w:val="DHHStabletext"/>
            </w:pPr>
            <w:r w:rsidRPr="0098470E">
              <w:t>Submission date: Health services are encouraged to submit data as often as desired, so long as a minimum of one submission is made for each reference month no later than 5pm on the 10th day of the following reference month.</w:t>
            </w:r>
          </w:p>
          <w:p w14:paraId="6BC3ED92" w14:textId="77777777" w:rsidR="00921922" w:rsidRDefault="00921922" w:rsidP="00603215">
            <w:pPr>
              <w:pStyle w:val="DHHStabletext"/>
            </w:pPr>
            <w:r w:rsidRPr="0098470E">
              <w:t>Clean date: All errors are to be cleared by the 14th day of the following month, or the preceding working day if the 14th falls on a weekend or public holiday.</w:t>
            </w:r>
          </w:p>
          <w:p w14:paraId="567DF18C" w14:textId="2F2BD974" w:rsidR="00921922" w:rsidRPr="007964F3" w:rsidRDefault="00921922" w:rsidP="00603215">
            <w:pPr>
              <w:pStyle w:val="DHHStabletext"/>
            </w:pPr>
            <w:r w:rsidRPr="0098470E">
              <w:t xml:space="preserve">End of financial year consolidation: All errors for </w:t>
            </w:r>
            <w:r>
              <w:t>the financial year</w:t>
            </w:r>
            <w:r w:rsidRPr="0098470E">
              <w:t xml:space="preserve"> must be corrected and resubmitted before consolidation of the VINAH database on the date advised in the </w:t>
            </w:r>
            <w:r w:rsidR="00BC327F">
              <w:rPr>
                <w:i/>
              </w:rPr>
              <w:t>Policy and Funding Guidelines</w:t>
            </w:r>
            <w:r w:rsidR="00BC327F">
              <w:t>.</w:t>
            </w:r>
          </w:p>
        </w:tc>
      </w:tr>
    </w:tbl>
    <w:p w14:paraId="769A7D23" w14:textId="77777777" w:rsidR="00F1426A" w:rsidRDefault="00F1426A">
      <w:pPr>
        <w:spacing w:after="200" w:line="276" w:lineRule="auto"/>
        <w:rPr>
          <w:rFonts w:ascii="Arial" w:hAnsi="Arial"/>
          <w:b/>
        </w:rPr>
      </w:pPr>
      <w:r>
        <w:br w:type="page"/>
      </w:r>
    </w:p>
    <w:p w14:paraId="32DAB21C" w14:textId="60F01D22" w:rsidR="00921922" w:rsidRPr="00F12615" w:rsidRDefault="00F12615" w:rsidP="00F12615">
      <w:pPr>
        <w:pStyle w:val="DHHStablecaption"/>
      </w:pPr>
      <w:r>
        <w:lastRenderedPageBreak/>
        <w:t xml:space="preserve">Indicator: </w:t>
      </w:r>
      <w:r w:rsidR="00101E11" w:rsidRPr="002E22BA">
        <w:t>Proportion of urgent maternity patients referred for obstetric care to a level 4, 5 or 6 maternity service who were booked for an appointment within 30 days of accepted referral</w:t>
      </w:r>
    </w:p>
    <w:tbl>
      <w:tblPr>
        <w:tblStyle w:val="TableGrid"/>
        <w:tblW w:w="9300" w:type="dxa"/>
        <w:tblLayout w:type="fixed"/>
        <w:tblLook w:val="06A0" w:firstRow="1" w:lastRow="0" w:firstColumn="1" w:lastColumn="0" w:noHBand="1" w:noVBand="1"/>
      </w:tblPr>
      <w:tblGrid>
        <w:gridCol w:w="2552"/>
        <w:gridCol w:w="6748"/>
      </w:tblGrid>
      <w:tr w:rsidR="00D97737" w:rsidRPr="0098470E" w14:paraId="7D17B131" w14:textId="77777777" w:rsidTr="00101E11">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408ACC66" w14:textId="4755D8EA" w:rsidR="00D97737" w:rsidRPr="002E22BA" w:rsidRDefault="00D97737" w:rsidP="00D97737">
            <w:pPr>
              <w:pStyle w:val="DHHStablecolhead"/>
            </w:pPr>
            <w:bookmarkStart w:id="104" w:name="_Toc517959143"/>
            <w:r>
              <w:t>Element</w:t>
            </w:r>
          </w:p>
        </w:tc>
        <w:tc>
          <w:tcPr>
            <w:tcW w:w="6748" w:type="dxa"/>
          </w:tcPr>
          <w:p w14:paraId="27D04C9B" w14:textId="20CE8BEC" w:rsidR="00D97737" w:rsidRPr="002E22BA" w:rsidRDefault="00D97737" w:rsidP="00D97737">
            <w:pPr>
              <w:pStyle w:val="DHHStablecolhead"/>
            </w:pPr>
            <w:r>
              <w:t>Details</w:t>
            </w:r>
          </w:p>
        </w:tc>
      </w:tr>
      <w:tr w:rsidR="00AE5076" w:rsidRPr="0098470E" w14:paraId="6EBFBF2E" w14:textId="77777777" w:rsidTr="00A32829">
        <w:trPr>
          <w:cantSplit/>
        </w:trPr>
        <w:tc>
          <w:tcPr>
            <w:tcW w:w="2552" w:type="dxa"/>
            <w:hideMark/>
          </w:tcPr>
          <w:p w14:paraId="10F5B1AB" w14:textId="77777777" w:rsidR="00AE5076" w:rsidRPr="00FF6F38" w:rsidRDefault="00AE5076" w:rsidP="006D2170">
            <w:pPr>
              <w:pStyle w:val="DHHStabletext"/>
            </w:pPr>
            <w:r w:rsidRPr="00FF6F38">
              <w:t>Description</w:t>
            </w:r>
          </w:p>
        </w:tc>
        <w:tc>
          <w:tcPr>
            <w:tcW w:w="6748" w:type="dxa"/>
            <w:hideMark/>
          </w:tcPr>
          <w:p w14:paraId="3CADB32E" w14:textId="77777777" w:rsidR="00AE5076" w:rsidRPr="00FF6F38" w:rsidRDefault="00AE5076" w:rsidP="006D2170">
            <w:pPr>
              <w:pStyle w:val="DHHStabletext"/>
            </w:pPr>
            <w:r>
              <w:t>The indicator monitors the proportion of urgent maternity patients referred to level 4, 5 or 6 maternity service, who attended a first appointment within 30 days of accepted referral.</w:t>
            </w:r>
            <w:r w:rsidRPr="00FF6F38" w:rsidDel="00667377">
              <w:t xml:space="preserve"> </w:t>
            </w:r>
          </w:p>
        </w:tc>
      </w:tr>
      <w:tr w:rsidR="00AE5076" w:rsidRPr="0098470E" w14:paraId="5553BD6A" w14:textId="77777777" w:rsidTr="00A32829">
        <w:trPr>
          <w:cantSplit/>
        </w:trPr>
        <w:tc>
          <w:tcPr>
            <w:tcW w:w="2552" w:type="dxa"/>
          </w:tcPr>
          <w:p w14:paraId="4D162EE3" w14:textId="77777777" w:rsidR="00AE5076" w:rsidRPr="00FF6F38" w:rsidRDefault="00AE5076" w:rsidP="006D2170">
            <w:pPr>
              <w:pStyle w:val="DHHStabletext"/>
            </w:pPr>
            <w:r w:rsidRPr="00FF6F38">
              <w:t>Calculating performance</w:t>
            </w:r>
          </w:p>
        </w:tc>
        <w:tc>
          <w:tcPr>
            <w:tcW w:w="6748" w:type="dxa"/>
          </w:tcPr>
          <w:p w14:paraId="671198F3" w14:textId="77777777" w:rsidR="00AE5076" w:rsidRPr="00FF6F38" w:rsidRDefault="00AE5076" w:rsidP="006D2170">
            <w:pPr>
              <w:pStyle w:val="DHHStabletext"/>
            </w:pPr>
            <w:r w:rsidRPr="00FF6F38">
              <w:t>The waiting time represents the number of days between the Referral in Received Date and the First Appointment Booked Date.</w:t>
            </w:r>
          </w:p>
          <w:p w14:paraId="29257DFE" w14:textId="13883291" w:rsidR="00AE5076" w:rsidRPr="00FF6F38" w:rsidRDefault="00AE5076" w:rsidP="006D2170">
            <w:pPr>
              <w:pStyle w:val="DHHStabletext"/>
            </w:pPr>
            <w:r w:rsidRPr="00FF6F38">
              <w:t xml:space="preserve">Applies to health services determined by the department to provide level 4, 5 or 6 maternity capability. </w:t>
            </w:r>
            <w:r w:rsidRPr="00E51E2B">
              <w:t>For details of the maternity capability levels for all public services, go to the</w:t>
            </w:r>
            <w:r w:rsidRPr="00E51E2B">
              <w:rPr>
                <w:rStyle w:val="Hyperlink"/>
              </w:rPr>
              <w:t xml:space="preserve"> </w:t>
            </w:r>
            <w:hyperlink r:id="rId24" w:history="1">
              <w:r w:rsidR="00205EBC" w:rsidRPr="00554C1C">
                <w:rPr>
                  <w:rStyle w:val="Hyperlink"/>
                </w:rPr>
                <w:t>Policy and Funding Guidelines</w:t>
              </w:r>
            </w:hyperlink>
            <w:r w:rsidRPr="00E51E2B">
              <w:t xml:space="preserve"> &lt;https://www2.health.vic.gov.au/about/policy-and-funding-guidelines&gt;.</w:t>
            </w:r>
          </w:p>
          <w:p w14:paraId="1E5F3957" w14:textId="77777777" w:rsidR="00AE5076" w:rsidRPr="00FF6F38" w:rsidRDefault="00AE5076" w:rsidP="006D2170">
            <w:pPr>
              <w:pStyle w:val="DHHStabletext"/>
            </w:pPr>
            <w:r w:rsidRPr="00FF6F38">
              <w:t>Data for this indicator is derived from the Victorian Integrated Non-Admitted Health (VINAH) dataset.</w:t>
            </w:r>
          </w:p>
          <w:p w14:paraId="740DED41" w14:textId="6B088D6F" w:rsidR="00AE5076" w:rsidRPr="00FF6F38" w:rsidRDefault="00AE5076" w:rsidP="001D5351">
            <w:pPr>
              <w:pStyle w:val="DHHStabletext"/>
              <w:rPr>
                <w:u w:val="dotted"/>
              </w:rPr>
            </w:pPr>
            <w:r w:rsidRPr="00FF6F38">
              <w:t xml:space="preserve">The </w:t>
            </w:r>
            <w:r w:rsidRPr="001D5351">
              <w:rPr>
                <w:rStyle w:val="Emphasis"/>
              </w:rPr>
              <w:t>VINAH user manual</w:t>
            </w:r>
            <w:r w:rsidRPr="00FF6F38">
              <w:t>, including data elements and business rules can be found at</w:t>
            </w:r>
            <w:r w:rsidR="001D5351">
              <w:t xml:space="preserve"> the </w:t>
            </w:r>
            <w:hyperlink r:id="rId25" w:history="1">
              <w:r w:rsidR="001D5351" w:rsidRPr="001D5351">
                <w:rPr>
                  <w:rStyle w:val="Hyperlink"/>
                </w:rPr>
                <w:t>VINAH webpage</w:t>
              </w:r>
            </w:hyperlink>
            <w:r w:rsidR="001D5351">
              <w:t xml:space="preserve"> </w:t>
            </w:r>
            <w:r w:rsidRPr="00FF6F38">
              <w:t>&lt;https://www2.health.vic.gov.au/hospitals-and-health-services/data-reporting/health-data-standards-systems/data-collections/vinah&gt;</w:t>
            </w:r>
          </w:p>
        </w:tc>
      </w:tr>
      <w:tr w:rsidR="00AE5076" w:rsidRPr="0098470E" w14:paraId="7CD880F1" w14:textId="77777777" w:rsidTr="00A32829">
        <w:trPr>
          <w:cantSplit/>
        </w:trPr>
        <w:tc>
          <w:tcPr>
            <w:tcW w:w="2552" w:type="dxa"/>
            <w:hideMark/>
          </w:tcPr>
          <w:p w14:paraId="08966D71" w14:textId="77777777" w:rsidR="00AE5076" w:rsidRPr="00FF6F38" w:rsidRDefault="00AE5076" w:rsidP="006D2170">
            <w:pPr>
              <w:pStyle w:val="DHHStabletext"/>
            </w:pPr>
            <w:r w:rsidRPr="00FF6F38">
              <w:t>Numerator</w:t>
            </w:r>
          </w:p>
        </w:tc>
        <w:tc>
          <w:tcPr>
            <w:tcW w:w="6748" w:type="dxa"/>
            <w:hideMark/>
          </w:tcPr>
          <w:p w14:paraId="0DF14B0A" w14:textId="77777777" w:rsidR="00AE5076" w:rsidRPr="00FF6F38" w:rsidRDefault="00AE5076" w:rsidP="006D2170">
            <w:pPr>
              <w:pStyle w:val="DHHStabletext"/>
            </w:pPr>
            <w:r>
              <w:t>The number of urgent maternity patient contacts scheduled within the reporting period for an appointment within 30 days of referral to clinic.</w:t>
            </w:r>
            <w:r w:rsidRPr="00FF6F38" w:rsidDel="00667377">
              <w:t xml:space="preserve"> </w:t>
            </w:r>
          </w:p>
        </w:tc>
      </w:tr>
      <w:tr w:rsidR="00AE5076" w:rsidRPr="0098470E" w14:paraId="49A75E4B" w14:textId="77777777" w:rsidTr="00A32829">
        <w:trPr>
          <w:cantSplit/>
        </w:trPr>
        <w:tc>
          <w:tcPr>
            <w:tcW w:w="2552" w:type="dxa"/>
            <w:hideMark/>
          </w:tcPr>
          <w:p w14:paraId="18D7943D" w14:textId="77777777" w:rsidR="00AE5076" w:rsidRPr="00FF6F38" w:rsidRDefault="00AE5076" w:rsidP="006D2170">
            <w:pPr>
              <w:pStyle w:val="DHHStabletext"/>
            </w:pPr>
            <w:r w:rsidRPr="00FF6F38">
              <w:t>Denominator</w:t>
            </w:r>
          </w:p>
        </w:tc>
        <w:tc>
          <w:tcPr>
            <w:tcW w:w="6748" w:type="dxa"/>
            <w:hideMark/>
          </w:tcPr>
          <w:p w14:paraId="215EB736" w14:textId="77777777" w:rsidR="00AE5076" w:rsidRPr="00FF6F38" w:rsidRDefault="00AE5076" w:rsidP="006D2170">
            <w:pPr>
              <w:pStyle w:val="DHHStabletext"/>
            </w:pPr>
            <w:r>
              <w:t>The number of urgent maternity patient contacts scheduled within the reporting period for an appointment.</w:t>
            </w:r>
            <w:r w:rsidRPr="00FF6F38" w:rsidDel="00667377">
              <w:t xml:space="preserve"> </w:t>
            </w:r>
          </w:p>
        </w:tc>
      </w:tr>
      <w:tr w:rsidR="00AE5076" w:rsidRPr="0098470E" w14:paraId="04458B91" w14:textId="77777777" w:rsidTr="00A32829">
        <w:trPr>
          <w:cantSplit/>
        </w:trPr>
        <w:tc>
          <w:tcPr>
            <w:tcW w:w="2552" w:type="dxa"/>
          </w:tcPr>
          <w:p w14:paraId="34D94E9F" w14:textId="77777777" w:rsidR="00AE5076" w:rsidRPr="00FF6F38" w:rsidRDefault="00AE5076" w:rsidP="006D2170">
            <w:pPr>
              <w:pStyle w:val="DHHStabletext"/>
            </w:pPr>
            <w:r w:rsidRPr="00FF6F38">
              <w:t>Statewide target</w:t>
            </w:r>
          </w:p>
        </w:tc>
        <w:tc>
          <w:tcPr>
            <w:tcW w:w="6748" w:type="dxa"/>
          </w:tcPr>
          <w:p w14:paraId="0FA9E868" w14:textId="77777777" w:rsidR="00AE5076" w:rsidRPr="00FF6F38" w:rsidRDefault="00AE5076" w:rsidP="006D2170">
            <w:pPr>
              <w:pStyle w:val="DHHStabletext"/>
            </w:pPr>
            <w:r w:rsidRPr="00FF6F38">
              <w:t>100%</w:t>
            </w:r>
          </w:p>
        </w:tc>
      </w:tr>
      <w:tr w:rsidR="0017595B" w:rsidRPr="0098470E" w14:paraId="1C14637C" w14:textId="77777777" w:rsidTr="0017595B">
        <w:trPr>
          <w:cantSplit/>
        </w:trPr>
        <w:tc>
          <w:tcPr>
            <w:tcW w:w="2552" w:type="dxa"/>
          </w:tcPr>
          <w:p w14:paraId="7B07EC79" w14:textId="77777777" w:rsidR="0017595B" w:rsidRPr="00FF6F38" w:rsidRDefault="0017595B" w:rsidP="006D2170">
            <w:pPr>
              <w:pStyle w:val="DHHStabletext"/>
            </w:pPr>
            <w:r w:rsidRPr="00FF6F38">
              <w:t>Achievement</w:t>
            </w:r>
          </w:p>
        </w:tc>
        <w:tc>
          <w:tcPr>
            <w:tcW w:w="6748" w:type="dxa"/>
          </w:tcPr>
          <w:p w14:paraId="5774B524" w14:textId="27C3A08D" w:rsidR="0017595B" w:rsidRPr="00FF6F38" w:rsidRDefault="0017595B" w:rsidP="0017595B">
            <w:pPr>
              <w:pStyle w:val="DHHStabletext92mmtab"/>
            </w:pPr>
            <w:r w:rsidRPr="00FF6F38">
              <w:t>Equal to 100%</w:t>
            </w:r>
            <w:r>
              <w:tab/>
            </w:r>
            <w:r w:rsidRPr="00FF6F38">
              <w:t>Achieved</w:t>
            </w:r>
          </w:p>
          <w:p w14:paraId="1BC2D28E" w14:textId="04799EFD" w:rsidR="0017595B" w:rsidRPr="00FF6F38" w:rsidRDefault="0017595B" w:rsidP="0017595B">
            <w:pPr>
              <w:pStyle w:val="DHHStabletext92mmtab"/>
            </w:pPr>
            <w:r w:rsidRPr="00FF6F38">
              <w:t>Less than 100%</w:t>
            </w:r>
            <w:r>
              <w:tab/>
            </w:r>
            <w:r w:rsidRPr="00FF6F38">
              <w:t>Not achieved</w:t>
            </w:r>
          </w:p>
        </w:tc>
      </w:tr>
      <w:tr w:rsidR="00AE5076" w:rsidRPr="0098470E" w14:paraId="0BC60680" w14:textId="77777777" w:rsidTr="00A32829">
        <w:trPr>
          <w:cantSplit/>
        </w:trPr>
        <w:tc>
          <w:tcPr>
            <w:tcW w:w="2552" w:type="dxa"/>
          </w:tcPr>
          <w:p w14:paraId="11E5C0D6" w14:textId="77777777" w:rsidR="00AE5076" w:rsidRPr="00FF6F38" w:rsidRDefault="00AE5076" w:rsidP="006D2170">
            <w:pPr>
              <w:pStyle w:val="DHHStabletext"/>
            </w:pPr>
            <w:r w:rsidRPr="00FF6F38">
              <w:t>Improvement</w:t>
            </w:r>
          </w:p>
        </w:tc>
        <w:tc>
          <w:tcPr>
            <w:tcW w:w="6748" w:type="dxa"/>
          </w:tcPr>
          <w:p w14:paraId="36238585" w14:textId="77777777" w:rsidR="00AE5076" w:rsidRPr="00FF6F38" w:rsidRDefault="00AE5076" w:rsidP="006D2170">
            <w:pPr>
              <w:pStyle w:val="DHHStabletext"/>
            </w:pPr>
            <w:r w:rsidRPr="00FF6F38">
              <w:t>For the purpose of the performance risk assessment, improvement is compared to same time last year performance.</w:t>
            </w:r>
          </w:p>
        </w:tc>
      </w:tr>
      <w:tr w:rsidR="00AE5076" w:rsidRPr="0098470E" w14:paraId="6CB743B4" w14:textId="77777777" w:rsidTr="00A32829">
        <w:trPr>
          <w:cantSplit/>
        </w:trPr>
        <w:tc>
          <w:tcPr>
            <w:tcW w:w="2552" w:type="dxa"/>
            <w:hideMark/>
          </w:tcPr>
          <w:p w14:paraId="46F42568" w14:textId="77777777" w:rsidR="00AE5076" w:rsidRPr="00DC275F" w:rsidRDefault="00AE5076" w:rsidP="006D2170">
            <w:pPr>
              <w:pStyle w:val="DHHStabletext"/>
            </w:pPr>
            <w:r w:rsidRPr="00DC275F">
              <w:t>Frequency of reporting and data collection</w:t>
            </w:r>
          </w:p>
        </w:tc>
        <w:tc>
          <w:tcPr>
            <w:tcW w:w="6748" w:type="dxa"/>
            <w:hideMark/>
          </w:tcPr>
          <w:p w14:paraId="1F4BD682" w14:textId="77777777" w:rsidR="00AE5076" w:rsidRDefault="00AE5076" w:rsidP="006D2170">
            <w:pPr>
              <w:pStyle w:val="DHHStabletext"/>
              <w:rPr>
                <w:color w:val="000000"/>
              </w:rPr>
            </w:pPr>
            <w:r>
              <w:t>Performance is monitored and assessed quarterly for contacts scheduled within the reporting period.</w:t>
            </w:r>
          </w:p>
          <w:p w14:paraId="3B70F6E5" w14:textId="77777777" w:rsidR="00AE5076" w:rsidRDefault="00AE5076" w:rsidP="006D2170">
            <w:pPr>
              <w:pStyle w:val="DHHStabletext"/>
              <w:rPr>
                <w:color w:val="000000"/>
              </w:rPr>
            </w:pPr>
            <w:r>
              <w:t>Data for this indicator is derived from VINAH.</w:t>
            </w:r>
          </w:p>
          <w:p w14:paraId="77BC7579" w14:textId="77777777" w:rsidR="00AE5076" w:rsidRDefault="00AE5076" w:rsidP="006D2170">
            <w:pPr>
              <w:pStyle w:val="DHHStabletext"/>
              <w:rPr>
                <w:color w:val="000000"/>
              </w:rPr>
            </w:pPr>
            <w:r>
              <w:t>Submission date: health services are encouraged to submit data as often as desired, so long as a minimum of one submission is made for each reference month no later than 5pm on the 10th day of the following reference month.</w:t>
            </w:r>
          </w:p>
          <w:p w14:paraId="13F38B56" w14:textId="77777777" w:rsidR="00AE5076" w:rsidRDefault="00AE5076" w:rsidP="006D2170">
            <w:pPr>
              <w:pStyle w:val="DHHStabletext"/>
              <w:rPr>
                <w:color w:val="000000"/>
              </w:rPr>
            </w:pPr>
            <w:r>
              <w:t>Clean date: all errors are to be cleared by the 14th day of the following month, or the preceding working day if the 14th falls on a weekend or public holiday.</w:t>
            </w:r>
          </w:p>
          <w:p w14:paraId="013516C5" w14:textId="47BAD69A" w:rsidR="00AE5076" w:rsidRPr="00DC275F" w:rsidRDefault="00AE5076" w:rsidP="006D2170">
            <w:pPr>
              <w:pStyle w:val="DHHStabletext"/>
            </w:pPr>
            <w:r>
              <w:t xml:space="preserve">End of financial year consolidation: all errors for </w:t>
            </w:r>
            <w:r w:rsidR="0094054E">
              <w:t>the year</w:t>
            </w:r>
            <w:r>
              <w:t xml:space="preserve"> must be corrected and resubmitted before consolidation of the VINAH database on the date advised in the </w:t>
            </w:r>
            <w:r w:rsidR="00F02369">
              <w:rPr>
                <w:i/>
              </w:rPr>
              <w:t>Policy and Funding Guidelines</w:t>
            </w:r>
            <w:r w:rsidRPr="00F02369">
              <w:t>.</w:t>
            </w:r>
            <w:r w:rsidRPr="00DC275F" w:rsidDel="00667377">
              <w:t xml:space="preserve"> </w:t>
            </w:r>
          </w:p>
        </w:tc>
      </w:tr>
    </w:tbl>
    <w:p w14:paraId="4DAD3CD0" w14:textId="77777777" w:rsidR="00AE5076" w:rsidRDefault="00AE5076" w:rsidP="00AE5076">
      <w:pPr>
        <w:pStyle w:val="DHHSbody"/>
      </w:pPr>
      <w:r w:rsidRPr="0098470E">
        <w:br w:type="page"/>
      </w:r>
    </w:p>
    <w:p w14:paraId="0AEFA12F" w14:textId="0CB65F9C" w:rsidR="00921922" w:rsidRDefault="00921922" w:rsidP="008B435F">
      <w:pPr>
        <w:pStyle w:val="Heading4"/>
      </w:pPr>
      <w:bookmarkStart w:id="105" w:name="_Toc15580098"/>
      <w:r w:rsidRPr="007D42BA">
        <w:lastRenderedPageBreak/>
        <w:t>Timely response (Ambulance Victoria only)</w:t>
      </w:r>
      <w:bookmarkEnd w:id="104"/>
      <w:bookmarkEnd w:id="105"/>
    </w:p>
    <w:p w14:paraId="4B7EA589" w14:textId="6F7BCADD" w:rsidR="00F12615" w:rsidRPr="00F12615" w:rsidRDefault="00F12615" w:rsidP="00F12615">
      <w:pPr>
        <w:pStyle w:val="DHHStablecaption"/>
      </w:pPr>
      <w:r>
        <w:t xml:space="preserve">Indicator: </w:t>
      </w:r>
      <w:r w:rsidR="00101E11" w:rsidRPr="005B435A">
        <w:t>Percentage of emergency (Code 1) incidents responded to within 15 minutes</w:t>
      </w:r>
    </w:p>
    <w:tbl>
      <w:tblPr>
        <w:tblStyle w:val="TableGrid"/>
        <w:tblW w:w="9300" w:type="dxa"/>
        <w:tblLayout w:type="fixed"/>
        <w:tblLook w:val="06A0" w:firstRow="1" w:lastRow="0" w:firstColumn="1" w:lastColumn="0" w:noHBand="1" w:noVBand="1"/>
      </w:tblPr>
      <w:tblGrid>
        <w:gridCol w:w="2518"/>
        <w:gridCol w:w="6782"/>
      </w:tblGrid>
      <w:tr w:rsidR="00D97737" w:rsidRPr="0098470E" w14:paraId="66A8094A"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18" w:type="dxa"/>
          </w:tcPr>
          <w:p w14:paraId="260746B7" w14:textId="46190C95" w:rsidR="00D97737" w:rsidRPr="005B435A" w:rsidRDefault="00D97737" w:rsidP="00D97737">
            <w:pPr>
              <w:pStyle w:val="DHHStablecolhead"/>
            </w:pPr>
            <w:r>
              <w:t>Element</w:t>
            </w:r>
          </w:p>
        </w:tc>
        <w:tc>
          <w:tcPr>
            <w:tcW w:w="6782" w:type="dxa"/>
          </w:tcPr>
          <w:p w14:paraId="0030AEA1" w14:textId="2D8685BD" w:rsidR="00D97737" w:rsidRPr="005B435A" w:rsidRDefault="00D97737" w:rsidP="00D97737">
            <w:pPr>
              <w:pStyle w:val="DHHStablecolhead"/>
            </w:pPr>
            <w:r>
              <w:t>Details</w:t>
            </w:r>
          </w:p>
        </w:tc>
      </w:tr>
      <w:tr w:rsidR="00921922" w:rsidRPr="0098470E" w14:paraId="670EAB09" w14:textId="77777777" w:rsidTr="00A32829">
        <w:trPr>
          <w:cantSplit/>
        </w:trPr>
        <w:tc>
          <w:tcPr>
            <w:tcW w:w="2518" w:type="dxa"/>
            <w:hideMark/>
          </w:tcPr>
          <w:p w14:paraId="57793B91" w14:textId="77777777" w:rsidR="00921922" w:rsidRPr="0098470E" w:rsidRDefault="00921922" w:rsidP="00603215">
            <w:pPr>
              <w:pStyle w:val="DHHStabletext"/>
            </w:pPr>
            <w:r w:rsidRPr="0098470E">
              <w:t>Description</w:t>
            </w:r>
          </w:p>
        </w:tc>
        <w:tc>
          <w:tcPr>
            <w:tcW w:w="6782" w:type="dxa"/>
            <w:hideMark/>
          </w:tcPr>
          <w:p w14:paraId="60EF102D" w14:textId="77777777" w:rsidR="00921922" w:rsidRPr="0098470E" w:rsidRDefault="00921922" w:rsidP="00603215">
            <w:pPr>
              <w:pStyle w:val="DHHStabletext"/>
            </w:pPr>
            <w:r w:rsidRPr="0098470E">
              <w:t>Statewide response times are an indicator of the provision of accessible and effective ambulance service to communities.</w:t>
            </w:r>
          </w:p>
          <w:p w14:paraId="4E4C7AC5" w14:textId="77777777" w:rsidR="00921922" w:rsidRPr="0098470E" w:rsidRDefault="00921922" w:rsidP="00603215">
            <w:pPr>
              <w:pStyle w:val="DHHStabletext"/>
            </w:pPr>
            <w:r w:rsidRPr="0098470E">
              <w:t>Code 1 incidents are potentially life threatening and are time-critical, requiring a light</w:t>
            </w:r>
            <w:r>
              <w:t>s and sirens response.</w:t>
            </w:r>
          </w:p>
        </w:tc>
      </w:tr>
      <w:tr w:rsidR="00921922" w:rsidRPr="0098470E" w14:paraId="2A904859" w14:textId="77777777" w:rsidTr="00A32829">
        <w:trPr>
          <w:cantSplit/>
        </w:trPr>
        <w:tc>
          <w:tcPr>
            <w:tcW w:w="2518" w:type="dxa"/>
            <w:hideMark/>
          </w:tcPr>
          <w:p w14:paraId="38C45F72" w14:textId="77777777" w:rsidR="00921922" w:rsidRPr="0098470E" w:rsidRDefault="00921922" w:rsidP="00603215">
            <w:pPr>
              <w:pStyle w:val="DHHStabletext"/>
            </w:pPr>
            <w:r w:rsidRPr="0098470E">
              <w:t>Calculating performance</w:t>
            </w:r>
          </w:p>
        </w:tc>
        <w:tc>
          <w:tcPr>
            <w:tcW w:w="6782" w:type="dxa"/>
            <w:hideMark/>
          </w:tcPr>
          <w:p w14:paraId="608E76D2" w14:textId="77777777" w:rsidR="00921922" w:rsidRPr="0098470E" w:rsidRDefault="00921922" w:rsidP="00603215">
            <w:pPr>
              <w:pStyle w:val="DHHStabletext"/>
            </w:pPr>
            <w:r w:rsidRPr="0098470E">
              <w:t>Response time measures the time from a triple zero (000) call being answered by the Emergency Services Telecommunications Authority (ESTA) to the time of the first arrival at the incident scene of an Ambulance Victoria paramedic, a community emergency response team or an ambulance community officer.</w:t>
            </w:r>
          </w:p>
          <w:p w14:paraId="54715165" w14:textId="77777777" w:rsidR="00921922" w:rsidRPr="0098470E" w:rsidRDefault="00921922" w:rsidP="00603215">
            <w:pPr>
              <w:pStyle w:val="DHHStabletext"/>
            </w:pPr>
            <w:r w:rsidRPr="0098470E">
              <w:t>This indicator applies to all emergency road Code 1 incidents responded to statewide.</w:t>
            </w:r>
          </w:p>
          <w:p w14:paraId="1A4C7A3E" w14:textId="77777777" w:rsidR="00921922" w:rsidRPr="0098470E" w:rsidRDefault="00921922" w:rsidP="00603215">
            <w:pPr>
              <w:pStyle w:val="DHHStabletext"/>
            </w:pPr>
            <w:r w:rsidRPr="0098470E">
              <w:t>This indicator excludes:</w:t>
            </w:r>
          </w:p>
          <w:p w14:paraId="02FA5B3E" w14:textId="77777777" w:rsidR="00921922" w:rsidRPr="0098470E" w:rsidRDefault="00921922" w:rsidP="00603215">
            <w:pPr>
              <w:pStyle w:val="DHHStablebullet1"/>
            </w:pPr>
            <w:r w:rsidRPr="0098470E">
              <w:t>incidents for which the response time was recorded as &gt; 2 hours or where there are missing time stamps</w:t>
            </w:r>
          </w:p>
          <w:p w14:paraId="598B0E46" w14:textId="77777777" w:rsidR="00921922" w:rsidRPr="0098470E" w:rsidRDefault="00921922" w:rsidP="00603215">
            <w:pPr>
              <w:pStyle w:val="DHHStablebullet1"/>
            </w:pPr>
            <w:r w:rsidRPr="0098470E">
              <w:t>responses to ambulance incidents by the Metropolitan Fire Brigade, the Country Fire Authority, NSW Ambulance Service and remote area nurses</w:t>
            </w:r>
          </w:p>
          <w:p w14:paraId="46AF687A" w14:textId="77777777" w:rsidR="00921922" w:rsidRPr="0098470E" w:rsidRDefault="00921922" w:rsidP="00603215">
            <w:pPr>
              <w:pStyle w:val="DHHStablebullet1"/>
            </w:pPr>
            <w:r w:rsidRPr="0098470E">
              <w:t>responses by air ambulance resources.</w:t>
            </w:r>
          </w:p>
          <w:p w14:paraId="5247E104" w14:textId="77777777" w:rsidR="00921922" w:rsidRPr="0098470E" w:rsidRDefault="00921922" w:rsidP="00603215">
            <w:pPr>
              <w:pStyle w:val="DHHStabletext"/>
            </w:pPr>
            <w:r w:rsidRPr="0098470E">
              <w:t>This indicator is expressed as a percentage to one decimal place.</w:t>
            </w:r>
          </w:p>
        </w:tc>
      </w:tr>
      <w:tr w:rsidR="00921922" w:rsidRPr="0098470E" w14:paraId="453A564E" w14:textId="77777777" w:rsidTr="00A32829">
        <w:trPr>
          <w:cantSplit/>
        </w:trPr>
        <w:tc>
          <w:tcPr>
            <w:tcW w:w="2518" w:type="dxa"/>
            <w:hideMark/>
          </w:tcPr>
          <w:p w14:paraId="7C343567" w14:textId="77777777" w:rsidR="00921922" w:rsidRPr="0098470E" w:rsidRDefault="00921922" w:rsidP="00603215">
            <w:pPr>
              <w:pStyle w:val="DHHStabletext"/>
            </w:pPr>
            <w:r w:rsidRPr="0098470E">
              <w:t>Numerator</w:t>
            </w:r>
          </w:p>
        </w:tc>
        <w:tc>
          <w:tcPr>
            <w:tcW w:w="6782" w:type="dxa"/>
            <w:hideMark/>
          </w:tcPr>
          <w:p w14:paraId="79F19DA9" w14:textId="4E4A681F" w:rsidR="00921922" w:rsidRPr="0098470E" w:rsidRDefault="00921922" w:rsidP="00603215">
            <w:pPr>
              <w:pStyle w:val="DHHStabletext"/>
            </w:pPr>
            <w:r w:rsidRPr="0098470E">
              <w:t>The sum of all first arrival responses from each emergency road Code 1 incident responded to within 15 minutes</w:t>
            </w:r>
            <w:r w:rsidR="007F4448">
              <w:t>.</w:t>
            </w:r>
          </w:p>
        </w:tc>
      </w:tr>
      <w:tr w:rsidR="00921922" w:rsidRPr="0098470E" w14:paraId="1FFFAB73" w14:textId="77777777" w:rsidTr="00A32829">
        <w:trPr>
          <w:cantSplit/>
        </w:trPr>
        <w:tc>
          <w:tcPr>
            <w:tcW w:w="2518" w:type="dxa"/>
            <w:hideMark/>
          </w:tcPr>
          <w:p w14:paraId="6A0DB631" w14:textId="77777777" w:rsidR="00921922" w:rsidRPr="0098470E" w:rsidRDefault="00921922" w:rsidP="00603215">
            <w:pPr>
              <w:pStyle w:val="DHHStabletext"/>
            </w:pPr>
            <w:r w:rsidRPr="0098470E">
              <w:t>Denominator</w:t>
            </w:r>
          </w:p>
        </w:tc>
        <w:tc>
          <w:tcPr>
            <w:tcW w:w="6782" w:type="dxa"/>
            <w:hideMark/>
          </w:tcPr>
          <w:p w14:paraId="2B13570F" w14:textId="5054E2B9" w:rsidR="00921922" w:rsidRPr="0098470E" w:rsidRDefault="00921922" w:rsidP="00603215">
            <w:pPr>
              <w:pStyle w:val="DHHStabletext"/>
            </w:pPr>
            <w:r w:rsidRPr="0098470E">
              <w:t>Total number of emergency road Code 1 incidents responded to in that same reporting period</w:t>
            </w:r>
            <w:r w:rsidR="007F4448">
              <w:t>.</w:t>
            </w:r>
          </w:p>
        </w:tc>
      </w:tr>
      <w:tr w:rsidR="00921922" w:rsidRPr="0098470E" w14:paraId="46D6991E" w14:textId="77777777" w:rsidTr="00A32829">
        <w:trPr>
          <w:cantSplit/>
        </w:trPr>
        <w:tc>
          <w:tcPr>
            <w:tcW w:w="2518" w:type="dxa"/>
            <w:hideMark/>
          </w:tcPr>
          <w:p w14:paraId="2E611BD1" w14:textId="77777777" w:rsidR="00921922" w:rsidRPr="0098470E" w:rsidRDefault="00921922" w:rsidP="00603215">
            <w:pPr>
              <w:pStyle w:val="DHHStabletext"/>
            </w:pPr>
            <w:r w:rsidRPr="0098470E">
              <w:t>Statewide target</w:t>
            </w:r>
          </w:p>
        </w:tc>
        <w:tc>
          <w:tcPr>
            <w:tcW w:w="6782" w:type="dxa"/>
            <w:hideMark/>
          </w:tcPr>
          <w:p w14:paraId="5E74EDE0" w14:textId="77777777" w:rsidR="00921922" w:rsidRPr="0098470E" w:rsidRDefault="00921922" w:rsidP="00603215">
            <w:pPr>
              <w:pStyle w:val="DHHStabletext"/>
            </w:pPr>
            <w:r w:rsidRPr="0098470E">
              <w:t>85%</w:t>
            </w:r>
          </w:p>
        </w:tc>
      </w:tr>
      <w:tr w:rsidR="0017595B" w:rsidRPr="0098470E" w14:paraId="4853188D" w14:textId="77777777" w:rsidTr="0017595B">
        <w:trPr>
          <w:cantSplit/>
        </w:trPr>
        <w:tc>
          <w:tcPr>
            <w:tcW w:w="2518" w:type="dxa"/>
            <w:hideMark/>
          </w:tcPr>
          <w:p w14:paraId="31BCFF92" w14:textId="77777777" w:rsidR="0017595B" w:rsidRPr="0098470E" w:rsidRDefault="0017595B" w:rsidP="00603215">
            <w:pPr>
              <w:pStyle w:val="DHHStabletext"/>
              <w:rPr>
                <w:b/>
                <w:bCs/>
                <w:i/>
                <w:iCs/>
              </w:rPr>
            </w:pPr>
            <w:r w:rsidRPr="0098470E">
              <w:t>Achievement</w:t>
            </w:r>
          </w:p>
        </w:tc>
        <w:tc>
          <w:tcPr>
            <w:tcW w:w="6782" w:type="dxa"/>
            <w:hideMark/>
          </w:tcPr>
          <w:p w14:paraId="6CEB1CAC" w14:textId="135DC3A4" w:rsidR="0017595B" w:rsidRPr="0017595B" w:rsidRDefault="0017595B" w:rsidP="0017595B">
            <w:pPr>
              <w:pStyle w:val="DHHStabletext92mmtab"/>
            </w:pPr>
            <w:r w:rsidRPr="0017595B">
              <w:t>Equal to or greater than 85%</w:t>
            </w:r>
            <w:r>
              <w:tab/>
            </w:r>
            <w:r w:rsidRPr="0017595B">
              <w:t>Achieved</w:t>
            </w:r>
          </w:p>
          <w:p w14:paraId="7529313E" w14:textId="6BAD25C3" w:rsidR="0017595B" w:rsidRPr="0017595B" w:rsidRDefault="0017595B" w:rsidP="0017595B">
            <w:pPr>
              <w:pStyle w:val="DHHStabletext92mmtab"/>
            </w:pPr>
            <w:r w:rsidRPr="0017595B">
              <w:t>Less than 85%</w:t>
            </w:r>
            <w:r>
              <w:tab/>
            </w:r>
            <w:r w:rsidRPr="0017595B">
              <w:t>Not achieved</w:t>
            </w:r>
          </w:p>
        </w:tc>
      </w:tr>
      <w:tr w:rsidR="00921922" w:rsidRPr="0098470E" w14:paraId="43E97420" w14:textId="77777777" w:rsidTr="00A32829">
        <w:trPr>
          <w:cantSplit/>
        </w:trPr>
        <w:tc>
          <w:tcPr>
            <w:tcW w:w="2518" w:type="dxa"/>
          </w:tcPr>
          <w:p w14:paraId="5BC812E8" w14:textId="77777777" w:rsidR="00921922" w:rsidRPr="0098470E" w:rsidRDefault="00921922" w:rsidP="00603215">
            <w:pPr>
              <w:pStyle w:val="DHHStabletext"/>
            </w:pPr>
            <w:r>
              <w:t>Improvement</w:t>
            </w:r>
          </w:p>
        </w:tc>
        <w:tc>
          <w:tcPr>
            <w:tcW w:w="6782" w:type="dxa"/>
          </w:tcPr>
          <w:p w14:paraId="258A40EC" w14:textId="77777777" w:rsidR="00921922" w:rsidRDefault="00921922" w:rsidP="00603215">
            <w:pPr>
              <w:pStyle w:val="DHHStabletext"/>
            </w:pPr>
            <w:r>
              <w:t xml:space="preserve">For the purpose of the performance risk assessment, improvement </w:t>
            </w:r>
            <w:r w:rsidRPr="0098470E">
              <w:t>is compared to same time last year performance.</w:t>
            </w:r>
          </w:p>
        </w:tc>
      </w:tr>
      <w:tr w:rsidR="00921922" w:rsidRPr="0098470E" w14:paraId="54073F9B" w14:textId="77777777" w:rsidTr="00A32829">
        <w:trPr>
          <w:cantSplit/>
        </w:trPr>
        <w:tc>
          <w:tcPr>
            <w:tcW w:w="2518" w:type="dxa"/>
            <w:hideMark/>
          </w:tcPr>
          <w:p w14:paraId="6E18DA05" w14:textId="77777777" w:rsidR="00921922" w:rsidRPr="0098470E" w:rsidRDefault="00921922" w:rsidP="00603215">
            <w:pPr>
              <w:pStyle w:val="DHHStabletext"/>
              <w:rPr>
                <w:b/>
                <w:bCs/>
                <w:i/>
                <w:iCs/>
              </w:rPr>
            </w:pPr>
            <w:r w:rsidRPr="0098470E">
              <w:t>Frequency of reporting and data collection</w:t>
            </w:r>
          </w:p>
        </w:tc>
        <w:tc>
          <w:tcPr>
            <w:tcW w:w="6782" w:type="dxa"/>
            <w:hideMark/>
          </w:tcPr>
          <w:p w14:paraId="4A70EF52" w14:textId="77777777" w:rsidR="00921922" w:rsidRPr="0098470E" w:rsidRDefault="00921922" w:rsidP="00603215">
            <w:pPr>
              <w:pStyle w:val="DHHStabletext"/>
              <w:rPr>
                <w:b/>
                <w:bCs/>
                <w:i/>
                <w:iCs/>
              </w:rPr>
            </w:pPr>
            <w:r w:rsidRPr="0098470E">
              <w:t>Performance is monitored and assessed monthly.</w:t>
            </w:r>
          </w:p>
          <w:p w14:paraId="699A0037" w14:textId="77777777" w:rsidR="00921922" w:rsidRPr="0098470E" w:rsidRDefault="00921922" w:rsidP="00603215">
            <w:pPr>
              <w:pStyle w:val="DHHStabletext"/>
              <w:rPr>
                <w:b/>
                <w:bCs/>
                <w:i/>
                <w:iCs/>
              </w:rPr>
            </w:pPr>
            <w:r w:rsidRPr="0098470E">
              <w:t>Ambulance Victoria submits data to the department monthly.</w:t>
            </w:r>
          </w:p>
        </w:tc>
      </w:tr>
    </w:tbl>
    <w:p w14:paraId="5EF9784B" w14:textId="77777777" w:rsidR="00F1426A" w:rsidRDefault="00F1426A">
      <w:pPr>
        <w:spacing w:after="200" w:line="276" w:lineRule="auto"/>
        <w:rPr>
          <w:rFonts w:ascii="Arial" w:hAnsi="Arial"/>
          <w:b/>
        </w:rPr>
      </w:pPr>
      <w:r>
        <w:br w:type="page"/>
      </w:r>
    </w:p>
    <w:p w14:paraId="6713F938" w14:textId="029310D5" w:rsidR="00F12615" w:rsidRPr="00961723" w:rsidRDefault="00F12615" w:rsidP="00F12615">
      <w:pPr>
        <w:pStyle w:val="DHHStablecaption"/>
      </w:pPr>
      <w:r>
        <w:lastRenderedPageBreak/>
        <w:t xml:space="preserve">Indicator: </w:t>
      </w:r>
      <w:r w:rsidR="00101E11" w:rsidRPr="005B435A">
        <w:t>Percentage of emergency (Priority Zero) incidents responded to within 13 minutes</w:t>
      </w:r>
    </w:p>
    <w:tbl>
      <w:tblPr>
        <w:tblStyle w:val="TableGrid"/>
        <w:tblW w:w="9300" w:type="dxa"/>
        <w:tblLayout w:type="fixed"/>
        <w:tblLook w:val="06A0" w:firstRow="1" w:lastRow="0" w:firstColumn="1" w:lastColumn="0" w:noHBand="1" w:noVBand="1"/>
      </w:tblPr>
      <w:tblGrid>
        <w:gridCol w:w="2581"/>
        <w:gridCol w:w="6719"/>
      </w:tblGrid>
      <w:tr w:rsidR="00D97737" w:rsidRPr="0098470E" w14:paraId="6792F814"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27B7EEB3" w14:textId="4EAF33AD" w:rsidR="00D97737" w:rsidRPr="005B435A" w:rsidRDefault="00D97737" w:rsidP="00D97737">
            <w:pPr>
              <w:pStyle w:val="DHHStablecolhead"/>
            </w:pPr>
            <w:r>
              <w:t>Element</w:t>
            </w:r>
          </w:p>
        </w:tc>
        <w:tc>
          <w:tcPr>
            <w:tcW w:w="6719" w:type="dxa"/>
          </w:tcPr>
          <w:p w14:paraId="564D1E5F" w14:textId="6A5AE221" w:rsidR="00D97737" w:rsidRPr="005B435A" w:rsidRDefault="00D97737" w:rsidP="00D97737">
            <w:pPr>
              <w:pStyle w:val="DHHStablecolhead"/>
            </w:pPr>
            <w:r>
              <w:t>Details</w:t>
            </w:r>
          </w:p>
        </w:tc>
      </w:tr>
      <w:tr w:rsidR="00921922" w:rsidRPr="0098470E" w14:paraId="7228C6A8" w14:textId="77777777" w:rsidTr="00A32829">
        <w:trPr>
          <w:cantSplit/>
        </w:trPr>
        <w:tc>
          <w:tcPr>
            <w:tcW w:w="2581" w:type="dxa"/>
            <w:hideMark/>
          </w:tcPr>
          <w:p w14:paraId="0C4401BE" w14:textId="77777777" w:rsidR="00921922" w:rsidRPr="0098470E" w:rsidRDefault="00921922" w:rsidP="00603215">
            <w:pPr>
              <w:pStyle w:val="DHHStabletext"/>
              <w:rPr>
                <w:b/>
                <w:bCs/>
                <w:i/>
                <w:iCs/>
              </w:rPr>
            </w:pPr>
            <w:r w:rsidRPr="0098470E">
              <w:t>Description</w:t>
            </w:r>
          </w:p>
        </w:tc>
        <w:tc>
          <w:tcPr>
            <w:tcW w:w="6719" w:type="dxa"/>
            <w:hideMark/>
          </w:tcPr>
          <w:p w14:paraId="28038DC6" w14:textId="572AD9E3" w:rsidR="00921922" w:rsidRPr="0098470E" w:rsidRDefault="00921922" w:rsidP="00603215">
            <w:pPr>
              <w:pStyle w:val="DHHStabletext"/>
            </w:pPr>
            <w:r w:rsidRPr="0098470E">
              <w:t>Percentage of emergency (Priority Zero)</w:t>
            </w:r>
            <w:r>
              <w:t xml:space="preserve"> </w:t>
            </w:r>
            <w:r w:rsidRPr="0098470E">
              <w:t>cases attended</w:t>
            </w:r>
            <w:r>
              <w:t xml:space="preserve"> </w:t>
            </w:r>
            <w:r w:rsidRPr="0098470E">
              <w:t xml:space="preserve">within 13 minutes of the </w:t>
            </w:r>
            <w:r w:rsidR="00543DF1">
              <w:t>t</w:t>
            </w:r>
            <w:r w:rsidRPr="0098470E">
              <w:t xml:space="preserve">riple </w:t>
            </w:r>
            <w:r w:rsidR="00543DF1">
              <w:t>z</w:t>
            </w:r>
            <w:r w:rsidRPr="0098470E">
              <w:t>ero (000) call.</w:t>
            </w:r>
          </w:p>
          <w:p w14:paraId="2B629DCD" w14:textId="77777777" w:rsidR="00921922" w:rsidRPr="0098470E" w:rsidRDefault="00921922" w:rsidP="00603215">
            <w:pPr>
              <w:pStyle w:val="DHHStabletext"/>
            </w:pPr>
            <w:r w:rsidRPr="0098470E">
              <w:t>Statewide response times are an indicator of the provision of accessible and effective ambulance service to communities.</w:t>
            </w:r>
          </w:p>
          <w:p w14:paraId="014C9625" w14:textId="77777777" w:rsidR="00921922" w:rsidRPr="00D91C1B" w:rsidRDefault="00921922" w:rsidP="00603215">
            <w:pPr>
              <w:pStyle w:val="DHHStabletext"/>
            </w:pPr>
            <w:r w:rsidRPr="0098470E">
              <w:t>Priority Zero cases are immediately life-threatening emergencies where patient is known or sus</w:t>
            </w:r>
            <w:r>
              <w:t>pected to be in cardiac arrest.</w:t>
            </w:r>
          </w:p>
        </w:tc>
      </w:tr>
      <w:tr w:rsidR="00921922" w:rsidRPr="0098470E" w14:paraId="1A92F763" w14:textId="77777777" w:rsidTr="00A32829">
        <w:trPr>
          <w:cantSplit/>
        </w:trPr>
        <w:tc>
          <w:tcPr>
            <w:tcW w:w="2581" w:type="dxa"/>
            <w:hideMark/>
          </w:tcPr>
          <w:p w14:paraId="215A043C" w14:textId="77777777" w:rsidR="00921922" w:rsidRPr="0098470E" w:rsidRDefault="00921922" w:rsidP="00603215">
            <w:pPr>
              <w:pStyle w:val="DHHStabletext"/>
              <w:rPr>
                <w:b/>
                <w:bCs/>
                <w:i/>
                <w:iCs/>
              </w:rPr>
            </w:pPr>
            <w:r w:rsidRPr="0098470E">
              <w:t>Calculating performance</w:t>
            </w:r>
          </w:p>
        </w:tc>
        <w:tc>
          <w:tcPr>
            <w:tcW w:w="6719" w:type="dxa"/>
          </w:tcPr>
          <w:p w14:paraId="156131B7" w14:textId="2B3B784B" w:rsidR="00921922" w:rsidRDefault="00921922" w:rsidP="00603215">
            <w:pPr>
              <w:pStyle w:val="DHHStabletext"/>
            </w:pPr>
            <w:r w:rsidRPr="0098470E">
              <w:t xml:space="preserve">Response time measures the time from a </w:t>
            </w:r>
            <w:r w:rsidR="00543DF1">
              <w:t>t</w:t>
            </w:r>
            <w:r w:rsidRPr="0098470E">
              <w:t xml:space="preserve">riple </w:t>
            </w:r>
            <w:r w:rsidR="00543DF1">
              <w:t>z</w:t>
            </w:r>
            <w:r w:rsidRPr="0098470E">
              <w:t xml:space="preserve">ero (000) call being answered by </w:t>
            </w:r>
            <w:r w:rsidR="00543DF1">
              <w:t>ESTA</w:t>
            </w:r>
            <w:r w:rsidRPr="0098470E">
              <w:t xml:space="preserve"> to the time of the first arrival at the incident scene of an Ambulance Victoria paramedic, a community emergency response team or an ambulance community officer.</w:t>
            </w:r>
          </w:p>
          <w:p w14:paraId="4CBCEAA2" w14:textId="77777777" w:rsidR="00921922" w:rsidRDefault="00921922" w:rsidP="00603215">
            <w:pPr>
              <w:pStyle w:val="DHHStabletext"/>
            </w:pPr>
            <w:r w:rsidRPr="0098470E">
              <w:t>This indicator applies to all emergency road Priority Zero incidents responded to statewide.</w:t>
            </w:r>
          </w:p>
          <w:p w14:paraId="068228B0" w14:textId="77777777" w:rsidR="00921922" w:rsidRDefault="00921922" w:rsidP="00603215">
            <w:pPr>
              <w:pStyle w:val="DHHStabletext"/>
            </w:pPr>
            <w:r w:rsidRPr="0098470E">
              <w:t>This indicator excludes:</w:t>
            </w:r>
          </w:p>
          <w:p w14:paraId="4A5FA7A0" w14:textId="77777777" w:rsidR="00921922" w:rsidRDefault="00921922" w:rsidP="00A32829">
            <w:pPr>
              <w:pStyle w:val="DHHStablebullet1"/>
            </w:pPr>
            <w:r w:rsidRPr="0098470E">
              <w:t>incidents for which the response time was recorded as &gt; 2 hours or where there are missing time stamps</w:t>
            </w:r>
          </w:p>
          <w:p w14:paraId="52AE8E19" w14:textId="77777777" w:rsidR="00921922" w:rsidRDefault="00921922" w:rsidP="00A32829">
            <w:pPr>
              <w:pStyle w:val="DHHStablebullet1"/>
            </w:pPr>
            <w:r w:rsidRPr="0098470E">
              <w:t>responses to ambulance incidents by the Metropolitan Fire Brigade, the Country Fire Authority, NSW Ambulance Service and remote area nurses</w:t>
            </w:r>
          </w:p>
          <w:p w14:paraId="0D8E4148" w14:textId="77777777" w:rsidR="00921922" w:rsidRDefault="00921922" w:rsidP="00A32829">
            <w:pPr>
              <w:pStyle w:val="DHHStablebullet1"/>
            </w:pPr>
            <w:r w:rsidRPr="0098470E">
              <w:t>responses by air ambulance resources.</w:t>
            </w:r>
          </w:p>
          <w:p w14:paraId="256B25B9" w14:textId="77777777" w:rsidR="00921922" w:rsidRPr="0098470E" w:rsidRDefault="00921922" w:rsidP="00603215">
            <w:pPr>
              <w:pStyle w:val="DHHStabletext"/>
            </w:pPr>
            <w:r w:rsidRPr="0098470E">
              <w:t>This indicator is expressed as a p</w:t>
            </w:r>
            <w:r>
              <w:t>ercentage to one decimal place.</w:t>
            </w:r>
          </w:p>
        </w:tc>
      </w:tr>
      <w:tr w:rsidR="00921922" w:rsidRPr="0098470E" w14:paraId="6EB8BD91" w14:textId="77777777" w:rsidTr="00A32829">
        <w:trPr>
          <w:cantSplit/>
        </w:trPr>
        <w:tc>
          <w:tcPr>
            <w:tcW w:w="2581" w:type="dxa"/>
            <w:hideMark/>
          </w:tcPr>
          <w:p w14:paraId="132947E4" w14:textId="77777777" w:rsidR="00921922" w:rsidRPr="0098470E" w:rsidRDefault="00921922" w:rsidP="00603215">
            <w:pPr>
              <w:pStyle w:val="DHHStabletext"/>
              <w:rPr>
                <w:b/>
                <w:bCs/>
                <w:i/>
                <w:iCs/>
              </w:rPr>
            </w:pPr>
            <w:r w:rsidRPr="0098470E">
              <w:t>Numerator</w:t>
            </w:r>
          </w:p>
        </w:tc>
        <w:tc>
          <w:tcPr>
            <w:tcW w:w="6719" w:type="dxa"/>
          </w:tcPr>
          <w:p w14:paraId="31B7AEC6" w14:textId="70B80829" w:rsidR="00921922" w:rsidRPr="0098470E" w:rsidRDefault="00921922" w:rsidP="00603215">
            <w:pPr>
              <w:pStyle w:val="DHHStabletext"/>
            </w:pPr>
            <w:r w:rsidRPr="0098470E">
              <w:t>The sum of all first arrival responses from each emergency road Priority Zero incident responded to within 13 minutes</w:t>
            </w:r>
            <w:r w:rsidR="00543DF1">
              <w:t>.</w:t>
            </w:r>
          </w:p>
        </w:tc>
      </w:tr>
      <w:tr w:rsidR="00921922" w:rsidRPr="0098470E" w14:paraId="2107130F" w14:textId="77777777" w:rsidTr="00A32829">
        <w:trPr>
          <w:cantSplit/>
        </w:trPr>
        <w:tc>
          <w:tcPr>
            <w:tcW w:w="2581" w:type="dxa"/>
            <w:hideMark/>
          </w:tcPr>
          <w:p w14:paraId="404D4322" w14:textId="77777777" w:rsidR="00921922" w:rsidRPr="0098470E" w:rsidRDefault="00921922" w:rsidP="00603215">
            <w:pPr>
              <w:pStyle w:val="DHHStabletext"/>
              <w:rPr>
                <w:b/>
                <w:bCs/>
                <w:i/>
                <w:iCs/>
              </w:rPr>
            </w:pPr>
            <w:r w:rsidRPr="0098470E">
              <w:t>Denominator</w:t>
            </w:r>
          </w:p>
        </w:tc>
        <w:tc>
          <w:tcPr>
            <w:tcW w:w="6719" w:type="dxa"/>
          </w:tcPr>
          <w:p w14:paraId="6F155913" w14:textId="0A289CE4" w:rsidR="00921922" w:rsidRPr="0098470E" w:rsidRDefault="00921922" w:rsidP="00603215">
            <w:pPr>
              <w:pStyle w:val="DHHStabletext"/>
            </w:pPr>
            <w:r w:rsidRPr="0098470E">
              <w:t>Total number of emergency road Priority Zero incidents responded to in that same reporting period</w:t>
            </w:r>
            <w:r w:rsidR="00543DF1">
              <w:t>.</w:t>
            </w:r>
          </w:p>
        </w:tc>
      </w:tr>
      <w:tr w:rsidR="00921922" w:rsidRPr="0098470E" w14:paraId="1186F4B7" w14:textId="77777777" w:rsidTr="00A32829">
        <w:trPr>
          <w:cantSplit/>
        </w:trPr>
        <w:tc>
          <w:tcPr>
            <w:tcW w:w="2581" w:type="dxa"/>
            <w:hideMark/>
          </w:tcPr>
          <w:p w14:paraId="2772E252" w14:textId="77777777" w:rsidR="00921922" w:rsidRPr="0098470E" w:rsidRDefault="00921922" w:rsidP="00603215">
            <w:pPr>
              <w:pStyle w:val="DHHStabletext"/>
            </w:pPr>
            <w:r w:rsidRPr="0098470E">
              <w:t>Risk flag</w:t>
            </w:r>
          </w:p>
        </w:tc>
        <w:tc>
          <w:tcPr>
            <w:tcW w:w="6719" w:type="dxa"/>
            <w:hideMark/>
          </w:tcPr>
          <w:p w14:paraId="7D611C48" w14:textId="77777777" w:rsidR="00921922" w:rsidRPr="0098470E" w:rsidRDefault="00921922" w:rsidP="00603215">
            <w:pPr>
              <w:pStyle w:val="DHHStabletext"/>
            </w:pPr>
            <w:r w:rsidRPr="0098470E">
              <w:t>85%</w:t>
            </w:r>
          </w:p>
        </w:tc>
      </w:tr>
      <w:tr w:rsidR="0017595B" w:rsidRPr="0098470E" w14:paraId="479C4D5B" w14:textId="77777777" w:rsidTr="0017595B">
        <w:trPr>
          <w:cantSplit/>
        </w:trPr>
        <w:tc>
          <w:tcPr>
            <w:tcW w:w="2581" w:type="dxa"/>
            <w:hideMark/>
          </w:tcPr>
          <w:p w14:paraId="0166BC05" w14:textId="77777777" w:rsidR="0017595B" w:rsidRPr="0098470E" w:rsidRDefault="0017595B" w:rsidP="00603215">
            <w:pPr>
              <w:pStyle w:val="DHHStabletext"/>
            </w:pPr>
            <w:r w:rsidRPr="0098470E">
              <w:t>Achievement</w:t>
            </w:r>
          </w:p>
        </w:tc>
        <w:tc>
          <w:tcPr>
            <w:tcW w:w="6719" w:type="dxa"/>
            <w:hideMark/>
          </w:tcPr>
          <w:p w14:paraId="503EC3D2" w14:textId="20681AE7" w:rsidR="0017595B" w:rsidRPr="0098470E" w:rsidRDefault="0017595B" w:rsidP="0017595B">
            <w:pPr>
              <w:pStyle w:val="DHHStabletext92mmtab"/>
            </w:pPr>
            <w:r w:rsidRPr="0098470E">
              <w:t>Equal to or above 85%</w:t>
            </w:r>
            <w:r>
              <w:tab/>
              <w:t>Achieved</w:t>
            </w:r>
          </w:p>
          <w:p w14:paraId="21D370D5" w14:textId="3900B4A9" w:rsidR="0017595B" w:rsidRPr="0098470E" w:rsidRDefault="0017595B" w:rsidP="0017595B">
            <w:pPr>
              <w:pStyle w:val="DHHStabletext92mmtab"/>
            </w:pPr>
            <w:r w:rsidRPr="0098470E">
              <w:t>Below 85%</w:t>
            </w:r>
            <w:r>
              <w:tab/>
              <w:t>Not achieved</w:t>
            </w:r>
          </w:p>
        </w:tc>
      </w:tr>
      <w:tr w:rsidR="00921922" w:rsidRPr="0098470E" w14:paraId="195EB7FC" w14:textId="77777777" w:rsidTr="00A32829">
        <w:trPr>
          <w:cantSplit/>
        </w:trPr>
        <w:tc>
          <w:tcPr>
            <w:tcW w:w="2581" w:type="dxa"/>
          </w:tcPr>
          <w:p w14:paraId="7ED68F9E" w14:textId="77777777" w:rsidR="00921922" w:rsidRPr="0098470E" w:rsidRDefault="00921922" w:rsidP="00603215">
            <w:pPr>
              <w:pStyle w:val="DHHStabletext"/>
            </w:pPr>
            <w:r>
              <w:t>Improvement</w:t>
            </w:r>
          </w:p>
        </w:tc>
        <w:tc>
          <w:tcPr>
            <w:tcW w:w="6719" w:type="dxa"/>
          </w:tcPr>
          <w:p w14:paraId="0850A88C" w14:textId="77777777" w:rsidR="00921922" w:rsidRDefault="00921922" w:rsidP="00603215">
            <w:pPr>
              <w:pStyle w:val="DHHStabletext"/>
            </w:pPr>
            <w:r>
              <w:t xml:space="preserve">For the purpose of the performance risk assessment, improvement </w:t>
            </w:r>
            <w:r w:rsidRPr="0098470E">
              <w:t>is compared to same time last year performance.</w:t>
            </w:r>
          </w:p>
        </w:tc>
      </w:tr>
      <w:tr w:rsidR="00921922" w:rsidRPr="0098470E" w14:paraId="09964708" w14:textId="77777777" w:rsidTr="00A32829">
        <w:trPr>
          <w:cantSplit/>
        </w:trPr>
        <w:tc>
          <w:tcPr>
            <w:tcW w:w="2581" w:type="dxa"/>
            <w:hideMark/>
          </w:tcPr>
          <w:p w14:paraId="61C51011" w14:textId="77777777" w:rsidR="00921922" w:rsidRPr="0098470E" w:rsidRDefault="00921922" w:rsidP="00603215">
            <w:pPr>
              <w:pStyle w:val="DHHStabletext"/>
            </w:pPr>
            <w:r w:rsidRPr="0098470E">
              <w:t>Frequency of reporting and data collection</w:t>
            </w:r>
          </w:p>
        </w:tc>
        <w:tc>
          <w:tcPr>
            <w:tcW w:w="6719" w:type="dxa"/>
            <w:hideMark/>
          </w:tcPr>
          <w:p w14:paraId="60064DFD" w14:textId="77777777" w:rsidR="00921922" w:rsidRPr="0098470E" w:rsidRDefault="00921922" w:rsidP="00603215">
            <w:pPr>
              <w:pStyle w:val="DHHStabletext"/>
            </w:pPr>
            <w:r w:rsidRPr="0098470E">
              <w:t>Performance is monitored and assessed monthly.</w:t>
            </w:r>
          </w:p>
          <w:p w14:paraId="6CEADFBD" w14:textId="77777777" w:rsidR="00921922" w:rsidRPr="0098470E" w:rsidRDefault="00921922" w:rsidP="00603215">
            <w:pPr>
              <w:pStyle w:val="DHHStabletext"/>
            </w:pPr>
            <w:r w:rsidRPr="0098470E">
              <w:t>Ambulance Victoria submits data to the department monthly.</w:t>
            </w:r>
          </w:p>
        </w:tc>
      </w:tr>
    </w:tbl>
    <w:p w14:paraId="580CE96B" w14:textId="77777777" w:rsidR="00F1426A" w:rsidRDefault="00F1426A">
      <w:pPr>
        <w:spacing w:after="200" w:line="276" w:lineRule="auto"/>
        <w:rPr>
          <w:rFonts w:ascii="Arial" w:hAnsi="Arial"/>
          <w:b/>
        </w:rPr>
      </w:pPr>
      <w:r>
        <w:br w:type="page"/>
      </w:r>
    </w:p>
    <w:p w14:paraId="6AA80D82" w14:textId="552A6FB9" w:rsidR="00F12615" w:rsidRPr="00961723" w:rsidRDefault="00F12615" w:rsidP="00F12615">
      <w:pPr>
        <w:pStyle w:val="DHHStablecaption"/>
      </w:pPr>
      <w:r>
        <w:lastRenderedPageBreak/>
        <w:t xml:space="preserve">Indicator: </w:t>
      </w:r>
      <w:r w:rsidR="00101E11" w:rsidRPr="005B435A">
        <w:t>Percentage of emergency Code 1 incidents responded to within 15 minutes in centres with a population greater than 7,500</w:t>
      </w:r>
    </w:p>
    <w:tbl>
      <w:tblPr>
        <w:tblStyle w:val="TableGrid"/>
        <w:tblW w:w="9300" w:type="dxa"/>
        <w:tblLayout w:type="fixed"/>
        <w:tblLook w:val="06A0" w:firstRow="1" w:lastRow="0" w:firstColumn="1" w:lastColumn="0" w:noHBand="1" w:noVBand="1"/>
      </w:tblPr>
      <w:tblGrid>
        <w:gridCol w:w="2552"/>
        <w:gridCol w:w="6748"/>
      </w:tblGrid>
      <w:tr w:rsidR="00D97737" w:rsidRPr="0098470E" w14:paraId="35A21057"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70B219E9" w14:textId="63D049C6" w:rsidR="00D97737" w:rsidRPr="005B435A" w:rsidRDefault="00D97737" w:rsidP="00D97737">
            <w:pPr>
              <w:pStyle w:val="DHHStablecolhead"/>
            </w:pPr>
            <w:r>
              <w:t>Element</w:t>
            </w:r>
          </w:p>
        </w:tc>
        <w:tc>
          <w:tcPr>
            <w:tcW w:w="6748" w:type="dxa"/>
          </w:tcPr>
          <w:p w14:paraId="7B98F2A8" w14:textId="6697C46A" w:rsidR="00D97737" w:rsidRPr="005B435A" w:rsidRDefault="00D97737" w:rsidP="00D97737">
            <w:pPr>
              <w:pStyle w:val="DHHStablecolhead"/>
            </w:pPr>
            <w:r>
              <w:t>Details</w:t>
            </w:r>
          </w:p>
        </w:tc>
      </w:tr>
      <w:tr w:rsidR="00921922" w:rsidRPr="0098470E" w14:paraId="68015503" w14:textId="77777777" w:rsidTr="00A32829">
        <w:trPr>
          <w:cantSplit/>
        </w:trPr>
        <w:tc>
          <w:tcPr>
            <w:tcW w:w="2552" w:type="dxa"/>
            <w:hideMark/>
          </w:tcPr>
          <w:p w14:paraId="2559B672" w14:textId="77777777" w:rsidR="00921922" w:rsidRPr="0098470E" w:rsidRDefault="00921922" w:rsidP="00603215">
            <w:pPr>
              <w:pStyle w:val="DHHStabletext"/>
            </w:pPr>
            <w:r w:rsidRPr="0098470E">
              <w:t>Description</w:t>
            </w:r>
          </w:p>
        </w:tc>
        <w:tc>
          <w:tcPr>
            <w:tcW w:w="6748" w:type="dxa"/>
            <w:hideMark/>
          </w:tcPr>
          <w:p w14:paraId="7DB8E8E9" w14:textId="77777777" w:rsidR="00921922" w:rsidRPr="0098470E" w:rsidRDefault="00921922" w:rsidP="00603215">
            <w:pPr>
              <w:pStyle w:val="DHHStabletext"/>
            </w:pPr>
            <w:r w:rsidRPr="0098470E">
              <w:t>Statewide response times are an indicator of the provision of accessible and effective ambulance service to communities.</w:t>
            </w:r>
          </w:p>
          <w:p w14:paraId="39CC2702" w14:textId="77777777" w:rsidR="00921922" w:rsidRPr="0098470E" w:rsidRDefault="00921922" w:rsidP="00603215">
            <w:pPr>
              <w:pStyle w:val="DHHStabletext"/>
            </w:pPr>
            <w:r w:rsidRPr="0098470E">
              <w:t>Code 1 incidents are potentially life threatening and are time-critical, requiring a lights and sirens re</w:t>
            </w:r>
            <w:r>
              <w:t>sponse.</w:t>
            </w:r>
          </w:p>
        </w:tc>
      </w:tr>
      <w:tr w:rsidR="00921922" w:rsidRPr="0098470E" w14:paraId="4E61C6BF" w14:textId="77777777" w:rsidTr="00A32829">
        <w:trPr>
          <w:cantSplit/>
        </w:trPr>
        <w:tc>
          <w:tcPr>
            <w:tcW w:w="2552" w:type="dxa"/>
            <w:hideMark/>
          </w:tcPr>
          <w:p w14:paraId="16273367" w14:textId="77777777" w:rsidR="00921922" w:rsidRPr="0098470E" w:rsidRDefault="00921922" w:rsidP="00603215">
            <w:pPr>
              <w:pStyle w:val="DHHStabletext"/>
            </w:pPr>
            <w:r w:rsidRPr="0098470E">
              <w:t>Calculating performance</w:t>
            </w:r>
          </w:p>
        </w:tc>
        <w:tc>
          <w:tcPr>
            <w:tcW w:w="6748" w:type="dxa"/>
            <w:hideMark/>
          </w:tcPr>
          <w:p w14:paraId="78EBABB0" w14:textId="627BEA9A" w:rsidR="00921922" w:rsidRPr="0098470E" w:rsidRDefault="00921922" w:rsidP="00603215">
            <w:pPr>
              <w:pStyle w:val="DHHStabletext"/>
            </w:pPr>
            <w:r w:rsidRPr="0098470E">
              <w:t xml:space="preserve">Response time measures the time from a triple zero (000) call being answered by </w:t>
            </w:r>
            <w:r w:rsidR="00543DF1">
              <w:t>ESTA</w:t>
            </w:r>
            <w:r w:rsidRPr="0098470E">
              <w:t xml:space="preserve"> to the time of the first arrival at the incident scene of an Ambulance Victoria paramedic, a community emergency response team or an ambulance community officer.</w:t>
            </w:r>
          </w:p>
          <w:p w14:paraId="042684C3" w14:textId="77777777" w:rsidR="00921922" w:rsidRPr="0098470E" w:rsidRDefault="00921922" w:rsidP="00603215">
            <w:pPr>
              <w:pStyle w:val="DHHStabletext"/>
            </w:pPr>
            <w:r w:rsidRPr="0098470E">
              <w:t>Urban response times are emergency (Code 1) incidents responded to within 15 minutes in centres with a population &gt; 7,500. Urban centres with a population &gt; 7,500 are identified using the Australian Bureau of Statistics resident population statistics and Urban Centre Locality (UCL) boundaries.</w:t>
            </w:r>
          </w:p>
          <w:p w14:paraId="54BFF033" w14:textId="77777777" w:rsidR="00921922" w:rsidRDefault="00921922" w:rsidP="00603215">
            <w:pPr>
              <w:pStyle w:val="DHHStabletext"/>
            </w:pPr>
            <w:r w:rsidRPr="0098470E">
              <w:t>This indicator applies to all emergency road Code 1 incidents responded to in centres with a population &gt; 7,500.</w:t>
            </w:r>
          </w:p>
          <w:p w14:paraId="626EB9AE" w14:textId="77777777" w:rsidR="00921922" w:rsidRPr="0098470E" w:rsidRDefault="00921922" w:rsidP="00603215">
            <w:pPr>
              <w:pStyle w:val="DHHStabletext"/>
            </w:pPr>
            <w:r w:rsidRPr="0098470E">
              <w:t>The locations of Code 1 incidents are identified using the</w:t>
            </w:r>
            <w:r w:rsidRPr="0098470E">
              <w:rPr>
                <w:i/>
              </w:rPr>
              <w:t xml:space="preserve"> x</w:t>
            </w:r>
            <w:r w:rsidRPr="0098470E">
              <w:t xml:space="preserve"> and </w:t>
            </w:r>
            <w:r w:rsidRPr="0098470E">
              <w:rPr>
                <w:i/>
              </w:rPr>
              <w:t>y</w:t>
            </w:r>
            <w:r w:rsidRPr="0098470E">
              <w:t xml:space="preserve"> coordinates generated by the ESTA Computer Aided Dispatch (CAD) system. These coordinates are mapped to UCL boundaries to identify those events that fall within the UCLs where the population exceeds 7,500.</w:t>
            </w:r>
          </w:p>
          <w:p w14:paraId="4CD62A4B" w14:textId="77777777" w:rsidR="00921922" w:rsidRPr="0098470E" w:rsidRDefault="00921922" w:rsidP="00603215">
            <w:pPr>
              <w:pStyle w:val="DHHStabletext"/>
            </w:pPr>
            <w:r w:rsidRPr="0098470E">
              <w:t>This indicator excludes:</w:t>
            </w:r>
          </w:p>
          <w:p w14:paraId="4F21502B" w14:textId="77777777" w:rsidR="00921922" w:rsidRPr="0098470E" w:rsidRDefault="00921922" w:rsidP="00603215">
            <w:pPr>
              <w:pStyle w:val="DHHStablebullet1"/>
            </w:pPr>
            <w:r w:rsidRPr="0098470E">
              <w:t>incidents for which the response time was recorded as &gt; 2 hours or where there are missing time stamps</w:t>
            </w:r>
          </w:p>
          <w:p w14:paraId="4C0D620E" w14:textId="77777777" w:rsidR="00921922" w:rsidRPr="0098470E" w:rsidRDefault="00921922" w:rsidP="00603215">
            <w:pPr>
              <w:pStyle w:val="DHHStablebullet1"/>
            </w:pPr>
            <w:r w:rsidRPr="0098470E">
              <w:t>responses to ambulance incidents by the Metropolitan Fire Brigade, the Country Fire Authority, NSW Ambulance Service and remote area nurse</w:t>
            </w:r>
          </w:p>
          <w:p w14:paraId="38778429" w14:textId="77777777" w:rsidR="00921922" w:rsidRPr="0098470E" w:rsidRDefault="00921922" w:rsidP="00603215">
            <w:pPr>
              <w:pStyle w:val="DHHStablebullet1"/>
            </w:pPr>
            <w:r w:rsidRPr="0098470E">
              <w:t>responses by air ambulance resources.</w:t>
            </w:r>
          </w:p>
          <w:p w14:paraId="5C15E0E6" w14:textId="77777777" w:rsidR="00921922" w:rsidRPr="0098470E" w:rsidRDefault="00921922" w:rsidP="00603215">
            <w:pPr>
              <w:pStyle w:val="DHHStabletext"/>
            </w:pPr>
            <w:r w:rsidRPr="0098470E">
              <w:t>This indicator is expressed as a p</w:t>
            </w:r>
            <w:r>
              <w:t>ercentage to one decimal place.</w:t>
            </w:r>
          </w:p>
        </w:tc>
      </w:tr>
      <w:tr w:rsidR="00921922" w:rsidRPr="0098470E" w14:paraId="4EE0E45C" w14:textId="77777777" w:rsidTr="00A32829">
        <w:trPr>
          <w:cantSplit/>
        </w:trPr>
        <w:tc>
          <w:tcPr>
            <w:tcW w:w="2552" w:type="dxa"/>
            <w:hideMark/>
          </w:tcPr>
          <w:p w14:paraId="18127C82" w14:textId="77777777" w:rsidR="00921922" w:rsidRPr="0098470E" w:rsidRDefault="00921922" w:rsidP="00603215">
            <w:pPr>
              <w:pStyle w:val="DHHStabletext"/>
            </w:pPr>
            <w:r w:rsidRPr="0098470E">
              <w:t>Numerator</w:t>
            </w:r>
          </w:p>
        </w:tc>
        <w:tc>
          <w:tcPr>
            <w:tcW w:w="6748" w:type="dxa"/>
            <w:hideMark/>
          </w:tcPr>
          <w:p w14:paraId="183F4904" w14:textId="6A316F57" w:rsidR="00921922" w:rsidRPr="0098470E" w:rsidRDefault="00921922" w:rsidP="00603215">
            <w:pPr>
              <w:pStyle w:val="DHHStabletext"/>
            </w:pPr>
            <w:r w:rsidRPr="0098470E">
              <w:t xml:space="preserve">Number of emergency Code 1 incidents aggregated across all the UCLs with a population &gt; 7,500 responded to within </w:t>
            </w:r>
            <w:r w:rsidRPr="0098470E">
              <w:rPr>
                <w:bCs/>
              </w:rPr>
              <w:t xml:space="preserve">(≤) </w:t>
            </w:r>
            <w:r w:rsidRPr="0098470E">
              <w:t>15 minutes</w:t>
            </w:r>
            <w:r w:rsidR="004F1807">
              <w:t>.</w:t>
            </w:r>
          </w:p>
        </w:tc>
      </w:tr>
      <w:tr w:rsidR="00921922" w:rsidRPr="0098470E" w14:paraId="5F125721" w14:textId="77777777" w:rsidTr="00A32829">
        <w:trPr>
          <w:cantSplit/>
        </w:trPr>
        <w:tc>
          <w:tcPr>
            <w:tcW w:w="2552" w:type="dxa"/>
            <w:hideMark/>
          </w:tcPr>
          <w:p w14:paraId="24A58952" w14:textId="77777777" w:rsidR="00921922" w:rsidRPr="0098470E" w:rsidRDefault="00921922" w:rsidP="00603215">
            <w:pPr>
              <w:pStyle w:val="DHHStabletext"/>
            </w:pPr>
            <w:r w:rsidRPr="0098470E">
              <w:t>Denominator</w:t>
            </w:r>
          </w:p>
        </w:tc>
        <w:tc>
          <w:tcPr>
            <w:tcW w:w="6748" w:type="dxa"/>
            <w:hideMark/>
          </w:tcPr>
          <w:p w14:paraId="7D91D7D7" w14:textId="18AA5545" w:rsidR="00921922" w:rsidRPr="0098470E" w:rsidRDefault="00921922" w:rsidP="00603215">
            <w:pPr>
              <w:pStyle w:val="DHHStabletext"/>
            </w:pPr>
            <w:r w:rsidRPr="0098470E">
              <w:t>Total number of emergency Code 1 incidents across all the UCLs with a population &gt; 7,500 responded to in that same reporting period</w:t>
            </w:r>
            <w:r w:rsidR="004F1807">
              <w:t>.</w:t>
            </w:r>
          </w:p>
        </w:tc>
      </w:tr>
      <w:tr w:rsidR="00921922" w:rsidRPr="0098470E" w14:paraId="657C6243" w14:textId="77777777" w:rsidTr="00A32829">
        <w:trPr>
          <w:cantSplit/>
        </w:trPr>
        <w:tc>
          <w:tcPr>
            <w:tcW w:w="2552" w:type="dxa"/>
            <w:hideMark/>
          </w:tcPr>
          <w:p w14:paraId="5DA568EC" w14:textId="77777777" w:rsidR="00921922" w:rsidRPr="0098470E" w:rsidRDefault="00921922" w:rsidP="00603215">
            <w:pPr>
              <w:pStyle w:val="DHHStabletext"/>
            </w:pPr>
            <w:r w:rsidRPr="0098470E">
              <w:t>Statewide target</w:t>
            </w:r>
          </w:p>
        </w:tc>
        <w:tc>
          <w:tcPr>
            <w:tcW w:w="6748" w:type="dxa"/>
            <w:hideMark/>
          </w:tcPr>
          <w:p w14:paraId="2DB72111" w14:textId="77777777" w:rsidR="00921922" w:rsidRPr="0098470E" w:rsidRDefault="00921922" w:rsidP="00603215">
            <w:pPr>
              <w:pStyle w:val="DHHStabletext"/>
            </w:pPr>
            <w:r w:rsidRPr="0098470E">
              <w:t>90%</w:t>
            </w:r>
          </w:p>
        </w:tc>
      </w:tr>
      <w:tr w:rsidR="0017595B" w:rsidRPr="0098470E" w14:paraId="06F23739" w14:textId="77777777" w:rsidTr="0017595B">
        <w:trPr>
          <w:cantSplit/>
        </w:trPr>
        <w:tc>
          <w:tcPr>
            <w:tcW w:w="2552" w:type="dxa"/>
          </w:tcPr>
          <w:p w14:paraId="6FD2A36A" w14:textId="77777777" w:rsidR="0017595B" w:rsidRPr="0098470E" w:rsidRDefault="0017595B" w:rsidP="00603215">
            <w:pPr>
              <w:pStyle w:val="DHHStabletext"/>
            </w:pPr>
            <w:r w:rsidRPr="0098470E">
              <w:t>Achievement</w:t>
            </w:r>
          </w:p>
        </w:tc>
        <w:tc>
          <w:tcPr>
            <w:tcW w:w="6748" w:type="dxa"/>
          </w:tcPr>
          <w:p w14:paraId="31122115" w14:textId="1024316A" w:rsidR="0017595B" w:rsidRPr="0098470E" w:rsidRDefault="0017595B" w:rsidP="0017595B">
            <w:pPr>
              <w:pStyle w:val="DHHStabletext92mmtab"/>
            </w:pPr>
            <w:r w:rsidRPr="0098470E">
              <w:t>Equal to or greater than 90%</w:t>
            </w:r>
            <w:r>
              <w:tab/>
              <w:t>Achieved</w:t>
            </w:r>
          </w:p>
          <w:p w14:paraId="2A4728BA" w14:textId="24DA3FC6" w:rsidR="0017595B" w:rsidRPr="0098470E" w:rsidRDefault="0017595B" w:rsidP="0017595B">
            <w:pPr>
              <w:pStyle w:val="DHHStabletext92mmtab"/>
            </w:pPr>
            <w:r w:rsidRPr="0098470E">
              <w:t>Less than 90%</w:t>
            </w:r>
            <w:r>
              <w:tab/>
              <w:t>Not achieved</w:t>
            </w:r>
          </w:p>
        </w:tc>
      </w:tr>
      <w:tr w:rsidR="00921922" w:rsidRPr="0098470E" w14:paraId="5330D438" w14:textId="77777777" w:rsidTr="00A32829">
        <w:trPr>
          <w:cantSplit/>
        </w:trPr>
        <w:tc>
          <w:tcPr>
            <w:tcW w:w="2552" w:type="dxa"/>
          </w:tcPr>
          <w:p w14:paraId="5BB613EF" w14:textId="77777777" w:rsidR="00921922" w:rsidRPr="0098470E" w:rsidRDefault="00921922" w:rsidP="00603215">
            <w:pPr>
              <w:pStyle w:val="DHHStabletext"/>
            </w:pPr>
            <w:r>
              <w:t>Improvement</w:t>
            </w:r>
          </w:p>
        </w:tc>
        <w:tc>
          <w:tcPr>
            <w:tcW w:w="6748" w:type="dxa"/>
          </w:tcPr>
          <w:p w14:paraId="7327A6A4" w14:textId="77777777" w:rsidR="00921922" w:rsidRDefault="00921922" w:rsidP="00603215">
            <w:pPr>
              <w:pStyle w:val="DHHStabletext"/>
            </w:pPr>
            <w:r>
              <w:t xml:space="preserve">For the purpose of the performance risk assessment, improvement </w:t>
            </w:r>
            <w:r w:rsidRPr="0098470E">
              <w:t>is compared to same time last year performance.</w:t>
            </w:r>
          </w:p>
        </w:tc>
      </w:tr>
      <w:tr w:rsidR="00921922" w:rsidRPr="0098470E" w14:paraId="69F47598" w14:textId="77777777" w:rsidTr="00A32829">
        <w:trPr>
          <w:cantSplit/>
        </w:trPr>
        <w:tc>
          <w:tcPr>
            <w:tcW w:w="2552" w:type="dxa"/>
            <w:hideMark/>
          </w:tcPr>
          <w:p w14:paraId="134A3EE4" w14:textId="77777777" w:rsidR="00921922" w:rsidRPr="0098470E" w:rsidRDefault="00921922" w:rsidP="00603215">
            <w:pPr>
              <w:pStyle w:val="DHHStabletext"/>
            </w:pPr>
            <w:r w:rsidRPr="0098470E">
              <w:t>Frequency of reporting and data collection</w:t>
            </w:r>
          </w:p>
        </w:tc>
        <w:tc>
          <w:tcPr>
            <w:tcW w:w="6748" w:type="dxa"/>
            <w:hideMark/>
          </w:tcPr>
          <w:p w14:paraId="225B5C70" w14:textId="77777777" w:rsidR="00921922" w:rsidRPr="0098470E" w:rsidRDefault="00921922" w:rsidP="00603215">
            <w:pPr>
              <w:pStyle w:val="DHHStabletext"/>
            </w:pPr>
            <w:r w:rsidRPr="0098470E">
              <w:t>Performance is monitored and assessed monthly.</w:t>
            </w:r>
          </w:p>
          <w:p w14:paraId="25F60397" w14:textId="77777777" w:rsidR="00921922" w:rsidRPr="0098470E" w:rsidRDefault="00921922" w:rsidP="00603215">
            <w:pPr>
              <w:pStyle w:val="DHHStabletext"/>
            </w:pPr>
            <w:r w:rsidRPr="0098470E">
              <w:t>Ambulance Victoria submits data to the department monthly.</w:t>
            </w:r>
          </w:p>
        </w:tc>
      </w:tr>
    </w:tbl>
    <w:p w14:paraId="59899145" w14:textId="781A2B2B" w:rsidR="00F12615" w:rsidRPr="00961723" w:rsidRDefault="00F12615" w:rsidP="00F12615">
      <w:pPr>
        <w:pStyle w:val="DHHStablecaption"/>
      </w:pPr>
      <w:r>
        <w:lastRenderedPageBreak/>
        <w:t xml:space="preserve">Indicator: </w:t>
      </w:r>
      <w:r w:rsidR="00101E11" w:rsidRPr="005B435A">
        <w:rPr>
          <w:lang w:val="en-GB"/>
        </w:rPr>
        <w:t>Percentage of triple zero</w:t>
      </w:r>
      <w:r w:rsidR="004F1807">
        <w:rPr>
          <w:lang w:val="en-GB"/>
        </w:rPr>
        <w:t xml:space="preserve"> (000)</w:t>
      </w:r>
      <w:r w:rsidR="00101E11" w:rsidRPr="005B435A">
        <w:rPr>
          <w:lang w:val="en-GB"/>
        </w:rPr>
        <w:t xml:space="preserve"> cases where the caller receives advice or service from another health provider as an alternative to an emergency ambulance response – statewide</w:t>
      </w:r>
    </w:p>
    <w:tbl>
      <w:tblPr>
        <w:tblStyle w:val="TableGrid"/>
        <w:tblW w:w="9300" w:type="dxa"/>
        <w:tblLayout w:type="fixed"/>
        <w:tblLook w:val="06A0" w:firstRow="1" w:lastRow="0" w:firstColumn="1" w:lastColumn="0" w:noHBand="1" w:noVBand="1"/>
      </w:tblPr>
      <w:tblGrid>
        <w:gridCol w:w="2581"/>
        <w:gridCol w:w="6719"/>
      </w:tblGrid>
      <w:tr w:rsidR="00D97737" w:rsidRPr="0098470E" w14:paraId="114263A6"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3B143EA2" w14:textId="3CA69B30" w:rsidR="00D97737" w:rsidRPr="005B435A" w:rsidRDefault="00D97737" w:rsidP="00D97737">
            <w:pPr>
              <w:pStyle w:val="DHHStablecolhead"/>
              <w:rPr>
                <w:lang w:val="en-GB"/>
              </w:rPr>
            </w:pPr>
            <w:r>
              <w:t>Element</w:t>
            </w:r>
          </w:p>
        </w:tc>
        <w:tc>
          <w:tcPr>
            <w:tcW w:w="6719" w:type="dxa"/>
          </w:tcPr>
          <w:p w14:paraId="12B3A80B" w14:textId="2C7A2769" w:rsidR="00D97737" w:rsidRPr="005B435A" w:rsidRDefault="00D97737" w:rsidP="00D97737">
            <w:pPr>
              <w:pStyle w:val="DHHStablecolhead"/>
              <w:rPr>
                <w:lang w:val="en-GB"/>
              </w:rPr>
            </w:pPr>
            <w:r>
              <w:t>Details</w:t>
            </w:r>
          </w:p>
        </w:tc>
      </w:tr>
      <w:tr w:rsidR="00921922" w:rsidRPr="0098470E" w14:paraId="3A00EB61" w14:textId="77777777" w:rsidTr="00A32829">
        <w:trPr>
          <w:cantSplit/>
        </w:trPr>
        <w:tc>
          <w:tcPr>
            <w:tcW w:w="2581" w:type="dxa"/>
            <w:hideMark/>
          </w:tcPr>
          <w:p w14:paraId="3AF58CE1" w14:textId="77777777" w:rsidR="00921922" w:rsidRPr="0098470E" w:rsidRDefault="00921922" w:rsidP="00603215">
            <w:pPr>
              <w:pStyle w:val="DHHStabletext"/>
            </w:pPr>
            <w:r w:rsidRPr="0098470E">
              <w:t>Description</w:t>
            </w:r>
          </w:p>
        </w:tc>
        <w:tc>
          <w:tcPr>
            <w:tcW w:w="6719" w:type="dxa"/>
            <w:hideMark/>
          </w:tcPr>
          <w:p w14:paraId="792A68B4" w14:textId="77777777" w:rsidR="00921922" w:rsidRPr="0098470E" w:rsidRDefault="00921922" w:rsidP="00603215">
            <w:pPr>
              <w:pStyle w:val="DHHStabletext"/>
            </w:pPr>
            <w:r w:rsidRPr="0098470E">
              <w:t>Low-acuity triple zero (000) cases diverted to the Referral Service may be offered a more appropriate alternative to an emergency ambulance dispatch.</w:t>
            </w:r>
          </w:p>
          <w:p w14:paraId="6AFFC0D7" w14:textId="520F575A" w:rsidR="00921922" w:rsidRPr="0098470E" w:rsidRDefault="00921922" w:rsidP="00603215">
            <w:pPr>
              <w:pStyle w:val="DHHStabletext"/>
            </w:pPr>
            <w:r w:rsidRPr="0098470E">
              <w:t xml:space="preserve">A successful referral is when a triple zero </w:t>
            </w:r>
            <w:r w:rsidR="008D5A5D">
              <w:t xml:space="preserve">(000) </w:t>
            </w:r>
            <w:r w:rsidRPr="0098470E">
              <w:t>call does not result in an emergency ambulance dispatch and is diverted to a non-emergency response or referred to an alternative service provider such as a medical practitioner, nursing service, other health professional service, home self-care or advice.</w:t>
            </w:r>
          </w:p>
          <w:p w14:paraId="7095F742" w14:textId="16BE345A" w:rsidR="00921922" w:rsidRPr="0098470E" w:rsidRDefault="00921922" w:rsidP="00603215">
            <w:pPr>
              <w:pStyle w:val="DHHStabletext"/>
            </w:pPr>
            <w:r w:rsidRPr="0098470E">
              <w:t xml:space="preserve">Ambulance Victoria manages call diversion via a Referral Service that performs a secondary triage with the patient, following the primary triage from </w:t>
            </w:r>
            <w:r w:rsidR="008D5A5D">
              <w:t>ESTA</w:t>
            </w:r>
            <w:r w:rsidRPr="0098470E">
              <w:t xml:space="preserve"> call-taker.</w:t>
            </w:r>
          </w:p>
          <w:p w14:paraId="443B8242" w14:textId="77777777" w:rsidR="00921922" w:rsidRPr="0098470E" w:rsidRDefault="00921922" w:rsidP="00603215">
            <w:pPr>
              <w:pStyle w:val="DHHStabletext"/>
            </w:pPr>
            <w:r w:rsidRPr="0098470E">
              <w:t>This indicator applies to all triple zero calls statewide that do not result in an emergency dispatch after triage by the Referral Service.</w:t>
            </w:r>
          </w:p>
        </w:tc>
      </w:tr>
      <w:tr w:rsidR="00921922" w:rsidRPr="0098470E" w14:paraId="54FD7B06" w14:textId="77777777" w:rsidTr="00A32829">
        <w:trPr>
          <w:cantSplit/>
        </w:trPr>
        <w:tc>
          <w:tcPr>
            <w:tcW w:w="2581" w:type="dxa"/>
            <w:hideMark/>
          </w:tcPr>
          <w:p w14:paraId="5052B411" w14:textId="77777777" w:rsidR="00921922" w:rsidRPr="0098470E" w:rsidRDefault="00921922" w:rsidP="00603215">
            <w:pPr>
              <w:pStyle w:val="DHHStabletext"/>
            </w:pPr>
            <w:r w:rsidRPr="0098470E">
              <w:t>Calculating performance</w:t>
            </w:r>
          </w:p>
        </w:tc>
        <w:tc>
          <w:tcPr>
            <w:tcW w:w="6719" w:type="dxa"/>
            <w:hideMark/>
          </w:tcPr>
          <w:p w14:paraId="0FD2C320" w14:textId="77777777" w:rsidR="00921922" w:rsidRPr="0098470E" w:rsidRDefault="00921922" w:rsidP="00603215">
            <w:pPr>
              <w:pStyle w:val="DHHStabletext"/>
            </w:pPr>
            <w:r w:rsidRPr="0098470E">
              <w:t>Proportion of triple zero cases where the caller receives advice or service from another health provider or non-emergency ambulance transport as an alternative to emergency ambulance response statewide.</w:t>
            </w:r>
          </w:p>
          <w:p w14:paraId="23945906" w14:textId="77777777" w:rsidR="00921922" w:rsidRPr="0098470E" w:rsidRDefault="00921922" w:rsidP="00603215">
            <w:pPr>
              <w:pStyle w:val="DHHStabletext"/>
            </w:pPr>
            <w:r w:rsidRPr="0098470E">
              <w:t>This indicator is expressed as a percentage to one decimal place.</w:t>
            </w:r>
          </w:p>
          <w:p w14:paraId="0D281014" w14:textId="77777777" w:rsidR="00921922" w:rsidRPr="0098470E" w:rsidRDefault="00921922" w:rsidP="00603215">
            <w:pPr>
              <w:pStyle w:val="DHHStabletext"/>
            </w:pPr>
            <w:r w:rsidRPr="0098470E">
              <w:t>Improvement is compared to same time last year performance</w:t>
            </w:r>
          </w:p>
        </w:tc>
      </w:tr>
      <w:tr w:rsidR="00921922" w:rsidRPr="0098470E" w14:paraId="642AF46D" w14:textId="77777777" w:rsidTr="00A32829">
        <w:trPr>
          <w:cantSplit/>
        </w:trPr>
        <w:tc>
          <w:tcPr>
            <w:tcW w:w="2581" w:type="dxa"/>
            <w:hideMark/>
          </w:tcPr>
          <w:p w14:paraId="1B657205" w14:textId="77777777" w:rsidR="00921922" w:rsidRPr="0098470E" w:rsidRDefault="00921922" w:rsidP="00603215">
            <w:pPr>
              <w:pStyle w:val="DHHStabletext"/>
            </w:pPr>
            <w:r w:rsidRPr="0098470E">
              <w:t>Numerator</w:t>
            </w:r>
          </w:p>
        </w:tc>
        <w:tc>
          <w:tcPr>
            <w:tcW w:w="6719" w:type="dxa"/>
            <w:hideMark/>
          </w:tcPr>
          <w:p w14:paraId="1DD3DF51" w14:textId="1B21F296" w:rsidR="00921922" w:rsidRPr="0098470E" w:rsidRDefault="00921922" w:rsidP="00603215">
            <w:pPr>
              <w:pStyle w:val="DHHStabletext"/>
            </w:pPr>
            <w:r w:rsidRPr="0098470E">
              <w:t>Total number of cases managed by the Referral Service that did not result in an emergency response</w:t>
            </w:r>
            <w:r w:rsidR="008D5A5D">
              <w:t>.</w:t>
            </w:r>
          </w:p>
        </w:tc>
      </w:tr>
      <w:tr w:rsidR="00921922" w:rsidRPr="0098470E" w14:paraId="422BDCE4" w14:textId="77777777" w:rsidTr="00A32829">
        <w:trPr>
          <w:cantSplit/>
        </w:trPr>
        <w:tc>
          <w:tcPr>
            <w:tcW w:w="2581" w:type="dxa"/>
            <w:hideMark/>
          </w:tcPr>
          <w:p w14:paraId="5EEFD6CF" w14:textId="77777777" w:rsidR="00921922" w:rsidRPr="0098470E" w:rsidRDefault="00921922" w:rsidP="00603215">
            <w:pPr>
              <w:pStyle w:val="DHHStabletext"/>
            </w:pPr>
            <w:r w:rsidRPr="0098470E">
              <w:t>Denominator</w:t>
            </w:r>
          </w:p>
        </w:tc>
        <w:tc>
          <w:tcPr>
            <w:tcW w:w="6719" w:type="dxa"/>
            <w:hideMark/>
          </w:tcPr>
          <w:p w14:paraId="32109B8A" w14:textId="6B573F0F" w:rsidR="00921922" w:rsidRPr="0098470E" w:rsidRDefault="00921922" w:rsidP="00603215">
            <w:pPr>
              <w:pStyle w:val="DHHStabletext"/>
            </w:pPr>
            <w:r w:rsidRPr="0098470E">
              <w:t>Total number of emergency cases + total number of Referral Service managed cases that did not result in an emergency response</w:t>
            </w:r>
            <w:r w:rsidR="008D5A5D">
              <w:t>.</w:t>
            </w:r>
          </w:p>
        </w:tc>
      </w:tr>
      <w:tr w:rsidR="00921922" w:rsidRPr="0098470E" w14:paraId="40C2B67B" w14:textId="77777777" w:rsidTr="00A32829">
        <w:trPr>
          <w:cantSplit/>
        </w:trPr>
        <w:tc>
          <w:tcPr>
            <w:tcW w:w="2581" w:type="dxa"/>
            <w:hideMark/>
          </w:tcPr>
          <w:p w14:paraId="27C5F5EA" w14:textId="77777777" w:rsidR="00921922" w:rsidRPr="0098470E" w:rsidRDefault="00921922" w:rsidP="00603215">
            <w:pPr>
              <w:pStyle w:val="DHHStabletext"/>
            </w:pPr>
            <w:r w:rsidRPr="0098470E">
              <w:t>Statewide target</w:t>
            </w:r>
          </w:p>
        </w:tc>
        <w:tc>
          <w:tcPr>
            <w:tcW w:w="6719" w:type="dxa"/>
            <w:hideMark/>
          </w:tcPr>
          <w:p w14:paraId="7077D8BD" w14:textId="77777777" w:rsidR="00921922" w:rsidRPr="0098470E" w:rsidRDefault="00921922" w:rsidP="00603215">
            <w:pPr>
              <w:pStyle w:val="DHHStabletext"/>
            </w:pPr>
            <w:r w:rsidRPr="0098470E">
              <w:t>15%</w:t>
            </w:r>
          </w:p>
        </w:tc>
      </w:tr>
      <w:tr w:rsidR="0017595B" w:rsidRPr="0098470E" w14:paraId="59825409" w14:textId="77777777" w:rsidTr="0017595B">
        <w:trPr>
          <w:cantSplit/>
        </w:trPr>
        <w:tc>
          <w:tcPr>
            <w:tcW w:w="2581" w:type="dxa"/>
            <w:hideMark/>
          </w:tcPr>
          <w:p w14:paraId="08DF7536" w14:textId="77777777" w:rsidR="0017595B" w:rsidRPr="0098470E" w:rsidRDefault="0017595B" w:rsidP="00603215">
            <w:pPr>
              <w:pStyle w:val="DHHStabletext"/>
            </w:pPr>
            <w:r w:rsidRPr="0098470E">
              <w:t>Achievement</w:t>
            </w:r>
          </w:p>
        </w:tc>
        <w:tc>
          <w:tcPr>
            <w:tcW w:w="6719" w:type="dxa"/>
            <w:hideMark/>
          </w:tcPr>
          <w:p w14:paraId="7A0FD70D" w14:textId="06C9CBAA" w:rsidR="0017595B" w:rsidRPr="0098470E" w:rsidRDefault="0017595B" w:rsidP="0017595B">
            <w:pPr>
              <w:pStyle w:val="DHHStabletext92mmtab"/>
            </w:pPr>
            <w:r w:rsidRPr="0098470E">
              <w:t>Equal to or greater than 15%</w:t>
            </w:r>
            <w:r>
              <w:tab/>
              <w:t>Achieved</w:t>
            </w:r>
          </w:p>
          <w:p w14:paraId="45D00CA8" w14:textId="67DD40DD" w:rsidR="0017595B" w:rsidRPr="0098470E" w:rsidRDefault="0017595B" w:rsidP="0017595B">
            <w:pPr>
              <w:pStyle w:val="DHHStabletext92mmtab"/>
            </w:pPr>
            <w:r w:rsidRPr="0098470E">
              <w:t>Less than 15%</w:t>
            </w:r>
            <w:r>
              <w:tab/>
              <w:t>Not achieved</w:t>
            </w:r>
          </w:p>
        </w:tc>
      </w:tr>
      <w:tr w:rsidR="00921922" w:rsidRPr="0098470E" w14:paraId="0D26334C" w14:textId="77777777" w:rsidTr="00A32829">
        <w:trPr>
          <w:cantSplit/>
        </w:trPr>
        <w:tc>
          <w:tcPr>
            <w:tcW w:w="2581" w:type="dxa"/>
          </w:tcPr>
          <w:p w14:paraId="3D6DEBDF" w14:textId="77777777" w:rsidR="00921922" w:rsidRPr="0098470E" w:rsidRDefault="00921922" w:rsidP="00603215">
            <w:pPr>
              <w:pStyle w:val="DHHStabletext"/>
            </w:pPr>
            <w:r>
              <w:t>Improvement</w:t>
            </w:r>
          </w:p>
        </w:tc>
        <w:tc>
          <w:tcPr>
            <w:tcW w:w="6719" w:type="dxa"/>
          </w:tcPr>
          <w:p w14:paraId="3CFE91A5" w14:textId="77777777" w:rsidR="00921922" w:rsidRDefault="00921922" w:rsidP="00603215">
            <w:pPr>
              <w:pStyle w:val="DHHStabletext"/>
            </w:pPr>
            <w:r>
              <w:t xml:space="preserve">For the purpose of the performance risk assessment, improvement </w:t>
            </w:r>
            <w:r w:rsidRPr="0098470E">
              <w:t>is compared to same time last year performance.</w:t>
            </w:r>
          </w:p>
        </w:tc>
      </w:tr>
      <w:tr w:rsidR="00921922" w:rsidRPr="0098470E" w14:paraId="54883B8F" w14:textId="77777777" w:rsidTr="00A32829">
        <w:trPr>
          <w:cantSplit/>
        </w:trPr>
        <w:tc>
          <w:tcPr>
            <w:tcW w:w="2581" w:type="dxa"/>
            <w:hideMark/>
          </w:tcPr>
          <w:p w14:paraId="0D8AA19C" w14:textId="77777777" w:rsidR="00921922" w:rsidRPr="0098470E" w:rsidRDefault="00921922" w:rsidP="00603215">
            <w:pPr>
              <w:pStyle w:val="DHHStabletext"/>
            </w:pPr>
            <w:r w:rsidRPr="0098470E">
              <w:t>Frequency of reporting and data collection</w:t>
            </w:r>
          </w:p>
        </w:tc>
        <w:tc>
          <w:tcPr>
            <w:tcW w:w="6719" w:type="dxa"/>
            <w:hideMark/>
          </w:tcPr>
          <w:p w14:paraId="1A669D97" w14:textId="77777777" w:rsidR="00921922" w:rsidRPr="0098470E" w:rsidRDefault="00921922" w:rsidP="00603215">
            <w:pPr>
              <w:pStyle w:val="DHHStabletext"/>
            </w:pPr>
            <w:r w:rsidRPr="0098470E">
              <w:t>Performance is monitored and assessed monthly.</w:t>
            </w:r>
          </w:p>
          <w:p w14:paraId="6DB85B02" w14:textId="77777777" w:rsidR="00921922" w:rsidRPr="0098470E" w:rsidRDefault="00921922" w:rsidP="00603215">
            <w:pPr>
              <w:pStyle w:val="DHHStabletext"/>
            </w:pPr>
            <w:r w:rsidRPr="0098470E">
              <w:t>Ambulance Victoria submits data to the department monthly.</w:t>
            </w:r>
          </w:p>
        </w:tc>
      </w:tr>
    </w:tbl>
    <w:p w14:paraId="1B793F5E" w14:textId="1E5DE02F" w:rsidR="00F12615" w:rsidRPr="00961723" w:rsidRDefault="00F12615" w:rsidP="00F12615">
      <w:pPr>
        <w:pStyle w:val="DHHStablecaption"/>
      </w:pPr>
      <w:r>
        <w:t xml:space="preserve">Indicator: </w:t>
      </w:r>
      <w:r w:rsidR="00101E11" w:rsidRPr="005B435A">
        <w:rPr>
          <w:lang w:val="en-GB"/>
        </w:rPr>
        <w:t>Average ambulance hospital clearing time</w:t>
      </w:r>
    </w:p>
    <w:tbl>
      <w:tblPr>
        <w:tblStyle w:val="TableGrid"/>
        <w:tblW w:w="9300" w:type="dxa"/>
        <w:tblLayout w:type="fixed"/>
        <w:tblLook w:val="06A0" w:firstRow="1" w:lastRow="0" w:firstColumn="1" w:lastColumn="0" w:noHBand="1" w:noVBand="1"/>
      </w:tblPr>
      <w:tblGrid>
        <w:gridCol w:w="2581"/>
        <w:gridCol w:w="6719"/>
      </w:tblGrid>
      <w:tr w:rsidR="00D97737" w:rsidRPr="0098470E" w14:paraId="1944FECD"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06859FD9" w14:textId="73028617" w:rsidR="00D97737" w:rsidRPr="005B435A" w:rsidRDefault="00D97737" w:rsidP="00D97737">
            <w:pPr>
              <w:pStyle w:val="DHHStablecolhead"/>
              <w:rPr>
                <w:lang w:val="en-GB"/>
              </w:rPr>
            </w:pPr>
            <w:r>
              <w:t>Element</w:t>
            </w:r>
          </w:p>
        </w:tc>
        <w:tc>
          <w:tcPr>
            <w:tcW w:w="6719" w:type="dxa"/>
          </w:tcPr>
          <w:p w14:paraId="4F52098B" w14:textId="05979833" w:rsidR="00D97737" w:rsidRPr="005B435A" w:rsidRDefault="00D97737" w:rsidP="00D97737">
            <w:pPr>
              <w:pStyle w:val="DHHStablecolhead"/>
              <w:rPr>
                <w:lang w:val="en-GB"/>
              </w:rPr>
            </w:pPr>
            <w:r>
              <w:t>Details</w:t>
            </w:r>
          </w:p>
        </w:tc>
      </w:tr>
      <w:tr w:rsidR="00921922" w:rsidRPr="0098470E" w14:paraId="2C598347" w14:textId="77777777" w:rsidTr="00A32829">
        <w:trPr>
          <w:cantSplit/>
        </w:trPr>
        <w:tc>
          <w:tcPr>
            <w:tcW w:w="2581" w:type="dxa"/>
            <w:hideMark/>
          </w:tcPr>
          <w:p w14:paraId="06EFC822" w14:textId="77777777" w:rsidR="00921922" w:rsidRPr="0098470E" w:rsidRDefault="00921922" w:rsidP="00603215">
            <w:pPr>
              <w:pStyle w:val="DHHStabletext"/>
            </w:pPr>
            <w:r w:rsidRPr="0098470E">
              <w:t>Description</w:t>
            </w:r>
          </w:p>
        </w:tc>
        <w:tc>
          <w:tcPr>
            <w:tcW w:w="6719" w:type="dxa"/>
            <w:hideMark/>
          </w:tcPr>
          <w:p w14:paraId="37DD62AB" w14:textId="77777777" w:rsidR="00921922" w:rsidRPr="0098470E" w:rsidRDefault="00921922" w:rsidP="00603215">
            <w:pPr>
              <w:pStyle w:val="DHHStabletext"/>
            </w:pPr>
            <w:r w:rsidRPr="0098470E">
              <w:t>Clearing time is a key component of total paramedic hospital time that is directly attributable to Ambulance Victoria.</w:t>
            </w:r>
          </w:p>
          <w:p w14:paraId="431F1B4E" w14:textId="77777777" w:rsidR="00921922" w:rsidRPr="0098470E" w:rsidRDefault="00921922" w:rsidP="00603215">
            <w:pPr>
              <w:pStyle w:val="DHHStabletext"/>
              <w:rPr>
                <w:lang w:val="en-GB"/>
              </w:rPr>
            </w:pPr>
            <w:r w:rsidRPr="0098470E">
              <w:rPr>
                <w:lang w:val="en-GB"/>
              </w:rPr>
              <w:t xml:space="preserve">This </w:t>
            </w:r>
            <w:r>
              <w:rPr>
                <w:lang w:val="en-GB"/>
              </w:rPr>
              <w:t xml:space="preserve">indicator measures </w:t>
            </w:r>
            <w:r w:rsidRPr="0098470E">
              <w:rPr>
                <w:lang w:val="en-GB"/>
              </w:rPr>
              <w:t>the elapsed time from the handover of an emergency patient at a hospital emergency department to completion of all tasks to ensure the ambulance crew is available to respond to another incident.</w:t>
            </w:r>
          </w:p>
          <w:p w14:paraId="1B67495E" w14:textId="77777777" w:rsidR="00921922" w:rsidRPr="0098470E" w:rsidRDefault="00921922" w:rsidP="00603215">
            <w:pPr>
              <w:pStyle w:val="DHHStabletext"/>
            </w:pPr>
            <w:r w:rsidRPr="0098470E">
              <w:t xml:space="preserve">Handover involves a patient being physically transferred to a hospital trolley, bed, chair or waiting area. The ambulance handover completion time (also known as </w:t>
            </w:r>
            <w:r>
              <w:t>‘</w:t>
            </w:r>
            <w:r w:rsidRPr="0098470E">
              <w:t>off-stretcher time</w:t>
            </w:r>
            <w:r>
              <w:t>’</w:t>
            </w:r>
            <w:r w:rsidRPr="0098470E">
              <w:t>) is recorded in a Patient Care Record (PCR) by a paramedic after agreement with an emergency department clinician.</w:t>
            </w:r>
          </w:p>
          <w:p w14:paraId="6476604E" w14:textId="77777777" w:rsidR="00921922" w:rsidRPr="0098470E" w:rsidRDefault="00921922" w:rsidP="00603215">
            <w:pPr>
              <w:pStyle w:val="DHHStabletext"/>
            </w:pPr>
            <w:r w:rsidRPr="0098470E">
              <w:t>This indicator applies to all emergency transports to a hospital emergency department statewide.</w:t>
            </w:r>
          </w:p>
        </w:tc>
      </w:tr>
      <w:tr w:rsidR="00921922" w:rsidRPr="0098470E" w14:paraId="60266083" w14:textId="77777777" w:rsidTr="00A32829">
        <w:trPr>
          <w:cantSplit/>
        </w:trPr>
        <w:tc>
          <w:tcPr>
            <w:tcW w:w="2581" w:type="dxa"/>
            <w:hideMark/>
          </w:tcPr>
          <w:p w14:paraId="010E06B3" w14:textId="77777777" w:rsidR="00921922" w:rsidRPr="0098470E" w:rsidRDefault="00921922" w:rsidP="00603215">
            <w:pPr>
              <w:pStyle w:val="DHHStabletext"/>
            </w:pPr>
            <w:r w:rsidRPr="0098470E">
              <w:lastRenderedPageBreak/>
              <w:t>Calculating performance</w:t>
            </w:r>
          </w:p>
        </w:tc>
        <w:tc>
          <w:tcPr>
            <w:tcW w:w="6719" w:type="dxa"/>
            <w:hideMark/>
          </w:tcPr>
          <w:p w14:paraId="1223B495" w14:textId="77777777" w:rsidR="00921922" w:rsidRPr="0098470E" w:rsidRDefault="00921922" w:rsidP="00603215">
            <w:pPr>
              <w:pStyle w:val="DHHStabletext"/>
            </w:pPr>
            <w:r w:rsidRPr="0098470E">
              <w:t>The average time for the given period. Off-stretcher time and clearing time are sourced from the PCR.</w:t>
            </w:r>
          </w:p>
          <w:p w14:paraId="7ED36A67" w14:textId="77777777" w:rsidR="00921922" w:rsidRPr="0098470E" w:rsidRDefault="00921922" w:rsidP="00603215">
            <w:pPr>
              <w:pStyle w:val="DHHStabletext"/>
            </w:pPr>
            <w:r w:rsidRPr="0098470E">
              <w:t>This indicator excludes:</w:t>
            </w:r>
          </w:p>
          <w:p w14:paraId="0FA5F88E" w14:textId="77777777" w:rsidR="00921922" w:rsidRPr="0098470E" w:rsidRDefault="00921922" w:rsidP="00603215">
            <w:pPr>
              <w:pStyle w:val="DHHStablebullet1"/>
            </w:pPr>
            <w:r w:rsidRPr="0098470E">
              <w:t>hospital transports where the clearing time was recorded as &gt; 3 hours or where there are missing time stamps</w:t>
            </w:r>
          </w:p>
          <w:p w14:paraId="6D3D1682" w14:textId="77777777" w:rsidR="00921922" w:rsidRPr="0098470E" w:rsidRDefault="00921922" w:rsidP="00603215">
            <w:pPr>
              <w:pStyle w:val="DHHStablebullet1"/>
            </w:pPr>
            <w:r w:rsidRPr="0098470E">
              <w:t>transports by air ambulance resources</w:t>
            </w:r>
          </w:p>
          <w:p w14:paraId="5B955889" w14:textId="77777777" w:rsidR="00921922" w:rsidRPr="0098470E" w:rsidRDefault="00921922" w:rsidP="00603215">
            <w:pPr>
              <w:pStyle w:val="DHHStablebullet1"/>
            </w:pPr>
            <w:r w:rsidRPr="0098470E">
              <w:t>non-emergency hospital transports</w:t>
            </w:r>
          </w:p>
          <w:p w14:paraId="0B725B69" w14:textId="77777777" w:rsidR="00921922" w:rsidRPr="0098470E" w:rsidRDefault="00921922" w:rsidP="00603215">
            <w:pPr>
              <w:pStyle w:val="DHHStablebullet1"/>
            </w:pPr>
            <w:r w:rsidRPr="0098470E">
              <w:t>inter-hospital transports.</w:t>
            </w:r>
          </w:p>
          <w:p w14:paraId="3D29843E" w14:textId="77777777" w:rsidR="00921922" w:rsidRPr="0098470E" w:rsidRDefault="00921922" w:rsidP="00603215">
            <w:pPr>
              <w:pStyle w:val="DHHStabletext"/>
            </w:pPr>
            <w:r w:rsidRPr="0098470E">
              <w:t>This indicator is expressed as either minutes to one decimal place or in the following format: MM:SS.</w:t>
            </w:r>
          </w:p>
          <w:p w14:paraId="7CC301BB" w14:textId="77777777" w:rsidR="00921922" w:rsidRPr="0098470E" w:rsidRDefault="00921922" w:rsidP="00603215">
            <w:pPr>
              <w:pStyle w:val="DHHStabletext"/>
            </w:pPr>
            <w:r w:rsidRPr="0098470E">
              <w:t>Improvement is compared to same time last year performance</w:t>
            </w:r>
          </w:p>
        </w:tc>
      </w:tr>
      <w:tr w:rsidR="00921922" w:rsidRPr="0098470E" w14:paraId="1ACA8C31" w14:textId="77777777" w:rsidTr="00A32829">
        <w:trPr>
          <w:cantSplit/>
        </w:trPr>
        <w:tc>
          <w:tcPr>
            <w:tcW w:w="2581" w:type="dxa"/>
            <w:hideMark/>
          </w:tcPr>
          <w:p w14:paraId="3B516BEA" w14:textId="77777777" w:rsidR="00921922" w:rsidRPr="0098470E" w:rsidRDefault="00921922" w:rsidP="00603215">
            <w:pPr>
              <w:pStyle w:val="DHHStabletext"/>
            </w:pPr>
            <w:r w:rsidRPr="0098470E">
              <w:t>Numerator</w:t>
            </w:r>
          </w:p>
        </w:tc>
        <w:tc>
          <w:tcPr>
            <w:tcW w:w="6719" w:type="dxa"/>
            <w:hideMark/>
          </w:tcPr>
          <w:p w14:paraId="3DA5C02E" w14:textId="278D6D2A" w:rsidR="00921922" w:rsidRPr="0098470E" w:rsidRDefault="00921922" w:rsidP="00603215">
            <w:pPr>
              <w:pStyle w:val="DHHStabletext"/>
            </w:pPr>
            <w:r w:rsidRPr="0098470E">
              <w:t>The sum of emergency road clearing times</w:t>
            </w:r>
            <w:r w:rsidR="008C37EC">
              <w:t>.</w:t>
            </w:r>
          </w:p>
        </w:tc>
      </w:tr>
      <w:tr w:rsidR="00921922" w:rsidRPr="0098470E" w14:paraId="5177E142" w14:textId="77777777" w:rsidTr="00A32829">
        <w:trPr>
          <w:cantSplit/>
        </w:trPr>
        <w:tc>
          <w:tcPr>
            <w:tcW w:w="2581" w:type="dxa"/>
            <w:hideMark/>
          </w:tcPr>
          <w:p w14:paraId="6770E15B" w14:textId="77777777" w:rsidR="00921922" w:rsidRPr="0098470E" w:rsidRDefault="00921922" w:rsidP="00603215">
            <w:pPr>
              <w:pStyle w:val="DHHStabletext"/>
            </w:pPr>
            <w:r w:rsidRPr="0098470E">
              <w:t>Denominator</w:t>
            </w:r>
          </w:p>
        </w:tc>
        <w:tc>
          <w:tcPr>
            <w:tcW w:w="6719" w:type="dxa"/>
            <w:hideMark/>
          </w:tcPr>
          <w:p w14:paraId="70824AAE" w14:textId="1F49FD64" w:rsidR="00921922" w:rsidRPr="0098470E" w:rsidRDefault="00921922" w:rsidP="00603215">
            <w:pPr>
              <w:pStyle w:val="DHHStabletext"/>
            </w:pPr>
            <w:r w:rsidRPr="0098470E">
              <w:t>The total number of emergency road clearing times in that same reporting period</w:t>
            </w:r>
            <w:r w:rsidR="008C37EC">
              <w:t>.</w:t>
            </w:r>
          </w:p>
        </w:tc>
      </w:tr>
      <w:tr w:rsidR="00921922" w:rsidRPr="0098470E" w14:paraId="48FA640F" w14:textId="77777777" w:rsidTr="00A32829">
        <w:trPr>
          <w:cantSplit/>
        </w:trPr>
        <w:tc>
          <w:tcPr>
            <w:tcW w:w="2581" w:type="dxa"/>
            <w:hideMark/>
          </w:tcPr>
          <w:p w14:paraId="7F09781D" w14:textId="77777777" w:rsidR="00921922" w:rsidRPr="0098470E" w:rsidRDefault="00921922" w:rsidP="00603215">
            <w:pPr>
              <w:pStyle w:val="DHHStabletext"/>
            </w:pPr>
            <w:r w:rsidRPr="0098470E">
              <w:t>Statewide target</w:t>
            </w:r>
          </w:p>
        </w:tc>
        <w:tc>
          <w:tcPr>
            <w:tcW w:w="6719" w:type="dxa"/>
            <w:hideMark/>
          </w:tcPr>
          <w:p w14:paraId="2951FA41" w14:textId="77777777" w:rsidR="00921922" w:rsidRPr="0098470E" w:rsidRDefault="00921922" w:rsidP="00603215">
            <w:pPr>
              <w:pStyle w:val="DHHStabletext"/>
            </w:pPr>
            <w:r w:rsidRPr="0098470E">
              <w:t>20 minutes</w:t>
            </w:r>
          </w:p>
        </w:tc>
      </w:tr>
      <w:tr w:rsidR="0017595B" w:rsidRPr="0098470E" w14:paraId="60757FD5" w14:textId="77777777" w:rsidTr="0017595B">
        <w:trPr>
          <w:cantSplit/>
        </w:trPr>
        <w:tc>
          <w:tcPr>
            <w:tcW w:w="2581" w:type="dxa"/>
            <w:hideMark/>
          </w:tcPr>
          <w:p w14:paraId="48DD6220" w14:textId="77777777" w:rsidR="0017595B" w:rsidRPr="0098470E" w:rsidRDefault="0017595B" w:rsidP="00603215">
            <w:pPr>
              <w:pStyle w:val="DHHStabletext"/>
            </w:pPr>
            <w:r w:rsidRPr="0098470E">
              <w:t>Achievement</w:t>
            </w:r>
          </w:p>
        </w:tc>
        <w:tc>
          <w:tcPr>
            <w:tcW w:w="6719" w:type="dxa"/>
            <w:hideMark/>
          </w:tcPr>
          <w:p w14:paraId="1BD4F832" w14:textId="14B643E5" w:rsidR="0017595B" w:rsidRPr="0098470E" w:rsidRDefault="0017595B" w:rsidP="0017595B">
            <w:pPr>
              <w:pStyle w:val="DHHStabletext92mmtab"/>
            </w:pPr>
            <w:r w:rsidRPr="0098470E">
              <w:t>Less than or equal to 20 minutes</w:t>
            </w:r>
            <w:r>
              <w:tab/>
              <w:t>Achieved</w:t>
            </w:r>
          </w:p>
          <w:p w14:paraId="52995C44" w14:textId="47A0870F" w:rsidR="0017595B" w:rsidRPr="0098470E" w:rsidRDefault="0017595B" w:rsidP="0017595B">
            <w:pPr>
              <w:pStyle w:val="DHHStabletext92mmtab"/>
            </w:pPr>
            <w:r w:rsidRPr="0098470E">
              <w:t>Greater than 20 minutes</w:t>
            </w:r>
            <w:r>
              <w:tab/>
              <w:t>Not achieved</w:t>
            </w:r>
          </w:p>
        </w:tc>
      </w:tr>
      <w:tr w:rsidR="00921922" w:rsidRPr="0098470E" w14:paraId="67454E03" w14:textId="77777777" w:rsidTr="00A32829">
        <w:trPr>
          <w:cantSplit/>
        </w:trPr>
        <w:tc>
          <w:tcPr>
            <w:tcW w:w="2581" w:type="dxa"/>
          </w:tcPr>
          <w:p w14:paraId="5C2B3016" w14:textId="77777777" w:rsidR="00921922" w:rsidRPr="0098470E" w:rsidRDefault="00921922" w:rsidP="00603215">
            <w:pPr>
              <w:pStyle w:val="DHHStabletext"/>
            </w:pPr>
            <w:r>
              <w:t>Improvement</w:t>
            </w:r>
          </w:p>
        </w:tc>
        <w:tc>
          <w:tcPr>
            <w:tcW w:w="6719" w:type="dxa"/>
          </w:tcPr>
          <w:p w14:paraId="7FE09F1E" w14:textId="77777777" w:rsidR="00921922" w:rsidRDefault="00921922" w:rsidP="00603215">
            <w:pPr>
              <w:pStyle w:val="DHHStabletext"/>
            </w:pPr>
            <w:r>
              <w:t xml:space="preserve">For the purpose of the performance risk assessment, improvement </w:t>
            </w:r>
            <w:r w:rsidRPr="0098470E">
              <w:t xml:space="preserve">is compared to </w:t>
            </w:r>
            <w:r>
              <w:t xml:space="preserve">previous quarter performance. </w:t>
            </w:r>
          </w:p>
        </w:tc>
      </w:tr>
      <w:tr w:rsidR="00921922" w:rsidRPr="0098470E" w14:paraId="61767BEF" w14:textId="77777777" w:rsidTr="00A32829">
        <w:trPr>
          <w:cantSplit/>
        </w:trPr>
        <w:tc>
          <w:tcPr>
            <w:tcW w:w="2581" w:type="dxa"/>
            <w:hideMark/>
          </w:tcPr>
          <w:p w14:paraId="68CEBCB4" w14:textId="77777777" w:rsidR="00921922" w:rsidRPr="0098470E" w:rsidRDefault="00921922" w:rsidP="00603215">
            <w:pPr>
              <w:pStyle w:val="DHHStabletext"/>
            </w:pPr>
            <w:r w:rsidRPr="0098470E">
              <w:t>Frequency of reporting and data collection</w:t>
            </w:r>
          </w:p>
        </w:tc>
        <w:tc>
          <w:tcPr>
            <w:tcW w:w="6719" w:type="dxa"/>
            <w:hideMark/>
          </w:tcPr>
          <w:p w14:paraId="5E2A29A5" w14:textId="77777777" w:rsidR="00921922" w:rsidRPr="0098470E" w:rsidRDefault="00921922" w:rsidP="00603215">
            <w:pPr>
              <w:pStyle w:val="DHHStabletext"/>
            </w:pPr>
            <w:r w:rsidRPr="0098470E">
              <w:t>Performance is monitored and assessed monthly.</w:t>
            </w:r>
          </w:p>
          <w:p w14:paraId="128C7A22" w14:textId="77777777" w:rsidR="00921922" w:rsidRPr="0098470E" w:rsidRDefault="00921922" w:rsidP="00603215">
            <w:pPr>
              <w:pStyle w:val="DHHStabletext"/>
            </w:pPr>
            <w:r w:rsidRPr="0098470E">
              <w:t>Data is lagged by one month.</w:t>
            </w:r>
          </w:p>
          <w:p w14:paraId="32362000" w14:textId="77777777" w:rsidR="00921922" w:rsidRPr="0098470E" w:rsidRDefault="00921922" w:rsidP="00603215">
            <w:pPr>
              <w:pStyle w:val="DHHStabletext"/>
            </w:pPr>
            <w:r w:rsidRPr="0098470E">
              <w:t>Ambulance Victoria submits data to the department monthly.</w:t>
            </w:r>
          </w:p>
        </w:tc>
      </w:tr>
    </w:tbl>
    <w:p w14:paraId="197D7B29" w14:textId="77777777" w:rsidR="00921922" w:rsidRPr="006167E2" w:rsidRDefault="00921922" w:rsidP="00921922">
      <w:pPr>
        <w:pStyle w:val="DHHSbody"/>
      </w:pPr>
      <w:bookmarkStart w:id="106" w:name="_Toc453325226"/>
      <w:r w:rsidRPr="006167E2">
        <w:br w:type="page"/>
      </w:r>
    </w:p>
    <w:p w14:paraId="293B5A7B" w14:textId="27BC2596" w:rsidR="00921922" w:rsidRDefault="00921922" w:rsidP="00921922">
      <w:pPr>
        <w:pStyle w:val="Heading4"/>
      </w:pPr>
      <w:bookmarkStart w:id="107" w:name="_Toc517959144"/>
      <w:bookmarkStart w:id="108" w:name="_Toc15580099"/>
      <w:r w:rsidRPr="008B435F">
        <w:lastRenderedPageBreak/>
        <w:t>Forensicare</w:t>
      </w:r>
      <w:bookmarkEnd w:id="107"/>
      <w:r w:rsidR="008B435F">
        <w:t xml:space="preserve">: </w:t>
      </w:r>
      <w:r w:rsidRPr="0098470E">
        <w:t>Admissions to Thomas Embling Hospital (T</w:t>
      </w:r>
      <w:r>
        <w:t>EH</w:t>
      </w:r>
      <w:r w:rsidRPr="0098470E">
        <w:t>)</w:t>
      </w:r>
      <w:bookmarkEnd w:id="108"/>
    </w:p>
    <w:p w14:paraId="77FABF42" w14:textId="174CEE41" w:rsidR="00F12615" w:rsidRPr="00F12615" w:rsidRDefault="00F12615" w:rsidP="00F12615">
      <w:pPr>
        <w:pStyle w:val="DHHStablecaption"/>
      </w:pPr>
      <w:r>
        <w:t xml:space="preserve">Indicator: </w:t>
      </w:r>
      <w:r w:rsidR="00101E11" w:rsidRPr="0098470E">
        <w:t xml:space="preserve">Number of </w:t>
      </w:r>
      <w:r w:rsidR="00101E11">
        <w:t xml:space="preserve">male </w:t>
      </w:r>
      <w:r w:rsidR="00101E11" w:rsidRPr="0098470E">
        <w:t xml:space="preserve">security patients admitted to </w:t>
      </w:r>
      <w:r w:rsidR="00101E11">
        <w:t>a</w:t>
      </w:r>
      <w:r w:rsidR="00101E11" w:rsidRPr="0098470E">
        <w:t xml:space="preserve">cute </w:t>
      </w:r>
      <w:r w:rsidR="00101E11">
        <w:t>u</w:t>
      </w:r>
      <w:r w:rsidR="00101E11" w:rsidRPr="0098470E">
        <w:t xml:space="preserve">nits </w:t>
      </w:r>
      <w:r w:rsidR="00101E11">
        <w:t>in TEH</w:t>
      </w:r>
    </w:p>
    <w:tbl>
      <w:tblPr>
        <w:tblStyle w:val="TableGrid"/>
        <w:tblW w:w="9300" w:type="dxa"/>
        <w:tblLayout w:type="fixed"/>
        <w:tblLook w:val="06A0" w:firstRow="1" w:lastRow="0" w:firstColumn="1" w:lastColumn="0" w:noHBand="1" w:noVBand="1"/>
      </w:tblPr>
      <w:tblGrid>
        <w:gridCol w:w="2552"/>
        <w:gridCol w:w="6748"/>
      </w:tblGrid>
      <w:tr w:rsidR="00D97737" w:rsidRPr="0098470E" w14:paraId="0A5BA292"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52" w:type="dxa"/>
            <w:hideMark/>
          </w:tcPr>
          <w:p w14:paraId="650AD68E" w14:textId="5C6BE7D4" w:rsidR="00D97737" w:rsidRPr="0098470E" w:rsidRDefault="00D97737" w:rsidP="00D97737">
            <w:pPr>
              <w:pStyle w:val="DHHStablecolhead"/>
            </w:pPr>
            <w:r>
              <w:t>Element</w:t>
            </w:r>
          </w:p>
        </w:tc>
        <w:tc>
          <w:tcPr>
            <w:tcW w:w="6748" w:type="dxa"/>
            <w:hideMark/>
          </w:tcPr>
          <w:p w14:paraId="6BD5F66D" w14:textId="30F45BDF" w:rsidR="00D97737" w:rsidRPr="0098470E" w:rsidRDefault="00D97737" w:rsidP="00D97737">
            <w:pPr>
              <w:pStyle w:val="DHHStablecolhead"/>
            </w:pPr>
            <w:r>
              <w:t>Details</w:t>
            </w:r>
          </w:p>
        </w:tc>
      </w:tr>
      <w:tr w:rsidR="00921922" w:rsidRPr="0098470E" w14:paraId="741D41DB" w14:textId="77777777" w:rsidTr="00A32829">
        <w:trPr>
          <w:cantSplit/>
        </w:trPr>
        <w:tc>
          <w:tcPr>
            <w:tcW w:w="2552" w:type="dxa"/>
          </w:tcPr>
          <w:p w14:paraId="78786EF6" w14:textId="77777777" w:rsidR="00921922" w:rsidRPr="0098470E" w:rsidRDefault="00921922" w:rsidP="00603215">
            <w:pPr>
              <w:pStyle w:val="DHHStabletext"/>
            </w:pPr>
            <w:r>
              <w:t>Description</w:t>
            </w:r>
          </w:p>
        </w:tc>
        <w:tc>
          <w:tcPr>
            <w:tcW w:w="6748" w:type="dxa"/>
          </w:tcPr>
          <w:p w14:paraId="3F45CED9" w14:textId="79C8D737" w:rsidR="00921922" w:rsidRPr="0098470E" w:rsidRDefault="00921922" w:rsidP="00603215">
            <w:pPr>
              <w:pStyle w:val="DHHStabletext"/>
            </w:pPr>
            <w:r>
              <w:t>Number of security patients admitted to male acute units at TEH</w:t>
            </w:r>
            <w:r w:rsidR="00CD5F96">
              <w:t>.</w:t>
            </w:r>
          </w:p>
        </w:tc>
      </w:tr>
      <w:tr w:rsidR="00921922" w:rsidRPr="0098470E" w14:paraId="2A268664" w14:textId="77777777" w:rsidTr="00A32829">
        <w:trPr>
          <w:cantSplit/>
        </w:trPr>
        <w:tc>
          <w:tcPr>
            <w:tcW w:w="2552" w:type="dxa"/>
            <w:hideMark/>
          </w:tcPr>
          <w:p w14:paraId="21746566" w14:textId="77777777" w:rsidR="00921922" w:rsidRPr="0098470E" w:rsidRDefault="00921922" w:rsidP="00603215">
            <w:pPr>
              <w:pStyle w:val="DHHStabletext"/>
            </w:pPr>
            <w:r w:rsidRPr="0098470E">
              <w:t>Calculating performance</w:t>
            </w:r>
          </w:p>
        </w:tc>
        <w:tc>
          <w:tcPr>
            <w:tcW w:w="6748" w:type="dxa"/>
            <w:hideMark/>
          </w:tcPr>
          <w:p w14:paraId="1B4658F2" w14:textId="6BF5BC32" w:rsidR="00580F99" w:rsidRDefault="00580F99" w:rsidP="00580F99">
            <w:pPr>
              <w:pStyle w:val="DHHStabletext"/>
            </w:pPr>
            <w:r>
              <w:t xml:space="preserve">The number of admissions to TEH </w:t>
            </w:r>
            <w:r w:rsidR="00594C65">
              <w:t>acute</w:t>
            </w:r>
            <w:r>
              <w:t xml:space="preserve"> units where the client is male and on a security order at the time of admission.</w:t>
            </w:r>
          </w:p>
          <w:p w14:paraId="4418861A" w14:textId="04161E0E" w:rsidR="00580F99" w:rsidRDefault="00580F99" w:rsidP="00580F99">
            <w:pPr>
              <w:pStyle w:val="DHHStabletext"/>
            </w:pPr>
            <w:r>
              <w:t>Performance is measured as an integer.</w:t>
            </w:r>
          </w:p>
          <w:p w14:paraId="0962B0D5" w14:textId="7BDD5FCB" w:rsidR="00921922" w:rsidRPr="0098470E" w:rsidRDefault="00580F99" w:rsidP="00580F99">
            <w:pPr>
              <w:pStyle w:val="DHHStabletext"/>
            </w:pPr>
            <w:r>
              <w:t>Performance is assessed quarterly.</w:t>
            </w:r>
          </w:p>
        </w:tc>
      </w:tr>
      <w:tr w:rsidR="00921922" w:rsidRPr="0098470E" w14:paraId="7129FBCB" w14:textId="77777777" w:rsidTr="00A32829">
        <w:trPr>
          <w:cantSplit/>
        </w:trPr>
        <w:tc>
          <w:tcPr>
            <w:tcW w:w="2552" w:type="dxa"/>
            <w:hideMark/>
          </w:tcPr>
          <w:p w14:paraId="22FE67D9" w14:textId="77777777" w:rsidR="00921922" w:rsidRPr="0098470E" w:rsidRDefault="00921922" w:rsidP="00603215">
            <w:pPr>
              <w:pStyle w:val="DHHStabletext"/>
            </w:pPr>
            <w:r w:rsidRPr="0098470E">
              <w:t>Numerator</w:t>
            </w:r>
          </w:p>
        </w:tc>
        <w:tc>
          <w:tcPr>
            <w:tcW w:w="6748" w:type="dxa"/>
            <w:hideMark/>
          </w:tcPr>
          <w:p w14:paraId="565AB6F7" w14:textId="4D41B6A9" w:rsidR="00921922" w:rsidRPr="0098470E" w:rsidRDefault="00CE341D" w:rsidP="00603215">
            <w:pPr>
              <w:pStyle w:val="DHHStabletext"/>
            </w:pPr>
            <w:r>
              <w:t>A</w:t>
            </w:r>
            <w:r w:rsidRPr="00A302EA">
              <w:t xml:space="preserve">dmissions to </w:t>
            </w:r>
            <w:r w:rsidR="00467B16">
              <w:t>TEH</w:t>
            </w:r>
            <w:r w:rsidR="00467B16" w:rsidRPr="00A302EA">
              <w:t xml:space="preserve"> </w:t>
            </w:r>
            <w:r w:rsidRPr="00A302EA">
              <w:t>acu</w:t>
            </w:r>
            <w:r>
              <w:t xml:space="preserve">te units in the applicable time </w:t>
            </w:r>
            <w:r w:rsidRPr="00A302EA">
              <w:t>period, where the client is male, and is on a security order (order codes 105 and 202) at the</w:t>
            </w:r>
            <w:r>
              <w:t xml:space="preserve"> time of admission.</w:t>
            </w:r>
          </w:p>
        </w:tc>
      </w:tr>
      <w:tr w:rsidR="00921922" w:rsidRPr="0098470E" w14:paraId="13C70602" w14:textId="77777777" w:rsidTr="00A32829">
        <w:trPr>
          <w:cantSplit/>
        </w:trPr>
        <w:tc>
          <w:tcPr>
            <w:tcW w:w="2552" w:type="dxa"/>
            <w:hideMark/>
          </w:tcPr>
          <w:p w14:paraId="72AD8152" w14:textId="77777777" w:rsidR="00921922" w:rsidRPr="0098470E" w:rsidRDefault="00921922" w:rsidP="00603215">
            <w:pPr>
              <w:pStyle w:val="DHHStabletext"/>
            </w:pPr>
            <w:r w:rsidRPr="0098470E">
              <w:t>Denominator</w:t>
            </w:r>
          </w:p>
        </w:tc>
        <w:tc>
          <w:tcPr>
            <w:tcW w:w="6748" w:type="dxa"/>
            <w:hideMark/>
          </w:tcPr>
          <w:p w14:paraId="05471A42" w14:textId="77777777" w:rsidR="00921922" w:rsidRPr="0098470E" w:rsidRDefault="00921922" w:rsidP="00603215">
            <w:pPr>
              <w:pStyle w:val="DHHStabletext"/>
            </w:pPr>
            <w:r>
              <w:t>N/A</w:t>
            </w:r>
          </w:p>
        </w:tc>
      </w:tr>
      <w:tr w:rsidR="00921922" w:rsidRPr="0098470E" w14:paraId="5B58A18A" w14:textId="77777777" w:rsidTr="00A32829">
        <w:trPr>
          <w:cantSplit/>
        </w:trPr>
        <w:tc>
          <w:tcPr>
            <w:tcW w:w="2552" w:type="dxa"/>
            <w:hideMark/>
          </w:tcPr>
          <w:p w14:paraId="553E3EC3" w14:textId="77777777" w:rsidR="00921922" w:rsidRPr="0098470E" w:rsidRDefault="00921922" w:rsidP="00603215">
            <w:pPr>
              <w:pStyle w:val="DHHStabletext"/>
            </w:pPr>
            <w:r w:rsidRPr="0098470E">
              <w:t>Statewide target</w:t>
            </w:r>
          </w:p>
        </w:tc>
        <w:tc>
          <w:tcPr>
            <w:tcW w:w="6748" w:type="dxa"/>
            <w:hideMark/>
          </w:tcPr>
          <w:p w14:paraId="4FFA95FB" w14:textId="77777777" w:rsidR="00921922" w:rsidRPr="0098470E" w:rsidRDefault="00921922" w:rsidP="00603215">
            <w:pPr>
              <w:pStyle w:val="DHHStabletext"/>
            </w:pPr>
            <w:r w:rsidRPr="0098470E">
              <w:t>8</w:t>
            </w:r>
            <w:r>
              <w:t>0</w:t>
            </w:r>
          </w:p>
        </w:tc>
      </w:tr>
      <w:tr w:rsidR="0017595B" w:rsidRPr="0098470E" w14:paraId="365DAD76" w14:textId="77777777" w:rsidTr="0017595B">
        <w:trPr>
          <w:cantSplit/>
        </w:trPr>
        <w:tc>
          <w:tcPr>
            <w:tcW w:w="2552" w:type="dxa"/>
            <w:hideMark/>
          </w:tcPr>
          <w:p w14:paraId="7239FF6D" w14:textId="77777777" w:rsidR="0017595B" w:rsidRPr="0098470E" w:rsidRDefault="0017595B" w:rsidP="00603215">
            <w:pPr>
              <w:pStyle w:val="DHHStabletext"/>
            </w:pPr>
            <w:r w:rsidRPr="0098470E">
              <w:t>Achievement</w:t>
            </w:r>
          </w:p>
        </w:tc>
        <w:tc>
          <w:tcPr>
            <w:tcW w:w="6748" w:type="dxa"/>
            <w:hideMark/>
          </w:tcPr>
          <w:p w14:paraId="376576DE" w14:textId="232FB015" w:rsidR="0017595B" w:rsidRPr="0098470E" w:rsidRDefault="0017595B" w:rsidP="0017595B">
            <w:pPr>
              <w:pStyle w:val="DHHStabletext92mmtab"/>
            </w:pPr>
            <w:r>
              <w:t>Equal to or greater than 80</w:t>
            </w:r>
            <w:r>
              <w:tab/>
              <w:t>Achieved</w:t>
            </w:r>
          </w:p>
          <w:p w14:paraId="0D7AAD79" w14:textId="725DE077" w:rsidR="0017595B" w:rsidRPr="0098470E" w:rsidRDefault="0017595B" w:rsidP="0017595B">
            <w:pPr>
              <w:pStyle w:val="DHHStabletext92mmtab"/>
            </w:pPr>
            <w:r>
              <w:t>Less than 80</w:t>
            </w:r>
            <w:r>
              <w:tab/>
              <w:t>Not achieved</w:t>
            </w:r>
          </w:p>
        </w:tc>
      </w:tr>
      <w:tr w:rsidR="00921922" w:rsidRPr="0098470E" w14:paraId="6727F582" w14:textId="77777777" w:rsidTr="00A32829">
        <w:trPr>
          <w:cantSplit/>
        </w:trPr>
        <w:tc>
          <w:tcPr>
            <w:tcW w:w="2552" w:type="dxa"/>
          </w:tcPr>
          <w:p w14:paraId="0F708FFC" w14:textId="77777777" w:rsidR="00921922" w:rsidRPr="0098470E" w:rsidRDefault="00921922" w:rsidP="00603215">
            <w:pPr>
              <w:pStyle w:val="DHHStabletext"/>
            </w:pPr>
            <w:r>
              <w:t xml:space="preserve">Improvement </w:t>
            </w:r>
          </w:p>
        </w:tc>
        <w:tc>
          <w:tcPr>
            <w:tcW w:w="6748" w:type="dxa"/>
          </w:tcPr>
          <w:p w14:paraId="6C507F13" w14:textId="30FC040B" w:rsidR="00921922" w:rsidRDefault="00921922" w:rsidP="00603215">
            <w:pPr>
              <w:pStyle w:val="DHHStabletext"/>
            </w:pPr>
            <w:r>
              <w:t>For the purpose of the performance risk assessment</w:t>
            </w:r>
            <w:r w:rsidR="00467B16">
              <w:t>,</w:t>
            </w:r>
            <w:r>
              <w:t xml:space="preserve"> improvement is compared to previous quarter performance. </w:t>
            </w:r>
          </w:p>
        </w:tc>
      </w:tr>
      <w:tr w:rsidR="00921922" w:rsidRPr="0098470E" w14:paraId="56995EAD" w14:textId="77777777" w:rsidTr="00A32829">
        <w:trPr>
          <w:cantSplit/>
        </w:trPr>
        <w:tc>
          <w:tcPr>
            <w:tcW w:w="2552" w:type="dxa"/>
            <w:hideMark/>
          </w:tcPr>
          <w:p w14:paraId="030274F1" w14:textId="77777777" w:rsidR="00921922" w:rsidRPr="0098470E" w:rsidRDefault="00921922" w:rsidP="00603215">
            <w:pPr>
              <w:pStyle w:val="DHHStabletext"/>
            </w:pPr>
            <w:r w:rsidRPr="0098470E">
              <w:t>Frequency of reporting and data collection</w:t>
            </w:r>
          </w:p>
        </w:tc>
        <w:tc>
          <w:tcPr>
            <w:tcW w:w="6748" w:type="dxa"/>
            <w:hideMark/>
          </w:tcPr>
          <w:p w14:paraId="104CE692" w14:textId="77777777" w:rsidR="00921922" w:rsidRPr="0098470E" w:rsidRDefault="00921922" w:rsidP="00603215">
            <w:pPr>
              <w:pStyle w:val="DHHStabletext"/>
            </w:pPr>
            <w:r w:rsidRPr="0098470E">
              <w:t>Performance is reported for the periods:</w:t>
            </w:r>
          </w:p>
          <w:p w14:paraId="7136182D" w14:textId="5FBBCB83" w:rsidR="00921922" w:rsidRPr="0098470E" w:rsidRDefault="00921922" w:rsidP="00603215">
            <w:pPr>
              <w:pStyle w:val="DHHStablebullet1"/>
            </w:pPr>
            <w:r w:rsidRPr="0098470E">
              <w:t>1 July to 30 September in quarter 1</w:t>
            </w:r>
          </w:p>
          <w:p w14:paraId="434A5C7A" w14:textId="619C3CC1" w:rsidR="00921922" w:rsidRPr="0098470E" w:rsidRDefault="00921922" w:rsidP="00603215">
            <w:pPr>
              <w:pStyle w:val="DHHStablebullet1"/>
            </w:pPr>
            <w:r w:rsidRPr="0098470E">
              <w:t>1 October to 31 December in quarter 2</w:t>
            </w:r>
          </w:p>
          <w:p w14:paraId="16CA7DFA" w14:textId="19B9D3E9" w:rsidR="00921922" w:rsidRPr="0098470E" w:rsidRDefault="00921922" w:rsidP="00603215">
            <w:pPr>
              <w:pStyle w:val="DHHStablebullet1"/>
            </w:pPr>
            <w:r w:rsidRPr="0098470E">
              <w:t>1 January to 31 March in quarter 3</w:t>
            </w:r>
          </w:p>
          <w:p w14:paraId="714FA880" w14:textId="355E2039" w:rsidR="00921922" w:rsidRPr="0098470E" w:rsidRDefault="00921922" w:rsidP="00603215">
            <w:pPr>
              <w:pStyle w:val="DHHStablebullet1"/>
            </w:pPr>
            <w:r w:rsidRPr="0098470E">
              <w:t>1 April to 30 June in quarter 4.</w:t>
            </w:r>
          </w:p>
          <w:p w14:paraId="180017AF" w14:textId="77777777" w:rsidR="00921922" w:rsidRPr="0098470E" w:rsidRDefault="00921922" w:rsidP="00603215">
            <w:pPr>
              <w:pStyle w:val="DHHStabletext"/>
            </w:pPr>
            <w:r w:rsidRPr="0098470E">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4530E51A" w14:textId="77777777" w:rsidR="00F1426A" w:rsidRDefault="00F1426A">
      <w:pPr>
        <w:spacing w:after="200" w:line="276" w:lineRule="auto"/>
        <w:rPr>
          <w:rFonts w:ascii="Arial" w:hAnsi="Arial"/>
          <w:b/>
        </w:rPr>
      </w:pPr>
      <w:r>
        <w:br w:type="page"/>
      </w:r>
    </w:p>
    <w:p w14:paraId="54D20556" w14:textId="627532F6" w:rsidR="00921922" w:rsidRPr="0098470E" w:rsidRDefault="00F12615" w:rsidP="00F12615">
      <w:pPr>
        <w:pStyle w:val="DHHStablecaption"/>
      </w:pPr>
      <w:r>
        <w:lastRenderedPageBreak/>
        <w:t xml:space="preserve">Indicator: </w:t>
      </w:r>
      <w:r w:rsidR="00101E11" w:rsidRPr="0098470E">
        <w:t>Percentage of male security patients admitted to T</w:t>
      </w:r>
      <w:r w:rsidR="00101E11">
        <w:t>EH</w:t>
      </w:r>
      <w:r w:rsidR="00101E11" w:rsidRPr="0098470E">
        <w:t xml:space="preserve"> within 14 days of certification</w:t>
      </w:r>
    </w:p>
    <w:tbl>
      <w:tblPr>
        <w:tblStyle w:val="TableGrid"/>
        <w:tblW w:w="9300" w:type="dxa"/>
        <w:tblLayout w:type="fixed"/>
        <w:tblLook w:val="06A0" w:firstRow="1" w:lastRow="0" w:firstColumn="1" w:lastColumn="0" w:noHBand="1" w:noVBand="1"/>
      </w:tblPr>
      <w:tblGrid>
        <w:gridCol w:w="2552"/>
        <w:gridCol w:w="6748"/>
      </w:tblGrid>
      <w:tr w:rsidR="00D97737" w:rsidRPr="0098470E" w14:paraId="11536DC0"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52" w:type="dxa"/>
            <w:hideMark/>
          </w:tcPr>
          <w:p w14:paraId="1823A310" w14:textId="65E3C1FE" w:rsidR="00D97737" w:rsidRPr="0098470E" w:rsidRDefault="00D97737" w:rsidP="00D97737">
            <w:pPr>
              <w:pStyle w:val="DHHStablecolhead"/>
            </w:pPr>
            <w:r>
              <w:t>Element</w:t>
            </w:r>
          </w:p>
        </w:tc>
        <w:tc>
          <w:tcPr>
            <w:tcW w:w="6748" w:type="dxa"/>
            <w:hideMark/>
          </w:tcPr>
          <w:p w14:paraId="2A336917" w14:textId="33E8A3AD" w:rsidR="00D97737" w:rsidRPr="0098470E" w:rsidRDefault="00D97737" w:rsidP="00D97737">
            <w:pPr>
              <w:pStyle w:val="DHHStablecolhead"/>
            </w:pPr>
            <w:r>
              <w:t>Details</w:t>
            </w:r>
          </w:p>
        </w:tc>
      </w:tr>
      <w:tr w:rsidR="00921922" w:rsidRPr="0098470E" w14:paraId="69BD183F" w14:textId="77777777" w:rsidTr="00A32829">
        <w:trPr>
          <w:cantSplit/>
        </w:trPr>
        <w:tc>
          <w:tcPr>
            <w:tcW w:w="2552" w:type="dxa"/>
          </w:tcPr>
          <w:p w14:paraId="48A622C9" w14:textId="77777777" w:rsidR="00921922" w:rsidRPr="0098470E" w:rsidRDefault="00921922" w:rsidP="00603215">
            <w:pPr>
              <w:pStyle w:val="DHHStabletext"/>
            </w:pPr>
            <w:r>
              <w:t>Description</w:t>
            </w:r>
          </w:p>
        </w:tc>
        <w:tc>
          <w:tcPr>
            <w:tcW w:w="6748" w:type="dxa"/>
          </w:tcPr>
          <w:p w14:paraId="2891502A" w14:textId="65F08289" w:rsidR="00921922" w:rsidRPr="0098470E" w:rsidRDefault="00E174B8" w:rsidP="00603215">
            <w:pPr>
              <w:pStyle w:val="DHHStabletext"/>
            </w:pPr>
            <w:r>
              <w:t>Percentage of male security patients admitted to TEH within 14 days of being certified as requiring compulsory treatment.</w:t>
            </w:r>
          </w:p>
        </w:tc>
      </w:tr>
      <w:tr w:rsidR="00921922" w:rsidRPr="0098470E" w14:paraId="32312F06" w14:textId="77777777" w:rsidTr="00A32829">
        <w:trPr>
          <w:cantSplit/>
        </w:trPr>
        <w:tc>
          <w:tcPr>
            <w:tcW w:w="2552" w:type="dxa"/>
            <w:hideMark/>
          </w:tcPr>
          <w:p w14:paraId="1658238C" w14:textId="77777777" w:rsidR="00921922" w:rsidRPr="0098470E" w:rsidRDefault="00921922" w:rsidP="00603215">
            <w:pPr>
              <w:pStyle w:val="DHHStabletext"/>
            </w:pPr>
            <w:r w:rsidRPr="0098470E">
              <w:t>Calculating performance</w:t>
            </w:r>
          </w:p>
        </w:tc>
        <w:tc>
          <w:tcPr>
            <w:tcW w:w="6748" w:type="dxa"/>
            <w:hideMark/>
          </w:tcPr>
          <w:p w14:paraId="7DEE1EB0" w14:textId="5F8BAE97" w:rsidR="005E54ED" w:rsidRDefault="005E54ED" w:rsidP="005E54ED">
            <w:pPr>
              <w:pStyle w:val="DHHStabletext"/>
            </w:pPr>
            <w:r>
              <w:t xml:space="preserve">Percentage of male clients admitted to TEH within 14 days after being placed on a court secure treatment order or a secure treatment order (order codes 105 and 202) within the applicable time period. </w:t>
            </w:r>
          </w:p>
          <w:p w14:paraId="4E587299" w14:textId="331C3DAD" w:rsidR="00921922" w:rsidRPr="0098470E" w:rsidRDefault="005E54ED" w:rsidP="005E54ED">
            <w:pPr>
              <w:pStyle w:val="DHHStabletext"/>
            </w:pPr>
            <w:r>
              <w:t>Performance is assessed quarterly.</w:t>
            </w:r>
          </w:p>
        </w:tc>
      </w:tr>
      <w:tr w:rsidR="00921922" w:rsidRPr="0098470E" w14:paraId="6BD1A8FB" w14:textId="77777777" w:rsidTr="00A32829">
        <w:trPr>
          <w:cantSplit/>
        </w:trPr>
        <w:tc>
          <w:tcPr>
            <w:tcW w:w="2552" w:type="dxa"/>
            <w:hideMark/>
          </w:tcPr>
          <w:p w14:paraId="23E5D20C" w14:textId="77777777" w:rsidR="00921922" w:rsidRPr="0098470E" w:rsidRDefault="00921922" w:rsidP="00603215">
            <w:pPr>
              <w:pStyle w:val="DHHStabletext"/>
            </w:pPr>
            <w:r w:rsidRPr="0098470E">
              <w:t>Numerator</w:t>
            </w:r>
          </w:p>
        </w:tc>
        <w:tc>
          <w:tcPr>
            <w:tcW w:w="6748" w:type="dxa"/>
            <w:hideMark/>
          </w:tcPr>
          <w:p w14:paraId="50342249" w14:textId="77777777" w:rsidR="00C671D9" w:rsidRDefault="00C671D9" w:rsidP="00C671D9">
            <w:pPr>
              <w:pStyle w:val="DHHStabletext"/>
            </w:pPr>
            <w:r w:rsidRPr="00860BBB">
              <w:t xml:space="preserve">Total number of male </w:t>
            </w:r>
            <w:r>
              <w:t xml:space="preserve">security patients </w:t>
            </w:r>
            <w:r w:rsidRPr="00860BBB">
              <w:t>who were certified</w:t>
            </w:r>
            <w:r>
              <w:t xml:space="preserve"> as requiring compulsory treatment</w:t>
            </w:r>
            <w:r w:rsidRPr="00860BBB">
              <w:t xml:space="preserve">, and who were transferred to </w:t>
            </w:r>
            <w:r>
              <w:t>TEH</w:t>
            </w:r>
            <w:r w:rsidRPr="00860BBB">
              <w:t xml:space="preserve"> within 14 days.</w:t>
            </w:r>
          </w:p>
          <w:p w14:paraId="14C53011" w14:textId="6D094BD5" w:rsidR="00921922" w:rsidRPr="0098470E" w:rsidRDefault="00C671D9" w:rsidP="00603215">
            <w:pPr>
              <w:pStyle w:val="DHHStabletext"/>
            </w:pPr>
            <w:r>
              <w:t>Patient is counted when the number of days between certification and transfer to T</w:t>
            </w:r>
            <w:r w:rsidR="00467B16">
              <w:t>EH</w:t>
            </w:r>
            <w:r>
              <w:t xml:space="preserve"> is within 14 days.</w:t>
            </w:r>
          </w:p>
        </w:tc>
      </w:tr>
      <w:tr w:rsidR="00921922" w:rsidRPr="0098470E" w14:paraId="37A01FB0" w14:textId="77777777" w:rsidTr="00A32829">
        <w:trPr>
          <w:cantSplit/>
        </w:trPr>
        <w:tc>
          <w:tcPr>
            <w:tcW w:w="2552" w:type="dxa"/>
            <w:hideMark/>
          </w:tcPr>
          <w:p w14:paraId="654C96D9" w14:textId="77777777" w:rsidR="00921922" w:rsidRPr="0098470E" w:rsidRDefault="00921922" w:rsidP="00603215">
            <w:pPr>
              <w:pStyle w:val="DHHStabletext"/>
            </w:pPr>
            <w:r w:rsidRPr="0098470E">
              <w:t>Denominator</w:t>
            </w:r>
          </w:p>
        </w:tc>
        <w:tc>
          <w:tcPr>
            <w:tcW w:w="6748" w:type="dxa"/>
            <w:hideMark/>
          </w:tcPr>
          <w:p w14:paraId="4643F1CD" w14:textId="77777777" w:rsidR="00921922" w:rsidRPr="00860BBB" w:rsidRDefault="00921922" w:rsidP="00603215">
            <w:pPr>
              <w:pStyle w:val="DHHStabletext"/>
            </w:pPr>
            <w:r>
              <w:t>Total number of male clients placed on a court secure treatment order or a secure treatment order (order codes 105 and 202) within the applicable time period.</w:t>
            </w:r>
          </w:p>
        </w:tc>
      </w:tr>
      <w:tr w:rsidR="00921922" w:rsidRPr="0098470E" w14:paraId="2431E92E" w14:textId="77777777" w:rsidTr="00A32829">
        <w:trPr>
          <w:cantSplit/>
        </w:trPr>
        <w:tc>
          <w:tcPr>
            <w:tcW w:w="2552" w:type="dxa"/>
            <w:hideMark/>
          </w:tcPr>
          <w:p w14:paraId="14EC7117" w14:textId="77777777" w:rsidR="00921922" w:rsidRPr="0098470E" w:rsidRDefault="00921922" w:rsidP="00603215">
            <w:pPr>
              <w:pStyle w:val="DHHStabletext"/>
            </w:pPr>
            <w:r w:rsidRPr="0098470E">
              <w:t>Statewide target</w:t>
            </w:r>
          </w:p>
        </w:tc>
        <w:tc>
          <w:tcPr>
            <w:tcW w:w="6748" w:type="dxa"/>
            <w:hideMark/>
          </w:tcPr>
          <w:p w14:paraId="4DBB4424" w14:textId="77777777" w:rsidR="00921922" w:rsidRPr="0098470E" w:rsidRDefault="00921922" w:rsidP="00603215">
            <w:pPr>
              <w:pStyle w:val="DHHStabletext"/>
            </w:pPr>
            <w:r w:rsidRPr="0098470E">
              <w:t>100%</w:t>
            </w:r>
          </w:p>
        </w:tc>
      </w:tr>
      <w:tr w:rsidR="006A6B1A" w:rsidRPr="0098470E" w14:paraId="430ACFBC" w14:textId="77777777" w:rsidTr="006A6B1A">
        <w:trPr>
          <w:cantSplit/>
        </w:trPr>
        <w:tc>
          <w:tcPr>
            <w:tcW w:w="2552" w:type="dxa"/>
            <w:hideMark/>
          </w:tcPr>
          <w:p w14:paraId="29CB43DB" w14:textId="77777777" w:rsidR="006A6B1A" w:rsidRPr="0098470E" w:rsidRDefault="006A6B1A" w:rsidP="00A32829">
            <w:pPr>
              <w:pStyle w:val="DHHStabletext"/>
              <w:keepNext/>
            </w:pPr>
            <w:r w:rsidRPr="0098470E">
              <w:t>Achievement</w:t>
            </w:r>
          </w:p>
        </w:tc>
        <w:tc>
          <w:tcPr>
            <w:tcW w:w="6748" w:type="dxa"/>
            <w:hideMark/>
          </w:tcPr>
          <w:p w14:paraId="5ED8CEA4" w14:textId="1B37951C" w:rsidR="006A6B1A" w:rsidRPr="0098470E" w:rsidRDefault="006A6B1A" w:rsidP="006A6B1A">
            <w:pPr>
              <w:pStyle w:val="DHHStabletext92mmtab"/>
            </w:pPr>
            <w:r w:rsidRPr="0098470E">
              <w:t>Equal to 100%</w:t>
            </w:r>
            <w:r>
              <w:tab/>
              <w:t>Achieved</w:t>
            </w:r>
          </w:p>
          <w:p w14:paraId="1FDED7D5" w14:textId="09B18904" w:rsidR="006A6B1A" w:rsidRPr="0098470E" w:rsidRDefault="006A6B1A" w:rsidP="006A6B1A">
            <w:pPr>
              <w:pStyle w:val="DHHStabletext92mmtab"/>
            </w:pPr>
            <w:r w:rsidRPr="0098470E">
              <w:t>Less than 100%</w:t>
            </w:r>
            <w:r>
              <w:tab/>
              <w:t>Not achieved</w:t>
            </w:r>
          </w:p>
        </w:tc>
      </w:tr>
      <w:tr w:rsidR="00921922" w:rsidRPr="0098470E" w14:paraId="4792FEA8" w14:textId="77777777" w:rsidTr="00A32829">
        <w:trPr>
          <w:cantSplit/>
        </w:trPr>
        <w:tc>
          <w:tcPr>
            <w:tcW w:w="2552" w:type="dxa"/>
          </w:tcPr>
          <w:p w14:paraId="5145296E" w14:textId="77777777" w:rsidR="00921922" w:rsidRPr="0098470E" w:rsidRDefault="00921922" w:rsidP="00603215">
            <w:pPr>
              <w:pStyle w:val="DHHStabletext"/>
            </w:pPr>
            <w:r>
              <w:t xml:space="preserve">Improvement </w:t>
            </w:r>
          </w:p>
        </w:tc>
        <w:tc>
          <w:tcPr>
            <w:tcW w:w="6748" w:type="dxa"/>
          </w:tcPr>
          <w:p w14:paraId="65534BE2" w14:textId="5C34C477" w:rsidR="00921922" w:rsidRDefault="00921922" w:rsidP="00603215">
            <w:pPr>
              <w:pStyle w:val="DHHStabletext"/>
            </w:pPr>
            <w:r w:rsidRPr="00D91C1B">
              <w:t>For the purpose of the performance risk assessment</w:t>
            </w:r>
            <w:r w:rsidR="00467B16">
              <w:t>,</w:t>
            </w:r>
            <w:r w:rsidRPr="00D91C1B">
              <w:t xml:space="preserve"> improvement is compared to previous quarter performance.</w:t>
            </w:r>
          </w:p>
        </w:tc>
      </w:tr>
      <w:tr w:rsidR="00921922" w:rsidRPr="0098470E" w14:paraId="52589035" w14:textId="77777777" w:rsidTr="00A32829">
        <w:trPr>
          <w:cantSplit/>
        </w:trPr>
        <w:tc>
          <w:tcPr>
            <w:tcW w:w="2552" w:type="dxa"/>
            <w:hideMark/>
          </w:tcPr>
          <w:p w14:paraId="6D405FE6" w14:textId="77777777" w:rsidR="00921922" w:rsidRPr="0098470E" w:rsidRDefault="00921922" w:rsidP="00603215">
            <w:pPr>
              <w:pStyle w:val="DHHStabletext"/>
            </w:pPr>
            <w:r w:rsidRPr="0098470E">
              <w:t>Frequency of reporting and data collection</w:t>
            </w:r>
          </w:p>
        </w:tc>
        <w:tc>
          <w:tcPr>
            <w:tcW w:w="6748" w:type="dxa"/>
            <w:hideMark/>
          </w:tcPr>
          <w:p w14:paraId="354F9B31" w14:textId="77777777" w:rsidR="00921922" w:rsidRDefault="00921922" w:rsidP="00603215">
            <w:pPr>
              <w:pStyle w:val="DHHStabletext"/>
            </w:pPr>
            <w:r>
              <w:t>Indicator is reported quarterly.</w:t>
            </w:r>
          </w:p>
          <w:p w14:paraId="4A018775" w14:textId="77777777" w:rsidR="00921922" w:rsidRPr="0098470E" w:rsidRDefault="00921922" w:rsidP="00603215">
            <w:pPr>
              <w:pStyle w:val="DHHStabletext"/>
            </w:pPr>
            <w:r w:rsidRPr="0098470E">
              <w:t>Performance is reported for the periods:</w:t>
            </w:r>
          </w:p>
          <w:p w14:paraId="37B6797B" w14:textId="42E9E4D1" w:rsidR="00921922" w:rsidRPr="0098470E" w:rsidRDefault="00921922" w:rsidP="00603215">
            <w:pPr>
              <w:pStyle w:val="DHHStablebullet1"/>
            </w:pPr>
            <w:r w:rsidRPr="0098470E">
              <w:t>1 July to 30 September in quarter 1</w:t>
            </w:r>
          </w:p>
          <w:p w14:paraId="6E5F45B0" w14:textId="6D2B0E4E" w:rsidR="00921922" w:rsidRPr="0098470E" w:rsidRDefault="00921922" w:rsidP="00603215">
            <w:pPr>
              <w:pStyle w:val="DHHStablebullet1"/>
            </w:pPr>
            <w:r w:rsidRPr="0098470E">
              <w:t>1 October to 31 December in quarter 2</w:t>
            </w:r>
          </w:p>
          <w:p w14:paraId="58016141" w14:textId="6195CAC5" w:rsidR="00921922" w:rsidRPr="0098470E" w:rsidRDefault="00921922" w:rsidP="00603215">
            <w:pPr>
              <w:pStyle w:val="DHHStablebullet1"/>
            </w:pPr>
            <w:r w:rsidRPr="0098470E">
              <w:t>1 January to 31 March in quarter 3</w:t>
            </w:r>
          </w:p>
          <w:p w14:paraId="47FCDF3E" w14:textId="72D572F2" w:rsidR="00921922" w:rsidRPr="0098470E" w:rsidRDefault="00921922" w:rsidP="00603215">
            <w:pPr>
              <w:pStyle w:val="DHHStablebullet1"/>
            </w:pPr>
            <w:r w:rsidRPr="0098470E">
              <w:t xml:space="preserve">1 April to 30 June </w:t>
            </w:r>
            <w:r w:rsidR="00853581">
              <w:t>i</w:t>
            </w:r>
            <w:r w:rsidRPr="0098470E">
              <w:t>n quarter 4.</w:t>
            </w:r>
          </w:p>
          <w:p w14:paraId="4B0D2530" w14:textId="77777777" w:rsidR="00921922" w:rsidRPr="00D35D31" w:rsidRDefault="00921922" w:rsidP="00603215">
            <w:pPr>
              <w:pStyle w:val="DHHStabletext"/>
              <w:rPr>
                <w:rFonts w:ascii="Verdana" w:hAnsi="Verdana" w:cs="Verdana"/>
                <w:sz w:val="18"/>
                <w:szCs w:val="18"/>
              </w:rPr>
            </w:pPr>
            <w:r w:rsidRPr="0098470E">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2AA11F11" w14:textId="77777777" w:rsidR="00921922" w:rsidRDefault="00921922" w:rsidP="00921922">
      <w:pPr>
        <w:rPr>
          <w:rFonts w:ascii="Arial" w:eastAsia="MS Mincho" w:hAnsi="Arial"/>
          <w:b/>
          <w:bCs/>
        </w:rPr>
      </w:pPr>
      <w:r>
        <w:br w:type="page"/>
      </w:r>
    </w:p>
    <w:p w14:paraId="0231928A" w14:textId="209800ED" w:rsidR="00921922" w:rsidRDefault="000F7399" w:rsidP="00921922">
      <w:pPr>
        <w:pStyle w:val="Heading4"/>
      </w:pPr>
      <w:bookmarkStart w:id="109" w:name="_Toc15580100"/>
      <w:r>
        <w:lastRenderedPageBreak/>
        <w:t xml:space="preserve">Forensicare: </w:t>
      </w:r>
      <w:r w:rsidR="00921922" w:rsidRPr="0098470E">
        <w:t xml:space="preserve">Length of stay – </w:t>
      </w:r>
      <w:r w:rsidR="00B7452F">
        <w:t>m</w:t>
      </w:r>
      <w:r w:rsidR="00921922" w:rsidRPr="0098470E">
        <w:t xml:space="preserve">ale </w:t>
      </w:r>
      <w:r w:rsidR="00921922">
        <w:t>s</w:t>
      </w:r>
      <w:r w:rsidR="00921922" w:rsidRPr="0098470E">
        <w:t xml:space="preserve">ecurity </w:t>
      </w:r>
      <w:r w:rsidR="00921922">
        <w:t>patients</w:t>
      </w:r>
      <w:bookmarkEnd w:id="109"/>
    </w:p>
    <w:p w14:paraId="3A63A600" w14:textId="6B5E0234" w:rsidR="00F12615" w:rsidRPr="00F12615" w:rsidRDefault="00F12615" w:rsidP="00F12615">
      <w:pPr>
        <w:pStyle w:val="DHHStablecaption"/>
      </w:pPr>
      <w:r>
        <w:t xml:space="preserve">Indicator: </w:t>
      </w:r>
      <w:r w:rsidR="00101E11" w:rsidRPr="0098470E">
        <w:t xml:space="preserve">Percentage of </w:t>
      </w:r>
      <w:r w:rsidR="00101E11">
        <w:t xml:space="preserve">male </w:t>
      </w:r>
      <w:r w:rsidR="00101E11" w:rsidRPr="0098470E">
        <w:t>security patients discharged to prison within 80 days</w:t>
      </w:r>
    </w:p>
    <w:tbl>
      <w:tblPr>
        <w:tblStyle w:val="TableGrid"/>
        <w:tblW w:w="9300" w:type="dxa"/>
        <w:tblLayout w:type="fixed"/>
        <w:tblLook w:val="06A0" w:firstRow="1" w:lastRow="0" w:firstColumn="1" w:lastColumn="0" w:noHBand="1" w:noVBand="1"/>
      </w:tblPr>
      <w:tblGrid>
        <w:gridCol w:w="2552"/>
        <w:gridCol w:w="6748"/>
      </w:tblGrid>
      <w:tr w:rsidR="00D97737" w:rsidRPr="0098470E" w14:paraId="4E0EC2DA"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52" w:type="dxa"/>
            <w:hideMark/>
          </w:tcPr>
          <w:p w14:paraId="42CF76EC" w14:textId="6BD06DFB" w:rsidR="00D97737" w:rsidRPr="0098470E" w:rsidRDefault="00D97737" w:rsidP="00D97737">
            <w:pPr>
              <w:pStyle w:val="DHHStablecolhead"/>
            </w:pPr>
            <w:r>
              <w:t>Element</w:t>
            </w:r>
          </w:p>
        </w:tc>
        <w:tc>
          <w:tcPr>
            <w:tcW w:w="6748" w:type="dxa"/>
            <w:hideMark/>
          </w:tcPr>
          <w:p w14:paraId="2C121DD2" w14:textId="55173D52" w:rsidR="00D97737" w:rsidRPr="0098470E" w:rsidRDefault="00D97737" w:rsidP="00D97737">
            <w:pPr>
              <w:pStyle w:val="DHHStablecolhead"/>
            </w:pPr>
            <w:r>
              <w:t>Details</w:t>
            </w:r>
          </w:p>
        </w:tc>
      </w:tr>
      <w:tr w:rsidR="00921922" w:rsidRPr="0098470E" w14:paraId="7346C98C" w14:textId="77777777" w:rsidTr="00A32829">
        <w:trPr>
          <w:cantSplit/>
        </w:trPr>
        <w:tc>
          <w:tcPr>
            <w:tcW w:w="2552" w:type="dxa"/>
          </w:tcPr>
          <w:p w14:paraId="2755FC90" w14:textId="77777777" w:rsidR="00921922" w:rsidRPr="0098470E" w:rsidRDefault="00921922" w:rsidP="00603215">
            <w:pPr>
              <w:pStyle w:val="DHHStabletext"/>
            </w:pPr>
            <w:r>
              <w:t>Description</w:t>
            </w:r>
          </w:p>
        </w:tc>
        <w:tc>
          <w:tcPr>
            <w:tcW w:w="6748" w:type="dxa"/>
          </w:tcPr>
          <w:p w14:paraId="28C6F236" w14:textId="77777777" w:rsidR="00921922" w:rsidRDefault="00921922" w:rsidP="00603215">
            <w:pPr>
              <w:pStyle w:val="DHHStabletext"/>
            </w:pPr>
            <w:r>
              <w:t>Percentage of male security patients within TEH discharged to a correctional centre within 80 days.</w:t>
            </w:r>
          </w:p>
        </w:tc>
      </w:tr>
      <w:tr w:rsidR="00921922" w:rsidRPr="0098470E" w14:paraId="3B35EC5F" w14:textId="77777777" w:rsidTr="00A32829">
        <w:trPr>
          <w:cantSplit/>
        </w:trPr>
        <w:tc>
          <w:tcPr>
            <w:tcW w:w="2552" w:type="dxa"/>
            <w:hideMark/>
          </w:tcPr>
          <w:p w14:paraId="7DAEE815" w14:textId="77777777" w:rsidR="00921922" w:rsidRPr="0098470E" w:rsidRDefault="00921922" w:rsidP="00603215">
            <w:pPr>
              <w:pStyle w:val="DHHStabletext"/>
            </w:pPr>
            <w:r w:rsidRPr="0098470E">
              <w:t>Calculating performance</w:t>
            </w:r>
          </w:p>
        </w:tc>
        <w:tc>
          <w:tcPr>
            <w:tcW w:w="6748" w:type="dxa"/>
            <w:hideMark/>
          </w:tcPr>
          <w:p w14:paraId="3A0A60F2" w14:textId="77777777" w:rsidR="00921922" w:rsidRPr="0098470E" w:rsidRDefault="00921922" w:rsidP="00603215">
            <w:pPr>
              <w:pStyle w:val="DHHStabletext"/>
            </w:pPr>
            <w:r>
              <w:t>Performance is assessed quarterly.</w:t>
            </w:r>
          </w:p>
        </w:tc>
      </w:tr>
      <w:tr w:rsidR="00921922" w:rsidRPr="0098470E" w14:paraId="00B5E893" w14:textId="77777777" w:rsidTr="00A32829">
        <w:trPr>
          <w:cantSplit/>
        </w:trPr>
        <w:tc>
          <w:tcPr>
            <w:tcW w:w="2552" w:type="dxa"/>
            <w:hideMark/>
          </w:tcPr>
          <w:p w14:paraId="1EB9C4CB" w14:textId="77777777" w:rsidR="00921922" w:rsidRPr="0098470E" w:rsidRDefault="00921922" w:rsidP="00603215">
            <w:pPr>
              <w:pStyle w:val="DHHStabletext"/>
            </w:pPr>
            <w:r w:rsidRPr="0098470E">
              <w:t>Numerator</w:t>
            </w:r>
          </w:p>
        </w:tc>
        <w:tc>
          <w:tcPr>
            <w:tcW w:w="6748" w:type="dxa"/>
            <w:hideMark/>
          </w:tcPr>
          <w:p w14:paraId="57BF4FC6" w14:textId="26FED523" w:rsidR="00921922" w:rsidRDefault="00921922" w:rsidP="00603215">
            <w:pPr>
              <w:pStyle w:val="DHHStabletext"/>
            </w:pPr>
            <w:r>
              <w:t xml:space="preserve">Total number of discharges within 80 days from </w:t>
            </w:r>
            <w:r w:rsidR="00583DC3">
              <w:t xml:space="preserve">TEH </w:t>
            </w:r>
            <w:r w:rsidR="00CD5F96">
              <w:t xml:space="preserve">acute </w:t>
            </w:r>
            <w:r>
              <w:t>units in the applicable time period, where the client was male and on a security order. Exclude same day stays.</w:t>
            </w:r>
          </w:p>
          <w:p w14:paraId="61644953" w14:textId="36E4EAB0" w:rsidR="00921922" w:rsidRDefault="00921922" w:rsidP="00603215">
            <w:pPr>
              <w:pStyle w:val="DHHStabletext"/>
            </w:pPr>
            <w:r>
              <w:t xml:space="preserve">Calculating </w:t>
            </w:r>
            <w:r w:rsidR="00B7452F">
              <w:t>n</w:t>
            </w:r>
            <w:r>
              <w:t>umerator:</w:t>
            </w:r>
          </w:p>
          <w:p w14:paraId="5F5DF2A8" w14:textId="4AC96335" w:rsidR="00921922" w:rsidRDefault="00921922" w:rsidP="00603215">
            <w:pPr>
              <w:pStyle w:val="DHHStabletext"/>
              <w:numPr>
                <w:ilvl w:val="0"/>
                <w:numId w:val="8"/>
              </w:numPr>
            </w:pPr>
            <w:r w:rsidRPr="004157C8">
              <w:t xml:space="preserve">Select discharges from </w:t>
            </w:r>
            <w:r w:rsidR="00583DC3">
              <w:t>TEH</w:t>
            </w:r>
            <w:r w:rsidR="00583DC3" w:rsidRPr="004157C8">
              <w:t xml:space="preserve"> </w:t>
            </w:r>
            <w:r w:rsidR="00CD5F96">
              <w:t>acute</w:t>
            </w:r>
            <w:r w:rsidR="00583DC3" w:rsidRPr="004157C8">
              <w:t xml:space="preserve"> </w:t>
            </w:r>
            <w:r w:rsidRPr="004157C8">
              <w:t>units in the applicable time</w:t>
            </w:r>
            <w:r>
              <w:t xml:space="preserve"> </w:t>
            </w:r>
            <w:r w:rsidRPr="004157C8">
              <w:t>period, where the client was on a security order (order codes 105 and 202) at the time of discharge.</w:t>
            </w:r>
          </w:p>
          <w:p w14:paraId="3232FA63" w14:textId="77777777" w:rsidR="00921922" w:rsidRDefault="00921922" w:rsidP="00603215">
            <w:pPr>
              <w:pStyle w:val="DHHStabletext"/>
              <w:numPr>
                <w:ilvl w:val="1"/>
                <w:numId w:val="9"/>
              </w:numPr>
            </w:pPr>
            <w:r w:rsidRPr="004157C8">
              <w:t>This is based on episode end date, except in instances where a client was discharged whilst in leave, then take the date sent on leave.</w:t>
            </w:r>
          </w:p>
          <w:p w14:paraId="68BC7C42" w14:textId="77777777" w:rsidR="00921922" w:rsidRDefault="00921922" w:rsidP="00603215">
            <w:pPr>
              <w:pStyle w:val="DHHStabletext"/>
              <w:numPr>
                <w:ilvl w:val="1"/>
                <w:numId w:val="9"/>
              </w:numPr>
            </w:pPr>
            <w:r w:rsidRPr="004157C8">
              <w:t>Calculate length of stay by taking the difference in minutes between the episode start date &amp; time and the end date &amp; time. Convert time difference to days by multiplying by *0.000694444444 (1/60mins/24hrs).</w:t>
            </w:r>
          </w:p>
          <w:p w14:paraId="21F7D714" w14:textId="77777777" w:rsidR="00921922" w:rsidRDefault="00921922" w:rsidP="00603215">
            <w:pPr>
              <w:pStyle w:val="DHHStabletext"/>
              <w:numPr>
                <w:ilvl w:val="1"/>
                <w:numId w:val="9"/>
              </w:numPr>
            </w:pPr>
            <w:r w:rsidRPr="004157C8">
              <w:t>Exclude those instances where the length of stay is greater than 80.</w:t>
            </w:r>
          </w:p>
          <w:p w14:paraId="3C02F1B5" w14:textId="7F51C887" w:rsidR="00921922" w:rsidRDefault="00921922" w:rsidP="00603215">
            <w:pPr>
              <w:pStyle w:val="DHHStabletext"/>
              <w:numPr>
                <w:ilvl w:val="1"/>
                <w:numId w:val="9"/>
              </w:numPr>
            </w:pPr>
            <w:r>
              <w:t>Exclude same day stays</w:t>
            </w:r>
            <w:r w:rsidR="00491922">
              <w:t>.</w:t>
            </w:r>
          </w:p>
          <w:p w14:paraId="57FF859E" w14:textId="77777777" w:rsidR="00921922" w:rsidRPr="0098470E" w:rsidRDefault="00921922" w:rsidP="00603215">
            <w:pPr>
              <w:pStyle w:val="DHHStabletext"/>
              <w:numPr>
                <w:ilvl w:val="0"/>
                <w:numId w:val="8"/>
              </w:numPr>
            </w:pPr>
            <w:r w:rsidRPr="004157C8">
              <w:t>Count the number of discharges per team.</w:t>
            </w:r>
          </w:p>
        </w:tc>
      </w:tr>
      <w:tr w:rsidR="00921922" w:rsidRPr="0098470E" w14:paraId="6349E766" w14:textId="77777777" w:rsidTr="00A32829">
        <w:trPr>
          <w:cantSplit/>
        </w:trPr>
        <w:tc>
          <w:tcPr>
            <w:tcW w:w="2552" w:type="dxa"/>
            <w:hideMark/>
          </w:tcPr>
          <w:p w14:paraId="5DA811A3" w14:textId="77777777" w:rsidR="00921922" w:rsidRPr="0098470E" w:rsidRDefault="00921922" w:rsidP="00603215">
            <w:pPr>
              <w:pStyle w:val="DHHStabletext"/>
            </w:pPr>
            <w:r w:rsidRPr="0098470E">
              <w:t>Denominator</w:t>
            </w:r>
          </w:p>
        </w:tc>
        <w:tc>
          <w:tcPr>
            <w:tcW w:w="6748" w:type="dxa"/>
            <w:hideMark/>
          </w:tcPr>
          <w:p w14:paraId="13B989F0" w14:textId="61D1AE17" w:rsidR="00921922" w:rsidRDefault="00921922" w:rsidP="00603215">
            <w:pPr>
              <w:pStyle w:val="DHHStabletext"/>
            </w:pPr>
            <w:r>
              <w:t xml:space="preserve">Total number of occupants in the </w:t>
            </w:r>
            <w:r w:rsidR="00583DC3">
              <w:t xml:space="preserve">TEH </w:t>
            </w:r>
            <w:r w:rsidR="004C757C">
              <w:t xml:space="preserve">acute </w:t>
            </w:r>
            <w:r>
              <w:t>units in the applicable time period, where the client was male and was on a security order (at discharge/end of reporting period). Exclude same day stays.</w:t>
            </w:r>
          </w:p>
          <w:p w14:paraId="4FED7475" w14:textId="7744E4BD" w:rsidR="00921922" w:rsidRDefault="00921922" w:rsidP="00603215">
            <w:pPr>
              <w:pStyle w:val="DHHStabletext"/>
            </w:pPr>
            <w:r>
              <w:t xml:space="preserve">Calculating </w:t>
            </w:r>
            <w:r w:rsidR="00B7452F">
              <w:t>d</w:t>
            </w:r>
            <w:r>
              <w:t>enominator:</w:t>
            </w:r>
          </w:p>
          <w:p w14:paraId="63999627" w14:textId="44108A83" w:rsidR="00921922" w:rsidRDefault="00921922" w:rsidP="00603215">
            <w:pPr>
              <w:pStyle w:val="DHHStabletext"/>
              <w:numPr>
                <w:ilvl w:val="0"/>
                <w:numId w:val="13"/>
              </w:numPr>
            </w:pPr>
            <w:r>
              <w:t xml:space="preserve">Select all male clients in </w:t>
            </w:r>
            <w:r w:rsidR="00583DC3">
              <w:t xml:space="preserve">TEH </w:t>
            </w:r>
            <w:r w:rsidR="004C757C">
              <w:t>acute</w:t>
            </w:r>
            <w:r>
              <w:t xml:space="preserve"> units in the applicable time period. Exclude same day stays.</w:t>
            </w:r>
          </w:p>
          <w:p w14:paraId="1622345B" w14:textId="77777777" w:rsidR="00921922" w:rsidRDefault="00921922" w:rsidP="00603215">
            <w:pPr>
              <w:pStyle w:val="DHHStabletext"/>
              <w:numPr>
                <w:ilvl w:val="1"/>
                <w:numId w:val="11"/>
              </w:numPr>
            </w:pPr>
            <w:r>
              <w:t>Include only those clients on a security order (order codes 105 and 202) at the end of the reporting period, or for those clients that were discharged within the reporting period, at the time of discharge.</w:t>
            </w:r>
          </w:p>
          <w:p w14:paraId="393F46E6" w14:textId="77777777" w:rsidR="00921922" w:rsidRDefault="00921922" w:rsidP="00603215">
            <w:pPr>
              <w:pStyle w:val="DHHStabletext"/>
              <w:numPr>
                <w:ilvl w:val="1"/>
                <w:numId w:val="11"/>
              </w:numPr>
            </w:pPr>
            <w:r>
              <w:t>For those clients not discharged within the applicable time period, exclude those clients that have length of stay less than 80 days.</w:t>
            </w:r>
          </w:p>
          <w:p w14:paraId="4B8FB61A" w14:textId="77777777" w:rsidR="00921922" w:rsidRPr="0098470E" w:rsidRDefault="00921922" w:rsidP="00603215">
            <w:pPr>
              <w:pStyle w:val="DHHStabletext"/>
              <w:numPr>
                <w:ilvl w:val="0"/>
                <w:numId w:val="13"/>
              </w:numPr>
            </w:pPr>
            <w:r>
              <w:t>Count the number of episodes per team.</w:t>
            </w:r>
          </w:p>
        </w:tc>
      </w:tr>
      <w:tr w:rsidR="00921922" w:rsidRPr="0098470E" w14:paraId="07E8E167" w14:textId="77777777" w:rsidTr="00A32829">
        <w:trPr>
          <w:cantSplit/>
        </w:trPr>
        <w:tc>
          <w:tcPr>
            <w:tcW w:w="2552" w:type="dxa"/>
            <w:hideMark/>
          </w:tcPr>
          <w:p w14:paraId="253F19BC" w14:textId="77777777" w:rsidR="00921922" w:rsidRPr="0098470E" w:rsidRDefault="00921922" w:rsidP="00603215">
            <w:pPr>
              <w:pStyle w:val="DHHStabletext"/>
            </w:pPr>
            <w:r w:rsidRPr="0098470E">
              <w:t>Statewide target</w:t>
            </w:r>
          </w:p>
        </w:tc>
        <w:tc>
          <w:tcPr>
            <w:tcW w:w="6748" w:type="dxa"/>
            <w:hideMark/>
          </w:tcPr>
          <w:p w14:paraId="00CB076F" w14:textId="77777777" w:rsidR="00921922" w:rsidRPr="0098470E" w:rsidRDefault="00921922" w:rsidP="00603215">
            <w:pPr>
              <w:pStyle w:val="DHHStabletext"/>
            </w:pPr>
            <w:r w:rsidRPr="0098470E">
              <w:t>75%</w:t>
            </w:r>
          </w:p>
        </w:tc>
      </w:tr>
      <w:tr w:rsidR="006A6B1A" w:rsidRPr="0098470E" w14:paraId="54458A3B" w14:textId="77777777" w:rsidTr="00554C1C">
        <w:trPr>
          <w:cantSplit/>
        </w:trPr>
        <w:tc>
          <w:tcPr>
            <w:tcW w:w="2552" w:type="dxa"/>
            <w:hideMark/>
          </w:tcPr>
          <w:p w14:paraId="0C1BE91D" w14:textId="77777777" w:rsidR="006A6B1A" w:rsidRPr="0098470E" w:rsidRDefault="006A6B1A" w:rsidP="00603215">
            <w:pPr>
              <w:pStyle w:val="DHHStabletext"/>
            </w:pPr>
            <w:r w:rsidRPr="0098470E">
              <w:t>Achievement</w:t>
            </w:r>
          </w:p>
        </w:tc>
        <w:tc>
          <w:tcPr>
            <w:tcW w:w="6748" w:type="dxa"/>
            <w:tcBorders>
              <w:bottom w:val="single" w:sz="4" w:space="0" w:color="auto"/>
            </w:tcBorders>
            <w:hideMark/>
          </w:tcPr>
          <w:p w14:paraId="64627F79" w14:textId="1038E5A3" w:rsidR="006A6B1A" w:rsidRPr="0098470E" w:rsidRDefault="006A6B1A" w:rsidP="006A6B1A">
            <w:pPr>
              <w:pStyle w:val="DHHStabletext92mmtab"/>
            </w:pPr>
            <w:r w:rsidRPr="0098470E">
              <w:t>Equal to or greater than 75%</w:t>
            </w:r>
            <w:r>
              <w:tab/>
              <w:t>Achieved</w:t>
            </w:r>
          </w:p>
          <w:p w14:paraId="6E6C855F" w14:textId="113AFAD5" w:rsidR="006A6B1A" w:rsidRPr="0098470E" w:rsidRDefault="006A6B1A" w:rsidP="006A6B1A">
            <w:pPr>
              <w:pStyle w:val="DHHStabletext92mmtab"/>
            </w:pPr>
            <w:r w:rsidRPr="0098470E">
              <w:t>Less than 75%</w:t>
            </w:r>
            <w:r>
              <w:tab/>
              <w:t>Not achieved</w:t>
            </w:r>
          </w:p>
        </w:tc>
      </w:tr>
      <w:tr w:rsidR="00921922" w:rsidRPr="0098470E" w14:paraId="3D4E64E5" w14:textId="77777777" w:rsidTr="00554C1C">
        <w:trPr>
          <w:cantSplit/>
        </w:trPr>
        <w:tc>
          <w:tcPr>
            <w:tcW w:w="2552" w:type="dxa"/>
          </w:tcPr>
          <w:p w14:paraId="2292A755" w14:textId="77777777" w:rsidR="00921922" w:rsidRPr="0098470E" w:rsidRDefault="00921922" w:rsidP="00603215">
            <w:pPr>
              <w:pStyle w:val="DHHStabletext"/>
            </w:pPr>
            <w:r>
              <w:t xml:space="preserve">Improvement </w:t>
            </w:r>
          </w:p>
        </w:tc>
        <w:tc>
          <w:tcPr>
            <w:tcW w:w="6748" w:type="dxa"/>
            <w:tcBorders>
              <w:bottom w:val="single" w:sz="4" w:space="0" w:color="auto"/>
            </w:tcBorders>
          </w:tcPr>
          <w:p w14:paraId="6F2A1AAE" w14:textId="66996624" w:rsidR="00921922" w:rsidRDefault="00921922" w:rsidP="00603215">
            <w:pPr>
              <w:pStyle w:val="DHHStabletext"/>
            </w:pPr>
            <w:r w:rsidRPr="00D91C1B">
              <w:t>For the purpose of the performance risk assessment</w:t>
            </w:r>
            <w:r w:rsidR="00583DC3">
              <w:t>,</w:t>
            </w:r>
            <w:r w:rsidRPr="00D91C1B">
              <w:t xml:space="preserve"> improvement is compared to previous quarter performance.</w:t>
            </w:r>
          </w:p>
        </w:tc>
      </w:tr>
      <w:tr w:rsidR="00921922" w:rsidRPr="0098470E" w14:paraId="6F76A8E7" w14:textId="77777777" w:rsidTr="00554C1C">
        <w:trPr>
          <w:cantSplit/>
        </w:trPr>
        <w:tc>
          <w:tcPr>
            <w:tcW w:w="2552" w:type="dxa"/>
            <w:hideMark/>
          </w:tcPr>
          <w:p w14:paraId="03817D63" w14:textId="77777777" w:rsidR="00921922" w:rsidRPr="0098470E" w:rsidRDefault="00921922" w:rsidP="00603215">
            <w:pPr>
              <w:pStyle w:val="DHHStabletext"/>
            </w:pPr>
            <w:r w:rsidRPr="0098470E">
              <w:lastRenderedPageBreak/>
              <w:t>Frequency of reporting and data collection</w:t>
            </w:r>
          </w:p>
        </w:tc>
        <w:tc>
          <w:tcPr>
            <w:tcW w:w="6748" w:type="dxa"/>
            <w:tcBorders>
              <w:top w:val="single" w:sz="4" w:space="0" w:color="auto"/>
            </w:tcBorders>
            <w:hideMark/>
          </w:tcPr>
          <w:p w14:paraId="19B3EA6D" w14:textId="77777777" w:rsidR="00921922" w:rsidRDefault="00921922" w:rsidP="00603215">
            <w:pPr>
              <w:pStyle w:val="DHHStabletext"/>
            </w:pPr>
            <w:r>
              <w:t>CMI/ODS (Mental Health Client Management Information / Operational Data Store). Indicator is reported quarterly.</w:t>
            </w:r>
          </w:p>
          <w:p w14:paraId="26351890" w14:textId="77777777" w:rsidR="00921922" w:rsidRPr="0098470E" w:rsidRDefault="00921922" w:rsidP="00603215">
            <w:pPr>
              <w:pStyle w:val="DHHStabletext"/>
            </w:pPr>
            <w:r w:rsidRPr="0098470E">
              <w:t>Performance is reported for the periods:</w:t>
            </w:r>
          </w:p>
          <w:p w14:paraId="5DFC124B" w14:textId="57270426" w:rsidR="00921922" w:rsidRPr="0098470E" w:rsidRDefault="00921922" w:rsidP="00603215">
            <w:pPr>
              <w:pStyle w:val="DHHStablebullet1"/>
            </w:pPr>
            <w:r w:rsidRPr="0098470E">
              <w:t>1 July to 30 September in quarter 1</w:t>
            </w:r>
          </w:p>
          <w:p w14:paraId="2A56BA1D" w14:textId="540B4379" w:rsidR="00921922" w:rsidRPr="0098470E" w:rsidRDefault="00921922" w:rsidP="00603215">
            <w:pPr>
              <w:pStyle w:val="DHHStablebullet1"/>
            </w:pPr>
            <w:r w:rsidRPr="0098470E">
              <w:t>1 October to 31 December in quarter 2</w:t>
            </w:r>
          </w:p>
          <w:p w14:paraId="5C2EAF78" w14:textId="7FA70B98" w:rsidR="00921922" w:rsidRPr="0098470E" w:rsidRDefault="00921922" w:rsidP="00603215">
            <w:pPr>
              <w:pStyle w:val="DHHStablebullet1"/>
            </w:pPr>
            <w:r w:rsidRPr="0098470E">
              <w:t>1 January to 31 March in quarter 3</w:t>
            </w:r>
          </w:p>
          <w:p w14:paraId="060E6CA2" w14:textId="1E4B713B" w:rsidR="00921922" w:rsidRPr="0098470E" w:rsidRDefault="00921922" w:rsidP="00603215">
            <w:pPr>
              <w:pStyle w:val="DHHStablebullet1"/>
            </w:pPr>
            <w:r w:rsidRPr="0098470E">
              <w:t>1 April to 30 June in quarter 4.</w:t>
            </w:r>
          </w:p>
          <w:p w14:paraId="726A34C0" w14:textId="77777777" w:rsidR="00921922" w:rsidRPr="0098470E" w:rsidRDefault="00921922" w:rsidP="00603215">
            <w:pPr>
              <w:pStyle w:val="DHHStabletext"/>
            </w:pPr>
            <w:r w:rsidRPr="0098470E">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59A71D06" w14:textId="77777777" w:rsidR="00F1426A" w:rsidRDefault="00F1426A">
      <w:pPr>
        <w:spacing w:after="200" w:line="276" w:lineRule="auto"/>
        <w:rPr>
          <w:rFonts w:ascii="Arial" w:hAnsi="Arial"/>
          <w:b/>
        </w:rPr>
      </w:pPr>
      <w:r>
        <w:br w:type="page"/>
      </w:r>
    </w:p>
    <w:p w14:paraId="363A8933" w14:textId="26425442" w:rsidR="00921922" w:rsidRPr="00F12615" w:rsidRDefault="00F12615" w:rsidP="00F12615">
      <w:pPr>
        <w:pStyle w:val="DHHStablecaption"/>
      </w:pPr>
      <w:r>
        <w:lastRenderedPageBreak/>
        <w:t xml:space="preserve">Indicator: </w:t>
      </w:r>
      <w:r w:rsidR="00101E11" w:rsidRPr="0098470E">
        <w:t xml:space="preserve">Percentage of </w:t>
      </w:r>
      <w:r w:rsidR="00101E11">
        <w:t xml:space="preserve">male </w:t>
      </w:r>
      <w:r w:rsidR="00101E11" w:rsidRPr="0098470E">
        <w:t xml:space="preserve">security patients </w:t>
      </w:r>
      <w:r w:rsidR="00101E11">
        <w:t xml:space="preserve">at TEH </w:t>
      </w:r>
      <w:r w:rsidR="00101E11" w:rsidRPr="0098470E">
        <w:t xml:space="preserve">discharged within 21 days of becoming </w:t>
      </w:r>
      <w:r w:rsidR="00101E11">
        <w:t xml:space="preserve">a </w:t>
      </w:r>
      <w:r w:rsidR="00101E11" w:rsidRPr="0098470E">
        <w:t>civil patient</w:t>
      </w:r>
    </w:p>
    <w:tbl>
      <w:tblPr>
        <w:tblStyle w:val="TableGrid"/>
        <w:tblW w:w="9300" w:type="dxa"/>
        <w:tblLayout w:type="fixed"/>
        <w:tblLook w:val="06A0" w:firstRow="1" w:lastRow="0" w:firstColumn="1" w:lastColumn="0" w:noHBand="1" w:noVBand="1"/>
      </w:tblPr>
      <w:tblGrid>
        <w:gridCol w:w="2552"/>
        <w:gridCol w:w="6748"/>
      </w:tblGrid>
      <w:tr w:rsidR="00D97737" w:rsidRPr="0098470E" w14:paraId="0BDD2DD5"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52" w:type="dxa"/>
            <w:hideMark/>
          </w:tcPr>
          <w:p w14:paraId="7EAE36ED" w14:textId="3941CBF3" w:rsidR="00D97737" w:rsidRPr="0098470E" w:rsidRDefault="00D97737" w:rsidP="00D97737">
            <w:pPr>
              <w:pStyle w:val="DHHStablecolhead"/>
            </w:pPr>
            <w:r>
              <w:t>Element</w:t>
            </w:r>
          </w:p>
        </w:tc>
        <w:tc>
          <w:tcPr>
            <w:tcW w:w="6748" w:type="dxa"/>
            <w:hideMark/>
          </w:tcPr>
          <w:p w14:paraId="7C7E1449" w14:textId="494E5F4B" w:rsidR="00D97737" w:rsidRPr="0098470E" w:rsidRDefault="00D97737" w:rsidP="00D97737">
            <w:pPr>
              <w:pStyle w:val="DHHStablecolhead"/>
            </w:pPr>
            <w:r>
              <w:t>Details</w:t>
            </w:r>
          </w:p>
        </w:tc>
      </w:tr>
      <w:tr w:rsidR="00921922" w:rsidRPr="0098470E" w14:paraId="42046273" w14:textId="77777777" w:rsidTr="00A32829">
        <w:trPr>
          <w:cantSplit/>
        </w:trPr>
        <w:tc>
          <w:tcPr>
            <w:tcW w:w="2552" w:type="dxa"/>
          </w:tcPr>
          <w:p w14:paraId="3F33FADA" w14:textId="77777777" w:rsidR="00921922" w:rsidRPr="0098470E" w:rsidRDefault="00921922" w:rsidP="00603215">
            <w:pPr>
              <w:pStyle w:val="DHHStabletext"/>
            </w:pPr>
            <w:r>
              <w:t xml:space="preserve">Description </w:t>
            </w:r>
          </w:p>
        </w:tc>
        <w:tc>
          <w:tcPr>
            <w:tcW w:w="6748" w:type="dxa"/>
          </w:tcPr>
          <w:p w14:paraId="482B590F" w14:textId="6F90A867" w:rsidR="00921922" w:rsidRPr="006770B9" w:rsidRDefault="00921922" w:rsidP="00603215">
            <w:pPr>
              <w:pStyle w:val="DHHStabletext"/>
              <w:rPr>
                <w:rFonts w:ascii="Verdana" w:hAnsi="Verdana" w:cs="Verdana"/>
                <w:sz w:val="18"/>
                <w:szCs w:val="18"/>
              </w:rPr>
            </w:pPr>
            <w:r w:rsidRPr="006770B9">
              <w:rPr>
                <w:rFonts w:eastAsia="Times"/>
              </w:rPr>
              <w:t xml:space="preserve">Percentage of male </w:t>
            </w:r>
            <w:r>
              <w:rPr>
                <w:rFonts w:eastAsia="Times"/>
              </w:rPr>
              <w:t>security patients at TEH</w:t>
            </w:r>
            <w:r w:rsidRPr="006770B9">
              <w:rPr>
                <w:rFonts w:eastAsia="Times"/>
              </w:rPr>
              <w:t xml:space="preserve"> whose security order expired, who were discharged to community </w:t>
            </w:r>
            <w:r>
              <w:rPr>
                <w:rFonts w:eastAsia="Times"/>
              </w:rPr>
              <w:t xml:space="preserve">or </w:t>
            </w:r>
            <w:r w:rsidR="0066427D">
              <w:rPr>
                <w:rFonts w:eastAsia="Times"/>
              </w:rPr>
              <w:t xml:space="preserve">a </w:t>
            </w:r>
            <w:r>
              <w:rPr>
                <w:rFonts w:eastAsia="Times"/>
              </w:rPr>
              <w:t xml:space="preserve">Designated Mental Health Service </w:t>
            </w:r>
            <w:r w:rsidRPr="006770B9">
              <w:rPr>
                <w:rFonts w:eastAsia="Times"/>
              </w:rPr>
              <w:t>within 21 days.</w:t>
            </w:r>
            <w:r>
              <w:rPr>
                <w:rFonts w:ascii="Verdana" w:hAnsi="Verdana" w:cs="Verdana"/>
                <w:sz w:val="18"/>
                <w:szCs w:val="18"/>
              </w:rPr>
              <w:t xml:space="preserve"> </w:t>
            </w:r>
          </w:p>
        </w:tc>
      </w:tr>
      <w:tr w:rsidR="00921922" w:rsidRPr="0098470E" w14:paraId="6C51B302" w14:textId="77777777" w:rsidTr="00A32829">
        <w:trPr>
          <w:cantSplit/>
        </w:trPr>
        <w:tc>
          <w:tcPr>
            <w:tcW w:w="2552" w:type="dxa"/>
            <w:hideMark/>
          </w:tcPr>
          <w:p w14:paraId="3D41B2FD" w14:textId="77777777" w:rsidR="00921922" w:rsidRPr="0098470E" w:rsidRDefault="00921922" w:rsidP="00603215">
            <w:pPr>
              <w:pStyle w:val="DHHStabletext"/>
            </w:pPr>
            <w:r w:rsidRPr="0098470E">
              <w:t>Calculating performance</w:t>
            </w:r>
          </w:p>
        </w:tc>
        <w:tc>
          <w:tcPr>
            <w:tcW w:w="6748" w:type="dxa"/>
            <w:hideMark/>
          </w:tcPr>
          <w:p w14:paraId="1C7C6C41" w14:textId="77777777" w:rsidR="00921922" w:rsidRPr="0098470E" w:rsidRDefault="00921922" w:rsidP="00603215">
            <w:pPr>
              <w:pStyle w:val="DHHStabletext"/>
            </w:pPr>
            <w:r>
              <w:t>Performance is assessed quarterly.</w:t>
            </w:r>
          </w:p>
        </w:tc>
      </w:tr>
      <w:tr w:rsidR="00921922" w:rsidRPr="0098470E" w14:paraId="6D3591F1" w14:textId="77777777" w:rsidTr="00A32829">
        <w:trPr>
          <w:cantSplit/>
        </w:trPr>
        <w:tc>
          <w:tcPr>
            <w:tcW w:w="2552" w:type="dxa"/>
            <w:hideMark/>
          </w:tcPr>
          <w:p w14:paraId="154D32D0" w14:textId="77777777" w:rsidR="00921922" w:rsidRPr="0098470E" w:rsidRDefault="00921922" w:rsidP="00603215">
            <w:pPr>
              <w:pStyle w:val="DHHStabletext"/>
            </w:pPr>
            <w:r w:rsidRPr="0098470E">
              <w:t>Numerator</w:t>
            </w:r>
          </w:p>
        </w:tc>
        <w:tc>
          <w:tcPr>
            <w:tcW w:w="6748" w:type="dxa"/>
            <w:hideMark/>
          </w:tcPr>
          <w:p w14:paraId="4DA31C5F" w14:textId="77777777" w:rsidR="00921922" w:rsidRDefault="00921922" w:rsidP="00603215">
            <w:pPr>
              <w:pStyle w:val="DHHStabletext"/>
            </w:pPr>
            <w:r w:rsidRPr="006770B9">
              <w:t xml:space="preserve">Total number of male </w:t>
            </w:r>
            <w:r>
              <w:t xml:space="preserve">security patients at </w:t>
            </w:r>
            <w:r w:rsidRPr="006770B9">
              <w:t>TEH whose security order expired during the reference period, and were subsequently discharged to the community or an area mental health service within 21 days.</w:t>
            </w:r>
          </w:p>
          <w:p w14:paraId="058434F1" w14:textId="77777777" w:rsidR="00921922" w:rsidRDefault="00921922" w:rsidP="00603215">
            <w:pPr>
              <w:pStyle w:val="DHHStabletext"/>
            </w:pPr>
            <w:r>
              <w:t>Numerator calculation:</w:t>
            </w:r>
          </w:p>
          <w:p w14:paraId="3BEFBF84" w14:textId="499E9B7B" w:rsidR="00921922" w:rsidRDefault="00921922" w:rsidP="00603215">
            <w:pPr>
              <w:pStyle w:val="DHHStabletext"/>
              <w:numPr>
                <w:ilvl w:val="0"/>
                <w:numId w:val="15"/>
              </w:numPr>
            </w:pPr>
            <w:r>
              <w:t>Obtain</w:t>
            </w:r>
            <w:r w:rsidRPr="006770B9">
              <w:t xml:space="preserve"> male clients admitted to </w:t>
            </w:r>
            <w:r>
              <w:t>TEH</w:t>
            </w:r>
            <w:r w:rsidRPr="006770B9">
              <w:t xml:space="preserve"> </w:t>
            </w:r>
            <w:r w:rsidR="004C757C">
              <w:t>acute</w:t>
            </w:r>
            <w:r w:rsidR="00583DC3" w:rsidRPr="006770B9">
              <w:t xml:space="preserve"> </w:t>
            </w:r>
            <w:r w:rsidRPr="006770B9">
              <w:t>units who had a security order (code 105 &amp; 202) expire during the reporting period.</w:t>
            </w:r>
            <w:r>
              <w:t xml:space="preserve"> </w:t>
            </w:r>
            <w:r w:rsidRPr="006770B9">
              <w:t>Include only those clients that were discharged from Forensicare Thomas</w:t>
            </w:r>
            <w:r>
              <w:t xml:space="preserve"> </w:t>
            </w:r>
            <w:r w:rsidRPr="006770B9">
              <w:t>Embling Hospital within 21 days after the security order expired.</w:t>
            </w:r>
          </w:p>
          <w:p w14:paraId="77930D1B" w14:textId="64BF99FE" w:rsidR="00921922" w:rsidRDefault="00921922" w:rsidP="00603215">
            <w:pPr>
              <w:pStyle w:val="DHHStabletext"/>
              <w:numPr>
                <w:ilvl w:val="1"/>
                <w:numId w:val="15"/>
              </w:numPr>
            </w:pPr>
            <w:r w:rsidRPr="006770B9">
              <w:t xml:space="preserve">Obtain all </w:t>
            </w:r>
            <w:r w:rsidR="00583DC3">
              <w:t xml:space="preserve">TEH </w:t>
            </w:r>
            <w:r w:rsidR="00631550">
              <w:t>acute</w:t>
            </w:r>
            <w:r w:rsidRPr="006770B9">
              <w:t xml:space="preserve"> clients who had a security order expire</w:t>
            </w:r>
            <w:r>
              <w:t xml:space="preserve"> </w:t>
            </w:r>
            <w:r w:rsidRPr="006770B9">
              <w:t>(order codes 105 &amp; 202)</w:t>
            </w:r>
            <w:r>
              <w:t xml:space="preserve"> during the reporting period</w:t>
            </w:r>
          </w:p>
          <w:p w14:paraId="5F6AC310" w14:textId="77777777" w:rsidR="00921922" w:rsidRDefault="00921922" w:rsidP="00603215">
            <w:pPr>
              <w:pStyle w:val="DHHStabletext"/>
              <w:numPr>
                <w:ilvl w:val="1"/>
                <w:numId w:val="15"/>
              </w:numPr>
            </w:pPr>
            <w:r>
              <w:t>Exclude those who have had an extension with a subsequent security order or who have returned to MAP</w:t>
            </w:r>
            <w:r w:rsidRPr="006770B9" w:rsidDel="005B1594">
              <w:t xml:space="preserve"> </w:t>
            </w:r>
            <w:r w:rsidRPr="006770B9">
              <w:t xml:space="preserve">Exclude those who are still in </w:t>
            </w:r>
            <w:r>
              <w:t>TEH</w:t>
            </w:r>
            <w:r w:rsidRPr="006770B9">
              <w:t xml:space="preserve"> 21 days after their security order expired</w:t>
            </w:r>
          </w:p>
          <w:p w14:paraId="1DCA1934" w14:textId="77777777" w:rsidR="00921922" w:rsidRPr="0098470E" w:rsidRDefault="00921922" w:rsidP="00603215">
            <w:pPr>
              <w:pStyle w:val="DHHStabletext"/>
              <w:numPr>
                <w:ilvl w:val="0"/>
                <w:numId w:val="15"/>
              </w:numPr>
            </w:pPr>
            <w:r w:rsidRPr="006770B9">
              <w:t>Count the number</w:t>
            </w:r>
            <w:r>
              <w:t>.</w:t>
            </w:r>
            <w:r w:rsidRPr="006770B9">
              <w:t xml:space="preserve"> </w:t>
            </w:r>
          </w:p>
        </w:tc>
      </w:tr>
      <w:tr w:rsidR="00921922" w:rsidRPr="0098470E" w14:paraId="1E3DC4BE" w14:textId="77777777" w:rsidTr="00A32829">
        <w:trPr>
          <w:cantSplit/>
        </w:trPr>
        <w:tc>
          <w:tcPr>
            <w:tcW w:w="2552" w:type="dxa"/>
            <w:hideMark/>
          </w:tcPr>
          <w:p w14:paraId="3B2CB147" w14:textId="77777777" w:rsidR="00921922" w:rsidRPr="0098470E" w:rsidRDefault="00921922" w:rsidP="00603215">
            <w:pPr>
              <w:pStyle w:val="DHHStabletext"/>
            </w:pPr>
            <w:r w:rsidRPr="0098470E">
              <w:t>Denominator</w:t>
            </w:r>
          </w:p>
        </w:tc>
        <w:tc>
          <w:tcPr>
            <w:tcW w:w="6748" w:type="dxa"/>
            <w:hideMark/>
          </w:tcPr>
          <w:p w14:paraId="3C99CBD5" w14:textId="149437E9" w:rsidR="00921922" w:rsidRDefault="00921922" w:rsidP="00603215">
            <w:pPr>
              <w:pStyle w:val="DHHStabletext"/>
            </w:pPr>
            <w:r>
              <w:t xml:space="preserve">Total number of male </w:t>
            </w:r>
            <w:r w:rsidR="00300C37">
              <w:t>TEH acute unit</w:t>
            </w:r>
            <w:r>
              <w:t xml:space="preserve"> clients whose security order expired during the reference period.</w:t>
            </w:r>
          </w:p>
          <w:p w14:paraId="732D7874" w14:textId="77777777" w:rsidR="00921922" w:rsidRDefault="00921922" w:rsidP="00603215">
            <w:pPr>
              <w:pStyle w:val="DHHStabletext"/>
            </w:pPr>
            <w:r>
              <w:t>Denominator calculation:</w:t>
            </w:r>
          </w:p>
          <w:p w14:paraId="3272DE52" w14:textId="77777777" w:rsidR="00921922" w:rsidRDefault="00921922" w:rsidP="00603215">
            <w:pPr>
              <w:pStyle w:val="DHHStabletext"/>
              <w:numPr>
                <w:ilvl w:val="0"/>
                <w:numId w:val="16"/>
              </w:numPr>
            </w:pPr>
            <w:r>
              <w:t>Obtain male clients admitted to TEH acute units who had a security order (code 105 &amp; 202) expire during the reporting period.</w:t>
            </w:r>
          </w:p>
          <w:p w14:paraId="7BC7C414" w14:textId="1531B047" w:rsidR="00921922" w:rsidRDefault="00921922" w:rsidP="00603215">
            <w:pPr>
              <w:pStyle w:val="DHHStabletext"/>
              <w:numPr>
                <w:ilvl w:val="1"/>
                <w:numId w:val="17"/>
              </w:numPr>
            </w:pPr>
            <w:r>
              <w:t xml:space="preserve">Obtain all </w:t>
            </w:r>
            <w:r w:rsidR="00300C37">
              <w:t xml:space="preserve">TEH </w:t>
            </w:r>
            <w:r>
              <w:t>acute unit clients who had a security order expire (order codes 105 &amp; 202) during the reporting period</w:t>
            </w:r>
            <w:r w:rsidR="00300C37">
              <w:t>.</w:t>
            </w:r>
          </w:p>
          <w:p w14:paraId="39BA40BB" w14:textId="22DBD1DA" w:rsidR="00921922" w:rsidRDefault="00921922" w:rsidP="00603215">
            <w:pPr>
              <w:pStyle w:val="DHHStabletext"/>
              <w:numPr>
                <w:ilvl w:val="1"/>
                <w:numId w:val="17"/>
              </w:numPr>
            </w:pPr>
            <w:r>
              <w:t>Include only those who had a civil order to follow. Exclude those who have had an extension with a subsequent security order or who have returned to MAP</w:t>
            </w:r>
            <w:r w:rsidR="00300C37">
              <w:t>.</w:t>
            </w:r>
          </w:p>
          <w:p w14:paraId="39521D60" w14:textId="2E4443F9" w:rsidR="00921922" w:rsidRPr="006770B9" w:rsidRDefault="00921922" w:rsidP="00603215">
            <w:pPr>
              <w:pStyle w:val="DHHStabletext"/>
              <w:numPr>
                <w:ilvl w:val="0"/>
                <w:numId w:val="11"/>
              </w:numPr>
            </w:pPr>
            <w:r>
              <w:t>Count the number</w:t>
            </w:r>
            <w:r w:rsidR="00300C37">
              <w:t>.</w:t>
            </w:r>
          </w:p>
        </w:tc>
      </w:tr>
      <w:tr w:rsidR="00921922" w:rsidRPr="0098470E" w14:paraId="0ECDFD8B" w14:textId="77777777" w:rsidTr="00A32829">
        <w:trPr>
          <w:cantSplit/>
        </w:trPr>
        <w:tc>
          <w:tcPr>
            <w:tcW w:w="2552" w:type="dxa"/>
            <w:hideMark/>
          </w:tcPr>
          <w:p w14:paraId="42B170D5" w14:textId="77777777" w:rsidR="00921922" w:rsidRPr="0098470E" w:rsidRDefault="00921922" w:rsidP="00603215">
            <w:pPr>
              <w:pStyle w:val="DHHStabletext"/>
            </w:pPr>
            <w:r w:rsidRPr="0098470E">
              <w:t>Statewide target</w:t>
            </w:r>
          </w:p>
        </w:tc>
        <w:tc>
          <w:tcPr>
            <w:tcW w:w="6748" w:type="dxa"/>
            <w:hideMark/>
          </w:tcPr>
          <w:p w14:paraId="2C4283FB" w14:textId="77777777" w:rsidR="00921922" w:rsidRPr="0098470E" w:rsidRDefault="00921922" w:rsidP="00603215">
            <w:pPr>
              <w:pStyle w:val="DHHStabletext"/>
            </w:pPr>
            <w:r w:rsidRPr="0098470E">
              <w:t>75%</w:t>
            </w:r>
          </w:p>
        </w:tc>
      </w:tr>
      <w:tr w:rsidR="006A6B1A" w:rsidRPr="0098470E" w14:paraId="3FB9166B" w14:textId="77777777" w:rsidTr="006A6B1A">
        <w:trPr>
          <w:cantSplit/>
        </w:trPr>
        <w:tc>
          <w:tcPr>
            <w:tcW w:w="2552" w:type="dxa"/>
            <w:hideMark/>
          </w:tcPr>
          <w:p w14:paraId="0F846A4E" w14:textId="77777777" w:rsidR="006A6B1A" w:rsidRPr="0098470E" w:rsidRDefault="006A6B1A" w:rsidP="00A32829">
            <w:pPr>
              <w:pStyle w:val="DHHSbody"/>
              <w:keepNext/>
            </w:pPr>
            <w:r w:rsidRPr="0098470E">
              <w:t>Achievement</w:t>
            </w:r>
          </w:p>
        </w:tc>
        <w:tc>
          <w:tcPr>
            <w:tcW w:w="6748" w:type="dxa"/>
            <w:hideMark/>
          </w:tcPr>
          <w:p w14:paraId="0C8B6A50" w14:textId="0EC25830" w:rsidR="006A6B1A" w:rsidRPr="0098470E" w:rsidRDefault="006A6B1A" w:rsidP="006A6B1A">
            <w:pPr>
              <w:pStyle w:val="DHHStabletext92mmtab"/>
            </w:pPr>
            <w:r w:rsidRPr="0098470E">
              <w:t>Equal to or greater than 75%</w:t>
            </w:r>
            <w:r>
              <w:tab/>
              <w:t>Achieved</w:t>
            </w:r>
          </w:p>
          <w:p w14:paraId="1C85451C" w14:textId="2199AE9C" w:rsidR="006A6B1A" w:rsidRPr="0098470E" w:rsidRDefault="006A6B1A" w:rsidP="006A6B1A">
            <w:pPr>
              <w:pStyle w:val="DHHStabletext92mmtab"/>
            </w:pPr>
            <w:r w:rsidRPr="0098470E">
              <w:t>Less than 75%</w:t>
            </w:r>
            <w:r>
              <w:tab/>
              <w:t>Not achieved</w:t>
            </w:r>
          </w:p>
        </w:tc>
      </w:tr>
      <w:tr w:rsidR="00921922" w:rsidRPr="0098470E" w14:paraId="63300A6B" w14:textId="77777777" w:rsidTr="00A32829">
        <w:trPr>
          <w:cantSplit/>
        </w:trPr>
        <w:tc>
          <w:tcPr>
            <w:tcW w:w="2552" w:type="dxa"/>
          </w:tcPr>
          <w:p w14:paraId="64ED0503" w14:textId="77777777" w:rsidR="00921922" w:rsidRPr="0098470E" w:rsidRDefault="00921922" w:rsidP="00603215">
            <w:pPr>
              <w:pStyle w:val="DHHStabletext"/>
            </w:pPr>
            <w:r>
              <w:t xml:space="preserve">Improvement </w:t>
            </w:r>
          </w:p>
        </w:tc>
        <w:tc>
          <w:tcPr>
            <w:tcW w:w="6748" w:type="dxa"/>
          </w:tcPr>
          <w:p w14:paraId="73E63FF2" w14:textId="0CD4E59C" w:rsidR="00921922" w:rsidRDefault="00921922" w:rsidP="00603215">
            <w:pPr>
              <w:pStyle w:val="DHHStabletext"/>
            </w:pPr>
            <w:r w:rsidRPr="00D91C1B">
              <w:t>For the purpose of the performance risk assessment</w:t>
            </w:r>
            <w:r w:rsidR="00D55EBF">
              <w:t>,</w:t>
            </w:r>
            <w:r w:rsidRPr="00D91C1B">
              <w:t xml:space="preserve"> improvement is compared to previous quarter performance.</w:t>
            </w:r>
          </w:p>
        </w:tc>
      </w:tr>
      <w:tr w:rsidR="00921922" w:rsidRPr="0098470E" w14:paraId="1D5B2807" w14:textId="77777777" w:rsidTr="00A32829">
        <w:trPr>
          <w:cantSplit/>
        </w:trPr>
        <w:tc>
          <w:tcPr>
            <w:tcW w:w="2552" w:type="dxa"/>
            <w:hideMark/>
          </w:tcPr>
          <w:p w14:paraId="450C8D1A" w14:textId="77777777" w:rsidR="00921922" w:rsidRPr="0098470E" w:rsidRDefault="00921922" w:rsidP="00603215">
            <w:pPr>
              <w:pStyle w:val="DHHSbody"/>
            </w:pPr>
            <w:r w:rsidRPr="0098470E">
              <w:lastRenderedPageBreak/>
              <w:t>Frequency of reporting and data collection</w:t>
            </w:r>
          </w:p>
        </w:tc>
        <w:tc>
          <w:tcPr>
            <w:tcW w:w="6748" w:type="dxa"/>
            <w:hideMark/>
          </w:tcPr>
          <w:p w14:paraId="0D8DFD4F" w14:textId="77777777" w:rsidR="00921922" w:rsidRDefault="00921922" w:rsidP="00603215">
            <w:pPr>
              <w:pStyle w:val="DHHStabletext"/>
            </w:pPr>
            <w:r>
              <w:t>CMI/ODS (Mental Health Client Management Information / Operational Data Store). Indicator is reported quarterly.</w:t>
            </w:r>
          </w:p>
          <w:p w14:paraId="1B3B7187" w14:textId="77777777" w:rsidR="00921922" w:rsidRPr="0098470E" w:rsidRDefault="00921922" w:rsidP="00603215">
            <w:pPr>
              <w:pStyle w:val="DHHStabletext"/>
            </w:pPr>
            <w:r w:rsidRPr="0098470E">
              <w:t>Performance is reported for the periods:</w:t>
            </w:r>
          </w:p>
          <w:p w14:paraId="527F19DD" w14:textId="74723738" w:rsidR="00921922" w:rsidRPr="0098470E" w:rsidRDefault="00921922" w:rsidP="00603215">
            <w:pPr>
              <w:pStyle w:val="DHHStablebullet1"/>
            </w:pPr>
            <w:r w:rsidRPr="0098470E">
              <w:t>1 July to 30 September in quarter 1</w:t>
            </w:r>
          </w:p>
          <w:p w14:paraId="71101A9C" w14:textId="1AECF78C" w:rsidR="00921922" w:rsidRPr="0098470E" w:rsidRDefault="00921922" w:rsidP="00603215">
            <w:pPr>
              <w:pStyle w:val="DHHStablebullet1"/>
            </w:pPr>
            <w:r w:rsidRPr="0098470E">
              <w:t>1 October to 31 December in quarter 2</w:t>
            </w:r>
          </w:p>
          <w:p w14:paraId="11D9BF05" w14:textId="24FFB3BF" w:rsidR="00921922" w:rsidRPr="0098470E" w:rsidRDefault="00921922" w:rsidP="00603215">
            <w:pPr>
              <w:pStyle w:val="DHHStablebullet1"/>
            </w:pPr>
            <w:r w:rsidRPr="0098470E">
              <w:t>1 January to 31 March in quarter 3</w:t>
            </w:r>
          </w:p>
          <w:p w14:paraId="6981EF77" w14:textId="54CFED13" w:rsidR="00921922" w:rsidRPr="0098470E" w:rsidRDefault="00921922" w:rsidP="00603215">
            <w:pPr>
              <w:pStyle w:val="DHHStablebullet1"/>
            </w:pPr>
            <w:r w:rsidRPr="0098470E">
              <w:t>1 April to 30 June in quarter 4.</w:t>
            </w:r>
          </w:p>
          <w:p w14:paraId="38CCA177" w14:textId="77777777" w:rsidR="00921922" w:rsidRPr="0098470E" w:rsidRDefault="00921922" w:rsidP="00603215">
            <w:pPr>
              <w:pStyle w:val="DHHStabletext"/>
            </w:pPr>
            <w:r w:rsidRPr="0098470E">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0E9FF401" w14:textId="77777777" w:rsidR="000F7399" w:rsidRPr="00A32829" w:rsidRDefault="000F7399" w:rsidP="00A32829">
      <w:pPr>
        <w:pStyle w:val="DHHSbody"/>
      </w:pPr>
      <w:bookmarkStart w:id="110" w:name="_Toc456342110"/>
      <w:bookmarkStart w:id="111" w:name="_Toc516827361"/>
      <w:bookmarkStart w:id="112" w:name="_Toc517959145"/>
      <w:r w:rsidRPr="00A32829">
        <w:br w:type="page"/>
      </w:r>
    </w:p>
    <w:p w14:paraId="4D1B4732" w14:textId="604F73C9" w:rsidR="00921922" w:rsidRDefault="00921922" w:rsidP="000F7399">
      <w:pPr>
        <w:pStyle w:val="Heading3"/>
      </w:pPr>
      <w:bookmarkStart w:id="113" w:name="_Toc15580101"/>
      <w:r w:rsidRPr="0098470E">
        <w:lastRenderedPageBreak/>
        <w:t xml:space="preserve">Effective financial </w:t>
      </w:r>
      <w:bookmarkEnd w:id="106"/>
      <w:bookmarkEnd w:id="110"/>
      <w:r w:rsidRPr="0098470E">
        <w:t>management</w:t>
      </w:r>
      <w:bookmarkEnd w:id="111"/>
      <w:bookmarkEnd w:id="112"/>
      <w:bookmarkEnd w:id="113"/>
    </w:p>
    <w:p w14:paraId="6319CA92" w14:textId="7F7B386F" w:rsidR="00F12615" w:rsidRPr="00F12615" w:rsidRDefault="00F12615" w:rsidP="00F12615">
      <w:pPr>
        <w:pStyle w:val="DHHStablecaption"/>
      </w:pPr>
      <w:r>
        <w:t xml:space="preserve">Indicator: </w:t>
      </w:r>
      <w:r w:rsidR="00D97737" w:rsidRPr="0098470E">
        <w:t>Operating result as a percentage of revenue</w:t>
      </w:r>
    </w:p>
    <w:tbl>
      <w:tblPr>
        <w:tblStyle w:val="TableGrid"/>
        <w:tblW w:w="9300" w:type="dxa"/>
        <w:tblLayout w:type="fixed"/>
        <w:tblLook w:val="06A0" w:firstRow="1" w:lastRow="0" w:firstColumn="1" w:lastColumn="0" w:noHBand="1" w:noVBand="1"/>
      </w:tblPr>
      <w:tblGrid>
        <w:gridCol w:w="2552"/>
        <w:gridCol w:w="6748"/>
      </w:tblGrid>
      <w:tr w:rsidR="00D97737" w:rsidRPr="0098470E" w14:paraId="1BD11978"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2A871AEA" w14:textId="0299ABB1" w:rsidR="00D97737" w:rsidRPr="0098470E" w:rsidRDefault="00D97737" w:rsidP="00D97737">
            <w:pPr>
              <w:pStyle w:val="DHHStablecolhead"/>
            </w:pPr>
            <w:r>
              <w:t>Element</w:t>
            </w:r>
          </w:p>
        </w:tc>
        <w:tc>
          <w:tcPr>
            <w:tcW w:w="6748" w:type="dxa"/>
          </w:tcPr>
          <w:p w14:paraId="1C203D01" w14:textId="5CA728E6" w:rsidR="00D97737" w:rsidRPr="0098470E" w:rsidRDefault="00D97737" w:rsidP="00D97737">
            <w:pPr>
              <w:pStyle w:val="DHHStablecolhead"/>
            </w:pPr>
            <w:r>
              <w:t>Details</w:t>
            </w:r>
          </w:p>
        </w:tc>
      </w:tr>
      <w:tr w:rsidR="00921922" w:rsidRPr="0098470E" w14:paraId="2E3A32AA" w14:textId="77777777" w:rsidTr="00A32829">
        <w:trPr>
          <w:cantSplit/>
        </w:trPr>
        <w:tc>
          <w:tcPr>
            <w:tcW w:w="2552" w:type="dxa"/>
            <w:hideMark/>
          </w:tcPr>
          <w:p w14:paraId="3FCADCB9" w14:textId="77777777" w:rsidR="00921922" w:rsidRPr="0098470E" w:rsidRDefault="00921922" w:rsidP="00603215">
            <w:pPr>
              <w:pStyle w:val="DHHStabletext"/>
            </w:pPr>
            <w:r w:rsidRPr="0098470E">
              <w:t>Description</w:t>
            </w:r>
          </w:p>
        </w:tc>
        <w:tc>
          <w:tcPr>
            <w:tcW w:w="6748" w:type="dxa"/>
            <w:hideMark/>
          </w:tcPr>
          <w:p w14:paraId="64826DA9" w14:textId="77777777" w:rsidR="00921922" w:rsidRPr="0098470E" w:rsidRDefault="00921922" w:rsidP="00603215">
            <w:pPr>
              <w:pStyle w:val="DHHStabletext"/>
            </w:pPr>
            <w:r w:rsidRPr="0098470E">
              <w:t>This indicator is a measure of financial sustainability.</w:t>
            </w:r>
          </w:p>
          <w:p w14:paraId="7AB5DF08" w14:textId="4D213C9C" w:rsidR="00921922" w:rsidRPr="0098470E" w:rsidRDefault="00921922" w:rsidP="00603215">
            <w:pPr>
              <w:pStyle w:val="DHHStabletext"/>
            </w:pPr>
            <w:r w:rsidRPr="0098470E">
              <w:t xml:space="preserve">The agreed </w:t>
            </w:r>
            <w:r w:rsidR="00D62491">
              <w:t>SOP</w:t>
            </w:r>
            <w:r w:rsidR="00D62491" w:rsidRPr="0098470E">
              <w:t xml:space="preserve"> </w:t>
            </w:r>
            <w:r w:rsidRPr="0098470E">
              <w:t>target should achieve an operating surplus necessary to maintain or, where necessary, improve the current operating cash position. This requirement aligns with the department</w:t>
            </w:r>
            <w:r>
              <w:t>’</w:t>
            </w:r>
            <w:r w:rsidRPr="0098470E">
              <w:t>s reform priority to increase the financial sustainability and productivity of the health system.</w:t>
            </w:r>
          </w:p>
        </w:tc>
      </w:tr>
      <w:tr w:rsidR="00921922" w:rsidRPr="0098470E" w14:paraId="0039C32E" w14:textId="77777777" w:rsidTr="00A32829">
        <w:trPr>
          <w:cantSplit/>
        </w:trPr>
        <w:tc>
          <w:tcPr>
            <w:tcW w:w="2552" w:type="dxa"/>
            <w:hideMark/>
          </w:tcPr>
          <w:p w14:paraId="09B667DF" w14:textId="77777777" w:rsidR="00921922" w:rsidRPr="0098470E" w:rsidRDefault="00921922" w:rsidP="00603215">
            <w:pPr>
              <w:pStyle w:val="DHHStabletext"/>
            </w:pPr>
            <w:r w:rsidRPr="0098470E">
              <w:t>Calculating performance</w:t>
            </w:r>
          </w:p>
        </w:tc>
        <w:tc>
          <w:tcPr>
            <w:tcW w:w="6748" w:type="dxa"/>
            <w:hideMark/>
          </w:tcPr>
          <w:p w14:paraId="35BB8DC2" w14:textId="4EA2B92B" w:rsidR="00921922" w:rsidRPr="0098470E" w:rsidRDefault="00921922" w:rsidP="00603215">
            <w:pPr>
              <w:pStyle w:val="DHHStabletext"/>
            </w:pPr>
            <w:r w:rsidRPr="0098470E">
              <w:t xml:space="preserve">This indicator is predicated on the year-to-date (YTD) operating result in the </w:t>
            </w:r>
            <w:r w:rsidR="00D62491">
              <w:t>SOP</w:t>
            </w:r>
            <w:r w:rsidRPr="0098470E">
              <w:t xml:space="preserve">. The variance between the actual YTD result reported in the </w:t>
            </w:r>
            <w:r>
              <w:t>Agency Information Management System (</w:t>
            </w:r>
            <w:r w:rsidRPr="0098470E">
              <w:t>AIMS</w:t>
            </w:r>
            <w:r>
              <w:t>)</w:t>
            </w:r>
            <w:r w:rsidRPr="0098470E">
              <w:t xml:space="preserve"> F1 and the target</w:t>
            </w:r>
            <w:r w:rsidR="00014076">
              <w:t>,</w:t>
            </w:r>
            <w:r w:rsidRPr="0098470E">
              <w:t xml:space="preserve"> which is the YTD budget loaded i</w:t>
            </w:r>
            <w:r>
              <w:t xml:space="preserve">n the F1 (based on the agreed </w:t>
            </w:r>
            <w:r w:rsidR="00D62491">
              <w:t>SOP</w:t>
            </w:r>
            <w:r w:rsidR="00D62491" w:rsidRPr="0098470E">
              <w:t xml:space="preserve"> </w:t>
            </w:r>
            <w:r w:rsidRPr="0098470E">
              <w:t>outcome) is the measured outcome. It is expressed as a percentage and rounded to two decimal places.</w:t>
            </w:r>
          </w:p>
          <w:p w14:paraId="773A2AB5" w14:textId="53A67359" w:rsidR="00921922" w:rsidRPr="0098470E" w:rsidRDefault="00921922" w:rsidP="00603215">
            <w:pPr>
              <w:pStyle w:val="DHHStabletext"/>
            </w:pPr>
            <w:r w:rsidRPr="0098470E">
              <w:t xml:space="preserve">The indicator excludes consolidated entities (with the exception of Monash Health, which includes Jessie McPherson Private Hospital and Western Health which includes </w:t>
            </w:r>
            <w:r w:rsidR="00202D48">
              <w:t>Western Health</w:t>
            </w:r>
            <w:r w:rsidR="00202D48" w:rsidRPr="0098470E">
              <w:t xml:space="preserve"> </w:t>
            </w:r>
            <w:r w:rsidRPr="0098470E">
              <w:t>Foundation).</w:t>
            </w:r>
          </w:p>
          <w:p w14:paraId="0D855CCA" w14:textId="77777777" w:rsidR="00921922" w:rsidRPr="0098470E" w:rsidRDefault="00921922" w:rsidP="00603215">
            <w:pPr>
              <w:pStyle w:val="DHHStabletext"/>
            </w:pPr>
            <w:r w:rsidRPr="0098470E">
              <w:t>Phased monthly targets are based on the September AIMS F1 submission for the financial year. Changes thereafter are only reported on agreement between the department and the health service regardless of the data submitted in the AIMS F1.</w:t>
            </w:r>
          </w:p>
          <w:p w14:paraId="50456EC0" w14:textId="77777777" w:rsidR="00921922" w:rsidRPr="0098470E" w:rsidRDefault="00921922" w:rsidP="00603215">
            <w:pPr>
              <w:pStyle w:val="DHHStabletext"/>
            </w:pPr>
            <w:r w:rsidRPr="0098470E">
              <w:t>The opportunity to prospectively re-phase monthly targets tracking to the agreed annual operating result should be negotiated with the department. Should the phasings require adjusting; these changes will be considered on a quarterly basis and, where agreed, submitted in the F1 by the health service.</w:t>
            </w:r>
          </w:p>
          <w:p w14:paraId="12B68C87" w14:textId="77777777" w:rsidR="00921922" w:rsidRPr="0098470E" w:rsidRDefault="00921922" w:rsidP="00603215">
            <w:pPr>
              <w:pStyle w:val="DHHStabletext"/>
            </w:pPr>
            <w:r w:rsidRPr="0098470E">
              <w:t>Note that the department does not support retrospec</w:t>
            </w:r>
            <w:r>
              <w:t>tive changes to phased targets.</w:t>
            </w:r>
          </w:p>
        </w:tc>
      </w:tr>
      <w:tr w:rsidR="00921922" w:rsidRPr="0098470E" w14:paraId="61EE72B6" w14:textId="77777777" w:rsidTr="00A32829">
        <w:trPr>
          <w:cantSplit/>
        </w:trPr>
        <w:tc>
          <w:tcPr>
            <w:tcW w:w="2552" w:type="dxa"/>
            <w:hideMark/>
          </w:tcPr>
          <w:p w14:paraId="43016EAA" w14:textId="77777777" w:rsidR="00921922" w:rsidRPr="0098470E" w:rsidRDefault="00921922" w:rsidP="00603215">
            <w:pPr>
              <w:pStyle w:val="DHHStabletext"/>
            </w:pPr>
            <w:r w:rsidRPr="0098470E">
              <w:t>Numerator</w:t>
            </w:r>
          </w:p>
        </w:tc>
        <w:tc>
          <w:tcPr>
            <w:tcW w:w="6748" w:type="dxa"/>
            <w:hideMark/>
          </w:tcPr>
          <w:p w14:paraId="28FF3705" w14:textId="43AAC5F3" w:rsidR="00921922" w:rsidRPr="0098470E" w:rsidRDefault="00921922" w:rsidP="00603215">
            <w:pPr>
              <w:pStyle w:val="DHHStabletext"/>
            </w:pPr>
            <w:r w:rsidRPr="0098470E">
              <w:t>YTD operating result before capital and depreciation</w:t>
            </w:r>
            <w:r w:rsidR="00683BAB">
              <w:t>.</w:t>
            </w:r>
          </w:p>
        </w:tc>
      </w:tr>
      <w:tr w:rsidR="00921922" w:rsidRPr="0098470E" w14:paraId="34677707" w14:textId="77777777" w:rsidTr="00A32829">
        <w:trPr>
          <w:cantSplit/>
        </w:trPr>
        <w:tc>
          <w:tcPr>
            <w:tcW w:w="2552" w:type="dxa"/>
            <w:hideMark/>
          </w:tcPr>
          <w:p w14:paraId="13B39D4A" w14:textId="77777777" w:rsidR="00921922" w:rsidRPr="0098470E" w:rsidRDefault="00921922" w:rsidP="00603215">
            <w:pPr>
              <w:pStyle w:val="DHHStabletext"/>
            </w:pPr>
            <w:r w:rsidRPr="0098470E">
              <w:t>Denominator</w:t>
            </w:r>
          </w:p>
        </w:tc>
        <w:tc>
          <w:tcPr>
            <w:tcW w:w="6748" w:type="dxa"/>
            <w:hideMark/>
          </w:tcPr>
          <w:p w14:paraId="6CA5EC4F" w14:textId="0978CED3" w:rsidR="00921922" w:rsidRPr="0098470E" w:rsidRDefault="00921922" w:rsidP="00603215">
            <w:pPr>
              <w:pStyle w:val="DHHStabletext"/>
            </w:pPr>
            <w:r w:rsidRPr="0098470E">
              <w:t>YTD total revenue</w:t>
            </w:r>
            <w:r w:rsidR="00683BAB">
              <w:t>.</w:t>
            </w:r>
            <w:r w:rsidRPr="0098470E">
              <w:t xml:space="preserve"> </w:t>
            </w:r>
          </w:p>
        </w:tc>
      </w:tr>
      <w:tr w:rsidR="00921922" w:rsidRPr="0098470E" w14:paraId="52BE7093" w14:textId="77777777" w:rsidTr="00A32829">
        <w:trPr>
          <w:cantSplit/>
        </w:trPr>
        <w:tc>
          <w:tcPr>
            <w:tcW w:w="2552" w:type="dxa"/>
            <w:hideMark/>
          </w:tcPr>
          <w:p w14:paraId="004E29C7" w14:textId="77777777" w:rsidR="00921922" w:rsidRPr="0098470E" w:rsidRDefault="00921922" w:rsidP="00603215">
            <w:pPr>
              <w:pStyle w:val="DHHStabletext"/>
            </w:pPr>
            <w:r w:rsidRPr="0098470E">
              <w:t>Target</w:t>
            </w:r>
          </w:p>
        </w:tc>
        <w:tc>
          <w:tcPr>
            <w:tcW w:w="6748" w:type="dxa"/>
            <w:hideMark/>
          </w:tcPr>
          <w:p w14:paraId="51A56FCA" w14:textId="33A3F72C" w:rsidR="00921922" w:rsidRPr="0098470E" w:rsidRDefault="00921922" w:rsidP="00603215">
            <w:pPr>
              <w:pStyle w:val="DHHStabletext"/>
            </w:pPr>
            <w:r w:rsidRPr="0098470E">
              <w:t xml:space="preserve">As agreed in the </w:t>
            </w:r>
            <w:r w:rsidR="00D62491">
              <w:t>SOP</w:t>
            </w:r>
            <w:r w:rsidR="00D62491" w:rsidRPr="0098470E">
              <w:t xml:space="preserve"> </w:t>
            </w:r>
            <w:r w:rsidRPr="0098470E">
              <w:t>for each health service</w:t>
            </w:r>
            <w:r w:rsidR="00683BAB">
              <w:t>.</w:t>
            </w:r>
          </w:p>
        </w:tc>
      </w:tr>
      <w:tr w:rsidR="006A6B1A" w:rsidRPr="0098470E" w14:paraId="70D102EA" w14:textId="77777777" w:rsidTr="006A6B1A">
        <w:trPr>
          <w:cantSplit/>
        </w:trPr>
        <w:tc>
          <w:tcPr>
            <w:tcW w:w="2552" w:type="dxa"/>
            <w:hideMark/>
          </w:tcPr>
          <w:p w14:paraId="6EF1979C" w14:textId="77777777" w:rsidR="006A6B1A" w:rsidRPr="0098470E" w:rsidRDefault="006A6B1A" w:rsidP="00603215">
            <w:pPr>
              <w:pStyle w:val="DHHStabletext"/>
            </w:pPr>
            <w:r w:rsidRPr="0098470E">
              <w:t>Achievement</w:t>
            </w:r>
          </w:p>
        </w:tc>
        <w:tc>
          <w:tcPr>
            <w:tcW w:w="6748" w:type="dxa"/>
            <w:hideMark/>
          </w:tcPr>
          <w:p w14:paraId="2CF00602" w14:textId="769B3B0A" w:rsidR="006A6B1A" w:rsidRPr="0098470E" w:rsidRDefault="006A6B1A" w:rsidP="006A6B1A">
            <w:pPr>
              <w:pStyle w:val="DHHStabletext92mmtab"/>
            </w:pPr>
            <w:r w:rsidRPr="0098470E">
              <w:t xml:space="preserve">Actual F1 YTD operating as % of revenue </w:t>
            </w:r>
            <w:r>
              <w:br/>
            </w:r>
            <w:r w:rsidRPr="0098470E">
              <w:t xml:space="preserve">is greater than Budgeted F1 YTD operating </w:t>
            </w:r>
            <w:r>
              <w:br/>
            </w:r>
            <w:r w:rsidRPr="0098470E">
              <w:t>as % of revenue</w:t>
            </w:r>
            <w:r>
              <w:tab/>
              <w:t>Achieved</w:t>
            </w:r>
          </w:p>
          <w:p w14:paraId="7A5D8555" w14:textId="2918E45D" w:rsidR="006A6B1A" w:rsidRPr="0098470E" w:rsidRDefault="006A6B1A" w:rsidP="006A6B1A">
            <w:pPr>
              <w:pStyle w:val="DHHStabletext92mmtab"/>
            </w:pPr>
            <w:r w:rsidRPr="0098470E">
              <w:t xml:space="preserve">Actual F1 YTD operating as % of revenue </w:t>
            </w:r>
            <w:r>
              <w:br/>
            </w:r>
            <w:r w:rsidRPr="0098470E">
              <w:t xml:space="preserve">is less than Budgeted F1 YTD operating </w:t>
            </w:r>
            <w:r>
              <w:br/>
            </w:r>
            <w:r w:rsidRPr="0098470E">
              <w:t>as % of revenue</w:t>
            </w:r>
            <w:r>
              <w:tab/>
              <w:t>Not achieved</w:t>
            </w:r>
          </w:p>
        </w:tc>
      </w:tr>
      <w:tr w:rsidR="00921922" w:rsidRPr="0098470E" w14:paraId="1AF78E36" w14:textId="77777777" w:rsidTr="00A32829">
        <w:trPr>
          <w:cantSplit/>
        </w:trPr>
        <w:tc>
          <w:tcPr>
            <w:tcW w:w="2552" w:type="dxa"/>
          </w:tcPr>
          <w:p w14:paraId="29923812" w14:textId="77777777" w:rsidR="00921922" w:rsidRPr="0098470E" w:rsidRDefault="00921922" w:rsidP="00603215">
            <w:pPr>
              <w:pStyle w:val="DHHStabletext"/>
            </w:pPr>
            <w:r>
              <w:t>Improvement</w:t>
            </w:r>
          </w:p>
        </w:tc>
        <w:tc>
          <w:tcPr>
            <w:tcW w:w="6748" w:type="dxa"/>
          </w:tcPr>
          <w:p w14:paraId="697DD23E" w14:textId="77777777" w:rsidR="00921922" w:rsidRDefault="00921922" w:rsidP="00603215">
            <w:pPr>
              <w:pStyle w:val="DHHStabletext"/>
            </w:pPr>
            <w:r>
              <w:t xml:space="preserve">For the purpose of the performance risk assessment, improvement is assessed against phased target result, except for Q1 (no change). </w:t>
            </w:r>
          </w:p>
        </w:tc>
      </w:tr>
      <w:tr w:rsidR="00921922" w:rsidRPr="0098470E" w14:paraId="1F6C60F9" w14:textId="77777777" w:rsidTr="00A32829">
        <w:trPr>
          <w:cantSplit/>
        </w:trPr>
        <w:tc>
          <w:tcPr>
            <w:tcW w:w="2552" w:type="dxa"/>
            <w:hideMark/>
          </w:tcPr>
          <w:p w14:paraId="2617607F" w14:textId="77777777" w:rsidR="00921922" w:rsidRPr="0098470E" w:rsidRDefault="00921922" w:rsidP="00603215">
            <w:pPr>
              <w:pStyle w:val="DHHStabletext"/>
            </w:pPr>
            <w:r w:rsidRPr="0098470E">
              <w:t>Frequency of reporting and data collection</w:t>
            </w:r>
          </w:p>
        </w:tc>
        <w:tc>
          <w:tcPr>
            <w:tcW w:w="6748" w:type="dxa"/>
            <w:hideMark/>
          </w:tcPr>
          <w:p w14:paraId="69DDA86C" w14:textId="77777777" w:rsidR="00921922" w:rsidRDefault="00921922" w:rsidP="00603215">
            <w:pPr>
              <w:pStyle w:val="DHHStabletext"/>
            </w:pPr>
            <w:r w:rsidRPr="0098470E">
              <w:t>Performance is monitored and assessed monthly.</w:t>
            </w:r>
          </w:p>
          <w:p w14:paraId="77933197" w14:textId="77777777" w:rsidR="00921922" w:rsidRPr="0098470E" w:rsidRDefault="00921922" w:rsidP="00603215">
            <w:pPr>
              <w:pStyle w:val="DHHStabletext"/>
            </w:pPr>
            <w:r w:rsidRPr="0098470E">
              <w:t>The annual result is generated on receipt of audited financial data submitted in the AIMS F1.</w:t>
            </w:r>
          </w:p>
          <w:p w14:paraId="64E25F72" w14:textId="19E0DC93" w:rsidR="00921922" w:rsidRPr="0098470E" w:rsidRDefault="00921922" w:rsidP="00603215">
            <w:pPr>
              <w:pStyle w:val="DHHStabletext"/>
            </w:pPr>
            <w:r w:rsidRPr="0098470E">
              <w:t xml:space="preserve">Data is submitted by health services monthly via AIMS F1. Refer to the </w:t>
            </w:r>
            <w:r w:rsidRPr="0098470E">
              <w:rPr>
                <w:i/>
              </w:rPr>
              <w:t xml:space="preserve">Guidelines for completing the F1 (finance return) </w:t>
            </w:r>
            <w:r w:rsidRPr="0098470E">
              <w:t>for further information on completing the F1.</w:t>
            </w:r>
          </w:p>
          <w:p w14:paraId="5B748057" w14:textId="3ABF6F76" w:rsidR="00921922" w:rsidRPr="0098470E" w:rsidRDefault="00921922" w:rsidP="00603215">
            <w:pPr>
              <w:pStyle w:val="DHHStabletext"/>
            </w:pPr>
            <w:r w:rsidRPr="0098470E">
              <w:t xml:space="preserve">Refer to the </w:t>
            </w:r>
            <w:r w:rsidR="00B13933">
              <w:rPr>
                <w:i/>
              </w:rPr>
              <w:t>Policy and Funding Guidelines</w:t>
            </w:r>
            <w:r w:rsidRPr="0098470E">
              <w:rPr>
                <w:i/>
              </w:rPr>
              <w:t xml:space="preserve"> </w:t>
            </w:r>
            <w:r w:rsidRPr="0098470E">
              <w:t>for further information about funding policy changes.</w:t>
            </w:r>
          </w:p>
        </w:tc>
      </w:tr>
    </w:tbl>
    <w:p w14:paraId="39BF834C" w14:textId="08970E7B" w:rsidR="00F12615" w:rsidRPr="00961723" w:rsidRDefault="00F12615" w:rsidP="00F12615">
      <w:pPr>
        <w:pStyle w:val="DHHStablecaption"/>
      </w:pPr>
      <w:r>
        <w:lastRenderedPageBreak/>
        <w:t xml:space="preserve">Indicator: </w:t>
      </w:r>
      <w:r w:rsidR="00D97737" w:rsidRPr="005B435A">
        <w:t>Trade creditors</w:t>
      </w:r>
    </w:p>
    <w:tbl>
      <w:tblPr>
        <w:tblStyle w:val="TableGrid"/>
        <w:tblW w:w="9300" w:type="dxa"/>
        <w:tblLayout w:type="fixed"/>
        <w:tblLook w:val="06A0" w:firstRow="1" w:lastRow="0" w:firstColumn="1" w:lastColumn="0" w:noHBand="1" w:noVBand="1"/>
      </w:tblPr>
      <w:tblGrid>
        <w:gridCol w:w="2581"/>
        <w:gridCol w:w="6719"/>
      </w:tblGrid>
      <w:tr w:rsidR="00D97737" w:rsidRPr="0098470E" w14:paraId="60589997"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3C5424FE" w14:textId="335E06FF" w:rsidR="00D97737" w:rsidRPr="005B435A" w:rsidRDefault="00D97737" w:rsidP="00D97737">
            <w:pPr>
              <w:pStyle w:val="DHHStablecolhead"/>
            </w:pPr>
            <w:r>
              <w:t>Element</w:t>
            </w:r>
          </w:p>
        </w:tc>
        <w:tc>
          <w:tcPr>
            <w:tcW w:w="6719" w:type="dxa"/>
          </w:tcPr>
          <w:p w14:paraId="031BE624" w14:textId="472D83F2" w:rsidR="00D97737" w:rsidRPr="005B435A" w:rsidRDefault="00D97737" w:rsidP="00D97737">
            <w:pPr>
              <w:pStyle w:val="DHHStablecolhead"/>
            </w:pPr>
            <w:r>
              <w:t>Details</w:t>
            </w:r>
          </w:p>
        </w:tc>
      </w:tr>
      <w:tr w:rsidR="00921922" w:rsidRPr="0098470E" w14:paraId="2036DC61" w14:textId="77777777" w:rsidTr="00A32829">
        <w:trPr>
          <w:cantSplit/>
        </w:trPr>
        <w:tc>
          <w:tcPr>
            <w:tcW w:w="2581" w:type="dxa"/>
            <w:hideMark/>
          </w:tcPr>
          <w:p w14:paraId="42091DA2" w14:textId="77777777" w:rsidR="00921922" w:rsidRPr="0098470E" w:rsidRDefault="00921922" w:rsidP="00603215">
            <w:pPr>
              <w:pStyle w:val="DHHStabletext"/>
            </w:pPr>
            <w:r w:rsidRPr="0098470E">
              <w:t>Description</w:t>
            </w:r>
          </w:p>
        </w:tc>
        <w:tc>
          <w:tcPr>
            <w:tcW w:w="6719" w:type="dxa"/>
            <w:hideMark/>
          </w:tcPr>
          <w:p w14:paraId="72C2B048" w14:textId="77777777" w:rsidR="00921922" w:rsidRPr="0098470E" w:rsidRDefault="00921922" w:rsidP="00603215">
            <w:pPr>
              <w:pStyle w:val="DHHStabletext"/>
            </w:pPr>
            <w:r w:rsidRPr="0098470E">
              <w:t>This indicator is a short-term liquidity indicator. It represents the average number of days a health service takes to pay creditors. Increasing days beyond the 60-day target may indicate significant cash liquidity issues.</w:t>
            </w:r>
          </w:p>
          <w:p w14:paraId="31F1B198" w14:textId="5D23CD9E" w:rsidR="00921922" w:rsidRPr="0098470E" w:rsidRDefault="00921922" w:rsidP="00603215">
            <w:pPr>
              <w:pStyle w:val="DHHStabletext"/>
            </w:pPr>
            <w:r>
              <w:t>Note: i</w:t>
            </w:r>
            <w:r w:rsidRPr="0098470E">
              <w:t>n response to feedback from health services, and consistent with outcomes from the benchmarking group, an adjustment to the calculation of this indicator has been made to include account codes related to inter</w:t>
            </w:r>
            <w:r w:rsidR="00202D48">
              <w:t xml:space="preserve"> </w:t>
            </w:r>
            <w:r w:rsidRPr="0098470E">
              <w:t>hospital and accrual expenses.</w:t>
            </w:r>
          </w:p>
        </w:tc>
      </w:tr>
      <w:tr w:rsidR="00921922" w:rsidRPr="0098470E" w14:paraId="618A4737" w14:textId="77777777" w:rsidTr="00A32829">
        <w:trPr>
          <w:cantSplit/>
        </w:trPr>
        <w:tc>
          <w:tcPr>
            <w:tcW w:w="2581" w:type="dxa"/>
            <w:hideMark/>
          </w:tcPr>
          <w:p w14:paraId="73B125A4" w14:textId="77777777" w:rsidR="00921922" w:rsidRPr="0098470E" w:rsidRDefault="00921922" w:rsidP="00603215">
            <w:pPr>
              <w:pStyle w:val="DHHStabletext"/>
            </w:pPr>
            <w:r w:rsidRPr="0098470E">
              <w:t>Calculating performance</w:t>
            </w:r>
          </w:p>
        </w:tc>
        <w:tc>
          <w:tcPr>
            <w:tcW w:w="6719" w:type="dxa"/>
            <w:hideMark/>
          </w:tcPr>
          <w:p w14:paraId="6DFDEB74" w14:textId="77777777" w:rsidR="00921922" w:rsidRPr="0098470E" w:rsidRDefault="00921922" w:rsidP="00603215">
            <w:pPr>
              <w:pStyle w:val="DHHStabletext"/>
            </w:pPr>
            <w:r w:rsidRPr="0098470E">
              <w:t>Average trade creditors divided by the average daily non-salary costs.</w:t>
            </w:r>
          </w:p>
          <w:p w14:paraId="413EAA1E" w14:textId="77777777" w:rsidR="00921922" w:rsidRPr="0098470E" w:rsidRDefault="00921922" w:rsidP="00603215">
            <w:pPr>
              <w:pStyle w:val="DHHStabletext"/>
            </w:pPr>
            <w:r w:rsidRPr="0098470E">
              <w:t>Trade creditors are defined as account codes between:</w:t>
            </w:r>
          </w:p>
          <w:p w14:paraId="1C1106CF" w14:textId="77777777" w:rsidR="00921922" w:rsidRPr="0098470E" w:rsidRDefault="00921922" w:rsidP="00603215">
            <w:pPr>
              <w:pStyle w:val="DHHStablebullet1"/>
            </w:pPr>
            <w:r w:rsidRPr="0098470E">
              <w:t xml:space="preserve">80101 to 80199: </w:t>
            </w:r>
            <w:r>
              <w:t>t</w:t>
            </w:r>
            <w:r w:rsidRPr="0098470E">
              <w:t>rade creditors – system generated</w:t>
            </w:r>
          </w:p>
          <w:p w14:paraId="543EF8BB" w14:textId="419418BD" w:rsidR="00921922" w:rsidRPr="0098470E" w:rsidRDefault="00921922" w:rsidP="00603215">
            <w:pPr>
              <w:pStyle w:val="DHHStablebullet1"/>
            </w:pPr>
            <w:r w:rsidRPr="0098470E">
              <w:t xml:space="preserve">80600 to 80649: </w:t>
            </w:r>
            <w:r>
              <w:t>c</w:t>
            </w:r>
            <w:r w:rsidRPr="0098470E">
              <w:t xml:space="preserve">reditors – </w:t>
            </w:r>
            <w:r w:rsidR="00202D48">
              <w:t>i</w:t>
            </w:r>
            <w:r w:rsidRPr="0098470E">
              <w:t>nter hospital</w:t>
            </w:r>
          </w:p>
          <w:p w14:paraId="0ED90D5B" w14:textId="77777777" w:rsidR="00921922" w:rsidRPr="0098470E" w:rsidRDefault="00921922" w:rsidP="00603215">
            <w:pPr>
              <w:pStyle w:val="DHHStablebullet1"/>
            </w:pPr>
            <w:r w:rsidRPr="0098470E">
              <w:t xml:space="preserve">81001 to 81099: </w:t>
            </w:r>
            <w:r>
              <w:t>a</w:t>
            </w:r>
            <w:r w:rsidRPr="0098470E">
              <w:t>ccrual expenses.</w:t>
            </w:r>
          </w:p>
          <w:p w14:paraId="37E2135B" w14:textId="77777777" w:rsidR="00921922" w:rsidRPr="0098470E" w:rsidRDefault="00921922" w:rsidP="00603215">
            <w:pPr>
              <w:pStyle w:val="DHHStabletext"/>
            </w:pPr>
            <w:r w:rsidRPr="0098470E">
              <w:t>Non-salary costs are defined as account codes in the ranges:</w:t>
            </w:r>
          </w:p>
          <w:p w14:paraId="770D65D8" w14:textId="77777777" w:rsidR="00921922" w:rsidRPr="0098470E" w:rsidRDefault="00921922" w:rsidP="00603215">
            <w:pPr>
              <w:pStyle w:val="DHHStablebullet1"/>
            </w:pPr>
            <w:r w:rsidRPr="0098470E">
              <w:t>20001 to 389</w:t>
            </w:r>
            <w:r>
              <w:t>00</w:t>
            </w:r>
            <w:r w:rsidRPr="0098470E">
              <w:t xml:space="preserve"> (excludes accounts 37036–37040: PPP interest expense)</w:t>
            </w:r>
          </w:p>
          <w:p w14:paraId="5808FCDD" w14:textId="77777777" w:rsidR="00921922" w:rsidRPr="0098470E" w:rsidRDefault="00921922" w:rsidP="00603215">
            <w:pPr>
              <w:pStyle w:val="DHHStablebullet1"/>
            </w:pPr>
            <w:r w:rsidRPr="0098470E">
              <w:t>1250</w:t>
            </w:r>
            <w:r>
              <w:t>1</w:t>
            </w:r>
            <w:r w:rsidRPr="0098470E">
              <w:t xml:space="preserve"> to 13211.</w:t>
            </w:r>
          </w:p>
          <w:p w14:paraId="6BD98B9D" w14:textId="77777777" w:rsidR="00921922" w:rsidRPr="0098470E" w:rsidRDefault="00921922" w:rsidP="00603215">
            <w:pPr>
              <w:pStyle w:val="DHHStabletext"/>
            </w:pPr>
            <w:r w:rsidRPr="0098470E">
              <w:t>This indicator is calculated at a health service level and calculation of the indicator does not include controlled entities cost range Z9002–Z9101 and Z9502–Z96</w:t>
            </w:r>
            <w:r>
              <w:t>55</w:t>
            </w:r>
            <w:r w:rsidRPr="0098470E">
              <w:t xml:space="preserve"> (with the exception of Monash Health, which includes Jessie McPherson Private Hospital and Western Health which includes the Western Health Foundation).</w:t>
            </w:r>
          </w:p>
          <w:p w14:paraId="13CE045E" w14:textId="77777777" w:rsidR="00921922" w:rsidRPr="0098470E" w:rsidRDefault="00921922" w:rsidP="00603215">
            <w:pPr>
              <w:pStyle w:val="DHHStabletext"/>
            </w:pPr>
            <w:r w:rsidRPr="0098470E">
              <w:t>The indicator is expressed as a number of whole days, therefore rounded to the nearest whole number (0.5 is rounded up).</w:t>
            </w:r>
          </w:p>
        </w:tc>
      </w:tr>
      <w:tr w:rsidR="00921922" w:rsidRPr="0098470E" w14:paraId="2F0D89AE" w14:textId="77777777" w:rsidTr="00A32829">
        <w:trPr>
          <w:cantSplit/>
        </w:trPr>
        <w:tc>
          <w:tcPr>
            <w:tcW w:w="2581" w:type="dxa"/>
            <w:hideMark/>
          </w:tcPr>
          <w:p w14:paraId="10DAE43F" w14:textId="77777777" w:rsidR="00921922" w:rsidRPr="0098470E" w:rsidRDefault="00921922" w:rsidP="00603215">
            <w:pPr>
              <w:pStyle w:val="DHHStabletext"/>
            </w:pPr>
            <w:r w:rsidRPr="0098470E">
              <w:t>Numerator</w:t>
            </w:r>
          </w:p>
        </w:tc>
        <w:tc>
          <w:tcPr>
            <w:tcW w:w="6719" w:type="dxa"/>
            <w:hideMark/>
          </w:tcPr>
          <w:p w14:paraId="38730181" w14:textId="6602D8F4" w:rsidR="00921922" w:rsidRPr="0098470E" w:rsidRDefault="00921922" w:rsidP="00603215">
            <w:pPr>
              <w:pStyle w:val="DHHStabletext"/>
            </w:pPr>
            <w:r w:rsidRPr="0098470E">
              <w:t>The sum of trade creditors at the end of the previous financial year and trade creditors at the end of the reporting month divided by two</w:t>
            </w:r>
            <w:r w:rsidR="0035048B">
              <w:t>.</w:t>
            </w:r>
          </w:p>
        </w:tc>
      </w:tr>
      <w:tr w:rsidR="00921922" w:rsidRPr="0098470E" w14:paraId="12E520A5" w14:textId="77777777" w:rsidTr="00A32829">
        <w:trPr>
          <w:cantSplit/>
        </w:trPr>
        <w:tc>
          <w:tcPr>
            <w:tcW w:w="2581" w:type="dxa"/>
            <w:hideMark/>
          </w:tcPr>
          <w:p w14:paraId="3567AD8E" w14:textId="77777777" w:rsidR="00921922" w:rsidRPr="0098470E" w:rsidRDefault="00921922" w:rsidP="00603215">
            <w:pPr>
              <w:pStyle w:val="DHHStabletext"/>
            </w:pPr>
            <w:r w:rsidRPr="0098470E">
              <w:t>Denominator</w:t>
            </w:r>
          </w:p>
        </w:tc>
        <w:tc>
          <w:tcPr>
            <w:tcW w:w="6719" w:type="dxa"/>
            <w:hideMark/>
          </w:tcPr>
          <w:p w14:paraId="6579F627" w14:textId="1649E5EE" w:rsidR="00921922" w:rsidRPr="0098470E" w:rsidRDefault="00921922" w:rsidP="00603215">
            <w:pPr>
              <w:pStyle w:val="DHHStabletext"/>
            </w:pPr>
            <w:r w:rsidRPr="0098470E">
              <w:t>YTD non-salary costs divided by the YTD number of days</w:t>
            </w:r>
            <w:r w:rsidR="0035048B">
              <w:t>.</w:t>
            </w:r>
          </w:p>
        </w:tc>
      </w:tr>
      <w:tr w:rsidR="00921922" w:rsidRPr="0098470E" w14:paraId="4EFBA8BA" w14:textId="77777777" w:rsidTr="00A32829">
        <w:trPr>
          <w:cantSplit/>
        </w:trPr>
        <w:tc>
          <w:tcPr>
            <w:tcW w:w="2581" w:type="dxa"/>
            <w:hideMark/>
          </w:tcPr>
          <w:p w14:paraId="7B2211AF" w14:textId="77777777" w:rsidR="00921922" w:rsidRPr="0098470E" w:rsidRDefault="00921922" w:rsidP="00603215">
            <w:pPr>
              <w:pStyle w:val="DHHStabletext"/>
            </w:pPr>
            <w:r w:rsidRPr="0098470E">
              <w:t>Statewide target</w:t>
            </w:r>
          </w:p>
        </w:tc>
        <w:tc>
          <w:tcPr>
            <w:tcW w:w="6719" w:type="dxa"/>
            <w:hideMark/>
          </w:tcPr>
          <w:p w14:paraId="650D6C2B" w14:textId="77777777" w:rsidR="00921922" w:rsidRPr="0098470E" w:rsidRDefault="00921922" w:rsidP="00603215">
            <w:pPr>
              <w:pStyle w:val="DHHStabletext"/>
              <w:rPr>
                <w:lang w:val="en-US"/>
              </w:rPr>
            </w:pPr>
            <w:r w:rsidRPr="0098470E">
              <w:t>60 days</w:t>
            </w:r>
          </w:p>
        </w:tc>
      </w:tr>
      <w:tr w:rsidR="006A6B1A" w:rsidRPr="0098470E" w14:paraId="07E3E7DF" w14:textId="77777777" w:rsidTr="006A6B1A">
        <w:trPr>
          <w:cantSplit/>
        </w:trPr>
        <w:tc>
          <w:tcPr>
            <w:tcW w:w="2581" w:type="dxa"/>
            <w:hideMark/>
          </w:tcPr>
          <w:p w14:paraId="2784D21F" w14:textId="77777777" w:rsidR="006A6B1A" w:rsidRPr="0098470E" w:rsidRDefault="006A6B1A" w:rsidP="00603215">
            <w:pPr>
              <w:pStyle w:val="DHHStabletext"/>
            </w:pPr>
            <w:r w:rsidRPr="0098470E">
              <w:t>Achievement</w:t>
            </w:r>
          </w:p>
        </w:tc>
        <w:tc>
          <w:tcPr>
            <w:tcW w:w="6719" w:type="dxa"/>
            <w:hideMark/>
          </w:tcPr>
          <w:p w14:paraId="37E1F76D" w14:textId="79B7D6D3" w:rsidR="006A6B1A" w:rsidRPr="0098470E" w:rsidRDefault="006A6B1A" w:rsidP="006A6B1A">
            <w:pPr>
              <w:pStyle w:val="DHHStabletext92mmtab"/>
            </w:pPr>
            <w:r w:rsidRPr="0098470E">
              <w:t>Less than or equal to 60 days</w:t>
            </w:r>
            <w:r>
              <w:tab/>
              <w:t>Achieved</w:t>
            </w:r>
          </w:p>
          <w:p w14:paraId="49882AEF" w14:textId="046DAB43" w:rsidR="006A6B1A" w:rsidRPr="0098470E" w:rsidRDefault="006A6B1A" w:rsidP="006A6B1A">
            <w:pPr>
              <w:pStyle w:val="DHHStabletext92mmtab"/>
            </w:pPr>
            <w:r w:rsidRPr="0098470E">
              <w:t>Greater than 61 days</w:t>
            </w:r>
            <w:r>
              <w:tab/>
              <w:t>Not achieved</w:t>
            </w:r>
          </w:p>
        </w:tc>
      </w:tr>
      <w:tr w:rsidR="00921922" w:rsidRPr="0098470E" w14:paraId="20C59217" w14:textId="77777777" w:rsidTr="00A32829">
        <w:trPr>
          <w:cantSplit/>
        </w:trPr>
        <w:tc>
          <w:tcPr>
            <w:tcW w:w="2581" w:type="dxa"/>
          </w:tcPr>
          <w:p w14:paraId="79262C5F" w14:textId="77777777" w:rsidR="00921922" w:rsidRPr="0098470E" w:rsidRDefault="00921922" w:rsidP="00603215">
            <w:pPr>
              <w:pStyle w:val="DHHStabletext"/>
            </w:pPr>
            <w:r>
              <w:t>Improvement</w:t>
            </w:r>
          </w:p>
        </w:tc>
        <w:tc>
          <w:tcPr>
            <w:tcW w:w="6719" w:type="dxa"/>
          </w:tcPr>
          <w:p w14:paraId="48813B1D" w14:textId="77777777" w:rsidR="00921922" w:rsidRDefault="00921922" w:rsidP="00603215">
            <w:pPr>
              <w:pStyle w:val="DHHStabletext"/>
            </w:pPr>
            <w:r>
              <w:t xml:space="preserve">For the purpose of the performance risk assessment, improvement is assessed against prior year’s results for the same period. </w:t>
            </w:r>
          </w:p>
        </w:tc>
      </w:tr>
      <w:tr w:rsidR="00921922" w:rsidRPr="0098470E" w14:paraId="349789F7" w14:textId="77777777" w:rsidTr="00A32829">
        <w:trPr>
          <w:cantSplit/>
        </w:trPr>
        <w:tc>
          <w:tcPr>
            <w:tcW w:w="2581" w:type="dxa"/>
            <w:hideMark/>
          </w:tcPr>
          <w:p w14:paraId="56824BEE" w14:textId="77777777" w:rsidR="00921922" w:rsidRPr="0098470E" w:rsidRDefault="00921922" w:rsidP="00603215">
            <w:pPr>
              <w:pStyle w:val="DHHStabletext"/>
            </w:pPr>
            <w:r w:rsidRPr="0098470E">
              <w:t>Frequency of reporting and data collection</w:t>
            </w:r>
          </w:p>
        </w:tc>
        <w:tc>
          <w:tcPr>
            <w:tcW w:w="6719" w:type="dxa"/>
            <w:hideMark/>
          </w:tcPr>
          <w:p w14:paraId="5FA7BF8D" w14:textId="77777777" w:rsidR="00921922" w:rsidRDefault="00921922" w:rsidP="00603215">
            <w:pPr>
              <w:pStyle w:val="DHHStabletext"/>
            </w:pPr>
            <w:r w:rsidRPr="0098470E">
              <w:t>Performance is monitored and assessed monthly.</w:t>
            </w:r>
          </w:p>
          <w:p w14:paraId="416C791C" w14:textId="77777777" w:rsidR="00921922" w:rsidRPr="0098470E" w:rsidRDefault="00921922" w:rsidP="00603215">
            <w:pPr>
              <w:pStyle w:val="DHHStabletext"/>
            </w:pPr>
            <w:r w:rsidRPr="0098470E">
              <w:t>The annual result is generated on receipt of audited financial data submitted in the AIMS F1.</w:t>
            </w:r>
          </w:p>
          <w:p w14:paraId="796F0ECB" w14:textId="57737660" w:rsidR="00921922" w:rsidRPr="0098470E" w:rsidRDefault="00921922" w:rsidP="00603215">
            <w:pPr>
              <w:pStyle w:val="DHHStabletext"/>
            </w:pPr>
            <w:r w:rsidRPr="0098470E">
              <w:t xml:space="preserve">Data is expected to be submitted by health services monthly via AIMS F1. Refer to the </w:t>
            </w:r>
            <w:r w:rsidRPr="0098470E">
              <w:rPr>
                <w:i/>
                <w:iCs/>
              </w:rPr>
              <w:t xml:space="preserve">Guidelines for completing the F1 (finance return) </w:t>
            </w:r>
            <w:r w:rsidRPr="0098470E">
              <w:t>for further information on completing the F1.</w:t>
            </w:r>
          </w:p>
        </w:tc>
      </w:tr>
    </w:tbl>
    <w:p w14:paraId="2184CEE5" w14:textId="77777777" w:rsidR="00F1426A" w:rsidRDefault="00F1426A">
      <w:pPr>
        <w:spacing w:after="200" w:line="276" w:lineRule="auto"/>
        <w:rPr>
          <w:rFonts w:ascii="Arial" w:hAnsi="Arial"/>
          <w:b/>
        </w:rPr>
      </w:pPr>
      <w:r>
        <w:br w:type="page"/>
      </w:r>
    </w:p>
    <w:p w14:paraId="02D6F214" w14:textId="79C1F945" w:rsidR="00F12615" w:rsidRPr="00961723" w:rsidRDefault="00F12615" w:rsidP="00F12615">
      <w:pPr>
        <w:pStyle w:val="DHHStablecaption"/>
      </w:pPr>
      <w:r>
        <w:lastRenderedPageBreak/>
        <w:t xml:space="preserve">Indicator: </w:t>
      </w:r>
      <w:r w:rsidR="00D97737" w:rsidRPr="005B435A">
        <w:t>Patient fee debtors</w:t>
      </w:r>
    </w:p>
    <w:tbl>
      <w:tblPr>
        <w:tblStyle w:val="TableGrid"/>
        <w:tblW w:w="9300" w:type="dxa"/>
        <w:tblLayout w:type="fixed"/>
        <w:tblLook w:val="06A0" w:firstRow="1" w:lastRow="0" w:firstColumn="1" w:lastColumn="0" w:noHBand="1" w:noVBand="1"/>
      </w:tblPr>
      <w:tblGrid>
        <w:gridCol w:w="2552"/>
        <w:gridCol w:w="6748"/>
      </w:tblGrid>
      <w:tr w:rsidR="00D97737" w:rsidRPr="0098470E" w14:paraId="5100CFF9"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467AFDB6" w14:textId="42A894AF" w:rsidR="00D97737" w:rsidRPr="005B435A" w:rsidRDefault="00D97737" w:rsidP="00D97737">
            <w:pPr>
              <w:pStyle w:val="DHHStablecolhead"/>
            </w:pPr>
            <w:r>
              <w:t>Element</w:t>
            </w:r>
          </w:p>
        </w:tc>
        <w:tc>
          <w:tcPr>
            <w:tcW w:w="6748" w:type="dxa"/>
          </w:tcPr>
          <w:p w14:paraId="7763F6D2" w14:textId="79C71173" w:rsidR="00D97737" w:rsidRPr="005B435A" w:rsidRDefault="00D97737" w:rsidP="00D97737">
            <w:pPr>
              <w:pStyle w:val="DHHStablecolhead"/>
            </w:pPr>
            <w:r>
              <w:t>Details</w:t>
            </w:r>
          </w:p>
        </w:tc>
      </w:tr>
      <w:tr w:rsidR="00921922" w:rsidRPr="0098470E" w14:paraId="25AE9A6C" w14:textId="77777777" w:rsidTr="00A32829">
        <w:trPr>
          <w:cantSplit/>
        </w:trPr>
        <w:tc>
          <w:tcPr>
            <w:tcW w:w="2552" w:type="dxa"/>
            <w:hideMark/>
          </w:tcPr>
          <w:p w14:paraId="27375CB3" w14:textId="77777777" w:rsidR="00921922" w:rsidRPr="0098470E" w:rsidRDefault="00921922" w:rsidP="00603215">
            <w:pPr>
              <w:pStyle w:val="DHHStabletext"/>
            </w:pPr>
            <w:r w:rsidRPr="0098470E">
              <w:t>Description</w:t>
            </w:r>
          </w:p>
        </w:tc>
        <w:tc>
          <w:tcPr>
            <w:tcW w:w="6748" w:type="dxa"/>
            <w:hideMark/>
          </w:tcPr>
          <w:p w14:paraId="11EBFF52" w14:textId="77777777" w:rsidR="00921922" w:rsidRPr="0098470E" w:rsidRDefault="00921922" w:rsidP="00603215">
            <w:pPr>
              <w:pStyle w:val="DHHStabletext"/>
            </w:pPr>
            <w:r w:rsidRPr="0098470E">
              <w:t>This indicator is a short-term liquidity indicator. It represents the average number of days a health service takes to collect debts in relation to patient fees. The length of time it takes for private health funds and statutory bodies (such as the TAC) to settle their accounts will influence the result. A fall in days indicates more effective collection.</w:t>
            </w:r>
          </w:p>
        </w:tc>
      </w:tr>
      <w:tr w:rsidR="00921922" w:rsidRPr="0098470E" w14:paraId="4B805129" w14:textId="77777777" w:rsidTr="00A32829">
        <w:trPr>
          <w:cantSplit/>
        </w:trPr>
        <w:tc>
          <w:tcPr>
            <w:tcW w:w="2552" w:type="dxa"/>
            <w:hideMark/>
          </w:tcPr>
          <w:p w14:paraId="3666EC77" w14:textId="77777777" w:rsidR="00921922" w:rsidRPr="0098470E" w:rsidRDefault="00921922" w:rsidP="00603215">
            <w:pPr>
              <w:pStyle w:val="DHHStabletext"/>
            </w:pPr>
            <w:r w:rsidRPr="0098470E">
              <w:t>Calculating performance</w:t>
            </w:r>
          </w:p>
        </w:tc>
        <w:tc>
          <w:tcPr>
            <w:tcW w:w="6748" w:type="dxa"/>
            <w:hideMark/>
          </w:tcPr>
          <w:p w14:paraId="258A52CB" w14:textId="77777777" w:rsidR="00921922" w:rsidRPr="0098470E" w:rsidRDefault="00921922" w:rsidP="00603215">
            <w:pPr>
              <w:pStyle w:val="DHHStabletext"/>
            </w:pPr>
            <w:r w:rsidRPr="0098470E">
              <w:t>Average patient fees receivable divided by the average daily patient fee revenue.</w:t>
            </w:r>
          </w:p>
          <w:p w14:paraId="46970D1D" w14:textId="77777777" w:rsidR="00921922" w:rsidRPr="0098470E" w:rsidRDefault="00921922" w:rsidP="00603215">
            <w:pPr>
              <w:pStyle w:val="DHHStabletext"/>
            </w:pPr>
            <w:r w:rsidRPr="0098470E">
              <w:t>Patient fees receivable are defined as the following account codes:</w:t>
            </w:r>
          </w:p>
          <w:p w14:paraId="2BDEE36F" w14:textId="77777777" w:rsidR="00921922" w:rsidRPr="0098470E" w:rsidRDefault="00921922" w:rsidP="00603215">
            <w:pPr>
              <w:pStyle w:val="DHHStablebullet1"/>
            </w:pPr>
            <w:r w:rsidRPr="0098470E">
              <w:t xml:space="preserve">71001 to 71049: </w:t>
            </w:r>
            <w:r>
              <w:t>d</w:t>
            </w:r>
            <w:r w:rsidRPr="0098470E">
              <w:t xml:space="preserve">ebtors – </w:t>
            </w:r>
            <w:r>
              <w:t>p</w:t>
            </w:r>
            <w:r w:rsidRPr="0098470E">
              <w:t xml:space="preserve">rivate </w:t>
            </w:r>
            <w:r>
              <w:t>i</w:t>
            </w:r>
            <w:r w:rsidRPr="0098470E">
              <w:t>npatients</w:t>
            </w:r>
          </w:p>
          <w:p w14:paraId="20C7E142" w14:textId="77777777" w:rsidR="00921922" w:rsidRPr="0098470E" w:rsidRDefault="00921922" w:rsidP="00603215">
            <w:pPr>
              <w:pStyle w:val="DHHStablebullet1"/>
            </w:pPr>
            <w:r w:rsidRPr="0098470E">
              <w:t xml:space="preserve">71071 to 71075: </w:t>
            </w:r>
            <w:r>
              <w:t>d</w:t>
            </w:r>
            <w:r w:rsidRPr="0098470E">
              <w:t xml:space="preserve">ebtors – </w:t>
            </w:r>
            <w:r>
              <w:t>p</w:t>
            </w:r>
            <w:r w:rsidRPr="0098470E">
              <w:t xml:space="preserve">rivate </w:t>
            </w:r>
            <w:r>
              <w:t>i</w:t>
            </w:r>
            <w:r w:rsidRPr="0098470E">
              <w:t>npatients (</w:t>
            </w:r>
            <w:r>
              <w:t>u</w:t>
            </w:r>
            <w:r w:rsidRPr="0098470E">
              <w:t xml:space="preserve">ninsured </w:t>
            </w:r>
            <w:r>
              <w:t>overseas</w:t>
            </w:r>
            <w:r w:rsidRPr="0098470E">
              <w:t xml:space="preserve"> </w:t>
            </w:r>
            <w:r>
              <w:t>v</w:t>
            </w:r>
            <w:r w:rsidRPr="0098470E">
              <w:t>isitors)</w:t>
            </w:r>
          </w:p>
          <w:p w14:paraId="2F1962D7" w14:textId="77777777" w:rsidR="00921922" w:rsidRPr="0098470E" w:rsidRDefault="00921922" w:rsidP="00603215">
            <w:pPr>
              <w:pStyle w:val="DHHStablebullet1"/>
            </w:pPr>
            <w:r w:rsidRPr="0098470E">
              <w:t xml:space="preserve">71100 to 71149: </w:t>
            </w:r>
            <w:r>
              <w:t>d</w:t>
            </w:r>
            <w:r w:rsidRPr="0098470E">
              <w:t xml:space="preserve">ebtors – </w:t>
            </w:r>
            <w:r>
              <w:t>p</w:t>
            </w:r>
            <w:r w:rsidRPr="0098470E">
              <w:t xml:space="preserve">rivate </w:t>
            </w:r>
            <w:r>
              <w:t>o</w:t>
            </w:r>
            <w:r w:rsidRPr="0098470E">
              <w:t>utpatients</w:t>
            </w:r>
          </w:p>
          <w:p w14:paraId="7BF19EFB" w14:textId="77777777" w:rsidR="00921922" w:rsidRPr="0098470E" w:rsidRDefault="00921922" w:rsidP="00603215">
            <w:pPr>
              <w:pStyle w:val="DHHStablebullet1"/>
            </w:pPr>
            <w:r w:rsidRPr="0098470E">
              <w:t xml:space="preserve">71200 to 71249: </w:t>
            </w:r>
            <w:r>
              <w:t>d</w:t>
            </w:r>
            <w:r w:rsidRPr="0098470E">
              <w:t xml:space="preserve">ebtors – </w:t>
            </w:r>
            <w:r>
              <w:t>n</w:t>
            </w:r>
            <w:r w:rsidRPr="0098470E">
              <w:t xml:space="preserve">ursing </w:t>
            </w:r>
            <w:r>
              <w:t>h</w:t>
            </w:r>
            <w:r w:rsidRPr="0098470E">
              <w:t xml:space="preserve">ome / </w:t>
            </w:r>
            <w:r>
              <w:t>h</w:t>
            </w:r>
            <w:r w:rsidRPr="0098470E">
              <w:t>ostel</w:t>
            </w:r>
          </w:p>
          <w:p w14:paraId="7F6CEAF5" w14:textId="77777777" w:rsidR="00921922" w:rsidRPr="0098470E" w:rsidRDefault="00921922" w:rsidP="00603215">
            <w:pPr>
              <w:pStyle w:val="DHHStablebullet1"/>
            </w:pPr>
            <w:r w:rsidRPr="0098470E">
              <w:t xml:space="preserve">71300 to 71349: </w:t>
            </w:r>
            <w:r>
              <w:t>d</w:t>
            </w:r>
            <w:r w:rsidRPr="0098470E">
              <w:t xml:space="preserve">ebtors </w:t>
            </w:r>
            <w:r>
              <w:t>d</w:t>
            </w:r>
            <w:r w:rsidRPr="0098470E">
              <w:t xml:space="preserve">iagnostic </w:t>
            </w:r>
            <w:r>
              <w:t>b</w:t>
            </w:r>
            <w:r w:rsidRPr="0098470E">
              <w:t>illing</w:t>
            </w:r>
          </w:p>
          <w:p w14:paraId="107EA8E0" w14:textId="77777777" w:rsidR="00921922" w:rsidRDefault="00921922" w:rsidP="00603215">
            <w:pPr>
              <w:pStyle w:val="DHHStablebullet1"/>
            </w:pPr>
            <w:r w:rsidRPr="0098470E">
              <w:t xml:space="preserve">71401 to 71449: </w:t>
            </w:r>
            <w:r>
              <w:t>o</w:t>
            </w:r>
            <w:r w:rsidRPr="0098470E">
              <w:t xml:space="preserve">ther </w:t>
            </w:r>
            <w:r>
              <w:t>p</w:t>
            </w:r>
            <w:r w:rsidRPr="0098470E">
              <w:t xml:space="preserve">atient </w:t>
            </w:r>
            <w:r>
              <w:t>d</w:t>
            </w:r>
            <w:r w:rsidRPr="0098470E">
              <w:t xml:space="preserve">ebtors – </w:t>
            </w:r>
            <w:r>
              <w:t>for example:</w:t>
            </w:r>
            <w:r w:rsidRPr="0098470E">
              <w:t xml:space="preserve"> </w:t>
            </w:r>
            <w:r>
              <w:t>d</w:t>
            </w:r>
            <w:r w:rsidRPr="0098470E">
              <w:t>ay hospital.</w:t>
            </w:r>
          </w:p>
          <w:p w14:paraId="66215431" w14:textId="77777777" w:rsidR="00921922" w:rsidRPr="0098470E" w:rsidRDefault="00921922" w:rsidP="00603215">
            <w:pPr>
              <w:pStyle w:val="DHHStabletext"/>
            </w:pPr>
            <w:r w:rsidRPr="0098470E">
              <w:t>Patient fees revenue are defined as the following account codes:</w:t>
            </w:r>
          </w:p>
          <w:p w14:paraId="27A7CC32" w14:textId="77777777" w:rsidR="00921922" w:rsidRPr="0098470E" w:rsidRDefault="00921922" w:rsidP="00603215">
            <w:pPr>
              <w:pStyle w:val="DHHStablebullet1"/>
            </w:pPr>
            <w:r w:rsidRPr="0098470E">
              <w:t xml:space="preserve">50001 to 50040: </w:t>
            </w:r>
            <w:r>
              <w:t>a</w:t>
            </w:r>
            <w:r w:rsidRPr="0098470E">
              <w:t xml:space="preserve">dmitted </w:t>
            </w:r>
            <w:r>
              <w:t>p</w:t>
            </w:r>
            <w:r w:rsidRPr="0098470E">
              <w:t xml:space="preserve">atient fees – </w:t>
            </w:r>
            <w:r>
              <w:t>a</w:t>
            </w:r>
            <w:r w:rsidRPr="0098470E">
              <w:t>cute</w:t>
            </w:r>
          </w:p>
          <w:p w14:paraId="6B515F52" w14:textId="77777777" w:rsidR="00921922" w:rsidRPr="0098470E" w:rsidRDefault="00921922" w:rsidP="00603215">
            <w:pPr>
              <w:pStyle w:val="DHHStablebullet1"/>
            </w:pPr>
            <w:r w:rsidRPr="0098470E">
              <w:t xml:space="preserve">50041 to 50043: </w:t>
            </w:r>
            <w:r>
              <w:t>a</w:t>
            </w:r>
            <w:r w:rsidRPr="0098470E">
              <w:t xml:space="preserve">dmitted </w:t>
            </w:r>
            <w:r>
              <w:t>p</w:t>
            </w:r>
            <w:r w:rsidRPr="0098470E">
              <w:t>atient fees uninsured debtors</w:t>
            </w:r>
          </w:p>
          <w:p w14:paraId="2BC2BFBB" w14:textId="77777777" w:rsidR="00921922" w:rsidRPr="0098470E" w:rsidRDefault="00921922" w:rsidP="00603215">
            <w:pPr>
              <w:pStyle w:val="DHHStablebullet1"/>
            </w:pPr>
            <w:r w:rsidRPr="0098470E">
              <w:t xml:space="preserve">50051 to 50396: </w:t>
            </w:r>
            <w:r>
              <w:t>a</w:t>
            </w:r>
            <w:r w:rsidRPr="0098470E">
              <w:t xml:space="preserve">dmitted </w:t>
            </w:r>
            <w:r>
              <w:t>p</w:t>
            </w:r>
            <w:r w:rsidRPr="0098470E">
              <w:t>atient fees – other</w:t>
            </w:r>
          </w:p>
          <w:p w14:paraId="694234FC" w14:textId="77777777" w:rsidR="00921922" w:rsidRPr="0098470E" w:rsidRDefault="00921922" w:rsidP="00603215">
            <w:pPr>
              <w:pStyle w:val="DHHStablebullet1"/>
            </w:pPr>
            <w:r w:rsidRPr="0098470E">
              <w:t>504</w:t>
            </w:r>
            <w:r>
              <w:t>01</w:t>
            </w:r>
            <w:r w:rsidRPr="0098470E">
              <w:t xml:space="preserve"> to 50</w:t>
            </w:r>
            <w:r>
              <w:t>730</w:t>
            </w:r>
            <w:r w:rsidRPr="0098470E">
              <w:t xml:space="preserve">: </w:t>
            </w:r>
            <w:r>
              <w:t>n</w:t>
            </w:r>
            <w:r w:rsidRPr="0098470E">
              <w:t xml:space="preserve">on-admitted </w:t>
            </w:r>
            <w:r>
              <w:t>p</w:t>
            </w:r>
            <w:r w:rsidRPr="0098470E">
              <w:t>atient fees</w:t>
            </w:r>
          </w:p>
          <w:p w14:paraId="2BF78F66" w14:textId="77777777" w:rsidR="00921922" w:rsidRPr="0098470E" w:rsidRDefault="00921922" w:rsidP="00603215">
            <w:pPr>
              <w:pStyle w:val="DHHStablebullet1"/>
            </w:pPr>
            <w:r w:rsidRPr="0098470E">
              <w:t xml:space="preserve">50751 to 50756: </w:t>
            </w:r>
            <w:r>
              <w:t>t</w:t>
            </w:r>
            <w:r w:rsidRPr="0098470E">
              <w:t xml:space="preserve">ransport </w:t>
            </w:r>
            <w:r>
              <w:t>f</w:t>
            </w:r>
            <w:r w:rsidRPr="0098470E">
              <w:t>ees – Ambulance Victoria</w:t>
            </w:r>
          </w:p>
          <w:p w14:paraId="53450C74" w14:textId="77777777" w:rsidR="00921922" w:rsidRPr="0098470E" w:rsidRDefault="00921922" w:rsidP="00603215">
            <w:pPr>
              <w:pStyle w:val="DHHStablebullet1"/>
            </w:pPr>
            <w:r w:rsidRPr="0098470E">
              <w:t xml:space="preserve">50901 to 50960: </w:t>
            </w:r>
            <w:r>
              <w:t>p</w:t>
            </w:r>
            <w:r w:rsidRPr="0098470E">
              <w:t xml:space="preserve">rivate </w:t>
            </w:r>
            <w:r>
              <w:t>p</w:t>
            </w:r>
            <w:r w:rsidRPr="0098470E">
              <w:t>racti</w:t>
            </w:r>
            <w:r>
              <w:t>c</w:t>
            </w:r>
            <w:r w:rsidRPr="0098470E">
              <w:t>e fees</w:t>
            </w:r>
          </w:p>
          <w:p w14:paraId="1AFB9429" w14:textId="77777777" w:rsidR="00921922" w:rsidRPr="0098470E" w:rsidRDefault="00921922" w:rsidP="00603215">
            <w:pPr>
              <w:pStyle w:val="DHHStablebullet1"/>
            </w:pPr>
            <w:r w:rsidRPr="0098470E">
              <w:t xml:space="preserve">59111 to 59149: </w:t>
            </w:r>
            <w:r>
              <w:t>p</w:t>
            </w:r>
            <w:r w:rsidRPr="0098470E">
              <w:t xml:space="preserve">rivate </w:t>
            </w:r>
            <w:r>
              <w:t>p</w:t>
            </w:r>
            <w:r w:rsidRPr="0098470E">
              <w:t>racti</w:t>
            </w:r>
            <w:r>
              <w:t>c</w:t>
            </w:r>
            <w:r w:rsidRPr="0098470E">
              <w:t>e fees.</w:t>
            </w:r>
          </w:p>
          <w:p w14:paraId="406FB074" w14:textId="77777777" w:rsidR="00921922" w:rsidRPr="0098470E" w:rsidRDefault="00921922" w:rsidP="00603215">
            <w:pPr>
              <w:pStyle w:val="DHHStabletext"/>
            </w:pPr>
            <w:r w:rsidRPr="0098470E">
              <w:t>This indicator is calculated at a health service level and calculation of the indicator does not include controlled entities cost range Z9002–Z910</w:t>
            </w:r>
            <w:r>
              <w:t>1</w:t>
            </w:r>
            <w:r w:rsidRPr="0098470E">
              <w:t xml:space="preserve"> and Z9502–Z96</w:t>
            </w:r>
            <w:r>
              <w:t>55</w:t>
            </w:r>
            <w:r w:rsidRPr="0098470E">
              <w:t xml:space="preserve"> (with the exception of Monash Health, which includes Jessie McPherson Private Hospital and Western Health, which includes the Western Health Foundation).</w:t>
            </w:r>
          </w:p>
          <w:p w14:paraId="17D11787" w14:textId="77777777" w:rsidR="00921922" w:rsidRPr="0098470E" w:rsidRDefault="00921922" w:rsidP="00603215">
            <w:pPr>
              <w:pStyle w:val="DHHStabletext"/>
            </w:pPr>
            <w:r w:rsidRPr="0098470E">
              <w:t>The indicator is expressed as a number of whole days, therefore rounded to the nearest whole number (0.5 is rounded up).</w:t>
            </w:r>
          </w:p>
        </w:tc>
      </w:tr>
      <w:tr w:rsidR="00921922" w:rsidRPr="0098470E" w14:paraId="2E2587E2" w14:textId="77777777" w:rsidTr="00A32829">
        <w:trPr>
          <w:cantSplit/>
        </w:trPr>
        <w:tc>
          <w:tcPr>
            <w:tcW w:w="2552" w:type="dxa"/>
            <w:hideMark/>
          </w:tcPr>
          <w:p w14:paraId="14B677CD" w14:textId="77777777" w:rsidR="00921922" w:rsidRPr="0098470E" w:rsidRDefault="00921922" w:rsidP="00603215">
            <w:pPr>
              <w:pStyle w:val="DHHStabletext"/>
            </w:pPr>
            <w:r w:rsidRPr="0098470E">
              <w:t>Numerator</w:t>
            </w:r>
          </w:p>
        </w:tc>
        <w:tc>
          <w:tcPr>
            <w:tcW w:w="6748" w:type="dxa"/>
            <w:hideMark/>
          </w:tcPr>
          <w:p w14:paraId="371EA826" w14:textId="2C069468" w:rsidR="00921922" w:rsidRPr="0098470E" w:rsidRDefault="00921922" w:rsidP="00603215">
            <w:pPr>
              <w:pStyle w:val="DHHStabletext"/>
            </w:pPr>
            <w:r w:rsidRPr="0098470E">
              <w:t>The sum of patient fees receivable at the end of the previous financial year and the patient fees receivable at the end of the reporting month divided by two</w:t>
            </w:r>
            <w:r w:rsidR="0035048B">
              <w:t>.</w:t>
            </w:r>
          </w:p>
        </w:tc>
      </w:tr>
      <w:tr w:rsidR="00921922" w:rsidRPr="0098470E" w14:paraId="7F73D5FC" w14:textId="77777777" w:rsidTr="00A32829">
        <w:trPr>
          <w:cantSplit/>
        </w:trPr>
        <w:tc>
          <w:tcPr>
            <w:tcW w:w="2552" w:type="dxa"/>
            <w:hideMark/>
          </w:tcPr>
          <w:p w14:paraId="70DAA6EA" w14:textId="77777777" w:rsidR="00921922" w:rsidRPr="0098470E" w:rsidRDefault="00921922" w:rsidP="00603215">
            <w:pPr>
              <w:pStyle w:val="DHHStabletext"/>
            </w:pPr>
            <w:r w:rsidRPr="0098470E">
              <w:t>Denominator</w:t>
            </w:r>
          </w:p>
        </w:tc>
        <w:tc>
          <w:tcPr>
            <w:tcW w:w="6748" w:type="dxa"/>
            <w:hideMark/>
          </w:tcPr>
          <w:p w14:paraId="0F425998" w14:textId="1378356C" w:rsidR="00921922" w:rsidRPr="0098470E" w:rsidRDefault="00921922" w:rsidP="00603215">
            <w:pPr>
              <w:pStyle w:val="DHHStabletext"/>
              <w:rPr>
                <w:lang w:val="en-US"/>
              </w:rPr>
            </w:pPr>
            <w:r w:rsidRPr="0098470E">
              <w:t>YTD patient fee revenue divided by the YTD number of days</w:t>
            </w:r>
            <w:r w:rsidR="0035048B">
              <w:t>.</w:t>
            </w:r>
          </w:p>
        </w:tc>
      </w:tr>
      <w:tr w:rsidR="00921922" w:rsidRPr="0098470E" w14:paraId="6A796AD9" w14:textId="77777777" w:rsidTr="00A32829">
        <w:trPr>
          <w:cantSplit/>
        </w:trPr>
        <w:tc>
          <w:tcPr>
            <w:tcW w:w="2552" w:type="dxa"/>
            <w:hideMark/>
          </w:tcPr>
          <w:p w14:paraId="19E5267A" w14:textId="77777777" w:rsidR="00921922" w:rsidRPr="0098470E" w:rsidRDefault="00921922" w:rsidP="00603215">
            <w:pPr>
              <w:pStyle w:val="DHHStabletext"/>
            </w:pPr>
            <w:r w:rsidRPr="0098470E">
              <w:t>Statewide target</w:t>
            </w:r>
          </w:p>
        </w:tc>
        <w:tc>
          <w:tcPr>
            <w:tcW w:w="6748" w:type="dxa"/>
            <w:hideMark/>
          </w:tcPr>
          <w:p w14:paraId="0701C89A" w14:textId="77777777" w:rsidR="00921922" w:rsidRPr="0098470E" w:rsidRDefault="00921922" w:rsidP="00603215">
            <w:pPr>
              <w:pStyle w:val="DHHStabletext"/>
              <w:rPr>
                <w:lang w:val="en-US"/>
              </w:rPr>
            </w:pPr>
            <w:r w:rsidRPr="0098470E">
              <w:t>60 days</w:t>
            </w:r>
          </w:p>
        </w:tc>
      </w:tr>
      <w:tr w:rsidR="006A6B1A" w:rsidRPr="0098470E" w14:paraId="1879685D" w14:textId="77777777" w:rsidTr="006A6B1A">
        <w:trPr>
          <w:cantSplit/>
        </w:trPr>
        <w:tc>
          <w:tcPr>
            <w:tcW w:w="2552" w:type="dxa"/>
            <w:hideMark/>
          </w:tcPr>
          <w:p w14:paraId="4F04FBCB" w14:textId="77777777" w:rsidR="006A6B1A" w:rsidRPr="0098470E" w:rsidRDefault="006A6B1A" w:rsidP="00603215">
            <w:pPr>
              <w:pStyle w:val="DHHStabletext"/>
            </w:pPr>
            <w:r w:rsidRPr="0098470E">
              <w:t>Achievement</w:t>
            </w:r>
          </w:p>
        </w:tc>
        <w:tc>
          <w:tcPr>
            <w:tcW w:w="6748" w:type="dxa"/>
            <w:hideMark/>
          </w:tcPr>
          <w:p w14:paraId="5C9F0236" w14:textId="552F415A" w:rsidR="006A6B1A" w:rsidRPr="0098470E" w:rsidRDefault="006A6B1A" w:rsidP="006A6B1A">
            <w:pPr>
              <w:pStyle w:val="DHHStabletext92mmtab"/>
            </w:pPr>
            <w:r w:rsidRPr="0098470E">
              <w:t>Less than or equal to 60 days</w:t>
            </w:r>
            <w:r>
              <w:tab/>
              <w:t>Achieved</w:t>
            </w:r>
          </w:p>
          <w:p w14:paraId="666DAC57" w14:textId="2425770F" w:rsidR="006A6B1A" w:rsidRPr="0098470E" w:rsidRDefault="006A6B1A" w:rsidP="006A6B1A">
            <w:pPr>
              <w:pStyle w:val="DHHStabletext92mmtab"/>
            </w:pPr>
            <w:r w:rsidRPr="0098470E">
              <w:t>Greater than 61 days</w:t>
            </w:r>
            <w:r>
              <w:tab/>
              <w:t>Not achieved</w:t>
            </w:r>
          </w:p>
        </w:tc>
      </w:tr>
      <w:tr w:rsidR="00921922" w:rsidRPr="0098470E" w14:paraId="2FA2919C" w14:textId="77777777" w:rsidTr="00A32829">
        <w:trPr>
          <w:cantSplit/>
        </w:trPr>
        <w:tc>
          <w:tcPr>
            <w:tcW w:w="2552" w:type="dxa"/>
          </w:tcPr>
          <w:p w14:paraId="20D6236A" w14:textId="77777777" w:rsidR="00921922" w:rsidRPr="0098470E" w:rsidRDefault="00921922" w:rsidP="00603215">
            <w:pPr>
              <w:pStyle w:val="DHHStabletext"/>
            </w:pPr>
            <w:r>
              <w:t>Improvement</w:t>
            </w:r>
          </w:p>
        </w:tc>
        <w:tc>
          <w:tcPr>
            <w:tcW w:w="6748" w:type="dxa"/>
          </w:tcPr>
          <w:p w14:paraId="52194CC2" w14:textId="77777777" w:rsidR="00921922" w:rsidRDefault="00921922" w:rsidP="00603215">
            <w:pPr>
              <w:pStyle w:val="DHHStabletext"/>
            </w:pPr>
            <w:r>
              <w:t xml:space="preserve">For the purpose of the performance risk assessment, improvement is assessed against prior year’s results for the same period. </w:t>
            </w:r>
          </w:p>
        </w:tc>
      </w:tr>
      <w:tr w:rsidR="00921922" w:rsidRPr="0098470E" w14:paraId="1C860C78" w14:textId="77777777" w:rsidTr="00A32829">
        <w:trPr>
          <w:cantSplit/>
        </w:trPr>
        <w:tc>
          <w:tcPr>
            <w:tcW w:w="2552" w:type="dxa"/>
            <w:hideMark/>
          </w:tcPr>
          <w:p w14:paraId="0AB8CD11" w14:textId="77777777" w:rsidR="00921922" w:rsidRPr="0098470E" w:rsidRDefault="00921922" w:rsidP="00603215">
            <w:pPr>
              <w:pStyle w:val="DHHStabletext"/>
            </w:pPr>
            <w:r w:rsidRPr="0098470E">
              <w:t>Frequency of reporting and data collection</w:t>
            </w:r>
          </w:p>
        </w:tc>
        <w:tc>
          <w:tcPr>
            <w:tcW w:w="6748" w:type="dxa"/>
            <w:hideMark/>
          </w:tcPr>
          <w:p w14:paraId="6E9FABE9" w14:textId="77777777" w:rsidR="00921922" w:rsidRDefault="00921922" w:rsidP="00603215">
            <w:pPr>
              <w:pStyle w:val="DHHStabletext"/>
            </w:pPr>
            <w:r w:rsidRPr="0098470E">
              <w:t>Performance is monitored and assessed monthly.</w:t>
            </w:r>
          </w:p>
          <w:p w14:paraId="7E930652" w14:textId="77777777" w:rsidR="00921922" w:rsidRPr="0098470E" w:rsidRDefault="00921922" w:rsidP="00603215">
            <w:pPr>
              <w:pStyle w:val="DHHStabletext"/>
            </w:pPr>
            <w:r w:rsidRPr="0098470E">
              <w:t>The annual result is generated on receipt of audited financial data submitted in the AIMS F1.</w:t>
            </w:r>
          </w:p>
          <w:p w14:paraId="69668194" w14:textId="6FAF5C2D" w:rsidR="00921922" w:rsidRPr="0098470E" w:rsidRDefault="00921922" w:rsidP="00603215">
            <w:pPr>
              <w:pStyle w:val="DHHStabletext"/>
            </w:pPr>
            <w:r w:rsidRPr="0098470E">
              <w:t xml:space="preserve">Data is expected to be submitted by health services monthly via AIMS F1. Refer to the </w:t>
            </w:r>
            <w:r w:rsidRPr="0098470E">
              <w:rPr>
                <w:i/>
                <w:iCs/>
              </w:rPr>
              <w:t xml:space="preserve">Guidelines for completing the F1 (finance return) </w:t>
            </w:r>
            <w:r w:rsidRPr="0098470E">
              <w:t>for further information on completing the F1.</w:t>
            </w:r>
          </w:p>
        </w:tc>
      </w:tr>
    </w:tbl>
    <w:p w14:paraId="3C6DCC47" w14:textId="6985EB8A" w:rsidR="00F12615" w:rsidRPr="00961723" w:rsidRDefault="00F12615" w:rsidP="00F12615">
      <w:pPr>
        <w:pStyle w:val="DHHStablecaption"/>
      </w:pPr>
      <w:r>
        <w:lastRenderedPageBreak/>
        <w:t xml:space="preserve">Indicator: </w:t>
      </w:r>
      <w:r w:rsidR="00D97737" w:rsidRPr="00D711A9">
        <w:t xml:space="preserve">Public and </w:t>
      </w:r>
      <w:r w:rsidR="00EF2769">
        <w:t>P</w:t>
      </w:r>
      <w:r w:rsidR="00D97737" w:rsidRPr="00D711A9">
        <w:t>rivate Weighted Inlier Equivalent Separation (WIES)</w:t>
      </w:r>
    </w:p>
    <w:tbl>
      <w:tblPr>
        <w:tblStyle w:val="TableGrid"/>
        <w:tblW w:w="9300" w:type="dxa"/>
        <w:tblLayout w:type="fixed"/>
        <w:tblLook w:val="06A0" w:firstRow="1" w:lastRow="0" w:firstColumn="1" w:lastColumn="0" w:noHBand="1" w:noVBand="1"/>
      </w:tblPr>
      <w:tblGrid>
        <w:gridCol w:w="2552"/>
        <w:gridCol w:w="6748"/>
      </w:tblGrid>
      <w:tr w:rsidR="00D97737" w:rsidRPr="0098470E" w14:paraId="77BDDE8B"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55B48768" w14:textId="3BCD8E7B" w:rsidR="00D97737" w:rsidRPr="005B435A" w:rsidRDefault="00D97737" w:rsidP="00D97737">
            <w:pPr>
              <w:pStyle w:val="DHHStablecolhead"/>
            </w:pPr>
            <w:r>
              <w:t>Element</w:t>
            </w:r>
          </w:p>
        </w:tc>
        <w:tc>
          <w:tcPr>
            <w:tcW w:w="6748" w:type="dxa"/>
          </w:tcPr>
          <w:p w14:paraId="09BB7681" w14:textId="3FE1C973" w:rsidR="00D97737" w:rsidRPr="00D711A9" w:rsidRDefault="00D97737" w:rsidP="00D97737">
            <w:pPr>
              <w:pStyle w:val="DHHStablecolhead"/>
            </w:pPr>
            <w:r>
              <w:t>Details</w:t>
            </w:r>
          </w:p>
        </w:tc>
      </w:tr>
      <w:tr w:rsidR="00921922" w:rsidRPr="0098470E" w14:paraId="1F90DDF5" w14:textId="77777777" w:rsidTr="00A32829">
        <w:trPr>
          <w:cantSplit/>
        </w:trPr>
        <w:tc>
          <w:tcPr>
            <w:tcW w:w="2552" w:type="dxa"/>
            <w:hideMark/>
          </w:tcPr>
          <w:p w14:paraId="4A0F76BA" w14:textId="77777777" w:rsidR="00921922" w:rsidRPr="0098470E" w:rsidRDefault="00921922" w:rsidP="00603215">
            <w:pPr>
              <w:pStyle w:val="DHHStabletext"/>
            </w:pPr>
            <w:r w:rsidRPr="0098470E">
              <w:t>Description</w:t>
            </w:r>
          </w:p>
        </w:tc>
        <w:tc>
          <w:tcPr>
            <w:tcW w:w="6748" w:type="dxa"/>
            <w:hideMark/>
          </w:tcPr>
          <w:p w14:paraId="4E4A9DB4" w14:textId="77777777" w:rsidR="00921922" w:rsidRPr="00D711A9" w:rsidRDefault="00921922" w:rsidP="00603215">
            <w:pPr>
              <w:pStyle w:val="DHHStabletext"/>
            </w:pPr>
            <w:r w:rsidRPr="00D711A9">
              <w:t>The year-to-date (YTD) public and private (PP) WIES indicator aims to reinforce the need for health services to manage their activity in line with the published recall policy.</w:t>
            </w:r>
          </w:p>
        </w:tc>
      </w:tr>
      <w:tr w:rsidR="00921922" w:rsidRPr="0098470E" w14:paraId="5FB32799" w14:textId="77777777" w:rsidTr="00A32829">
        <w:trPr>
          <w:cantSplit/>
        </w:trPr>
        <w:tc>
          <w:tcPr>
            <w:tcW w:w="2552" w:type="dxa"/>
            <w:hideMark/>
          </w:tcPr>
          <w:p w14:paraId="139FB222" w14:textId="77777777" w:rsidR="00921922" w:rsidRPr="0098470E" w:rsidRDefault="00921922" w:rsidP="00603215">
            <w:pPr>
              <w:pStyle w:val="DHHStabletext"/>
            </w:pPr>
            <w:r w:rsidRPr="0098470E">
              <w:t>Calculating performance</w:t>
            </w:r>
          </w:p>
        </w:tc>
        <w:tc>
          <w:tcPr>
            <w:tcW w:w="6748" w:type="dxa"/>
            <w:hideMark/>
          </w:tcPr>
          <w:p w14:paraId="708189AE" w14:textId="77777777" w:rsidR="00921922" w:rsidRPr="0098470E" w:rsidRDefault="00921922" w:rsidP="00603215">
            <w:pPr>
              <w:pStyle w:val="DHHStabletext"/>
            </w:pPr>
            <w:r w:rsidRPr="0098470E">
              <w:t xml:space="preserve">In assessing performance, the department recognises that there may be circumstances whereby </w:t>
            </w:r>
            <w:r>
              <w:t xml:space="preserve">a health service falls outside the KPI tolerance levels </w:t>
            </w:r>
            <w:r w:rsidRPr="0098470E">
              <w:t>without significantly impacting financial viability. These cases are assessed on a case-by-case basis.</w:t>
            </w:r>
          </w:p>
          <w:p w14:paraId="348BD56B" w14:textId="77777777" w:rsidR="00921922" w:rsidRPr="0098470E" w:rsidRDefault="00921922" w:rsidP="00603215">
            <w:pPr>
              <w:pStyle w:val="DHHStabletext"/>
            </w:pPr>
            <w:r w:rsidRPr="0098470E">
              <w:t>Phased monthly targets are based on the September F1 submission for the financial year. Changes thereafter are only reported on agreement between the department and the health service regardless of data submitted in the AIMS F1.</w:t>
            </w:r>
          </w:p>
          <w:p w14:paraId="7387316D" w14:textId="77777777" w:rsidR="00921922" w:rsidRPr="0098470E" w:rsidRDefault="00921922" w:rsidP="00603215">
            <w:pPr>
              <w:pStyle w:val="DHHStabletext"/>
            </w:pPr>
            <w:r w:rsidRPr="0098470E">
              <w:t>The phased end-of-year targets (as reported for the F1 activity budget) should reflect the agreed activity targets.</w:t>
            </w:r>
          </w:p>
          <w:p w14:paraId="24800E59" w14:textId="77777777" w:rsidR="00921922" w:rsidRPr="0098470E" w:rsidRDefault="00921922" w:rsidP="00603215">
            <w:pPr>
              <w:pStyle w:val="DHHStabletext"/>
            </w:pPr>
            <w:r w:rsidRPr="0098470E">
              <w:t>YTD activity performance against the target is expressed as a percentage and rounded to two decimal places (0.055 is rounded up).</w:t>
            </w:r>
          </w:p>
        </w:tc>
      </w:tr>
      <w:tr w:rsidR="00921922" w:rsidRPr="0098470E" w14:paraId="682427CE" w14:textId="77777777" w:rsidTr="00A32829">
        <w:trPr>
          <w:cantSplit/>
        </w:trPr>
        <w:tc>
          <w:tcPr>
            <w:tcW w:w="2552" w:type="dxa"/>
            <w:hideMark/>
          </w:tcPr>
          <w:p w14:paraId="77030C6B" w14:textId="77777777" w:rsidR="00921922" w:rsidRPr="0098470E" w:rsidRDefault="00921922" w:rsidP="00603215">
            <w:pPr>
              <w:pStyle w:val="DHHStabletext"/>
            </w:pPr>
            <w:r w:rsidRPr="0098470E">
              <w:t>Numerator</w:t>
            </w:r>
          </w:p>
        </w:tc>
        <w:tc>
          <w:tcPr>
            <w:tcW w:w="6748" w:type="dxa"/>
            <w:hideMark/>
          </w:tcPr>
          <w:p w14:paraId="4B005E08" w14:textId="501E2387" w:rsidR="00921922" w:rsidRPr="0098470E" w:rsidRDefault="00921922" w:rsidP="00603215">
            <w:pPr>
              <w:pStyle w:val="DHHStabletext"/>
              <w:rPr>
                <w:lang w:val="en-US"/>
              </w:rPr>
            </w:pPr>
            <w:r w:rsidRPr="0098470E">
              <w:t>YTD actual PP WIES</w:t>
            </w:r>
            <w:r w:rsidR="00EF2769">
              <w:t>.</w:t>
            </w:r>
          </w:p>
        </w:tc>
      </w:tr>
      <w:tr w:rsidR="00921922" w:rsidRPr="0098470E" w14:paraId="0C6EB3BB" w14:textId="77777777" w:rsidTr="00A32829">
        <w:trPr>
          <w:cantSplit/>
        </w:trPr>
        <w:tc>
          <w:tcPr>
            <w:tcW w:w="2552" w:type="dxa"/>
            <w:hideMark/>
          </w:tcPr>
          <w:p w14:paraId="4E17EDF1" w14:textId="77777777" w:rsidR="00921922" w:rsidRPr="0098470E" w:rsidRDefault="00921922" w:rsidP="00603215">
            <w:pPr>
              <w:pStyle w:val="DHHStabletext"/>
            </w:pPr>
            <w:r w:rsidRPr="0098470E">
              <w:t>Denominator</w:t>
            </w:r>
          </w:p>
        </w:tc>
        <w:tc>
          <w:tcPr>
            <w:tcW w:w="6748" w:type="dxa"/>
            <w:hideMark/>
          </w:tcPr>
          <w:p w14:paraId="071003CE" w14:textId="2F45D04E" w:rsidR="00921922" w:rsidRPr="0098470E" w:rsidRDefault="00921922" w:rsidP="00603215">
            <w:pPr>
              <w:pStyle w:val="DHHStabletext"/>
              <w:rPr>
                <w:lang w:val="en-US"/>
              </w:rPr>
            </w:pPr>
            <w:r w:rsidRPr="0098470E">
              <w:t>YTD PP WIES target</w:t>
            </w:r>
            <w:r w:rsidR="00EF2769">
              <w:t>.</w:t>
            </w:r>
          </w:p>
        </w:tc>
      </w:tr>
      <w:tr w:rsidR="00921922" w:rsidRPr="0098470E" w14:paraId="1FFC9659" w14:textId="77777777" w:rsidTr="00A32829">
        <w:trPr>
          <w:cantSplit/>
        </w:trPr>
        <w:tc>
          <w:tcPr>
            <w:tcW w:w="2552" w:type="dxa"/>
            <w:hideMark/>
          </w:tcPr>
          <w:p w14:paraId="0DF1C1C3" w14:textId="77777777" w:rsidR="00921922" w:rsidRPr="0098470E" w:rsidRDefault="00921922" w:rsidP="00603215">
            <w:pPr>
              <w:pStyle w:val="DHHStabletext"/>
            </w:pPr>
            <w:r w:rsidRPr="0098470E">
              <w:t>Statewide target</w:t>
            </w:r>
          </w:p>
        </w:tc>
        <w:tc>
          <w:tcPr>
            <w:tcW w:w="6748" w:type="dxa"/>
            <w:hideMark/>
          </w:tcPr>
          <w:p w14:paraId="0EA30B7E" w14:textId="77777777" w:rsidR="00921922" w:rsidRPr="0098470E" w:rsidRDefault="00921922" w:rsidP="00603215">
            <w:pPr>
              <w:pStyle w:val="DHHStabletext"/>
              <w:rPr>
                <w:lang w:val="en-US"/>
              </w:rPr>
            </w:pPr>
            <w:r w:rsidRPr="0098470E">
              <w:t>100%</w:t>
            </w:r>
          </w:p>
        </w:tc>
      </w:tr>
      <w:tr w:rsidR="006A6B1A" w:rsidRPr="0098470E" w14:paraId="3EC6A548" w14:textId="77777777" w:rsidTr="006A6B1A">
        <w:trPr>
          <w:cantSplit/>
        </w:trPr>
        <w:tc>
          <w:tcPr>
            <w:tcW w:w="2552" w:type="dxa"/>
            <w:hideMark/>
          </w:tcPr>
          <w:p w14:paraId="3820A94D" w14:textId="77777777" w:rsidR="006A6B1A" w:rsidRPr="0098470E" w:rsidRDefault="006A6B1A" w:rsidP="00603215">
            <w:pPr>
              <w:pStyle w:val="DHHStabletext"/>
            </w:pPr>
            <w:r w:rsidRPr="0098470E">
              <w:t>Achievement</w:t>
            </w:r>
          </w:p>
        </w:tc>
        <w:tc>
          <w:tcPr>
            <w:tcW w:w="6748" w:type="dxa"/>
            <w:hideMark/>
          </w:tcPr>
          <w:p w14:paraId="2D9706D5" w14:textId="28886DD2" w:rsidR="006A6B1A" w:rsidRPr="0098470E" w:rsidRDefault="006A6B1A" w:rsidP="006A6B1A">
            <w:pPr>
              <w:pStyle w:val="DHHStabletext92mmtab"/>
            </w:pPr>
            <w:r w:rsidRPr="0098470E">
              <w:t xml:space="preserve">Between </w:t>
            </w:r>
            <w:r>
              <w:t>98</w:t>
            </w:r>
            <w:r w:rsidRPr="0098470E">
              <w:t>% and10</w:t>
            </w:r>
            <w:r>
              <w:t>2</w:t>
            </w:r>
            <w:r w:rsidRPr="0098470E">
              <w:t>%</w:t>
            </w:r>
            <w:r>
              <w:tab/>
              <w:t>Achieved</w:t>
            </w:r>
          </w:p>
          <w:p w14:paraId="5706E687" w14:textId="67C0FE47" w:rsidR="006A6B1A" w:rsidRPr="0098470E" w:rsidRDefault="006A6B1A" w:rsidP="006A6B1A">
            <w:pPr>
              <w:pStyle w:val="DHHStabletext92mmtab"/>
            </w:pPr>
            <w:r w:rsidRPr="0098470E">
              <w:t xml:space="preserve">Less than </w:t>
            </w:r>
            <w:r>
              <w:t>98</w:t>
            </w:r>
            <w:r w:rsidRPr="0098470E">
              <w:t>% or over 10</w:t>
            </w:r>
            <w:r>
              <w:t>2</w:t>
            </w:r>
            <w:r w:rsidRPr="0098470E">
              <w:t>%</w:t>
            </w:r>
            <w:r>
              <w:tab/>
              <w:t>Not achieved</w:t>
            </w:r>
          </w:p>
        </w:tc>
      </w:tr>
      <w:tr w:rsidR="00921922" w:rsidRPr="0098470E" w14:paraId="532E21BF" w14:textId="77777777" w:rsidTr="00A32829">
        <w:trPr>
          <w:cantSplit/>
        </w:trPr>
        <w:tc>
          <w:tcPr>
            <w:tcW w:w="2552" w:type="dxa"/>
          </w:tcPr>
          <w:p w14:paraId="7F43153C" w14:textId="77777777" w:rsidR="00921922" w:rsidRPr="0098470E" w:rsidRDefault="00921922" w:rsidP="00603215">
            <w:pPr>
              <w:pStyle w:val="DHHStabletext"/>
            </w:pPr>
            <w:r>
              <w:t>Improvement</w:t>
            </w:r>
          </w:p>
        </w:tc>
        <w:tc>
          <w:tcPr>
            <w:tcW w:w="6748" w:type="dxa"/>
          </w:tcPr>
          <w:p w14:paraId="4B92A0C2" w14:textId="77777777" w:rsidR="00921922" w:rsidRDefault="00921922" w:rsidP="00603215">
            <w:pPr>
              <w:pStyle w:val="DHHStabletext"/>
              <w:tabs>
                <w:tab w:val="left" w:pos="356"/>
              </w:tabs>
            </w:pPr>
            <w:r>
              <w:t xml:space="preserve">For the purpose of the performance risk assessment improvement is assessed against the YTD phased target results, except for Q1 which is assessed against same time last year performance. </w:t>
            </w:r>
          </w:p>
        </w:tc>
      </w:tr>
      <w:tr w:rsidR="00921922" w:rsidRPr="0098470E" w14:paraId="2897B855" w14:textId="77777777" w:rsidTr="00A32829">
        <w:trPr>
          <w:cantSplit/>
        </w:trPr>
        <w:tc>
          <w:tcPr>
            <w:tcW w:w="2552" w:type="dxa"/>
            <w:hideMark/>
          </w:tcPr>
          <w:p w14:paraId="2BD16C1D" w14:textId="77777777" w:rsidR="00921922" w:rsidRPr="0098470E" w:rsidRDefault="00921922" w:rsidP="00603215">
            <w:pPr>
              <w:pStyle w:val="DHHStabletext"/>
            </w:pPr>
            <w:r w:rsidRPr="0098470E">
              <w:t>Frequency of reporting and data collection</w:t>
            </w:r>
          </w:p>
        </w:tc>
        <w:tc>
          <w:tcPr>
            <w:tcW w:w="6748" w:type="dxa"/>
            <w:hideMark/>
          </w:tcPr>
          <w:p w14:paraId="1C2D5234" w14:textId="77777777" w:rsidR="00921922" w:rsidRPr="0098470E" w:rsidRDefault="00921922" w:rsidP="00603215">
            <w:pPr>
              <w:pStyle w:val="DHHStabletext"/>
            </w:pPr>
            <w:r w:rsidRPr="0098470E">
              <w:t>Performance is monitored and assessed monthly.</w:t>
            </w:r>
          </w:p>
          <w:p w14:paraId="11B75B2D" w14:textId="51AA0804" w:rsidR="00921922" w:rsidRPr="0098470E" w:rsidRDefault="00921922" w:rsidP="00603215">
            <w:pPr>
              <w:pStyle w:val="DHHStabletext"/>
            </w:pPr>
            <w:r w:rsidRPr="0098470E">
              <w:t xml:space="preserve">An annual result is generated based on the YTD result at 30 </w:t>
            </w:r>
            <w:r w:rsidR="00C2765B" w:rsidRPr="0098470E">
              <w:t>June (</w:t>
            </w:r>
            <w:r w:rsidRPr="0098470E">
              <w:t>following final consolidation of VAED).</w:t>
            </w:r>
          </w:p>
          <w:p w14:paraId="42318F5C" w14:textId="0C8BC621" w:rsidR="00921922" w:rsidRPr="0098470E" w:rsidRDefault="00921922" w:rsidP="00603215">
            <w:pPr>
              <w:pStyle w:val="DHHStabletext"/>
            </w:pPr>
            <w:r w:rsidRPr="0098470E">
              <w:t xml:space="preserve">Data is submitted by health services monthly via the AIMS F1. Refer to the </w:t>
            </w:r>
            <w:r w:rsidRPr="0098470E">
              <w:rPr>
                <w:i/>
              </w:rPr>
              <w:t>Guidelines for completing the F1 (finance return</w:t>
            </w:r>
            <w:r w:rsidR="00300E3F">
              <w:rPr>
                <w:i/>
              </w:rPr>
              <w:t xml:space="preserve">) </w:t>
            </w:r>
            <w:r w:rsidRPr="0098470E">
              <w:t>for further information on completing the F1.</w:t>
            </w:r>
          </w:p>
          <w:p w14:paraId="0255973D" w14:textId="0BD4252A" w:rsidR="00921922" w:rsidRPr="0098470E" w:rsidRDefault="00921922" w:rsidP="00603215">
            <w:pPr>
              <w:pStyle w:val="DHHStabletext"/>
            </w:pPr>
            <w:r w:rsidRPr="0098470E">
              <w:t xml:space="preserve">For further information on the funding policy changes and recall policy please refer to the </w:t>
            </w:r>
            <w:r w:rsidR="00B13933">
              <w:rPr>
                <w:i/>
              </w:rPr>
              <w:t>Policy and Funding Guidelines</w:t>
            </w:r>
            <w:r w:rsidR="00AB6518">
              <w:rPr>
                <w:i/>
              </w:rPr>
              <w:t>.</w:t>
            </w:r>
          </w:p>
        </w:tc>
      </w:tr>
    </w:tbl>
    <w:p w14:paraId="6E18B44C" w14:textId="4144EE22" w:rsidR="00F12615" w:rsidRPr="00961723" w:rsidRDefault="00F12615" w:rsidP="00F12615">
      <w:pPr>
        <w:pStyle w:val="DHHStablecaption"/>
      </w:pPr>
      <w:r>
        <w:lastRenderedPageBreak/>
        <w:t xml:space="preserve">Indicator: </w:t>
      </w:r>
      <w:r w:rsidR="00D97737" w:rsidRPr="005B435A">
        <w:t>Adjusted current asset ratio</w:t>
      </w:r>
      <w:r w:rsidR="00D97737">
        <w:t xml:space="preserve"> (ACAR)</w:t>
      </w:r>
    </w:p>
    <w:tbl>
      <w:tblPr>
        <w:tblStyle w:val="TableGrid"/>
        <w:tblW w:w="9300" w:type="dxa"/>
        <w:tblLayout w:type="fixed"/>
        <w:tblLook w:val="06A0" w:firstRow="1" w:lastRow="0" w:firstColumn="1" w:lastColumn="0" w:noHBand="1" w:noVBand="1"/>
      </w:tblPr>
      <w:tblGrid>
        <w:gridCol w:w="2552"/>
        <w:gridCol w:w="6748"/>
      </w:tblGrid>
      <w:tr w:rsidR="00D97737" w:rsidRPr="0098470E" w14:paraId="711DA73F"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52" w:type="dxa"/>
          </w:tcPr>
          <w:p w14:paraId="6756AC8C" w14:textId="6531CCB3" w:rsidR="00D97737" w:rsidRPr="005B435A" w:rsidRDefault="00D97737" w:rsidP="00D97737">
            <w:pPr>
              <w:pStyle w:val="DHHStablecolhead"/>
            </w:pPr>
            <w:r>
              <w:t>Element</w:t>
            </w:r>
          </w:p>
        </w:tc>
        <w:tc>
          <w:tcPr>
            <w:tcW w:w="6748" w:type="dxa"/>
          </w:tcPr>
          <w:p w14:paraId="0326587F" w14:textId="48A0D523" w:rsidR="00D97737" w:rsidRPr="005B435A" w:rsidRDefault="00D97737" w:rsidP="00D97737">
            <w:pPr>
              <w:pStyle w:val="DHHStablecolhead"/>
            </w:pPr>
            <w:r>
              <w:t>Details</w:t>
            </w:r>
          </w:p>
        </w:tc>
      </w:tr>
      <w:tr w:rsidR="00921922" w:rsidRPr="0098470E" w14:paraId="64BC8F5F" w14:textId="77777777" w:rsidTr="00A32829">
        <w:trPr>
          <w:cantSplit/>
        </w:trPr>
        <w:tc>
          <w:tcPr>
            <w:tcW w:w="2552" w:type="dxa"/>
            <w:hideMark/>
          </w:tcPr>
          <w:p w14:paraId="19A6150D" w14:textId="77777777" w:rsidR="00921922" w:rsidRPr="0098470E" w:rsidRDefault="00921922" w:rsidP="00603215">
            <w:pPr>
              <w:pStyle w:val="DHHStabletext"/>
            </w:pPr>
            <w:r w:rsidRPr="0098470E">
              <w:t>Description</w:t>
            </w:r>
          </w:p>
        </w:tc>
        <w:tc>
          <w:tcPr>
            <w:tcW w:w="6748" w:type="dxa"/>
            <w:hideMark/>
          </w:tcPr>
          <w:p w14:paraId="13825331" w14:textId="77777777" w:rsidR="00921922" w:rsidRPr="0098470E" w:rsidRDefault="00921922" w:rsidP="00603215">
            <w:pPr>
              <w:pStyle w:val="DHHStabletext"/>
            </w:pPr>
            <w:r w:rsidRPr="0098470E">
              <w:t>This indicator is a measure of financial liquidity.</w:t>
            </w:r>
          </w:p>
          <w:p w14:paraId="09BE2C83" w14:textId="77777777" w:rsidR="00921922" w:rsidRPr="0098470E" w:rsidRDefault="00921922" w:rsidP="00603215">
            <w:pPr>
              <w:pStyle w:val="DHHStabletext"/>
            </w:pPr>
            <w:r w:rsidRPr="0098470E">
              <w:t>The generally accepted current asset ratio (CAR) is a financial ratio that measures whether or not an organisation has enough resources to pay its debts over the next 12 months. It compares an organisation</w:t>
            </w:r>
            <w:r>
              <w:t>’</w:t>
            </w:r>
            <w:r w:rsidRPr="0098470E">
              <w:t>s current assets to its current liabilities.</w:t>
            </w:r>
          </w:p>
          <w:p w14:paraId="5FBE496C" w14:textId="64A26FE2" w:rsidR="00921922" w:rsidRPr="0098470E" w:rsidRDefault="00921922" w:rsidP="00603215">
            <w:pPr>
              <w:pStyle w:val="DHHStabletext"/>
            </w:pPr>
            <w:r w:rsidRPr="0098470E">
              <w:t xml:space="preserve">The CAR for hospital performance has been adjusted to include </w:t>
            </w:r>
            <w:r>
              <w:t>‘</w:t>
            </w:r>
            <w:r w:rsidRPr="0098470E">
              <w:t>Long-Term Investments: Other financial assets</w:t>
            </w:r>
            <w:r>
              <w:t>’</w:t>
            </w:r>
            <w:r w:rsidRPr="0098470E">
              <w:t xml:space="preserve"> (which excludes Land and Buildings). This recognises the different cash management approaches/strategies employed by health services. For example, health services may move short-term cash assets into longer term investments, which are not recognised by the traditional CAR calculations. Further, the Long Service Leave </w:t>
            </w:r>
            <w:r w:rsidR="00BA67CA">
              <w:t xml:space="preserve">(LSL) </w:t>
            </w:r>
            <w:r w:rsidRPr="0098470E">
              <w:t>liability will be adjusted so that only the current portion of the liability is included. This will utilise a factor based on the previous year</w:t>
            </w:r>
            <w:r>
              <w:t>’</w:t>
            </w:r>
            <w:r w:rsidRPr="0098470E">
              <w:t>s full year balances.</w:t>
            </w:r>
          </w:p>
          <w:p w14:paraId="2213980A" w14:textId="46AB27B4" w:rsidR="00921922" w:rsidRPr="0098470E" w:rsidRDefault="00921922" w:rsidP="00603215">
            <w:pPr>
              <w:pStyle w:val="DHHStabletext"/>
            </w:pPr>
            <w:r w:rsidRPr="0098470E">
              <w:t xml:space="preserve">Additionally, the </w:t>
            </w:r>
            <w:r w:rsidR="00C2765B">
              <w:t>SOP</w:t>
            </w:r>
            <w:r w:rsidR="00C2765B" w:rsidRPr="0098470E">
              <w:t xml:space="preserve"> </w:t>
            </w:r>
            <w:r w:rsidRPr="0098470E">
              <w:t>targets will be established. These will recognise the different starting points for health services and focus on achieving performance improvement overtime or maintaining good performance. This aligns with the department</w:t>
            </w:r>
            <w:r>
              <w:t>’</w:t>
            </w:r>
            <w:r w:rsidRPr="0098470E">
              <w:t>s reform priority to increase the financial sustainability and productivity of the health system.</w:t>
            </w:r>
          </w:p>
        </w:tc>
      </w:tr>
      <w:tr w:rsidR="00921922" w:rsidRPr="0098470E" w14:paraId="48D22CA5" w14:textId="77777777" w:rsidTr="00A32829">
        <w:trPr>
          <w:cantSplit/>
        </w:trPr>
        <w:tc>
          <w:tcPr>
            <w:tcW w:w="2552" w:type="dxa"/>
            <w:hideMark/>
          </w:tcPr>
          <w:p w14:paraId="30D52440" w14:textId="77777777" w:rsidR="00921922" w:rsidRPr="0098470E" w:rsidRDefault="00921922" w:rsidP="00603215">
            <w:pPr>
              <w:pStyle w:val="DHHStabletext"/>
            </w:pPr>
            <w:r w:rsidRPr="0098470E">
              <w:t>Calculating performance</w:t>
            </w:r>
          </w:p>
        </w:tc>
        <w:tc>
          <w:tcPr>
            <w:tcW w:w="6748" w:type="dxa"/>
            <w:hideMark/>
          </w:tcPr>
          <w:p w14:paraId="7BDC84F0" w14:textId="77777777" w:rsidR="00921922" w:rsidRPr="0098470E" w:rsidRDefault="00921922" w:rsidP="00603215">
            <w:pPr>
              <w:pStyle w:val="DHHStabletext"/>
            </w:pPr>
            <w:r w:rsidRPr="0098470E">
              <w:t>The variance between the actual ACAR based on the audited 30 June result and the target/benchmark is the measured outcome. Targets are based on a health service</w:t>
            </w:r>
            <w:r>
              <w:t>’</w:t>
            </w:r>
            <w:r w:rsidRPr="0098470E">
              <w:t xml:space="preserve">s final audited ACAR result for the previous financial year, which will form the </w:t>
            </w:r>
            <w:r>
              <w:t>‘</w:t>
            </w:r>
            <w:r w:rsidRPr="0098470E">
              <w:t>base</w:t>
            </w:r>
            <w:r>
              <w:t>’</w:t>
            </w:r>
            <w:r w:rsidRPr="0098470E">
              <w:t xml:space="preserve"> upon which health services will be measured.</w:t>
            </w:r>
          </w:p>
          <w:p w14:paraId="55E4D549" w14:textId="77777777" w:rsidR="00921922" w:rsidRPr="0098470E" w:rsidRDefault="00921922" w:rsidP="00603215">
            <w:pPr>
              <w:pStyle w:val="DHHStabletext"/>
            </w:pPr>
            <w:r w:rsidRPr="0098470E">
              <w:t xml:space="preserve">Health services that have a </w:t>
            </w:r>
            <w:r>
              <w:t>‘</w:t>
            </w:r>
            <w:r w:rsidRPr="0098470E">
              <w:t>base</w:t>
            </w:r>
            <w:r>
              <w:t>’</w:t>
            </w:r>
            <w:r w:rsidRPr="0098470E">
              <w:t xml:space="preserve"> of 0.7 or above (that is, their audited ACAR for the previous year was 0.7 or greater) will obtain full achievement of the indicator provided they maintain their ACAR above 0.7 (statewide benchmark).</w:t>
            </w:r>
          </w:p>
          <w:p w14:paraId="46D73327" w14:textId="2F1F038D" w:rsidR="00921922" w:rsidRPr="0098470E" w:rsidRDefault="00921922" w:rsidP="00603215">
            <w:pPr>
              <w:pStyle w:val="DHHStabletext"/>
            </w:pPr>
            <w:r w:rsidRPr="0098470E">
              <w:t xml:space="preserve">Health services starting with a </w:t>
            </w:r>
            <w:r>
              <w:t>‘</w:t>
            </w:r>
            <w:r w:rsidRPr="0098470E">
              <w:t>base</w:t>
            </w:r>
            <w:r>
              <w:t>’</w:t>
            </w:r>
            <w:r w:rsidRPr="0098470E">
              <w:t xml:space="preserve"> below 0.7 will be required to achieve a 3</w:t>
            </w:r>
            <w:r>
              <w:t xml:space="preserve"> per cent</w:t>
            </w:r>
            <w:r w:rsidRPr="0098470E">
              <w:t xml:space="preserve"> </w:t>
            </w:r>
            <w:r>
              <w:t>‘</w:t>
            </w:r>
            <w:r w:rsidRPr="0098470E">
              <w:t>improvement</w:t>
            </w:r>
            <w:r>
              <w:t>’</w:t>
            </w:r>
            <w:r w:rsidRPr="0098470E">
              <w:t xml:space="preserve"> (</w:t>
            </w:r>
            <w:r>
              <w:t>‘</w:t>
            </w:r>
            <w:r w:rsidRPr="0098470E">
              <w:t>improvement target</w:t>
            </w:r>
            <w:r>
              <w:t>’</w:t>
            </w:r>
            <w:r w:rsidRPr="0098470E">
              <w:t xml:space="preserve">) from their </w:t>
            </w:r>
            <w:r>
              <w:t>‘</w:t>
            </w:r>
            <w:r w:rsidRPr="0098470E">
              <w:t>base</w:t>
            </w:r>
            <w:r>
              <w:t>’</w:t>
            </w:r>
            <w:r w:rsidRPr="0098470E">
              <w:t xml:space="preserve"> in order to be recognised as having improved from their base point.</w:t>
            </w:r>
          </w:p>
        </w:tc>
      </w:tr>
      <w:tr w:rsidR="00921922" w:rsidRPr="0098470E" w14:paraId="414B1472" w14:textId="77777777" w:rsidTr="00A32829">
        <w:trPr>
          <w:cantSplit/>
        </w:trPr>
        <w:tc>
          <w:tcPr>
            <w:tcW w:w="2552" w:type="dxa"/>
            <w:hideMark/>
          </w:tcPr>
          <w:p w14:paraId="420788BD" w14:textId="77777777" w:rsidR="00921922" w:rsidRPr="0098470E" w:rsidRDefault="00921922" w:rsidP="00603215">
            <w:pPr>
              <w:pStyle w:val="DHHStabletext"/>
            </w:pPr>
            <w:r w:rsidRPr="0098470E">
              <w:t>Numerator</w:t>
            </w:r>
          </w:p>
        </w:tc>
        <w:tc>
          <w:tcPr>
            <w:tcW w:w="6748" w:type="dxa"/>
            <w:hideMark/>
          </w:tcPr>
          <w:p w14:paraId="3615897C" w14:textId="53D805EC" w:rsidR="00921922" w:rsidRPr="0098470E" w:rsidRDefault="00921922" w:rsidP="00603215">
            <w:pPr>
              <w:pStyle w:val="DHHStabletext"/>
              <w:rPr>
                <w:lang w:val="en-GB"/>
              </w:rPr>
            </w:pPr>
            <w:r w:rsidRPr="0098470E">
              <w:rPr>
                <w:lang w:val="en-GB"/>
              </w:rPr>
              <w:t xml:space="preserve">Current asset and long-term investment </w:t>
            </w:r>
            <w:r w:rsidR="00C2765B" w:rsidRPr="0098470E">
              <w:rPr>
                <w:lang w:val="en-GB"/>
              </w:rPr>
              <w:t>are</w:t>
            </w:r>
            <w:r w:rsidRPr="0098470E">
              <w:rPr>
                <w:lang w:val="en-GB"/>
              </w:rPr>
              <w:t xml:space="preserve"> defined as:</w:t>
            </w:r>
          </w:p>
          <w:p w14:paraId="7348372E" w14:textId="77777777" w:rsidR="00921922" w:rsidRPr="0098470E" w:rsidRDefault="00921922" w:rsidP="00603215">
            <w:pPr>
              <w:pStyle w:val="DHHStablebullet1"/>
            </w:pPr>
            <w:r w:rsidRPr="0098470E">
              <w:t>accounts 70001 to 73391: cash at bank and on hand, patient trusts, other trusts and short-term investments – cash equivalents</w:t>
            </w:r>
          </w:p>
          <w:p w14:paraId="3479D773" w14:textId="331CBB77" w:rsidR="00921922" w:rsidRPr="0098470E" w:rsidRDefault="00921922" w:rsidP="00603215">
            <w:pPr>
              <w:pStyle w:val="DHHStablebullet1"/>
              <w:rPr>
                <w:lang w:val="en-US"/>
              </w:rPr>
            </w:pPr>
            <w:r w:rsidRPr="0098470E">
              <w:t>accounts 75001 to</w:t>
            </w:r>
            <w:r>
              <w:t xml:space="preserve"> </w:t>
            </w:r>
            <w:r w:rsidRPr="0098470E">
              <w:t>75269: long-term investments</w:t>
            </w:r>
            <w:r w:rsidR="00BA67CA">
              <w:t>.</w:t>
            </w:r>
          </w:p>
        </w:tc>
      </w:tr>
      <w:tr w:rsidR="00921922" w:rsidRPr="0098470E" w14:paraId="25CD1ED2" w14:textId="77777777" w:rsidTr="00A32829">
        <w:trPr>
          <w:cantSplit/>
        </w:trPr>
        <w:tc>
          <w:tcPr>
            <w:tcW w:w="2552" w:type="dxa"/>
            <w:hideMark/>
          </w:tcPr>
          <w:p w14:paraId="785C1FB2" w14:textId="77777777" w:rsidR="00921922" w:rsidRPr="0098470E" w:rsidRDefault="00921922" w:rsidP="00603215">
            <w:pPr>
              <w:pStyle w:val="DHHStabletext"/>
            </w:pPr>
            <w:r w:rsidRPr="0098470E">
              <w:t>Denominator</w:t>
            </w:r>
          </w:p>
        </w:tc>
        <w:tc>
          <w:tcPr>
            <w:tcW w:w="6748" w:type="dxa"/>
            <w:hideMark/>
          </w:tcPr>
          <w:p w14:paraId="0138D80B" w14:textId="21681670" w:rsidR="00921922" w:rsidRPr="0098470E" w:rsidRDefault="00921922" w:rsidP="00603215">
            <w:pPr>
              <w:pStyle w:val="DHHStabletext"/>
            </w:pPr>
            <w:r w:rsidRPr="0098470E">
              <w:t xml:space="preserve">All short-term liabilities </w:t>
            </w:r>
            <w:r w:rsidR="00C2765B" w:rsidRPr="0098470E">
              <w:t>are</w:t>
            </w:r>
            <w:r w:rsidRPr="0098470E">
              <w:t xml:space="preserve"> defined as accounts 80000 to 86699</w:t>
            </w:r>
            <w:r w:rsidR="00BA67CA">
              <w:t>.</w:t>
            </w:r>
          </w:p>
          <w:p w14:paraId="7CC4D284" w14:textId="54675510" w:rsidR="00921922" w:rsidRPr="0098470E" w:rsidRDefault="00921922" w:rsidP="00603215">
            <w:pPr>
              <w:pStyle w:val="DHHStabletext"/>
              <w:rPr>
                <w:lang w:val="en-US"/>
              </w:rPr>
            </w:pPr>
            <w:r w:rsidRPr="0098470E">
              <w:t xml:space="preserve">Excludes the non-current portion of </w:t>
            </w:r>
            <w:r>
              <w:t>LSL</w:t>
            </w:r>
            <w:r w:rsidRPr="0098470E">
              <w:t xml:space="preserve"> liability, based on previous year</w:t>
            </w:r>
            <w:r>
              <w:t>’</w:t>
            </w:r>
            <w:r w:rsidRPr="0098470E">
              <w:t>s % of total LSL balance for each health service.</w:t>
            </w:r>
          </w:p>
        </w:tc>
      </w:tr>
      <w:tr w:rsidR="00921922" w:rsidRPr="0098470E" w14:paraId="24127BD0" w14:textId="77777777" w:rsidTr="00A32829">
        <w:trPr>
          <w:cantSplit/>
        </w:trPr>
        <w:tc>
          <w:tcPr>
            <w:tcW w:w="2552" w:type="dxa"/>
            <w:hideMark/>
          </w:tcPr>
          <w:p w14:paraId="49242FE3" w14:textId="77777777" w:rsidR="00921922" w:rsidRPr="0098470E" w:rsidRDefault="00921922" w:rsidP="00603215">
            <w:pPr>
              <w:pStyle w:val="DHHStabletext"/>
            </w:pPr>
            <w:r w:rsidRPr="0098470E">
              <w:t>Statewide target</w:t>
            </w:r>
          </w:p>
        </w:tc>
        <w:tc>
          <w:tcPr>
            <w:tcW w:w="6748" w:type="dxa"/>
            <w:hideMark/>
          </w:tcPr>
          <w:p w14:paraId="0C4DE9E4" w14:textId="77777777" w:rsidR="00921922" w:rsidRPr="0098470E" w:rsidRDefault="00921922" w:rsidP="00603215">
            <w:pPr>
              <w:pStyle w:val="DHHStabletext"/>
              <w:rPr>
                <w:lang w:val="en-US"/>
              </w:rPr>
            </w:pPr>
            <w:r w:rsidRPr="0098470E">
              <w:t>0.7</w:t>
            </w:r>
          </w:p>
        </w:tc>
      </w:tr>
      <w:tr w:rsidR="006A6B1A" w:rsidRPr="0098470E" w14:paraId="5034A259" w14:textId="77777777" w:rsidTr="006A6B1A">
        <w:trPr>
          <w:cantSplit/>
        </w:trPr>
        <w:tc>
          <w:tcPr>
            <w:tcW w:w="2552" w:type="dxa"/>
            <w:hideMark/>
          </w:tcPr>
          <w:p w14:paraId="7424A5F0" w14:textId="77777777" w:rsidR="006A6B1A" w:rsidRPr="0098470E" w:rsidRDefault="006A6B1A" w:rsidP="00603215">
            <w:pPr>
              <w:pStyle w:val="DHHStabletext"/>
            </w:pPr>
            <w:r w:rsidRPr="0098470E">
              <w:t>Achievement</w:t>
            </w:r>
          </w:p>
        </w:tc>
        <w:tc>
          <w:tcPr>
            <w:tcW w:w="6748" w:type="dxa"/>
            <w:hideMark/>
          </w:tcPr>
          <w:p w14:paraId="504C6803" w14:textId="29C832CA" w:rsidR="006A6B1A" w:rsidRPr="0098470E" w:rsidRDefault="006A6B1A" w:rsidP="00603215">
            <w:pPr>
              <w:pStyle w:val="DHHStabletext"/>
            </w:pPr>
            <w:r>
              <w:t>Statewide target a</w:t>
            </w:r>
            <w:r w:rsidRPr="0098470E">
              <w:t xml:space="preserve">chieved </w:t>
            </w:r>
            <w:r w:rsidRPr="00F12E96">
              <w:rPr>
                <w:u w:val="single"/>
              </w:rPr>
              <w:t>OR</w:t>
            </w:r>
            <w:r w:rsidRPr="0098470E">
              <w:t xml:space="preserve"> 3% improvement from health service base target</w:t>
            </w:r>
            <w:r w:rsidR="00BA67CA">
              <w:t>.</w:t>
            </w:r>
            <w:r>
              <w:t xml:space="preserve"> </w:t>
            </w:r>
          </w:p>
          <w:p w14:paraId="189967ED" w14:textId="1AF1417A" w:rsidR="006A6B1A" w:rsidRPr="0098470E" w:rsidRDefault="006A6B1A" w:rsidP="00603215">
            <w:pPr>
              <w:pStyle w:val="DHHStabletext"/>
            </w:pPr>
            <w:r w:rsidRPr="0098470E">
              <w:t>Statewide target not achieved</w:t>
            </w:r>
            <w:r>
              <w:t xml:space="preserve"> </w:t>
            </w:r>
            <w:r w:rsidRPr="00F12E96">
              <w:rPr>
                <w:u w:val="single"/>
              </w:rPr>
              <w:t>OR</w:t>
            </w:r>
            <w:r w:rsidR="006C7A4F">
              <w:t xml:space="preserve"> </w:t>
            </w:r>
            <w:r w:rsidRPr="0098470E">
              <w:t xml:space="preserve">less than 3% </w:t>
            </w:r>
            <w:r>
              <w:t xml:space="preserve">improvement </w:t>
            </w:r>
            <w:r w:rsidRPr="0098470E">
              <w:t>from health service base target</w:t>
            </w:r>
            <w:r>
              <w:t xml:space="preserve"> </w:t>
            </w:r>
          </w:p>
        </w:tc>
      </w:tr>
      <w:tr w:rsidR="00921922" w:rsidRPr="0098470E" w14:paraId="1FBDD9B3" w14:textId="77777777" w:rsidTr="00A32829">
        <w:trPr>
          <w:cantSplit/>
        </w:trPr>
        <w:tc>
          <w:tcPr>
            <w:tcW w:w="2552" w:type="dxa"/>
          </w:tcPr>
          <w:p w14:paraId="3F31A260" w14:textId="77777777" w:rsidR="00921922" w:rsidRPr="0098470E" w:rsidRDefault="00921922" w:rsidP="00603215">
            <w:pPr>
              <w:pStyle w:val="DHHStabletext"/>
            </w:pPr>
            <w:r>
              <w:t xml:space="preserve">Improvement </w:t>
            </w:r>
          </w:p>
        </w:tc>
        <w:tc>
          <w:tcPr>
            <w:tcW w:w="6748" w:type="dxa"/>
          </w:tcPr>
          <w:p w14:paraId="6E2F1823" w14:textId="77777777" w:rsidR="00921922" w:rsidRPr="0098470E" w:rsidRDefault="00921922" w:rsidP="00603215">
            <w:pPr>
              <w:pStyle w:val="DHHStabletext"/>
            </w:pPr>
            <w:r>
              <w:t>For the purpose of the performance risk assessment improvement is assessed against the phased target results, except for Q1 which is assessed against same time last year performance.</w:t>
            </w:r>
          </w:p>
        </w:tc>
      </w:tr>
      <w:tr w:rsidR="00921922" w:rsidRPr="0098470E" w14:paraId="70DF9BDC" w14:textId="77777777" w:rsidTr="00A32829">
        <w:trPr>
          <w:cantSplit/>
        </w:trPr>
        <w:tc>
          <w:tcPr>
            <w:tcW w:w="2552" w:type="dxa"/>
            <w:hideMark/>
          </w:tcPr>
          <w:p w14:paraId="5155598E" w14:textId="77777777" w:rsidR="00921922" w:rsidRPr="0098470E" w:rsidRDefault="00921922" w:rsidP="00603215">
            <w:pPr>
              <w:pStyle w:val="DHHStabletext"/>
            </w:pPr>
            <w:r w:rsidRPr="0098470E">
              <w:lastRenderedPageBreak/>
              <w:t>Frequency of reporting and data collection</w:t>
            </w:r>
          </w:p>
        </w:tc>
        <w:tc>
          <w:tcPr>
            <w:tcW w:w="6748" w:type="dxa"/>
            <w:hideMark/>
          </w:tcPr>
          <w:p w14:paraId="525978E6" w14:textId="77777777" w:rsidR="00921922" w:rsidRPr="0098470E" w:rsidRDefault="00921922" w:rsidP="00603215">
            <w:pPr>
              <w:pStyle w:val="DHHStabletext"/>
            </w:pPr>
            <w:r w:rsidRPr="0098470E">
              <w:t>Performance is monitored and assessed monthly.</w:t>
            </w:r>
          </w:p>
          <w:p w14:paraId="4D7FE100" w14:textId="77777777" w:rsidR="00921922" w:rsidRPr="0098470E" w:rsidRDefault="00921922" w:rsidP="00603215">
            <w:pPr>
              <w:pStyle w:val="DHHStabletext"/>
            </w:pPr>
            <w:r w:rsidRPr="0098470E">
              <w:t>The annual result is generated on receipt of audited financial data submitted in the AIMS F1.</w:t>
            </w:r>
          </w:p>
          <w:p w14:paraId="3DE7A7D9" w14:textId="7F839F52" w:rsidR="00921922" w:rsidRPr="0098470E" w:rsidRDefault="00921922" w:rsidP="00603215">
            <w:pPr>
              <w:pStyle w:val="DHHStabletext"/>
            </w:pPr>
            <w:r w:rsidRPr="0098470E">
              <w:t xml:space="preserve">Data is submitted by health services monthly via AIMS F1. Refer to the </w:t>
            </w:r>
            <w:r w:rsidRPr="0098470E">
              <w:rPr>
                <w:i/>
              </w:rPr>
              <w:t xml:space="preserve">Guidelines for completing the F1 (finance return) </w:t>
            </w:r>
            <w:r w:rsidRPr="0098470E">
              <w:t>for further information on completing the F1.</w:t>
            </w:r>
          </w:p>
          <w:p w14:paraId="7B1F0A6B" w14:textId="34699ECB" w:rsidR="00921922" w:rsidRPr="0098470E" w:rsidRDefault="00921922" w:rsidP="00603215">
            <w:pPr>
              <w:pStyle w:val="DHHStabletext"/>
            </w:pPr>
            <w:r w:rsidRPr="0098470E">
              <w:t xml:space="preserve">Refer to the </w:t>
            </w:r>
            <w:r w:rsidR="00B13933">
              <w:rPr>
                <w:i/>
              </w:rPr>
              <w:t>Policy and Funding Guidelines</w:t>
            </w:r>
            <w:r w:rsidR="00B13933" w:rsidRPr="0098470E">
              <w:rPr>
                <w:i/>
              </w:rPr>
              <w:t xml:space="preserve"> </w:t>
            </w:r>
            <w:r w:rsidRPr="0098470E">
              <w:t>for further information about funding policy changes.</w:t>
            </w:r>
          </w:p>
        </w:tc>
      </w:tr>
    </w:tbl>
    <w:p w14:paraId="7DAAA817" w14:textId="77777777" w:rsidR="00F1426A" w:rsidRDefault="00F1426A">
      <w:pPr>
        <w:spacing w:after="200" w:line="276" w:lineRule="auto"/>
        <w:rPr>
          <w:rFonts w:ascii="Arial" w:hAnsi="Arial"/>
          <w:b/>
        </w:rPr>
      </w:pPr>
      <w:r>
        <w:br w:type="page"/>
      </w:r>
    </w:p>
    <w:p w14:paraId="21388165" w14:textId="2635EBFA" w:rsidR="00F12615" w:rsidRPr="00961723" w:rsidRDefault="00F12615" w:rsidP="00F12615">
      <w:pPr>
        <w:pStyle w:val="DHHStablecaption"/>
      </w:pPr>
      <w:r>
        <w:lastRenderedPageBreak/>
        <w:t xml:space="preserve">Indicator: </w:t>
      </w:r>
      <w:r w:rsidR="00D97737">
        <w:t>Forecast d</w:t>
      </w:r>
      <w:r w:rsidR="00D97737" w:rsidRPr="00FD051C">
        <w:t>ays of available cash</w:t>
      </w:r>
    </w:p>
    <w:tbl>
      <w:tblPr>
        <w:tblStyle w:val="TableGrid"/>
        <w:tblW w:w="9300" w:type="dxa"/>
        <w:tblLayout w:type="fixed"/>
        <w:tblLook w:val="06A0" w:firstRow="1" w:lastRow="0" w:firstColumn="1" w:lastColumn="0" w:noHBand="1" w:noVBand="1"/>
      </w:tblPr>
      <w:tblGrid>
        <w:gridCol w:w="2581"/>
        <w:gridCol w:w="6719"/>
      </w:tblGrid>
      <w:tr w:rsidR="00D97737" w:rsidRPr="0098470E" w14:paraId="255F4032"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2715EE10" w14:textId="35541F28" w:rsidR="00D97737" w:rsidRPr="00FD051C" w:rsidRDefault="00D97737" w:rsidP="00D97737">
            <w:pPr>
              <w:pStyle w:val="DHHStablecolhead"/>
            </w:pPr>
            <w:r>
              <w:t>Element</w:t>
            </w:r>
          </w:p>
        </w:tc>
        <w:tc>
          <w:tcPr>
            <w:tcW w:w="6719" w:type="dxa"/>
          </w:tcPr>
          <w:p w14:paraId="0F5AB1AF" w14:textId="5931EED4" w:rsidR="00D97737" w:rsidRPr="00FD051C" w:rsidRDefault="00D97737" w:rsidP="00D97737">
            <w:pPr>
              <w:pStyle w:val="DHHStablecolhead"/>
            </w:pPr>
            <w:r>
              <w:t>Details</w:t>
            </w:r>
          </w:p>
        </w:tc>
      </w:tr>
      <w:tr w:rsidR="00921922" w:rsidRPr="0098470E" w14:paraId="1312EA92" w14:textId="77777777" w:rsidTr="00A32829">
        <w:trPr>
          <w:cantSplit/>
        </w:trPr>
        <w:tc>
          <w:tcPr>
            <w:tcW w:w="2581" w:type="dxa"/>
            <w:hideMark/>
          </w:tcPr>
          <w:p w14:paraId="522E8BCA" w14:textId="77777777" w:rsidR="00921922" w:rsidRPr="0098470E" w:rsidRDefault="00921922" w:rsidP="00603215">
            <w:pPr>
              <w:pStyle w:val="DHHStabletext"/>
            </w:pPr>
            <w:r w:rsidRPr="0098470E">
              <w:t>Description</w:t>
            </w:r>
          </w:p>
        </w:tc>
        <w:tc>
          <w:tcPr>
            <w:tcW w:w="6719" w:type="dxa"/>
            <w:hideMark/>
          </w:tcPr>
          <w:p w14:paraId="5EB5A51D" w14:textId="77777777" w:rsidR="00921922" w:rsidRPr="00A32829" w:rsidRDefault="00921922" w:rsidP="00603215">
            <w:pPr>
              <w:pStyle w:val="DHHStabletext"/>
              <w:rPr>
                <w:iCs/>
              </w:rPr>
            </w:pPr>
            <w:r w:rsidRPr="0098470E">
              <w:t xml:space="preserve">This measure presents the number of days a health service can maintain its operations with unrestricted available cash, </w:t>
            </w:r>
            <w:r w:rsidRPr="00A32829">
              <w:rPr>
                <w:b/>
                <w:iCs/>
              </w:rPr>
              <w:t>projected as at 30 June</w:t>
            </w:r>
            <w:r w:rsidRPr="00554C1C">
              <w:rPr>
                <w:iCs/>
              </w:rPr>
              <w:t>.</w:t>
            </w:r>
          </w:p>
          <w:p w14:paraId="798C367A" w14:textId="77777777" w:rsidR="00921922" w:rsidRPr="0098470E" w:rsidRDefault="00921922" w:rsidP="00603215">
            <w:pPr>
              <w:pStyle w:val="DHHStabletext"/>
            </w:pPr>
            <w:r w:rsidRPr="0098470E">
              <w:t>Ideally, health services will project, at the end of the financial year, to have sufficient cash and cash equivalents to cover tied funding obligations and also meet their daily working capital requirements for a period of at least 14 days.</w:t>
            </w:r>
          </w:p>
        </w:tc>
      </w:tr>
      <w:tr w:rsidR="00921922" w:rsidRPr="0098470E" w14:paraId="5A7C2A39" w14:textId="77777777" w:rsidTr="00A32829">
        <w:trPr>
          <w:cantSplit/>
        </w:trPr>
        <w:tc>
          <w:tcPr>
            <w:tcW w:w="2581" w:type="dxa"/>
            <w:hideMark/>
          </w:tcPr>
          <w:p w14:paraId="57BDAD71" w14:textId="77777777" w:rsidR="00921922" w:rsidRPr="0098470E" w:rsidRDefault="00921922" w:rsidP="00603215">
            <w:pPr>
              <w:pStyle w:val="DHHStabletext"/>
            </w:pPr>
            <w:r w:rsidRPr="0098470E">
              <w:t>Calculating performance</w:t>
            </w:r>
          </w:p>
        </w:tc>
        <w:tc>
          <w:tcPr>
            <w:tcW w:w="6719" w:type="dxa"/>
            <w:hideMark/>
          </w:tcPr>
          <w:p w14:paraId="22B3B00E" w14:textId="77777777" w:rsidR="00921922" w:rsidRPr="0098470E" w:rsidRDefault="00921922" w:rsidP="00603215">
            <w:pPr>
              <w:pStyle w:val="DHHStabletext"/>
            </w:pPr>
            <w:r w:rsidRPr="0098470E">
              <w:t>The results are derived by dividing the numerator by the denominator and rounded to one decimal place.</w:t>
            </w:r>
          </w:p>
          <w:p w14:paraId="6275C10E" w14:textId="52FD916F" w:rsidR="00921922" w:rsidRPr="0098470E" w:rsidRDefault="00921922" w:rsidP="00603215">
            <w:pPr>
              <w:pStyle w:val="DHHStabletext"/>
            </w:pPr>
            <w:r w:rsidRPr="0098470E">
              <w:t xml:space="preserve">Health service will be measured against the targets stipulated in the </w:t>
            </w:r>
            <w:r>
              <w:t>‘</w:t>
            </w:r>
            <w:r w:rsidRPr="0098470E">
              <w:t>Achievement</w:t>
            </w:r>
            <w:r>
              <w:t>’</w:t>
            </w:r>
            <w:r w:rsidRPr="0098470E">
              <w:t xml:space="preserve"> section below.</w:t>
            </w:r>
            <w:r>
              <w:t xml:space="preserve"> </w:t>
            </w:r>
            <w:r w:rsidRPr="0098470E">
              <w:t xml:space="preserve">However, for health services that have finished the previous financial year (June 30) below the targeted 14 days, the </w:t>
            </w:r>
            <w:r w:rsidR="007975DA">
              <w:t xml:space="preserve">30 </w:t>
            </w:r>
            <w:r w:rsidRPr="0098470E">
              <w:t xml:space="preserve">June result from the previous year will become a </w:t>
            </w:r>
            <w:r>
              <w:t>‘</w:t>
            </w:r>
            <w:r w:rsidRPr="0098470E">
              <w:t>base</w:t>
            </w:r>
            <w:r>
              <w:t>’</w:t>
            </w:r>
            <w:r w:rsidRPr="0098470E">
              <w:t xml:space="preserve"> target upon which health service will asse</w:t>
            </w:r>
            <w:r>
              <w:t xml:space="preserve">ssed against for improvement. </w:t>
            </w:r>
          </w:p>
        </w:tc>
      </w:tr>
      <w:tr w:rsidR="00921922" w:rsidRPr="0098470E" w14:paraId="6505B6DB" w14:textId="77777777" w:rsidTr="00A32829">
        <w:trPr>
          <w:cantSplit/>
        </w:trPr>
        <w:tc>
          <w:tcPr>
            <w:tcW w:w="2581" w:type="dxa"/>
            <w:hideMark/>
          </w:tcPr>
          <w:p w14:paraId="686CBB60" w14:textId="77777777" w:rsidR="00921922" w:rsidRPr="0098470E" w:rsidRDefault="00921922" w:rsidP="00603215">
            <w:pPr>
              <w:pStyle w:val="DHHStabletext"/>
            </w:pPr>
            <w:r w:rsidRPr="0098470E">
              <w:t>Numerator</w:t>
            </w:r>
          </w:p>
        </w:tc>
        <w:tc>
          <w:tcPr>
            <w:tcW w:w="6719" w:type="dxa"/>
            <w:hideMark/>
          </w:tcPr>
          <w:p w14:paraId="2E5D3694" w14:textId="77777777" w:rsidR="00921922" w:rsidRPr="0098470E" w:rsidRDefault="00921922" w:rsidP="00603215">
            <w:pPr>
              <w:pStyle w:val="DHHStabletext"/>
            </w:pPr>
            <w:r>
              <w:t>‘</w:t>
            </w:r>
            <w:r w:rsidRPr="0098470E">
              <w:t xml:space="preserve">Total </w:t>
            </w:r>
            <w:r>
              <w:t>a</w:t>
            </w:r>
            <w:r w:rsidRPr="0098470E">
              <w:t xml:space="preserve">vailable </w:t>
            </w:r>
            <w:r>
              <w:t>f</w:t>
            </w:r>
            <w:r w:rsidRPr="0098470E">
              <w:t>unds</w:t>
            </w:r>
            <w:r>
              <w:t>’</w:t>
            </w:r>
            <w:r w:rsidRPr="0098470E">
              <w:t>: unrestricted cash at the end of June, which is all short- and long-term financial assets less committed funding to present the net available cash (total unrestricted funds) that is available to the health service for its operations</w:t>
            </w:r>
            <w:r>
              <w:t>.</w:t>
            </w:r>
          </w:p>
          <w:p w14:paraId="4903AA66" w14:textId="77777777" w:rsidR="00921922" w:rsidRPr="0098470E" w:rsidRDefault="00921922" w:rsidP="00603215">
            <w:pPr>
              <w:pStyle w:val="DHHStabletext"/>
            </w:pPr>
            <w:r w:rsidRPr="0098470E">
              <w:t>Exclude both short-term and long-term:</w:t>
            </w:r>
          </w:p>
          <w:p w14:paraId="2CACF4B5" w14:textId="77777777" w:rsidR="00921922" w:rsidRDefault="00921922" w:rsidP="00603215">
            <w:pPr>
              <w:pStyle w:val="DHHStablebullet1"/>
            </w:pPr>
            <w:r>
              <w:t>‘c</w:t>
            </w:r>
            <w:r w:rsidRPr="0098470E">
              <w:t xml:space="preserve">ommitted </w:t>
            </w:r>
            <w:r>
              <w:t>o</w:t>
            </w:r>
            <w:r w:rsidRPr="0098470E">
              <w:t xml:space="preserve">bligations for </w:t>
            </w:r>
            <w:r>
              <w:t>i</w:t>
            </w:r>
            <w:r w:rsidRPr="0098470E">
              <w:t xml:space="preserve">nternally </w:t>
            </w:r>
            <w:r>
              <w:t>m</w:t>
            </w:r>
            <w:r w:rsidRPr="0098470E">
              <w:t xml:space="preserve">anaged </w:t>
            </w:r>
            <w:r>
              <w:t>specific purpose funds’</w:t>
            </w:r>
          </w:p>
          <w:p w14:paraId="02347B94" w14:textId="6CBCC1B0" w:rsidR="00921922" w:rsidRPr="0098470E" w:rsidRDefault="00921922" w:rsidP="00603215">
            <w:pPr>
              <w:pStyle w:val="DHHStablebullet1"/>
            </w:pPr>
            <w:r>
              <w:t>‘prior year recall</w:t>
            </w:r>
            <w:r w:rsidR="00C2765B">
              <w:t>’</w:t>
            </w:r>
          </w:p>
          <w:p w14:paraId="32759C9B" w14:textId="77777777" w:rsidR="00921922" w:rsidRPr="0098470E" w:rsidRDefault="00921922" w:rsidP="00603215">
            <w:pPr>
              <w:pStyle w:val="DHHStablebullet1"/>
              <w:rPr>
                <w:lang w:val="en-US"/>
              </w:rPr>
            </w:pPr>
            <w:r>
              <w:t>‘o</w:t>
            </w:r>
            <w:r w:rsidRPr="0098470E">
              <w:t>ther</w:t>
            </w:r>
            <w:r>
              <w:t xml:space="preserve"> commitments’.</w:t>
            </w:r>
          </w:p>
        </w:tc>
      </w:tr>
      <w:tr w:rsidR="00921922" w:rsidRPr="0098470E" w14:paraId="1A33CFA3" w14:textId="77777777" w:rsidTr="00A32829">
        <w:trPr>
          <w:cantSplit/>
        </w:trPr>
        <w:tc>
          <w:tcPr>
            <w:tcW w:w="2581" w:type="dxa"/>
            <w:hideMark/>
          </w:tcPr>
          <w:p w14:paraId="2744EA85" w14:textId="77777777" w:rsidR="00921922" w:rsidRPr="0098470E" w:rsidRDefault="00921922" w:rsidP="00603215">
            <w:pPr>
              <w:pStyle w:val="DHHStabletext"/>
            </w:pPr>
            <w:r w:rsidRPr="0098470E">
              <w:t>Denominator</w:t>
            </w:r>
          </w:p>
        </w:tc>
        <w:tc>
          <w:tcPr>
            <w:tcW w:w="6719" w:type="dxa"/>
            <w:hideMark/>
          </w:tcPr>
          <w:p w14:paraId="19E5A691" w14:textId="64C1384C" w:rsidR="00921922" w:rsidRPr="0098470E" w:rsidRDefault="00921922" w:rsidP="00603215">
            <w:pPr>
              <w:pStyle w:val="DHHStabletext"/>
              <w:rPr>
                <w:lang w:val="en-US"/>
              </w:rPr>
            </w:pPr>
            <w:r>
              <w:t>‘</w:t>
            </w:r>
            <w:r w:rsidRPr="0098470E">
              <w:t>Working capital</w:t>
            </w:r>
            <w:r>
              <w:t>’</w:t>
            </w:r>
            <w:r w:rsidRPr="0098470E">
              <w:t xml:space="preserve"> – this is equal to total operating expenditure excluding controlled entities as reported in the </w:t>
            </w:r>
            <w:r w:rsidRPr="00554C1C">
              <w:rPr>
                <w:i/>
              </w:rPr>
              <w:t xml:space="preserve">F1 </w:t>
            </w:r>
            <w:r w:rsidRPr="001414E0">
              <w:rPr>
                <w:i/>
                <w:iCs/>
              </w:rPr>
              <w:t xml:space="preserve">Budget Income </w:t>
            </w:r>
            <w:r w:rsidRPr="00CE5778">
              <w:rPr>
                <w:i/>
                <w:iCs/>
              </w:rPr>
              <w:t xml:space="preserve">– </w:t>
            </w:r>
            <w:r w:rsidR="00C2765B" w:rsidRPr="007C29C3">
              <w:rPr>
                <w:i/>
                <w:iCs/>
              </w:rPr>
              <w:t>SOP</w:t>
            </w:r>
            <w:r w:rsidR="00C2765B">
              <w:rPr>
                <w:i/>
                <w:iCs/>
              </w:rPr>
              <w:t xml:space="preserve"> </w:t>
            </w:r>
            <w:r w:rsidRPr="0098470E">
              <w:t>worksheet. This is then divided by 365 (total days in year) to arrive at the average daily working capital requirement</w:t>
            </w:r>
            <w:r>
              <w:t>.</w:t>
            </w:r>
          </w:p>
        </w:tc>
      </w:tr>
      <w:tr w:rsidR="00921922" w:rsidRPr="0098470E" w14:paraId="05D4D516" w14:textId="77777777" w:rsidTr="00A32829">
        <w:trPr>
          <w:cantSplit/>
        </w:trPr>
        <w:tc>
          <w:tcPr>
            <w:tcW w:w="2581" w:type="dxa"/>
            <w:hideMark/>
          </w:tcPr>
          <w:p w14:paraId="50B15437" w14:textId="77777777" w:rsidR="00921922" w:rsidRPr="0098470E" w:rsidRDefault="00921922" w:rsidP="00603215">
            <w:pPr>
              <w:pStyle w:val="DHHStabletext"/>
            </w:pPr>
            <w:r w:rsidRPr="0098470E">
              <w:t>Statewide target</w:t>
            </w:r>
          </w:p>
        </w:tc>
        <w:tc>
          <w:tcPr>
            <w:tcW w:w="6719" w:type="dxa"/>
            <w:hideMark/>
          </w:tcPr>
          <w:p w14:paraId="3DF89E11" w14:textId="77777777" w:rsidR="00921922" w:rsidRPr="0098470E" w:rsidRDefault="00921922" w:rsidP="00603215">
            <w:pPr>
              <w:pStyle w:val="DHHStabletext"/>
              <w:rPr>
                <w:lang w:val="en-US"/>
              </w:rPr>
            </w:pPr>
            <w:r w:rsidRPr="0098470E">
              <w:t>14</w:t>
            </w:r>
            <w:r>
              <w:t>.0</w:t>
            </w:r>
            <w:r w:rsidRPr="0098470E">
              <w:t xml:space="preserve"> days</w:t>
            </w:r>
          </w:p>
        </w:tc>
      </w:tr>
      <w:tr w:rsidR="006A6B1A" w:rsidRPr="0098470E" w14:paraId="05AA45B1" w14:textId="77777777" w:rsidTr="006A6B1A">
        <w:trPr>
          <w:cantSplit/>
        </w:trPr>
        <w:tc>
          <w:tcPr>
            <w:tcW w:w="2581" w:type="dxa"/>
            <w:hideMark/>
          </w:tcPr>
          <w:p w14:paraId="50FF577A" w14:textId="77777777" w:rsidR="006A6B1A" w:rsidRPr="0098470E" w:rsidRDefault="006A6B1A" w:rsidP="00603215">
            <w:pPr>
              <w:pStyle w:val="DHHStabletext"/>
            </w:pPr>
            <w:r w:rsidRPr="0098470E">
              <w:t>Achievement</w:t>
            </w:r>
          </w:p>
        </w:tc>
        <w:tc>
          <w:tcPr>
            <w:tcW w:w="6719" w:type="dxa"/>
            <w:hideMark/>
          </w:tcPr>
          <w:p w14:paraId="74C4A34F" w14:textId="2127C8B2" w:rsidR="006A6B1A" w:rsidRPr="0098470E" w:rsidRDefault="006A6B1A" w:rsidP="006A6B1A">
            <w:pPr>
              <w:pStyle w:val="DHHStabletext92mmtab"/>
            </w:pPr>
            <w:r w:rsidRPr="0098470E">
              <w:t xml:space="preserve">June End of Year Forecast is equal to </w:t>
            </w:r>
            <w:r>
              <w:br/>
            </w:r>
            <w:r w:rsidRPr="0098470E">
              <w:t>or above 14.0 days</w:t>
            </w:r>
            <w:r>
              <w:tab/>
              <w:t>Achieved</w:t>
            </w:r>
          </w:p>
          <w:p w14:paraId="19164037" w14:textId="77078066" w:rsidR="006A6B1A" w:rsidRPr="0098470E" w:rsidRDefault="006A6B1A" w:rsidP="006A6B1A">
            <w:pPr>
              <w:pStyle w:val="DHHStabletext92mmtab"/>
            </w:pPr>
            <w:r w:rsidRPr="0098470E">
              <w:t xml:space="preserve">June End of Year Forecast is less than </w:t>
            </w:r>
            <w:r>
              <w:t>14</w:t>
            </w:r>
            <w:r w:rsidRPr="0098470E">
              <w:t>.0 days</w:t>
            </w:r>
            <w:r>
              <w:tab/>
              <w:t>Not achieved</w:t>
            </w:r>
          </w:p>
        </w:tc>
      </w:tr>
      <w:tr w:rsidR="00921922" w:rsidRPr="0098470E" w14:paraId="021EDFD1" w14:textId="77777777" w:rsidTr="00A32829">
        <w:trPr>
          <w:cantSplit/>
        </w:trPr>
        <w:tc>
          <w:tcPr>
            <w:tcW w:w="2581" w:type="dxa"/>
          </w:tcPr>
          <w:p w14:paraId="34E784D3" w14:textId="77777777" w:rsidR="00921922" w:rsidRPr="0098470E" w:rsidRDefault="00921922" w:rsidP="00603215">
            <w:pPr>
              <w:pStyle w:val="DHHStabletext"/>
            </w:pPr>
            <w:r>
              <w:t>Improvement</w:t>
            </w:r>
          </w:p>
        </w:tc>
        <w:tc>
          <w:tcPr>
            <w:tcW w:w="6719" w:type="dxa"/>
          </w:tcPr>
          <w:p w14:paraId="30DF5078" w14:textId="4FB8422F" w:rsidR="00921922" w:rsidRDefault="00921922" w:rsidP="00603215">
            <w:pPr>
              <w:pStyle w:val="DHHStabletext"/>
            </w:pPr>
            <w:r>
              <w:t xml:space="preserve">For the purpose of the performance risk assessment improvement is assessed against the 30 June base. </w:t>
            </w:r>
          </w:p>
        </w:tc>
      </w:tr>
      <w:tr w:rsidR="00921922" w:rsidRPr="0098470E" w14:paraId="0176E395" w14:textId="77777777" w:rsidTr="00A32829">
        <w:trPr>
          <w:cantSplit/>
        </w:trPr>
        <w:tc>
          <w:tcPr>
            <w:tcW w:w="2581" w:type="dxa"/>
            <w:hideMark/>
          </w:tcPr>
          <w:p w14:paraId="757D0EB1" w14:textId="77777777" w:rsidR="00921922" w:rsidRPr="0098470E" w:rsidRDefault="00921922" w:rsidP="00603215">
            <w:pPr>
              <w:pStyle w:val="DHHStabletext"/>
            </w:pPr>
            <w:r w:rsidRPr="0098470E">
              <w:t>Frequency of reporting and data collection</w:t>
            </w:r>
          </w:p>
        </w:tc>
        <w:tc>
          <w:tcPr>
            <w:tcW w:w="6719" w:type="dxa"/>
            <w:hideMark/>
          </w:tcPr>
          <w:p w14:paraId="59A99E3A" w14:textId="77777777" w:rsidR="00921922" w:rsidRPr="0098470E" w:rsidRDefault="00921922" w:rsidP="00603215">
            <w:pPr>
              <w:pStyle w:val="DHHStabletext"/>
            </w:pPr>
            <w:r w:rsidRPr="0098470E">
              <w:t>Projected cash at 30 June is based on the AIMS F1 submission (</w:t>
            </w:r>
            <w:r w:rsidRPr="0098470E">
              <w:rPr>
                <w:i/>
                <w:iCs/>
              </w:rPr>
              <w:t>Actual cashflow</w:t>
            </w:r>
            <w:r w:rsidRPr="0098470E">
              <w:t xml:space="preserve"> </w:t>
            </w:r>
            <w:r w:rsidRPr="0098470E">
              <w:rPr>
                <w:i/>
              </w:rPr>
              <w:t>worksheet</w:t>
            </w:r>
            <w:r w:rsidRPr="0098470E">
              <w:t>) for the financial year.</w:t>
            </w:r>
          </w:p>
          <w:p w14:paraId="5B2806A3" w14:textId="77777777" w:rsidR="00921922" w:rsidRPr="0098470E" w:rsidRDefault="00921922" w:rsidP="00603215">
            <w:pPr>
              <w:pStyle w:val="DHHStabletext"/>
            </w:pPr>
            <w:r w:rsidRPr="0098470E">
              <w:t xml:space="preserve">If the </w:t>
            </w:r>
            <w:r w:rsidRPr="0098470E">
              <w:rPr>
                <w:i/>
                <w:iCs/>
              </w:rPr>
              <w:t>Actual cashflow</w:t>
            </w:r>
            <w:r w:rsidRPr="0098470E">
              <w:t xml:space="preserve"> </w:t>
            </w:r>
            <w:r w:rsidRPr="0098470E">
              <w:rPr>
                <w:i/>
              </w:rPr>
              <w:t>worksheet</w:t>
            </w:r>
            <w:r w:rsidRPr="0098470E">
              <w:t xml:space="preserve"> does not provide forecast (out-months) cashflow data through to the end of year, the target will be assessed as not achieved.</w:t>
            </w:r>
          </w:p>
          <w:p w14:paraId="299386D0" w14:textId="77777777" w:rsidR="00921922" w:rsidRDefault="00921922" w:rsidP="00603215">
            <w:pPr>
              <w:pStyle w:val="DHHStabletext"/>
            </w:pPr>
            <w:r w:rsidRPr="0098470E">
              <w:t>Performance is monitored and assessed monthly.</w:t>
            </w:r>
          </w:p>
          <w:p w14:paraId="1BA7AD1C" w14:textId="77777777" w:rsidR="00921922" w:rsidRPr="0098470E" w:rsidRDefault="00921922" w:rsidP="00603215">
            <w:pPr>
              <w:pStyle w:val="DHHStabletext"/>
            </w:pPr>
            <w:r w:rsidRPr="0098470E">
              <w:t>The annual result is generated on receipt of audited financial data submitted in the AIMS F1.</w:t>
            </w:r>
          </w:p>
          <w:p w14:paraId="0AA8D2F5" w14:textId="46118CE0" w:rsidR="00921922" w:rsidRPr="0098470E" w:rsidRDefault="00921922" w:rsidP="00603215">
            <w:pPr>
              <w:pStyle w:val="DHHStabletext"/>
            </w:pPr>
            <w:r w:rsidRPr="0098470E">
              <w:t xml:space="preserve">Data is submitted by health services monthly via AIMS F1. Refer to the </w:t>
            </w:r>
            <w:r w:rsidRPr="0098470E">
              <w:rPr>
                <w:i/>
              </w:rPr>
              <w:t xml:space="preserve">Guidelines for completing the F1 (finance return) </w:t>
            </w:r>
            <w:r w:rsidRPr="0098470E">
              <w:t>for further information on completing the F1.</w:t>
            </w:r>
          </w:p>
          <w:p w14:paraId="09B1B4EF" w14:textId="18C76EC4" w:rsidR="00921922" w:rsidRPr="0098470E" w:rsidRDefault="00921922" w:rsidP="00603215">
            <w:pPr>
              <w:pStyle w:val="DHHStabletext"/>
            </w:pPr>
            <w:r w:rsidRPr="0098470E">
              <w:t xml:space="preserve">Refer to the </w:t>
            </w:r>
            <w:r w:rsidR="00B13933">
              <w:rPr>
                <w:i/>
              </w:rPr>
              <w:t>Policy and Funding Guidelines</w:t>
            </w:r>
            <w:r w:rsidRPr="0098470E">
              <w:rPr>
                <w:i/>
              </w:rPr>
              <w:t xml:space="preserve"> </w:t>
            </w:r>
            <w:r w:rsidR="007C6CC7" w:rsidRPr="00DD2526">
              <w:t>f</w:t>
            </w:r>
            <w:r w:rsidRPr="00BB2E53">
              <w:t>o</w:t>
            </w:r>
            <w:r w:rsidRPr="0098470E">
              <w:t>r further information about funding policy changes.</w:t>
            </w:r>
          </w:p>
        </w:tc>
      </w:tr>
    </w:tbl>
    <w:p w14:paraId="3B459D28" w14:textId="65C8E896" w:rsidR="00F12615" w:rsidRPr="00961723" w:rsidRDefault="00F12615" w:rsidP="00F12615">
      <w:pPr>
        <w:pStyle w:val="DHHStablecaption"/>
      </w:pPr>
      <w:r>
        <w:lastRenderedPageBreak/>
        <w:t xml:space="preserve">Indicator: </w:t>
      </w:r>
      <w:r w:rsidR="00D97737" w:rsidRPr="00FD051C">
        <w:t>Days of available cash</w:t>
      </w:r>
      <w:r w:rsidR="00D97737">
        <w:t xml:space="preserve"> (monthly)</w:t>
      </w:r>
    </w:p>
    <w:tbl>
      <w:tblPr>
        <w:tblStyle w:val="TableGrid"/>
        <w:tblW w:w="9300" w:type="dxa"/>
        <w:tblLayout w:type="fixed"/>
        <w:tblLook w:val="04A0" w:firstRow="1" w:lastRow="0" w:firstColumn="1" w:lastColumn="0" w:noHBand="0" w:noVBand="1"/>
      </w:tblPr>
      <w:tblGrid>
        <w:gridCol w:w="2581"/>
        <w:gridCol w:w="6719"/>
      </w:tblGrid>
      <w:tr w:rsidR="00D97737" w:rsidRPr="0098470E" w14:paraId="7221BCAD"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74D0BB38" w14:textId="6908BA4F" w:rsidR="00D97737" w:rsidRPr="00FD051C" w:rsidRDefault="00D97737" w:rsidP="00D97737">
            <w:pPr>
              <w:pStyle w:val="DHHStablecolhead"/>
            </w:pPr>
            <w:r>
              <w:t>Element</w:t>
            </w:r>
          </w:p>
        </w:tc>
        <w:tc>
          <w:tcPr>
            <w:tcW w:w="6719" w:type="dxa"/>
          </w:tcPr>
          <w:p w14:paraId="06AB3BCC" w14:textId="5008CFE7" w:rsidR="00D97737" w:rsidRPr="00FD051C" w:rsidRDefault="00D97737" w:rsidP="00D97737">
            <w:pPr>
              <w:pStyle w:val="DHHStablecolhead"/>
            </w:pPr>
            <w:r>
              <w:t>Details</w:t>
            </w:r>
          </w:p>
        </w:tc>
      </w:tr>
      <w:tr w:rsidR="00921922" w:rsidRPr="0098470E" w14:paraId="73A8C6CA" w14:textId="77777777" w:rsidTr="00A32829">
        <w:trPr>
          <w:cantSplit/>
        </w:trPr>
        <w:tc>
          <w:tcPr>
            <w:tcW w:w="2581" w:type="dxa"/>
            <w:hideMark/>
          </w:tcPr>
          <w:p w14:paraId="13502233" w14:textId="77777777" w:rsidR="00921922" w:rsidRPr="0098470E" w:rsidRDefault="00921922" w:rsidP="00603215">
            <w:pPr>
              <w:pStyle w:val="DHHStabletext"/>
            </w:pPr>
            <w:r w:rsidRPr="0098470E">
              <w:t>Description</w:t>
            </w:r>
          </w:p>
        </w:tc>
        <w:tc>
          <w:tcPr>
            <w:tcW w:w="6719" w:type="dxa"/>
            <w:hideMark/>
          </w:tcPr>
          <w:p w14:paraId="043CC0FE" w14:textId="77777777" w:rsidR="00921922" w:rsidRPr="0098470E" w:rsidRDefault="00921922" w:rsidP="00603215">
            <w:pPr>
              <w:pStyle w:val="DHHStabletext"/>
            </w:pPr>
            <w:r w:rsidRPr="0098470E">
              <w:t>This measure presents the number of days a health service can maintain its operations with unrestricted available cash</w:t>
            </w:r>
            <w:r>
              <w:t xml:space="preserve">, </w:t>
            </w:r>
            <w:r w:rsidRPr="007969A6">
              <w:t>measured on the last day of each month</w:t>
            </w:r>
            <w:r>
              <w:t>.</w:t>
            </w:r>
          </w:p>
          <w:p w14:paraId="29C4882C" w14:textId="77777777" w:rsidR="00921922" w:rsidRPr="0098470E" w:rsidRDefault="00921922" w:rsidP="00603215">
            <w:pPr>
              <w:pStyle w:val="DHHStabletext"/>
            </w:pPr>
            <w:r w:rsidRPr="0098470E">
              <w:t xml:space="preserve">Ideally, health services will </w:t>
            </w:r>
            <w:r>
              <w:t>report</w:t>
            </w:r>
            <w:r w:rsidRPr="0098470E">
              <w:t xml:space="preserve"> sufficient cash and cash equivalents to cover funding obligations and also meet their daily working capital requirements for a period of at least 14 days.</w:t>
            </w:r>
          </w:p>
        </w:tc>
      </w:tr>
      <w:tr w:rsidR="00921922" w:rsidRPr="0098470E" w14:paraId="551C593C" w14:textId="77777777" w:rsidTr="00A32829">
        <w:trPr>
          <w:cantSplit/>
        </w:trPr>
        <w:tc>
          <w:tcPr>
            <w:tcW w:w="2581" w:type="dxa"/>
            <w:hideMark/>
          </w:tcPr>
          <w:p w14:paraId="2CDF262D" w14:textId="77777777" w:rsidR="00921922" w:rsidRPr="0098470E" w:rsidRDefault="00921922" w:rsidP="00603215">
            <w:pPr>
              <w:pStyle w:val="DHHStabletext"/>
            </w:pPr>
            <w:r w:rsidRPr="0098470E">
              <w:t>Calculating performance</w:t>
            </w:r>
          </w:p>
        </w:tc>
        <w:tc>
          <w:tcPr>
            <w:tcW w:w="6719" w:type="dxa"/>
            <w:hideMark/>
          </w:tcPr>
          <w:p w14:paraId="07C84A51" w14:textId="77777777" w:rsidR="00921922" w:rsidRPr="0098470E" w:rsidRDefault="00921922" w:rsidP="00603215">
            <w:pPr>
              <w:pStyle w:val="DHHStabletext"/>
            </w:pPr>
            <w:r w:rsidRPr="0098470E">
              <w:t>The results are derived by dividing the numerator by the denominator and rounded to one decimal place.</w:t>
            </w:r>
          </w:p>
          <w:p w14:paraId="29D7C138" w14:textId="77777777" w:rsidR="00921922" w:rsidRPr="0098470E" w:rsidRDefault="00921922" w:rsidP="00603215">
            <w:pPr>
              <w:pStyle w:val="DHHStabletext"/>
            </w:pPr>
            <w:r w:rsidRPr="0098470E">
              <w:t>Health service</w:t>
            </w:r>
            <w:r>
              <w:t>s</w:t>
            </w:r>
            <w:r w:rsidRPr="0098470E">
              <w:t xml:space="preserve"> will be measured against the targets stipulated in the </w:t>
            </w:r>
            <w:r>
              <w:t>‘</w:t>
            </w:r>
            <w:r w:rsidRPr="0098470E">
              <w:t>Achievement</w:t>
            </w:r>
            <w:r>
              <w:t>’</w:t>
            </w:r>
            <w:r w:rsidRPr="0098470E">
              <w:t xml:space="preserve"> section below.</w:t>
            </w:r>
            <w:r>
              <w:t xml:space="preserve"> </w:t>
            </w:r>
          </w:p>
        </w:tc>
      </w:tr>
      <w:tr w:rsidR="00921922" w:rsidRPr="0098470E" w14:paraId="144F9943" w14:textId="77777777" w:rsidTr="00A32829">
        <w:trPr>
          <w:cantSplit/>
        </w:trPr>
        <w:tc>
          <w:tcPr>
            <w:tcW w:w="2581" w:type="dxa"/>
            <w:hideMark/>
          </w:tcPr>
          <w:p w14:paraId="3B982F1C" w14:textId="77777777" w:rsidR="00921922" w:rsidRPr="0098470E" w:rsidRDefault="00921922" w:rsidP="00603215">
            <w:pPr>
              <w:pStyle w:val="DHHStabletext"/>
            </w:pPr>
            <w:r w:rsidRPr="0098470E">
              <w:t>Numerator</w:t>
            </w:r>
          </w:p>
        </w:tc>
        <w:tc>
          <w:tcPr>
            <w:tcW w:w="6719" w:type="dxa"/>
            <w:hideMark/>
          </w:tcPr>
          <w:p w14:paraId="5854169E" w14:textId="77777777" w:rsidR="00921922" w:rsidRPr="0098470E" w:rsidRDefault="00921922" w:rsidP="00603215">
            <w:pPr>
              <w:pStyle w:val="DHHStabletext"/>
            </w:pPr>
            <w:r>
              <w:t>‘</w:t>
            </w:r>
            <w:r w:rsidRPr="0098470E">
              <w:t xml:space="preserve">Total </w:t>
            </w:r>
            <w:r>
              <w:t>a</w:t>
            </w:r>
            <w:r w:rsidRPr="0098470E">
              <w:t xml:space="preserve">vailable </w:t>
            </w:r>
            <w:r>
              <w:t>f</w:t>
            </w:r>
            <w:r w:rsidRPr="0098470E">
              <w:t>unds</w:t>
            </w:r>
            <w:r>
              <w:t>’</w:t>
            </w:r>
            <w:r w:rsidRPr="0098470E">
              <w:t xml:space="preserve">: unrestricted cash at the end of </w:t>
            </w:r>
            <w:r>
              <w:t>each month</w:t>
            </w:r>
            <w:r w:rsidRPr="0098470E">
              <w:t>, which is all short- and long-term financial assets less committed funding to present the net available cash (total unrestricted funds) that is available to the health service for its operations</w:t>
            </w:r>
            <w:r>
              <w:t>.</w:t>
            </w:r>
          </w:p>
          <w:p w14:paraId="2CF4963F" w14:textId="77777777" w:rsidR="00921922" w:rsidRPr="0098470E" w:rsidRDefault="00921922" w:rsidP="00603215">
            <w:pPr>
              <w:pStyle w:val="DHHStabletext"/>
            </w:pPr>
            <w:r w:rsidRPr="0098470E">
              <w:t>Exclude both short-term and long-term:</w:t>
            </w:r>
          </w:p>
          <w:p w14:paraId="3E34C97A" w14:textId="77777777" w:rsidR="00921922" w:rsidRDefault="00921922" w:rsidP="00603215">
            <w:pPr>
              <w:pStyle w:val="DHHStablebullet1"/>
            </w:pPr>
            <w:r>
              <w:t>‘c</w:t>
            </w:r>
            <w:r w:rsidRPr="0098470E">
              <w:t xml:space="preserve">ommitted </w:t>
            </w:r>
            <w:r>
              <w:t>o</w:t>
            </w:r>
            <w:r w:rsidRPr="0098470E">
              <w:t xml:space="preserve">bligations for </w:t>
            </w:r>
            <w:r>
              <w:t>i</w:t>
            </w:r>
            <w:r w:rsidRPr="0098470E">
              <w:t xml:space="preserve">nternally </w:t>
            </w:r>
            <w:r>
              <w:t>m</w:t>
            </w:r>
            <w:r w:rsidRPr="0098470E">
              <w:t xml:space="preserve">anaged </w:t>
            </w:r>
            <w:r>
              <w:t>specific purpose funds’</w:t>
            </w:r>
          </w:p>
          <w:p w14:paraId="0A2217F4" w14:textId="1C9F5882" w:rsidR="00921922" w:rsidRPr="0098470E" w:rsidRDefault="00921922" w:rsidP="00603215">
            <w:pPr>
              <w:pStyle w:val="DHHStablebullet1"/>
            </w:pPr>
            <w:r>
              <w:t>‘prior year recall</w:t>
            </w:r>
            <w:r w:rsidR="0085746A">
              <w:t>’</w:t>
            </w:r>
          </w:p>
          <w:p w14:paraId="58FD9BD1" w14:textId="77777777" w:rsidR="00921922" w:rsidRPr="0098470E" w:rsidRDefault="00921922" w:rsidP="00603215">
            <w:pPr>
              <w:pStyle w:val="DHHStablebullet1"/>
              <w:rPr>
                <w:lang w:val="en-US"/>
              </w:rPr>
            </w:pPr>
            <w:r>
              <w:t>‘o</w:t>
            </w:r>
            <w:r w:rsidRPr="0098470E">
              <w:t>ther</w:t>
            </w:r>
            <w:r>
              <w:t xml:space="preserve"> commitment</w:t>
            </w:r>
            <w:r w:rsidRPr="0098470E">
              <w:t>s</w:t>
            </w:r>
            <w:r>
              <w:t>’.</w:t>
            </w:r>
          </w:p>
        </w:tc>
      </w:tr>
      <w:tr w:rsidR="00921922" w:rsidRPr="0098470E" w14:paraId="718343F4" w14:textId="77777777" w:rsidTr="00A32829">
        <w:trPr>
          <w:cantSplit/>
        </w:trPr>
        <w:tc>
          <w:tcPr>
            <w:tcW w:w="2581" w:type="dxa"/>
            <w:hideMark/>
          </w:tcPr>
          <w:p w14:paraId="4CB76E3D" w14:textId="77777777" w:rsidR="00921922" w:rsidRPr="00E84478" w:rsidRDefault="00921922" w:rsidP="00603215">
            <w:pPr>
              <w:pStyle w:val="DHHStabletext"/>
            </w:pPr>
            <w:r w:rsidRPr="00E84478">
              <w:t>Denominator</w:t>
            </w:r>
          </w:p>
        </w:tc>
        <w:tc>
          <w:tcPr>
            <w:tcW w:w="6719" w:type="dxa"/>
            <w:hideMark/>
          </w:tcPr>
          <w:p w14:paraId="340CFE44" w14:textId="35F12261" w:rsidR="00921922" w:rsidRPr="00E84478" w:rsidRDefault="00921922" w:rsidP="00603215">
            <w:pPr>
              <w:pStyle w:val="DHHStabletext"/>
              <w:rPr>
                <w:lang w:val="en-US"/>
              </w:rPr>
            </w:pPr>
            <w:r>
              <w:t>‘</w:t>
            </w:r>
            <w:r w:rsidRPr="0098470E">
              <w:t>Working capital</w:t>
            </w:r>
            <w:r>
              <w:t>’</w:t>
            </w:r>
            <w:r w:rsidRPr="0098470E">
              <w:t xml:space="preserve"> – this is equal to total operating expenditure excluding controlled entities as reported in the </w:t>
            </w:r>
            <w:r w:rsidRPr="00554C1C">
              <w:rPr>
                <w:i/>
              </w:rPr>
              <w:t xml:space="preserve">F1 </w:t>
            </w:r>
            <w:r w:rsidRPr="0098470E">
              <w:rPr>
                <w:i/>
                <w:iCs/>
              </w:rPr>
              <w:t xml:space="preserve">Budget Income </w:t>
            </w:r>
            <w:r>
              <w:rPr>
                <w:i/>
                <w:iCs/>
              </w:rPr>
              <w:t xml:space="preserve">– </w:t>
            </w:r>
            <w:r w:rsidR="0085746A">
              <w:rPr>
                <w:i/>
                <w:iCs/>
              </w:rPr>
              <w:t xml:space="preserve">SOP </w:t>
            </w:r>
            <w:r w:rsidRPr="0098470E">
              <w:t>worksheet. This is then divided by 365 (total days in year) to arrive at the average daily working capital requirement</w:t>
            </w:r>
            <w:r>
              <w:t>.</w:t>
            </w:r>
          </w:p>
        </w:tc>
      </w:tr>
      <w:tr w:rsidR="00921922" w:rsidRPr="0098470E" w14:paraId="03D07AF9" w14:textId="77777777" w:rsidTr="00A32829">
        <w:trPr>
          <w:cantSplit/>
        </w:trPr>
        <w:tc>
          <w:tcPr>
            <w:tcW w:w="2581" w:type="dxa"/>
            <w:hideMark/>
          </w:tcPr>
          <w:p w14:paraId="53D2CBE5" w14:textId="77777777" w:rsidR="00921922" w:rsidRPr="00633523" w:rsidRDefault="00921922" w:rsidP="00603215">
            <w:pPr>
              <w:pStyle w:val="DHHStabletext"/>
            </w:pPr>
            <w:r w:rsidRPr="00633523">
              <w:t>Statewide target</w:t>
            </w:r>
          </w:p>
        </w:tc>
        <w:tc>
          <w:tcPr>
            <w:tcW w:w="6719" w:type="dxa"/>
            <w:hideMark/>
          </w:tcPr>
          <w:p w14:paraId="58E4EB87" w14:textId="7EC0C085" w:rsidR="00921922" w:rsidRDefault="00921922" w:rsidP="00603215">
            <w:pPr>
              <w:pStyle w:val="DHHStabletext"/>
            </w:pPr>
            <w:r>
              <w:t xml:space="preserve">14.0 </w:t>
            </w:r>
            <w:r w:rsidR="00AD502A">
              <w:t>D</w:t>
            </w:r>
            <w:r>
              <w:t>ays available cash is attained each month</w:t>
            </w:r>
          </w:p>
          <w:p w14:paraId="612C83FD" w14:textId="43A6B3FD" w:rsidR="00921922" w:rsidRPr="007969A6" w:rsidRDefault="00921922" w:rsidP="00603215">
            <w:pPr>
              <w:pStyle w:val="DHHStabletext"/>
            </w:pPr>
            <w:r>
              <w:t>10 or more months of 14</w:t>
            </w:r>
            <w:r w:rsidR="00AD502A">
              <w:t>.0</w:t>
            </w:r>
            <w:r>
              <w:t xml:space="preserve"> </w:t>
            </w:r>
            <w:r w:rsidR="00AD502A">
              <w:t>D</w:t>
            </w:r>
            <w:r>
              <w:t>ays available cash are attained annually</w:t>
            </w:r>
            <w:r w:rsidDel="00974FE9">
              <w:t xml:space="preserve"> </w:t>
            </w:r>
          </w:p>
        </w:tc>
      </w:tr>
      <w:tr w:rsidR="006A6B1A" w:rsidRPr="0098470E" w14:paraId="6C1E45FC" w14:textId="77777777" w:rsidTr="006A6B1A">
        <w:trPr>
          <w:cantSplit/>
        </w:trPr>
        <w:tc>
          <w:tcPr>
            <w:tcW w:w="2581" w:type="dxa"/>
            <w:hideMark/>
          </w:tcPr>
          <w:p w14:paraId="700A51CF" w14:textId="77777777" w:rsidR="006A6B1A" w:rsidRPr="00633523" w:rsidRDefault="006A6B1A" w:rsidP="00603215">
            <w:pPr>
              <w:pStyle w:val="DHHStabletext"/>
            </w:pPr>
            <w:r w:rsidRPr="00633523">
              <w:t>Achievement</w:t>
            </w:r>
          </w:p>
        </w:tc>
        <w:tc>
          <w:tcPr>
            <w:tcW w:w="6719" w:type="dxa"/>
            <w:hideMark/>
          </w:tcPr>
          <w:p w14:paraId="6E37239E" w14:textId="7A20E793" w:rsidR="006A6B1A" w:rsidRPr="007969A6" w:rsidRDefault="006A6B1A" w:rsidP="006A6B1A">
            <w:pPr>
              <w:pStyle w:val="DHHStabletext92mmtab"/>
            </w:pPr>
            <w:r>
              <w:t xml:space="preserve">At least 14.0 Days </w:t>
            </w:r>
            <w:r w:rsidRPr="00633523">
              <w:t xml:space="preserve">available cash </w:t>
            </w:r>
            <w:r w:rsidRPr="007969A6">
              <w:t>is</w:t>
            </w:r>
            <w:r>
              <w:t xml:space="preserve"> attained</w:t>
            </w:r>
            <w:r>
              <w:tab/>
            </w:r>
            <w:r w:rsidRPr="007969A6">
              <w:t>Achieved</w:t>
            </w:r>
          </w:p>
          <w:p w14:paraId="0693B89E" w14:textId="7594CED6" w:rsidR="006A6B1A" w:rsidRPr="007969A6" w:rsidRDefault="006A6B1A" w:rsidP="006A6B1A">
            <w:pPr>
              <w:pStyle w:val="DHHStabletext92mmtab"/>
            </w:pPr>
            <w:r>
              <w:t xml:space="preserve">Less than 14.0 Days </w:t>
            </w:r>
            <w:r w:rsidRPr="00633523">
              <w:t xml:space="preserve">available cash </w:t>
            </w:r>
            <w:r w:rsidRPr="007969A6">
              <w:t>is</w:t>
            </w:r>
            <w:r>
              <w:t xml:space="preserve"> attained</w:t>
            </w:r>
            <w:r>
              <w:tab/>
            </w:r>
            <w:r w:rsidRPr="007969A6">
              <w:t>Not achieved</w:t>
            </w:r>
          </w:p>
        </w:tc>
      </w:tr>
      <w:tr w:rsidR="00921922" w:rsidRPr="0098470E" w14:paraId="7415703A" w14:textId="77777777" w:rsidTr="00A32829">
        <w:trPr>
          <w:cantSplit/>
        </w:trPr>
        <w:tc>
          <w:tcPr>
            <w:tcW w:w="2581" w:type="dxa"/>
          </w:tcPr>
          <w:p w14:paraId="308F2936" w14:textId="77777777" w:rsidR="00921922" w:rsidRPr="00633523" w:rsidRDefault="00921922" w:rsidP="00603215">
            <w:pPr>
              <w:pStyle w:val="DHHStabletext"/>
            </w:pPr>
            <w:r w:rsidRPr="00633523">
              <w:t>Improvement</w:t>
            </w:r>
          </w:p>
        </w:tc>
        <w:tc>
          <w:tcPr>
            <w:tcW w:w="6719" w:type="dxa"/>
          </w:tcPr>
          <w:p w14:paraId="7F2CC884" w14:textId="7FA25C76" w:rsidR="00921922" w:rsidRPr="007969A6" w:rsidRDefault="00921922" w:rsidP="00603215">
            <w:pPr>
              <w:pStyle w:val="DHHStabletext"/>
            </w:pPr>
            <w:r>
              <w:t>For the purpose of the performance risk assessment</w:t>
            </w:r>
            <w:r w:rsidR="00AD502A">
              <w:t>,</w:t>
            </w:r>
            <w:r>
              <w:t xml:space="preserve"> improvement is assessed against the 30 June base.</w:t>
            </w:r>
          </w:p>
        </w:tc>
      </w:tr>
      <w:tr w:rsidR="00921922" w:rsidRPr="0098470E" w14:paraId="37E7F671" w14:textId="77777777" w:rsidTr="00A32829">
        <w:trPr>
          <w:cantSplit/>
        </w:trPr>
        <w:tc>
          <w:tcPr>
            <w:tcW w:w="2581" w:type="dxa"/>
            <w:hideMark/>
          </w:tcPr>
          <w:p w14:paraId="757F6012" w14:textId="77777777" w:rsidR="00921922" w:rsidRPr="007969A6" w:rsidRDefault="00921922" w:rsidP="00603215">
            <w:pPr>
              <w:pStyle w:val="DHHStabletext"/>
            </w:pPr>
            <w:r w:rsidRPr="00633523">
              <w:t>Frequency of reporting and data collection</w:t>
            </w:r>
          </w:p>
        </w:tc>
        <w:tc>
          <w:tcPr>
            <w:tcW w:w="6719" w:type="dxa"/>
            <w:hideMark/>
          </w:tcPr>
          <w:p w14:paraId="32958E3F" w14:textId="77777777" w:rsidR="00921922" w:rsidRDefault="00921922" w:rsidP="00603215">
            <w:pPr>
              <w:pStyle w:val="DHHStabletext"/>
            </w:pPr>
            <w:r>
              <w:t>For the purpose of annual reporting, achievement will be assessed as 10 or more months (during the financial year) for which 14 days of available cash has been attained.</w:t>
            </w:r>
          </w:p>
          <w:p w14:paraId="2E7EDC88" w14:textId="77777777" w:rsidR="00921922" w:rsidRPr="00633523" w:rsidRDefault="00921922" w:rsidP="00603215">
            <w:pPr>
              <w:pStyle w:val="DHHStabletext"/>
            </w:pPr>
            <w:r w:rsidRPr="007969A6">
              <w:t>Days available cash (monthly) is based on the monthly AIMS F1 submission (</w:t>
            </w:r>
            <w:r w:rsidRPr="007969A6">
              <w:rPr>
                <w:i/>
              </w:rPr>
              <w:t xml:space="preserve">Actual cashflow </w:t>
            </w:r>
            <w:r w:rsidRPr="00633523">
              <w:rPr>
                <w:i/>
              </w:rPr>
              <w:t>worksheet</w:t>
            </w:r>
            <w:r w:rsidRPr="007969A6">
              <w:rPr>
                <w:i/>
              </w:rPr>
              <w:t>)</w:t>
            </w:r>
            <w:r w:rsidRPr="00633523">
              <w:t xml:space="preserve"> for the financial year.</w:t>
            </w:r>
          </w:p>
          <w:p w14:paraId="53DF187C" w14:textId="77777777" w:rsidR="00921922" w:rsidRPr="007969A6" w:rsidRDefault="00921922" w:rsidP="00603215">
            <w:pPr>
              <w:pStyle w:val="DHHStabletext"/>
            </w:pPr>
            <w:r w:rsidRPr="00633523">
              <w:t xml:space="preserve">If the </w:t>
            </w:r>
            <w:r w:rsidRPr="00633523">
              <w:rPr>
                <w:i/>
              </w:rPr>
              <w:t>Actual cashflow</w:t>
            </w:r>
            <w:r w:rsidRPr="007969A6">
              <w:rPr>
                <w:i/>
              </w:rPr>
              <w:t xml:space="preserve"> </w:t>
            </w:r>
            <w:r w:rsidRPr="00633523">
              <w:rPr>
                <w:i/>
              </w:rPr>
              <w:t>worksheet</w:t>
            </w:r>
            <w:r w:rsidRPr="00633523">
              <w:t xml:space="preserve"> does not provide cashflow data for the relevant month</w:t>
            </w:r>
            <w:r w:rsidRPr="007969A6">
              <w:t>, the target will be assessed as not achieved.</w:t>
            </w:r>
          </w:p>
          <w:p w14:paraId="30BB2709" w14:textId="77777777" w:rsidR="00921922" w:rsidRDefault="00921922" w:rsidP="00603215">
            <w:pPr>
              <w:pStyle w:val="DHHStabletext"/>
            </w:pPr>
            <w:r w:rsidRPr="007969A6">
              <w:t>Performance is monitored and assessed monthly.</w:t>
            </w:r>
          </w:p>
          <w:p w14:paraId="16D563E2" w14:textId="2BDE25AD" w:rsidR="00921922" w:rsidRPr="007969A6" w:rsidRDefault="00921922" w:rsidP="00603215">
            <w:pPr>
              <w:pStyle w:val="DHHStabletext"/>
            </w:pPr>
            <w:r w:rsidRPr="007969A6">
              <w:t xml:space="preserve">Data is submitted by health services monthly via AIMS F1. Refer to the </w:t>
            </w:r>
            <w:r w:rsidRPr="005D09A3">
              <w:rPr>
                <w:i/>
              </w:rPr>
              <w:t xml:space="preserve">Guidelines for completing the F1 (finance return) </w:t>
            </w:r>
            <w:r w:rsidRPr="00633523">
              <w:t>for further information on completing the F1.</w:t>
            </w:r>
          </w:p>
          <w:p w14:paraId="13657FE3" w14:textId="78B1498B" w:rsidR="00921922" w:rsidRPr="007969A6" w:rsidRDefault="00921922" w:rsidP="00603215">
            <w:pPr>
              <w:pStyle w:val="DHHStabletext"/>
            </w:pPr>
            <w:r w:rsidRPr="007969A6">
              <w:t xml:space="preserve">Refer to the </w:t>
            </w:r>
            <w:r w:rsidR="00B13933">
              <w:rPr>
                <w:i/>
              </w:rPr>
              <w:t>Policy and Funding Guidelines</w:t>
            </w:r>
            <w:r w:rsidRPr="005D09A3">
              <w:rPr>
                <w:i/>
              </w:rPr>
              <w:t xml:space="preserve"> </w:t>
            </w:r>
            <w:r w:rsidRPr="00633523">
              <w:t>for further information about funding policy changes.</w:t>
            </w:r>
          </w:p>
        </w:tc>
      </w:tr>
    </w:tbl>
    <w:p w14:paraId="46443BF1" w14:textId="2E0466D7" w:rsidR="00F12615" w:rsidRPr="00961723" w:rsidRDefault="00F12615" w:rsidP="00F12615">
      <w:pPr>
        <w:pStyle w:val="DHHStablecaption"/>
      </w:pPr>
      <w:r>
        <w:lastRenderedPageBreak/>
        <w:t xml:space="preserve">Indicator: </w:t>
      </w:r>
      <w:r w:rsidR="00D97737">
        <w:t>Net result from transactions</w:t>
      </w:r>
    </w:p>
    <w:tbl>
      <w:tblPr>
        <w:tblStyle w:val="TableGrid"/>
        <w:tblW w:w="9300" w:type="dxa"/>
        <w:tblLayout w:type="fixed"/>
        <w:tblLook w:val="06A0" w:firstRow="1" w:lastRow="0" w:firstColumn="1" w:lastColumn="0" w:noHBand="1" w:noVBand="1"/>
      </w:tblPr>
      <w:tblGrid>
        <w:gridCol w:w="2581"/>
        <w:gridCol w:w="6719"/>
      </w:tblGrid>
      <w:tr w:rsidR="00D97737" w:rsidRPr="00FD051C" w14:paraId="7CE9C4DF" w14:textId="77777777" w:rsidTr="00A32829">
        <w:trPr>
          <w:cnfStyle w:val="100000000000" w:firstRow="1" w:lastRow="0" w:firstColumn="0" w:lastColumn="0" w:oddVBand="0" w:evenVBand="0" w:oddHBand="0" w:evenHBand="0" w:firstRowFirstColumn="0" w:firstRowLastColumn="0" w:lastRowFirstColumn="0" w:lastRowLastColumn="0"/>
          <w:cantSplit/>
          <w:tblHeader/>
        </w:trPr>
        <w:tc>
          <w:tcPr>
            <w:tcW w:w="2581" w:type="dxa"/>
          </w:tcPr>
          <w:p w14:paraId="0D442EF9" w14:textId="25B513D0" w:rsidR="00D97737" w:rsidRPr="00FD051C" w:rsidRDefault="00D97737" w:rsidP="00D97737">
            <w:pPr>
              <w:pStyle w:val="DHHStablecolhead"/>
            </w:pPr>
            <w:r>
              <w:t>Element</w:t>
            </w:r>
          </w:p>
        </w:tc>
        <w:tc>
          <w:tcPr>
            <w:tcW w:w="6719" w:type="dxa"/>
          </w:tcPr>
          <w:p w14:paraId="0BCAC4BA" w14:textId="78BD8C17" w:rsidR="00D97737" w:rsidRPr="00FD051C" w:rsidRDefault="00D97737" w:rsidP="00D97737">
            <w:pPr>
              <w:pStyle w:val="DHHStablecolhead"/>
            </w:pPr>
            <w:r>
              <w:t>Details</w:t>
            </w:r>
          </w:p>
        </w:tc>
      </w:tr>
      <w:tr w:rsidR="00921922" w:rsidRPr="0098470E" w14:paraId="5FD3A7AF" w14:textId="77777777" w:rsidTr="00A32829">
        <w:trPr>
          <w:cantSplit/>
        </w:trPr>
        <w:tc>
          <w:tcPr>
            <w:tcW w:w="2581" w:type="dxa"/>
            <w:hideMark/>
          </w:tcPr>
          <w:p w14:paraId="2F328CC8" w14:textId="77777777" w:rsidR="00921922" w:rsidRPr="0098470E" w:rsidRDefault="00921922" w:rsidP="00603215">
            <w:pPr>
              <w:pStyle w:val="DHHStabletext"/>
            </w:pPr>
            <w:r w:rsidRPr="0098470E">
              <w:t>Description</w:t>
            </w:r>
          </w:p>
        </w:tc>
        <w:tc>
          <w:tcPr>
            <w:tcW w:w="6719" w:type="dxa"/>
            <w:hideMark/>
          </w:tcPr>
          <w:p w14:paraId="414FB28B" w14:textId="77777777" w:rsidR="00921922" w:rsidRPr="0098470E" w:rsidRDefault="00921922" w:rsidP="00603215">
            <w:pPr>
              <w:pStyle w:val="DHHStabletext"/>
            </w:pPr>
            <w:r w:rsidRPr="0098470E">
              <w:t xml:space="preserve">This measure presents the </w:t>
            </w:r>
            <w:r>
              <w:t xml:space="preserve">accuracy of forecasting the </w:t>
            </w:r>
            <w:r w:rsidRPr="00F43A00">
              <w:rPr>
                <w:i/>
              </w:rPr>
              <w:t>Net result from transactions</w:t>
            </w:r>
            <w:r>
              <w:rPr>
                <w:i/>
              </w:rPr>
              <w:t xml:space="preserve"> (NRFT)</w:t>
            </w:r>
            <w:r>
              <w:t xml:space="preserve"> for the current financial year ending 30 June.</w:t>
            </w:r>
          </w:p>
          <w:p w14:paraId="298148D4" w14:textId="77777777" w:rsidR="00921922" w:rsidRPr="0098470E" w:rsidRDefault="00921922" w:rsidP="00603215">
            <w:pPr>
              <w:pStyle w:val="DHHStabletext"/>
            </w:pPr>
            <w:r w:rsidRPr="0098470E">
              <w:t xml:space="preserve">Ideally, health services will </w:t>
            </w:r>
            <w:r>
              <w:t>report</w:t>
            </w:r>
            <w:r w:rsidRPr="0098470E">
              <w:t xml:space="preserve"> </w:t>
            </w:r>
            <w:r>
              <w:t>this result with sufficient accuracy to be within a $250,000 acceptable variance.</w:t>
            </w:r>
          </w:p>
        </w:tc>
      </w:tr>
      <w:tr w:rsidR="00921922" w:rsidRPr="0098470E" w14:paraId="6B25033F" w14:textId="77777777" w:rsidTr="00A32829">
        <w:trPr>
          <w:cantSplit/>
        </w:trPr>
        <w:tc>
          <w:tcPr>
            <w:tcW w:w="2581" w:type="dxa"/>
            <w:hideMark/>
          </w:tcPr>
          <w:p w14:paraId="55D4C707" w14:textId="77777777" w:rsidR="00921922" w:rsidRPr="0098470E" w:rsidRDefault="00921922" w:rsidP="00603215">
            <w:pPr>
              <w:pStyle w:val="DHHStabletext"/>
            </w:pPr>
            <w:r w:rsidRPr="0098470E">
              <w:t>Calculating performance</w:t>
            </w:r>
          </w:p>
        </w:tc>
        <w:tc>
          <w:tcPr>
            <w:tcW w:w="6719" w:type="dxa"/>
            <w:hideMark/>
          </w:tcPr>
          <w:p w14:paraId="5EE44B4E" w14:textId="4C27C5E2" w:rsidR="00921922" w:rsidRDefault="00921922" w:rsidP="00603215">
            <w:pPr>
              <w:pStyle w:val="DHHStabletext"/>
            </w:pPr>
            <w:r>
              <w:t>The result</w:t>
            </w:r>
            <w:r w:rsidRPr="0098470E">
              <w:t xml:space="preserve"> </w:t>
            </w:r>
            <w:r>
              <w:t xml:space="preserve">compares the consolidated forecast </w:t>
            </w:r>
            <w:r>
              <w:rPr>
                <w:i/>
              </w:rPr>
              <w:t xml:space="preserve">NRFT </w:t>
            </w:r>
            <w:r>
              <w:t xml:space="preserve">as reported to the department </w:t>
            </w:r>
            <w:r w:rsidR="00977E44">
              <w:t>in</w:t>
            </w:r>
            <w:r>
              <w:t xml:space="preserve"> the current financial year, in the </w:t>
            </w:r>
            <w:r w:rsidRPr="007969A6">
              <w:rPr>
                <w:i/>
              </w:rPr>
              <w:t>Revised Estimates</w:t>
            </w:r>
            <w:r>
              <w:t xml:space="preserve"> F1 submission, with the consolidated actual </w:t>
            </w:r>
            <w:r>
              <w:rPr>
                <w:i/>
              </w:rPr>
              <w:t xml:space="preserve">NRFT </w:t>
            </w:r>
            <w:r>
              <w:t>reported in the Comprehensive Operating Statement in the Audited Financial Statements. This comparison is expressed as a numerical variance.</w:t>
            </w:r>
          </w:p>
          <w:p w14:paraId="7729E186" w14:textId="77777777" w:rsidR="00921922" w:rsidRDefault="00921922" w:rsidP="00603215">
            <w:pPr>
              <w:pStyle w:val="DHHStabletext"/>
            </w:pPr>
            <w:r>
              <w:t>It is expected that the final F1 consolidated trial balance will accurately reflect the NRFT as reported in the audited financial statements.</w:t>
            </w:r>
          </w:p>
          <w:p w14:paraId="1CBDCAFE" w14:textId="77777777" w:rsidR="00921922" w:rsidRDefault="00921922" w:rsidP="00603215">
            <w:pPr>
              <w:pStyle w:val="DHHStabletext"/>
            </w:pPr>
            <w:r>
              <w:t xml:space="preserve">The NRFT is the sum of all revenue and all expenses from transactions for all cost centres. This will exclude </w:t>
            </w:r>
            <w:r w:rsidRPr="00F43A00">
              <w:rPr>
                <w:i/>
              </w:rPr>
              <w:t>Other economic flow</w:t>
            </w:r>
            <w:r>
              <w:rPr>
                <w:i/>
              </w:rPr>
              <w:t>s included in the net result</w:t>
            </w:r>
            <w:r>
              <w:t>.</w:t>
            </w:r>
          </w:p>
          <w:p w14:paraId="382128BF" w14:textId="77777777" w:rsidR="00921922" w:rsidRPr="00C1500F" w:rsidRDefault="00921922" w:rsidP="00603215">
            <w:pPr>
              <w:pStyle w:val="DHHStabletext"/>
              <w:rPr>
                <w:lang w:val="en-GB"/>
              </w:rPr>
            </w:pPr>
            <w:r w:rsidRPr="00C1500F">
              <w:rPr>
                <w:lang w:val="en-GB"/>
              </w:rPr>
              <w:t>The calculation will be the variance expressed in absolute dollars.</w:t>
            </w:r>
          </w:p>
        </w:tc>
      </w:tr>
      <w:tr w:rsidR="00921922" w:rsidRPr="0098470E" w14:paraId="6AB8E713" w14:textId="77777777" w:rsidTr="00A32829">
        <w:trPr>
          <w:cantSplit/>
        </w:trPr>
        <w:tc>
          <w:tcPr>
            <w:tcW w:w="2581" w:type="dxa"/>
            <w:hideMark/>
          </w:tcPr>
          <w:p w14:paraId="05FA7C41" w14:textId="77777777" w:rsidR="00921922" w:rsidRPr="0098470E" w:rsidRDefault="00921922" w:rsidP="00603215">
            <w:pPr>
              <w:pStyle w:val="DHHStabletext"/>
            </w:pPr>
            <w:r>
              <w:t>Numerator</w:t>
            </w:r>
          </w:p>
        </w:tc>
        <w:tc>
          <w:tcPr>
            <w:tcW w:w="6719" w:type="dxa"/>
            <w:hideMark/>
          </w:tcPr>
          <w:p w14:paraId="757D8088" w14:textId="50D69963" w:rsidR="00921922" w:rsidRPr="0098470E" w:rsidRDefault="00921922" w:rsidP="00603215">
            <w:pPr>
              <w:pStyle w:val="DHHStabletext"/>
              <w:rPr>
                <w:lang w:val="en-US"/>
              </w:rPr>
            </w:pPr>
            <w:r w:rsidRPr="008C075C">
              <w:rPr>
                <w:i/>
              </w:rPr>
              <w:t>Actual NRFT</w:t>
            </w:r>
            <w:r>
              <w:t xml:space="preserve"> as reported in the audited financial statements, subtract </w:t>
            </w:r>
            <w:r w:rsidRPr="008C075C">
              <w:rPr>
                <w:i/>
              </w:rPr>
              <w:t>Forecast NRFT</w:t>
            </w:r>
            <w:r>
              <w:t xml:space="preserve"> as reported in the </w:t>
            </w:r>
            <w:r w:rsidR="005B2603">
              <w:t xml:space="preserve">final </w:t>
            </w:r>
            <w:r>
              <w:t>Revised Estimates F1 submission to the department by 7 June</w:t>
            </w:r>
            <w:bookmarkStart w:id="114" w:name="_Ref13735344"/>
            <w:r w:rsidR="00B7452F">
              <w:rPr>
                <w:rStyle w:val="FootnoteReference"/>
              </w:rPr>
              <w:footnoteReference w:id="20"/>
            </w:r>
            <w:bookmarkEnd w:id="114"/>
            <w:r>
              <w:t xml:space="preserve"> for the current financial year.</w:t>
            </w:r>
          </w:p>
        </w:tc>
      </w:tr>
      <w:tr w:rsidR="00921922" w:rsidRPr="0098470E" w14:paraId="10626274" w14:textId="77777777" w:rsidTr="00A32829">
        <w:trPr>
          <w:cantSplit/>
        </w:trPr>
        <w:tc>
          <w:tcPr>
            <w:tcW w:w="2581" w:type="dxa"/>
            <w:hideMark/>
          </w:tcPr>
          <w:p w14:paraId="5285C5E7" w14:textId="77777777" w:rsidR="00921922" w:rsidRPr="0098470E" w:rsidRDefault="00921922" w:rsidP="00603215">
            <w:pPr>
              <w:pStyle w:val="DHHStabletext"/>
            </w:pPr>
            <w:r w:rsidRPr="0098470E">
              <w:t>Statewide target</w:t>
            </w:r>
          </w:p>
        </w:tc>
        <w:tc>
          <w:tcPr>
            <w:tcW w:w="6719" w:type="dxa"/>
            <w:hideMark/>
          </w:tcPr>
          <w:p w14:paraId="71060E60" w14:textId="77777777" w:rsidR="00921922" w:rsidRPr="0098470E" w:rsidRDefault="00921922" w:rsidP="00603215">
            <w:pPr>
              <w:pStyle w:val="DHHStabletext"/>
              <w:rPr>
                <w:lang w:val="en-US"/>
              </w:rPr>
            </w:pPr>
            <w:r>
              <w:t xml:space="preserve">$250,000 </w:t>
            </w:r>
          </w:p>
        </w:tc>
      </w:tr>
      <w:tr w:rsidR="006A6B1A" w:rsidRPr="0098470E" w14:paraId="5D7E72CA" w14:textId="77777777" w:rsidTr="006A6B1A">
        <w:trPr>
          <w:cantSplit/>
        </w:trPr>
        <w:tc>
          <w:tcPr>
            <w:tcW w:w="2581" w:type="dxa"/>
            <w:hideMark/>
          </w:tcPr>
          <w:p w14:paraId="2967AD12" w14:textId="77777777" w:rsidR="006A6B1A" w:rsidRPr="0098470E" w:rsidRDefault="006A6B1A" w:rsidP="00603215">
            <w:pPr>
              <w:pStyle w:val="DHHStabletext"/>
            </w:pPr>
            <w:r w:rsidRPr="0098470E">
              <w:t>Achievement</w:t>
            </w:r>
          </w:p>
        </w:tc>
        <w:tc>
          <w:tcPr>
            <w:tcW w:w="6719" w:type="dxa"/>
            <w:hideMark/>
          </w:tcPr>
          <w:p w14:paraId="49417848" w14:textId="6EF0C6A2" w:rsidR="006A6B1A" w:rsidRPr="0098470E" w:rsidRDefault="006A6B1A" w:rsidP="006A6B1A">
            <w:pPr>
              <w:pStyle w:val="DHHStabletext92mmtab"/>
            </w:pPr>
            <w:r>
              <w:t>Variance less than or equal to $250,000</w:t>
            </w:r>
            <w:r>
              <w:tab/>
              <w:t>Achieved</w:t>
            </w:r>
          </w:p>
          <w:p w14:paraId="5C6D05A5" w14:textId="32218DC1" w:rsidR="006A6B1A" w:rsidRPr="0098470E" w:rsidRDefault="006A6B1A" w:rsidP="006A6B1A">
            <w:pPr>
              <w:pStyle w:val="DHHStabletext92mmtab"/>
            </w:pPr>
            <w:r>
              <w:t>Variance greater than $250,000</w:t>
            </w:r>
            <w:r>
              <w:tab/>
              <w:t>Not achieved</w:t>
            </w:r>
          </w:p>
        </w:tc>
      </w:tr>
      <w:tr w:rsidR="00921922" w14:paraId="46DB7A6F" w14:textId="77777777" w:rsidTr="00A32829">
        <w:trPr>
          <w:cantSplit/>
        </w:trPr>
        <w:tc>
          <w:tcPr>
            <w:tcW w:w="2581" w:type="dxa"/>
          </w:tcPr>
          <w:p w14:paraId="680501AA" w14:textId="77777777" w:rsidR="00921922" w:rsidRPr="0098470E" w:rsidRDefault="00921922" w:rsidP="00603215">
            <w:pPr>
              <w:pStyle w:val="DHHStabletext"/>
            </w:pPr>
            <w:r>
              <w:t>Improvement</w:t>
            </w:r>
          </w:p>
        </w:tc>
        <w:tc>
          <w:tcPr>
            <w:tcW w:w="6719" w:type="dxa"/>
          </w:tcPr>
          <w:p w14:paraId="231DBCAA" w14:textId="6F7289CE" w:rsidR="00921922" w:rsidRDefault="00921922" w:rsidP="00603215">
            <w:pPr>
              <w:pStyle w:val="DHHStabletext"/>
            </w:pPr>
            <w:r>
              <w:t>Reduced variance from the previous year</w:t>
            </w:r>
            <w:r w:rsidR="007351FF">
              <w:t>.</w:t>
            </w:r>
          </w:p>
        </w:tc>
      </w:tr>
      <w:tr w:rsidR="00921922" w:rsidRPr="0098470E" w14:paraId="55F64977" w14:textId="77777777" w:rsidTr="00A32829">
        <w:trPr>
          <w:cantSplit/>
        </w:trPr>
        <w:tc>
          <w:tcPr>
            <w:tcW w:w="2581" w:type="dxa"/>
            <w:hideMark/>
          </w:tcPr>
          <w:p w14:paraId="6CF4C266" w14:textId="77777777" w:rsidR="00921922" w:rsidRPr="0098470E" w:rsidRDefault="00921922" w:rsidP="00603215">
            <w:pPr>
              <w:pStyle w:val="DHHStabletext"/>
            </w:pPr>
            <w:r w:rsidRPr="0098470E">
              <w:t>Frequency of reporting and data collection</w:t>
            </w:r>
          </w:p>
        </w:tc>
        <w:tc>
          <w:tcPr>
            <w:tcW w:w="6719" w:type="dxa"/>
            <w:hideMark/>
          </w:tcPr>
          <w:p w14:paraId="04D2A73D" w14:textId="77777777" w:rsidR="00921922" w:rsidRDefault="00921922" w:rsidP="00603215">
            <w:pPr>
              <w:pStyle w:val="DHHStabletext"/>
            </w:pPr>
            <w:r>
              <w:t>Annually.</w:t>
            </w:r>
          </w:p>
          <w:p w14:paraId="20667D18" w14:textId="174EB67F" w:rsidR="00921922" w:rsidRDefault="00921922" w:rsidP="00603215">
            <w:pPr>
              <w:pStyle w:val="DHHStabletext"/>
            </w:pPr>
            <w:r>
              <w:t xml:space="preserve">The </w:t>
            </w:r>
            <w:r w:rsidRPr="00554C1C">
              <w:rPr>
                <w:i/>
              </w:rPr>
              <w:t>Revised Estimates</w:t>
            </w:r>
            <w:r>
              <w:t xml:space="preserve"> are updated and provided to the Department of Treasury and Finance </w:t>
            </w:r>
            <w:r w:rsidR="007351FF">
              <w:t xml:space="preserve">(DTF) </w:t>
            </w:r>
            <w:r>
              <w:t xml:space="preserve">multiple times each financial year. As year-end approaches, the forecasts should be most accurate when the </w:t>
            </w:r>
            <w:r w:rsidRPr="00554C1C">
              <w:rPr>
                <w:i/>
              </w:rPr>
              <w:t>Revised Estimates</w:t>
            </w:r>
            <w:r>
              <w:t xml:space="preserve"> for the final feed to the </w:t>
            </w:r>
            <w:r w:rsidR="007351FF">
              <w:t>DTF</w:t>
            </w:r>
            <w:r>
              <w:t xml:space="preserve"> are provided in June.</w:t>
            </w:r>
            <w:r w:rsidR="00B7452F" w:rsidRPr="00B7452F">
              <w:rPr>
                <w:rStyle w:val="FootnoteReference"/>
              </w:rPr>
              <w:fldChar w:fldCharType="begin"/>
            </w:r>
            <w:r w:rsidR="00B7452F" w:rsidRPr="00B7452F">
              <w:rPr>
                <w:rStyle w:val="FootnoteReference"/>
              </w:rPr>
              <w:instrText xml:space="preserve"> NOTEREF _Ref13735344 \h </w:instrText>
            </w:r>
            <w:r w:rsidR="00B7452F">
              <w:rPr>
                <w:rStyle w:val="FootnoteReference"/>
              </w:rPr>
              <w:instrText xml:space="preserve"> \* MERGEFORMAT </w:instrText>
            </w:r>
            <w:r w:rsidR="00B7452F" w:rsidRPr="00B7452F">
              <w:rPr>
                <w:rStyle w:val="FootnoteReference"/>
              </w:rPr>
            </w:r>
            <w:r w:rsidR="00B7452F" w:rsidRPr="00B7452F">
              <w:rPr>
                <w:rStyle w:val="FootnoteReference"/>
              </w:rPr>
              <w:fldChar w:fldCharType="separate"/>
            </w:r>
            <w:r w:rsidR="007854E0">
              <w:rPr>
                <w:rStyle w:val="FootnoteReference"/>
              </w:rPr>
              <w:t>19</w:t>
            </w:r>
            <w:r w:rsidR="00B7452F" w:rsidRPr="00B7452F">
              <w:rPr>
                <w:rStyle w:val="FootnoteReference"/>
              </w:rPr>
              <w:fldChar w:fldCharType="end"/>
            </w:r>
          </w:p>
          <w:p w14:paraId="16D9C276" w14:textId="77777777" w:rsidR="00921922" w:rsidRDefault="00921922" w:rsidP="00603215">
            <w:pPr>
              <w:pStyle w:val="DHHStabletext"/>
            </w:pPr>
            <w:r>
              <w:t>These estimates assist the Treasurer in determining the State’s final financial result.</w:t>
            </w:r>
          </w:p>
          <w:p w14:paraId="3B05D9F2" w14:textId="77777777" w:rsidR="00921922" w:rsidRDefault="00921922" w:rsidP="00603215">
            <w:pPr>
              <w:pStyle w:val="DHHStabletext"/>
            </w:pPr>
            <w:r>
              <w:t>Performance i</w:t>
            </w:r>
            <w:r w:rsidRPr="0098470E">
              <w:t xml:space="preserve">s monitored and assessed </w:t>
            </w:r>
            <w:r>
              <w:t>annually</w:t>
            </w:r>
            <w:r w:rsidRPr="0098470E">
              <w:t>.</w:t>
            </w:r>
          </w:p>
          <w:p w14:paraId="6A86F1C7" w14:textId="21EA7CEF" w:rsidR="00921922" w:rsidRPr="0098470E" w:rsidRDefault="00921922" w:rsidP="00603215">
            <w:pPr>
              <w:pStyle w:val="DHHStabletext"/>
            </w:pPr>
            <w:r w:rsidRPr="0098470E">
              <w:t xml:space="preserve">Data is submitted by health services monthly via AIMS F1. Refer to the </w:t>
            </w:r>
            <w:r w:rsidRPr="0098470E">
              <w:rPr>
                <w:i/>
              </w:rPr>
              <w:t xml:space="preserve">Guidelines for completing the F1 (finance return) </w:t>
            </w:r>
            <w:r w:rsidRPr="0098470E">
              <w:t>for further information on completing the F1.</w:t>
            </w:r>
          </w:p>
        </w:tc>
      </w:tr>
    </w:tbl>
    <w:p w14:paraId="3566CB11" w14:textId="433F58A7" w:rsidR="002A69EA" w:rsidRPr="00536DA1" w:rsidRDefault="00921922" w:rsidP="00B7452F">
      <w:pPr>
        <w:pStyle w:val="DHHStablefigurenote"/>
      </w:pPr>
      <w:r w:rsidRPr="00536DA1">
        <w:br w:type="page"/>
      </w:r>
    </w:p>
    <w:p w14:paraId="7EBA08A9" w14:textId="5FFC7F4B" w:rsidR="00603215" w:rsidRDefault="004C2E5B" w:rsidP="00AC6E7F">
      <w:pPr>
        <w:pStyle w:val="Heading2"/>
      </w:pPr>
      <w:bookmarkStart w:id="115" w:name="_Toc15580102"/>
      <w:r>
        <w:lastRenderedPageBreak/>
        <w:t>Underlying</w:t>
      </w:r>
      <w:r w:rsidRPr="54D170AE">
        <w:t xml:space="preserve"> </w:t>
      </w:r>
      <w:r>
        <w:t>Risk Factors</w:t>
      </w:r>
      <w:r w:rsidR="00990ECF">
        <w:t xml:space="preserve"> (performance input category 2)</w:t>
      </w:r>
      <w:bookmarkEnd w:id="115"/>
    </w:p>
    <w:p w14:paraId="773FC32D" w14:textId="7BD12C0A" w:rsidR="004C2E5B" w:rsidRDefault="00862CA7" w:rsidP="004C2E5B">
      <w:pPr>
        <w:pStyle w:val="DHHSbody"/>
      </w:pPr>
      <w:r>
        <w:t>The Underlying Risk Factors (</w:t>
      </w:r>
      <w:r w:rsidR="004C2E5B">
        <w:t>performance input category 2</w:t>
      </w:r>
      <w:r>
        <w:t>)</w:t>
      </w:r>
      <w:r w:rsidR="004C2E5B">
        <w:t xml:space="preserve"> of the Framework</w:t>
      </w:r>
      <w:r>
        <w:t xml:space="preserve"> </w:t>
      </w:r>
      <w:r w:rsidR="004C2E5B">
        <w:t>are those indicators that provide the underlying contextual element to a health service’s performance. These indicators are intended to set out and assess various qualitative aspects of performance for each health service</w:t>
      </w:r>
      <w:r w:rsidR="00A86D2E">
        <w:t>.</w:t>
      </w:r>
      <w:r w:rsidR="004C2E5B">
        <w:t xml:space="preserve"> </w:t>
      </w:r>
      <w:r w:rsidR="00A86D2E">
        <w:t>N</w:t>
      </w:r>
      <w:r w:rsidR="004C2E5B">
        <w:t xml:space="preserve">amely governance, culture, and other complex assessments of the </w:t>
      </w:r>
      <w:r w:rsidR="00A86D2E">
        <w:t xml:space="preserve">health service’s </w:t>
      </w:r>
      <w:r w:rsidR="004C2E5B">
        <w:t>performance management capability.</w:t>
      </w:r>
    </w:p>
    <w:p w14:paraId="655F965F" w14:textId="61C54A67" w:rsidR="00AC6E7F" w:rsidRPr="00AC6E7F" w:rsidRDefault="00DC163A" w:rsidP="00037D8B">
      <w:pPr>
        <w:pStyle w:val="DHHSbodylargespace"/>
      </w:pPr>
      <w:r>
        <w:t xml:space="preserve">The corresponding detailed considerations </w:t>
      </w:r>
      <w:r w:rsidR="003113B7">
        <w:t>provide</w:t>
      </w:r>
      <w:r w:rsidR="00B8224B">
        <w:t xml:space="preserve"> supporting </w:t>
      </w:r>
      <w:r w:rsidR="008F53BE">
        <w:t>deliberations</w:t>
      </w:r>
      <w:r w:rsidR="00B8224B">
        <w:t xml:space="preserve"> </w:t>
      </w:r>
      <w:r w:rsidR="00D671B9">
        <w:t xml:space="preserve">and further information </w:t>
      </w:r>
      <w:r w:rsidR="003113B7">
        <w:t xml:space="preserve">as against </w:t>
      </w:r>
      <w:r w:rsidR="00A86D2E">
        <w:t xml:space="preserve">each </w:t>
      </w:r>
      <w:r w:rsidR="003113B7">
        <w:t>Underlying R</w:t>
      </w:r>
      <w:r w:rsidR="00D671B9">
        <w:t>isk F</w:t>
      </w:r>
      <w:r w:rsidR="003113B7">
        <w:t>actor</w:t>
      </w:r>
      <w:r w:rsidR="00D671B9">
        <w:t>. This a</w:t>
      </w:r>
      <w:r w:rsidR="00B8224B">
        <w:t>ssist</w:t>
      </w:r>
      <w:r w:rsidR="00D671B9">
        <w:t>s</w:t>
      </w:r>
      <w:r w:rsidR="00525888">
        <w:t xml:space="preserve"> the department and health service</w:t>
      </w:r>
      <w:r w:rsidR="0045005F">
        <w:t>s</w:t>
      </w:r>
      <w:r w:rsidR="00B8224B">
        <w:t xml:space="preserve"> </w:t>
      </w:r>
      <w:r w:rsidR="00CB3737">
        <w:t xml:space="preserve">in </w:t>
      </w:r>
      <w:r w:rsidR="008F53BE">
        <w:t>assess</w:t>
      </w:r>
      <w:r w:rsidR="00C61E47">
        <w:t xml:space="preserve">ing the contextual elements </w:t>
      </w:r>
      <w:r w:rsidR="00673B89">
        <w:t xml:space="preserve">and risks </w:t>
      </w:r>
      <w:r w:rsidR="008D05F2">
        <w:t xml:space="preserve">underpinning the environment in which </w:t>
      </w:r>
      <w:r w:rsidR="0045005F">
        <w:t>each</w:t>
      </w:r>
      <w:r w:rsidR="008D05F2">
        <w:t xml:space="preserve"> health service operates, </w:t>
      </w:r>
      <w:r w:rsidR="00B3568B">
        <w:t xml:space="preserve">as well as </w:t>
      </w:r>
      <w:r w:rsidR="0045005F">
        <w:t>the subsequent</w:t>
      </w:r>
      <w:r w:rsidR="00020547">
        <w:t xml:space="preserve"> </w:t>
      </w:r>
      <w:r w:rsidR="008D05F2">
        <w:t>impact</w:t>
      </w:r>
      <w:r w:rsidR="0045005F">
        <w:t>s on</w:t>
      </w:r>
      <w:r w:rsidR="008D05F2">
        <w:t xml:space="preserve"> </w:t>
      </w:r>
      <w:r w:rsidR="00B3568B">
        <w:t xml:space="preserve">its </w:t>
      </w:r>
      <w:r w:rsidR="000F33E5">
        <w:t xml:space="preserve">overarching </w:t>
      </w:r>
      <w:r w:rsidR="008D05F2">
        <w:t>performance</w:t>
      </w:r>
      <w:r w:rsidR="00020547">
        <w:t>.</w:t>
      </w:r>
    </w:p>
    <w:tbl>
      <w:tblPr>
        <w:tblStyle w:val="TableGrid"/>
        <w:tblW w:w="9299" w:type="dxa"/>
        <w:tblLayout w:type="fixed"/>
        <w:tblLook w:val="06A0" w:firstRow="1" w:lastRow="0" w:firstColumn="1" w:lastColumn="0" w:noHBand="1" w:noVBand="1"/>
      </w:tblPr>
      <w:tblGrid>
        <w:gridCol w:w="1502"/>
        <w:gridCol w:w="2179"/>
        <w:gridCol w:w="5618"/>
      </w:tblGrid>
      <w:tr w:rsidR="002109CF" w:rsidRPr="0070728D" w14:paraId="267B66BA" w14:textId="77777777" w:rsidTr="00A20EB2">
        <w:trPr>
          <w:cnfStyle w:val="100000000000" w:firstRow="1" w:lastRow="0" w:firstColumn="0" w:lastColumn="0" w:oddVBand="0" w:evenVBand="0" w:oddHBand="0" w:evenHBand="0" w:firstRowFirstColumn="0" w:firstRowLastColumn="0" w:lastRowFirstColumn="0" w:lastRowLastColumn="0"/>
          <w:cantSplit/>
          <w:tblHeader/>
        </w:trPr>
        <w:tc>
          <w:tcPr>
            <w:tcW w:w="1502" w:type="dxa"/>
          </w:tcPr>
          <w:p w14:paraId="3B194009" w14:textId="77777777" w:rsidR="002109CF" w:rsidRPr="0077273C" w:rsidRDefault="002109CF" w:rsidP="00603215">
            <w:pPr>
              <w:pStyle w:val="DHHStablecolhead"/>
            </w:pPr>
            <w:r w:rsidRPr="0077273C">
              <w:t>Domain</w:t>
            </w:r>
          </w:p>
        </w:tc>
        <w:tc>
          <w:tcPr>
            <w:tcW w:w="2179" w:type="dxa"/>
          </w:tcPr>
          <w:p w14:paraId="52BA5F54" w14:textId="5E54AB38" w:rsidR="002109CF" w:rsidRPr="0077273C" w:rsidRDefault="00673B89" w:rsidP="00603215">
            <w:pPr>
              <w:pStyle w:val="DHHStablecolhead"/>
            </w:pPr>
            <w:r>
              <w:t xml:space="preserve">Underlying </w:t>
            </w:r>
            <w:r w:rsidR="002109CF">
              <w:t>Performanc</w:t>
            </w:r>
            <w:r>
              <w:t>e R</w:t>
            </w:r>
            <w:r w:rsidR="002109CF" w:rsidRPr="0077273C">
              <w:t xml:space="preserve">isk </w:t>
            </w:r>
            <w:r>
              <w:t>Factor</w:t>
            </w:r>
          </w:p>
        </w:tc>
        <w:tc>
          <w:tcPr>
            <w:tcW w:w="5618" w:type="dxa"/>
          </w:tcPr>
          <w:p w14:paraId="52E7ECFC" w14:textId="0B4B9CB0" w:rsidR="002109CF" w:rsidRPr="0077273C" w:rsidRDefault="00CC073A" w:rsidP="00603215">
            <w:pPr>
              <w:pStyle w:val="DHHStablecolhead"/>
            </w:pPr>
            <w:r>
              <w:t xml:space="preserve">Detailed </w:t>
            </w:r>
            <w:r w:rsidR="00DC163A">
              <w:t>considerations</w:t>
            </w:r>
          </w:p>
        </w:tc>
      </w:tr>
      <w:tr w:rsidR="002109CF" w14:paraId="10C0EEA4" w14:textId="77777777" w:rsidTr="00A20EB2">
        <w:trPr>
          <w:cantSplit/>
        </w:trPr>
        <w:tc>
          <w:tcPr>
            <w:tcW w:w="1502" w:type="dxa"/>
            <w:vMerge w:val="restart"/>
          </w:tcPr>
          <w:p w14:paraId="6720A59D" w14:textId="1B504A78" w:rsidR="002109CF" w:rsidRDefault="002109CF" w:rsidP="00603215">
            <w:pPr>
              <w:pStyle w:val="DHHStabletext"/>
            </w:pPr>
            <w:r>
              <w:t xml:space="preserve">High </w:t>
            </w:r>
            <w:r w:rsidR="00990ECF">
              <w:t>q</w:t>
            </w:r>
            <w:r>
              <w:t xml:space="preserve">uality and </w:t>
            </w:r>
            <w:r w:rsidR="00990ECF">
              <w:t>s</w:t>
            </w:r>
            <w:r>
              <w:t xml:space="preserve">afe </w:t>
            </w:r>
            <w:r w:rsidR="00990ECF">
              <w:t>c</w:t>
            </w:r>
            <w:r>
              <w:t>are</w:t>
            </w:r>
          </w:p>
        </w:tc>
        <w:tc>
          <w:tcPr>
            <w:tcW w:w="2179" w:type="dxa"/>
          </w:tcPr>
          <w:p w14:paraId="6A7E7324" w14:textId="77777777" w:rsidR="002109CF" w:rsidRDefault="002109CF" w:rsidP="00603215">
            <w:pPr>
              <w:pStyle w:val="DHHStabletext"/>
            </w:pPr>
            <w:r>
              <w:t>Workforce availability, capacity and capability</w:t>
            </w:r>
          </w:p>
        </w:tc>
        <w:tc>
          <w:tcPr>
            <w:tcW w:w="5618" w:type="dxa"/>
          </w:tcPr>
          <w:p w14:paraId="101416A1" w14:textId="77777777" w:rsidR="002109CF" w:rsidRDefault="002109CF" w:rsidP="00603215">
            <w:pPr>
              <w:pStyle w:val="DHHStabletext"/>
            </w:pPr>
            <w:r>
              <w:t>Inability to attract or retain suitably qualified and experienced clinicians</w:t>
            </w:r>
          </w:p>
          <w:p w14:paraId="6DB4DD33" w14:textId="77777777" w:rsidR="002109CF" w:rsidRDefault="002109CF" w:rsidP="00603215">
            <w:pPr>
              <w:pStyle w:val="DHHStabletext"/>
            </w:pPr>
            <w:r>
              <w:t>Lack of clinician back-up in the event of unexpected absences or complex care requirements</w:t>
            </w:r>
          </w:p>
          <w:p w14:paraId="4E96EF01" w14:textId="77777777" w:rsidR="002109CF" w:rsidRDefault="002109CF" w:rsidP="00603215">
            <w:pPr>
              <w:spacing w:before="80" w:after="60"/>
            </w:pPr>
            <w:r w:rsidRPr="00635229">
              <w:rPr>
                <w:rFonts w:ascii="Arial" w:hAnsi="Arial"/>
              </w:rPr>
              <w:t>Professionally isolated practitioners</w:t>
            </w:r>
          </w:p>
          <w:p w14:paraId="0F5BCE69" w14:textId="77777777" w:rsidR="002109CF" w:rsidRDefault="002109CF" w:rsidP="00603215">
            <w:pPr>
              <w:pStyle w:val="DHHStabletext"/>
            </w:pPr>
            <w:r>
              <w:t>Difficulties managing clinician performance (e.g. due to high reliance or lack of senior clinical oversight)</w:t>
            </w:r>
          </w:p>
          <w:p w14:paraId="500A4BD7" w14:textId="77777777" w:rsidR="002109CF" w:rsidRDefault="002109CF" w:rsidP="00603215">
            <w:pPr>
              <w:pStyle w:val="DHHStabletext"/>
            </w:pPr>
            <w:r>
              <w:t>High reliance on locums to maintain staffing levels</w:t>
            </w:r>
          </w:p>
          <w:p w14:paraId="360C4BB3" w14:textId="7128F93A" w:rsidR="002109CF" w:rsidRDefault="002109CF" w:rsidP="00603215">
            <w:pPr>
              <w:pStyle w:val="DHHStabletext"/>
            </w:pPr>
            <w:r w:rsidRPr="002A452C">
              <w:t xml:space="preserve">High reliance on </w:t>
            </w:r>
            <w:r w:rsidR="003C3AC8">
              <w:t xml:space="preserve">international medical graduates </w:t>
            </w:r>
            <w:r>
              <w:t>requiring supervision or on provisional registration</w:t>
            </w:r>
          </w:p>
        </w:tc>
      </w:tr>
      <w:tr w:rsidR="002109CF" w14:paraId="4AA436A4" w14:textId="77777777" w:rsidTr="00A20EB2">
        <w:trPr>
          <w:cantSplit/>
        </w:trPr>
        <w:tc>
          <w:tcPr>
            <w:tcW w:w="1502" w:type="dxa"/>
            <w:vMerge/>
          </w:tcPr>
          <w:p w14:paraId="548FD089" w14:textId="77777777" w:rsidR="002109CF" w:rsidRDefault="002109CF" w:rsidP="00603215">
            <w:pPr>
              <w:pStyle w:val="DHHStabletext"/>
            </w:pPr>
          </w:p>
        </w:tc>
        <w:tc>
          <w:tcPr>
            <w:tcW w:w="2179" w:type="dxa"/>
          </w:tcPr>
          <w:p w14:paraId="2C3FF222" w14:textId="77777777" w:rsidR="002109CF" w:rsidRDefault="002109CF" w:rsidP="00603215">
            <w:pPr>
              <w:pStyle w:val="DHHStabletext"/>
            </w:pPr>
            <w:r>
              <w:t>Ability to respond to changes in community needs</w:t>
            </w:r>
          </w:p>
        </w:tc>
        <w:tc>
          <w:tcPr>
            <w:tcW w:w="5618" w:type="dxa"/>
          </w:tcPr>
          <w:p w14:paraId="2C38DE71" w14:textId="77777777" w:rsidR="002109CF" w:rsidRDefault="002109CF" w:rsidP="00603215">
            <w:pPr>
              <w:pStyle w:val="DHHStabletext"/>
            </w:pPr>
            <w:r>
              <w:t>Significant increase in c</w:t>
            </w:r>
            <w:r w:rsidRPr="00D92B5D">
              <w:t xml:space="preserve">atchment population </w:t>
            </w:r>
            <w:r>
              <w:t xml:space="preserve">/ demand </w:t>
            </w:r>
            <w:r w:rsidRPr="00D92B5D">
              <w:t xml:space="preserve">beyond </w:t>
            </w:r>
            <w:r>
              <w:t xml:space="preserve">physical and operational </w:t>
            </w:r>
            <w:r w:rsidRPr="00D92B5D">
              <w:t>capacity</w:t>
            </w:r>
          </w:p>
          <w:p w14:paraId="1CBA5198" w14:textId="77777777" w:rsidR="002109CF" w:rsidRDefault="002109CF" w:rsidP="00603215">
            <w:pPr>
              <w:pStyle w:val="DHHStabletext"/>
            </w:pPr>
            <w:r>
              <w:t>Flow-on impact from s</w:t>
            </w:r>
            <w:r w:rsidRPr="00D92B5D">
              <w:t>ignificant local industry chang</w:t>
            </w:r>
            <w:r>
              <w:t>es</w:t>
            </w:r>
          </w:p>
          <w:p w14:paraId="32D90511" w14:textId="77777777" w:rsidR="002109CF" w:rsidRDefault="002109CF" w:rsidP="00603215">
            <w:pPr>
              <w:pStyle w:val="DHHStabletext"/>
            </w:pPr>
            <w:r>
              <w:t>Limited capacity to redesign services in line with changes in c</w:t>
            </w:r>
            <w:r w:rsidRPr="00D975A4">
              <w:t xml:space="preserve">ommunity profile or mix of services </w:t>
            </w:r>
            <w:r>
              <w:t>(up or down)</w:t>
            </w:r>
          </w:p>
        </w:tc>
      </w:tr>
      <w:tr w:rsidR="002109CF" w14:paraId="403BE6DD" w14:textId="77777777" w:rsidTr="00A20EB2">
        <w:trPr>
          <w:cantSplit/>
        </w:trPr>
        <w:tc>
          <w:tcPr>
            <w:tcW w:w="1502" w:type="dxa"/>
            <w:vMerge/>
          </w:tcPr>
          <w:p w14:paraId="18D106C6" w14:textId="77777777" w:rsidR="002109CF" w:rsidRDefault="002109CF" w:rsidP="00603215">
            <w:pPr>
              <w:pStyle w:val="DHHStabletext"/>
            </w:pPr>
          </w:p>
        </w:tc>
        <w:tc>
          <w:tcPr>
            <w:tcW w:w="2179" w:type="dxa"/>
          </w:tcPr>
          <w:p w14:paraId="25FDA190" w14:textId="77777777" w:rsidR="002109CF" w:rsidRPr="006610C7" w:rsidRDefault="002109CF" w:rsidP="00603215">
            <w:pPr>
              <w:pStyle w:val="DHHStabletext"/>
            </w:pPr>
            <w:r>
              <w:t>Clinical leadership</w:t>
            </w:r>
          </w:p>
        </w:tc>
        <w:tc>
          <w:tcPr>
            <w:tcW w:w="5618" w:type="dxa"/>
          </w:tcPr>
          <w:p w14:paraId="0E2BDDAB" w14:textId="77777777" w:rsidR="002109CF" w:rsidRDefault="002109CF" w:rsidP="00603215">
            <w:pPr>
              <w:pStyle w:val="DHHStabletext"/>
            </w:pPr>
            <w:r>
              <w:t>Lack of senior clinical leadership (Director of Nursing/ Director of Clinical Services/Director of Medical Services</w:t>
            </w:r>
            <w:r w:rsidRPr="002A452C">
              <w:t xml:space="preserve"> </w:t>
            </w:r>
            <w:r>
              <w:t>roles unfilled or sessional/part-time)</w:t>
            </w:r>
          </w:p>
          <w:p w14:paraId="43E3A01E" w14:textId="77777777" w:rsidR="002109CF" w:rsidRDefault="002109CF" w:rsidP="00603215">
            <w:pPr>
              <w:pStyle w:val="DHHStabletext"/>
            </w:pPr>
            <w:r w:rsidRPr="002A452C">
              <w:t>Prolonged vacancies</w:t>
            </w:r>
            <w:r>
              <w:t xml:space="preserve"> and high turnover</w:t>
            </w:r>
            <w:r w:rsidRPr="002A452C">
              <w:t xml:space="preserve"> in senior clinical roles</w:t>
            </w:r>
          </w:p>
          <w:p w14:paraId="0E82852E" w14:textId="77777777" w:rsidR="002109CF" w:rsidRDefault="002109CF" w:rsidP="00603215">
            <w:pPr>
              <w:pStyle w:val="DHHStabletext"/>
            </w:pPr>
            <w:r>
              <w:t>Lack of supervision capacity commensurate to the number of junior staff on limited or provisional registration</w:t>
            </w:r>
          </w:p>
        </w:tc>
      </w:tr>
      <w:tr w:rsidR="002109CF" w14:paraId="4CEA2DBA" w14:textId="77777777" w:rsidTr="00A20EB2">
        <w:trPr>
          <w:cantSplit/>
        </w:trPr>
        <w:tc>
          <w:tcPr>
            <w:tcW w:w="1502" w:type="dxa"/>
            <w:vMerge/>
          </w:tcPr>
          <w:p w14:paraId="55148C1E" w14:textId="77777777" w:rsidR="002109CF" w:rsidRPr="006621BE" w:rsidRDefault="002109CF" w:rsidP="00603215">
            <w:pPr>
              <w:pStyle w:val="DHHStabletext"/>
            </w:pPr>
          </w:p>
        </w:tc>
        <w:tc>
          <w:tcPr>
            <w:tcW w:w="2179" w:type="dxa"/>
          </w:tcPr>
          <w:p w14:paraId="105040F4" w14:textId="77777777" w:rsidR="002109CF" w:rsidRPr="006610C7" w:rsidRDefault="002109CF" w:rsidP="00603215">
            <w:pPr>
              <w:pStyle w:val="DHHStabletext"/>
            </w:pPr>
            <w:r>
              <w:t>Management of complex care or changes in capability</w:t>
            </w:r>
          </w:p>
        </w:tc>
        <w:tc>
          <w:tcPr>
            <w:tcW w:w="5618" w:type="dxa"/>
          </w:tcPr>
          <w:p w14:paraId="71D89340" w14:textId="77777777" w:rsidR="002109CF" w:rsidRDefault="002109CF" w:rsidP="00603215">
            <w:pPr>
              <w:pStyle w:val="DHHStabletext"/>
            </w:pPr>
            <w:r>
              <w:t>Lack of appropriate infrastructure/staffing to maintain capability and manage complexity (i.e. for low volume activity or procedures)</w:t>
            </w:r>
          </w:p>
          <w:p w14:paraId="1C95EA73" w14:textId="77777777" w:rsidR="002109CF" w:rsidRDefault="002109CF" w:rsidP="00603215">
            <w:pPr>
              <w:pStyle w:val="DHHStabletext"/>
            </w:pPr>
            <w:r>
              <w:t>Recent increases or decreases in clinical capability</w:t>
            </w:r>
            <w:r w:rsidRPr="002A452C" w:rsidDel="00C14E0F">
              <w:t xml:space="preserve"> </w:t>
            </w:r>
            <w:r>
              <w:t>(including workforce or support services)</w:t>
            </w:r>
          </w:p>
          <w:p w14:paraId="3E4FFC58" w14:textId="0839B475" w:rsidR="002109CF" w:rsidRDefault="002109CF" w:rsidP="00603215">
            <w:pPr>
              <w:pStyle w:val="DHHStabletext"/>
            </w:pPr>
            <w:r>
              <w:t>Inadequate clinical back-up/support arrangements for local care of complex patients</w:t>
            </w:r>
          </w:p>
          <w:p w14:paraId="1D908926" w14:textId="77777777" w:rsidR="002109CF" w:rsidRDefault="002109CF" w:rsidP="00603215">
            <w:pPr>
              <w:pStyle w:val="DHHStabletext"/>
            </w:pPr>
            <w:r>
              <w:t>Significant increase or decrease in volume of specific activity or procedures</w:t>
            </w:r>
          </w:p>
        </w:tc>
      </w:tr>
      <w:tr w:rsidR="002109CF" w14:paraId="2E6EA285" w14:textId="77777777" w:rsidTr="00A20EB2">
        <w:trPr>
          <w:cantSplit/>
        </w:trPr>
        <w:tc>
          <w:tcPr>
            <w:tcW w:w="1502" w:type="dxa"/>
            <w:vMerge w:val="restart"/>
          </w:tcPr>
          <w:p w14:paraId="4EE917E1" w14:textId="77777777" w:rsidR="002109CF" w:rsidRDefault="002109CF" w:rsidP="00603215">
            <w:pPr>
              <w:pStyle w:val="DHHStabletext"/>
            </w:pPr>
            <w:r>
              <w:lastRenderedPageBreak/>
              <w:t>Strong governance, leadership and culture</w:t>
            </w:r>
          </w:p>
        </w:tc>
        <w:tc>
          <w:tcPr>
            <w:tcW w:w="2179" w:type="dxa"/>
          </w:tcPr>
          <w:p w14:paraId="5F45EE60" w14:textId="28CCB363" w:rsidR="002109CF" w:rsidRDefault="002109CF" w:rsidP="00603215">
            <w:pPr>
              <w:pStyle w:val="DHHStabletext"/>
            </w:pPr>
            <w:r>
              <w:t xml:space="preserve">Board </w:t>
            </w:r>
            <w:r w:rsidR="00785F1F">
              <w:t>g</w:t>
            </w:r>
            <w:r>
              <w:t>overnance</w:t>
            </w:r>
          </w:p>
        </w:tc>
        <w:tc>
          <w:tcPr>
            <w:tcW w:w="5618" w:type="dxa"/>
          </w:tcPr>
          <w:p w14:paraId="18D6B856" w14:textId="500AB05C" w:rsidR="002109CF" w:rsidRDefault="002109CF" w:rsidP="00603215">
            <w:pPr>
              <w:pStyle w:val="DHHStabletext"/>
            </w:pPr>
            <w:r>
              <w:t xml:space="preserve">Inability to attract appropriate skill mix across board </w:t>
            </w:r>
            <w:r w:rsidR="00785F1F">
              <w:t>directors</w:t>
            </w:r>
          </w:p>
          <w:p w14:paraId="006A7E75" w14:textId="77777777" w:rsidR="002109CF" w:rsidRDefault="002109CF" w:rsidP="00603215">
            <w:pPr>
              <w:pStyle w:val="DHHStabletext"/>
            </w:pPr>
            <w:r>
              <w:t>Lack of quorum or long-standing gaps</w:t>
            </w:r>
          </w:p>
          <w:p w14:paraId="1081FF5C" w14:textId="77777777" w:rsidR="002109CF" w:rsidRDefault="002109CF" w:rsidP="00603215">
            <w:pPr>
              <w:pStyle w:val="DHHStabletext"/>
            </w:pPr>
            <w:r>
              <w:t>Lack of c</w:t>
            </w:r>
            <w:r w:rsidRPr="006610C7">
              <w:t>linical or</w:t>
            </w:r>
            <w:r>
              <w:t xml:space="preserve"> clinical governance expertise</w:t>
            </w:r>
          </w:p>
          <w:p w14:paraId="662E3062" w14:textId="77777777" w:rsidR="002109CF" w:rsidRDefault="002109CF" w:rsidP="00603215">
            <w:pPr>
              <w:pStyle w:val="DHHStabletext"/>
            </w:pPr>
            <w:r w:rsidRPr="006610C7">
              <w:t>General</w:t>
            </w:r>
            <w:r>
              <w:t xml:space="preserve"> inexperience across the board</w:t>
            </w:r>
          </w:p>
          <w:p w14:paraId="1502FB47" w14:textId="451C99A1" w:rsidR="002109CF" w:rsidRDefault="002109CF" w:rsidP="00603215">
            <w:pPr>
              <w:pStyle w:val="DHHStabletext"/>
            </w:pPr>
            <w:r>
              <w:t>Lack of a current and department</w:t>
            </w:r>
            <w:r w:rsidR="009B30CD">
              <w:t>-</w:t>
            </w:r>
            <w:r>
              <w:t xml:space="preserve">endorsed Strategic Plan </w:t>
            </w:r>
          </w:p>
        </w:tc>
      </w:tr>
      <w:tr w:rsidR="002109CF" w14:paraId="011E2F38" w14:textId="77777777" w:rsidTr="00A20EB2">
        <w:trPr>
          <w:cantSplit/>
        </w:trPr>
        <w:tc>
          <w:tcPr>
            <w:tcW w:w="1502" w:type="dxa"/>
            <w:vMerge/>
          </w:tcPr>
          <w:p w14:paraId="655D85FB" w14:textId="77777777" w:rsidR="002109CF" w:rsidRDefault="002109CF" w:rsidP="00603215">
            <w:pPr>
              <w:pStyle w:val="DHHStabletext"/>
            </w:pPr>
          </w:p>
        </w:tc>
        <w:tc>
          <w:tcPr>
            <w:tcW w:w="2179" w:type="dxa"/>
          </w:tcPr>
          <w:p w14:paraId="4FE9DAD4" w14:textId="77777777" w:rsidR="002109CF" w:rsidRDefault="002109CF" w:rsidP="00603215">
            <w:pPr>
              <w:pStyle w:val="DHHStabletext"/>
            </w:pPr>
            <w:r>
              <w:t>Leadership</w:t>
            </w:r>
          </w:p>
        </w:tc>
        <w:tc>
          <w:tcPr>
            <w:tcW w:w="5618" w:type="dxa"/>
          </w:tcPr>
          <w:p w14:paraId="597CDF64" w14:textId="77777777" w:rsidR="002109CF" w:rsidRDefault="002109CF" w:rsidP="00603215">
            <w:pPr>
              <w:pStyle w:val="DHHStabletext"/>
            </w:pPr>
            <w:r>
              <w:t>Long executive tenure</w:t>
            </w:r>
          </w:p>
          <w:p w14:paraId="2692DA25" w14:textId="77777777" w:rsidR="002109CF" w:rsidRDefault="002109CF" w:rsidP="00603215">
            <w:pPr>
              <w:pStyle w:val="DHHStabletext"/>
            </w:pPr>
            <w:r>
              <w:t>Recent turnover of executive staff</w:t>
            </w:r>
          </w:p>
          <w:p w14:paraId="6AC7769C" w14:textId="77777777" w:rsidR="002109CF" w:rsidRDefault="002109CF" w:rsidP="00603215">
            <w:pPr>
              <w:pStyle w:val="DHHStabletext"/>
            </w:pPr>
            <w:r>
              <w:t>Lack of capability, engagement and succession planning of leadership and senior clinical teams</w:t>
            </w:r>
          </w:p>
        </w:tc>
      </w:tr>
      <w:tr w:rsidR="002109CF" w14:paraId="00E96CFD" w14:textId="77777777" w:rsidTr="00A20EB2">
        <w:trPr>
          <w:cantSplit/>
        </w:trPr>
        <w:tc>
          <w:tcPr>
            <w:tcW w:w="1502" w:type="dxa"/>
            <w:vMerge/>
          </w:tcPr>
          <w:p w14:paraId="7E062439" w14:textId="77777777" w:rsidR="002109CF" w:rsidRPr="006610C7" w:rsidRDefault="002109CF" w:rsidP="00603215">
            <w:pPr>
              <w:pStyle w:val="DHHStabletext"/>
            </w:pPr>
          </w:p>
        </w:tc>
        <w:tc>
          <w:tcPr>
            <w:tcW w:w="2179" w:type="dxa"/>
          </w:tcPr>
          <w:p w14:paraId="4CA89758" w14:textId="0483B9D3" w:rsidR="002109CF" w:rsidRDefault="002109CF" w:rsidP="00603215">
            <w:pPr>
              <w:pStyle w:val="DHHStabletext"/>
            </w:pPr>
            <w:r>
              <w:t>Compet</w:t>
            </w:r>
            <w:r w:rsidR="00F551F9">
              <w:t>ing strategic priorities</w:t>
            </w:r>
          </w:p>
        </w:tc>
        <w:tc>
          <w:tcPr>
            <w:tcW w:w="5618" w:type="dxa"/>
          </w:tcPr>
          <w:p w14:paraId="5E55CABC" w14:textId="77777777" w:rsidR="009B30CD" w:rsidRDefault="002109CF" w:rsidP="00603215">
            <w:pPr>
              <w:pStyle w:val="DHHStabletext"/>
            </w:pPr>
            <w:r>
              <w:t>Major capital or information technology works underway</w:t>
            </w:r>
          </w:p>
          <w:p w14:paraId="7AC2DAEA" w14:textId="1F58154C" w:rsidR="002109CF" w:rsidRDefault="002109CF" w:rsidP="00603215">
            <w:pPr>
              <w:pStyle w:val="DHHStabletext"/>
            </w:pPr>
            <w:r>
              <w:t>Service continuity risks during works</w:t>
            </w:r>
            <w:r w:rsidR="00554C8C">
              <w:t xml:space="preserve">, </w:t>
            </w:r>
            <w:r>
              <w:t>transition</w:t>
            </w:r>
            <w:r w:rsidR="00554C8C">
              <w:t xml:space="preserve"> and</w:t>
            </w:r>
            <w:r w:rsidR="004248FD">
              <w:t>/or</w:t>
            </w:r>
            <w:r w:rsidR="00554C8C">
              <w:t xml:space="preserve"> </w:t>
            </w:r>
            <w:r w:rsidRPr="007F34F7">
              <w:t>commissioning</w:t>
            </w:r>
          </w:p>
          <w:p w14:paraId="20553BF2" w14:textId="1135BF95" w:rsidR="002109CF" w:rsidRDefault="002109CF" w:rsidP="00603215">
            <w:pPr>
              <w:pStyle w:val="DHHStabletext"/>
            </w:pPr>
            <w:r>
              <w:t>Insufficient expertise in project management and</w:t>
            </w:r>
            <w:r w:rsidR="004248FD">
              <w:t>/or</w:t>
            </w:r>
            <w:r>
              <w:t xml:space="preserve"> change management </w:t>
            </w:r>
          </w:p>
        </w:tc>
      </w:tr>
      <w:tr w:rsidR="002109CF" w14:paraId="4DFCA0BC" w14:textId="77777777" w:rsidTr="00A20EB2">
        <w:trPr>
          <w:cantSplit/>
        </w:trPr>
        <w:tc>
          <w:tcPr>
            <w:tcW w:w="1502" w:type="dxa"/>
            <w:vMerge/>
          </w:tcPr>
          <w:p w14:paraId="1606D09F" w14:textId="77777777" w:rsidR="002109CF" w:rsidRDefault="002109CF" w:rsidP="00603215">
            <w:pPr>
              <w:pStyle w:val="DHHStabletext"/>
            </w:pPr>
          </w:p>
        </w:tc>
        <w:tc>
          <w:tcPr>
            <w:tcW w:w="2179" w:type="dxa"/>
          </w:tcPr>
          <w:p w14:paraId="1E7E2BC5" w14:textId="77777777" w:rsidR="002109CF" w:rsidRPr="006621BE" w:rsidRDefault="002109CF" w:rsidP="00603215">
            <w:pPr>
              <w:pStyle w:val="DHHStabletext"/>
            </w:pPr>
            <w:r>
              <w:t xml:space="preserve">Safety culture </w:t>
            </w:r>
          </w:p>
        </w:tc>
        <w:tc>
          <w:tcPr>
            <w:tcW w:w="5618" w:type="dxa"/>
          </w:tcPr>
          <w:p w14:paraId="6961F8E5" w14:textId="77777777" w:rsidR="002109CF" w:rsidRDefault="002109CF" w:rsidP="00603215">
            <w:pPr>
              <w:pStyle w:val="DHHStabletext"/>
            </w:pPr>
            <w:r>
              <w:t>Evidence of bullying</w:t>
            </w:r>
          </w:p>
          <w:p w14:paraId="6E9666F5" w14:textId="77777777" w:rsidR="002109CF" w:rsidRDefault="002109CF" w:rsidP="00603215">
            <w:pPr>
              <w:pStyle w:val="DHHStabletext"/>
            </w:pPr>
            <w:r>
              <w:t>Poor management of complaints</w:t>
            </w:r>
          </w:p>
          <w:p w14:paraId="1AF8AD9B" w14:textId="560368BB" w:rsidR="002109CF" w:rsidRDefault="002109CF" w:rsidP="00603215">
            <w:pPr>
              <w:pStyle w:val="DHHStabletext"/>
            </w:pPr>
            <w:r>
              <w:t xml:space="preserve">Poor reporting culture of patient </w:t>
            </w:r>
            <w:r w:rsidR="00F17893">
              <w:t>and</w:t>
            </w:r>
            <w:r w:rsidR="004248FD">
              <w:t>/or</w:t>
            </w:r>
            <w:r>
              <w:t xml:space="preserve"> staff safety incidents</w:t>
            </w:r>
          </w:p>
          <w:p w14:paraId="5128DCAA" w14:textId="6D78CF9F" w:rsidR="002109CF" w:rsidRDefault="002109CF" w:rsidP="00603215">
            <w:pPr>
              <w:pStyle w:val="DHHStabletext"/>
            </w:pPr>
            <w:r>
              <w:t>High levels of staff disengagement, sick leave and</w:t>
            </w:r>
            <w:r w:rsidR="005D0B63">
              <w:t>/or</w:t>
            </w:r>
            <w:r>
              <w:t xml:space="preserve"> turnover rates</w:t>
            </w:r>
          </w:p>
          <w:p w14:paraId="27A638EE" w14:textId="5BD5B136" w:rsidR="002109CF" w:rsidRDefault="002109CF" w:rsidP="00603215">
            <w:pPr>
              <w:pStyle w:val="DHHStabletext"/>
            </w:pPr>
            <w:r>
              <w:t>Limited mechanisms for engaging consumers and their families</w:t>
            </w:r>
            <w:r w:rsidR="00B87192">
              <w:t>,</w:t>
            </w:r>
            <w:r>
              <w:t xml:space="preserve"> </w:t>
            </w:r>
            <w:r w:rsidR="004248FD">
              <w:t>including</w:t>
            </w:r>
            <w:r w:rsidR="00B87192">
              <w:t xml:space="preserve"> </w:t>
            </w:r>
            <w:r>
              <w:t>poor handling of complaints</w:t>
            </w:r>
          </w:p>
          <w:p w14:paraId="2EE2CDC4" w14:textId="77777777" w:rsidR="002109CF" w:rsidRPr="002A452C" w:rsidRDefault="002109CF" w:rsidP="00603215">
            <w:pPr>
              <w:pStyle w:val="DHHStabletext"/>
            </w:pPr>
            <w:r>
              <w:t>Occupational Health &amp; Safety issues</w:t>
            </w:r>
          </w:p>
        </w:tc>
      </w:tr>
      <w:tr w:rsidR="002109CF" w14:paraId="54BF980B" w14:textId="77777777" w:rsidTr="00A20EB2">
        <w:trPr>
          <w:cantSplit/>
        </w:trPr>
        <w:tc>
          <w:tcPr>
            <w:tcW w:w="1502" w:type="dxa"/>
            <w:vMerge w:val="restart"/>
          </w:tcPr>
          <w:p w14:paraId="6FAF1F8A" w14:textId="77777777" w:rsidR="002109CF" w:rsidRDefault="002109CF" w:rsidP="00603215">
            <w:pPr>
              <w:pStyle w:val="DHHStabletext"/>
            </w:pPr>
            <w:r>
              <w:t>Timely access to care</w:t>
            </w:r>
          </w:p>
        </w:tc>
        <w:tc>
          <w:tcPr>
            <w:tcW w:w="2179" w:type="dxa"/>
          </w:tcPr>
          <w:p w14:paraId="2C59E9C5" w14:textId="77777777" w:rsidR="002109CF" w:rsidRDefault="002109CF" w:rsidP="00603215">
            <w:pPr>
              <w:pStyle w:val="DHHStabletext"/>
            </w:pPr>
            <w:r>
              <w:t>Workforce sustainability</w:t>
            </w:r>
          </w:p>
        </w:tc>
        <w:tc>
          <w:tcPr>
            <w:tcW w:w="5618" w:type="dxa"/>
          </w:tcPr>
          <w:p w14:paraId="1069EF21" w14:textId="77777777" w:rsidR="002109CF" w:rsidRDefault="002109CF" w:rsidP="00603215">
            <w:pPr>
              <w:pStyle w:val="DHHStabletext"/>
            </w:pPr>
            <w:r>
              <w:t>Ongoing vacancies within clinical areas</w:t>
            </w:r>
          </w:p>
          <w:p w14:paraId="4B07802E" w14:textId="77777777" w:rsidR="002109CF" w:rsidRDefault="002109CF" w:rsidP="00603215">
            <w:pPr>
              <w:pStyle w:val="DHHStabletext"/>
            </w:pPr>
            <w:r>
              <w:t>No evidence of current workforce plan</w:t>
            </w:r>
          </w:p>
          <w:p w14:paraId="79CD5194" w14:textId="77777777" w:rsidR="002109CF" w:rsidRDefault="002109CF" w:rsidP="00603215">
            <w:pPr>
              <w:pStyle w:val="DHHStabletext"/>
            </w:pPr>
            <w:r>
              <w:t>Workforce profile that does not match projected future needs (e.g. ageing workforce, changing community needs)</w:t>
            </w:r>
          </w:p>
        </w:tc>
      </w:tr>
      <w:tr w:rsidR="002109CF" w14:paraId="36636F6B" w14:textId="77777777" w:rsidTr="00A20EB2">
        <w:trPr>
          <w:cantSplit/>
        </w:trPr>
        <w:tc>
          <w:tcPr>
            <w:tcW w:w="1502" w:type="dxa"/>
            <w:vMerge/>
          </w:tcPr>
          <w:p w14:paraId="5538D2CF" w14:textId="77777777" w:rsidR="002109CF" w:rsidRDefault="002109CF" w:rsidP="00603215">
            <w:pPr>
              <w:pStyle w:val="DHHStabletext"/>
            </w:pPr>
          </w:p>
        </w:tc>
        <w:tc>
          <w:tcPr>
            <w:tcW w:w="2179" w:type="dxa"/>
          </w:tcPr>
          <w:p w14:paraId="7FFC2FDA" w14:textId="77777777" w:rsidR="002109CF" w:rsidRDefault="002109CF" w:rsidP="00603215">
            <w:pPr>
              <w:pStyle w:val="DHHStabletext"/>
            </w:pPr>
            <w:r>
              <w:t>Service sustainability</w:t>
            </w:r>
          </w:p>
        </w:tc>
        <w:tc>
          <w:tcPr>
            <w:tcW w:w="5618" w:type="dxa"/>
          </w:tcPr>
          <w:p w14:paraId="08C4CA8A" w14:textId="77777777" w:rsidR="002109CF" w:rsidRDefault="002109CF" w:rsidP="00603215">
            <w:pPr>
              <w:pStyle w:val="DHHStabletext"/>
            </w:pPr>
            <w:r>
              <w:t>Interruption to service delivery</w:t>
            </w:r>
          </w:p>
          <w:p w14:paraId="009ACBDB" w14:textId="77777777" w:rsidR="002109CF" w:rsidRDefault="002109CF" w:rsidP="00603215">
            <w:pPr>
              <w:pStyle w:val="DHHStabletext"/>
            </w:pPr>
            <w:r>
              <w:t>Public profile / reputation impacting on service utilisation</w:t>
            </w:r>
          </w:p>
          <w:p w14:paraId="4D8B3B1E" w14:textId="77777777" w:rsidR="002109CF" w:rsidRDefault="002109CF" w:rsidP="00603215">
            <w:pPr>
              <w:pStyle w:val="DHHStabletext"/>
            </w:pPr>
            <w:r>
              <w:t>Changes in service volume impacting on service viability</w:t>
            </w:r>
          </w:p>
          <w:p w14:paraId="7167CE54" w14:textId="77777777" w:rsidR="002109CF" w:rsidRDefault="002109CF" w:rsidP="00603215">
            <w:pPr>
              <w:pStyle w:val="DHHStabletext"/>
            </w:pPr>
            <w:r>
              <w:t>Inability to adjust local service offerings to respond to changes in community needs</w:t>
            </w:r>
          </w:p>
        </w:tc>
      </w:tr>
      <w:tr w:rsidR="002109CF" w14:paraId="27B7CA94" w14:textId="77777777" w:rsidTr="00A20EB2">
        <w:trPr>
          <w:cantSplit/>
        </w:trPr>
        <w:tc>
          <w:tcPr>
            <w:tcW w:w="1502" w:type="dxa"/>
          </w:tcPr>
          <w:p w14:paraId="1FB61BF0" w14:textId="7ED4938E" w:rsidR="002109CF" w:rsidRDefault="002109CF" w:rsidP="00603215">
            <w:pPr>
              <w:pStyle w:val="DHHStabletext"/>
            </w:pPr>
            <w:r>
              <w:t xml:space="preserve">Effective </w:t>
            </w:r>
            <w:r w:rsidR="0007635A">
              <w:t>f</w:t>
            </w:r>
            <w:r>
              <w:t xml:space="preserve">inancial </w:t>
            </w:r>
            <w:r w:rsidR="0007635A">
              <w:t>m</w:t>
            </w:r>
            <w:r>
              <w:t>anagement</w:t>
            </w:r>
          </w:p>
        </w:tc>
        <w:tc>
          <w:tcPr>
            <w:tcW w:w="2179" w:type="dxa"/>
          </w:tcPr>
          <w:p w14:paraId="285A8547" w14:textId="77777777" w:rsidR="002109CF" w:rsidRPr="006621BE" w:rsidRDefault="002109CF" w:rsidP="00603215">
            <w:pPr>
              <w:pStyle w:val="DHHStabletext"/>
            </w:pPr>
            <w:r>
              <w:t>Financial sustainability</w:t>
            </w:r>
          </w:p>
        </w:tc>
        <w:tc>
          <w:tcPr>
            <w:tcW w:w="5618" w:type="dxa"/>
          </w:tcPr>
          <w:p w14:paraId="33B7CC63" w14:textId="77777777" w:rsidR="002109CF" w:rsidRDefault="002109CF" w:rsidP="00603215">
            <w:pPr>
              <w:pStyle w:val="DHHStabletext"/>
            </w:pPr>
            <w:r>
              <w:t>Prolonged history of financial problems</w:t>
            </w:r>
          </w:p>
          <w:p w14:paraId="2D28B268" w14:textId="77777777" w:rsidR="002109CF" w:rsidRDefault="002109CF" w:rsidP="00603215">
            <w:pPr>
              <w:pStyle w:val="DHHStabletext"/>
            </w:pPr>
            <w:r>
              <w:t>Deteriorating operating result and cash position</w:t>
            </w:r>
          </w:p>
          <w:p w14:paraId="0D50FB5A" w14:textId="77777777" w:rsidR="002109CF" w:rsidRDefault="002109CF" w:rsidP="00603215">
            <w:pPr>
              <w:pStyle w:val="DHHStabletext"/>
            </w:pPr>
            <w:r>
              <w:t>Inherent high costs structure to maintain service delivery</w:t>
            </w:r>
          </w:p>
          <w:p w14:paraId="76C76EAE" w14:textId="77777777" w:rsidR="002109CF" w:rsidRDefault="002109CF" w:rsidP="00603215">
            <w:pPr>
              <w:pStyle w:val="DHHStabletext"/>
            </w:pPr>
            <w:r>
              <w:t>Lack of responsiveness to resolve emerging financial issues</w:t>
            </w:r>
          </w:p>
          <w:p w14:paraId="5BEDF1E2" w14:textId="77777777" w:rsidR="002109CF" w:rsidRDefault="002109CF" w:rsidP="00603215">
            <w:pPr>
              <w:pStyle w:val="DHHStabletext"/>
            </w:pPr>
            <w:r>
              <w:t>Financial issues not recognised and/or escalated in a timely manner</w:t>
            </w:r>
          </w:p>
          <w:p w14:paraId="526561DD" w14:textId="3F2CF1FD" w:rsidR="002109CF" w:rsidRDefault="002109CF" w:rsidP="00603215">
            <w:pPr>
              <w:pStyle w:val="DHHStabletext"/>
            </w:pPr>
            <w:r>
              <w:t>Quality and timeliness of financial reporting and processes reflecting regular discrepancies/inaccuracies leading to a general lack of confidence in the data submitted</w:t>
            </w:r>
          </w:p>
          <w:p w14:paraId="1668314E" w14:textId="77777777" w:rsidR="002109CF" w:rsidRDefault="002109CF" w:rsidP="00603215">
            <w:pPr>
              <w:pStyle w:val="DHHStabletext"/>
            </w:pPr>
            <w:r>
              <w:t>Presence of a current loan with the department with limited resources to repay loan within contracted term</w:t>
            </w:r>
          </w:p>
          <w:p w14:paraId="363844E5" w14:textId="77777777" w:rsidR="002109CF" w:rsidRPr="002A452C" w:rsidRDefault="002109CF" w:rsidP="00603215">
            <w:pPr>
              <w:pStyle w:val="DHHStabletext"/>
            </w:pPr>
            <w:r>
              <w:t>Requirement for additional cash during financial year</w:t>
            </w:r>
          </w:p>
        </w:tc>
      </w:tr>
    </w:tbl>
    <w:p w14:paraId="5C850F56" w14:textId="7BB299F8" w:rsidR="00C50687" w:rsidRDefault="00404A15" w:rsidP="00C50687">
      <w:pPr>
        <w:pStyle w:val="Heading2"/>
      </w:pPr>
      <w:bookmarkStart w:id="116" w:name="_Toc516827362"/>
      <w:bookmarkStart w:id="117" w:name="_Toc517959146"/>
      <w:bookmarkStart w:id="118" w:name="_Toc15580103"/>
      <w:r>
        <w:lastRenderedPageBreak/>
        <w:t>Specific events</w:t>
      </w:r>
      <w:r w:rsidR="00132EF1">
        <w:t>:</w:t>
      </w:r>
      <w:r w:rsidR="0071472C">
        <w:t xml:space="preserve"> </w:t>
      </w:r>
      <w:r w:rsidR="00132EF1">
        <w:t>B</w:t>
      </w:r>
      <w:r w:rsidR="00FE527B">
        <w:t>reaches</w:t>
      </w:r>
      <w:bookmarkEnd w:id="118"/>
    </w:p>
    <w:p w14:paraId="6D495572" w14:textId="467B0906" w:rsidR="0076448E" w:rsidRDefault="001713AE" w:rsidP="005C64A9">
      <w:pPr>
        <w:pStyle w:val="DHHSbody"/>
      </w:pPr>
      <w:r>
        <w:t xml:space="preserve">The below </w:t>
      </w:r>
      <w:r w:rsidR="005C64A9">
        <w:t>event</w:t>
      </w:r>
      <w:r>
        <w:t>s</w:t>
      </w:r>
      <w:r w:rsidR="005C64A9">
        <w:t xml:space="preserve"> </w:t>
      </w:r>
      <w:r>
        <w:t xml:space="preserve">are considered </w:t>
      </w:r>
      <w:r w:rsidR="005C64A9">
        <w:t xml:space="preserve">a </w:t>
      </w:r>
      <w:r>
        <w:t xml:space="preserve">performance </w:t>
      </w:r>
      <w:r w:rsidR="005C64A9">
        <w:t>breach and require immediate escalation to the department</w:t>
      </w:r>
      <w:r w:rsidR="0076448E">
        <w:t>.</w:t>
      </w:r>
    </w:p>
    <w:p w14:paraId="152906ED" w14:textId="3A4C5D43" w:rsidR="001713AE" w:rsidRDefault="001713AE" w:rsidP="001713AE">
      <w:pPr>
        <w:pStyle w:val="DHHSbodyafterbullets"/>
        <w:rPr>
          <w:rFonts w:ascii="Arial" w:hAnsi="Arial" w:cs="Arial"/>
        </w:rPr>
      </w:pPr>
      <w:r>
        <w:rPr>
          <w:rFonts w:ascii="Arial" w:hAnsi="Arial" w:cs="Arial"/>
        </w:rPr>
        <w:t>Health services are required to notify the department (via the Director, Commissioning, Performance and Regulation, or the Director, Rural and Regional Health for rural</w:t>
      </w:r>
      <w:r w:rsidR="002A4249">
        <w:rPr>
          <w:rFonts w:ascii="Arial" w:hAnsi="Arial" w:cs="Arial"/>
        </w:rPr>
        <w:t xml:space="preserve"> and regional</w:t>
      </w:r>
      <w:r>
        <w:rPr>
          <w:rFonts w:ascii="Arial" w:hAnsi="Arial" w:cs="Arial"/>
        </w:rPr>
        <w:t xml:space="preserve"> health services) within 24 hours of a breach or becoming aware of a breach. Notification will </w:t>
      </w:r>
      <w:r w:rsidR="002A4249">
        <w:rPr>
          <w:rFonts w:ascii="Arial" w:hAnsi="Arial" w:cs="Arial"/>
        </w:rPr>
        <w:t xml:space="preserve">set out </w:t>
      </w:r>
      <w:r>
        <w:rPr>
          <w:rFonts w:ascii="Arial" w:hAnsi="Arial" w:cs="Arial"/>
        </w:rPr>
        <w:t>the circumstances and response to the breach</w:t>
      </w:r>
      <w:r w:rsidR="002A4249">
        <w:rPr>
          <w:rFonts w:ascii="Arial" w:hAnsi="Arial" w:cs="Arial"/>
        </w:rPr>
        <w:t>,</w:t>
      </w:r>
      <w:r>
        <w:rPr>
          <w:rFonts w:ascii="Arial" w:hAnsi="Arial" w:cs="Arial"/>
        </w:rPr>
        <w:t xml:space="preserve"> including whether patient safety has been compromised.</w:t>
      </w:r>
    </w:p>
    <w:p w14:paraId="2A477361" w14:textId="3E855C21" w:rsidR="005D61BA" w:rsidRPr="00A76850" w:rsidRDefault="004B57B0" w:rsidP="005C64A9">
      <w:pPr>
        <w:pStyle w:val="DHHSbody"/>
      </w:pPr>
      <w:r>
        <w:t>Details</w:t>
      </w:r>
      <w:r w:rsidR="00375350">
        <w:t xml:space="preserve"> </w:t>
      </w:r>
      <w:r>
        <w:t>for b</w:t>
      </w:r>
      <w:r w:rsidR="00BC6990" w:rsidRPr="00A76850">
        <w:t>reach</w:t>
      </w:r>
      <w:r w:rsidR="00142807">
        <w:t>es</w:t>
      </w:r>
      <w:r w:rsidR="00BC6990" w:rsidRPr="00A76850">
        <w:t xml:space="preserve"> </w:t>
      </w:r>
      <w:r w:rsidR="007672A2" w:rsidRPr="00554C1C">
        <w:t xml:space="preserve">of the following specific events have been </w:t>
      </w:r>
      <w:r w:rsidR="005D61BA" w:rsidRPr="00A76850">
        <w:t xml:space="preserve">outlined </w:t>
      </w:r>
      <w:r w:rsidR="007672A2" w:rsidRPr="00554C1C">
        <w:t>above</w:t>
      </w:r>
      <w:r w:rsidR="00CA6809" w:rsidRPr="00554C1C">
        <w:t xml:space="preserve"> in the </w:t>
      </w:r>
      <w:r w:rsidR="00A76850">
        <w:t xml:space="preserve">relevant </w:t>
      </w:r>
      <w:r w:rsidR="00CA6809" w:rsidRPr="00554C1C">
        <w:t>Key Performance Measure</w:t>
      </w:r>
      <w:r w:rsidR="00DD6A5D" w:rsidRPr="00A76850">
        <w:t>:</w:t>
      </w:r>
    </w:p>
    <w:p w14:paraId="3859A20F" w14:textId="656CE4B7" w:rsidR="005C64A9" w:rsidRPr="00554C1C" w:rsidRDefault="005C64A9" w:rsidP="005C64A9">
      <w:pPr>
        <w:pStyle w:val="DHHSbullet1"/>
      </w:pPr>
      <w:r w:rsidRPr="00554C1C">
        <w:t>Emergency Care Triage Category 1 failure</w:t>
      </w:r>
    </w:p>
    <w:p w14:paraId="61AADB9C" w14:textId="476F5B43" w:rsidR="005C64A9" w:rsidRPr="00554C1C" w:rsidRDefault="005C64A9" w:rsidP="005C64A9">
      <w:pPr>
        <w:pStyle w:val="DHHSbullet1"/>
      </w:pPr>
      <w:r w:rsidRPr="00554C1C">
        <w:t>Emergency Department 24 hours waiting time failure</w:t>
      </w:r>
    </w:p>
    <w:p w14:paraId="72B7D86B" w14:textId="32FD8610" w:rsidR="005C64A9" w:rsidRPr="00554C1C" w:rsidRDefault="005C64A9" w:rsidP="005C64A9">
      <w:pPr>
        <w:pStyle w:val="DHHSbullet1"/>
      </w:pPr>
      <w:r w:rsidRPr="00554C1C">
        <w:t>Elective Surgery Category 1 admissions</w:t>
      </w:r>
    </w:p>
    <w:p w14:paraId="430CE3C3" w14:textId="21F625D2" w:rsidR="00CD238B" w:rsidRPr="00554C1C" w:rsidRDefault="00CD238B" w:rsidP="005C64A9">
      <w:pPr>
        <w:pStyle w:val="DHHSbullet1"/>
      </w:pPr>
      <w:r w:rsidRPr="00554C1C">
        <w:t>Compliance with Aged Care Standards</w:t>
      </w:r>
      <w:r w:rsidR="002C07B8" w:rsidRPr="00554C1C">
        <w:t>.</w:t>
      </w:r>
    </w:p>
    <w:p w14:paraId="20FD89DD" w14:textId="0FB675AC" w:rsidR="005D61BA" w:rsidRPr="00554C1C" w:rsidRDefault="004B57B0" w:rsidP="00037D8B">
      <w:pPr>
        <w:pStyle w:val="DHHSbodyafterbullets"/>
      </w:pPr>
      <w:r>
        <w:t>Details</w:t>
      </w:r>
      <w:r w:rsidR="00375350" w:rsidRPr="00554C1C">
        <w:t xml:space="preserve"> for b</w:t>
      </w:r>
      <w:r w:rsidR="00A76850" w:rsidRPr="00554C1C">
        <w:t xml:space="preserve">reaches of the </w:t>
      </w:r>
      <w:r w:rsidR="000A0D17" w:rsidRPr="00554C1C">
        <w:t>follow</w:t>
      </w:r>
      <w:r w:rsidR="00375350" w:rsidRPr="00554C1C">
        <w:t xml:space="preserve">ing </w:t>
      </w:r>
      <w:r w:rsidR="003032FA">
        <w:t xml:space="preserve">specific events </w:t>
      </w:r>
      <w:r w:rsidR="00375350" w:rsidRPr="00554C1C">
        <w:t>are outlined below</w:t>
      </w:r>
      <w:r w:rsidR="00D56FD0" w:rsidRPr="00554C1C">
        <w:t>:</w:t>
      </w:r>
    </w:p>
    <w:p w14:paraId="29E66C83" w14:textId="06742B50" w:rsidR="009C6E64" w:rsidRPr="00554C1C" w:rsidRDefault="009C6E64" w:rsidP="009C6E64">
      <w:pPr>
        <w:pStyle w:val="DHHSbullet1"/>
      </w:pPr>
      <w:r w:rsidRPr="00554C1C">
        <w:t>Compliance with the National Safety and Quality Health Service standards</w:t>
      </w:r>
    </w:p>
    <w:p w14:paraId="31AE4772" w14:textId="580FD8E5" w:rsidR="0076448E" w:rsidRPr="00554C1C" w:rsidRDefault="0076448E">
      <w:pPr>
        <w:pStyle w:val="DHHSbullet1"/>
      </w:pPr>
      <w:r w:rsidRPr="00554C1C">
        <w:t xml:space="preserve">Colonoscopy Category </w:t>
      </w:r>
      <w:r w:rsidR="00401A9B" w:rsidRPr="00554C1C">
        <w:t>1</w:t>
      </w:r>
      <w:r w:rsidRPr="00554C1C">
        <w:t xml:space="preserve"> not treated within recommended time</w:t>
      </w:r>
      <w:r w:rsidR="002C07B8" w:rsidRPr="00554C1C">
        <w:t>.</w:t>
      </w:r>
    </w:p>
    <w:p w14:paraId="26EC9337" w14:textId="65CCF5B7" w:rsidR="0085164B" w:rsidRPr="009D4646" w:rsidRDefault="0085164B" w:rsidP="00037D8B">
      <w:pPr>
        <w:pStyle w:val="Heading3"/>
      </w:pPr>
      <w:bookmarkStart w:id="119" w:name="_Toc15580104"/>
      <w:r>
        <w:t>Accreditation</w:t>
      </w:r>
      <w:r w:rsidR="00597F81">
        <w:t xml:space="preserve"> breach</w:t>
      </w:r>
      <w:bookmarkEnd w:id="119"/>
    </w:p>
    <w:p w14:paraId="51049556" w14:textId="77777777" w:rsidR="00F1426A" w:rsidRPr="009E58B4" w:rsidRDefault="00F1426A" w:rsidP="00F1426A">
      <w:pPr>
        <w:pStyle w:val="Heading4"/>
      </w:pPr>
      <w:bookmarkStart w:id="120" w:name="_Toc15580105"/>
      <w:r w:rsidRPr="009E58B4">
        <w:t>Compliance with the National Safety and Quality Health Service standards</w:t>
      </w:r>
      <w:bookmarkEnd w:id="120"/>
    </w:p>
    <w:p w14:paraId="37E1E74C" w14:textId="7D5641AC" w:rsidR="00F1426A" w:rsidRPr="0098470E" w:rsidRDefault="00F1426A" w:rsidP="00F1426A">
      <w:pPr>
        <w:pStyle w:val="DHHSbody"/>
      </w:pPr>
      <w:r w:rsidRPr="0098470E">
        <w:t>Consistent with the Australian Health Service Safety and Quality Accreditation Scheme</w:t>
      </w:r>
      <w:r w:rsidR="00A13936">
        <w:t xml:space="preserve"> (the Scheme)</w:t>
      </w:r>
      <w:r w:rsidR="00500B38">
        <w:t>,</w:t>
      </w:r>
      <w:r w:rsidRPr="0098470E">
        <w:t xml:space="preserve"> health services are required to be accredited against the National Safety and Quality Health Service Standards (NSQHS standards).</w:t>
      </w:r>
    </w:p>
    <w:p w14:paraId="70732D64" w14:textId="71226436" w:rsidR="00F1426A" w:rsidRPr="0098470E" w:rsidRDefault="00F1426A" w:rsidP="00F1426A">
      <w:pPr>
        <w:pStyle w:val="DHHSbody"/>
      </w:pPr>
      <w:r w:rsidRPr="0098470E">
        <w:t xml:space="preserve">This scheme applies to all </w:t>
      </w:r>
      <w:r w:rsidR="00A17A1C">
        <w:t xml:space="preserve">public </w:t>
      </w:r>
      <w:r w:rsidRPr="0098470E">
        <w:t>health services. It includes contracted/outsourced services as if they are being provided by the health service.</w:t>
      </w:r>
    </w:p>
    <w:p w14:paraId="0DA14CEB" w14:textId="4F6B5EC8" w:rsidR="00F1426A" w:rsidRPr="0098470E" w:rsidRDefault="00F1426A" w:rsidP="00F1426A">
      <w:pPr>
        <w:pStyle w:val="DHHSbody"/>
      </w:pPr>
      <w:r w:rsidRPr="0098470E">
        <w:t xml:space="preserve">Under the </w:t>
      </w:r>
      <w:r w:rsidR="00B46F23">
        <w:t>S</w:t>
      </w:r>
      <w:r w:rsidRPr="0098470E">
        <w:t>cheme</w:t>
      </w:r>
      <w:r w:rsidR="00B46F23">
        <w:t>,</w:t>
      </w:r>
      <w:r w:rsidRPr="0098470E">
        <w:t xml:space="preserve"> the department, as the jurisdictional regulator, has responsibility for verifying the accreditation status of Victorian public health services.</w:t>
      </w:r>
    </w:p>
    <w:p w14:paraId="001082F4" w14:textId="08BDBF3E" w:rsidR="00F1426A" w:rsidRDefault="00F1426A" w:rsidP="00F1426A">
      <w:pPr>
        <w:pStyle w:val="DHHSbody"/>
        <w:rPr>
          <w:color w:val="000000" w:themeColor="text1"/>
        </w:rPr>
      </w:pPr>
      <w:r w:rsidRPr="0098470E">
        <w:t xml:space="preserve">In the event of an identified significant patient risk or </w:t>
      </w:r>
      <w:r>
        <w:t>‘</w:t>
      </w:r>
      <w:r w:rsidRPr="0098470E">
        <w:t>not met</w:t>
      </w:r>
      <w:r>
        <w:t>’</w:t>
      </w:r>
      <w:r w:rsidRPr="0098470E">
        <w:t xml:space="preserve"> core action item, health services are required to immediately notify the department and submit an action plan to them addressing the issues. The </w:t>
      </w:r>
      <w:r w:rsidRPr="0098470E">
        <w:rPr>
          <w:i/>
        </w:rPr>
        <w:t xml:space="preserve">Accreditation – Performance monitoring and regulatory approach business rules </w:t>
      </w:r>
      <w:r w:rsidRPr="0098470E">
        <w:t>outline the department</w:t>
      </w:r>
      <w:r>
        <w:t>’</w:t>
      </w:r>
      <w:r w:rsidRPr="0098470E">
        <w:t xml:space="preserve">s approach to monitoring performance of public health services against the NSQHS </w:t>
      </w:r>
      <w:r>
        <w:t>standards</w:t>
      </w:r>
      <w:r w:rsidRPr="0098470E">
        <w:t xml:space="preserve">. Further details on the accreditation requirements can be found at </w:t>
      </w:r>
      <w:hyperlink r:id="rId26" w:history="1">
        <w:r w:rsidRPr="00A15D08">
          <w:rPr>
            <w:rStyle w:val="Hyperlink"/>
            <w:szCs w:val="19"/>
          </w:rPr>
          <w:t>HealthVic public hospital accreditation</w:t>
        </w:r>
      </w:hyperlink>
      <w:r>
        <w:rPr>
          <w:szCs w:val="19"/>
        </w:rPr>
        <w:t xml:space="preserve"> </w:t>
      </w:r>
      <w:r w:rsidR="001D5351">
        <w:rPr>
          <w:szCs w:val="19"/>
        </w:rPr>
        <w:t>&lt;</w:t>
      </w:r>
      <w:r w:rsidRPr="001D5351">
        <w:t>https://www2.health.vic.gov.au/hospitals-and-health-services/quality-safety-service/hospital-accreditation</w:t>
      </w:r>
      <w:r w:rsidR="001D5351">
        <w:t>&gt;.</w:t>
      </w:r>
    </w:p>
    <w:p w14:paraId="08F61FF1" w14:textId="7D0D3D8B" w:rsidR="00F1426A" w:rsidRDefault="00F1426A" w:rsidP="00F1426A">
      <w:pPr>
        <w:pStyle w:val="DHHSbody"/>
      </w:pPr>
      <w:r>
        <w:t>For Ambulance Victoria</w:t>
      </w:r>
      <w:r w:rsidR="00A13936">
        <w:t>,</w:t>
      </w:r>
      <w:r>
        <w:t xml:space="preserve"> </w:t>
      </w:r>
      <w:r w:rsidRPr="0098470E">
        <w:t>ISO 9001:2008 (quality management s</w:t>
      </w:r>
      <w:r>
        <w:t>ystem) certification applies.</w:t>
      </w:r>
    </w:p>
    <w:p w14:paraId="653428F3" w14:textId="77777777" w:rsidR="00F1426A" w:rsidRPr="00641731" w:rsidRDefault="00F1426A" w:rsidP="00F1426A">
      <w:pPr>
        <w:pStyle w:val="Heading5"/>
      </w:pPr>
      <w:r w:rsidRPr="00641731">
        <w:t>Performance breach</w:t>
      </w:r>
    </w:p>
    <w:p w14:paraId="1D13D61A" w14:textId="233B366C" w:rsidR="00F1426A" w:rsidRDefault="00F1426A" w:rsidP="00F1426A">
      <w:pPr>
        <w:pStyle w:val="DHHSbody"/>
      </w:pPr>
      <w:r w:rsidRPr="0098470E">
        <w:t xml:space="preserve">A </w:t>
      </w:r>
      <w:r w:rsidR="00A13936">
        <w:t>‘</w:t>
      </w:r>
      <w:r w:rsidRPr="0098470E">
        <w:t>not met</w:t>
      </w:r>
      <w:r w:rsidR="00A13936">
        <w:t>’</w:t>
      </w:r>
      <w:r w:rsidRPr="0098470E">
        <w:t xml:space="preserve"> criteria for accreditation is considered a performance breach. </w:t>
      </w:r>
    </w:p>
    <w:p w14:paraId="1D097352" w14:textId="29803F99" w:rsidR="00F1426A" w:rsidRPr="0098470E" w:rsidRDefault="00F1426A" w:rsidP="00F1426A">
      <w:pPr>
        <w:pStyle w:val="DHHSbody"/>
      </w:pPr>
      <w:r>
        <w:t xml:space="preserve">Under </w:t>
      </w:r>
      <w:r w:rsidR="00A13936">
        <w:t>a</w:t>
      </w:r>
      <w:r>
        <w:t xml:space="preserve">ccountability and funding requirements within the </w:t>
      </w:r>
      <w:r w:rsidR="00A13936">
        <w:t>SOP, a</w:t>
      </w:r>
      <w:r>
        <w:t xml:space="preserve"> health service must comply with the requirements for accreditation c</w:t>
      </w:r>
      <w:r w:rsidRPr="0098470E">
        <w:t>onsistent with the Scheme</w:t>
      </w:r>
      <w:r>
        <w:t>.</w:t>
      </w:r>
    </w:p>
    <w:p w14:paraId="549EFC8B" w14:textId="08B02761" w:rsidR="000C41C2" w:rsidRPr="00A348BC" w:rsidRDefault="000C41C2" w:rsidP="00F1426A">
      <w:pPr>
        <w:pStyle w:val="Heading3"/>
      </w:pPr>
      <w:bookmarkStart w:id="121" w:name="_Toc15580106"/>
      <w:r w:rsidRPr="00DD2526">
        <w:lastRenderedPageBreak/>
        <w:t xml:space="preserve">Colonoscopy Category </w:t>
      </w:r>
      <w:r w:rsidR="00597F81">
        <w:t>1 breach</w:t>
      </w:r>
      <w:bookmarkEnd w:id="121"/>
    </w:p>
    <w:p w14:paraId="46A1FBFC" w14:textId="77777777" w:rsidR="00F1426A" w:rsidRPr="00A348BC" w:rsidRDefault="00F1426A" w:rsidP="00F1426A">
      <w:pPr>
        <w:pStyle w:val="Heading4"/>
      </w:pPr>
      <w:bookmarkStart w:id="122" w:name="_Toc15580107"/>
      <w:r w:rsidRPr="003B027F">
        <w:t>Colonoscopy Category 1 not treated within recommended time</w:t>
      </w:r>
      <w:bookmarkEnd w:id="122"/>
    </w:p>
    <w:p w14:paraId="4F4CDB5F" w14:textId="78AC9687" w:rsidR="00F1426A" w:rsidRPr="00DD2526" w:rsidRDefault="00F1426A" w:rsidP="001D5351">
      <w:pPr>
        <w:pStyle w:val="DHHSbody"/>
        <w:rPr>
          <w:b/>
        </w:rPr>
      </w:pPr>
      <w:r w:rsidRPr="00DD2526">
        <w:t xml:space="preserve">In 2018, Victoria introduced statewide risk stratified guidelines for the categorisation of colonoscopy procedures for all public hospitals. Patients who are considered a category </w:t>
      </w:r>
      <w:r w:rsidR="00003860">
        <w:t>1</w:t>
      </w:r>
      <w:r w:rsidR="00003860" w:rsidRPr="00DD2526">
        <w:t xml:space="preserve"> </w:t>
      </w:r>
      <w:r w:rsidR="00B764D0" w:rsidRPr="00DD2526">
        <w:t>(the most urgent category)</w:t>
      </w:r>
      <w:r w:rsidR="00B764D0">
        <w:t xml:space="preserve"> </w:t>
      </w:r>
      <w:r w:rsidRPr="00DD2526">
        <w:t>patient against the guidelines are those most at risk of having a suspected colorectal cancer.</w:t>
      </w:r>
    </w:p>
    <w:p w14:paraId="5288A9C5" w14:textId="0B8E2496" w:rsidR="00F1426A" w:rsidRDefault="00A81607" w:rsidP="006D2170">
      <w:pPr>
        <w:pStyle w:val="DHHStabletextsubhead"/>
        <w:spacing w:before="160"/>
        <w:rPr>
          <w:b w:val="0"/>
        </w:rPr>
      </w:pPr>
      <w:r>
        <w:rPr>
          <w:b w:val="0"/>
        </w:rPr>
        <w:t>C</w:t>
      </w:r>
      <w:r w:rsidR="00F1426A" w:rsidRPr="00DD2526">
        <w:rPr>
          <w:b w:val="0"/>
        </w:rPr>
        <w:t xml:space="preserve">ategory </w:t>
      </w:r>
      <w:r w:rsidR="00B764D0">
        <w:rPr>
          <w:b w:val="0"/>
        </w:rPr>
        <w:t>1</w:t>
      </w:r>
      <w:r w:rsidR="00B764D0" w:rsidRPr="00DD2526">
        <w:rPr>
          <w:b w:val="0"/>
        </w:rPr>
        <w:t xml:space="preserve"> </w:t>
      </w:r>
      <w:r w:rsidR="00F1426A">
        <w:rPr>
          <w:b w:val="0"/>
        </w:rPr>
        <w:t xml:space="preserve">colonoscopy </w:t>
      </w:r>
      <w:r w:rsidR="00F1426A" w:rsidRPr="00DD2526">
        <w:rPr>
          <w:b w:val="0"/>
        </w:rPr>
        <w:t xml:space="preserve">patients are patients </w:t>
      </w:r>
      <w:r>
        <w:rPr>
          <w:b w:val="0"/>
        </w:rPr>
        <w:t xml:space="preserve">that require treatment </w:t>
      </w:r>
      <w:r w:rsidR="00F1426A" w:rsidRPr="00DD2526">
        <w:rPr>
          <w:b w:val="0"/>
        </w:rPr>
        <w:t>within 30 days</w:t>
      </w:r>
      <w:r w:rsidR="00F1426A">
        <w:rPr>
          <w:b w:val="0"/>
        </w:rPr>
        <w:t>.</w:t>
      </w:r>
    </w:p>
    <w:p w14:paraId="0F923A17" w14:textId="725E53A9" w:rsidR="00F1426A" w:rsidRPr="001D5351" w:rsidRDefault="00F1426A" w:rsidP="001D5351">
      <w:pPr>
        <w:pStyle w:val="DHHSbody"/>
      </w:pPr>
      <w:bookmarkStart w:id="123" w:name="_Hlk5103603"/>
      <w:r w:rsidRPr="001D5351">
        <w:t xml:space="preserve">Colonoscopy categorisation guidelines </w:t>
      </w:r>
      <w:r w:rsidR="00E23227">
        <w:t xml:space="preserve">are </w:t>
      </w:r>
      <w:r w:rsidRPr="001D5351">
        <w:t>available from</w:t>
      </w:r>
      <w:r w:rsidR="001D5351" w:rsidRPr="001D5351">
        <w:t xml:space="preserve"> the </w:t>
      </w:r>
      <w:hyperlink r:id="rId27" w:history="1">
        <w:r w:rsidR="001D5351" w:rsidRPr="001D5351">
          <w:rPr>
            <w:rStyle w:val="Hyperlink"/>
          </w:rPr>
          <w:t>Specialist clinics – resources webpage</w:t>
        </w:r>
      </w:hyperlink>
      <w:r w:rsidR="001D5351" w:rsidRPr="001D5351">
        <w:t xml:space="preserve"> &lt;</w:t>
      </w:r>
      <w:r w:rsidRPr="001D5351">
        <w:t>https://www2.health.vic.gov.au/hospitals-and-health-services/patient-care/specialist-clinics/specialist-clinics-program/specialist-clinics-resources</w:t>
      </w:r>
      <w:bookmarkEnd w:id="123"/>
      <w:r w:rsidR="001D5351" w:rsidRPr="001D5351">
        <w:t>&gt;.</w:t>
      </w:r>
    </w:p>
    <w:p w14:paraId="77CB4251" w14:textId="77777777" w:rsidR="00F1426A" w:rsidRPr="00641731" w:rsidRDefault="00F1426A" w:rsidP="00F1426A">
      <w:pPr>
        <w:pStyle w:val="Heading5"/>
      </w:pPr>
      <w:r w:rsidRPr="00641731">
        <w:t>Performance breach</w:t>
      </w:r>
    </w:p>
    <w:p w14:paraId="4BBC25F2" w14:textId="753617CB" w:rsidR="00F1426A" w:rsidRPr="00DD2526" w:rsidRDefault="00F1426A" w:rsidP="00F1426A">
      <w:pPr>
        <w:pStyle w:val="DHHSbody"/>
      </w:pPr>
      <w:r w:rsidRPr="00DD2526">
        <w:t xml:space="preserve">A category </w:t>
      </w:r>
      <w:r w:rsidR="00E23227">
        <w:t>1</w:t>
      </w:r>
      <w:r w:rsidR="00E23227" w:rsidRPr="00DD2526">
        <w:t xml:space="preserve"> </w:t>
      </w:r>
      <w:r>
        <w:t>c</w:t>
      </w:r>
      <w:r w:rsidRPr="00DD2526">
        <w:t>olonoscopy patient is overdue when the number of days since the patient was accepted by the health service for an urgent colonoscopy has exceeded 30 days</w:t>
      </w:r>
      <w:r w:rsidR="00834B19">
        <w:t>,</w:t>
      </w:r>
      <w:r w:rsidRPr="00DD2526">
        <w:t xml:space="preserve"> and the event has been verified and confirmed as accurate. The patient will then be regarded as a </w:t>
      </w:r>
      <w:r w:rsidR="00834B19">
        <w:t xml:space="preserve">performance </w:t>
      </w:r>
      <w:r w:rsidRPr="00DD2526">
        <w:t>breach and a departmental notification procedure must be initiated by the health service.</w:t>
      </w:r>
    </w:p>
    <w:p w14:paraId="0C088CF5" w14:textId="72104996" w:rsidR="00F1426A" w:rsidRPr="00DD2526" w:rsidRDefault="00F1426A" w:rsidP="00F1426A">
      <w:pPr>
        <w:pStyle w:val="DHHSbody"/>
      </w:pPr>
      <w:r w:rsidRPr="00DD2526">
        <w:t xml:space="preserve">It is </w:t>
      </w:r>
      <w:r w:rsidR="00834B19">
        <w:t>acknowledged</w:t>
      </w:r>
      <w:r w:rsidR="00834B19" w:rsidRPr="00DD2526">
        <w:t xml:space="preserve"> </w:t>
      </w:r>
      <w:r w:rsidRPr="00DD2526">
        <w:t xml:space="preserve">there </w:t>
      </w:r>
      <w:r>
        <w:t>are</w:t>
      </w:r>
      <w:r w:rsidRPr="00DD2526">
        <w:t xml:space="preserve"> currently no agreed data standards for procedural waiting list management. Until that work is completed, the following is to be used by health services</w:t>
      </w:r>
      <w:r w:rsidR="00D472BB">
        <w:t>:</w:t>
      </w:r>
    </w:p>
    <w:p w14:paraId="3F1456E4" w14:textId="795E3791" w:rsidR="00F1426A" w:rsidRPr="00DD2526" w:rsidRDefault="00F1426A" w:rsidP="00F1426A">
      <w:pPr>
        <w:pStyle w:val="DHHSnumberdigit"/>
      </w:pPr>
      <w:r w:rsidRPr="00DD2526">
        <w:t>Date of registration for urgent cat</w:t>
      </w:r>
      <w:r>
        <w:t>egory</w:t>
      </w:r>
      <w:r w:rsidRPr="00DD2526">
        <w:t xml:space="preserve"> </w:t>
      </w:r>
      <w:r w:rsidR="00D472BB">
        <w:t>1</w:t>
      </w:r>
      <w:r w:rsidR="00D472BB" w:rsidRPr="00DD2526">
        <w:t xml:space="preserve"> </w:t>
      </w:r>
      <w:r w:rsidRPr="00DD2526">
        <w:t xml:space="preserve">procedure: the date the health service agrees the procedure is required and the </w:t>
      </w:r>
      <w:r>
        <w:t xml:space="preserve">patient is confirmed as a </w:t>
      </w:r>
      <w:r w:rsidRPr="00DD2526">
        <w:t xml:space="preserve">category </w:t>
      </w:r>
      <w:r w:rsidR="00D472BB">
        <w:t>1</w:t>
      </w:r>
      <w:r w:rsidR="00D472BB" w:rsidRPr="00DD2526">
        <w:t xml:space="preserve"> </w:t>
      </w:r>
      <w:r>
        <w:t xml:space="preserve">patient </w:t>
      </w:r>
      <w:r w:rsidRPr="00DD2526">
        <w:t xml:space="preserve">(as per </w:t>
      </w:r>
      <w:r w:rsidR="00E5171A">
        <w:t xml:space="preserve">the </w:t>
      </w:r>
      <w:r w:rsidRPr="00DD2526">
        <w:t xml:space="preserve">colonoscopy </w:t>
      </w:r>
      <w:r w:rsidR="00E5171A">
        <w:t xml:space="preserve">categorisation </w:t>
      </w:r>
      <w:r w:rsidRPr="00DD2526">
        <w:t>guidelines)</w:t>
      </w:r>
      <w:r w:rsidR="00E5171A">
        <w:t xml:space="preserve"> and</w:t>
      </w:r>
    </w:p>
    <w:p w14:paraId="0A563209" w14:textId="77777777" w:rsidR="00F1426A" w:rsidRPr="00DD2526" w:rsidRDefault="00F1426A" w:rsidP="00F1426A">
      <w:pPr>
        <w:pStyle w:val="DHHSnumberdigit"/>
      </w:pPr>
      <w:r w:rsidRPr="00DD2526">
        <w:t>Date of admission: Date on which an admitted patient commences an episode of care during which the patient receives the awaited procedure</w:t>
      </w:r>
      <w:r>
        <w:t>.</w:t>
      </w:r>
    </w:p>
    <w:p w14:paraId="27CA4881" w14:textId="608ABADF" w:rsidR="00F1426A" w:rsidRPr="00F5316F" w:rsidRDefault="00F1426A" w:rsidP="00F1426A">
      <w:pPr>
        <w:pStyle w:val="DHHSbody"/>
      </w:pPr>
      <w:r>
        <w:t>A b</w:t>
      </w:r>
      <w:r w:rsidRPr="00DD2526">
        <w:t xml:space="preserve">reach is </w:t>
      </w:r>
      <w:r>
        <w:t xml:space="preserve">when the </w:t>
      </w:r>
      <w:r w:rsidRPr="00DD2526">
        <w:t xml:space="preserve">difference between </w:t>
      </w:r>
      <w:r>
        <w:t>(</w:t>
      </w:r>
      <w:r w:rsidRPr="00DD2526">
        <w:t>1</w:t>
      </w:r>
      <w:r>
        <w:t>)</w:t>
      </w:r>
      <w:r w:rsidRPr="00DD2526">
        <w:t xml:space="preserve"> and </w:t>
      </w:r>
      <w:r>
        <w:t>(</w:t>
      </w:r>
      <w:r w:rsidRPr="00DD2526">
        <w:t>2</w:t>
      </w:r>
      <w:r>
        <w:t>)</w:t>
      </w:r>
      <w:r w:rsidRPr="00DD2526">
        <w:t xml:space="preserve"> </w:t>
      </w:r>
      <w:r>
        <w:t>is</w:t>
      </w:r>
      <w:r w:rsidRPr="00DD2526">
        <w:t xml:space="preserve"> 31 days or more</w:t>
      </w:r>
      <w:r w:rsidR="00E5171A">
        <w:t>.</w:t>
      </w:r>
    </w:p>
    <w:p w14:paraId="14AC48B6" w14:textId="0D8CF7A8" w:rsidR="633FF30B" w:rsidRPr="001308D1" w:rsidRDefault="26072B21" w:rsidP="00037D8B">
      <w:pPr>
        <w:pStyle w:val="Heading2"/>
      </w:pPr>
      <w:bookmarkStart w:id="124" w:name="_Toc11765758"/>
      <w:bookmarkStart w:id="125" w:name="_Toc15580108"/>
      <w:bookmarkEnd w:id="116"/>
      <w:bookmarkEnd w:id="117"/>
      <w:r w:rsidRPr="001308D1">
        <w:lastRenderedPageBreak/>
        <w:t xml:space="preserve">Attachment A: </w:t>
      </w:r>
      <w:r w:rsidR="633FF30B" w:rsidRPr="000A21AD">
        <w:t>List of health services/campuses required to report Coronary Artery Bypass Graft surgical site infections</w:t>
      </w:r>
      <w:bookmarkEnd w:id="125"/>
    </w:p>
    <w:p w14:paraId="4C58CF61" w14:textId="77777777" w:rsidR="00037D8B" w:rsidRPr="00037D8B" w:rsidRDefault="00037D8B" w:rsidP="00037D8B">
      <w:pPr>
        <w:pStyle w:val="DHHSbodysmallspace"/>
      </w:pPr>
      <w:r w:rsidRPr="00037D8B">
        <w:t>The Alfred – Alfred Health</w:t>
      </w:r>
    </w:p>
    <w:p w14:paraId="0618A032" w14:textId="77777777" w:rsidR="00037D8B" w:rsidRPr="00037D8B" w:rsidRDefault="00037D8B" w:rsidP="00037D8B">
      <w:pPr>
        <w:pStyle w:val="DHHSbodysmallspace"/>
      </w:pPr>
      <w:r w:rsidRPr="00037D8B">
        <w:t>Royal Melbourne Hospital – Melbourne Health</w:t>
      </w:r>
    </w:p>
    <w:p w14:paraId="79C65D7A" w14:textId="77777777" w:rsidR="00037D8B" w:rsidRPr="00037D8B" w:rsidRDefault="00037D8B" w:rsidP="00037D8B">
      <w:pPr>
        <w:pStyle w:val="DHHSbodysmallspace"/>
      </w:pPr>
      <w:r w:rsidRPr="00037D8B">
        <w:t>St Vincent's Hospital</w:t>
      </w:r>
    </w:p>
    <w:p w14:paraId="49FCFDD1" w14:textId="77777777" w:rsidR="00037D8B" w:rsidRPr="00037D8B" w:rsidRDefault="00037D8B" w:rsidP="00037D8B">
      <w:pPr>
        <w:pStyle w:val="DHHSbodysmallspace"/>
      </w:pPr>
      <w:r w:rsidRPr="00037D8B">
        <w:t xml:space="preserve">The Austin – Austin Health </w:t>
      </w:r>
    </w:p>
    <w:p w14:paraId="09A2155E" w14:textId="77777777" w:rsidR="00037D8B" w:rsidRPr="00037D8B" w:rsidRDefault="00037D8B" w:rsidP="00037D8B">
      <w:pPr>
        <w:pStyle w:val="DHHSbodysmallspace"/>
      </w:pPr>
      <w:r w:rsidRPr="00037D8B">
        <w:t>Monash Medical Centre [Clayton] – Monash Health</w:t>
      </w:r>
    </w:p>
    <w:p w14:paraId="2A1A73D8" w14:textId="77777777" w:rsidR="00037D8B" w:rsidRPr="00037D8B" w:rsidRDefault="00037D8B" w:rsidP="00037D8B">
      <w:pPr>
        <w:pStyle w:val="DHHSbodysmallspace"/>
      </w:pPr>
      <w:r w:rsidRPr="00037D8B">
        <w:t>University Hospital Geelong – Barwon Health</w:t>
      </w:r>
    </w:p>
    <w:p w14:paraId="797BF648" w14:textId="50740ABB" w:rsidR="004A085A" w:rsidRDefault="004A085A" w:rsidP="00037D8B">
      <w:pPr>
        <w:pStyle w:val="Heading2"/>
      </w:pPr>
      <w:bookmarkStart w:id="126" w:name="_Toc15580109"/>
      <w:r w:rsidRPr="00AD147B">
        <w:lastRenderedPageBreak/>
        <w:t xml:space="preserve">Attachment </w:t>
      </w:r>
      <w:r w:rsidR="579AE4EE" w:rsidRPr="00AD147B">
        <w:t>B</w:t>
      </w:r>
      <w:r w:rsidRPr="3D96FA35">
        <w:t xml:space="preserve">: </w:t>
      </w:r>
      <w:r w:rsidRPr="0098470E">
        <w:t xml:space="preserve">List of </w:t>
      </w:r>
      <w:r>
        <w:t>health services/campuses required to report Hip Replacement surgical site infections</w:t>
      </w:r>
      <w:bookmarkEnd w:id="124"/>
      <w:bookmarkEnd w:id="126"/>
    </w:p>
    <w:p w14:paraId="214296F4" w14:textId="77777777" w:rsidR="00037D8B" w:rsidRPr="00037D8B" w:rsidRDefault="00037D8B" w:rsidP="00037D8B">
      <w:pPr>
        <w:pStyle w:val="DHHSbodysmallspace"/>
      </w:pPr>
      <w:r w:rsidRPr="00037D8B">
        <w:t>Ballarat Health</w:t>
      </w:r>
    </w:p>
    <w:p w14:paraId="12A5E3D6" w14:textId="77777777" w:rsidR="00037D8B" w:rsidRPr="00037D8B" w:rsidRDefault="00037D8B" w:rsidP="00037D8B">
      <w:pPr>
        <w:pStyle w:val="DHHSbodysmallspace"/>
      </w:pPr>
      <w:r w:rsidRPr="00037D8B">
        <w:t>Bendigo Hospital, The</w:t>
      </w:r>
    </w:p>
    <w:p w14:paraId="01225061" w14:textId="77777777" w:rsidR="00037D8B" w:rsidRPr="00037D8B" w:rsidRDefault="00037D8B" w:rsidP="00037D8B">
      <w:pPr>
        <w:pStyle w:val="DHHSbodysmallspace"/>
      </w:pPr>
      <w:r w:rsidRPr="00037D8B">
        <w:t>Box Hill Hospital – Eastern Health</w:t>
      </w:r>
    </w:p>
    <w:p w14:paraId="1C723F3B" w14:textId="77777777" w:rsidR="00037D8B" w:rsidRPr="00037D8B" w:rsidRDefault="00037D8B" w:rsidP="00037D8B">
      <w:pPr>
        <w:pStyle w:val="DHHSbodysmallspace"/>
      </w:pPr>
      <w:r w:rsidRPr="00037D8B">
        <w:t>Dandenong Hospital – Monash Health</w:t>
      </w:r>
    </w:p>
    <w:p w14:paraId="65F0716E" w14:textId="77777777" w:rsidR="00037D8B" w:rsidRPr="00037D8B" w:rsidRDefault="00037D8B" w:rsidP="00037D8B">
      <w:pPr>
        <w:pStyle w:val="DHHSbodysmallspace"/>
      </w:pPr>
      <w:r w:rsidRPr="00037D8B">
        <w:t>Echuca Regional Health</w:t>
      </w:r>
    </w:p>
    <w:p w14:paraId="543C7ABD" w14:textId="77777777" w:rsidR="00037D8B" w:rsidRPr="00037D8B" w:rsidRDefault="00037D8B" w:rsidP="00037D8B">
      <w:pPr>
        <w:pStyle w:val="DHHSbodysmallspace"/>
      </w:pPr>
      <w:r w:rsidRPr="00037D8B">
        <w:t>Footscray Hospital – Western Health</w:t>
      </w:r>
    </w:p>
    <w:p w14:paraId="2F3D8ADD" w14:textId="77777777" w:rsidR="00037D8B" w:rsidRPr="00037D8B" w:rsidRDefault="00037D8B" w:rsidP="00037D8B">
      <w:pPr>
        <w:pStyle w:val="DHHSbodysmallspace"/>
      </w:pPr>
      <w:r w:rsidRPr="00037D8B">
        <w:t>Frankston Hospital – Peninsula Health</w:t>
      </w:r>
    </w:p>
    <w:p w14:paraId="670510D5" w14:textId="77777777" w:rsidR="00037D8B" w:rsidRPr="00037D8B" w:rsidRDefault="00037D8B" w:rsidP="00037D8B">
      <w:pPr>
        <w:pStyle w:val="DHHSbodysmallspace"/>
      </w:pPr>
      <w:r w:rsidRPr="00037D8B">
        <w:t>Hamilton Base Hospital</w:t>
      </w:r>
    </w:p>
    <w:p w14:paraId="48639F55" w14:textId="77777777" w:rsidR="00037D8B" w:rsidRPr="00037D8B" w:rsidRDefault="00037D8B" w:rsidP="00037D8B">
      <w:pPr>
        <w:pStyle w:val="DHHSbodysmallspace"/>
      </w:pPr>
      <w:r w:rsidRPr="00037D8B">
        <w:t>Heidelberg Repatriation Hospital – Austin Health</w:t>
      </w:r>
    </w:p>
    <w:p w14:paraId="30E4658F" w14:textId="77777777" w:rsidR="00037D8B" w:rsidRPr="00037D8B" w:rsidRDefault="00037D8B" w:rsidP="00037D8B">
      <w:pPr>
        <w:pStyle w:val="DHHSbodysmallspace"/>
      </w:pPr>
      <w:r w:rsidRPr="00037D8B">
        <w:t>Latrobe Regional Hospital</w:t>
      </w:r>
    </w:p>
    <w:p w14:paraId="4518E515" w14:textId="77777777" w:rsidR="00037D8B" w:rsidRPr="00037D8B" w:rsidRDefault="00037D8B" w:rsidP="00037D8B">
      <w:pPr>
        <w:pStyle w:val="DHHSbodysmallspace"/>
      </w:pPr>
      <w:r w:rsidRPr="00037D8B">
        <w:t>Maroondah Hospital – Eastern Health</w:t>
      </w:r>
    </w:p>
    <w:p w14:paraId="67193111" w14:textId="77777777" w:rsidR="00037D8B" w:rsidRPr="00037D8B" w:rsidRDefault="00037D8B" w:rsidP="00037D8B">
      <w:pPr>
        <w:pStyle w:val="DHHSbodysmallspace"/>
      </w:pPr>
      <w:r w:rsidRPr="00037D8B">
        <w:t>Mildura Base Hospital</w:t>
      </w:r>
    </w:p>
    <w:p w14:paraId="4C7C3C3B" w14:textId="77777777" w:rsidR="00037D8B" w:rsidRPr="00037D8B" w:rsidRDefault="00037D8B" w:rsidP="00037D8B">
      <w:pPr>
        <w:pStyle w:val="DHHSbodysmallspace"/>
      </w:pPr>
      <w:r w:rsidRPr="00037D8B">
        <w:t>Monash Medical Centre [Moorabbin] – Monash Health</w:t>
      </w:r>
    </w:p>
    <w:p w14:paraId="551F8238" w14:textId="77777777" w:rsidR="00037D8B" w:rsidRPr="00037D8B" w:rsidRDefault="00037D8B" w:rsidP="00037D8B">
      <w:pPr>
        <w:pStyle w:val="DHHSbodysmallspace"/>
      </w:pPr>
      <w:r w:rsidRPr="00037D8B">
        <w:t>Royal Melbourne Hospital – Melbourne Health</w:t>
      </w:r>
    </w:p>
    <w:p w14:paraId="34D36F91" w14:textId="77777777" w:rsidR="00037D8B" w:rsidRPr="00037D8B" w:rsidRDefault="00037D8B" w:rsidP="00037D8B">
      <w:pPr>
        <w:pStyle w:val="DHHSbodysmallspace"/>
      </w:pPr>
      <w:r w:rsidRPr="00037D8B">
        <w:t>Sandringham &amp; District Memorial – The Alfred</w:t>
      </w:r>
    </w:p>
    <w:p w14:paraId="2E6BE39F" w14:textId="77777777" w:rsidR="00037D8B" w:rsidRPr="00037D8B" w:rsidRDefault="00037D8B" w:rsidP="00037D8B">
      <w:pPr>
        <w:pStyle w:val="DHHSbodysmallspace"/>
      </w:pPr>
      <w:r w:rsidRPr="00037D8B">
        <w:t>Shepparton – Goulburn Valley Health</w:t>
      </w:r>
    </w:p>
    <w:p w14:paraId="7C080B59" w14:textId="77777777" w:rsidR="00037D8B" w:rsidRPr="00037D8B" w:rsidRDefault="00037D8B" w:rsidP="00037D8B">
      <w:pPr>
        <w:pStyle w:val="DHHSbodysmallspace"/>
      </w:pPr>
      <w:r w:rsidRPr="00037D8B">
        <w:t>St Vincent’s Hospital</w:t>
      </w:r>
    </w:p>
    <w:p w14:paraId="5BA84533" w14:textId="77777777" w:rsidR="00037D8B" w:rsidRPr="00037D8B" w:rsidRDefault="00037D8B" w:rsidP="00037D8B">
      <w:pPr>
        <w:pStyle w:val="DHHSbodysmallspace"/>
      </w:pPr>
      <w:r w:rsidRPr="00037D8B">
        <w:t>The Alfred – Alfred Health</w:t>
      </w:r>
    </w:p>
    <w:p w14:paraId="617396B5" w14:textId="77777777" w:rsidR="00037D8B" w:rsidRPr="00037D8B" w:rsidRDefault="00037D8B" w:rsidP="00037D8B">
      <w:pPr>
        <w:pStyle w:val="DHHSbodysmallspace"/>
      </w:pPr>
      <w:r w:rsidRPr="00037D8B">
        <w:t xml:space="preserve">The Austin – Austin Health </w:t>
      </w:r>
    </w:p>
    <w:p w14:paraId="2A698E26" w14:textId="77777777" w:rsidR="00037D8B" w:rsidRPr="00037D8B" w:rsidRDefault="00037D8B" w:rsidP="00037D8B">
      <w:pPr>
        <w:pStyle w:val="DHHSbodysmallspace"/>
      </w:pPr>
      <w:r w:rsidRPr="00037D8B">
        <w:t>The Northern – Northern Health</w:t>
      </w:r>
    </w:p>
    <w:p w14:paraId="2E7F0CF7" w14:textId="77777777" w:rsidR="00037D8B" w:rsidRPr="00037D8B" w:rsidRDefault="00037D8B" w:rsidP="00037D8B">
      <w:pPr>
        <w:pStyle w:val="DHHSbodysmallspace"/>
      </w:pPr>
      <w:r w:rsidRPr="00037D8B">
        <w:t>University Hospital Geelong – Barwon Health</w:t>
      </w:r>
    </w:p>
    <w:p w14:paraId="5B212C4E" w14:textId="77777777" w:rsidR="00037D8B" w:rsidRPr="00037D8B" w:rsidRDefault="00037D8B" w:rsidP="00037D8B">
      <w:pPr>
        <w:pStyle w:val="DHHSbodysmallspace"/>
      </w:pPr>
      <w:r w:rsidRPr="00037D8B">
        <w:t>Wangaratta – Northeast Health</w:t>
      </w:r>
    </w:p>
    <w:p w14:paraId="22AD9E9B" w14:textId="77777777" w:rsidR="00037D8B" w:rsidRPr="00037D8B" w:rsidRDefault="00037D8B" w:rsidP="00037D8B">
      <w:pPr>
        <w:pStyle w:val="DHHSbodysmallspace"/>
      </w:pPr>
      <w:r w:rsidRPr="00037D8B">
        <w:t>Warragul – West Gippsland Health</w:t>
      </w:r>
    </w:p>
    <w:p w14:paraId="79AA53DB" w14:textId="77777777" w:rsidR="00037D8B" w:rsidRPr="00037D8B" w:rsidRDefault="00037D8B" w:rsidP="00037D8B">
      <w:pPr>
        <w:pStyle w:val="DHHSbodysmallspace"/>
      </w:pPr>
      <w:r w:rsidRPr="00037D8B">
        <w:t>Warrnambool – South West Healthcare</w:t>
      </w:r>
    </w:p>
    <w:p w14:paraId="165FF791" w14:textId="77777777" w:rsidR="00037D8B" w:rsidRPr="00037D8B" w:rsidRDefault="00037D8B" w:rsidP="00037D8B">
      <w:pPr>
        <w:pStyle w:val="DHHSbodysmallspace"/>
      </w:pPr>
      <w:r w:rsidRPr="00037D8B">
        <w:t>Williamstown Hospital – Western Health</w:t>
      </w:r>
    </w:p>
    <w:p w14:paraId="60477B27" w14:textId="15F36340" w:rsidR="004A085A" w:rsidRDefault="004A085A" w:rsidP="00037D8B">
      <w:pPr>
        <w:pStyle w:val="Heading2"/>
      </w:pPr>
      <w:bookmarkStart w:id="127" w:name="_Toc11765759"/>
      <w:bookmarkStart w:id="128" w:name="_Toc15580110"/>
      <w:r w:rsidRPr="00AD147B">
        <w:lastRenderedPageBreak/>
        <w:t xml:space="preserve">Attachment </w:t>
      </w:r>
      <w:r w:rsidR="54D170AE" w:rsidRPr="00AD147B">
        <w:t>C</w:t>
      </w:r>
      <w:r>
        <w:t xml:space="preserve">: </w:t>
      </w:r>
      <w:r w:rsidRPr="0098470E">
        <w:t xml:space="preserve">List of </w:t>
      </w:r>
      <w:r>
        <w:t>health services/campuses required to report Knee Replacement surgical site infections</w:t>
      </w:r>
      <w:bookmarkEnd w:id="127"/>
      <w:bookmarkEnd w:id="128"/>
    </w:p>
    <w:p w14:paraId="3AFBC908" w14:textId="77777777" w:rsidR="00037D8B" w:rsidRPr="005902E5" w:rsidRDefault="00037D8B" w:rsidP="00037D8B">
      <w:pPr>
        <w:pStyle w:val="DHHSbodysmallspace"/>
      </w:pPr>
      <w:r w:rsidRPr="005902E5">
        <w:t>Bacchus Marsh</w:t>
      </w:r>
      <w:r>
        <w:t xml:space="preserve"> – </w:t>
      </w:r>
      <w:r w:rsidRPr="005902E5">
        <w:t xml:space="preserve">Djerriwarrh Health Service </w:t>
      </w:r>
    </w:p>
    <w:p w14:paraId="685C126B" w14:textId="77777777" w:rsidR="00037D8B" w:rsidRPr="005902E5" w:rsidRDefault="00037D8B" w:rsidP="00037D8B">
      <w:pPr>
        <w:pStyle w:val="DHHSbodysmallspace"/>
      </w:pPr>
      <w:r w:rsidRPr="005902E5">
        <w:t>Ballarat Health</w:t>
      </w:r>
    </w:p>
    <w:p w14:paraId="2F3B7CE5" w14:textId="77777777" w:rsidR="00037D8B" w:rsidRPr="005902E5" w:rsidRDefault="00037D8B" w:rsidP="00037D8B">
      <w:pPr>
        <w:pStyle w:val="DHHSbodysmallspace"/>
      </w:pPr>
      <w:r w:rsidRPr="005902E5">
        <w:t>Bendigo Hospital, The</w:t>
      </w:r>
    </w:p>
    <w:p w14:paraId="183337DB" w14:textId="77777777" w:rsidR="00037D8B" w:rsidRPr="005902E5" w:rsidRDefault="00037D8B" w:rsidP="00037D8B">
      <w:pPr>
        <w:pStyle w:val="DHHSbodysmallspace"/>
      </w:pPr>
      <w:r w:rsidRPr="005902E5">
        <w:t>Box Hill Hospital</w:t>
      </w:r>
      <w:r>
        <w:t xml:space="preserve"> – </w:t>
      </w:r>
      <w:r w:rsidRPr="005902E5">
        <w:t>Eastern Health</w:t>
      </w:r>
    </w:p>
    <w:p w14:paraId="7FF29E27" w14:textId="77777777" w:rsidR="00037D8B" w:rsidRPr="005902E5" w:rsidRDefault="00037D8B" w:rsidP="00037D8B">
      <w:pPr>
        <w:pStyle w:val="DHHSbodysmallspace"/>
      </w:pPr>
      <w:r w:rsidRPr="005902E5">
        <w:t>Dandenong Hospital</w:t>
      </w:r>
      <w:r>
        <w:t xml:space="preserve"> – </w:t>
      </w:r>
      <w:r w:rsidRPr="005902E5">
        <w:t>Monash Health</w:t>
      </w:r>
    </w:p>
    <w:p w14:paraId="19AA36F4" w14:textId="77777777" w:rsidR="00037D8B" w:rsidRPr="005902E5" w:rsidRDefault="00037D8B" w:rsidP="00037D8B">
      <w:pPr>
        <w:pStyle w:val="DHHSbodysmallspace"/>
      </w:pPr>
      <w:r w:rsidRPr="005902E5">
        <w:t>Echuca Regional Health</w:t>
      </w:r>
    </w:p>
    <w:p w14:paraId="320B00FD" w14:textId="77777777" w:rsidR="00037D8B" w:rsidRPr="005902E5" w:rsidRDefault="00037D8B" w:rsidP="00037D8B">
      <w:pPr>
        <w:pStyle w:val="DHHSbodysmallspace"/>
      </w:pPr>
      <w:r w:rsidRPr="005902E5">
        <w:t>Footscray Hospital</w:t>
      </w:r>
      <w:r>
        <w:t xml:space="preserve"> – </w:t>
      </w:r>
      <w:r w:rsidRPr="005902E5">
        <w:t>Western Health</w:t>
      </w:r>
    </w:p>
    <w:p w14:paraId="6B31B549" w14:textId="77777777" w:rsidR="00037D8B" w:rsidRPr="005902E5" w:rsidRDefault="00037D8B" w:rsidP="00037D8B">
      <w:pPr>
        <w:pStyle w:val="DHHSbodysmallspace"/>
      </w:pPr>
      <w:r w:rsidRPr="005902E5">
        <w:t>Frankston Hospital</w:t>
      </w:r>
      <w:r>
        <w:t xml:space="preserve"> – </w:t>
      </w:r>
      <w:r w:rsidRPr="005902E5">
        <w:t>Peninsula Health</w:t>
      </w:r>
    </w:p>
    <w:p w14:paraId="6D04A761" w14:textId="77777777" w:rsidR="00037D8B" w:rsidRPr="005902E5" w:rsidRDefault="00037D8B" w:rsidP="00037D8B">
      <w:pPr>
        <w:pStyle w:val="DHHSbodysmallspace"/>
      </w:pPr>
      <w:r w:rsidRPr="005902E5">
        <w:t>Hamilton Base Hospital</w:t>
      </w:r>
    </w:p>
    <w:p w14:paraId="669629CC" w14:textId="77777777" w:rsidR="00037D8B" w:rsidRPr="005902E5" w:rsidRDefault="00037D8B" w:rsidP="00037D8B">
      <w:pPr>
        <w:pStyle w:val="DHHSbodysmallspace"/>
      </w:pPr>
      <w:r w:rsidRPr="005902E5">
        <w:t>Heidelberg Repatriation Hospital</w:t>
      </w:r>
      <w:r>
        <w:t xml:space="preserve"> – </w:t>
      </w:r>
      <w:r w:rsidRPr="005902E5">
        <w:t>Austin Health</w:t>
      </w:r>
    </w:p>
    <w:p w14:paraId="29CE772A" w14:textId="77777777" w:rsidR="00037D8B" w:rsidRPr="005902E5" w:rsidRDefault="00037D8B" w:rsidP="00037D8B">
      <w:pPr>
        <w:pStyle w:val="DHHSbodysmallspace"/>
      </w:pPr>
      <w:r w:rsidRPr="005902E5">
        <w:t>Horsham</w:t>
      </w:r>
      <w:r>
        <w:t xml:space="preserve"> – </w:t>
      </w:r>
      <w:r w:rsidRPr="005902E5">
        <w:t>Wimmera Health Care</w:t>
      </w:r>
    </w:p>
    <w:p w14:paraId="70BE49FE" w14:textId="77777777" w:rsidR="00037D8B" w:rsidRPr="005902E5" w:rsidRDefault="00037D8B" w:rsidP="00037D8B">
      <w:pPr>
        <w:pStyle w:val="DHHSbodysmallspace"/>
      </w:pPr>
      <w:r w:rsidRPr="005902E5">
        <w:t>Latrobe Regional Hospital</w:t>
      </w:r>
    </w:p>
    <w:p w14:paraId="4F2976E8" w14:textId="77777777" w:rsidR="00037D8B" w:rsidRPr="005902E5" w:rsidRDefault="00037D8B" w:rsidP="00037D8B">
      <w:pPr>
        <w:pStyle w:val="DHHSbodysmallspace"/>
      </w:pPr>
      <w:r w:rsidRPr="005902E5">
        <w:t>Mildura Base Hospital</w:t>
      </w:r>
    </w:p>
    <w:p w14:paraId="04C36FD6" w14:textId="77777777" w:rsidR="00037D8B" w:rsidRPr="005902E5" w:rsidRDefault="00037D8B" w:rsidP="00037D8B">
      <w:pPr>
        <w:pStyle w:val="DHHSbodysmallspace"/>
      </w:pPr>
      <w:r w:rsidRPr="005902E5">
        <w:t>Monash Medical Centre [Moorabbin]</w:t>
      </w:r>
      <w:r>
        <w:t xml:space="preserve"> – </w:t>
      </w:r>
      <w:r w:rsidRPr="005902E5">
        <w:t>Monash Health</w:t>
      </w:r>
    </w:p>
    <w:p w14:paraId="58A61824" w14:textId="77777777" w:rsidR="00037D8B" w:rsidRPr="005902E5" w:rsidRDefault="00037D8B" w:rsidP="00037D8B">
      <w:pPr>
        <w:pStyle w:val="DHHSbodysmallspace"/>
      </w:pPr>
      <w:r w:rsidRPr="005902E5">
        <w:t>Portland District Health</w:t>
      </w:r>
    </w:p>
    <w:p w14:paraId="76F90E24" w14:textId="77777777" w:rsidR="00037D8B" w:rsidRPr="005902E5" w:rsidRDefault="00037D8B" w:rsidP="00037D8B">
      <w:pPr>
        <w:pStyle w:val="DHHSbodysmallspace"/>
      </w:pPr>
      <w:r w:rsidRPr="005902E5">
        <w:t>Royal Melbourne Hospital</w:t>
      </w:r>
      <w:r>
        <w:t xml:space="preserve"> – </w:t>
      </w:r>
      <w:r w:rsidRPr="005902E5">
        <w:t>Melbourne Health</w:t>
      </w:r>
    </w:p>
    <w:p w14:paraId="4BA07EF4" w14:textId="77777777" w:rsidR="00037D8B" w:rsidRPr="005902E5" w:rsidRDefault="00037D8B" w:rsidP="00037D8B">
      <w:pPr>
        <w:pStyle w:val="DHHSbodysmallspace"/>
      </w:pPr>
      <w:r w:rsidRPr="005902E5">
        <w:t>Sandringham &amp; District Memorial</w:t>
      </w:r>
      <w:r>
        <w:t xml:space="preserve"> – </w:t>
      </w:r>
      <w:r w:rsidRPr="005902E5">
        <w:t>The Alfred</w:t>
      </w:r>
    </w:p>
    <w:p w14:paraId="6733247D" w14:textId="77777777" w:rsidR="00037D8B" w:rsidRPr="005902E5" w:rsidRDefault="00037D8B" w:rsidP="00037D8B">
      <w:pPr>
        <w:pStyle w:val="DHHSbodysmallspace"/>
      </w:pPr>
      <w:r w:rsidRPr="005902E5">
        <w:t>Shepparton</w:t>
      </w:r>
      <w:r>
        <w:t xml:space="preserve"> – </w:t>
      </w:r>
      <w:r w:rsidRPr="005902E5">
        <w:t>Goulburn Valley Health</w:t>
      </w:r>
    </w:p>
    <w:p w14:paraId="300BC50D" w14:textId="77777777" w:rsidR="00037D8B" w:rsidRPr="005902E5" w:rsidRDefault="00037D8B" w:rsidP="00037D8B">
      <w:pPr>
        <w:pStyle w:val="DHHSbodysmallspace"/>
      </w:pPr>
      <w:r w:rsidRPr="005902E5">
        <w:t>St Vincent’s Hospital</w:t>
      </w:r>
    </w:p>
    <w:p w14:paraId="4E933DF1" w14:textId="77777777" w:rsidR="00037D8B" w:rsidRPr="005902E5" w:rsidRDefault="00037D8B" w:rsidP="00037D8B">
      <w:pPr>
        <w:pStyle w:val="DHHSbodysmallspace"/>
      </w:pPr>
      <w:r w:rsidRPr="005902E5">
        <w:t>Stawell Regional Health</w:t>
      </w:r>
    </w:p>
    <w:p w14:paraId="01BC2590" w14:textId="77777777" w:rsidR="00037D8B" w:rsidRPr="005902E5" w:rsidRDefault="00037D8B" w:rsidP="00037D8B">
      <w:pPr>
        <w:pStyle w:val="DHHSbodysmallspace"/>
      </w:pPr>
      <w:r w:rsidRPr="005902E5">
        <w:t>The Alfred</w:t>
      </w:r>
      <w:r>
        <w:t xml:space="preserve"> – </w:t>
      </w:r>
      <w:r w:rsidRPr="005902E5">
        <w:t>Alfred Health</w:t>
      </w:r>
    </w:p>
    <w:p w14:paraId="29F9C514" w14:textId="77777777" w:rsidR="00037D8B" w:rsidRPr="005902E5" w:rsidRDefault="00037D8B" w:rsidP="00037D8B">
      <w:pPr>
        <w:pStyle w:val="DHHSbodysmallspace"/>
      </w:pPr>
      <w:r w:rsidRPr="005902E5">
        <w:t>The Austin</w:t>
      </w:r>
      <w:r>
        <w:t xml:space="preserve"> – </w:t>
      </w:r>
      <w:r w:rsidRPr="005902E5">
        <w:t xml:space="preserve">Austin Health </w:t>
      </w:r>
    </w:p>
    <w:p w14:paraId="6E0A59D8" w14:textId="77777777" w:rsidR="00037D8B" w:rsidRPr="005902E5" w:rsidRDefault="00037D8B" w:rsidP="00037D8B">
      <w:pPr>
        <w:pStyle w:val="DHHSbodysmallspace"/>
      </w:pPr>
      <w:r w:rsidRPr="005902E5">
        <w:t>The Northern</w:t>
      </w:r>
      <w:r>
        <w:t xml:space="preserve"> – </w:t>
      </w:r>
      <w:r w:rsidRPr="005902E5">
        <w:t>Northern Health</w:t>
      </w:r>
    </w:p>
    <w:p w14:paraId="1E25B28D" w14:textId="77777777" w:rsidR="00037D8B" w:rsidRDefault="00037D8B" w:rsidP="00037D8B">
      <w:pPr>
        <w:pStyle w:val="DHHSbodysmallspace"/>
      </w:pPr>
      <w:r w:rsidRPr="005902E5">
        <w:t>University Hospital Geelong</w:t>
      </w:r>
      <w:r>
        <w:t xml:space="preserve"> – </w:t>
      </w:r>
      <w:r w:rsidRPr="005902E5">
        <w:t>Barwon Health</w:t>
      </w:r>
    </w:p>
    <w:p w14:paraId="273F8119" w14:textId="77777777" w:rsidR="00037D8B" w:rsidRDefault="00037D8B" w:rsidP="00037D8B">
      <w:pPr>
        <w:pStyle w:val="DHHSbodysmallspace"/>
      </w:pPr>
      <w:r>
        <w:t>Wangaratta – Northeast Health</w:t>
      </w:r>
    </w:p>
    <w:p w14:paraId="4A48668F" w14:textId="77777777" w:rsidR="00037D8B" w:rsidRDefault="00037D8B" w:rsidP="00037D8B">
      <w:pPr>
        <w:pStyle w:val="DHHSbodysmallspace"/>
      </w:pPr>
      <w:r>
        <w:t>Warragul – West Gippsland Health</w:t>
      </w:r>
    </w:p>
    <w:p w14:paraId="56936AEB" w14:textId="77777777" w:rsidR="00037D8B" w:rsidRDefault="00037D8B" w:rsidP="00037D8B">
      <w:pPr>
        <w:pStyle w:val="DHHSbodysmallspace"/>
      </w:pPr>
      <w:r>
        <w:t>Warrnambool – South West Healthcare</w:t>
      </w:r>
    </w:p>
    <w:p w14:paraId="031FAFA5" w14:textId="71A211CC" w:rsidR="00037D8B" w:rsidRPr="005902E5" w:rsidRDefault="00037D8B" w:rsidP="00037D8B">
      <w:pPr>
        <w:pStyle w:val="DHHSbodysmallspace"/>
      </w:pPr>
      <w:r>
        <w:t>Williamstown Hospital – Western Health</w:t>
      </w:r>
    </w:p>
    <w:p w14:paraId="18ACD223" w14:textId="700669A7" w:rsidR="004A085A" w:rsidRDefault="004A085A" w:rsidP="00037D8B">
      <w:pPr>
        <w:pStyle w:val="Heading2"/>
      </w:pPr>
      <w:bookmarkStart w:id="129" w:name="_Toc11765760"/>
      <w:bookmarkStart w:id="130" w:name="_Toc15580111"/>
      <w:r w:rsidRPr="00AD147B">
        <w:lastRenderedPageBreak/>
        <w:t xml:space="preserve">Attachment </w:t>
      </w:r>
      <w:r w:rsidR="3D96FA35" w:rsidRPr="00AD147B">
        <w:t>D</w:t>
      </w:r>
      <w:r>
        <w:t>:</w:t>
      </w:r>
      <w:bookmarkStart w:id="131" w:name="_Toc492368139"/>
      <w:bookmarkStart w:id="132" w:name="_Toc516827363"/>
      <w:r w:rsidRPr="3D96FA35">
        <w:t xml:space="preserve"> </w:t>
      </w:r>
      <w:r w:rsidRPr="0098470E">
        <w:t xml:space="preserve">List of </w:t>
      </w:r>
      <w:r>
        <w:t>health services/campuses re</w:t>
      </w:r>
      <w:bookmarkEnd w:id="131"/>
      <w:r>
        <w:t>quired to report Caesarean sections surgical site infections</w:t>
      </w:r>
      <w:bookmarkEnd w:id="129"/>
      <w:bookmarkEnd w:id="132"/>
      <w:bookmarkEnd w:id="130"/>
    </w:p>
    <w:p w14:paraId="39064D33" w14:textId="77777777" w:rsidR="004A085A" w:rsidRPr="00924BF6" w:rsidRDefault="004A085A" w:rsidP="00037D8B">
      <w:pPr>
        <w:pStyle w:val="DHHSbodysmallspace"/>
      </w:pPr>
      <w:r w:rsidRPr="00924BF6">
        <w:t>Angliss</w:t>
      </w:r>
      <w:r>
        <w:t xml:space="preserve"> – Eastern Health</w:t>
      </w:r>
    </w:p>
    <w:p w14:paraId="41CC781E" w14:textId="77777777" w:rsidR="004A085A" w:rsidRPr="00924BF6" w:rsidRDefault="004A085A" w:rsidP="00037D8B">
      <w:pPr>
        <w:pStyle w:val="DHHSbodysmallspace"/>
      </w:pPr>
      <w:r>
        <w:t>Bacchus Mars</w:t>
      </w:r>
      <w:r w:rsidRPr="00924BF6">
        <w:t>h</w:t>
      </w:r>
      <w:r>
        <w:t xml:space="preserve"> – Djerriwarrh Health</w:t>
      </w:r>
    </w:p>
    <w:p w14:paraId="5C28E187" w14:textId="77777777" w:rsidR="004A085A" w:rsidRPr="00924BF6" w:rsidRDefault="004A085A" w:rsidP="00037D8B">
      <w:pPr>
        <w:pStyle w:val="DHHSbodysmallspace"/>
      </w:pPr>
      <w:r w:rsidRPr="00924BF6">
        <w:t>Ballarat</w:t>
      </w:r>
      <w:r>
        <w:t xml:space="preserve"> Health</w:t>
      </w:r>
    </w:p>
    <w:p w14:paraId="2760CE96" w14:textId="77777777" w:rsidR="004A085A" w:rsidRPr="00924BF6" w:rsidRDefault="004A085A" w:rsidP="00037D8B">
      <w:pPr>
        <w:pStyle w:val="DHHSbodysmallspace"/>
      </w:pPr>
      <w:r w:rsidRPr="00924BF6">
        <w:t>Bendigo</w:t>
      </w:r>
      <w:r>
        <w:t xml:space="preserve"> Health Care Group</w:t>
      </w:r>
    </w:p>
    <w:p w14:paraId="47E22277" w14:textId="77777777" w:rsidR="004A085A" w:rsidRPr="00924BF6" w:rsidRDefault="004A085A" w:rsidP="00037D8B">
      <w:pPr>
        <w:pStyle w:val="DHHSbodysmallspace"/>
      </w:pPr>
      <w:r w:rsidRPr="00924BF6">
        <w:t>Box</w:t>
      </w:r>
      <w:r>
        <w:t xml:space="preserve"> H</w:t>
      </w:r>
      <w:r w:rsidRPr="00924BF6">
        <w:t>ill</w:t>
      </w:r>
      <w:r>
        <w:t xml:space="preserve"> – Eastern Health</w:t>
      </w:r>
    </w:p>
    <w:p w14:paraId="4950FE21" w14:textId="77777777" w:rsidR="004A085A" w:rsidRPr="00924BF6" w:rsidRDefault="004A085A" w:rsidP="00037D8B">
      <w:pPr>
        <w:pStyle w:val="DHHSbodysmallspace"/>
      </w:pPr>
      <w:r w:rsidRPr="00924BF6">
        <w:t>Casey</w:t>
      </w:r>
      <w:r>
        <w:t xml:space="preserve"> – Monash Health</w:t>
      </w:r>
    </w:p>
    <w:p w14:paraId="43321C18" w14:textId="77777777" w:rsidR="004A085A" w:rsidRPr="00924BF6" w:rsidRDefault="004A085A" w:rsidP="00037D8B">
      <w:pPr>
        <w:pStyle w:val="DHHSbodysmallspace"/>
      </w:pPr>
      <w:r w:rsidRPr="00924BF6">
        <w:t>Clayton</w:t>
      </w:r>
      <w:r>
        <w:t xml:space="preserve"> – Monash Health</w:t>
      </w:r>
    </w:p>
    <w:p w14:paraId="746C91F8" w14:textId="77777777" w:rsidR="004A085A" w:rsidRPr="00924BF6" w:rsidRDefault="004A085A" w:rsidP="00037D8B">
      <w:pPr>
        <w:pStyle w:val="DHHSbodysmallspace"/>
      </w:pPr>
      <w:r w:rsidRPr="00924BF6">
        <w:t>Dandenong</w:t>
      </w:r>
      <w:r>
        <w:t xml:space="preserve"> – Monash Health</w:t>
      </w:r>
    </w:p>
    <w:p w14:paraId="0428BB5A" w14:textId="77777777" w:rsidR="004A085A" w:rsidRDefault="004A085A" w:rsidP="00037D8B">
      <w:pPr>
        <w:pStyle w:val="DHHSbodysmallspace"/>
      </w:pPr>
      <w:r>
        <w:t>Echuca Regional Health</w:t>
      </w:r>
    </w:p>
    <w:p w14:paraId="29A820AC" w14:textId="77777777" w:rsidR="004A085A" w:rsidRPr="00924BF6" w:rsidRDefault="004A085A" w:rsidP="00037D8B">
      <w:pPr>
        <w:pStyle w:val="DHHSbodysmallspace"/>
      </w:pPr>
      <w:r w:rsidRPr="00924BF6">
        <w:t>Frankston</w:t>
      </w:r>
      <w:r>
        <w:t xml:space="preserve"> – Peninsula Health</w:t>
      </w:r>
    </w:p>
    <w:p w14:paraId="31FA2A12" w14:textId="77777777" w:rsidR="004A085A" w:rsidRPr="00924BF6" w:rsidRDefault="004A085A" w:rsidP="00037D8B">
      <w:pPr>
        <w:pStyle w:val="DHHSbodysmallspace"/>
      </w:pPr>
      <w:r w:rsidRPr="00924BF6">
        <w:t>Heidelberg</w:t>
      </w:r>
      <w:r>
        <w:t xml:space="preserve"> Women’s – Mercy Health</w:t>
      </w:r>
    </w:p>
    <w:p w14:paraId="652CC83B" w14:textId="77777777" w:rsidR="004A085A" w:rsidRPr="00924BF6" w:rsidRDefault="004A085A" w:rsidP="00037D8B">
      <w:pPr>
        <w:pStyle w:val="DHHSbodysmallspace"/>
      </w:pPr>
      <w:r w:rsidRPr="00924BF6">
        <w:t xml:space="preserve">Latrobe </w:t>
      </w:r>
      <w:r>
        <w:t>Regional Hospital</w:t>
      </w:r>
    </w:p>
    <w:p w14:paraId="020A7B85" w14:textId="77777777" w:rsidR="004A085A" w:rsidRPr="00924BF6" w:rsidRDefault="004A085A" w:rsidP="00037D8B">
      <w:pPr>
        <w:pStyle w:val="DHHSbodysmallspace"/>
      </w:pPr>
      <w:r w:rsidRPr="00924BF6">
        <w:t>Mildura</w:t>
      </w:r>
      <w:r>
        <w:t xml:space="preserve"> Base Hospital</w:t>
      </w:r>
    </w:p>
    <w:p w14:paraId="673148FF" w14:textId="77777777" w:rsidR="004A085A" w:rsidRPr="00924BF6" w:rsidRDefault="004A085A" w:rsidP="00037D8B">
      <w:pPr>
        <w:pStyle w:val="DHHSbodysmallspace"/>
      </w:pPr>
      <w:r w:rsidRPr="00924BF6">
        <w:t>The Northern</w:t>
      </w:r>
      <w:r>
        <w:t xml:space="preserve"> – Northern Health</w:t>
      </w:r>
    </w:p>
    <w:p w14:paraId="68CA5ADE" w14:textId="77777777" w:rsidR="004A085A" w:rsidRPr="00924BF6" w:rsidRDefault="004A085A" w:rsidP="00037D8B">
      <w:pPr>
        <w:pStyle w:val="DHHSbodysmallspace"/>
      </w:pPr>
      <w:r>
        <w:t>Royal Women’s Hospital (Carlton)</w:t>
      </w:r>
    </w:p>
    <w:p w14:paraId="360CEDA3" w14:textId="77777777" w:rsidR="004A085A" w:rsidRPr="00924BF6" w:rsidRDefault="004A085A" w:rsidP="00037D8B">
      <w:pPr>
        <w:pStyle w:val="DHHSbodysmallspace"/>
      </w:pPr>
      <w:r w:rsidRPr="00924BF6">
        <w:t>Sale</w:t>
      </w:r>
      <w:r>
        <w:t xml:space="preserve"> – Central Gippsland Health</w:t>
      </w:r>
    </w:p>
    <w:p w14:paraId="29054AC7" w14:textId="77777777" w:rsidR="004A085A" w:rsidRDefault="004A085A" w:rsidP="00037D8B">
      <w:pPr>
        <w:pStyle w:val="DHHSbodysmallspace"/>
      </w:pPr>
      <w:r>
        <w:t>Sandringham – Royal Women’ Hospital</w:t>
      </w:r>
    </w:p>
    <w:p w14:paraId="4B126F7C" w14:textId="77777777" w:rsidR="004A085A" w:rsidRPr="00924BF6" w:rsidRDefault="004A085A" w:rsidP="00037D8B">
      <w:pPr>
        <w:pStyle w:val="DHHSbodysmallspace"/>
      </w:pPr>
      <w:r w:rsidRPr="00924BF6">
        <w:t>Shepparton</w:t>
      </w:r>
      <w:r>
        <w:t xml:space="preserve"> – Goulburn Valley Health</w:t>
      </w:r>
    </w:p>
    <w:p w14:paraId="1D4BD4EC" w14:textId="77777777" w:rsidR="004A085A" w:rsidRPr="00924BF6" w:rsidRDefault="004A085A" w:rsidP="00037D8B">
      <w:pPr>
        <w:pStyle w:val="DHHSbodysmallspace"/>
      </w:pPr>
      <w:r w:rsidRPr="00924BF6">
        <w:t xml:space="preserve">Sunshine </w:t>
      </w:r>
      <w:r>
        <w:t>– Western Health</w:t>
      </w:r>
    </w:p>
    <w:p w14:paraId="0134124B" w14:textId="77777777" w:rsidR="004A085A" w:rsidRPr="00924BF6" w:rsidRDefault="004A085A" w:rsidP="00037D8B">
      <w:pPr>
        <w:pStyle w:val="DHHSbodysmallspace"/>
      </w:pPr>
      <w:r w:rsidRPr="00924BF6">
        <w:t>Wangaratta</w:t>
      </w:r>
      <w:r>
        <w:t xml:space="preserve"> – Northeast Health</w:t>
      </w:r>
    </w:p>
    <w:p w14:paraId="4D6658DA" w14:textId="77777777" w:rsidR="00233FF7" w:rsidRPr="00924BF6" w:rsidRDefault="00233FF7" w:rsidP="00037D8B">
      <w:pPr>
        <w:pStyle w:val="DHHSbodysmallspace"/>
      </w:pPr>
      <w:r w:rsidRPr="00924BF6">
        <w:t>Warragul</w:t>
      </w:r>
      <w:r>
        <w:t xml:space="preserve"> – West Gippsland Health</w:t>
      </w:r>
    </w:p>
    <w:p w14:paraId="45AE6F55" w14:textId="0B495192" w:rsidR="004A085A" w:rsidRPr="00924BF6" w:rsidRDefault="00661D73" w:rsidP="00037D8B">
      <w:pPr>
        <w:pStyle w:val="DHHSbodysmallspace"/>
      </w:pPr>
      <w:r w:rsidRPr="00924BF6">
        <w:t>Warrnambool</w:t>
      </w:r>
      <w:r w:rsidR="004A085A">
        <w:t xml:space="preserve"> – South West Health</w:t>
      </w:r>
    </w:p>
    <w:p w14:paraId="0FA5A937" w14:textId="77777777" w:rsidR="004A085A" w:rsidRDefault="004A085A" w:rsidP="00037D8B">
      <w:pPr>
        <w:pStyle w:val="DHHSbodysmallspace"/>
      </w:pPr>
      <w:r w:rsidRPr="00924BF6">
        <w:t xml:space="preserve">Werribee </w:t>
      </w:r>
      <w:r>
        <w:t xml:space="preserve">– </w:t>
      </w:r>
      <w:r w:rsidRPr="00924BF6">
        <w:t>Mercy</w:t>
      </w:r>
      <w:r>
        <w:t xml:space="preserve"> Health</w:t>
      </w:r>
    </w:p>
    <w:p w14:paraId="6159569B" w14:textId="77777777" w:rsidR="004A085A" w:rsidRPr="00373107" w:rsidRDefault="004A085A" w:rsidP="00037D8B">
      <w:pPr>
        <w:pStyle w:val="DHHSbodysmallspace"/>
      </w:pPr>
      <w:r w:rsidRPr="00924BF6">
        <w:t>Wodonga</w:t>
      </w:r>
      <w:r>
        <w:t xml:space="preserve"> – Albury/Wodonga Health</w:t>
      </w:r>
    </w:p>
    <w:p w14:paraId="60A5A384" w14:textId="7191BC8A" w:rsidR="004A085A" w:rsidRPr="007038F0" w:rsidRDefault="004A085A" w:rsidP="00037D8B">
      <w:pPr>
        <w:pStyle w:val="DHHSbodysmallspace"/>
      </w:pPr>
      <w:r w:rsidRPr="007038F0">
        <w:t>University Hospital Geelong</w:t>
      </w:r>
      <w:r>
        <w:t xml:space="preserve"> – Barwon Health</w:t>
      </w:r>
    </w:p>
    <w:p w14:paraId="4D7EF44A" w14:textId="4110256D" w:rsidR="004A085A" w:rsidRDefault="004A085A" w:rsidP="00037D8B">
      <w:pPr>
        <w:pStyle w:val="Heading2"/>
      </w:pPr>
      <w:bookmarkStart w:id="133" w:name="_Toc516827364"/>
      <w:bookmarkStart w:id="134" w:name="_Toc517959147"/>
      <w:bookmarkStart w:id="135" w:name="_Toc11765761"/>
      <w:bookmarkStart w:id="136" w:name="_Toc15580112"/>
      <w:r w:rsidRPr="00AD147B">
        <w:lastRenderedPageBreak/>
        <w:t xml:space="preserve">Attachment </w:t>
      </w:r>
      <w:r w:rsidR="3D96FA35" w:rsidRPr="00AD147B">
        <w:t>E</w:t>
      </w:r>
      <w:bookmarkEnd w:id="133"/>
      <w:r w:rsidRPr="3D96FA35">
        <w:t>:</w:t>
      </w:r>
      <w:bookmarkStart w:id="137" w:name="_Toc516827365"/>
      <w:r w:rsidRPr="3D96FA35">
        <w:t xml:space="preserve"> </w:t>
      </w:r>
      <w:r w:rsidRPr="0098470E">
        <w:t xml:space="preserve">List of </w:t>
      </w:r>
      <w:r>
        <w:t>health services/campuses required to report Colorectal surgical site infections</w:t>
      </w:r>
      <w:bookmarkEnd w:id="134"/>
      <w:bookmarkEnd w:id="135"/>
      <w:bookmarkEnd w:id="137"/>
      <w:bookmarkEnd w:id="136"/>
    </w:p>
    <w:p w14:paraId="1A6EA5F5" w14:textId="77777777" w:rsidR="004A085A" w:rsidRDefault="004A085A" w:rsidP="00037D8B">
      <w:pPr>
        <w:pStyle w:val="DHHSbodysmallspace"/>
      </w:pPr>
      <w:r>
        <w:t>The Alfred – Alfred Health</w:t>
      </w:r>
    </w:p>
    <w:p w14:paraId="21E17123" w14:textId="77777777" w:rsidR="004A085A" w:rsidRPr="007038F0" w:rsidRDefault="004A085A" w:rsidP="00037D8B">
      <w:pPr>
        <w:pStyle w:val="DHHSbodysmallspace"/>
      </w:pPr>
      <w:r w:rsidRPr="007038F0">
        <w:t>Austin Hospital</w:t>
      </w:r>
      <w:r>
        <w:t xml:space="preserve"> – Austin Health</w:t>
      </w:r>
    </w:p>
    <w:p w14:paraId="60BE09FB" w14:textId="77777777" w:rsidR="004A085A" w:rsidRDefault="004A085A" w:rsidP="00037D8B">
      <w:pPr>
        <w:pStyle w:val="DHHSbodysmallspace"/>
      </w:pPr>
      <w:r w:rsidRPr="007038F0">
        <w:t>Ballarat Health</w:t>
      </w:r>
    </w:p>
    <w:p w14:paraId="7591B9D9" w14:textId="77777777" w:rsidR="004A085A" w:rsidRPr="007038F0" w:rsidRDefault="004A085A" w:rsidP="00037D8B">
      <w:pPr>
        <w:pStyle w:val="DHHSbodysmallspace"/>
      </w:pPr>
      <w:r w:rsidRPr="007038F0">
        <w:t xml:space="preserve">Bendigo </w:t>
      </w:r>
      <w:r>
        <w:t>Health Care Group</w:t>
      </w:r>
    </w:p>
    <w:p w14:paraId="7293A799" w14:textId="77777777" w:rsidR="004A085A" w:rsidRPr="007038F0" w:rsidRDefault="004A085A" w:rsidP="00037D8B">
      <w:pPr>
        <w:pStyle w:val="DHHSbodysmallspace"/>
      </w:pPr>
      <w:r w:rsidRPr="007038F0">
        <w:t xml:space="preserve">Box Hill </w:t>
      </w:r>
      <w:r>
        <w:t>– Eastern Health</w:t>
      </w:r>
    </w:p>
    <w:p w14:paraId="25919CD5" w14:textId="77777777" w:rsidR="004A085A" w:rsidRPr="007038F0" w:rsidRDefault="004A085A" w:rsidP="00037D8B">
      <w:pPr>
        <w:pStyle w:val="DHHSbodysmallspace"/>
      </w:pPr>
      <w:r>
        <w:t xml:space="preserve">Clayton – </w:t>
      </w:r>
      <w:r w:rsidRPr="007038F0">
        <w:t xml:space="preserve">Monash </w:t>
      </w:r>
      <w:r>
        <w:t>Health</w:t>
      </w:r>
    </w:p>
    <w:p w14:paraId="5E3A61C8" w14:textId="77777777" w:rsidR="004A085A" w:rsidRPr="007038F0" w:rsidRDefault="004A085A" w:rsidP="00037D8B">
      <w:pPr>
        <w:pStyle w:val="DHHSbodysmallspace"/>
      </w:pPr>
      <w:r w:rsidRPr="007038F0">
        <w:t xml:space="preserve">Dandenong </w:t>
      </w:r>
      <w:r>
        <w:t>– Monash Health</w:t>
      </w:r>
    </w:p>
    <w:p w14:paraId="00C61DA9" w14:textId="77777777" w:rsidR="004A085A" w:rsidRPr="007038F0" w:rsidRDefault="004A085A" w:rsidP="00037D8B">
      <w:pPr>
        <w:pStyle w:val="DHHSbodysmallspace"/>
      </w:pPr>
      <w:r>
        <w:t xml:space="preserve">Footscray – </w:t>
      </w:r>
      <w:r w:rsidRPr="007038F0">
        <w:t xml:space="preserve">Western </w:t>
      </w:r>
      <w:r>
        <w:t>Health</w:t>
      </w:r>
    </w:p>
    <w:p w14:paraId="4B6C945E" w14:textId="77777777" w:rsidR="004A085A" w:rsidRPr="007038F0" w:rsidRDefault="004A085A" w:rsidP="00037D8B">
      <w:pPr>
        <w:pStyle w:val="DHHSbodysmallspace"/>
      </w:pPr>
      <w:r w:rsidRPr="007038F0">
        <w:t xml:space="preserve">Frankston </w:t>
      </w:r>
      <w:r>
        <w:t>– Peninsula Health</w:t>
      </w:r>
    </w:p>
    <w:p w14:paraId="1F84A7ED" w14:textId="77777777" w:rsidR="004A085A" w:rsidRPr="007038F0" w:rsidRDefault="004A085A" w:rsidP="00037D8B">
      <w:pPr>
        <w:pStyle w:val="DHHSbodysmallspace"/>
      </w:pPr>
      <w:r>
        <w:t>Latrobe Regional Hospital</w:t>
      </w:r>
    </w:p>
    <w:p w14:paraId="7019DB55" w14:textId="77777777" w:rsidR="004A085A" w:rsidRDefault="004A085A" w:rsidP="00037D8B">
      <w:pPr>
        <w:pStyle w:val="DHHSbodysmallspace"/>
      </w:pPr>
      <w:r>
        <w:t>Mildura Base Hospital</w:t>
      </w:r>
    </w:p>
    <w:p w14:paraId="2B00402B" w14:textId="77777777" w:rsidR="004A085A" w:rsidRPr="00924BF6" w:rsidRDefault="004A085A" w:rsidP="00037D8B">
      <w:pPr>
        <w:pStyle w:val="DHHSbodysmallspace"/>
      </w:pPr>
      <w:r w:rsidRPr="00924BF6">
        <w:t>Wangaratta</w:t>
      </w:r>
      <w:r>
        <w:t xml:space="preserve"> – Northeast Health</w:t>
      </w:r>
    </w:p>
    <w:p w14:paraId="43AA87DD" w14:textId="77777777" w:rsidR="004A085A" w:rsidRPr="007038F0" w:rsidRDefault="004A085A" w:rsidP="00037D8B">
      <w:pPr>
        <w:pStyle w:val="DHHSbodysmallspace"/>
      </w:pPr>
      <w:r>
        <w:t xml:space="preserve">The </w:t>
      </w:r>
      <w:r w:rsidRPr="007038F0">
        <w:t>Northern</w:t>
      </w:r>
      <w:r>
        <w:t xml:space="preserve"> – Northern Health</w:t>
      </w:r>
    </w:p>
    <w:p w14:paraId="002B05C0" w14:textId="77777777" w:rsidR="004A085A" w:rsidRPr="007038F0" w:rsidRDefault="004A085A" w:rsidP="00037D8B">
      <w:pPr>
        <w:pStyle w:val="DHHSbodysmallspace"/>
      </w:pPr>
      <w:r w:rsidRPr="007038F0">
        <w:t>Peter MacCallum Cancer Institute</w:t>
      </w:r>
    </w:p>
    <w:p w14:paraId="0D884FC6" w14:textId="77777777" w:rsidR="004A085A" w:rsidRPr="007038F0" w:rsidRDefault="004A085A" w:rsidP="00037D8B">
      <w:pPr>
        <w:pStyle w:val="DHHSbodysmallspace"/>
      </w:pPr>
      <w:r w:rsidRPr="007038F0">
        <w:t>Royal Children</w:t>
      </w:r>
      <w:r>
        <w:t>’</w:t>
      </w:r>
      <w:r w:rsidRPr="007038F0">
        <w:t>s Hospital [Parkville]</w:t>
      </w:r>
    </w:p>
    <w:p w14:paraId="41691B2C" w14:textId="77777777" w:rsidR="004A085A" w:rsidRPr="007038F0" w:rsidRDefault="004A085A" w:rsidP="00037D8B">
      <w:pPr>
        <w:pStyle w:val="DHHSbodysmallspace"/>
      </w:pPr>
      <w:r w:rsidRPr="007038F0">
        <w:t>Royal Melbourne Hospit</w:t>
      </w:r>
      <w:r>
        <w:t>al</w:t>
      </w:r>
    </w:p>
    <w:p w14:paraId="784450B0" w14:textId="77777777" w:rsidR="004A085A" w:rsidRDefault="004A085A" w:rsidP="00037D8B">
      <w:pPr>
        <w:pStyle w:val="DHHSbodysmallspace"/>
      </w:pPr>
      <w:r w:rsidRPr="007038F0">
        <w:t>Shepparton</w:t>
      </w:r>
      <w:r>
        <w:t xml:space="preserve"> – </w:t>
      </w:r>
      <w:r w:rsidRPr="007038F0">
        <w:t>Goulburn Valley Health</w:t>
      </w:r>
    </w:p>
    <w:p w14:paraId="6FD85CF5" w14:textId="5765A83E" w:rsidR="004A085A" w:rsidRPr="00924BF6" w:rsidRDefault="00466DF4" w:rsidP="00037D8B">
      <w:pPr>
        <w:pStyle w:val="DHHSbodysmallspace"/>
      </w:pPr>
      <w:r w:rsidRPr="00924BF6">
        <w:t>Warrnambool</w:t>
      </w:r>
      <w:r w:rsidR="004A085A">
        <w:t xml:space="preserve"> – South West Health</w:t>
      </w:r>
    </w:p>
    <w:p w14:paraId="5A7307EE" w14:textId="77777777" w:rsidR="004A085A" w:rsidRPr="007038F0" w:rsidRDefault="004A085A" w:rsidP="00037D8B">
      <w:pPr>
        <w:pStyle w:val="DHHSbodysmallspace"/>
      </w:pPr>
      <w:r w:rsidRPr="007038F0">
        <w:t>St Vincent</w:t>
      </w:r>
      <w:r>
        <w:t>’</w:t>
      </w:r>
      <w:r w:rsidRPr="007038F0">
        <w:t>s Hospital</w:t>
      </w:r>
    </w:p>
    <w:p w14:paraId="3E69D073" w14:textId="7F2556A4" w:rsidR="00921922" w:rsidRPr="00037D8B" w:rsidRDefault="004A085A" w:rsidP="00037D8B">
      <w:pPr>
        <w:pStyle w:val="DHHSbodysmallspace"/>
      </w:pPr>
      <w:r w:rsidRPr="007038F0">
        <w:t>University Hospital Geelong</w:t>
      </w:r>
      <w:r>
        <w:t xml:space="preserve"> – Barwon Health</w:t>
      </w:r>
      <w:bookmarkEnd w:id="1"/>
    </w:p>
    <w:sectPr w:rsidR="00921922" w:rsidRPr="00037D8B" w:rsidSect="00AE5D8C">
      <w:pgSz w:w="11906" w:h="16838" w:code="9"/>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9FFB8" w14:textId="77777777" w:rsidR="002908C9" w:rsidRDefault="002908C9" w:rsidP="0001532A">
      <w:r>
        <w:separator/>
      </w:r>
    </w:p>
  </w:endnote>
  <w:endnote w:type="continuationSeparator" w:id="0">
    <w:p w14:paraId="77D835B5" w14:textId="77777777" w:rsidR="002908C9" w:rsidRDefault="002908C9" w:rsidP="0001532A">
      <w:r>
        <w:continuationSeparator/>
      </w:r>
    </w:p>
  </w:endnote>
  <w:endnote w:type="continuationNotice" w:id="1">
    <w:p w14:paraId="2FABEF7A" w14:textId="77777777" w:rsidR="002908C9" w:rsidRDefault="00290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1532" w14:textId="4A20CC98" w:rsidR="002908C9" w:rsidRPr="00CF0D08" w:rsidRDefault="002908C9" w:rsidP="00726A84">
    <w:pPr>
      <w:pStyle w:val="DHHSfooter"/>
    </w:pPr>
    <w:r w:rsidRPr="00726A84">
      <w:fldChar w:fldCharType="begin"/>
    </w:r>
    <w:r w:rsidRPr="00726A84">
      <w:instrText xml:space="preserve"> PAGE   \* MERGEFORMAT </w:instrText>
    </w:r>
    <w:r w:rsidRPr="00726A84">
      <w:fldChar w:fldCharType="separate"/>
    </w:r>
    <w:r>
      <w:t>8</w:t>
    </w:r>
    <w:r w:rsidRPr="00726A84">
      <w:rPr>
        <w:noProof/>
      </w:rPr>
      <w:fldChar w:fldCharType="end"/>
    </w:r>
    <w:r>
      <w:ptab w:relativeTo="margin" w:alignment="right" w:leader="none"/>
    </w:r>
    <w:r w:rsidRPr="00CF0D08">
      <w:t xml:space="preserve">Key </w:t>
    </w:r>
    <w:r>
      <w:t>P</w:t>
    </w:r>
    <w:r w:rsidRPr="00CF0D08">
      <w:t xml:space="preserve">erformance </w:t>
    </w:r>
    <w:r>
      <w:t>M</w:t>
    </w:r>
    <w:r w:rsidRPr="00CF0D08">
      <w:t xml:space="preserve">easures and </w:t>
    </w:r>
    <w:r>
      <w:t>U</w:t>
    </w:r>
    <w:r w:rsidRPr="00CF0D08">
      <w:t xml:space="preserve">nderlying </w:t>
    </w:r>
    <w:r>
      <w:t>R</w:t>
    </w:r>
    <w:r w:rsidRPr="00CF0D08">
      <w:t xml:space="preserve">isk </w:t>
    </w:r>
    <w:r>
      <w:t>F</w:t>
    </w:r>
    <w:r w:rsidRPr="00CF0D08">
      <w:t>actors 2019</w:t>
    </w:r>
    <w: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444184"/>
      <w:docPartObj>
        <w:docPartGallery w:val="Page Numbers (Bottom of Page)"/>
        <w:docPartUnique/>
      </w:docPartObj>
    </w:sdtPr>
    <w:sdtEndPr>
      <w:rPr>
        <w:noProof/>
      </w:rPr>
    </w:sdtEndPr>
    <w:sdtContent>
      <w:p w14:paraId="32FFD6EC" w14:textId="0A7302CA" w:rsidR="002908C9" w:rsidRPr="00726A84" w:rsidRDefault="002908C9" w:rsidP="00726A84">
        <w:pPr>
          <w:pStyle w:val="DHHSfooter"/>
        </w:pPr>
        <w:r w:rsidRPr="00CF0D08">
          <w:t xml:space="preserve">Key </w:t>
        </w:r>
        <w:r>
          <w:t>P</w:t>
        </w:r>
        <w:r w:rsidRPr="00CF0D08">
          <w:t xml:space="preserve">erformance </w:t>
        </w:r>
        <w:r>
          <w:t>M</w:t>
        </w:r>
        <w:r w:rsidRPr="00CF0D08">
          <w:t xml:space="preserve">easures and </w:t>
        </w:r>
        <w:r>
          <w:t>U</w:t>
        </w:r>
        <w:r w:rsidRPr="00CF0D08">
          <w:t xml:space="preserve">nderlying </w:t>
        </w:r>
        <w:r>
          <w:t>R</w:t>
        </w:r>
        <w:r w:rsidRPr="00CF0D08">
          <w:t xml:space="preserve">isk </w:t>
        </w:r>
        <w:r>
          <w:t>F</w:t>
        </w:r>
        <w:r w:rsidRPr="00CF0D08">
          <w:t>actors 2019</w:t>
        </w:r>
        <w:r>
          <w:t>–20</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2B8B3" w14:textId="77777777" w:rsidR="002908C9" w:rsidRDefault="002908C9" w:rsidP="0001532A">
      <w:r>
        <w:separator/>
      </w:r>
    </w:p>
  </w:footnote>
  <w:footnote w:type="continuationSeparator" w:id="0">
    <w:p w14:paraId="0294F279" w14:textId="77777777" w:rsidR="002908C9" w:rsidRDefault="002908C9" w:rsidP="0001532A">
      <w:r>
        <w:continuationSeparator/>
      </w:r>
    </w:p>
  </w:footnote>
  <w:footnote w:type="continuationNotice" w:id="1">
    <w:p w14:paraId="1323872B" w14:textId="77777777" w:rsidR="002908C9" w:rsidRDefault="002908C9"/>
  </w:footnote>
  <w:footnote w:id="2">
    <w:p w14:paraId="42AD9E8F" w14:textId="291B1EC4" w:rsidR="002908C9" w:rsidRPr="00830E81" w:rsidRDefault="002908C9">
      <w:pPr>
        <w:pStyle w:val="FootnoteText"/>
        <w:rPr>
          <w:lang w:val="en-US"/>
        </w:rPr>
      </w:pPr>
      <w:r>
        <w:rPr>
          <w:rStyle w:val="FootnoteReference"/>
        </w:rPr>
        <w:footnoteRef/>
      </w:r>
      <w:r>
        <w:t xml:space="preserve"> Also captured in Forensicare SOP/Monitor</w:t>
      </w:r>
    </w:p>
  </w:footnote>
  <w:footnote w:id="3">
    <w:p w14:paraId="77F56D3F" w14:textId="1078068B" w:rsidR="002908C9" w:rsidRPr="00830E81" w:rsidRDefault="002908C9">
      <w:pPr>
        <w:pStyle w:val="FootnoteText"/>
        <w:rPr>
          <w:lang w:val="en-US"/>
        </w:rPr>
      </w:pPr>
      <w:r>
        <w:rPr>
          <w:rStyle w:val="FootnoteReference"/>
        </w:rPr>
        <w:footnoteRef/>
      </w:r>
      <w:r>
        <w:t xml:space="preserve"> Also captured in Ambulance Victoria’s SOP/Monitor</w:t>
      </w:r>
    </w:p>
  </w:footnote>
  <w:footnote w:id="4">
    <w:p w14:paraId="7663302C" w14:textId="679FC4F5" w:rsidR="002908C9" w:rsidRPr="00830E81" w:rsidRDefault="002908C9" w:rsidP="00743988">
      <w:pPr>
        <w:pStyle w:val="FootnoteText"/>
        <w:rPr>
          <w:lang w:val="en-US"/>
        </w:rPr>
      </w:pPr>
      <w:r>
        <w:rPr>
          <w:rStyle w:val="FootnoteReference"/>
        </w:rPr>
        <w:footnoteRef/>
      </w:r>
      <w:r>
        <w:t xml:space="preserve"> Also captured in Forensicare SOP/Monitor</w:t>
      </w:r>
    </w:p>
  </w:footnote>
  <w:footnote w:id="5">
    <w:p w14:paraId="46778DAC" w14:textId="7753C943" w:rsidR="002908C9" w:rsidRPr="00830E81" w:rsidRDefault="002908C9" w:rsidP="00743988">
      <w:pPr>
        <w:pStyle w:val="FootnoteText"/>
        <w:rPr>
          <w:lang w:val="en-US"/>
        </w:rPr>
      </w:pPr>
      <w:r>
        <w:rPr>
          <w:rStyle w:val="FootnoteReference"/>
        </w:rPr>
        <w:footnoteRef/>
      </w:r>
      <w:r>
        <w:t xml:space="preserve"> Also captured in Forensicare SOP/Monitor</w:t>
      </w:r>
    </w:p>
  </w:footnote>
  <w:footnote w:id="6">
    <w:p w14:paraId="55AC0C32" w14:textId="645CFC82" w:rsidR="002908C9" w:rsidRPr="00830E81" w:rsidRDefault="002908C9" w:rsidP="00C54758">
      <w:pPr>
        <w:pStyle w:val="FootnoteText"/>
        <w:rPr>
          <w:lang w:val="en-US"/>
        </w:rPr>
      </w:pPr>
      <w:r>
        <w:rPr>
          <w:rStyle w:val="FootnoteReference"/>
        </w:rPr>
        <w:footnoteRef/>
      </w:r>
      <w:r>
        <w:t xml:space="preserve"> Also captured in Forensicare SOP/Monitor</w:t>
      </w:r>
    </w:p>
  </w:footnote>
  <w:footnote w:id="7">
    <w:p w14:paraId="31EA1402" w14:textId="5E4FFA17" w:rsidR="002908C9" w:rsidRPr="00830E81" w:rsidRDefault="002908C9" w:rsidP="00C54758">
      <w:pPr>
        <w:pStyle w:val="FootnoteText"/>
        <w:rPr>
          <w:lang w:val="en-US"/>
        </w:rPr>
      </w:pPr>
      <w:r>
        <w:rPr>
          <w:rStyle w:val="FootnoteReference"/>
        </w:rPr>
        <w:footnoteRef/>
      </w:r>
      <w:r>
        <w:t xml:space="preserve"> Also captured in Ambulance Victoria’s SOP/Monitor</w:t>
      </w:r>
    </w:p>
  </w:footnote>
  <w:footnote w:id="8">
    <w:p w14:paraId="303C6797" w14:textId="3D3A2FA7" w:rsidR="002908C9" w:rsidRPr="00F52D06" w:rsidRDefault="002908C9">
      <w:pPr>
        <w:pStyle w:val="FootnoteText"/>
        <w:rPr>
          <w:lang w:val="en-US"/>
        </w:rPr>
      </w:pPr>
      <w:r>
        <w:rPr>
          <w:rStyle w:val="FootnoteReference"/>
        </w:rPr>
        <w:footnoteRef/>
      </w:r>
      <w:r>
        <w:t xml:space="preserve"> Also captured in Ambulance Victoria’s SOP/Monitor</w:t>
      </w:r>
    </w:p>
  </w:footnote>
  <w:footnote w:id="9">
    <w:p w14:paraId="6492ED72" w14:textId="7C42F7B3" w:rsidR="002908C9" w:rsidRPr="00830E81" w:rsidRDefault="002908C9" w:rsidP="002A06E1">
      <w:pPr>
        <w:pStyle w:val="FootnoteText"/>
        <w:rPr>
          <w:lang w:val="en-US"/>
        </w:rPr>
      </w:pPr>
      <w:r>
        <w:rPr>
          <w:rStyle w:val="FootnoteReference"/>
        </w:rPr>
        <w:footnoteRef/>
      </w:r>
      <w:r>
        <w:t xml:space="preserve"> Also captured in Forensicare SOP/Monitor</w:t>
      </w:r>
    </w:p>
  </w:footnote>
  <w:footnote w:id="10">
    <w:p w14:paraId="73AC1643" w14:textId="30258CA8" w:rsidR="002908C9" w:rsidRPr="00830E81" w:rsidRDefault="002908C9" w:rsidP="002A06E1">
      <w:pPr>
        <w:pStyle w:val="FootnoteText"/>
        <w:rPr>
          <w:lang w:val="en-US"/>
        </w:rPr>
      </w:pPr>
      <w:r>
        <w:rPr>
          <w:rStyle w:val="FootnoteReference"/>
        </w:rPr>
        <w:footnoteRef/>
      </w:r>
      <w:r>
        <w:t xml:space="preserve"> Also captured in Ambulance Victoria’s SOP/Monitor</w:t>
      </w:r>
    </w:p>
  </w:footnote>
  <w:footnote w:id="11">
    <w:p w14:paraId="286F50E0" w14:textId="41BBDE68" w:rsidR="002908C9" w:rsidRDefault="002908C9" w:rsidP="00085E5A">
      <w:pPr>
        <w:pStyle w:val="FootnoteText"/>
      </w:pPr>
      <w:r>
        <w:rPr>
          <w:rStyle w:val="FootnoteReference"/>
        </w:rPr>
        <w:footnoteRef/>
      </w:r>
      <w:r>
        <w:t xml:space="preserve"> </w:t>
      </w:r>
      <w:hyperlink r:id="rId1" w:history="1">
        <w:r w:rsidRPr="00A73E40">
          <w:rPr>
            <w:rStyle w:val="Hyperlink"/>
          </w:rPr>
          <w:t>Australian sentinel events list – Australian Commission on Safety and Quality in Health Care</w:t>
        </w:r>
      </w:hyperlink>
      <w:r>
        <w:t xml:space="preserve"> &lt;</w:t>
      </w:r>
      <w:r w:rsidRPr="00D00EEB">
        <w:t>https://www.safetyandquality.gov.au/our-work/indicators/australian-sentinel-events-list</w:t>
      </w:r>
      <w:r>
        <w:t>&gt;</w:t>
      </w:r>
    </w:p>
  </w:footnote>
  <w:footnote w:id="12">
    <w:p w14:paraId="4F12BAE0" w14:textId="05824E1A" w:rsidR="002908C9" w:rsidRPr="00C649A8" w:rsidRDefault="002908C9">
      <w:pPr>
        <w:pStyle w:val="FootnoteText"/>
        <w:rPr>
          <w:lang w:val="en-US"/>
        </w:rPr>
      </w:pPr>
      <w:r>
        <w:rPr>
          <w:rStyle w:val="FootnoteReference"/>
        </w:rPr>
        <w:footnoteRef/>
      </w:r>
      <w:r>
        <w:t xml:space="preserve"> Under special circumstances an extension beyond the 30 business days may be provided by SCV. In these instances, this measure will be assessed against the new agreed submission date.</w:t>
      </w:r>
    </w:p>
  </w:footnote>
  <w:footnote w:id="13">
    <w:p w14:paraId="27944052" w14:textId="7DAAE00A" w:rsidR="002908C9" w:rsidRPr="00701083" w:rsidRDefault="002908C9">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14">
    <w:p w14:paraId="5BAD6311" w14:textId="50EBE3AF" w:rsidR="002908C9" w:rsidRPr="00701083" w:rsidRDefault="002908C9">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15">
    <w:p w14:paraId="7482811A" w14:textId="4EAD6B0B" w:rsidR="002908C9" w:rsidRPr="009D46B4" w:rsidRDefault="002908C9">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16">
    <w:p w14:paraId="6EDD4250" w14:textId="5172065F" w:rsidR="002908C9" w:rsidRPr="009D46B4" w:rsidRDefault="002908C9">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17">
    <w:p w14:paraId="474D7354" w14:textId="407C8E38" w:rsidR="002908C9" w:rsidRPr="009D46B4" w:rsidRDefault="002908C9">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18">
    <w:p w14:paraId="6D3CC699" w14:textId="002A92C9" w:rsidR="002908C9" w:rsidRPr="009D46B4" w:rsidRDefault="002908C9">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19">
    <w:p w14:paraId="11AAE7CA" w14:textId="650D1F28" w:rsidR="002908C9" w:rsidRDefault="002908C9" w:rsidP="00921922">
      <w:pPr>
        <w:pStyle w:val="FootnoteText"/>
      </w:pPr>
      <w:r>
        <w:rPr>
          <w:rStyle w:val="FootnoteReference"/>
        </w:rPr>
        <w:footnoteRef/>
      </w:r>
      <w:r>
        <w:t xml:space="preserve"> This policy is currently being refreshed.</w:t>
      </w:r>
    </w:p>
  </w:footnote>
  <w:footnote w:id="20">
    <w:p w14:paraId="53C7554A" w14:textId="5A31703B" w:rsidR="002908C9" w:rsidRPr="00B7452F" w:rsidRDefault="002908C9">
      <w:pPr>
        <w:pStyle w:val="FootnoteText"/>
        <w:rPr>
          <w:lang w:val="en-US"/>
        </w:rPr>
      </w:pPr>
      <w:r>
        <w:rPr>
          <w:rStyle w:val="FootnoteReference"/>
        </w:rPr>
        <w:footnoteRef/>
      </w:r>
      <w:r>
        <w:t xml:space="preserve"> The final submission date will be dependent on timelines published by DTF for the 2019–20 financial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5A5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120C4"/>
    <w:multiLevelType w:val="hybridMultilevel"/>
    <w:tmpl w:val="7C3A3C34"/>
    <w:lvl w:ilvl="0" w:tplc="16481048">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60B3A"/>
    <w:multiLevelType w:val="hybridMultilevel"/>
    <w:tmpl w:val="C67E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0592A"/>
    <w:multiLevelType w:val="multilevel"/>
    <w:tmpl w:val="F96EBCAE"/>
    <w:lvl w:ilvl="0">
      <w:start w:val="1"/>
      <w:numFmt w:val="decimal"/>
      <w:lvlText w:val="4.%1"/>
      <w:lvlJc w:val="left"/>
      <w:pPr>
        <w:tabs>
          <w:tab w:val="num" w:pos="1247"/>
        </w:tabs>
        <w:ind w:left="1247" w:hanging="1247"/>
      </w:pPr>
      <w:rPr>
        <w:rFonts w:hint="default"/>
      </w:rPr>
    </w:lvl>
    <w:lvl w:ilvl="1">
      <w:start w:val="1"/>
      <w:numFmt w:val="decimal"/>
      <w:lvlText w:val="4.%1.%2"/>
      <w:lvlJc w:val="left"/>
      <w:pPr>
        <w:tabs>
          <w:tab w:val="num" w:pos="1247"/>
        </w:tabs>
        <w:ind w:left="1247" w:hanging="1247"/>
      </w:pPr>
      <w:rPr>
        <w:rFonts w:hint="default"/>
      </w:rPr>
    </w:lvl>
    <w:lvl w:ilvl="2">
      <w:start w:val="1"/>
      <w:numFmt w:val="decimal"/>
      <w:lvlText w:val="4.%1.%2.%3"/>
      <w:lvlJc w:val="left"/>
      <w:pPr>
        <w:tabs>
          <w:tab w:val="num" w:pos="1247"/>
        </w:tabs>
        <w:ind w:left="1247" w:hanging="1247"/>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B4D49D7"/>
    <w:multiLevelType w:val="hybridMultilevel"/>
    <w:tmpl w:val="26ACF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C1B1D91"/>
    <w:multiLevelType w:val="multilevel"/>
    <w:tmpl w:val="A670A8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124D30"/>
    <w:multiLevelType w:val="hybridMultilevel"/>
    <w:tmpl w:val="D7022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06FEA"/>
    <w:multiLevelType w:val="hybridMultilevel"/>
    <w:tmpl w:val="5492E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BA2D78"/>
    <w:multiLevelType w:val="hybridMultilevel"/>
    <w:tmpl w:val="059230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5375E52"/>
    <w:multiLevelType w:val="multilevel"/>
    <w:tmpl w:val="C20251EE"/>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FC54CFD"/>
    <w:multiLevelType w:val="hybridMultilevel"/>
    <w:tmpl w:val="75827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636B3"/>
    <w:multiLevelType w:val="hybridMultilevel"/>
    <w:tmpl w:val="47B4133E"/>
    <w:lvl w:ilvl="0" w:tplc="7752FE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BD34C5"/>
    <w:multiLevelType w:val="multilevel"/>
    <w:tmpl w:val="ED3A81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C4303A5"/>
    <w:multiLevelType w:val="multilevel"/>
    <w:tmpl w:val="BC9AFEF6"/>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AB322D"/>
    <w:multiLevelType w:val="hybridMultilevel"/>
    <w:tmpl w:val="A70AFD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B033C5"/>
    <w:multiLevelType w:val="multilevel"/>
    <w:tmpl w:val="A670A8CC"/>
    <w:styleLink w:val="Style1"/>
    <w:lvl w:ilvl="0">
      <w:start w:val="1"/>
      <w:numFmt w:val="decimal"/>
      <w:lvlText w:val="%1."/>
      <w:lvlJc w:val="left"/>
      <w:pPr>
        <w:ind w:left="360" w:hanging="360"/>
      </w:pPr>
      <w:rPr>
        <w:rFonts w:ascii="Arial" w:eastAsia="Times New Roman" w:hAnsi="Arial"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6B375EA"/>
    <w:multiLevelType w:val="multilevel"/>
    <w:tmpl w:val="D6CA8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F8540D"/>
    <w:multiLevelType w:val="multilevel"/>
    <w:tmpl w:val="A670A8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A23DAC"/>
    <w:multiLevelType w:val="multilevel"/>
    <w:tmpl w:val="EF74F930"/>
    <w:styleLink w:val="Bullets"/>
    <w:lvl w:ilvl="0">
      <w:start w:val="1"/>
      <w:numFmt w:val="bullet"/>
      <w:lvlText w:val=""/>
      <w:lvlJc w:val="left"/>
      <w:pPr>
        <w:ind w:left="284" w:hanging="284"/>
      </w:pPr>
      <w:rPr>
        <w:rFonts w:ascii="Symbol" w:hAnsi="Symbol" w:hint="default"/>
      </w:rPr>
    </w:lvl>
    <w:lvl w:ilvl="1">
      <w:start w:val="1"/>
      <w:numFmt w:val="bullet"/>
      <w:lvlText w:val="o"/>
      <w:lvlJc w:val="left"/>
      <w:pPr>
        <w:ind w:left="3120" w:hanging="284"/>
      </w:pPr>
      <w:rPr>
        <w:rFonts w:ascii="Courier New" w:hAnsi="Courier New" w:cs="Courier New" w:hint="default"/>
      </w:rPr>
    </w:lvl>
    <w:lvl w:ilvl="2">
      <w:start w:val="1"/>
      <w:numFmt w:val="bullet"/>
      <w:lvlRestart w:val="0"/>
      <w:lvlText w:val="–"/>
      <w:lvlJc w:val="left"/>
      <w:pPr>
        <w:ind w:left="567" w:hanging="283"/>
      </w:pPr>
    </w:lvl>
    <w:lvl w:ilvl="3">
      <w:start w:val="1"/>
      <w:numFmt w:val="bullet"/>
      <w:lvlRestart w:val="0"/>
      <w:lvlText w:val="–"/>
      <w:lvlJc w:val="left"/>
      <w:pPr>
        <w:ind w:left="567" w:hanging="283"/>
      </w:p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bullet"/>
      <w:lvlRestart w:val="0"/>
      <w:lvlText w:val="–"/>
      <w:lvlJc w:val="left"/>
      <w:pPr>
        <w:ind w:left="454" w:hanging="227"/>
      </w:pPr>
      <w:rPr>
        <w:rFonts w:ascii="Arial" w:hAnsi="Arial" w:cs="Times New Roman" w:hint="default"/>
      </w:rPr>
    </w:lvl>
    <w:lvl w:ilvl="8">
      <w:start w:val="1"/>
      <w:numFmt w:val="none"/>
      <w:lvlRestart w:val="0"/>
      <w:lvlText w:val=""/>
      <w:lvlJc w:val="left"/>
      <w:pPr>
        <w:ind w:left="0" w:firstLine="0"/>
      </w:pPr>
    </w:lvl>
  </w:abstractNum>
  <w:abstractNum w:abstractNumId="23"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599280C"/>
    <w:multiLevelType w:val="multilevel"/>
    <w:tmpl w:val="ED3A8116"/>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E34D6F"/>
    <w:multiLevelType w:val="multilevel"/>
    <w:tmpl w:val="DAB86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250DBD"/>
    <w:multiLevelType w:val="hybridMultilevel"/>
    <w:tmpl w:val="C7441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A825C7"/>
    <w:multiLevelType w:val="multilevel"/>
    <w:tmpl w:val="ED3A8116"/>
    <w:numStyleLink w:val="Style3"/>
  </w:abstractNum>
  <w:abstractNum w:abstractNumId="29" w15:restartNumberingAfterBreak="0">
    <w:nsid w:val="6F207153"/>
    <w:multiLevelType w:val="multilevel"/>
    <w:tmpl w:val="A670A8CC"/>
    <w:numStyleLink w:val="Style1"/>
  </w:abstractNum>
  <w:abstractNum w:abstractNumId="30" w15:restartNumberingAfterBreak="0">
    <w:nsid w:val="73F30FD1"/>
    <w:multiLevelType w:val="multilevel"/>
    <w:tmpl w:val="577C881E"/>
    <w:styleLink w:val="Numbers"/>
    <w:lvl w:ilvl="0">
      <w:start w:val="1"/>
      <w:numFmt w:val="decimal"/>
      <w:lvlText w:val="%1."/>
      <w:lvlJc w:val="left"/>
      <w:pPr>
        <w:tabs>
          <w:tab w:val="num" w:pos="397"/>
        </w:tabs>
        <w:ind w:left="397" w:hanging="397"/>
      </w:pPr>
    </w:lvl>
    <w:lvl w:ilvl="1">
      <w:start w:val="1"/>
      <w:numFmt w:val="decimal"/>
      <w:lvlRestart w:val="0"/>
      <w:lvlText w:val="%2."/>
      <w:lvlJc w:val="left"/>
      <w:pPr>
        <w:tabs>
          <w:tab w:val="num" w:pos="794"/>
        </w:tabs>
        <w:ind w:left="794" w:hanging="397"/>
      </w:pPr>
    </w:lvl>
    <w:lvl w:ilvl="2">
      <w:start w:val="1"/>
      <w:numFmt w:val="lowerLetter"/>
      <w:lvlRestart w:val="0"/>
      <w:lvlText w:val="(%3)"/>
      <w:lvlJc w:val="left"/>
      <w:pPr>
        <w:tabs>
          <w:tab w:val="num" w:pos="397"/>
        </w:tabs>
        <w:ind w:left="397" w:hanging="397"/>
      </w:pPr>
    </w:lvl>
    <w:lvl w:ilvl="3">
      <w:start w:val="1"/>
      <w:numFmt w:val="lowerLetter"/>
      <w:lvlRestart w:val="0"/>
      <w:lvlText w:val="(%4)"/>
      <w:lvlJc w:val="left"/>
      <w:pPr>
        <w:tabs>
          <w:tab w:val="num" w:pos="794"/>
        </w:tabs>
        <w:ind w:left="794" w:hanging="397"/>
      </w:pPr>
    </w:lvl>
    <w:lvl w:ilvl="4">
      <w:start w:val="1"/>
      <w:numFmt w:val="lowerRoman"/>
      <w:lvlRestart w:val="0"/>
      <w:lvlText w:val="(%5)"/>
      <w:lvlJc w:val="left"/>
      <w:pPr>
        <w:tabs>
          <w:tab w:val="num" w:pos="397"/>
        </w:tabs>
        <w:ind w:left="397" w:hanging="397"/>
      </w:pPr>
    </w:lvl>
    <w:lvl w:ilvl="5">
      <w:start w:val="1"/>
      <w:numFmt w:val="lowerRoman"/>
      <w:lvlRestart w:val="0"/>
      <w:lvlText w:val="(%6)"/>
      <w:lvlJc w:val="left"/>
      <w:pPr>
        <w:tabs>
          <w:tab w:val="num" w:pos="794"/>
        </w:tabs>
        <w:ind w:left="794" w:hanging="397"/>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31" w15:restartNumberingAfterBreak="0">
    <w:nsid w:val="75D715D8"/>
    <w:multiLevelType w:val="multilevel"/>
    <w:tmpl w:val="A670A8CC"/>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EBB28A8"/>
    <w:multiLevelType w:val="hybridMultilevel"/>
    <w:tmpl w:val="FCC81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0"/>
  </w:num>
  <w:num w:numId="4">
    <w:abstractNumId w:val="22"/>
  </w:num>
  <w:num w:numId="5">
    <w:abstractNumId w:val="30"/>
  </w:num>
  <w:num w:numId="6">
    <w:abstractNumId w:val="2"/>
  </w:num>
  <w:num w:numId="7">
    <w:abstractNumId w:val="22"/>
    <w:lvlOverride w:ilvl="0"/>
    <w:lvlOverride w:ilvl="1"/>
    <w:lvlOverride w:ilvl="2"/>
    <w:lvlOverride w:ilvl="3"/>
    <w:lvlOverride w:ilvl="4"/>
    <w:lvlOverride w:ilvl="5"/>
    <w:lvlOverride w:ilvl="6"/>
    <w:lvlOverride w:ilvl="7"/>
    <w:lvlOverride w:ilvl="8">
      <w:startOverride w:val="1"/>
    </w:lvlOverride>
  </w:num>
  <w:num w:numId="8">
    <w:abstractNumId w:val="21"/>
  </w:num>
  <w:num w:numId="9">
    <w:abstractNumId w:val="6"/>
  </w:num>
  <w:num w:numId="10">
    <w:abstractNumId w:val="18"/>
  </w:num>
  <w:num w:numId="11">
    <w:abstractNumId w:val="29"/>
  </w:num>
  <w:num w:numId="12">
    <w:abstractNumId w:val="31"/>
  </w:num>
  <w:num w:numId="13">
    <w:abstractNumId w:val="13"/>
  </w:num>
  <w:num w:numId="14">
    <w:abstractNumId w:val="25"/>
  </w:num>
  <w:num w:numId="15">
    <w:abstractNumId w:val="28"/>
  </w:num>
  <w:num w:numId="16">
    <w:abstractNumId w:val="26"/>
  </w:num>
  <w:num w:numId="17">
    <w:abstractNumId w:val="20"/>
  </w:num>
  <w:num w:numId="18">
    <w:abstractNumId w:val="10"/>
  </w:num>
  <w:num w:numId="19">
    <w:abstractNumId w:val="3"/>
  </w:num>
  <w:num w:numId="20">
    <w:abstractNumId w:val="16"/>
  </w:num>
  <w:num w:numId="21">
    <w:abstractNumId w:val="14"/>
  </w:num>
  <w:num w:numId="22">
    <w:abstractNumId w:val="5"/>
  </w:num>
  <w:num w:numId="23">
    <w:abstractNumId w:val="19"/>
  </w:num>
  <w:num w:numId="24">
    <w:abstractNumId w:val="23"/>
  </w:num>
  <w:num w:numId="25">
    <w:abstractNumId w:val="24"/>
  </w:num>
  <w:num w:numId="26">
    <w:abstractNumId w:val="24"/>
  </w:num>
  <w:num w:numId="27">
    <w:abstractNumId w:val="1"/>
  </w:num>
  <w:num w:numId="28">
    <w:abstractNumId w:val="32"/>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8"/>
  </w:num>
  <w:num w:numId="33">
    <w:abstractNumId w:val="7"/>
  </w:num>
  <w:num w:numId="34">
    <w:abstractNumId w:val="17"/>
  </w:num>
  <w:num w:numId="35">
    <w:abstractNumId w:val="27"/>
  </w:num>
  <w:num w:numId="36">
    <w:abstractNumId w:val="12"/>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8"/>
  <w:stylePaneSortMethod w:val="0000"/>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AF"/>
    <w:rsid w:val="000003AF"/>
    <w:rsid w:val="00002142"/>
    <w:rsid w:val="0000250E"/>
    <w:rsid w:val="00003860"/>
    <w:rsid w:val="00005D75"/>
    <w:rsid w:val="00007277"/>
    <w:rsid w:val="0001357D"/>
    <w:rsid w:val="00014076"/>
    <w:rsid w:val="00014B55"/>
    <w:rsid w:val="0001532A"/>
    <w:rsid w:val="000153CA"/>
    <w:rsid w:val="0001603C"/>
    <w:rsid w:val="00017954"/>
    <w:rsid w:val="00020547"/>
    <w:rsid w:val="00020E25"/>
    <w:rsid w:val="00024B05"/>
    <w:rsid w:val="00026464"/>
    <w:rsid w:val="00030060"/>
    <w:rsid w:val="00037D8B"/>
    <w:rsid w:val="00037EB5"/>
    <w:rsid w:val="00041BBD"/>
    <w:rsid w:val="00042A54"/>
    <w:rsid w:val="00042FC7"/>
    <w:rsid w:val="00046CF4"/>
    <w:rsid w:val="00047E96"/>
    <w:rsid w:val="000506EE"/>
    <w:rsid w:val="00055368"/>
    <w:rsid w:val="000568DF"/>
    <w:rsid w:val="00056BB9"/>
    <w:rsid w:val="00057319"/>
    <w:rsid w:val="0006072A"/>
    <w:rsid w:val="00061854"/>
    <w:rsid w:val="000627A6"/>
    <w:rsid w:val="000666D4"/>
    <w:rsid w:val="0007635A"/>
    <w:rsid w:val="00076967"/>
    <w:rsid w:val="00077C08"/>
    <w:rsid w:val="00081884"/>
    <w:rsid w:val="000827B5"/>
    <w:rsid w:val="00084712"/>
    <w:rsid w:val="00085E5A"/>
    <w:rsid w:val="000866FD"/>
    <w:rsid w:val="00086B8C"/>
    <w:rsid w:val="00093C29"/>
    <w:rsid w:val="00094BBF"/>
    <w:rsid w:val="000951C2"/>
    <w:rsid w:val="00095523"/>
    <w:rsid w:val="00097B22"/>
    <w:rsid w:val="000A0A7A"/>
    <w:rsid w:val="000A0D17"/>
    <w:rsid w:val="000A12DA"/>
    <w:rsid w:val="000A21AD"/>
    <w:rsid w:val="000A4A48"/>
    <w:rsid w:val="000B24BD"/>
    <w:rsid w:val="000B2C48"/>
    <w:rsid w:val="000B4BF3"/>
    <w:rsid w:val="000B4C63"/>
    <w:rsid w:val="000B6025"/>
    <w:rsid w:val="000C0016"/>
    <w:rsid w:val="000C0A3C"/>
    <w:rsid w:val="000C3D1E"/>
    <w:rsid w:val="000C41C2"/>
    <w:rsid w:val="000C7001"/>
    <w:rsid w:val="000D2A26"/>
    <w:rsid w:val="000D4B45"/>
    <w:rsid w:val="000D5660"/>
    <w:rsid w:val="000D5690"/>
    <w:rsid w:val="000E0E94"/>
    <w:rsid w:val="000E1400"/>
    <w:rsid w:val="000E2221"/>
    <w:rsid w:val="000E2D90"/>
    <w:rsid w:val="000E3588"/>
    <w:rsid w:val="000E4E9B"/>
    <w:rsid w:val="000E581B"/>
    <w:rsid w:val="000E6BA5"/>
    <w:rsid w:val="000E70B3"/>
    <w:rsid w:val="000F1508"/>
    <w:rsid w:val="000F33E5"/>
    <w:rsid w:val="000F3E1B"/>
    <w:rsid w:val="000F6AB4"/>
    <w:rsid w:val="000F7399"/>
    <w:rsid w:val="000F7898"/>
    <w:rsid w:val="00100657"/>
    <w:rsid w:val="0010080D"/>
    <w:rsid w:val="00101A86"/>
    <w:rsid w:val="00101E11"/>
    <w:rsid w:val="00103C03"/>
    <w:rsid w:val="0011073C"/>
    <w:rsid w:val="00110D79"/>
    <w:rsid w:val="00112E55"/>
    <w:rsid w:val="001170F5"/>
    <w:rsid w:val="001177E1"/>
    <w:rsid w:val="0012436C"/>
    <w:rsid w:val="0012538B"/>
    <w:rsid w:val="001308D1"/>
    <w:rsid w:val="00131427"/>
    <w:rsid w:val="00132DE1"/>
    <w:rsid w:val="00132EF1"/>
    <w:rsid w:val="00134F95"/>
    <w:rsid w:val="00135C55"/>
    <w:rsid w:val="00135F54"/>
    <w:rsid w:val="00135F82"/>
    <w:rsid w:val="00140673"/>
    <w:rsid w:val="001414E0"/>
    <w:rsid w:val="00141749"/>
    <w:rsid w:val="00141772"/>
    <w:rsid w:val="00142202"/>
    <w:rsid w:val="00142807"/>
    <w:rsid w:val="00143563"/>
    <w:rsid w:val="001456BB"/>
    <w:rsid w:val="00152F12"/>
    <w:rsid w:val="0015369C"/>
    <w:rsid w:val="001538B8"/>
    <w:rsid w:val="00155E63"/>
    <w:rsid w:val="00156785"/>
    <w:rsid w:val="001573D6"/>
    <w:rsid w:val="00161489"/>
    <w:rsid w:val="0016154E"/>
    <w:rsid w:val="001625E6"/>
    <w:rsid w:val="00164661"/>
    <w:rsid w:val="00170079"/>
    <w:rsid w:val="001713AE"/>
    <w:rsid w:val="00171A1C"/>
    <w:rsid w:val="0017250A"/>
    <w:rsid w:val="00175539"/>
    <w:rsid w:val="0017595B"/>
    <w:rsid w:val="00176EFC"/>
    <w:rsid w:val="0017783E"/>
    <w:rsid w:val="0018050D"/>
    <w:rsid w:val="00180621"/>
    <w:rsid w:val="0018337F"/>
    <w:rsid w:val="00185E33"/>
    <w:rsid w:val="00185E98"/>
    <w:rsid w:val="00186467"/>
    <w:rsid w:val="00190674"/>
    <w:rsid w:val="001950B7"/>
    <w:rsid w:val="00196616"/>
    <w:rsid w:val="00196993"/>
    <w:rsid w:val="00196E12"/>
    <w:rsid w:val="00197CED"/>
    <w:rsid w:val="001A1B5F"/>
    <w:rsid w:val="001A2B86"/>
    <w:rsid w:val="001A5720"/>
    <w:rsid w:val="001A6767"/>
    <w:rsid w:val="001A6BE2"/>
    <w:rsid w:val="001B14F1"/>
    <w:rsid w:val="001B2A13"/>
    <w:rsid w:val="001B319D"/>
    <w:rsid w:val="001B463B"/>
    <w:rsid w:val="001B51BB"/>
    <w:rsid w:val="001C2F73"/>
    <w:rsid w:val="001C3FBF"/>
    <w:rsid w:val="001C44AB"/>
    <w:rsid w:val="001C6272"/>
    <w:rsid w:val="001C7E57"/>
    <w:rsid w:val="001D274B"/>
    <w:rsid w:val="001D3C43"/>
    <w:rsid w:val="001D5351"/>
    <w:rsid w:val="001D6150"/>
    <w:rsid w:val="001D6724"/>
    <w:rsid w:val="001E053D"/>
    <w:rsid w:val="001E064D"/>
    <w:rsid w:val="001E0EA3"/>
    <w:rsid w:val="001E166C"/>
    <w:rsid w:val="001E3D13"/>
    <w:rsid w:val="001F0D2D"/>
    <w:rsid w:val="001F6EC6"/>
    <w:rsid w:val="001F7A2A"/>
    <w:rsid w:val="00200BE4"/>
    <w:rsid w:val="00201E6E"/>
    <w:rsid w:val="00202D48"/>
    <w:rsid w:val="00203EF6"/>
    <w:rsid w:val="00205EBC"/>
    <w:rsid w:val="00206AEB"/>
    <w:rsid w:val="00207557"/>
    <w:rsid w:val="002109CF"/>
    <w:rsid w:val="00210C91"/>
    <w:rsid w:val="002129D4"/>
    <w:rsid w:val="00215F2E"/>
    <w:rsid w:val="002160AD"/>
    <w:rsid w:val="0021702A"/>
    <w:rsid w:val="00217BF9"/>
    <w:rsid w:val="00217C8C"/>
    <w:rsid w:val="00220634"/>
    <w:rsid w:val="0022140C"/>
    <w:rsid w:val="00222165"/>
    <w:rsid w:val="00222430"/>
    <w:rsid w:val="0022320A"/>
    <w:rsid w:val="00224FBF"/>
    <w:rsid w:val="0022509E"/>
    <w:rsid w:val="00227272"/>
    <w:rsid w:val="0022760F"/>
    <w:rsid w:val="00231287"/>
    <w:rsid w:val="00231F1D"/>
    <w:rsid w:val="00232C31"/>
    <w:rsid w:val="00233FF7"/>
    <w:rsid w:val="0023469E"/>
    <w:rsid w:val="00236FCE"/>
    <w:rsid w:val="002373DB"/>
    <w:rsid w:val="00237E76"/>
    <w:rsid w:val="00240B58"/>
    <w:rsid w:val="0024205C"/>
    <w:rsid w:val="00244017"/>
    <w:rsid w:val="00245A5C"/>
    <w:rsid w:val="00247B0B"/>
    <w:rsid w:val="00252457"/>
    <w:rsid w:val="00253718"/>
    <w:rsid w:val="00253982"/>
    <w:rsid w:val="002571C4"/>
    <w:rsid w:val="00260B4E"/>
    <w:rsid w:val="00261F0B"/>
    <w:rsid w:val="0026745B"/>
    <w:rsid w:val="002678AD"/>
    <w:rsid w:val="0027014E"/>
    <w:rsid w:val="002707F0"/>
    <w:rsid w:val="00272307"/>
    <w:rsid w:val="0027244A"/>
    <w:rsid w:val="00272B67"/>
    <w:rsid w:val="002734AB"/>
    <w:rsid w:val="00274CEB"/>
    <w:rsid w:val="00276936"/>
    <w:rsid w:val="00277596"/>
    <w:rsid w:val="002779B0"/>
    <w:rsid w:val="00281D7A"/>
    <w:rsid w:val="002834ED"/>
    <w:rsid w:val="002846B2"/>
    <w:rsid w:val="002858F6"/>
    <w:rsid w:val="002860FB"/>
    <w:rsid w:val="002865B7"/>
    <w:rsid w:val="002908C9"/>
    <w:rsid w:val="00292F82"/>
    <w:rsid w:val="0029553A"/>
    <w:rsid w:val="002A06E1"/>
    <w:rsid w:val="002A0D3D"/>
    <w:rsid w:val="002A204C"/>
    <w:rsid w:val="002A4249"/>
    <w:rsid w:val="002A69EA"/>
    <w:rsid w:val="002B3CFF"/>
    <w:rsid w:val="002B4ABD"/>
    <w:rsid w:val="002B5D31"/>
    <w:rsid w:val="002B6BE7"/>
    <w:rsid w:val="002B6C3F"/>
    <w:rsid w:val="002B738C"/>
    <w:rsid w:val="002C07B8"/>
    <w:rsid w:val="002C272A"/>
    <w:rsid w:val="002C5759"/>
    <w:rsid w:val="002C57B9"/>
    <w:rsid w:val="002C5A0F"/>
    <w:rsid w:val="002C5D62"/>
    <w:rsid w:val="002D16FA"/>
    <w:rsid w:val="002D2D01"/>
    <w:rsid w:val="002D422F"/>
    <w:rsid w:val="002D551F"/>
    <w:rsid w:val="002D5F06"/>
    <w:rsid w:val="002D7ECB"/>
    <w:rsid w:val="002E155B"/>
    <w:rsid w:val="002E40C6"/>
    <w:rsid w:val="002E47C6"/>
    <w:rsid w:val="002E5429"/>
    <w:rsid w:val="002E7628"/>
    <w:rsid w:val="002F0A6C"/>
    <w:rsid w:val="002F0F54"/>
    <w:rsid w:val="002F15C4"/>
    <w:rsid w:val="002F6318"/>
    <w:rsid w:val="002F63F8"/>
    <w:rsid w:val="002F6702"/>
    <w:rsid w:val="00300C37"/>
    <w:rsid w:val="00300E3F"/>
    <w:rsid w:val="00301B1C"/>
    <w:rsid w:val="003032FA"/>
    <w:rsid w:val="00304616"/>
    <w:rsid w:val="003048C0"/>
    <w:rsid w:val="00304C98"/>
    <w:rsid w:val="00304FB0"/>
    <w:rsid w:val="00305953"/>
    <w:rsid w:val="00305D11"/>
    <w:rsid w:val="00305F16"/>
    <w:rsid w:val="00306F99"/>
    <w:rsid w:val="003113B7"/>
    <w:rsid w:val="003122F7"/>
    <w:rsid w:val="00313B08"/>
    <w:rsid w:val="0031507B"/>
    <w:rsid w:val="003172C2"/>
    <w:rsid w:val="003222A5"/>
    <w:rsid w:val="003235EC"/>
    <w:rsid w:val="003242C1"/>
    <w:rsid w:val="00324D89"/>
    <w:rsid w:val="00325A4D"/>
    <w:rsid w:val="00330A94"/>
    <w:rsid w:val="0033158A"/>
    <w:rsid w:val="00333CFB"/>
    <w:rsid w:val="003346C6"/>
    <w:rsid w:val="003377CA"/>
    <w:rsid w:val="003414A8"/>
    <w:rsid w:val="0034239D"/>
    <w:rsid w:val="00344D32"/>
    <w:rsid w:val="00345E1D"/>
    <w:rsid w:val="0035048B"/>
    <w:rsid w:val="00350FB0"/>
    <w:rsid w:val="00353FD1"/>
    <w:rsid w:val="00354140"/>
    <w:rsid w:val="00354813"/>
    <w:rsid w:val="003562F3"/>
    <w:rsid w:val="00360A5B"/>
    <w:rsid w:val="00361177"/>
    <w:rsid w:val="00361545"/>
    <w:rsid w:val="00362D4A"/>
    <w:rsid w:val="00365A51"/>
    <w:rsid w:val="00367D90"/>
    <w:rsid w:val="00370C1C"/>
    <w:rsid w:val="00372A36"/>
    <w:rsid w:val="00375350"/>
    <w:rsid w:val="003759A3"/>
    <w:rsid w:val="00382411"/>
    <w:rsid w:val="003832A9"/>
    <w:rsid w:val="003876A5"/>
    <w:rsid w:val="00390BBE"/>
    <w:rsid w:val="003939F6"/>
    <w:rsid w:val="00393FAF"/>
    <w:rsid w:val="00394FB9"/>
    <w:rsid w:val="00395928"/>
    <w:rsid w:val="003959DD"/>
    <w:rsid w:val="003A0118"/>
    <w:rsid w:val="003A2B43"/>
    <w:rsid w:val="003A30FE"/>
    <w:rsid w:val="003A6C4C"/>
    <w:rsid w:val="003B027F"/>
    <w:rsid w:val="003B0AA7"/>
    <w:rsid w:val="003B2288"/>
    <w:rsid w:val="003B49F3"/>
    <w:rsid w:val="003B61B5"/>
    <w:rsid w:val="003B6C88"/>
    <w:rsid w:val="003B6D02"/>
    <w:rsid w:val="003B72C2"/>
    <w:rsid w:val="003C08C3"/>
    <w:rsid w:val="003C3932"/>
    <w:rsid w:val="003C3AC8"/>
    <w:rsid w:val="003C3FD8"/>
    <w:rsid w:val="003C5D73"/>
    <w:rsid w:val="003C7740"/>
    <w:rsid w:val="003C7D3B"/>
    <w:rsid w:val="003D20D0"/>
    <w:rsid w:val="003D22DA"/>
    <w:rsid w:val="003D452E"/>
    <w:rsid w:val="003D5ED7"/>
    <w:rsid w:val="003D5F09"/>
    <w:rsid w:val="003E04FF"/>
    <w:rsid w:val="003E0C62"/>
    <w:rsid w:val="003E0FE9"/>
    <w:rsid w:val="003E1A52"/>
    <w:rsid w:val="003E1E30"/>
    <w:rsid w:val="003E212C"/>
    <w:rsid w:val="003E2C09"/>
    <w:rsid w:val="003E4ADB"/>
    <w:rsid w:val="003E4F0C"/>
    <w:rsid w:val="003E5B41"/>
    <w:rsid w:val="003E719C"/>
    <w:rsid w:val="003F0D95"/>
    <w:rsid w:val="003F108A"/>
    <w:rsid w:val="003F315F"/>
    <w:rsid w:val="003F4D69"/>
    <w:rsid w:val="003F7C32"/>
    <w:rsid w:val="00401A9B"/>
    <w:rsid w:val="00402A7E"/>
    <w:rsid w:val="00404348"/>
    <w:rsid w:val="00404A15"/>
    <w:rsid w:val="004128BF"/>
    <w:rsid w:val="00413080"/>
    <w:rsid w:val="0041376C"/>
    <w:rsid w:val="00413BDF"/>
    <w:rsid w:val="004214D7"/>
    <w:rsid w:val="004244B1"/>
    <w:rsid w:val="004248FD"/>
    <w:rsid w:val="00424BA7"/>
    <w:rsid w:val="0042745E"/>
    <w:rsid w:val="00427DF3"/>
    <w:rsid w:val="004305CF"/>
    <w:rsid w:val="004330B8"/>
    <w:rsid w:val="004330D2"/>
    <w:rsid w:val="00434E24"/>
    <w:rsid w:val="00434ED9"/>
    <w:rsid w:val="00435DCF"/>
    <w:rsid w:val="0043649F"/>
    <w:rsid w:val="00436FC0"/>
    <w:rsid w:val="00444050"/>
    <w:rsid w:val="0044421F"/>
    <w:rsid w:val="00444D59"/>
    <w:rsid w:val="00445E50"/>
    <w:rsid w:val="0045005F"/>
    <w:rsid w:val="00452AE0"/>
    <w:rsid w:val="004534F0"/>
    <w:rsid w:val="00456212"/>
    <w:rsid w:val="00456E37"/>
    <w:rsid w:val="00457A52"/>
    <w:rsid w:val="00461C5E"/>
    <w:rsid w:val="00461F35"/>
    <w:rsid w:val="0046449A"/>
    <w:rsid w:val="0046487E"/>
    <w:rsid w:val="00466DF4"/>
    <w:rsid w:val="00467B16"/>
    <w:rsid w:val="0047364C"/>
    <w:rsid w:val="0047379E"/>
    <w:rsid w:val="00477CA0"/>
    <w:rsid w:val="00482211"/>
    <w:rsid w:val="004827A9"/>
    <w:rsid w:val="00483001"/>
    <w:rsid w:val="004832A5"/>
    <w:rsid w:val="004851FC"/>
    <w:rsid w:val="00486417"/>
    <w:rsid w:val="00486600"/>
    <w:rsid w:val="004906FA"/>
    <w:rsid w:val="00491922"/>
    <w:rsid w:val="00495126"/>
    <w:rsid w:val="004A07E2"/>
    <w:rsid w:val="004A085A"/>
    <w:rsid w:val="004A7956"/>
    <w:rsid w:val="004B0985"/>
    <w:rsid w:val="004B10CC"/>
    <w:rsid w:val="004B43DC"/>
    <w:rsid w:val="004B57B0"/>
    <w:rsid w:val="004B701B"/>
    <w:rsid w:val="004C0E06"/>
    <w:rsid w:val="004C2E5B"/>
    <w:rsid w:val="004C3ED4"/>
    <w:rsid w:val="004C4270"/>
    <w:rsid w:val="004C5BA8"/>
    <w:rsid w:val="004C6044"/>
    <w:rsid w:val="004C6BB8"/>
    <w:rsid w:val="004C757C"/>
    <w:rsid w:val="004C7A44"/>
    <w:rsid w:val="004D14E4"/>
    <w:rsid w:val="004D25CC"/>
    <w:rsid w:val="004D28D1"/>
    <w:rsid w:val="004D3E28"/>
    <w:rsid w:val="004D5135"/>
    <w:rsid w:val="004D5B67"/>
    <w:rsid w:val="004D685F"/>
    <w:rsid w:val="004E2AFC"/>
    <w:rsid w:val="004E3F43"/>
    <w:rsid w:val="004E41D8"/>
    <w:rsid w:val="004F04B4"/>
    <w:rsid w:val="004F1807"/>
    <w:rsid w:val="004F218F"/>
    <w:rsid w:val="004F5CBF"/>
    <w:rsid w:val="004F7C7A"/>
    <w:rsid w:val="004F7F21"/>
    <w:rsid w:val="0050083C"/>
    <w:rsid w:val="00500B38"/>
    <w:rsid w:val="005013D7"/>
    <w:rsid w:val="005019F1"/>
    <w:rsid w:val="00503AE9"/>
    <w:rsid w:val="00504C76"/>
    <w:rsid w:val="005069A3"/>
    <w:rsid w:val="00507A2F"/>
    <w:rsid w:val="00510C5A"/>
    <w:rsid w:val="0051161B"/>
    <w:rsid w:val="00514487"/>
    <w:rsid w:val="00514AB5"/>
    <w:rsid w:val="00515BE3"/>
    <w:rsid w:val="00517166"/>
    <w:rsid w:val="00517842"/>
    <w:rsid w:val="00517F69"/>
    <w:rsid w:val="00520D8C"/>
    <w:rsid w:val="005231E6"/>
    <w:rsid w:val="00524566"/>
    <w:rsid w:val="00525888"/>
    <w:rsid w:val="0053056E"/>
    <w:rsid w:val="005325BD"/>
    <w:rsid w:val="00536DA1"/>
    <w:rsid w:val="00537C9A"/>
    <w:rsid w:val="00537E92"/>
    <w:rsid w:val="00540406"/>
    <w:rsid w:val="005420D4"/>
    <w:rsid w:val="00542C01"/>
    <w:rsid w:val="00543DF1"/>
    <w:rsid w:val="00544886"/>
    <w:rsid w:val="00551089"/>
    <w:rsid w:val="00553CE8"/>
    <w:rsid w:val="00554C1C"/>
    <w:rsid w:val="00554C8C"/>
    <w:rsid w:val="005554C8"/>
    <w:rsid w:val="005557A8"/>
    <w:rsid w:val="00563410"/>
    <w:rsid w:val="00566336"/>
    <w:rsid w:val="005704B2"/>
    <w:rsid w:val="00572A22"/>
    <w:rsid w:val="005740EA"/>
    <w:rsid w:val="00574192"/>
    <w:rsid w:val="005805CF"/>
    <w:rsid w:val="00580F99"/>
    <w:rsid w:val="005828A6"/>
    <w:rsid w:val="005834BD"/>
    <w:rsid w:val="00583DC3"/>
    <w:rsid w:val="005845C6"/>
    <w:rsid w:val="00585289"/>
    <w:rsid w:val="0058624F"/>
    <w:rsid w:val="005905B2"/>
    <w:rsid w:val="005943E3"/>
    <w:rsid w:val="00594B8B"/>
    <w:rsid w:val="00594C65"/>
    <w:rsid w:val="00595783"/>
    <w:rsid w:val="00596353"/>
    <w:rsid w:val="00597F81"/>
    <w:rsid w:val="005A063A"/>
    <w:rsid w:val="005A45D1"/>
    <w:rsid w:val="005A4C80"/>
    <w:rsid w:val="005A660A"/>
    <w:rsid w:val="005A68E6"/>
    <w:rsid w:val="005B03D6"/>
    <w:rsid w:val="005B2009"/>
    <w:rsid w:val="005B2603"/>
    <w:rsid w:val="005B263B"/>
    <w:rsid w:val="005B2B8F"/>
    <w:rsid w:val="005B2CCC"/>
    <w:rsid w:val="005B3234"/>
    <w:rsid w:val="005B561D"/>
    <w:rsid w:val="005B7BD3"/>
    <w:rsid w:val="005B7E92"/>
    <w:rsid w:val="005C05B7"/>
    <w:rsid w:val="005C12BF"/>
    <w:rsid w:val="005C28A0"/>
    <w:rsid w:val="005C35FA"/>
    <w:rsid w:val="005C5D04"/>
    <w:rsid w:val="005C64A9"/>
    <w:rsid w:val="005C6B05"/>
    <w:rsid w:val="005D0B63"/>
    <w:rsid w:val="005D4998"/>
    <w:rsid w:val="005D54AC"/>
    <w:rsid w:val="005D61BA"/>
    <w:rsid w:val="005D638E"/>
    <w:rsid w:val="005D673C"/>
    <w:rsid w:val="005E143B"/>
    <w:rsid w:val="005E14F2"/>
    <w:rsid w:val="005E238E"/>
    <w:rsid w:val="005E3B0D"/>
    <w:rsid w:val="005E54ED"/>
    <w:rsid w:val="005E6CB7"/>
    <w:rsid w:val="005F0B15"/>
    <w:rsid w:val="005F0F44"/>
    <w:rsid w:val="005F5B23"/>
    <w:rsid w:val="005F5DE7"/>
    <w:rsid w:val="006010B1"/>
    <w:rsid w:val="00603215"/>
    <w:rsid w:val="00606B3F"/>
    <w:rsid w:val="00607603"/>
    <w:rsid w:val="006103ED"/>
    <w:rsid w:val="00610656"/>
    <w:rsid w:val="00610869"/>
    <w:rsid w:val="006110A0"/>
    <w:rsid w:val="00612DF5"/>
    <w:rsid w:val="006166CF"/>
    <w:rsid w:val="00617350"/>
    <w:rsid w:val="0061777F"/>
    <w:rsid w:val="0061786C"/>
    <w:rsid w:val="006201A8"/>
    <w:rsid w:val="006205C5"/>
    <w:rsid w:val="006222EC"/>
    <w:rsid w:val="00623F08"/>
    <w:rsid w:val="00625C50"/>
    <w:rsid w:val="00626045"/>
    <w:rsid w:val="00626934"/>
    <w:rsid w:val="006272F3"/>
    <w:rsid w:val="0063033A"/>
    <w:rsid w:val="00631550"/>
    <w:rsid w:val="00631609"/>
    <w:rsid w:val="00632BB6"/>
    <w:rsid w:val="006354A5"/>
    <w:rsid w:val="006356FD"/>
    <w:rsid w:val="00636115"/>
    <w:rsid w:val="0063676C"/>
    <w:rsid w:val="006375B3"/>
    <w:rsid w:val="00637ABA"/>
    <w:rsid w:val="00640E10"/>
    <w:rsid w:val="00641855"/>
    <w:rsid w:val="00641F4C"/>
    <w:rsid w:val="00646179"/>
    <w:rsid w:val="00647185"/>
    <w:rsid w:val="00647546"/>
    <w:rsid w:val="00647845"/>
    <w:rsid w:val="00652CDF"/>
    <w:rsid w:val="0065349B"/>
    <w:rsid w:val="00653830"/>
    <w:rsid w:val="00654AF0"/>
    <w:rsid w:val="00657CB8"/>
    <w:rsid w:val="00660D47"/>
    <w:rsid w:val="00661459"/>
    <w:rsid w:val="00661D73"/>
    <w:rsid w:val="00663BA6"/>
    <w:rsid w:val="00663C91"/>
    <w:rsid w:val="006640E1"/>
    <w:rsid w:val="006641AA"/>
    <w:rsid w:val="0066427D"/>
    <w:rsid w:val="00665616"/>
    <w:rsid w:val="00667AFF"/>
    <w:rsid w:val="00670EF3"/>
    <w:rsid w:val="00673B89"/>
    <w:rsid w:val="00681748"/>
    <w:rsid w:val="00682673"/>
    <w:rsid w:val="0068335D"/>
    <w:rsid w:val="006835FB"/>
    <w:rsid w:val="00683BAB"/>
    <w:rsid w:val="00683CAE"/>
    <w:rsid w:val="00684A85"/>
    <w:rsid w:val="00685F76"/>
    <w:rsid w:val="00690B78"/>
    <w:rsid w:val="00690FBB"/>
    <w:rsid w:val="0069104B"/>
    <w:rsid w:val="006915A0"/>
    <w:rsid w:val="00691D63"/>
    <w:rsid w:val="00693421"/>
    <w:rsid w:val="00694242"/>
    <w:rsid w:val="0069478B"/>
    <w:rsid w:val="0069716E"/>
    <w:rsid w:val="00697225"/>
    <w:rsid w:val="0069770C"/>
    <w:rsid w:val="006A1D2A"/>
    <w:rsid w:val="006A2EC8"/>
    <w:rsid w:val="006A411C"/>
    <w:rsid w:val="006A48DC"/>
    <w:rsid w:val="006A4C3D"/>
    <w:rsid w:val="006A563E"/>
    <w:rsid w:val="006A5EDB"/>
    <w:rsid w:val="006A6B1A"/>
    <w:rsid w:val="006B04B3"/>
    <w:rsid w:val="006B608E"/>
    <w:rsid w:val="006C17B9"/>
    <w:rsid w:val="006C17DE"/>
    <w:rsid w:val="006C1ED6"/>
    <w:rsid w:val="006C6073"/>
    <w:rsid w:val="006C6290"/>
    <w:rsid w:val="006C67A0"/>
    <w:rsid w:val="006C7A4F"/>
    <w:rsid w:val="006D0B66"/>
    <w:rsid w:val="006D110F"/>
    <w:rsid w:val="006D2170"/>
    <w:rsid w:val="006D2AED"/>
    <w:rsid w:val="006D39DA"/>
    <w:rsid w:val="006D6760"/>
    <w:rsid w:val="006E0E14"/>
    <w:rsid w:val="006E143E"/>
    <w:rsid w:val="006E14D7"/>
    <w:rsid w:val="006E1B51"/>
    <w:rsid w:val="006E1E52"/>
    <w:rsid w:val="006E53D8"/>
    <w:rsid w:val="006E55F5"/>
    <w:rsid w:val="006E64D1"/>
    <w:rsid w:val="006F4C66"/>
    <w:rsid w:val="006F594E"/>
    <w:rsid w:val="006F6BE8"/>
    <w:rsid w:val="006F6DBF"/>
    <w:rsid w:val="0070020A"/>
    <w:rsid w:val="007004EA"/>
    <w:rsid w:val="007007C0"/>
    <w:rsid w:val="00701083"/>
    <w:rsid w:val="0070204E"/>
    <w:rsid w:val="00703F87"/>
    <w:rsid w:val="0070519A"/>
    <w:rsid w:val="007109AA"/>
    <w:rsid w:val="0071472C"/>
    <w:rsid w:val="00715156"/>
    <w:rsid w:val="00715337"/>
    <w:rsid w:val="00715506"/>
    <w:rsid w:val="007163E9"/>
    <w:rsid w:val="007219BF"/>
    <w:rsid w:val="00722342"/>
    <w:rsid w:val="0072307A"/>
    <w:rsid w:val="007239D2"/>
    <w:rsid w:val="00726A84"/>
    <w:rsid w:val="0072706C"/>
    <w:rsid w:val="007340E0"/>
    <w:rsid w:val="00734204"/>
    <w:rsid w:val="007351FF"/>
    <w:rsid w:val="00735EC8"/>
    <w:rsid w:val="00736639"/>
    <w:rsid w:val="007367ED"/>
    <w:rsid w:val="00740176"/>
    <w:rsid w:val="0074073E"/>
    <w:rsid w:val="00741ADC"/>
    <w:rsid w:val="00742C4B"/>
    <w:rsid w:val="007434CD"/>
    <w:rsid w:val="00743988"/>
    <w:rsid w:val="007458F9"/>
    <w:rsid w:val="00746D4E"/>
    <w:rsid w:val="007519B1"/>
    <w:rsid w:val="00753DB9"/>
    <w:rsid w:val="0075540E"/>
    <w:rsid w:val="007568F2"/>
    <w:rsid w:val="00756E9F"/>
    <w:rsid w:val="007578D2"/>
    <w:rsid w:val="007579D8"/>
    <w:rsid w:val="00757A22"/>
    <w:rsid w:val="00757B03"/>
    <w:rsid w:val="007610EE"/>
    <w:rsid w:val="0076175D"/>
    <w:rsid w:val="007634A8"/>
    <w:rsid w:val="0076448E"/>
    <w:rsid w:val="007653C8"/>
    <w:rsid w:val="007672A2"/>
    <w:rsid w:val="00770649"/>
    <w:rsid w:val="0077186D"/>
    <w:rsid w:val="00771C0E"/>
    <w:rsid w:val="007726A9"/>
    <w:rsid w:val="0077463A"/>
    <w:rsid w:val="00774D42"/>
    <w:rsid w:val="00775558"/>
    <w:rsid w:val="0078216C"/>
    <w:rsid w:val="00782E75"/>
    <w:rsid w:val="00785057"/>
    <w:rsid w:val="0078509D"/>
    <w:rsid w:val="007852C3"/>
    <w:rsid w:val="00785365"/>
    <w:rsid w:val="007854E0"/>
    <w:rsid w:val="00785DE1"/>
    <w:rsid w:val="00785F1F"/>
    <w:rsid w:val="00786243"/>
    <w:rsid w:val="00786557"/>
    <w:rsid w:val="00791CB6"/>
    <w:rsid w:val="007952C6"/>
    <w:rsid w:val="00795918"/>
    <w:rsid w:val="00795C97"/>
    <w:rsid w:val="00796409"/>
    <w:rsid w:val="007964F3"/>
    <w:rsid w:val="00796841"/>
    <w:rsid w:val="007970B7"/>
    <w:rsid w:val="007975DA"/>
    <w:rsid w:val="00797A9E"/>
    <w:rsid w:val="007A0673"/>
    <w:rsid w:val="007A0B9B"/>
    <w:rsid w:val="007A18B4"/>
    <w:rsid w:val="007A1BBF"/>
    <w:rsid w:val="007A2F6E"/>
    <w:rsid w:val="007A5B78"/>
    <w:rsid w:val="007B05B1"/>
    <w:rsid w:val="007B13F3"/>
    <w:rsid w:val="007B1AE2"/>
    <w:rsid w:val="007B3580"/>
    <w:rsid w:val="007B3E7F"/>
    <w:rsid w:val="007B673B"/>
    <w:rsid w:val="007B7209"/>
    <w:rsid w:val="007C01BA"/>
    <w:rsid w:val="007C0C57"/>
    <w:rsid w:val="007C1B0C"/>
    <w:rsid w:val="007C1E1A"/>
    <w:rsid w:val="007C29C3"/>
    <w:rsid w:val="007C4509"/>
    <w:rsid w:val="007C4B88"/>
    <w:rsid w:val="007C6CC7"/>
    <w:rsid w:val="007C7426"/>
    <w:rsid w:val="007C79DE"/>
    <w:rsid w:val="007D02C5"/>
    <w:rsid w:val="007D2890"/>
    <w:rsid w:val="007D4618"/>
    <w:rsid w:val="007D4864"/>
    <w:rsid w:val="007D6994"/>
    <w:rsid w:val="007E165F"/>
    <w:rsid w:val="007E1736"/>
    <w:rsid w:val="007E1EF7"/>
    <w:rsid w:val="007E2F8A"/>
    <w:rsid w:val="007E4A47"/>
    <w:rsid w:val="007E5464"/>
    <w:rsid w:val="007E64F8"/>
    <w:rsid w:val="007E6677"/>
    <w:rsid w:val="007E7594"/>
    <w:rsid w:val="007F20D3"/>
    <w:rsid w:val="007F2EF5"/>
    <w:rsid w:val="007F36C6"/>
    <w:rsid w:val="007F3973"/>
    <w:rsid w:val="007F4448"/>
    <w:rsid w:val="007F652B"/>
    <w:rsid w:val="007F67EF"/>
    <w:rsid w:val="007F6D42"/>
    <w:rsid w:val="0080028F"/>
    <w:rsid w:val="0080046A"/>
    <w:rsid w:val="0080629D"/>
    <w:rsid w:val="00806F7E"/>
    <w:rsid w:val="00807531"/>
    <w:rsid w:val="0081511C"/>
    <w:rsid w:val="0081557E"/>
    <w:rsid w:val="00817A58"/>
    <w:rsid w:val="0082189A"/>
    <w:rsid w:val="00823E10"/>
    <w:rsid w:val="00827431"/>
    <w:rsid w:val="00830E81"/>
    <w:rsid w:val="00831819"/>
    <w:rsid w:val="00832AB6"/>
    <w:rsid w:val="00833A01"/>
    <w:rsid w:val="00834B05"/>
    <w:rsid w:val="00834B19"/>
    <w:rsid w:val="00837869"/>
    <w:rsid w:val="00840471"/>
    <w:rsid w:val="00840ABA"/>
    <w:rsid w:val="0084293A"/>
    <w:rsid w:val="00842C4F"/>
    <w:rsid w:val="00843764"/>
    <w:rsid w:val="0084560F"/>
    <w:rsid w:val="00845ACA"/>
    <w:rsid w:val="00845F95"/>
    <w:rsid w:val="008461D5"/>
    <w:rsid w:val="00846467"/>
    <w:rsid w:val="0085164B"/>
    <w:rsid w:val="00851E48"/>
    <w:rsid w:val="00853581"/>
    <w:rsid w:val="00853FFC"/>
    <w:rsid w:val="00855340"/>
    <w:rsid w:val="008573CF"/>
    <w:rsid w:val="0085746A"/>
    <w:rsid w:val="00860FFE"/>
    <w:rsid w:val="0086199B"/>
    <w:rsid w:val="00862CA7"/>
    <w:rsid w:val="00864C13"/>
    <w:rsid w:val="00864ED0"/>
    <w:rsid w:val="00865795"/>
    <w:rsid w:val="00865FFC"/>
    <w:rsid w:val="00866055"/>
    <w:rsid w:val="00867248"/>
    <w:rsid w:val="0086764D"/>
    <w:rsid w:val="00867DB2"/>
    <w:rsid w:val="0087039C"/>
    <w:rsid w:val="008713A6"/>
    <w:rsid w:val="008720D3"/>
    <w:rsid w:val="008726AD"/>
    <w:rsid w:val="0087293D"/>
    <w:rsid w:val="00872C67"/>
    <w:rsid w:val="0087544E"/>
    <w:rsid w:val="00881655"/>
    <w:rsid w:val="00883FA1"/>
    <w:rsid w:val="00886429"/>
    <w:rsid w:val="00886C92"/>
    <w:rsid w:val="008876BE"/>
    <w:rsid w:val="008936C9"/>
    <w:rsid w:val="00895997"/>
    <w:rsid w:val="0089660E"/>
    <w:rsid w:val="008A1D63"/>
    <w:rsid w:val="008A2580"/>
    <w:rsid w:val="008B435F"/>
    <w:rsid w:val="008B7365"/>
    <w:rsid w:val="008C065E"/>
    <w:rsid w:val="008C249B"/>
    <w:rsid w:val="008C3471"/>
    <w:rsid w:val="008C37EC"/>
    <w:rsid w:val="008C6AD3"/>
    <w:rsid w:val="008D00C5"/>
    <w:rsid w:val="008D05F2"/>
    <w:rsid w:val="008D1028"/>
    <w:rsid w:val="008D12BA"/>
    <w:rsid w:val="008D1E5D"/>
    <w:rsid w:val="008D5A5D"/>
    <w:rsid w:val="008E0287"/>
    <w:rsid w:val="008E13F1"/>
    <w:rsid w:val="008E1D86"/>
    <w:rsid w:val="008E1EB6"/>
    <w:rsid w:val="008E462E"/>
    <w:rsid w:val="008E5D83"/>
    <w:rsid w:val="008E5F67"/>
    <w:rsid w:val="008E7BCF"/>
    <w:rsid w:val="008F201C"/>
    <w:rsid w:val="008F53BE"/>
    <w:rsid w:val="00904088"/>
    <w:rsid w:val="00905297"/>
    <w:rsid w:val="009151C0"/>
    <w:rsid w:val="00917E88"/>
    <w:rsid w:val="00921922"/>
    <w:rsid w:val="0092244C"/>
    <w:rsid w:val="00922D1F"/>
    <w:rsid w:val="0092407D"/>
    <w:rsid w:val="00924379"/>
    <w:rsid w:val="00924DF1"/>
    <w:rsid w:val="00933A7B"/>
    <w:rsid w:val="009368B0"/>
    <w:rsid w:val="00936AE2"/>
    <w:rsid w:val="00937835"/>
    <w:rsid w:val="0094054E"/>
    <w:rsid w:val="0094069D"/>
    <w:rsid w:val="009457AA"/>
    <w:rsid w:val="00946BAA"/>
    <w:rsid w:val="00951671"/>
    <w:rsid w:val="00951789"/>
    <w:rsid w:val="00956D03"/>
    <w:rsid w:val="00961723"/>
    <w:rsid w:val="00964E30"/>
    <w:rsid w:val="0097211B"/>
    <w:rsid w:val="00974888"/>
    <w:rsid w:val="009777C8"/>
    <w:rsid w:val="00977E44"/>
    <w:rsid w:val="0098059E"/>
    <w:rsid w:val="00983749"/>
    <w:rsid w:val="00984956"/>
    <w:rsid w:val="00985563"/>
    <w:rsid w:val="00986E37"/>
    <w:rsid w:val="00990348"/>
    <w:rsid w:val="00990A87"/>
    <w:rsid w:val="00990ECF"/>
    <w:rsid w:val="00991F5A"/>
    <w:rsid w:val="0099498A"/>
    <w:rsid w:val="00996789"/>
    <w:rsid w:val="00997351"/>
    <w:rsid w:val="0099756C"/>
    <w:rsid w:val="00997901"/>
    <w:rsid w:val="009A64B8"/>
    <w:rsid w:val="009A713C"/>
    <w:rsid w:val="009B0DAF"/>
    <w:rsid w:val="009B1272"/>
    <w:rsid w:val="009B28F9"/>
    <w:rsid w:val="009B30CD"/>
    <w:rsid w:val="009B5BE7"/>
    <w:rsid w:val="009C156E"/>
    <w:rsid w:val="009C19B8"/>
    <w:rsid w:val="009C2BAE"/>
    <w:rsid w:val="009C2EF1"/>
    <w:rsid w:val="009C4F1E"/>
    <w:rsid w:val="009C6E64"/>
    <w:rsid w:val="009C72B7"/>
    <w:rsid w:val="009D0187"/>
    <w:rsid w:val="009D06A2"/>
    <w:rsid w:val="009D2B07"/>
    <w:rsid w:val="009D3E84"/>
    <w:rsid w:val="009D4646"/>
    <w:rsid w:val="009D46B4"/>
    <w:rsid w:val="009E0648"/>
    <w:rsid w:val="009E07EC"/>
    <w:rsid w:val="009E0F35"/>
    <w:rsid w:val="009E1DA5"/>
    <w:rsid w:val="009E1F2B"/>
    <w:rsid w:val="009E27C0"/>
    <w:rsid w:val="009E2E50"/>
    <w:rsid w:val="009E787D"/>
    <w:rsid w:val="009F26F7"/>
    <w:rsid w:val="009F69D2"/>
    <w:rsid w:val="00A02512"/>
    <w:rsid w:val="00A058B9"/>
    <w:rsid w:val="00A07D22"/>
    <w:rsid w:val="00A10159"/>
    <w:rsid w:val="00A118E8"/>
    <w:rsid w:val="00A11DEA"/>
    <w:rsid w:val="00A13936"/>
    <w:rsid w:val="00A15335"/>
    <w:rsid w:val="00A168F0"/>
    <w:rsid w:val="00A17A1C"/>
    <w:rsid w:val="00A20EB2"/>
    <w:rsid w:val="00A214AA"/>
    <w:rsid w:val="00A24156"/>
    <w:rsid w:val="00A253F3"/>
    <w:rsid w:val="00A26371"/>
    <w:rsid w:val="00A2782F"/>
    <w:rsid w:val="00A30B1B"/>
    <w:rsid w:val="00A315D6"/>
    <w:rsid w:val="00A32829"/>
    <w:rsid w:val="00A348BC"/>
    <w:rsid w:val="00A404F3"/>
    <w:rsid w:val="00A42C01"/>
    <w:rsid w:val="00A4372E"/>
    <w:rsid w:val="00A440C1"/>
    <w:rsid w:val="00A455DB"/>
    <w:rsid w:val="00A461A5"/>
    <w:rsid w:val="00A46A01"/>
    <w:rsid w:val="00A46D1C"/>
    <w:rsid w:val="00A47289"/>
    <w:rsid w:val="00A50CCB"/>
    <w:rsid w:val="00A511F7"/>
    <w:rsid w:val="00A51F94"/>
    <w:rsid w:val="00A54CA7"/>
    <w:rsid w:val="00A552DB"/>
    <w:rsid w:val="00A56FAB"/>
    <w:rsid w:val="00A62E3F"/>
    <w:rsid w:val="00A672B9"/>
    <w:rsid w:val="00A6731D"/>
    <w:rsid w:val="00A675AC"/>
    <w:rsid w:val="00A714C1"/>
    <w:rsid w:val="00A73E40"/>
    <w:rsid w:val="00A741D7"/>
    <w:rsid w:val="00A7463B"/>
    <w:rsid w:val="00A76850"/>
    <w:rsid w:val="00A81607"/>
    <w:rsid w:val="00A81A81"/>
    <w:rsid w:val="00A82031"/>
    <w:rsid w:val="00A82477"/>
    <w:rsid w:val="00A83B35"/>
    <w:rsid w:val="00A84FE8"/>
    <w:rsid w:val="00A8687F"/>
    <w:rsid w:val="00A86D2E"/>
    <w:rsid w:val="00A913DF"/>
    <w:rsid w:val="00A92449"/>
    <w:rsid w:val="00A9257A"/>
    <w:rsid w:val="00A9455F"/>
    <w:rsid w:val="00A96635"/>
    <w:rsid w:val="00A9787E"/>
    <w:rsid w:val="00AA11FD"/>
    <w:rsid w:val="00AA2451"/>
    <w:rsid w:val="00AA245F"/>
    <w:rsid w:val="00AA7173"/>
    <w:rsid w:val="00AA7497"/>
    <w:rsid w:val="00AA754A"/>
    <w:rsid w:val="00AA7769"/>
    <w:rsid w:val="00AB19DE"/>
    <w:rsid w:val="00AB1A37"/>
    <w:rsid w:val="00AB41D6"/>
    <w:rsid w:val="00AB5933"/>
    <w:rsid w:val="00AB5CBE"/>
    <w:rsid w:val="00AB6518"/>
    <w:rsid w:val="00AB6530"/>
    <w:rsid w:val="00AB735C"/>
    <w:rsid w:val="00AC0D84"/>
    <w:rsid w:val="00AC1544"/>
    <w:rsid w:val="00AC22E3"/>
    <w:rsid w:val="00AC3618"/>
    <w:rsid w:val="00AC44E1"/>
    <w:rsid w:val="00AC6944"/>
    <w:rsid w:val="00AC6E7F"/>
    <w:rsid w:val="00AC7D26"/>
    <w:rsid w:val="00AD34FC"/>
    <w:rsid w:val="00AD4721"/>
    <w:rsid w:val="00AD502A"/>
    <w:rsid w:val="00AD589B"/>
    <w:rsid w:val="00AE010E"/>
    <w:rsid w:val="00AE1DF2"/>
    <w:rsid w:val="00AE30AA"/>
    <w:rsid w:val="00AE3C28"/>
    <w:rsid w:val="00AE5076"/>
    <w:rsid w:val="00AE5851"/>
    <w:rsid w:val="00AE5CBB"/>
    <w:rsid w:val="00AE5D8C"/>
    <w:rsid w:val="00AE7097"/>
    <w:rsid w:val="00AF0BA2"/>
    <w:rsid w:val="00AF0FB9"/>
    <w:rsid w:val="00AF1601"/>
    <w:rsid w:val="00AF42CE"/>
    <w:rsid w:val="00AF5205"/>
    <w:rsid w:val="00AF5A16"/>
    <w:rsid w:val="00B05B66"/>
    <w:rsid w:val="00B073B8"/>
    <w:rsid w:val="00B112DA"/>
    <w:rsid w:val="00B1322E"/>
    <w:rsid w:val="00B13933"/>
    <w:rsid w:val="00B14E2F"/>
    <w:rsid w:val="00B20669"/>
    <w:rsid w:val="00B21768"/>
    <w:rsid w:val="00B21FD4"/>
    <w:rsid w:val="00B24F77"/>
    <w:rsid w:val="00B25AB9"/>
    <w:rsid w:val="00B3402A"/>
    <w:rsid w:val="00B34050"/>
    <w:rsid w:val="00B348F4"/>
    <w:rsid w:val="00B34932"/>
    <w:rsid w:val="00B353A9"/>
    <w:rsid w:val="00B3568B"/>
    <w:rsid w:val="00B3577C"/>
    <w:rsid w:val="00B35E9C"/>
    <w:rsid w:val="00B36EAC"/>
    <w:rsid w:val="00B37376"/>
    <w:rsid w:val="00B430A5"/>
    <w:rsid w:val="00B4326B"/>
    <w:rsid w:val="00B46B66"/>
    <w:rsid w:val="00B46F23"/>
    <w:rsid w:val="00B51F9E"/>
    <w:rsid w:val="00B52E13"/>
    <w:rsid w:val="00B532B4"/>
    <w:rsid w:val="00B54FFD"/>
    <w:rsid w:val="00B561B0"/>
    <w:rsid w:val="00B6280F"/>
    <w:rsid w:val="00B63E91"/>
    <w:rsid w:val="00B64765"/>
    <w:rsid w:val="00B64CA4"/>
    <w:rsid w:val="00B67A11"/>
    <w:rsid w:val="00B71120"/>
    <w:rsid w:val="00B7252A"/>
    <w:rsid w:val="00B727F8"/>
    <w:rsid w:val="00B72B46"/>
    <w:rsid w:val="00B73E60"/>
    <w:rsid w:val="00B74376"/>
    <w:rsid w:val="00B7452F"/>
    <w:rsid w:val="00B74CA0"/>
    <w:rsid w:val="00B751C5"/>
    <w:rsid w:val="00B75CB8"/>
    <w:rsid w:val="00B764D0"/>
    <w:rsid w:val="00B81CD0"/>
    <w:rsid w:val="00B8224B"/>
    <w:rsid w:val="00B82BB5"/>
    <w:rsid w:val="00B835BF"/>
    <w:rsid w:val="00B838FE"/>
    <w:rsid w:val="00B84B7D"/>
    <w:rsid w:val="00B8608E"/>
    <w:rsid w:val="00B87192"/>
    <w:rsid w:val="00B96E1D"/>
    <w:rsid w:val="00B96E49"/>
    <w:rsid w:val="00BA0FD1"/>
    <w:rsid w:val="00BA67CA"/>
    <w:rsid w:val="00BA6CF6"/>
    <w:rsid w:val="00BB015E"/>
    <w:rsid w:val="00BB039A"/>
    <w:rsid w:val="00BB092A"/>
    <w:rsid w:val="00BB0C9C"/>
    <w:rsid w:val="00BB11EF"/>
    <w:rsid w:val="00BB1C15"/>
    <w:rsid w:val="00BB2453"/>
    <w:rsid w:val="00BB2E53"/>
    <w:rsid w:val="00BB401E"/>
    <w:rsid w:val="00BC1992"/>
    <w:rsid w:val="00BC26A6"/>
    <w:rsid w:val="00BC327F"/>
    <w:rsid w:val="00BC4511"/>
    <w:rsid w:val="00BC47DA"/>
    <w:rsid w:val="00BC515C"/>
    <w:rsid w:val="00BC5221"/>
    <w:rsid w:val="00BC5AE2"/>
    <w:rsid w:val="00BC5BB3"/>
    <w:rsid w:val="00BC6473"/>
    <w:rsid w:val="00BC6990"/>
    <w:rsid w:val="00BC7C9B"/>
    <w:rsid w:val="00BD08B6"/>
    <w:rsid w:val="00BD3396"/>
    <w:rsid w:val="00BD6505"/>
    <w:rsid w:val="00BD6554"/>
    <w:rsid w:val="00BD6E46"/>
    <w:rsid w:val="00BD7C6F"/>
    <w:rsid w:val="00BD7DD7"/>
    <w:rsid w:val="00BE1118"/>
    <w:rsid w:val="00BE2C8E"/>
    <w:rsid w:val="00BE2DCF"/>
    <w:rsid w:val="00BE3FC9"/>
    <w:rsid w:val="00BE43EA"/>
    <w:rsid w:val="00BE582B"/>
    <w:rsid w:val="00BE65C2"/>
    <w:rsid w:val="00BE7204"/>
    <w:rsid w:val="00BF2FDC"/>
    <w:rsid w:val="00BF4977"/>
    <w:rsid w:val="00BF6FCF"/>
    <w:rsid w:val="00BF7235"/>
    <w:rsid w:val="00C019B3"/>
    <w:rsid w:val="00C01B42"/>
    <w:rsid w:val="00C024D1"/>
    <w:rsid w:val="00C03798"/>
    <w:rsid w:val="00C0410E"/>
    <w:rsid w:val="00C11461"/>
    <w:rsid w:val="00C12719"/>
    <w:rsid w:val="00C1366C"/>
    <w:rsid w:val="00C15147"/>
    <w:rsid w:val="00C157A1"/>
    <w:rsid w:val="00C17BD7"/>
    <w:rsid w:val="00C22035"/>
    <w:rsid w:val="00C221B5"/>
    <w:rsid w:val="00C23934"/>
    <w:rsid w:val="00C239F9"/>
    <w:rsid w:val="00C24152"/>
    <w:rsid w:val="00C248ED"/>
    <w:rsid w:val="00C261ED"/>
    <w:rsid w:val="00C2765B"/>
    <w:rsid w:val="00C313E0"/>
    <w:rsid w:val="00C33B9E"/>
    <w:rsid w:val="00C34738"/>
    <w:rsid w:val="00C35572"/>
    <w:rsid w:val="00C359FF"/>
    <w:rsid w:val="00C35D7C"/>
    <w:rsid w:val="00C37504"/>
    <w:rsid w:val="00C4561A"/>
    <w:rsid w:val="00C45AF2"/>
    <w:rsid w:val="00C5022E"/>
    <w:rsid w:val="00C50687"/>
    <w:rsid w:val="00C535E6"/>
    <w:rsid w:val="00C54758"/>
    <w:rsid w:val="00C57E99"/>
    <w:rsid w:val="00C6032F"/>
    <w:rsid w:val="00C61E47"/>
    <w:rsid w:val="00C636A6"/>
    <w:rsid w:val="00C649A8"/>
    <w:rsid w:val="00C655DA"/>
    <w:rsid w:val="00C671D9"/>
    <w:rsid w:val="00C679D9"/>
    <w:rsid w:val="00C67F82"/>
    <w:rsid w:val="00C716E7"/>
    <w:rsid w:val="00C7305C"/>
    <w:rsid w:val="00C75152"/>
    <w:rsid w:val="00C7598C"/>
    <w:rsid w:val="00C75F14"/>
    <w:rsid w:val="00C82D5B"/>
    <w:rsid w:val="00C82EF7"/>
    <w:rsid w:val="00C835EA"/>
    <w:rsid w:val="00C841F9"/>
    <w:rsid w:val="00C848E6"/>
    <w:rsid w:val="00C90750"/>
    <w:rsid w:val="00C95E0E"/>
    <w:rsid w:val="00C96769"/>
    <w:rsid w:val="00CA02A3"/>
    <w:rsid w:val="00CA1F5F"/>
    <w:rsid w:val="00CA6809"/>
    <w:rsid w:val="00CB35F7"/>
    <w:rsid w:val="00CB3737"/>
    <w:rsid w:val="00CB4CF2"/>
    <w:rsid w:val="00CB7D93"/>
    <w:rsid w:val="00CC073A"/>
    <w:rsid w:val="00CC0A43"/>
    <w:rsid w:val="00CC1C71"/>
    <w:rsid w:val="00CC4B96"/>
    <w:rsid w:val="00CC6AA7"/>
    <w:rsid w:val="00CD0091"/>
    <w:rsid w:val="00CD0142"/>
    <w:rsid w:val="00CD238B"/>
    <w:rsid w:val="00CD25E7"/>
    <w:rsid w:val="00CD34E9"/>
    <w:rsid w:val="00CD365D"/>
    <w:rsid w:val="00CD5F96"/>
    <w:rsid w:val="00CD77E1"/>
    <w:rsid w:val="00CE341D"/>
    <w:rsid w:val="00CE449C"/>
    <w:rsid w:val="00CE484E"/>
    <w:rsid w:val="00CE5778"/>
    <w:rsid w:val="00CE7981"/>
    <w:rsid w:val="00CF0536"/>
    <w:rsid w:val="00CF0D08"/>
    <w:rsid w:val="00CF1247"/>
    <w:rsid w:val="00CF17BE"/>
    <w:rsid w:val="00CF20DD"/>
    <w:rsid w:val="00CF53B6"/>
    <w:rsid w:val="00CF6AB1"/>
    <w:rsid w:val="00D0165F"/>
    <w:rsid w:val="00D01A39"/>
    <w:rsid w:val="00D02E3D"/>
    <w:rsid w:val="00D03238"/>
    <w:rsid w:val="00D052EF"/>
    <w:rsid w:val="00D071F7"/>
    <w:rsid w:val="00D07ACD"/>
    <w:rsid w:val="00D10FDF"/>
    <w:rsid w:val="00D121BF"/>
    <w:rsid w:val="00D1227D"/>
    <w:rsid w:val="00D1229F"/>
    <w:rsid w:val="00D128EA"/>
    <w:rsid w:val="00D13D7C"/>
    <w:rsid w:val="00D154CE"/>
    <w:rsid w:val="00D242B5"/>
    <w:rsid w:val="00D26FD3"/>
    <w:rsid w:val="00D27659"/>
    <w:rsid w:val="00D27740"/>
    <w:rsid w:val="00D27E41"/>
    <w:rsid w:val="00D3334C"/>
    <w:rsid w:val="00D34381"/>
    <w:rsid w:val="00D34A13"/>
    <w:rsid w:val="00D417F9"/>
    <w:rsid w:val="00D456E6"/>
    <w:rsid w:val="00D472BB"/>
    <w:rsid w:val="00D47E5D"/>
    <w:rsid w:val="00D503C4"/>
    <w:rsid w:val="00D517E2"/>
    <w:rsid w:val="00D52EDA"/>
    <w:rsid w:val="00D53CE2"/>
    <w:rsid w:val="00D54214"/>
    <w:rsid w:val="00D543F6"/>
    <w:rsid w:val="00D5541A"/>
    <w:rsid w:val="00D55695"/>
    <w:rsid w:val="00D55EBF"/>
    <w:rsid w:val="00D55F15"/>
    <w:rsid w:val="00D56FD0"/>
    <w:rsid w:val="00D6109B"/>
    <w:rsid w:val="00D61B81"/>
    <w:rsid w:val="00D62491"/>
    <w:rsid w:val="00D639D3"/>
    <w:rsid w:val="00D65412"/>
    <w:rsid w:val="00D6665D"/>
    <w:rsid w:val="00D671B9"/>
    <w:rsid w:val="00D70A8F"/>
    <w:rsid w:val="00D71155"/>
    <w:rsid w:val="00D711A9"/>
    <w:rsid w:val="00D720AE"/>
    <w:rsid w:val="00D74354"/>
    <w:rsid w:val="00D762BC"/>
    <w:rsid w:val="00D801AC"/>
    <w:rsid w:val="00D8079B"/>
    <w:rsid w:val="00D81031"/>
    <w:rsid w:val="00D814AA"/>
    <w:rsid w:val="00D82AAF"/>
    <w:rsid w:val="00D84DCE"/>
    <w:rsid w:val="00D86A02"/>
    <w:rsid w:val="00D87C79"/>
    <w:rsid w:val="00D87F53"/>
    <w:rsid w:val="00D931A5"/>
    <w:rsid w:val="00D94B6F"/>
    <w:rsid w:val="00D9578D"/>
    <w:rsid w:val="00D9662B"/>
    <w:rsid w:val="00D966D3"/>
    <w:rsid w:val="00D97737"/>
    <w:rsid w:val="00D97C04"/>
    <w:rsid w:val="00DA3010"/>
    <w:rsid w:val="00DA555D"/>
    <w:rsid w:val="00DA56A2"/>
    <w:rsid w:val="00DA7158"/>
    <w:rsid w:val="00DA7348"/>
    <w:rsid w:val="00DA7B51"/>
    <w:rsid w:val="00DB0B1A"/>
    <w:rsid w:val="00DB1232"/>
    <w:rsid w:val="00DB1F33"/>
    <w:rsid w:val="00DB3CB8"/>
    <w:rsid w:val="00DB4EFB"/>
    <w:rsid w:val="00DB4FBC"/>
    <w:rsid w:val="00DB5C61"/>
    <w:rsid w:val="00DB5CF1"/>
    <w:rsid w:val="00DC114E"/>
    <w:rsid w:val="00DC163A"/>
    <w:rsid w:val="00DC1E12"/>
    <w:rsid w:val="00DC5C1B"/>
    <w:rsid w:val="00DD05E4"/>
    <w:rsid w:val="00DD2526"/>
    <w:rsid w:val="00DD27B2"/>
    <w:rsid w:val="00DD632E"/>
    <w:rsid w:val="00DD6921"/>
    <w:rsid w:val="00DD6A5D"/>
    <w:rsid w:val="00DD7E96"/>
    <w:rsid w:val="00DE16D2"/>
    <w:rsid w:val="00DE486E"/>
    <w:rsid w:val="00DE4D30"/>
    <w:rsid w:val="00DE7A80"/>
    <w:rsid w:val="00DF1D09"/>
    <w:rsid w:val="00DF34BC"/>
    <w:rsid w:val="00DF3B35"/>
    <w:rsid w:val="00DF438A"/>
    <w:rsid w:val="00DF533A"/>
    <w:rsid w:val="00DF5DB7"/>
    <w:rsid w:val="00DF6151"/>
    <w:rsid w:val="00DF625F"/>
    <w:rsid w:val="00DF7E16"/>
    <w:rsid w:val="00E00D62"/>
    <w:rsid w:val="00E013F8"/>
    <w:rsid w:val="00E01986"/>
    <w:rsid w:val="00E026F2"/>
    <w:rsid w:val="00E0274D"/>
    <w:rsid w:val="00E02C62"/>
    <w:rsid w:val="00E04DF9"/>
    <w:rsid w:val="00E071B5"/>
    <w:rsid w:val="00E0781C"/>
    <w:rsid w:val="00E10866"/>
    <w:rsid w:val="00E12F6C"/>
    <w:rsid w:val="00E13558"/>
    <w:rsid w:val="00E13FED"/>
    <w:rsid w:val="00E1413E"/>
    <w:rsid w:val="00E15828"/>
    <w:rsid w:val="00E174B8"/>
    <w:rsid w:val="00E174E0"/>
    <w:rsid w:val="00E20527"/>
    <w:rsid w:val="00E20F6B"/>
    <w:rsid w:val="00E2181D"/>
    <w:rsid w:val="00E21918"/>
    <w:rsid w:val="00E23018"/>
    <w:rsid w:val="00E23227"/>
    <w:rsid w:val="00E2543A"/>
    <w:rsid w:val="00E25E53"/>
    <w:rsid w:val="00E3084C"/>
    <w:rsid w:val="00E31587"/>
    <w:rsid w:val="00E318A2"/>
    <w:rsid w:val="00E34C99"/>
    <w:rsid w:val="00E37008"/>
    <w:rsid w:val="00E3754F"/>
    <w:rsid w:val="00E4044A"/>
    <w:rsid w:val="00E405F2"/>
    <w:rsid w:val="00E41F2D"/>
    <w:rsid w:val="00E42612"/>
    <w:rsid w:val="00E44FE9"/>
    <w:rsid w:val="00E5171A"/>
    <w:rsid w:val="00E51E2B"/>
    <w:rsid w:val="00E51E78"/>
    <w:rsid w:val="00E52DBF"/>
    <w:rsid w:val="00E531DA"/>
    <w:rsid w:val="00E5406A"/>
    <w:rsid w:val="00E56157"/>
    <w:rsid w:val="00E60502"/>
    <w:rsid w:val="00E638B8"/>
    <w:rsid w:val="00E64DF1"/>
    <w:rsid w:val="00E70258"/>
    <w:rsid w:val="00E71D60"/>
    <w:rsid w:val="00E7280F"/>
    <w:rsid w:val="00E73E32"/>
    <w:rsid w:val="00E748CE"/>
    <w:rsid w:val="00E74AD2"/>
    <w:rsid w:val="00E74AE1"/>
    <w:rsid w:val="00E74F60"/>
    <w:rsid w:val="00E754F1"/>
    <w:rsid w:val="00E80C67"/>
    <w:rsid w:val="00E818A1"/>
    <w:rsid w:val="00E82D25"/>
    <w:rsid w:val="00E843AB"/>
    <w:rsid w:val="00E878E3"/>
    <w:rsid w:val="00E90723"/>
    <w:rsid w:val="00E90EDE"/>
    <w:rsid w:val="00E96BA9"/>
    <w:rsid w:val="00EA1D0E"/>
    <w:rsid w:val="00EA30BC"/>
    <w:rsid w:val="00EA3AF5"/>
    <w:rsid w:val="00EA3B6A"/>
    <w:rsid w:val="00EA5FA2"/>
    <w:rsid w:val="00EA740F"/>
    <w:rsid w:val="00EB074F"/>
    <w:rsid w:val="00EB2E6E"/>
    <w:rsid w:val="00EB591F"/>
    <w:rsid w:val="00EB5D4F"/>
    <w:rsid w:val="00EB6A0D"/>
    <w:rsid w:val="00EB700E"/>
    <w:rsid w:val="00EB7AE8"/>
    <w:rsid w:val="00EC171F"/>
    <w:rsid w:val="00EC1AA6"/>
    <w:rsid w:val="00EC3A5B"/>
    <w:rsid w:val="00EC3F04"/>
    <w:rsid w:val="00EC648C"/>
    <w:rsid w:val="00EC7924"/>
    <w:rsid w:val="00ED2483"/>
    <w:rsid w:val="00ED2998"/>
    <w:rsid w:val="00ED34C7"/>
    <w:rsid w:val="00ED6EEE"/>
    <w:rsid w:val="00ED7E6D"/>
    <w:rsid w:val="00EE07BF"/>
    <w:rsid w:val="00EE10A8"/>
    <w:rsid w:val="00EE1882"/>
    <w:rsid w:val="00EE2E75"/>
    <w:rsid w:val="00EE498F"/>
    <w:rsid w:val="00EE5C38"/>
    <w:rsid w:val="00EE7FE6"/>
    <w:rsid w:val="00EF2769"/>
    <w:rsid w:val="00EF32F2"/>
    <w:rsid w:val="00EF3828"/>
    <w:rsid w:val="00EF437B"/>
    <w:rsid w:val="00EF4DC4"/>
    <w:rsid w:val="00F01FF6"/>
    <w:rsid w:val="00F02369"/>
    <w:rsid w:val="00F05728"/>
    <w:rsid w:val="00F120DB"/>
    <w:rsid w:val="00F12615"/>
    <w:rsid w:val="00F1426A"/>
    <w:rsid w:val="00F17893"/>
    <w:rsid w:val="00F17D0F"/>
    <w:rsid w:val="00F22BE9"/>
    <w:rsid w:val="00F33FA2"/>
    <w:rsid w:val="00F3466E"/>
    <w:rsid w:val="00F364F6"/>
    <w:rsid w:val="00F41993"/>
    <w:rsid w:val="00F41A77"/>
    <w:rsid w:val="00F41A7A"/>
    <w:rsid w:val="00F4433D"/>
    <w:rsid w:val="00F47CE9"/>
    <w:rsid w:val="00F5089F"/>
    <w:rsid w:val="00F510CE"/>
    <w:rsid w:val="00F512E8"/>
    <w:rsid w:val="00F52D06"/>
    <w:rsid w:val="00F5316F"/>
    <w:rsid w:val="00F543C0"/>
    <w:rsid w:val="00F54E6B"/>
    <w:rsid w:val="00F551F9"/>
    <w:rsid w:val="00F553A0"/>
    <w:rsid w:val="00F561A2"/>
    <w:rsid w:val="00F56885"/>
    <w:rsid w:val="00F57EBB"/>
    <w:rsid w:val="00F63393"/>
    <w:rsid w:val="00F6766F"/>
    <w:rsid w:val="00F67EBC"/>
    <w:rsid w:val="00F704E1"/>
    <w:rsid w:val="00F71BE6"/>
    <w:rsid w:val="00F71E64"/>
    <w:rsid w:val="00F72D82"/>
    <w:rsid w:val="00F7310F"/>
    <w:rsid w:val="00F734D7"/>
    <w:rsid w:val="00F75AB1"/>
    <w:rsid w:val="00F772E9"/>
    <w:rsid w:val="00F77943"/>
    <w:rsid w:val="00F80200"/>
    <w:rsid w:val="00F8094D"/>
    <w:rsid w:val="00F810D5"/>
    <w:rsid w:val="00F823D7"/>
    <w:rsid w:val="00F83B78"/>
    <w:rsid w:val="00F85BC4"/>
    <w:rsid w:val="00F869B6"/>
    <w:rsid w:val="00F86E0F"/>
    <w:rsid w:val="00F87238"/>
    <w:rsid w:val="00F87A76"/>
    <w:rsid w:val="00F87E41"/>
    <w:rsid w:val="00F907DD"/>
    <w:rsid w:val="00F9094D"/>
    <w:rsid w:val="00F913B3"/>
    <w:rsid w:val="00F93F5A"/>
    <w:rsid w:val="00F94ED6"/>
    <w:rsid w:val="00F9540A"/>
    <w:rsid w:val="00F97758"/>
    <w:rsid w:val="00F977DE"/>
    <w:rsid w:val="00FA2721"/>
    <w:rsid w:val="00FA32D8"/>
    <w:rsid w:val="00FA541B"/>
    <w:rsid w:val="00FB1B8F"/>
    <w:rsid w:val="00FB42A6"/>
    <w:rsid w:val="00FB4944"/>
    <w:rsid w:val="00FC11EE"/>
    <w:rsid w:val="00FC21E2"/>
    <w:rsid w:val="00FC2E13"/>
    <w:rsid w:val="00FC637A"/>
    <w:rsid w:val="00FD3339"/>
    <w:rsid w:val="00FD52EC"/>
    <w:rsid w:val="00FD5C97"/>
    <w:rsid w:val="00FD6482"/>
    <w:rsid w:val="00FD6CFD"/>
    <w:rsid w:val="00FD7AD2"/>
    <w:rsid w:val="00FE0BB5"/>
    <w:rsid w:val="00FE13AF"/>
    <w:rsid w:val="00FE1EB1"/>
    <w:rsid w:val="00FE4BE2"/>
    <w:rsid w:val="00FE527B"/>
    <w:rsid w:val="00FE68BA"/>
    <w:rsid w:val="00FF28A5"/>
    <w:rsid w:val="00FF3393"/>
    <w:rsid w:val="00FF62C6"/>
    <w:rsid w:val="00FF765B"/>
    <w:rsid w:val="0798A323"/>
    <w:rsid w:val="26072B21"/>
    <w:rsid w:val="3912F825"/>
    <w:rsid w:val="3D96FA35"/>
    <w:rsid w:val="4A8E4AA9"/>
    <w:rsid w:val="54D170AE"/>
    <w:rsid w:val="579AE4EE"/>
    <w:rsid w:val="5CD9F6FA"/>
    <w:rsid w:val="633FF30B"/>
    <w:rsid w:val="65F832F2"/>
    <w:rsid w:val="77C8A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898569"/>
  <w15:chartTrackingRefBased/>
  <w15:docId w15:val="{C1742A67-3B1C-478C-9F31-78A1A145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250E"/>
    <w:pPr>
      <w:spacing w:after="0" w:line="240" w:lineRule="auto"/>
    </w:pPr>
    <w:rPr>
      <w:rFonts w:ascii="Cambria" w:eastAsia="Times New Roman" w:hAnsi="Cambria" w:cs="Times New Roman"/>
      <w:sz w:val="20"/>
      <w:szCs w:val="20"/>
    </w:rPr>
  </w:style>
  <w:style w:type="paragraph" w:styleId="Heading1">
    <w:name w:val="heading 1"/>
    <w:next w:val="DHHSbody"/>
    <w:link w:val="Heading1Char"/>
    <w:qFormat/>
    <w:rsid w:val="00536DA1"/>
    <w:pPr>
      <w:keepNext/>
      <w:keepLines/>
      <w:spacing w:before="2640" w:after="240" w:line="440" w:lineRule="atLeast"/>
      <w:ind w:left="1418"/>
      <w:outlineLvl w:val="0"/>
    </w:pPr>
    <w:rPr>
      <w:rFonts w:ascii="Arial" w:eastAsia="Times New Roman" w:hAnsi="Arial" w:cs="Times New Roman"/>
      <w:bCs/>
      <w:color w:val="007B4B"/>
      <w:sz w:val="44"/>
      <w:szCs w:val="44"/>
    </w:rPr>
  </w:style>
  <w:style w:type="paragraph" w:styleId="Heading2">
    <w:name w:val="heading 2"/>
    <w:next w:val="DHHSbody"/>
    <w:link w:val="Heading2Char"/>
    <w:uiPriority w:val="1"/>
    <w:qFormat/>
    <w:rsid w:val="00E74F60"/>
    <w:pPr>
      <w:keepNext/>
      <w:keepLines/>
      <w:pageBreakBefore/>
      <w:spacing w:after="440" w:line="440" w:lineRule="atLeast"/>
      <w:outlineLvl w:val="1"/>
    </w:pPr>
    <w:rPr>
      <w:rFonts w:ascii="Arial" w:eastAsia="Times New Roman" w:hAnsi="Arial" w:cs="Arial"/>
      <w:color w:val="007B4B"/>
      <w:sz w:val="44"/>
      <w:szCs w:val="28"/>
    </w:rPr>
  </w:style>
  <w:style w:type="paragraph" w:styleId="Heading3">
    <w:name w:val="heading 3"/>
    <w:next w:val="DHHSbody"/>
    <w:link w:val="Heading3Char"/>
    <w:uiPriority w:val="1"/>
    <w:qFormat/>
    <w:rsid w:val="00E74F60"/>
    <w:pPr>
      <w:keepNext/>
      <w:keepLines/>
      <w:spacing w:before="240" w:after="90" w:line="320" w:lineRule="atLeast"/>
      <w:outlineLvl w:val="2"/>
    </w:pPr>
    <w:rPr>
      <w:rFonts w:ascii="Arial" w:eastAsia="MS Gothic" w:hAnsi="Arial" w:cs="Arial"/>
      <w:b/>
      <w:bCs/>
      <w:color w:val="007B4B"/>
      <w:sz w:val="28"/>
      <w:szCs w:val="26"/>
    </w:rPr>
  </w:style>
  <w:style w:type="paragraph" w:styleId="Heading4">
    <w:name w:val="heading 4"/>
    <w:next w:val="DHHSbody"/>
    <w:link w:val="Heading4Char"/>
    <w:uiPriority w:val="1"/>
    <w:qFormat/>
    <w:rsid w:val="0001532A"/>
    <w:pPr>
      <w:keepNext/>
      <w:keepLines/>
      <w:spacing w:before="240" w:after="120" w:line="280" w:lineRule="atLeast"/>
      <w:outlineLvl w:val="3"/>
    </w:pPr>
    <w:rPr>
      <w:rFonts w:ascii="Arial" w:eastAsia="MS Mincho" w:hAnsi="Arial" w:cs="Arial"/>
      <w:b/>
      <w:bCs/>
      <w:sz w:val="24"/>
      <w:szCs w:val="20"/>
    </w:rPr>
  </w:style>
  <w:style w:type="paragraph" w:styleId="Heading5">
    <w:name w:val="heading 5"/>
    <w:next w:val="DHHSbody"/>
    <w:link w:val="Heading5Char"/>
    <w:uiPriority w:val="9"/>
    <w:qFormat/>
    <w:rsid w:val="00F1426A"/>
    <w:pPr>
      <w:keepNext/>
      <w:keepLines/>
      <w:suppressAutoHyphens/>
      <w:spacing w:before="160" w:after="60" w:line="240" w:lineRule="atLeast"/>
      <w:outlineLvl w:val="4"/>
    </w:pPr>
    <w:rPr>
      <w:rFonts w:ascii="Arial" w:eastAsia="MS Mincho" w:hAnsi="Arial" w:cs="Times New Roman"/>
      <w:b/>
      <w:bCs/>
      <w:sz w:val="20"/>
      <w:szCs w:val="20"/>
    </w:rPr>
  </w:style>
  <w:style w:type="paragraph" w:styleId="Heading6">
    <w:name w:val="heading 6"/>
    <w:basedOn w:val="Normal"/>
    <w:next w:val="Normal"/>
    <w:link w:val="Heading6Char"/>
    <w:uiPriority w:val="9"/>
    <w:qFormat/>
    <w:rsid w:val="0001532A"/>
    <w:pPr>
      <w:keepNext/>
      <w:keepLines/>
      <w:spacing w:before="160" w:after="60"/>
      <w:outlineLvl w:val="5"/>
    </w:pPr>
    <w:rPr>
      <w:rFonts w:ascii="Arial" w:hAnsi="Arial"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DA1"/>
    <w:rPr>
      <w:rFonts w:ascii="Arial" w:eastAsia="Times New Roman" w:hAnsi="Arial" w:cs="Times New Roman"/>
      <w:bCs/>
      <w:color w:val="007B4B"/>
      <w:sz w:val="44"/>
      <w:szCs w:val="44"/>
    </w:rPr>
  </w:style>
  <w:style w:type="character" w:customStyle="1" w:styleId="Heading2Char">
    <w:name w:val="Heading 2 Char"/>
    <w:basedOn w:val="DefaultParagraphFont"/>
    <w:link w:val="Heading2"/>
    <w:uiPriority w:val="1"/>
    <w:rsid w:val="00E74F60"/>
    <w:rPr>
      <w:rFonts w:ascii="Arial" w:eastAsia="Times New Roman" w:hAnsi="Arial" w:cs="Arial"/>
      <w:color w:val="007B4B"/>
      <w:sz w:val="44"/>
      <w:szCs w:val="28"/>
    </w:rPr>
  </w:style>
  <w:style w:type="character" w:customStyle="1" w:styleId="Heading3Char">
    <w:name w:val="Heading 3 Char"/>
    <w:basedOn w:val="DefaultParagraphFont"/>
    <w:link w:val="Heading3"/>
    <w:uiPriority w:val="1"/>
    <w:rsid w:val="00E74F60"/>
    <w:rPr>
      <w:rFonts w:ascii="Arial" w:eastAsia="MS Gothic" w:hAnsi="Arial" w:cs="Arial"/>
      <w:b/>
      <w:bCs/>
      <w:color w:val="007B4B"/>
      <w:sz w:val="28"/>
      <w:szCs w:val="26"/>
    </w:rPr>
  </w:style>
  <w:style w:type="character" w:customStyle="1" w:styleId="Heading4Char">
    <w:name w:val="Heading 4 Char"/>
    <w:basedOn w:val="DefaultParagraphFont"/>
    <w:link w:val="Heading4"/>
    <w:uiPriority w:val="1"/>
    <w:rsid w:val="0001532A"/>
    <w:rPr>
      <w:rFonts w:ascii="Arial" w:eastAsia="MS Mincho" w:hAnsi="Arial" w:cs="Arial"/>
      <w:b/>
      <w:bCs/>
      <w:sz w:val="24"/>
      <w:szCs w:val="20"/>
    </w:rPr>
  </w:style>
  <w:style w:type="character" w:customStyle="1" w:styleId="Heading5Char">
    <w:name w:val="Heading 5 Char"/>
    <w:basedOn w:val="DefaultParagraphFont"/>
    <w:link w:val="Heading5"/>
    <w:uiPriority w:val="9"/>
    <w:rsid w:val="00F1426A"/>
    <w:rPr>
      <w:rFonts w:ascii="Arial" w:eastAsia="MS Mincho" w:hAnsi="Arial" w:cs="Times New Roman"/>
      <w:b/>
      <w:bCs/>
      <w:sz w:val="20"/>
      <w:szCs w:val="20"/>
    </w:rPr>
  </w:style>
  <w:style w:type="character" w:customStyle="1" w:styleId="Heading6Char">
    <w:name w:val="Heading 6 Char"/>
    <w:basedOn w:val="DefaultParagraphFont"/>
    <w:link w:val="Heading6"/>
    <w:uiPriority w:val="9"/>
    <w:rsid w:val="0001532A"/>
    <w:rPr>
      <w:rFonts w:ascii="Arial" w:eastAsia="Times New Roman" w:hAnsi="Arial" w:cs="Arial"/>
      <w:bCs/>
      <w:i/>
      <w:sz w:val="20"/>
      <w:szCs w:val="20"/>
    </w:rPr>
  </w:style>
  <w:style w:type="paragraph" w:styleId="Header">
    <w:name w:val="header"/>
    <w:basedOn w:val="DHHSheader"/>
    <w:link w:val="HeaderChar"/>
    <w:uiPriority w:val="99"/>
    <w:rsid w:val="0001532A"/>
  </w:style>
  <w:style w:type="character" w:customStyle="1" w:styleId="HeaderChar">
    <w:name w:val="Header Char"/>
    <w:basedOn w:val="DefaultParagraphFont"/>
    <w:link w:val="Header"/>
    <w:uiPriority w:val="99"/>
    <w:rsid w:val="0001532A"/>
    <w:rPr>
      <w:rFonts w:ascii="Arial" w:eastAsia="Times New Roman" w:hAnsi="Arial" w:cs="Arial"/>
      <w:sz w:val="18"/>
      <w:szCs w:val="18"/>
    </w:rPr>
  </w:style>
  <w:style w:type="paragraph" w:styleId="Footer">
    <w:name w:val="footer"/>
    <w:basedOn w:val="DHHSfooter"/>
    <w:link w:val="FooterChar"/>
    <w:uiPriority w:val="99"/>
    <w:rsid w:val="0001532A"/>
  </w:style>
  <w:style w:type="character" w:customStyle="1" w:styleId="FooterChar">
    <w:name w:val="Footer Char"/>
    <w:basedOn w:val="DefaultParagraphFont"/>
    <w:link w:val="Footer"/>
    <w:uiPriority w:val="99"/>
    <w:rsid w:val="0001532A"/>
    <w:rPr>
      <w:rFonts w:ascii="Arial" w:eastAsia="Times New Roman" w:hAnsi="Arial" w:cs="Arial"/>
      <w:sz w:val="18"/>
      <w:szCs w:val="18"/>
    </w:rPr>
  </w:style>
  <w:style w:type="character" w:styleId="FollowedHyperlink">
    <w:name w:val="FollowedHyperlink"/>
    <w:uiPriority w:val="99"/>
    <w:rsid w:val="00A32829"/>
    <w:rPr>
      <w:color w:val="87189D"/>
      <w:u w:val="dotted"/>
    </w:rPr>
  </w:style>
  <w:style w:type="paragraph" w:customStyle="1" w:styleId="DHHStabletext6pt">
    <w:name w:val="DHHS table text + 6pt"/>
    <w:basedOn w:val="DHHStabletext"/>
    <w:rsid w:val="0001532A"/>
    <w:pPr>
      <w:spacing w:after="120"/>
    </w:pPr>
  </w:style>
  <w:style w:type="paragraph" w:styleId="Subtitle">
    <w:name w:val="Subtitle"/>
    <w:basedOn w:val="Normal"/>
    <w:next w:val="Normal"/>
    <w:link w:val="SubtitleChar"/>
    <w:uiPriority w:val="11"/>
    <w:semiHidden/>
    <w:qFormat/>
    <w:rsid w:val="0001532A"/>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11"/>
    <w:semiHidden/>
    <w:rsid w:val="0000250E"/>
    <w:rPr>
      <w:rFonts w:ascii="Calibri Light" w:eastAsia="Times New Roman" w:hAnsi="Calibri Light" w:cs="Times New Roman"/>
      <w:sz w:val="24"/>
      <w:szCs w:val="24"/>
    </w:rPr>
  </w:style>
  <w:style w:type="paragraph" w:styleId="EndnoteText">
    <w:name w:val="endnote text"/>
    <w:basedOn w:val="Normal"/>
    <w:link w:val="EndnoteTextChar"/>
    <w:uiPriority w:val="99"/>
    <w:semiHidden/>
    <w:rsid w:val="0001532A"/>
    <w:rPr>
      <w:sz w:val="24"/>
      <w:szCs w:val="24"/>
    </w:rPr>
  </w:style>
  <w:style w:type="character" w:customStyle="1" w:styleId="EndnoteTextChar">
    <w:name w:val="Endnote Text Char"/>
    <w:basedOn w:val="DefaultParagraphFont"/>
    <w:link w:val="EndnoteText"/>
    <w:uiPriority w:val="99"/>
    <w:semiHidden/>
    <w:rsid w:val="0001532A"/>
    <w:rPr>
      <w:rFonts w:ascii="Cambria" w:eastAsia="Times New Roman" w:hAnsi="Cambria" w:cs="Times New Roman"/>
      <w:sz w:val="24"/>
      <w:szCs w:val="24"/>
    </w:rPr>
  </w:style>
  <w:style w:type="character" w:styleId="EndnoteReference">
    <w:name w:val="endnote reference"/>
    <w:semiHidden/>
    <w:rsid w:val="0001532A"/>
    <w:rPr>
      <w:rFonts w:ascii="Arial" w:hAnsi="Arial"/>
      <w:sz w:val="20"/>
      <w:vertAlign w:val="superscript"/>
    </w:rPr>
  </w:style>
  <w:style w:type="table" w:styleId="TableGrid">
    <w:name w:val="Table Grid"/>
    <w:basedOn w:val="TableNormal"/>
    <w:uiPriority w:val="59"/>
    <w:rsid w:val="00883FA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B4B"/>
        <w:vAlign w:val="bottom"/>
      </w:tcPr>
    </w:tblStylePr>
  </w:style>
  <w:style w:type="character" w:styleId="PageNumber">
    <w:name w:val="page number"/>
    <w:basedOn w:val="DefaultParagraphFont"/>
    <w:semiHidden/>
    <w:rsid w:val="0001532A"/>
  </w:style>
  <w:style w:type="paragraph" w:customStyle="1" w:styleId="DHHSreportsubtitle">
    <w:name w:val="DHHS report subtitle"/>
    <w:basedOn w:val="Normal"/>
    <w:uiPriority w:val="4"/>
    <w:rsid w:val="0001532A"/>
    <w:pPr>
      <w:spacing w:after="120" w:line="380" w:lineRule="atLeast"/>
    </w:pPr>
    <w:rPr>
      <w:rFonts w:ascii="Arial" w:hAnsi="Arial"/>
      <w:color w:val="000000"/>
      <w:sz w:val="30"/>
      <w:szCs w:val="30"/>
    </w:rPr>
  </w:style>
  <w:style w:type="character" w:styleId="FootnoteReference">
    <w:name w:val="footnote reference"/>
    <w:uiPriority w:val="99"/>
    <w:rsid w:val="0001532A"/>
    <w:rPr>
      <w:vertAlign w:val="superscript"/>
    </w:rPr>
  </w:style>
  <w:style w:type="paragraph" w:customStyle="1" w:styleId="DHHSreportmaintitle">
    <w:name w:val="DHHS report main title"/>
    <w:uiPriority w:val="4"/>
    <w:rsid w:val="00DE4D30"/>
    <w:pPr>
      <w:keepLines/>
      <w:spacing w:after="240" w:line="580" w:lineRule="atLeast"/>
    </w:pPr>
    <w:rPr>
      <w:rFonts w:ascii="Arial" w:eastAsia="Times New Roman" w:hAnsi="Arial" w:cs="Times New Roman"/>
      <w:color w:val="007B4B"/>
      <w:sz w:val="50"/>
      <w:szCs w:val="24"/>
    </w:rPr>
  </w:style>
  <w:style w:type="paragraph" w:styleId="FootnoteText">
    <w:name w:val="footnote text"/>
    <w:basedOn w:val="Normal"/>
    <w:link w:val="FootnoteTextChar"/>
    <w:uiPriority w:val="99"/>
    <w:rsid w:val="0001532A"/>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99"/>
    <w:rsid w:val="0001532A"/>
    <w:rPr>
      <w:rFonts w:ascii="Arial" w:eastAsia="MS Gothic" w:hAnsi="Arial" w:cs="Arial"/>
      <w:sz w:val="16"/>
      <w:szCs w:val="16"/>
    </w:rPr>
  </w:style>
  <w:style w:type="paragraph" w:styleId="TOC1">
    <w:name w:val="toc 1"/>
    <w:basedOn w:val="Normal"/>
    <w:next w:val="Normal"/>
    <w:uiPriority w:val="39"/>
    <w:rsid w:val="00F1426A"/>
    <w:pPr>
      <w:tabs>
        <w:tab w:val="right" w:leader="dot" w:pos="9299"/>
      </w:tabs>
      <w:spacing w:before="240" w:after="60" w:line="270" w:lineRule="atLeast"/>
    </w:pPr>
    <w:rPr>
      <w:rFonts w:ascii="Arial" w:hAnsi="Arial"/>
      <w:b/>
      <w:caps/>
      <w:noProof/>
    </w:rPr>
  </w:style>
  <w:style w:type="paragraph" w:styleId="TOC2">
    <w:name w:val="toc 2"/>
    <w:basedOn w:val="Normal"/>
    <w:next w:val="Normal"/>
    <w:uiPriority w:val="39"/>
    <w:rsid w:val="00155E63"/>
    <w:pPr>
      <w:tabs>
        <w:tab w:val="right" w:leader="dot" w:pos="9299"/>
      </w:tabs>
      <w:spacing w:before="120" w:after="50" w:line="270" w:lineRule="atLeast"/>
    </w:pPr>
    <w:rPr>
      <w:rFonts w:ascii="Arial" w:hAnsi="Arial"/>
      <w:b/>
      <w:noProof/>
    </w:rPr>
  </w:style>
  <w:style w:type="paragraph" w:styleId="TOC3">
    <w:name w:val="toc 3"/>
    <w:basedOn w:val="Normal"/>
    <w:next w:val="Normal"/>
    <w:uiPriority w:val="39"/>
    <w:rsid w:val="00155E63"/>
    <w:pPr>
      <w:tabs>
        <w:tab w:val="right" w:leader="dot" w:pos="9299"/>
      </w:tabs>
      <w:spacing w:after="50" w:line="270" w:lineRule="atLeast"/>
    </w:pPr>
    <w:rPr>
      <w:rFonts w:ascii="Arial" w:hAnsi="Arial" w:cs="Arial"/>
    </w:rPr>
  </w:style>
  <w:style w:type="paragraph" w:styleId="TOC4">
    <w:name w:val="toc 4"/>
    <w:basedOn w:val="Normal"/>
    <w:next w:val="Normal"/>
    <w:uiPriority w:val="39"/>
    <w:rsid w:val="00155E63"/>
    <w:pPr>
      <w:tabs>
        <w:tab w:val="right" w:leader="dot" w:pos="9299"/>
      </w:tabs>
      <w:spacing w:after="50" w:line="270" w:lineRule="atLeast"/>
      <w:ind w:left="284"/>
    </w:pPr>
    <w:rPr>
      <w:rFonts w:ascii="Arial" w:hAnsi="Arial" w:cs="Arial"/>
    </w:rPr>
  </w:style>
  <w:style w:type="paragraph" w:styleId="TOC5">
    <w:name w:val="toc 5"/>
    <w:basedOn w:val="Normal"/>
    <w:next w:val="Normal"/>
    <w:autoRedefine/>
    <w:uiPriority w:val="39"/>
    <w:semiHidden/>
    <w:rsid w:val="0001532A"/>
    <w:pPr>
      <w:ind w:left="800"/>
    </w:pPr>
  </w:style>
  <w:style w:type="paragraph" w:styleId="TOC6">
    <w:name w:val="toc 6"/>
    <w:basedOn w:val="Normal"/>
    <w:next w:val="Normal"/>
    <w:autoRedefine/>
    <w:uiPriority w:val="39"/>
    <w:semiHidden/>
    <w:rsid w:val="0001532A"/>
    <w:pPr>
      <w:ind w:left="1000"/>
    </w:pPr>
  </w:style>
  <w:style w:type="paragraph" w:styleId="TOC7">
    <w:name w:val="toc 7"/>
    <w:basedOn w:val="Normal"/>
    <w:next w:val="Normal"/>
    <w:autoRedefine/>
    <w:uiPriority w:val="39"/>
    <w:semiHidden/>
    <w:rsid w:val="0001532A"/>
    <w:pPr>
      <w:ind w:left="1200"/>
    </w:pPr>
  </w:style>
  <w:style w:type="paragraph" w:styleId="TOC8">
    <w:name w:val="toc 8"/>
    <w:basedOn w:val="Normal"/>
    <w:next w:val="Normal"/>
    <w:autoRedefine/>
    <w:uiPriority w:val="39"/>
    <w:semiHidden/>
    <w:rsid w:val="0001532A"/>
    <w:pPr>
      <w:ind w:left="1400"/>
    </w:pPr>
  </w:style>
  <w:style w:type="paragraph" w:styleId="TOC9">
    <w:name w:val="toc 9"/>
    <w:basedOn w:val="Normal"/>
    <w:next w:val="Normal"/>
    <w:autoRedefine/>
    <w:uiPriority w:val="39"/>
    <w:semiHidden/>
    <w:rsid w:val="0001532A"/>
    <w:pPr>
      <w:ind w:left="1600"/>
    </w:pPr>
  </w:style>
  <w:style w:type="paragraph" w:customStyle="1" w:styleId="DHHSreportmaintitlewhite">
    <w:name w:val="DHHS report main title white"/>
    <w:uiPriority w:val="4"/>
    <w:rsid w:val="000C0016"/>
    <w:pPr>
      <w:keepLines/>
      <w:spacing w:after="240" w:line="580" w:lineRule="atLeast"/>
    </w:pPr>
    <w:rPr>
      <w:rFonts w:ascii="Arial" w:eastAsia="Times New Roman" w:hAnsi="Arial" w:cs="Times New Roman"/>
      <w:bCs/>
      <w:color w:val="FFFFFF"/>
      <w:sz w:val="50"/>
      <w:szCs w:val="50"/>
    </w:rPr>
  </w:style>
  <w:style w:type="paragraph" w:customStyle="1" w:styleId="DHHSreportsubtitlewhite">
    <w:name w:val="DHHS report subtitle white"/>
    <w:uiPriority w:val="4"/>
    <w:rsid w:val="0001532A"/>
    <w:pPr>
      <w:spacing w:after="120" w:line="380" w:lineRule="atLeast"/>
    </w:pPr>
    <w:rPr>
      <w:rFonts w:ascii="Arial" w:eastAsia="Times New Roman" w:hAnsi="Arial" w:cs="Times New Roman"/>
      <w:bCs/>
      <w:color w:val="FFFFFF"/>
      <w:sz w:val="30"/>
      <w:szCs w:val="30"/>
    </w:rPr>
  </w:style>
  <w:style w:type="paragraph" w:styleId="DocumentMap">
    <w:name w:val="Document Map"/>
    <w:basedOn w:val="Normal"/>
    <w:link w:val="DocumentMapChar"/>
    <w:uiPriority w:val="99"/>
    <w:semiHidden/>
    <w:unhideWhenUsed/>
    <w:rsid w:val="0001532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532A"/>
    <w:rPr>
      <w:rFonts w:ascii="Lucida Grande" w:eastAsia="Times New Roman" w:hAnsi="Lucida Grande" w:cs="Lucida Grande"/>
      <w:sz w:val="24"/>
      <w:szCs w:val="24"/>
    </w:rPr>
  </w:style>
  <w:style w:type="character" w:styleId="Hyperlink">
    <w:name w:val="Hyperlink"/>
    <w:uiPriority w:val="99"/>
    <w:rsid w:val="00A32829"/>
    <w:rPr>
      <w:color w:val="0072CE"/>
      <w:u w:val="dotted"/>
    </w:rPr>
  </w:style>
  <w:style w:type="paragraph" w:customStyle="1" w:styleId="DHHSbody">
    <w:name w:val="DHHS body"/>
    <w:qFormat/>
    <w:rsid w:val="0001532A"/>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01532A"/>
    <w:pPr>
      <w:numPr>
        <w:numId w:val="1"/>
      </w:numPr>
      <w:spacing w:after="40"/>
    </w:pPr>
  </w:style>
  <w:style w:type="paragraph" w:customStyle="1" w:styleId="DHHSnumberloweralpha">
    <w:name w:val="DHHS number lower alpha"/>
    <w:basedOn w:val="DHHSbody"/>
    <w:uiPriority w:val="3"/>
    <w:rsid w:val="0001532A"/>
    <w:pPr>
      <w:numPr>
        <w:numId w:val="22"/>
      </w:numPr>
    </w:pPr>
  </w:style>
  <w:style w:type="paragraph" w:customStyle="1" w:styleId="DHHSnumberloweralphaindent">
    <w:name w:val="DHHS number lower alpha indent"/>
    <w:basedOn w:val="DHHSbody"/>
    <w:uiPriority w:val="3"/>
    <w:rsid w:val="0001532A"/>
    <w:pPr>
      <w:numPr>
        <w:ilvl w:val="1"/>
        <w:numId w:val="22"/>
      </w:numPr>
    </w:pPr>
  </w:style>
  <w:style w:type="paragraph" w:customStyle="1" w:styleId="DHHStablefigurenote">
    <w:name w:val="DHHS table/figure note"/>
    <w:uiPriority w:val="4"/>
    <w:rsid w:val="0001532A"/>
    <w:pPr>
      <w:spacing w:before="60" w:after="60" w:line="240" w:lineRule="exact"/>
    </w:pPr>
    <w:rPr>
      <w:rFonts w:ascii="Arial" w:eastAsia="Times New Roman" w:hAnsi="Arial" w:cs="Times New Roman"/>
      <w:sz w:val="18"/>
      <w:szCs w:val="20"/>
    </w:rPr>
  </w:style>
  <w:style w:type="paragraph" w:customStyle="1" w:styleId="DHHStabletext">
    <w:name w:val="DHHS table text"/>
    <w:uiPriority w:val="3"/>
    <w:qFormat/>
    <w:rsid w:val="0001532A"/>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961723"/>
    <w:pPr>
      <w:keepNext/>
      <w:keepLines/>
      <w:spacing w:before="240" w:after="120" w:line="240" w:lineRule="atLeast"/>
    </w:pPr>
    <w:rPr>
      <w:rFonts w:ascii="Arial" w:eastAsia="Times New Roman" w:hAnsi="Arial" w:cs="Times New Roman"/>
      <w:b/>
      <w:sz w:val="20"/>
      <w:szCs w:val="20"/>
    </w:rPr>
  </w:style>
  <w:style w:type="paragraph" w:customStyle="1" w:styleId="DHHSfigurecaption">
    <w:name w:val="DHHS figure caption"/>
    <w:next w:val="DHHSbody"/>
    <w:link w:val="DHHSfigurecaptionChar"/>
    <w:uiPriority w:val="4"/>
    <w:rsid w:val="0001532A"/>
    <w:pPr>
      <w:keepNext/>
      <w:keepLines/>
      <w:spacing w:before="240" w:after="120" w:line="240" w:lineRule="auto"/>
    </w:pPr>
    <w:rPr>
      <w:rFonts w:ascii="Arial" w:eastAsia="Times New Roman" w:hAnsi="Arial" w:cs="Times New Roman"/>
      <w:b/>
      <w:sz w:val="20"/>
      <w:szCs w:val="20"/>
    </w:rPr>
  </w:style>
  <w:style w:type="paragraph" w:customStyle="1" w:styleId="DHHSfooter">
    <w:name w:val="DHHS footer"/>
    <w:uiPriority w:val="11"/>
    <w:rsid w:val="0001532A"/>
    <w:pPr>
      <w:tabs>
        <w:tab w:val="right" w:pos="9299"/>
      </w:tabs>
      <w:spacing w:after="0" w:line="240" w:lineRule="auto"/>
    </w:pPr>
    <w:rPr>
      <w:rFonts w:ascii="Arial" w:eastAsia="Times New Roman" w:hAnsi="Arial" w:cs="Arial"/>
      <w:sz w:val="18"/>
      <w:szCs w:val="18"/>
    </w:rPr>
  </w:style>
  <w:style w:type="paragraph" w:customStyle="1" w:styleId="DHHSbullet2">
    <w:name w:val="DHHS bullet 2"/>
    <w:basedOn w:val="DHHSbody"/>
    <w:uiPriority w:val="2"/>
    <w:qFormat/>
    <w:rsid w:val="0001532A"/>
    <w:pPr>
      <w:numPr>
        <w:ilvl w:val="1"/>
        <w:numId w:val="1"/>
      </w:numPr>
      <w:spacing w:after="40"/>
    </w:pPr>
  </w:style>
  <w:style w:type="paragraph" w:customStyle="1" w:styleId="DHHSheader">
    <w:name w:val="DHHS header"/>
    <w:basedOn w:val="DHHSfooter"/>
    <w:uiPriority w:val="11"/>
    <w:rsid w:val="0001532A"/>
  </w:style>
  <w:style w:type="character" w:styleId="Strong">
    <w:name w:val="Strong"/>
    <w:uiPriority w:val="22"/>
    <w:qFormat/>
    <w:rsid w:val="0001532A"/>
    <w:rPr>
      <w:b/>
      <w:bCs/>
    </w:rPr>
  </w:style>
  <w:style w:type="paragraph" w:customStyle="1" w:styleId="DHHSnumberdigit">
    <w:name w:val="DHHS number digit"/>
    <w:basedOn w:val="DHHSbody"/>
    <w:uiPriority w:val="2"/>
    <w:rsid w:val="0001532A"/>
    <w:pPr>
      <w:numPr>
        <w:numId w:val="21"/>
      </w:numPr>
    </w:pPr>
  </w:style>
  <w:style w:type="paragraph" w:customStyle="1" w:styleId="DHHStablecolhead">
    <w:name w:val="DHHS table col head"/>
    <w:uiPriority w:val="3"/>
    <w:qFormat/>
    <w:rsid w:val="0001532A"/>
    <w:pPr>
      <w:spacing w:before="80" w:after="60" w:line="240" w:lineRule="auto"/>
    </w:pPr>
    <w:rPr>
      <w:rFonts w:ascii="Arial" w:eastAsia="Times New Roman" w:hAnsi="Arial" w:cs="Times New Roman"/>
      <w:b/>
      <w:color w:val="FFFFFF" w:themeColor="background1"/>
      <w:sz w:val="20"/>
      <w:szCs w:val="20"/>
    </w:rPr>
  </w:style>
  <w:style w:type="paragraph" w:customStyle="1" w:styleId="DHHSbodyaftertablefigure">
    <w:name w:val="DHHS body after table/figure"/>
    <w:basedOn w:val="DHHSbody"/>
    <w:next w:val="DHHSbody"/>
    <w:uiPriority w:val="99"/>
    <w:rsid w:val="0001532A"/>
    <w:pPr>
      <w:spacing w:before="240"/>
    </w:pPr>
  </w:style>
  <w:style w:type="paragraph" w:customStyle="1" w:styleId="DHHSTOCheadingreport">
    <w:name w:val="DHHS TOC heading report"/>
    <w:basedOn w:val="Heading1"/>
    <w:link w:val="DHHSTOCheadingreportChar"/>
    <w:uiPriority w:val="5"/>
    <w:rsid w:val="00200BE4"/>
    <w:pPr>
      <w:pageBreakBefore/>
      <w:spacing w:before="0" w:after="440"/>
      <w:ind w:left="0"/>
      <w:outlineLvl w:val="9"/>
    </w:pPr>
  </w:style>
  <w:style w:type="character" w:customStyle="1" w:styleId="DHHSTOCheadingreportChar">
    <w:name w:val="DHHS TOC heading report Char"/>
    <w:link w:val="DHHSTOCheadingreport"/>
    <w:uiPriority w:val="5"/>
    <w:rsid w:val="00200BE4"/>
    <w:rPr>
      <w:rFonts w:ascii="Arial" w:eastAsia="Times New Roman" w:hAnsi="Arial" w:cs="Times New Roman"/>
      <w:bCs/>
      <w:color w:val="007B4B"/>
      <w:sz w:val="44"/>
      <w:szCs w:val="44"/>
    </w:rPr>
  </w:style>
  <w:style w:type="paragraph" w:customStyle="1" w:styleId="DHHSaccessibilitypara">
    <w:name w:val="DHHS accessibility para"/>
    <w:uiPriority w:val="8"/>
    <w:rsid w:val="002908C9"/>
    <w:pPr>
      <w:spacing w:before="5000" w:after="300" w:line="300" w:lineRule="atLeast"/>
    </w:pPr>
    <w:rPr>
      <w:rFonts w:ascii="Arial" w:eastAsia="Times" w:hAnsi="Arial" w:cs="Times New Roman"/>
      <w:sz w:val="24"/>
      <w:szCs w:val="19"/>
    </w:rPr>
  </w:style>
  <w:style w:type="paragraph" w:customStyle="1" w:styleId="DHHSbodynospace">
    <w:name w:val="DHHS body no space"/>
    <w:basedOn w:val="DHHSbody"/>
    <w:uiPriority w:val="3"/>
    <w:qFormat/>
    <w:rsid w:val="0001532A"/>
    <w:pPr>
      <w:spacing w:after="0"/>
    </w:pPr>
  </w:style>
  <w:style w:type="paragraph" w:customStyle="1" w:styleId="DHHSquote">
    <w:name w:val="DHHS quote"/>
    <w:basedOn w:val="DHHSbody"/>
    <w:uiPriority w:val="4"/>
    <w:rsid w:val="0001532A"/>
    <w:pPr>
      <w:ind w:left="397"/>
    </w:pPr>
    <w:rPr>
      <w:szCs w:val="18"/>
    </w:rPr>
  </w:style>
  <w:style w:type="numbering" w:customStyle="1" w:styleId="ZZBullets">
    <w:name w:val="ZZ Bullets"/>
    <w:rsid w:val="0001532A"/>
    <w:pPr>
      <w:numPr>
        <w:numId w:val="1"/>
      </w:numPr>
    </w:pPr>
  </w:style>
  <w:style w:type="numbering" w:customStyle="1" w:styleId="ZZNumbers">
    <w:name w:val="ZZ Numbers"/>
    <w:rsid w:val="0001532A"/>
    <w:pPr>
      <w:numPr>
        <w:numId w:val="2"/>
      </w:numPr>
    </w:pPr>
  </w:style>
  <w:style w:type="paragraph" w:customStyle="1" w:styleId="DHHSnumberlowerroman">
    <w:name w:val="DHHS number lower roman"/>
    <w:basedOn w:val="DHHSbody"/>
    <w:uiPriority w:val="3"/>
    <w:rsid w:val="0001532A"/>
    <w:pPr>
      <w:numPr>
        <w:numId w:val="23"/>
      </w:numPr>
    </w:pPr>
  </w:style>
  <w:style w:type="paragraph" w:customStyle="1" w:styleId="DHHSnumberlowerromanindent">
    <w:name w:val="DHHS number lower roman indent"/>
    <w:basedOn w:val="DHHSbody"/>
    <w:uiPriority w:val="3"/>
    <w:rsid w:val="0001532A"/>
    <w:pPr>
      <w:numPr>
        <w:ilvl w:val="1"/>
        <w:numId w:val="23"/>
      </w:numPr>
    </w:pPr>
  </w:style>
  <w:style w:type="paragraph" w:customStyle="1" w:styleId="DHHSnumberdigitindent">
    <w:name w:val="DHHS number digit indent"/>
    <w:basedOn w:val="DHHSnumberloweralphaindent"/>
    <w:uiPriority w:val="3"/>
    <w:rsid w:val="0001532A"/>
    <w:pPr>
      <w:numPr>
        <w:numId w:val="20"/>
      </w:numPr>
    </w:pPr>
  </w:style>
  <w:style w:type="paragraph" w:styleId="Title">
    <w:name w:val="Title"/>
    <w:basedOn w:val="Normal"/>
    <w:next w:val="Normal"/>
    <w:link w:val="TitleChar"/>
    <w:uiPriority w:val="10"/>
    <w:semiHidden/>
    <w:qFormat/>
    <w:rsid w:val="0001532A"/>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10"/>
    <w:semiHidden/>
    <w:rsid w:val="0000250E"/>
    <w:rPr>
      <w:rFonts w:ascii="Calibri Light" w:eastAsia="Times New Roman" w:hAnsi="Calibri Light" w:cs="Times New Roman"/>
      <w:b/>
      <w:bCs/>
      <w:kern w:val="28"/>
      <w:sz w:val="32"/>
      <w:szCs w:val="32"/>
    </w:rPr>
  </w:style>
  <w:style w:type="paragraph" w:styleId="Revision">
    <w:name w:val="Revision"/>
    <w:hidden/>
    <w:uiPriority w:val="99"/>
    <w:rsid w:val="0001532A"/>
    <w:pPr>
      <w:spacing w:after="0" w:line="240" w:lineRule="auto"/>
    </w:pPr>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01532A"/>
    <w:rPr>
      <w:rFonts w:ascii="Tahoma" w:hAnsi="Tahoma" w:cs="Tahoma"/>
      <w:sz w:val="16"/>
      <w:szCs w:val="16"/>
    </w:rPr>
  </w:style>
  <w:style w:type="character" w:customStyle="1" w:styleId="BalloonTextChar">
    <w:name w:val="Balloon Text Char"/>
    <w:basedOn w:val="DefaultParagraphFont"/>
    <w:link w:val="BalloonText"/>
    <w:uiPriority w:val="99"/>
    <w:semiHidden/>
    <w:rsid w:val="0001532A"/>
    <w:rPr>
      <w:rFonts w:ascii="Tahoma" w:eastAsia="Times New Roman" w:hAnsi="Tahoma" w:cs="Tahoma"/>
      <w:sz w:val="16"/>
      <w:szCs w:val="16"/>
    </w:rPr>
  </w:style>
  <w:style w:type="paragraph" w:customStyle="1" w:styleId="zreportaddinfo">
    <w:name w:val="zreport addinfo"/>
    <w:basedOn w:val="Normal"/>
    <w:semiHidden/>
    <w:rsid w:val="0001532A"/>
    <w:pPr>
      <w:framePr w:wrap="around" w:hAnchor="margin" w:xAlign="center" w:yAlign="bottom"/>
      <w:spacing w:line="240" w:lineRule="exact"/>
      <w:jc w:val="center"/>
    </w:pPr>
    <w:rPr>
      <w:rFonts w:ascii="Times New Roman" w:hAnsi="Times New Roman"/>
      <w:noProof/>
    </w:rPr>
  </w:style>
  <w:style w:type="paragraph" w:customStyle="1" w:styleId="DHHSbodylargespace">
    <w:name w:val="DHHS body large space"/>
    <w:basedOn w:val="DHHSbody"/>
    <w:rsid w:val="0001532A"/>
    <w:pPr>
      <w:spacing w:after="300"/>
    </w:pPr>
  </w:style>
  <w:style w:type="character" w:styleId="CommentReference">
    <w:name w:val="annotation reference"/>
    <w:uiPriority w:val="99"/>
    <w:semiHidden/>
    <w:unhideWhenUsed/>
    <w:rsid w:val="0001532A"/>
    <w:rPr>
      <w:sz w:val="16"/>
      <w:szCs w:val="16"/>
    </w:rPr>
  </w:style>
  <w:style w:type="paragraph" w:styleId="CommentText">
    <w:name w:val="annotation text"/>
    <w:basedOn w:val="Normal"/>
    <w:link w:val="CommentTextChar"/>
    <w:uiPriority w:val="99"/>
    <w:unhideWhenUsed/>
    <w:rsid w:val="0001532A"/>
  </w:style>
  <w:style w:type="character" w:customStyle="1" w:styleId="CommentTextChar">
    <w:name w:val="Comment Text Char"/>
    <w:basedOn w:val="DefaultParagraphFont"/>
    <w:link w:val="CommentText"/>
    <w:uiPriority w:val="99"/>
    <w:rsid w:val="0001532A"/>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532A"/>
    <w:rPr>
      <w:b/>
      <w:bCs/>
    </w:rPr>
  </w:style>
  <w:style w:type="character" w:customStyle="1" w:styleId="CommentSubjectChar">
    <w:name w:val="Comment Subject Char"/>
    <w:basedOn w:val="CommentTextChar"/>
    <w:link w:val="CommentSubject"/>
    <w:uiPriority w:val="99"/>
    <w:semiHidden/>
    <w:rsid w:val="0001532A"/>
    <w:rPr>
      <w:rFonts w:ascii="Cambria" w:eastAsia="Times New Roman" w:hAnsi="Cambria" w:cs="Times New Roman"/>
      <w:b/>
      <w:bCs/>
      <w:sz w:val="20"/>
      <w:szCs w:val="20"/>
    </w:rPr>
  </w:style>
  <w:style w:type="paragraph" w:styleId="BodyText">
    <w:name w:val="Body Text"/>
    <w:basedOn w:val="Normal"/>
    <w:link w:val="BodyTextChar"/>
    <w:uiPriority w:val="99"/>
    <w:semiHidden/>
    <w:rsid w:val="0001532A"/>
    <w:pPr>
      <w:spacing w:after="120"/>
    </w:pPr>
  </w:style>
  <w:style w:type="character" w:customStyle="1" w:styleId="BodyTextChar">
    <w:name w:val="Body Text Char"/>
    <w:basedOn w:val="DefaultParagraphFont"/>
    <w:link w:val="BodyText"/>
    <w:uiPriority w:val="99"/>
    <w:semiHidden/>
    <w:rsid w:val="0000250E"/>
    <w:rPr>
      <w:rFonts w:ascii="Cambria" w:eastAsia="Times New Roman" w:hAnsi="Cambria" w:cs="Times New Roman"/>
      <w:sz w:val="20"/>
      <w:szCs w:val="20"/>
    </w:rPr>
  </w:style>
  <w:style w:type="paragraph" w:styleId="NormalWeb">
    <w:name w:val="Normal (Web)"/>
    <w:basedOn w:val="Normal"/>
    <w:uiPriority w:val="99"/>
    <w:semiHidden/>
    <w:unhideWhenUsed/>
    <w:rsid w:val="0001532A"/>
    <w:pPr>
      <w:spacing w:before="100" w:beforeAutospacing="1" w:after="100" w:afterAutospacing="1"/>
    </w:pPr>
    <w:rPr>
      <w:rFonts w:ascii="Verdana" w:hAnsi="Verdana"/>
      <w:color w:val="000000"/>
      <w:sz w:val="18"/>
      <w:szCs w:val="24"/>
    </w:rPr>
  </w:style>
  <w:style w:type="paragraph" w:styleId="ListBullet">
    <w:name w:val="List Bullet"/>
    <w:basedOn w:val="Normal"/>
    <w:uiPriority w:val="99"/>
    <w:semiHidden/>
    <w:unhideWhenUsed/>
    <w:rsid w:val="0001532A"/>
    <w:pPr>
      <w:numPr>
        <w:numId w:val="3"/>
      </w:numPr>
      <w:contextualSpacing/>
    </w:pPr>
    <w:rPr>
      <w:rFonts w:ascii="Calibri" w:hAnsi="Calibri"/>
      <w:sz w:val="24"/>
      <w:szCs w:val="24"/>
      <w:lang w:val="en-US"/>
    </w:rPr>
  </w:style>
  <w:style w:type="character" w:styleId="Emphasis">
    <w:name w:val="Emphasis"/>
    <w:uiPriority w:val="20"/>
    <w:qFormat/>
    <w:rsid w:val="0001532A"/>
    <w:rPr>
      <w:i/>
      <w:iCs/>
    </w:rPr>
  </w:style>
  <w:style w:type="character" w:customStyle="1" w:styleId="DHHSfootnoteChar">
    <w:name w:val="DHHS footnote Char"/>
    <w:link w:val="DHHSfootnote"/>
    <w:uiPriority w:val="4"/>
    <w:locked/>
    <w:rsid w:val="0001532A"/>
    <w:rPr>
      <w:rFonts w:ascii="Arial" w:hAnsi="Arial" w:cs="Arial"/>
      <w:sz w:val="16"/>
      <w:szCs w:val="16"/>
    </w:rPr>
  </w:style>
  <w:style w:type="paragraph" w:customStyle="1" w:styleId="DHHSfootnote">
    <w:name w:val="DHHS footnote"/>
    <w:link w:val="DHHSfootnoteChar"/>
    <w:uiPriority w:val="4"/>
    <w:rsid w:val="0001532A"/>
    <w:pPr>
      <w:spacing w:before="60" w:after="60" w:line="200" w:lineRule="atLeast"/>
    </w:pPr>
    <w:rPr>
      <w:rFonts w:ascii="Arial" w:hAnsi="Arial" w:cs="Arial"/>
      <w:sz w:val="16"/>
      <w:szCs w:val="16"/>
    </w:rPr>
  </w:style>
  <w:style w:type="character" w:customStyle="1" w:styleId="DHHSfigurecaptionChar">
    <w:name w:val="DHHS figure caption Char"/>
    <w:link w:val="DHHSfigurecaption"/>
    <w:uiPriority w:val="4"/>
    <w:locked/>
    <w:rsid w:val="0001532A"/>
    <w:rPr>
      <w:rFonts w:ascii="Arial" w:eastAsia="Times New Roman" w:hAnsi="Arial" w:cs="Times New Roman"/>
      <w:b/>
      <w:sz w:val="20"/>
      <w:szCs w:val="20"/>
    </w:rPr>
  </w:style>
  <w:style w:type="paragraph" w:customStyle="1" w:styleId="DHHStablebullet2">
    <w:name w:val="DHHS table bullet 2"/>
    <w:basedOn w:val="DHHStabletext"/>
    <w:uiPriority w:val="11"/>
    <w:rsid w:val="0001532A"/>
    <w:pPr>
      <w:numPr>
        <w:ilvl w:val="1"/>
        <w:numId w:val="24"/>
      </w:numPr>
    </w:pPr>
  </w:style>
  <w:style w:type="character" w:customStyle="1" w:styleId="CommentTextChar1">
    <w:name w:val="Comment Text Char1"/>
    <w:uiPriority w:val="99"/>
    <w:semiHidden/>
    <w:rsid w:val="0001532A"/>
    <w:rPr>
      <w:rFonts w:ascii="Calibri" w:eastAsia="Times New Roman" w:hAnsi="Calibri" w:hint="default"/>
      <w:lang w:val="en-US" w:eastAsia="en-US"/>
    </w:rPr>
  </w:style>
  <w:style w:type="numbering" w:customStyle="1" w:styleId="Bullets">
    <w:name w:val="Bullets"/>
    <w:rsid w:val="0001532A"/>
    <w:pPr>
      <w:numPr>
        <w:numId w:val="4"/>
      </w:numPr>
    </w:pPr>
  </w:style>
  <w:style w:type="numbering" w:customStyle="1" w:styleId="Numbers">
    <w:name w:val="Numbers"/>
    <w:rsid w:val="0001532A"/>
    <w:pPr>
      <w:numPr>
        <w:numId w:val="5"/>
      </w:numPr>
    </w:pPr>
  </w:style>
  <w:style w:type="paragraph" w:styleId="ListParagraph">
    <w:name w:val="List Paragraph"/>
    <w:basedOn w:val="Normal"/>
    <w:uiPriority w:val="34"/>
    <w:semiHidden/>
    <w:qFormat/>
    <w:rsid w:val="0001532A"/>
    <w:pPr>
      <w:spacing w:after="200" w:line="276" w:lineRule="auto"/>
      <w:ind w:left="720"/>
      <w:contextualSpacing/>
    </w:pPr>
    <w:rPr>
      <w:rFonts w:ascii="Calibri" w:eastAsia="Calibri" w:hAnsi="Calibri"/>
      <w:sz w:val="22"/>
      <w:szCs w:val="22"/>
    </w:rPr>
  </w:style>
  <w:style w:type="paragraph" w:customStyle="1" w:styleId="Default">
    <w:name w:val="Default"/>
    <w:semiHidden/>
    <w:rsid w:val="0001532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Bullets1">
    <w:name w:val="Bullets1"/>
    <w:rsid w:val="0001532A"/>
  </w:style>
  <w:style w:type="numbering" w:customStyle="1" w:styleId="Style1">
    <w:name w:val="Style1"/>
    <w:uiPriority w:val="99"/>
    <w:rsid w:val="0001532A"/>
    <w:pPr>
      <w:numPr>
        <w:numId w:val="10"/>
      </w:numPr>
    </w:pPr>
  </w:style>
  <w:style w:type="numbering" w:customStyle="1" w:styleId="Style2">
    <w:name w:val="Style2"/>
    <w:uiPriority w:val="99"/>
    <w:rsid w:val="0001532A"/>
    <w:pPr>
      <w:numPr>
        <w:numId w:val="12"/>
      </w:numPr>
    </w:pPr>
  </w:style>
  <w:style w:type="numbering" w:customStyle="1" w:styleId="Style3">
    <w:name w:val="Style3"/>
    <w:uiPriority w:val="99"/>
    <w:rsid w:val="0001532A"/>
    <w:pPr>
      <w:numPr>
        <w:numId w:val="14"/>
      </w:numPr>
    </w:pPr>
  </w:style>
  <w:style w:type="paragraph" w:customStyle="1" w:styleId="DHHSbodyafterbullets">
    <w:name w:val="DHHS body after bullets"/>
    <w:basedOn w:val="DHHSbody"/>
    <w:rsid w:val="0001532A"/>
    <w:pPr>
      <w:spacing w:before="120"/>
    </w:pPr>
    <w:rPr>
      <w:rFonts w:ascii="Helv" w:hAnsi="Helv" w:cs="Helv"/>
      <w:color w:val="000000"/>
      <w:lang w:eastAsia="en-AU"/>
    </w:rPr>
  </w:style>
  <w:style w:type="table" w:customStyle="1" w:styleId="Highlighttable">
    <w:name w:val="Highlight table"/>
    <w:basedOn w:val="TableNormal"/>
    <w:uiPriority w:val="99"/>
    <w:rsid w:val="0001532A"/>
    <w:pPr>
      <w:spacing w:after="0" w:line="240" w:lineRule="auto"/>
    </w:pPr>
    <w:rPr>
      <w:rFonts w:ascii="Times New Roman" w:eastAsia="Times New Roman" w:hAnsi="Times New Roman" w:cs="Times New Roman"/>
      <w:sz w:val="20"/>
      <w:szCs w:val="20"/>
      <w:lang w:eastAsia="en-AU"/>
    </w:rPr>
    <w:tblPr>
      <w:tblInd w:w="170" w:type="dxa"/>
      <w:tblBorders>
        <w:top w:val="single" w:sz="4" w:space="0" w:color="CCF1F2"/>
        <w:left w:val="single" w:sz="4" w:space="0" w:color="CCF1F2"/>
        <w:bottom w:val="single" w:sz="4" w:space="0" w:color="CCF1F2"/>
        <w:right w:val="single" w:sz="4" w:space="0" w:color="CCF1F2"/>
      </w:tblBorders>
      <w:tblCellMar>
        <w:top w:w="113" w:type="dxa"/>
        <w:left w:w="170" w:type="dxa"/>
        <w:bottom w:w="57" w:type="dxa"/>
        <w:right w:w="170" w:type="dxa"/>
      </w:tblCellMar>
    </w:tblPr>
    <w:tcPr>
      <w:shd w:val="clear" w:color="auto" w:fill="CCF1F2"/>
    </w:tcPr>
  </w:style>
  <w:style w:type="paragraph" w:customStyle="1" w:styleId="DHHSbulletafternumbers1">
    <w:name w:val="DHHS bullet after numbers 1"/>
    <w:basedOn w:val="DHHSbody"/>
    <w:uiPriority w:val="4"/>
    <w:rsid w:val="0001532A"/>
    <w:pPr>
      <w:numPr>
        <w:ilvl w:val="2"/>
        <w:numId w:val="20"/>
      </w:numPr>
    </w:pPr>
  </w:style>
  <w:style w:type="paragraph" w:customStyle="1" w:styleId="DHHSbulletafternumbers2">
    <w:name w:val="DHHS bullet after numbers 2"/>
    <w:basedOn w:val="DHHSbody"/>
    <w:rsid w:val="0001532A"/>
    <w:pPr>
      <w:numPr>
        <w:ilvl w:val="3"/>
        <w:numId w:val="20"/>
      </w:numPr>
    </w:pPr>
  </w:style>
  <w:style w:type="paragraph" w:customStyle="1" w:styleId="DHHStablebullet1">
    <w:name w:val="DHHS table bullet 1"/>
    <w:basedOn w:val="DHHStabletext"/>
    <w:uiPriority w:val="3"/>
    <w:qFormat/>
    <w:rsid w:val="0001532A"/>
    <w:pPr>
      <w:numPr>
        <w:numId w:val="24"/>
      </w:numPr>
    </w:pPr>
  </w:style>
  <w:style w:type="numbering" w:customStyle="1" w:styleId="ZZNumbersdigit">
    <w:name w:val="ZZ Numbers digit"/>
    <w:rsid w:val="0001532A"/>
    <w:pPr>
      <w:numPr>
        <w:numId w:val="20"/>
      </w:numPr>
    </w:pPr>
  </w:style>
  <w:style w:type="numbering" w:customStyle="1" w:styleId="ZZNumbersloweralpha">
    <w:name w:val="ZZ Numbers lower alpha"/>
    <w:basedOn w:val="NoList"/>
    <w:rsid w:val="0001532A"/>
    <w:pPr>
      <w:numPr>
        <w:numId w:val="22"/>
      </w:numPr>
    </w:pPr>
  </w:style>
  <w:style w:type="numbering" w:customStyle="1" w:styleId="ZZNumberslowerroman">
    <w:name w:val="ZZ Numbers lower roman"/>
    <w:basedOn w:val="NoList"/>
    <w:rsid w:val="0001532A"/>
    <w:pPr>
      <w:numPr>
        <w:numId w:val="23"/>
      </w:numPr>
    </w:pPr>
  </w:style>
  <w:style w:type="numbering" w:customStyle="1" w:styleId="ZZTablebullets">
    <w:name w:val="ZZ Table bullets"/>
    <w:basedOn w:val="NoList"/>
    <w:rsid w:val="0001532A"/>
    <w:pPr>
      <w:numPr>
        <w:numId w:val="24"/>
      </w:numPr>
    </w:pPr>
  </w:style>
  <w:style w:type="paragraph" w:customStyle="1" w:styleId="DHHStabletextsubhead">
    <w:name w:val="DHHS table text subhead"/>
    <w:basedOn w:val="DHHStabletext"/>
    <w:rsid w:val="0001532A"/>
    <w:pPr>
      <w:spacing w:before="120"/>
    </w:pPr>
    <w:rPr>
      <w:b/>
    </w:rPr>
  </w:style>
  <w:style w:type="character" w:styleId="UnresolvedMention">
    <w:name w:val="Unresolved Mention"/>
    <w:basedOn w:val="DefaultParagraphFont"/>
    <w:uiPriority w:val="99"/>
    <w:semiHidden/>
    <w:unhideWhenUsed/>
    <w:rsid w:val="0001532A"/>
    <w:rPr>
      <w:color w:val="605E5C"/>
      <w:shd w:val="clear" w:color="auto" w:fill="E1DFDD"/>
    </w:rPr>
  </w:style>
  <w:style w:type="paragraph" w:customStyle="1" w:styleId="DHHSbodysmallspace">
    <w:name w:val="DHHS body small space"/>
    <w:basedOn w:val="DHHSbody"/>
    <w:rsid w:val="00037D8B"/>
    <w:pPr>
      <w:spacing w:after="40"/>
    </w:pPr>
  </w:style>
  <w:style w:type="paragraph" w:customStyle="1" w:styleId="DHHStabletext92mmtab">
    <w:name w:val="DHHS table text 92mm tab"/>
    <w:basedOn w:val="DHHStabletext"/>
    <w:rsid w:val="00660D47"/>
    <w:pPr>
      <w:tabs>
        <w:tab w:val="left" w:pos="5216"/>
      </w:tabs>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93806">
      <w:bodyDiv w:val="1"/>
      <w:marLeft w:val="0"/>
      <w:marRight w:val="0"/>
      <w:marTop w:val="0"/>
      <w:marBottom w:val="0"/>
      <w:divBdr>
        <w:top w:val="none" w:sz="0" w:space="0" w:color="auto"/>
        <w:left w:val="none" w:sz="0" w:space="0" w:color="auto"/>
        <w:bottom w:val="none" w:sz="0" w:space="0" w:color="auto"/>
        <w:right w:val="none" w:sz="0" w:space="0" w:color="auto"/>
      </w:divBdr>
    </w:div>
    <w:div w:id="663702211">
      <w:bodyDiv w:val="1"/>
      <w:marLeft w:val="0"/>
      <w:marRight w:val="0"/>
      <w:marTop w:val="0"/>
      <w:marBottom w:val="0"/>
      <w:divBdr>
        <w:top w:val="none" w:sz="0" w:space="0" w:color="auto"/>
        <w:left w:val="none" w:sz="0" w:space="0" w:color="auto"/>
        <w:bottom w:val="none" w:sz="0" w:space="0" w:color="auto"/>
        <w:right w:val="none" w:sz="0" w:space="0" w:color="auto"/>
      </w:divBdr>
    </w:div>
    <w:div w:id="1227642568">
      <w:bodyDiv w:val="1"/>
      <w:marLeft w:val="0"/>
      <w:marRight w:val="0"/>
      <w:marTop w:val="0"/>
      <w:marBottom w:val="0"/>
      <w:divBdr>
        <w:top w:val="none" w:sz="0" w:space="0" w:color="auto"/>
        <w:left w:val="none" w:sz="0" w:space="0" w:color="auto"/>
        <w:bottom w:val="none" w:sz="0" w:space="0" w:color="auto"/>
        <w:right w:val="none" w:sz="0" w:space="0" w:color="auto"/>
      </w:divBdr>
    </w:div>
    <w:div w:id="1429958760">
      <w:bodyDiv w:val="1"/>
      <w:marLeft w:val="0"/>
      <w:marRight w:val="0"/>
      <w:marTop w:val="0"/>
      <w:marBottom w:val="0"/>
      <w:divBdr>
        <w:top w:val="none" w:sz="0" w:space="0" w:color="auto"/>
        <w:left w:val="none" w:sz="0" w:space="0" w:color="auto"/>
        <w:bottom w:val="none" w:sz="0" w:space="0" w:color="auto"/>
        <w:right w:val="none" w:sz="0" w:space="0" w:color="auto"/>
      </w:divBdr>
    </w:div>
    <w:div w:id="16930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formance@dhhs.vic.gov.au" TargetMode="External"/><Relationship Id="rId18" Type="http://schemas.openxmlformats.org/officeDocument/2006/relationships/hyperlink" Target="http://www.vicniss.org.au" TargetMode="External"/><Relationship Id="rId26" Type="http://schemas.openxmlformats.org/officeDocument/2006/relationships/hyperlink" Target="https://www2.health.vic.gov.au/hospitals-and-health-services/quality-safety-service/hospital-accreditation" TargetMode="External"/><Relationship Id="rId3" Type="http://schemas.openxmlformats.org/officeDocument/2006/relationships/customXml" Target="../customXml/item3.xml"/><Relationship Id="rId21" Type="http://schemas.openxmlformats.org/officeDocument/2006/relationships/hyperlink" Target="https://www2.health.vic.gov.au/hospitals-and-health-services/quality-safety-service/clinical-networks/clinical-network-stroke/stroke-statewide-frameworks" TargetMode="External"/><Relationship Id="rId7" Type="http://schemas.openxmlformats.org/officeDocument/2006/relationships/settings" Target="settings.xml"/><Relationship Id="rId12" Type="http://schemas.openxmlformats.org/officeDocument/2006/relationships/hyperlink" Target="https://www2.health.vic.gov.au/hospitals-and-health-services/funding-performance-accountability/performance-monitoring" TargetMode="External"/><Relationship Id="rId17" Type="http://schemas.openxmlformats.org/officeDocument/2006/relationships/hyperlink" Target="http://www.hha.org.au" TargetMode="External"/><Relationship Id="rId25" Type="http://schemas.openxmlformats.org/officeDocument/2006/relationships/hyperlink" Target="https://www2.health.vic.gov.au/hospitals-and-health-services/data-reporting/health-data-standards-systems/data-collections/vina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vicniss.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about/policy-and-funding-guidelin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health.vic.gov.au/surgery/polici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icnis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hospitals-and-health-services/funding-performance-accountability/performance-monitoring" TargetMode="External"/><Relationship Id="rId22" Type="http://schemas.openxmlformats.org/officeDocument/2006/relationships/hyperlink" Target="https://www2.health.vic.gov.au/health-workforce/education-and-training/building-a-quality-health-workforce/bpcle-framework" TargetMode="External"/><Relationship Id="rId27" Type="http://schemas.openxmlformats.org/officeDocument/2006/relationships/hyperlink" Target="https://www2.health.vic.gov.au/hospitals-and-health-services/patient-care/specialist-clinics/specialist-clinics-program/specialist-clinics-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etyandquality.gov.au/our-work/indicators/australian-sentinel-even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3A2E645BEFD54C91A08FC3BFA18D83" ma:contentTypeVersion="8" ma:contentTypeDescription="Create a new document." ma:contentTypeScope="" ma:versionID="fc0093e0ec9f4ea880ffc7f9b2e76127">
  <xsd:schema xmlns:xsd="http://www.w3.org/2001/XMLSchema" xmlns:xs="http://www.w3.org/2001/XMLSchema" xmlns:p="http://schemas.microsoft.com/office/2006/metadata/properties" xmlns:ns2="633922f3-ea76-4505-87b2-d399f18a3c52" xmlns:ns3="c6381a7c-ec5f-41ca-8e08-6bffea716bff" targetNamespace="http://schemas.microsoft.com/office/2006/metadata/properties" ma:root="true" ma:fieldsID="3439adbb28e70c42f7986bafd33185cb" ns2:_="" ns3:_="">
    <xsd:import namespace="633922f3-ea76-4505-87b2-d399f18a3c52"/>
    <xsd:import namespace="c6381a7c-ec5f-41ca-8e08-6bffea716b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922f3-ea76-4505-87b2-d399f18a3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81a7c-ec5f-41ca-8e08-6bffea716b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381a7c-ec5f-41ca-8e08-6bffea716bff">
      <UserInfo>
        <DisplayName>Mary Manescu (DHHS)</DisplayName>
        <AccountId>16</AccountId>
        <AccountType/>
      </UserInfo>
      <UserInfo>
        <DisplayName>Christopher Brown (DHHS)</DisplayName>
        <AccountId>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4855-E73F-4394-9C4E-0FF74C226075}">
  <ds:schemaRefs>
    <ds:schemaRef ds:uri="http://schemas.microsoft.com/sharepoint/v3/contenttype/forms"/>
  </ds:schemaRefs>
</ds:datastoreItem>
</file>

<file path=customXml/itemProps2.xml><?xml version="1.0" encoding="utf-8"?>
<ds:datastoreItem xmlns:ds="http://schemas.openxmlformats.org/officeDocument/2006/customXml" ds:itemID="{24523190-45DA-45F7-8283-6F15B7B85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922f3-ea76-4505-87b2-d399f18a3c52"/>
    <ds:schemaRef ds:uri="c6381a7c-ec5f-41ca-8e08-6bffea71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28D0F-1C9B-40A7-A77A-1715D68C1C6B}">
  <ds:schemaRefs>
    <ds:schemaRef ds:uri="c6381a7c-ec5f-41ca-8e08-6bffea716bf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33922f3-ea76-4505-87b2-d399f18a3c52"/>
    <ds:schemaRef ds:uri="http://www.w3.org/XML/1998/namespace"/>
    <ds:schemaRef ds:uri="http://purl.org/dc/terms/"/>
  </ds:schemaRefs>
</ds:datastoreItem>
</file>

<file path=customXml/itemProps4.xml><?xml version="1.0" encoding="utf-8"?>
<ds:datastoreItem xmlns:ds="http://schemas.openxmlformats.org/officeDocument/2006/customXml" ds:itemID="{8BB26A3D-D998-472D-82BA-BA8818B5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5569</TotalTime>
  <Pages>111</Pages>
  <Words>31515</Words>
  <Characters>179642</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Key performance measures and underlying risk factors 2019–20: August 2019 edition</vt:lpstr>
    </vt:vector>
  </TitlesOfParts>
  <Company>Department of Health and Human Services</Company>
  <LinksUpToDate>false</LinksUpToDate>
  <CharactersWithSpaces>210736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performance measures and underlying risk factors 2019–20: August 2019 edition</dc:title>
  <dc:subject>Key performance measures and underlying risk factors</dc:subject>
  <dc:creator>Performance and Regulation Branch, Department of Health and Human Services</dc:creator>
  <cp:keywords>key performance measures, underlying risk factors</cp:keywords>
  <dc:description/>
  <cp:lastModifiedBy>Robert Di Renzo</cp:lastModifiedBy>
  <cp:revision>756</cp:revision>
  <cp:lastPrinted>2019-08-01T09:26:00Z</cp:lastPrinted>
  <dcterms:created xsi:type="dcterms:W3CDTF">2019-06-11T02:53:00Z</dcterms:created>
  <dcterms:modified xsi:type="dcterms:W3CDTF">2019-08-01T09:26:00Z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