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D005EA" w:rsidP="00DE6028">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66290"/>
            <wp:effectExtent l="0" t="0" r="0" b="0"/>
            <wp:wrapNone/>
            <wp:docPr id="25" name="Picture 2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20662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10137"/>
      </w:tblGrid>
      <w:tr w:rsidR="00EF36AF" w:rsidTr="00D33E72">
        <w:trPr>
          <w:trHeight w:val="1276"/>
        </w:trPr>
        <w:tc>
          <w:tcPr>
            <w:tcW w:w="10137" w:type="dxa"/>
            <w:shd w:val="clear" w:color="auto" w:fill="auto"/>
            <w:vAlign w:val="bottom"/>
          </w:tcPr>
          <w:p w:rsidR="004946F4" w:rsidRPr="00161AA0" w:rsidRDefault="00D005EA" w:rsidP="006A18C2">
            <w:pPr>
              <w:pStyle w:val="DHHSmainheading"/>
              <w:rPr>
                <w:lang w:bidi="ar-SA"/>
              </w:rPr>
            </w:pPr>
            <w:r>
              <w:rPr>
                <w:lang w:bidi="ar-SA"/>
              </w:rPr>
              <w:t>How to respond to customers who might be misusing solvents</w:t>
            </w:r>
          </w:p>
        </w:tc>
      </w:tr>
      <w:tr w:rsidR="005D6597" w:rsidTr="00DE6028">
        <w:trPr>
          <w:trHeight w:val="494"/>
        </w:trPr>
        <w:tc>
          <w:tcPr>
            <w:tcW w:w="10137" w:type="dxa"/>
            <w:shd w:val="clear" w:color="auto" w:fill="auto"/>
            <w:tcMar>
              <w:top w:w="510" w:type="dxa"/>
            </w:tcMar>
          </w:tcPr>
          <w:p w:rsidR="005D6597" w:rsidRDefault="00D005EA" w:rsidP="004F6936">
            <w:pPr>
              <w:pStyle w:val="DHHSmainsubheading"/>
            </w:pPr>
            <w:r>
              <w:rPr>
                <w:sz w:val="30"/>
                <w:szCs w:val="30"/>
                <w:lang w:bidi="ar-SA"/>
              </w:rPr>
              <w:t>A guide for retailers</w:t>
            </w:r>
          </w:p>
        </w:tc>
      </w:tr>
      <w:tr w:rsidR="00CC0C72" w:rsidTr="00CC0C72">
        <w:trPr>
          <w:trHeight w:val="227"/>
        </w:trPr>
        <w:tc>
          <w:tcPr>
            <w:tcW w:w="10137" w:type="dxa"/>
            <w:shd w:val="clear" w:color="auto" w:fill="auto"/>
            <w:tcMar>
              <w:top w:w="0" w:type="dxa"/>
            </w:tcMar>
          </w:tcPr>
          <w:p w:rsidR="00CC0C72" w:rsidRPr="004F6936" w:rsidRDefault="00CC0C72" w:rsidP="00CC0C72">
            <w:pPr>
              <w:pStyle w:val="DHHSbody"/>
              <w:rPr>
                <w:lang w:bidi="ar-SA"/>
              </w:rPr>
            </w:pPr>
          </w:p>
        </w:tc>
      </w:tr>
    </w:tbl>
    <w:p w:rsidR="00D005EA" w:rsidRPr="00D005EA" w:rsidRDefault="00D005EA" w:rsidP="00D005EA">
      <w:pPr>
        <w:spacing w:after="120"/>
        <w:rPr>
          <w:rFonts w:ascii="Arial" w:eastAsia="MS Mincho" w:hAnsi="Arial" w:cs="Arial"/>
          <w:sz w:val="22"/>
          <w:szCs w:val="22"/>
          <w:lang w:val="en-US"/>
        </w:rPr>
      </w:pPr>
      <w:r w:rsidRPr="00D005EA">
        <w:rPr>
          <w:rFonts w:ascii="Arial" w:eastAsia="MS Mincho" w:hAnsi="Arial" w:cs="Arial"/>
          <w:sz w:val="22"/>
          <w:szCs w:val="22"/>
          <w:lang w:val="en-US"/>
        </w:rPr>
        <w:t>The following statements could be used to respond to customers who retailers suspect might be misusing solvents.</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3735"/>
        <w:gridCol w:w="6484"/>
      </w:tblGrid>
      <w:tr w:rsidR="00D005EA" w:rsidRPr="00D005EA" w:rsidTr="00903C11">
        <w:tc>
          <w:tcPr>
            <w:tcW w:w="3735" w:type="dxa"/>
            <w:tcBorders>
              <w:top w:val="single" w:sz="2" w:space="0" w:color="2D8E3F"/>
              <w:left w:val="single" w:sz="2" w:space="0" w:color="2D8E3F"/>
              <w:bottom w:val="single" w:sz="2" w:space="0" w:color="2D8E3F"/>
              <w:right w:val="single" w:sz="2" w:space="0" w:color="2D8E3F"/>
            </w:tcBorders>
            <w:vAlign w:val="center"/>
          </w:tcPr>
          <w:p w:rsidR="00D005EA" w:rsidRPr="00D005EA" w:rsidRDefault="00D005EA" w:rsidP="00D005EA">
            <w:pPr>
              <w:spacing w:after="120"/>
              <w:rPr>
                <w:rFonts w:ascii="Arial" w:eastAsia="MS Mincho" w:hAnsi="Arial" w:cs="Arial"/>
                <w:b/>
                <w:sz w:val="22"/>
                <w:szCs w:val="22"/>
                <w:lang w:val="en-US"/>
              </w:rPr>
            </w:pPr>
            <w:r w:rsidRPr="00D005EA">
              <w:rPr>
                <w:rFonts w:ascii="Arial" w:eastAsia="MS Mincho" w:hAnsi="Arial" w:cs="Arial"/>
                <w:b/>
                <w:sz w:val="22"/>
                <w:szCs w:val="22"/>
                <w:lang w:val="en-US"/>
              </w:rPr>
              <w:t>Customer says or does</w:t>
            </w:r>
          </w:p>
        </w:tc>
        <w:tc>
          <w:tcPr>
            <w:tcW w:w="0" w:type="auto"/>
            <w:tcBorders>
              <w:top w:val="single" w:sz="2" w:space="0" w:color="2D8E3F"/>
              <w:left w:val="single" w:sz="2" w:space="0" w:color="2D8E3F"/>
              <w:bottom w:val="single" w:sz="2" w:space="0" w:color="2D8E3F"/>
              <w:right w:val="single" w:sz="2" w:space="0" w:color="2D8E3F"/>
            </w:tcBorders>
            <w:vAlign w:val="center"/>
          </w:tcPr>
          <w:p w:rsidR="00D005EA" w:rsidRPr="00D005EA" w:rsidRDefault="00D005EA" w:rsidP="00D005EA">
            <w:pPr>
              <w:spacing w:after="120"/>
              <w:rPr>
                <w:rFonts w:ascii="Arial" w:eastAsia="MS Mincho" w:hAnsi="Arial" w:cs="Arial"/>
                <w:b/>
                <w:sz w:val="22"/>
                <w:szCs w:val="22"/>
                <w:lang w:val="en-US"/>
              </w:rPr>
            </w:pPr>
            <w:r w:rsidRPr="00D005EA">
              <w:rPr>
                <w:rFonts w:ascii="Arial" w:eastAsia="MS Mincho" w:hAnsi="Arial" w:cs="Arial"/>
                <w:b/>
                <w:sz w:val="22"/>
                <w:szCs w:val="22"/>
                <w:lang w:val="en-US"/>
              </w:rPr>
              <w:t>Retailer says or does</w:t>
            </w:r>
          </w:p>
        </w:tc>
      </w:tr>
      <w:tr w:rsidR="00D005EA" w:rsidRPr="00D005EA" w:rsidTr="00903C11">
        <w:tc>
          <w:tcPr>
            <w:tcW w:w="3735" w:type="dxa"/>
            <w:tcBorders>
              <w:top w:val="single" w:sz="2" w:space="0" w:color="2D8E3F"/>
              <w:left w:val="single" w:sz="2" w:space="0" w:color="2D8E3F"/>
              <w:bottom w:val="single" w:sz="2" w:space="0" w:color="2D8E3F"/>
              <w:right w:val="single" w:sz="2" w:space="0" w:color="2D8E3F"/>
            </w:tcBorders>
            <w:vAlign w:val="center"/>
            <w:hideMark/>
          </w:tcPr>
          <w:p w:rsidR="00D005EA" w:rsidRPr="00D005EA" w:rsidRDefault="00D005EA" w:rsidP="00D005EA">
            <w:pPr>
              <w:spacing w:after="120"/>
              <w:rPr>
                <w:rFonts w:ascii="Arial" w:eastAsia="MS Mincho" w:hAnsi="Arial" w:cs="Arial"/>
                <w:sz w:val="22"/>
                <w:szCs w:val="22"/>
                <w:lang w:val="en-US"/>
              </w:rPr>
            </w:pPr>
            <w:r w:rsidRPr="00D005EA">
              <w:rPr>
                <w:rFonts w:ascii="Arial" w:eastAsia="MS Mincho" w:hAnsi="Arial" w:cs="Arial"/>
                <w:sz w:val="22"/>
                <w:szCs w:val="22"/>
                <w:lang w:val="en-US"/>
              </w:rPr>
              <w:t xml:space="preserve">You can’t refuse to sell to me. I’ll have you up for discrimination. </w:t>
            </w:r>
          </w:p>
        </w:tc>
        <w:tc>
          <w:tcPr>
            <w:tcW w:w="0" w:type="auto"/>
            <w:tcBorders>
              <w:top w:val="single" w:sz="2" w:space="0" w:color="2D8E3F"/>
              <w:left w:val="single" w:sz="2" w:space="0" w:color="2D8E3F"/>
              <w:bottom w:val="single" w:sz="2" w:space="0" w:color="2D8E3F"/>
              <w:right w:val="single" w:sz="2" w:space="0" w:color="2D8E3F"/>
            </w:tcBorders>
            <w:vAlign w:val="center"/>
            <w:hideMark/>
          </w:tcPr>
          <w:p w:rsidR="00D005EA" w:rsidRPr="00D005EA" w:rsidRDefault="00D005EA" w:rsidP="00D005EA">
            <w:pPr>
              <w:spacing w:after="120"/>
              <w:rPr>
                <w:rFonts w:ascii="Arial" w:eastAsia="MS Mincho" w:hAnsi="Arial" w:cs="Arial"/>
                <w:sz w:val="22"/>
                <w:szCs w:val="22"/>
                <w:lang w:val="en-US"/>
              </w:rPr>
            </w:pPr>
            <w:r w:rsidRPr="00D005EA">
              <w:rPr>
                <w:rFonts w:ascii="Arial" w:eastAsia="MS Mincho" w:hAnsi="Arial" w:cs="Arial"/>
                <w:sz w:val="22"/>
                <w:szCs w:val="22"/>
                <w:lang w:val="en-US"/>
              </w:rPr>
              <w:t xml:space="preserve">We’re sorry but we do have the right not to sell this product. </w:t>
            </w:r>
          </w:p>
        </w:tc>
      </w:tr>
      <w:tr w:rsidR="00D005EA" w:rsidRPr="00D005EA" w:rsidTr="00903C11">
        <w:tc>
          <w:tcPr>
            <w:tcW w:w="3735" w:type="dxa"/>
            <w:tcBorders>
              <w:top w:val="single" w:sz="2" w:space="0" w:color="2D8E3F"/>
              <w:left w:val="single" w:sz="2" w:space="0" w:color="2D8E3F"/>
              <w:bottom w:val="single" w:sz="2" w:space="0" w:color="2D8E3F"/>
              <w:right w:val="single" w:sz="2" w:space="0" w:color="2D8E3F"/>
            </w:tcBorders>
            <w:vAlign w:val="center"/>
            <w:hideMark/>
          </w:tcPr>
          <w:p w:rsidR="00D005EA" w:rsidRPr="00D005EA" w:rsidRDefault="00D005EA" w:rsidP="00D005EA">
            <w:pPr>
              <w:spacing w:after="120"/>
              <w:rPr>
                <w:rFonts w:ascii="Arial" w:eastAsia="MS Mincho" w:hAnsi="Arial" w:cs="Arial"/>
                <w:sz w:val="22"/>
                <w:szCs w:val="22"/>
                <w:lang w:val="en-US"/>
              </w:rPr>
            </w:pPr>
            <w:r w:rsidRPr="00D005EA">
              <w:rPr>
                <w:rFonts w:ascii="Arial" w:eastAsia="MS Mincho" w:hAnsi="Arial" w:cs="Arial"/>
                <w:sz w:val="22"/>
                <w:szCs w:val="22"/>
                <w:lang w:val="en-US"/>
              </w:rPr>
              <w:t xml:space="preserve">You have to sell to me; I’m over 18 years old. </w:t>
            </w:r>
          </w:p>
        </w:tc>
        <w:tc>
          <w:tcPr>
            <w:tcW w:w="0" w:type="auto"/>
            <w:tcBorders>
              <w:top w:val="single" w:sz="2" w:space="0" w:color="2D8E3F"/>
              <w:left w:val="single" w:sz="2" w:space="0" w:color="2D8E3F"/>
              <w:bottom w:val="single" w:sz="2" w:space="0" w:color="2D8E3F"/>
              <w:right w:val="single" w:sz="2" w:space="0" w:color="2D8E3F"/>
            </w:tcBorders>
            <w:vAlign w:val="center"/>
            <w:hideMark/>
          </w:tcPr>
          <w:p w:rsidR="00D005EA" w:rsidRPr="00D005EA" w:rsidRDefault="00D005EA" w:rsidP="00D005EA">
            <w:pPr>
              <w:spacing w:after="120"/>
              <w:rPr>
                <w:rFonts w:ascii="Arial" w:eastAsia="MS Mincho" w:hAnsi="Arial" w:cs="Arial"/>
                <w:sz w:val="22"/>
                <w:szCs w:val="22"/>
                <w:lang w:val="en-US"/>
              </w:rPr>
            </w:pPr>
            <w:r w:rsidRPr="00D005EA">
              <w:rPr>
                <w:rFonts w:ascii="Arial" w:eastAsia="MS Mincho" w:hAnsi="Arial" w:cs="Arial"/>
                <w:sz w:val="22"/>
                <w:szCs w:val="22"/>
                <w:lang w:val="en-US"/>
              </w:rPr>
              <w:t xml:space="preserve">We’ve been told the law covers all age groups and we have to comply with the law or we can be prosecuted. </w:t>
            </w:r>
          </w:p>
        </w:tc>
      </w:tr>
      <w:tr w:rsidR="00D005EA" w:rsidRPr="00D005EA" w:rsidTr="00903C11">
        <w:tc>
          <w:tcPr>
            <w:tcW w:w="3735" w:type="dxa"/>
            <w:tcBorders>
              <w:top w:val="single" w:sz="2" w:space="0" w:color="2D8E3F"/>
              <w:left w:val="single" w:sz="2" w:space="0" w:color="2D8E3F"/>
              <w:bottom w:val="single" w:sz="2" w:space="0" w:color="2D8E3F"/>
              <w:right w:val="single" w:sz="2" w:space="0" w:color="2D8E3F"/>
            </w:tcBorders>
            <w:vAlign w:val="center"/>
            <w:hideMark/>
          </w:tcPr>
          <w:p w:rsidR="00D005EA" w:rsidRPr="00D005EA" w:rsidRDefault="00D005EA" w:rsidP="00D005EA">
            <w:pPr>
              <w:spacing w:after="120"/>
              <w:rPr>
                <w:rFonts w:ascii="Arial" w:eastAsia="MS Mincho" w:hAnsi="Arial" w:cs="Arial"/>
                <w:sz w:val="22"/>
                <w:szCs w:val="22"/>
                <w:lang w:val="en-US"/>
              </w:rPr>
            </w:pPr>
            <w:r w:rsidRPr="00D005EA">
              <w:rPr>
                <w:rFonts w:ascii="Arial" w:eastAsia="MS Mincho" w:hAnsi="Arial" w:cs="Arial"/>
                <w:sz w:val="22"/>
                <w:szCs w:val="22"/>
                <w:lang w:val="en-US"/>
              </w:rPr>
              <w:t xml:space="preserve">My mother has sent me up for three cans of spray paint. </w:t>
            </w:r>
          </w:p>
        </w:tc>
        <w:tc>
          <w:tcPr>
            <w:tcW w:w="0" w:type="auto"/>
            <w:tcBorders>
              <w:top w:val="single" w:sz="2" w:space="0" w:color="2D8E3F"/>
              <w:left w:val="single" w:sz="2" w:space="0" w:color="2D8E3F"/>
              <w:bottom w:val="single" w:sz="2" w:space="0" w:color="2D8E3F"/>
              <w:right w:val="single" w:sz="2" w:space="0" w:color="2D8E3F"/>
            </w:tcBorders>
            <w:vAlign w:val="center"/>
            <w:hideMark/>
          </w:tcPr>
          <w:p w:rsidR="00D005EA" w:rsidRPr="00D005EA" w:rsidRDefault="00D005EA" w:rsidP="00D005EA">
            <w:pPr>
              <w:spacing w:after="120"/>
              <w:rPr>
                <w:rFonts w:ascii="Arial" w:eastAsia="MS Mincho" w:hAnsi="Arial" w:cs="Arial"/>
                <w:sz w:val="22"/>
                <w:szCs w:val="22"/>
                <w:lang w:val="en-US"/>
              </w:rPr>
            </w:pPr>
            <w:r w:rsidRPr="00D005EA">
              <w:rPr>
                <w:rFonts w:ascii="Arial" w:eastAsia="MS Mincho" w:hAnsi="Arial" w:cs="Arial"/>
                <w:sz w:val="22"/>
                <w:szCs w:val="22"/>
                <w:lang w:val="en-US"/>
              </w:rPr>
              <w:t xml:space="preserve">We’d like to help but you will need to bring your mother/father or an adult in with you. This company has a policy not to sell this product to young people. </w:t>
            </w:r>
          </w:p>
        </w:tc>
      </w:tr>
      <w:tr w:rsidR="00D005EA" w:rsidRPr="00D005EA" w:rsidTr="00903C11">
        <w:tc>
          <w:tcPr>
            <w:tcW w:w="3735" w:type="dxa"/>
            <w:tcBorders>
              <w:top w:val="single" w:sz="2" w:space="0" w:color="2D8E3F"/>
              <w:left w:val="single" w:sz="2" w:space="0" w:color="2D8E3F"/>
              <w:bottom w:val="single" w:sz="2" w:space="0" w:color="2D8E3F"/>
              <w:right w:val="single" w:sz="2" w:space="0" w:color="2D8E3F"/>
            </w:tcBorders>
            <w:vAlign w:val="center"/>
            <w:hideMark/>
          </w:tcPr>
          <w:p w:rsidR="00D005EA" w:rsidRPr="00D005EA" w:rsidRDefault="00D005EA" w:rsidP="00D005EA">
            <w:pPr>
              <w:spacing w:after="120"/>
              <w:rPr>
                <w:rFonts w:ascii="Arial" w:eastAsia="MS Mincho" w:hAnsi="Arial" w:cs="Arial"/>
                <w:sz w:val="22"/>
                <w:szCs w:val="22"/>
                <w:lang w:val="en-US"/>
              </w:rPr>
            </w:pPr>
            <w:r w:rsidRPr="00D005EA">
              <w:rPr>
                <w:rFonts w:ascii="Arial" w:eastAsia="MS Mincho" w:hAnsi="Arial" w:cs="Arial"/>
                <w:sz w:val="22"/>
                <w:szCs w:val="22"/>
                <w:lang w:val="en-US"/>
              </w:rPr>
              <w:t xml:space="preserve">I have a letter from my mother so it’s OK for me to buy it. </w:t>
            </w:r>
          </w:p>
        </w:tc>
        <w:tc>
          <w:tcPr>
            <w:tcW w:w="0" w:type="auto"/>
            <w:tcBorders>
              <w:top w:val="single" w:sz="2" w:space="0" w:color="2D8E3F"/>
              <w:left w:val="single" w:sz="2" w:space="0" w:color="2D8E3F"/>
              <w:bottom w:val="single" w:sz="2" w:space="0" w:color="2D8E3F"/>
              <w:right w:val="single" w:sz="2" w:space="0" w:color="2D8E3F"/>
            </w:tcBorders>
            <w:vAlign w:val="center"/>
            <w:hideMark/>
          </w:tcPr>
          <w:p w:rsidR="00D005EA" w:rsidRPr="00D005EA" w:rsidRDefault="00D005EA" w:rsidP="00D005EA">
            <w:pPr>
              <w:spacing w:after="120"/>
              <w:rPr>
                <w:rFonts w:ascii="Arial" w:eastAsia="MS Mincho" w:hAnsi="Arial" w:cs="Arial"/>
                <w:sz w:val="22"/>
                <w:szCs w:val="22"/>
                <w:lang w:val="en-US"/>
              </w:rPr>
            </w:pPr>
            <w:r w:rsidRPr="00D005EA">
              <w:rPr>
                <w:rFonts w:ascii="Arial" w:eastAsia="MS Mincho" w:hAnsi="Arial" w:cs="Arial"/>
                <w:sz w:val="22"/>
                <w:szCs w:val="22"/>
                <w:lang w:val="en-US"/>
              </w:rPr>
              <w:t xml:space="preserve">As above. </w:t>
            </w:r>
          </w:p>
        </w:tc>
      </w:tr>
      <w:tr w:rsidR="00D005EA" w:rsidRPr="00D005EA" w:rsidTr="00903C11">
        <w:tc>
          <w:tcPr>
            <w:tcW w:w="3735" w:type="dxa"/>
            <w:tcBorders>
              <w:top w:val="single" w:sz="2" w:space="0" w:color="2D8E3F"/>
              <w:left w:val="single" w:sz="2" w:space="0" w:color="2D8E3F"/>
              <w:bottom w:val="single" w:sz="2" w:space="0" w:color="2D8E3F"/>
              <w:right w:val="single" w:sz="2" w:space="0" w:color="2D8E3F"/>
            </w:tcBorders>
            <w:vAlign w:val="center"/>
            <w:hideMark/>
          </w:tcPr>
          <w:p w:rsidR="00D005EA" w:rsidRPr="00D005EA" w:rsidRDefault="00D005EA" w:rsidP="00D005EA">
            <w:pPr>
              <w:spacing w:after="120"/>
              <w:rPr>
                <w:rFonts w:ascii="Arial" w:eastAsia="MS Mincho" w:hAnsi="Arial" w:cs="Arial"/>
                <w:sz w:val="22"/>
                <w:szCs w:val="22"/>
                <w:lang w:val="en-US"/>
              </w:rPr>
            </w:pPr>
            <w:r w:rsidRPr="00D005EA">
              <w:rPr>
                <w:rFonts w:ascii="Arial" w:eastAsia="MS Mincho" w:hAnsi="Arial" w:cs="Arial"/>
                <w:sz w:val="22"/>
                <w:szCs w:val="22"/>
                <w:lang w:val="en-US"/>
              </w:rPr>
              <w:t xml:space="preserve">You may as well sell it to me or I’ll just go up the street and buy it. </w:t>
            </w:r>
          </w:p>
        </w:tc>
        <w:tc>
          <w:tcPr>
            <w:tcW w:w="0" w:type="auto"/>
            <w:tcBorders>
              <w:top w:val="single" w:sz="2" w:space="0" w:color="2D8E3F"/>
              <w:left w:val="single" w:sz="2" w:space="0" w:color="2D8E3F"/>
              <w:bottom w:val="single" w:sz="2" w:space="0" w:color="2D8E3F"/>
              <w:right w:val="single" w:sz="2" w:space="0" w:color="2D8E3F"/>
            </w:tcBorders>
            <w:vAlign w:val="center"/>
            <w:hideMark/>
          </w:tcPr>
          <w:p w:rsidR="00D005EA" w:rsidRPr="00D005EA" w:rsidRDefault="00D005EA" w:rsidP="00D005EA">
            <w:pPr>
              <w:spacing w:after="120"/>
              <w:rPr>
                <w:rFonts w:ascii="Arial" w:eastAsia="MS Mincho" w:hAnsi="Arial" w:cs="Arial"/>
                <w:sz w:val="22"/>
                <w:szCs w:val="22"/>
                <w:lang w:val="en-US"/>
              </w:rPr>
            </w:pPr>
            <w:r w:rsidRPr="00D005EA">
              <w:rPr>
                <w:rFonts w:ascii="Arial" w:eastAsia="MS Mincho" w:hAnsi="Arial" w:cs="Arial"/>
                <w:sz w:val="22"/>
                <w:szCs w:val="22"/>
                <w:lang w:val="en-US"/>
              </w:rPr>
              <w:t xml:space="preserve">The government has advised us to restrict sales of this product to young people. We think you will find the same response in that store. </w:t>
            </w:r>
          </w:p>
          <w:p w:rsidR="00D005EA" w:rsidRPr="00D005EA" w:rsidRDefault="00D005EA" w:rsidP="00D005EA">
            <w:pPr>
              <w:spacing w:after="120"/>
              <w:rPr>
                <w:rFonts w:ascii="Arial" w:eastAsia="MS Mincho" w:hAnsi="Arial" w:cs="Arial"/>
                <w:sz w:val="22"/>
                <w:szCs w:val="22"/>
                <w:lang w:val="en-US"/>
              </w:rPr>
            </w:pPr>
            <w:r w:rsidRPr="00D005EA">
              <w:rPr>
                <w:rFonts w:ascii="Arial" w:eastAsia="MS Mincho" w:hAnsi="Arial" w:cs="Arial"/>
                <w:sz w:val="22"/>
                <w:szCs w:val="22"/>
                <w:lang w:val="en-US"/>
              </w:rPr>
              <w:t xml:space="preserve">Ring the manager of the store mentioned and discuss your concerns with him/her. </w:t>
            </w:r>
          </w:p>
        </w:tc>
      </w:tr>
      <w:tr w:rsidR="00D005EA" w:rsidRPr="00D005EA" w:rsidTr="00903C11">
        <w:tc>
          <w:tcPr>
            <w:tcW w:w="3735" w:type="dxa"/>
            <w:tcBorders>
              <w:top w:val="single" w:sz="2" w:space="0" w:color="2D8E3F"/>
              <w:left w:val="single" w:sz="2" w:space="0" w:color="2D8E3F"/>
              <w:bottom w:val="single" w:sz="2" w:space="0" w:color="2D8E3F"/>
              <w:right w:val="single" w:sz="2" w:space="0" w:color="2D8E3F"/>
            </w:tcBorders>
            <w:vAlign w:val="center"/>
            <w:hideMark/>
          </w:tcPr>
          <w:p w:rsidR="00D005EA" w:rsidRPr="00D005EA" w:rsidRDefault="00D005EA" w:rsidP="00D005EA">
            <w:pPr>
              <w:spacing w:after="120"/>
              <w:rPr>
                <w:rFonts w:ascii="Arial" w:eastAsia="MS Mincho" w:hAnsi="Arial" w:cs="Arial"/>
                <w:sz w:val="22"/>
                <w:szCs w:val="22"/>
                <w:lang w:val="en-US"/>
              </w:rPr>
            </w:pPr>
            <w:r w:rsidRPr="00D005EA">
              <w:rPr>
                <w:rFonts w:ascii="Arial" w:eastAsia="MS Mincho" w:hAnsi="Arial" w:cs="Arial"/>
                <w:sz w:val="22"/>
                <w:szCs w:val="22"/>
                <w:lang w:val="en-US"/>
              </w:rPr>
              <w:t xml:space="preserve">This [product] will not do any harm. It’s not one of those things that kids sniff. </w:t>
            </w:r>
          </w:p>
        </w:tc>
        <w:tc>
          <w:tcPr>
            <w:tcW w:w="0" w:type="auto"/>
            <w:tcBorders>
              <w:top w:val="single" w:sz="2" w:space="0" w:color="2D8E3F"/>
              <w:left w:val="single" w:sz="2" w:space="0" w:color="2D8E3F"/>
              <w:bottom w:val="single" w:sz="2" w:space="0" w:color="2D8E3F"/>
              <w:right w:val="single" w:sz="2" w:space="0" w:color="2D8E3F"/>
            </w:tcBorders>
            <w:vAlign w:val="center"/>
            <w:hideMark/>
          </w:tcPr>
          <w:p w:rsidR="00D005EA" w:rsidRPr="00D005EA" w:rsidRDefault="00D005EA" w:rsidP="00D005EA">
            <w:pPr>
              <w:spacing w:after="120"/>
              <w:rPr>
                <w:rFonts w:ascii="Arial" w:eastAsia="MS Mincho" w:hAnsi="Arial" w:cs="Arial"/>
                <w:sz w:val="22"/>
                <w:szCs w:val="22"/>
                <w:lang w:val="en-US"/>
              </w:rPr>
            </w:pPr>
            <w:r w:rsidRPr="00D005EA">
              <w:rPr>
                <w:rFonts w:ascii="Arial" w:eastAsia="MS Mincho" w:hAnsi="Arial" w:cs="Arial"/>
                <w:sz w:val="22"/>
                <w:szCs w:val="22"/>
                <w:lang w:val="en-US"/>
              </w:rPr>
              <w:t xml:space="preserve">We’re sorry but that’s one of the products that the government has asked us not to sell because of the harm it can cause if used incorrectly. </w:t>
            </w:r>
          </w:p>
        </w:tc>
      </w:tr>
      <w:tr w:rsidR="00D005EA" w:rsidRPr="00D005EA" w:rsidTr="00903C11">
        <w:tc>
          <w:tcPr>
            <w:tcW w:w="3735" w:type="dxa"/>
            <w:tcBorders>
              <w:top w:val="single" w:sz="2" w:space="0" w:color="2D8E3F"/>
              <w:left w:val="single" w:sz="2" w:space="0" w:color="2D8E3F"/>
              <w:bottom w:val="single" w:sz="2" w:space="0" w:color="2D8E3F"/>
              <w:right w:val="single" w:sz="2" w:space="0" w:color="2D8E3F"/>
            </w:tcBorders>
            <w:vAlign w:val="center"/>
            <w:hideMark/>
          </w:tcPr>
          <w:p w:rsidR="00D005EA" w:rsidRPr="00D005EA" w:rsidRDefault="00D005EA" w:rsidP="00D005EA">
            <w:pPr>
              <w:spacing w:after="120"/>
              <w:rPr>
                <w:rFonts w:ascii="Arial" w:eastAsia="MS Mincho" w:hAnsi="Arial" w:cs="Arial"/>
                <w:sz w:val="22"/>
                <w:szCs w:val="22"/>
                <w:lang w:val="en-US"/>
              </w:rPr>
            </w:pPr>
            <w:r w:rsidRPr="00D005EA">
              <w:rPr>
                <w:rFonts w:ascii="Arial" w:eastAsia="MS Mincho" w:hAnsi="Arial" w:cs="Arial"/>
                <w:sz w:val="22"/>
                <w:szCs w:val="22"/>
                <w:lang w:val="en-US"/>
              </w:rPr>
              <w:t xml:space="preserve">Why won’t you sell it to me? You’ve just sold to the guy in front of me? </w:t>
            </w:r>
          </w:p>
        </w:tc>
        <w:tc>
          <w:tcPr>
            <w:tcW w:w="0" w:type="auto"/>
            <w:tcBorders>
              <w:top w:val="single" w:sz="2" w:space="0" w:color="2D8E3F"/>
              <w:left w:val="single" w:sz="2" w:space="0" w:color="2D8E3F"/>
              <w:bottom w:val="single" w:sz="2" w:space="0" w:color="2D8E3F"/>
              <w:right w:val="single" w:sz="2" w:space="0" w:color="2D8E3F"/>
            </w:tcBorders>
            <w:vAlign w:val="center"/>
            <w:hideMark/>
          </w:tcPr>
          <w:p w:rsidR="00D005EA" w:rsidRPr="00D005EA" w:rsidRDefault="00D005EA" w:rsidP="00D005EA">
            <w:pPr>
              <w:spacing w:after="120"/>
              <w:rPr>
                <w:rFonts w:ascii="Arial" w:eastAsia="MS Mincho" w:hAnsi="Arial" w:cs="Arial"/>
                <w:sz w:val="22"/>
                <w:szCs w:val="22"/>
                <w:lang w:val="en-US"/>
              </w:rPr>
            </w:pPr>
            <w:r w:rsidRPr="00D005EA">
              <w:rPr>
                <w:rFonts w:ascii="Arial" w:eastAsia="MS Mincho" w:hAnsi="Arial" w:cs="Arial"/>
                <w:sz w:val="22"/>
                <w:szCs w:val="22"/>
                <w:lang w:val="en-US"/>
              </w:rPr>
              <w:t xml:space="preserve">Focus on the difference between the customers, such as their age, when making a decision. </w:t>
            </w:r>
          </w:p>
        </w:tc>
      </w:tr>
      <w:tr w:rsidR="00D005EA" w:rsidRPr="00D005EA" w:rsidTr="00903C11">
        <w:tc>
          <w:tcPr>
            <w:tcW w:w="3735" w:type="dxa"/>
            <w:tcBorders>
              <w:top w:val="single" w:sz="2" w:space="0" w:color="2D8E3F"/>
              <w:left w:val="single" w:sz="2" w:space="0" w:color="2D8E3F"/>
              <w:bottom w:val="single" w:sz="2" w:space="0" w:color="2D8E3F"/>
              <w:right w:val="single" w:sz="2" w:space="0" w:color="2D8E3F"/>
            </w:tcBorders>
            <w:vAlign w:val="center"/>
            <w:hideMark/>
          </w:tcPr>
          <w:p w:rsidR="00D005EA" w:rsidRPr="00D005EA" w:rsidRDefault="00D005EA" w:rsidP="00D005EA">
            <w:pPr>
              <w:spacing w:after="120"/>
              <w:rPr>
                <w:rFonts w:ascii="Arial" w:eastAsia="MS Mincho" w:hAnsi="Arial" w:cs="Arial"/>
                <w:sz w:val="22"/>
                <w:szCs w:val="22"/>
                <w:lang w:val="en-US"/>
              </w:rPr>
            </w:pPr>
            <w:r w:rsidRPr="00D005EA">
              <w:rPr>
                <w:rFonts w:ascii="Arial" w:eastAsia="MS Mincho" w:hAnsi="Arial" w:cs="Arial"/>
                <w:sz w:val="22"/>
                <w:szCs w:val="22"/>
                <w:lang w:val="en-US"/>
              </w:rPr>
              <w:t xml:space="preserve">Groups of teenagers standing around areas where solvent products are displayed. </w:t>
            </w:r>
          </w:p>
        </w:tc>
        <w:tc>
          <w:tcPr>
            <w:tcW w:w="0" w:type="auto"/>
            <w:tcBorders>
              <w:top w:val="single" w:sz="2" w:space="0" w:color="2D8E3F"/>
              <w:left w:val="single" w:sz="2" w:space="0" w:color="2D8E3F"/>
              <w:bottom w:val="single" w:sz="2" w:space="0" w:color="2D8E3F"/>
              <w:right w:val="single" w:sz="2" w:space="0" w:color="2D8E3F"/>
            </w:tcBorders>
            <w:vAlign w:val="center"/>
            <w:hideMark/>
          </w:tcPr>
          <w:p w:rsidR="00D005EA" w:rsidRPr="00D005EA" w:rsidRDefault="00D005EA" w:rsidP="00D005EA">
            <w:pPr>
              <w:spacing w:after="120"/>
              <w:rPr>
                <w:rFonts w:ascii="Arial" w:eastAsia="MS Mincho" w:hAnsi="Arial" w:cs="Arial"/>
                <w:sz w:val="22"/>
                <w:szCs w:val="22"/>
                <w:lang w:val="en-US"/>
              </w:rPr>
            </w:pPr>
            <w:r w:rsidRPr="00D005EA">
              <w:rPr>
                <w:rFonts w:ascii="Arial" w:eastAsia="MS Mincho" w:hAnsi="Arial" w:cs="Arial"/>
                <w:sz w:val="22"/>
                <w:szCs w:val="22"/>
                <w:lang w:val="en-US"/>
              </w:rPr>
              <w:t xml:space="preserve">Ask if you can help them. If they do not want to purchase ask them politely to move on. If they refuse, call the manager or store security. </w:t>
            </w:r>
          </w:p>
        </w:tc>
      </w:tr>
    </w:tbl>
    <w:p w:rsidR="00D005EA" w:rsidRPr="00D005EA" w:rsidRDefault="00D005EA" w:rsidP="00D005EA">
      <w:pPr>
        <w:spacing w:after="120"/>
        <w:rPr>
          <w:rFonts w:ascii="Arial" w:eastAsia="MS Mincho" w:hAnsi="Arial" w:cs="Arial"/>
          <w:sz w:val="22"/>
          <w:szCs w:val="22"/>
          <w:lang w:val="en-US"/>
        </w:rPr>
      </w:pPr>
    </w:p>
    <w:p w:rsidR="00D005EA" w:rsidRPr="00D005EA" w:rsidRDefault="00D005EA" w:rsidP="00D005EA">
      <w:pPr>
        <w:spacing w:after="120"/>
        <w:rPr>
          <w:rFonts w:ascii="Arial" w:eastAsia="MS Mincho" w:hAnsi="Arial" w:cs="Arial"/>
          <w:sz w:val="22"/>
          <w:szCs w:val="22"/>
          <w:lang w:val="en-US"/>
        </w:rPr>
      </w:pPr>
      <w:r w:rsidRPr="00D005EA">
        <w:rPr>
          <w:rFonts w:ascii="Arial" w:eastAsia="MS Mincho" w:hAnsi="Arial" w:cs="Arial"/>
          <w:sz w:val="22"/>
          <w:szCs w:val="22"/>
          <w:lang w:val="en-US"/>
        </w:rPr>
        <w:t>Other tips for dealing with customers who might be misusing solvents include:</w:t>
      </w:r>
    </w:p>
    <w:p w:rsidR="00D005EA" w:rsidRPr="00D005EA" w:rsidRDefault="00D005EA" w:rsidP="00D005EA">
      <w:pPr>
        <w:numPr>
          <w:ilvl w:val="0"/>
          <w:numId w:val="9"/>
        </w:numPr>
        <w:spacing w:before="60" w:after="60"/>
        <w:contextualSpacing/>
        <w:rPr>
          <w:rFonts w:ascii="Times" w:eastAsia="MS Mincho" w:hAnsi="Times" w:cs="Arial"/>
          <w:szCs w:val="22"/>
        </w:rPr>
      </w:pPr>
      <w:r w:rsidRPr="00D005EA">
        <w:rPr>
          <w:rFonts w:ascii="Arial" w:eastAsia="MS Mincho" w:hAnsi="Arial" w:cs="Arial"/>
          <w:szCs w:val="22"/>
        </w:rPr>
        <w:t xml:space="preserve">Remain calm and friendly. It’s best not to argue with customers; just firmly restate the company policy. Most customers will accept this approach and leave the store. </w:t>
      </w:r>
    </w:p>
    <w:p w:rsidR="00D005EA" w:rsidRPr="00D005EA" w:rsidRDefault="00D005EA" w:rsidP="00D005EA">
      <w:pPr>
        <w:numPr>
          <w:ilvl w:val="0"/>
          <w:numId w:val="9"/>
        </w:numPr>
        <w:spacing w:before="60" w:after="60"/>
        <w:contextualSpacing/>
        <w:rPr>
          <w:rFonts w:ascii="Times" w:eastAsia="MS Mincho" w:hAnsi="Times" w:cs="Arial"/>
          <w:szCs w:val="22"/>
        </w:rPr>
      </w:pPr>
      <w:r w:rsidRPr="00D005EA">
        <w:rPr>
          <w:rFonts w:ascii="Arial" w:eastAsia="MS Mincho" w:hAnsi="Arial" w:cs="Arial"/>
          <w:szCs w:val="22"/>
        </w:rPr>
        <w:t xml:space="preserve">Use ‘we’ not ‘I’. Don’t take direct responsibility for this policy. Telling a customer ‘we can’t sell you this product’ indicates that it is a management or government decision. This makes it harder for the purchaser to blame the individual salesperson. </w:t>
      </w:r>
    </w:p>
    <w:p w:rsidR="00D005EA" w:rsidRPr="00D005EA" w:rsidRDefault="00D005EA" w:rsidP="00D005EA">
      <w:pPr>
        <w:numPr>
          <w:ilvl w:val="0"/>
          <w:numId w:val="9"/>
        </w:numPr>
        <w:spacing w:before="60" w:after="60"/>
        <w:contextualSpacing/>
        <w:rPr>
          <w:rFonts w:ascii="Times" w:eastAsia="MS Mincho" w:hAnsi="Times" w:cs="Arial"/>
          <w:szCs w:val="22"/>
        </w:rPr>
      </w:pPr>
      <w:r w:rsidRPr="00D005EA">
        <w:rPr>
          <w:rFonts w:ascii="Arial" w:eastAsia="MS Mincho" w:hAnsi="Arial" w:cs="Arial"/>
          <w:szCs w:val="22"/>
        </w:rPr>
        <w:t xml:space="preserve">Take threats of violence seriously. If there is any threat or fear of violence, it is best not to refuse to sell. If you believe that somebody could be injured because you have refused to sell a product, then comply with their wishes and call the manager and/or the police. </w:t>
      </w:r>
    </w:p>
    <w:p w:rsidR="00D005EA" w:rsidRPr="00D005EA" w:rsidRDefault="00D005EA" w:rsidP="00D005EA">
      <w:pPr>
        <w:numPr>
          <w:ilvl w:val="0"/>
          <w:numId w:val="9"/>
        </w:numPr>
        <w:spacing w:before="60" w:after="60"/>
        <w:contextualSpacing/>
        <w:rPr>
          <w:rFonts w:ascii="Times" w:eastAsia="MS Mincho" w:hAnsi="Times" w:cs="Arial"/>
          <w:szCs w:val="22"/>
        </w:rPr>
      </w:pPr>
      <w:r w:rsidRPr="00D005EA">
        <w:rPr>
          <w:rFonts w:ascii="Arial" w:eastAsia="MS Mincho" w:hAnsi="Arial" w:cs="Arial"/>
          <w:szCs w:val="22"/>
        </w:rPr>
        <w:t xml:space="preserve">Ensure safety first. If a customer appears intoxicated, exercise caution and remember the safety of all customers and staff is the first priority. </w:t>
      </w:r>
    </w:p>
    <w:p w:rsidR="00A62D44" w:rsidRPr="004C6EEE" w:rsidRDefault="00A62D44" w:rsidP="004C6EEE">
      <w:pPr>
        <w:pStyle w:val="Sectionbreakfirstpage"/>
        <w:sectPr w:rsidR="00A62D44" w:rsidRPr="004C6EEE" w:rsidSect="00D33E72">
          <w:footerReference w:type="default" r:id="rId10"/>
          <w:pgSz w:w="11906" w:h="16838" w:code="9"/>
          <w:pgMar w:top="851" w:right="851" w:bottom="1418" w:left="851" w:header="510" w:footer="510" w:gutter="0"/>
          <w:cols w:space="708"/>
          <w:docGrid w:linePitch="360"/>
        </w:sectPr>
      </w:pPr>
    </w:p>
    <w:p w:rsidR="00B2752E" w:rsidRPr="00906490" w:rsidRDefault="00B2752E" w:rsidP="00D005EA">
      <w:pPr>
        <w:pStyle w:val="Heading1"/>
      </w:pPr>
      <w:bookmarkStart w:id="0" w:name="_GoBack"/>
      <w:bookmarkEnd w:id="0"/>
    </w:p>
    <w:sectPr w:rsidR="00B2752E" w:rsidRPr="00906490" w:rsidSect="00D005EA">
      <w:headerReference w:type="default" r:id="rId11"/>
      <w:footerReference w:type="default" r:id="rId12"/>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EA" w:rsidRDefault="00D005EA">
      <w:r>
        <w:separator/>
      </w:r>
    </w:p>
  </w:endnote>
  <w:endnote w:type="continuationSeparator" w:id="0">
    <w:p w:rsidR="00D005EA" w:rsidRDefault="00D0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D005EA"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-3810</wp:posOffset>
          </wp:positionH>
          <wp:positionV relativeFrom="page">
            <wp:posOffset>9901555</wp:posOffset>
          </wp:positionV>
          <wp:extent cx="7563485" cy="785495"/>
          <wp:effectExtent l="0" t="0" r="0" b="0"/>
          <wp:wrapNone/>
          <wp:docPr id="10" name="Picture 10"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7854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9D70A4"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D005EA">
      <w:rPr>
        <w:noProof/>
      </w:rPr>
      <w:t>4</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EA" w:rsidRDefault="00D005EA" w:rsidP="002862F1">
      <w:pPr>
        <w:spacing w:before="120"/>
      </w:pPr>
      <w:r>
        <w:separator/>
      </w:r>
    </w:p>
  </w:footnote>
  <w:footnote w:type="continuationSeparator" w:id="0">
    <w:p w:rsidR="00D005EA" w:rsidRDefault="00D00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styleLink w:val="ZZBullets"/>
    <w:lvl w:ilvl="0">
      <w:start w:val="1"/>
      <w:numFmt w:val="bullet"/>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styleLink w:val="ZZNumbers"/>
    <w:lvl w:ilvl="0">
      <w:start w:val="1"/>
      <w:numFmt w:val="decimal"/>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1F6B70BF"/>
    <w:multiLevelType w:val="hybridMultilevel"/>
    <w:tmpl w:val="F426D5D4"/>
    <w:lvl w:ilvl="0" w:tplc="D5E8D14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EA"/>
    <w:rsid w:val="000072B6"/>
    <w:rsid w:val="0001021B"/>
    <w:rsid w:val="00011D89"/>
    <w:rsid w:val="00024D89"/>
    <w:rsid w:val="00033D81"/>
    <w:rsid w:val="00041BF0"/>
    <w:rsid w:val="0004536B"/>
    <w:rsid w:val="00046B68"/>
    <w:rsid w:val="000527DD"/>
    <w:rsid w:val="000578B2"/>
    <w:rsid w:val="00060959"/>
    <w:rsid w:val="000663CD"/>
    <w:rsid w:val="00074219"/>
    <w:rsid w:val="00074ED5"/>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957"/>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B5295"/>
    <w:rsid w:val="001C2A72"/>
    <w:rsid w:val="001D0B75"/>
    <w:rsid w:val="001D3C09"/>
    <w:rsid w:val="001D44E8"/>
    <w:rsid w:val="001D60EC"/>
    <w:rsid w:val="001E44DF"/>
    <w:rsid w:val="001E68A5"/>
    <w:rsid w:val="001F3826"/>
    <w:rsid w:val="001F6E46"/>
    <w:rsid w:val="001F7C35"/>
    <w:rsid w:val="001F7C91"/>
    <w:rsid w:val="00206463"/>
    <w:rsid w:val="00206F2F"/>
    <w:rsid w:val="0021053D"/>
    <w:rsid w:val="00210A92"/>
    <w:rsid w:val="00216C03"/>
    <w:rsid w:val="00220C04"/>
    <w:rsid w:val="0022701F"/>
    <w:rsid w:val="002333F5"/>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A483C"/>
    <w:rsid w:val="002B1729"/>
    <w:rsid w:val="002B4DD4"/>
    <w:rsid w:val="002B5277"/>
    <w:rsid w:val="002B77C1"/>
    <w:rsid w:val="002C2728"/>
    <w:rsid w:val="002D5006"/>
    <w:rsid w:val="002E01D0"/>
    <w:rsid w:val="002E161D"/>
    <w:rsid w:val="002E6C95"/>
    <w:rsid w:val="002E7C36"/>
    <w:rsid w:val="002F5F31"/>
    <w:rsid w:val="00302216"/>
    <w:rsid w:val="00303E53"/>
    <w:rsid w:val="00306E5F"/>
    <w:rsid w:val="00307E14"/>
    <w:rsid w:val="00314054"/>
    <w:rsid w:val="00316F27"/>
    <w:rsid w:val="0032417C"/>
    <w:rsid w:val="00327870"/>
    <w:rsid w:val="0033259D"/>
    <w:rsid w:val="003406C6"/>
    <w:rsid w:val="003418CC"/>
    <w:rsid w:val="003459BD"/>
    <w:rsid w:val="00350D38"/>
    <w:rsid w:val="003744CF"/>
    <w:rsid w:val="00374717"/>
    <w:rsid w:val="0037676C"/>
    <w:rsid w:val="003829E5"/>
    <w:rsid w:val="003956CC"/>
    <w:rsid w:val="00395C9A"/>
    <w:rsid w:val="003A6B67"/>
    <w:rsid w:val="003B15E6"/>
    <w:rsid w:val="003C2045"/>
    <w:rsid w:val="003C43A1"/>
    <w:rsid w:val="003C4FC0"/>
    <w:rsid w:val="003C55F4"/>
    <w:rsid w:val="003C7A3F"/>
    <w:rsid w:val="003D3E8F"/>
    <w:rsid w:val="003D6475"/>
    <w:rsid w:val="003F0445"/>
    <w:rsid w:val="003F0CF0"/>
    <w:rsid w:val="003F3289"/>
    <w:rsid w:val="00401FCF"/>
    <w:rsid w:val="00406285"/>
    <w:rsid w:val="004148F9"/>
    <w:rsid w:val="0042084E"/>
    <w:rsid w:val="00421EEF"/>
    <w:rsid w:val="00424D65"/>
    <w:rsid w:val="00442C6C"/>
    <w:rsid w:val="00443CBE"/>
    <w:rsid w:val="00443E8A"/>
    <w:rsid w:val="004441BC"/>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7A95"/>
    <w:rsid w:val="0055721E"/>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D2A3F"/>
    <w:rsid w:val="006E138B"/>
    <w:rsid w:val="006F1FDC"/>
    <w:rsid w:val="007013EF"/>
    <w:rsid w:val="007216AA"/>
    <w:rsid w:val="00721AB5"/>
    <w:rsid w:val="00721DEF"/>
    <w:rsid w:val="00724A43"/>
    <w:rsid w:val="007346E4"/>
    <w:rsid w:val="00740F22"/>
    <w:rsid w:val="00741F1A"/>
    <w:rsid w:val="007450F8"/>
    <w:rsid w:val="0074696E"/>
    <w:rsid w:val="00750135"/>
    <w:rsid w:val="00752B28"/>
    <w:rsid w:val="00754E36"/>
    <w:rsid w:val="00763139"/>
    <w:rsid w:val="00770F37"/>
    <w:rsid w:val="00772D5E"/>
    <w:rsid w:val="00776928"/>
    <w:rsid w:val="00786F16"/>
    <w:rsid w:val="00796E20"/>
    <w:rsid w:val="00797C32"/>
    <w:rsid w:val="007B0914"/>
    <w:rsid w:val="007B1374"/>
    <w:rsid w:val="007B589F"/>
    <w:rsid w:val="007B6186"/>
    <w:rsid w:val="007C7301"/>
    <w:rsid w:val="007C7859"/>
    <w:rsid w:val="007D2BDE"/>
    <w:rsid w:val="007D2FB6"/>
    <w:rsid w:val="007E0DE2"/>
    <w:rsid w:val="007F31B6"/>
    <w:rsid w:val="007F546C"/>
    <w:rsid w:val="007F665E"/>
    <w:rsid w:val="00800412"/>
    <w:rsid w:val="0080587B"/>
    <w:rsid w:val="00806468"/>
    <w:rsid w:val="008155F0"/>
    <w:rsid w:val="00816044"/>
    <w:rsid w:val="00816735"/>
    <w:rsid w:val="00820141"/>
    <w:rsid w:val="00820E0C"/>
    <w:rsid w:val="008338A2"/>
    <w:rsid w:val="00853EE4"/>
    <w:rsid w:val="00855535"/>
    <w:rsid w:val="008633F0"/>
    <w:rsid w:val="00867D9D"/>
    <w:rsid w:val="00872E0A"/>
    <w:rsid w:val="00875285"/>
    <w:rsid w:val="00884B62"/>
    <w:rsid w:val="0088529C"/>
    <w:rsid w:val="00887903"/>
    <w:rsid w:val="0089270A"/>
    <w:rsid w:val="00893AF6"/>
    <w:rsid w:val="00894BC4"/>
    <w:rsid w:val="008B2EE4"/>
    <w:rsid w:val="008B4D3D"/>
    <w:rsid w:val="008B57C7"/>
    <w:rsid w:val="008C2F92"/>
    <w:rsid w:val="008D4236"/>
    <w:rsid w:val="008D462F"/>
    <w:rsid w:val="008E4376"/>
    <w:rsid w:val="00900719"/>
    <w:rsid w:val="009017AC"/>
    <w:rsid w:val="00905030"/>
    <w:rsid w:val="00906490"/>
    <w:rsid w:val="009111B2"/>
    <w:rsid w:val="00924AE1"/>
    <w:rsid w:val="009269B1"/>
    <w:rsid w:val="0092724D"/>
    <w:rsid w:val="00937BD9"/>
    <w:rsid w:val="00950E2C"/>
    <w:rsid w:val="00951D50"/>
    <w:rsid w:val="009525EB"/>
    <w:rsid w:val="00961400"/>
    <w:rsid w:val="00963646"/>
    <w:rsid w:val="009853E1"/>
    <w:rsid w:val="00986E6B"/>
    <w:rsid w:val="00991769"/>
    <w:rsid w:val="00994386"/>
    <w:rsid w:val="009A13D8"/>
    <w:rsid w:val="009A279E"/>
    <w:rsid w:val="009B0A6F"/>
    <w:rsid w:val="009B59E9"/>
    <w:rsid w:val="009C7A7E"/>
    <w:rsid w:val="009D02E8"/>
    <w:rsid w:val="009D23F5"/>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44882"/>
    <w:rsid w:val="00A54715"/>
    <w:rsid w:val="00A6061C"/>
    <w:rsid w:val="00A62D44"/>
    <w:rsid w:val="00A67263"/>
    <w:rsid w:val="00A7161C"/>
    <w:rsid w:val="00A77AA3"/>
    <w:rsid w:val="00A872E5"/>
    <w:rsid w:val="00A96E65"/>
    <w:rsid w:val="00A97C72"/>
    <w:rsid w:val="00AA63D4"/>
    <w:rsid w:val="00AB06E8"/>
    <w:rsid w:val="00AB1CD3"/>
    <w:rsid w:val="00AB352F"/>
    <w:rsid w:val="00AC274B"/>
    <w:rsid w:val="00AC4764"/>
    <w:rsid w:val="00AC6D36"/>
    <w:rsid w:val="00AD0CBA"/>
    <w:rsid w:val="00AD26E2"/>
    <w:rsid w:val="00AE126A"/>
    <w:rsid w:val="00AE3005"/>
    <w:rsid w:val="00AE59A0"/>
    <w:rsid w:val="00AF0C57"/>
    <w:rsid w:val="00AF26F3"/>
    <w:rsid w:val="00B00672"/>
    <w:rsid w:val="00B01B4D"/>
    <w:rsid w:val="00B06571"/>
    <w:rsid w:val="00B068BA"/>
    <w:rsid w:val="00B13851"/>
    <w:rsid w:val="00B13B1C"/>
    <w:rsid w:val="00B22291"/>
    <w:rsid w:val="00B23F9A"/>
    <w:rsid w:val="00B2417B"/>
    <w:rsid w:val="00B24E6F"/>
    <w:rsid w:val="00B26CB5"/>
    <w:rsid w:val="00B2752E"/>
    <w:rsid w:val="00B307CC"/>
    <w:rsid w:val="00B3706D"/>
    <w:rsid w:val="00B431E8"/>
    <w:rsid w:val="00B45141"/>
    <w:rsid w:val="00B5273A"/>
    <w:rsid w:val="00B62B50"/>
    <w:rsid w:val="00B635B7"/>
    <w:rsid w:val="00B63AE8"/>
    <w:rsid w:val="00B65950"/>
    <w:rsid w:val="00B672C0"/>
    <w:rsid w:val="00B75646"/>
    <w:rsid w:val="00B90729"/>
    <w:rsid w:val="00B907DA"/>
    <w:rsid w:val="00B950BC"/>
    <w:rsid w:val="00B9714C"/>
    <w:rsid w:val="00BA3F8D"/>
    <w:rsid w:val="00BB7A10"/>
    <w:rsid w:val="00BC7D4F"/>
    <w:rsid w:val="00BC7ED7"/>
    <w:rsid w:val="00BD2850"/>
    <w:rsid w:val="00BE28D2"/>
    <w:rsid w:val="00BF7F58"/>
    <w:rsid w:val="00C01381"/>
    <w:rsid w:val="00C079B8"/>
    <w:rsid w:val="00C123EA"/>
    <w:rsid w:val="00C12A49"/>
    <w:rsid w:val="00C133EE"/>
    <w:rsid w:val="00C27DE9"/>
    <w:rsid w:val="00C33388"/>
    <w:rsid w:val="00C4173A"/>
    <w:rsid w:val="00C602FF"/>
    <w:rsid w:val="00C61174"/>
    <w:rsid w:val="00C6148F"/>
    <w:rsid w:val="00C62F7A"/>
    <w:rsid w:val="00C63B9C"/>
    <w:rsid w:val="00C6682F"/>
    <w:rsid w:val="00C7275E"/>
    <w:rsid w:val="00C74C5D"/>
    <w:rsid w:val="00C863C4"/>
    <w:rsid w:val="00C93C3E"/>
    <w:rsid w:val="00C975C2"/>
    <w:rsid w:val="00CA12E3"/>
    <w:rsid w:val="00CA6611"/>
    <w:rsid w:val="00CB6A5E"/>
    <w:rsid w:val="00CC0C72"/>
    <w:rsid w:val="00CC2BFD"/>
    <w:rsid w:val="00CD3476"/>
    <w:rsid w:val="00CD64DF"/>
    <w:rsid w:val="00CF2F50"/>
    <w:rsid w:val="00D005EA"/>
    <w:rsid w:val="00D02919"/>
    <w:rsid w:val="00D04C61"/>
    <w:rsid w:val="00D05B8D"/>
    <w:rsid w:val="00D065A2"/>
    <w:rsid w:val="00D07F00"/>
    <w:rsid w:val="00D33E72"/>
    <w:rsid w:val="00D35BD6"/>
    <w:rsid w:val="00D361B5"/>
    <w:rsid w:val="00D411A2"/>
    <w:rsid w:val="00D50B9C"/>
    <w:rsid w:val="00D52D73"/>
    <w:rsid w:val="00D52E58"/>
    <w:rsid w:val="00D714CC"/>
    <w:rsid w:val="00D75EA7"/>
    <w:rsid w:val="00D81F21"/>
    <w:rsid w:val="00D92312"/>
    <w:rsid w:val="00D95470"/>
    <w:rsid w:val="00DA2619"/>
    <w:rsid w:val="00DA4239"/>
    <w:rsid w:val="00DB0B61"/>
    <w:rsid w:val="00DC090B"/>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1891"/>
    <w:rsid w:val="00E26818"/>
    <w:rsid w:val="00E27FFC"/>
    <w:rsid w:val="00E30B15"/>
    <w:rsid w:val="00E40181"/>
    <w:rsid w:val="00E629A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2ABA"/>
    <w:rsid w:val="00F0437A"/>
    <w:rsid w:val="00F11037"/>
    <w:rsid w:val="00F16F1B"/>
    <w:rsid w:val="00F250A9"/>
    <w:rsid w:val="00F30FF4"/>
    <w:rsid w:val="00F3122E"/>
    <w:rsid w:val="00F331AD"/>
    <w:rsid w:val="00F43A37"/>
    <w:rsid w:val="00F4641B"/>
    <w:rsid w:val="00F46EB8"/>
    <w:rsid w:val="00F511E4"/>
    <w:rsid w:val="00F52D09"/>
    <w:rsid w:val="00F52E08"/>
    <w:rsid w:val="00F53CDB"/>
    <w:rsid w:val="00F55B21"/>
    <w:rsid w:val="00F56EF6"/>
    <w:rsid w:val="00F61A9F"/>
    <w:rsid w:val="00F64696"/>
    <w:rsid w:val="00F65AA9"/>
    <w:rsid w:val="00F6768F"/>
    <w:rsid w:val="00F72C2C"/>
    <w:rsid w:val="00F76CAB"/>
    <w:rsid w:val="00F772C6"/>
    <w:rsid w:val="00F85195"/>
    <w:rsid w:val="00F938BA"/>
    <w:rsid w:val="00FA2C46"/>
    <w:rsid w:val="00FB4CDA"/>
    <w:rsid w:val="00FC0F81"/>
    <w:rsid w:val="00FC395C"/>
    <w:rsid w:val="00FD2E4C"/>
    <w:rsid w:val="00FD3766"/>
    <w:rsid w:val="00FD47C4"/>
    <w:rsid w:val="00FE2DCF"/>
    <w:rsid w:val="00FF08AA"/>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FF08AA"/>
    <w:rPr>
      <w:rFonts w:ascii="Cambria" w:hAnsi="Cambria"/>
      <w:lang w:eastAsia="en-US"/>
    </w:rPr>
  </w:style>
  <w:style w:type="paragraph" w:styleId="Heading1">
    <w:name w:val="heading 1"/>
    <w:next w:val="DHHSbody"/>
    <w:link w:val="Heading1Char"/>
    <w:uiPriority w:val="1"/>
    <w:qFormat/>
    <w:rsid w:val="009D23F5"/>
    <w:pPr>
      <w:keepNext/>
      <w:keepLines/>
      <w:spacing w:before="400" w:after="280" w:line="480" w:lineRule="atLeast"/>
      <w:outlineLvl w:val="0"/>
    </w:pPr>
    <w:rPr>
      <w:rFonts w:ascii="Arial" w:eastAsia="MS Gothic" w:hAnsi="Arial" w:cs="Arial"/>
      <w:bCs/>
      <w:color w:val="00866F"/>
      <w:kern w:val="32"/>
      <w:sz w:val="40"/>
      <w:szCs w:val="40"/>
      <w:lang w:eastAsia="en-US"/>
    </w:rPr>
  </w:style>
  <w:style w:type="paragraph" w:styleId="Heading2">
    <w:name w:val="heading 2"/>
    <w:next w:val="DHHSbody"/>
    <w:link w:val="Heading2Char"/>
    <w:uiPriority w:val="1"/>
    <w:qFormat/>
    <w:rsid w:val="009D23F5"/>
    <w:pPr>
      <w:keepNext/>
      <w:keepLines/>
      <w:spacing w:before="240" w:after="90" w:line="320" w:lineRule="atLeast"/>
      <w:outlineLvl w:val="1"/>
    </w:pPr>
    <w:rPr>
      <w:rFonts w:ascii="Arial" w:hAnsi="Arial"/>
      <w:b/>
      <w:color w:val="00866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D23F5"/>
    <w:rPr>
      <w:rFonts w:ascii="Arial" w:eastAsia="MS Gothic" w:hAnsi="Arial" w:cs="Arial"/>
      <w:bCs/>
      <w:color w:val="00866F"/>
      <w:kern w:val="32"/>
      <w:sz w:val="40"/>
      <w:szCs w:val="40"/>
      <w:lang w:eastAsia="en-US"/>
    </w:rPr>
  </w:style>
  <w:style w:type="character" w:customStyle="1" w:styleId="Heading2Char">
    <w:name w:val="Heading 2 Char"/>
    <w:link w:val="Heading2"/>
    <w:uiPriority w:val="1"/>
    <w:rsid w:val="009D23F5"/>
    <w:rPr>
      <w:rFonts w:ascii="Arial" w:hAnsi="Arial"/>
      <w:b/>
      <w:color w:val="00866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ar-SA"/>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styleId="CommentText">
    <w:name w:val="annotation text"/>
    <w:basedOn w:val="Normal"/>
    <w:link w:val="CommentTextChar"/>
    <w:uiPriority w:val="99"/>
    <w:semiHidden/>
    <w:unhideWhenUsed/>
    <w:rsid w:val="00D005EA"/>
  </w:style>
  <w:style w:type="paragraph" w:customStyle="1" w:styleId="DHHSTOCheadingfactsheet">
    <w:name w:val="DHHS TOC heading fact sheet"/>
    <w:basedOn w:val="Heading2"/>
    <w:next w:val="DHHSbody"/>
    <w:link w:val="DHHSTOCheadingfactsheetChar"/>
    <w:uiPriority w:val="4"/>
    <w:rsid w:val="00C975C2"/>
    <w:pPr>
      <w:spacing w:before="0" w:after="200"/>
      <w:outlineLvl w:val="9"/>
    </w:pPr>
  </w:style>
  <w:style w:type="character" w:customStyle="1" w:styleId="DHHSTOCheadingfactsheetChar">
    <w:name w:val="DHHS TOC heading fact sheet Char"/>
    <w:link w:val="DHHSTOCheadingfactsheet"/>
    <w:uiPriority w:val="4"/>
    <w:rsid w:val="00C975C2"/>
    <w:rPr>
      <w:rFonts w:ascii="Arial" w:hAnsi="Arial"/>
      <w:b/>
      <w:color w:val="00866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152073"/>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CommentTextChar">
    <w:name w:val="Comment Text Char"/>
    <w:basedOn w:val="DefaultParagraphFont"/>
    <w:link w:val="CommentText"/>
    <w:uiPriority w:val="99"/>
    <w:semiHidden/>
    <w:rsid w:val="00D005EA"/>
    <w:rPr>
      <w:rFonts w:ascii="Cambria" w:hAnsi="Cambria"/>
      <w:lang w:eastAsia="en-US"/>
    </w:rPr>
  </w:style>
  <w:style w:type="character" w:styleId="CommentReference">
    <w:name w:val="annotation reference"/>
    <w:uiPriority w:val="99"/>
    <w:semiHidden/>
    <w:rsid w:val="00D005EA"/>
    <w:rPr>
      <w:rFonts w:cs="Times New Roman"/>
      <w:sz w:val="18"/>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BalloonText">
    <w:name w:val="Balloon Text"/>
    <w:basedOn w:val="Normal"/>
    <w:link w:val="BalloonTextChar"/>
    <w:uiPriority w:val="99"/>
    <w:semiHidden/>
    <w:unhideWhenUsed/>
    <w:rsid w:val="00D005EA"/>
    <w:rPr>
      <w:rFonts w:ascii="Tahoma" w:hAnsi="Tahoma" w:cs="Tahoma"/>
      <w:sz w:val="16"/>
      <w:szCs w:val="16"/>
    </w:rPr>
  </w:style>
  <w:style w:type="character" w:customStyle="1" w:styleId="BalloonTextChar">
    <w:name w:val="Balloon Text Char"/>
    <w:basedOn w:val="DefaultParagraphFont"/>
    <w:link w:val="BalloonText"/>
    <w:uiPriority w:val="99"/>
    <w:semiHidden/>
    <w:rsid w:val="00D005EA"/>
    <w:rPr>
      <w:rFonts w:ascii="Tahoma" w:hAnsi="Tahoma" w:cs="Tahoma"/>
      <w:sz w:val="16"/>
      <w:szCs w:val="16"/>
      <w:lang w:eastAsia="en-US"/>
    </w:rPr>
  </w:style>
  <w:style w:type="paragraph" w:customStyle="1" w:styleId="DHHStablecolhead">
    <w:name w:val="DHHS table col head"/>
    <w:uiPriority w:val="3"/>
    <w:qFormat/>
    <w:rsid w:val="009D23F5"/>
    <w:pPr>
      <w:spacing w:before="80" w:after="60"/>
    </w:pPr>
    <w:rPr>
      <w:rFonts w:ascii="Arial" w:hAnsi="Arial"/>
      <w:b/>
      <w:color w:val="00866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FF08AA"/>
    <w:rPr>
      <w:rFonts w:ascii="Cambria" w:hAnsi="Cambria"/>
      <w:lang w:eastAsia="en-US"/>
    </w:rPr>
  </w:style>
  <w:style w:type="paragraph" w:styleId="Heading1">
    <w:name w:val="heading 1"/>
    <w:next w:val="DHHSbody"/>
    <w:link w:val="Heading1Char"/>
    <w:uiPriority w:val="1"/>
    <w:qFormat/>
    <w:rsid w:val="009D23F5"/>
    <w:pPr>
      <w:keepNext/>
      <w:keepLines/>
      <w:spacing w:before="400" w:after="280" w:line="480" w:lineRule="atLeast"/>
      <w:outlineLvl w:val="0"/>
    </w:pPr>
    <w:rPr>
      <w:rFonts w:ascii="Arial" w:eastAsia="MS Gothic" w:hAnsi="Arial" w:cs="Arial"/>
      <w:bCs/>
      <w:color w:val="00866F"/>
      <w:kern w:val="32"/>
      <w:sz w:val="40"/>
      <w:szCs w:val="40"/>
      <w:lang w:eastAsia="en-US"/>
    </w:rPr>
  </w:style>
  <w:style w:type="paragraph" w:styleId="Heading2">
    <w:name w:val="heading 2"/>
    <w:next w:val="DHHSbody"/>
    <w:link w:val="Heading2Char"/>
    <w:uiPriority w:val="1"/>
    <w:qFormat/>
    <w:rsid w:val="009D23F5"/>
    <w:pPr>
      <w:keepNext/>
      <w:keepLines/>
      <w:spacing w:before="240" w:after="90" w:line="320" w:lineRule="atLeast"/>
      <w:outlineLvl w:val="1"/>
    </w:pPr>
    <w:rPr>
      <w:rFonts w:ascii="Arial" w:hAnsi="Arial"/>
      <w:b/>
      <w:color w:val="00866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D23F5"/>
    <w:rPr>
      <w:rFonts w:ascii="Arial" w:eastAsia="MS Gothic" w:hAnsi="Arial" w:cs="Arial"/>
      <w:bCs/>
      <w:color w:val="00866F"/>
      <w:kern w:val="32"/>
      <w:sz w:val="40"/>
      <w:szCs w:val="40"/>
      <w:lang w:eastAsia="en-US"/>
    </w:rPr>
  </w:style>
  <w:style w:type="character" w:customStyle="1" w:styleId="Heading2Char">
    <w:name w:val="Heading 2 Char"/>
    <w:link w:val="Heading2"/>
    <w:uiPriority w:val="1"/>
    <w:rsid w:val="009D23F5"/>
    <w:rPr>
      <w:rFonts w:ascii="Arial" w:hAnsi="Arial"/>
      <w:b/>
      <w:color w:val="00866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ar-SA"/>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styleId="CommentText">
    <w:name w:val="annotation text"/>
    <w:basedOn w:val="Normal"/>
    <w:link w:val="CommentTextChar"/>
    <w:uiPriority w:val="99"/>
    <w:semiHidden/>
    <w:unhideWhenUsed/>
    <w:rsid w:val="00D005EA"/>
  </w:style>
  <w:style w:type="paragraph" w:customStyle="1" w:styleId="DHHSTOCheadingfactsheet">
    <w:name w:val="DHHS TOC heading fact sheet"/>
    <w:basedOn w:val="Heading2"/>
    <w:next w:val="DHHSbody"/>
    <w:link w:val="DHHSTOCheadingfactsheetChar"/>
    <w:uiPriority w:val="4"/>
    <w:rsid w:val="00C975C2"/>
    <w:pPr>
      <w:spacing w:before="0" w:after="200"/>
      <w:outlineLvl w:val="9"/>
    </w:pPr>
  </w:style>
  <w:style w:type="character" w:customStyle="1" w:styleId="DHHSTOCheadingfactsheetChar">
    <w:name w:val="DHHS TOC heading fact sheet Char"/>
    <w:link w:val="DHHSTOCheadingfactsheet"/>
    <w:uiPriority w:val="4"/>
    <w:rsid w:val="00C975C2"/>
    <w:rPr>
      <w:rFonts w:ascii="Arial" w:hAnsi="Arial"/>
      <w:b/>
      <w:color w:val="00866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152073"/>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CommentTextChar">
    <w:name w:val="Comment Text Char"/>
    <w:basedOn w:val="DefaultParagraphFont"/>
    <w:link w:val="CommentText"/>
    <w:uiPriority w:val="99"/>
    <w:semiHidden/>
    <w:rsid w:val="00D005EA"/>
    <w:rPr>
      <w:rFonts w:ascii="Cambria" w:hAnsi="Cambria"/>
      <w:lang w:eastAsia="en-US"/>
    </w:rPr>
  </w:style>
  <w:style w:type="character" w:styleId="CommentReference">
    <w:name w:val="annotation reference"/>
    <w:uiPriority w:val="99"/>
    <w:semiHidden/>
    <w:rsid w:val="00D005EA"/>
    <w:rPr>
      <w:rFonts w:cs="Times New Roman"/>
      <w:sz w:val="18"/>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BalloonText">
    <w:name w:val="Balloon Text"/>
    <w:basedOn w:val="Normal"/>
    <w:link w:val="BalloonTextChar"/>
    <w:uiPriority w:val="99"/>
    <w:semiHidden/>
    <w:unhideWhenUsed/>
    <w:rsid w:val="00D005EA"/>
    <w:rPr>
      <w:rFonts w:ascii="Tahoma" w:hAnsi="Tahoma" w:cs="Tahoma"/>
      <w:sz w:val="16"/>
      <w:szCs w:val="16"/>
    </w:rPr>
  </w:style>
  <w:style w:type="character" w:customStyle="1" w:styleId="BalloonTextChar">
    <w:name w:val="Balloon Text Char"/>
    <w:basedOn w:val="DefaultParagraphFont"/>
    <w:link w:val="BalloonText"/>
    <w:uiPriority w:val="99"/>
    <w:semiHidden/>
    <w:rsid w:val="00D005EA"/>
    <w:rPr>
      <w:rFonts w:ascii="Tahoma" w:hAnsi="Tahoma" w:cs="Tahoma"/>
      <w:sz w:val="16"/>
      <w:szCs w:val="16"/>
      <w:lang w:eastAsia="en-US"/>
    </w:rPr>
  </w:style>
  <w:style w:type="paragraph" w:customStyle="1" w:styleId="DHHStablecolhead">
    <w:name w:val="DHHS table col head"/>
    <w:uiPriority w:val="3"/>
    <w:qFormat/>
    <w:rsid w:val="009D23F5"/>
    <w:pPr>
      <w:spacing w:before="80" w:after="60"/>
    </w:pPr>
    <w:rPr>
      <w:rFonts w:ascii="Arial" w:hAnsi="Arial"/>
      <w:b/>
      <w:color w:val="00866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6%20Teal%2032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AFFA7-2CCD-4114-9B84-E00E19C1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06 Teal 327</Template>
  <TotalTime>3</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2657</CharactersWithSpaces>
  <SharedDoc>false</SharedDoc>
  <HyperlinkBase/>
  <HLinks>
    <vt:vector size="36" baseType="variant">
      <vt:variant>
        <vt:i4>2555941</vt:i4>
      </vt:variant>
      <vt:variant>
        <vt:i4>30</vt:i4>
      </vt:variant>
      <vt:variant>
        <vt:i4>0</vt:i4>
      </vt:variant>
      <vt:variant>
        <vt:i4>5</vt:i4>
      </vt:variant>
      <vt:variant>
        <vt:lpwstr>http://survey.tool.tempdomain.info/TakeSurveycss.asp?SurveyID=3K33p3LIm66MG</vt:lpwstr>
      </vt:variant>
      <vt:variant>
        <vt:lpwstr/>
      </vt:variant>
      <vt:variant>
        <vt:i4>3145752</vt:i4>
      </vt:variant>
      <vt:variant>
        <vt:i4>27</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Jackson</dc:creator>
  <cp:lastModifiedBy>Stephanie Jackson</cp:lastModifiedBy>
  <cp:revision>1</cp:revision>
  <cp:lastPrinted>2015-01-28T04:08:00Z</cp:lastPrinted>
  <dcterms:created xsi:type="dcterms:W3CDTF">2015-09-15T05:36:00Z</dcterms:created>
  <dcterms:modified xsi:type="dcterms:W3CDTF">2015-09-15T05:40:00Z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