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600" w:firstRow="0" w:lastRow="0" w:firstColumn="0" w:lastColumn="0" w:noHBand="1" w:noVBand="1"/>
      </w:tblPr>
      <w:tblGrid>
        <w:gridCol w:w="8876"/>
      </w:tblGrid>
      <w:tr w:rsidR="006A2E17" w14:paraId="37FBC8C0" w14:textId="77777777" w:rsidTr="006A2E17">
        <w:trPr>
          <w:trHeight w:val="471"/>
        </w:trPr>
        <w:tc>
          <w:tcPr>
            <w:tcW w:w="8876" w:type="dxa"/>
            <w:shd w:val="clear" w:color="auto" w:fill="auto"/>
            <w:vAlign w:val="bottom"/>
          </w:tcPr>
          <w:p w14:paraId="64C9A913" w14:textId="5BFC21CE" w:rsidR="006B1C18" w:rsidRDefault="006B1C18" w:rsidP="006B1C18">
            <w:pPr>
              <w:pStyle w:val="DHHSmainheading"/>
            </w:pPr>
            <w:bookmarkStart w:id="0" w:name="_GoBack"/>
            <w:r>
              <w:t>Home-delivered enteral nutrition and total parenteral nutrition</w:t>
            </w:r>
            <w:r w:rsidR="000E2198">
              <w:t>:</w:t>
            </w:r>
          </w:p>
          <w:p w14:paraId="28FAC8F3" w14:textId="3D9146D4" w:rsidR="000E2198" w:rsidRPr="00161AA0" w:rsidRDefault="000E2198" w:rsidP="006B1C18">
            <w:pPr>
              <w:pStyle w:val="DHHSmainheading"/>
            </w:pPr>
            <w:r>
              <w:t>Funding arrangements for Victorian public health services</w:t>
            </w:r>
            <w:bookmarkEnd w:id="0"/>
          </w:p>
        </w:tc>
      </w:tr>
      <w:tr w:rsidR="006A2E17" w14:paraId="3681DA09" w14:textId="77777777" w:rsidTr="006A2E17">
        <w:trPr>
          <w:trHeight w:hRule="exact" w:val="435"/>
        </w:trPr>
        <w:tc>
          <w:tcPr>
            <w:tcW w:w="8876" w:type="dxa"/>
            <w:shd w:val="clear" w:color="auto" w:fill="auto"/>
            <w:tcMar>
              <w:top w:w="170" w:type="dxa"/>
              <w:bottom w:w="510" w:type="dxa"/>
            </w:tcMar>
          </w:tcPr>
          <w:p w14:paraId="5151499D" w14:textId="17C85A23" w:rsidR="006B1C18" w:rsidRPr="00AD784C" w:rsidRDefault="006B1C18" w:rsidP="006B1C18">
            <w:pPr>
              <w:pStyle w:val="DHHSmainsubheading"/>
              <w:rPr>
                <w:szCs w:val="28"/>
              </w:rPr>
            </w:pPr>
            <w:r>
              <w:rPr>
                <w:szCs w:val="28"/>
              </w:rPr>
              <w:t>June 2020</w:t>
            </w:r>
          </w:p>
        </w:tc>
      </w:tr>
    </w:tbl>
    <w:p w14:paraId="60DBEE2F" w14:textId="77777777" w:rsidR="00A62D44" w:rsidRPr="00F00BCB" w:rsidRDefault="001657D3" w:rsidP="00A900B7">
      <w:pPr>
        <w:pStyle w:val="Spacerparatopoffirstpage"/>
        <w:sectPr w:rsidR="00A62D44" w:rsidRPr="00F00BCB"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r>
        <w:rPr>
          <w:lang w:eastAsia="en-AU"/>
        </w:rPr>
        <w:drawing>
          <wp:anchor distT="0" distB="0" distL="114300" distR="114300" simplePos="0" relativeHeight="251657728" behindDoc="1" locked="1" layoutInCell="0" allowOverlap="1" wp14:anchorId="7077AAF0" wp14:editId="34A9311E">
            <wp:simplePos x="0" y="0"/>
            <wp:positionH relativeFrom="page">
              <wp:posOffset>0</wp:posOffset>
            </wp:positionH>
            <wp:positionV relativeFrom="page">
              <wp:posOffset>-7620</wp:posOffset>
            </wp:positionV>
            <wp:extent cx="8051800" cy="2206625"/>
            <wp:effectExtent l="0" t="0" r="0" b="3175"/>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51800" cy="2206625"/>
                    </a:xfrm>
                    <a:prstGeom prst="rect">
                      <a:avLst/>
                    </a:prstGeom>
                    <a:noFill/>
                  </pic:spPr>
                </pic:pic>
              </a:graphicData>
            </a:graphic>
            <wp14:sizeRelH relativeFrom="page">
              <wp14:pctWidth>0</wp14:pctWidth>
            </wp14:sizeRelH>
            <wp14:sizeRelV relativeFrom="page">
              <wp14:pctHeight>0</wp14:pctHeight>
            </wp14:sizeRelV>
          </wp:anchor>
        </w:drawing>
      </w:r>
    </w:p>
    <w:p w14:paraId="272D1C7E" w14:textId="43E3EDE0" w:rsidR="006A3BB2" w:rsidRPr="00F00BCB" w:rsidRDefault="006A3BB2" w:rsidP="006A3BB2">
      <w:pPr>
        <w:pStyle w:val="Heading1"/>
      </w:pPr>
      <w:r w:rsidRPr="00F00BCB">
        <w:t xml:space="preserve">What </w:t>
      </w:r>
      <w:r w:rsidR="007E2508">
        <w:t>is home enteral nutrition</w:t>
      </w:r>
      <w:r w:rsidR="00E51611" w:rsidRPr="00E51611">
        <w:t xml:space="preserve"> </w:t>
      </w:r>
      <w:r w:rsidR="00E51611">
        <w:t>and total parenteral nutrition</w:t>
      </w:r>
      <w:r w:rsidRPr="00F00BCB">
        <w:t>?</w:t>
      </w:r>
    </w:p>
    <w:p w14:paraId="6A08F24E" w14:textId="0A264FBB" w:rsidR="005C661B" w:rsidRPr="00605C78" w:rsidRDefault="006A3BB2" w:rsidP="00605C78">
      <w:pPr>
        <w:pStyle w:val="DHHSbody"/>
      </w:pPr>
      <w:r w:rsidRPr="00605C78">
        <w:rPr>
          <w:b/>
        </w:rPr>
        <w:t>Enteral Nutrition</w:t>
      </w:r>
      <w:r w:rsidRPr="00605C78">
        <w:t xml:space="preserve"> is the administration of</w:t>
      </w:r>
      <w:r w:rsidR="009E29D3" w:rsidRPr="00605C78">
        <w:t xml:space="preserve"> nutritionally complete liquid formula</w:t>
      </w:r>
      <w:r w:rsidR="00E94645" w:rsidRPr="00605C78">
        <w:t>e</w:t>
      </w:r>
      <w:r w:rsidR="009E29D3" w:rsidRPr="00605C78">
        <w:t xml:space="preserve"> directly into the gastrointestinal tract via a narrow, specifically designed, tube.</w:t>
      </w:r>
      <w:r w:rsidRPr="00605C78">
        <w:t xml:space="preserve"> </w:t>
      </w:r>
      <w:r w:rsidR="000E6501" w:rsidRPr="00605C78">
        <w:t xml:space="preserve">Enteral nutrition can be used as full or partial oral nutrition support (ONS). </w:t>
      </w:r>
    </w:p>
    <w:p w14:paraId="08AACCA4" w14:textId="5C4C6AED" w:rsidR="009E29D3" w:rsidRPr="00605C78" w:rsidRDefault="000E6501" w:rsidP="00605C78">
      <w:pPr>
        <w:pStyle w:val="DHHSbody"/>
      </w:pPr>
      <w:r w:rsidRPr="00605C78">
        <w:t>The Home Enteral Nutrition (HEN) program supports patient</w:t>
      </w:r>
      <w:r w:rsidR="009C7552" w:rsidRPr="00605C78">
        <w:t>s</w:t>
      </w:r>
      <w:r w:rsidRPr="00605C78">
        <w:t xml:space="preserve"> </w:t>
      </w:r>
      <w:r w:rsidR="009C7552" w:rsidRPr="00605C78">
        <w:t>who require exclusive ONS, or ONS providing greater than 70 percent of their daily nutritional requirements and who,</w:t>
      </w:r>
      <w:r w:rsidR="0023610B" w:rsidRPr="00605C78">
        <w:t xml:space="preserve"> without a health care provider present, </w:t>
      </w:r>
      <w:r w:rsidR="005C661B" w:rsidRPr="00605C78">
        <w:t xml:space="preserve">self-administer enteral nutrition </w:t>
      </w:r>
      <w:r w:rsidR="00C0289F" w:rsidRPr="00605C78">
        <w:t>in their home</w:t>
      </w:r>
      <w:r w:rsidRPr="00605C78">
        <w:t>.</w:t>
      </w:r>
      <w:r w:rsidR="00E94645" w:rsidRPr="00605C78">
        <w:t xml:space="preserve"> Nutritional supplements and partial ONS can be self-funded or partially funded through another hospital-based service.</w:t>
      </w:r>
    </w:p>
    <w:p w14:paraId="1B797244" w14:textId="0DCDFC1C" w:rsidR="006A3BB2" w:rsidRPr="00605C78" w:rsidRDefault="006A3BB2" w:rsidP="00605C78">
      <w:pPr>
        <w:pStyle w:val="DHHSbody"/>
      </w:pPr>
      <w:r w:rsidRPr="00605C78">
        <w:rPr>
          <w:b/>
        </w:rPr>
        <w:t>Parenteral Nutrition</w:t>
      </w:r>
      <w:r w:rsidRPr="00605C78">
        <w:t xml:space="preserve"> is the administration of nutrition by means of an infusion of an intravenous nutrition formula. </w:t>
      </w:r>
      <w:r w:rsidR="000E6501" w:rsidRPr="00605C78">
        <w:t>Total p</w:t>
      </w:r>
      <w:r w:rsidR="007E2508" w:rsidRPr="00605C78">
        <w:t>arenteral nutrition</w:t>
      </w:r>
      <w:r w:rsidRPr="00605C78">
        <w:t xml:space="preserve"> </w:t>
      </w:r>
      <w:r w:rsidR="000E6501" w:rsidRPr="00605C78">
        <w:t xml:space="preserve">(TPN) </w:t>
      </w:r>
      <w:r w:rsidRPr="00605C78">
        <w:t xml:space="preserve">is generally only used </w:t>
      </w:r>
      <w:r w:rsidR="005C661B" w:rsidRPr="00605C78">
        <w:t xml:space="preserve">to provide a person’s complete nutritional requirements, that is </w:t>
      </w:r>
      <w:r w:rsidRPr="00605C78">
        <w:t>when it is not possible to meet a patient’s nutrition requirements through an oral or enteral route.</w:t>
      </w:r>
    </w:p>
    <w:p w14:paraId="324D6EE0" w14:textId="7AAEE0FB" w:rsidR="005C661B" w:rsidRPr="00605C78" w:rsidRDefault="005C661B" w:rsidP="00605C78">
      <w:pPr>
        <w:pStyle w:val="DHHSbody"/>
      </w:pPr>
      <w:r w:rsidRPr="00605C78">
        <w:t>The home TPN program supports patient</w:t>
      </w:r>
      <w:r w:rsidR="009C7552" w:rsidRPr="00605C78">
        <w:t>s who require TPN to provide their complete nutritional requirements and who,</w:t>
      </w:r>
      <w:r w:rsidR="0023610B" w:rsidRPr="00605C78">
        <w:t xml:space="preserve"> without a health care provider present,</w:t>
      </w:r>
      <w:r w:rsidRPr="00605C78">
        <w:t xml:space="preserve"> self-administer parenteral nutrition </w:t>
      </w:r>
      <w:r w:rsidR="00C0289F" w:rsidRPr="00605C78">
        <w:t>in their home</w:t>
      </w:r>
      <w:r w:rsidRPr="00605C78">
        <w:t>.</w:t>
      </w:r>
    </w:p>
    <w:p w14:paraId="0151D046" w14:textId="150A162C" w:rsidR="00F62275" w:rsidRPr="00605C78" w:rsidRDefault="00F62275" w:rsidP="00605C78">
      <w:pPr>
        <w:pStyle w:val="DHHSbody"/>
      </w:pPr>
      <w:r w:rsidRPr="00605C78">
        <w:t xml:space="preserve">The department’s funding arrangements for both HEN and home </w:t>
      </w:r>
      <w:r w:rsidR="009C7552" w:rsidRPr="00605C78">
        <w:t>TPN</w:t>
      </w:r>
      <w:r w:rsidRPr="00605C78">
        <w:t xml:space="preserve"> is consistent with the Independent Hospital Pricing Authority’s (IHPA) funding model. Funding definitions of the HEN and home </w:t>
      </w:r>
      <w:r w:rsidR="0023610B" w:rsidRPr="00605C78">
        <w:t>TPN</w:t>
      </w:r>
      <w:r w:rsidRPr="00605C78">
        <w:t xml:space="preserve"> programs are set out in the IHPA’s Tier 2 Non-Admitted Services Definitions Manual. HEN and </w:t>
      </w:r>
      <w:r w:rsidR="00274630" w:rsidRPr="00605C78">
        <w:t xml:space="preserve">home </w:t>
      </w:r>
      <w:r w:rsidR="0023610B" w:rsidRPr="00605C78">
        <w:t>TPN</w:t>
      </w:r>
      <w:r w:rsidRPr="00605C78">
        <w:t xml:space="preserve"> services are classified to Tier 2 classes 10.18 and 10.17, respectively.</w:t>
      </w:r>
      <w:r w:rsidRPr="001B757E">
        <w:rPr>
          <w:rStyle w:val="FootnoteReference"/>
        </w:rPr>
        <w:footnoteReference w:id="2"/>
      </w:r>
    </w:p>
    <w:p w14:paraId="1D216782" w14:textId="27766F82" w:rsidR="006A3BB2" w:rsidRPr="00605C78" w:rsidRDefault="006A3BB2" w:rsidP="00605C78">
      <w:pPr>
        <w:pStyle w:val="DHHSbody"/>
      </w:pPr>
      <w:r w:rsidRPr="00605C78">
        <w:t xml:space="preserve">This document refers to </w:t>
      </w:r>
      <w:r w:rsidR="0023610B" w:rsidRPr="00605C78">
        <w:t xml:space="preserve">Victoria’s </w:t>
      </w:r>
      <w:r w:rsidR="00D07A68" w:rsidRPr="00605C78">
        <w:t xml:space="preserve">home enteral </w:t>
      </w:r>
      <w:r w:rsidR="0023610B" w:rsidRPr="00605C78">
        <w:t>nutrition and home</w:t>
      </w:r>
      <w:r w:rsidR="007E2508" w:rsidRPr="00605C78">
        <w:t xml:space="preserve"> </w:t>
      </w:r>
      <w:r w:rsidR="0023610B" w:rsidRPr="00605C78">
        <w:t xml:space="preserve">total </w:t>
      </w:r>
      <w:r w:rsidR="007E2508" w:rsidRPr="00605C78">
        <w:t xml:space="preserve">parenteral </w:t>
      </w:r>
      <w:r w:rsidR="00D07A68" w:rsidRPr="00605C78">
        <w:t>nutrition</w:t>
      </w:r>
      <w:r w:rsidR="0023610B" w:rsidRPr="00605C78">
        <w:t xml:space="preserve"> program</w:t>
      </w:r>
      <w:r w:rsidR="00D07A68" w:rsidRPr="00605C78">
        <w:t xml:space="preserve">. </w:t>
      </w:r>
    </w:p>
    <w:p w14:paraId="258CA0AC" w14:textId="77777777" w:rsidR="006A3BB2" w:rsidRPr="006462CD" w:rsidRDefault="006A3BB2" w:rsidP="00A70A68">
      <w:pPr>
        <w:pStyle w:val="Heading1"/>
      </w:pPr>
      <w:r w:rsidRPr="006462CD">
        <w:t>Victorian funding model</w:t>
      </w:r>
      <w:r w:rsidR="009B122E" w:rsidRPr="006462CD">
        <w:t xml:space="preserve"> for public health services</w:t>
      </w:r>
    </w:p>
    <w:p w14:paraId="1EFCB40A" w14:textId="77777777" w:rsidR="00D13AED" w:rsidRDefault="00D13AED" w:rsidP="00467392">
      <w:pPr>
        <w:pStyle w:val="Heading2"/>
      </w:pPr>
      <w:r w:rsidRPr="00F00BCB">
        <w:t>Home Enteral Nutrition</w:t>
      </w:r>
    </w:p>
    <w:p w14:paraId="32E373F8" w14:textId="481DE59D" w:rsidR="00D13AED" w:rsidRPr="00F00BCB" w:rsidRDefault="00D13AED" w:rsidP="00605C78">
      <w:pPr>
        <w:pStyle w:val="DHHSbody"/>
      </w:pPr>
      <w:r w:rsidRPr="00F00BCB">
        <w:t xml:space="preserve">HEN is </w:t>
      </w:r>
      <w:r w:rsidR="00691763">
        <w:t xml:space="preserve">currently </w:t>
      </w:r>
      <w:r w:rsidRPr="00F00BCB">
        <w:t>funded</w:t>
      </w:r>
      <w:r w:rsidR="00770FAB">
        <w:t xml:space="preserve"> as a</w:t>
      </w:r>
      <w:r w:rsidR="00D76B7E">
        <w:t xml:space="preserve"> public health program</w:t>
      </w:r>
      <w:r w:rsidR="00D76B7E" w:rsidRPr="00F00BCB">
        <w:t xml:space="preserve"> </w:t>
      </w:r>
      <w:r w:rsidRPr="00F00BCB">
        <w:t>via a specified grant with a service event ta</w:t>
      </w:r>
      <w:r w:rsidR="00434C71" w:rsidRPr="00F00BCB">
        <w:t>rget</w:t>
      </w:r>
      <w:r w:rsidRPr="00F00BCB">
        <w:t>.</w:t>
      </w:r>
      <w:r w:rsidR="002407EB" w:rsidRPr="00F00BCB">
        <w:rPr>
          <w:rStyle w:val="FootnoteReference"/>
        </w:rPr>
        <w:footnoteReference w:id="3"/>
      </w:r>
      <w:r w:rsidRPr="00F00BCB">
        <w:t xml:space="preserve">  </w:t>
      </w:r>
    </w:p>
    <w:p w14:paraId="5AE4BEF1" w14:textId="77777777" w:rsidR="00D13AED" w:rsidRPr="00F00BCB" w:rsidRDefault="00D13AED" w:rsidP="00605C78">
      <w:pPr>
        <w:pStyle w:val="DHHSbody"/>
      </w:pPr>
      <w:r w:rsidRPr="00F00BCB">
        <w:t>Funding is not intended to cover:</w:t>
      </w:r>
    </w:p>
    <w:p w14:paraId="1AD5D856" w14:textId="6A0C5706" w:rsidR="00F62275" w:rsidRDefault="00F62275" w:rsidP="00B943A7">
      <w:pPr>
        <w:pStyle w:val="DHHSbullet1"/>
      </w:pPr>
      <w:r>
        <w:t>nutritional supplements and partial ONS less than 70 percent of the person’s daily nutritional requirements</w:t>
      </w:r>
      <w:r w:rsidR="00691763">
        <w:t xml:space="preserve">; supplementary hydration and medicines; these </w:t>
      </w:r>
      <w:r>
        <w:t>can be self-funded or partially funded through another hospital-based service</w:t>
      </w:r>
    </w:p>
    <w:p w14:paraId="147E1931" w14:textId="773DD9B4" w:rsidR="00D13AED" w:rsidRPr="00F00BCB" w:rsidRDefault="00D13AED" w:rsidP="00B943A7">
      <w:pPr>
        <w:pStyle w:val="DHHSbullet1"/>
      </w:pPr>
      <w:r w:rsidRPr="00F00BCB">
        <w:t>consultation or enteral nutrition education with a gastroenterologist (funded in the specialist clinics funding model and reported under Tier 2 clinic 20.25)</w:t>
      </w:r>
    </w:p>
    <w:p w14:paraId="44992705" w14:textId="02A5DDF1" w:rsidR="00D13AED" w:rsidRPr="00F00BCB" w:rsidRDefault="00D13AED" w:rsidP="00FD33F6">
      <w:pPr>
        <w:pStyle w:val="DHHSbullet1lastline"/>
      </w:pPr>
      <w:r w:rsidRPr="00F00BCB">
        <w:t>consultation or enteral nutrition education with a dietitian (funded in the specialist clinics funding model and reported under Tier 2 clinic 40.23)</w:t>
      </w:r>
      <w:r w:rsidR="00F62275">
        <w:t>.</w:t>
      </w:r>
    </w:p>
    <w:p w14:paraId="7B9D89C7" w14:textId="7CB28B38" w:rsidR="00D13AED" w:rsidRPr="00F00BCB" w:rsidRDefault="007E2508" w:rsidP="00B943A7">
      <w:pPr>
        <w:pStyle w:val="Heading2"/>
      </w:pPr>
      <w:r>
        <w:lastRenderedPageBreak/>
        <w:t>Home</w:t>
      </w:r>
      <w:r w:rsidR="00D13AED" w:rsidRPr="00F00BCB">
        <w:t xml:space="preserve"> Parenteral Nutrition</w:t>
      </w:r>
    </w:p>
    <w:p w14:paraId="65BB873C" w14:textId="19B32D2E" w:rsidR="00D13AED" w:rsidRPr="00F00BCB" w:rsidRDefault="00D76B7E" w:rsidP="00605C78">
      <w:pPr>
        <w:pStyle w:val="DHHSbody"/>
      </w:pPr>
      <w:r>
        <w:t xml:space="preserve">Home </w:t>
      </w:r>
      <w:r w:rsidR="007E2508">
        <w:t>parenteral nutrition</w:t>
      </w:r>
      <w:r w:rsidR="00D13AED" w:rsidRPr="00F00BCB">
        <w:t xml:space="preserve"> is </w:t>
      </w:r>
      <w:r w:rsidR="00691763">
        <w:t xml:space="preserve">currently </w:t>
      </w:r>
      <w:r w:rsidR="00D13AED" w:rsidRPr="00F00BCB">
        <w:t>funded via a specified grant with a service event target</w:t>
      </w:r>
      <w:r w:rsidR="00AB7729" w:rsidRPr="00F00BCB">
        <w:t>.</w:t>
      </w:r>
      <w:r w:rsidR="00691763" w:rsidRPr="00691763">
        <w:rPr>
          <w:vertAlign w:val="superscript"/>
        </w:rPr>
        <w:t>2</w:t>
      </w:r>
      <w:r w:rsidR="00AB7729" w:rsidRPr="00F00BCB">
        <w:t xml:space="preserve"> </w:t>
      </w:r>
      <w:r w:rsidR="00D13AED" w:rsidRPr="00F00BCB">
        <w:t xml:space="preserve">Due to the requirement for highly specialised staff and the limited number of patients that require this service, five health services provide home </w:t>
      </w:r>
      <w:r w:rsidR="00691763">
        <w:t>TPN</w:t>
      </w:r>
      <w:r w:rsidR="00D13AED" w:rsidRPr="00F00BCB">
        <w:t xml:space="preserve"> services:  Austin Health, Melbourne Health, Monash Health, St Vincent’s Health and the Royal Children’s Hospital.</w:t>
      </w:r>
    </w:p>
    <w:p w14:paraId="663FF105" w14:textId="77777777" w:rsidR="00D13AED" w:rsidRPr="00F00BCB" w:rsidRDefault="00D13AED" w:rsidP="00605C78">
      <w:pPr>
        <w:pStyle w:val="DHHSbody"/>
      </w:pPr>
      <w:r w:rsidRPr="00F00BCB">
        <w:t>Funding is not intended to cover:</w:t>
      </w:r>
    </w:p>
    <w:p w14:paraId="06E2A8EF" w14:textId="7376C226" w:rsidR="00F62275" w:rsidRDefault="00F62275" w:rsidP="00B943A7">
      <w:pPr>
        <w:pStyle w:val="DHHSbullet1"/>
      </w:pPr>
      <w:r>
        <w:t>supplementary parenteral nutrition support for non-admitted patients</w:t>
      </w:r>
      <w:r w:rsidR="00691763" w:rsidRPr="00691763">
        <w:t xml:space="preserve"> </w:t>
      </w:r>
      <w:r w:rsidR="00691763">
        <w:t>and supplementary hydration solutions</w:t>
      </w:r>
    </w:p>
    <w:p w14:paraId="3E0E400E" w14:textId="4EFACEF7" w:rsidR="00D13AED" w:rsidRPr="00F00BCB" w:rsidRDefault="00D13AED" w:rsidP="00B943A7">
      <w:pPr>
        <w:pStyle w:val="DHHSbullet1"/>
      </w:pPr>
      <w:r w:rsidRPr="00F00BCB">
        <w:t xml:space="preserve">consultation or </w:t>
      </w:r>
      <w:r w:rsidR="007E2508">
        <w:t>parenteral nutrition</w:t>
      </w:r>
      <w:r w:rsidRPr="00F00BCB">
        <w:t xml:space="preserve"> education with a gastroenterologist (funded in the specialist clinics funding model and reported under Tier 2 clinic 20.25)</w:t>
      </w:r>
    </w:p>
    <w:p w14:paraId="43BC40DD" w14:textId="378EF6FB" w:rsidR="00D13AED" w:rsidRPr="00F00BCB" w:rsidRDefault="00D13AED" w:rsidP="00FD33F6">
      <w:pPr>
        <w:pStyle w:val="DHHSbullet1lastline"/>
      </w:pPr>
      <w:r w:rsidRPr="00F00BCB">
        <w:t xml:space="preserve">consultation or </w:t>
      </w:r>
      <w:r w:rsidR="007E2508">
        <w:t>parenteral nutrition</w:t>
      </w:r>
      <w:r w:rsidRPr="00F00BCB">
        <w:t xml:space="preserve"> education with a dietitian (funded in the specialist clinics funding model and reported under Tier 2 clinic 40.23)</w:t>
      </w:r>
      <w:r w:rsidR="00F62275">
        <w:t>.</w:t>
      </w:r>
    </w:p>
    <w:p w14:paraId="352D719F" w14:textId="4C9EC65F" w:rsidR="00162309" w:rsidRPr="00F00BCB" w:rsidRDefault="00D0661F" w:rsidP="00B943A7">
      <w:pPr>
        <w:pStyle w:val="Heading2"/>
      </w:pPr>
      <w:r w:rsidRPr="00F00BCB">
        <w:t>What can</w:t>
      </w:r>
      <w:r w:rsidR="000A1332">
        <w:t xml:space="preserve"> funds</w:t>
      </w:r>
      <w:r w:rsidRPr="00F00BCB">
        <w:t xml:space="preserve"> </w:t>
      </w:r>
      <w:r w:rsidR="0018678F">
        <w:t xml:space="preserve">provided </w:t>
      </w:r>
      <w:r w:rsidR="00032486" w:rsidRPr="00F00BCB">
        <w:t>to public health services</w:t>
      </w:r>
      <w:r w:rsidR="00162309" w:rsidRPr="00F00BCB">
        <w:t xml:space="preserve"> </w:t>
      </w:r>
      <w:r w:rsidRPr="00F00BCB">
        <w:t xml:space="preserve">be </w:t>
      </w:r>
      <w:r w:rsidR="00162309" w:rsidRPr="00F00BCB">
        <w:t>used for?</w:t>
      </w:r>
    </w:p>
    <w:p w14:paraId="0E9AF851" w14:textId="40A3FAC3" w:rsidR="00D07A68" w:rsidRDefault="00162309" w:rsidP="00605C78">
      <w:pPr>
        <w:pStyle w:val="DHHSbody"/>
      </w:pPr>
      <w:r w:rsidRPr="00EC21A5">
        <w:t xml:space="preserve">Victoria provides funding </w:t>
      </w:r>
      <w:r w:rsidR="00D76B7E">
        <w:t xml:space="preserve">to support patients who meet clinical criteria </w:t>
      </w:r>
      <w:r w:rsidR="00D76B7E" w:rsidRPr="00EC21A5">
        <w:t xml:space="preserve">for </w:t>
      </w:r>
      <w:r w:rsidR="00D76B7E">
        <w:t xml:space="preserve">home-delivered specialist nutritional support </w:t>
      </w:r>
      <w:r w:rsidR="00D76B7E" w:rsidRPr="00EC21A5">
        <w:t xml:space="preserve">and </w:t>
      </w:r>
      <w:r w:rsidR="00D76B7E">
        <w:t xml:space="preserve">who are under the care of public health service. </w:t>
      </w:r>
      <w:r w:rsidR="00BB6B53">
        <w:t>The aim</w:t>
      </w:r>
      <w:r w:rsidR="00BB6B53" w:rsidRPr="00EC21A5">
        <w:t xml:space="preserve"> is to </w:t>
      </w:r>
      <w:r w:rsidR="00BB6B53">
        <w:t>provide the most cost-effective nutritional support that meets each patient’s nutritional and clinical requirements.</w:t>
      </w:r>
    </w:p>
    <w:p w14:paraId="6DD7F41D" w14:textId="150011F2" w:rsidR="00264159" w:rsidRDefault="00264159" w:rsidP="00605C78">
      <w:pPr>
        <w:pStyle w:val="DHHSbody"/>
      </w:pPr>
      <w:r>
        <w:t>F</w:t>
      </w:r>
      <w:r w:rsidRPr="00F00BCB">
        <w:t xml:space="preserve">unding for </w:t>
      </w:r>
      <w:r>
        <w:t xml:space="preserve">home </w:t>
      </w:r>
      <w:r w:rsidR="00691763">
        <w:t>TPN</w:t>
      </w:r>
      <w:r w:rsidRPr="00F00BCB">
        <w:t xml:space="preserve"> is to </w:t>
      </w:r>
      <w:r w:rsidRPr="00EC21A5">
        <w:t xml:space="preserve">be used to </w:t>
      </w:r>
      <w:r>
        <w:t>supply only the</w:t>
      </w:r>
      <w:r w:rsidRPr="00F00BCB">
        <w:t xml:space="preserve"> </w:t>
      </w:r>
      <w:r>
        <w:t>items</w:t>
      </w:r>
      <w:r w:rsidRPr="00EC21A5">
        <w:t xml:space="preserve"> required by eligible patients</w:t>
      </w:r>
      <w:r>
        <w:t xml:space="preserve"> including:</w:t>
      </w:r>
    </w:p>
    <w:p w14:paraId="7DFB7A93" w14:textId="73999DAB" w:rsidR="00264159" w:rsidRPr="002549C7" w:rsidRDefault="005F5255" w:rsidP="00B943A7">
      <w:pPr>
        <w:pStyle w:val="DHHSbullet1"/>
      </w:pPr>
      <w:r>
        <w:t>parenteral nutrition solutions (excluding supplementary hydration)</w:t>
      </w:r>
    </w:p>
    <w:p w14:paraId="339A4EE4" w14:textId="77777777" w:rsidR="00264159" w:rsidRPr="002549C7" w:rsidRDefault="00264159" w:rsidP="00B943A7">
      <w:pPr>
        <w:pStyle w:val="DHHSbullet1"/>
      </w:pPr>
      <w:r w:rsidRPr="002549C7">
        <w:t>equipment</w:t>
      </w:r>
    </w:p>
    <w:p w14:paraId="41D15379" w14:textId="77777777" w:rsidR="00264159" w:rsidRPr="002549C7" w:rsidRDefault="00264159" w:rsidP="00B943A7">
      <w:pPr>
        <w:pStyle w:val="DHHSbullet1"/>
      </w:pPr>
      <w:r w:rsidRPr="002549C7">
        <w:t>consumables</w:t>
      </w:r>
    </w:p>
    <w:p w14:paraId="01762746" w14:textId="07DB6789" w:rsidR="00B943A7" w:rsidRPr="00F00BCB" w:rsidRDefault="00264159" w:rsidP="00FD33F6">
      <w:pPr>
        <w:pStyle w:val="DHHSbullet1lastline"/>
      </w:pPr>
      <w:r w:rsidRPr="00F00BCB">
        <w:t>costs associated with managing the service (it does not include consultations with health professionals funded through specialist clinics</w:t>
      </w:r>
      <w:r>
        <w:t xml:space="preserve"> or other treatment or services that may be required e.g. medicines</w:t>
      </w:r>
      <w:r w:rsidRPr="00F00BCB">
        <w:t>)</w:t>
      </w:r>
    </w:p>
    <w:p w14:paraId="2B6CA7F2" w14:textId="686E9B18" w:rsidR="00162309" w:rsidRPr="00EC21A5" w:rsidRDefault="00D76B7E" w:rsidP="00605C78">
      <w:pPr>
        <w:pStyle w:val="DHHSbody"/>
      </w:pPr>
      <w:r>
        <w:t>F</w:t>
      </w:r>
      <w:r w:rsidR="00162309" w:rsidRPr="00F00BCB">
        <w:t xml:space="preserve">unding </w:t>
      </w:r>
      <w:r w:rsidRPr="00F00BCB">
        <w:t xml:space="preserve">for HEN </w:t>
      </w:r>
      <w:r w:rsidR="00162309" w:rsidRPr="00F00BCB">
        <w:t xml:space="preserve">is to </w:t>
      </w:r>
      <w:r w:rsidR="00162309" w:rsidRPr="00EC21A5">
        <w:t xml:space="preserve">be used to </w:t>
      </w:r>
      <w:r w:rsidR="008D7285">
        <w:t>supply</w:t>
      </w:r>
      <w:r w:rsidR="000A1332">
        <w:t xml:space="preserve"> only</w:t>
      </w:r>
      <w:r w:rsidR="008D7285">
        <w:t xml:space="preserve"> the</w:t>
      </w:r>
      <w:r w:rsidR="00162309" w:rsidRPr="00F00BCB">
        <w:t xml:space="preserve"> </w:t>
      </w:r>
      <w:r w:rsidR="00D07A68">
        <w:t>items</w:t>
      </w:r>
      <w:r w:rsidR="00162309" w:rsidRPr="00EC21A5">
        <w:t xml:space="preserve"> </w:t>
      </w:r>
      <w:r w:rsidR="008D7285" w:rsidRPr="00EC21A5">
        <w:t xml:space="preserve">required by eligible patients </w:t>
      </w:r>
      <w:r w:rsidR="008D7285">
        <w:t xml:space="preserve">that are </w:t>
      </w:r>
      <w:r w:rsidR="00BB6B53">
        <w:t>available through the Health Purchasing Victoria (HPV</w:t>
      </w:r>
      <w:r w:rsidR="00BB6B53" w:rsidRPr="008D7285">
        <w:rPr>
          <w:i/>
        </w:rPr>
        <w:t xml:space="preserve">) </w:t>
      </w:r>
      <w:hyperlink r:id="rId15" w:history="1">
        <w:r w:rsidR="00D07A68" w:rsidRPr="008D7285">
          <w:rPr>
            <w:i/>
          </w:rPr>
          <w:t>Enteral Feeding and Oral Nutrition Support</w:t>
        </w:r>
      </w:hyperlink>
      <w:r w:rsidR="00D07A68">
        <w:t xml:space="preserve"> </w:t>
      </w:r>
      <w:r w:rsidR="00BB6B53">
        <w:t>publicly funded contract list</w:t>
      </w:r>
      <w:r w:rsidR="00162309" w:rsidRPr="00EC21A5">
        <w:t>. This includes the following:</w:t>
      </w:r>
    </w:p>
    <w:p w14:paraId="0273B7D3" w14:textId="77777777" w:rsidR="00162309" w:rsidRPr="002549C7" w:rsidRDefault="00162309" w:rsidP="00B943A7">
      <w:pPr>
        <w:pStyle w:val="DHHSbullet1"/>
      </w:pPr>
      <w:r w:rsidRPr="002549C7">
        <w:t>feed (formula)</w:t>
      </w:r>
    </w:p>
    <w:p w14:paraId="2C5FC304" w14:textId="77777777" w:rsidR="00162309" w:rsidRPr="002549C7" w:rsidRDefault="00162309" w:rsidP="00B943A7">
      <w:pPr>
        <w:pStyle w:val="DHHSbullet1"/>
      </w:pPr>
      <w:r w:rsidRPr="002549C7">
        <w:t>equipment</w:t>
      </w:r>
    </w:p>
    <w:p w14:paraId="70C92E1E" w14:textId="77777777" w:rsidR="00162309" w:rsidRPr="002549C7" w:rsidRDefault="00162309" w:rsidP="00B943A7">
      <w:pPr>
        <w:pStyle w:val="DHHSbullet1"/>
      </w:pPr>
      <w:r w:rsidRPr="002549C7">
        <w:t>consumables</w:t>
      </w:r>
    </w:p>
    <w:p w14:paraId="70FB388B" w14:textId="77777777" w:rsidR="00162309" w:rsidRPr="00F00BCB" w:rsidRDefault="00162309" w:rsidP="00FD33F6">
      <w:pPr>
        <w:pStyle w:val="DHHSbullet1lastline"/>
      </w:pPr>
      <w:r w:rsidRPr="00F00BCB">
        <w:t>costs associated with managing the service (it does not include consultations with health professionals funded through specialist clinics</w:t>
      </w:r>
      <w:r w:rsidR="00136BF1">
        <w:t xml:space="preserve"> or other treatment or services that may be required e.g. supplementary hydration, medicines</w:t>
      </w:r>
      <w:r w:rsidRPr="00F00BCB">
        <w:t>)</w:t>
      </w:r>
    </w:p>
    <w:p w14:paraId="4EFF4845" w14:textId="77777777" w:rsidR="00AF7CD9" w:rsidRPr="00F00BCB" w:rsidRDefault="00AF7CD9" w:rsidP="00B943A7">
      <w:pPr>
        <w:pStyle w:val="Heading2"/>
      </w:pPr>
      <w:r w:rsidRPr="00F00BCB">
        <w:t>Reporting mechanism</w:t>
      </w:r>
    </w:p>
    <w:p w14:paraId="55F1C9E0" w14:textId="05C43FCD" w:rsidR="004C4C7E" w:rsidRDefault="004C4C7E" w:rsidP="00605C78">
      <w:pPr>
        <w:pStyle w:val="DHHSbody"/>
      </w:pPr>
      <w:r w:rsidRPr="00F00BCB">
        <w:t xml:space="preserve">Health services that provide HEN and </w:t>
      </w:r>
      <w:r w:rsidR="000A1332">
        <w:t>home</w:t>
      </w:r>
      <w:r w:rsidR="007E2508" w:rsidRPr="007E2508">
        <w:t xml:space="preserve"> </w:t>
      </w:r>
      <w:r w:rsidR="007E2508">
        <w:t>parenteral nutrition</w:t>
      </w:r>
      <w:r w:rsidR="007E2508" w:rsidRPr="00F00BCB">
        <w:t xml:space="preserve"> </w:t>
      </w:r>
      <w:r w:rsidRPr="00F00BCB">
        <w:t>services are required to</w:t>
      </w:r>
      <w:r>
        <w:t>:</w:t>
      </w:r>
    </w:p>
    <w:p w14:paraId="37DA7503" w14:textId="7BCD09F9" w:rsidR="004C4C7E" w:rsidRDefault="004C4C7E" w:rsidP="00B943A7">
      <w:pPr>
        <w:pStyle w:val="DHHSbullet1"/>
      </w:pPr>
      <w:r>
        <w:t>contact the HDSS helpdesk when new HEN</w:t>
      </w:r>
      <w:r w:rsidR="00E73577">
        <w:t xml:space="preserve"> or home </w:t>
      </w:r>
      <w:r>
        <w:t>TPN service commence</w:t>
      </w:r>
      <w:r w:rsidR="00E73577">
        <w:t>s</w:t>
      </w:r>
      <w:r>
        <w:t xml:space="preserve"> so they can be set up for submitting data on the AIMS S12 form (and VINAH);</w:t>
      </w:r>
    </w:p>
    <w:p w14:paraId="52C7B760" w14:textId="11BF3A98" w:rsidR="004C4C7E" w:rsidRDefault="004C4C7E" w:rsidP="00B943A7">
      <w:pPr>
        <w:pStyle w:val="DHHSbullet1"/>
      </w:pPr>
      <w:r>
        <w:t>report activity on the AIMS S12 form; and</w:t>
      </w:r>
    </w:p>
    <w:p w14:paraId="52D2BC0F" w14:textId="5DE24838" w:rsidR="004C4C7E" w:rsidRPr="00F00BCB" w:rsidRDefault="004C4C7E" w:rsidP="00FD33F6">
      <w:pPr>
        <w:pStyle w:val="DHHSbullet1lastline"/>
      </w:pPr>
      <w:r>
        <w:t>report episode information using VINAH (the department will count one non-admitted service event for each calendar month that the episode is open).</w:t>
      </w:r>
    </w:p>
    <w:p w14:paraId="798571A6" w14:textId="602906FC" w:rsidR="004C4C7E" w:rsidRDefault="004C4C7E" w:rsidP="00605C78">
      <w:pPr>
        <w:pStyle w:val="DHHSbody"/>
      </w:pPr>
      <w:r w:rsidRPr="00F00BCB">
        <w:t xml:space="preserve">All non-admitted patient </w:t>
      </w:r>
      <w:r w:rsidR="00A86F1A">
        <w:t>services</w:t>
      </w:r>
      <w:r w:rsidRPr="00F00BCB">
        <w:t xml:space="preserve"> </w:t>
      </w:r>
      <w:r w:rsidR="00A86F1A">
        <w:t>delivered</w:t>
      </w:r>
      <w:r w:rsidRPr="00F00BCB">
        <w:t xml:space="preserve"> within a calendar month </w:t>
      </w:r>
      <w:r>
        <w:t xml:space="preserve">classified as 10.17 or 10.18 </w:t>
      </w:r>
      <w:r w:rsidRPr="00F00BCB">
        <w:t>are bundled and counted as one non-admitted patient service event</w:t>
      </w:r>
      <w:r w:rsidR="000A1332">
        <w:t>,</w:t>
      </w:r>
      <w:r w:rsidRPr="00F00BCB">
        <w:t xml:space="preserve"> per patient</w:t>
      </w:r>
      <w:r w:rsidR="000A1332">
        <w:t>,</w:t>
      </w:r>
      <w:r w:rsidRPr="00F00BCB">
        <w:t xml:space="preserve"> per calendar month, regardless of the number </w:t>
      </w:r>
      <w:r w:rsidR="000A1332">
        <w:t xml:space="preserve">or range </w:t>
      </w:r>
      <w:r w:rsidRPr="00F00BCB">
        <w:t xml:space="preserve">of </w:t>
      </w:r>
      <w:r w:rsidR="000A1332">
        <w:t>services supplied over that calendar month</w:t>
      </w:r>
      <w:r w:rsidRPr="00F00BCB">
        <w:t>.</w:t>
      </w:r>
    </w:p>
    <w:p w14:paraId="1A62565F" w14:textId="43DFDB5A" w:rsidR="008B420A" w:rsidRDefault="00A86F1A" w:rsidP="00605C78">
      <w:pPr>
        <w:pStyle w:val="DHHSbody"/>
      </w:pPr>
      <w:r>
        <w:t xml:space="preserve">All patients with a NDIS plan are eligible for home-delivered </w:t>
      </w:r>
      <w:r w:rsidR="00CC38AE">
        <w:t xml:space="preserve">parenteral or </w:t>
      </w:r>
      <w:r>
        <w:t xml:space="preserve">enteral nutrition </w:t>
      </w:r>
      <w:r w:rsidR="00E73577">
        <w:t>IF THIS IS</w:t>
      </w:r>
      <w:r>
        <w:t xml:space="preserve"> NOT provided as part of </w:t>
      </w:r>
      <w:r w:rsidR="00CC38AE">
        <w:t>that</w:t>
      </w:r>
      <w:r>
        <w:t xml:space="preserve"> person’s NDIS plan. </w:t>
      </w:r>
    </w:p>
    <w:p w14:paraId="3E095B48" w14:textId="4701D844" w:rsidR="00A86F1A" w:rsidRPr="00F00BCB" w:rsidRDefault="00A86F1A" w:rsidP="00605C78">
      <w:pPr>
        <w:pStyle w:val="DHHSbody"/>
      </w:pPr>
      <w:r>
        <w:lastRenderedPageBreak/>
        <w:t xml:space="preserve">Where enteral nutrition is provided as part of a person’s NDIS plan health services should </w:t>
      </w:r>
      <w:r w:rsidR="009E39C2">
        <w:t>process payments</w:t>
      </w:r>
      <w:r>
        <w:t xml:space="preserve"> through the NDIS; these services must not </w:t>
      </w:r>
      <w:r w:rsidR="009E39C2">
        <w:t xml:space="preserve">be simultaneously </w:t>
      </w:r>
      <w:r>
        <w:t>re</w:t>
      </w:r>
      <w:r w:rsidR="008B420A">
        <w:t>ported</w:t>
      </w:r>
      <w:r>
        <w:t xml:space="preserve"> as a HEN service.</w:t>
      </w:r>
    </w:p>
    <w:p w14:paraId="7C56B341" w14:textId="7DEEF232" w:rsidR="006A3BB2" w:rsidRPr="00F00BCB" w:rsidRDefault="006A3BB2" w:rsidP="00605C78">
      <w:pPr>
        <w:pStyle w:val="DHHSbody"/>
      </w:pPr>
      <w:r w:rsidRPr="00F00BCB">
        <w:t xml:space="preserve">Health service targets </w:t>
      </w:r>
      <w:r w:rsidR="000A1332">
        <w:t xml:space="preserve">for each program </w:t>
      </w:r>
      <w:r w:rsidRPr="00F00BCB">
        <w:t xml:space="preserve">are updated annually, based on the latest 12 months of activity. Any recall/throughput adjustment </w:t>
      </w:r>
      <w:r w:rsidR="00A86F1A">
        <w:t xml:space="preserve">for either program </w:t>
      </w:r>
      <w:r w:rsidRPr="00F00BCB">
        <w:t>is applied at the full rate at the end of each financial year for health services whose activity is below or over target. The Department of Health and Human Services policy and funding guidelines provides further details on how these funding adjustments are calculated.</w:t>
      </w:r>
      <w:r w:rsidR="00E73577" w:rsidRPr="00E73577">
        <w:rPr>
          <w:vertAlign w:val="superscript"/>
        </w:rPr>
        <w:t>2</w:t>
      </w:r>
    </w:p>
    <w:p w14:paraId="02BBEBFC" w14:textId="77777777" w:rsidR="006A3BB2" w:rsidRPr="00F00BCB" w:rsidRDefault="006A3BB2" w:rsidP="00B943A7">
      <w:pPr>
        <w:pStyle w:val="Heading2"/>
      </w:pPr>
      <w:r w:rsidRPr="00F00BCB">
        <w:t>National Disability Insurance Scheme (NDIS)</w:t>
      </w:r>
    </w:p>
    <w:p w14:paraId="3EDB3AD1" w14:textId="199F2351" w:rsidR="008B420A" w:rsidRPr="004C2D04" w:rsidRDefault="00E73577" w:rsidP="00877066">
      <w:pPr>
        <w:pStyle w:val="DHHSbody"/>
        <w:rPr>
          <w:rFonts w:cs="Arial"/>
          <w:lang w:val="en"/>
        </w:rPr>
      </w:pPr>
      <w:r>
        <w:rPr>
          <w:rFonts w:cs="Arial"/>
          <w:lang w:val="en"/>
        </w:rPr>
        <w:t>A</w:t>
      </w:r>
      <w:r w:rsidR="008B420A" w:rsidRPr="004C2D04">
        <w:rPr>
          <w:rFonts w:cs="Arial"/>
          <w:lang w:val="en"/>
        </w:rPr>
        <w:t xml:space="preserve">dditional disability-related health supports </w:t>
      </w:r>
      <w:r>
        <w:rPr>
          <w:rFonts w:cs="Arial"/>
          <w:lang w:val="en"/>
        </w:rPr>
        <w:t>are</w:t>
      </w:r>
      <w:r w:rsidR="008B420A" w:rsidRPr="004C2D04">
        <w:rPr>
          <w:rFonts w:cs="Arial"/>
          <w:lang w:val="en"/>
        </w:rPr>
        <w:t xml:space="preserve"> </w:t>
      </w:r>
      <w:r>
        <w:rPr>
          <w:rFonts w:cs="Arial"/>
          <w:lang w:val="en"/>
        </w:rPr>
        <w:t xml:space="preserve">now </w:t>
      </w:r>
      <w:r w:rsidR="008B420A" w:rsidRPr="004C2D04">
        <w:rPr>
          <w:rFonts w:cs="Arial"/>
          <w:lang w:val="en"/>
        </w:rPr>
        <w:t>available to purchase using NDIS funding. The need for these supports must directly relate to an NDIS participant’s functional impairment, where the support need is ongoing and is and most appropriately funded or provided by the NDIS.</w:t>
      </w:r>
    </w:p>
    <w:p w14:paraId="1D4C06DC" w14:textId="3AD73AF5" w:rsidR="008B420A" w:rsidRPr="004C2D04" w:rsidRDefault="008B420A" w:rsidP="00877066">
      <w:pPr>
        <w:pStyle w:val="DHHSbody"/>
        <w:rPr>
          <w:rFonts w:cs="Arial"/>
        </w:rPr>
      </w:pPr>
      <w:r w:rsidRPr="004C2D04">
        <w:rPr>
          <w:rFonts w:cs="Arial"/>
          <w:lang w:val="en"/>
        </w:rPr>
        <w:t>In many situations, participants may be able to select their existing provider to deliver these supports. </w:t>
      </w:r>
    </w:p>
    <w:p w14:paraId="72615A50" w14:textId="7A7E891E" w:rsidR="00877066" w:rsidRDefault="00877066" w:rsidP="00877066">
      <w:pPr>
        <w:pStyle w:val="DHHSbody"/>
      </w:pPr>
      <w:r>
        <w:t>The NDIS funds disability-related health supports including nutrition supports</w:t>
      </w:r>
      <w:r w:rsidR="00F77744">
        <w:t xml:space="preserve"> (</w:t>
      </w:r>
      <w:r w:rsidR="00E02933">
        <w:t xml:space="preserve">refer to </w:t>
      </w:r>
      <w:hyperlink r:id="rId16" w:history="1">
        <w:r w:rsidR="00E02933" w:rsidRPr="00497EA6">
          <w:rPr>
            <w:rStyle w:val="Hyperlink"/>
          </w:rPr>
          <w:t>https://www.ndis.gov.au/understanding/supports-funded-ndis/disability-related-health-supports</w:t>
        </w:r>
      </w:hyperlink>
      <w:r w:rsidR="00E02933">
        <w:t xml:space="preserve"> for updates</w:t>
      </w:r>
      <w:r w:rsidR="00F77744">
        <w:t>)</w:t>
      </w:r>
      <w:r>
        <w:t>:</w:t>
      </w:r>
    </w:p>
    <w:p w14:paraId="47FE3FCC" w14:textId="75CA0D39" w:rsidR="00E02933" w:rsidRPr="00B943A7" w:rsidRDefault="00E02933" w:rsidP="00B943A7">
      <w:pPr>
        <w:pStyle w:val="DHHSbullet1"/>
      </w:pPr>
      <w:r w:rsidRPr="00B943A7">
        <w:t xml:space="preserve">dietetic consultations and the development and periodic review of a nutritional meal plan by an NDIS-funded suitably qualified and competent clinician. </w:t>
      </w:r>
    </w:p>
    <w:p w14:paraId="7FE258A6" w14:textId="7C748D91" w:rsidR="00E02933" w:rsidRPr="00B943A7" w:rsidRDefault="00E02933" w:rsidP="00B943A7">
      <w:pPr>
        <w:pStyle w:val="DHHSbullet1"/>
      </w:pPr>
      <w:r w:rsidRPr="00B943A7">
        <w:t xml:space="preserve">implementation of a nutritional meal plan by an NDIS-funded suitably qualified and competent worker. </w:t>
      </w:r>
    </w:p>
    <w:p w14:paraId="296FD13E" w14:textId="13D5FE24" w:rsidR="00E02933" w:rsidRPr="00B943A7" w:rsidRDefault="00E02933" w:rsidP="00B943A7">
      <w:pPr>
        <w:pStyle w:val="DHHSbullet1"/>
      </w:pPr>
      <w:r w:rsidRPr="00B943A7">
        <w:t>training of an NDIS-funded suitably qualified and competent worker to implement the nutritional meal plan.</w:t>
      </w:r>
    </w:p>
    <w:p w14:paraId="41BAF198" w14:textId="356FB57D" w:rsidR="00E02933" w:rsidRPr="00B943A7" w:rsidRDefault="00E02933" w:rsidP="00B943A7">
      <w:pPr>
        <w:pStyle w:val="DHHSbullet1"/>
      </w:pPr>
      <w:r w:rsidRPr="00B943A7">
        <w:t xml:space="preserve">percutaneous Endoscopic Gastrostomy (PEG) Stoma Changes (to assist feeding). </w:t>
      </w:r>
    </w:p>
    <w:p w14:paraId="3BD3254B" w14:textId="19F035DF" w:rsidR="00E02933" w:rsidRPr="00B943A7" w:rsidRDefault="00E02933" w:rsidP="00B943A7">
      <w:pPr>
        <w:pStyle w:val="DHHSbullet1"/>
      </w:pPr>
      <w:r w:rsidRPr="00B943A7">
        <w:t xml:space="preserve">provision of PEG maintenance and care by a suitably qualified and competent worker. </w:t>
      </w:r>
    </w:p>
    <w:p w14:paraId="2E4A7641" w14:textId="12F53140" w:rsidR="00E02933" w:rsidRPr="00B943A7" w:rsidRDefault="00E02933" w:rsidP="00B943A7">
      <w:pPr>
        <w:pStyle w:val="DHHSbullet1"/>
      </w:pPr>
      <w:r w:rsidRPr="00B943A7">
        <w:t>training of an NDIS-funded suitably qualified and competent worker to provide PEG maintenance and care.</w:t>
      </w:r>
    </w:p>
    <w:p w14:paraId="79A76471" w14:textId="32F6FC6F" w:rsidR="00E02933" w:rsidRPr="00B943A7" w:rsidRDefault="00E02933" w:rsidP="00B943A7">
      <w:pPr>
        <w:pStyle w:val="DHHSbullet1"/>
      </w:pPr>
      <w:r w:rsidRPr="00B943A7">
        <w:t xml:space="preserve">home enteral nutrition, PEG, equipment and consumables excluding food. </w:t>
      </w:r>
    </w:p>
    <w:p w14:paraId="25C5322C" w14:textId="77777777" w:rsidR="00E02933" w:rsidRPr="00B943A7" w:rsidRDefault="00E02933" w:rsidP="00FD33F6">
      <w:pPr>
        <w:pStyle w:val="DHHSbullet1lastline"/>
      </w:pPr>
      <w:r w:rsidRPr="00B943A7">
        <w:t>HEN formula/nutritional supplements (to meet participant’s nutritional needs).</w:t>
      </w:r>
    </w:p>
    <w:p w14:paraId="1AD31208" w14:textId="60D5B513" w:rsidR="009E39C2" w:rsidRDefault="00552C8E" w:rsidP="00877066">
      <w:pPr>
        <w:pStyle w:val="DHHSbody"/>
      </w:pPr>
      <w:r>
        <w:t>Health services are expected to</w:t>
      </w:r>
      <w:r w:rsidR="009E39C2">
        <w:t>:</w:t>
      </w:r>
    </w:p>
    <w:p w14:paraId="49CE6566" w14:textId="4B9EF718" w:rsidR="009E39C2" w:rsidRDefault="009E39C2" w:rsidP="00B943A7">
      <w:pPr>
        <w:pStyle w:val="DHHSbullet1"/>
      </w:pPr>
      <w:r>
        <w:t>support changes to a patient’s NDIS plan to better cover their enteral nutrition needs</w:t>
      </w:r>
    </w:p>
    <w:p w14:paraId="075114A8" w14:textId="091A8A89" w:rsidR="009E39C2" w:rsidRDefault="00552C8E" w:rsidP="00B943A7">
      <w:pPr>
        <w:pStyle w:val="DHHSbullet1"/>
      </w:pPr>
      <w:r>
        <w:t>support NDIS participants in their enteral nutrition needs</w:t>
      </w:r>
      <w:r w:rsidR="00E73577">
        <w:t>,</w:t>
      </w:r>
      <w:r>
        <w:t xml:space="preserve"> if participants choose the health service as their care provider</w:t>
      </w:r>
    </w:p>
    <w:p w14:paraId="2EFBF863" w14:textId="77777777" w:rsidR="00E94645" w:rsidRDefault="00E94645" w:rsidP="00B943A7">
      <w:pPr>
        <w:pStyle w:val="DHHSbullet1"/>
      </w:pPr>
      <w:r>
        <w:t>to identify NDIS participants, or those eligible to become participants, accessing their HEN and home TPN services and ensure NDIS-eligible activity feeds, consumables and equipment is billed to the NDIS</w:t>
      </w:r>
    </w:p>
    <w:p w14:paraId="6135980D" w14:textId="090564E2" w:rsidR="00877066" w:rsidRDefault="00403B64" w:rsidP="00FD33F6">
      <w:pPr>
        <w:pStyle w:val="DHHSbullet1lastline"/>
      </w:pPr>
      <w:r>
        <w:t>establish systems to process payments through the NDIS.</w:t>
      </w:r>
    </w:p>
    <w:p w14:paraId="601715F2" w14:textId="67C86B69" w:rsidR="006A3BB2" w:rsidRPr="00F00BCB" w:rsidRDefault="006A3BB2" w:rsidP="006A3BB2">
      <w:pPr>
        <w:pStyle w:val="Heading1"/>
      </w:pPr>
      <w:r w:rsidRPr="00F00BCB">
        <w:t>Patient eligibility</w:t>
      </w:r>
      <w:r w:rsidR="00E05956">
        <w:t xml:space="preserve"> for DHHS funded HEN </w:t>
      </w:r>
    </w:p>
    <w:p w14:paraId="70B1BBFA" w14:textId="77777777" w:rsidR="00E033D6" w:rsidRDefault="00E033D6" w:rsidP="00A33D76">
      <w:pPr>
        <w:pStyle w:val="DHHSbody"/>
      </w:pPr>
      <w:r>
        <w:t>The clinical eligibility requirements that are specified by the department are given below.</w:t>
      </w:r>
      <w:r w:rsidR="00A33D76">
        <w:tab/>
      </w:r>
    </w:p>
    <w:p w14:paraId="6D856891" w14:textId="230C55E8" w:rsidR="00A33D76" w:rsidRDefault="00A33D76" w:rsidP="00B943A7">
      <w:pPr>
        <w:pStyle w:val="DHHSbullet1"/>
      </w:pPr>
      <w:r>
        <w:t xml:space="preserve">Administration of nutritionally complete </w:t>
      </w:r>
      <w:r w:rsidR="00740DC9">
        <w:t xml:space="preserve">HPV approved </w:t>
      </w:r>
      <w:r>
        <w:t>liquid formula directly into the gastrointestinal tract via a narrow, specifically designed, tube. Enteral feeding tubes may enter the body at several different sites, including;</w:t>
      </w:r>
    </w:p>
    <w:p w14:paraId="32098188" w14:textId="7596F5B1" w:rsidR="00A33D76" w:rsidRDefault="007E2508" w:rsidP="00915DAB">
      <w:pPr>
        <w:pStyle w:val="DHHSbullet2"/>
      </w:pPr>
      <w:r>
        <w:t>n</w:t>
      </w:r>
      <w:r w:rsidR="00A33D76">
        <w:t>asal tube (nasogastric, nasoduodenal or nasojejunal)</w:t>
      </w:r>
    </w:p>
    <w:p w14:paraId="31BB05D0" w14:textId="646318AA" w:rsidR="00A33D76" w:rsidRDefault="007E2508" w:rsidP="00915DAB">
      <w:pPr>
        <w:pStyle w:val="DHHSbullet2"/>
      </w:pPr>
      <w:r>
        <w:t>o</w:t>
      </w:r>
      <w:r w:rsidR="00A33D76">
        <w:t>ral tube (orogastric)</w:t>
      </w:r>
    </w:p>
    <w:p w14:paraId="6EDADA5F" w14:textId="0E6B75C7" w:rsidR="00A33D76" w:rsidRDefault="007E2508" w:rsidP="00915DAB">
      <w:pPr>
        <w:pStyle w:val="DHHSbullet2"/>
      </w:pPr>
      <w:r>
        <w:t>t</w:t>
      </w:r>
      <w:r w:rsidR="00A33D76">
        <w:t>rans-oesophageal feeding or oesophagostomy tube</w:t>
      </w:r>
    </w:p>
    <w:p w14:paraId="5CF8583C" w14:textId="3E603EAC" w:rsidR="00A33D76" w:rsidRDefault="007E2508" w:rsidP="00915DAB">
      <w:pPr>
        <w:pStyle w:val="DHHSbullet2"/>
      </w:pPr>
      <w:r>
        <w:t>g</w:t>
      </w:r>
      <w:r w:rsidR="00E02933">
        <w:t xml:space="preserve">astrostomy or jejunostomy tubes e.g. percutaneous enteric gastrostomy (PEG), balloon replacement tubes, non-balloon replacement tubes, </w:t>
      </w:r>
      <w:r w:rsidR="008842B6">
        <w:t>and low</w:t>
      </w:r>
      <w:r w:rsidR="00E02933">
        <w:t xml:space="preserve"> profile devices.</w:t>
      </w:r>
    </w:p>
    <w:p w14:paraId="3E5DDB07" w14:textId="06BFF13D" w:rsidR="00A33D76" w:rsidRDefault="00AE51DE" w:rsidP="00B943A7">
      <w:pPr>
        <w:pStyle w:val="DHHSbullet1"/>
      </w:pPr>
      <w:r>
        <w:t xml:space="preserve">Full or </w:t>
      </w:r>
      <w:r w:rsidR="007E2508">
        <w:t>p</w:t>
      </w:r>
      <w:r w:rsidR="00A33D76">
        <w:t xml:space="preserve">artial </w:t>
      </w:r>
      <w:r w:rsidR="005F5255">
        <w:t>o</w:t>
      </w:r>
      <w:r w:rsidR="00A33D76">
        <w:t xml:space="preserve">ral </w:t>
      </w:r>
      <w:r w:rsidR="005F5255">
        <w:t>n</w:t>
      </w:r>
      <w:r w:rsidR="00A33D76">
        <w:t xml:space="preserve">utrition </w:t>
      </w:r>
      <w:r w:rsidR="005F5255">
        <w:t>s</w:t>
      </w:r>
      <w:r w:rsidR="00A33D76">
        <w:t xml:space="preserve">upport (ONS) </w:t>
      </w:r>
      <w:r w:rsidR="00740DC9">
        <w:t xml:space="preserve">providing </w:t>
      </w:r>
      <w:r w:rsidR="00A33D76">
        <w:t>greater than</w:t>
      </w:r>
      <w:r w:rsidR="00F515D0">
        <w:t xml:space="preserve"> 70 percent</w:t>
      </w:r>
      <w:r w:rsidR="00A33D76">
        <w:t xml:space="preserve"> of the person</w:t>
      </w:r>
      <w:r w:rsidR="00E033D6">
        <w:t>’</w:t>
      </w:r>
      <w:r w:rsidR="00A33D76">
        <w:t xml:space="preserve">s daily </w:t>
      </w:r>
      <w:r w:rsidR="00740DC9">
        <w:t xml:space="preserve">nutritional </w:t>
      </w:r>
      <w:r w:rsidR="00A33D76">
        <w:t>requirement</w:t>
      </w:r>
      <w:r w:rsidR="00740DC9">
        <w:t>s</w:t>
      </w:r>
      <w:r w:rsidR="00357E8E">
        <w:t xml:space="preserve"> </w:t>
      </w:r>
      <w:r w:rsidR="00E73577">
        <w:t xml:space="preserve">(that is </w:t>
      </w:r>
      <w:r w:rsidR="00357E8E">
        <w:t xml:space="preserve">unable to meet </w:t>
      </w:r>
      <w:r w:rsidR="00E73577">
        <w:t xml:space="preserve">daily nutritional requirements </w:t>
      </w:r>
      <w:r w:rsidR="00357E8E">
        <w:t>from food alone</w:t>
      </w:r>
      <w:r w:rsidR="00E73577">
        <w:t>)</w:t>
      </w:r>
      <w:r w:rsidR="00357E8E">
        <w:t xml:space="preserve"> </w:t>
      </w:r>
    </w:p>
    <w:p w14:paraId="14E2409B" w14:textId="69313A2C" w:rsidR="00A33D76" w:rsidRDefault="00A33D76" w:rsidP="00FD33F6">
      <w:pPr>
        <w:pStyle w:val="DHHSbullet1lastline"/>
      </w:pPr>
      <w:r>
        <w:t xml:space="preserve">Exclusive ONS </w:t>
      </w:r>
      <w:r w:rsidR="005F5255">
        <w:t xml:space="preserve">using nutritionally complete HPV approved liquid formula </w:t>
      </w:r>
      <w:r>
        <w:t>for specific patient grou</w:t>
      </w:r>
      <w:r w:rsidR="009E39C2">
        <w:t>ps e.g. c</w:t>
      </w:r>
      <w:r>
        <w:t xml:space="preserve">ystic </w:t>
      </w:r>
      <w:r w:rsidR="009E39C2">
        <w:t>f</w:t>
      </w:r>
      <w:r>
        <w:t>ibrosis</w:t>
      </w:r>
      <w:r w:rsidR="009E39C2">
        <w:t>, i</w:t>
      </w:r>
      <w:r>
        <w:t xml:space="preserve">nflammatory </w:t>
      </w:r>
      <w:r w:rsidR="009E39C2">
        <w:t>b</w:t>
      </w:r>
      <w:r>
        <w:t xml:space="preserve">owel </w:t>
      </w:r>
      <w:r w:rsidR="009E39C2">
        <w:t>d</w:t>
      </w:r>
      <w:r>
        <w:t>isease</w:t>
      </w:r>
      <w:r w:rsidR="009E39C2">
        <w:t>.</w:t>
      </w:r>
    </w:p>
    <w:p w14:paraId="46D547DC" w14:textId="77777777" w:rsidR="00162309" w:rsidRPr="00F00BCB" w:rsidRDefault="009E7159" w:rsidP="00DF69F3">
      <w:pPr>
        <w:pStyle w:val="DHHSbody"/>
      </w:pPr>
      <w:r>
        <w:lastRenderedPageBreak/>
        <w:t>In order to be eligible, p</w:t>
      </w:r>
      <w:r w:rsidR="00162309" w:rsidRPr="00F00BCB">
        <w:t>atients must</w:t>
      </w:r>
      <w:r>
        <w:t xml:space="preserve"> also be</w:t>
      </w:r>
      <w:r w:rsidR="00162309" w:rsidRPr="00F00BCB">
        <w:t>:</w:t>
      </w:r>
    </w:p>
    <w:p w14:paraId="7F329CAF" w14:textId="78DA2FA4" w:rsidR="00162309" w:rsidRPr="00E17A70" w:rsidRDefault="00E05956" w:rsidP="00B943A7">
      <w:pPr>
        <w:pStyle w:val="DHHSbullet1"/>
      </w:pPr>
      <w:r>
        <w:t>Medicare eligible patient</w:t>
      </w:r>
      <w:r w:rsidR="00DC16FA">
        <w:t xml:space="preserve"> who</w:t>
      </w:r>
      <w:r w:rsidR="00934EFC">
        <w:t xml:space="preserve"> </w:t>
      </w:r>
      <w:r w:rsidR="006F0834">
        <w:t xml:space="preserve">a registered patient with the </w:t>
      </w:r>
      <w:r w:rsidR="00934EFC">
        <w:t xml:space="preserve">public </w:t>
      </w:r>
      <w:r w:rsidR="006F0834">
        <w:t xml:space="preserve">health service </w:t>
      </w:r>
      <w:r w:rsidR="00934EFC" w:rsidRPr="00E17A70">
        <w:t>participating in the program</w:t>
      </w:r>
      <w:r w:rsidR="00934EFC">
        <w:t xml:space="preserve"> </w:t>
      </w:r>
      <w:r w:rsidR="006F0834">
        <w:t xml:space="preserve">and </w:t>
      </w:r>
      <w:r w:rsidR="00934EFC">
        <w:t xml:space="preserve">is </w:t>
      </w:r>
      <w:r w:rsidR="00740DC9">
        <w:t>willing to attend appointments at the health service to allow ongoing management of their nutrition</w:t>
      </w:r>
      <w:r w:rsidR="006F0834">
        <w:t xml:space="preserve"> requirements</w:t>
      </w:r>
      <w:r w:rsidR="00740DC9">
        <w:t xml:space="preserve"> </w:t>
      </w:r>
      <w:r w:rsidR="00162309" w:rsidRPr="00E17A70">
        <w:t>and</w:t>
      </w:r>
    </w:p>
    <w:p w14:paraId="53B1D6A4" w14:textId="4D99AA35" w:rsidR="00DF69F3" w:rsidRPr="00F00BCB" w:rsidRDefault="00162309" w:rsidP="00FD33F6">
      <w:pPr>
        <w:pStyle w:val="DHHSbullet1lastline"/>
      </w:pPr>
      <w:r w:rsidRPr="00F00BCB">
        <w:t xml:space="preserve">provide consent for the use of </w:t>
      </w:r>
      <w:r w:rsidR="006F0834">
        <w:t>patient</w:t>
      </w:r>
      <w:r w:rsidRPr="00F00BCB">
        <w:t xml:space="preserve"> level data for </w:t>
      </w:r>
      <w:r w:rsidR="008D7285">
        <w:t xml:space="preserve">funding, </w:t>
      </w:r>
      <w:r w:rsidRPr="00F00BCB">
        <w:t>monitoring and evaluation purposes.</w:t>
      </w:r>
    </w:p>
    <w:p w14:paraId="32123314" w14:textId="14BD9E93" w:rsidR="006A3BB2" w:rsidRPr="00F00BCB" w:rsidRDefault="001E13E1" w:rsidP="00B943A7">
      <w:pPr>
        <w:pStyle w:val="Heading2"/>
      </w:pPr>
      <w:r>
        <w:t>P</w:t>
      </w:r>
      <w:r w:rsidR="006A3BB2" w:rsidRPr="00F00BCB">
        <w:t>rivate patients</w:t>
      </w:r>
    </w:p>
    <w:p w14:paraId="6F267039" w14:textId="77777777" w:rsidR="0023610B" w:rsidRDefault="006A3BB2" w:rsidP="00434C71">
      <w:pPr>
        <w:pStyle w:val="DHHSbody"/>
      </w:pPr>
      <w:r w:rsidRPr="00F00BCB">
        <w:t xml:space="preserve">In instances where a patient has previously consented to be treated as a private </w:t>
      </w:r>
      <w:r w:rsidRPr="00B27069">
        <w:t xml:space="preserve">patient </w:t>
      </w:r>
      <w:r w:rsidR="00143597" w:rsidRPr="00B27069">
        <w:t xml:space="preserve">in a private hospital </w:t>
      </w:r>
      <w:r w:rsidRPr="00B27069">
        <w:t>a</w:t>
      </w:r>
      <w:r w:rsidRPr="00F00BCB">
        <w:t xml:space="preserve"> patient may rescind their consent and </w:t>
      </w:r>
      <w:r w:rsidR="001E13E1">
        <w:t>move to be under the care of a public health service participating in the program</w:t>
      </w:r>
      <w:r w:rsidRPr="00F00BCB">
        <w:t>.</w:t>
      </w:r>
      <w:r w:rsidR="00434C71" w:rsidRPr="00F00BCB">
        <w:t xml:space="preserve"> </w:t>
      </w:r>
    </w:p>
    <w:p w14:paraId="01538C21" w14:textId="0A88D094" w:rsidR="00434C71" w:rsidRPr="00F00BCB" w:rsidRDefault="00434C71" w:rsidP="00434C71">
      <w:pPr>
        <w:pStyle w:val="DHHSbody"/>
      </w:pPr>
      <w:r w:rsidRPr="00F00BCB">
        <w:t>If the patient meets the established clinical criteria</w:t>
      </w:r>
      <w:r w:rsidR="006F0834">
        <w:t>, is registered as a patient at the health service and is willing to attend appointments at the health service to allow ongoing management of their nutrition requirements</w:t>
      </w:r>
      <w:r w:rsidRPr="00F00BCB">
        <w:t xml:space="preserve">, the patient's referral </w:t>
      </w:r>
      <w:r w:rsidR="008D7285">
        <w:t xml:space="preserve">to move to be under the care of a public health </w:t>
      </w:r>
      <w:r w:rsidR="00EA57FA">
        <w:t xml:space="preserve">service </w:t>
      </w:r>
      <w:r w:rsidRPr="00F00BCB">
        <w:t>cannot be rejected on the basis that the patient has had</w:t>
      </w:r>
      <w:r w:rsidR="007F5A9E" w:rsidRPr="00F00BCB">
        <w:t xml:space="preserve"> treatment in</w:t>
      </w:r>
      <w:r w:rsidR="00E42213">
        <w:t xml:space="preserve"> a</w:t>
      </w:r>
      <w:r w:rsidR="007F5A9E" w:rsidRPr="00F00BCB">
        <w:t xml:space="preserve"> private hospital</w:t>
      </w:r>
      <w:r w:rsidRPr="00F00BCB">
        <w:t>.</w:t>
      </w:r>
    </w:p>
    <w:p w14:paraId="7D339132" w14:textId="77777777" w:rsidR="006A3BB2" w:rsidRPr="00F00BCB" w:rsidRDefault="006A3BB2" w:rsidP="006A3BB2">
      <w:pPr>
        <w:pStyle w:val="Heading1"/>
      </w:pPr>
      <w:r w:rsidRPr="00F00BCB">
        <w:t>What are the requirements for the health care providers?</w:t>
      </w:r>
    </w:p>
    <w:p w14:paraId="3E5628BF" w14:textId="77777777" w:rsidR="006A3BB2" w:rsidRPr="00F00BCB" w:rsidRDefault="006A3BB2" w:rsidP="00605C78">
      <w:pPr>
        <w:pStyle w:val="DHHSbody"/>
      </w:pPr>
      <w:r w:rsidRPr="00F00BCB">
        <w:t>Health care providers receiving the funding are required to:</w:t>
      </w:r>
    </w:p>
    <w:p w14:paraId="0A65F6E4" w14:textId="77777777" w:rsidR="006A3BB2" w:rsidRPr="00BB1EE7" w:rsidRDefault="006A3BB2" w:rsidP="006A6AE2">
      <w:pPr>
        <w:pStyle w:val="DHHSbullet1"/>
      </w:pPr>
      <w:r w:rsidRPr="00BB1EE7">
        <w:t>undertake clinical reviews of patients.</w:t>
      </w:r>
    </w:p>
    <w:p w14:paraId="04BD3198" w14:textId="77777777" w:rsidR="006A3BB2" w:rsidRPr="00BB1EE7" w:rsidRDefault="006A3BB2" w:rsidP="006A6AE2">
      <w:pPr>
        <w:pStyle w:val="DHHSbullet1"/>
      </w:pPr>
      <w:r w:rsidRPr="00BB1EE7">
        <w:t>provide written information to clients about services, hospital arrangements and client rights and responsibilities.</w:t>
      </w:r>
    </w:p>
    <w:p w14:paraId="51C3ED2E" w14:textId="7EDE9CCF" w:rsidR="001E13E1" w:rsidRPr="001E13E1" w:rsidRDefault="006A3BB2" w:rsidP="006A6AE2">
      <w:pPr>
        <w:pStyle w:val="DHHSbullet1"/>
      </w:pPr>
      <w:r w:rsidRPr="00F00BCB">
        <w:t xml:space="preserve">implement and adhere to the </w:t>
      </w:r>
      <w:r w:rsidR="00562351">
        <w:t xml:space="preserve">most current </w:t>
      </w:r>
      <w:r w:rsidRPr="00F00BCB">
        <w:t xml:space="preserve">best practice guidelines described by the AuSPEN </w:t>
      </w:r>
      <w:r w:rsidRPr="00F00BCB">
        <w:rPr>
          <w:i/>
        </w:rPr>
        <w:t>Clinical Practice Guidelines for Home Enteral Nutrition</w:t>
      </w:r>
      <w:r w:rsidR="00E42213">
        <w:rPr>
          <w:iCs/>
        </w:rPr>
        <w:t xml:space="preserve"> and the Dieti</w:t>
      </w:r>
      <w:r w:rsidR="008842B6">
        <w:rPr>
          <w:iCs/>
        </w:rPr>
        <w:t xml:space="preserve">cians Association of Australia </w:t>
      </w:r>
      <w:r w:rsidR="00E42213" w:rsidRPr="00E42213">
        <w:rPr>
          <w:i/>
        </w:rPr>
        <w:t>Parenteral nutrition manual for adults in health care facilities</w:t>
      </w:r>
      <w:r w:rsidR="00143597" w:rsidRPr="00BB63C1">
        <w:t>.</w:t>
      </w:r>
    </w:p>
    <w:p w14:paraId="1EE36D5D" w14:textId="77777777" w:rsidR="003B7BC2" w:rsidRDefault="001E13E1" w:rsidP="00E25DD0">
      <w:pPr>
        <w:pStyle w:val="DHHSbullet1lastline"/>
      </w:pPr>
      <w:r>
        <w:t xml:space="preserve">provide </w:t>
      </w:r>
      <w:r w:rsidRPr="00F00BCB">
        <w:t xml:space="preserve">consumer level data for </w:t>
      </w:r>
      <w:r>
        <w:t xml:space="preserve">funding, </w:t>
      </w:r>
      <w:r w:rsidRPr="00F00BCB">
        <w:t>monitoring and evaluation purposes</w:t>
      </w:r>
      <w:r w:rsidR="006A3BB2" w:rsidRPr="00F00BCB">
        <w:t>.</w:t>
      </w:r>
    </w:p>
    <w:p w14:paraId="27FED3C2" w14:textId="5AA231FF" w:rsidR="009F5B66" w:rsidRDefault="00E25DD0" w:rsidP="00E25DD0">
      <w:pPr>
        <w:pStyle w:val="DHHSbody"/>
      </w:pPr>
      <w:r>
        <w:t>Responsibility</w:t>
      </w:r>
      <w:r w:rsidR="00DC16FA">
        <w:t xml:space="preserve"> for cost-effective prescription and provision of formula</w:t>
      </w:r>
      <w:r w:rsidR="00E42213">
        <w:t>e,</w:t>
      </w:r>
      <w:r w:rsidR="00DC16FA">
        <w:t xml:space="preserve"> consumables </w:t>
      </w:r>
      <w:r w:rsidR="00E42213">
        <w:t xml:space="preserve">and equipment </w:t>
      </w:r>
      <w:r w:rsidR="00DC16FA">
        <w:t>to meet the needs of the individual patient</w:t>
      </w:r>
      <w:r w:rsidR="00E42213">
        <w:t>s.</w:t>
      </w:r>
      <w:r w:rsidR="00DC16FA">
        <w:t xml:space="preserve"> </w:t>
      </w:r>
    </w:p>
    <w:p w14:paraId="49A58C21" w14:textId="59A3795A" w:rsidR="006A3BB2" w:rsidRPr="00F00BCB" w:rsidRDefault="006A3BB2" w:rsidP="006A3BB2">
      <w:pPr>
        <w:pStyle w:val="Heading1"/>
      </w:pPr>
      <w:r w:rsidRPr="00F00BCB">
        <w:t>Further Information</w:t>
      </w:r>
    </w:p>
    <w:p w14:paraId="7EF683AD" w14:textId="6E4DF6ED" w:rsidR="00581858" w:rsidRPr="00707F78" w:rsidRDefault="006A3BB2" w:rsidP="00707F78">
      <w:pPr>
        <w:pStyle w:val="DHHSbullet1"/>
        <w:rPr>
          <w:rStyle w:val="Hyperlink"/>
          <w:color w:val="auto"/>
          <w:u w:val="none"/>
        </w:rPr>
      </w:pPr>
      <w:bookmarkStart w:id="1" w:name="_Hlk531939460"/>
      <w:r w:rsidRPr="00F00BCB">
        <w:t>Department of Health and Human Services p</w:t>
      </w:r>
      <w:r w:rsidR="001D78E3">
        <w:t>olicy and funding guidelines</w:t>
      </w:r>
      <w:r w:rsidR="00707F78">
        <w:t xml:space="preserve">: </w:t>
      </w:r>
      <w:hyperlink r:id="rId17" w:history="1">
        <w:r w:rsidR="00581858" w:rsidRPr="009A1BA7">
          <w:rPr>
            <w:rStyle w:val="Hyperlink"/>
          </w:rPr>
          <w:t>https://www.dhhs.vic.gov.au/publications/policy-and-funding-guidelines-health-and-human-services</w:t>
        </w:r>
      </w:hyperlink>
    </w:p>
    <w:bookmarkEnd w:id="1"/>
    <w:p w14:paraId="1F3BF5DA" w14:textId="77777777" w:rsidR="00F10B26" w:rsidRDefault="006A3BB2" w:rsidP="002549C7">
      <w:pPr>
        <w:pStyle w:val="DHHSbullet1"/>
      </w:pPr>
      <w:r w:rsidRPr="00F00BCB">
        <w:t>Previous hospital circulars</w:t>
      </w:r>
    </w:p>
    <w:p w14:paraId="5A5379AB" w14:textId="77777777" w:rsidR="00E80EA4" w:rsidRDefault="00B52694" w:rsidP="00915DAB">
      <w:pPr>
        <w:pStyle w:val="DHHSbullet2"/>
      </w:pPr>
      <w:hyperlink r:id="rId18" w:history="1">
        <w:r w:rsidR="00E80EA4" w:rsidRPr="00942CF3">
          <w:rPr>
            <w:rStyle w:val="Hyperlink"/>
          </w:rPr>
          <w:t>https://www2.health.vic.gov.au/about/news-and-events/hospitalcirculars/circ2305</w:t>
        </w:r>
      </w:hyperlink>
    </w:p>
    <w:p w14:paraId="4F6F8E48" w14:textId="77777777" w:rsidR="00E80EA4" w:rsidRPr="00F00BCB" w:rsidRDefault="00B52694" w:rsidP="00915DAB">
      <w:pPr>
        <w:pStyle w:val="DHHSbullet2"/>
      </w:pPr>
      <w:hyperlink r:id="rId19" w:history="1">
        <w:r w:rsidR="00E80EA4" w:rsidRPr="00D74014">
          <w:rPr>
            <w:rStyle w:val="Hyperlink"/>
          </w:rPr>
          <w:t>https://www2.health.vic.gov.au/about/news-and-events/hospitalcirculars/circ3204</w:t>
        </w:r>
      </w:hyperlink>
    </w:p>
    <w:p w14:paraId="208C356E" w14:textId="77777777" w:rsidR="00707F78" w:rsidRDefault="006A3BB2" w:rsidP="00707F78">
      <w:pPr>
        <w:pStyle w:val="DHHSbullet1"/>
        <w:rPr>
          <w:rStyle w:val="Hyperlink"/>
          <w:color w:val="auto"/>
          <w:u w:val="none"/>
        </w:rPr>
      </w:pPr>
      <w:r w:rsidRPr="00F00BCB">
        <w:t xml:space="preserve">Report </w:t>
      </w:r>
      <w:r w:rsidR="00C16988">
        <w:t>episode information</w:t>
      </w:r>
      <w:r w:rsidRPr="00F00BCB">
        <w:t xml:space="preserve"> using VINAH:</w:t>
      </w:r>
      <w:r w:rsidR="00707F78">
        <w:rPr>
          <w:rStyle w:val="Hyperlink"/>
          <w:color w:val="auto"/>
          <w:u w:val="none"/>
        </w:rPr>
        <w:t xml:space="preserve"> </w:t>
      </w:r>
    </w:p>
    <w:p w14:paraId="5380CF2B" w14:textId="3DEA7F20" w:rsidR="0067261F" w:rsidRDefault="00B52694" w:rsidP="00707F78">
      <w:pPr>
        <w:pStyle w:val="DHHSbullet1"/>
        <w:numPr>
          <w:ilvl w:val="0"/>
          <w:numId w:val="0"/>
        </w:numPr>
        <w:ind w:left="284"/>
      </w:pPr>
      <w:hyperlink r:id="rId20" w:history="1">
        <w:r w:rsidR="0067261F" w:rsidRPr="00AE2569">
          <w:rPr>
            <w:rStyle w:val="Hyperlink"/>
          </w:rPr>
          <w:t>https://www2.health.vic.gov.au/hospitals-and-health-services/data-reporting/health-data-standards-systems/data-collections/vinah</w:t>
        </w:r>
      </w:hyperlink>
    </w:p>
    <w:p w14:paraId="193A80D6" w14:textId="77777777" w:rsidR="00707F78" w:rsidRDefault="00E80EA4" w:rsidP="00707F78">
      <w:pPr>
        <w:pStyle w:val="DHHSbullet1"/>
      </w:pPr>
      <w:r w:rsidRPr="00500D62">
        <w:t xml:space="preserve">Report </w:t>
      </w:r>
      <w:r w:rsidR="00C16988">
        <w:t>episode information</w:t>
      </w:r>
      <w:r w:rsidRPr="00500D62">
        <w:t xml:space="preserve"> using AIMS S12</w:t>
      </w:r>
      <w:r w:rsidR="008E3172">
        <w:t xml:space="preserve"> form</w:t>
      </w:r>
      <w:r w:rsidRPr="00500D62">
        <w:t>:</w:t>
      </w:r>
      <w:r>
        <w:t xml:space="preserve"> </w:t>
      </w:r>
    </w:p>
    <w:p w14:paraId="0301A084" w14:textId="6E99BB30" w:rsidR="006A3BB2" w:rsidRDefault="00B52694" w:rsidP="00923414">
      <w:pPr>
        <w:pStyle w:val="DHHSbullet1"/>
        <w:numPr>
          <w:ilvl w:val="0"/>
          <w:numId w:val="0"/>
        </w:numPr>
        <w:ind w:left="284"/>
        <w:rPr>
          <w:rStyle w:val="Hyperlink"/>
        </w:rPr>
      </w:pPr>
      <w:hyperlink r:id="rId21" w:history="1">
        <w:r w:rsidR="00581858" w:rsidRPr="009A1BA7">
          <w:rPr>
            <w:rStyle w:val="Hyperlink"/>
          </w:rPr>
          <w:t>https://www2.health.vic.gov.au/hospitals-and-health-services/data-reporting/health-data-standards-systems/data-collections/aims</w:t>
        </w:r>
      </w:hyperlink>
    </w:p>
    <w:p w14:paraId="1E232F3A" w14:textId="77777777" w:rsidR="005C249F" w:rsidRDefault="005C249F" w:rsidP="00923414">
      <w:pPr>
        <w:pStyle w:val="DHHSbullet1"/>
        <w:numPr>
          <w:ilvl w:val="0"/>
          <w:numId w:val="0"/>
        </w:numPr>
        <w:ind w:left="284"/>
      </w:pPr>
    </w:p>
    <w:tbl>
      <w:tblPr>
        <w:tblW w:w="4895" w:type="pct"/>
        <w:tblCellMar>
          <w:top w:w="113" w:type="dxa"/>
          <w:bottom w:w="57" w:type="dxa"/>
        </w:tblCellMar>
        <w:tblLook w:val="0600" w:firstRow="0" w:lastRow="0" w:firstColumn="0" w:lastColumn="0" w:noHBand="1" w:noVBand="1"/>
      </w:tblPr>
      <w:tblGrid>
        <w:gridCol w:w="10201"/>
      </w:tblGrid>
      <w:tr w:rsidR="0056591B" w:rsidRPr="002802E3" w14:paraId="5C42050A" w14:textId="77777777" w:rsidTr="0056591B">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D44B7F1" w14:textId="532C8371" w:rsidR="0056591B" w:rsidRDefault="0056591B" w:rsidP="0056591B">
            <w:pPr>
              <w:spacing w:after="200" w:line="300" w:lineRule="atLeast"/>
              <w:rPr>
                <w:rFonts w:ascii="Arial" w:eastAsia="Times" w:hAnsi="Arial"/>
                <w:sz w:val="24"/>
                <w:szCs w:val="19"/>
              </w:rPr>
            </w:pPr>
            <w:r>
              <w:rPr>
                <w:rFonts w:ascii="Arial" w:eastAsia="Times" w:hAnsi="Arial"/>
                <w:sz w:val="24"/>
                <w:szCs w:val="19"/>
              </w:rPr>
              <w:lastRenderedPageBreak/>
              <w:t>To receive this publication in an accessible format email</w:t>
            </w:r>
            <w:r w:rsidR="0099772A">
              <w:rPr>
                <w:rFonts w:ascii="Arial" w:eastAsia="Times" w:hAnsi="Arial"/>
                <w:sz w:val="24"/>
                <w:szCs w:val="19"/>
              </w:rPr>
              <w:t xml:space="preserve"> </w:t>
            </w:r>
            <w:hyperlink r:id="rId22" w:history="1">
              <w:r w:rsidR="0099772A" w:rsidRPr="0099772A">
                <w:rPr>
                  <w:rStyle w:val="Hyperlink"/>
                  <w:rFonts w:ascii="Arial" w:eastAsia="Times" w:hAnsi="Arial"/>
                  <w:sz w:val="24"/>
                  <w:szCs w:val="19"/>
                </w:rPr>
                <w:t>NonAdmitted.FundingPolicy@dhhs.vic.gov.au</w:t>
              </w:r>
            </w:hyperlink>
          </w:p>
          <w:p w14:paraId="60516C52" w14:textId="77777777" w:rsidR="0056591B" w:rsidRPr="00C31117" w:rsidRDefault="0056591B" w:rsidP="0056591B">
            <w:pPr>
              <w:pStyle w:val="DHHSbody"/>
            </w:pPr>
            <w:r w:rsidRPr="00C31117">
              <w:t>Authorised and published by the Victorian Government, 1 Treasury Place, Melbourne.</w:t>
            </w:r>
          </w:p>
          <w:p w14:paraId="2EB5627A" w14:textId="415B23C6" w:rsidR="0056591B" w:rsidRPr="00C31117" w:rsidRDefault="0056591B" w:rsidP="0056591B">
            <w:pPr>
              <w:pStyle w:val="DHHSbody"/>
            </w:pPr>
            <w:r w:rsidRPr="00C31117">
              <w:t xml:space="preserve">© State of Victoria, Australia, Department of Health and Human </w:t>
            </w:r>
            <w:r w:rsidRPr="00923414">
              <w:t xml:space="preserve">Services </w:t>
            </w:r>
            <w:r w:rsidR="00923414" w:rsidRPr="00923414">
              <w:t>June 2020</w:t>
            </w:r>
            <w:r w:rsidRPr="00923414">
              <w:t>.</w:t>
            </w:r>
          </w:p>
          <w:p w14:paraId="5B621164" w14:textId="2E3FABF3" w:rsidR="0056591B" w:rsidRPr="00923414" w:rsidRDefault="0056591B" w:rsidP="0056591B">
            <w:pPr>
              <w:pStyle w:val="DHHSbody"/>
              <w:rPr>
                <w:color w:val="000000"/>
                <w:szCs w:val="19"/>
              </w:rPr>
            </w:pPr>
            <w:r w:rsidRPr="00C31117">
              <w:rPr>
                <w:szCs w:val="19"/>
              </w:rPr>
              <w:t xml:space="preserve">Available at </w:t>
            </w:r>
            <w:hyperlink r:id="rId23" w:history="1">
              <w:r w:rsidR="00923414" w:rsidRPr="00923414">
                <w:rPr>
                  <w:rStyle w:val="Hyperlink"/>
                </w:rPr>
                <w:t>https://www2.health.vic.gov.au/hospitals-and-health-services/funding-performance-accountability/pricing-funding-framework/funding-policy/non-admitted</w:t>
              </w:r>
            </w:hyperlink>
          </w:p>
        </w:tc>
      </w:tr>
    </w:tbl>
    <w:p w14:paraId="4439B8E4" w14:textId="77777777" w:rsidR="0056591B" w:rsidRPr="006A3BB2" w:rsidRDefault="0056591B" w:rsidP="00D66CE9">
      <w:pPr>
        <w:pStyle w:val="DHHSbody"/>
      </w:pPr>
    </w:p>
    <w:sectPr w:rsidR="0056591B" w:rsidRPr="006A3BB2" w:rsidSect="00F01E5F">
      <w:headerReference w:type="even" r:id="rId24"/>
      <w:headerReference w:type="default" r:id="rId25"/>
      <w:footerReference w:type="default" r:id="rId26"/>
      <w:headerReference w:type="first" r:id="rId2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E7AF5" w14:textId="77777777" w:rsidR="00923414" w:rsidRDefault="00923414">
      <w:r>
        <w:separator/>
      </w:r>
    </w:p>
  </w:endnote>
  <w:endnote w:type="continuationSeparator" w:id="0">
    <w:p w14:paraId="73C3AE9C" w14:textId="77777777" w:rsidR="00923414" w:rsidRDefault="00923414">
      <w:r>
        <w:continuationSeparator/>
      </w:r>
    </w:p>
  </w:endnote>
  <w:endnote w:type="continuationNotice" w:id="1">
    <w:p w14:paraId="4254EA2B" w14:textId="77777777" w:rsidR="00923414" w:rsidRDefault="00923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41EC" w14:textId="77777777" w:rsidR="00B52694" w:rsidRDefault="00B52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6759" w14:textId="77777777" w:rsidR="00923414" w:rsidRPr="00F65AA9" w:rsidRDefault="00923414" w:rsidP="0051568D">
    <w:pPr>
      <w:pStyle w:val="DHHSfooter"/>
    </w:pPr>
    <w:r>
      <w:rPr>
        <w:noProof/>
        <w:lang w:eastAsia="en-AU"/>
      </w:rPr>
      <w:drawing>
        <wp:anchor distT="0" distB="0" distL="114300" distR="114300" simplePos="0" relativeHeight="251657728" behindDoc="0" locked="1" layoutInCell="0" allowOverlap="1" wp14:anchorId="1899EAA6" wp14:editId="63CBAFDB">
          <wp:simplePos x="0" y="0"/>
          <wp:positionH relativeFrom="page">
            <wp:posOffset>0</wp:posOffset>
          </wp:positionH>
          <wp:positionV relativeFrom="page">
            <wp:posOffset>9901555</wp:posOffset>
          </wp:positionV>
          <wp:extent cx="7561580" cy="791210"/>
          <wp:effectExtent l="0" t="0" r="0" b="0"/>
          <wp:wrapNone/>
          <wp:docPr id="5" name="Picture 5"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DF25" w14:textId="77777777" w:rsidR="00B52694" w:rsidRDefault="00B52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8EB3" w14:textId="30672EAB" w:rsidR="00923414" w:rsidRDefault="00923414" w:rsidP="00EB289A">
    <w:pPr>
      <w:pStyle w:val="DHHSfooter"/>
    </w:pPr>
    <w:r>
      <w:t>Home-delivered enteral nutrition and total parenteral nutrition:</w:t>
    </w:r>
  </w:p>
  <w:p w14:paraId="19B8720B" w14:textId="682DED24" w:rsidR="00923414" w:rsidRPr="00A11421" w:rsidRDefault="00923414" w:rsidP="00EB289A">
    <w:pPr>
      <w:pStyle w:val="DHHSfooter"/>
    </w:pPr>
    <w:r>
      <w:t>Funding arrangements for Victorian public health services</w:t>
    </w:r>
    <w:r w:rsidRPr="00A11421">
      <w:tab/>
    </w:r>
    <w:r w:rsidRPr="00A11421">
      <w:fldChar w:fldCharType="begin"/>
    </w:r>
    <w:r w:rsidRPr="00A11421">
      <w:instrText xml:space="preserve"> PAGE </w:instrText>
    </w:r>
    <w:r w:rsidRPr="00A11421">
      <w:fldChar w:fldCharType="separate"/>
    </w:r>
    <w:r w:rsidR="005B3431">
      <w:rPr>
        <w:noProof/>
      </w:rPr>
      <w:t>5</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3D639" w14:textId="77777777" w:rsidR="00923414" w:rsidRDefault="00923414" w:rsidP="002862F1">
      <w:pPr>
        <w:spacing w:before="120"/>
      </w:pPr>
      <w:r>
        <w:separator/>
      </w:r>
    </w:p>
  </w:footnote>
  <w:footnote w:type="continuationSeparator" w:id="0">
    <w:p w14:paraId="172828CF" w14:textId="77777777" w:rsidR="00923414" w:rsidRDefault="00923414">
      <w:r>
        <w:continuationSeparator/>
      </w:r>
    </w:p>
  </w:footnote>
  <w:footnote w:type="continuationNotice" w:id="1">
    <w:p w14:paraId="606B086B" w14:textId="77777777" w:rsidR="00923414" w:rsidRDefault="00923414"/>
  </w:footnote>
  <w:footnote w:id="2">
    <w:p w14:paraId="1E6F726F" w14:textId="1779860B" w:rsidR="00923414" w:rsidRDefault="001B757E">
      <w:pPr>
        <w:pStyle w:val="FootnoteText"/>
      </w:pPr>
      <w:r>
        <w:rPr>
          <w:rStyle w:val="FootnoteReference"/>
        </w:rPr>
        <w:footnoteRef/>
      </w:r>
      <w:r w:rsidR="00923414">
        <w:t xml:space="preserve"> Independent Hospital Pricing Authority 2019, </w:t>
      </w:r>
      <w:r w:rsidR="00923414" w:rsidRPr="0023610B">
        <w:rPr>
          <w:i/>
          <w:iCs/>
        </w:rPr>
        <w:t>Tier 2 Non-admitted services definition manual 2019–20</w:t>
      </w:r>
      <w:r w:rsidR="00923414">
        <w:t>, Independent Hospital Pricing Authority, Sydney</w:t>
      </w:r>
    </w:p>
  </w:footnote>
  <w:footnote w:id="3">
    <w:p w14:paraId="18263E53" w14:textId="1DB2C545" w:rsidR="00923414" w:rsidRDefault="00923414" w:rsidP="002407EB">
      <w:pPr>
        <w:pStyle w:val="FootnoteText"/>
      </w:pPr>
      <w:r w:rsidRPr="00FF2E48">
        <w:rPr>
          <w:rStyle w:val="FootnoteReference"/>
        </w:rPr>
        <w:footnoteRef/>
      </w:r>
      <w:r w:rsidRPr="00FF2E48">
        <w:t xml:space="preserve"> </w:t>
      </w:r>
      <w:r>
        <w:t xml:space="preserve">Department of Health and Human Services, 2019 </w:t>
      </w:r>
      <w:r>
        <w:rPr>
          <w:i/>
        </w:rPr>
        <w:t xml:space="preserve">Policy and funding guidelines </w:t>
      </w:r>
      <w:r>
        <w:t>Government of Victoria, Melbourne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30CB" w14:textId="77777777" w:rsidR="00B52694" w:rsidRDefault="00B52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D82D" w14:textId="77777777" w:rsidR="00B52694" w:rsidRDefault="00B52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A335" w14:textId="77777777" w:rsidR="00B52694" w:rsidRDefault="00B52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0036" w14:textId="219F5F82" w:rsidR="00923414" w:rsidRDefault="009234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9990" w14:textId="7A1FCDCC" w:rsidR="00923414" w:rsidRPr="00A04F11" w:rsidRDefault="00923414" w:rsidP="00A04F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AB20" w14:textId="5B533183" w:rsidR="00923414" w:rsidRDefault="00923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872294E"/>
    <w:multiLevelType w:val="hybridMultilevel"/>
    <w:tmpl w:val="83F26202"/>
    <w:lvl w:ilvl="0" w:tplc="5728252A">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5728252A">
      <w:start w:val="1"/>
      <w:numFmt w:val="bullet"/>
      <w:lvlText w:val=""/>
      <w:lvlJc w:val="left"/>
      <w:pPr>
        <w:ind w:left="3240" w:hanging="360"/>
      </w:pPr>
      <w:rPr>
        <w:rFonts w:ascii="Symbol" w:hAnsi="Symbol" w:hint="default"/>
        <w:color w:val="auto"/>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0CF24647"/>
    <w:multiLevelType w:val="hybridMultilevel"/>
    <w:tmpl w:val="C0A02EBA"/>
    <w:lvl w:ilvl="0" w:tplc="EBFA98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5728252A">
      <w:start w:val="1"/>
      <w:numFmt w:val="bullet"/>
      <w:lvlText w:val=""/>
      <w:lvlJc w:val="left"/>
      <w:pPr>
        <w:ind w:left="2880" w:hanging="360"/>
      </w:pPr>
      <w:rPr>
        <w:rFonts w:ascii="Symbol" w:hAnsi="Symbol" w:hint="default"/>
        <w:color w:val="auto"/>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B4F81"/>
    <w:multiLevelType w:val="hybridMultilevel"/>
    <w:tmpl w:val="77F69972"/>
    <w:lvl w:ilvl="0" w:tplc="06404342">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5728252A">
      <w:start w:val="1"/>
      <w:numFmt w:val="bullet"/>
      <w:lvlText w:val=""/>
      <w:lvlJc w:val="left"/>
      <w:pPr>
        <w:ind w:left="3240" w:hanging="360"/>
      </w:pPr>
      <w:rPr>
        <w:rFonts w:ascii="Symbol" w:hAnsi="Symbol" w:hint="default"/>
        <w:color w:val="auto"/>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3B2D0C"/>
    <w:multiLevelType w:val="hybridMultilevel"/>
    <w:tmpl w:val="B09A87B2"/>
    <w:lvl w:ilvl="0" w:tplc="A970B6A4">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5728252A">
      <w:start w:val="1"/>
      <w:numFmt w:val="bullet"/>
      <w:lvlText w:val=""/>
      <w:lvlJc w:val="left"/>
      <w:pPr>
        <w:ind w:left="2880" w:hanging="360"/>
      </w:pPr>
      <w:rPr>
        <w:rFonts w:ascii="Symbol" w:hAnsi="Symbol" w:hint="default"/>
        <w:color w:val="auto"/>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029E0"/>
    <w:multiLevelType w:val="multilevel"/>
    <w:tmpl w:val="4BB61AF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C796731"/>
    <w:multiLevelType w:val="hybridMultilevel"/>
    <w:tmpl w:val="29201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3216F5"/>
    <w:multiLevelType w:val="hybridMultilevel"/>
    <w:tmpl w:val="BB089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429F2258"/>
    <w:multiLevelType w:val="hybridMultilevel"/>
    <w:tmpl w:val="6510A6BC"/>
    <w:lvl w:ilvl="0" w:tplc="EF5ACE58">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5728252A">
      <w:start w:val="1"/>
      <w:numFmt w:val="bullet"/>
      <w:lvlText w:val=""/>
      <w:lvlJc w:val="left"/>
      <w:pPr>
        <w:ind w:left="2880" w:hanging="360"/>
      </w:pPr>
      <w:rPr>
        <w:rFonts w:ascii="Symbol" w:hAnsi="Symbol" w:hint="default"/>
        <w:color w:val="auto"/>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BA1E5A"/>
    <w:multiLevelType w:val="multilevel"/>
    <w:tmpl w:val="0E3EC88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6F128D0"/>
    <w:multiLevelType w:val="hybridMultilevel"/>
    <w:tmpl w:val="87F8D6A8"/>
    <w:lvl w:ilvl="0" w:tplc="064043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E6B58"/>
    <w:multiLevelType w:val="multilevel"/>
    <w:tmpl w:val="4BB61AF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8345837"/>
    <w:multiLevelType w:val="hybridMultilevel"/>
    <w:tmpl w:val="152A34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9"/>
  </w:num>
  <w:num w:numId="10">
    <w:abstractNumId w:val="7"/>
  </w:num>
  <w:num w:numId="11">
    <w:abstractNumId w:val="14"/>
  </w:num>
  <w:num w:numId="12">
    <w:abstractNumId w:val="13"/>
  </w:num>
  <w:num w:numId="13">
    <w:abstractNumId w:val="5"/>
  </w:num>
  <w:num w:numId="14">
    <w:abstractNumId w:val="2"/>
  </w:num>
  <w:num w:numId="15">
    <w:abstractNumId w:val="4"/>
  </w:num>
  <w:num w:numId="16">
    <w:abstractNumId w:val="6"/>
  </w:num>
  <w:num w:numId="17">
    <w:abstractNumId w:val="11"/>
  </w:num>
  <w:num w:numId="18">
    <w:abstractNumId w:val="15"/>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BB2"/>
    <w:rsid w:val="00006FDF"/>
    <w:rsid w:val="000072B6"/>
    <w:rsid w:val="0001021B"/>
    <w:rsid w:val="00011D89"/>
    <w:rsid w:val="00024D89"/>
    <w:rsid w:val="000250B6"/>
    <w:rsid w:val="00032486"/>
    <w:rsid w:val="00033D81"/>
    <w:rsid w:val="00041BF0"/>
    <w:rsid w:val="0004536B"/>
    <w:rsid w:val="00046B68"/>
    <w:rsid w:val="000527DD"/>
    <w:rsid w:val="000578B2"/>
    <w:rsid w:val="00060959"/>
    <w:rsid w:val="0006577B"/>
    <w:rsid w:val="000663CD"/>
    <w:rsid w:val="000733FE"/>
    <w:rsid w:val="00074219"/>
    <w:rsid w:val="00074ED5"/>
    <w:rsid w:val="00082D7B"/>
    <w:rsid w:val="0009113B"/>
    <w:rsid w:val="00094DA3"/>
    <w:rsid w:val="00096CD1"/>
    <w:rsid w:val="00097EF9"/>
    <w:rsid w:val="000A012C"/>
    <w:rsid w:val="000A0EB9"/>
    <w:rsid w:val="000A101E"/>
    <w:rsid w:val="000A1332"/>
    <w:rsid w:val="000A186C"/>
    <w:rsid w:val="000B23FD"/>
    <w:rsid w:val="000B424A"/>
    <w:rsid w:val="000B543D"/>
    <w:rsid w:val="000B5BF7"/>
    <w:rsid w:val="000B6BC8"/>
    <w:rsid w:val="000C42EA"/>
    <w:rsid w:val="000C4546"/>
    <w:rsid w:val="000D1242"/>
    <w:rsid w:val="000E176A"/>
    <w:rsid w:val="000E2198"/>
    <w:rsid w:val="000E3CC7"/>
    <w:rsid w:val="000E6501"/>
    <w:rsid w:val="000E6BD4"/>
    <w:rsid w:val="000F1F1E"/>
    <w:rsid w:val="000F2259"/>
    <w:rsid w:val="000F6B29"/>
    <w:rsid w:val="0010392D"/>
    <w:rsid w:val="0010447F"/>
    <w:rsid w:val="00104FE3"/>
    <w:rsid w:val="00105C9A"/>
    <w:rsid w:val="00120BD3"/>
    <w:rsid w:val="00122FEA"/>
    <w:rsid w:val="001232BD"/>
    <w:rsid w:val="00124ED5"/>
    <w:rsid w:val="00136BF1"/>
    <w:rsid w:val="00143597"/>
    <w:rsid w:val="001447B3"/>
    <w:rsid w:val="00152073"/>
    <w:rsid w:val="00161939"/>
    <w:rsid w:val="00161AA0"/>
    <w:rsid w:val="00162093"/>
    <w:rsid w:val="00162309"/>
    <w:rsid w:val="0016399E"/>
    <w:rsid w:val="001657D3"/>
    <w:rsid w:val="001771DD"/>
    <w:rsid w:val="00177995"/>
    <w:rsid w:val="00177A8C"/>
    <w:rsid w:val="0018678F"/>
    <w:rsid w:val="00186B33"/>
    <w:rsid w:val="00192F9D"/>
    <w:rsid w:val="00196EB8"/>
    <w:rsid w:val="001979FF"/>
    <w:rsid w:val="00197B17"/>
    <w:rsid w:val="001A33FF"/>
    <w:rsid w:val="001A3ACE"/>
    <w:rsid w:val="001B04A2"/>
    <w:rsid w:val="001B757E"/>
    <w:rsid w:val="001C277E"/>
    <w:rsid w:val="001C2A72"/>
    <w:rsid w:val="001D0B75"/>
    <w:rsid w:val="001D3C09"/>
    <w:rsid w:val="001D44E8"/>
    <w:rsid w:val="001D60EC"/>
    <w:rsid w:val="001D6259"/>
    <w:rsid w:val="001D78E3"/>
    <w:rsid w:val="001E13E1"/>
    <w:rsid w:val="001E44DF"/>
    <w:rsid w:val="001E68A5"/>
    <w:rsid w:val="001E6BB0"/>
    <w:rsid w:val="001F3826"/>
    <w:rsid w:val="001F3A03"/>
    <w:rsid w:val="001F6E46"/>
    <w:rsid w:val="001F7C91"/>
    <w:rsid w:val="0020208F"/>
    <w:rsid w:val="0020573F"/>
    <w:rsid w:val="00206463"/>
    <w:rsid w:val="00206F2F"/>
    <w:rsid w:val="0021053D"/>
    <w:rsid w:val="00210A92"/>
    <w:rsid w:val="00216C03"/>
    <w:rsid w:val="00220C04"/>
    <w:rsid w:val="0022278D"/>
    <w:rsid w:val="00225497"/>
    <w:rsid w:val="0022701F"/>
    <w:rsid w:val="002333F5"/>
    <w:rsid w:val="00233724"/>
    <w:rsid w:val="0023610B"/>
    <w:rsid w:val="002407EB"/>
    <w:rsid w:val="002432E1"/>
    <w:rsid w:val="00246207"/>
    <w:rsid w:val="00246C5E"/>
    <w:rsid w:val="00247E63"/>
    <w:rsid w:val="00251343"/>
    <w:rsid w:val="002549C7"/>
    <w:rsid w:val="00254F58"/>
    <w:rsid w:val="002566F8"/>
    <w:rsid w:val="00257F07"/>
    <w:rsid w:val="002620BC"/>
    <w:rsid w:val="00262802"/>
    <w:rsid w:val="00262DF3"/>
    <w:rsid w:val="00263A90"/>
    <w:rsid w:val="0026408B"/>
    <w:rsid w:val="00264159"/>
    <w:rsid w:val="0026709A"/>
    <w:rsid w:val="002670BA"/>
    <w:rsid w:val="00267C3E"/>
    <w:rsid w:val="002709BB"/>
    <w:rsid w:val="00274630"/>
    <w:rsid w:val="002763B3"/>
    <w:rsid w:val="002802E3"/>
    <w:rsid w:val="0028213D"/>
    <w:rsid w:val="002862F1"/>
    <w:rsid w:val="00291373"/>
    <w:rsid w:val="00292ECD"/>
    <w:rsid w:val="0029369E"/>
    <w:rsid w:val="0029597D"/>
    <w:rsid w:val="002962C3"/>
    <w:rsid w:val="0029752B"/>
    <w:rsid w:val="002A483C"/>
    <w:rsid w:val="002B1729"/>
    <w:rsid w:val="002B4DD4"/>
    <w:rsid w:val="002B5277"/>
    <w:rsid w:val="002B5375"/>
    <w:rsid w:val="002B77C1"/>
    <w:rsid w:val="002C1CD5"/>
    <w:rsid w:val="002C2728"/>
    <w:rsid w:val="002D2335"/>
    <w:rsid w:val="002D5006"/>
    <w:rsid w:val="002E01D0"/>
    <w:rsid w:val="002E0D33"/>
    <w:rsid w:val="002E161D"/>
    <w:rsid w:val="002E3100"/>
    <w:rsid w:val="002E609E"/>
    <w:rsid w:val="002E6C95"/>
    <w:rsid w:val="002E7C36"/>
    <w:rsid w:val="002F5F31"/>
    <w:rsid w:val="002F5F46"/>
    <w:rsid w:val="0030155B"/>
    <w:rsid w:val="00302216"/>
    <w:rsid w:val="00303E53"/>
    <w:rsid w:val="00306E5F"/>
    <w:rsid w:val="00307E14"/>
    <w:rsid w:val="00314054"/>
    <w:rsid w:val="00316F27"/>
    <w:rsid w:val="0032280E"/>
    <w:rsid w:val="00327870"/>
    <w:rsid w:val="0033259D"/>
    <w:rsid w:val="003406C6"/>
    <w:rsid w:val="003418CC"/>
    <w:rsid w:val="003459BD"/>
    <w:rsid w:val="00350D38"/>
    <w:rsid w:val="00351B36"/>
    <w:rsid w:val="003559F4"/>
    <w:rsid w:val="00357B4E"/>
    <w:rsid w:val="00357E8E"/>
    <w:rsid w:val="00362786"/>
    <w:rsid w:val="003732AF"/>
    <w:rsid w:val="003744CF"/>
    <w:rsid w:val="00374717"/>
    <w:rsid w:val="0037676C"/>
    <w:rsid w:val="003829E5"/>
    <w:rsid w:val="003956CC"/>
    <w:rsid w:val="00395C9A"/>
    <w:rsid w:val="003A4CEA"/>
    <w:rsid w:val="003A6B67"/>
    <w:rsid w:val="003A7974"/>
    <w:rsid w:val="003B0492"/>
    <w:rsid w:val="003B15E6"/>
    <w:rsid w:val="003B7BC2"/>
    <w:rsid w:val="003C2045"/>
    <w:rsid w:val="003C43A1"/>
    <w:rsid w:val="003C4FC0"/>
    <w:rsid w:val="003C55F4"/>
    <w:rsid w:val="003C7A3F"/>
    <w:rsid w:val="003D2766"/>
    <w:rsid w:val="003D3E8F"/>
    <w:rsid w:val="003D5129"/>
    <w:rsid w:val="003D6475"/>
    <w:rsid w:val="003F0445"/>
    <w:rsid w:val="003F0CF0"/>
    <w:rsid w:val="003F14B1"/>
    <w:rsid w:val="003F3289"/>
    <w:rsid w:val="003F6830"/>
    <w:rsid w:val="00401FCF"/>
    <w:rsid w:val="00403B64"/>
    <w:rsid w:val="00406285"/>
    <w:rsid w:val="004148F9"/>
    <w:rsid w:val="00414C06"/>
    <w:rsid w:val="0042084E"/>
    <w:rsid w:val="00421EEF"/>
    <w:rsid w:val="00424D65"/>
    <w:rsid w:val="00425453"/>
    <w:rsid w:val="004269B1"/>
    <w:rsid w:val="00434C71"/>
    <w:rsid w:val="00437ECE"/>
    <w:rsid w:val="00442C6C"/>
    <w:rsid w:val="00443CBE"/>
    <w:rsid w:val="00443E8A"/>
    <w:rsid w:val="004441BC"/>
    <w:rsid w:val="004468B4"/>
    <w:rsid w:val="0045230A"/>
    <w:rsid w:val="00457337"/>
    <w:rsid w:val="00467392"/>
    <w:rsid w:val="004726EB"/>
    <w:rsid w:val="0047372D"/>
    <w:rsid w:val="004743DD"/>
    <w:rsid w:val="00474CEA"/>
    <w:rsid w:val="00483968"/>
    <w:rsid w:val="00484F86"/>
    <w:rsid w:val="00486EA1"/>
    <w:rsid w:val="00490746"/>
    <w:rsid w:val="00490852"/>
    <w:rsid w:val="00492F30"/>
    <w:rsid w:val="004946F4"/>
    <w:rsid w:val="0049487E"/>
    <w:rsid w:val="00495117"/>
    <w:rsid w:val="004A160D"/>
    <w:rsid w:val="004A3E81"/>
    <w:rsid w:val="004A4B50"/>
    <w:rsid w:val="004A5C62"/>
    <w:rsid w:val="004A707D"/>
    <w:rsid w:val="004C2D04"/>
    <w:rsid w:val="004C476B"/>
    <w:rsid w:val="004C4C7E"/>
    <w:rsid w:val="004C6EEE"/>
    <w:rsid w:val="004C702B"/>
    <w:rsid w:val="004D016B"/>
    <w:rsid w:val="004D1B22"/>
    <w:rsid w:val="004D36F2"/>
    <w:rsid w:val="004E138F"/>
    <w:rsid w:val="004E4649"/>
    <w:rsid w:val="004E5728"/>
    <w:rsid w:val="004E5C2B"/>
    <w:rsid w:val="004F00DD"/>
    <w:rsid w:val="004F2133"/>
    <w:rsid w:val="004F27C0"/>
    <w:rsid w:val="004F55F1"/>
    <w:rsid w:val="004F6936"/>
    <w:rsid w:val="00500D62"/>
    <w:rsid w:val="00503DC6"/>
    <w:rsid w:val="00506F5D"/>
    <w:rsid w:val="005126D0"/>
    <w:rsid w:val="0051568D"/>
    <w:rsid w:val="0052457B"/>
    <w:rsid w:val="00526C15"/>
    <w:rsid w:val="00533AAD"/>
    <w:rsid w:val="00536499"/>
    <w:rsid w:val="00543903"/>
    <w:rsid w:val="00543F11"/>
    <w:rsid w:val="00544EF3"/>
    <w:rsid w:val="00547A95"/>
    <w:rsid w:val="00552C8E"/>
    <w:rsid w:val="00560F57"/>
    <w:rsid w:val="00562351"/>
    <w:rsid w:val="0056591B"/>
    <w:rsid w:val="00572031"/>
    <w:rsid w:val="00576E84"/>
    <w:rsid w:val="00581858"/>
    <w:rsid w:val="00582B8C"/>
    <w:rsid w:val="0058757E"/>
    <w:rsid w:val="00596A4B"/>
    <w:rsid w:val="00597507"/>
    <w:rsid w:val="005B21B6"/>
    <w:rsid w:val="005B3431"/>
    <w:rsid w:val="005B3A08"/>
    <w:rsid w:val="005B7A63"/>
    <w:rsid w:val="005C0955"/>
    <w:rsid w:val="005C249F"/>
    <w:rsid w:val="005C287B"/>
    <w:rsid w:val="005C49DA"/>
    <w:rsid w:val="005C50F3"/>
    <w:rsid w:val="005C517E"/>
    <w:rsid w:val="005C5D91"/>
    <w:rsid w:val="005C661B"/>
    <w:rsid w:val="005D07B8"/>
    <w:rsid w:val="005D6597"/>
    <w:rsid w:val="005E14E7"/>
    <w:rsid w:val="005E26A3"/>
    <w:rsid w:val="005E2F16"/>
    <w:rsid w:val="005E447E"/>
    <w:rsid w:val="005F0775"/>
    <w:rsid w:val="005F0CF5"/>
    <w:rsid w:val="005F21EB"/>
    <w:rsid w:val="005F5255"/>
    <w:rsid w:val="00605908"/>
    <w:rsid w:val="00605C78"/>
    <w:rsid w:val="00610D7C"/>
    <w:rsid w:val="00613414"/>
    <w:rsid w:val="0061692A"/>
    <w:rsid w:val="0062408D"/>
    <w:rsid w:val="006240CC"/>
    <w:rsid w:val="00627DA7"/>
    <w:rsid w:val="006314F6"/>
    <w:rsid w:val="006358B4"/>
    <w:rsid w:val="006372C2"/>
    <w:rsid w:val="006419AA"/>
    <w:rsid w:val="00644B7E"/>
    <w:rsid w:val="006454E6"/>
    <w:rsid w:val="006462CD"/>
    <w:rsid w:val="00646A68"/>
    <w:rsid w:val="0065041A"/>
    <w:rsid w:val="0065092E"/>
    <w:rsid w:val="006557A7"/>
    <w:rsid w:val="00655F85"/>
    <w:rsid w:val="00656290"/>
    <w:rsid w:val="006621D7"/>
    <w:rsid w:val="0066302A"/>
    <w:rsid w:val="00670597"/>
    <w:rsid w:val="006706D0"/>
    <w:rsid w:val="0067261F"/>
    <w:rsid w:val="00677574"/>
    <w:rsid w:val="0068454C"/>
    <w:rsid w:val="00691763"/>
    <w:rsid w:val="00691B62"/>
    <w:rsid w:val="00693D14"/>
    <w:rsid w:val="006A18C2"/>
    <w:rsid w:val="006A2E17"/>
    <w:rsid w:val="006A3BB2"/>
    <w:rsid w:val="006A6AE2"/>
    <w:rsid w:val="006B077C"/>
    <w:rsid w:val="006B0FE7"/>
    <w:rsid w:val="006B1C18"/>
    <w:rsid w:val="006B6803"/>
    <w:rsid w:val="006C4ED3"/>
    <w:rsid w:val="006D2A3F"/>
    <w:rsid w:val="006D2FBC"/>
    <w:rsid w:val="006E138B"/>
    <w:rsid w:val="006E3FCA"/>
    <w:rsid w:val="006F0834"/>
    <w:rsid w:val="006F1FDC"/>
    <w:rsid w:val="006F37E9"/>
    <w:rsid w:val="007013EF"/>
    <w:rsid w:val="00707109"/>
    <w:rsid w:val="00707F78"/>
    <w:rsid w:val="007173CA"/>
    <w:rsid w:val="007216AA"/>
    <w:rsid w:val="00721AB5"/>
    <w:rsid w:val="00721DEF"/>
    <w:rsid w:val="00724A43"/>
    <w:rsid w:val="00732727"/>
    <w:rsid w:val="007346E4"/>
    <w:rsid w:val="00740DC9"/>
    <w:rsid w:val="00740F22"/>
    <w:rsid w:val="00741F1A"/>
    <w:rsid w:val="007450F8"/>
    <w:rsid w:val="0074608E"/>
    <w:rsid w:val="0074696E"/>
    <w:rsid w:val="00750135"/>
    <w:rsid w:val="007508FD"/>
    <w:rsid w:val="00750EC2"/>
    <w:rsid w:val="00751B1D"/>
    <w:rsid w:val="00752B28"/>
    <w:rsid w:val="00754E36"/>
    <w:rsid w:val="007554F6"/>
    <w:rsid w:val="007617E1"/>
    <w:rsid w:val="00763139"/>
    <w:rsid w:val="00770F37"/>
    <w:rsid w:val="00770FAB"/>
    <w:rsid w:val="007711A0"/>
    <w:rsid w:val="00771293"/>
    <w:rsid w:val="00772D5E"/>
    <w:rsid w:val="00776928"/>
    <w:rsid w:val="00785677"/>
    <w:rsid w:val="00786F16"/>
    <w:rsid w:val="00796E20"/>
    <w:rsid w:val="00797C32"/>
    <w:rsid w:val="007B0914"/>
    <w:rsid w:val="007B1374"/>
    <w:rsid w:val="007B589F"/>
    <w:rsid w:val="007B6186"/>
    <w:rsid w:val="007B73BC"/>
    <w:rsid w:val="007B7403"/>
    <w:rsid w:val="007C20B9"/>
    <w:rsid w:val="007C4DED"/>
    <w:rsid w:val="007C7301"/>
    <w:rsid w:val="007C7859"/>
    <w:rsid w:val="007D04E7"/>
    <w:rsid w:val="007D2BDE"/>
    <w:rsid w:val="007D2FB6"/>
    <w:rsid w:val="007E0DE2"/>
    <w:rsid w:val="007E2508"/>
    <w:rsid w:val="007E3B98"/>
    <w:rsid w:val="007F31B6"/>
    <w:rsid w:val="007F546C"/>
    <w:rsid w:val="007F5A9E"/>
    <w:rsid w:val="007F625F"/>
    <w:rsid w:val="007F665E"/>
    <w:rsid w:val="00800412"/>
    <w:rsid w:val="0080587B"/>
    <w:rsid w:val="00806468"/>
    <w:rsid w:val="008155F0"/>
    <w:rsid w:val="00816735"/>
    <w:rsid w:val="00816927"/>
    <w:rsid w:val="00820141"/>
    <w:rsid w:val="00820E0C"/>
    <w:rsid w:val="008338A2"/>
    <w:rsid w:val="00841AA9"/>
    <w:rsid w:val="0084393A"/>
    <w:rsid w:val="008473A4"/>
    <w:rsid w:val="00853EE4"/>
    <w:rsid w:val="00855535"/>
    <w:rsid w:val="0086255E"/>
    <w:rsid w:val="008633F0"/>
    <w:rsid w:val="008635B3"/>
    <w:rsid w:val="00867D9D"/>
    <w:rsid w:val="00872813"/>
    <w:rsid w:val="00872E0A"/>
    <w:rsid w:val="00875285"/>
    <w:rsid w:val="00877066"/>
    <w:rsid w:val="008814CE"/>
    <w:rsid w:val="008842B6"/>
    <w:rsid w:val="00884B62"/>
    <w:rsid w:val="0088529C"/>
    <w:rsid w:val="00887903"/>
    <w:rsid w:val="0089270A"/>
    <w:rsid w:val="00893AF6"/>
    <w:rsid w:val="00894BC4"/>
    <w:rsid w:val="0089594F"/>
    <w:rsid w:val="008A5B32"/>
    <w:rsid w:val="008A71C6"/>
    <w:rsid w:val="008B2EE4"/>
    <w:rsid w:val="008B3E0F"/>
    <w:rsid w:val="008B420A"/>
    <w:rsid w:val="008B4D3D"/>
    <w:rsid w:val="008B57C7"/>
    <w:rsid w:val="008C1717"/>
    <w:rsid w:val="008C19F1"/>
    <w:rsid w:val="008C2F92"/>
    <w:rsid w:val="008D2846"/>
    <w:rsid w:val="008D4236"/>
    <w:rsid w:val="008D462F"/>
    <w:rsid w:val="008D6DCF"/>
    <w:rsid w:val="008D7285"/>
    <w:rsid w:val="008E3172"/>
    <w:rsid w:val="008E4376"/>
    <w:rsid w:val="008E7A0A"/>
    <w:rsid w:val="008E7DEB"/>
    <w:rsid w:val="008F69D3"/>
    <w:rsid w:val="00900719"/>
    <w:rsid w:val="009017AC"/>
    <w:rsid w:val="00901C95"/>
    <w:rsid w:val="00904A1C"/>
    <w:rsid w:val="00905030"/>
    <w:rsid w:val="00906490"/>
    <w:rsid w:val="009111B2"/>
    <w:rsid w:val="00915DAB"/>
    <w:rsid w:val="00923414"/>
    <w:rsid w:val="00924AE1"/>
    <w:rsid w:val="009269B1"/>
    <w:rsid w:val="0092724D"/>
    <w:rsid w:val="009310B0"/>
    <w:rsid w:val="00934EFC"/>
    <w:rsid w:val="00937BD9"/>
    <w:rsid w:val="00942CF3"/>
    <w:rsid w:val="009470CD"/>
    <w:rsid w:val="00950E2C"/>
    <w:rsid w:val="00951D50"/>
    <w:rsid w:val="009525EB"/>
    <w:rsid w:val="00954874"/>
    <w:rsid w:val="00954B70"/>
    <w:rsid w:val="00961400"/>
    <w:rsid w:val="00961BDB"/>
    <w:rsid w:val="00963646"/>
    <w:rsid w:val="009853E1"/>
    <w:rsid w:val="00985968"/>
    <w:rsid w:val="00986E6B"/>
    <w:rsid w:val="00991769"/>
    <w:rsid w:val="00994386"/>
    <w:rsid w:val="00995452"/>
    <w:rsid w:val="0099772A"/>
    <w:rsid w:val="009A0EEB"/>
    <w:rsid w:val="009A13D8"/>
    <w:rsid w:val="009A279E"/>
    <w:rsid w:val="009B0A6F"/>
    <w:rsid w:val="009B0A94"/>
    <w:rsid w:val="009B122E"/>
    <w:rsid w:val="009B59E9"/>
    <w:rsid w:val="009B70AA"/>
    <w:rsid w:val="009C7552"/>
    <w:rsid w:val="009C7A7E"/>
    <w:rsid w:val="009D0250"/>
    <w:rsid w:val="009D02E8"/>
    <w:rsid w:val="009D51D0"/>
    <w:rsid w:val="009D70A4"/>
    <w:rsid w:val="009E08D1"/>
    <w:rsid w:val="009E1B95"/>
    <w:rsid w:val="009E29D3"/>
    <w:rsid w:val="009E39C2"/>
    <w:rsid w:val="009E496F"/>
    <w:rsid w:val="009E4B0D"/>
    <w:rsid w:val="009E7159"/>
    <w:rsid w:val="009E7F92"/>
    <w:rsid w:val="009F02A3"/>
    <w:rsid w:val="009F2F27"/>
    <w:rsid w:val="009F3012"/>
    <w:rsid w:val="009F34AA"/>
    <w:rsid w:val="009F5B66"/>
    <w:rsid w:val="009F6BCB"/>
    <w:rsid w:val="009F7B78"/>
    <w:rsid w:val="00A0057A"/>
    <w:rsid w:val="00A04F11"/>
    <w:rsid w:val="00A06E2E"/>
    <w:rsid w:val="00A11421"/>
    <w:rsid w:val="00A157B1"/>
    <w:rsid w:val="00A22229"/>
    <w:rsid w:val="00A27A3C"/>
    <w:rsid w:val="00A3175F"/>
    <w:rsid w:val="00A32341"/>
    <w:rsid w:val="00A33D76"/>
    <w:rsid w:val="00A44882"/>
    <w:rsid w:val="00A469F3"/>
    <w:rsid w:val="00A54715"/>
    <w:rsid w:val="00A6061C"/>
    <w:rsid w:val="00A62D44"/>
    <w:rsid w:val="00A67263"/>
    <w:rsid w:val="00A70A68"/>
    <w:rsid w:val="00A7161C"/>
    <w:rsid w:val="00A73A0F"/>
    <w:rsid w:val="00A77A08"/>
    <w:rsid w:val="00A77AA3"/>
    <w:rsid w:val="00A854EB"/>
    <w:rsid w:val="00A86F1A"/>
    <w:rsid w:val="00A872E5"/>
    <w:rsid w:val="00A900B7"/>
    <w:rsid w:val="00A91406"/>
    <w:rsid w:val="00A96E65"/>
    <w:rsid w:val="00A97C72"/>
    <w:rsid w:val="00AA5B23"/>
    <w:rsid w:val="00AA5FA0"/>
    <w:rsid w:val="00AA63D4"/>
    <w:rsid w:val="00AA741B"/>
    <w:rsid w:val="00AB06E8"/>
    <w:rsid w:val="00AB0E8B"/>
    <w:rsid w:val="00AB1CD3"/>
    <w:rsid w:val="00AB352F"/>
    <w:rsid w:val="00AB7729"/>
    <w:rsid w:val="00AC274B"/>
    <w:rsid w:val="00AC4764"/>
    <w:rsid w:val="00AC6D36"/>
    <w:rsid w:val="00AD0CBA"/>
    <w:rsid w:val="00AD252B"/>
    <w:rsid w:val="00AD26E2"/>
    <w:rsid w:val="00AD784C"/>
    <w:rsid w:val="00AE00F9"/>
    <w:rsid w:val="00AE126A"/>
    <w:rsid w:val="00AE3005"/>
    <w:rsid w:val="00AE3BD5"/>
    <w:rsid w:val="00AE51DE"/>
    <w:rsid w:val="00AE59A0"/>
    <w:rsid w:val="00AF0C57"/>
    <w:rsid w:val="00AF26F3"/>
    <w:rsid w:val="00AF5F04"/>
    <w:rsid w:val="00AF72CA"/>
    <w:rsid w:val="00AF7CD9"/>
    <w:rsid w:val="00B00672"/>
    <w:rsid w:val="00B01B4D"/>
    <w:rsid w:val="00B06571"/>
    <w:rsid w:val="00B068BA"/>
    <w:rsid w:val="00B13851"/>
    <w:rsid w:val="00B13B1C"/>
    <w:rsid w:val="00B22291"/>
    <w:rsid w:val="00B23F9A"/>
    <w:rsid w:val="00B2417B"/>
    <w:rsid w:val="00B24E6F"/>
    <w:rsid w:val="00B26CB5"/>
    <w:rsid w:val="00B27069"/>
    <w:rsid w:val="00B2752E"/>
    <w:rsid w:val="00B307CC"/>
    <w:rsid w:val="00B326B7"/>
    <w:rsid w:val="00B32D88"/>
    <w:rsid w:val="00B43136"/>
    <w:rsid w:val="00B431E8"/>
    <w:rsid w:val="00B43F57"/>
    <w:rsid w:val="00B45141"/>
    <w:rsid w:val="00B52694"/>
    <w:rsid w:val="00B5273A"/>
    <w:rsid w:val="00B60805"/>
    <w:rsid w:val="00B62B50"/>
    <w:rsid w:val="00B635B7"/>
    <w:rsid w:val="00B63AE8"/>
    <w:rsid w:val="00B65950"/>
    <w:rsid w:val="00B66D83"/>
    <w:rsid w:val="00B672C0"/>
    <w:rsid w:val="00B733F7"/>
    <w:rsid w:val="00B75646"/>
    <w:rsid w:val="00B90729"/>
    <w:rsid w:val="00B907DA"/>
    <w:rsid w:val="00B943A7"/>
    <w:rsid w:val="00B950BC"/>
    <w:rsid w:val="00B9714C"/>
    <w:rsid w:val="00BA3F8D"/>
    <w:rsid w:val="00BB1EE7"/>
    <w:rsid w:val="00BB63C1"/>
    <w:rsid w:val="00BB6B53"/>
    <w:rsid w:val="00BB7A10"/>
    <w:rsid w:val="00BC2D45"/>
    <w:rsid w:val="00BC7468"/>
    <w:rsid w:val="00BC7D4F"/>
    <w:rsid w:val="00BC7ED7"/>
    <w:rsid w:val="00BD2850"/>
    <w:rsid w:val="00BD3A8B"/>
    <w:rsid w:val="00BE28D2"/>
    <w:rsid w:val="00BE4A64"/>
    <w:rsid w:val="00BE5138"/>
    <w:rsid w:val="00BF0F1B"/>
    <w:rsid w:val="00BF7F58"/>
    <w:rsid w:val="00C01381"/>
    <w:rsid w:val="00C0289F"/>
    <w:rsid w:val="00C045F4"/>
    <w:rsid w:val="00C04666"/>
    <w:rsid w:val="00C079B8"/>
    <w:rsid w:val="00C123EA"/>
    <w:rsid w:val="00C12A49"/>
    <w:rsid w:val="00C133EE"/>
    <w:rsid w:val="00C16988"/>
    <w:rsid w:val="00C27DE9"/>
    <w:rsid w:val="00C33388"/>
    <w:rsid w:val="00C35484"/>
    <w:rsid w:val="00C4173A"/>
    <w:rsid w:val="00C602FF"/>
    <w:rsid w:val="00C61174"/>
    <w:rsid w:val="00C6148F"/>
    <w:rsid w:val="00C62F7A"/>
    <w:rsid w:val="00C63B9C"/>
    <w:rsid w:val="00C6609E"/>
    <w:rsid w:val="00C6682F"/>
    <w:rsid w:val="00C67245"/>
    <w:rsid w:val="00C7275E"/>
    <w:rsid w:val="00C74C5D"/>
    <w:rsid w:val="00C77AF4"/>
    <w:rsid w:val="00C85C10"/>
    <w:rsid w:val="00C863C4"/>
    <w:rsid w:val="00C93C3E"/>
    <w:rsid w:val="00CA12E3"/>
    <w:rsid w:val="00CA48D2"/>
    <w:rsid w:val="00CA6611"/>
    <w:rsid w:val="00CA6AE6"/>
    <w:rsid w:val="00CA782F"/>
    <w:rsid w:val="00CB5414"/>
    <w:rsid w:val="00CC0C72"/>
    <w:rsid w:val="00CC2BFD"/>
    <w:rsid w:val="00CC38AE"/>
    <w:rsid w:val="00CC4938"/>
    <w:rsid w:val="00CD3476"/>
    <w:rsid w:val="00CD5448"/>
    <w:rsid w:val="00CD54A3"/>
    <w:rsid w:val="00CD64DF"/>
    <w:rsid w:val="00CF2F50"/>
    <w:rsid w:val="00D02919"/>
    <w:rsid w:val="00D04C61"/>
    <w:rsid w:val="00D05B8D"/>
    <w:rsid w:val="00D065A2"/>
    <w:rsid w:val="00D0661F"/>
    <w:rsid w:val="00D07A68"/>
    <w:rsid w:val="00D07F00"/>
    <w:rsid w:val="00D13AED"/>
    <w:rsid w:val="00D17B72"/>
    <w:rsid w:val="00D226C1"/>
    <w:rsid w:val="00D3185C"/>
    <w:rsid w:val="00D33E72"/>
    <w:rsid w:val="00D35BD6"/>
    <w:rsid w:val="00D361B5"/>
    <w:rsid w:val="00D411A2"/>
    <w:rsid w:val="00D44F2A"/>
    <w:rsid w:val="00D4606D"/>
    <w:rsid w:val="00D50B9C"/>
    <w:rsid w:val="00D52D73"/>
    <w:rsid w:val="00D52E58"/>
    <w:rsid w:val="00D532C0"/>
    <w:rsid w:val="00D54E30"/>
    <w:rsid w:val="00D64FE1"/>
    <w:rsid w:val="00D66CE9"/>
    <w:rsid w:val="00D714CC"/>
    <w:rsid w:val="00D75EA7"/>
    <w:rsid w:val="00D76B7E"/>
    <w:rsid w:val="00D80B22"/>
    <w:rsid w:val="00D81F21"/>
    <w:rsid w:val="00D85AC1"/>
    <w:rsid w:val="00D91A7B"/>
    <w:rsid w:val="00D95470"/>
    <w:rsid w:val="00D9664F"/>
    <w:rsid w:val="00DA1E24"/>
    <w:rsid w:val="00DA2619"/>
    <w:rsid w:val="00DA4239"/>
    <w:rsid w:val="00DB0B61"/>
    <w:rsid w:val="00DC090B"/>
    <w:rsid w:val="00DC1679"/>
    <w:rsid w:val="00DC16FA"/>
    <w:rsid w:val="00DC2CF1"/>
    <w:rsid w:val="00DC4FCF"/>
    <w:rsid w:val="00DC50E0"/>
    <w:rsid w:val="00DC6386"/>
    <w:rsid w:val="00DD1130"/>
    <w:rsid w:val="00DD1951"/>
    <w:rsid w:val="00DD2A54"/>
    <w:rsid w:val="00DD6628"/>
    <w:rsid w:val="00DE3250"/>
    <w:rsid w:val="00DE6028"/>
    <w:rsid w:val="00DE78A3"/>
    <w:rsid w:val="00DF1A71"/>
    <w:rsid w:val="00DF68C7"/>
    <w:rsid w:val="00DF69F3"/>
    <w:rsid w:val="00DF731A"/>
    <w:rsid w:val="00E02068"/>
    <w:rsid w:val="00E02933"/>
    <w:rsid w:val="00E033D6"/>
    <w:rsid w:val="00E05956"/>
    <w:rsid w:val="00E170DC"/>
    <w:rsid w:val="00E17A70"/>
    <w:rsid w:val="00E25DD0"/>
    <w:rsid w:val="00E26818"/>
    <w:rsid w:val="00E27FFC"/>
    <w:rsid w:val="00E30B15"/>
    <w:rsid w:val="00E31F68"/>
    <w:rsid w:val="00E40181"/>
    <w:rsid w:val="00E42213"/>
    <w:rsid w:val="00E51611"/>
    <w:rsid w:val="00E56A01"/>
    <w:rsid w:val="00E577D2"/>
    <w:rsid w:val="00E629A1"/>
    <w:rsid w:val="00E70CD4"/>
    <w:rsid w:val="00E71591"/>
    <w:rsid w:val="00E73577"/>
    <w:rsid w:val="00E80EA4"/>
    <w:rsid w:val="00E82C55"/>
    <w:rsid w:val="00E87BF5"/>
    <w:rsid w:val="00E90DAF"/>
    <w:rsid w:val="00E92AC3"/>
    <w:rsid w:val="00E9362B"/>
    <w:rsid w:val="00E94645"/>
    <w:rsid w:val="00EA2260"/>
    <w:rsid w:val="00EA4EF7"/>
    <w:rsid w:val="00EA57FA"/>
    <w:rsid w:val="00EB00E0"/>
    <w:rsid w:val="00EB289A"/>
    <w:rsid w:val="00EB3AE6"/>
    <w:rsid w:val="00EC059F"/>
    <w:rsid w:val="00EC1F24"/>
    <w:rsid w:val="00EC21A5"/>
    <w:rsid w:val="00EC22F6"/>
    <w:rsid w:val="00ED5B9B"/>
    <w:rsid w:val="00ED6BAD"/>
    <w:rsid w:val="00ED7447"/>
    <w:rsid w:val="00EE1488"/>
    <w:rsid w:val="00EE4D5D"/>
    <w:rsid w:val="00EE5131"/>
    <w:rsid w:val="00EF109B"/>
    <w:rsid w:val="00EF36AF"/>
    <w:rsid w:val="00F00BCB"/>
    <w:rsid w:val="00F00F9C"/>
    <w:rsid w:val="00F01E5F"/>
    <w:rsid w:val="00F02ABA"/>
    <w:rsid w:val="00F0437A"/>
    <w:rsid w:val="00F06C48"/>
    <w:rsid w:val="00F1037B"/>
    <w:rsid w:val="00F10B26"/>
    <w:rsid w:val="00F11037"/>
    <w:rsid w:val="00F16F1B"/>
    <w:rsid w:val="00F17A31"/>
    <w:rsid w:val="00F250A9"/>
    <w:rsid w:val="00F2650A"/>
    <w:rsid w:val="00F30FF4"/>
    <w:rsid w:val="00F3122E"/>
    <w:rsid w:val="00F331AD"/>
    <w:rsid w:val="00F35287"/>
    <w:rsid w:val="00F43A37"/>
    <w:rsid w:val="00F4641B"/>
    <w:rsid w:val="00F46EB8"/>
    <w:rsid w:val="00F511E4"/>
    <w:rsid w:val="00F5135C"/>
    <w:rsid w:val="00F515D0"/>
    <w:rsid w:val="00F52D09"/>
    <w:rsid w:val="00F52E08"/>
    <w:rsid w:val="00F55B21"/>
    <w:rsid w:val="00F56EF6"/>
    <w:rsid w:val="00F61A9F"/>
    <w:rsid w:val="00F62275"/>
    <w:rsid w:val="00F64696"/>
    <w:rsid w:val="00F64827"/>
    <w:rsid w:val="00F65AA9"/>
    <w:rsid w:val="00F6768F"/>
    <w:rsid w:val="00F72C2C"/>
    <w:rsid w:val="00F76CAB"/>
    <w:rsid w:val="00F772C6"/>
    <w:rsid w:val="00F77744"/>
    <w:rsid w:val="00F815B5"/>
    <w:rsid w:val="00F85195"/>
    <w:rsid w:val="00F938BA"/>
    <w:rsid w:val="00FA2C46"/>
    <w:rsid w:val="00FA3525"/>
    <w:rsid w:val="00FA3555"/>
    <w:rsid w:val="00FB4CDA"/>
    <w:rsid w:val="00FC091D"/>
    <w:rsid w:val="00FC0F81"/>
    <w:rsid w:val="00FC395C"/>
    <w:rsid w:val="00FC7719"/>
    <w:rsid w:val="00FD33F6"/>
    <w:rsid w:val="00FD3766"/>
    <w:rsid w:val="00FD47C4"/>
    <w:rsid w:val="00FD7B52"/>
    <w:rsid w:val="00FE2DCF"/>
    <w:rsid w:val="00FF2E48"/>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85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6A3BB2"/>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B943A7"/>
    <w:pPr>
      <w:numPr>
        <w:numId w:val="7"/>
      </w:numPr>
      <w:spacing w:after="40"/>
    </w:pPr>
    <w:rPr>
      <w:lang w:eastAsia="en-AU"/>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72"/>
    <w:qFormat/>
    <w:rsid w:val="006A3BB2"/>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UnresolvedMention1">
    <w:name w:val="Unresolved Mention1"/>
    <w:basedOn w:val="DefaultParagraphFont"/>
    <w:uiPriority w:val="99"/>
    <w:semiHidden/>
    <w:unhideWhenUsed/>
    <w:rsid w:val="002407EB"/>
    <w:rPr>
      <w:color w:val="808080"/>
      <w:shd w:val="clear" w:color="auto" w:fill="E6E6E6"/>
    </w:rPr>
  </w:style>
  <w:style w:type="paragraph" w:styleId="BalloonText">
    <w:name w:val="Balloon Text"/>
    <w:basedOn w:val="Normal"/>
    <w:link w:val="BalloonTextChar"/>
    <w:uiPriority w:val="99"/>
    <w:semiHidden/>
    <w:unhideWhenUsed/>
    <w:rsid w:val="00544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F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36BF1"/>
    <w:rPr>
      <w:sz w:val="16"/>
      <w:szCs w:val="16"/>
    </w:rPr>
  </w:style>
  <w:style w:type="paragraph" w:styleId="CommentText">
    <w:name w:val="annotation text"/>
    <w:basedOn w:val="Normal"/>
    <w:link w:val="CommentTextChar"/>
    <w:uiPriority w:val="99"/>
    <w:semiHidden/>
    <w:unhideWhenUsed/>
    <w:rsid w:val="00136BF1"/>
  </w:style>
  <w:style w:type="character" w:customStyle="1" w:styleId="CommentTextChar">
    <w:name w:val="Comment Text Char"/>
    <w:basedOn w:val="DefaultParagraphFont"/>
    <w:link w:val="CommentText"/>
    <w:uiPriority w:val="99"/>
    <w:semiHidden/>
    <w:rsid w:val="00136BF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36BF1"/>
    <w:rPr>
      <w:b/>
      <w:bCs/>
    </w:rPr>
  </w:style>
  <w:style w:type="character" w:customStyle="1" w:styleId="CommentSubjectChar">
    <w:name w:val="Comment Subject Char"/>
    <w:basedOn w:val="CommentTextChar"/>
    <w:link w:val="CommentSubject"/>
    <w:uiPriority w:val="99"/>
    <w:semiHidden/>
    <w:rsid w:val="00136BF1"/>
    <w:rPr>
      <w:rFonts w:ascii="Cambria" w:hAnsi="Cambria"/>
      <w:b/>
      <w:bCs/>
      <w:lang w:eastAsia="en-US"/>
    </w:rPr>
  </w:style>
  <w:style w:type="paragraph" w:styleId="Revision">
    <w:name w:val="Revision"/>
    <w:hidden/>
    <w:uiPriority w:val="71"/>
    <w:rsid w:val="0084393A"/>
    <w:rPr>
      <w:rFonts w:ascii="Cambria" w:hAnsi="Cambria"/>
      <w:lang w:eastAsia="en-US"/>
    </w:rPr>
  </w:style>
  <w:style w:type="character" w:customStyle="1" w:styleId="UnresolvedMention2">
    <w:name w:val="Unresolved Mention2"/>
    <w:basedOn w:val="DefaultParagraphFont"/>
    <w:uiPriority w:val="99"/>
    <w:semiHidden/>
    <w:unhideWhenUsed/>
    <w:rsid w:val="00E0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893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2.health.vic.gov.au/about/news-and-events/hospitalcirculars/circ2305"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2.health.vic.gov.au/hospitals-and-health-services/data-reporting/health-data-standards-systems/data-collections/aim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hhs.vic.gov.au/publications/policy-and-funding-guidelines-health-and-human-service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ndis.gov.au/understanding/supports-funded-ndis/disability-related-health-supports" TargetMode="External"/><Relationship Id="rId20" Type="http://schemas.openxmlformats.org/officeDocument/2006/relationships/hyperlink" Target="https://www2.health.vic.gov.au/hospitals-and-health-services/data-reporting/health-data-standards-systems/data-collections/vin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hpv.org.au/contracts-and-documents/contracts/details/42" TargetMode="External"/><Relationship Id="rId23" Type="http://schemas.openxmlformats.org/officeDocument/2006/relationships/hyperlink" Target="https://www2.health.vic.gov.au/hospitals-and-health-services/funding-performance-accountability/pricing-funding-framework/funding-policy/non-admitted"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2.health.vic.gov.au/about/news-and-events/hospitalcirculars/circ320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mailto:NonAdmitted.FundingPolicy@dhhs.vic.gov.au" TargetMode="External"/><Relationship Id="rId27"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45CF-B7A8-4E8F-90A2-F6A1D4F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Home-delivered enteral nutrition and total parenteral nutrition:</vt:lpstr>
    </vt:vector>
  </TitlesOfParts>
  <Company/>
  <LinksUpToDate>false</LinksUpToDate>
  <CharactersWithSpaces>13089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Home-delivered enteral nutrition and total parenteral nutrition:</dc:title>
  <dc:creator/>
  <cp:lastModifiedBy/>
  <cp:revision>1</cp:revision>
  <dcterms:created xsi:type="dcterms:W3CDTF">2020-06-30T04:02:00Z</dcterms:created>
  <dcterms:modified xsi:type="dcterms:W3CDTF">2020-06-30T04:02:00Z</dcterms:modified>
</cp:coreProperties>
</file>